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11AF" w14:textId="77777777" w:rsidR="00247B6B" w:rsidRPr="00247126" w:rsidRDefault="00247B6B" w:rsidP="00247B6B">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sidRPr="00247126">
        <w:rPr>
          <w:rFonts w:ascii="Arial" w:hAnsi="Arial" w:cs="Arial"/>
          <w:b/>
          <w:bCs/>
          <w:color w:val="000080"/>
          <w:sz w:val="36"/>
          <w:szCs w:val="36"/>
        </w:rPr>
        <w:t>Medical Services Advisory Committee (MSAC)</w:t>
      </w:r>
      <w:r w:rsidRPr="00247126">
        <w:rPr>
          <w:rFonts w:ascii="Arial" w:hAnsi="Arial" w:cs="Arial"/>
          <w:b/>
          <w:bCs/>
          <w:color w:val="000080"/>
          <w:sz w:val="36"/>
          <w:szCs w:val="36"/>
        </w:rPr>
        <w:br/>
        <w:t>Public Summary Document</w:t>
      </w:r>
    </w:p>
    <w:p w14:paraId="7A128FDE" w14:textId="3B8FCF4D" w:rsidR="00772829" w:rsidRPr="00247126" w:rsidRDefault="00772829" w:rsidP="00772829">
      <w:pPr>
        <w:pStyle w:val="Subtitle"/>
      </w:pPr>
      <w:r w:rsidRPr="00247126">
        <w:t xml:space="preserve">Application No. </w:t>
      </w:r>
      <w:r w:rsidR="00B8347B" w:rsidRPr="00247126">
        <w:t>1743</w:t>
      </w:r>
      <w:r w:rsidRPr="00247126">
        <w:t xml:space="preserve"> – </w:t>
      </w:r>
      <w:r w:rsidR="001550F9" w:rsidRPr="00247126">
        <w:t xml:space="preserve">Optical coherence tomography (OCT) guided coronary stent insertion for patients eligible for coronary </w:t>
      </w:r>
      <w:proofErr w:type="gramStart"/>
      <w:r w:rsidR="001550F9" w:rsidRPr="00247126">
        <w:t>revascularisation</w:t>
      </w:r>
      <w:proofErr w:type="gramEnd"/>
    </w:p>
    <w:p w14:paraId="2A2BFF8D" w14:textId="1771CACA" w:rsidR="003D76E2" w:rsidRPr="00247126" w:rsidRDefault="003D76E2" w:rsidP="00852F87">
      <w:pPr>
        <w:tabs>
          <w:tab w:val="left" w:pos="3686"/>
        </w:tabs>
        <w:rPr>
          <w:rFonts w:ascii="Arial" w:hAnsi="Arial" w:cs="Arial"/>
          <w:b/>
          <w:bCs/>
        </w:rPr>
      </w:pPr>
      <w:r w:rsidRPr="00247126">
        <w:rPr>
          <w:rFonts w:ascii="Arial" w:hAnsi="Arial" w:cs="Arial"/>
          <w:b/>
          <w:bCs/>
        </w:rPr>
        <w:t>Applicant:</w:t>
      </w:r>
      <w:r w:rsidR="00852F87">
        <w:rPr>
          <w:rFonts w:ascii="Arial" w:hAnsi="Arial" w:cs="Arial"/>
          <w:b/>
          <w:bCs/>
        </w:rPr>
        <w:tab/>
      </w:r>
      <w:r w:rsidRPr="00247126">
        <w:rPr>
          <w:rFonts w:ascii="Arial" w:hAnsi="Arial" w:cs="Arial"/>
          <w:b/>
          <w:bCs/>
        </w:rPr>
        <w:t>Abbott Medical Australia Pty Ltd</w:t>
      </w:r>
    </w:p>
    <w:p w14:paraId="74F79F2F" w14:textId="46702767" w:rsidR="003D76E2" w:rsidRPr="00247126" w:rsidRDefault="003D76E2" w:rsidP="003D76E2">
      <w:pPr>
        <w:spacing w:before="320"/>
        <w:rPr>
          <w:rFonts w:ascii="Arial" w:hAnsi="Arial" w:cs="Arial"/>
          <w:b/>
          <w:bCs/>
        </w:rPr>
      </w:pPr>
      <w:r w:rsidRPr="00247126">
        <w:rPr>
          <w:rFonts w:ascii="Arial" w:hAnsi="Arial" w:cs="Arial"/>
          <w:b/>
          <w:bCs/>
        </w:rPr>
        <w:t xml:space="preserve">Date of </w:t>
      </w:r>
      <w:r w:rsidR="00247B6B" w:rsidRPr="00247126">
        <w:rPr>
          <w:rFonts w:ascii="Arial" w:hAnsi="Arial" w:cs="Arial"/>
          <w:b/>
          <w:bCs/>
        </w:rPr>
        <w:t>MSAC</w:t>
      </w:r>
      <w:r w:rsidRPr="00247126">
        <w:rPr>
          <w:rFonts w:ascii="Arial" w:hAnsi="Arial" w:cs="Arial"/>
          <w:b/>
          <w:bCs/>
        </w:rPr>
        <w:t xml:space="preserve"> consideration:</w:t>
      </w:r>
      <w:r w:rsidRPr="00247126">
        <w:rPr>
          <w:rFonts w:ascii="Arial" w:hAnsi="Arial" w:cs="Arial"/>
          <w:b/>
          <w:bCs/>
        </w:rPr>
        <w:tab/>
      </w:r>
      <w:r w:rsidR="00247B6B" w:rsidRPr="00247126">
        <w:rPr>
          <w:rFonts w:ascii="Arial" w:hAnsi="Arial" w:cs="Arial"/>
          <w:b/>
          <w:bCs/>
        </w:rPr>
        <w:t>1-2 August</w:t>
      </w:r>
      <w:r w:rsidRPr="00247126">
        <w:rPr>
          <w:rFonts w:ascii="Arial" w:hAnsi="Arial" w:cs="Arial"/>
          <w:b/>
          <w:bCs/>
        </w:rPr>
        <w:t xml:space="preserve"> 2024</w:t>
      </w:r>
    </w:p>
    <w:p w14:paraId="49931805" w14:textId="77777777" w:rsidR="00247B6B" w:rsidRPr="00247126" w:rsidRDefault="00247B6B" w:rsidP="00247B6B">
      <w:pPr>
        <w:rPr>
          <w:color w:val="0000FF"/>
          <w:szCs w:val="24"/>
          <w:u w:val="single"/>
        </w:rPr>
      </w:pPr>
      <w:r w:rsidRPr="00247126">
        <w:rPr>
          <w:szCs w:val="24"/>
        </w:rPr>
        <w:t xml:space="preserve">Context for decision: MSAC makes its advice in accordance with its Terms of Reference, </w:t>
      </w:r>
      <w:hyperlink r:id="rId8" w:tooltip="Link to Medical Services Advisory Committee website" w:history="1">
        <w:r w:rsidRPr="00247126">
          <w:rPr>
            <w:rStyle w:val="Hyperlink"/>
            <w:szCs w:val="24"/>
          </w:rPr>
          <w:t>visit the MSAC website</w:t>
        </w:r>
      </w:hyperlink>
    </w:p>
    <w:p w14:paraId="7EAA7262" w14:textId="77335A16" w:rsidR="00772829" w:rsidRPr="00247126" w:rsidRDefault="00C36633" w:rsidP="00C36633">
      <w:pPr>
        <w:pStyle w:val="Heading2"/>
        <w:numPr>
          <w:ilvl w:val="0"/>
          <w:numId w:val="0"/>
        </w:numPr>
      </w:pPr>
      <w:bookmarkStart w:id="0" w:name="_Toc69491415"/>
      <w:r w:rsidRPr="00247126">
        <w:t>1.</w:t>
      </w:r>
      <w:r w:rsidRPr="00247126">
        <w:tab/>
      </w:r>
      <w:r w:rsidR="00772829" w:rsidRPr="00247126">
        <w:t xml:space="preserve">Purpose </w:t>
      </w:r>
      <w:r w:rsidR="00772829" w:rsidRPr="00247126">
        <w:rPr>
          <w:szCs w:val="32"/>
        </w:rPr>
        <w:t>of</w:t>
      </w:r>
      <w:r w:rsidR="00772829" w:rsidRPr="00247126">
        <w:t xml:space="preserve"> application</w:t>
      </w:r>
      <w:bookmarkEnd w:id="0"/>
    </w:p>
    <w:p w14:paraId="6BF31FF2" w14:textId="03132E89" w:rsidR="00772829" w:rsidRPr="00247126" w:rsidRDefault="00772829" w:rsidP="00772829">
      <w:pPr>
        <w:spacing w:after="240"/>
        <w:rPr>
          <w:iCs/>
        </w:rPr>
      </w:pPr>
      <w:bookmarkStart w:id="1" w:name="_Hlk69734469"/>
      <w:r w:rsidRPr="00247126">
        <w:rPr>
          <w:iCs/>
        </w:rPr>
        <w:t xml:space="preserve">An application requesting Medicare Benefits Schedule (MBS) listing of </w:t>
      </w:r>
      <w:r w:rsidR="00A22A74" w:rsidRPr="00247126">
        <w:rPr>
          <w:iCs/>
        </w:rPr>
        <w:t>optical coherence tomography</w:t>
      </w:r>
      <w:r w:rsidRPr="00247126">
        <w:rPr>
          <w:iCs/>
        </w:rPr>
        <w:t xml:space="preserve"> (</w:t>
      </w:r>
      <w:r w:rsidR="00A22A74" w:rsidRPr="00247126">
        <w:rPr>
          <w:iCs/>
        </w:rPr>
        <w:t>OCT</w:t>
      </w:r>
      <w:r w:rsidR="00F50585" w:rsidRPr="00247126">
        <w:rPr>
          <w:iCs/>
        </w:rPr>
        <w:t>)</w:t>
      </w:r>
      <w:r w:rsidR="00D92D98" w:rsidRPr="00247126">
        <w:rPr>
          <w:iCs/>
        </w:rPr>
        <w:t xml:space="preserve">-guided stent insertion for </w:t>
      </w:r>
      <w:r w:rsidR="007E7389" w:rsidRPr="00247126">
        <w:rPr>
          <w:iCs/>
        </w:rPr>
        <w:t xml:space="preserve">patients undergoing invasive coronary </w:t>
      </w:r>
      <w:r w:rsidR="00DF7572" w:rsidRPr="00247126">
        <w:rPr>
          <w:iCs/>
        </w:rPr>
        <w:t>angiography</w:t>
      </w:r>
      <w:r w:rsidR="007E7389" w:rsidRPr="00247126">
        <w:rPr>
          <w:iCs/>
        </w:rPr>
        <w:t xml:space="preserve">, percutaneous </w:t>
      </w:r>
      <w:proofErr w:type="gramStart"/>
      <w:r w:rsidR="007E7389" w:rsidRPr="00247126">
        <w:rPr>
          <w:iCs/>
        </w:rPr>
        <w:t>angioplasty</w:t>
      </w:r>
      <w:proofErr w:type="gramEnd"/>
      <w:r w:rsidR="007E7389" w:rsidRPr="00247126">
        <w:rPr>
          <w:iCs/>
        </w:rPr>
        <w:t xml:space="preserve"> and transluminal insertion of stents</w:t>
      </w:r>
      <w:r w:rsidR="00BB23F2" w:rsidRPr="00247126">
        <w:rPr>
          <w:iCs/>
        </w:rPr>
        <w:t xml:space="preserve">, </w:t>
      </w:r>
      <w:r w:rsidRPr="00247126">
        <w:rPr>
          <w:iCs/>
        </w:rPr>
        <w:t xml:space="preserve">was received from </w:t>
      </w:r>
      <w:r w:rsidR="00D92D98" w:rsidRPr="00247126">
        <w:rPr>
          <w:iCs/>
        </w:rPr>
        <w:t>Abbott Medical Australia Pty Ltd</w:t>
      </w:r>
      <w:r w:rsidRPr="00247126">
        <w:rPr>
          <w:iCs/>
        </w:rPr>
        <w:t xml:space="preserve"> by the Department of Health</w:t>
      </w:r>
      <w:r w:rsidR="001B244E" w:rsidRPr="00247126">
        <w:rPr>
          <w:iCs/>
        </w:rPr>
        <w:t xml:space="preserve"> and Aged Care</w:t>
      </w:r>
      <w:r w:rsidR="0026262F" w:rsidRPr="00247126">
        <w:rPr>
          <w:iCs/>
        </w:rPr>
        <w:t xml:space="preserve"> (the department)</w:t>
      </w:r>
      <w:r w:rsidRPr="00247126">
        <w:rPr>
          <w:iCs/>
        </w:rPr>
        <w:t>.</w:t>
      </w:r>
      <w:r w:rsidR="00797DE1" w:rsidRPr="00247126">
        <w:rPr>
          <w:iCs/>
        </w:rPr>
        <w:t xml:space="preserve"> The pro</w:t>
      </w:r>
      <w:r w:rsidR="00225498" w:rsidRPr="00247126">
        <w:rPr>
          <w:iCs/>
        </w:rPr>
        <w:t>posed populations for OCT-guided cor</w:t>
      </w:r>
      <w:r w:rsidR="003F22A3" w:rsidRPr="00247126">
        <w:rPr>
          <w:iCs/>
        </w:rPr>
        <w:t xml:space="preserve">onary stent insertion </w:t>
      </w:r>
      <w:r w:rsidR="00726D51" w:rsidRPr="00247126">
        <w:rPr>
          <w:iCs/>
        </w:rPr>
        <w:t>include</w:t>
      </w:r>
      <w:r w:rsidR="00317182" w:rsidRPr="00247126">
        <w:rPr>
          <w:iCs/>
        </w:rPr>
        <w:t>d</w:t>
      </w:r>
      <w:r w:rsidR="00726D51" w:rsidRPr="00247126">
        <w:rPr>
          <w:iCs/>
        </w:rPr>
        <w:t xml:space="preserve"> </w:t>
      </w:r>
      <w:r w:rsidR="000454B3" w:rsidRPr="00247126">
        <w:rPr>
          <w:iCs/>
        </w:rPr>
        <w:t>patients with at least one of the following lesion types or complexity: long or multiple lesions, bifurcation lesion, angiographic severe calcification, or stent failure</w:t>
      </w:r>
      <w:r w:rsidR="001E7F3C" w:rsidRPr="00247126">
        <w:rPr>
          <w:iCs/>
        </w:rPr>
        <w:t>.</w:t>
      </w:r>
    </w:p>
    <w:p w14:paraId="55873ACF" w14:textId="77777777" w:rsidR="00247B6B" w:rsidRPr="00247126" w:rsidRDefault="00247B6B" w:rsidP="00247B6B">
      <w:pPr>
        <w:pStyle w:val="Heading2"/>
        <w:numPr>
          <w:ilvl w:val="0"/>
          <w:numId w:val="0"/>
        </w:numPr>
      </w:pPr>
      <w:r w:rsidRPr="00247126">
        <w:t>2.</w:t>
      </w:r>
      <w:r w:rsidRPr="00247126">
        <w:tab/>
        <w:t>MSAC’s advice to the Minister</w:t>
      </w:r>
    </w:p>
    <w:p w14:paraId="0C1C0409" w14:textId="6BE3FF5E" w:rsidR="001937CE" w:rsidRPr="00247126" w:rsidRDefault="00BE68F9" w:rsidP="001937CE">
      <w:r w:rsidRPr="00247126">
        <w:t xml:space="preserve">After considering the strength of the available evidence in relation to comparative safety, clinical effectiveness, </w:t>
      </w:r>
      <w:proofErr w:type="gramStart"/>
      <w:r w:rsidRPr="00247126">
        <w:t>cost-effectiveness</w:t>
      </w:r>
      <w:proofErr w:type="gramEnd"/>
      <w:r w:rsidRPr="00247126">
        <w:t xml:space="preserve"> and total cost, MSAC considered OCT had acceptable safety and supported the creation of a new Medicare Benefits Schedule (MBS) item for the use of optical coherence tomography (OCT) guided coronary artery stent insertion for patients eligible for coronary revascularisation for the bifurcation and stent thrombosis subpopulations. MSAC considered there was high certainty evidence for the bifurcation subpopulation that found that OCT had superior effectiveness and acceptable cost-effectiveness against coronary angiography alone. MSAC noted patients with stent failure due to stent thrombosis were included despite a lack of evidence for superior effectiveness, however stent thrombosis is a rare event and MSAC considered that OCT addressed a high clinical need in this subpopulation.</w:t>
      </w:r>
      <w:r w:rsidR="00BF5FB5" w:rsidRPr="00247126">
        <w:t xml:space="preserve"> </w:t>
      </w:r>
      <w:r w:rsidRPr="00247126">
        <w:t>MSAC also supported the creation of a separate MBS item for the use of OCT in the long lesion (≥ 28 mm) subpopulation. In the long lesion subpopulation, MSAC considered that OCT had noninferior effectiveness and the cost-minimisation showed similar costs compared with intravascular ultrasound (IVUS). Additionally in the long lesion subpopulation, MSAC noted that there was moderate certainty evidence that OCT had superior effectiveness for the outcome risk of stent thrombosis at two years against coronary angiography alone. MSAC did not support the use of OCT in patients with severe calcification, or with stent failure due to in-stent restenosis, or multiple lesions and considered that clinical efficacy was not demonstrated in these subpopulations.</w:t>
      </w:r>
    </w:p>
    <w:p w14:paraId="73A3C82C" w14:textId="5282D6B5" w:rsidR="00F12B0E" w:rsidRPr="00247126" w:rsidRDefault="001937CE" w:rsidP="001937CE">
      <w:r w:rsidRPr="00247126">
        <w:t>MSAC recommended</w:t>
      </w:r>
      <w:r w:rsidRPr="00247126" w:rsidDel="003A7BA7">
        <w:t xml:space="preserve"> that </w:t>
      </w:r>
      <w:r w:rsidR="00225C2E" w:rsidRPr="00247126">
        <w:t>the</w:t>
      </w:r>
      <w:r w:rsidRPr="00247126">
        <w:t xml:space="preserve"> new item for the use of OCT for long lesions should be considered and including alignment where clinically necessary with the existing IVUS item (MBS item 38325). MSAC advised the MBS item descriptor should contain provisions to prevent the dual </w:t>
      </w:r>
      <w:r w:rsidRPr="00247126">
        <w:lastRenderedPageBreak/>
        <w:t>use of OCT and IVUS, to address concerns of overlapping indications/leakage and enable the use of a second modality in the case of failure of the first imaging technique.</w:t>
      </w:r>
      <w:r w:rsidRPr="00247126" w:rsidDel="002A362E">
        <w:t xml:space="preserve"> </w:t>
      </w:r>
      <w:r w:rsidRPr="00247126">
        <w:t>MSAC advised that for the long lesion subpopulation, either OCT or IVUS should only be billed per episode with the choice of modality determined by clinician preference. However, MSAC advised that the Department of Health and Aged Care consult with the Cardiac Society of Australia and New Zealand (CSANZ) regarding whether the indications should be the same for both OCT and IVUS modalities in an amalgamated MBS item and also credentialling for providers.</w:t>
      </w:r>
    </w:p>
    <w:p w14:paraId="42B4B3D2" w14:textId="69E3264F" w:rsidR="0007364D" w:rsidRPr="00247126" w:rsidRDefault="0007364D" w:rsidP="002A619D">
      <w:pPr>
        <w:spacing w:before="240" w:after="120"/>
        <w:rPr>
          <w:b/>
          <w:bCs/>
        </w:rPr>
      </w:pPr>
      <w:r w:rsidRPr="00247126">
        <w:rPr>
          <w:b/>
          <w:bCs/>
        </w:rPr>
        <w:t>Proposed</w:t>
      </w:r>
      <w:r w:rsidR="00AE0E29" w:rsidRPr="00247126">
        <w:rPr>
          <w:b/>
          <w:bCs/>
        </w:rPr>
        <w:t xml:space="preserve"> </w:t>
      </w:r>
      <w:r w:rsidRPr="00247126">
        <w:rPr>
          <w:b/>
          <w:bCs/>
        </w:rPr>
        <w:t>MBS item for bifurcation and stent thrombosis populations</w:t>
      </w:r>
    </w:p>
    <w:tbl>
      <w:tblPr>
        <w:tblStyle w:val="TableGrid"/>
        <w:tblW w:w="0" w:type="auto"/>
        <w:tblLook w:val="04A0" w:firstRow="1" w:lastRow="0" w:firstColumn="1" w:lastColumn="0" w:noHBand="0" w:noVBand="1"/>
      </w:tblPr>
      <w:tblGrid>
        <w:gridCol w:w="9016"/>
      </w:tblGrid>
      <w:tr w:rsidR="00B14DAF" w:rsidRPr="00247126" w14:paraId="7A2328B3" w14:textId="77777777" w:rsidTr="00E878EE">
        <w:tc>
          <w:tcPr>
            <w:tcW w:w="9016" w:type="dxa"/>
            <w:tcBorders>
              <w:top w:val="single" w:sz="4" w:space="0" w:color="auto"/>
              <w:left w:val="single" w:sz="4" w:space="0" w:color="auto"/>
              <w:bottom w:val="single" w:sz="4" w:space="0" w:color="auto"/>
              <w:right w:val="single" w:sz="4" w:space="0" w:color="auto"/>
            </w:tcBorders>
            <w:hideMark/>
          </w:tcPr>
          <w:p w14:paraId="356B8D94" w14:textId="5F5FEDE7" w:rsidR="00B14DAF" w:rsidRPr="00247126" w:rsidRDefault="00B14DAF" w:rsidP="00E878EE">
            <w:pPr>
              <w:pStyle w:val="TableHeading0"/>
            </w:pPr>
            <w:r w:rsidRPr="00247126">
              <w:t>Category 3 – Therapeutic procedures</w:t>
            </w:r>
          </w:p>
        </w:tc>
      </w:tr>
      <w:tr w:rsidR="00B14DAF" w:rsidRPr="00247126" w14:paraId="19CB895F" w14:textId="77777777" w:rsidTr="00E878EE">
        <w:tc>
          <w:tcPr>
            <w:tcW w:w="9016" w:type="dxa"/>
            <w:tcBorders>
              <w:top w:val="single" w:sz="4" w:space="0" w:color="auto"/>
              <w:left w:val="single" w:sz="4" w:space="0" w:color="auto"/>
              <w:bottom w:val="single" w:sz="4" w:space="0" w:color="auto"/>
              <w:right w:val="single" w:sz="4" w:space="0" w:color="auto"/>
            </w:tcBorders>
            <w:hideMark/>
          </w:tcPr>
          <w:p w14:paraId="31DD553D" w14:textId="77777777" w:rsidR="00B14DAF" w:rsidRPr="00247126" w:rsidRDefault="00B14DAF" w:rsidP="00E878EE">
            <w:pPr>
              <w:pStyle w:val="TableText"/>
            </w:pPr>
            <w:r w:rsidRPr="00247126">
              <w:t>MBS item XXXX</w:t>
            </w:r>
          </w:p>
          <w:p w14:paraId="131BC288" w14:textId="77777777" w:rsidR="00B14DAF" w:rsidRPr="00247126" w:rsidRDefault="00B14DAF" w:rsidP="00E878EE">
            <w:pPr>
              <w:pStyle w:val="TableText"/>
            </w:pPr>
            <w:r w:rsidRPr="00247126">
              <w:t>Use of optical coherence tomography (OCT) during transluminal insertion of stents, to optimise procedural strategy, appropriate stent size and assessment of stent apposition, for a patient</w:t>
            </w:r>
            <w:r w:rsidRPr="00247126">
              <w:rPr>
                <w:strike/>
              </w:rPr>
              <w:t>s</w:t>
            </w:r>
            <w:r w:rsidRPr="00247126">
              <w:t xml:space="preserve"> documented with: </w:t>
            </w:r>
          </w:p>
          <w:p w14:paraId="2B0285D1" w14:textId="77777777" w:rsidR="00B14DAF" w:rsidRPr="00247126" w:rsidRDefault="00B14DAF" w:rsidP="00B14DAF">
            <w:pPr>
              <w:pStyle w:val="TableText"/>
              <w:numPr>
                <w:ilvl w:val="0"/>
                <w:numId w:val="10"/>
              </w:numPr>
            </w:pPr>
            <w:r w:rsidRPr="00247126">
              <w:t xml:space="preserve">one or more lesions located at a bifurcation and where the planned side branch is ≥ 2.5 mm in diameter by angiographic visual estimation, or </w:t>
            </w:r>
          </w:p>
          <w:p w14:paraId="1AD4756D" w14:textId="69B15935" w:rsidR="00B14DAF" w:rsidRPr="00247126" w:rsidRDefault="5DC9728A" w:rsidP="00B14DAF">
            <w:pPr>
              <w:pStyle w:val="TableText"/>
              <w:numPr>
                <w:ilvl w:val="0"/>
                <w:numId w:val="10"/>
              </w:numPr>
            </w:pPr>
            <w:r w:rsidRPr="00247126">
              <w:rPr>
                <w:strike/>
              </w:rPr>
              <w:t xml:space="preserve">With </w:t>
            </w:r>
            <w:proofErr w:type="spellStart"/>
            <w:proofErr w:type="gramStart"/>
            <w:r w:rsidRPr="00247126">
              <w:rPr>
                <w:strike/>
              </w:rPr>
              <w:t>this.</w:t>
            </w:r>
            <w:r w:rsidR="00B14DAF" w:rsidRPr="00247126">
              <w:rPr>
                <w:strike/>
              </w:rPr>
              <w:t>stent</w:t>
            </w:r>
            <w:proofErr w:type="spellEnd"/>
            <w:proofErr w:type="gramEnd"/>
            <w:r w:rsidR="00B14DAF" w:rsidRPr="00247126">
              <w:rPr>
                <w:strike/>
              </w:rPr>
              <w:t xml:space="preserve"> failure including</w:t>
            </w:r>
            <w:r w:rsidR="00B14DAF" w:rsidRPr="00247126">
              <w:t xml:space="preserve"> </w:t>
            </w:r>
            <w:r w:rsidR="00B14DAF" w:rsidRPr="00247126">
              <w:rPr>
                <w:u w:val="single"/>
              </w:rPr>
              <w:t>stent thrombosis</w:t>
            </w:r>
            <w:r w:rsidR="000B273A" w:rsidRPr="00247126">
              <w:rPr>
                <w:u w:val="single"/>
              </w:rPr>
              <w:t>.</w:t>
            </w:r>
            <w:r w:rsidR="00B14DAF" w:rsidRPr="00247126">
              <w:rPr>
                <w:u w:val="single"/>
              </w:rPr>
              <w:t xml:space="preserve"> </w:t>
            </w:r>
          </w:p>
          <w:p w14:paraId="63A9898C" w14:textId="77777777" w:rsidR="00B14DAF" w:rsidRPr="00247126" w:rsidRDefault="00B14DAF" w:rsidP="00E878EE">
            <w:pPr>
              <w:pStyle w:val="TableText"/>
            </w:pPr>
            <w:r w:rsidRPr="00247126">
              <w:t xml:space="preserve">if performed in association with a service to which item 38307, 38308, 38310, 38311, 38313, 38314, 38316, 38317, 38319, 38320, 38322, or 38323 applies. </w:t>
            </w:r>
          </w:p>
          <w:p w14:paraId="7A0EAD7A" w14:textId="77777777" w:rsidR="00B14DAF" w:rsidRPr="00247126" w:rsidRDefault="00B14DAF" w:rsidP="00E878EE">
            <w:pPr>
              <w:pStyle w:val="TableText"/>
            </w:pPr>
            <w:r w:rsidRPr="00247126">
              <w:t xml:space="preserve">Applicable once per episode of care (for one or more lesions) (H). </w:t>
            </w:r>
          </w:p>
          <w:p w14:paraId="2022178F" w14:textId="77777777" w:rsidR="00B14DAF" w:rsidRPr="00247126" w:rsidRDefault="00B14DAF" w:rsidP="00E878EE">
            <w:pPr>
              <w:pStyle w:val="TableText"/>
              <w:rPr>
                <w:i/>
                <w:iCs/>
              </w:rPr>
            </w:pPr>
            <w:r w:rsidRPr="00247126">
              <w:rPr>
                <w:i/>
                <w:iCs/>
              </w:rPr>
              <w:t>Multiple Operation Rule</w:t>
            </w:r>
          </w:p>
          <w:p w14:paraId="56EE94B3" w14:textId="77777777" w:rsidR="00B14DAF" w:rsidRPr="00247126" w:rsidRDefault="00B14DAF" w:rsidP="00E878EE">
            <w:pPr>
              <w:pStyle w:val="TableText"/>
              <w:rPr>
                <w:i/>
                <w:iCs/>
              </w:rPr>
            </w:pPr>
            <w:r w:rsidRPr="00247126">
              <w:rPr>
                <w:i/>
                <w:iCs/>
              </w:rPr>
              <w:t>(</w:t>
            </w:r>
            <w:proofErr w:type="spellStart"/>
            <w:r w:rsidRPr="00247126">
              <w:rPr>
                <w:i/>
                <w:iCs/>
              </w:rPr>
              <w:t>Anaes</w:t>
            </w:r>
            <w:proofErr w:type="spellEnd"/>
            <w:r w:rsidRPr="00247126">
              <w:rPr>
                <w:i/>
                <w:iCs/>
              </w:rPr>
              <w:t>.)</w:t>
            </w:r>
          </w:p>
        </w:tc>
      </w:tr>
      <w:tr w:rsidR="00B14DAF" w:rsidRPr="00247126" w14:paraId="3077536D" w14:textId="77777777" w:rsidTr="00E878EE">
        <w:tc>
          <w:tcPr>
            <w:tcW w:w="9016" w:type="dxa"/>
            <w:tcBorders>
              <w:top w:val="single" w:sz="4" w:space="0" w:color="auto"/>
              <w:left w:val="single" w:sz="4" w:space="0" w:color="auto"/>
              <w:bottom w:val="single" w:sz="4" w:space="0" w:color="auto"/>
              <w:right w:val="single" w:sz="4" w:space="0" w:color="auto"/>
            </w:tcBorders>
            <w:hideMark/>
          </w:tcPr>
          <w:p w14:paraId="3061BC08" w14:textId="56532CA6" w:rsidR="00B14DAF" w:rsidRPr="00247126" w:rsidRDefault="00061EED" w:rsidP="00E878EE">
            <w:pPr>
              <w:pStyle w:val="TableText"/>
            </w:pPr>
            <w:r w:rsidRPr="00247126">
              <w:t>Fee: $526.50 Benefit: 75% = $394.90</w:t>
            </w:r>
          </w:p>
        </w:tc>
      </w:tr>
    </w:tbl>
    <w:p w14:paraId="4C50F274" w14:textId="4C72D506" w:rsidR="00736439" w:rsidRPr="00247126" w:rsidRDefault="00736439" w:rsidP="002A619D">
      <w:pPr>
        <w:spacing w:before="240" w:after="120" w:line="240" w:lineRule="auto"/>
        <w:rPr>
          <w:rFonts w:eastAsia="Calibri" w:cs="Times New Roman"/>
          <w:b/>
          <w:bCs/>
        </w:rPr>
      </w:pPr>
      <w:r w:rsidRPr="00247126">
        <w:rPr>
          <w:rFonts w:eastAsia="Calibri" w:cs="Times New Roman"/>
          <w:b/>
          <w:bCs/>
        </w:rPr>
        <w:t>Proposed MBS item for long lesion population</w:t>
      </w:r>
      <w:r w:rsidR="00824ACB" w:rsidRPr="00247126">
        <w:rPr>
          <w:rFonts w:eastAsia="Calibri" w:cs="Times New Roman"/>
          <w:b/>
          <w:bCs/>
        </w:rPr>
        <w:t>.</w:t>
      </w:r>
    </w:p>
    <w:tbl>
      <w:tblPr>
        <w:tblStyle w:val="TableGrid"/>
        <w:tblW w:w="0" w:type="auto"/>
        <w:tblLook w:val="04A0" w:firstRow="1" w:lastRow="0" w:firstColumn="1" w:lastColumn="0" w:noHBand="0" w:noVBand="1"/>
      </w:tblPr>
      <w:tblGrid>
        <w:gridCol w:w="9016"/>
      </w:tblGrid>
      <w:tr w:rsidR="00736439" w:rsidRPr="00247126" w14:paraId="3604DAE2" w14:textId="77777777">
        <w:tc>
          <w:tcPr>
            <w:tcW w:w="9016" w:type="dxa"/>
            <w:tcBorders>
              <w:top w:val="single" w:sz="4" w:space="0" w:color="auto"/>
              <w:left w:val="single" w:sz="4" w:space="0" w:color="auto"/>
              <w:bottom w:val="single" w:sz="4" w:space="0" w:color="auto"/>
              <w:right w:val="single" w:sz="4" w:space="0" w:color="auto"/>
            </w:tcBorders>
            <w:hideMark/>
          </w:tcPr>
          <w:p w14:paraId="3545135E" w14:textId="77777777" w:rsidR="00736439" w:rsidRPr="00247126" w:rsidRDefault="00736439">
            <w:pPr>
              <w:pStyle w:val="TableHeading0"/>
            </w:pPr>
            <w:r w:rsidRPr="00247126">
              <w:t>Category 3 – Therapeutic procedures</w:t>
            </w:r>
          </w:p>
        </w:tc>
      </w:tr>
      <w:tr w:rsidR="00736439" w:rsidRPr="00247126" w14:paraId="5E07A2DE" w14:textId="77777777">
        <w:tc>
          <w:tcPr>
            <w:tcW w:w="9016" w:type="dxa"/>
            <w:tcBorders>
              <w:top w:val="single" w:sz="4" w:space="0" w:color="auto"/>
              <w:left w:val="single" w:sz="4" w:space="0" w:color="auto"/>
              <w:bottom w:val="single" w:sz="4" w:space="0" w:color="auto"/>
              <w:right w:val="single" w:sz="4" w:space="0" w:color="auto"/>
            </w:tcBorders>
            <w:hideMark/>
          </w:tcPr>
          <w:p w14:paraId="734DF2DB" w14:textId="6923C066" w:rsidR="00736439" w:rsidRPr="00247126" w:rsidRDefault="00736439">
            <w:pPr>
              <w:pStyle w:val="TableText"/>
            </w:pPr>
            <w:r w:rsidRPr="00247126">
              <w:t xml:space="preserve">MBS item </w:t>
            </w:r>
            <w:r w:rsidR="00B35A1F" w:rsidRPr="00247126">
              <w:t>YYYY</w:t>
            </w:r>
          </w:p>
          <w:p w14:paraId="106AA4D6" w14:textId="77777777" w:rsidR="00736439" w:rsidRPr="00247126" w:rsidRDefault="00736439">
            <w:pPr>
              <w:pStyle w:val="TableText"/>
            </w:pPr>
            <w:r w:rsidRPr="00247126">
              <w:t>Use of optical coherence tomography (OCT) during transluminal insertion of stents, to optimise procedural strategy, appropriate stent size and assessment of stent apposition, for a patient</w:t>
            </w:r>
            <w:r w:rsidRPr="00247126">
              <w:rPr>
                <w:strike/>
              </w:rPr>
              <w:t>s</w:t>
            </w:r>
            <w:r w:rsidRPr="00247126">
              <w:t xml:space="preserve"> documented with: </w:t>
            </w:r>
          </w:p>
          <w:p w14:paraId="20E50B9E" w14:textId="0E47B779" w:rsidR="00C0091A" w:rsidRPr="00247126" w:rsidRDefault="00C0091A" w:rsidP="00725F19">
            <w:pPr>
              <w:pStyle w:val="TableText"/>
              <w:numPr>
                <w:ilvl w:val="0"/>
                <w:numId w:val="55"/>
              </w:numPr>
            </w:pPr>
            <w:r w:rsidRPr="00247126">
              <w:t>one or more lesions at least 28mm in length</w:t>
            </w:r>
          </w:p>
          <w:p w14:paraId="6DBACA40" w14:textId="491760B0" w:rsidR="00736439" w:rsidRPr="00247126" w:rsidRDefault="00736439" w:rsidP="00C0091A">
            <w:pPr>
              <w:pStyle w:val="TableText"/>
            </w:pPr>
            <w:r w:rsidRPr="00247126">
              <w:t xml:space="preserve">if performed in association with a service to which item 38307, 38308, 38310, 38311, 38313, 38314, 38316, 38317, 38319, 38320, 38322, or 38323 applies. </w:t>
            </w:r>
          </w:p>
          <w:p w14:paraId="473B27C6" w14:textId="4FE649A9" w:rsidR="4EB99251" w:rsidRPr="00247126" w:rsidRDefault="5C01C763" w:rsidP="4EB99251">
            <w:pPr>
              <w:pStyle w:val="TableText"/>
            </w:pPr>
            <w:r w:rsidRPr="00247126">
              <w:t>Other than a service associated with a service to which item 38325 applies.</w:t>
            </w:r>
          </w:p>
          <w:p w14:paraId="31EDEF30" w14:textId="77777777" w:rsidR="00736439" w:rsidRPr="00247126" w:rsidRDefault="00736439">
            <w:pPr>
              <w:pStyle w:val="TableText"/>
            </w:pPr>
            <w:r w:rsidRPr="00247126">
              <w:t xml:space="preserve">Applicable once per episode of care (for one or more lesions) (H). </w:t>
            </w:r>
          </w:p>
          <w:p w14:paraId="0FFDDAAF" w14:textId="77777777" w:rsidR="00736439" w:rsidRPr="00247126" w:rsidRDefault="00736439">
            <w:pPr>
              <w:pStyle w:val="TableText"/>
              <w:rPr>
                <w:i/>
                <w:iCs/>
              </w:rPr>
            </w:pPr>
            <w:r w:rsidRPr="00247126">
              <w:rPr>
                <w:i/>
                <w:iCs/>
              </w:rPr>
              <w:t>Multiple Operation Rule</w:t>
            </w:r>
          </w:p>
          <w:p w14:paraId="18BB21AD" w14:textId="412F065E" w:rsidR="00736439" w:rsidRPr="00247126" w:rsidRDefault="00736439">
            <w:pPr>
              <w:pStyle w:val="TableText"/>
              <w:rPr>
                <w:i/>
                <w:iCs/>
              </w:rPr>
            </w:pPr>
            <w:r w:rsidRPr="00247126">
              <w:rPr>
                <w:i/>
                <w:iCs/>
              </w:rPr>
              <w:t>(</w:t>
            </w:r>
            <w:proofErr w:type="spellStart"/>
            <w:r w:rsidRPr="00247126">
              <w:rPr>
                <w:i/>
                <w:iCs/>
              </w:rPr>
              <w:t>Anaes</w:t>
            </w:r>
            <w:proofErr w:type="spellEnd"/>
            <w:r w:rsidRPr="00247126">
              <w:rPr>
                <w:i/>
                <w:iCs/>
              </w:rPr>
              <w:t>.)</w:t>
            </w:r>
          </w:p>
        </w:tc>
      </w:tr>
      <w:tr w:rsidR="00736439" w:rsidRPr="00247126" w14:paraId="293CF5F4" w14:textId="77777777">
        <w:tc>
          <w:tcPr>
            <w:tcW w:w="9016" w:type="dxa"/>
            <w:tcBorders>
              <w:top w:val="single" w:sz="4" w:space="0" w:color="auto"/>
              <w:left w:val="single" w:sz="4" w:space="0" w:color="auto"/>
              <w:bottom w:val="single" w:sz="4" w:space="0" w:color="auto"/>
              <w:right w:val="single" w:sz="4" w:space="0" w:color="auto"/>
            </w:tcBorders>
            <w:hideMark/>
          </w:tcPr>
          <w:p w14:paraId="66000141" w14:textId="39AB05FA" w:rsidR="00736439" w:rsidRPr="00247126" w:rsidRDefault="00061EED">
            <w:pPr>
              <w:pStyle w:val="TableText"/>
            </w:pPr>
            <w:r w:rsidRPr="00247126">
              <w:t>Fee: $526.50 Benefit: 75% = $394.90</w:t>
            </w:r>
          </w:p>
        </w:tc>
      </w:tr>
    </w:tbl>
    <w:p w14:paraId="0F9BDBD1" w14:textId="77777777" w:rsidR="0067760A" w:rsidRPr="00247126" w:rsidRDefault="0067760A">
      <w:pPr>
        <w:spacing w:before="0"/>
        <w:rPr>
          <w:rFonts w:eastAsia="Calibri" w:cs="Times New Roman"/>
        </w:rPr>
      </w:pPr>
      <w:r w:rsidRPr="00247126">
        <w:rPr>
          <w:rFonts w:eastAsia="Calibri" w:cs="Times New Roman"/>
        </w:rPr>
        <w:br w:type="page"/>
      </w:r>
    </w:p>
    <w:tbl>
      <w:tblPr>
        <w:tblStyle w:val="TableGrid"/>
        <w:tblW w:w="0" w:type="auto"/>
        <w:tblLook w:val="04A0" w:firstRow="1" w:lastRow="0" w:firstColumn="1" w:lastColumn="0" w:noHBand="0" w:noVBand="1"/>
        <w:tblDescription w:val="Consumer summary of MSAC consideration"/>
      </w:tblPr>
      <w:tblGrid>
        <w:gridCol w:w="9016"/>
      </w:tblGrid>
      <w:tr w:rsidR="00247B6B" w:rsidRPr="00247126" w14:paraId="06CC2C2A" w14:textId="77777777" w:rsidTr="00E878EE">
        <w:trPr>
          <w:tblHeader/>
        </w:trPr>
        <w:tc>
          <w:tcPr>
            <w:tcW w:w="9016" w:type="dxa"/>
          </w:tcPr>
          <w:p w14:paraId="4389569A" w14:textId="77777777" w:rsidR="00247B6B" w:rsidRPr="00247126" w:rsidRDefault="00247B6B" w:rsidP="00E878EE">
            <w:pPr>
              <w:keepNext/>
              <w:keepLines/>
              <w:spacing w:after="200"/>
              <w:outlineLvl w:val="2"/>
              <w:rPr>
                <w:rFonts w:ascii="Franklin Gothic Medium" w:eastAsia="Calibri" w:hAnsi="Franklin Gothic Medium" w:cs="Times New Roman"/>
                <w:iCs/>
                <w:color w:val="1F3763"/>
                <w:sz w:val="24"/>
                <w:szCs w:val="24"/>
              </w:rPr>
            </w:pPr>
            <w:r w:rsidRPr="00247126">
              <w:rPr>
                <w:rFonts w:ascii="Franklin Gothic Medium" w:eastAsia="Times New Roman" w:hAnsi="Franklin Gothic Medium" w:cs="Times New Roman"/>
                <w:sz w:val="24"/>
                <w:szCs w:val="24"/>
              </w:rPr>
              <w:lastRenderedPageBreak/>
              <w:t>Consumer summary</w:t>
            </w:r>
          </w:p>
        </w:tc>
      </w:tr>
      <w:tr w:rsidR="00247B6B" w:rsidRPr="00247126" w14:paraId="296621A4" w14:textId="77777777" w:rsidTr="00E878EE">
        <w:tc>
          <w:tcPr>
            <w:tcW w:w="9016" w:type="dxa"/>
          </w:tcPr>
          <w:p w14:paraId="77737B70" w14:textId="77777777" w:rsidR="00B77298" w:rsidRPr="00247126" w:rsidRDefault="00B77298" w:rsidP="00B77298">
            <w:r w:rsidRPr="00247126">
              <w:t xml:space="preserve">This is an application from </w:t>
            </w:r>
            <w:r w:rsidRPr="00247126">
              <w:rPr>
                <w:iCs/>
              </w:rPr>
              <w:t>Abbott Medical Australia Pty Ltd</w:t>
            </w:r>
            <w:r w:rsidRPr="00247126">
              <w:t xml:space="preserve"> requesting Medicare Benefits Schedule (MBS) listing of optical coherence tomography (OCT) guided coronary stent insertion for patients eligible for coronary revascularisation.</w:t>
            </w:r>
          </w:p>
          <w:p w14:paraId="245380E2" w14:textId="37C9B323" w:rsidR="00B77298" w:rsidRPr="00247126" w:rsidRDefault="00B77298" w:rsidP="00B77298">
            <w:r w:rsidRPr="00247126">
              <w:rPr>
                <w:lang w:val="en"/>
              </w:rPr>
              <w:t xml:space="preserve">The blood vessels that supply the heart with oxygen are called coronary arteries. These can become narrow over time, because of build-up of plaque and </w:t>
            </w:r>
            <w:r w:rsidR="009C0C13" w:rsidRPr="00247126">
              <w:rPr>
                <w:lang w:val="en"/>
              </w:rPr>
              <w:t>debris</w:t>
            </w:r>
            <w:r w:rsidRPr="00247126">
              <w:rPr>
                <w:lang w:val="en"/>
              </w:rPr>
              <w:t xml:space="preserve">, which means the heart doesn’t get enough blood. Coronary </w:t>
            </w:r>
            <w:proofErr w:type="spellStart"/>
            <w:r w:rsidRPr="00247126">
              <w:rPr>
                <w:lang w:val="en"/>
              </w:rPr>
              <w:t>revascularisation</w:t>
            </w:r>
            <w:proofErr w:type="spellEnd"/>
            <w:r w:rsidRPr="00247126">
              <w:rPr>
                <w:lang w:val="en"/>
              </w:rPr>
              <w:t xml:space="preserve"> is a group of treatments or procedures that restore blood flow through the arteries. P</w:t>
            </w:r>
            <w:proofErr w:type="spellStart"/>
            <w:r w:rsidRPr="00247126">
              <w:t>ercutaneous</w:t>
            </w:r>
            <w:proofErr w:type="spellEnd"/>
            <w:r w:rsidRPr="00247126">
              <w:t xml:space="preserve"> coronary intervention (PCI) is one of these procedures and uses a catheter (a thin flexible tube) </w:t>
            </w:r>
            <w:r w:rsidR="00AC2F8B" w:rsidRPr="00247126">
              <w:t xml:space="preserve">usually inserted via an artery in the arm or leg </w:t>
            </w:r>
            <w:r w:rsidRPr="00247126">
              <w:t xml:space="preserve">to place a small structure called a stent to </w:t>
            </w:r>
            <w:proofErr w:type="gramStart"/>
            <w:r w:rsidRPr="00247126">
              <w:t>open up</w:t>
            </w:r>
            <w:proofErr w:type="gramEnd"/>
            <w:r w:rsidRPr="00247126">
              <w:t xml:space="preserve"> the arteries.</w:t>
            </w:r>
          </w:p>
          <w:p w14:paraId="3284280F" w14:textId="77777777" w:rsidR="00B77298" w:rsidRPr="00247126" w:rsidRDefault="00B77298" w:rsidP="00B77298">
            <w:r w:rsidRPr="00247126">
              <w:t>A coronary angiogram is a test that uses X-rays to look at the coronary arteries, to see if a blood vessel is narrowed or blocked. A coronary angiogram is most often used to diagnose coronary artery disease. If a blockage is found, a balloon may be passed through the catheter and expanded to widen the artery. A mesh tube called a stent may be placed to keep the artery open. However, there are limitations as to what can be seen using X-rays.</w:t>
            </w:r>
          </w:p>
          <w:p w14:paraId="130185A5" w14:textId="21190667" w:rsidR="00B77298" w:rsidRPr="00247126" w:rsidRDefault="00B77298" w:rsidP="00B77298">
            <w:r w:rsidRPr="00247126">
              <w:t>Optical coherence tomography (OCT) is a new intravascular imaging technique that provides high-resolution, cross-sectional images of coronary artery anatomy. </w:t>
            </w:r>
            <w:r w:rsidR="008A14A1" w:rsidRPr="00247126">
              <w:t xml:space="preserve">It </w:t>
            </w:r>
            <w:r w:rsidR="00D07D21" w:rsidRPr="00247126">
              <w:rPr>
                <w:lang w:val="en"/>
              </w:rPr>
              <w:t>uses near-infrared light</w:t>
            </w:r>
            <w:r w:rsidR="008A14A1" w:rsidRPr="00247126">
              <w:rPr>
                <w:lang w:val="en"/>
              </w:rPr>
              <w:t xml:space="preserve"> to get a clearer look at </w:t>
            </w:r>
            <w:r w:rsidR="00976A5D" w:rsidRPr="00247126">
              <w:rPr>
                <w:lang w:val="en"/>
              </w:rPr>
              <w:t>blockages</w:t>
            </w:r>
            <w:r w:rsidR="008A14A1" w:rsidRPr="00247126">
              <w:rPr>
                <w:lang w:val="en"/>
              </w:rPr>
              <w:t xml:space="preserve"> and plaque, and to make it easier to choose the appropriately sized stent and guide stent insertion, as well as to identify procedural complication</w:t>
            </w:r>
            <w:r w:rsidR="00655A72" w:rsidRPr="00247126">
              <w:rPr>
                <w:lang w:val="en"/>
              </w:rPr>
              <w:t>s</w:t>
            </w:r>
            <w:r w:rsidR="00D07D21" w:rsidRPr="00247126">
              <w:rPr>
                <w:lang w:val="en"/>
              </w:rPr>
              <w:t>. There</w:t>
            </w:r>
            <w:r w:rsidRPr="00247126">
              <w:rPr>
                <w:lang w:val="en"/>
              </w:rPr>
              <w:t xml:space="preserve"> is </w:t>
            </w:r>
            <w:r w:rsidR="00D07D21" w:rsidRPr="00247126">
              <w:rPr>
                <w:lang w:val="en"/>
              </w:rPr>
              <w:t xml:space="preserve">a </w:t>
            </w:r>
            <w:r w:rsidRPr="00247126">
              <w:rPr>
                <w:lang w:val="en"/>
              </w:rPr>
              <w:t xml:space="preserve">similar </w:t>
            </w:r>
            <w:r w:rsidR="00D07D21" w:rsidRPr="00247126">
              <w:rPr>
                <w:lang w:val="en"/>
              </w:rPr>
              <w:t xml:space="preserve">technology </w:t>
            </w:r>
            <w:r w:rsidR="00655A72" w:rsidRPr="00247126">
              <w:rPr>
                <w:lang w:val="en"/>
              </w:rPr>
              <w:t xml:space="preserve">available </w:t>
            </w:r>
            <w:r w:rsidR="00D07D21" w:rsidRPr="00247126">
              <w:rPr>
                <w:lang w:val="en"/>
              </w:rPr>
              <w:t>called</w:t>
            </w:r>
            <w:r w:rsidR="00655A72" w:rsidRPr="00247126">
              <w:rPr>
                <w:lang w:val="en"/>
              </w:rPr>
              <w:t xml:space="preserve"> </w:t>
            </w:r>
            <w:r w:rsidR="00251DD5" w:rsidRPr="00247126">
              <w:rPr>
                <w:lang w:val="en"/>
              </w:rPr>
              <w:t>i</w:t>
            </w:r>
            <w:r w:rsidR="00655A72" w:rsidRPr="00247126">
              <w:rPr>
                <w:lang w:val="en"/>
              </w:rPr>
              <w:t xml:space="preserve">ntravascular ultrasound (IVUS) which is currently funded by the MBS. </w:t>
            </w:r>
            <w:r w:rsidRPr="00247126">
              <w:t xml:space="preserve">It is similar to </w:t>
            </w:r>
            <w:r w:rsidR="00D07D21" w:rsidRPr="00247126">
              <w:t>OCT</w:t>
            </w:r>
            <w:r w:rsidRPr="00247126">
              <w:t xml:space="preserve">, except it uses </w:t>
            </w:r>
            <w:r w:rsidR="00D07D21" w:rsidRPr="00247126">
              <w:t xml:space="preserve">ultrasound </w:t>
            </w:r>
            <w:r w:rsidRPr="00247126">
              <w:t xml:space="preserve">instead of </w:t>
            </w:r>
            <w:r w:rsidR="00D07D21" w:rsidRPr="00247126">
              <w:t>near-infrared light</w:t>
            </w:r>
            <w:r w:rsidRPr="00247126">
              <w:t>.</w:t>
            </w:r>
          </w:p>
          <w:p w14:paraId="3C70B547" w14:textId="77777777" w:rsidR="00B77298" w:rsidRPr="00247126" w:rsidRDefault="00B77298" w:rsidP="00B77298">
            <w:pPr>
              <w:rPr>
                <w:lang w:val="en"/>
              </w:rPr>
            </w:pPr>
            <w:r w:rsidRPr="00247126">
              <w:rPr>
                <w:lang w:val="en"/>
              </w:rPr>
              <w:t>In this application the request is to fund the use of OCT to guide stent insertion in people who have:</w:t>
            </w:r>
          </w:p>
          <w:p w14:paraId="4AE73052" w14:textId="214E7AE5" w:rsidR="00B77298" w:rsidRPr="00247126" w:rsidRDefault="00B77298" w:rsidP="00B77298">
            <w:pPr>
              <w:numPr>
                <w:ilvl w:val="0"/>
                <w:numId w:val="11"/>
              </w:numPr>
              <w:spacing w:line="259" w:lineRule="auto"/>
              <w:ind w:left="589" w:hanging="229"/>
            </w:pPr>
            <w:r w:rsidRPr="00247126">
              <w:t>long or multiple lesions</w:t>
            </w:r>
            <w:r w:rsidR="00051E99" w:rsidRPr="00247126">
              <w:t xml:space="preserve"> (blockages or plaques)</w:t>
            </w:r>
            <w:r w:rsidRPr="00247126">
              <w:t xml:space="preserve">, defined as intended total stent length (continuous or separated) in any single target vessel ≥28 </w:t>
            </w:r>
            <w:proofErr w:type="gramStart"/>
            <w:r w:rsidRPr="00247126">
              <w:t>mm</w:t>
            </w:r>
            <w:proofErr w:type="gramEnd"/>
          </w:p>
          <w:p w14:paraId="2235973A" w14:textId="77777777" w:rsidR="00B77298" w:rsidRPr="00247126" w:rsidRDefault="00B77298" w:rsidP="00B77298">
            <w:pPr>
              <w:numPr>
                <w:ilvl w:val="0"/>
                <w:numId w:val="11"/>
              </w:numPr>
              <w:spacing w:line="259" w:lineRule="auto"/>
              <w:ind w:left="589" w:hanging="229"/>
            </w:pPr>
            <w:r w:rsidRPr="00247126">
              <w:t xml:space="preserve">a lesion located at a bifurcation and where the planned side branch is ≥2.5 mm in diameter, as estimated using </w:t>
            </w:r>
            <w:proofErr w:type="gramStart"/>
            <w:r w:rsidRPr="00247126">
              <w:t>angiography</w:t>
            </w:r>
            <w:proofErr w:type="gramEnd"/>
          </w:p>
          <w:p w14:paraId="7CF752F3" w14:textId="77777777" w:rsidR="00B77298" w:rsidRPr="00247126" w:rsidRDefault="00B77298" w:rsidP="00B77298">
            <w:pPr>
              <w:numPr>
                <w:ilvl w:val="0"/>
                <w:numId w:val="11"/>
              </w:numPr>
              <w:spacing w:line="259" w:lineRule="auto"/>
              <w:ind w:left="589" w:hanging="229"/>
            </w:pPr>
            <w:r w:rsidRPr="00247126">
              <w:t>angiographic severe calcification (defined calcification on both sides of the vessel wall in the absence of cardiac motion, visible using angiography)</w:t>
            </w:r>
          </w:p>
          <w:p w14:paraId="37362E09" w14:textId="657F9BF1" w:rsidR="00B77298" w:rsidRPr="00247126" w:rsidRDefault="00B77298" w:rsidP="00B77298">
            <w:pPr>
              <w:numPr>
                <w:ilvl w:val="0"/>
                <w:numId w:val="11"/>
              </w:numPr>
              <w:spacing w:line="259" w:lineRule="auto"/>
              <w:ind w:left="589" w:hanging="229"/>
            </w:pPr>
            <w:r w:rsidRPr="00247126">
              <w:t>stent failure (</w:t>
            </w:r>
            <w:r w:rsidR="009A7D74" w:rsidRPr="00247126">
              <w:t xml:space="preserve">due to </w:t>
            </w:r>
            <w:r w:rsidRPr="00247126">
              <w:t>stent thrombosis</w:t>
            </w:r>
            <w:r w:rsidR="00051E99" w:rsidRPr="00247126">
              <w:t xml:space="preserve"> </w:t>
            </w:r>
            <w:r w:rsidR="00622986" w:rsidRPr="00247126">
              <w:t>[clot]</w:t>
            </w:r>
            <w:r w:rsidRPr="00247126">
              <w:t xml:space="preserve"> or in-stent restenosis </w:t>
            </w:r>
            <w:r w:rsidR="00622986" w:rsidRPr="00247126">
              <w:t xml:space="preserve">[re-accumulation of plaque] </w:t>
            </w:r>
            <w:r w:rsidR="009A7D74" w:rsidRPr="00247126">
              <w:t>which is</w:t>
            </w:r>
            <w:r w:rsidRPr="00247126">
              <w:t xml:space="preserve"> of diffuse or multi-focal pattern).</w:t>
            </w:r>
          </w:p>
          <w:p w14:paraId="3490EF8E" w14:textId="72D2A845" w:rsidR="00B77298" w:rsidRPr="00247126" w:rsidRDefault="00B77298" w:rsidP="00B77298">
            <w:pPr>
              <w:rPr>
                <w:szCs w:val="24"/>
              </w:rPr>
            </w:pPr>
            <w:r w:rsidRPr="00247126">
              <w:rPr>
                <w:szCs w:val="24"/>
              </w:rPr>
              <w:t xml:space="preserve">MSAC considered that OCT was safe. MSAC considered there was high certainty evidence for the bifurcation </w:t>
            </w:r>
            <w:r w:rsidR="008A2F3A" w:rsidRPr="00247126">
              <w:rPr>
                <w:szCs w:val="24"/>
              </w:rPr>
              <w:t>subpopulation and</w:t>
            </w:r>
            <w:r w:rsidRPr="00247126">
              <w:rPr>
                <w:szCs w:val="24"/>
              </w:rPr>
              <w:t xml:space="preserve"> found that OCT had superior effectiveness and acceptable value for money. MSAC noted that stent </w:t>
            </w:r>
            <w:r w:rsidR="00C93E3A" w:rsidRPr="00247126">
              <w:rPr>
                <w:szCs w:val="24"/>
              </w:rPr>
              <w:t xml:space="preserve">failure due to </w:t>
            </w:r>
            <w:r w:rsidRPr="00247126">
              <w:rPr>
                <w:szCs w:val="24"/>
              </w:rPr>
              <w:t xml:space="preserve">stent thrombosis is </w:t>
            </w:r>
            <w:r w:rsidR="00613B9E" w:rsidRPr="00247126">
              <w:rPr>
                <w:szCs w:val="24"/>
              </w:rPr>
              <w:t xml:space="preserve">a </w:t>
            </w:r>
            <w:r w:rsidRPr="00247126">
              <w:rPr>
                <w:szCs w:val="24"/>
              </w:rPr>
              <w:t xml:space="preserve">rare and </w:t>
            </w:r>
            <w:r w:rsidR="00834297" w:rsidRPr="00247126">
              <w:rPr>
                <w:szCs w:val="24"/>
              </w:rPr>
              <w:t xml:space="preserve">serious </w:t>
            </w:r>
            <w:r w:rsidR="00F4275D" w:rsidRPr="00247126">
              <w:rPr>
                <w:szCs w:val="24"/>
              </w:rPr>
              <w:t>event</w:t>
            </w:r>
            <w:r w:rsidR="00834297" w:rsidRPr="00247126">
              <w:rPr>
                <w:szCs w:val="24"/>
              </w:rPr>
              <w:t>. E</w:t>
            </w:r>
            <w:r w:rsidRPr="00247126">
              <w:rPr>
                <w:szCs w:val="24"/>
              </w:rPr>
              <w:t xml:space="preserve">ven though the evidence for this subpopulation wasn’t as strong as for </w:t>
            </w:r>
            <w:r w:rsidR="00834297" w:rsidRPr="00247126">
              <w:rPr>
                <w:szCs w:val="24"/>
              </w:rPr>
              <w:t xml:space="preserve">the </w:t>
            </w:r>
            <w:r w:rsidRPr="00247126">
              <w:rPr>
                <w:szCs w:val="24"/>
              </w:rPr>
              <w:t>bifurcation</w:t>
            </w:r>
            <w:r w:rsidR="00834297" w:rsidRPr="00247126">
              <w:rPr>
                <w:szCs w:val="24"/>
              </w:rPr>
              <w:t xml:space="preserve"> </w:t>
            </w:r>
            <w:r w:rsidR="0047423A" w:rsidRPr="00247126">
              <w:rPr>
                <w:szCs w:val="24"/>
              </w:rPr>
              <w:t>sub</w:t>
            </w:r>
            <w:r w:rsidR="00834297" w:rsidRPr="00247126">
              <w:rPr>
                <w:szCs w:val="24"/>
              </w:rPr>
              <w:t>population</w:t>
            </w:r>
            <w:r w:rsidRPr="00247126">
              <w:rPr>
                <w:szCs w:val="24"/>
              </w:rPr>
              <w:t xml:space="preserve">, MSAC considered that </w:t>
            </w:r>
            <w:r w:rsidR="00F4275D" w:rsidRPr="00247126">
              <w:rPr>
                <w:szCs w:val="24"/>
              </w:rPr>
              <w:t xml:space="preserve">the availability of funded </w:t>
            </w:r>
            <w:r w:rsidRPr="00247126">
              <w:rPr>
                <w:szCs w:val="24"/>
              </w:rPr>
              <w:t xml:space="preserve">OCT addressed a high clinical need for </w:t>
            </w:r>
            <w:r w:rsidR="00F4275D" w:rsidRPr="00247126">
              <w:rPr>
                <w:szCs w:val="24"/>
              </w:rPr>
              <w:t xml:space="preserve">this </w:t>
            </w:r>
            <w:r w:rsidR="0047423A" w:rsidRPr="00247126">
              <w:rPr>
                <w:szCs w:val="24"/>
              </w:rPr>
              <w:t>sub</w:t>
            </w:r>
            <w:r w:rsidR="00F4275D" w:rsidRPr="00247126">
              <w:rPr>
                <w:szCs w:val="24"/>
              </w:rPr>
              <w:t>population</w:t>
            </w:r>
            <w:r w:rsidRPr="00247126">
              <w:rPr>
                <w:szCs w:val="24"/>
              </w:rPr>
              <w:t xml:space="preserve">. MSAC did not support the use of OCT in patients with severe calcification, </w:t>
            </w:r>
            <w:r w:rsidR="005B6196" w:rsidRPr="00247126">
              <w:rPr>
                <w:szCs w:val="24"/>
              </w:rPr>
              <w:t>stent failure due to</w:t>
            </w:r>
            <w:r w:rsidRPr="00247126">
              <w:rPr>
                <w:szCs w:val="24"/>
              </w:rPr>
              <w:t xml:space="preserve"> in-stent </w:t>
            </w:r>
            <w:r w:rsidR="008E6AE7" w:rsidRPr="00247126">
              <w:rPr>
                <w:szCs w:val="24"/>
              </w:rPr>
              <w:t xml:space="preserve">restenosis </w:t>
            </w:r>
            <w:r w:rsidRPr="00247126">
              <w:rPr>
                <w:szCs w:val="24"/>
              </w:rPr>
              <w:t xml:space="preserve">or multiple lesions, </w:t>
            </w:r>
            <w:r w:rsidR="004C6405" w:rsidRPr="00247126">
              <w:rPr>
                <w:szCs w:val="24"/>
              </w:rPr>
              <w:t>due to</w:t>
            </w:r>
            <w:r w:rsidRPr="00247126">
              <w:rPr>
                <w:szCs w:val="24"/>
              </w:rPr>
              <w:t xml:space="preserve"> OCT not </w:t>
            </w:r>
            <w:r w:rsidR="004C6405" w:rsidRPr="00247126">
              <w:rPr>
                <w:szCs w:val="24"/>
              </w:rPr>
              <w:t xml:space="preserve">being </w:t>
            </w:r>
            <w:r w:rsidR="00AB3573" w:rsidRPr="00247126">
              <w:rPr>
                <w:szCs w:val="24"/>
              </w:rPr>
              <w:t xml:space="preserve">shown </w:t>
            </w:r>
            <w:r w:rsidRPr="00247126">
              <w:rPr>
                <w:szCs w:val="24"/>
              </w:rPr>
              <w:t>to be effective in these subpopulations.</w:t>
            </w:r>
          </w:p>
          <w:p w14:paraId="61C6EF0B" w14:textId="4AFA3218" w:rsidR="00247B6B" w:rsidRPr="00247126" w:rsidRDefault="00B77298" w:rsidP="00B77298">
            <w:pPr>
              <w:rPr>
                <w:rFonts w:eastAsia="Calibri" w:cs="Times New Roman"/>
              </w:rPr>
            </w:pPr>
            <w:r w:rsidRPr="00247126">
              <w:t xml:space="preserve">In the long lesion </w:t>
            </w:r>
            <w:r w:rsidR="002245E6" w:rsidRPr="00247126">
              <w:t>subpopulation</w:t>
            </w:r>
            <w:r w:rsidRPr="00247126">
              <w:t>, MSAC considered that OCT had similar effective</w:t>
            </w:r>
            <w:r w:rsidR="006B05EE" w:rsidRPr="00247126">
              <w:t>ness</w:t>
            </w:r>
            <w:r w:rsidRPr="00247126">
              <w:t xml:space="preserve"> to IVUS and </w:t>
            </w:r>
            <w:r w:rsidR="006E0750" w:rsidRPr="00247126">
              <w:t xml:space="preserve">had similar </w:t>
            </w:r>
            <w:r w:rsidRPr="00247126">
              <w:t>cost</w:t>
            </w:r>
            <w:r w:rsidR="006E0750" w:rsidRPr="00247126">
              <w:t>s</w:t>
            </w:r>
            <w:r w:rsidRPr="00247126">
              <w:t>. MSAC recommended that a new item for the use of OCT for long lesions should be considered and should be aligned where necessary with the existing IVUS item</w:t>
            </w:r>
            <w:r w:rsidR="00B232CA" w:rsidRPr="00247126">
              <w:t>.</w:t>
            </w:r>
            <w:r w:rsidR="00D90577" w:rsidRPr="00247126">
              <w:t xml:space="preserve"> MSAC recommended that only one or other procedure should be reimbursed </w:t>
            </w:r>
            <w:r w:rsidR="001B661A" w:rsidRPr="00247126">
              <w:t>for each episode of care.</w:t>
            </w:r>
          </w:p>
          <w:p w14:paraId="27CD6425" w14:textId="77777777" w:rsidR="00247B6B" w:rsidRPr="00247126" w:rsidRDefault="00247B6B" w:rsidP="00E878EE">
            <w:pPr>
              <w:keepNext/>
              <w:keepLines/>
              <w:outlineLvl w:val="2"/>
              <w:rPr>
                <w:rFonts w:ascii="Franklin Gothic Medium" w:eastAsia="Times New Roman" w:hAnsi="Franklin Gothic Medium" w:cs="Times New Roman"/>
                <w:sz w:val="24"/>
                <w:szCs w:val="24"/>
              </w:rPr>
            </w:pPr>
            <w:r w:rsidRPr="00247126">
              <w:rPr>
                <w:rFonts w:ascii="Franklin Gothic Medium" w:eastAsia="Times New Roman" w:hAnsi="Franklin Gothic Medium" w:cs="Times New Roman"/>
                <w:sz w:val="24"/>
                <w:szCs w:val="24"/>
              </w:rPr>
              <w:lastRenderedPageBreak/>
              <w:t xml:space="preserve">MSAC’s advice to the </w:t>
            </w:r>
            <w:proofErr w:type="gramStart"/>
            <w:r w:rsidRPr="00247126">
              <w:rPr>
                <w:rFonts w:ascii="Franklin Gothic Medium" w:eastAsia="Times New Roman" w:hAnsi="Franklin Gothic Medium" w:cs="Times New Roman"/>
                <w:sz w:val="24"/>
                <w:szCs w:val="24"/>
              </w:rPr>
              <w:t>Commonwealth Minister</w:t>
            </w:r>
            <w:proofErr w:type="gramEnd"/>
            <w:r w:rsidRPr="00247126">
              <w:rPr>
                <w:rFonts w:ascii="Franklin Gothic Medium" w:eastAsia="Times New Roman" w:hAnsi="Franklin Gothic Medium" w:cs="Times New Roman"/>
                <w:sz w:val="24"/>
                <w:szCs w:val="24"/>
              </w:rPr>
              <w:t xml:space="preserve"> for Health and Aged Care</w:t>
            </w:r>
          </w:p>
          <w:p w14:paraId="0D87AF8B" w14:textId="47DF7FA7" w:rsidR="00247B6B" w:rsidRPr="00247126" w:rsidRDefault="00924A54" w:rsidP="0067760A">
            <w:pPr>
              <w:spacing w:after="120"/>
              <w:rPr>
                <w:rFonts w:eastAsia="Calibri" w:cs="Times New Roman"/>
              </w:rPr>
            </w:pPr>
            <w:r w:rsidRPr="00247126">
              <w:rPr>
                <w:szCs w:val="24"/>
              </w:rPr>
              <w:t xml:space="preserve">MSAC supported the creation of a new Medicare Benefits Schedule (MBS) item for the use of optical coherence tomography (OCT) guided coronary artery stent insertion for people eligible for coronary revascularisation for the bifurcation and stent </w:t>
            </w:r>
            <w:r w:rsidR="005E5070" w:rsidRPr="00247126">
              <w:rPr>
                <w:szCs w:val="24"/>
              </w:rPr>
              <w:t xml:space="preserve">failure due to </w:t>
            </w:r>
            <w:r w:rsidRPr="00247126">
              <w:rPr>
                <w:szCs w:val="24"/>
              </w:rPr>
              <w:t>stent thrombosis subpopulations.</w:t>
            </w:r>
            <w:r w:rsidR="00A70307" w:rsidRPr="00247126">
              <w:rPr>
                <w:szCs w:val="24"/>
              </w:rPr>
              <w:t xml:space="preserve"> Additionally, MSAC supported the use of OCT guided coronary artery stent insertion for people eligible for coronary revascularisation in long lesions and recommended that this </w:t>
            </w:r>
            <w:r w:rsidR="00A97FE2" w:rsidRPr="00247126">
              <w:rPr>
                <w:szCs w:val="24"/>
              </w:rPr>
              <w:t xml:space="preserve">be </w:t>
            </w:r>
            <w:r w:rsidR="00A70307" w:rsidRPr="00247126">
              <w:rPr>
                <w:szCs w:val="24"/>
              </w:rPr>
              <w:t>created as a new MBS item number.</w:t>
            </w:r>
          </w:p>
        </w:tc>
      </w:tr>
    </w:tbl>
    <w:p w14:paraId="4E25689E" w14:textId="77777777" w:rsidR="00247B6B" w:rsidRPr="00247126" w:rsidRDefault="00247B6B" w:rsidP="00247B6B">
      <w:pPr>
        <w:pStyle w:val="Heading2"/>
        <w:numPr>
          <w:ilvl w:val="1"/>
          <w:numId w:val="0"/>
        </w:numPr>
      </w:pPr>
      <w:r w:rsidRPr="00247126">
        <w:lastRenderedPageBreak/>
        <w:t>3.</w:t>
      </w:r>
      <w:r w:rsidRPr="00247126">
        <w:tab/>
        <w:t>Summary of consideration and rationale for MSAC’s advice</w:t>
      </w:r>
    </w:p>
    <w:p w14:paraId="11C5E2A5" w14:textId="77777777" w:rsidR="006A228F" w:rsidRPr="00247126" w:rsidRDefault="006A228F" w:rsidP="006A228F">
      <w:pPr>
        <w:rPr>
          <w:iCs/>
        </w:rPr>
      </w:pPr>
      <w:r w:rsidRPr="00247126">
        <w:t xml:space="preserve">MSAC noted that this </w:t>
      </w:r>
      <w:r w:rsidRPr="00247126">
        <w:rPr>
          <w:iCs/>
        </w:rPr>
        <w:t xml:space="preserve">application from Abbott Medical Australia Pty Ltd requested Medicare Benefits Schedule (MBS) listing of optical coherence tomography (OCT)-guided stent insertion for patients undergoing invasive coronary angiography, percutaneous </w:t>
      </w:r>
      <w:proofErr w:type="gramStart"/>
      <w:r w:rsidRPr="00247126">
        <w:rPr>
          <w:iCs/>
        </w:rPr>
        <w:t>angioplasty</w:t>
      </w:r>
      <w:proofErr w:type="gramEnd"/>
      <w:r w:rsidRPr="00247126">
        <w:rPr>
          <w:iCs/>
        </w:rPr>
        <w:t xml:space="preserve"> and transluminal insertion of stents. The proposed populations for OCT-guided coronary stent insertion were patients with at least one of the following lesion types or complexity: long or multiple lesions, bifurcation lesion, angiographic severe </w:t>
      </w:r>
      <w:proofErr w:type="gramStart"/>
      <w:r w:rsidRPr="00247126">
        <w:rPr>
          <w:iCs/>
        </w:rPr>
        <w:t>calcification</w:t>
      </w:r>
      <w:proofErr w:type="gramEnd"/>
      <w:r w:rsidRPr="00247126">
        <w:rPr>
          <w:iCs/>
        </w:rPr>
        <w:t xml:space="preserve"> or stent failure.</w:t>
      </w:r>
    </w:p>
    <w:p w14:paraId="67477B8C" w14:textId="2B796AA8" w:rsidR="006A228F" w:rsidRPr="00247126" w:rsidRDefault="006A228F" w:rsidP="006A228F">
      <w:r w:rsidRPr="00247126">
        <w:t xml:space="preserve">MSAC </w:t>
      </w:r>
      <w:r w:rsidR="00CB28E3" w:rsidRPr="00247126">
        <w:t xml:space="preserve">recalled </w:t>
      </w:r>
      <w:r w:rsidRPr="00247126">
        <w:t xml:space="preserve">that it supported </w:t>
      </w:r>
      <w:r w:rsidR="003354BE" w:rsidRPr="00247126">
        <w:t xml:space="preserve">the </w:t>
      </w:r>
      <w:r w:rsidRPr="00247126">
        <w:t>MBS listing of intravascular ultrasound (IVUS)-guided coronary stent insertion in patients eligible for coronary revascularisation with complex anatomical characteristics (lesions associated with the left main coronary artery or other lesion locations with lesion length ≥28 mm) in April 2022 (</w:t>
      </w:r>
      <w:hyperlink r:id="rId9" w:tooltip="Weblink to MSAC website page for application 1354.1" w:history="1">
        <w:r w:rsidRPr="00247126">
          <w:rPr>
            <w:rStyle w:val="Hyperlink"/>
          </w:rPr>
          <w:t>MSAC application 1354.1</w:t>
        </w:r>
      </w:hyperlink>
      <w:r w:rsidRPr="00247126">
        <w:t>), which resulted in MBS item 38325.</w:t>
      </w:r>
    </w:p>
    <w:p w14:paraId="3C5B8DBD" w14:textId="7181D24E" w:rsidR="006A228F" w:rsidRPr="00247126" w:rsidRDefault="006A228F" w:rsidP="006A228F">
      <w:r w:rsidRPr="00247126">
        <w:t xml:space="preserve">MSAC noted that the consumer feedback and consultation feedback was </w:t>
      </w:r>
      <w:r w:rsidR="00624F04" w:rsidRPr="00247126">
        <w:t xml:space="preserve">broadly </w:t>
      </w:r>
      <w:r w:rsidRPr="00247126">
        <w:t>supportive</w:t>
      </w:r>
      <w:r w:rsidR="00C04128" w:rsidRPr="00247126">
        <w:t xml:space="preserve"> of the application</w:t>
      </w:r>
      <w:r w:rsidRPr="00247126">
        <w:t>.</w:t>
      </w:r>
      <w:r w:rsidR="00C04128" w:rsidRPr="00247126">
        <w:t xml:space="preserve"> MSAC noted th</w:t>
      </w:r>
      <w:r w:rsidR="001C513A" w:rsidRPr="00247126">
        <w:t>e consultation input included three (3) professional organisations, one (1) consumer organisation and twelve (12) individuals, all of whom were medical specialists. MSAC noted broad consensus was suggestive that OCT provided</w:t>
      </w:r>
      <w:r w:rsidR="00D80B4F" w:rsidRPr="00247126">
        <w:t xml:space="preserve"> more detailed images and faster results</w:t>
      </w:r>
      <w:r w:rsidR="002E35A0" w:rsidRPr="00247126">
        <w:t xml:space="preserve"> than IVUS</w:t>
      </w:r>
      <w:r w:rsidR="00D80B4F" w:rsidRPr="00247126">
        <w:t>, however noted that it required a slightly longer procedure time</w:t>
      </w:r>
      <w:r w:rsidR="002E35A0" w:rsidRPr="00247126">
        <w:t xml:space="preserve"> compared with IVUS</w:t>
      </w:r>
      <w:r w:rsidR="00D80B4F" w:rsidRPr="00247126">
        <w:t xml:space="preserve">. </w:t>
      </w:r>
      <w:r w:rsidR="0062043C" w:rsidRPr="00247126">
        <w:t>Additionally, MSAC noted the consumer feedback was suggestive that OCT was a more costly procedure compared to coronary angiography (AG) alone or IVUS – both in terms of the costs for the equipment and consumables. MSAC considered that this may lead to equity issues, particularly in the case of availability of OCT in regional areas.</w:t>
      </w:r>
    </w:p>
    <w:p w14:paraId="1F596A5F" w14:textId="64E38E08" w:rsidR="006A228F" w:rsidRPr="00247126" w:rsidRDefault="006A228F" w:rsidP="006A228F">
      <w:r w:rsidRPr="00247126">
        <w:t xml:space="preserve">MSAC noted that the proposed population for OCT-guided coronary stent insertion </w:t>
      </w:r>
      <w:r w:rsidR="00052D65" w:rsidRPr="00247126">
        <w:t>were patients</w:t>
      </w:r>
      <w:r w:rsidRPr="00247126">
        <w:t xml:space="preserve"> with myocardial ischaemia undergoing invasive AG, percutaneous </w:t>
      </w:r>
      <w:proofErr w:type="gramStart"/>
      <w:r w:rsidRPr="00247126">
        <w:t>angioplasty</w:t>
      </w:r>
      <w:proofErr w:type="gramEnd"/>
      <w:r w:rsidRPr="00247126">
        <w:t xml:space="preserve"> and transluminal insertion of stents with at least one of the following lesion types or complexity:</w:t>
      </w:r>
    </w:p>
    <w:p w14:paraId="445288C4" w14:textId="77777777" w:rsidR="006A228F" w:rsidRPr="00247126" w:rsidRDefault="006A228F" w:rsidP="00725F19">
      <w:pPr>
        <w:pStyle w:val="Bullet"/>
        <w:numPr>
          <w:ilvl w:val="0"/>
          <w:numId w:val="14"/>
        </w:numPr>
        <w:spacing w:before="0"/>
        <w:ind w:left="284" w:hanging="284"/>
        <w:rPr>
          <w:rFonts w:ascii="Franklin Gothic Book" w:hAnsi="Franklin Gothic Book"/>
        </w:rPr>
      </w:pPr>
      <w:r w:rsidRPr="00247126">
        <w:rPr>
          <w:rFonts w:ascii="Franklin Gothic Book" w:hAnsi="Franklin Gothic Book"/>
        </w:rPr>
        <w:t>Long or multiple lesions, defined as intended total stent length (continuous or separated) in any single target vessel ≥28 mm.</w:t>
      </w:r>
    </w:p>
    <w:p w14:paraId="2D55A145" w14:textId="77777777" w:rsidR="006A228F" w:rsidRPr="00247126" w:rsidRDefault="006A228F" w:rsidP="00725F19">
      <w:pPr>
        <w:pStyle w:val="Bullet"/>
        <w:numPr>
          <w:ilvl w:val="0"/>
          <w:numId w:val="14"/>
        </w:numPr>
        <w:spacing w:before="0"/>
        <w:ind w:left="284" w:hanging="284"/>
        <w:rPr>
          <w:rFonts w:ascii="Franklin Gothic Book" w:hAnsi="Franklin Gothic Book"/>
        </w:rPr>
      </w:pPr>
      <w:r w:rsidRPr="00247126">
        <w:rPr>
          <w:rFonts w:ascii="Franklin Gothic Book" w:hAnsi="Franklin Gothic Book"/>
        </w:rPr>
        <w:t>Lesion located at a bifurcation and where the planned side branch is ≥2.5 mm in diameter by angiographic visual estimation.</w:t>
      </w:r>
    </w:p>
    <w:p w14:paraId="49189448" w14:textId="77777777" w:rsidR="006A228F" w:rsidRPr="00247126" w:rsidRDefault="006A228F" w:rsidP="00725F19">
      <w:pPr>
        <w:pStyle w:val="Bullet"/>
        <w:numPr>
          <w:ilvl w:val="0"/>
          <w:numId w:val="14"/>
        </w:numPr>
        <w:spacing w:before="0"/>
        <w:ind w:left="284" w:hanging="284"/>
        <w:rPr>
          <w:rFonts w:ascii="Franklin Gothic Book" w:hAnsi="Franklin Gothic Book"/>
        </w:rPr>
      </w:pPr>
      <w:r w:rsidRPr="00247126">
        <w:rPr>
          <w:rFonts w:ascii="Franklin Gothic Book" w:hAnsi="Franklin Gothic Book"/>
        </w:rPr>
        <w:t>Angiographic severe calcification (defined as angiographically visible calcification on both sides of the vessel wall in the absence of cardiac motion).</w:t>
      </w:r>
    </w:p>
    <w:p w14:paraId="4EFD5B2F" w14:textId="26020E7F" w:rsidR="006A228F" w:rsidRPr="00247126" w:rsidRDefault="006A228F" w:rsidP="00725F19">
      <w:pPr>
        <w:pStyle w:val="Bullet"/>
        <w:numPr>
          <w:ilvl w:val="0"/>
          <w:numId w:val="14"/>
        </w:numPr>
        <w:spacing w:before="0"/>
        <w:ind w:left="284" w:hanging="284"/>
        <w:rPr>
          <w:rFonts w:ascii="Franklin Gothic Book" w:hAnsi="Franklin Gothic Book"/>
        </w:rPr>
      </w:pPr>
      <w:r w:rsidRPr="00247126">
        <w:rPr>
          <w:rFonts w:ascii="Franklin Gothic Book" w:hAnsi="Franklin Gothic Book"/>
        </w:rPr>
        <w:t>Stent failure (</w:t>
      </w:r>
      <w:r w:rsidR="001A5FC1" w:rsidRPr="00247126">
        <w:rPr>
          <w:rFonts w:ascii="Franklin Gothic Book" w:hAnsi="Franklin Gothic Book"/>
        </w:rPr>
        <w:t xml:space="preserve">due to </w:t>
      </w:r>
      <w:r w:rsidRPr="00247126">
        <w:rPr>
          <w:rFonts w:ascii="Franklin Gothic Book" w:hAnsi="Franklin Gothic Book"/>
        </w:rPr>
        <w:t xml:space="preserve">stent thrombosis or in-stent </w:t>
      </w:r>
      <w:r w:rsidR="00CC1522" w:rsidRPr="00247126">
        <w:rPr>
          <w:rFonts w:ascii="Franklin Gothic Book" w:hAnsi="Franklin Gothic Book"/>
        </w:rPr>
        <w:t>restenosis of</w:t>
      </w:r>
      <w:r w:rsidRPr="00247126">
        <w:rPr>
          <w:rFonts w:ascii="Franklin Gothic Book" w:hAnsi="Franklin Gothic Book"/>
        </w:rPr>
        <w:t xml:space="preserve"> diffuse or multi-focal pattern).</w:t>
      </w:r>
    </w:p>
    <w:p w14:paraId="0B1E34CD" w14:textId="0BD7A95A" w:rsidR="001D6B58" w:rsidRPr="00247126" w:rsidRDefault="006A228F" w:rsidP="006A228F">
      <w:r w:rsidRPr="00247126">
        <w:t>MSAC noted that in all subpopulations, the comparator</w:t>
      </w:r>
      <w:r w:rsidR="000B1E6C" w:rsidRPr="00247126">
        <w:t xml:space="preserve"> included in the </w:t>
      </w:r>
      <w:r w:rsidR="008C57D1" w:rsidRPr="00247126">
        <w:t>Applicant Developed Assessment Report (ADAR)</w:t>
      </w:r>
      <w:r w:rsidRPr="00247126">
        <w:t xml:space="preserve"> to the proposed intervention (OCT+AG) was invasive coronary AG (AG alone). IVUS-guided coronary stent insertion as an adjunct to invasive coronary AG (IVUS+AG) was an additional comparator in the long/multiple lesion subpopulation.</w:t>
      </w:r>
      <w:r w:rsidR="001D6B58" w:rsidRPr="00247126">
        <w:t xml:space="preserve"> MSAC noted that the long </w:t>
      </w:r>
      <w:r w:rsidR="001D6B58" w:rsidRPr="00247126">
        <w:lastRenderedPageBreak/>
        <w:t>lesion subpopulation in the PICO is defined based on the trial definition from ILUMIEN IV: long or multiple lesions, defined as intended total stent length (continuous or separated) in any single target vessel of ≥28 mm. The MBS item descriptor for IVUS specifies its use for ‘lesions ≥28 mm in length’. MSAC considered that this discrepancy, albeit minor, means that the long lesion subpopulation proposed for eligibility for OCT-guided PCI is broader than the approved population for IVUS-guided PCI. MSAC considered IVUS would not be a comparator for patients with multiple lesions who meet the definition specified in the ratified PICO for this subpopulation.</w:t>
      </w:r>
    </w:p>
    <w:p w14:paraId="5192E8E8" w14:textId="6B88A414" w:rsidR="006A228F" w:rsidRPr="00247126" w:rsidRDefault="006A228F" w:rsidP="006A228F">
      <w:r w:rsidRPr="00247126">
        <w:t xml:space="preserve">MSAC noted that three </w:t>
      </w:r>
      <w:r w:rsidR="00F710C4" w:rsidRPr="00247126">
        <w:t>randomised control trials (</w:t>
      </w:r>
      <w:r w:rsidRPr="00247126">
        <w:t>RCT</w:t>
      </w:r>
      <w:r w:rsidR="00F710C4" w:rsidRPr="00247126">
        <w:t>)</w:t>
      </w:r>
      <w:r w:rsidRPr="00247126">
        <w:t xml:space="preserve"> met the pre-defined eligibility criteria and were included in the ADAR as pivotal evidence: OCTOBER compared OCT+AG-guided percutaneous coronary intervention (PCI) with AG-guided PCI in patients with complex bifurcation lesions; ILUMIEN IV:OPTIMAL PCI compared OCT+AG-guided PCI with AG-guided PCI in patients with medication-treated diabetes or complex coronary artery lesions</w:t>
      </w:r>
      <w:r w:rsidR="00A03D01" w:rsidRPr="00247126">
        <w:t xml:space="preserve"> (relevant to </w:t>
      </w:r>
      <w:r w:rsidR="001139C3" w:rsidRPr="00247126">
        <w:t xml:space="preserve">patients with bifurcation lesions, severely </w:t>
      </w:r>
      <w:r w:rsidR="001F321E" w:rsidRPr="00247126">
        <w:t>calcified lesions, stent failure due to in-stent restenosis</w:t>
      </w:r>
      <w:r w:rsidR="00A03C1A" w:rsidRPr="00247126">
        <w:t xml:space="preserve">, long </w:t>
      </w:r>
      <w:r w:rsidR="00BA5B99" w:rsidRPr="00247126">
        <w:t>diffuse lesions)</w:t>
      </w:r>
      <w:r w:rsidRPr="00247126">
        <w:t>; and OCTIVUS compared OCT+AG-guided PCI with IVUS+AG-guided PCI in patients with significant coronary artery lesions</w:t>
      </w:r>
      <w:r w:rsidR="00A40F1B" w:rsidRPr="00247126">
        <w:t xml:space="preserve"> (relevant to patients with long lesions)</w:t>
      </w:r>
      <w:r w:rsidRPr="00247126">
        <w:t xml:space="preserve">. The comparative efficacy and safety claims made in the ADAR were based on these three RCTs. </w:t>
      </w:r>
    </w:p>
    <w:p w14:paraId="2857CF14" w14:textId="4FAB7FE3" w:rsidR="006A228F" w:rsidRPr="00247126" w:rsidRDefault="006A228F" w:rsidP="006A228F">
      <w:r w:rsidRPr="00247126">
        <w:t xml:space="preserve">MSAC noted that the primary composite outcome used in OCTOBER (major adverse cardiac events, or MACE) was not an outcome specified in the PICO. MACE was defined in OCTOBER as </w:t>
      </w:r>
      <w:r w:rsidR="008651FE" w:rsidRPr="00247126">
        <w:t>a composite of</w:t>
      </w:r>
      <w:r w:rsidRPr="00247126">
        <w:t xml:space="preserve"> death from cardiac causes, target lesion myocardial infarction (MI), or ischaemia-driven target lesion revascularisation (TLR). By contrast, the PICO composite outcome of target vessel failure (TVF) was defined as the composite of cardiac death, target vessel MI, or ischaemia-driven target vessel revascularisation (TVR).</w:t>
      </w:r>
      <w:r w:rsidR="00F54543" w:rsidRPr="00247126">
        <w:t xml:space="preserve"> </w:t>
      </w:r>
      <w:r w:rsidR="00AF4B61" w:rsidRPr="00247126">
        <w:t xml:space="preserve">Therefore, the OCTOBER definition of MACE was not aligned with the PICO and </w:t>
      </w:r>
      <w:r w:rsidR="00D60414" w:rsidRPr="00247126">
        <w:t xml:space="preserve">MSAC </w:t>
      </w:r>
      <w:r w:rsidR="00AF4B61" w:rsidRPr="00247126">
        <w:t>considered the outcomes too dissimilar to justify meta-analysis.</w:t>
      </w:r>
      <w:r w:rsidR="00F54543" w:rsidRPr="00247126">
        <w:t xml:space="preserve"> </w:t>
      </w:r>
      <w:r w:rsidRPr="00247126">
        <w:t xml:space="preserve">MSAC noted that there were differences in the definitions of cardiac mortality, </w:t>
      </w:r>
      <w:proofErr w:type="gramStart"/>
      <w:r w:rsidRPr="00247126">
        <w:t>MI</w:t>
      </w:r>
      <w:proofErr w:type="gramEnd"/>
      <w:r w:rsidRPr="00247126">
        <w:t xml:space="preserve"> and revascularisation between the three trials. </w:t>
      </w:r>
      <w:r w:rsidR="004501F3" w:rsidRPr="00247126">
        <w:t>Additionally, MSAC noted that s</w:t>
      </w:r>
      <w:r w:rsidRPr="00247126">
        <w:t xml:space="preserve">tent thrombosis </w:t>
      </w:r>
      <w:r w:rsidR="003F3A57" w:rsidRPr="00247126">
        <w:t>(as an outcome measure)</w:t>
      </w:r>
      <w:r w:rsidRPr="00247126">
        <w:t xml:space="preserve"> was also categorised differently between the trials.</w:t>
      </w:r>
    </w:p>
    <w:p w14:paraId="51712986" w14:textId="6CB3EEEA" w:rsidR="00E72458" w:rsidRPr="00247126" w:rsidRDefault="00E72458" w:rsidP="006A228F">
      <w:r w:rsidRPr="00247126">
        <w:t>MSAC noted that the OCTOBER trial (bifurcation lesions) was powered on the primary composite endpoint of MACE; however, all other proposed subpopulations relied on data from post hoc subgroup analyses from ILUMIEN IV and OCTIVUS, which lacked the</w:t>
      </w:r>
      <w:r w:rsidR="00567DD4" w:rsidRPr="00247126">
        <w:t xml:space="preserve"> sta</w:t>
      </w:r>
      <w:r w:rsidR="00C009C8" w:rsidRPr="00247126">
        <w:t>tistical</w:t>
      </w:r>
      <w:r w:rsidRPr="00247126">
        <w:t xml:space="preserve"> power to detect statistically significant differences in the primary composite endpoint and individual events.</w:t>
      </w:r>
    </w:p>
    <w:p w14:paraId="1F838ECC" w14:textId="03E90660" w:rsidR="00A95563" w:rsidRPr="00247126" w:rsidRDefault="006A228F" w:rsidP="00725F19">
      <w:r w:rsidRPr="00247126">
        <w:t>For the purpose of guiding stent insertion in patients with myocardial ischaemia and lesions located at a bifurcation</w:t>
      </w:r>
      <w:r w:rsidR="0094713E" w:rsidRPr="00247126">
        <w:t>,</w:t>
      </w:r>
      <w:r w:rsidR="00B7370A" w:rsidRPr="00247126">
        <w:t xml:space="preserve"> </w:t>
      </w:r>
      <w:r w:rsidR="0046250B" w:rsidRPr="00247126">
        <w:t xml:space="preserve">MSAC </w:t>
      </w:r>
      <w:r w:rsidR="008F2B9E" w:rsidRPr="00247126">
        <w:t>considered</w:t>
      </w:r>
      <w:r w:rsidR="0046250B" w:rsidRPr="00247126">
        <w:t xml:space="preserve"> that </w:t>
      </w:r>
      <w:r w:rsidR="00EA5216" w:rsidRPr="00247126">
        <w:t>there was</w:t>
      </w:r>
      <w:r w:rsidR="002427F5" w:rsidRPr="00247126">
        <w:t xml:space="preserve"> moderate certainty of evidence</w:t>
      </w:r>
      <w:r w:rsidR="00EA5216" w:rsidRPr="00247126">
        <w:t xml:space="preserve"> to suggest</w:t>
      </w:r>
      <w:r w:rsidR="002427F5" w:rsidRPr="00247126">
        <w:t xml:space="preserve"> that </w:t>
      </w:r>
      <w:r w:rsidRPr="00247126">
        <w:t xml:space="preserve">OCT+AG </w:t>
      </w:r>
      <w:r w:rsidR="0046250B" w:rsidRPr="00247126">
        <w:t>was</w:t>
      </w:r>
      <w:r w:rsidR="00972CFA" w:rsidRPr="00247126">
        <w:t xml:space="preserve"> </w:t>
      </w:r>
      <w:r w:rsidRPr="00247126">
        <w:t xml:space="preserve">non-inferior </w:t>
      </w:r>
      <w:r w:rsidR="005C341A" w:rsidRPr="00247126">
        <w:t xml:space="preserve">to AG alone </w:t>
      </w:r>
      <w:r w:rsidRPr="00247126">
        <w:t>with respect to safety</w:t>
      </w:r>
      <w:r w:rsidR="00F56DB0" w:rsidRPr="00247126">
        <w:t>.</w:t>
      </w:r>
      <w:r w:rsidR="00B7370A" w:rsidRPr="00247126">
        <w:t xml:space="preserve"> </w:t>
      </w:r>
      <w:r w:rsidR="00634753" w:rsidRPr="00247126">
        <w:t xml:space="preserve">On the basis of clinical evidence for the bifurcation lesion population, MSAC </w:t>
      </w:r>
      <w:r w:rsidR="00D03ADF" w:rsidRPr="00247126">
        <w:t xml:space="preserve">considered that </w:t>
      </w:r>
      <w:r w:rsidR="00D015FC" w:rsidRPr="00247126">
        <w:t>there was high certainty evidence</w:t>
      </w:r>
      <w:r w:rsidR="004C58B2" w:rsidRPr="00247126">
        <w:t xml:space="preserve"> that found</w:t>
      </w:r>
      <w:r w:rsidR="00D03ADF" w:rsidRPr="00247126">
        <w:t xml:space="preserve"> the use of OCT+AG </w:t>
      </w:r>
      <w:r w:rsidR="004C58B2" w:rsidRPr="00247126">
        <w:t>had superior effectiveness compared with</w:t>
      </w:r>
      <w:r w:rsidR="00D03ADF" w:rsidRPr="00247126">
        <w:t xml:space="preserve"> AG alone.</w:t>
      </w:r>
    </w:p>
    <w:p w14:paraId="06F49D51" w14:textId="29DC6AB0" w:rsidR="00B32ACE" w:rsidRPr="00247126" w:rsidRDefault="006A228F" w:rsidP="00B32ACE">
      <w:r w:rsidRPr="00247126">
        <w:t xml:space="preserve">For the purpose of guiding stent insertion in patients with myocardial ischaemia and lesions with angiographic severe calcification, </w:t>
      </w:r>
      <w:r w:rsidR="002758FD" w:rsidRPr="00247126">
        <w:t xml:space="preserve">MSAC noted </w:t>
      </w:r>
      <w:r w:rsidR="0082765F" w:rsidRPr="00247126">
        <w:t>that</w:t>
      </w:r>
      <w:r w:rsidR="0025618C" w:rsidRPr="00247126">
        <w:t xml:space="preserve"> results were based on</w:t>
      </w:r>
      <w:r w:rsidR="0025618C" w:rsidRPr="00247126" w:rsidDel="00EE6592">
        <w:t xml:space="preserve"> </w:t>
      </w:r>
      <w:r w:rsidR="0082765F" w:rsidRPr="00247126">
        <w:t xml:space="preserve">a post hoc </w:t>
      </w:r>
      <w:r w:rsidR="0025618C" w:rsidRPr="00247126">
        <w:t xml:space="preserve">subgroup analysis </w:t>
      </w:r>
      <w:r w:rsidR="0082765F" w:rsidRPr="00247126">
        <w:t>as part of</w:t>
      </w:r>
      <w:r w:rsidR="0025618C" w:rsidRPr="00247126">
        <w:t xml:space="preserve"> the ILUMIEN IV trial</w:t>
      </w:r>
      <w:r w:rsidR="0082765F" w:rsidRPr="00247126">
        <w:t xml:space="preserve">. </w:t>
      </w:r>
      <w:r w:rsidR="00E16EC5" w:rsidRPr="00247126">
        <w:t xml:space="preserve">MSAC considered </w:t>
      </w:r>
      <w:r w:rsidR="00B32ACE" w:rsidRPr="00247126">
        <w:t xml:space="preserve">that OCT+AG was </w:t>
      </w:r>
      <w:r w:rsidRPr="00247126">
        <w:t>non-inferior with respect to safety</w:t>
      </w:r>
      <w:r w:rsidR="0053213C" w:rsidRPr="00247126">
        <w:t xml:space="preserve"> </w:t>
      </w:r>
      <w:r w:rsidR="001248BB" w:rsidRPr="00247126">
        <w:t>was supported by</w:t>
      </w:r>
      <w:r w:rsidR="0053213C" w:rsidRPr="00247126">
        <w:t xml:space="preserve"> low certainty of evidence</w:t>
      </w:r>
      <w:r w:rsidR="00B83F33" w:rsidRPr="00247126">
        <w:t>,</w:t>
      </w:r>
      <w:r w:rsidR="00B32ACE" w:rsidRPr="00247126">
        <w:t xml:space="preserve"> </w:t>
      </w:r>
      <w:r w:rsidRPr="00247126">
        <w:t>although</w:t>
      </w:r>
      <w:r w:rsidR="00B32ACE" w:rsidRPr="00247126">
        <w:t xml:space="preserve"> </w:t>
      </w:r>
      <w:r w:rsidR="00685B91" w:rsidRPr="00247126">
        <w:t>MSAC</w:t>
      </w:r>
      <w:r w:rsidR="00B32ACE" w:rsidRPr="00247126">
        <w:t xml:space="preserve"> noted that</w:t>
      </w:r>
      <w:r w:rsidRPr="00247126">
        <w:t xml:space="preserve"> procedural complications were not available specifically for this subpopulation</w:t>
      </w:r>
      <w:r w:rsidR="00B32ACE" w:rsidRPr="00247126">
        <w:t xml:space="preserve">. Additionally, MSAC considered </w:t>
      </w:r>
      <w:r w:rsidR="00D93E29" w:rsidRPr="00247126">
        <w:t xml:space="preserve">that </w:t>
      </w:r>
      <w:r w:rsidR="00B32ACE" w:rsidRPr="00247126">
        <w:t>OCT+AG was non-inferior with respect to efficacy</w:t>
      </w:r>
      <w:r w:rsidR="009463E4" w:rsidRPr="00247126">
        <w:t>,</w:t>
      </w:r>
      <w:r w:rsidR="00D93E29" w:rsidRPr="00247126">
        <w:t xml:space="preserve"> </w:t>
      </w:r>
      <w:r w:rsidR="00685B91" w:rsidRPr="00247126">
        <w:t>based on</w:t>
      </w:r>
      <w:r w:rsidR="00D93E29" w:rsidRPr="00247126">
        <w:t xml:space="preserve"> </w:t>
      </w:r>
      <w:r w:rsidR="006F78FA" w:rsidRPr="00247126">
        <w:t>low certainty of evidence</w:t>
      </w:r>
      <w:r w:rsidR="00650689" w:rsidRPr="00247126">
        <w:t>. MSAC</w:t>
      </w:r>
      <w:r w:rsidR="00FD0683" w:rsidRPr="00247126">
        <w:t xml:space="preserve"> considered that the </w:t>
      </w:r>
      <w:r w:rsidR="007336CA" w:rsidRPr="00247126">
        <w:t>evidence supporting the</w:t>
      </w:r>
      <w:r w:rsidR="00FD0683" w:rsidRPr="00247126">
        <w:t xml:space="preserve"> use of OCT+AG compared to AG alone </w:t>
      </w:r>
      <w:r w:rsidR="00A30BEA" w:rsidRPr="00247126">
        <w:t xml:space="preserve">for </w:t>
      </w:r>
      <w:r w:rsidR="007336CA" w:rsidRPr="00247126">
        <w:t>the severe calcification population</w:t>
      </w:r>
      <w:r w:rsidR="00FD0683" w:rsidRPr="00247126">
        <w:t xml:space="preserve"> was not sufficient</w:t>
      </w:r>
      <w:r w:rsidR="00610D6D" w:rsidRPr="00247126">
        <w:t xml:space="preserve"> to demonstrate superior clinical effectiveness due to </w:t>
      </w:r>
      <w:r w:rsidR="00174F45" w:rsidRPr="00247126">
        <w:t>the</w:t>
      </w:r>
      <w:r w:rsidR="00610D6D" w:rsidRPr="00247126">
        <w:t xml:space="preserve"> low certainty of evidence</w:t>
      </w:r>
      <w:r w:rsidR="00972CFA" w:rsidRPr="00247126">
        <w:t>.</w:t>
      </w:r>
    </w:p>
    <w:p w14:paraId="1D9CCDBB" w14:textId="1D576269" w:rsidR="00AC062B" w:rsidRPr="00247126" w:rsidRDefault="005B4E74" w:rsidP="00725F19">
      <w:r w:rsidRPr="00247126">
        <w:t>For the purpose of guiding stent insertion in patients with myocardial ischaemia and</w:t>
      </w:r>
      <w:r w:rsidR="006525A3" w:rsidRPr="00247126">
        <w:t xml:space="preserve"> stent failu</w:t>
      </w:r>
      <w:r w:rsidR="006B3ECF" w:rsidRPr="00247126">
        <w:t>r</w:t>
      </w:r>
      <w:r w:rsidR="006525A3" w:rsidRPr="00247126">
        <w:t>e due to</w:t>
      </w:r>
      <w:r w:rsidRPr="00247126">
        <w:t xml:space="preserve"> </w:t>
      </w:r>
      <w:r w:rsidR="0046362C" w:rsidRPr="00247126">
        <w:t xml:space="preserve">stent thrombosis or </w:t>
      </w:r>
      <w:r w:rsidRPr="00247126">
        <w:t>in-stent restenosis</w:t>
      </w:r>
      <w:r w:rsidR="006525A3" w:rsidRPr="00247126">
        <w:t xml:space="preserve"> </w:t>
      </w:r>
      <w:r w:rsidRPr="00247126">
        <w:t xml:space="preserve">of diffuse or multi-focal pattern, </w:t>
      </w:r>
      <w:r w:rsidR="008533EB" w:rsidRPr="00247126">
        <w:t xml:space="preserve">MSAC noted that </w:t>
      </w:r>
      <w:r w:rsidR="00277AA2" w:rsidRPr="00247126">
        <w:t>evidence was only available for the in-stent restenosis subpopulation</w:t>
      </w:r>
      <w:r w:rsidR="00931874" w:rsidRPr="00247126">
        <w:t xml:space="preserve"> and results were based on </w:t>
      </w:r>
      <w:r w:rsidR="00783FEC" w:rsidRPr="00247126">
        <w:t xml:space="preserve">a </w:t>
      </w:r>
      <w:r w:rsidR="00931874" w:rsidRPr="00247126">
        <w:t>post hoc subgroup analysis as part of the ILUMIEN IV trial</w:t>
      </w:r>
      <w:r w:rsidR="00277AA2" w:rsidRPr="00247126">
        <w:t>.</w:t>
      </w:r>
      <w:r w:rsidR="00007EB1" w:rsidRPr="00247126">
        <w:t xml:space="preserve"> </w:t>
      </w:r>
      <w:r w:rsidR="00077499" w:rsidRPr="00247126">
        <w:t xml:space="preserve">MSAC considered that in relation to </w:t>
      </w:r>
      <w:r w:rsidR="00077499" w:rsidRPr="00247126">
        <w:lastRenderedPageBreak/>
        <w:t>safety, OCT+AG was non-inferior compared to AG alone</w:t>
      </w:r>
      <w:r w:rsidR="001037F4" w:rsidRPr="00247126">
        <w:t xml:space="preserve"> in the stent failure due to in-stent restenosis subpopulation</w:t>
      </w:r>
      <w:r w:rsidR="00D641A9" w:rsidRPr="00247126">
        <w:t>.</w:t>
      </w:r>
      <w:r w:rsidR="00AC062B" w:rsidRPr="00247126">
        <w:t xml:space="preserve"> </w:t>
      </w:r>
      <w:r w:rsidR="00A95563" w:rsidRPr="00247126">
        <w:t xml:space="preserve">MSAC noted that OCT can distinguish thrombus from other tissue components and is therefore generally the imaging modality of choice for stent </w:t>
      </w:r>
      <w:r w:rsidR="00C64B50" w:rsidRPr="00247126">
        <w:t xml:space="preserve">failure due </w:t>
      </w:r>
      <w:r w:rsidR="00AA6C16" w:rsidRPr="00247126">
        <w:t>to stent</w:t>
      </w:r>
      <w:r w:rsidR="00A95563" w:rsidRPr="00247126">
        <w:t xml:space="preserve"> thrombosis, except for in some cases when large amounts of thrombus is present, in which case IVUS may be preferred. </w:t>
      </w:r>
      <w:r w:rsidR="00B049DB" w:rsidRPr="00247126">
        <w:t xml:space="preserve">MSAC considered that on the basis of clinical evidence, </w:t>
      </w:r>
      <w:r w:rsidR="005E0680" w:rsidRPr="00247126">
        <w:t xml:space="preserve">the use of OCT+AG compared to AG alone for stent failure due to in-stent restenosis was not supported. </w:t>
      </w:r>
      <w:r w:rsidR="00127955" w:rsidRPr="00247126">
        <w:t>However, MSAC supported the use of OCT</w:t>
      </w:r>
      <w:r w:rsidR="008F41D7" w:rsidRPr="00247126">
        <w:t xml:space="preserve"> in</w:t>
      </w:r>
      <w:r w:rsidR="00127955" w:rsidRPr="00247126">
        <w:t xml:space="preserve"> the stent failure subgroup due to stent thrombosis,</w:t>
      </w:r>
      <w:r w:rsidR="00CA0890" w:rsidRPr="00247126">
        <w:t xml:space="preserve"> due to the high clinical need and expert opinion that OCT can provide increased imaging capability to distinguish thrombus from other tissue when compared to AG alone.</w:t>
      </w:r>
    </w:p>
    <w:p w14:paraId="351CC243" w14:textId="13361885" w:rsidR="00A95563" w:rsidRPr="00247126" w:rsidRDefault="005D5BAE" w:rsidP="00B32ACE">
      <w:r w:rsidRPr="00247126">
        <w:t xml:space="preserve">For the purpose of guiding stent insertion in patients with myocardial ischaemia and long or multiple lesions (total stent length, continuous or separate, in any single target vessel ≥28 mm), </w:t>
      </w:r>
      <w:r w:rsidR="002D1C66" w:rsidRPr="00247126">
        <w:t xml:space="preserve">MSAC considered OCT+AG to be superior compared against </w:t>
      </w:r>
      <w:r w:rsidR="00DD08F3" w:rsidRPr="00247126">
        <w:t xml:space="preserve">AG alone </w:t>
      </w:r>
      <w:r w:rsidR="000333FC" w:rsidRPr="00247126">
        <w:t xml:space="preserve">but only for the outcome of </w:t>
      </w:r>
      <w:r w:rsidR="00995E8E" w:rsidRPr="00247126">
        <w:t xml:space="preserve">stent thrombosis and </w:t>
      </w:r>
      <w:r w:rsidR="0A12FDB9" w:rsidRPr="00247126">
        <w:t>with</w:t>
      </w:r>
      <w:r w:rsidR="00943A10" w:rsidRPr="00247126">
        <w:t xml:space="preserve"> moderate certainty of evidence. </w:t>
      </w:r>
      <w:r w:rsidR="006F59C7" w:rsidRPr="00247126">
        <w:t>MSAC considered that OCT+AG was non-inferior with respect to safety, compared to AG alone, although procedural complications were not available for this subpopulation.</w:t>
      </w:r>
    </w:p>
    <w:p w14:paraId="198F3997" w14:textId="77777777" w:rsidR="00E5333F" w:rsidRPr="00247126" w:rsidRDefault="001D6A4F" w:rsidP="00B32ACE">
      <w:r w:rsidRPr="00247126">
        <w:t xml:space="preserve">For the purpose of guiding stent insertion in patients with myocardial ischaemia and long or multiple lesions (total stent length, continuous or separate, in any single target vessel ≥28 mm), MSAC considered OCT+AG </w:t>
      </w:r>
      <w:r w:rsidR="00D16E29" w:rsidRPr="00247126">
        <w:t>is non-inferior in effectiveness, when compared to IVUS in long lesions</w:t>
      </w:r>
      <w:r w:rsidR="00E374ED" w:rsidRPr="00247126">
        <w:t xml:space="preserve"> and this is based on low certainty evidence</w:t>
      </w:r>
      <w:r w:rsidR="00D16E29" w:rsidRPr="00247126">
        <w:t xml:space="preserve">. MSAC noted that </w:t>
      </w:r>
      <w:r w:rsidR="00DD778F" w:rsidRPr="00247126">
        <w:t xml:space="preserve">the OCTIVUS trial </w:t>
      </w:r>
      <w:r w:rsidR="00260F70" w:rsidRPr="00247126">
        <w:t xml:space="preserve">post hoc </w:t>
      </w:r>
      <w:r w:rsidR="002D4927" w:rsidRPr="00247126">
        <w:t>subgroup analyses were not sufficiently powered</w:t>
      </w:r>
      <w:r w:rsidR="00F10587" w:rsidRPr="00247126">
        <w:t xml:space="preserve"> – </w:t>
      </w:r>
      <w:r w:rsidR="007B70C2" w:rsidRPr="00247126">
        <w:t>although acknowledged</w:t>
      </w:r>
      <w:r w:rsidR="00F10587" w:rsidRPr="00247126">
        <w:t xml:space="preserve"> the challenges faced with trials being sufficiently powered when </w:t>
      </w:r>
      <w:r w:rsidR="007B70C2" w:rsidRPr="00247126">
        <w:t>examining</w:t>
      </w:r>
      <w:r w:rsidR="00F10587" w:rsidRPr="00247126">
        <w:t xml:space="preserve"> relatively rare events. MSAC considered that the clinical evidence for OCT+AG was </w:t>
      </w:r>
      <w:r w:rsidRPr="00247126">
        <w:t>non-inferior with respect to safety</w:t>
      </w:r>
      <w:r w:rsidR="00F10587" w:rsidRPr="00247126">
        <w:t>, compared with IVUS</w:t>
      </w:r>
      <w:r w:rsidR="008324D1" w:rsidRPr="00247126">
        <w:t>.</w:t>
      </w:r>
    </w:p>
    <w:p w14:paraId="400F2E27" w14:textId="0C5425AD" w:rsidR="009326DB" w:rsidRPr="00247126" w:rsidRDefault="00B50E9C" w:rsidP="00B32ACE">
      <w:r w:rsidRPr="00247126">
        <w:t>MSAC considered that the current evidence does not sufficiently demonstrate clinical superiority for the use of OCT in multiple lesions, compared with both AG and IVUS. MSAC noted that the source of the evidence for the IVUS comparator, the OCTIVUS trial, defined long coronary artery lesions as lesions &gt; 28 mm or stent length &gt; 32 mm of treated segment, and did not include multiple lesions. MSAC noted that OCT is probably non-inferior to IVUS for long lesions and recommended that multiple lesions be excluded from the proposed MBS item descriptor. MSAC considered that this would enable OCT or IVUS to be used for long lesions as there is sufficient clinical evidence in this subpopulation.</w:t>
      </w:r>
    </w:p>
    <w:p w14:paraId="7FDE1EE2" w14:textId="519EB2C7" w:rsidR="0034453C" w:rsidRPr="00247126" w:rsidRDefault="00CE3122" w:rsidP="001562D3">
      <w:r w:rsidRPr="00247126">
        <w:t xml:space="preserve">MSAC noted that both OCT and IVUS have overlapping indications – </w:t>
      </w:r>
      <w:r w:rsidR="628CDAB6" w:rsidRPr="00247126">
        <w:t>however</w:t>
      </w:r>
      <w:r w:rsidRPr="00247126">
        <w:t>, provide different information for the operator depending on the clinical situation. MSAC noted that the proposed MBS item descriptor</w:t>
      </w:r>
      <w:r w:rsidR="0036188A" w:rsidRPr="00247126">
        <w:t xml:space="preserve"> in its current form</w:t>
      </w:r>
      <w:r w:rsidRPr="00247126">
        <w:t xml:space="preserve"> would not prevent dual use of these technologies for particular lesions (such as for left main coronary artery bifurcation lesions or for long lesions). MSAC noted that a co-claiming restriction is proposed to prevent dual use of these technologies. MSAC noted that the applicant agreed to the introduction of a co-claiming restriction for OCT and IVUS in the pre-MSAC response.</w:t>
      </w:r>
      <w:r w:rsidR="00C170DF" w:rsidRPr="00247126">
        <w:t xml:space="preserve"> Additionally, MSAC noted that hybrid intracoronary imaging modalities are in development, including hybrid IVUS–OCT systems. MSAC considered that the use of </w:t>
      </w:r>
      <w:r w:rsidR="0034453C" w:rsidRPr="00247126">
        <w:t>a co-claiming restriction</w:t>
      </w:r>
      <w:r w:rsidR="00C170DF" w:rsidRPr="00247126">
        <w:t xml:space="preserve"> would be appropriate as this would prevent the MBS item</w:t>
      </w:r>
      <w:r w:rsidR="00516FE3" w:rsidRPr="00247126">
        <w:t xml:space="preserve"> from</w:t>
      </w:r>
      <w:r w:rsidR="00C170DF" w:rsidRPr="00247126">
        <w:t xml:space="preserve"> being billed twice </w:t>
      </w:r>
      <w:r w:rsidR="004C6C4E" w:rsidRPr="00247126">
        <w:t>due to overlapping indications</w:t>
      </w:r>
      <w:r w:rsidR="00C170DF" w:rsidRPr="00247126">
        <w:t>.</w:t>
      </w:r>
    </w:p>
    <w:p w14:paraId="002C4318" w14:textId="4390D215" w:rsidR="001562D3" w:rsidRPr="00247126" w:rsidRDefault="00DE5E1C" w:rsidP="001562D3">
      <w:r w:rsidRPr="00247126">
        <w:t xml:space="preserve">Therefore, MSAC supported the use of OCT+AG in the long lesion population and </w:t>
      </w:r>
      <w:r w:rsidR="00657035" w:rsidRPr="00247126">
        <w:t>recommended that this</w:t>
      </w:r>
      <w:r w:rsidRPr="00247126">
        <w:t xml:space="preserve"> be created as a new MBS item and aligned with the IVUS MBS item</w:t>
      </w:r>
      <w:r w:rsidR="00F13C41" w:rsidRPr="00247126">
        <w:t>.</w:t>
      </w:r>
    </w:p>
    <w:p w14:paraId="469BCED9" w14:textId="0A309F4B" w:rsidR="006A228F" w:rsidRPr="00247126" w:rsidRDefault="001562D3" w:rsidP="006A228F">
      <w:r w:rsidRPr="00247126">
        <w:t xml:space="preserve">MSAC noted that similar to IVUS, the OCT service is to be performed by trained interventional cardiologists. MSAC noted that the Cardiac Society of Australia and New Zealand (CSANZ) are developing guidelines to assist with implementation of IVUS on the MBS, which could encompass intravascular imaging using OCT. MSAC advised that the department </w:t>
      </w:r>
      <w:r w:rsidR="00AF5314" w:rsidRPr="00247126">
        <w:t xml:space="preserve">should </w:t>
      </w:r>
      <w:r w:rsidRPr="00247126">
        <w:t xml:space="preserve">consult with the </w:t>
      </w:r>
      <w:r w:rsidRPr="00247126">
        <w:lastRenderedPageBreak/>
        <w:t>CSANZ regarding whether the indications should be the same for OCT and IVUS modalities in an amalgamated MBS item and also provide advice on credentialling for providers.</w:t>
      </w:r>
    </w:p>
    <w:p w14:paraId="24736565" w14:textId="13F9A82A" w:rsidR="006A228F" w:rsidRPr="00247126" w:rsidRDefault="006A228F" w:rsidP="006A228F">
      <w:r w:rsidRPr="00247126">
        <w:t>MSAC noted that the cost of OCT catheter may be borne by the patient (~$</w:t>
      </w:r>
      <w:r w:rsidR="00AE4351" w:rsidRPr="00247126">
        <w:rPr>
          <w:b/>
          <w:bCs/>
        </w:rPr>
        <w:t>Redacted</w:t>
      </w:r>
      <w:r w:rsidRPr="00247126">
        <w:t xml:space="preserve">) and thus </w:t>
      </w:r>
      <w:r w:rsidR="00065640" w:rsidRPr="00247126">
        <w:t>create</w:t>
      </w:r>
      <w:r w:rsidRPr="00247126">
        <w:t xml:space="preserve"> a potential equity issue. In addition, there is an equity of access issue for patients in regional/remote areas because of the need for training and equipment.</w:t>
      </w:r>
      <w:r w:rsidR="00FF04BC" w:rsidRPr="00247126">
        <w:t xml:space="preserve"> </w:t>
      </w:r>
    </w:p>
    <w:p w14:paraId="7A059B8B" w14:textId="6C50B126" w:rsidR="006A228F" w:rsidRPr="00247126" w:rsidRDefault="00490BB2" w:rsidP="006A228F">
      <w:r w:rsidRPr="00247126">
        <w:t>MSAC noted t</w:t>
      </w:r>
      <w:r w:rsidR="006A228F" w:rsidRPr="00247126">
        <w:t xml:space="preserve">he commentary asserted that the superiority claims for OCT+AG versus AG alone were not supported by the clinical evidence provided in the applicant-developed assessment report (ADAR) for the severe calcification and stent failure subpopulations. </w:t>
      </w:r>
      <w:r w:rsidRPr="00247126">
        <w:t>MSAC considered that i</w:t>
      </w:r>
      <w:r w:rsidR="006A228F" w:rsidRPr="00247126">
        <w:t>f non-inferiority is justified, as per the Commentary’s interpretation of the evidence, a cost-minimisation analysis would be more appropriate</w:t>
      </w:r>
      <w:r w:rsidR="00065640" w:rsidRPr="00247126">
        <w:t xml:space="preserve"> for these subpopulations</w:t>
      </w:r>
      <w:r w:rsidR="00AA3323" w:rsidRPr="00247126">
        <w:t>.</w:t>
      </w:r>
      <w:r w:rsidR="006A228F" w:rsidRPr="00247126">
        <w:t xml:space="preserve"> </w:t>
      </w:r>
      <w:r w:rsidR="00AA3323" w:rsidRPr="00247126">
        <w:t>Al</w:t>
      </w:r>
      <w:r w:rsidR="006A228F" w:rsidRPr="00247126">
        <w:t xml:space="preserve">though </w:t>
      </w:r>
      <w:r w:rsidR="00AA3323" w:rsidRPr="00247126">
        <w:t>MSAC considered that</w:t>
      </w:r>
      <w:r w:rsidR="006A228F" w:rsidRPr="00247126">
        <w:t xml:space="preserve"> cost minimisation would not be demonstrated due to the higher cost for OCT as an adjunct to coronary AG.</w:t>
      </w:r>
    </w:p>
    <w:p w14:paraId="13DBEF0C" w14:textId="61E59405" w:rsidR="006A228F" w:rsidRPr="00247126" w:rsidRDefault="00C74FF7" w:rsidP="00725F19">
      <w:pPr>
        <w:pStyle w:val="Bullet"/>
        <w:numPr>
          <w:ilvl w:val="0"/>
          <w:numId w:val="0"/>
        </w:numPr>
        <w:spacing w:before="0"/>
        <w:rPr>
          <w:rFonts w:ascii="Franklin Gothic Book" w:hAnsi="Franklin Gothic Book"/>
        </w:rPr>
      </w:pPr>
      <w:r w:rsidRPr="00247126">
        <w:rPr>
          <w:rFonts w:ascii="Franklin Gothic Book" w:hAnsi="Franklin Gothic Book"/>
        </w:rPr>
        <w:t>MSAC noted the economic evaluation for</w:t>
      </w:r>
      <w:r w:rsidR="006A228F" w:rsidRPr="00247126">
        <w:rPr>
          <w:rFonts w:ascii="Franklin Gothic Book" w:hAnsi="Franklin Gothic Book"/>
        </w:rPr>
        <w:t xml:space="preserve"> </w:t>
      </w:r>
      <w:r w:rsidR="00A30B6E" w:rsidRPr="00247126">
        <w:rPr>
          <w:rFonts w:ascii="Franklin Gothic Book" w:hAnsi="Franklin Gothic Book"/>
        </w:rPr>
        <w:t xml:space="preserve">the subpopulation with </w:t>
      </w:r>
      <w:r w:rsidR="006A228F" w:rsidRPr="00247126">
        <w:rPr>
          <w:rFonts w:ascii="Franklin Gothic Book" w:hAnsi="Franklin Gothic Book"/>
        </w:rPr>
        <w:t>bifurcation lesions</w:t>
      </w:r>
      <w:r w:rsidR="00A30B6E" w:rsidRPr="00247126">
        <w:rPr>
          <w:rFonts w:ascii="Franklin Gothic Book" w:hAnsi="Franklin Gothic Book"/>
        </w:rPr>
        <w:t xml:space="preserve"> consisted of</w:t>
      </w:r>
      <w:r w:rsidR="006A228F" w:rsidRPr="00247126">
        <w:rPr>
          <w:rFonts w:ascii="Franklin Gothic Book" w:hAnsi="Franklin Gothic Book"/>
        </w:rPr>
        <w:t xml:space="preserve"> </w:t>
      </w:r>
      <w:r w:rsidR="00A30B6E" w:rsidRPr="00247126">
        <w:rPr>
          <w:rFonts w:ascii="Franklin Gothic Book" w:hAnsi="Franklin Gothic Book"/>
        </w:rPr>
        <w:t>a</w:t>
      </w:r>
      <w:r w:rsidR="006A228F" w:rsidRPr="00247126">
        <w:rPr>
          <w:rFonts w:ascii="Franklin Gothic Book" w:hAnsi="Franklin Gothic Book"/>
        </w:rPr>
        <w:t xml:space="preserve"> cost-utility analysis </w:t>
      </w:r>
      <w:r w:rsidR="00A30B6E" w:rsidRPr="00247126">
        <w:rPr>
          <w:rFonts w:ascii="Franklin Gothic Book" w:hAnsi="Franklin Gothic Book"/>
        </w:rPr>
        <w:t xml:space="preserve">that </w:t>
      </w:r>
      <w:r w:rsidR="006A228F" w:rsidRPr="00247126">
        <w:rPr>
          <w:rFonts w:ascii="Franklin Gothic Book" w:hAnsi="Franklin Gothic Book"/>
        </w:rPr>
        <w:t>resulted in an incremental cost-effectiveness ratio (ICER) of $</w:t>
      </w:r>
      <w:r w:rsidR="00007EDE" w:rsidRPr="00247126">
        <w:rPr>
          <w:rFonts w:ascii="Franklin Gothic Book" w:hAnsi="Franklin Gothic Book"/>
          <w:b/>
          <w:bCs/>
        </w:rPr>
        <w:t>Redacted</w:t>
      </w:r>
      <w:r w:rsidR="006A228F" w:rsidRPr="00247126">
        <w:rPr>
          <w:rFonts w:ascii="Franklin Gothic Book" w:hAnsi="Franklin Gothic Book"/>
        </w:rPr>
        <w:t xml:space="preserve"> per quality-adjusted life year (QALY) gained, which increased to $</w:t>
      </w:r>
      <w:r w:rsidR="00007EDE" w:rsidRPr="00247126">
        <w:rPr>
          <w:rFonts w:ascii="Franklin Gothic Book" w:hAnsi="Franklin Gothic Book"/>
          <w:b/>
          <w:bCs/>
        </w:rPr>
        <w:t>Redacted</w:t>
      </w:r>
      <w:r w:rsidR="006A228F" w:rsidRPr="00247126">
        <w:rPr>
          <w:rFonts w:ascii="Franklin Gothic Book" w:hAnsi="Franklin Gothic Book"/>
        </w:rPr>
        <w:t xml:space="preserve"> per QALY gained when a difference in cardiac death is removed.</w:t>
      </w:r>
    </w:p>
    <w:p w14:paraId="776E6E55" w14:textId="3F6C7C27" w:rsidR="006A228F" w:rsidRPr="00247126" w:rsidRDefault="003321AB" w:rsidP="00725F19">
      <w:pPr>
        <w:pStyle w:val="Bullet"/>
        <w:numPr>
          <w:ilvl w:val="0"/>
          <w:numId w:val="0"/>
        </w:numPr>
        <w:spacing w:before="0"/>
        <w:rPr>
          <w:rFonts w:ascii="Franklin Gothic Book" w:hAnsi="Franklin Gothic Book"/>
        </w:rPr>
      </w:pPr>
      <w:r w:rsidRPr="00247126">
        <w:rPr>
          <w:rFonts w:ascii="Franklin Gothic Book" w:hAnsi="Franklin Gothic Book"/>
        </w:rPr>
        <w:t>MSAC noted that for the</w:t>
      </w:r>
      <w:r w:rsidR="006A228F" w:rsidRPr="00247126">
        <w:rPr>
          <w:rFonts w:ascii="Franklin Gothic Book" w:hAnsi="Franklin Gothic Book"/>
        </w:rPr>
        <w:t xml:space="preserve"> severe calcification</w:t>
      </w:r>
      <w:r w:rsidR="00A30B6E" w:rsidRPr="00247126">
        <w:rPr>
          <w:rFonts w:ascii="Franklin Gothic Book" w:hAnsi="Franklin Gothic Book"/>
        </w:rPr>
        <w:t xml:space="preserve"> subpopulation</w:t>
      </w:r>
      <w:r w:rsidR="006A228F" w:rsidRPr="00247126">
        <w:rPr>
          <w:rFonts w:ascii="Franklin Gothic Book" w:hAnsi="Franklin Gothic Book"/>
        </w:rPr>
        <w:t>, the cost-utility analysis</w:t>
      </w:r>
      <w:r w:rsidR="006A228F" w:rsidRPr="00247126" w:rsidDel="00A56BA0">
        <w:rPr>
          <w:rFonts w:ascii="Franklin Gothic Book" w:hAnsi="Franklin Gothic Book"/>
        </w:rPr>
        <w:t xml:space="preserve"> </w:t>
      </w:r>
      <w:r w:rsidR="006A228F" w:rsidRPr="00247126">
        <w:rPr>
          <w:rFonts w:ascii="Franklin Gothic Book" w:hAnsi="Franklin Gothic Book"/>
        </w:rPr>
        <w:t>resulted in a base case ICER of $</w:t>
      </w:r>
      <w:r w:rsidR="004A1AE4" w:rsidRPr="00247126">
        <w:rPr>
          <w:rFonts w:ascii="Franklin Gothic Book" w:hAnsi="Franklin Gothic Book"/>
          <w:b/>
          <w:bCs/>
        </w:rPr>
        <w:t>Redacted</w:t>
      </w:r>
      <w:r w:rsidR="006A228F" w:rsidRPr="00247126">
        <w:rPr>
          <w:rFonts w:ascii="Franklin Gothic Book" w:hAnsi="Franklin Gothic Book"/>
        </w:rPr>
        <w:t xml:space="preserve"> per QALY gained. However, MSAC noted that the model was based on a post hoc </w:t>
      </w:r>
      <w:r w:rsidR="00421714" w:rsidRPr="00247126">
        <w:rPr>
          <w:rFonts w:ascii="Franklin Gothic Book" w:hAnsi="Franklin Gothic Book"/>
        </w:rPr>
        <w:t>subgroup</w:t>
      </w:r>
      <w:r w:rsidR="006A228F" w:rsidRPr="00247126">
        <w:rPr>
          <w:rFonts w:ascii="Franklin Gothic Book" w:hAnsi="Franklin Gothic Book"/>
        </w:rPr>
        <w:t xml:space="preserve"> analysis of a single RCT (ILUMIEN IV) that showed no statistically significant difference </w:t>
      </w:r>
      <w:r w:rsidR="00421714" w:rsidRPr="00247126">
        <w:rPr>
          <w:rFonts w:ascii="Franklin Gothic Book" w:hAnsi="Franklin Gothic Book"/>
        </w:rPr>
        <w:t xml:space="preserve">between the study arms </w:t>
      </w:r>
      <w:r w:rsidR="006A228F" w:rsidRPr="00247126">
        <w:rPr>
          <w:rFonts w:ascii="Franklin Gothic Book" w:hAnsi="Franklin Gothic Book"/>
        </w:rPr>
        <w:t>for TVF. Rather than using direct event rates for this subpopulation, a relative rate compared to the long lesion subpopulation was used (due to uncertainty related to small event and patient numbers). For these reasons, the results of the analysis for this subpopulation are uncertain. MSAC noted that ESC’s conclusion was that even if it is non-inferior, it is more expensive and probably would be dominated.</w:t>
      </w:r>
    </w:p>
    <w:p w14:paraId="628B9DF3" w14:textId="1D597748" w:rsidR="006A228F" w:rsidRPr="00247126" w:rsidRDefault="003321AB" w:rsidP="00725F19">
      <w:pPr>
        <w:pStyle w:val="Bullet"/>
        <w:numPr>
          <w:ilvl w:val="0"/>
          <w:numId w:val="0"/>
        </w:numPr>
        <w:spacing w:before="0"/>
        <w:rPr>
          <w:rFonts w:ascii="Franklin Gothic Book" w:hAnsi="Franklin Gothic Book"/>
        </w:rPr>
      </w:pPr>
      <w:r w:rsidRPr="00247126">
        <w:rPr>
          <w:rFonts w:ascii="Franklin Gothic Book" w:hAnsi="Franklin Gothic Book"/>
        </w:rPr>
        <w:t>MSAC noted</w:t>
      </w:r>
      <w:r w:rsidR="00C934DF" w:rsidRPr="00247126">
        <w:rPr>
          <w:rFonts w:ascii="Franklin Gothic Book" w:hAnsi="Franklin Gothic Book"/>
        </w:rPr>
        <w:t xml:space="preserve"> that for</w:t>
      </w:r>
      <w:r w:rsidRPr="00247126">
        <w:rPr>
          <w:rFonts w:ascii="Franklin Gothic Book" w:hAnsi="Franklin Gothic Book"/>
        </w:rPr>
        <w:t xml:space="preserve"> the economic evaluation for</w:t>
      </w:r>
      <w:r w:rsidR="006A228F" w:rsidRPr="00247126">
        <w:rPr>
          <w:rFonts w:ascii="Franklin Gothic Book" w:hAnsi="Franklin Gothic Book"/>
        </w:rPr>
        <w:t xml:space="preserve"> </w:t>
      </w:r>
      <w:r w:rsidR="00421714" w:rsidRPr="00247126">
        <w:rPr>
          <w:rFonts w:ascii="Franklin Gothic Book" w:hAnsi="Franklin Gothic Book"/>
        </w:rPr>
        <w:t>the subpopulation with</w:t>
      </w:r>
      <w:r w:rsidR="006A228F" w:rsidRPr="00247126">
        <w:rPr>
          <w:rFonts w:ascii="Franklin Gothic Book" w:hAnsi="Franklin Gothic Book"/>
        </w:rPr>
        <w:t xml:space="preserve"> long lesions, the clinical claim in the Commentary</w:t>
      </w:r>
      <w:r w:rsidRPr="00247126">
        <w:rPr>
          <w:rFonts w:ascii="Franklin Gothic Book" w:hAnsi="Franklin Gothic Book"/>
        </w:rPr>
        <w:t xml:space="preserve"> </w:t>
      </w:r>
      <w:r w:rsidR="006A228F" w:rsidRPr="00247126">
        <w:rPr>
          <w:rFonts w:ascii="Franklin Gothic Book" w:hAnsi="Franklin Gothic Book"/>
        </w:rPr>
        <w:t xml:space="preserve">supports superiority for OCT in terms of </w:t>
      </w:r>
      <w:r w:rsidR="00421714" w:rsidRPr="00247126">
        <w:rPr>
          <w:rFonts w:ascii="Franklin Gothic Book" w:hAnsi="Franklin Gothic Book"/>
        </w:rPr>
        <w:t xml:space="preserve">the </w:t>
      </w:r>
      <w:r w:rsidR="006A228F" w:rsidRPr="00247126">
        <w:rPr>
          <w:rFonts w:ascii="Franklin Gothic Book" w:hAnsi="Franklin Gothic Book"/>
        </w:rPr>
        <w:t xml:space="preserve">stent thrombosis </w:t>
      </w:r>
      <w:r w:rsidR="00421714" w:rsidRPr="00247126">
        <w:rPr>
          <w:rFonts w:ascii="Franklin Gothic Book" w:hAnsi="Franklin Gothic Book"/>
        </w:rPr>
        <w:t xml:space="preserve">outcome </w:t>
      </w:r>
      <w:r w:rsidR="006A228F" w:rsidRPr="00247126">
        <w:rPr>
          <w:rFonts w:ascii="Franklin Gothic Book" w:hAnsi="Franklin Gothic Book"/>
        </w:rPr>
        <w:t>only. Including a difference only for this outcome yields an ICER of $</w:t>
      </w:r>
      <w:r w:rsidR="004A1AE4" w:rsidRPr="00247126">
        <w:rPr>
          <w:rFonts w:ascii="Franklin Gothic Book" w:hAnsi="Franklin Gothic Book"/>
          <w:b/>
          <w:bCs/>
        </w:rPr>
        <w:t>Redacted</w:t>
      </w:r>
      <w:r w:rsidR="00421714" w:rsidRPr="00247126">
        <w:rPr>
          <w:rFonts w:ascii="Franklin Gothic Book" w:hAnsi="Franklin Gothic Book"/>
        </w:rPr>
        <w:t xml:space="preserve"> which is </w:t>
      </w:r>
      <w:r w:rsidR="006A228F" w:rsidRPr="00247126">
        <w:rPr>
          <w:rFonts w:ascii="Franklin Gothic Book" w:hAnsi="Franklin Gothic Book"/>
        </w:rPr>
        <w:t>substantially higher than $</w:t>
      </w:r>
      <w:r w:rsidR="004A1AE4" w:rsidRPr="00247126">
        <w:rPr>
          <w:rFonts w:ascii="Franklin Gothic Book" w:hAnsi="Franklin Gothic Book"/>
          <w:b/>
          <w:bCs/>
        </w:rPr>
        <w:t>Redacted</w:t>
      </w:r>
      <w:r w:rsidR="006A228F" w:rsidRPr="00247126">
        <w:rPr>
          <w:rFonts w:ascii="Franklin Gothic Book" w:hAnsi="Franklin Gothic Book"/>
        </w:rPr>
        <w:t xml:space="preserve"> in the ADAR base case for this subpopulation.</w:t>
      </w:r>
    </w:p>
    <w:p w14:paraId="213762D9" w14:textId="35F640B8" w:rsidR="006A228F" w:rsidRPr="00247126" w:rsidRDefault="006A228F" w:rsidP="00725F19">
      <w:pPr>
        <w:pStyle w:val="Bullet"/>
        <w:numPr>
          <w:ilvl w:val="0"/>
          <w:numId w:val="0"/>
        </w:numPr>
        <w:spacing w:before="0"/>
        <w:rPr>
          <w:rFonts w:ascii="Franklin Gothic Book" w:hAnsi="Franklin Gothic Book"/>
        </w:rPr>
      </w:pPr>
      <w:r w:rsidRPr="00247126">
        <w:rPr>
          <w:rFonts w:ascii="Franklin Gothic Book" w:hAnsi="Franklin Gothic Book"/>
        </w:rPr>
        <w:t>MSAC noted that no formal cost-utility analysis was presented for the stent failure subpopulation due to the absence of reliable subgroup data.</w:t>
      </w:r>
    </w:p>
    <w:p w14:paraId="64D7E410" w14:textId="0C41D269" w:rsidR="006A228F" w:rsidRPr="00247126" w:rsidRDefault="006A228F" w:rsidP="006A228F">
      <w:r w:rsidRPr="00247126">
        <w:t>MSAC noted that an epidemiological approach was taken in the ADAR to estimate the utilisation and financial impact to the MBS of the proposed listing. The ADAR assumed uptake of OCT would be gradual given the requirements for capital investment</w:t>
      </w:r>
      <w:r w:rsidR="00171923" w:rsidRPr="00247126">
        <w:t xml:space="preserve"> and </w:t>
      </w:r>
      <w:r w:rsidRPr="00247126">
        <w:t xml:space="preserve">infrastructure necessary for this technology, reaching </w:t>
      </w:r>
      <w:r w:rsidR="00BA7449" w:rsidRPr="00247126">
        <w:rPr>
          <w:b/>
          <w:bCs/>
        </w:rPr>
        <w:t>Redacted</w:t>
      </w:r>
      <w:r w:rsidRPr="00247126">
        <w:t xml:space="preserve">% by </w:t>
      </w:r>
      <w:r w:rsidR="0054264A" w:rsidRPr="00247126">
        <w:t>Y</w:t>
      </w:r>
      <w:r w:rsidRPr="00247126">
        <w:t>ear 6.</w:t>
      </w:r>
    </w:p>
    <w:p w14:paraId="495533B8" w14:textId="143A6876" w:rsidR="006A228F" w:rsidRPr="00247126" w:rsidRDefault="006A228F" w:rsidP="006A228F">
      <w:r w:rsidRPr="00247126">
        <w:t xml:space="preserve">For the long/multiple lesion subpopulation, the ADAR assumed that patients would otherwise receive IVUS, thus achieving cost neutrality from the perspective of the MBS (the proposed fee for the OCT service is the same as for IVUS). The Commentary noted that the assumed </w:t>
      </w:r>
      <w:r w:rsidR="00C226DE" w:rsidRPr="00247126">
        <w:rPr>
          <w:b/>
          <w:bCs/>
        </w:rPr>
        <w:t>Redacted</w:t>
      </w:r>
      <w:r w:rsidRPr="00247126">
        <w:t xml:space="preserve"> market share did not </w:t>
      </w:r>
      <w:r w:rsidR="00BE76EB" w:rsidRPr="00247126">
        <w:t>consider</w:t>
      </w:r>
      <w:r w:rsidRPr="00247126">
        <w:t xml:space="preserve"> that the definition of long lesions was broader for OCT than for IVUS and there may be uncertainty in the way the IVUS and OCT eligibility for the long lesion subpopulation will be interpreted in clinical practice.</w:t>
      </w:r>
    </w:p>
    <w:p w14:paraId="64AE07FD" w14:textId="6350C2CC" w:rsidR="006A228F" w:rsidRPr="00247126" w:rsidRDefault="006A228F" w:rsidP="006A228F">
      <w:r w:rsidRPr="00247126">
        <w:t>The financial implications to the MBS resulting from the proposed listing of OCT-guided PCI with stent insertion were $</w:t>
      </w:r>
      <w:r w:rsidR="001221EF" w:rsidRPr="00247126">
        <w:rPr>
          <w:b/>
          <w:bCs/>
        </w:rPr>
        <w:t>Redacted</w:t>
      </w:r>
      <w:r w:rsidRPr="00247126">
        <w:t xml:space="preserve"> in </w:t>
      </w:r>
      <w:r w:rsidR="0054264A" w:rsidRPr="00247126">
        <w:t>Y</w:t>
      </w:r>
      <w:r w:rsidRPr="00247126">
        <w:t>ear 1 and $</w:t>
      </w:r>
      <w:r w:rsidR="00D80B4D" w:rsidRPr="00247126">
        <w:rPr>
          <w:b/>
          <w:bCs/>
        </w:rPr>
        <w:t>Redacted</w:t>
      </w:r>
      <w:r w:rsidRPr="00247126">
        <w:t xml:space="preserve"> in </w:t>
      </w:r>
      <w:r w:rsidR="0054264A" w:rsidRPr="00247126">
        <w:t>Y</w:t>
      </w:r>
      <w:r w:rsidRPr="00247126">
        <w:t xml:space="preserve">ear 6. The analyses assumed 40% of all patients undergoing PCI stent insertion would meet at least one of the OCT eligibility criteria, acknowledging that many patients would satisfy multiple eligibility criteria. The net cost to the MBS would increase if OCT uptake was greater than </w:t>
      </w:r>
      <w:r w:rsidR="00C226DE" w:rsidRPr="00247126">
        <w:rPr>
          <w:b/>
          <w:bCs/>
        </w:rPr>
        <w:t>Redacted</w:t>
      </w:r>
      <w:r w:rsidRPr="00247126">
        <w:t xml:space="preserve">% by </w:t>
      </w:r>
      <w:r w:rsidR="00A47FE7" w:rsidRPr="00247126">
        <w:t>Y</w:t>
      </w:r>
      <w:r w:rsidRPr="00247126">
        <w:t>ear 6, or if a lower proportion of patients satisfy multiple eligibility criteria.</w:t>
      </w:r>
      <w:r w:rsidR="00522EB3" w:rsidRPr="00247126">
        <w:t xml:space="preserve"> MSAC considered this to be a conservative estimate and </w:t>
      </w:r>
      <w:r w:rsidR="00F6039F" w:rsidRPr="00247126">
        <w:t xml:space="preserve">acknowledged this </w:t>
      </w:r>
      <w:r w:rsidR="00204FF5" w:rsidRPr="00247126">
        <w:t xml:space="preserve">uncertainty could be increased if OCT becomes widely used in clinical practice beyond it’s intended use. MSAC </w:t>
      </w:r>
      <w:r w:rsidR="000C6597" w:rsidRPr="00247126">
        <w:t xml:space="preserve">considered the department could </w:t>
      </w:r>
      <w:r w:rsidR="000C6597" w:rsidRPr="00247126">
        <w:lastRenderedPageBreak/>
        <w:t xml:space="preserve">provide </w:t>
      </w:r>
      <w:r w:rsidR="00F569D3" w:rsidRPr="00247126">
        <w:t>a</w:t>
      </w:r>
      <w:r w:rsidR="00205863" w:rsidRPr="00247126">
        <w:t>n</w:t>
      </w:r>
      <w:r w:rsidR="00F569D3" w:rsidRPr="00247126">
        <w:t xml:space="preserve"> </w:t>
      </w:r>
      <w:r w:rsidR="00205863" w:rsidRPr="00247126">
        <w:t>explanatory</w:t>
      </w:r>
      <w:r w:rsidR="00DC135A" w:rsidRPr="00247126">
        <w:t xml:space="preserve"> </w:t>
      </w:r>
      <w:r w:rsidR="00DC3392" w:rsidRPr="00247126">
        <w:t xml:space="preserve">note </w:t>
      </w:r>
      <w:r w:rsidR="008F08FC" w:rsidRPr="00247126">
        <w:t>to</w:t>
      </w:r>
      <w:r w:rsidR="00DC3392" w:rsidRPr="00247126">
        <w:t xml:space="preserve"> the MBS </w:t>
      </w:r>
      <w:r w:rsidR="008F08FC" w:rsidRPr="00247126">
        <w:t>item descriptor</w:t>
      </w:r>
      <w:r w:rsidR="00DC3392" w:rsidRPr="00247126">
        <w:t xml:space="preserve"> that </w:t>
      </w:r>
      <w:r w:rsidR="00107A27" w:rsidRPr="00247126">
        <w:t xml:space="preserve">details the correct usage and suggested this may </w:t>
      </w:r>
      <w:r w:rsidR="007D690D" w:rsidRPr="00247126">
        <w:t>reduce the uncertainty.</w:t>
      </w:r>
    </w:p>
    <w:p w14:paraId="03754F34" w14:textId="77777777" w:rsidR="006A228F" w:rsidRPr="00247126" w:rsidRDefault="006A228F" w:rsidP="006A228F">
      <w:r w:rsidRPr="00247126">
        <w:t>MSAC noted that the financial estimates did not include any potential cost savings to the MBS associated with reduced major cardiac events in patients who receive OCT-guided stent implantation.</w:t>
      </w:r>
    </w:p>
    <w:p w14:paraId="466C2CA5" w14:textId="4083ADE8" w:rsidR="006A228F" w:rsidRPr="00247126" w:rsidRDefault="006A228F" w:rsidP="006A228F">
      <w:r w:rsidRPr="00247126">
        <w:t xml:space="preserve">MSAC noted that the MBS costs comprise a minor component of the overall financial costs. </w:t>
      </w:r>
      <w:r w:rsidR="00DC135A" w:rsidRPr="00247126">
        <w:t>MSAC considered t</w:t>
      </w:r>
      <w:r w:rsidRPr="00247126">
        <w:t>he majority of the costs of OCT would be borne by hospitals, health funds and/or patients. The capital equipment cost per procedure will occur on a per hospital basis, given that each hospital will be required to purchase its own OCT system. The OCT system currently costs $</w:t>
      </w:r>
      <w:r w:rsidR="00D80B4D" w:rsidRPr="00247126">
        <w:rPr>
          <w:b/>
          <w:bCs/>
        </w:rPr>
        <w:t>Redacted</w:t>
      </w:r>
      <w:r w:rsidRPr="00247126">
        <w:t xml:space="preserve"> per unit (plus $</w:t>
      </w:r>
      <w:r w:rsidR="00D80B4D" w:rsidRPr="00247126">
        <w:rPr>
          <w:b/>
          <w:bCs/>
        </w:rPr>
        <w:t xml:space="preserve">Redacted </w:t>
      </w:r>
      <w:r w:rsidRPr="00247126">
        <w:t xml:space="preserve">annual maintenance) with an expected longevity of 10 years. </w:t>
      </w:r>
      <w:r w:rsidR="00DC135A" w:rsidRPr="00247126">
        <w:t>MSAC noted that a</w:t>
      </w:r>
      <w:r w:rsidRPr="00247126">
        <w:t xml:space="preserve">ccording to the application, there were </w:t>
      </w:r>
      <w:r w:rsidR="008B7692" w:rsidRPr="00247126">
        <w:rPr>
          <w:b/>
          <w:bCs/>
        </w:rPr>
        <w:t>Redacted</w:t>
      </w:r>
      <w:r w:rsidRPr="00247126">
        <w:t xml:space="preserve"> OCT systems in private hospitals in Australia. </w:t>
      </w:r>
      <w:r w:rsidR="00DC135A" w:rsidRPr="00247126">
        <w:t>MSAC acknowledged that there were no estimates</w:t>
      </w:r>
      <w:r w:rsidRPr="00247126">
        <w:t xml:space="preserve"> for the number of OCT systems that would be purchased after listing on the MBS</w:t>
      </w:r>
      <w:r w:rsidR="00DC135A" w:rsidRPr="00247126">
        <w:t xml:space="preserve"> </w:t>
      </w:r>
      <w:r w:rsidR="00E93893" w:rsidRPr="00247126">
        <w:t xml:space="preserve">should OCT be </w:t>
      </w:r>
      <w:r w:rsidR="00741707" w:rsidRPr="00247126">
        <w:t>supported and</w:t>
      </w:r>
      <w:r w:rsidR="00DC135A" w:rsidRPr="00247126">
        <w:t xml:space="preserve"> implemented</w:t>
      </w:r>
      <w:r w:rsidRPr="00247126">
        <w:t>.</w:t>
      </w:r>
    </w:p>
    <w:p w14:paraId="411AA7DB" w14:textId="16B36B6F" w:rsidR="002805E9" w:rsidRPr="00247126" w:rsidRDefault="002805E9" w:rsidP="002805E9">
      <w:r w:rsidRPr="00247126">
        <w:t>MSAC noted that the OCT imaging catheter is a single use device, provided in a kit with other OCT-specific consumables at a cost of $</w:t>
      </w:r>
      <w:r w:rsidR="00D80B4D" w:rsidRPr="00247126">
        <w:rPr>
          <w:b/>
          <w:bCs/>
        </w:rPr>
        <w:t>Redacted</w:t>
      </w:r>
      <w:r w:rsidR="004D1125" w:rsidRPr="00247126">
        <w:t xml:space="preserve"> and</w:t>
      </w:r>
      <w:r w:rsidRPr="00247126">
        <w:t xml:space="preserve"> that the applicant intends to seek inclusion of the catheter on Part C of the PL. </w:t>
      </w:r>
      <w:r w:rsidR="002A109E" w:rsidRPr="00247126">
        <w:t xml:space="preserve">However, </w:t>
      </w:r>
      <w:r w:rsidRPr="00247126">
        <w:t>MSAC noted that if the catheter is not listed on the PL, the cost of the OCT kit will need to be covered by patients (as an out-of-pocket expense), hospitals and/or private health insurance funds.</w:t>
      </w:r>
      <w:r w:rsidR="004D1125" w:rsidRPr="00247126">
        <w:t xml:space="preserve"> </w:t>
      </w:r>
      <w:r w:rsidR="00080B75" w:rsidRPr="00247126">
        <w:t>MSAC noted advi</w:t>
      </w:r>
      <w:r w:rsidR="00930881" w:rsidRPr="00247126">
        <w:t>c</w:t>
      </w:r>
      <w:r w:rsidR="00080B75" w:rsidRPr="00247126">
        <w:t>e from the</w:t>
      </w:r>
      <w:r w:rsidR="0003754C" w:rsidRPr="00247126">
        <w:t xml:space="preserve"> department</w:t>
      </w:r>
      <w:r w:rsidR="004D1125" w:rsidRPr="00247126">
        <w:t xml:space="preserve"> that the catheter is </w:t>
      </w:r>
      <w:r w:rsidR="0003754C" w:rsidRPr="00247126">
        <w:t>unlikely</w:t>
      </w:r>
      <w:r w:rsidR="004D1125" w:rsidRPr="00247126">
        <w:t xml:space="preserve"> to be eligible for listing on the PL</w:t>
      </w:r>
      <w:r w:rsidR="007D6403" w:rsidRPr="00247126">
        <w:t>.</w:t>
      </w:r>
    </w:p>
    <w:p w14:paraId="678C418E" w14:textId="100E23B6" w:rsidR="00247B6B" w:rsidRPr="00247126" w:rsidRDefault="00B4667B" w:rsidP="006A228F">
      <w:r w:rsidRPr="00247126">
        <w:t xml:space="preserve">In summary, </w:t>
      </w:r>
      <w:r w:rsidR="006A228F" w:rsidRPr="00247126">
        <w:t xml:space="preserve">MSAC </w:t>
      </w:r>
      <w:r w:rsidR="00530AEC" w:rsidRPr="00247126">
        <w:t xml:space="preserve">supported the creation of a new MBS item for the use of OCT </w:t>
      </w:r>
      <w:r w:rsidR="00CE2064" w:rsidRPr="00247126">
        <w:t xml:space="preserve">guided coronary artery stent insertion for patients eligible for coronary revascularisation for the bifurcation and stent </w:t>
      </w:r>
      <w:r w:rsidR="00741707" w:rsidRPr="00247126">
        <w:t xml:space="preserve">failure due to </w:t>
      </w:r>
      <w:r w:rsidR="00CE2064" w:rsidRPr="00247126">
        <w:t>stent thrombosis subpopulations</w:t>
      </w:r>
      <w:r w:rsidR="007865B2" w:rsidRPr="00247126">
        <w:t>. Additionally, MSAC supported the use of OCT for the long lesion subpopulation and recommended</w:t>
      </w:r>
      <w:r w:rsidR="006A228F" w:rsidRPr="00247126">
        <w:t xml:space="preserve"> that </w:t>
      </w:r>
      <w:r w:rsidR="007865B2" w:rsidRPr="00247126">
        <w:t xml:space="preserve">this could be either </w:t>
      </w:r>
      <w:r w:rsidR="007E2A37" w:rsidRPr="00247126">
        <w:t xml:space="preserve">aligned with the pre-existing IVUS MBS item number </w:t>
      </w:r>
      <w:r w:rsidR="007335BF" w:rsidRPr="00247126">
        <w:t xml:space="preserve">38325; or created as a new standalone MBS item. </w:t>
      </w:r>
      <w:r w:rsidR="006A228F" w:rsidRPr="00247126">
        <w:t xml:space="preserve">MSAC advised that for the long lesion subpopulation, either OCT or IVUS should only be billed per episode, with the choice of modality determined by clinician preference. </w:t>
      </w:r>
      <w:r w:rsidRPr="00247126">
        <w:t xml:space="preserve">MSAC </w:t>
      </w:r>
      <w:r w:rsidR="00455E5F" w:rsidRPr="00247126">
        <w:t>recommended that the department consult with the CSANZ in the establishment of guidelines and credentialling for providers.</w:t>
      </w:r>
    </w:p>
    <w:p w14:paraId="6710B69D" w14:textId="5B6FEE3D" w:rsidR="00772829" w:rsidRPr="00247126" w:rsidRDefault="00247B6B" w:rsidP="002A18BE">
      <w:pPr>
        <w:pStyle w:val="Heading2"/>
        <w:numPr>
          <w:ilvl w:val="1"/>
          <w:numId w:val="0"/>
        </w:numPr>
      </w:pPr>
      <w:bookmarkStart w:id="2" w:name="_Toc69491416"/>
      <w:bookmarkEnd w:id="1"/>
      <w:r w:rsidRPr="00247126">
        <w:t>4</w:t>
      </w:r>
      <w:r w:rsidR="00C36633" w:rsidRPr="00247126">
        <w:t>.</w:t>
      </w:r>
      <w:r w:rsidR="00C36633" w:rsidRPr="00247126">
        <w:tab/>
      </w:r>
      <w:r w:rsidR="00772829" w:rsidRPr="00247126">
        <w:t>Background</w:t>
      </w:r>
      <w:bookmarkEnd w:id="2"/>
    </w:p>
    <w:p w14:paraId="3739811C" w14:textId="40257BC5" w:rsidR="005B51F8" w:rsidRPr="00247126" w:rsidRDefault="00563C99" w:rsidP="00563C99">
      <w:bookmarkStart w:id="3" w:name="_Hlk69734494"/>
      <w:r w:rsidRPr="00247126">
        <w:t>MSAC has not previously considered OCT-guided coronary stent insertion for patients eligible for coronary revascularisation.</w:t>
      </w:r>
    </w:p>
    <w:p w14:paraId="5C1337B6" w14:textId="5A7E4B00" w:rsidR="00EF049C" w:rsidRPr="00247126" w:rsidRDefault="006B3ADB" w:rsidP="00563C99">
      <w:r w:rsidRPr="00247126">
        <w:t>M</w:t>
      </w:r>
      <w:r w:rsidR="00602A39" w:rsidRPr="00247126">
        <w:t>S</w:t>
      </w:r>
      <w:r w:rsidRPr="00247126">
        <w:t xml:space="preserve">AC </w:t>
      </w:r>
      <w:r w:rsidR="00C417E3" w:rsidRPr="00247126">
        <w:t xml:space="preserve">supported </w:t>
      </w:r>
      <w:r w:rsidR="00602A39" w:rsidRPr="00247126">
        <w:t>MBS listing of i</w:t>
      </w:r>
      <w:r w:rsidR="00EF049C" w:rsidRPr="00247126">
        <w:t>ntravascular ultrasound (IVUS)-guided coronary stent insertion</w:t>
      </w:r>
      <w:r w:rsidR="00223D0A" w:rsidRPr="00247126">
        <w:t xml:space="preserve"> </w:t>
      </w:r>
      <w:r w:rsidR="00EF049C" w:rsidRPr="00247126">
        <w:t xml:space="preserve">in </w:t>
      </w:r>
      <w:r w:rsidR="007028D0" w:rsidRPr="00247126">
        <w:t xml:space="preserve">patients eligible for coronary revascularisation </w:t>
      </w:r>
      <w:r w:rsidR="00D930EA" w:rsidRPr="00247126">
        <w:t xml:space="preserve">with </w:t>
      </w:r>
      <w:r w:rsidR="00A807F7" w:rsidRPr="00247126">
        <w:t>complex anatomical characteristics (</w:t>
      </w:r>
      <w:r w:rsidR="00550462" w:rsidRPr="00247126">
        <w:t>lesions associated with the left main coronary artery or other lesion locations with lesion length ≥28 mm)</w:t>
      </w:r>
      <w:r w:rsidR="00404851" w:rsidRPr="00247126">
        <w:t xml:space="preserve"> </w:t>
      </w:r>
      <w:r w:rsidR="009D38D1" w:rsidRPr="00247126">
        <w:t xml:space="preserve">in </w:t>
      </w:r>
      <w:r w:rsidR="007C56B6" w:rsidRPr="00247126">
        <w:t xml:space="preserve">April 2022 </w:t>
      </w:r>
      <w:r w:rsidR="00EF049C" w:rsidRPr="00247126">
        <w:t>(</w:t>
      </w:r>
      <w:hyperlink r:id="rId10" w:tooltip="Weblink to MSAC website page for application 1354.1" w:history="1">
        <w:r w:rsidR="00CB5F5E" w:rsidRPr="00247126">
          <w:rPr>
            <w:rStyle w:val="Hyperlink"/>
          </w:rPr>
          <w:t>MSAC application 1354.1</w:t>
        </w:r>
      </w:hyperlink>
      <w:r w:rsidR="00EF049C" w:rsidRPr="00247126">
        <w:t>)</w:t>
      </w:r>
      <w:r w:rsidR="77BDEF41" w:rsidRPr="00247126">
        <w:t>, which resulted in MBS item 38325</w:t>
      </w:r>
      <w:r w:rsidR="00D930EA" w:rsidRPr="00247126">
        <w:t>.</w:t>
      </w:r>
    </w:p>
    <w:p w14:paraId="6F52500A" w14:textId="38CB4DD7" w:rsidR="00772829" w:rsidRPr="00247126" w:rsidRDefault="00247B6B" w:rsidP="002A18BE">
      <w:pPr>
        <w:pStyle w:val="Heading2"/>
        <w:numPr>
          <w:ilvl w:val="0"/>
          <w:numId w:val="0"/>
        </w:numPr>
      </w:pPr>
      <w:bookmarkStart w:id="4" w:name="_Toc69491417"/>
      <w:bookmarkEnd w:id="3"/>
      <w:r w:rsidRPr="00247126">
        <w:t>5</w:t>
      </w:r>
      <w:r w:rsidR="00C36633" w:rsidRPr="00247126">
        <w:t>.</w:t>
      </w:r>
      <w:r w:rsidR="00C36633" w:rsidRPr="00247126">
        <w:tab/>
      </w:r>
      <w:r w:rsidR="00772829" w:rsidRPr="00247126">
        <w:t>Prerequisites to implementation of any funding advice</w:t>
      </w:r>
      <w:bookmarkEnd w:id="4"/>
    </w:p>
    <w:p w14:paraId="205FC65B" w14:textId="7E16EAB5" w:rsidR="00B6727D" w:rsidRPr="00247126" w:rsidRDefault="00B6727D" w:rsidP="00B6727D">
      <w:pPr>
        <w:pStyle w:val="Heading3"/>
      </w:pPr>
      <w:r w:rsidRPr="00247126">
        <w:t xml:space="preserve">Regulatory </w:t>
      </w:r>
      <w:r w:rsidR="00C75FB3" w:rsidRPr="00247126">
        <w:t xml:space="preserve">approval </w:t>
      </w:r>
      <w:r w:rsidRPr="00247126">
        <w:t>status</w:t>
      </w:r>
    </w:p>
    <w:p w14:paraId="30C610FF" w14:textId="4D7B8B38" w:rsidR="00CA76B2" w:rsidRPr="00247126" w:rsidRDefault="003D1C91" w:rsidP="000E5D08">
      <w:r w:rsidRPr="00247126">
        <w:t>Three c</w:t>
      </w:r>
      <w:r w:rsidR="00C63C0C" w:rsidRPr="00247126">
        <w:t xml:space="preserve">oronary </w:t>
      </w:r>
      <w:r w:rsidR="00823D4B" w:rsidRPr="00247126">
        <w:t>OCT</w:t>
      </w:r>
      <w:r w:rsidR="00C63C0C" w:rsidRPr="00247126">
        <w:t xml:space="preserve"> systems </w:t>
      </w:r>
      <w:r w:rsidR="00F745D6" w:rsidRPr="00247126">
        <w:t xml:space="preserve">and three coronary OCT system catheters </w:t>
      </w:r>
      <w:r w:rsidR="00F53977" w:rsidRPr="00247126">
        <w:t>are currently included on the Australian Register of Therapeutic Goods (ARTG)</w:t>
      </w:r>
      <w:r w:rsidR="00E809B8" w:rsidRPr="00247126">
        <w:t xml:space="preserve"> </w:t>
      </w:r>
      <w:r w:rsidR="00F40A3D" w:rsidRPr="00247126">
        <w:t xml:space="preserve">(see </w:t>
      </w:r>
      <w:r w:rsidR="000268C8" w:rsidRPr="00247126">
        <w:fldChar w:fldCharType="begin"/>
      </w:r>
      <w:r w:rsidR="000268C8" w:rsidRPr="00247126">
        <w:instrText xml:space="preserve"> REF _Ref163122647 \h </w:instrText>
      </w:r>
      <w:r w:rsidR="00C567A2" w:rsidRPr="00247126">
        <w:instrText xml:space="preserve"> \* MERGEFORMAT </w:instrText>
      </w:r>
      <w:r w:rsidR="000268C8" w:rsidRPr="00247126">
        <w:fldChar w:fldCharType="separate"/>
      </w:r>
      <w:r w:rsidR="00151E03" w:rsidRPr="00247126">
        <w:t xml:space="preserve">Table </w:t>
      </w:r>
      <w:r w:rsidR="00151E03" w:rsidRPr="00247126">
        <w:rPr>
          <w:noProof/>
        </w:rPr>
        <w:t>1</w:t>
      </w:r>
      <w:r w:rsidR="000268C8" w:rsidRPr="00247126">
        <w:fldChar w:fldCharType="end"/>
      </w:r>
      <w:r w:rsidR="000268C8" w:rsidRPr="00247126">
        <w:t>)</w:t>
      </w:r>
      <w:r w:rsidR="00CA6068" w:rsidRPr="00247126">
        <w:t xml:space="preserve">. </w:t>
      </w:r>
      <w:r w:rsidR="00EF64CE" w:rsidRPr="00247126">
        <w:t>All entries are sponsored by Abbott Medical.</w:t>
      </w:r>
    </w:p>
    <w:p w14:paraId="1657D531" w14:textId="4EE158C6" w:rsidR="00845C7D" w:rsidRPr="00247126" w:rsidRDefault="00CA76B2" w:rsidP="000E5D08">
      <w:r w:rsidRPr="00247126">
        <w:lastRenderedPageBreak/>
        <w:t xml:space="preserve">The OCT imaging system and catheter are intended: 1. </w:t>
      </w:r>
      <w:r w:rsidR="00B27F9B" w:rsidRPr="00247126">
        <w:t>f</w:t>
      </w:r>
      <w:r w:rsidRPr="00247126">
        <w:t xml:space="preserve">or qualitative and quantitative evaluation of vascular morphology in the coronary arteries; 2. </w:t>
      </w:r>
      <w:r w:rsidR="00B27F9B" w:rsidRPr="00247126">
        <w:t>a</w:t>
      </w:r>
      <w:r w:rsidRPr="00247126">
        <w:t xml:space="preserve">s an adjunct to conventional angiographic procedure to provide an image of vessel lumen and wall structures; </w:t>
      </w:r>
      <w:r w:rsidR="005A2B92" w:rsidRPr="00247126">
        <w:t xml:space="preserve">and </w:t>
      </w:r>
      <w:r w:rsidRPr="00247126">
        <w:t xml:space="preserve">3. </w:t>
      </w:r>
      <w:r w:rsidR="00B27F9B" w:rsidRPr="00247126">
        <w:t>f</w:t>
      </w:r>
      <w:r w:rsidRPr="00247126">
        <w:t>or the imaging of coronary arteries in patients who are candidates for transluminal interventional procedure.</w:t>
      </w:r>
    </w:p>
    <w:p w14:paraId="77875A7E" w14:textId="4BFF500B" w:rsidR="0040247E" w:rsidRPr="00247126" w:rsidRDefault="0040247E" w:rsidP="000E5D08">
      <w:r w:rsidRPr="00247126">
        <w:t>Hybrid intracoronary imaging modalities are in development, including hybrid IVUS-OCT systems.</w:t>
      </w:r>
    </w:p>
    <w:p w14:paraId="32D1F2D2" w14:textId="3107997C" w:rsidR="005B26EC" w:rsidRPr="00247126" w:rsidRDefault="005B26EC" w:rsidP="005B26EC">
      <w:pPr>
        <w:pStyle w:val="Caption"/>
      </w:pPr>
      <w:bookmarkStart w:id="5" w:name="_Ref163122647"/>
      <w:r w:rsidRPr="00247126">
        <w:t xml:space="preserve">Table </w:t>
      </w:r>
      <w:r w:rsidRPr="00247126">
        <w:fldChar w:fldCharType="begin"/>
      </w:r>
      <w:r w:rsidRPr="00247126">
        <w:instrText xml:space="preserve"> SEQ Table \* ARABIC </w:instrText>
      </w:r>
      <w:r w:rsidRPr="00247126">
        <w:fldChar w:fldCharType="separate"/>
      </w:r>
      <w:r w:rsidR="00151E03" w:rsidRPr="00247126">
        <w:rPr>
          <w:noProof/>
        </w:rPr>
        <w:t>1</w:t>
      </w:r>
      <w:r w:rsidRPr="00247126">
        <w:rPr>
          <w:noProof/>
        </w:rPr>
        <w:fldChar w:fldCharType="end"/>
      </w:r>
      <w:bookmarkEnd w:id="5"/>
      <w:r w:rsidRPr="00247126">
        <w:tab/>
        <w:t>OCT systems and imaging catheter</w:t>
      </w:r>
      <w:r w:rsidR="005B5738" w:rsidRPr="00247126">
        <w:t>s</w:t>
      </w:r>
      <w:r w:rsidRPr="00247126">
        <w:t xml:space="preserve"> listed on the </w:t>
      </w:r>
      <w:proofErr w:type="gramStart"/>
      <w:r w:rsidRPr="00247126">
        <w:t>ARTG</w:t>
      </w:r>
      <w:proofErr w:type="gramEnd"/>
    </w:p>
    <w:tbl>
      <w:tblPr>
        <w:tblStyle w:val="TableGrid"/>
        <w:tblW w:w="0" w:type="auto"/>
        <w:tblLook w:val="04A0" w:firstRow="1" w:lastRow="0" w:firstColumn="1" w:lastColumn="0" w:noHBand="0" w:noVBand="1"/>
        <w:tblCaption w:val="OCT systems and imaging catheters listed on the ARTG"/>
        <w:tblDescription w:val="This table shows the name, ARTG ID, product category and start date for the coronary OCT systems and coronary OCT system catheters currently listed on the ARTG."/>
      </w:tblPr>
      <w:tblGrid>
        <w:gridCol w:w="5382"/>
        <w:gridCol w:w="425"/>
        <w:gridCol w:w="567"/>
        <w:gridCol w:w="1559"/>
        <w:gridCol w:w="1083"/>
      </w:tblGrid>
      <w:tr w:rsidR="00FD05C2" w:rsidRPr="00247126" w14:paraId="71ABB985" w14:textId="77777777" w:rsidTr="000618F8">
        <w:trPr>
          <w:tblHeader/>
        </w:trPr>
        <w:tc>
          <w:tcPr>
            <w:tcW w:w="5382" w:type="dxa"/>
            <w:tcBorders>
              <w:bottom w:val="single" w:sz="4" w:space="0" w:color="auto"/>
            </w:tcBorders>
            <w:tcMar>
              <w:left w:w="57" w:type="dxa"/>
              <w:right w:w="57" w:type="dxa"/>
            </w:tcMar>
          </w:tcPr>
          <w:p w14:paraId="0968641F" w14:textId="205F93A9" w:rsidR="00FD05C2" w:rsidRPr="00247126" w:rsidRDefault="0097229D" w:rsidP="0097229D">
            <w:pPr>
              <w:pStyle w:val="TableHeading0"/>
            </w:pPr>
            <w:r w:rsidRPr="00247126">
              <w:t>Name</w:t>
            </w:r>
          </w:p>
        </w:tc>
        <w:tc>
          <w:tcPr>
            <w:tcW w:w="992" w:type="dxa"/>
            <w:gridSpan w:val="2"/>
            <w:tcBorders>
              <w:bottom w:val="single" w:sz="4" w:space="0" w:color="auto"/>
            </w:tcBorders>
            <w:tcMar>
              <w:left w:w="57" w:type="dxa"/>
              <w:right w:w="57" w:type="dxa"/>
            </w:tcMar>
          </w:tcPr>
          <w:p w14:paraId="04D59D4E" w14:textId="22123C94" w:rsidR="00FD05C2" w:rsidRPr="00247126" w:rsidRDefault="0097229D" w:rsidP="0097229D">
            <w:pPr>
              <w:pStyle w:val="TableHeading0"/>
            </w:pPr>
            <w:r w:rsidRPr="00247126">
              <w:t>ARTG ID</w:t>
            </w:r>
          </w:p>
        </w:tc>
        <w:tc>
          <w:tcPr>
            <w:tcW w:w="1559" w:type="dxa"/>
            <w:tcBorders>
              <w:bottom w:val="single" w:sz="4" w:space="0" w:color="auto"/>
            </w:tcBorders>
            <w:tcMar>
              <w:left w:w="57" w:type="dxa"/>
              <w:right w:w="57" w:type="dxa"/>
            </w:tcMar>
          </w:tcPr>
          <w:p w14:paraId="12007AFA" w14:textId="6B6753A4" w:rsidR="00FD05C2" w:rsidRPr="00247126" w:rsidRDefault="0097229D" w:rsidP="0097229D">
            <w:pPr>
              <w:pStyle w:val="TableHeading0"/>
            </w:pPr>
            <w:r w:rsidRPr="00247126">
              <w:t>Product category</w:t>
            </w:r>
          </w:p>
        </w:tc>
        <w:tc>
          <w:tcPr>
            <w:tcW w:w="1083" w:type="dxa"/>
            <w:tcBorders>
              <w:bottom w:val="single" w:sz="4" w:space="0" w:color="auto"/>
            </w:tcBorders>
            <w:tcMar>
              <w:left w:w="57" w:type="dxa"/>
              <w:right w:w="57" w:type="dxa"/>
            </w:tcMar>
          </w:tcPr>
          <w:p w14:paraId="377A80CB" w14:textId="7F26850D" w:rsidR="00FD05C2" w:rsidRPr="00247126" w:rsidRDefault="0097229D" w:rsidP="0097229D">
            <w:pPr>
              <w:pStyle w:val="TableHeading0"/>
            </w:pPr>
            <w:r w:rsidRPr="00247126">
              <w:t>Start date</w:t>
            </w:r>
          </w:p>
        </w:tc>
      </w:tr>
      <w:tr w:rsidR="00B0463B" w:rsidRPr="00247126" w14:paraId="3A33A945" w14:textId="77777777" w:rsidTr="006D3BCC">
        <w:tc>
          <w:tcPr>
            <w:tcW w:w="5382" w:type="dxa"/>
            <w:tcBorders>
              <w:right w:val="nil"/>
            </w:tcBorders>
            <w:shd w:val="clear" w:color="auto" w:fill="auto"/>
            <w:tcMar>
              <w:left w:w="57" w:type="dxa"/>
              <w:right w:w="57" w:type="dxa"/>
            </w:tcMar>
          </w:tcPr>
          <w:p w14:paraId="0D4B19E7" w14:textId="13AFF5C6" w:rsidR="00B0463B" w:rsidRPr="00247126" w:rsidRDefault="00B0463B" w:rsidP="00F90FD7">
            <w:pPr>
              <w:pStyle w:val="TableHeading0"/>
              <w:spacing w:before="40" w:after="40"/>
            </w:pPr>
            <w:r w:rsidRPr="00247126">
              <w:t>GMDN 47490 Coronary optical coherence tomography system</w:t>
            </w:r>
          </w:p>
        </w:tc>
        <w:tc>
          <w:tcPr>
            <w:tcW w:w="992" w:type="dxa"/>
            <w:gridSpan w:val="2"/>
            <w:tcBorders>
              <w:left w:val="nil"/>
              <w:right w:val="nil"/>
            </w:tcBorders>
            <w:shd w:val="clear" w:color="auto" w:fill="auto"/>
            <w:tcMar>
              <w:left w:w="57" w:type="dxa"/>
              <w:right w:w="57" w:type="dxa"/>
            </w:tcMar>
          </w:tcPr>
          <w:p w14:paraId="152D6E6A" w14:textId="77777777" w:rsidR="00B0463B" w:rsidRPr="00247126" w:rsidRDefault="00B0463B" w:rsidP="00F90FD7">
            <w:pPr>
              <w:pStyle w:val="TableHeading0"/>
              <w:spacing w:before="40" w:after="40"/>
            </w:pPr>
          </w:p>
        </w:tc>
        <w:tc>
          <w:tcPr>
            <w:tcW w:w="1559" w:type="dxa"/>
            <w:tcBorders>
              <w:left w:val="nil"/>
              <w:right w:val="nil"/>
            </w:tcBorders>
            <w:shd w:val="clear" w:color="auto" w:fill="auto"/>
            <w:tcMar>
              <w:left w:w="57" w:type="dxa"/>
              <w:right w:w="57" w:type="dxa"/>
            </w:tcMar>
          </w:tcPr>
          <w:p w14:paraId="0AF19487" w14:textId="77777777" w:rsidR="00B0463B" w:rsidRPr="00247126" w:rsidRDefault="00B0463B" w:rsidP="00F90FD7">
            <w:pPr>
              <w:pStyle w:val="TableHeading0"/>
              <w:spacing w:before="40" w:after="40"/>
            </w:pPr>
          </w:p>
        </w:tc>
        <w:tc>
          <w:tcPr>
            <w:tcW w:w="1083" w:type="dxa"/>
            <w:tcBorders>
              <w:left w:val="nil"/>
            </w:tcBorders>
            <w:shd w:val="clear" w:color="auto" w:fill="auto"/>
            <w:tcMar>
              <w:left w:w="57" w:type="dxa"/>
              <w:right w:w="57" w:type="dxa"/>
            </w:tcMar>
          </w:tcPr>
          <w:p w14:paraId="70DBC579" w14:textId="77777777" w:rsidR="00B0463B" w:rsidRPr="00247126" w:rsidRDefault="00B0463B" w:rsidP="00F90FD7">
            <w:pPr>
              <w:pStyle w:val="TableHeading0"/>
              <w:spacing w:before="40" w:after="40"/>
            </w:pPr>
          </w:p>
        </w:tc>
      </w:tr>
      <w:tr w:rsidR="00FD05C2" w:rsidRPr="00247126" w14:paraId="1B6C4524" w14:textId="77777777" w:rsidTr="000618F8">
        <w:tc>
          <w:tcPr>
            <w:tcW w:w="5382" w:type="dxa"/>
            <w:tcMar>
              <w:left w:w="57" w:type="dxa"/>
              <w:right w:w="57" w:type="dxa"/>
            </w:tcMar>
          </w:tcPr>
          <w:p w14:paraId="63F911FC" w14:textId="5026529E" w:rsidR="00FD05C2" w:rsidRPr="00247126" w:rsidRDefault="0097229D" w:rsidP="006620F8">
            <w:pPr>
              <w:pStyle w:val="TableText"/>
            </w:pPr>
            <w:r w:rsidRPr="00247126">
              <w:t>Coronary OCT system</w:t>
            </w:r>
          </w:p>
        </w:tc>
        <w:tc>
          <w:tcPr>
            <w:tcW w:w="992" w:type="dxa"/>
            <w:gridSpan w:val="2"/>
            <w:tcMar>
              <w:left w:w="57" w:type="dxa"/>
              <w:right w:w="57" w:type="dxa"/>
            </w:tcMar>
          </w:tcPr>
          <w:p w14:paraId="6533D553" w14:textId="44F52F80" w:rsidR="00FD05C2" w:rsidRPr="00247126" w:rsidRDefault="00961EB8" w:rsidP="00961EB8">
            <w:pPr>
              <w:pStyle w:val="TableText"/>
            </w:pPr>
            <w:r w:rsidRPr="00247126">
              <w:t>314829</w:t>
            </w:r>
          </w:p>
        </w:tc>
        <w:tc>
          <w:tcPr>
            <w:tcW w:w="1559" w:type="dxa"/>
            <w:tcMar>
              <w:left w:w="57" w:type="dxa"/>
              <w:right w:w="57" w:type="dxa"/>
            </w:tcMar>
          </w:tcPr>
          <w:p w14:paraId="108BB6C2" w14:textId="78CC9747" w:rsidR="00FD05C2" w:rsidRPr="00247126" w:rsidRDefault="00961EB8" w:rsidP="006620F8">
            <w:pPr>
              <w:pStyle w:val="TableText"/>
            </w:pPr>
            <w:r w:rsidRPr="00247126">
              <w:t xml:space="preserve">Class </w:t>
            </w:r>
            <w:proofErr w:type="spellStart"/>
            <w:r w:rsidRPr="00247126">
              <w:t>IIa</w:t>
            </w:r>
            <w:proofErr w:type="spellEnd"/>
          </w:p>
        </w:tc>
        <w:tc>
          <w:tcPr>
            <w:tcW w:w="1083" w:type="dxa"/>
            <w:tcMar>
              <w:left w:w="57" w:type="dxa"/>
              <w:right w:w="57" w:type="dxa"/>
            </w:tcMar>
          </w:tcPr>
          <w:p w14:paraId="5AEEEFA4" w14:textId="20B0C06F" w:rsidR="00FD05C2" w:rsidRPr="00247126" w:rsidRDefault="00961EB8" w:rsidP="00961EB8">
            <w:pPr>
              <w:pStyle w:val="TableText"/>
            </w:pPr>
            <w:r w:rsidRPr="00247126">
              <w:t>26/02/2019</w:t>
            </w:r>
          </w:p>
        </w:tc>
      </w:tr>
      <w:tr w:rsidR="00FD05C2" w:rsidRPr="00247126" w14:paraId="04C6A32C" w14:textId="77777777" w:rsidTr="000618F8">
        <w:tc>
          <w:tcPr>
            <w:tcW w:w="5382" w:type="dxa"/>
            <w:tcMar>
              <w:left w:w="57" w:type="dxa"/>
              <w:right w:w="57" w:type="dxa"/>
            </w:tcMar>
          </w:tcPr>
          <w:p w14:paraId="23A53266" w14:textId="61E425C4" w:rsidR="00FD05C2" w:rsidRPr="00247126" w:rsidRDefault="006620F8" w:rsidP="00961EB8">
            <w:pPr>
              <w:pStyle w:val="TableText"/>
            </w:pPr>
            <w:r w:rsidRPr="00247126">
              <w:t>Coronary OCT system</w:t>
            </w:r>
          </w:p>
        </w:tc>
        <w:tc>
          <w:tcPr>
            <w:tcW w:w="992" w:type="dxa"/>
            <w:gridSpan w:val="2"/>
            <w:tcMar>
              <w:left w:w="57" w:type="dxa"/>
              <w:right w:w="57" w:type="dxa"/>
            </w:tcMar>
          </w:tcPr>
          <w:p w14:paraId="138B2F00" w14:textId="2E1BEF82" w:rsidR="00FD05C2" w:rsidRPr="00247126" w:rsidRDefault="006620F8" w:rsidP="00961EB8">
            <w:pPr>
              <w:pStyle w:val="TableText"/>
            </w:pPr>
            <w:r w:rsidRPr="00247126">
              <w:t>370978</w:t>
            </w:r>
          </w:p>
        </w:tc>
        <w:tc>
          <w:tcPr>
            <w:tcW w:w="1559" w:type="dxa"/>
            <w:tcMar>
              <w:left w:w="57" w:type="dxa"/>
              <w:right w:w="57" w:type="dxa"/>
            </w:tcMar>
          </w:tcPr>
          <w:p w14:paraId="5D96D276" w14:textId="28E09778" w:rsidR="00FD05C2" w:rsidRPr="00247126" w:rsidRDefault="006620F8" w:rsidP="006620F8">
            <w:pPr>
              <w:pStyle w:val="TableText"/>
            </w:pPr>
            <w:r w:rsidRPr="00247126">
              <w:t>Class IIb</w:t>
            </w:r>
          </w:p>
        </w:tc>
        <w:tc>
          <w:tcPr>
            <w:tcW w:w="1083" w:type="dxa"/>
            <w:tcMar>
              <w:left w:w="57" w:type="dxa"/>
              <w:right w:w="57" w:type="dxa"/>
            </w:tcMar>
          </w:tcPr>
          <w:p w14:paraId="7E14F34C" w14:textId="161882AB" w:rsidR="00FD05C2" w:rsidRPr="00247126" w:rsidRDefault="006620F8" w:rsidP="00961EB8">
            <w:pPr>
              <w:pStyle w:val="TableText"/>
            </w:pPr>
            <w:r w:rsidRPr="00247126">
              <w:t>13/07/2021</w:t>
            </w:r>
          </w:p>
        </w:tc>
      </w:tr>
      <w:tr w:rsidR="00FD05C2" w:rsidRPr="00247126" w14:paraId="45FB067B" w14:textId="77777777" w:rsidTr="000618F8">
        <w:tc>
          <w:tcPr>
            <w:tcW w:w="5382" w:type="dxa"/>
            <w:tcBorders>
              <w:bottom w:val="single" w:sz="4" w:space="0" w:color="auto"/>
            </w:tcBorders>
            <w:tcMar>
              <w:left w:w="57" w:type="dxa"/>
              <w:right w:w="57" w:type="dxa"/>
            </w:tcMar>
          </w:tcPr>
          <w:p w14:paraId="536E8C80" w14:textId="101A8035" w:rsidR="00FD05C2" w:rsidRPr="00247126" w:rsidRDefault="006620F8" w:rsidP="00961EB8">
            <w:pPr>
              <w:pStyle w:val="TableText"/>
            </w:pPr>
            <w:proofErr w:type="spellStart"/>
            <w:r w:rsidRPr="00247126">
              <w:t>Ilumien</w:t>
            </w:r>
            <w:proofErr w:type="spellEnd"/>
            <w:r w:rsidRPr="00247126">
              <w:t xml:space="preserve"> System - Coronary optical coherence tomography system</w:t>
            </w:r>
          </w:p>
        </w:tc>
        <w:tc>
          <w:tcPr>
            <w:tcW w:w="992" w:type="dxa"/>
            <w:gridSpan w:val="2"/>
            <w:tcBorders>
              <w:bottom w:val="single" w:sz="4" w:space="0" w:color="auto"/>
            </w:tcBorders>
            <w:tcMar>
              <w:left w:w="57" w:type="dxa"/>
              <w:right w:w="57" w:type="dxa"/>
            </w:tcMar>
          </w:tcPr>
          <w:p w14:paraId="5310E935" w14:textId="2330AC42" w:rsidR="00FD05C2" w:rsidRPr="00247126" w:rsidRDefault="006620F8" w:rsidP="00961EB8">
            <w:pPr>
              <w:pStyle w:val="TableText"/>
            </w:pPr>
            <w:r w:rsidRPr="00247126">
              <w:t>229311</w:t>
            </w:r>
          </w:p>
        </w:tc>
        <w:tc>
          <w:tcPr>
            <w:tcW w:w="1559" w:type="dxa"/>
            <w:tcBorders>
              <w:bottom w:val="single" w:sz="4" w:space="0" w:color="auto"/>
            </w:tcBorders>
            <w:tcMar>
              <w:left w:w="57" w:type="dxa"/>
              <w:right w:w="57" w:type="dxa"/>
            </w:tcMar>
          </w:tcPr>
          <w:p w14:paraId="4ACF86DF" w14:textId="352B3E7C" w:rsidR="00FD05C2" w:rsidRPr="00247126" w:rsidRDefault="006620F8" w:rsidP="00961EB8">
            <w:pPr>
              <w:pStyle w:val="TableText"/>
            </w:pPr>
            <w:r w:rsidRPr="00247126">
              <w:t xml:space="preserve">Class </w:t>
            </w:r>
            <w:proofErr w:type="spellStart"/>
            <w:r w:rsidRPr="00247126">
              <w:t>IIa</w:t>
            </w:r>
            <w:proofErr w:type="spellEnd"/>
          </w:p>
        </w:tc>
        <w:tc>
          <w:tcPr>
            <w:tcW w:w="1083" w:type="dxa"/>
            <w:tcBorders>
              <w:bottom w:val="single" w:sz="4" w:space="0" w:color="auto"/>
            </w:tcBorders>
            <w:tcMar>
              <w:left w:w="57" w:type="dxa"/>
              <w:right w:w="57" w:type="dxa"/>
            </w:tcMar>
          </w:tcPr>
          <w:p w14:paraId="1675F314" w14:textId="16F65053" w:rsidR="00FD05C2" w:rsidRPr="00247126" w:rsidRDefault="006620F8" w:rsidP="00961EB8">
            <w:pPr>
              <w:pStyle w:val="TableText"/>
            </w:pPr>
            <w:r w:rsidRPr="00247126">
              <w:t>14/10/2014</w:t>
            </w:r>
          </w:p>
        </w:tc>
      </w:tr>
      <w:tr w:rsidR="00FD05C2" w:rsidRPr="00247126" w14:paraId="07292000" w14:textId="77777777" w:rsidTr="006D3BCC">
        <w:tc>
          <w:tcPr>
            <w:tcW w:w="5807" w:type="dxa"/>
            <w:gridSpan w:val="2"/>
            <w:tcBorders>
              <w:right w:val="nil"/>
            </w:tcBorders>
            <w:shd w:val="clear" w:color="auto" w:fill="auto"/>
            <w:tcMar>
              <w:left w:w="57" w:type="dxa"/>
              <w:right w:w="57" w:type="dxa"/>
            </w:tcMar>
          </w:tcPr>
          <w:p w14:paraId="4A3469B6" w14:textId="32D55101" w:rsidR="00FD05C2" w:rsidRPr="00247126" w:rsidRDefault="000A5206" w:rsidP="00961EB8">
            <w:pPr>
              <w:pStyle w:val="TableText"/>
              <w:rPr>
                <w:b/>
                <w:bCs/>
              </w:rPr>
            </w:pPr>
            <w:r w:rsidRPr="00247126">
              <w:rPr>
                <w:b/>
                <w:bCs/>
              </w:rPr>
              <w:t>GMDN 47491 Coronary optical coherence tomography system catheter</w:t>
            </w:r>
          </w:p>
        </w:tc>
        <w:tc>
          <w:tcPr>
            <w:tcW w:w="567" w:type="dxa"/>
            <w:tcBorders>
              <w:left w:val="nil"/>
              <w:right w:val="nil"/>
            </w:tcBorders>
            <w:shd w:val="clear" w:color="auto" w:fill="auto"/>
            <w:tcMar>
              <w:left w:w="57" w:type="dxa"/>
              <w:right w:w="57" w:type="dxa"/>
            </w:tcMar>
          </w:tcPr>
          <w:p w14:paraId="57C83A77" w14:textId="77777777" w:rsidR="00FD05C2" w:rsidRPr="00247126" w:rsidRDefault="00FD05C2" w:rsidP="00961EB8">
            <w:pPr>
              <w:pStyle w:val="TableText"/>
            </w:pPr>
          </w:p>
        </w:tc>
        <w:tc>
          <w:tcPr>
            <w:tcW w:w="1559" w:type="dxa"/>
            <w:tcBorders>
              <w:left w:val="nil"/>
              <w:right w:val="nil"/>
            </w:tcBorders>
            <w:shd w:val="clear" w:color="auto" w:fill="auto"/>
            <w:tcMar>
              <w:left w:w="57" w:type="dxa"/>
              <w:right w:w="57" w:type="dxa"/>
            </w:tcMar>
          </w:tcPr>
          <w:p w14:paraId="3777CEC8" w14:textId="77777777" w:rsidR="00FD05C2" w:rsidRPr="00247126" w:rsidRDefault="00FD05C2" w:rsidP="00961EB8">
            <w:pPr>
              <w:pStyle w:val="TableText"/>
            </w:pPr>
          </w:p>
        </w:tc>
        <w:tc>
          <w:tcPr>
            <w:tcW w:w="1083" w:type="dxa"/>
            <w:tcBorders>
              <w:left w:val="nil"/>
            </w:tcBorders>
            <w:shd w:val="clear" w:color="auto" w:fill="auto"/>
            <w:tcMar>
              <w:left w:w="57" w:type="dxa"/>
              <w:right w:w="57" w:type="dxa"/>
            </w:tcMar>
          </w:tcPr>
          <w:p w14:paraId="0A44A98C" w14:textId="77777777" w:rsidR="00FD05C2" w:rsidRPr="00247126" w:rsidRDefault="00FD05C2" w:rsidP="00961EB8">
            <w:pPr>
              <w:pStyle w:val="TableText"/>
            </w:pPr>
          </w:p>
        </w:tc>
      </w:tr>
      <w:tr w:rsidR="00FD05C2" w:rsidRPr="00247126" w14:paraId="6E8C2ECF" w14:textId="77777777" w:rsidTr="000618F8">
        <w:tc>
          <w:tcPr>
            <w:tcW w:w="5382" w:type="dxa"/>
            <w:tcMar>
              <w:left w:w="57" w:type="dxa"/>
              <w:right w:w="57" w:type="dxa"/>
            </w:tcMar>
          </w:tcPr>
          <w:p w14:paraId="4FBD660F" w14:textId="3E4C44B7" w:rsidR="00FD05C2" w:rsidRPr="00247126" w:rsidRDefault="0034002C" w:rsidP="00961EB8">
            <w:pPr>
              <w:pStyle w:val="TableText"/>
            </w:pPr>
            <w:r w:rsidRPr="00247126">
              <w:t>Dragonfly Optis Kit, Model C408646 - Coronary OCT system catheter</w:t>
            </w:r>
          </w:p>
        </w:tc>
        <w:tc>
          <w:tcPr>
            <w:tcW w:w="992" w:type="dxa"/>
            <w:gridSpan w:val="2"/>
            <w:tcMar>
              <w:left w:w="57" w:type="dxa"/>
              <w:right w:w="57" w:type="dxa"/>
            </w:tcMar>
          </w:tcPr>
          <w:p w14:paraId="300120EC" w14:textId="398ECC15" w:rsidR="00FD05C2" w:rsidRPr="00247126" w:rsidRDefault="0034002C" w:rsidP="00961EB8">
            <w:pPr>
              <w:pStyle w:val="TableText"/>
            </w:pPr>
            <w:r w:rsidRPr="00247126">
              <w:t>317614</w:t>
            </w:r>
          </w:p>
        </w:tc>
        <w:tc>
          <w:tcPr>
            <w:tcW w:w="1559" w:type="dxa"/>
            <w:tcMar>
              <w:left w:w="57" w:type="dxa"/>
              <w:right w:w="57" w:type="dxa"/>
            </w:tcMar>
          </w:tcPr>
          <w:p w14:paraId="3658BE8C" w14:textId="43E284D4" w:rsidR="00FD05C2" w:rsidRPr="00247126" w:rsidRDefault="0034002C" w:rsidP="00961EB8">
            <w:pPr>
              <w:pStyle w:val="TableText"/>
            </w:pPr>
            <w:r w:rsidRPr="00247126">
              <w:t>Class III</w:t>
            </w:r>
          </w:p>
        </w:tc>
        <w:tc>
          <w:tcPr>
            <w:tcW w:w="1083" w:type="dxa"/>
            <w:tcMar>
              <w:left w:w="57" w:type="dxa"/>
              <w:right w:w="57" w:type="dxa"/>
            </w:tcMar>
          </w:tcPr>
          <w:p w14:paraId="0592DF46" w14:textId="21B9DDDA" w:rsidR="00FD05C2" w:rsidRPr="00247126" w:rsidRDefault="0034002C" w:rsidP="00961EB8">
            <w:pPr>
              <w:pStyle w:val="TableText"/>
            </w:pPr>
            <w:r w:rsidRPr="00247126">
              <w:t>16/05/2019</w:t>
            </w:r>
          </w:p>
        </w:tc>
      </w:tr>
      <w:tr w:rsidR="00FD05C2" w:rsidRPr="00247126" w14:paraId="26653D8E" w14:textId="77777777" w:rsidTr="000618F8">
        <w:tc>
          <w:tcPr>
            <w:tcW w:w="5382" w:type="dxa"/>
            <w:tcMar>
              <w:left w:w="57" w:type="dxa"/>
              <w:right w:w="57" w:type="dxa"/>
            </w:tcMar>
          </w:tcPr>
          <w:p w14:paraId="12ECA5C0" w14:textId="3D6B4C73" w:rsidR="00FD05C2" w:rsidRPr="00247126" w:rsidRDefault="00D04AB8" w:rsidP="00961EB8">
            <w:pPr>
              <w:pStyle w:val="TableText"/>
            </w:pPr>
            <w:r w:rsidRPr="00247126">
              <w:t xml:space="preserve">Dragonfly </w:t>
            </w:r>
            <w:proofErr w:type="spellStart"/>
            <w:r w:rsidRPr="00247126">
              <w:t>OpStar</w:t>
            </w:r>
            <w:proofErr w:type="spellEnd"/>
            <w:r w:rsidRPr="00247126">
              <w:t>™ Imaging Catheter 1014652 - Coronary optical coherence tomography system catheter</w:t>
            </w:r>
          </w:p>
        </w:tc>
        <w:tc>
          <w:tcPr>
            <w:tcW w:w="992" w:type="dxa"/>
            <w:gridSpan w:val="2"/>
            <w:tcMar>
              <w:left w:w="57" w:type="dxa"/>
              <w:right w:w="57" w:type="dxa"/>
            </w:tcMar>
          </w:tcPr>
          <w:p w14:paraId="1B9F759E" w14:textId="2F1E6ACA" w:rsidR="00FD05C2" w:rsidRPr="00247126" w:rsidRDefault="00D04AB8" w:rsidP="00961EB8">
            <w:pPr>
              <w:pStyle w:val="TableText"/>
            </w:pPr>
            <w:r w:rsidRPr="00247126">
              <w:t>384505</w:t>
            </w:r>
          </w:p>
        </w:tc>
        <w:tc>
          <w:tcPr>
            <w:tcW w:w="1559" w:type="dxa"/>
            <w:tcMar>
              <w:left w:w="57" w:type="dxa"/>
              <w:right w:w="57" w:type="dxa"/>
            </w:tcMar>
          </w:tcPr>
          <w:p w14:paraId="4F6FF116" w14:textId="4A4ED22A" w:rsidR="00FD05C2" w:rsidRPr="00247126" w:rsidRDefault="00D04AB8" w:rsidP="00961EB8">
            <w:pPr>
              <w:pStyle w:val="TableText"/>
            </w:pPr>
            <w:r w:rsidRPr="00247126">
              <w:t>Class III</w:t>
            </w:r>
          </w:p>
        </w:tc>
        <w:tc>
          <w:tcPr>
            <w:tcW w:w="1083" w:type="dxa"/>
            <w:tcMar>
              <w:left w:w="57" w:type="dxa"/>
              <w:right w:w="57" w:type="dxa"/>
            </w:tcMar>
          </w:tcPr>
          <w:p w14:paraId="1480A5CC" w14:textId="1A88058F" w:rsidR="00FD05C2" w:rsidRPr="00247126" w:rsidRDefault="00D04AB8" w:rsidP="00961EB8">
            <w:pPr>
              <w:pStyle w:val="TableText"/>
            </w:pPr>
            <w:r w:rsidRPr="00247126">
              <w:t>22/02/2022</w:t>
            </w:r>
          </w:p>
        </w:tc>
      </w:tr>
      <w:tr w:rsidR="00D04AB8" w:rsidRPr="00247126" w14:paraId="71278AEC" w14:textId="77777777" w:rsidTr="000618F8">
        <w:tc>
          <w:tcPr>
            <w:tcW w:w="5382" w:type="dxa"/>
            <w:tcMar>
              <w:left w:w="57" w:type="dxa"/>
              <w:right w:w="57" w:type="dxa"/>
            </w:tcMar>
          </w:tcPr>
          <w:p w14:paraId="1FE34485" w14:textId="0509DC42" w:rsidR="00D04AB8" w:rsidRPr="00247126" w:rsidRDefault="00D04AB8" w:rsidP="00961EB8">
            <w:pPr>
              <w:pStyle w:val="TableText"/>
            </w:pPr>
            <w:r w:rsidRPr="00247126">
              <w:t>Dragonfly OPTIS Kit Box, Model Number C408646 - Coronary optical coherence tomography system catheter</w:t>
            </w:r>
          </w:p>
        </w:tc>
        <w:tc>
          <w:tcPr>
            <w:tcW w:w="992" w:type="dxa"/>
            <w:gridSpan w:val="2"/>
            <w:tcMar>
              <w:left w:w="57" w:type="dxa"/>
              <w:right w:w="57" w:type="dxa"/>
            </w:tcMar>
          </w:tcPr>
          <w:p w14:paraId="6CC8715D" w14:textId="1ED4A7AE" w:rsidR="00D04AB8" w:rsidRPr="00247126" w:rsidRDefault="00D04AB8" w:rsidP="00961EB8">
            <w:pPr>
              <w:pStyle w:val="TableText"/>
            </w:pPr>
            <w:r w:rsidRPr="00247126">
              <w:t>234447</w:t>
            </w:r>
          </w:p>
        </w:tc>
        <w:tc>
          <w:tcPr>
            <w:tcW w:w="1559" w:type="dxa"/>
            <w:tcMar>
              <w:left w:w="57" w:type="dxa"/>
              <w:right w:w="57" w:type="dxa"/>
            </w:tcMar>
          </w:tcPr>
          <w:p w14:paraId="60B1EED3" w14:textId="34C55997" w:rsidR="00D04AB8" w:rsidRPr="00247126" w:rsidRDefault="00D04AB8" w:rsidP="00D04AB8">
            <w:pPr>
              <w:pStyle w:val="TableText"/>
            </w:pPr>
            <w:r w:rsidRPr="00247126">
              <w:t>Class III</w:t>
            </w:r>
          </w:p>
        </w:tc>
        <w:tc>
          <w:tcPr>
            <w:tcW w:w="1083" w:type="dxa"/>
            <w:tcMar>
              <w:left w:w="57" w:type="dxa"/>
              <w:right w:w="57" w:type="dxa"/>
            </w:tcMar>
          </w:tcPr>
          <w:p w14:paraId="2524002D" w14:textId="27AF903E" w:rsidR="00D04AB8" w:rsidRPr="00247126" w:rsidRDefault="00D04AB8" w:rsidP="00961EB8">
            <w:pPr>
              <w:pStyle w:val="TableText"/>
            </w:pPr>
            <w:r w:rsidRPr="00247126">
              <w:t>5/03/2015</w:t>
            </w:r>
          </w:p>
        </w:tc>
      </w:tr>
    </w:tbl>
    <w:p w14:paraId="30995C81" w14:textId="7854DC2A" w:rsidR="004008C1" w:rsidRPr="00247126" w:rsidRDefault="004008C1" w:rsidP="00625859">
      <w:pPr>
        <w:pStyle w:val="Tablenotes0"/>
        <w:spacing w:before="100" w:after="0"/>
      </w:pPr>
      <w:r w:rsidRPr="00247126">
        <w:t>ARTG = Australian Register of Therapeutic Goods; GMDN = global medical device nomenclature; OCT = optical coherence tomography.</w:t>
      </w:r>
    </w:p>
    <w:p w14:paraId="20FF98F3" w14:textId="3552C0A2" w:rsidR="00AA1E8E" w:rsidRPr="00247126" w:rsidRDefault="004008C1" w:rsidP="004008C1">
      <w:pPr>
        <w:pStyle w:val="Tablenotes0"/>
      </w:pPr>
      <w:r w:rsidRPr="00247126">
        <w:t xml:space="preserve">Source: Adapted from Table 11 of MSAC 1743 </w:t>
      </w:r>
      <w:proofErr w:type="spellStart"/>
      <w:r w:rsidRPr="00247126">
        <w:t>ADAR+in-line</w:t>
      </w:r>
      <w:proofErr w:type="spellEnd"/>
      <w:r w:rsidRPr="00247126">
        <w:t xml:space="preserve"> commentary (current to </w:t>
      </w:r>
      <w:r w:rsidR="007C7789" w:rsidRPr="00247126">
        <w:t>3 May</w:t>
      </w:r>
      <w:r w:rsidRPr="00247126">
        <w:t xml:space="preserve"> 2024).</w:t>
      </w:r>
    </w:p>
    <w:p w14:paraId="027D5DB2" w14:textId="79CEFC77" w:rsidR="00A8790A" w:rsidRPr="00247126" w:rsidRDefault="00A8790A" w:rsidP="005857F4">
      <w:pPr>
        <w:pStyle w:val="Heading3"/>
      </w:pPr>
      <w:r w:rsidRPr="00247126">
        <w:t>Funding of the device</w:t>
      </w:r>
    </w:p>
    <w:p w14:paraId="7CEC9A31" w14:textId="2F25AA64" w:rsidR="00A8790A" w:rsidRPr="00247126" w:rsidRDefault="00A8790A" w:rsidP="00105604">
      <w:r w:rsidRPr="00247126">
        <w:t xml:space="preserve">The </w:t>
      </w:r>
      <w:r w:rsidR="00F45732" w:rsidRPr="00247126">
        <w:t xml:space="preserve">OCT </w:t>
      </w:r>
      <w:r w:rsidRPr="00247126">
        <w:t xml:space="preserve">imaging catheter is </w:t>
      </w:r>
      <w:r w:rsidR="00F45732" w:rsidRPr="00247126">
        <w:t xml:space="preserve">a single use </w:t>
      </w:r>
      <w:r w:rsidR="007C7C59" w:rsidRPr="00247126">
        <w:t>device</w:t>
      </w:r>
      <w:r w:rsidRPr="00247126">
        <w:t>,</w:t>
      </w:r>
      <w:r w:rsidR="00F45732" w:rsidRPr="00247126">
        <w:t xml:space="preserve"> provided</w:t>
      </w:r>
      <w:r w:rsidRPr="00247126">
        <w:t xml:space="preserve"> </w:t>
      </w:r>
      <w:r w:rsidR="00BB7BEE" w:rsidRPr="00247126">
        <w:t xml:space="preserve">in a kit with other OCT-specific consumables </w:t>
      </w:r>
      <w:r w:rsidRPr="00247126">
        <w:t>at a cost of $</w:t>
      </w:r>
      <w:r w:rsidR="00D80B4D" w:rsidRPr="00247126">
        <w:rPr>
          <w:b/>
          <w:bCs/>
        </w:rPr>
        <w:t>Redacted</w:t>
      </w:r>
      <w:r w:rsidR="00336466" w:rsidRPr="00247126">
        <w:t>.</w:t>
      </w:r>
      <w:r w:rsidRPr="00247126">
        <w:t xml:space="preserve"> </w:t>
      </w:r>
      <w:r w:rsidR="00DC2E25" w:rsidRPr="00247126">
        <w:t xml:space="preserve">While the Department has advised the applicant that the </w:t>
      </w:r>
      <w:r w:rsidR="00512086" w:rsidRPr="00247126">
        <w:t xml:space="preserve">catheter is not eligible for listing on the </w:t>
      </w:r>
      <w:r w:rsidRPr="00247126">
        <w:t xml:space="preserve">Prescribed List of Medical Devices and Human Tissue Products </w:t>
      </w:r>
      <w:r w:rsidR="00512086" w:rsidRPr="00247126">
        <w:t xml:space="preserve">(PL), </w:t>
      </w:r>
      <w:r w:rsidRPr="00247126">
        <w:t xml:space="preserve">the </w:t>
      </w:r>
      <w:r w:rsidR="00512086" w:rsidRPr="00247126">
        <w:t>a</w:t>
      </w:r>
      <w:r w:rsidRPr="00247126">
        <w:t xml:space="preserve">pplicant </w:t>
      </w:r>
      <w:r w:rsidR="00512086" w:rsidRPr="00247126">
        <w:t xml:space="preserve">intends </w:t>
      </w:r>
      <w:r w:rsidRPr="00247126">
        <w:t>to seek inclusion of the catheter on Part C of the PL.</w:t>
      </w:r>
      <w:r w:rsidR="007A5A46" w:rsidRPr="00247126">
        <w:t xml:space="preserve"> </w:t>
      </w:r>
      <w:r w:rsidR="003C703A" w:rsidRPr="00247126">
        <w:t>If not listed on the PL, the</w:t>
      </w:r>
      <w:r w:rsidR="007A5A46" w:rsidRPr="00247126">
        <w:t xml:space="preserve"> cost of the OCT kit is to be met by patients (i.e. out-of-pocket expense) or by </w:t>
      </w:r>
      <w:r w:rsidR="00461D90" w:rsidRPr="00247126">
        <w:t xml:space="preserve">hospitals or </w:t>
      </w:r>
      <w:r w:rsidR="007A5A46" w:rsidRPr="00247126">
        <w:t>private health insurance funds.</w:t>
      </w:r>
    </w:p>
    <w:p w14:paraId="61656EA9" w14:textId="429CE8BC" w:rsidR="003C705B" w:rsidRPr="00247126" w:rsidRDefault="003C705B" w:rsidP="00105604">
      <w:r w:rsidRPr="00247126">
        <w:t xml:space="preserve">The OCT </w:t>
      </w:r>
      <w:r w:rsidR="003B33E1" w:rsidRPr="00247126">
        <w:t xml:space="preserve">imaging </w:t>
      </w:r>
      <w:r w:rsidRPr="00247126">
        <w:t>system currently costs $</w:t>
      </w:r>
      <w:r w:rsidR="00D80B4D" w:rsidRPr="00247126">
        <w:rPr>
          <w:b/>
          <w:bCs/>
        </w:rPr>
        <w:t xml:space="preserve">Redacted </w:t>
      </w:r>
      <w:r w:rsidRPr="00247126">
        <w:t>per unit</w:t>
      </w:r>
      <w:r w:rsidR="0034475D" w:rsidRPr="00247126">
        <w:t xml:space="preserve"> and is a cost incurred by hospitals</w:t>
      </w:r>
      <w:r w:rsidRPr="00247126">
        <w:t>.</w:t>
      </w:r>
    </w:p>
    <w:p w14:paraId="0B59404B" w14:textId="404A6E7C" w:rsidR="005857F4" w:rsidRPr="00247126" w:rsidRDefault="005857F4" w:rsidP="005857F4">
      <w:pPr>
        <w:pStyle w:val="Heading3"/>
      </w:pPr>
      <w:r w:rsidRPr="00247126">
        <w:t>Training and certification</w:t>
      </w:r>
    </w:p>
    <w:p w14:paraId="495C0793" w14:textId="055CB529" w:rsidR="00A0132B" w:rsidRPr="00247126" w:rsidRDefault="007E4C0D" w:rsidP="007E4C0D">
      <w:r w:rsidRPr="00247126">
        <w:t xml:space="preserve">The Cardiac Society of Australia and New Zealand (CSANZ) is currently in the process of developing guidelines pertaining to accreditation and training for intravascular imaging </w:t>
      </w:r>
      <w:r w:rsidR="00302670" w:rsidRPr="00247126">
        <w:t>to</w:t>
      </w:r>
      <w:r w:rsidRPr="00247126">
        <w:t xml:space="preserve"> assist with implementation of IVUS on the MBS (</w:t>
      </w:r>
      <w:r w:rsidR="00E90D50" w:rsidRPr="00247126">
        <w:t>listed</w:t>
      </w:r>
      <w:r w:rsidRPr="00247126">
        <w:t xml:space="preserve"> 1 March 2024). The document is anticipated to be non-modality specific </w:t>
      </w:r>
      <w:r w:rsidR="003D26E9" w:rsidRPr="00247126">
        <w:t>and</w:t>
      </w:r>
      <w:r w:rsidRPr="00247126">
        <w:t xml:space="preserve"> </w:t>
      </w:r>
      <w:r w:rsidR="00024CC6" w:rsidRPr="00247126">
        <w:t>would therefore</w:t>
      </w:r>
      <w:r w:rsidRPr="00247126">
        <w:t xml:space="preserve"> also assist with the impl</w:t>
      </w:r>
      <w:r w:rsidR="00451307" w:rsidRPr="00247126">
        <w:t>emen</w:t>
      </w:r>
      <w:r w:rsidRPr="00247126">
        <w:t>tation of OCT on the MBS.</w:t>
      </w:r>
    </w:p>
    <w:p w14:paraId="44C3B242" w14:textId="30D8967A" w:rsidR="00772829" w:rsidRPr="00247126" w:rsidRDefault="00247B6B" w:rsidP="002A18BE">
      <w:pPr>
        <w:pStyle w:val="Heading2"/>
        <w:numPr>
          <w:ilvl w:val="0"/>
          <w:numId w:val="0"/>
        </w:numPr>
      </w:pPr>
      <w:bookmarkStart w:id="6" w:name="_Toc69491418"/>
      <w:r w:rsidRPr="00247126">
        <w:t>6</w:t>
      </w:r>
      <w:r w:rsidR="00C36633" w:rsidRPr="00247126">
        <w:t>.</w:t>
      </w:r>
      <w:r w:rsidR="00C36633" w:rsidRPr="00247126">
        <w:tab/>
      </w:r>
      <w:r w:rsidR="00772829" w:rsidRPr="00247126">
        <w:t>Proposal for public funding</w:t>
      </w:r>
      <w:bookmarkEnd w:id="6"/>
    </w:p>
    <w:p w14:paraId="70F88809" w14:textId="380DA870" w:rsidR="006E2B45" w:rsidRPr="00247126" w:rsidRDefault="004A1FAD" w:rsidP="000F5832">
      <w:r w:rsidRPr="00247126">
        <w:t>The application requested a new MBS item</w:t>
      </w:r>
      <w:r w:rsidR="00136A54" w:rsidRPr="00247126">
        <w:t xml:space="preserve"> under </w:t>
      </w:r>
      <w:r w:rsidR="00C7756F" w:rsidRPr="00247126">
        <w:t>C</w:t>
      </w:r>
      <w:r w:rsidR="00136A54" w:rsidRPr="00247126">
        <w:t>ategory 3 (therapeutic procedures)</w:t>
      </w:r>
      <w:r w:rsidRPr="00247126">
        <w:t xml:space="preserve"> for </w:t>
      </w:r>
      <w:r w:rsidR="00B406D7" w:rsidRPr="00247126">
        <w:rPr>
          <w:rFonts w:cs="Calibri"/>
          <w:lang w:val="en-GB"/>
        </w:rPr>
        <w:t>the use of OCT</w:t>
      </w:r>
      <w:r w:rsidR="005B5E84" w:rsidRPr="00247126">
        <w:rPr>
          <w:rFonts w:cs="Calibri"/>
          <w:lang w:val="en-GB"/>
        </w:rPr>
        <w:t>-gui</w:t>
      </w:r>
      <w:r w:rsidR="00B406D7" w:rsidRPr="00247126">
        <w:rPr>
          <w:rFonts w:cs="Calibri"/>
          <w:lang w:val="en-GB"/>
        </w:rPr>
        <w:t>de</w:t>
      </w:r>
      <w:r w:rsidR="005B5E84" w:rsidRPr="00247126">
        <w:rPr>
          <w:rFonts w:cs="Calibri"/>
          <w:lang w:val="en-GB"/>
        </w:rPr>
        <w:t>d</w:t>
      </w:r>
      <w:r w:rsidR="00B406D7" w:rsidRPr="00247126">
        <w:rPr>
          <w:rFonts w:cs="Calibri"/>
          <w:lang w:val="en-GB"/>
        </w:rPr>
        <w:t xml:space="preserve"> coronary stent insertion </w:t>
      </w:r>
      <w:r w:rsidR="006D3DC5" w:rsidRPr="00247126">
        <w:t xml:space="preserve">as an adjunct to </w:t>
      </w:r>
      <w:r w:rsidR="006D3DC5" w:rsidRPr="00247126" w:rsidDel="004B032C">
        <w:t>invasive coronary angiogram (</w:t>
      </w:r>
      <w:r w:rsidR="006D3DC5" w:rsidRPr="00247126">
        <w:t>AG</w:t>
      </w:r>
      <w:r w:rsidR="006D3DC5" w:rsidRPr="00247126" w:rsidDel="004B032C">
        <w:t>)</w:t>
      </w:r>
      <w:r w:rsidR="006D3DC5" w:rsidRPr="00247126">
        <w:t xml:space="preserve"> </w:t>
      </w:r>
      <w:r w:rsidR="003030FC" w:rsidRPr="00247126">
        <w:t xml:space="preserve">(referred to as OCT+AG) </w:t>
      </w:r>
      <w:r w:rsidR="006D3DC5" w:rsidRPr="00247126">
        <w:t xml:space="preserve">for patients undergoing </w:t>
      </w:r>
      <w:r w:rsidR="000B2907" w:rsidRPr="00247126">
        <w:t>percutaneous coronary intervention (</w:t>
      </w:r>
      <w:r w:rsidR="006D3DC5" w:rsidRPr="00247126">
        <w:t>PCI</w:t>
      </w:r>
      <w:r w:rsidR="000B2907" w:rsidRPr="00247126">
        <w:t>)</w:t>
      </w:r>
      <w:r w:rsidR="005A46BB" w:rsidRPr="00247126">
        <w:t xml:space="preserve"> </w:t>
      </w:r>
      <w:r w:rsidR="00863EE7" w:rsidRPr="00247126">
        <w:t xml:space="preserve">with </w:t>
      </w:r>
      <w:r w:rsidR="009B2C5C" w:rsidRPr="00247126">
        <w:t xml:space="preserve">particular </w:t>
      </w:r>
      <w:r w:rsidR="00E41DA4" w:rsidRPr="00247126">
        <w:t>lesion</w:t>
      </w:r>
      <w:r w:rsidR="00863EE7" w:rsidRPr="00247126">
        <w:t xml:space="preserve"> types</w:t>
      </w:r>
      <w:r w:rsidR="00EF31A1" w:rsidRPr="00247126">
        <w:t xml:space="preserve"> or complexity</w:t>
      </w:r>
      <w:r w:rsidR="004119C4" w:rsidRPr="00247126">
        <w:t xml:space="preserve"> (</w:t>
      </w:r>
      <w:r w:rsidR="004119C4" w:rsidRPr="00247126">
        <w:rPr>
          <w:iCs/>
        </w:rPr>
        <w:t>long or multiple lesions, bifurcation lesion, angiographic severe calcification, or stent failure)</w:t>
      </w:r>
      <w:r w:rsidR="00B406D7" w:rsidRPr="00247126">
        <w:rPr>
          <w:rFonts w:cs="Calibri"/>
          <w:lang w:val="en-GB"/>
        </w:rPr>
        <w:t>.</w:t>
      </w:r>
    </w:p>
    <w:p w14:paraId="1B1D75B4" w14:textId="0B963587" w:rsidR="009168FF" w:rsidRPr="00247126" w:rsidRDefault="004935FD" w:rsidP="009168FF">
      <w:r w:rsidRPr="00247126">
        <w:lastRenderedPageBreak/>
        <w:t>OCT is a</w:t>
      </w:r>
      <w:r w:rsidR="00462AB6" w:rsidRPr="00247126">
        <w:t xml:space="preserve"> catheter-based</w:t>
      </w:r>
      <w:r w:rsidRPr="00247126">
        <w:t xml:space="preserve"> intravascular imaging technique </w:t>
      </w:r>
      <w:r w:rsidR="00BD7946" w:rsidRPr="00247126">
        <w:t xml:space="preserve">that uses </w:t>
      </w:r>
      <w:r w:rsidR="004A27B9" w:rsidRPr="00247126">
        <w:t xml:space="preserve">infrared light </w:t>
      </w:r>
      <w:r w:rsidR="0064070C" w:rsidRPr="00247126">
        <w:t>to obtain</w:t>
      </w:r>
      <w:r w:rsidRPr="00247126">
        <w:t xml:space="preserve"> three-dimensional cross-sectional images of </w:t>
      </w:r>
      <w:r w:rsidR="00C50E0E" w:rsidRPr="00247126">
        <w:t>a coronary artery</w:t>
      </w:r>
      <w:r w:rsidR="00735D3E" w:rsidRPr="00247126">
        <w:t>.</w:t>
      </w:r>
      <w:r w:rsidRPr="00247126">
        <w:t xml:space="preserve"> </w:t>
      </w:r>
      <w:r w:rsidR="000F5832" w:rsidRPr="00247126">
        <w:t xml:space="preserve">The </w:t>
      </w:r>
      <w:r w:rsidR="00F848E7" w:rsidRPr="00247126">
        <w:t>ADAR clai</w:t>
      </w:r>
      <w:r w:rsidR="00E44802" w:rsidRPr="00247126">
        <w:t>m</w:t>
      </w:r>
      <w:r w:rsidR="00B83AE2" w:rsidRPr="00247126">
        <w:t>ed</w:t>
      </w:r>
      <w:r w:rsidR="00E44802" w:rsidRPr="00247126">
        <w:t xml:space="preserve"> that </w:t>
      </w:r>
      <w:r w:rsidR="000F5832" w:rsidRPr="00247126">
        <w:t>OCT</w:t>
      </w:r>
      <w:r w:rsidR="00586296" w:rsidRPr="00247126">
        <w:t xml:space="preserve"> technology allows physicians to visualise and measure vessel characteristics that are otherwise not visible or difficult to assess with </w:t>
      </w:r>
      <w:r w:rsidR="00606853" w:rsidRPr="00247126">
        <w:t>angiography</w:t>
      </w:r>
      <w:r w:rsidR="000B3891" w:rsidRPr="00247126">
        <w:t xml:space="preserve"> alone</w:t>
      </w:r>
      <w:r w:rsidR="00586296" w:rsidRPr="00247126">
        <w:t>, which help</w:t>
      </w:r>
      <w:r w:rsidR="000B3891" w:rsidRPr="00247126">
        <w:t>s</w:t>
      </w:r>
      <w:r w:rsidR="00586296" w:rsidRPr="00247126">
        <w:t xml:space="preserve"> guide stent selection and deployment as well as assessment of stent placement</w:t>
      </w:r>
      <w:r w:rsidR="00764137" w:rsidRPr="00247126">
        <w:t>.</w:t>
      </w:r>
    </w:p>
    <w:p w14:paraId="73780CCE" w14:textId="157F5874" w:rsidR="001B732E" w:rsidRPr="00247126" w:rsidRDefault="0015182C" w:rsidP="005D465C">
      <w:pPr>
        <w:rPr>
          <w:iCs/>
        </w:rPr>
      </w:pPr>
      <w:r w:rsidRPr="00247126">
        <w:t xml:space="preserve">OCT is delivered in the catheterisation laboratory setting where the PCI is performed. </w:t>
      </w:r>
      <w:r w:rsidRPr="00247126">
        <w:rPr>
          <w:iCs/>
        </w:rPr>
        <w:t>It is provided at public or private hospitals as an inpatient procedure</w:t>
      </w:r>
      <w:r w:rsidR="00662564" w:rsidRPr="00247126">
        <w:rPr>
          <w:iCs/>
        </w:rPr>
        <w:t xml:space="preserve">, usually </w:t>
      </w:r>
      <w:r w:rsidR="004D5955" w:rsidRPr="00247126">
        <w:rPr>
          <w:iCs/>
        </w:rPr>
        <w:t>using</w:t>
      </w:r>
      <w:r w:rsidR="00662564" w:rsidRPr="00247126">
        <w:rPr>
          <w:iCs/>
        </w:rPr>
        <w:t xml:space="preserve"> local anaesthesia</w:t>
      </w:r>
      <w:r w:rsidRPr="00247126">
        <w:rPr>
          <w:iCs/>
        </w:rPr>
        <w:t xml:space="preserve">. </w:t>
      </w:r>
      <w:r w:rsidR="008F23F6" w:rsidRPr="00247126">
        <w:t>During the procedure, the</w:t>
      </w:r>
      <w:r w:rsidR="00D277DA" w:rsidRPr="00247126">
        <w:t xml:space="preserve"> OCT imaging catheter </w:t>
      </w:r>
      <w:r w:rsidR="004731D4" w:rsidRPr="00247126">
        <w:t xml:space="preserve">is loaded onto a guide wire and </w:t>
      </w:r>
      <w:r w:rsidR="004B62DD" w:rsidRPr="00247126">
        <w:t xml:space="preserve">advanced </w:t>
      </w:r>
      <w:r w:rsidR="006A5639" w:rsidRPr="00247126">
        <w:t>to the desired imaging region</w:t>
      </w:r>
      <w:r w:rsidR="008A7874" w:rsidRPr="00247126">
        <w:t xml:space="preserve"> using a </w:t>
      </w:r>
      <w:r w:rsidR="003D17C5" w:rsidRPr="00247126">
        <w:t>guide cathe</w:t>
      </w:r>
      <w:r w:rsidR="00A73407" w:rsidRPr="00247126">
        <w:t>ter</w:t>
      </w:r>
      <w:r w:rsidR="00173B53" w:rsidRPr="00247126">
        <w:t xml:space="preserve">. The imaging catheter connects to the OCT imaging </w:t>
      </w:r>
      <w:r w:rsidR="00A73407" w:rsidRPr="00247126">
        <w:t>s</w:t>
      </w:r>
      <w:r w:rsidR="00173B53" w:rsidRPr="00247126">
        <w:t xml:space="preserve">ystem through the drive-motor and optical controller. </w:t>
      </w:r>
      <w:r w:rsidR="00061727" w:rsidRPr="00247126">
        <w:t>The OCT procedure requires two operators (a sterile operator and a non-sterile operator).</w:t>
      </w:r>
      <w:r w:rsidR="00A95474" w:rsidRPr="00247126">
        <w:t xml:space="preserve"> </w:t>
      </w:r>
      <w:r w:rsidR="009B12BE" w:rsidRPr="00247126">
        <w:t xml:space="preserve">The use of </w:t>
      </w:r>
      <w:r w:rsidR="00D94287" w:rsidRPr="00247126">
        <w:rPr>
          <w:iCs/>
        </w:rPr>
        <w:t>OCT increases procedural time by approximately 15 minutes, including catheter preparation, setting up the system, image acquisition and image assessment.</w:t>
      </w:r>
    </w:p>
    <w:p w14:paraId="714686C4" w14:textId="7DBA4F86" w:rsidR="008F23F6" w:rsidRPr="00247126" w:rsidRDefault="007A0C7C" w:rsidP="00B35A34">
      <w:r w:rsidRPr="00247126">
        <w:t xml:space="preserve">Currently, </w:t>
      </w:r>
      <w:r w:rsidR="008F23F6" w:rsidRPr="00247126">
        <w:t>OCT is not routinely used in Australia during percutaneous coronary stent insertion. According to the Victorian Cardiac Outcomes</w:t>
      </w:r>
      <w:r w:rsidR="00D96C94" w:rsidRPr="00247126">
        <w:t xml:space="preserve"> </w:t>
      </w:r>
      <w:r w:rsidR="002510C4" w:rsidRPr="00247126">
        <w:t>Registry (VCOR)</w:t>
      </w:r>
      <w:r w:rsidR="00A3302F" w:rsidRPr="00247126">
        <w:t xml:space="preserve"> </w:t>
      </w:r>
      <w:hyperlink r:id="rId11" w:tooltip="Weblink to VCOR website anuual report page" w:history="1">
        <w:r w:rsidR="00A3302F" w:rsidRPr="00247126">
          <w:rPr>
            <w:rStyle w:val="Hyperlink"/>
          </w:rPr>
          <w:t>Annual Public Report 2022</w:t>
        </w:r>
      </w:hyperlink>
      <w:r w:rsidR="008F23F6" w:rsidRPr="00247126">
        <w:t>, OCT was used in 2.7% of PCI cases in Victoria in 2022 (3.4% of cases in the public sector and 1</w:t>
      </w:r>
      <w:r w:rsidR="005F6256" w:rsidRPr="00247126">
        <w:t>.</w:t>
      </w:r>
      <w:r w:rsidR="008F23F6" w:rsidRPr="00247126">
        <w:t>7% of cases in the private sector).</w:t>
      </w:r>
    </w:p>
    <w:p w14:paraId="0107D770" w14:textId="77777777" w:rsidR="00C8309D" w:rsidRPr="00247126" w:rsidRDefault="00C8309D" w:rsidP="00C8309D">
      <w:pPr>
        <w:pStyle w:val="Heading3"/>
      </w:pPr>
      <w:r w:rsidRPr="00247126">
        <w:t>Proposed MBS item descriptor</w:t>
      </w:r>
    </w:p>
    <w:p w14:paraId="32078BDD" w14:textId="42D82FF8" w:rsidR="00EF4B88" w:rsidRPr="00247126" w:rsidRDefault="00004DFA" w:rsidP="0023489A">
      <w:r w:rsidRPr="00247126">
        <w:t xml:space="preserve">The proposed </w:t>
      </w:r>
      <w:r w:rsidR="00974443" w:rsidRPr="00247126">
        <w:t xml:space="preserve">MBS </w:t>
      </w:r>
      <w:r w:rsidRPr="00247126">
        <w:t xml:space="preserve">item descriptor for </w:t>
      </w:r>
      <w:r w:rsidR="00974443" w:rsidRPr="00247126">
        <w:t xml:space="preserve">OCT-guided coronary stent insertion is </w:t>
      </w:r>
      <w:r w:rsidR="00EC756D" w:rsidRPr="00247126">
        <w:t>shown</w:t>
      </w:r>
      <w:r w:rsidR="00974443" w:rsidRPr="00247126">
        <w:t xml:space="preserve"> in</w:t>
      </w:r>
      <w:r w:rsidR="00317240" w:rsidRPr="00247126">
        <w:t xml:space="preserve"> </w:t>
      </w:r>
      <w:r w:rsidR="0023489A" w:rsidRPr="00247126">
        <w:fldChar w:fldCharType="begin"/>
      </w:r>
      <w:r w:rsidR="0023489A" w:rsidRPr="00247126">
        <w:instrText xml:space="preserve"> REF _Ref163127457 \h </w:instrText>
      </w:r>
      <w:r w:rsidR="00C567A2" w:rsidRPr="00247126">
        <w:instrText xml:space="preserve"> \* MERGEFORMAT </w:instrText>
      </w:r>
      <w:r w:rsidR="0023489A" w:rsidRPr="00247126">
        <w:fldChar w:fldCharType="separate"/>
      </w:r>
      <w:r w:rsidR="00151E03" w:rsidRPr="00247126">
        <w:t xml:space="preserve">Table </w:t>
      </w:r>
      <w:r w:rsidR="00151E03" w:rsidRPr="00247126">
        <w:rPr>
          <w:noProof/>
        </w:rPr>
        <w:t>2</w:t>
      </w:r>
      <w:r w:rsidR="0023489A" w:rsidRPr="00247126">
        <w:fldChar w:fldCharType="end"/>
      </w:r>
      <w:r w:rsidR="00317240" w:rsidRPr="00247126">
        <w:t>.</w:t>
      </w:r>
      <w:r w:rsidR="00A34D06" w:rsidRPr="00247126">
        <w:t xml:space="preserve"> Edits proposed by the commentary</w:t>
      </w:r>
      <w:r w:rsidR="009317AD" w:rsidRPr="00247126">
        <w:t xml:space="preserve"> </w:t>
      </w:r>
      <w:r w:rsidR="00477860" w:rsidRPr="00247126">
        <w:t xml:space="preserve">for consistency with MBS item 38325 (IVUS-guided coronary stent insertion) </w:t>
      </w:r>
      <w:r w:rsidR="00A34D06" w:rsidRPr="00247126">
        <w:t xml:space="preserve">are shown in strikethrough (deletions) and </w:t>
      </w:r>
      <w:r w:rsidR="003E138A" w:rsidRPr="00247126">
        <w:t>italic</w:t>
      </w:r>
      <w:r w:rsidR="00936DCB" w:rsidRPr="00247126">
        <w:t>s</w:t>
      </w:r>
      <w:r w:rsidR="003E138A" w:rsidRPr="00247126">
        <w:t xml:space="preserve"> (additions).</w:t>
      </w:r>
    </w:p>
    <w:p w14:paraId="6123180D" w14:textId="6E508A59" w:rsidR="0023489A" w:rsidRPr="00247126" w:rsidRDefault="0023489A" w:rsidP="009317AD">
      <w:r w:rsidRPr="00247126">
        <w:t xml:space="preserve">Similar to IVUS, the proposed item for OCT does not mention concurrent invasive coronary </w:t>
      </w:r>
      <w:r w:rsidR="00583492" w:rsidRPr="00247126">
        <w:t>AG</w:t>
      </w:r>
      <w:r w:rsidRPr="00247126">
        <w:t xml:space="preserve">, which </w:t>
      </w:r>
      <w:r w:rsidR="00854554" w:rsidRPr="00247126">
        <w:t xml:space="preserve">is </w:t>
      </w:r>
      <w:r w:rsidR="007A0A79" w:rsidRPr="00247126">
        <w:t xml:space="preserve">always </w:t>
      </w:r>
      <w:r w:rsidR="00854554" w:rsidRPr="00247126">
        <w:t>performed with PCI</w:t>
      </w:r>
      <w:r w:rsidR="007A0A79" w:rsidRPr="00247126">
        <w:t xml:space="preserve">, either </w:t>
      </w:r>
      <w:r w:rsidR="00CC4065" w:rsidRPr="00247126">
        <w:t xml:space="preserve">just </w:t>
      </w:r>
      <w:r w:rsidR="00854554" w:rsidRPr="00247126">
        <w:t>prior to stent insertion</w:t>
      </w:r>
      <w:r w:rsidR="00A8009D" w:rsidRPr="00247126">
        <w:t xml:space="preserve"> </w:t>
      </w:r>
      <w:r w:rsidR="00D44C0B" w:rsidRPr="00247126">
        <w:t>or separately (within three months</w:t>
      </w:r>
      <w:r w:rsidR="009672CE" w:rsidRPr="00247126">
        <w:t xml:space="preserve"> of PCI</w:t>
      </w:r>
      <w:r w:rsidR="00D44C0B" w:rsidRPr="00247126">
        <w:t>)</w:t>
      </w:r>
      <w:r w:rsidRPr="00247126">
        <w:t>.</w:t>
      </w:r>
    </w:p>
    <w:p w14:paraId="4EB0075E" w14:textId="76845A50" w:rsidR="008701E8" w:rsidRPr="00247126" w:rsidRDefault="00974443" w:rsidP="004F2D72">
      <w:pPr>
        <w:pStyle w:val="Caption"/>
        <w:spacing w:before="240"/>
      </w:pPr>
      <w:bookmarkStart w:id="7" w:name="_Ref163127457"/>
      <w:r w:rsidRPr="00247126">
        <w:t xml:space="preserve">Table </w:t>
      </w:r>
      <w:r w:rsidRPr="00247126">
        <w:fldChar w:fldCharType="begin"/>
      </w:r>
      <w:r w:rsidRPr="00247126">
        <w:instrText xml:space="preserve"> SEQ Table \* ARABIC </w:instrText>
      </w:r>
      <w:r w:rsidRPr="00247126">
        <w:fldChar w:fldCharType="separate"/>
      </w:r>
      <w:r w:rsidR="00151E03" w:rsidRPr="00247126">
        <w:rPr>
          <w:noProof/>
        </w:rPr>
        <w:t>2</w:t>
      </w:r>
      <w:r w:rsidRPr="00247126">
        <w:rPr>
          <w:noProof/>
        </w:rPr>
        <w:fldChar w:fldCharType="end"/>
      </w:r>
      <w:bookmarkEnd w:id="7"/>
      <w:r w:rsidR="00D04CB0" w:rsidRPr="00247126">
        <w:tab/>
      </w:r>
      <w:r w:rsidR="00687CB7" w:rsidRPr="00247126">
        <w:t xml:space="preserve">Proposed </w:t>
      </w:r>
      <w:r w:rsidR="00D04CB0" w:rsidRPr="00247126">
        <w:t xml:space="preserve">new </w:t>
      </w:r>
      <w:r w:rsidR="00687CB7" w:rsidRPr="00247126">
        <w:t xml:space="preserve">MBS item descriptor for OCT-guided coronary stent </w:t>
      </w:r>
      <w:proofErr w:type="gramStart"/>
      <w:r w:rsidR="00687CB7" w:rsidRPr="00247126">
        <w:t>insertion</w:t>
      </w:r>
      <w:r w:rsidR="00C9207C" w:rsidRPr="00247126">
        <w:t>;</w:t>
      </w:r>
      <w:proofErr w:type="gramEnd"/>
      <w:r w:rsidR="00C9207C" w:rsidRPr="00247126">
        <w:t xml:space="preserve"> with </w:t>
      </w:r>
      <w:r w:rsidR="00151B0E" w:rsidRPr="00247126">
        <w:t>commentary amendments.</w:t>
      </w:r>
    </w:p>
    <w:tbl>
      <w:tblPr>
        <w:tblStyle w:val="TableGrid"/>
        <w:tblW w:w="0" w:type="auto"/>
        <w:tblLook w:val="04A0" w:firstRow="1" w:lastRow="0" w:firstColumn="1" w:lastColumn="0" w:noHBand="0" w:noVBand="1"/>
        <w:tblCaption w:val="Proposed new MBS item descriptor for OCT-guided coronary stent insertion"/>
        <w:tblDescription w:val="This table shows the proposed new MBS item descriptor for OCT-guided coronary stent insertion. "/>
      </w:tblPr>
      <w:tblGrid>
        <w:gridCol w:w="9016"/>
      </w:tblGrid>
      <w:tr w:rsidR="00687CB7" w:rsidRPr="00247126" w14:paraId="434A40B3" w14:textId="77777777" w:rsidTr="00687CB7">
        <w:tc>
          <w:tcPr>
            <w:tcW w:w="9016" w:type="dxa"/>
          </w:tcPr>
          <w:p w14:paraId="55128A23" w14:textId="23F62810" w:rsidR="00687CB7" w:rsidRPr="00247126" w:rsidRDefault="00045FDF" w:rsidP="00045FDF">
            <w:pPr>
              <w:pStyle w:val="TableHeading0"/>
            </w:pPr>
            <w:r w:rsidRPr="00247126">
              <w:t>Category 3 – Therapeutic procedures</w:t>
            </w:r>
          </w:p>
        </w:tc>
      </w:tr>
      <w:tr w:rsidR="00687CB7" w:rsidRPr="00247126" w14:paraId="40D74767" w14:textId="77777777" w:rsidTr="00687CB7">
        <w:tc>
          <w:tcPr>
            <w:tcW w:w="9016" w:type="dxa"/>
          </w:tcPr>
          <w:p w14:paraId="203B1ADC" w14:textId="77777777" w:rsidR="00186189" w:rsidRPr="00247126" w:rsidRDefault="00186189" w:rsidP="00186189">
            <w:pPr>
              <w:pStyle w:val="TableText"/>
            </w:pPr>
            <w:r w:rsidRPr="00247126">
              <w:t>MBS item XXXX</w:t>
            </w:r>
          </w:p>
          <w:p w14:paraId="16821B9A" w14:textId="77777777" w:rsidR="00186189" w:rsidRPr="00247126" w:rsidRDefault="00186189" w:rsidP="00186189">
            <w:pPr>
              <w:pStyle w:val="TableText"/>
              <w:rPr>
                <w:strike/>
              </w:rPr>
            </w:pPr>
            <w:r w:rsidRPr="00247126">
              <w:rPr>
                <w:strike/>
              </w:rPr>
              <w:t>Optical Coherence Tomography (OCT)</w:t>
            </w:r>
          </w:p>
          <w:p w14:paraId="1869B256" w14:textId="77777777" w:rsidR="00186189" w:rsidRPr="00247126" w:rsidRDefault="00186189" w:rsidP="00186189">
            <w:pPr>
              <w:pStyle w:val="TableText"/>
            </w:pPr>
            <w:r w:rsidRPr="00247126">
              <w:t xml:space="preserve">Use of </w:t>
            </w:r>
            <w:r w:rsidRPr="00247126">
              <w:rPr>
                <w:i/>
                <w:iCs/>
              </w:rPr>
              <w:t>optical coherence tomography</w:t>
            </w:r>
            <w:r w:rsidRPr="00247126">
              <w:t xml:space="preserve"> </w:t>
            </w:r>
            <w:r w:rsidRPr="00247126">
              <w:rPr>
                <w:i/>
                <w:iCs/>
              </w:rPr>
              <w:t>(</w:t>
            </w:r>
            <w:r w:rsidRPr="00247126">
              <w:t>OCT</w:t>
            </w:r>
            <w:r w:rsidRPr="00247126">
              <w:rPr>
                <w:i/>
                <w:iCs/>
              </w:rPr>
              <w:t>)</w:t>
            </w:r>
            <w:r w:rsidRPr="00247126">
              <w:t xml:space="preserve"> during transluminal insertion of stents, to optimise procedural strategy, appropriate stent size and assessment of stent apposition, for </w:t>
            </w:r>
            <w:r w:rsidRPr="00247126">
              <w:rPr>
                <w:i/>
                <w:iCs/>
              </w:rPr>
              <w:t>a</w:t>
            </w:r>
            <w:r w:rsidRPr="00247126">
              <w:t xml:space="preserve"> patient</w:t>
            </w:r>
            <w:r w:rsidRPr="00247126">
              <w:rPr>
                <w:strike/>
              </w:rPr>
              <w:t>s</w:t>
            </w:r>
            <w:r w:rsidRPr="00247126">
              <w:t xml:space="preserve"> </w:t>
            </w:r>
            <w:r w:rsidRPr="00247126">
              <w:rPr>
                <w:i/>
                <w:iCs/>
              </w:rPr>
              <w:t>documented</w:t>
            </w:r>
            <w:r w:rsidRPr="00247126">
              <w:t xml:space="preserve"> with: </w:t>
            </w:r>
          </w:p>
          <w:p w14:paraId="29EB3EBC" w14:textId="38D7542F" w:rsidR="00186189" w:rsidRPr="00247126" w:rsidRDefault="00186189" w:rsidP="003D76E2">
            <w:pPr>
              <w:pStyle w:val="TableText"/>
              <w:numPr>
                <w:ilvl w:val="0"/>
                <w:numId w:val="10"/>
              </w:numPr>
            </w:pPr>
            <w:r w:rsidRPr="00247126">
              <w:rPr>
                <w:i/>
                <w:iCs/>
              </w:rPr>
              <w:t>one or more</w:t>
            </w:r>
            <w:r w:rsidRPr="00247126">
              <w:t xml:space="preserve"> </w:t>
            </w:r>
            <w:r w:rsidRPr="00247126">
              <w:rPr>
                <w:strike/>
              </w:rPr>
              <w:t>Long or multiple</w:t>
            </w:r>
            <w:r w:rsidRPr="00247126">
              <w:t xml:space="preserve"> lesions</w:t>
            </w:r>
            <w:r w:rsidRPr="00247126">
              <w:rPr>
                <w:strike/>
              </w:rPr>
              <w:t xml:space="preserve">, defined as </w:t>
            </w:r>
            <w:r w:rsidRPr="00247126">
              <w:rPr>
                <w:i/>
                <w:iCs/>
              </w:rPr>
              <w:t>where the</w:t>
            </w:r>
            <w:r w:rsidRPr="00247126">
              <w:t xml:space="preserve"> intended total stent length (continuous or separated) in any single target vessel </w:t>
            </w:r>
            <w:r w:rsidRPr="00247126">
              <w:rPr>
                <w:i/>
                <w:iCs/>
              </w:rPr>
              <w:t>is</w:t>
            </w:r>
            <w:r w:rsidRPr="00247126">
              <w:t xml:space="preserve"> ≥28 mm</w:t>
            </w:r>
            <w:r w:rsidRPr="00247126">
              <w:rPr>
                <w:strike/>
              </w:rPr>
              <w:t>)</w:t>
            </w:r>
            <w:r w:rsidRPr="00247126">
              <w:t xml:space="preserve">, or  </w:t>
            </w:r>
          </w:p>
          <w:p w14:paraId="40D277F1" w14:textId="476D00CB" w:rsidR="00186189" w:rsidRPr="00247126" w:rsidRDefault="00186189" w:rsidP="003D76E2">
            <w:pPr>
              <w:pStyle w:val="TableText"/>
              <w:numPr>
                <w:ilvl w:val="0"/>
                <w:numId w:val="10"/>
              </w:numPr>
            </w:pPr>
            <w:r w:rsidRPr="00247126">
              <w:rPr>
                <w:i/>
                <w:iCs/>
              </w:rPr>
              <w:t>one or more</w:t>
            </w:r>
            <w:r w:rsidRPr="00247126">
              <w:t xml:space="preserve"> </w:t>
            </w:r>
            <w:proofErr w:type="spellStart"/>
            <w:r w:rsidRPr="00247126">
              <w:rPr>
                <w:strike/>
              </w:rPr>
              <w:t>L</w:t>
            </w:r>
            <w:r w:rsidR="007C5411" w:rsidRPr="00247126">
              <w:rPr>
                <w:i/>
                <w:iCs/>
              </w:rPr>
              <w:t>l</w:t>
            </w:r>
            <w:r w:rsidRPr="00247126">
              <w:t>esion</w:t>
            </w:r>
            <w:r w:rsidRPr="00247126">
              <w:rPr>
                <w:i/>
                <w:iCs/>
              </w:rPr>
              <w:t>s</w:t>
            </w:r>
            <w:proofErr w:type="spellEnd"/>
            <w:r w:rsidRPr="00247126">
              <w:t xml:space="preserve"> located at a bifurcation and where the planned side branch is ≥ 2.5 mm in diameter by angiographic visual estimation, or </w:t>
            </w:r>
          </w:p>
          <w:p w14:paraId="65503F3D" w14:textId="5A0D859C" w:rsidR="00186189" w:rsidRPr="00247126" w:rsidRDefault="00186189" w:rsidP="003D76E2">
            <w:pPr>
              <w:pStyle w:val="TableText"/>
              <w:numPr>
                <w:ilvl w:val="0"/>
                <w:numId w:val="10"/>
              </w:numPr>
            </w:pPr>
            <w:r w:rsidRPr="00247126">
              <w:rPr>
                <w:i/>
                <w:iCs/>
              </w:rPr>
              <w:t>one or more lesions with</w:t>
            </w:r>
            <w:r w:rsidRPr="00247126">
              <w:t xml:space="preserve"> </w:t>
            </w:r>
            <w:r w:rsidRPr="00247126">
              <w:rPr>
                <w:strike/>
              </w:rPr>
              <w:t>Angiographic</w:t>
            </w:r>
            <w:r w:rsidRPr="00247126">
              <w:t xml:space="preserve"> severe calcification</w:t>
            </w:r>
            <w:r w:rsidRPr="00247126">
              <w:rPr>
                <w:i/>
                <w:iCs/>
              </w:rPr>
              <w:t>,</w:t>
            </w:r>
            <w:r w:rsidRPr="00247126">
              <w:t xml:space="preserve"> </w:t>
            </w:r>
            <w:r w:rsidRPr="00247126">
              <w:rPr>
                <w:strike/>
              </w:rPr>
              <w:t>(</w:t>
            </w:r>
            <w:r w:rsidRPr="00247126">
              <w:t>defined as angiographically visible calcification on both sides of the vessel wall in the absence of cardiac motion</w:t>
            </w:r>
            <w:r w:rsidRPr="00247126">
              <w:rPr>
                <w:strike/>
              </w:rPr>
              <w:t>)</w:t>
            </w:r>
            <w:r w:rsidRPr="00247126">
              <w:t xml:space="preserve">, or </w:t>
            </w:r>
          </w:p>
          <w:p w14:paraId="5296F1DB" w14:textId="23B42AE5" w:rsidR="00186189" w:rsidRPr="00247126" w:rsidRDefault="00186189" w:rsidP="003D76E2">
            <w:pPr>
              <w:pStyle w:val="TableText"/>
              <w:numPr>
                <w:ilvl w:val="0"/>
                <w:numId w:val="10"/>
              </w:numPr>
            </w:pPr>
            <w:r w:rsidRPr="00247126">
              <w:t>Stent failure (including stent thrombosis</w:t>
            </w:r>
            <w:r w:rsidR="00A65855" w:rsidRPr="00247126">
              <w:t xml:space="preserve"> </w:t>
            </w:r>
            <w:r w:rsidR="00A65855" w:rsidRPr="00247126">
              <w:rPr>
                <w:i/>
                <w:iCs/>
              </w:rPr>
              <w:t>or</w:t>
            </w:r>
            <w:r w:rsidR="00E430C9" w:rsidRPr="00247126">
              <w:rPr>
                <w:strike/>
              </w:rPr>
              <w:t>,</w:t>
            </w:r>
            <w:r w:rsidRPr="00247126">
              <w:t xml:space="preserve"> in-stent restenosis of diffuse or multi-focal pattern). </w:t>
            </w:r>
          </w:p>
          <w:p w14:paraId="03C95194" w14:textId="77777777" w:rsidR="00186189" w:rsidRPr="00247126" w:rsidRDefault="00186189" w:rsidP="00186189">
            <w:pPr>
              <w:pStyle w:val="TableText"/>
            </w:pPr>
            <w:r w:rsidRPr="00247126">
              <w:rPr>
                <w:strike/>
              </w:rPr>
              <w:t>Being a service associated with</w:t>
            </w:r>
            <w:r w:rsidRPr="00247126">
              <w:t xml:space="preserve"> </w:t>
            </w:r>
            <w:r w:rsidRPr="00247126">
              <w:rPr>
                <w:i/>
                <w:iCs/>
              </w:rPr>
              <w:t>if performed in association with a service to which</w:t>
            </w:r>
            <w:r w:rsidRPr="00247126">
              <w:t xml:space="preserve"> item</w:t>
            </w:r>
            <w:r w:rsidRPr="00247126">
              <w:rPr>
                <w:strike/>
              </w:rPr>
              <w:t>s</w:t>
            </w:r>
            <w:r w:rsidRPr="00247126">
              <w:t xml:space="preserve"> 38307, 38308, 38310, 38311, 38313, 38314, 38316, 38317, 38319, 38320, 38322, </w:t>
            </w:r>
            <w:r w:rsidRPr="00247126">
              <w:rPr>
                <w:i/>
                <w:iCs/>
              </w:rPr>
              <w:t>or</w:t>
            </w:r>
            <w:r w:rsidRPr="00247126">
              <w:t xml:space="preserve"> 38323 </w:t>
            </w:r>
            <w:r w:rsidRPr="00247126">
              <w:rPr>
                <w:i/>
                <w:iCs/>
              </w:rPr>
              <w:t>applies</w:t>
            </w:r>
            <w:r w:rsidRPr="00247126">
              <w:t xml:space="preserve">. </w:t>
            </w:r>
          </w:p>
          <w:p w14:paraId="5D4B4746" w14:textId="77777777" w:rsidR="00186189" w:rsidRPr="00247126" w:rsidRDefault="00186189" w:rsidP="00186189">
            <w:pPr>
              <w:pStyle w:val="TableText"/>
            </w:pPr>
            <w:r w:rsidRPr="00247126">
              <w:rPr>
                <w:strike/>
              </w:rPr>
              <w:t>Service is claimable once in a single</w:t>
            </w:r>
            <w:r w:rsidRPr="00247126">
              <w:t xml:space="preserve"> </w:t>
            </w:r>
            <w:r w:rsidRPr="00247126">
              <w:rPr>
                <w:i/>
                <w:iCs/>
              </w:rPr>
              <w:t>Applicable once per</w:t>
            </w:r>
            <w:r w:rsidRPr="00247126">
              <w:t xml:space="preserve"> episode of care (for one or more lesions) </w:t>
            </w:r>
            <w:r w:rsidRPr="00247126">
              <w:rPr>
                <w:i/>
                <w:iCs/>
              </w:rPr>
              <w:t>(H)</w:t>
            </w:r>
            <w:r w:rsidRPr="00247126">
              <w:t xml:space="preserve">. </w:t>
            </w:r>
          </w:p>
          <w:p w14:paraId="2BFA1E39" w14:textId="77777777" w:rsidR="00186189" w:rsidRPr="00247126" w:rsidRDefault="00186189" w:rsidP="00186189">
            <w:pPr>
              <w:pStyle w:val="TableText"/>
              <w:rPr>
                <w:i/>
                <w:iCs/>
              </w:rPr>
            </w:pPr>
            <w:r w:rsidRPr="00247126">
              <w:rPr>
                <w:i/>
                <w:iCs/>
              </w:rPr>
              <w:t>Multiple Operation Rule</w:t>
            </w:r>
          </w:p>
          <w:p w14:paraId="356649B9" w14:textId="77777777" w:rsidR="00186189" w:rsidRPr="00247126" w:rsidRDefault="00186189" w:rsidP="00186189">
            <w:pPr>
              <w:pStyle w:val="TableText"/>
              <w:rPr>
                <w:i/>
                <w:iCs/>
              </w:rPr>
            </w:pPr>
            <w:r w:rsidRPr="00247126">
              <w:rPr>
                <w:i/>
                <w:iCs/>
              </w:rPr>
              <w:t>(</w:t>
            </w:r>
            <w:proofErr w:type="spellStart"/>
            <w:r w:rsidRPr="00247126">
              <w:rPr>
                <w:i/>
                <w:iCs/>
              </w:rPr>
              <w:t>Anaes</w:t>
            </w:r>
            <w:proofErr w:type="spellEnd"/>
            <w:r w:rsidRPr="00247126">
              <w:rPr>
                <w:i/>
                <w:iCs/>
              </w:rPr>
              <w:t>.)</w:t>
            </w:r>
          </w:p>
          <w:p w14:paraId="12A0E0A8" w14:textId="30270FF5" w:rsidR="00687CB7" w:rsidRPr="00247126" w:rsidRDefault="00186189" w:rsidP="00186189">
            <w:pPr>
              <w:pStyle w:val="TableText"/>
              <w:rPr>
                <w:strike/>
              </w:rPr>
            </w:pPr>
            <w:r w:rsidRPr="00247126">
              <w:rPr>
                <w:strike/>
              </w:rPr>
              <w:t>Fee only payable when the service is provided in association with insertion of coronary stent/s (items 38307, 38308, 38310, 38311, 38313, 38314, 38316, 38317, 38319, 38320, 38322, 38323). (H)</w:t>
            </w:r>
          </w:p>
        </w:tc>
      </w:tr>
      <w:tr w:rsidR="00687CB7" w:rsidRPr="00247126" w14:paraId="75C23AE2" w14:textId="77777777" w:rsidTr="00687CB7">
        <w:tc>
          <w:tcPr>
            <w:tcW w:w="9016" w:type="dxa"/>
          </w:tcPr>
          <w:p w14:paraId="1DDB0101" w14:textId="3D8FED00" w:rsidR="00687CB7" w:rsidRPr="00247126" w:rsidRDefault="009446E5" w:rsidP="009446E5">
            <w:pPr>
              <w:pStyle w:val="TableText"/>
            </w:pPr>
            <w:r w:rsidRPr="00247126">
              <w:t xml:space="preserve">Fee: </w:t>
            </w:r>
            <w:r w:rsidRPr="00247126">
              <w:rPr>
                <w:strike/>
              </w:rPr>
              <w:t>$516.90</w:t>
            </w:r>
            <w:r w:rsidRPr="00247126">
              <w:t xml:space="preserve"> </w:t>
            </w:r>
            <w:r w:rsidRPr="00247126">
              <w:rPr>
                <w:i/>
                <w:iCs/>
              </w:rPr>
              <w:t>$508.70</w:t>
            </w:r>
            <w:r w:rsidRPr="00247126">
              <w:t xml:space="preserve">    Benefit: 75% = </w:t>
            </w:r>
            <w:r w:rsidRPr="00247126">
              <w:rPr>
                <w:strike/>
              </w:rPr>
              <w:t>$387.70</w:t>
            </w:r>
            <w:r w:rsidRPr="00247126">
              <w:t xml:space="preserve"> </w:t>
            </w:r>
            <w:r w:rsidRPr="00247126">
              <w:rPr>
                <w:i/>
                <w:iCs/>
              </w:rPr>
              <w:t>$381.55</w:t>
            </w:r>
            <w:r w:rsidRPr="00247126">
              <w:t xml:space="preserve">   </w:t>
            </w:r>
            <w:r w:rsidRPr="00247126">
              <w:rPr>
                <w:strike/>
              </w:rPr>
              <w:t>85% = $439.40</w:t>
            </w:r>
          </w:p>
        </w:tc>
      </w:tr>
    </w:tbl>
    <w:p w14:paraId="6CB5EDFD" w14:textId="1BAE5584" w:rsidR="00687CB7" w:rsidRPr="00247126" w:rsidRDefault="00577309" w:rsidP="004F2D72">
      <w:pPr>
        <w:pStyle w:val="Tablenotes0"/>
        <w:spacing w:before="0"/>
      </w:pPr>
      <w:r w:rsidRPr="00247126">
        <w:t xml:space="preserve">Source: adapted from </w:t>
      </w:r>
      <w:r w:rsidR="003059EF" w:rsidRPr="00247126">
        <w:t xml:space="preserve">Table 14 of </w:t>
      </w:r>
      <w:r w:rsidRPr="00247126">
        <w:t>MSAC 1743</w:t>
      </w:r>
      <w:r w:rsidR="003059EF" w:rsidRPr="00247126">
        <w:t xml:space="preserve"> </w:t>
      </w:r>
      <w:proofErr w:type="spellStart"/>
      <w:r w:rsidR="003059EF" w:rsidRPr="00247126">
        <w:t>ADAR+in-line</w:t>
      </w:r>
      <w:proofErr w:type="spellEnd"/>
      <w:r w:rsidR="003059EF" w:rsidRPr="00247126">
        <w:t xml:space="preserve"> commentary</w:t>
      </w:r>
      <w:r w:rsidR="00D04CB0" w:rsidRPr="00247126">
        <w:t>,</w:t>
      </w:r>
      <w:r w:rsidR="003059EF" w:rsidRPr="00247126">
        <w:t xml:space="preserve"> </w:t>
      </w:r>
      <w:r w:rsidRPr="00247126">
        <w:t>with commentary amendments</w:t>
      </w:r>
      <w:r w:rsidR="00F42E70" w:rsidRPr="00247126">
        <w:t xml:space="preserve"> in strikethrough and italics</w:t>
      </w:r>
      <w:r w:rsidR="00123884" w:rsidRPr="00247126">
        <w:t>.</w:t>
      </w:r>
    </w:p>
    <w:p w14:paraId="3579878A" w14:textId="297B8E54" w:rsidR="00B45E9B" w:rsidRPr="00247126" w:rsidRDefault="00B45E9B" w:rsidP="00C219BB">
      <w:r w:rsidRPr="00247126">
        <w:lastRenderedPageBreak/>
        <w:t xml:space="preserve">PASC noted there was no theoretical reason to limit the proposed intervention to a particular number of target vessels but considered a multi-disciplinary team should be consulted if </w:t>
      </w:r>
      <w:r w:rsidR="00262D34" w:rsidRPr="00247126">
        <w:t xml:space="preserve">three </w:t>
      </w:r>
      <w:r w:rsidR="00172EDA" w:rsidRPr="00247126">
        <w:t>or more</w:t>
      </w:r>
      <w:r w:rsidRPr="00247126">
        <w:t xml:space="preserve"> vessels require intervention because there are potential risks involved with increasing the duration of the procedure. </w:t>
      </w:r>
      <w:r w:rsidR="00BE0584" w:rsidRPr="00CC5607">
        <w:t>MSAC may wish to consider whether this should be included in an explanatory note.</w:t>
      </w:r>
    </w:p>
    <w:p w14:paraId="049D0AFA" w14:textId="50E1F1E8" w:rsidR="00C219BB" w:rsidRPr="00247126" w:rsidRDefault="00C219BB" w:rsidP="00C219BB">
      <w:r w:rsidRPr="00247126">
        <w:t xml:space="preserve">MSAC </w:t>
      </w:r>
      <w:r w:rsidR="009C2B32" w:rsidRPr="00CC5607">
        <w:t>may also wish to consider</w:t>
      </w:r>
      <w:r w:rsidRPr="00247126">
        <w:t xml:space="preserve"> whether the service should be restricted to accredited providers or those with specific training. If so, the appropriate training standard needs to be confirmed and considered for inclusion in the item descriptor explanatory notes (noting, however, that MBS item 38325 for IVUS </w:t>
      </w:r>
      <w:r w:rsidR="6C7F2F6B" w:rsidRPr="00247126">
        <w:t>is not</w:t>
      </w:r>
      <w:r w:rsidR="04CEA288" w:rsidRPr="00247126">
        <w:t xml:space="preserve"> restrict</w:t>
      </w:r>
      <w:r w:rsidR="379C6CF2" w:rsidRPr="00247126">
        <w:t>ed</w:t>
      </w:r>
      <w:r w:rsidR="04CEA288" w:rsidRPr="00247126">
        <w:t xml:space="preserve"> to accredited providers </w:t>
      </w:r>
      <w:r w:rsidR="2F626452" w:rsidRPr="00247126">
        <w:t>and has no</w:t>
      </w:r>
      <w:r w:rsidRPr="00247126">
        <w:t xml:space="preserve"> explanatory note specifying training requirements for IVUS).</w:t>
      </w:r>
    </w:p>
    <w:p w14:paraId="2B3C080C" w14:textId="0DD622A7" w:rsidR="00B2498B" w:rsidRPr="00247126" w:rsidRDefault="007131FA" w:rsidP="00B2498B">
      <w:r w:rsidRPr="00247126">
        <w:t xml:space="preserve">Given that the indications </w:t>
      </w:r>
      <w:r w:rsidR="00CB0341" w:rsidRPr="00247126">
        <w:t xml:space="preserve">for </w:t>
      </w:r>
      <w:r w:rsidR="00E95D86" w:rsidRPr="00247126">
        <w:t>IVUS and OCT</w:t>
      </w:r>
      <w:r w:rsidR="009D2F65" w:rsidRPr="00247126">
        <w:t xml:space="preserve"> </w:t>
      </w:r>
      <w:r w:rsidRPr="00247126">
        <w:t>overlap</w:t>
      </w:r>
      <w:r w:rsidR="00AC5A8D" w:rsidRPr="00247126">
        <w:t>,</w:t>
      </w:r>
      <w:r w:rsidRPr="00247126">
        <w:t xml:space="preserve"> and the</w:t>
      </w:r>
      <w:r w:rsidR="00530924" w:rsidRPr="00247126">
        <w:t xml:space="preserve"> two modalities</w:t>
      </w:r>
      <w:r w:rsidRPr="00247126">
        <w:t xml:space="preserve"> may provide different information for the operator</w:t>
      </w:r>
      <w:r w:rsidR="009D2F65" w:rsidRPr="00247126">
        <w:t>,</w:t>
      </w:r>
      <w:r w:rsidRPr="00247126">
        <w:t xml:space="preserve"> </w:t>
      </w:r>
      <w:r w:rsidR="005F2E5F" w:rsidRPr="00CC5607">
        <w:t xml:space="preserve">MSAC may wish to consider </w:t>
      </w:r>
      <w:r w:rsidR="005A7A2A" w:rsidRPr="00247126">
        <w:t>whether dual use of these intravascular imaging technologies would be appropriate</w:t>
      </w:r>
      <w:r w:rsidR="00554010" w:rsidRPr="00247126">
        <w:t xml:space="preserve"> </w:t>
      </w:r>
      <w:r w:rsidR="00C44B5B" w:rsidRPr="00247126">
        <w:rPr>
          <w:bCs/>
        </w:rPr>
        <w:t>without consideration of</w:t>
      </w:r>
      <w:r w:rsidR="00F37B68" w:rsidRPr="00247126">
        <w:rPr>
          <w:bCs/>
        </w:rPr>
        <w:t xml:space="preserve"> clinical evidence to support safe and effective use of the two modalities together</w:t>
      </w:r>
      <w:r w:rsidR="005A7A2A" w:rsidRPr="00247126">
        <w:t xml:space="preserve">. </w:t>
      </w:r>
      <w:r w:rsidR="00B2498B" w:rsidRPr="00247126">
        <w:t xml:space="preserve">For example, OCT </w:t>
      </w:r>
      <w:r w:rsidR="005A05D7" w:rsidRPr="00247126">
        <w:t xml:space="preserve">and </w:t>
      </w:r>
      <w:r w:rsidR="00B2498B" w:rsidRPr="00247126">
        <w:t xml:space="preserve">IVUS could be used </w:t>
      </w:r>
      <w:r w:rsidR="005C7EC0" w:rsidRPr="00247126">
        <w:t xml:space="preserve">concurrently </w:t>
      </w:r>
      <w:r w:rsidR="00B2498B" w:rsidRPr="00247126">
        <w:t>for left main coronary artery bifurcation</w:t>
      </w:r>
      <w:r w:rsidR="00294D63" w:rsidRPr="00247126">
        <w:t xml:space="preserve"> </w:t>
      </w:r>
      <w:r w:rsidR="001558CA" w:rsidRPr="00247126">
        <w:t xml:space="preserve">lesions </w:t>
      </w:r>
      <w:r w:rsidR="00294D63" w:rsidRPr="00247126">
        <w:t xml:space="preserve">and </w:t>
      </w:r>
      <w:r w:rsidR="00D979F2" w:rsidRPr="00247126">
        <w:t>for long lesions</w:t>
      </w:r>
      <w:r w:rsidR="00B2498B" w:rsidRPr="00247126">
        <w:t>.</w:t>
      </w:r>
    </w:p>
    <w:p w14:paraId="77E809A2" w14:textId="02AC257D" w:rsidR="00C8309D" w:rsidRPr="00247126" w:rsidRDefault="00C8309D" w:rsidP="00C8309D">
      <w:pPr>
        <w:pStyle w:val="Heading3"/>
      </w:pPr>
      <w:r w:rsidRPr="00247126">
        <w:t xml:space="preserve">Proposed MBS </w:t>
      </w:r>
      <w:r w:rsidR="00BC198B" w:rsidRPr="00247126">
        <w:t>schedule fee</w:t>
      </w:r>
    </w:p>
    <w:p w14:paraId="0CB40745" w14:textId="3C104D9B" w:rsidR="00C8309D" w:rsidRPr="00247126" w:rsidRDefault="0023489A" w:rsidP="00B2498B">
      <w:r w:rsidRPr="00247126">
        <w:t>The fee proposed by the applicant was informed by</w:t>
      </w:r>
      <w:r w:rsidRPr="00247126" w:rsidDel="00CA11FB">
        <w:t xml:space="preserve"> </w:t>
      </w:r>
      <w:r w:rsidRPr="00247126">
        <w:t>MBS item 38241, use of a coronary pressure wire ($516.90 on 2 February 2024), that was used to form the basis of the proposed item for IVUS</w:t>
      </w:r>
      <w:r w:rsidR="00784A66" w:rsidRPr="00247126">
        <w:t xml:space="preserve"> (</w:t>
      </w:r>
      <w:hyperlink r:id="rId12" w:tooltip="Weblink to MSAC website page for application 1354.1" w:history="1">
        <w:r w:rsidR="00784A66" w:rsidRPr="00247126">
          <w:rPr>
            <w:rStyle w:val="Hyperlink"/>
          </w:rPr>
          <w:t>MSAC 1354.1 Public Summary Document</w:t>
        </w:r>
      </w:hyperlink>
      <w:r w:rsidR="00784A66" w:rsidRPr="00247126">
        <w:t xml:space="preserve"> </w:t>
      </w:r>
      <w:r w:rsidR="00A108C0" w:rsidRPr="00247126">
        <w:t>[PSD]</w:t>
      </w:r>
      <w:r w:rsidRPr="00247126">
        <w:t xml:space="preserve">). Expert opinion obtained by the applicant noted that the duration of the procedure, the complexity, and the resources used for OCT were similar to that for IVUS. On 1 March 2024, MBS item 38325 for use of IVUS during transluminal insertion of stents was listed on the MBS with a schedule fee of $508.70 (see </w:t>
      </w:r>
      <w:r w:rsidRPr="00247126">
        <w:fldChar w:fldCharType="begin"/>
      </w:r>
      <w:r w:rsidRPr="00247126">
        <w:instrText xml:space="preserve"> REF _Ref163134012 \h </w:instrText>
      </w:r>
      <w:r w:rsidR="00C567A2" w:rsidRPr="00247126">
        <w:instrText xml:space="preserve"> \* MERGEFORMAT </w:instrText>
      </w:r>
      <w:r w:rsidRPr="00247126">
        <w:fldChar w:fldCharType="separate"/>
      </w:r>
      <w:r w:rsidR="00151E03" w:rsidRPr="00247126">
        <w:t xml:space="preserve">Table </w:t>
      </w:r>
      <w:r w:rsidR="00151E03" w:rsidRPr="00247126">
        <w:rPr>
          <w:noProof/>
        </w:rPr>
        <w:t>3</w:t>
      </w:r>
      <w:r w:rsidRPr="00247126">
        <w:fldChar w:fldCharType="end"/>
      </w:r>
      <w:r w:rsidRPr="00247126">
        <w:t xml:space="preserve"> for descriptor). The commentary has amended the proposed </w:t>
      </w:r>
      <w:r w:rsidR="00065566" w:rsidRPr="00247126">
        <w:t xml:space="preserve">MBS </w:t>
      </w:r>
      <w:r w:rsidRPr="00247126">
        <w:t xml:space="preserve">fee in </w:t>
      </w:r>
      <w:r w:rsidRPr="00247126">
        <w:fldChar w:fldCharType="begin"/>
      </w:r>
      <w:r w:rsidRPr="00247126">
        <w:instrText xml:space="preserve"> REF _Ref163127457 \h </w:instrText>
      </w:r>
      <w:r w:rsidR="00C567A2" w:rsidRPr="00247126">
        <w:instrText xml:space="preserve"> \* MERGEFORMAT </w:instrText>
      </w:r>
      <w:r w:rsidRPr="00247126">
        <w:fldChar w:fldCharType="separate"/>
      </w:r>
      <w:r w:rsidR="00151E03" w:rsidRPr="00247126">
        <w:t xml:space="preserve">Table </w:t>
      </w:r>
      <w:r w:rsidR="00151E03" w:rsidRPr="00247126">
        <w:rPr>
          <w:noProof/>
        </w:rPr>
        <w:t>2</w:t>
      </w:r>
      <w:r w:rsidRPr="00247126">
        <w:fldChar w:fldCharType="end"/>
      </w:r>
      <w:r w:rsidRPr="00247126">
        <w:t xml:space="preserve"> for consistency.</w:t>
      </w:r>
    </w:p>
    <w:p w14:paraId="34E0B08F" w14:textId="3DD2C6BC" w:rsidR="00772829" w:rsidRPr="00247126" w:rsidRDefault="00247B6B" w:rsidP="002A18BE">
      <w:pPr>
        <w:pStyle w:val="Heading2"/>
        <w:numPr>
          <w:ilvl w:val="1"/>
          <w:numId w:val="0"/>
        </w:numPr>
      </w:pPr>
      <w:bookmarkStart w:id="8" w:name="_Toc69491419"/>
      <w:r w:rsidRPr="00247126">
        <w:t>7</w:t>
      </w:r>
      <w:r w:rsidR="00C36633" w:rsidRPr="00247126">
        <w:t>.</w:t>
      </w:r>
      <w:r w:rsidR="00C36633" w:rsidRPr="00247126">
        <w:tab/>
      </w:r>
      <w:r w:rsidR="00772829" w:rsidRPr="00247126">
        <w:t>Population</w:t>
      </w:r>
      <w:bookmarkEnd w:id="8"/>
      <w:r w:rsidR="00772829" w:rsidRPr="00247126">
        <w:t xml:space="preserve"> </w:t>
      </w:r>
    </w:p>
    <w:p w14:paraId="10CBA5A8" w14:textId="22F8D9CA" w:rsidR="0039231E" w:rsidRPr="00247126" w:rsidRDefault="0039231E" w:rsidP="00920FC4">
      <w:r w:rsidRPr="00247126">
        <w:t>The ADAR included</w:t>
      </w:r>
      <w:r w:rsidR="00DF0079" w:rsidRPr="00247126">
        <w:t xml:space="preserve"> four subpopulations with</w:t>
      </w:r>
      <w:r w:rsidR="00481AA8" w:rsidRPr="00247126">
        <w:t>in</w:t>
      </w:r>
      <w:r w:rsidR="00DF0079" w:rsidRPr="00247126">
        <w:t xml:space="preserve"> the one PICO set. </w:t>
      </w:r>
      <w:r w:rsidR="00980F10" w:rsidRPr="00247126">
        <w:t>The intervention</w:t>
      </w:r>
      <w:r w:rsidR="0000504E" w:rsidRPr="00247126">
        <w:t>, primary comparator,</w:t>
      </w:r>
      <w:r w:rsidR="00980F10" w:rsidRPr="00247126">
        <w:t xml:space="preserve"> </w:t>
      </w:r>
      <w:r w:rsidR="00F2716C" w:rsidRPr="00247126">
        <w:t>and outcomes were</w:t>
      </w:r>
      <w:r w:rsidR="00980F10" w:rsidRPr="00247126">
        <w:t xml:space="preserve"> the same for all four subpopulations. </w:t>
      </w:r>
      <w:r w:rsidR="0000504E" w:rsidRPr="00247126">
        <w:t xml:space="preserve">The long </w:t>
      </w:r>
      <w:r w:rsidR="00D61320" w:rsidRPr="00247126">
        <w:t xml:space="preserve">or multiple </w:t>
      </w:r>
      <w:r w:rsidR="0000504E" w:rsidRPr="00247126">
        <w:t>lesion</w:t>
      </w:r>
      <w:r w:rsidR="00FD1EF3" w:rsidRPr="00247126">
        <w:t xml:space="preserve"> </w:t>
      </w:r>
      <w:r w:rsidR="00966FB6" w:rsidRPr="00247126">
        <w:t>subpopulation</w:t>
      </w:r>
      <w:r w:rsidR="0000504E" w:rsidRPr="00247126">
        <w:t xml:space="preserve"> </w:t>
      </w:r>
      <w:r w:rsidR="00966FB6" w:rsidRPr="00247126">
        <w:t>also</w:t>
      </w:r>
      <w:r w:rsidR="00FD1EF3" w:rsidRPr="00247126">
        <w:t xml:space="preserve"> ha</w:t>
      </w:r>
      <w:r w:rsidR="0000504E" w:rsidRPr="00247126">
        <w:t>d</w:t>
      </w:r>
      <w:r w:rsidR="00FD1EF3" w:rsidRPr="00247126">
        <w:t xml:space="preserve"> a </w:t>
      </w:r>
      <w:r w:rsidR="00966FB6" w:rsidRPr="00247126">
        <w:t xml:space="preserve">second </w:t>
      </w:r>
      <w:r w:rsidR="00FD1EF3" w:rsidRPr="00247126">
        <w:t>comparator</w:t>
      </w:r>
      <w:r w:rsidR="00966FB6" w:rsidRPr="00247126">
        <w:t>.</w:t>
      </w:r>
    </w:p>
    <w:p w14:paraId="634387CD" w14:textId="6DF4957D" w:rsidR="00920FC4" w:rsidRPr="00247126" w:rsidRDefault="00920FC4" w:rsidP="00920FC4">
      <w:r w:rsidRPr="00247126">
        <w:t xml:space="preserve">The proposed population for OCT-guided coronary stent insertion </w:t>
      </w:r>
      <w:r w:rsidR="00CB0FCB" w:rsidRPr="00247126">
        <w:t>wa</w:t>
      </w:r>
      <w:r w:rsidRPr="00247126">
        <w:t xml:space="preserve">s patients with myocardial ischaemia undergoing invasive coronary AG, percutaneous </w:t>
      </w:r>
      <w:proofErr w:type="gramStart"/>
      <w:r w:rsidRPr="00247126">
        <w:t>angioplasty</w:t>
      </w:r>
      <w:proofErr w:type="gramEnd"/>
      <w:r w:rsidRPr="00247126">
        <w:t xml:space="preserve"> and transluminal insertion of stents with at least one of the following lesion types or complexity:</w:t>
      </w:r>
    </w:p>
    <w:p w14:paraId="30BDB045" w14:textId="3D3ABC28" w:rsidR="00920FC4" w:rsidRPr="00247126" w:rsidRDefault="00920FC4" w:rsidP="003D76E2">
      <w:pPr>
        <w:pStyle w:val="ListParagraph"/>
        <w:numPr>
          <w:ilvl w:val="0"/>
          <w:numId w:val="11"/>
        </w:numPr>
      </w:pPr>
      <w:r w:rsidRPr="00247126">
        <w:t>Long or multiple lesions, defined as intended total stent length (continuous or separated) in any single target vessel ≥</w:t>
      </w:r>
      <w:r w:rsidR="00E9242B" w:rsidRPr="00247126">
        <w:t> </w:t>
      </w:r>
      <w:r w:rsidRPr="00247126">
        <w:t>28 mm.</w:t>
      </w:r>
    </w:p>
    <w:p w14:paraId="78201703" w14:textId="2BFBBDCA" w:rsidR="00920FC4" w:rsidRPr="00247126" w:rsidRDefault="00920FC4" w:rsidP="003D76E2">
      <w:pPr>
        <w:pStyle w:val="ListParagraph"/>
        <w:numPr>
          <w:ilvl w:val="0"/>
          <w:numId w:val="11"/>
        </w:numPr>
      </w:pPr>
      <w:r w:rsidRPr="00247126">
        <w:t>Lesion located at a bifurcation and where the planned side branch is ≥ 2.5 mm in diameter by angiographic visual estimation.</w:t>
      </w:r>
    </w:p>
    <w:p w14:paraId="021FC707" w14:textId="733C97B3" w:rsidR="00920FC4" w:rsidRPr="00247126" w:rsidRDefault="00920FC4" w:rsidP="003D76E2">
      <w:pPr>
        <w:pStyle w:val="ListParagraph"/>
        <w:numPr>
          <w:ilvl w:val="0"/>
          <w:numId w:val="11"/>
        </w:numPr>
      </w:pPr>
      <w:r w:rsidRPr="00247126">
        <w:t>Angiographic severe calcification (defined as angiographically visible calcification on both sides of the vessel wall in the absence of cardiac motion).</w:t>
      </w:r>
    </w:p>
    <w:p w14:paraId="1823119D" w14:textId="3EE23C86" w:rsidR="00920FC4" w:rsidRPr="00247126" w:rsidRDefault="00920FC4" w:rsidP="003D76E2">
      <w:pPr>
        <w:pStyle w:val="ListParagraph"/>
        <w:numPr>
          <w:ilvl w:val="0"/>
          <w:numId w:val="11"/>
        </w:numPr>
      </w:pPr>
      <w:r w:rsidRPr="00247126">
        <w:t>Stent failure (including stent thrombosis or in-stent restenosis of diffuse or multi-focal pattern).</w:t>
      </w:r>
    </w:p>
    <w:p w14:paraId="71E5DCCB" w14:textId="133991E0" w:rsidR="00920FC4" w:rsidRPr="00247126" w:rsidRDefault="00F26D71" w:rsidP="00920FC4">
      <w:r w:rsidRPr="00247126">
        <w:t>T</w:t>
      </w:r>
      <w:r w:rsidR="00920FC4" w:rsidRPr="00247126">
        <w:t>he initial patient population is limited to patients who meet the eligibility criteria for the 12 MBS items used to claim stenting as part of primary PCI. This population is then further restricted based on whether patients meet one of the four lesion-specific or complexity criteria listed above.</w:t>
      </w:r>
    </w:p>
    <w:p w14:paraId="66145077" w14:textId="62C45F06" w:rsidR="00B774C1" w:rsidRPr="00247126" w:rsidRDefault="00B774C1" w:rsidP="00B774C1">
      <w:pPr>
        <w:pStyle w:val="Heading3"/>
      </w:pPr>
      <w:r w:rsidRPr="00247126">
        <w:lastRenderedPageBreak/>
        <w:t>Rationale</w:t>
      </w:r>
    </w:p>
    <w:p w14:paraId="234F782C" w14:textId="75AC3DAC" w:rsidR="00AD1957" w:rsidRPr="00247126" w:rsidRDefault="00AD1957" w:rsidP="00AD1957">
      <w:r w:rsidRPr="00247126">
        <w:t xml:space="preserve">The proposed patient population </w:t>
      </w:r>
      <w:r w:rsidR="005B20B2" w:rsidRPr="00247126">
        <w:t>wa</w:t>
      </w:r>
      <w:r w:rsidRPr="00247126">
        <w:t xml:space="preserve">s informed by the eligibility criteria of the ILUMIEN IV trial </w:t>
      </w:r>
      <w:r w:rsidR="00690BBF" w:rsidRPr="00247126">
        <w:t>(</w:t>
      </w:r>
      <w:hyperlink r:id="rId13" w:tooltip="Weblink to ILUMIEN IV entry on ClinicalTrials.gov website" w:history="1">
        <w:r w:rsidR="00690BBF" w:rsidRPr="00247126">
          <w:rPr>
            <w:rStyle w:val="Hyperlink"/>
          </w:rPr>
          <w:t>NCT03507777</w:t>
        </w:r>
      </w:hyperlink>
      <w:r w:rsidRPr="00247126">
        <w:t xml:space="preserve">) </w:t>
      </w:r>
      <w:r w:rsidR="001F0F99" w:rsidRPr="00247126">
        <w:t>combined with</w:t>
      </w:r>
      <w:r w:rsidRPr="00247126">
        <w:t xml:space="preserve"> advice sought </w:t>
      </w:r>
      <w:r w:rsidR="0075684F" w:rsidRPr="00247126">
        <w:t xml:space="preserve">by the applicant </w:t>
      </w:r>
      <w:r w:rsidRPr="00247126">
        <w:t>from five interventional cardiologists with experience using OCT</w:t>
      </w:r>
      <w:r w:rsidR="0075684F" w:rsidRPr="00247126">
        <w:t>.</w:t>
      </w:r>
    </w:p>
    <w:p w14:paraId="7DD09157" w14:textId="38131795" w:rsidR="004004B1" w:rsidRPr="00247126" w:rsidRDefault="004004B1" w:rsidP="00AD1957">
      <w:r w:rsidRPr="00247126">
        <w:t>The rationale for inclusion of complex target lesions in the ILUMIEN IV trial</w:t>
      </w:r>
      <w:r w:rsidR="00351C7C" w:rsidRPr="00247126">
        <w:t>,</w:t>
      </w:r>
      <w:r w:rsidRPr="00247126">
        <w:t xml:space="preserve"> and hence the proposed population</w:t>
      </w:r>
      <w:r w:rsidR="00351C7C" w:rsidRPr="00247126">
        <w:t>,</w:t>
      </w:r>
      <w:r w:rsidRPr="00247126">
        <w:t xml:space="preserve"> was to include a study population in whom the event rate after contemporary </w:t>
      </w:r>
      <w:r w:rsidR="007A14C7" w:rsidRPr="00247126">
        <w:t>drug eluting stent (</w:t>
      </w:r>
      <w:r w:rsidRPr="00247126">
        <w:t>DES</w:t>
      </w:r>
      <w:r w:rsidR="007A14C7" w:rsidRPr="00247126">
        <w:t>)</w:t>
      </w:r>
      <w:r w:rsidRPr="00247126">
        <w:t xml:space="preserve"> </w:t>
      </w:r>
      <w:r w:rsidR="00682C13" w:rsidRPr="00247126">
        <w:t xml:space="preserve">implantation </w:t>
      </w:r>
      <w:r w:rsidRPr="00247126">
        <w:t>is still suboptimal despite angiography guidance.</w:t>
      </w:r>
      <w:r w:rsidR="00CA32C8" w:rsidRPr="00247126">
        <w:t xml:space="preserve"> Complex lesions </w:t>
      </w:r>
      <w:r w:rsidR="003E4B72" w:rsidRPr="00247126">
        <w:t xml:space="preserve">have been shown to be </w:t>
      </w:r>
      <w:r w:rsidR="00CA32C8" w:rsidRPr="00247126">
        <w:t>associated with an increased risk of failed PCI and inferior clinical outcomes.</w:t>
      </w:r>
    </w:p>
    <w:p w14:paraId="0960EDA8" w14:textId="04560B2E" w:rsidR="00D46A26" w:rsidRPr="00247126" w:rsidRDefault="00C3654B" w:rsidP="00AD1957">
      <w:r w:rsidRPr="00247126">
        <w:t xml:space="preserve">There </w:t>
      </w:r>
      <w:r w:rsidR="005C5E58" w:rsidRPr="00247126">
        <w:t>we</w:t>
      </w:r>
      <w:r w:rsidRPr="00247126">
        <w:t>re some differences in the wording of the proposed bifurcation lesion subpopulation</w:t>
      </w:r>
      <w:r w:rsidR="00392600" w:rsidRPr="00247126">
        <w:t xml:space="preserve"> compared to the ILUMIEN IV</w:t>
      </w:r>
      <w:r w:rsidR="004C7B4F" w:rsidRPr="00247126">
        <w:t xml:space="preserve"> </w:t>
      </w:r>
      <w:r w:rsidR="005F16B0" w:rsidRPr="00247126">
        <w:t>trial</w:t>
      </w:r>
      <w:r w:rsidR="004C7B4F" w:rsidRPr="00247126">
        <w:t xml:space="preserve">. </w:t>
      </w:r>
      <w:r w:rsidR="005F16B0" w:rsidRPr="00247126">
        <w:t>In t</w:t>
      </w:r>
      <w:r w:rsidRPr="00247126">
        <w:t xml:space="preserve">he ILUMIEN IV trial </w:t>
      </w:r>
      <w:r w:rsidR="005F16B0" w:rsidRPr="00247126">
        <w:t>the bifurcation lesion</w:t>
      </w:r>
      <w:r w:rsidRPr="00247126">
        <w:t xml:space="preserve"> must be intended to be treated with two planned stents</w:t>
      </w:r>
      <w:r w:rsidR="00BB5F5E" w:rsidRPr="00247126">
        <w:t>,</w:t>
      </w:r>
      <w:r w:rsidRPr="00247126">
        <w:t xml:space="preserve"> whereas the proposed population does not limit to two stent lesion</w:t>
      </w:r>
      <w:r w:rsidR="005D7B8D" w:rsidRPr="00247126">
        <w:t xml:space="preserve">s. </w:t>
      </w:r>
      <w:r w:rsidRPr="00247126">
        <w:t xml:space="preserve">The clinicians consulted </w:t>
      </w:r>
      <w:r w:rsidR="00BB5F5E" w:rsidRPr="00247126">
        <w:t xml:space="preserve">by the applicant </w:t>
      </w:r>
      <w:r w:rsidRPr="00247126">
        <w:t xml:space="preserve">advised that </w:t>
      </w:r>
      <w:r w:rsidRPr="00247126">
        <w:rPr>
          <w:rFonts w:cs="Franklin Gothic Book"/>
        </w:rPr>
        <w:t>‘</w:t>
      </w:r>
      <w:r w:rsidRPr="00247126">
        <w:t>intended to be treated with two planned stents (i.e. in both the main branch and side branch)</w:t>
      </w:r>
      <w:r w:rsidRPr="00247126">
        <w:rPr>
          <w:rFonts w:cs="Franklin Gothic Book"/>
        </w:rPr>
        <w:t>’</w:t>
      </w:r>
      <w:r w:rsidRPr="00247126">
        <w:t xml:space="preserve"> as per the ILUMIEN IV eligibility criteria be removed, because it is not always known at the planning stage that two stents are required.</w:t>
      </w:r>
    </w:p>
    <w:p w14:paraId="72986956" w14:textId="107D4FDB" w:rsidR="00D87A70" w:rsidRPr="00247126" w:rsidRDefault="00465883" w:rsidP="00AD1957">
      <w:r w:rsidRPr="00247126">
        <w:t xml:space="preserve">Regarding the subpopulation ‘stent failure’, the experts consulted </w:t>
      </w:r>
      <w:r w:rsidR="009F49DA" w:rsidRPr="00247126">
        <w:t>by the applicant</w:t>
      </w:r>
      <w:r w:rsidRPr="00247126">
        <w:t xml:space="preserve"> advised that stent failure be used, rather than the ILUMIEN IV criterion ‘in-stent restenosis of diffuse or multifocal pattern’, to</w:t>
      </w:r>
      <w:r w:rsidR="001B0723" w:rsidRPr="00247126">
        <w:t xml:space="preserve"> also</w:t>
      </w:r>
      <w:r w:rsidRPr="00247126">
        <w:t xml:space="preserve"> allow use of OCT in </w:t>
      </w:r>
      <w:r w:rsidR="001C2E7F" w:rsidRPr="00247126">
        <w:t xml:space="preserve">patients with </w:t>
      </w:r>
      <w:r w:rsidRPr="00247126">
        <w:t xml:space="preserve">stent thrombosis consistent with </w:t>
      </w:r>
      <w:r w:rsidR="00044E7F" w:rsidRPr="00247126">
        <w:t xml:space="preserve">the </w:t>
      </w:r>
      <w:r w:rsidR="00FE7E70" w:rsidRPr="00247126">
        <w:t>European Association of Percutaneous Cardiovascular Interventions</w:t>
      </w:r>
      <w:r w:rsidR="000D0660" w:rsidRPr="00247126">
        <w:t xml:space="preserve"> </w:t>
      </w:r>
      <w:hyperlink r:id="rId14" w:tooltip="Weblink to publisher website for EAPCI guideline" w:history="1">
        <w:r w:rsidR="00DE66EB" w:rsidRPr="00247126">
          <w:rPr>
            <w:rStyle w:val="Hyperlink"/>
          </w:rPr>
          <w:t>(</w:t>
        </w:r>
        <w:r w:rsidR="000D0660" w:rsidRPr="00247126">
          <w:rPr>
            <w:rStyle w:val="Hyperlink"/>
          </w:rPr>
          <w:t>EAPCI</w:t>
        </w:r>
        <w:r w:rsidR="00DE66EB" w:rsidRPr="00247126">
          <w:rPr>
            <w:rStyle w:val="Hyperlink"/>
          </w:rPr>
          <w:t>)</w:t>
        </w:r>
        <w:r w:rsidR="000D0660" w:rsidRPr="00247126">
          <w:rPr>
            <w:rStyle w:val="Hyperlink"/>
          </w:rPr>
          <w:t xml:space="preserve"> </w:t>
        </w:r>
        <w:r w:rsidR="00DE66EB" w:rsidRPr="00247126">
          <w:rPr>
            <w:rStyle w:val="Hyperlink"/>
          </w:rPr>
          <w:t>guidelines</w:t>
        </w:r>
      </w:hyperlink>
      <w:r w:rsidR="00DE66EB" w:rsidRPr="00247126">
        <w:t xml:space="preserve"> </w:t>
      </w:r>
      <w:r w:rsidR="00755E55" w:rsidRPr="00247126">
        <w:t>(</w:t>
      </w:r>
      <w:proofErr w:type="spellStart"/>
      <w:r w:rsidRPr="00247126">
        <w:t>Räber</w:t>
      </w:r>
      <w:proofErr w:type="spellEnd"/>
      <w:r w:rsidRPr="00247126">
        <w:t xml:space="preserve"> </w:t>
      </w:r>
      <w:r w:rsidR="00DD5F27" w:rsidRPr="00247126">
        <w:t xml:space="preserve">et al. </w:t>
      </w:r>
      <w:r w:rsidRPr="00247126">
        <w:t>2018).</w:t>
      </w:r>
      <w:r w:rsidR="003427EC" w:rsidRPr="00247126">
        <w:rPr>
          <w:rStyle w:val="FootnoteReference"/>
        </w:rPr>
        <w:footnoteReference w:id="2"/>
      </w:r>
    </w:p>
    <w:p w14:paraId="5E3A7AFF" w14:textId="3A8FB067" w:rsidR="00465883" w:rsidRPr="00247126" w:rsidRDefault="00D87A70" w:rsidP="00AD1957">
      <w:r w:rsidRPr="00247126">
        <w:t xml:space="preserve">The </w:t>
      </w:r>
      <w:r w:rsidR="006A5B63" w:rsidRPr="00247126">
        <w:t>long</w:t>
      </w:r>
      <w:r w:rsidR="00E6124D" w:rsidRPr="00247126">
        <w:t>/multiple</w:t>
      </w:r>
      <w:r w:rsidR="006A5B63" w:rsidRPr="00247126">
        <w:t xml:space="preserve"> lesion and severe calcifications populations</w:t>
      </w:r>
      <w:r w:rsidR="00465883" w:rsidRPr="00247126">
        <w:t xml:space="preserve"> </w:t>
      </w:r>
      <w:r w:rsidR="006A5B63" w:rsidRPr="00247126">
        <w:t xml:space="preserve">in the ADAR </w:t>
      </w:r>
      <w:r w:rsidR="00E637A0" w:rsidRPr="00247126">
        <w:t>we</w:t>
      </w:r>
      <w:r w:rsidR="006A5B63" w:rsidRPr="00247126">
        <w:t>re consistent with the eligibility criteria used in the ILUMIEN IV trial.</w:t>
      </w:r>
    </w:p>
    <w:p w14:paraId="66BDFCC1" w14:textId="6D2D48B1" w:rsidR="00772829" w:rsidRPr="00247126" w:rsidRDefault="00247B6B" w:rsidP="002A18BE">
      <w:pPr>
        <w:pStyle w:val="Heading2"/>
        <w:numPr>
          <w:ilvl w:val="0"/>
          <w:numId w:val="0"/>
        </w:numPr>
      </w:pPr>
      <w:bookmarkStart w:id="9" w:name="_Toc69491420"/>
      <w:r w:rsidRPr="00247126">
        <w:t>8</w:t>
      </w:r>
      <w:r w:rsidR="00C36633" w:rsidRPr="00247126">
        <w:t>.</w:t>
      </w:r>
      <w:r w:rsidR="00C36633" w:rsidRPr="00247126">
        <w:tab/>
      </w:r>
      <w:r w:rsidR="00772829" w:rsidRPr="00247126">
        <w:t>Comparator</w:t>
      </w:r>
      <w:bookmarkEnd w:id="9"/>
    </w:p>
    <w:p w14:paraId="7E1BBF19" w14:textId="05307021" w:rsidR="0063597D" w:rsidRPr="00247126" w:rsidRDefault="0051799E" w:rsidP="0087617F">
      <w:r w:rsidRPr="00247126">
        <w:t>In all subpopulations, t</w:t>
      </w:r>
      <w:r w:rsidR="0063597D" w:rsidRPr="00247126">
        <w:t xml:space="preserve">he comparator to the proposed intervention (OCT+AG) </w:t>
      </w:r>
      <w:r w:rsidR="00072F7A" w:rsidRPr="00247126">
        <w:t>wa</w:t>
      </w:r>
      <w:r w:rsidR="0063597D" w:rsidRPr="00247126">
        <w:t xml:space="preserve">s </w:t>
      </w:r>
      <w:r w:rsidR="00840AD9" w:rsidRPr="00247126">
        <w:t xml:space="preserve">invasive </w:t>
      </w:r>
      <w:r w:rsidR="0063597D" w:rsidRPr="00247126">
        <w:t>coronary AG (AG alone)</w:t>
      </w:r>
      <w:r w:rsidR="00A901E0" w:rsidRPr="00247126">
        <w:t>.</w:t>
      </w:r>
      <w:r w:rsidR="0063597D" w:rsidRPr="00247126">
        <w:t xml:space="preserve"> IVUS-guided coronary stent insertion </w:t>
      </w:r>
      <w:r w:rsidR="00EA3C71" w:rsidRPr="00247126">
        <w:t xml:space="preserve">as an </w:t>
      </w:r>
      <w:r w:rsidR="0063597D" w:rsidRPr="00247126">
        <w:t xml:space="preserve">adjunct to invasive coronary AG (IVUS+AG) </w:t>
      </w:r>
      <w:r w:rsidR="0094259E" w:rsidRPr="00247126">
        <w:t>w</w:t>
      </w:r>
      <w:r w:rsidR="0063597D" w:rsidRPr="00247126">
        <w:t>as an additional comparator in the long</w:t>
      </w:r>
      <w:r w:rsidR="00C124AA" w:rsidRPr="00247126">
        <w:t>/multiple</w:t>
      </w:r>
      <w:r w:rsidR="0063597D" w:rsidRPr="00247126">
        <w:t xml:space="preserve"> lesion subpopulation</w:t>
      </w:r>
      <w:r w:rsidR="002C4BBC" w:rsidRPr="00247126">
        <w:t>.</w:t>
      </w:r>
    </w:p>
    <w:p w14:paraId="4A81B063" w14:textId="5009994B" w:rsidR="0087617F" w:rsidRPr="00247126" w:rsidRDefault="001F5F9E" w:rsidP="0087617F">
      <w:r w:rsidRPr="00247126">
        <w:t>Coronary angiography</w:t>
      </w:r>
      <w:r w:rsidR="0087617F" w:rsidRPr="00247126">
        <w:t xml:space="preserve"> is the mainstay traditional imaging modality for guidance of stent placement</w:t>
      </w:r>
      <w:r w:rsidR="00F5493D" w:rsidRPr="00247126">
        <w:t>.</w:t>
      </w:r>
      <w:r w:rsidR="0087617F" w:rsidRPr="00247126">
        <w:t xml:space="preserve"> </w:t>
      </w:r>
      <w:r w:rsidR="00030E3D" w:rsidRPr="00247126">
        <w:t>It</w:t>
      </w:r>
      <w:r w:rsidR="00436E35" w:rsidRPr="00247126">
        <w:t xml:space="preserve"> entails the use of x-ray</w:t>
      </w:r>
      <w:r w:rsidR="00F32D4D" w:rsidRPr="00247126">
        <w:t>,</w:t>
      </w:r>
      <w:r w:rsidR="00436E35" w:rsidRPr="00247126">
        <w:t xml:space="preserve"> which is able to visualise the coronary arteries following the injection of an iodinated contrast medium</w:t>
      </w:r>
      <w:r w:rsidR="00030E3D" w:rsidRPr="00247126">
        <w:t>.</w:t>
      </w:r>
      <w:r w:rsidR="00436E35" w:rsidRPr="00247126">
        <w:t xml:space="preserve"> </w:t>
      </w:r>
      <w:r w:rsidR="00030E3D" w:rsidRPr="00247126">
        <w:t>Coronary AG</w:t>
      </w:r>
      <w:r w:rsidR="0087617F" w:rsidRPr="00247126">
        <w:t xml:space="preserve"> is limited by its two-dimensional representation of blood vessels, since it cannot depict the arterial vessel wall, evaluate vessel dimensions and plaque characteristics, or directly assess the results of stent implantation (</w:t>
      </w:r>
      <w:proofErr w:type="spellStart"/>
      <w:r w:rsidR="0087617F" w:rsidRPr="00247126">
        <w:t>Räber</w:t>
      </w:r>
      <w:proofErr w:type="spellEnd"/>
      <w:r w:rsidR="0087617F" w:rsidRPr="00247126">
        <w:t xml:space="preserve"> </w:t>
      </w:r>
      <w:r w:rsidR="00D802B1" w:rsidRPr="00247126">
        <w:t xml:space="preserve">et al. </w:t>
      </w:r>
      <w:r w:rsidR="0087617F" w:rsidRPr="00247126">
        <w:t>2018).</w:t>
      </w:r>
    </w:p>
    <w:p w14:paraId="56EEA7CC" w14:textId="32C1B766" w:rsidR="002D3E50" w:rsidRPr="00247126" w:rsidRDefault="002D3E50" w:rsidP="0087617F">
      <w:r w:rsidRPr="00247126">
        <w:t xml:space="preserve">Coronary </w:t>
      </w:r>
      <w:r w:rsidRPr="00247126" w:rsidDel="00D7638A">
        <w:t>angiography</w:t>
      </w:r>
      <w:r w:rsidR="00D7638A" w:rsidRPr="00247126">
        <w:t xml:space="preserve"> </w:t>
      </w:r>
      <w:r w:rsidRPr="00247126">
        <w:t xml:space="preserve">for the purposes of guiding the transluminal insertion of stents is currently listed on the MBS under </w:t>
      </w:r>
      <w:r w:rsidR="00E93E4D" w:rsidRPr="00247126">
        <w:t xml:space="preserve">12 </w:t>
      </w:r>
      <w:r w:rsidRPr="00247126">
        <w:t>PCI related items. PCI with stent insertion may be performed at the same time as invasive coronary angiography (MBS items 38307, 38308, 38310, 38311, 38313, 38314) or within 3 months of invasive coronary angiography (MBS items 38316, 38317, 38319, 38320, 38322, 38323).</w:t>
      </w:r>
    </w:p>
    <w:p w14:paraId="7A582771" w14:textId="1BFEF49C" w:rsidR="003C025E" w:rsidRPr="00247126" w:rsidRDefault="005D4F2A" w:rsidP="002F289C">
      <w:r w:rsidRPr="00247126">
        <w:lastRenderedPageBreak/>
        <w:t xml:space="preserve">IVUS </w:t>
      </w:r>
      <w:r w:rsidR="006E6D80" w:rsidRPr="00247126">
        <w:t xml:space="preserve">used </w:t>
      </w:r>
      <w:r w:rsidR="005E2128" w:rsidRPr="00247126">
        <w:t xml:space="preserve">as an </w:t>
      </w:r>
      <w:r w:rsidRPr="00247126">
        <w:t xml:space="preserve">adjunct to </w:t>
      </w:r>
      <w:r w:rsidR="00CD5095" w:rsidRPr="00247126">
        <w:t xml:space="preserve">invasive coronary </w:t>
      </w:r>
      <w:r w:rsidRPr="00247126">
        <w:t xml:space="preserve">AG was recently </w:t>
      </w:r>
      <w:r w:rsidR="00733B20" w:rsidRPr="00247126">
        <w:t>listed</w:t>
      </w:r>
      <w:r w:rsidRPr="00247126">
        <w:t xml:space="preserve"> on the MBS</w:t>
      </w:r>
      <w:r w:rsidR="00372C2A" w:rsidRPr="00247126">
        <w:t xml:space="preserve"> </w:t>
      </w:r>
      <w:r w:rsidR="00266B35" w:rsidRPr="00247126">
        <w:t>for</w:t>
      </w:r>
      <w:r w:rsidRPr="00247126">
        <w:t xml:space="preserve"> lesions of the left main</w:t>
      </w:r>
      <w:r w:rsidR="000F74B0" w:rsidRPr="00247126">
        <w:t xml:space="preserve"> coronary artery</w:t>
      </w:r>
      <w:r w:rsidR="00591BBB" w:rsidRPr="00247126">
        <w:t xml:space="preserve"> </w:t>
      </w:r>
      <w:r w:rsidR="008116A8" w:rsidRPr="00247126">
        <w:t xml:space="preserve">or </w:t>
      </w:r>
      <w:r w:rsidR="00591BBB" w:rsidRPr="00247126">
        <w:t>lesions</w:t>
      </w:r>
      <w:r w:rsidR="00E722B8" w:rsidRPr="00247126">
        <w:t xml:space="preserve"> </w:t>
      </w:r>
      <w:r w:rsidR="00702BDF" w:rsidRPr="00247126">
        <w:t>a</w:t>
      </w:r>
      <w:r w:rsidR="00E722B8" w:rsidRPr="00247126">
        <w:t xml:space="preserve">t least </w:t>
      </w:r>
      <w:r w:rsidR="006C08C1" w:rsidRPr="00247126">
        <w:t>28 mm in length</w:t>
      </w:r>
      <w:r w:rsidR="008116A8" w:rsidRPr="00247126">
        <w:t xml:space="preserve"> in other locations</w:t>
      </w:r>
      <w:r w:rsidR="003842AF" w:rsidRPr="00247126">
        <w:t>.</w:t>
      </w:r>
      <w:r w:rsidR="00BA1B58" w:rsidRPr="00247126">
        <w:t xml:space="preserve"> </w:t>
      </w:r>
      <w:r w:rsidR="00D713F7" w:rsidRPr="00247126">
        <w:t xml:space="preserve">The </w:t>
      </w:r>
      <w:r w:rsidR="00637E5B" w:rsidRPr="00247126">
        <w:t xml:space="preserve">long lesion subpopulation </w:t>
      </w:r>
      <w:r w:rsidR="00684B70" w:rsidRPr="00247126">
        <w:t xml:space="preserve">proposed for </w:t>
      </w:r>
      <w:r w:rsidR="00637E5B" w:rsidRPr="00247126">
        <w:t xml:space="preserve">OCT </w:t>
      </w:r>
      <w:r w:rsidR="005B64E6" w:rsidRPr="00247126">
        <w:t>(long or</w:t>
      </w:r>
      <w:r w:rsidR="00A628AB" w:rsidRPr="00247126">
        <w:t xml:space="preserve"> multiple lesions</w:t>
      </w:r>
      <w:r w:rsidR="002C119F" w:rsidRPr="00247126">
        <w:t xml:space="preserve"> </w:t>
      </w:r>
      <w:r w:rsidR="00DF63AA" w:rsidRPr="00247126">
        <w:t>with</w:t>
      </w:r>
      <w:r w:rsidR="005B64E6" w:rsidRPr="00247126">
        <w:t xml:space="preserve"> intended total stent length in any single target vessel</w:t>
      </w:r>
      <w:r w:rsidR="00921775" w:rsidRPr="00247126">
        <w:t xml:space="preserve"> at </w:t>
      </w:r>
      <w:r w:rsidR="00593D83" w:rsidRPr="00247126">
        <w:t xml:space="preserve">least </w:t>
      </w:r>
      <w:r w:rsidR="00921775" w:rsidRPr="00247126">
        <w:t>28 mm</w:t>
      </w:r>
      <w:r w:rsidR="005B64E6" w:rsidRPr="00247126">
        <w:t xml:space="preserve">) was broader than </w:t>
      </w:r>
      <w:r w:rsidR="00936E68" w:rsidRPr="00247126">
        <w:t>for</w:t>
      </w:r>
      <w:r w:rsidR="005B64E6" w:rsidRPr="00247126">
        <w:t xml:space="preserve"> IVUS</w:t>
      </w:r>
      <w:r w:rsidR="004B38AC" w:rsidRPr="00247126">
        <w:t xml:space="preserve">. </w:t>
      </w:r>
      <w:r w:rsidR="00DC78C3" w:rsidRPr="00247126">
        <w:t xml:space="preserve">The commentary noted that </w:t>
      </w:r>
      <w:r w:rsidR="00637E5B" w:rsidRPr="00247126">
        <w:t xml:space="preserve">IVUS </w:t>
      </w:r>
      <w:r w:rsidR="00F02652" w:rsidRPr="00247126">
        <w:t>wa</w:t>
      </w:r>
      <w:r w:rsidR="00205DD0" w:rsidRPr="00247126">
        <w:t>s</w:t>
      </w:r>
      <w:r w:rsidR="008F3532" w:rsidRPr="00247126">
        <w:t xml:space="preserve"> the</w:t>
      </w:r>
      <w:r w:rsidR="0087206F" w:rsidRPr="00247126">
        <w:t xml:space="preserve">refore </w:t>
      </w:r>
      <w:r w:rsidR="00DC78C3" w:rsidRPr="00247126">
        <w:t>the</w:t>
      </w:r>
      <w:r w:rsidR="00542877" w:rsidRPr="00247126">
        <w:t xml:space="preserve"> </w:t>
      </w:r>
      <w:r w:rsidR="008F3532" w:rsidRPr="00247126">
        <w:t>comparator for a subset of patients</w:t>
      </w:r>
      <w:r w:rsidR="00DC78C3" w:rsidRPr="00247126">
        <w:t xml:space="preserve"> </w:t>
      </w:r>
      <w:r w:rsidR="00F02F20" w:rsidRPr="00247126">
        <w:t>with long lesions</w:t>
      </w:r>
      <w:r w:rsidR="00936E68" w:rsidRPr="00247126">
        <w:t xml:space="preserve">; </w:t>
      </w:r>
      <w:r w:rsidR="00C01377" w:rsidRPr="00247126">
        <w:t xml:space="preserve">coronary AG alone would be the appropriate </w:t>
      </w:r>
      <w:r w:rsidR="00542877" w:rsidRPr="00247126">
        <w:t>comparator for the remainder of the proposed subpopulation</w:t>
      </w:r>
      <w:r w:rsidR="006C08C1" w:rsidRPr="00247126">
        <w:t xml:space="preserve">. </w:t>
      </w:r>
      <w:r w:rsidR="00C1530D" w:rsidRPr="00247126">
        <w:t xml:space="preserve">The ADAR </w:t>
      </w:r>
      <w:r w:rsidR="00215A7D" w:rsidRPr="00247126">
        <w:t>acknowledged</w:t>
      </w:r>
      <w:r w:rsidR="00C1530D" w:rsidRPr="00247126">
        <w:t xml:space="preserve"> uncertainty around the way the IVUS and OCT </w:t>
      </w:r>
      <w:r w:rsidR="00215A7D" w:rsidRPr="00247126">
        <w:t xml:space="preserve">eligibility for </w:t>
      </w:r>
      <w:r w:rsidR="00884540" w:rsidRPr="00247126">
        <w:t xml:space="preserve">the </w:t>
      </w:r>
      <w:r w:rsidR="00D63C08" w:rsidRPr="00247126">
        <w:t xml:space="preserve">long lesion </w:t>
      </w:r>
      <w:r w:rsidR="00215A7D" w:rsidRPr="00247126">
        <w:t>subpopulation</w:t>
      </w:r>
      <w:r w:rsidR="00C14EFF" w:rsidRPr="00247126">
        <w:t xml:space="preserve"> </w:t>
      </w:r>
      <w:r w:rsidR="00884540" w:rsidRPr="00247126">
        <w:t xml:space="preserve">would be interpreted in practice. </w:t>
      </w:r>
    </w:p>
    <w:p w14:paraId="5CCBC2B9" w14:textId="03D32490" w:rsidR="002F289C" w:rsidRPr="00247126" w:rsidRDefault="002F289C" w:rsidP="002F289C">
      <w:r w:rsidRPr="00247126">
        <w:t xml:space="preserve">Similar to OCT, IVUS-guided coronary stent insertion is used </w:t>
      </w:r>
      <w:r w:rsidR="003E2B83" w:rsidRPr="00247126">
        <w:t xml:space="preserve">as an </w:t>
      </w:r>
      <w:r w:rsidRPr="00247126">
        <w:t xml:space="preserve">adjunct to invasive coronary </w:t>
      </w:r>
      <w:r w:rsidR="00D4599D" w:rsidRPr="00247126">
        <w:t>AG</w:t>
      </w:r>
      <w:r w:rsidRPr="00247126">
        <w:t>.</w:t>
      </w:r>
      <w:r w:rsidR="006D6105" w:rsidRPr="00247126">
        <w:t xml:space="preserve"> The MBS item for IVUS (38325, see </w:t>
      </w:r>
      <w:r w:rsidR="006D6105" w:rsidRPr="00247126">
        <w:fldChar w:fldCharType="begin"/>
      </w:r>
      <w:r w:rsidR="006D6105" w:rsidRPr="00247126">
        <w:instrText xml:space="preserve"> REF _Ref163134012 \h </w:instrText>
      </w:r>
      <w:r w:rsidR="00C567A2" w:rsidRPr="00247126">
        <w:instrText xml:space="preserve"> \* MERGEFORMAT </w:instrText>
      </w:r>
      <w:r w:rsidR="006D6105" w:rsidRPr="00247126">
        <w:fldChar w:fldCharType="separate"/>
      </w:r>
      <w:r w:rsidR="00151E03" w:rsidRPr="00247126">
        <w:t xml:space="preserve">Table </w:t>
      </w:r>
      <w:r w:rsidR="00151E03" w:rsidRPr="00247126">
        <w:rPr>
          <w:noProof/>
        </w:rPr>
        <w:t>3</w:t>
      </w:r>
      <w:r w:rsidR="006D6105" w:rsidRPr="00247126">
        <w:fldChar w:fldCharType="end"/>
      </w:r>
      <w:r w:rsidR="006D6105" w:rsidRPr="00247126">
        <w:t>) allows for IVUS to be performed in association with any of the 12 MBS items for PCI with coronary stent insertion, including where invasive coronary angiography was performed within 3 months prior to the PCI procedure.</w:t>
      </w:r>
    </w:p>
    <w:p w14:paraId="5C26F8B9" w14:textId="3E36207C" w:rsidR="002E735C" w:rsidRPr="00247126" w:rsidRDefault="002E735C" w:rsidP="002F289C">
      <w:r w:rsidRPr="00247126">
        <w:t>PASC noted that the choice between IVUS and OCT for patients who have lesions with length ≥</w:t>
      </w:r>
      <w:r w:rsidR="00466380" w:rsidRPr="00247126">
        <w:t> </w:t>
      </w:r>
      <w:r w:rsidRPr="00247126">
        <w:t>28</w:t>
      </w:r>
      <w:r w:rsidR="004653E4" w:rsidRPr="00247126">
        <w:t> </w:t>
      </w:r>
      <w:r w:rsidRPr="00247126">
        <w:t>mm would likely be influenced by clinician discretion, access to resources, clinician expertise, or whether patients have advanced chronic kidney disease (and therefore they would be more suitable for IVUS</w:t>
      </w:r>
      <w:r w:rsidR="00D35685" w:rsidRPr="00247126">
        <w:t xml:space="preserve"> due to the risk of contrast nephropathy</w:t>
      </w:r>
      <w:r w:rsidR="00A753F3" w:rsidRPr="00247126">
        <w:t xml:space="preserve"> with OCT</w:t>
      </w:r>
      <w:r w:rsidRPr="00247126">
        <w:t>).</w:t>
      </w:r>
    </w:p>
    <w:p w14:paraId="4847513F" w14:textId="57845448" w:rsidR="00372C2A" w:rsidRPr="00247126" w:rsidRDefault="00372C2A" w:rsidP="00372C2A">
      <w:pPr>
        <w:pStyle w:val="Caption"/>
      </w:pPr>
      <w:bookmarkStart w:id="10" w:name="_Ref163134012"/>
      <w:r w:rsidRPr="00247126">
        <w:t xml:space="preserve">Table </w:t>
      </w:r>
      <w:r w:rsidRPr="00247126">
        <w:fldChar w:fldCharType="begin"/>
      </w:r>
      <w:r w:rsidRPr="00247126">
        <w:instrText xml:space="preserve"> SEQ Table \* ARABIC </w:instrText>
      </w:r>
      <w:r w:rsidRPr="00247126">
        <w:fldChar w:fldCharType="separate"/>
      </w:r>
      <w:r w:rsidR="00151E03" w:rsidRPr="00247126">
        <w:rPr>
          <w:noProof/>
        </w:rPr>
        <w:t>3</w:t>
      </w:r>
      <w:r w:rsidRPr="00247126">
        <w:rPr>
          <w:noProof/>
        </w:rPr>
        <w:fldChar w:fldCharType="end"/>
      </w:r>
      <w:bookmarkEnd w:id="10"/>
      <w:r w:rsidRPr="00247126">
        <w:tab/>
      </w:r>
      <w:r w:rsidR="00907DEB" w:rsidRPr="00247126">
        <w:t>MBS item for IVUS during PCI with stent insertion</w:t>
      </w:r>
    </w:p>
    <w:tbl>
      <w:tblPr>
        <w:tblStyle w:val="TableGrid"/>
        <w:tblW w:w="0" w:type="auto"/>
        <w:tblLook w:val="04A0" w:firstRow="1" w:lastRow="0" w:firstColumn="1" w:lastColumn="0" w:noHBand="0" w:noVBand="1"/>
        <w:tblCaption w:val="MBS item for IVUS during PCI with stent insertion"/>
        <w:tblDescription w:val="This table shows the MBS item for IVUS during PCI with stent insertion including category, group, subgroup, item number, iten descriptor and fee. "/>
      </w:tblPr>
      <w:tblGrid>
        <w:gridCol w:w="9016"/>
      </w:tblGrid>
      <w:tr w:rsidR="00BA0B0B" w:rsidRPr="00247126" w14:paraId="7E99C90A" w14:textId="77777777" w:rsidTr="00BA0B0B">
        <w:tc>
          <w:tcPr>
            <w:tcW w:w="9016" w:type="dxa"/>
          </w:tcPr>
          <w:p w14:paraId="6B85945E" w14:textId="4A1C0612" w:rsidR="00BA0B0B" w:rsidRPr="00247126" w:rsidRDefault="00F872D3" w:rsidP="004E4876">
            <w:pPr>
              <w:pStyle w:val="TableText"/>
              <w:keepNext/>
              <w:jc w:val="right"/>
            </w:pPr>
            <w:r w:rsidRPr="00247126">
              <w:t>Category 3 – THERAPEUTIC PROCEDURES</w:t>
            </w:r>
          </w:p>
        </w:tc>
      </w:tr>
      <w:tr w:rsidR="00BA0B0B" w:rsidRPr="00247126" w14:paraId="7C71E2DE" w14:textId="77777777" w:rsidTr="00BA0B0B">
        <w:tc>
          <w:tcPr>
            <w:tcW w:w="9016" w:type="dxa"/>
          </w:tcPr>
          <w:p w14:paraId="4F49FFB4" w14:textId="77777777" w:rsidR="00FA307B" w:rsidRPr="00247126" w:rsidRDefault="00FA307B" w:rsidP="004E4876">
            <w:pPr>
              <w:pStyle w:val="TableText"/>
              <w:keepNext/>
              <w:jc w:val="right"/>
            </w:pPr>
            <w:r w:rsidRPr="00247126">
              <w:t>Group T8 – Surgical Operations</w:t>
            </w:r>
          </w:p>
          <w:p w14:paraId="64E38297" w14:textId="77777777" w:rsidR="00FA307B" w:rsidRPr="00247126" w:rsidRDefault="00FA307B" w:rsidP="004E4876">
            <w:pPr>
              <w:pStyle w:val="TableText"/>
              <w:keepNext/>
              <w:jc w:val="right"/>
            </w:pPr>
            <w:r w:rsidRPr="00247126">
              <w:t xml:space="preserve">Subgroup 6 – Cardio-Thoracic </w:t>
            </w:r>
          </w:p>
          <w:p w14:paraId="0715D1C5" w14:textId="77777777" w:rsidR="00FA307B" w:rsidRPr="00247126" w:rsidRDefault="00FA307B" w:rsidP="004E4876">
            <w:pPr>
              <w:pStyle w:val="TableText"/>
              <w:keepNext/>
            </w:pPr>
            <w:r w:rsidRPr="00247126">
              <w:t>38325</w:t>
            </w:r>
          </w:p>
          <w:p w14:paraId="6B1D3028" w14:textId="77777777" w:rsidR="00FA307B" w:rsidRPr="00247126" w:rsidRDefault="00FA307B" w:rsidP="004E4876">
            <w:pPr>
              <w:pStyle w:val="TableText"/>
              <w:keepNext/>
            </w:pPr>
            <w:r w:rsidRPr="00247126">
              <w:t>Use of intravascular ultrasound (IVUS) during transluminal insertion of stents, to optimise procedural strategy, appropriate stent size and assessment of stent apposition, for a patient documented with:</w:t>
            </w:r>
          </w:p>
          <w:p w14:paraId="59CD5435" w14:textId="77777777" w:rsidR="00FA307B" w:rsidRPr="00247126" w:rsidRDefault="00FA307B" w:rsidP="004E4876">
            <w:pPr>
              <w:pStyle w:val="TableText"/>
              <w:keepNext/>
            </w:pPr>
            <w:r w:rsidRPr="00247126">
              <w:t>(a) one or more left main coronary artery lesions; or</w:t>
            </w:r>
          </w:p>
          <w:p w14:paraId="352461D3" w14:textId="77777777" w:rsidR="00FA307B" w:rsidRPr="00247126" w:rsidRDefault="00FA307B" w:rsidP="004E4876">
            <w:pPr>
              <w:pStyle w:val="TableText"/>
              <w:keepNext/>
            </w:pPr>
            <w:r w:rsidRPr="00247126">
              <w:t xml:space="preserve">(b) one or more lesions at least 28mm in length in other </w:t>
            </w:r>
            <w:proofErr w:type="gramStart"/>
            <w:r w:rsidRPr="00247126">
              <w:t>locations;</w:t>
            </w:r>
            <w:proofErr w:type="gramEnd"/>
          </w:p>
          <w:p w14:paraId="4FC9BD0F" w14:textId="77777777" w:rsidR="00FA307B" w:rsidRPr="00247126" w:rsidRDefault="00FA307B" w:rsidP="004E4876">
            <w:pPr>
              <w:pStyle w:val="TableText"/>
              <w:keepNext/>
            </w:pPr>
            <w:r w:rsidRPr="00247126">
              <w:t xml:space="preserve">if performed in association with a service to which item 38307, 38308, 38310, 38311, 38313, 38314, 38316, 38317, 38319, 38320, 38322 or 38323 </w:t>
            </w:r>
            <w:proofErr w:type="gramStart"/>
            <w:r w:rsidRPr="00247126">
              <w:t>applies</w:t>
            </w:r>
            <w:proofErr w:type="gramEnd"/>
          </w:p>
          <w:p w14:paraId="0966C763" w14:textId="77777777" w:rsidR="00FA307B" w:rsidRPr="00247126" w:rsidRDefault="00FA307B" w:rsidP="004E4876">
            <w:pPr>
              <w:pStyle w:val="TableText"/>
              <w:keepNext/>
            </w:pPr>
            <w:r w:rsidRPr="00247126">
              <w:t>Applicable once per episode of care (for one or more lesions) (H)</w:t>
            </w:r>
          </w:p>
          <w:p w14:paraId="46FBD9C3" w14:textId="77777777" w:rsidR="00FA307B" w:rsidRPr="00247126" w:rsidRDefault="00FA307B" w:rsidP="004E4876">
            <w:pPr>
              <w:pStyle w:val="TableText"/>
              <w:keepNext/>
            </w:pPr>
            <w:r w:rsidRPr="00247126">
              <w:t>Multiple Operation Rule</w:t>
            </w:r>
          </w:p>
          <w:p w14:paraId="46DDDB8A" w14:textId="77777777" w:rsidR="00FA307B" w:rsidRPr="00247126" w:rsidRDefault="00FA307B" w:rsidP="004E4876">
            <w:pPr>
              <w:pStyle w:val="TableText"/>
              <w:keepNext/>
            </w:pPr>
            <w:r w:rsidRPr="00247126">
              <w:t>(</w:t>
            </w:r>
            <w:proofErr w:type="spellStart"/>
            <w:r w:rsidRPr="00247126">
              <w:t>Anaes</w:t>
            </w:r>
            <w:proofErr w:type="spellEnd"/>
            <w:r w:rsidRPr="00247126">
              <w:t>.)</w:t>
            </w:r>
          </w:p>
          <w:p w14:paraId="426D14A6" w14:textId="77777777" w:rsidR="00C97392" w:rsidRPr="00247126" w:rsidRDefault="00C97392" w:rsidP="004E4876">
            <w:pPr>
              <w:pStyle w:val="TableText"/>
              <w:keepNext/>
            </w:pPr>
          </w:p>
          <w:p w14:paraId="6CC27E3D" w14:textId="483C24D5" w:rsidR="00BA0B0B" w:rsidRPr="00247126" w:rsidRDefault="00FA307B" w:rsidP="004E4876">
            <w:pPr>
              <w:pStyle w:val="TableText"/>
              <w:keepNext/>
            </w:pPr>
            <w:r w:rsidRPr="00247126">
              <w:t>Fee: $508.70 Benefit: 75% = $381.55</w:t>
            </w:r>
          </w:p>
        </w:tc>
      </w:tr>
    </w:tbl>
    <w:p w14:paraId="6D3BDBF4" w14:textId="35E533B1" w:rsidR="00907DEB" w:rsidRPr="00247126" w:rsidRDefault="00FA307B" w:rsidP="006F2A11">
      <w:pPr>
        <w:pStyle w:val="Tablenotes0"/>
      </w:pPr>
      <w:r w:rsidRPr="00247126">
        <w:t>Source: MBS online, 1 March 2024</w:t>
      </w:r>
      <w:r w:rsidR="00EE4740" w:rsidRPr="00247126">
        <w:t>.</w:t>
      </w:r>
    </w:p>
    <w:p w14:paraId="2D65CDD1" w14:textId="77777777" w:rsidR="00247B6B" w:rsidRPr="00247126" w:rsidRDefault="00247B6B" w:rsidP="00247B6B">
      <w:pPr>
        <w:pStyle w:val="Heading2"/>
        <w:numPr>
          <w:ilvl w:val="0"/>
          <w:numId w:val="0"/>
        </w:numPr>
      </w:pPr>
      <w:bookmarkStart w:id="11" w:name="_Toc69491421"/>
      <w:r w:rsidRPr="00247126">
        <w:t>9.</w:t>
      </w:r>
      <w:r w:rsidRPr="00247126">
        <w:tab/>
        <w:t>Summary of public consultation input</w:t>
      </w:r>
      <w:bookmarkEnd w:id="11"/>
    </w:p>
    <w:p w14:paraId="3583FC45" w14:textId="4F353F82" w:rsidR="002517D0" w:rsidRPr="00247126" w:rsidRDefault="00A25F73" w:rsidP="002517D0">
      <w:pPr>
        <w:tabs>
          <w:tab w:val="left" w:pos="3686"/>
        </w:tabs>
      </w:pPr>
      <w:bookmarkStart w:id="12" w:name="_Toc69491422"/>
      <w:r w:rsidRPr="00247126">
        <w:t xml:space="preserve">Consultation input was welcomed from three (3) professional organisations, one (1) consumer organisation and twelve (12) individuals, all of whom were medical specialists. </w:t>
      </w:r>
    </w:p>
    <w:p w14:paraId="2127ACDF" w14:textId="77777777" w:rsidR="00A25F73" w:rsidRPr="00247126" w:rsidRDefault="00A25F73" w:rsidP="002517D0">
      <w:pPr>
        <w:tabs>
          <w:tab w:val="left" w:pos="3686"/>
        </w:tabs>
      </w:pPr>
      <w:r w:rsidRPr="00247126">
        <w:t>The four (4) organisations that submitted input were:</w:t>
      </w:r>
    </w:p>
    <w:p w14:paraId="0A1FBCE2" w14:textId="77777777" w:rsidR="00A25F73" w:rsidRPr="00247126" w:rsidRDefault="00A25F73" w:rsidP="002517D0">
      <w:pPr>
        <w:pStyle w:val="ListParagraph"/>
        <w:numPr>
          <w:ilvl w:val="0"/>
          <w:numId w:val="48"/>
        </w:numPr>
        <w:tabs>
          <w:tab w:val="left" w:pos="3686"/>
        </w:tabs>
        <w:contextualSpacing w:val="0"/>
      </w:pPr>
      <w:r w:rsidRPr="00247126">
        <w:t>Hearts4Heart</w:t>
      </w:r>
    </w:p>
    <w:p w14:paraId="7E9DE3B8" w14:textId="77777777" w:rsidR="00A25F73" w:rsidRPr="00247126" w:rsidRDefault="00A25F73" w:rsidP="002517D0">
      <w:pPr>
        <w:pStyle w:val="ListParagraph"/>
        <w:numPr>
          <w:ilvl w:val="0"/>
          <w:numId w:val="48"/>
        </w:numPr>
        <w:tabs>
          <w:tab w:val="left" w:pos="3686"/>
        </w:tabs>
        <w:contextualSpacing w:val="0"/>
        <w:rPr>
          <w:rFonts w:cs="Calibri"/>
          <w:color w:val="000000"/>
        </w:rPr>
      </w:pPr>
      <w:r w:rsidRPr="00247126">
        <w:rPr>
          <w:rFonts w:cs="Calibri"/>
          <w:color w:val="000000"/>
        </w:rPr>
        <w:t xml:space="preserve">Boston Scientific </w:t>
      </w:r>
    </w:p>
    <w:p w14:paraId="0A35FDD6" w14:textId="77777777" w:rsidR="00A25F73" w:rsidRPr="00247126" w:rsidRDefault="00A25F73" w:rsidP="002517D0">
      <w:pPr>
        <w:pStyle w:val="ListParagraph"/>
        <w:numPr>
          <w:ilvl w:val="0"/>
          <w:numId w:val="48"/>
        </w:numPr>
        <w:tabs>
          <w:tab w:val="left" w:pos="3686"/>
        </w:tabs>
        <w:contextualSpacing w:val="0"/>
        <w:rPr>
          <w:rFonts w:cs="Calibri"/>
          <w:color w:val="000000"/>
        </w:rPr>
      </w:pPr>
      <w:r w:rsidRPr="00247126">
        <w:rPr>
          <w:rFonts w:cs="Calibri"/>
          <w:color w:val="000000"/>
        </w:rPr>
        <w:t>The Interventional Craft Group at the Victorian Heart Hospital</w:t>
      </w:r>
    </w:p>
    <w:p w14:paraId="5457B51C" w14:textId="77777777" w:rsidR="00A25F73" w:rsidRPr="00247126" w:rsidRDefault="00A25F73" w:rsidP="002517D0">
      <w:pPr>
        <w:pStyle w:val="ListParagraph"/>
        <w:numPr>
          <w:ilvl w:val="0"/>
          <w:numId w:val="48"/>
        </w:numPr>
        <w:tabs>
          <w:tab w:val="left" w:pos="3686"/>
        </w:tabs>
        <w:contextualSpacing w:val="0"/>
        <w:rPr>
          <w:rFonts w:cs="Calibri"/>
          <w:color w:val="000000"/>
        </w:rPr>
      </w:pPr>
      <w:r w:rsidRPr="00247126">
        <w:rPr>
          <w:rFonts w:cs="Calibri"/>
          <w:color w:val="000000"/>
        </w:rPr>
        <w:t>Eastern Heart Clinic Group</w:t>
      </w:r>
    </w:p>
    <w:p w14:paraId="63943559" w14:textId="1360FDA3" w:rsidR="00A25F73" w:rsidRPr="00247126" w:rsidRDefault="00A25F73" w:rsidP="002517D0">
      <w:pPr>
        <w:pStyle w:val="Default"/>
        <w:spacing w:before="120" w:after="160" w:line="259" w:lineRule="auto"/>
        <w:rPr>
          <w:rFonts w:ascii="Franklin Gothic Book" w:hAnsi="Franklin Gothic Book"/>
          <w:sz w:val="22"/>
          <w:szCs w:val="22"/>
        </w:rPr>
      </w:pPr>
      <w:r w:rsidRPr="00247126">
        <w:rPr>
          <w:rFonts w:ascii="Franklin Gothic Book" w:hAnsi="Franklin Gothic Book"/>
          <w:sz w:val="22"/>
          <w:szCs w:val="22"/>
        </w:rPr>
        <w:lastRenderedPageBreak/>
        <w:t>The majority of consultation feedback received was generally supportive of the application, excluding feedback from Boston Scientific in relation to the proposed OCT population.</w:t>
      </w:r>
    </w:p>
    <w:p w14:paraId="4E19B1E8" w14:textId="77777777" w:rsidR="00A25F73" w:rsidRPr="00247126" w:rsidRDefault="00A25F73" w:rsidP="002517D0">
      <w:pPr>
        <w:rPr>
          <w:rFonts w:eastAsia="Calibri" w:cs="Times New Roman"/>
          <w:b/>
        </w:rPr>
      </w:pPr>
      <w:r w:rsidRPr="00247126">
        <w:rPr>
          <w:rFonts w:eastAsia="Calibri" w:cs="Times New Roman"/>
          <w:b/>
        </w:rPr>
        <w:t xml:space="preserve">Benefits </w:t>
      </w:r>
    </w:p>
    <w:p w14:paraId="7D496A3D" w14:textId="77777777" w:rsidR="00A25F73" w:rsidRPr="00247126" w:rsidRDefault="00A25F73" w:rsidP="002517D0">
      <w:pPr>
        <w:pStyle w:val="ListParagraph"/>
        <w:numPr>
          <w:ilvl w:val="0"/>
          <w:numId w:val="56"/>
        </w:numPr>
        <w:autoSpaceDE w:val="0"/>
        <w:autoSpaceDN w:val="0"/>
        <w:adjustRightInd w:val="0"/>
        <w:contextualSpacing w:val="0"/>
        <w:rPr>
          <w:rFonts w:cs="Calibri"/>
          <w:color w:val="000000"/>
        </w:rPr>
      </w:pPr>
      <w:r w:rsidRPr="00247126">
        <w:rPr>
          <w:rFonts w:cs="Calibri"/>
          <w:color w:val="000000"/>
        </w:rPr>
        <w:t>OCT is a superior modality when compared to coronary angiography and provides an alternative choice in intravascular imaging.</w:t>
      </w:r>
    </w:p>
    <w:p w14:paraId="047D99EE" w14:textId="77777777" w:rsidR="00A25F73" w:rsidRPr="00247126" w:rsidRDefault="00A25F73" w:rsidP="002517D0">
      <w:pPr>
        <w:pStyle w:val="Default"/>
        <w:numPr>
          <w:ilvl w:val="0"/>
          <w:numId w:val="56"/>
        </w:numPr>
        <w:spacing w:before="120" w:after="160" w:line="259" w:lineRule="auto"/>
        <w:rPr>
          <w:rFonts w:ascii="Franklin Gothic Book" w:hAnsi="Franklin Gothic Book"/>
          <w:sz w:val="22"/>
          <w:szCs w:val="22"/>
        </w:rPr>
      </w:pPr>
      <w:r w:rsidRPr="00247126">
        <w:rPr>
          <w:rFonts w:ascii="Franklin Gothic Book" w:hAnsi="Franklin Gothic Book"/>
          <w:sz w:val="22"/>
          <w:szCs w:val="22"/>
        </w:rPr>
        <w:t xml:space="preserve">OCT coupled with adjunct coronary angiography guided percutaneous coronary intervention (PCI) reduces target vessel failure, stent thrombosis and all-cause death. </w:t>
      </w:r>
    </w:p>
    <w:p w14:paraId="6186E500" w14:textId="77777777" w:rsidR="00A25F73" w:rsidRPr="00247126" w:rsidRDefault="00A25F73" w:rsidP="002517D0">
      <w:pPr>
        <w:pStyle w:val="Default"/>
        <w:numPr>
          <w:ilvl w:val="0"/>
          <w:numId w:val="56"/>
        </w:numPr>
        <w:spacing w:before="120" w:after="160" w:line="259" w:lineRule="auto"/>
        <w:rPr>
          <w:rFonts w:ascii="Franklin Gothic Book" w:hAnsi="Franklin Gothic Book"/>
          <w:sz w:val="22"/>
          <w:szCs w:val="22"/>
        </w:rPr>
      </w:pPr>
      <w:r w:rsidRPr="00247126">
        <w:rPr>
          <w:rFonts w:ascii="Franklin Gothic Book" w:hAnsi="Franklin Gothic Book"/>
          <w:sz w:val="22"/>
          <w:szCs w:val="22"/>
        </w:rPr>
        <w:t>OCT allows the operator to accurately assess the size and length, as well as the optimal placement of the stent especially in cases of narrowed arteries. OCT can also identify the potential for stent failure that cannot be captured using coronary angiography alone.</w:t>
      </w:r>
    </w:p>
    <w:p w14:paraId="0F0C0AEB" w14:textId="77777777" w:rsidR="00A25F73" w:rsidRPr="00247126" w:rsidRDefault="00A25F73" w:rsidP="002517D0">
      <w:pPr>
        <w:pStyle w:val="ListParagraph"/>
        <w:numPr>
          <w:ilvl w:val="0"/>
          <w:numId w:val="56"/>
        </w:numPr>
        <w:autoSpaceDE w:val="0"/>
        <w:autoSpaceDN w:val="0"/>
        <w:adjustRightInd w:val="0"/>
        <w:contextualSpacing w:val="0"/>
        <w:rPr>
          <w:rFonts w:cs="Calibri"/>
          <w:color w:val="000000"/>
        </w:rPr>
      </w:pPr>
      <w:r w:rsidRPr="00247126">
        <w:rPr>
          <w:rFonts w:cs="Calibri"/>
          <w:color w:val="000000"/>
        </w:rPr>
        <w:t>Reduction in the downstream cost of repeat intervention, i.e., repeat presentations to hospital and need for further PCI or surgery. Additionally, an increased ability to recommend same day procedures, avoiding need for admission for monitoring.</w:t>
      </w:r>
    </w:p>
    <w:p w14:paraId="5C0B8BA6" w14:textId="77777777" w:rsidR="00A25F73" w:rsidRPr="00247126" w:rsidRDefault="00A25F73" w:rsidP="002517D0">
      <w:pPr>
        <w:pStyle w:val="ListParagraph"/>
        <w:numPr>
          <w:ilvl w:val="0"/>
          <w:numId w:val="56"/>
        </w:numPr>
        <w:autoSpaceDE w:val="0"/>
        <w:autoSpaceDN w:val="0"/>
        <w:adjustRightInd w:val="0"/>
        <w:contextualSpacing w:val="0"/>
        <w:rPr>
          <w:rFonts w:cs="Calibri"/>
          <w:color w:val="000000"/>
        </w:rPr>
      </w:pPr>
      <w:r w:rsidRPr="00247126">
        <w:rPr>
          <w:rFonts w:cs="Calibri"/>
          <w:color w:val="000000"/>
        </w:rPr>
        <w:t>OCT is useful for post-intervention assessment, detecting issues such as stent malposition, edge dissection, and tissue prolapse.</w:t>
      </w:r>
    </w:p>
    <w:p w14:paraId="41F93493" w14:textId="77777777" w:rsidR="00A25F73" w:rsidRPr="00247126" w:rsidRDefault="00A25F73" w:rsidP="002517D0">
      <w:pPr>
        <w:pStyle w:val="ListParagraph"/>
        <w:numPr>
          <w:ilvl w:val="0"/>
          <w:numId w:val="56"/>
        </w:numPr>
        <w:autoSpaceDE w:val="0"/>
        <w:autoSpaceDN w:val="0"/>
        <w:adjustRightInd w:val="0"/>
        <w:contextualSpacing w:val="0"/>
        <w:rPr>
          <w:rFonts w:cs="Calibri"/>
          <w:color w:val="000000"/>
        </w:rPr>
      </w:pPr>
      <w:r w:rsidRPr="00247126">
        <w:rPr>
          <w:rFonts w:cs="Calibri"/>
          <w:color w:val="000000"/>
        </w:rPr>
        <w:t>OCT is useful for assessing the healing process post-stent implantation, as it can detect endothelial coverage and assess whether the stent is becoming incorporated into the vessel wall, which is critical for long-term outcomes.</w:t>
      </w:r>
    </w:p>
    <w:p w14:paraId="1062BA01" w14:textId="77777777" w:rsidR="00A25F73" w:rsidRPr="00247126" w:rsidRDefault="00A25F73" w:rsidP="002517D0">
      <w:pPr>
        <w:pStyle w:val="ListParagraph"/>
        <w:numPr>
          <w:ilvl w:val="0"/>
          <w:numId w:val="56"/>
        </w:numPr>
        <w:autoSpaceDE w:val="0"/>
        <w:autoSpaceDN w:val="0"/>
        <w:adjustRightInd w:val="0"/>
        <w:contextualSpacing w:val="0"/>
        <w:rPr>
          <w:rFonts w:cs="Calibri"/>
          <w:color w:val="000000"/>
        </w:rPr>
      </w:pPr>
      <w:r w:rsidRPr="00247126">
        <w:rPr>
          <w:rFonts w:cs="Calibri"/>
          <w:color w:val="000000"/>
        </w:rPr>
        <w:t xml:space="preserve">OCT will potentially provide effective treatment to a broader indication of high-risk coronary lesions not covered by currently funded MBS item numbers, such as calcification, </w:t>
      </w:r>
      <w:proofErr w:type="gramStart"/>
      <w:r w:rsidRPr="00247126">
        <w:rPr>
          <w:rFonts w:cs="Calibri"/>
          <w:color w:val="000000"/>
        </w:rPr>
        <w:t>bifurcation</w:t>
      </w:r>
      <w:proofErr w:type="gramEnd"/>
      <w:r w:rsidRPr="00247126">
        <w:rPr>
          <w:rFonts w:cs="Calibri"/>
          <w:color w:val="000000"/>
        </w:rPr>
        <w:t xml:space="preserve"> and stent complications.</w:t>
      </w:r>
    </w:p>
    <w:p w14:paraId="36868098" w14:textId="77777777" w:rsidR="00A25F73" w:rsidRPr="00247126" w:rsidRDefault="00A25F73" w:rsidP="002517D0">
      <w:pPr>
        <w:pStyle w:val="ListParagraph"/>
        <w:numPr>
          <w:ilvl w:val="0"/>
          <w:numId w:val="56"/>
        </w:numPr>
        <w:autoSpaceDE w:val="0"/>
        <w:autoSpaceDN w:val="0"/>
        <w:adjustRightInd w:val="0"/>
        <w:contextualSpacing w:val="0"/>
        <w:rPr>
          <w:rFonts w:cs="Calibri"/>
          <w:color w:val="000000"/>
        </w:rPr>
      </w:pPr>
      <w:r w:rsidRPr="00247126">
        <w:rPr>
          <w:rFonts w:cs="Calibri"/>
          <w:color w:val="000000"/>
        </w:rPr>
        <w:t>OCT can differentiate between different types of arterial plaque and enables targeted interventions by identifying the plaques that are prone to rupture and lead to heart attacks.</w:t>
      </w:r>
    </w:p>
    <w:p w14:paraId="72D516F6" w14:textId="44287EEC" w:rsidR="00A25F73" w:rsidRPr="00247126" w:rsidRDefault="00A25F73" w:rsidP="002517D0">
      <w:pPr>
        <w:pStyle w:val="ListParagraph"/>
        <w:numPr>
          <w:ilvl w:val="0"/>
          <w:numId w:val="56"/>
        </w:numPr>
        <w:autoSpaceDE w:val="0"/>
        <w:autoSpaceDN w:val="0"/>
        <w:adjustRightInd w:val="0"/>
        <w:contextualSpacing w:val="0"/>
        <w:rPr>
          <w:rFonts w:cs="Calibri"/>
          <w:color w:val="000000"/>
        </w:rPr>
      </w:pPr>
      <w:r w:rsidRPr="00247126">
        <w:rPr>
          <w:rFonts w:cs="Calibri"/>
          <w:color w:val="000000"/>
        </w:rPr>
        <w:t>Equity of access, as public funding for OCT may promote wider usage including in regional areas.</w:t>
      </w:r>
    </w:p>
    <w:p w14:paraId="48C81422" w14:textId="4438F1FC" w:rsidR="00A25F73" w:rsidRPr="00247126" w:rsidRDefault="00A25F73" w:rsidP="002517D0">
      <w:pPr>
        <w:autoSpaceDE w:val="0"/>
        <w:autoSpaceDN w:val="0"/>
        <w:adjustRightInd w:val="0"/>
        <w:rPr>
          <w:b/>
          <w:bCs/>
        </w:rPr>
      </w:pPr>
      <w:r w:rsidRPr="00247126">
        <w:rPr>
          <w:b/>
          <w:bCs/>
        </w:rPr>
        <w:t xml:space="preserve">Disadvantages </w:t>
      </w:r>
    </w:p>
    <w:p w14:paraId="3EB92B1A" w14:textId="77777777" w:rsidR="00A25F73" w:rsidRPr="00247126" w:rsidRDefault="00A25F73" w:rsidP="002517D0">
      <w:pPr>
        <w:pStyle w:val="ListParagraph"/>
        <w:numPr>
          <w:ilvl w:val="0"/>
          <w:numId w:val="56"/>
        </w:numPr>
        <w:autoSpaceDE w:val="0"/>
        <w:autoSpaceDN w:val="0"/>
        <w:adjustRightInd w:val="0"/>
        <w:contextualSpacing w:val="0"/>
        <w:rPr>
          <w:rFonts w:cs="Calibri"/>
          <w:color w:val="000000"/>
        </w:rPr>
      </w:pPr>
      <w:r w:rsidRPr="00247126">
        <w:rPr>
          <w:rFonts w:cs="Calibri"/>
          <w:color w:val="000000"/>
        </w:rPr>
        <w:t>The use of OCT requires the use of a modest amount of additional radiographic contrast and a slightly longer procedure time.</w:t>
      </w:r>
    </w:p>
    <w:p w14:paraId="60B75A9C" w14:textId="77777777" w:rsidR="00A25F73" w:rsidRPr="00247126" w:rsidRDefault="00A25F73" w:rsidP="002517D0">
      <w:pPr>
        <w:pStyle w:val="ListParagraph"/>
        <w:numPr>
          <w:ilvl w:val="0"/>
          <w:numId w:val="56"/>
        </w:numPr>
        <w:autoSpaceDE w:val="0"/>
        <w:autoSpaceDN w:val="0"/>
        <w:adjustRightInd w:val="0"/>
        <w:contextualSpacing w:val="0"/>
        <w:rPr>
          <w:rFonts w:cs="Calibri"/>
          <w:color w:val="000000"/>
        </w:rPr>
      </w:pPr>
      <w:r w:rsidRPr="00247126">
        <w:rPr>
          <w:rFonts w:cs="Calibri"/>
          <w:color w:val="000000"/>
        </w:rPr>
        <w:t>OCT use is limited in ostial lesions as contrast can’t be expelled to obtain adequate imaging</w:t>
      </w:r>
      <w:r w:rsidRPr="00247126">
        <w:rPr>
          <w:b/>
          <w:bCs/>
        </w:rPr>
        <w:t>.</w:t>
      </w:r>
    </w:p>
    <w:p w14:paraId="751C0E87" w14:textId="77777777" w:rsidR="00A25F73" w:rsidRPr="00247126" w:rsidRDefault="00A25F73" w:rsidP="002517D0">
      <w:pPr>
        <w:pStyle w:val="Default"/>
        <w:numPr>
          <w:ilvl w:val="0"/>
          <w:numId w:val="56"/>
        </w:numPr>
        <w:spacing w:before="120" w:after="160" w:line="259" w:lineRule="auto"/>
        <w:rPr>
          <w:rFonts w:ascii="Franklin Gothic Book" w:hAnsi="Franklin Gothic Book"/>
          <w:sz w:val="22"/>
          <w:szCs w:val="22"/>
        </w:rPr>
      </w:pPr>
      <w:r w:rsidRPr="00247126">
        <w:rPr>
          <w:rFonts w:ascii="Franklin Gothic Book" w:hAnsi="Franklin Gothic Book"/>
          <w:sz w:val="22"/>
          <w:szCs w:val="22"/>
        </w:rPr>
        <w:t>The cost of the procedure and associated capital/equipment cost(s).</w:t>
      </w:r>
    </w:p>
    <w:p w14:paraId="5066348C" w14:textId="77777777" w:rsidR="00A25F73" w:rsidRPr="00247126" w:rsidRDefault="00A25F73" w:rsidP="002517D0">
      <w:pPr>
        <w:pStyle w:val="Default"/>
        <w:numPr>
          <w:ilvl w:val="0"/>
          <w:numId w:val="56"/>
        </w:numPr>
        <w:spacing w:before="120" w:after="160" w:line="259" w:lineRule="auto"/>
        <w:rPr>
          <w:rFonts w:ascii="Franklin Gothic Book" w:hAnsi="Franklin Gothic Book"/>
          <w:sz w:val="22"/>
          <w:szCs w:val="22"/>
        </w:rPr>
      </w:pPr>
      <w:r w:rsidRPr="00247126">
        <w:rPr>
          <w:rFonts w:ascii="Franklin Gothic Book" w:hAnsi="Franklin Gothic Book"/>
          <w:sz w:val="22"/>
          <w:szCs w:val="22"/>
        </w:rPr>
        <w:t>In a subset of patient with abnormal kidney function, OCT may increase the risk of contrast induced nephropathy (reduction in kidney function), however his risk can be mitigated by injecting normal saline (NS) instead of contrast, noting NS is ineffective in left main and left anterior descending arteries (LAD).</w:t>
      </w:r>
    </w:p>
    <w:p w14:paraId="7BFAC116" w14:textId="77777777" w:rsidR="00A25F73" w:rsidRPr="00247126" w:rsidRDefault="00A25F73" w:rsidP="002517D0">
      <w:pPr>
        <w:pStyle w:val="Default"/>
        <w:numPr>
          <w:ilvl w:val="0"/>
          <w:numId w:val="56"/>
        </w:numPr>
        <w:spacing w:before="120" w:after="160" w:line="259" w:lineRule="auto"/>
        <w:rPr>
          <w:rFonts w:ascii="Franklin Gothic Book" w:hAnsi="Franklin Gothic Book"/>
          <w:sz w:val="22"/>
          <w:szCs w:val="22"/>
        </w:rPr>
      </w:pPr>
      <w:r w:rsidRPr="00247126">
        <w:rPr>
          <w:rFonts w:ascii="Franklin Gothic Book" w:hAnsi="Franklin Gothic Book"/>
          <w:sz w:val="22"/>
          <w:szCs w:val="22"/>
        </w:rPr>
        <w:t>Risk of vessel dissection when a large volume of contrast or saline is injected into a vessel.</w:t>
      </w:r>
    </w:p>
    <w:p w14:paraId="53670C52" w14:textId="57216038" w:rsidR="00A25F73" w:rsidRPr="00247126" w:rsidRDefault="00A25F73" w:rsidP="002517D0">
      <w:pPr>
        <w:pStyle w:val="Default"/>
        <w:numPr>
          <w:ilvl w:val="0"/>
          <w:numId w:val="56"/>
        </w:numPr>
        <w:spacing w:before="120" w:after="160" w:line="259" w:lineRule="auto"/>
        <w:rPr>
          <w:rFonts w:ascii="Franklin Gothic Book" w:hAnsi="Franklin Gothic Book"/>
          <w:sz w:val="22"/>
          <w:szCs w:val="22"/>
        </w:rPr>
      </w:pPr>
      <w:r w:rsidRPr="00247126">
        <w:rPr>
          <w:rFonts w:ascii="Franklin Gothic Book" w:hAnsi="Franklin Gothic Book"/>
          <w:sz w:val="22"/>
          <w:szCs w:val="22"/>
        </w:rPr>
        <w:t>Intra-coronary imaging marginally prolongs the time required for a stenting procedure.</w:t>
      </w:r>
    </w:p>
    <w:p w14:paraId="3350858C" w14:textId="77777777" w:rsidR="00A25F73" w:rsidRPr="00247126" w:rsidRDefault="00A25F73" w:rsidP="002517D0">
      <w:pPr>
        <w:rPr>
          <w:b/>
          <w:bCs/>
        </w:rPr>
      </w:pPr>
      <w:r w:rsidRPr="00247126">
        <w:rPr>
          <w:b/>
          <w:bCs/>
        </w:rPr>
        <w:t xml:space="preserve">Additional Comments </w:t>
      </w:r>
    </w:p>
    <w:p w14:paraId="741C4CA5" w14:textId="552AE8D2" w:rsidR="00A25F73" w:rsidRPr="00247126" w:rsidRDefault="00A25F73" w:rsidP="002517D0">
      <w:pPr>
        <w:pStyle w:val="Default"/>
        <w:spacing w:before="120" w:after="160" w:line="259" w:lineRule="auto"/>
        <w:rPr>
          <w:rFonts w:ascii="Franklin Gothic Book" w:hAnsi="Franklin Gothic Book" w:cstheme="minorBidi"/>
          <w:color w:val="auto"/>
          <w:sz w:val="22"/>
          <w:szCs w:val="22"/>
        </w:rPr>
      </w:pPr>
      <w:r w:rsidRPr="00247126">
        <w:rPr>
          <w:rFonts w:ascii="Franklin Gothic Book" w:hAnsi="Franklin Gothic Book" w:cstheme="minorBidi"/>
          <w:color w:val="auto"/>
          <w:sz w:val="22"/>
          <w:szCs w:val="22"/>
        </w:rPr>
        <w:t xml:space="preserve">There was mixed feedback comparing OCT to (Intravascular Ultrasound) IVUS, with one respondent stating OCT provides 10 times better image resolution than IVUS, can determine vascular dimensions with a greater degree of accuracy than IVUS, and provides image acquisition </w:t>
      </w:r>
      <w:r w:rsidRPr="00247126">
        <w:rPr>
          <w:rFonts w:ascii="Franklin Gothic Book" w:hAnsi="Franklin Gothic Book" w:cstheme="minorBidi"/>
          <w:color w:val="auto"/>
          <w:sz w:val="22"/>
          <w:szCs w:val="22"/>
        </w:rPr>
        <w:lastRenderedPageBreak/>
        <w:t>that is 20 times faster than IVUS. Another respondent noted that a network comparison of OCT vs IVUS did not find any significant differences in outcomes between the 2 modalities, indirectly indicating that both are advantageous.</w:t>
      </w:r>
    </w:p>
    <w:p w14:paraId="4E931602" w14:textId="08283540" w:rsidR="00A25F73" w:rsidRPr="00247126" w:rsidRDefault="00A25F73" w:rsidP="002517D0">
      <w:pPr>
        <w:autoSpaceDE w:val="0"/>
        <w:autoSpaceDN w:val="0"/>
        <w:adjustRightInd w:val="0"/>
      </w:pPr>
      <w:r w:rsidRPr="00247126">
        <w:t>It was noted that if concurrent funding for OCT was implemented in line with the existing IVUS lesion type of long lesion from March 2024, this would provide increased clinician choice and address the unmet need whilst MSAC assesses this application for funding OCT in the broader population.</w:t>
      </w:r>
    </w:p>
    <w:p w14:paraId="5D6E06DA" w14:textId="5C2EADB6" w:rsidR="00A25F73" w:rsidRPr="00247126" w:rsidRDefault="00A25F73" w:rsidP="002517D0">
      <w:pPr>
        <w:pStyle w:val="Default"/>
        <w:spacing w:before="120" w:after="160" w:line="259" w:lineRule="auto"/>
        <w:rPr>
          <w:rFonts w:ascii="Franklin Gothic Book" w:hAnsi="Franklin Gothic Book"/>
          <w:sz w:val="22"/>
          <w:szCs w:val="22"/>
        </w:rPr>
      </w:pPr>
      <w:r w:rsidRPr="00247126">
        <w:rPr>
          <w:rFonts w:ascii="Franklin Gothic Book" w:hAnsi="Franklin Gothic Book" w:cstheme="minorBidi"/>
          <w:color w:val="auto"/>
          <w:sz w:val="22"/>
          <w:szCs w:val="22"/>
        </w:rPr>
        <w:t xml:space="preserve">Boston Scientific raised concerns that MSAC will support public funding for the proposed OCT population while the evidence presented in MSAC 1743 Application Summary and PICO Set is limited, when compared to the evidence supporting the clinical utility of IVUS as submitted in </w:t>
      </w:r>
      <w:hyperlink r:id="rId15" w:history="1">
        <w:r w:rsidRPr="00247126">
          <w:rPr>
            <w:rStyle w:val="Hyperlink"/>
            <w:rFonts w:ascii="Franklin Gothic Book" w:hAnsi="Franklin Gothic Book" w:cstheme="minorBidi"/>
            <w:sz w:val="22"/>
            <w:szCs w:val="22"/>
          </w:rPr>
          <w:t>MSAC Application 1354.1</w:t>
        </w:r>
      </w:hyperlink>
      <w:r w:rsidRPr="00247126">
        <w:rPr>
          <w:rFonts w:ascii="Franklin Gothic Book" w:hAnsi="Franklin Gothic Book"/>
          <w:sz w:val="22"/>
          <w:szCs w:val="22"/>
        </w:rPr>
        <w:t>.</w:t>
      </w:r>
    </w:p>
    <w:p w14:paraId="1BD66BC9" w14:textId="77777777" w:rsidR="00A25F73" w:rsidRPr="00247126" w:rsidRDefault="00A25F73" w:rsidP="002517D0">
      <w:pPr>
        <w:pStyle w:val="Default"/>
        <w:spacing w:before="120" w:after="160" w:line="259" w:lineRule="auto"/>
        <w:rPr>
          <w:rFonts w:ascii="Franklin Gothic Book" w:hAnsi="Franklin Gothic Book" w:cstheme="minorBidi"/>
          <w:color w:val="auto"/>
          <w:sz w:val="22"/>
          <w:szCs w:val="22"/>
        </w:rPr>
      </w:pPr>
      <w:r w:rsidRPr="00247126">
        <w:rPr>
          <w:rFonts w:ascii="Franklin Gothic Book" w:hAnsi="Franklin Gothic Book" w:cstheme="minorBidi"/>
          <w:color w:val="auto"/>
          <w:sz w:val="22"/>
          <w:szCs w:val="22"/>
        </w:rPr>
        <w:t>The feedback from the Interventional Craft Group at the Victorian Heart Hospital noted that the proposed item descriptor would also permit the use of OCT during cases of stent failure which is their opinion is a critical component of the application</w:t>
      </w:r>
      <w:r w:rsidRPr="00247126">
        <w:rPr>
          <w:rFonts w:ascii="Franklin Gothic Book" w:hAnsi="Franklin Gothic Book" w:cs="Times New Roman"/>
          <w:sz w:val="22"/>
          <w:szCs w:val="22"/>
        </w:rPr>
        <w:t xml:space="preserve">. </w:t>
      </w:r>
      <w:r w:rsidRPr="00247126">
        <w:rPr>
          <w:rFonts w:ascii="Franklin Gothic Book" w:hAnsi="Franklin Gothic Book" w:cstheme="minorBidi"/>
          <w:color w:val="auto"/>
          <w:sz w:val="22"/>
          <w:szCs w:val="22"/>
        </w:rPr>
        <w:t xml:space="preserve">One medical specialist noted that ‘stent failure’ should also be on the item descriptor independent of stent insertion as in under expended stents a further stent may not be required; rather optimisation of the already placed stent with OCT or IVUS guidance. </w:t>
      </w:r>
    </w:p>
    <w:p w14:paraId="03C7A1F1" w14:textId="72BD9AD0" w:rsidR="00772829" w:rsidRPr="00247126" w:rsidRDefault="00247B6B" w:rsidP="002A18BE">
      <w:pPr>
        <w:pStyle w:val="Heading2"/>
        <w:numPr>
          <w:ilvl w:val="1"/>
          <w:numId w:val="0"/>
        </w:numPr>
      </w:pPr>
      <w:r w:rsidRPr="00247126">
        <w:t>10</w:t>
      </w:r>
      <w:r w:rsidR="00C36633" w:rsidRPr="00247126">
        <w:t>.</w:t>
      </w:r>
      <w:r w:rsidR="00C36633" w:rsidRPr="00247126">
        <w:tab/>
      </w:r>
      <w:r w:rsidR="00772829" w:rsidRPr="00247126">
        <w:t>Characteristics of the evidence base</w:t>
      </w:r>
      <w:bookmarkEnd w:id="12"/>
    </w:p>
    <w:p w14:paraId="6172DBBC" w14:textId="2AEC1D52" w:rsidR="00561E0F" w:rsidRPr="00247126" w:rsidRDefault="00B4602D" w:rsidP="00C4467B">
      <w:r w:rsidRPr="00247126">
        <w:t>T</w:t>
      </w:r>
      <w:r w:rsidR="00561E0F" w:rsidRPr="00247126">
        <w:t xml:space="preserve">he literature search performed for the </w:t>
      </w:r>
      <w:r w:rsidRPr="00247126">
        <w:t>ADAR aimed to</w:t>
      </w:r>
      <w:r w:rsidR="00561E0F" w:rsidRPr="00247126">
        <w:t xml:space="preserve"> identify all randomised controlled trials (RCTs) of OCT+AG versus AG alone or IVUS+AG in patients undergoing PCI.</w:t>
      </w:r>
      <w:r w:rsidRPr="00247126">
        <w:t xml:space="preserve"> </w:t>
      </w:r>
      <w:r w:rsidR="004D12F7" w:rsidRPr="00247126">
        <w:t xml:space="preserve">To be </w:t>
      </w:r>
      <w:r w:rsidR="002B5DF4" w:rsidRPr="00247126">
        <w:t>eligible</w:t>
      </w:r>
      <w:r w:rsidR="00AF25B0" w:rsidRPr="00247126">
        <w:t>,</w:t>
      </w:r>
      <w:r w:rsidR="004D12F7" w:rsidRPr="00247126">
        <w:t xml:space="preserve"> </w:t>
      </w:r>
      <w:r w:rsidR="004B7164" w:rsidRPr="00247126">
        <w:t xml:space="preserve">RCTs were required to </w:t>
      </w:r>
      <w:r w:rsidR="00673670" w:rsidRPr="00247126">
        <w:t>include patients representing the target population for the proposed listing</w:t>
      </w:r>
      <w:r w:rsidR="00DC4669" w:rsidRPr="00247126">
        <w:t xml:space="preserve">, </w:t>
      </w:r>
      <w:r w:rsidR="00BC6273" w:rsidRPr="00247126">
        <w:t xml:space="preserve">report stratified data informing the comparison of OCT+AG versus AG alone for at least one of the four subpopulations or OCT+AG versus IVUS+AG for the long lesion </w:t>
      </w:r>
      <w:r w:rsidR="00976C69" w:rsidRPr="00247126">
        <w:t>subpopulation</w:t>
      </w:r>
      <w:r w:rsidR="00BC6273" w:rsidRPr="00247126">
        <w:t>,</w:t>
      </w:r>
      <w:r w:rsidR="00FE5439" w:rsidRPr="00247126">
        <w:t xml:space="preserve"> and report data </w:t>
      </w:r>
      <w:r w:rsidR="00CB56DE" w:rsidRPr="00247126">
        <w:t xml:space="preserve">for </w:t>
      </w:r>
      <w:r w:rsidR="00FE5439" w:rsidRPr="00247126">
        <w:t>clinical outcomes specified in the PICO</w:t>
      </w:r>
      <w:r w:rsidR="004F2FD0" w:rsidRPr="00247126">
        <w:t>.</w:t>
      </w:r>
    </w:p>
    <w:p w14:paraId="256229F0" w14:textId="5417992C" w:rsidR="002D77B8" w:rsidRPr="00247126" w:rsidRDefault="00C4467B" w:rsidP="00C4467B">
      <w:r w:rsidRPr="00247126">
        <w:t xml:space="preserve">The </w:t>
      </w:r>
      <w:r w:rsidR="00463330" w:rsidRPr="00247126">
        <w:t xml:space="preserve">commentary considered that the </w:t>
      </w:r>
      <w:r w:rsidRPr="00247126">
        <w:t xml:space="preserve">search strategy was sufficiently </w:t>
      </w:r>
      <w:r w:rsidR="00463330" w:rsidRPr="00247126">
        <w:t>comprehensive</w:t>
      </w:r>
      <w:r w:rsidRPr="00247126">
        <w:t>. No additional pivotal studies were identified.</w:t>
      </w:r>
    </w:p>
    <w:p w14:paraId="13EBFDBC" w14:textId="5E63A2FB" w:rsidR="00D87B69" w:rsidRPr="00247126" w:rsidRDefault="00B90BA7" w:rsidP="000000DF">
      <w:r w:rsidRPr="00247126">
        <w:t>Three RCTs met the pre</w:t>
      </w:r>
      <w:r w:rsidR="00450411" w:rsidRPr="00247126">
        <w:t xml:space="preserve">-defined </w:t>
      </w:r>
      <w:r w:rsidR="008303FA" w:rsidRPr="00247126">
        <w:t xml:space="preserve">eligibility </w:t>
      </w:r>
      <w:r w:rsidR="00450411" w:rsidRPr="00247126">
        <w:t>criteria</w:t>
      </w:r>
      <w:r w:rsidR="009A296C" w:rsidRPr="00247126">
        <w:t xml:space="preserve"> and were included in the ADAR as pivotal evidence</w:t>
      </w:r>
      <w:r w:rsidR="00E30491" w:rsidRPr="00247126">
        <w:t>:</w:t>
      </w:r>
      <w:r w:rsidR="00450411" w:rsidRPr="00247126">
        <w:t xml:space="preserve"> OCTOBER (</w:t>
      </w:r>
      <w:hyperlink r:id="rId16" w:tooltip="Weblink to OCTOBER trial entry on ClinicalTrials.gov website" w:history="1">
        <w:r w:rsidR="00740278" w:rsidRPr="00247126">
          <w:rPr>
            <w:rStyle w:val="Hyperlink"/>
          </w:rPr>
          <w:t>NCT</w:t>
        </w:r>
        <w:r w:rsidR="00EF1A70" w:rsidRPr="00247126">
          <w:rPr>
            <w:rStyle w:val="Hyperlink"/>
          </w:rPr>
          <w:t>03171311</w:t>
        </w:r>
      </w:hyperlink>
      <w:r w:rsidR="00497514" w:rsidRPr="00247126">
        <w:t>)</w:t>
      </w:r>
      <w:r w:rsidR="007C4C83" w:rsidRPr="00247126">
        <w:t xml:space="preserve"> compar</w:t>
      </w:r>
      <w:r w:rsidR="00017DE4" w:rsidRPr="00247126">
        <w:t>ed</w:t>
      </w:r>
      <w:r w:rsidR="007C4C83" w:rsidRPr="00247126">
        <w:t xml:space="preserve"> OCT+AG-guided PCI with AG-guided PCI in patients with complex bifurcation lesions</w:t>
      </w:r>
      <w:r w:rsidR="0074497C" w:rsidRPr="00247126">
        <w:t>;</w:t>
      </w:r>
      <w:r w:rsidR="00497514" w:rsidRPr="00247126">
        <w:t xml:space="preserve"> ILUMIEN</w:t>
      </w:r>
      <w:r w:rsidR="0075647A" w:rsidRPr="00247126">
        <w:t> </w:t>
      </w:r>
      <w:r w:rsidR="00497514" w:rsidRPr="00247126">
        <w:t>IV</w:t>
      </w:r>
      <w:r w:rsidR="000004A0" w:rsidRPr="00247126">
        <w:t>:OPTIMAL PCI</w:t>
      </w:r>
      <w:r w:rsidR="00497514" w:rsidRPr="00247126">
        <w:t xml:space="preserve"> </w:t>
      </w:r>
      <w:r w:rsidR="005F5120" w:rsidRPr="00247126">
        <w:t>(</w:t>
      </w:r>
      <w:hyperlink r:id="rId17" w:tooltip="Weblink to OCTIVUS IV entry on ClinicalTrials.gov website" w:history="1">
        <w:r w:rsidR="005F5120" w:rsidRPr="00247126">
          <w:rPr>
            <w:rStyle w:val="Hyperlink"/>
          </w:rPr>
          <w:t>NCT03507777</w:t>
        </w:r>
      </w:hyperlink>
      <w:r w:rsidR="005F5120" w:rsidRPr="00247126">
        <w:t>)</w:t>
      </w:r>
      <w:r w:rsidR="00497514" w:rsidRPr="00247126">
        <w:t xml:space="preserve"> </w:t>
      </w:r>
      <w:r w:rsidR="00C50954" w:rsidRPr="00247126">
        <w:t>compar</w:t>
      </w:r>
      <w:r w:rsidR="00017DE4" w:rsidRPr="00247126">
        <w:t>ed</w:t>
      </w:r>
      <w:r w:rsidR="00C50954" w:rsidRPr="00247126">
        <w:t xml:space="preserve"> OCT+AG-guided PCI with AG-guided PCI in patients with medicat</w:t>
      </w:r>
      <w:r w:rsidR="006861A7" w:rsidRPr="00247126">
        <w:t>ion</w:t>
      </w:r>
      <w:r w:rsidR="00C50954" w:rsidRPr="00247126">
        <w:t xml:space="preserve">-treated diabetes or complex coronary artery lesions; </w:t>
      </w:r>
      <w:r w:rsidR="00497514" w:rsidRPr="00247126">
        <w:t>and OCTIVUS (</w:t>
      </w:r>
      <w:hyperlink r:id="rId18" w:tooltip="Weblink to OCTIVUS entry on CLinicalTrials.gov website" w:history="1">
        <w:r w:rsidR="00C61E46" w:rsidRPr="00247126">
          <w:rPr>
            <w:rStyle w:val="Hyperlink"/>
          </w:rPr>
          <w:t>NCT</w:t>
        </w:r>
        <w:r w:rsidR="00AF722A" w:rsidRPr="00247126">
          <w:rPr>
            <w:rStyle w:val="Hyperlink"/>
          </w:rPr>
          <w:t>03394079</w:t>
        </w:r>
      </w:hyperlink>
      <w:r w:rsidR="00497514" w:rsidRPr="00247126">
        <w:t>)</w:t>
      </w:r>
      <w:r w:rsidR="00C50954" w:rsidRPr="00247126">
        <w:t xml:space="preserve"> </w:t>
      </w:r>
      <w:r w:rsidR="00DA5855" w:rsidRPr="00247126">
        <w:t>compar</w:t>
      </w:r>
      <w:r w:rsidR="00017DE4" w:rsidRPr="00247126">
        <w:t>ed</w:t>
      </w:r>
      <w:r w:rsidR="00DA5855" w:rsidRPr="00247126">
        <w:t xml:space="preserve"> OCT+AG-guided PCI with IVUS+AG-guided PCI in patients with significant coronary</w:t>
      </w:r>
      <w:r w:rsidR="00CA4C2C" w:rsidRPr="00247126">
        <w:t xml:space="preserve"> </w:t>
      </w:r>
      <w:r w:rsidR="00DA5855" w:rsidRPr="00247126">
        <w:t>artery lesions</w:t>
      </w:r>
      <w:r w:rsidR="0075647A" w:rsidRPr="00247126">
        <w:t xml:space="preserve">. </w:t>
      </w:r>
      <w:r w:rsidR="002D77B8" w:rsidRPr="00247126">
        <w:t>The</w:t>
      </w:r>
      <w:r w:rsidR="002D77B8" w:rsidRPr="00247126" w:rsidDel="00A33D53">
        <w:t xml:space="preserve"> </w:t>
      </w:r>
      <w:r w:rsidR="002749F4" w:rsidRPr="00247126">
        <w:t xml:space="preserve">comparative </w:t>
      </w:r>
      <w:r w:rsidR="002D77B8" w:rsidRPr="00247126">
        <w:t>efficacy and safety claims made in th</w:t>
      </w:r>
      <w:r w:rsidR="002E04FB" w:rsidRPr="00247126">
        <w:t>e</w:t>
      </w:r>
      <w:r w:rsidR="002D77B8" w:rsidRPr="00247126">
        <w:t xml:space="preserve"> ADAR </w:t>
      </w:r>
      <w:r w:rsidR="003039FA" w:rsidRPr="00247126">
        <w:t>we</w:t>
      </w:r>
      <w:r w:rsidR="002D77B8" w:rsidRPr="00247126">
        <w:t>re based on the</w:t>
      </w:r>
      <w:r w:rsidR="002E04FB" w:rsidRPr="00247126">
        <w:t>se</w:t>
      </w:r>
      <w:r w:rsidR="002D77B8" w:rsidRPr="00247126">
        <w:t xml:space="preserve"> three</w:t>
      </w:r>
      <w:r w:rsidR="002E04FB" w:rsidRPr="00247126">
        <w:t xml:space="preserve"> RCTs.</w:t>
      </w:r>
    </w:p>
    <w:p w14:paraId="1BED1781" w14:textId="06351631" w:rsidR="00D46B92" w:rsidRPr="00247126" w:rsidRDefault="007628AD" w:rsidP="000000DF">
      <w:r w:rsidRPr="00247126">
        <w:t xml:space="preserve">The approach to evidence synthesis </w:t>
      </w:r>
      <w:r w:rsidR="001D22CA" w:rsidRPr="00247126">
        <w:t xml:space="preserve">used in the ADAR </w:t>
      </w:r>
      <w:r w:rsidRPr="00247126">
        <w:t xml:space="preserve">is </w:t>
      </w:r>
      <w:r w:rsidR="00B91D74" w:rsidRPr="00247126">
        <w:t>summarised</w:t>
      </w:r>
      <w:r w:rsidRPr="00247126">
        <w:t xml:space="preserve"> in</w:t>
      </w:r>
      <w:r w:rsidR="001D22CA" w:rsidRPr="00247126">
        <w:t xml:space="preserve"> </w:t>
      </w:r>
      <w:r w:rsidR="001D22CA" w:rsidRPr="00247126">
        <w:fldChar w:fldCharType="begin"/>
      </w:r>
      <w:r w:rsidR="001D22CA" w:rsidRPr="00247126">
        <w:instrText xml:space="preserve"> REF _Ref163119724 \h </w:instrText>
      </w:r>
      <w:r w:rsidR="00C567A2" w:rsidRPr="00247126">
        <w:instrText xml:space="preserve"> \* MERGEFORMAT </w:instrText>
      </w:r>
      <w:r w:rsidR="001D22CA" w:rsidRPr="00247126">
        <w:fldChar w:fldCharType="separate"/>
      </w:r>
      <w:r w:rsidR="00151E03" w:rsidRPr="00247126">
        <w:t xml:space="preserve">Table </w:t>
      </w:r>
      <w:r w:rsidR="00151E03" w:rsidRPr="00247126">
        <w:rPr>
          <w:noProof/>
        </w:rPr>
        <w:t>4</w:t>
      </w:r>
      <w:r w:rsidR="001D22CA" w:rsidRPr="00247126">
        <w:fldChar w:fldCharType="end"/>
      </w:r>
      <w:r w:rsidR="00E7367B" w:rsidRPr="00247126">
        <w:t>.</w:t>
      </w:r>
      <w:r w:rsidR="00C10483" w:rsidRPr="00247126">
        <w:t xml:space="preserve"> </w:t>
      </w:r>
      <w:r w:rsidR="00D46B92" w:rsidRPr="00247126">
        <w:t xml:space="preserve">The publications for ILUMIEN IV and OCTIVUS did not provide baseline characteristics nor outcome data for the </w:t>
      </w:r>
      <w:r w:rsidR="00824B3D" w:rsidRPr="00247126">
        <w:t>constituents of the primary endpoint</w:t>
      </w:r>
      <w:r w:rsidR="00D46B92" w:rsidRPr="00247126">
        <w:t xml:space="preserve"> for the subpopulations of interest. </w:t>
      </w:r>
      <w:r w:rsidR="00CE5A49" w:rsidRPr="00247126">
        <w:t>The ADAR presented a</w:t>
      </w:r>
      <w:r w:rsidR="00D46B92" w:rsidRPr="00247126">
        <w:t>dditional post hoc</w:t>
      </w:r>
      <w:r w:rsidR="00D46B92" w:rsidRPr="00247126">
        <w:rPr>
          <w:i/>
          <w:iCs/>
        </w:rPr>
        <w:t xml:space="preserve"> </w:t>
      </w:r>
      <w:r w:rsidR="00D46B92" w:rsidRPr="00247126">
        <w:t>analyses provided by the principal investigators (upon request).</w:t>
      </w:r>
    </w:p>
    <w:p w14:paraId="1A5AC0FF" w14:textId="7314CC16" w:rsidR="0086525B" w:rsidRPr="00247126" w:rsidRDefault="0086525B" w:rsidP="0086525B">
      <w:r w:rsidRPr="00247126">
        <w:t xml:space="preserve">The ADAR reported that safety data by subpopulation were only available for bifurcation lesions (OCTOBER). </w:t>
      </w:r>
      <w:r w:rsidR="00B2737A" w:rsidRPr="00247126">
        <w:t>T</w:t>
      </w:r>
      <w:r w:rsidRPr="00247126">
        <w:t>he OCTIVUS post hoc analyses</w:t>
      </w:r>
      <w:r w:rsidR="00E86CC3" w:rsidRPr="00247126">
        <w:t xml:space="preserve"> </w:t>
      </w:r>
      <w:r w:rsidRPr="00247126">
        <w:t>for patients with diffuse long coronary</w:t>
      </w:r>
      <w:r w:rsidR="00EA2088" w:rsidRPr="00247126">
        <w:t xml:space="preserve"> </w:t>
      </w:r>
      <w:r w:rsidRPr="00247126">
        <w:t xml:space="preserve">artery lesions included data on procedural complications requiring active intervention. </w:t>
      </w:r>
      <w:r w:rsidR="00E86CC3" w:rsidRPr="00247126">
        <w:t>Safety data from the intention-to-treat (ITT) population of ILUMIEN IV and OCTIVUS were presented in lieu of data for the remaining subpopulations.</w:t>
      </w:r>
    </w:p>
    <w:p w14:paraId="69015E19" w14:textId="6ED0D6C2" w:rsidR="0086525B" w:rsidRPr="00247126" w:rsidRDefault="0086525B" w:rsidP="000000DF">
      <w:r w:rsidRPr="00247126">
        <w:t xml:space="preserve">While the ADAR assumed that safety outcomes </w:t>
      </w:r>
      <w:r w:rsidR="00B5779E" w:rsidRPr="00247126">
        <w:t xml:space="preserve">would </w:t>
      </w:r>
      <w:r w:rsidRPr="00247126">
        <w:t>unlikely</w:t>
      </w:r>
      <w:r w:rsidRPr="00247126" w:rsidDel="00B5779E">
        <w:t xml:space="preserve"> </w:t>
      </w:r>
      <w:r w:rsidRPr="00247126">
        <w:t xml:space="preserve">be different between the subgroups and the ITT population, the commentary noted that this assumption may not be </w:t>
      </w:r>
      <w:r w:rsidRPr="00247126">
        <w:lastRenderedPageBreak/>
        <w:t xml:space="preserve">justified for all subpopulations. For example, the </w:t>
      </w:r>
      <w:r w:rsidR="0094349E" w:rsidRPr="00247126">
        <w:t xml:space="preserve">baseline characteristics of the </w:t>
      </w:r>
      <w:r w:rsidRPr="00247126">
        <w:t xml:space="preserve">stent failure subgroup in the ILUMIEN IV trial </w:t>
      </w:r>
      <w:r w:rsidR="0094349E" w:rsidRPr="00247126">
        <w:t>suggest</w:t>
      </w:r>
      <w:r w:rsidR="0082775F" w:rsidRPr="00247126">
        <w:t>ed</w:t>
      </w:r>
      <w:r w:rsidR="0094349E" w:rsidRPr="00247126">
        <w:t xml:space="preserve"> t</w:t>
      </w:r>
      <w:r w:rsidRPr="00247126">
        <w:t>hese patients may be at higher risk of adverse events</w:t>
      </w:r>
      <w:r w:rsidR="0094349E" w:rsidRPr="00247126">
        <w:t>.</w:t>
      </w:r>
      <w:r w:rsidRPr="00247126">
        <w:t xml:space="preserve"> </w:t>
      </w:r>
      <w:r w:rsidR="0094349E" w:rsidRPr="00247126">
        <w:t>T</w:t>
      </w:r>
      <w:r w:rsidR="00AD0171" w:rsidRPr="00247126">
        <w:t>he use of</w:t>
      </w:r>
      <w:r w:rsidR="0094349E" w:rsidRPr="00247126">
        <w:t xml:space="preserve"> </w:t>
      </w:r>
      <w:r w:rsidRPr="00247126">
        <w:t>safety data from the ITT population may underestimate these risks.</w:t>
      </w:r>
    </w:p>
    <w:p w14:paraId="4BDAD59A" w14:textId="7248DE09" w:rsidR="00007C0D" w:rsidRPr="00247126" w:rsidRDefault="00007C0D" w:rsidP="00007C0D">
      <w:pPr>
        <w:pStyle w:val="Caption"/>
      </w:pPr>
      <w:bookmarkStart w:id="13" w:name="_Ref163119724"/>
      <w:r w:rsidRPr="00247126">
        <w:t xml:space="preserve">Table </w:t>
      </w:r>
      <w:r w:rsidRPr="00247126">
        <w:fldChar w:fldCharType="begin"/>
      </w:r>
      <w:r w:rsidRPr="00247126">
        <w:instrText xml:space="preserve"> SEQ Table \* ARABIC </w:instrText>
      </w:r>
      <w:r w:rsidRPr="00247126">
        <w:fldChar w:fldCharType="separate"/>
      </w:r>
      <w:r w:rsidR="00151E03" w:rsidRPr="00247126">
        <w:rPr>
          <w:noProof/>
        </w:rPr>
        <w:t>4</w:t>
      </w:r>
      <w:r w:rsidRPr="00247126">
        <w:rPr>
          <w:noProof/>
        </w:rPr>
        <w:fldChar w:fldCharType="end"/>
      </w:r>
      <w:bookmarkEnd w:id="13"/>
      <w:r w:rsidRPr="00247126">
        <w:tab/>
      </w:r>
      <w:r w:rsidR="009C0B58" w:rsidRPr="00247126">
        <w:t>Evidence matrix</w:t>
      </w:r>
    </w:p>
    <w:tbl>
      <w:tblPr>
        <w:tblStyle w:val="TableGrid"/>
        <w:tblW w:w="9055" w:type="dxa"/>
        <w:tblLook w:val="04A0" w:firstRow="1" w:lastRow="0" w:firstColumn="1" w:lastColumn="0" w:noHBand="0" w:noVBand="1"/>
        <w:tblCaption w:val="Evidence matrix"/>
        <w:tblDescription w:val="This table summarises the efficacy and safety evidence that was used in the ADAR for each subpopulation and comparison, as well as the clinical claims for each subpopulation and comparison. "/>
      </w:tblPr>
      <w:tblGrid>
        <w:gridCol w:w="1555"/>
        <w:gridCol w:w="1143"/>
        <w:gridCol w:w="274"/>
        <w:gridCol w:w="1785"/>
        <w:gridCol w:w="1617"/>
        <w:gridCol w:w="1276"/>
        <w:gridCol w:w="1405"/>
      </w:tblGrid>
      <w:tr w:rsidR="00596F68" w:rsidRPr="00247126" w14:paraId="08A748C2" w14:textId="77777777" w:rsidTr="00EB4345">
        <w:trPr>
          <w:trHeight w:val="300"/>
          <w:tblHeader/>
        </w:trPr>
        <w:tc>
          <w:tcPr>
            <w:tcW w:w="1555" w:type="dxa"/>
            <w:tcMar>
              <w:left w:w="85" w:type="dxa"/>
            </w:tcMar>
          </w:tcPr>
          <w:p w14:paraId="6EEC2F91" w14:textId="77A99872" w:rsidR="00A03CCD" w:rsidRPr="00247126" w:rsidRDefault="00A03CCD" w:rsidP="00A56CB0">
            <w:pPr>
              <w:pStyle w:val="TableHeading0"/>
              <w:keepNext/>
            </w:pPr>
            <w:r w:rsidRPr="00247126">
              <w:t xml:space="preserve">Trial </w:t>
            </w:r>
          </w:p>
        </w:tc>
        <w:tc>
          <w:tcPr>
            <w:tcW w:w="1417" w:type="dxa"/>
            <w:gridSpan w:val="2"/>
            <w:tcMar>
              <w:left w:w="85" w:type="dxa"/>
            </w:tcMar>
          </w:tcPr>
          <w:p w14:paraId="75E9D1C5" w14:textId="1B486756" w:rsidR="00A03CCD" w:rsidRPr="00247126" w:rsidRDefault="00A03CCD" w:rsidP="00A56CB0">
            <w:pPr>
              <w:pStyle w:val="TableHeading0"/>
              <w:keepNext/>
              <w:jc w:val="center"/>
            </w:pPr>
            <w:r w:rsidRPr="00247126">
              <w:t>Bifurcation</w:t>
            </w:r>
          </w:p>
        </w:tc>
        <w:tc>
          <w:tcPr>
            <w:tcW w:w="1785" w:type="dxa"/>
            <w:tcMar>
              <w:left w:w="85" w:type="dxa"/>
            </w:tcMar>
          </w:tcPr>
          <w:p w14:paraId="26217BC3" w14:textId="7B34D34D" w:rsidR="00A03CCD" w:rsidRPr="00247126" w:rsidRDefault="00A03CCD" w:rsidP="00A56CB0">
            <w:pPr>
              <w:pStyle w:val="TableHeading0"/>
              <w:keepNext/>
              <w:jc w:val="center"/>
            </w:pPr>
            <w:r w:rsidRPr="00247126">
              <w:t>Severe calcification</w:t>
            </w:r>
          </w:p>
        </w:tc>
        <w:tc>
          <w:tcPr>
            <w:tcW w:w="1617" w:type="dxa"/>
            <w:tcMar>
              <w:left w:w="85" w:type="dxa"/>
            </w:tcMar>
          </w:tcPr>
          <w:p w14:paraId="6D95B1CB" w14:textId="3F2ACEFF" w:rsidR="00A03CCD" w:rsidRPr="00247126" w:rsidRDefault="00A03CCD" w:rsidP="00A56CB0">
            <w:pPr>
              <w:pStyle w:val="TableHeading0"/>
              <w:keepNext/>
              <w:jc w:val="center"/>
            </w:pPr>
            <w:r w:rsidRPr="00247126">
              <w:t>Stent failure</w:t>
            </w:r>
          </w:p>
        </w:tc>
        <w:tc>
          <w:tcPr>
            <w:tcW w:w="1276" w:type="dxa"/>
            <w:tcBorders>
              <w:right w:val="nil"/>
            </w:tcBorders>
            <w:tcMar>
              <w:left w:w="85" w:type="dxa"/>
              <w:right w:w="28" w:type="dxa"/>
            </w:tcMar>
          </w:tcPr>
          <w:p w14:paraId="22D29D4D" w14:textId="3F3D91B6" w:rsidR="00A03CCD" w:rsidRPr="00247126" w:rsidRDefault="00A03CCD" w:rsidP="00A56CB0">
            <w:pPr>
              <w:pStyle w:val="TableHeading0"/>
              <w:keepNext/>
              <w:jc w:val="right"/>
            </w:pPr>
            <w:r w:rsidRPr="00247126">
              <w:t>Long</w:t>
            </w:r>
          </w:p>
        </w:tc>
        <w:tc>
          <w:tcPr>
            <w:tcW w:w="1405" w:type="dxa"/>
            <w:tcBorders>
              <w:left w:val="nil"/>
            </w:tcBorders>
            <w:tcMar>
              <w:left w:w="28" w:type="dxa"/>
            </w:tcMar>
          </w:tcPr>
          <w:p w14:paraId="04E963D3" w14:textId="5FF15E35" w:rsidR="00A03CCD" w:rsidRPr="00247126" w:rsidRDefault="00560CA2" w:rsidP="00A56CB0">
            <w:pPr>
              <w:pStyle w:val="TableHeading0"/>
              <w:keepNext/>
            </w:pPr>
            <w:r w:rsidRPr="00247126">
              <w:t>lesion</w:t>
            </w:r>
          </w:p>
        </w:tc>
      </w:tr>
      <w:tr w:rsidR="00AC383E" w:rsidRPr="00247126" w14:paraId="6DF8CF47" w14:textId="77777777" w:rsidTr="00AC383E">
        <w:trPr>
          <w:trHeight w:val="300"/>
        </w:trPr>
        <w:tc>
          <w:tcPr>
            <w:tcW w:w="1555" w:type="dxa"/>
            <w:tcBorders>
              <w:bottom w:val="single" w:sz="4" w:space="0" w:color="auto"/>
            </w:tcBorders>
            <w:tcMar>
              <w:left w:w="85" w:type="dxa"/>
            </w:tcMar>
          </w:tcPr>
          <w:p w14:paraId="149EE94F" w14:textId="632859EB" w:rsidR="00A03CCD" w:rsidRPr="00247126" w:rsidRDefault="00A03CCD" w:rsidP="00A56CB0">
            <w:pPr>
              <w:pStyle w:val="TableText"/>
              <w:keepNext/>
            </w:pPr>
            <w:r w:rsidRPr="00247126">
              <w:t>Comparator</w:t>
            </w:r>
          </w:p>
        </w:tc>
        <w:tc>
          <w:tcPr>
            <w:tcW w:w="1417" w:type="dxa"/>
            <w:gridSpan w:val="2"/>
            <w:tcBorders>
              <w:bottom w:val="single" w:sz="4" w:space="0" w:color="auto"/>
            </w:tcBorders>
            <w:tcMar>
              <w:left w:w="85" w:type="dxa"/>
            </w:tcMar>
          </w:tcPr>
          <w:p w14:paraId="2F694355" w14:textId="1E0E75F3" w:rsidR="00A03CCD" w:rsidRPr="00247126" w:rsidRDefault="00A03CCD" w:rsidP="00A56CB0">
            <w:pPr>
              <w:pStyle w:val="TableText"/>
              <w:keepNext/>
              <w:jc w:val="center"/>
            </w:pPr>
            <w:r w:rsidRPr="00247126">
              <w:t>AG alone</w:t>
            </w:r>
          </w:p>
        </w:tc>
        <w:tc>
          <w:tcPr>
            <w:tcW w:w="1785" w:type="dxa"/>
            <w:tcBorders>
              <w:bottom w:val="single" w:sz="4" w:space="0" w:color="auto"/>
            </w:tcBorders>
            <w:tcMar>
              <w:left w:w="85" w:type="dxa"/>
            </w:tcMar>
          </w:tcPr>
          <w:p w14:paraId="7448E03A" w14:textId="2BCF9C22" w:rsidR="00A03CCD" w:rsidRPr="00247126" w:rsidRDefault="00A03CCD" w:rsidP="00A56CB0">
            <w:pPr>
              <w:pStyle w:val="TableText"/>
              <w:keepNext/>
              <w:jc w:val="center"/>
            </w:pPr>
            <w:r w:rsidRPr="00247126">
              <w:t>AG alone</w:t>
            </w:r>
          </w:p>
        </w:tc>
        <w:tc>
          <w:tcPr>
            <w:tcW w:w="1617" w:type="dxa"/>
            <w:tcBorders>
              <w:bottom w:val="single" w:sz="4" w:space="0" w:color="auto"/>
            </w:tcBorders>
            <w:tcMar>
              <w:left w:w="85" w:type="dxa"/>
            </w:tcMar>
          </w:tcPr>
          <w:p w14:paraId="2ACF14CC" w14:textId="56A5884F" w:rsidR="00A03CCD" w:rsidRPr="00247126" w:rsidRDefault="00A03CCD" w:rsidP="00A56CB0">
            <w:pPr>
              <w:pStyle w:val="TableText"/>
              <w:keepNext/>
              <w:jc w:val="center"/>
            </w:pPr>
            <w:r w:rsidRPr="00247126">
              <w:t>AG alone</w:t>
            </w:r>
          </w:p>
        </w:tc>
        <w:tc>
          <w:tcPr>
            <w:tcW w:w="1276" w:type="dxa"/>
            <w:tcBorders>
              <w:bottom w:val="single" w:sz="4" w:space="0" w:color="auto"/>
            </w:tcBorders>
            <w:tcMar>
              <w:left w:w="85" w:type="dxa"/>
            </w:tcMar>
          </w:tcPr>
          <w:p w14:paraId="655D962C" w14:textId="741B7956" w:rsidR="00A03CCD" w:rsidRPr="00247126" w:rsidRDefault="00F4246D" w:rsidP="00A56CB0">
            <w:pPr>
              <w:pStyle w:val="TableText"/>
              <w:keepNext/>
              <w:jc w:val="center"/>
            </w:pPr>
            <w:r w:rsidRPr="00247126">
              <w:t>AG alone</w:t>
            </w:r>
          </w:p>
        </w:tc>
        <w:tc>
          <w:tcPr>
            <w:tcW w:w="1405" w:type="dxa"/>
            <w:tcBorders>
              <w:bottom w:val="single" w:sz="4" w:space="0" w:color="auto"/>
            </w:tcBorders>
            <w:tcMar>
              <w:left w:w="85" w:type="dxa"/>
            </w:tcMar>
          </w:tcPr>
          <w:p w14:paraId="5256FB70" w14:textId="03E8E2DD" w:rsidR="00A03CCD" w:rsidRPr="00247126" w:rsidRDefault="00F4246D" w:rsidP="00A56CB0">
            <w:pPr>
              <w:pStyle w:val="TableText"/>
              <w:keepNext/>
              <w:jc w:val="center"/>
            </w:pPr>
            <w:r w:rsidRPr="00247126">
              <w:t>IVUS + AG</w:t>
            </w:r>
          </w:p>
        </w:tc>
      </w:tr>
      <w:tr w:rsidR="008E51EC" w:rsidRPr="00247126" w14:paraId="4C0B62A8" w14:textId="77777777" w:rsidTr="00EB4345">
        <w:trPr>
          <w:trHeight w:val="300"/>
        </w:trPr>
        <w:tc>
          <w:tcPr>
            <w:tcW w:w="2698" w:type="dxa"/>
            <w:gridSpan w:val="2"/>
            <w:tcBorders>
              <w:right w:val="nil"/>
            </w:tcBorders>
            <w:tcMar>
              <w:left w:w="85" w:type="dxa"/>
            </w:tcMar>
          </w:tcPr>
          <w:p w14:paraId="7D34BD97" w14:textId="5CF57DCA" w:rsidR="00A03CCD" w:rsidRPr="00247126" w:rsidRDefault="00A03CCD" w:rsidP="00A56CB0">
            <w:pPr>
              <w:pStyle w:val="TableHeading0"/>
              <w:keepNext/>
              <w:spacing w:before="60"/>
            </w:pPr>
            <w:r w:rsidRPr="00247126">
              <w:t>Efficacy evidence</w:t>
            </w:r>
          </w:p>
        </w:tc>
        <w:tc>
          <w:tcPr>
            <w:tcW w:w="274" w:type="dxa"/>
            <w:tcBorders>
              <w:left w:val="nil"/>
              <w:right w:val="nil"/>
            </w:tcBorders>
            <w:tcMar>
              <w:left w:w="85" w:type="dxa"/>
            </w:tcMar>
          </w:tcPr>
          <w:p w14:paraId="6B5A5226" w14:textId="77777777" w:rsidR="00A03CCD" w:rsidRPr="00247126" w:rsidRDefault="00A03CCD" w:rsidP="00A56CB0">
            <w:pPr>
              <w:keepNext/>
            </w:pPr>
          </w:p>
        </w:tc>
        <w:tc>
          <w:tcPr>
            <w:tcW w:w="1785" w:type="dxa"/>
            <w:tcBorders>
              <w:left w:val="nil"/>
              <w:right w:val="nil"/>
            </w:tcBorders>
            <w:tcMar>
              <w:left w:w="85" w:type="dxa"/>
            </w:tcMar>
          </w:tcPr>
          <w:p w14:paraId="030E653C" w14:textId="77777777" w:rsidR="00A03CCD" w:rsidRPr="00247126" w:rsidRDefault="00A03CCD" w:rsidP="00A56CB0">
            <w:pPr>
              <w:keepNext/>
            </w:pPr>
          </w:p>
        </w:tc>
        <w:tc>
          <w:tcPr>
            <w:tcW w:w="1617" w:type="dxa"/>
            <w:tcBorders>
              <w:left w:val="nil"/>
              <w:right w:val="nil"/>
            </w:tcBorders>
            <w:tcMar>
              <w:left w:w="85" w:type="dxa"/>
            </w:tcMar>
          </w:tcPr>
          <w:p w14:paraId="5A4E51CA" w14:textId="77777777" w:rsidR="00A03CCD" w:rsidRPr="00247126" w:rsidRDefault="00A03CCD" w:rsidP="00A56CB0">
            <w:pPr>
              <w:keepNext/>
            </w:pPr>
          </w:p>
        </w:tc>
        <w:tc>
          <w:tcPr>
            <w:tcW w:w="1276" w:type="dxa"/>
            <w:tcBorders>
              <w:left w:val="nil"/>
              <w:right w:val="nil"/>
            </w:tcBorders>
            <w:tcMar>
              <w:left w:w="85" w:type="dxa"/>
            </w:tcMar>
          </w:tcPr>
          <w:p w14:paraId="09A4858F" w14:textId="77777777" w:rsidR="00A03CCD" w:rsidRPr="00247126" w:rsidRDefault="00A03CCD" w:rsidP="00A56CB0">
            <w:pPr>
              <w:keepNext/>
            </w:pPr>
          </w:p>
        </w:tc>
        <w:tc>
          <w:tcPr>
            <w:tcW w:w="1405" w:type="dxa"/>
            <w:tcBorders>
              <w:left w:val="nil"/>
            </w:tcBorders>
            <w:tcMar>
              <w:left w:w="85" w:type="dxa"/>
            </w:tcMar>
          </w:tcPr>
          <w:p w14:paraId="07A47AE5" w14:textId="77777777" w:rsidR="00A03CCD" w:rsidRPr="00247126" w:rsidRDefault="00A03CCD" w:rsidP="00A56CB0">
            <w:pPr>
              <w:keepNext/>
            </w:pPr>
          </w:p>
        </w:tc>
      </w:tr>
      <w:tr w:rsidR="00AC383E" w:rsidRPr="00247126" w14:paraId="3F89F980" w14:textId="77777777" w:rsidTr="00AC383E">
        <w:trPr>
          <w:trHeight w:val="300"/>
        </w:trPr>
        <w:tc>
          <w:tcPr>
            <w:tcW w:w="1555" w:type="dxa"/>
            <w:tcMar>
              <w:left w:w="85" w:type="dxa"/>
            </w:tcMar>
          </w:tcPr>
          <w:p w14:paraId="6BD49B19" w14:textId="6961347E" w:rsidR="00A03CCD" w:rsidRPr="00247126" w:rsidRDefault="00A03CCD" w:rsidP="00A56CB0">
            <w:pPr>
              <w:pStyle w:val="TableText"/>
              <w:keepNext/>
            </w:pPr>
            <w:r w:rsidRPr="00247126">
              <w:t>OCTOBER</w:t>
            </w:r>
          </w:p>
        </w:tc>
        <w:tc>
          <w:tcPr>
            <w:tcW w:w="1417" w:type="dxa"/>
            <w:gridSpan w:val="2"/>
            <w:tcMar>
              <w:left w:w="85" w:type="dxa"/>
            </w:tcMar>
          </w:tcPr>
          <w:p w14:paraId="564F06A4" w14:textId="3B71D929" w:rsidR="00A03CCD" w:rsidRPr="00247126" w:rsidRDefault="00A03CCD" w:rsidP="00AC383E">
            <w:pPr>
              <w:pStyle w:val="TableText"/>
              <w:keepNext/>
              <w:jc w:val="center"/>
            </w:pPr>
            <w:r w:rsidRPr="00247126">
              <w:rPr>
                <w:rFonts w:ascii="Segoe UI Symbol" w:hAnsi="Segoe UI Symbol" w:cs="Segoe UI Symbol"/>
                <w:b/>
                <w:color w:val="538135" w:themeColor="accent6" w:themeShade="BF"/>
              </w:rPr>
              <w:t>✓</w:t>
            </w:r>
            <w:r w:rsidRPr="00247126">
              <w:rPr>
                <w:b/>
                <w:bCs/>
              </w:rPr>
              <w:t xml:space="preserve"> </w:t>
            </w:r>
            <w:r w:rsidRPr="00247126">
              <w:t>ITT</w:t>
            </w:r>
            <w:r w:rsidR="00AC383E" w:rsidRPr="00247126">
              <w:br/>
            </w:r>
            <w:r w:rsidRPr="00247126">
              <w:t>n = 1,201</w:t>
            </w:r>
          </w:p>
        </w:tc>
        <w:tc>
          <w:tcPr>
            <w:tcW w:w="1785" w:type="dxa"/>
            <w:tcMar>
              <w:left w:w="85" w:type="dxa"/>
            </w:tcMar>
          </w:tcPr>
          <w:p w14:paraId="30BEA575" w14:textId="523961B6" w:rsidR="00A03CCD" w:rsidRPr="00247126" w:rsidRDefault="00A03CCD" w:rsidP="00A56CB0">
            <w:pPr>
              <w:pStyle w:val="TableText"/>
              <w:keepNext/>
              <w:jc w:val="center"/>
            </w:pPr>
            <w:r w:rsidRPr="00247126">
              <w:rPr>
                <w:rFonts w:ascii="Wingdings" w:eastAsia="Wingdings" w:hAnsi="Wingdings" w:cs="Wingdings"/>
                <w:color w:val="FF0000"/>
              </w:rPr>
              <w:t>û</w:t>
            </w:r>
            <w:r w:rsidRPr="00247126">
              <w:t xml:space="preserve"> No data</w:t>
            </w:r>
          </w:p>
        </w:tc>
        <w:tc>
          <w:tcPr>
            <w:tcW w:w="1617" w:type="dxa"/>
            <w:tcMar>
              <w:left w:w="85" w:type="dxa"/>
            </w:tcMar>
          </w:tcPr>
          <w:p w14:paraId="1CDE5837" w14:textId="7E470A25"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276" w:type="dxa"/>
            <w:tcMar>
              <w:left w:w="85" w:type="dxa"/>
            </w:tcMar>
          </w:tcPr>
          <w:p w14:paraId="18EB003D" w14:textId="3E65336F"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405" w:type="dxa"/>
            <w:tcMar>
              <w:left w:w="85" w:type="dxa"/>
            </w:tcMar>
          </w:tcPr>
          <w:p w14:paraId="0A74D7DD" w14:textId="12F1BA9A"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r>
      <w:tr w:rsidR="00AC383E" w:rsidRPr="00247126" w14:paraId="15399B68" w14:textId="77777777" w:rsidTr="00AC383E">
        <w:trPr>
          <w:trHeight w:val="300"/>
        </w:trPr>
        <w:tc>
          <w:tcPr>
            <w:tcW w:w="1555" w:type="dxa"/>
            <w:tcMar>
              <w:left w:w="85" w:type="dxa"/>
            </w:tcMar>
          </w:tcPr>
          <w:p w14:paraId="2B357087" w14:textId="4CF1932B" w:rsidR="00A03CCD" w:rsidRPr="00247126" w:rsidRDefault="00A03CCD" w:rsidP="00A56CB0">
            <w:pPr>
              <w:pStyle w:val="TableText"/>
              <w:keepNext/>
            </w:pPr>
            <w:r w:rsidRPr="00247126">
              <w:t>ILUMIEN IV</w:t>
            </w:r>
          </w:p>
        </w:tc>
        <w:tc>
          <w:tcPr>
            <w:tcW w:w="1417" w:type="dxa"/>
            <w:gridSpan w:val="2"/>
            <w:tcMar>
              <w:left w:w="85" w:type="dxa"/>
            </w:tcMar>
          </w:tcPr>
          <w:p w14:paraId="3C2ABA65" w14:textId="3F62FD62" w:rsidR="00A03CCD" w:rsidRPr="00247126" w:rsidRDefault="00200258"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00A03CCD" w:rsidRPr="00247126">
              <w:t>post</w:t>
            </w:r>
            <w:r w:rsidR="00085B2F" w:rsidRPr="00247126">
              <w:t xml:space="preserve"> </w:t>
            </w:r>
            <w:r w:rsidR="00A03CCD" w:rsidRPr="00247126">
              <w:t>hoc subgroup</w:t>
            </w:r>
            <w:r w:rsidR="00AC383E" w:rsidRPr="00247126">
              <w:br/>
            </w:r>
            <w:r w:rsidR="00A03CCD" w:rsidRPr="00247126">
              <w:t>n = 83</w:t>
            </w:r>
          </w:p>
        </w:tc>
        <w:tc>
          <w:tcPr>
            <w:tcW w:w="1785" w:type="dxa"/>
            <w:tcMar>
              <w:left w:w="85" w:type="dxa"/>
            </w:tcMar>
          </w:tcPr>
          <w:p w14:paraId="4E3D75E1" w14:textId="337CAE3C" w:rsidR="00A03CCD" w:rsidRPr="00247126" w:rsidRDefault="00200258"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00A03CCD" w:rsidRPr="00247126">
              <w:t>post</w:t>
            </w:r>
            <w:r w:rsidR="00085B2F" w:rsidRPr="00247126">
              <w:t xml:space="preserve"> </w:t>
            </w:r>
            <w:r w:rsidR="00A03CCD" w:rsidRPr="00247126">
              <w:t xml:space="preserve">hoc </w:t>
            </w:r>
            <w:r w:rsidR="00A03CCD" w:rsidRPr="00247126">
              <w:br/>
              <w:t>subgroup</w:t>
            </w:r>
            <w:r w:rsidR="00AC383E" w:rsidRPr="00247126">
              <w:br/>
            </w:r>
            <w:r w:rsidR="00A03CCD" w:rsidRPr="00247126">
              <w:t>n = 286</w:t>
            </w:r>
          </w:p>
        </w:tc>
        <w:tc>
          <w:tcPr>
            <w:tcW w:w="1617" w:type="dxa"/>
            <w:tcMar>
              <w:left w:w="85" w:type="dxa"/>
            </w:tcMar>
          </w:tcPr>
          <w:p w14:paraId="26E013A1" w14:textId="68B283FF" w:rsidR="00A03CCD" w:rsidRPr="00247126" w:rsidRDefault="00200258"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00A03CCD" w:rsidRPr="00247126">
              <w:t>post</w:t>
            </w:r>
            <w:r w:rsidR="00085B2F" w:rsidRPr="00247126">
              <w:t xml:space="preserve"> </w:t>
            </w:r>
            <w:r w:rsidR="00A03CCD" w:rsidRPr="00247126">
              <w:t>hoc subgroup</w:t>
            </w:r>
            <w:r w:rsidR="00AC383E" w:rsidRPr="00247126">
              <w:br/>
            </w:r>
            <w:r w:rsidR="00A03CCD" w:rsidRPr="00247126">
              <w:t xml:space="preserve">n = 268 </w:t>
            </w:r>
            <w:r w:rsidR="00A03CCD" w:rsidRPr="00247126">
              <w:br/>
              <w:t>(re-stenosis only)</w:t>
            </w:r>
          </w:p>
        </w:tc>
        <w:tc>
          <w:tcPr>
            <w:tcW w:w="1276" w:type="dxa"/>
            <w:tcMar>
              <w:left w:w="85" w:type="dxa"/>
            </w:tcMar>
          </w:tcPr>
          <w:p w14:paraId="7D5DC7A0" w14:textId="588C224A" w:rsidR="00A03CCD" w:rsidRPr="00247126" w:rsidRDefault="00F4246D"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Pr="00247126">
              <w:t>post hoc subgroup</w:t>
            </w:r>
            <w:r w:rsidR="00AC383E" w:rsidRPr="00247126">
              <w:br/>
            </w:r>
            <w:r w:rsidRPr="00247126">
              <w:t>n = 1,677</w:t>
            </w:r>
          </w:p>
        </w:tc>
        <w:tc>
          <w:tcPr>
            <w:tcW w:w="1405" w:type="dxa"/>
            <w:tcMar>
              <w:left w:w="85" w:type="dxa"/>
            </w:tcMar>
          </w:tcPr>
          <w:p w14:paraId="11C0318D" w14:textId="076223B0" w:rsidR="00A03CCD" w:rsidRPr="00247126" w:rsidRDefault="00F4246D" w:rsidP="00A56CB0">
            <w:pPr>
              <w:pStyle w:val="TableText"/>
              <w:keepNext/>
              <w:jc w:val="center"/>
            </w:pPr>
            <w:r w:rsidRPr="00247126">
              <w:rPr>
                <w:rFonts w:ascii="Wingdings" w:eastAsia="Wingdings" w:hAnsi="Wingdings" w:cs="Wingdings"/>
                <w:color w:val="FF0000"/>
              </w:rPr>
              <w:t>û</w:t>
            </w:r>
            <w:r w:rsidRPr="00247126">
              <w:t xml:space="preserve"> No data</w:t>
            </w:r>
          </w:p>
        </w:tc>
      </w:tr>
      <w:tr w:rsidR="00AC383E" w:rsidRPr="00247126" w14:paraId="2C0139F9" w14:textId="77777777" w:rsidTr="00AC383E">
        <w:trPr>
          <w:trHeight w:val="300"/>
        </w:trPr>
        <w:tc>
          <w:tcPr>
            <w:tcW w:w="1555" w:type="dxa"/>
            <w:tcBorders>
              <w:bottom w:val="single" w:sz="4" w:space="0" w:color="auto"/>
            </w:tcBorders>
            <w:tcMar>
              <w:left w:w="85" w:type="dxa"/>
            </w:tcMar>
          </w:tcPr>
          <w:p w14:paraId="5E0BAC90" w14:textId="483D9CFB" w:rsidR="00A03CCD" w:rsidRPr="00247126" w:rsidRDefault="00A03CCD" w:rsidP="00A56CB0">
            <w:pPr>
              <w:pStyle w:val="TableText"/>
              <w:keepNext/>
            </w:pPr>
            <w:r w:rsidRPr="00247126">
              <w:t xml:space="preserve">OCTIVUS </w:t>
            </w:r>
          </w:p>
        </w:tc>
        <w:tc>
          <w:tcPr>
            <w:tcW w:w="1417" w:type="dxa"/>
            <w:gridSpan w:val="2"/>
            <w:tcBorders>
              <w:bottom w:val="single" w:sz="4" w:space="0" w:color="auto"/>
            </w:tcBorders>
            <w:tcMar>
              <w:left w:w="85" w:type="dxa"/>
            </w:tcMar>
          </w:tcPr>
          <w:p w14:paraId="00E7EA9B" w14:textId="264AD1D2"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785" w:type="dxa"/>
            <w:tcBorders>
              <w:bottom w:val="single" w:sz="4" w:space="0" w:color="auto"/>
            </w:tcBorders>
            <w:tcMar>
              <w:left w:w="85" w:type="dxa"/>
            </w:tcMar>
          </w:tcPr>
          <w:p w14:paraId="5C1FEB10" w14:textId="2C0A6DFF"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617" w:type="dxa"/>
            <w:tcBorders>
              <w:bottom w:val="single" w:sz="4" w:space="0" w:color="auto"/>
            </w:tcBorders>
            <w:tcMar>
              <w:left w:w="85" w:type="dxa"/>
            </w:tcMar>
          </w:tcPr>
          <w:p w14:paraId="4F89ABD7" w14:textId="6E4495DC"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276" w:type="dxa"/>
            <w:tcBorders>
              <w:bottom w:val="single" w:sz="4" w:space="0" w:color="auto"/>
            </w:tcBorders>
            <w:tcMar>
              <w:left w:w="85" w:type="dxa"/>
            </w:tcMar>
          </w:tcPr>
          <w:p w14:paraId="6F92330A" w14:textId="586E1CBC" w:rsidR="00A03CCD" w:rsidRPr="00247126" w:rsidRDefault="00F4246D" w:rsidP="00A56CB0">
            <w:pPr>
              <w:pStyle w:val="TableText"/>
              <w:keepNext/>
              <w:jc w:val="center"/>
            </w:pPr>
            <w:r w:rsidRPr="00247126">
              <w:rPr>
                <w:rFonts w:ascii="Wingdings" w:eastAsia="Wingdings" w:hAnsi="Wingdings" w:cs="Wingdings"/>
                <w:color w:val="FF0000"/>
              </w:rPr>
              <w:t>û</w:t>
            </w:r>
            <w:r w:rsidRPr="00247126">
              <w:t xml:space="preserve"> No data</w:t>
            </w:r>
          </w:p>
        </w:tc>
        <w:tc>
          <w:tcPr>
            <w:tcW w:w="1405" w:type="dxa"/>
            <w:tcBorders>
              <w:bottom w:val="single" w:sz="4" w:space="0" w:color="auto"/>
            </w:tcBorders>
            <w:tcMar>
              <w:left w:w="85" w:type="dxa"/>
            </w:tcMar>
          </w:tcPr>
          <w:p w14:paraId="56BD01F7" w14:textId="614DC464" w:rsidR="00A03CCD" w:rsidRPr="00247126" w:rsidRDefault="00F4246D"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Pr="00247126">
              <w:t>post hoc subgroup</w:t>
            </w:r>
            <w:r w:rsidR="00AC383E" w:rsidRPr="00247126">
              <w:br/>
            </w:r>
            <w:r w:rsidRPr="00247126">
              <w:t>n = 1,169</w:t>
            </w:r>
          </w:p>
        </w:tc>
      </w:tr>
      <w:tr w:rsidR="008E51EC" w:rsidRPr="00247126" w14:paraId="299FA200" w14:textId="77777777" w:rsidTr="00EB4345">
        <w:trPr>
          <w:trHeight w:val="300"/>
        </w:trPr>
        <w:tc>
          <w:tcPr>
            <w:tcW w:w="2698" w:type="dxa"/>
            <w:gridSpan w:val="2"/>
            <w:tcBorders>
              <w:right w:val="nil"/>
            </w:tcBorders>
            <w:tcMar>
              <w:left w:w="85" w:type="dxa"/>
            </w:tcMar>
          </w:tcPr>
          <w:p w14:paraId="4619C5BF" w14:textId="67643157" w:rsidR="00A03CCD" w:rsidRPr="00247126" w:rsidRDefault="00A03CCD" w:rsidP="00A56CB0">
            <w:pPr>
              <w:pStyle w:val="TableHeading0"/>
              <w:keepNext/>
              <w:spacing w:before="60"/>
            </w:pPr>
            <w:r w:rsidRPr="00247126">
              <w:t>Safety evidence</w:t>
            </w:r>
          </w:p>
        </w:tc>
        <w:tc>
          <w:tcPr>
            <w:tcW w:w="2059" w:type="dxa"/>
            <w:gridSpan w:val="2"/>
            <w:tcBorders>
              <w:left w:val="nil"/>
              <w:right w:val="nil"/>
            </w:tcBorders>
            <w:tcMar>
              <w:left w:w="85" w:type="dxa"/>
            </w:tcMar>
          </w:tcPr>
          <w:p w14:paraId="2BE8EED5" w14:textId="77777777" w:rsidR="00A03CCD" w:rsidRPr="00247126" w:rsidRDefault="00A03CCD" w:rsidP="00A56CB0">
            <w:pPr>
              <w:keepNext/>
            </w:pPr>
          </w:p>
        </w:tc>
        <w:tc>
          <w:tcPr>
            <w:tcW w:w="1617" w:type="dxa"/>
            <w:tcBorders>
              <w:left w:val="nil"/>
              <w:right w:val="nil"/>
            </w:tcBorders>
            <w:tcMar>
              <w:left w:w="85" w:type="dxa"/>
            </w:tcMar>
          </w:tcPr>
          <w:p w14:paraId="221F22F1" w14:textId="77777777" w:rsidR="00A03CCD" w:rsidRPr="00247126" w:rsidRDefault="00A03CCD" w:rsidP="00A56CB0">
            <w:pPr>
              <w:keepNext/>
            </w:pPr>
          </w:p>
        </w:tc>
        <w:tc>
          <w:tcPr>
            <w:tcW w:w="1276" w:type="dxa"/>
            <w:tcBorders>
              <w:left w:val="nil"/>
              <w:right w:val="nil"/>
            </w:tcBorders>
            <w:tcMar>
              <w:left w:w="85" w:type="dxa"/>
            </w:tcMar>
          </w:tcPr>
          <w:p w14:paraId="1F8C4EEB" w14:textId="77777777" w:rsidR="00A03CCD" w:rsidRPr="00247126" w:rsidRDefault="00A03CCD" w:rsidP="00A56CB0">
            <w:pPr>
              <w:keepNext/>
            </w:pPr>
          </w:p>
        </w:tc>
        <w:tc>
          <w:tcPr>
            <w:tcW w:w="1405" w:type="dxa"/>
            <w:tcBorders>
              <w:left w:val="nil"/>
            </w:tcBorders>
            <w:tcMar>
              <w:left w:w="85" w:type="dxa"/>
            </w:tcMar>
          </w:tcPr>
          <w:p w14:paraId="64BC5F44" w14:textId="77777777" w:rsidR="00A03CCD" w:rsidRPr="00247126" w:rsidRDefault="00A03CCD" w:rsidP="00A56CB0">
            <w:pPr>
              <w:keepNext/>
            </w:pPr>
          </w:p>
        </w:tc>
      </w:tr>
      <w:tr w:rsidR="00AC383E" w:rsidRPr="00247126" w14:paraId="7EBA9955" w14:textId="77777777" w:rsidTr="00AC383E">
        <w:trPr>
          <w:trHeight w:val="300"/>
        </w:trPr>
        <w:tc>
          <w:tcPr>
            <w:tcW w:w="1555" w:type="dxa"/>
            <w:tcMar>
              <w:left w:w="85" w:type="dxa"/>
            </w:tcMar>
          </w:tcPr>
          <w:p w14:paraId="6C169BDC" w14:textId="7F79A4D6" w:rsidR="00A03CCD" w:rsidRPr="00247126" w:rsidRDefault="00A03CCD" w:rsidP="00A56CB0">
            <w:pPr>
              <w:pStyle w:val="TableText"/>
              <w:keepNext/>
            </w:pPr>
            <w:r w:rsidRPr="00247126">
              <w:t>OCTOBER</w:t>
            </w:r>
          </w:p>
        </w:tc>
        <w:tc>
          <w:tcPr>
            <w:tcW w:w="1417" w:type="dxa"/>
            <w:gridSpan w:val="2"/>
            <w:tcMar>
              <w:left w:w="85" w:type="dxa"/>
            </w:tcMar>
          </w:tcPr>
          <w:p w14:paraId="3A663A2A" w14:textId="103311BF" w:rsidR="00A03CCD" w:rsidRPr="00247126" w:rsidRDefault="00200258"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00A03CCD" w:rsidRPr="00247126">
              <w:t>ITT</w:t>
            </w:r>
            <w:r w:rsidR="00AC383E" w:rsidRPr="00247126">
              <w:br/>
            </w:r>
            <w:r w:rsidR="00A03CCD" w:rsidRPr="00247126">
              <w:t>n = 1,201</w:t>
            </w:r>
          </w:p>
        </w:tc>
        <w:tc>
          <w:tcPr>
            <w:tcW w:w="1785" w:type="dxa"/>
            <w:tcMar>
              <w:left w:w="85" w:type="dxa"/>
            </w:tcMar>
          </w:tcPr>
          <w:p w14:paraId="7ED21ED1" w14:textId="5DA514C6"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617" w:type="dxa"/>
            <w:tcMar>
              <w:left w:w="85" w:type="dxa"/>
            </w:tcMar>
          </w:tcPr>
          <w:p w14:paraId="5DF535A7" w14:textId="157A3860"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276" w:type="dxa"/>
            <w:tcMar>
              <w:left w:w="85" w:type="dxa"/>
            </w:tcMar>
          </w:tcPr>
          <w:p w14:paraId="23184014" w14:textId="46AF2394"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405" w:type="dxa"/>
            <w:tcMar>
              <w:left w:w="85" w:type="dxa"/>
            </w:tcMar>
          </w:tcPr>
          <w:p w14:paraId="745F1521" w14:textId="7A3FBCB7"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r>
      <w:tr w:rsidR="00AC383E" w:rsidRPr="00247126" w14:paraId="22D5CA43" w14:textId="77777777" w:rsidTr="00AC383E">
        <w:trPr>
          <w:trHeight w:val="300"/>
        </w:trPr>
        <w:tc>
          <w:tcPr>
            <w:tcW w:w="1555" w:type="dxa"/>
            <w:tcMar>
              <w:left w:w="85" w:type="dxa"/>
            </w:tcMar>
          </w:tcPr>
          <w:p w14:paraId="5DA0273F" w14:textId="14845E28" w:rsidR="00A03CCD" w:rsidRPr="00247126" w:rsidRDefault="00A03CCD" w:rsidP="00A56CB0">
            <w:pPr>
              <w:pStyle w:val="TableText"/>
              <w:keepNext/>
            </w:pPr>
            <w:r w:rsidRPr="00247126">
              <w:t>ILUMIEN IV</w:t>
            </w:r>
          </w:p>
        </w:tc>
        <w:tc>
          <w:tcPr>
            <w:tcW w:w="1417" w:type="dxa"/>
            <w:gridSpan w:val="2"/>
            <w:tcMar>
              <w:left w:w="85" w:type="dxa"/>
            </w:tcMar>
          </w:tcPr>
          <w:p w14:paraId="640E7413" w14:textId="1E5BFDFA"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785" w:type="dxa"/>
            <w:tcMar>
              <w:left w:w="85" w:type="dxa"/>
            </w:tcMar>
          </w:tcPr>
          <w:p w14:paraId="1987F517" w14:textId="381EC723" w:rsidR="00A03CCD" w:rsidRPr="00247126" w:rsidRDefault="00200258"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00A03CCD" w:rsidRPr="00247126">
              <w:t>ITT</w:t>
            </w:r>
            <w:r w:rsidR="00AC383E" w:rsidRPr="00247126">
              <w:br/>
            </w:r>
            <w:r w:rsidR="00A03CCD" w:rsidRPr="00247126">
              <w:t>n = 2,487</w:t>
            </w:r>
          </w:p>
        </w:tc>
        <w:tc>
          <w:tcPr>
            <w:tcW w:w="1617" w:type="dxa"/>
            <w:tcMar>
              <w:left w:w="85" w:type="dxa"/>
            </w:tcMar>
          </w:tcPr>
          <w:p w14:paraId="0FD23452" w14:textId="06FAB29E" w:rsidR="00A03CCD" w:rsidRPr="00247126" w:rsidRDefault="00200258"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00A03CCD" w:rsidRPr="00247126">
              <w:t>ITT</w:t>
            </w:r>
            <w:r w:rsidR="00AC383E" w:rsidRPr="00247126">
              <w:br/>
            </w:r>
            <w:r w:rsidR="00A03CCD" w:rsidRPr="00247126">
              <w:t>n = 2,487</w:t>
            </w:r>
          </w:p>
        </w:tc>
        <w:tc>
          <w:tcPr>
            <w:tcW w:w="1276" w:type="dxa"/>
            <w:tcMar>
              <w:left w:w="85" w:type="dxa"/>
            </w:tcMar>
          </w:tcPr>
          <w:p w14:paraId="0E2DF3C7" w14:textId="422DDBF5" w:rsidR="00A03CCD" w:rsidRPr="00247126" w:rsidRDefault="00D96FC2"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Pr="00247126">
              <w:t>ITT</w:t>
            </w:r>
            <w:r w:rsidR="00AC383E" w:rsidRPr="00247126">
              <w:br/>
            </w:r>
            <w:r w:rsidRPr="00247126">
              <w:t>n = 2,487</w:t>
            </w:r>
          </w:p>
        </w:tc>
        <w:tc>
          <w:tcPr>
            <w:tcW w:w="1405" w:type="dxa"/>
            <w:tcMar>
              <w:left w:w="85" w:type="dxa"/>
            </w:tcMar>
          </w:tcPr>
          <w:p w14:paraId="13EDBF6F" w14:textId="493A88C9" w:rsidR="00A03CCD" w:rsidRPr="00247126" w:rsidRDefault="00D96FC2" w:rsidP="00A56CB0">
            <w:pPr>
              <w:pStyle w:val="TableText"/>
              <w:keepNext/>
              <w:jc w:val="center"/>
            </w:pPr>
            <w:r w:rsidRPr="00247126">
              <w:rPr>
                <w:rFonts w:ascii="Wingdings" w:eastAsia="Wingdings" w:hAnsi="Wingdings" w:cs="Wingdings"/>
                <w:color w:val="FF0000"/>
              </w:rPr>
              <w:t>û</w:t>
            </w:r>
            <w:r w:rsidRPr="00247126">
              <w:t xml:space="preserve"> No data</w:t>
            </w:r>
          </w:p>
        </w:tc>
      </w:tr>
      <w:tr w:rsidR="00AC383E" w:rsidRPr="00247126" w14:paraId="7F94B65F" w14:textId="77777777" w:rsidTr="00AC383E">
        <w:trPr>
          <w:trHeight w:val="300"/>
        </w:trPr>
        <w:tc>
          <w:tcPr>
            <w:tcW w:w="1555" w:type="dxa"/>
            <w:tcBorders>
              <w:bottom w:val="single" w:sz="4" w:space="0" w:color="auto"/>
            </w:tcBorders>
            <w:tcMar>
              <w:left w:w="85" w:type="dxa"/>
            </w:tcMar>
          </w:tcPr>
          <w:p w14:paraId="4385AB0B" w14:textId="4D1EBE4E" w:rsidR="00A03CCD" w:rsidRPr="00247126" w:rsidRDefault="00A03CCD" w:rsidP="00A56CB0">
            <w:pPr>
              <w:pStyle w:val="TableText"/>
              <w:keepNext/>
            </w:pPr>
            <w:r w:rsidRPr="00247126">
              <w:t xml:space="preserve">OCTIVUS </w:t>
            </w:r>
          </w:p>
        </w:tc>
        <w:tc>
          <w:tcPr>
            <w:tcW w:w="1417" w:type="dxa"/>
            <w:gridSpan w:val="2"/>
            <w:tcBorders>
              <w:bottom w:val="single" w:sz="4" w:space="0" w:color="auto"/>
            </w:tcBorders>
            <w:tcMar>
              <w:left w:w="85" w:type="dxa"/>
            </w:tcMar>
          </w:tcPr>
          <w:p w14:paraId="79FFA20E" w14:textId="767563E4"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785" w:type="dxa"/>
            <w:tcBorders>
              <w:bottom w:val="single" w:sz="4" w:space="0" w:color="auto"/>
            </w:tcBorders>
            <w:tcMar>
              <w:left w:w="85" w:type="dxa"/>
            </w:tcMar>
          </w:tcPr>
          <w:p w14:paraId="5EF8E3DA" w14:textId="05B49492"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617" w:type="dxa"/>
            <w:tcBorders>
              <w:bottom w:val="single" w:sz="4" w:space="0" w:color="auto"/>
            </w:tcBorders>
            <w:tcMar>
              <w:left w:w="85" w:type="dxa"/>
            </w:tcMar>
          </w:tcPr>
          <w:p w14:paraId="0D4A0A46" w14:textId="4F80FF76" w:rsidR="00A03CCD" w:rsidRPr="00247126" w:rsidRDefault="00200258" w:rsidP="00A56CB0">
            <w:pPr>
              <w:pStyle w:val="TableText"/>
              <w:keepNext/>
              <w:jc w:val="center"/>
            </w:pPr>
            <w:r w:rsidRPr="00247126">
              <w:rPr>
                <w:rFonts w:ascii="Wingdings" w:eastAsia="Wingdings" w:hAnsi="Wingdings" w:cs="Wingdings"/>
                <w:color w:val="FF0000"/>
              </w:rPr>
              <w:t>û</w:t>
            </w:r>
            <w:r w:rsidR="00A03CCD" w:rsidRPr="00247126">
              <w:t xml:space="preserve"> No data</w:t>
            </w:r>
          </w:p>
        </w:tc>
        <w:tc>
          <w:tcPr>
            <w:tcW w:w="1276" w:type="dxa"/>
            <w:tcBorders>
              <w:bottom w:val="single" w:sz="4" w:space="0" w:color="auto"/>
            </w:tcBorders>
            <w:tcMar>
              <w:left w:w="85" w:type="dxa"/>
            </w:tcMar>
          </w:tcPr>
          <w:p w14:paraId="6C78DE5E" w14:textId="545827D6" w:rsidR="00A03CCD" w:rsidRPr="00247126" w:rsidRDefault="00D96FC2" w:rsidP="00A56CB0">
            <w:pPr>
              <w:pStyle w:val="TableText"/>
              <w:keepNext/>
              <w:jc w:val="center"/>
            </w:pPr>
            <w:r w:rsidRPr="00247126">
              <w:rPr>
                <w:rFonts w:ascii="Wingdings" w:eastAsia="Wingdings" w:hAnsi="Wingdings" w:cs="Wingdings"/>
                <w:color w:val="FF0000"/>
              </w:rPr>
              <w:t>û</w:t>
            </w:r>
            <w:r w:rsidRPr="00247126">
              <w:t xml:space="preserve"> No data</w:t>
            </w:r>
          </w:p>
        </w:tc>
        <w:tc>
          <w:tcPr>
            <w:tcW w:w="1405" w:type="dxa"/>
            <w:tcBorders>
              <w:bottom w:val="single" w:sz="4" w:space="0" w:color="auto"/>
            </w:tcBorders>
            <w:tcMar>
              <w:left w:w="85" w:type="dxa"/>
            </w:tcMar>
          </w:tcPr>
          <w:p w14:paraId="65340DDF" w14:textId="75D09FDB" w:rsidR="00A03CCD" w:rsidRPr="00247126" w:rsidRDefault="00D96FC2" w:rsidP="00A56CB0">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Pr="00247126">
              <w:t>ITT</w:t>
            </w:r>
            <w:r w:rsidR="00AC383E" w:rsidRPr="00247126">
              <w:br/>
            </w:r>
            <w:r w:rsidRPr="00247126">
              <w:t>n =2,008</w:t>
            </w:r>
          </w:p>
          <w:p w14:paraId="73F7AC2A" w14:textId="031F41DF" w:rsidR="000D102E" w:rsidRPr="00247126" w:rsidRDefault="000D102E" w:rsidP="00AC383E">
            <w:pPr>
              <w:pStyle w:val="TableText"/>
              <w:keepNext/>
              <w:jc w:val="center"/>
            </w:pPr>
            <w:r w:rsidRPr="00247126">
              <w:rPr>
                <w:rFonts w:ascii="Segoe UI Symbol" w:hAnsi="Segoe UI Symbol" w:cs="Segoe UI Symbol"/>
                <w:b/>
                <w:color w:val="538135" w:themeColor="accent6" w:themeShade="BF"/>
              </w:rPr>
              <w:t>✓</w:t>
            </w:r>
            <w:r w:rsidR="007B1488" w:rsidRPr="00247126">
              <w:rPr>
                <w:rFonts w:ascii="Segoe UI Symbol" w:hAnsi="Segoe UI Symbol" w:cs="Segoe UI Symbol"/>
                <w:b/>
                <w:bCs/>
                <w:color w:val="538135" w:themeColor="accent6" w:themeShade="BF"/>
              </w:rPr>
              <w:t xml:space="preserve"> </w:t>
            </w:r>
            <w:r w:rsidRPr="00247126">
              <w:t>post hoc subgroup</w:t>
            </w:r>
            <w:r w:rsidR="00AC383E" w:rsidRPr="00247126">
              <w:br/>
            </w:r>
            <w:r w:rsidRPr="00247126">
              <w:t>n = 1,169</w:t>
            </w:r>
          </w:p>
        </w:tc>
      </w:tr>
      <w:tr w:rsidR="00AC383E" w:rsidRPr="00247126" w14:paraId="2EA74069" w14:textId="77777777" w:rsidTr="00AC383E">
        <w:trPr>
          <w:trHeight w:val="300"/>
        </w:trPr>
        <w:tc>
          <w:tcPr>
            <w:tcW w:w="1555" w:type="dxa"/>
            <w:tcBorders>
              <w:right w:val="nil"/>
            </w:tcBorders>
            <w:tcMar>
              <w:left w:w="85" w:type="dxa"/>
            </w:tcMar>
          </w:tcPr>
          <w:p w14:paraId="337D5E92" w14:textId="13DF92AF" w:rsidR="00A03CCD" w:rsidRPr="00247126" w:rsidRDefault="00A03CCD" w:rsidP="00A56CB0">
            <w:pPr>
              <w:pStyle w:val="TableHeading0"/>
              <w:keepNext/>
              <w:spacing w:before="60"/>
            </w:pPr>
            <w:r w:rsidRPr="00247126">
              <w:t>Clinical claims</w:t>
            </w:r>
          </w:p>
        </w:tc>
        <w:tc>
          <w:tcPr>
            <w:tcW w:w="1417" w:type="dxa"/>
            <w:gridSpan w:val="2"/>
            <w:tcBorders>
              <w:left w:val="nil"/>
              <w:right w:val="nil"/>
            </w:tcBorders>
            <w:tcMar>
              <w:left w:w="85" w:type="dxa"/>
            </w:tcMar>
          </w:tcPr>
          <w:p w14:paraId="6BA1D902" w14:textId="77777777" w:rsidR="00A03CCD" w:rsidRPr="00247126" w:rsidRDefault="00A03CCD" w:rsidP="00A56CB0">
            <w:pPr>
              <w:keepNext/>
            </w:pPr>
          </w:p>
        </w:tc>
        <w:tc>
          <w:tcPr>
            <w:tcW w:w="1785" w:type="dxa"/>
            <w:tcBorders>
              <w:left w:val="nil"/>
              <w:right w:val="nil"/>
            </w:tcBorders>
            <w:tcMar>
              <w:left w:w="85" w:type="dxa"/>
            </w:tcMar>
          </w:tcPr>
          <w:p w14:paraId="3B0F16FD" w14:textId="77777777" w:rsidR="00A03CCD" w:rsidRPr="00247126" w:rsidRDefault="00A03CCD" w:rsidP="00A56CB0">
            <w:pPr>
              <w:keepNext/>
            </w:pPr>
          </w:p>
        </w:tc>
        <w:tc>
          <w:tcPr>
            <w:tcW w:w="1617" w:type="dxa"/>
            <w:tcBorders>
              <w:left w:val="nil"/>
              <w:right w:val="nil"/>
            </w:tcBorders>
            <w:tcMar>
              <w:left w:w="85" w:type="dxa"/>
            </w:tcMar>
          </w:tcPr>
          <w:p w14:paraId="4CF1CC17" w14:textId="77777777" w:rsidR="00A03CCD" w:rsidRPr="00247126" w:rsidRDefault="00A03CCD" w:rsidP="00A56CB0">
            <w:pPr>
              <w:keepNext/>
            </w:pPr>
          </w:p>
        </w:tc>
        <w:tc>
          <w:tcPr>
            <w:tcW w:w="1276" w:type="dxa"/>
            <w:tcBorders>
              <w:left w:val="nil"/>
              <w:right w:val="nil"/>
            </w:tcBorders>
            <w:tcMar>
              <w:left w:w="85" w:type="dxa"/>
            </w:tcMar>
          </w:tcPr>
          <w:p w14:paraId="732F6292" w14:textId="77777777" w:rsidR="00A03CCD" w:rsidRPr="00247126" w:rsidRDefault="00A03CCD" w:rsidP="00A56CB0">
            <w:pPr>
              <w:keepNext/>
            </w:pPr>
          </w:p>
        </w:tc>
        <w:tc>
          <w:tcPr>
            <w:tcW w:w="1405" w:type="dxa"/>
            <w:tcBorders>
              <w:left w:val="nil"/>
            </w:tcBorders>
            <w:tcMar>
              <w:left w:w="85" w:type="dxa"/>
            </w:tcMar>
          </w:tcPr>
          <w:p w14:paraId="7BE58188" w14:textId="77777777" w:rsidR="00A03CCD" w:rsidRPr="00247126" w:rsidRDefault="00A03CCD" w:rsidP="00A56CB0">
            <w:pPr>
              <w:keepNext/>
            </w:pPr>
          </w:p>
        </w:tc>
      </w:tr>
      <w:tr w:rsidR="00AC383E" w:rsidRPr="00247126" w14:paraId="08CB7BE0" w14:textId="77777777" w:rsidTr="00AC383E">
        <w:trPr>
          <w:trHeight w:val="300"/>
        </w:trPr>
        <w:tc>
          <w:tcPr>
            <w:tcW w:w="1555" w:type="dxa"/>
            <w:tcMar>
              <w:left w:w="85" w:type="dxa"/>
            </w:tcMar>
          </w:tcPr>
          <w:p w14:paraId="18876A84" w14:textId="39CFF71B" w:rsidR="00A03CCD" w:rsidRPr="00247126" w:rsidRDefault="00A03CCD" w:rsidP="00A56CB0">
            <w:pPr>
              <w:pStyle w:val="TableText"/>
              <w:keepNext/>
            </w:pPr>
            <w:r w:rsidRPr="00247126">
              <w:t xml:space="preserve">Efficacy </w:t>
            </w:r>
          </w:p>
        </w:tc>
        <w:tc>
          <w:tcPr>
            <w:tcW w:w="1417" w:type="dxa"/>
            <w:gridSpan w:val="2"/>
            <w:tcMar>
              <w:left w:w="85" w:type="dxa"/>
            </w:tcMar>
          </w:tcPr>
          <w:p w14:paraId="1E0DFC9B" w14:textId="22E3AF83" w:rsidR="00A03CCD" w:rsidRPr="00247126" w:rsidRDefault="00A03CCD" w:rsidP="00A56CB0">
            <w:pPr>
              <w:pStyle w:val="TableText"/>
              <w:keepNext/>
              <w:jc w:val="center"/>
            </w:pPr>
            <w:r w:rsidRPr="00247126">
              <w:t>Superiority</w:t>
            </w:r>
          </w:p>
        </w:tc>
        <w:tc>
          <w:tcPr>
            <w:tcW w:w="1785" w:type="dxa"/>
            <w:tcMar>
              <w:left w:w="85" w:type="dxa"/>
            </w:tcMar>
          </w:tcPr>
          <w:p w14:paraId="19A0980F" w14:textId="13D10A16" w:rsidR="00A03CCD" w:rsidRPr="00247126" w:rsidRDefault="00A03CCD" w:rsidP="00A56CB0">
            <w:pPr>
              <w:pStyle w:val="TableText"/>
              <w:keepNext/>
              <w:jc w:val="center"/>
            </w:pPr>
            <w:r w:rsidRPr="00247126">
              <w:t>Superiority</w:t>
            </w:r>
          </w:p>
        </w:tc>
        <w:tc>
          <w:tcPr>
            <w:tcW w:w="1617" w:type="dxa"/>
            <w:tcMar>
              <w:left w:w="85" w:type="dxa"/>
            </w:tcMar>
          </w:tcPr>
          <w:p w14:paraId="40F63172" w14:textId="557CAB22" w:rsidR="00A03CCD" w:rsidRPr="00247126" w:rsidRDefault="00A03CCD" w:rsidP="00A56CB0">
            <w:pPr>
              <w:pStyle w:val="TableText"/>
              <w:keepNext/>
              <w:jc w:val="center"/>
            </w:pPr>
            <w:r w:rsidRPr="00247126">
              <w:t>Superiority</w:t>
            </w:r>
          </w:p>
        </w:tc>
        <w:tc>
          <w:tcPr>
            <w:tcW w:w="1276" w:type="dxa"/>
            <w:tcMar>
              <w:left w:w="85" w:type="dxa"/>
            </w:tcMar>
          </w:tcPr>
          <w:p w14:paraId="3FD3AC85" w14:textId="0AE0017A" w:rsidR="00A03CCD" w:rsidRPr="00247126" w:rsidRDefault="00D96FC2" w:rsidP="00A56CB0">
            <w:pPr>
              <w:pStyle w:val="TableText"/>
              <w:keepNext/>
              <w:jc w:val="center"/>
            </w:pPr>
            <w:r w:rsidRPr="00247126">
              <w:t>Sup</w:t>
            </w:r>
            <w:r w:rsidR="00A03CCD" w:rsidRPr="00247126">
              <w:t>eriority</w:t>
            </w:r>
          </w:p>
        </w:tc>
        <w:tc>
          <w:tcPr>
            <w:tcW w:w="1405" w:type="dxa"/>
            <w:tcMar>
              <w:left w:w="85" w:type="dxa"/>
            </w:tcMar>
          </w:tcPr>
          <w:p w14:paraId="368E3672" w14:textId="5077F0FA" w:rsidR="00A03CCD" w:rsidRPr="00247126" w:rsidRDefault="00D96FC2" w:rsidP="00A56CB0">
            <w:pPr>
              <w:pStyle w:val="TableText"/>
              <w:keepNext/>
              <w:jc w:val="center"/>
            </w:pPr>
            <w:r w:rsidRPr="00247126">
              <w:t>Non-inf</w:t>
            </w:r>
            <w:r w:rsidR="00A03CCD" w:rsidRPr="00247126">
              <w:t>eriority</w:t>
            </w:r>
          </w:p>
        </w:tc>
      </w:tr>
      <w:tr w:rsidR="00AC383E" w:rsidRPr="00247126" w14:paraId="1C7A69F5" w14:textId="77777777" w:rsidTr="00AC383E">
        <w:trPr>
          <w:trHeight w:val="300"/>
        </w:trPr>
        <w:tc>
          <w:tcPr>
            <w:tcW w:w="1555" w:type="dxa"/>
            <w:tcMar>
              <w:left w:w="85" w:type="dxa"/>
            </w:tcMar>
          </w:tcPr>
          <w:p w14:paraId="5F210B99" w14:textId="76E89A59" w:rsidR="00A03CCD" w:rsidRPr="00247126" w:rsidRDefault="00A03CCD" w:rsidP="00A56CB0">
            <w:pPr>
              <w:pStyle w:val="TableText"/>
              <w:keepNext/>
            </w:pPr>
            <w:r w:rsidRPr="00247126">
              <w:t xml:space="preserve">Safety </w:t>
            </w:r>
          </w:p>
        </w:tc>
        <w:tc>
          <w:tcPr>
            <w:tcW w:w="1417" w:type="dxa"/>
            <w:gridSpan w:val="2"/>
            <w:tcMar>
              <w:left w:w="85" w:type="dxa"/>
            </w:tcMar>
          </w:tcPr>
          <w:p w14:paraId="11C6E8BE" w14:textId="54763ECB" w:rsidR="00A03CCD" w:rsidRPr="00247126" w:rsidRDefault="00A03CCD" w:rsidP="00A56CB0">
            <w:pPr>
              <w:pStyle w:val="TableText"/>
              <w:keepNext/>
              <w:jc w:val="center"/>
            </w:pPr>
            <w:r w:rsidRPr="00247126">
              <w:t>Non-inferiority</w:t>
            </w:r>
          </w:p>
        </w:tc>
        <w:tc>
          <w:tcPr>
            <w:tcW w:w="1785" w:type="dxa"/>
            <w:tcMar>
              <w:left w:w="85" w:type="dxa"/>
            </w:tcMar>
          </w:tcPr>
          <w:p w14:paraId="16DB73AE" w14:textId="5753D254" w:rsidR="00A03CCD" w:rsidRPr="00247126" w:rsidRDefault="00A03CCD" w:rsidP="00A56CB0">
            <w:pPr>
              <w:pStyle w:val="TableText"/>
              <w:keepNext/>
              <w:jc w:val="center"/>
            </w:pPr>
            <w:r w:rsidRPr="00247126">
              <w:t>Non-inferiority</w:t>
            </w:r>
          </w:p>
        </w:tc>
        <w:tc>
          <w:tcPr>
            <w:tcW w:w="1617" w:type="dxa"/>
            <w:tcMar>
              <w:left w:w="85" w:type="dxa"/>
            </w:tcMar>
          </w:tcPr>
          <w:p w14:paraId="7BF18597" w14:textId="45B8BF86" w:rsidR="00A03CCD" w:rsidRPr="00247126" w:rsidRDefault="00A03CCD" w:rsidP="00A56CB0">
            <w:pPr>
              <w:pStyle w:val="TableText"/>
              <w:keepNext/>
              <w:jc w:val="center"/>
            </w:pPr>
            <w:r w:rsidRPr="00247126">
              <w:t>Non-inferiority</w:t>
            </w:r>
          </w:p>
        </w:tc>
        <w:tc>
          <w:tcPr>
            <w:tcW w:w="1276" w:type="dxa"/>
            <w:tcMar>
              <w:left w:w="85" w:type="dxa"/>
            </w:tcMar>
          </w:tcPr>
          <w:p w14:paraId="7B9EF893" w14:textId="5B985DCE" w:rsidR="00A03CCD" w:rsidRPr="00247126" w:rsidRDefault="00A03CCD" w:rsidP="00A56CB0">
            <w:pPr>
              <w:pStyle w:val="TableText"/>
              <w:keepNext/>
              <w:jc w:val="center"/>
            </w:pPr>
            <w:r w:rsidRPr="00247126">
              <w:t>Non-inferiority</w:t>
            </w:r>
          </w:p>
        </w:tc>
        <w:tc>
          <w:tcPr>
            <w:tcW w:w="1405" w:type="dxa"/>
            <w:tcMar>
              <w:left w:w="85" w:type="dxa"/>
            </w:tcMar>
          </w:tcPr>
          <w:p w14:paraId="1CB31006" w14:textId="7F5397C6" w:rsidR="00A03CCD" w:rsidRPr="00247126" w:rsidRDefault="00A03CCD" w:rsidP="00A56CB0">
            <w:pPr>
              <w:pStyle w:val="TableText"/>
              <w:keepNext/>
              <w:jc w:val="center"/>
            </w:pPr>
            <w:r w:rsidRPr="00247126">
              <w:t>Non-inferiority</w:t>
            </w:r>
          </w:p>
        </w:tc>
      </w:tr>
    </w:tbl>
    <w:p w14:paraId="787E80F3" w14:textId="0BB1A6F6" w:rsidR="00945C49" w:rsidRPr="00247126" w:rsidRDefault="00945C49" w:rsidP="00945C49">
      <w:pPr>
        <w:pStyle w:val="Tablenotes0"/>
      </w:pPr>
      <w:r w:rsidRPr="00247126">
        <w:t>AG</w:t>
      </w:r>
      <w:r w:rsidR="003454E7" w:rsidRPr="00247126">
        <w:t xml:space="preserve"> =</w:t>
      </w:r>
      <w:r w:rsidRPr="00247126">
        <w:t xml:space="preserve"> angiogram; ITT</w:t>
      </w:r>
      <w:r w:rsidR="003454E7" w:rsidRPr="00247126">
        <w:t xml:space="preserve"> =</w:t>
      </w:r>
      <w:r w:rsidRPr="00247126">
        <w:t xml:space="preserve"> intention-to-treat, IVUS</w:t>
      </w:r>
      <w:r w:rsidR="003454E7" w:rsidRPr="00247126">
        <w:t xml:space="preserve"> =</w:t>
      </w:r>
      <w:r w:rsidRPr="00247126">
        <w:t xml:space="preserve"> intravascular ultrasound guided coronary.</w:t>
      </w:r>
    </w:p>
    <w:p w14:paraId="6C83B930" w14:textId="534750C4" w:rsidR="00945C49" w:rsidRPr="00247126" w:rsidRDefault="00945C49" w:rsidP="00945C49">
      <w:pPr>
        <w:pStyle w:val="Tablenotes0"/>
      </w:pPr>
      <w:r w:rsidRPr="00247126">
        <w:t xml:space="preserve">Source: </w:t>
      </w:r>
      <w:r w:rsidR="00EC2480" w:rsidRPr="00247126">
        <w:t>Table 18</w:t>
      </w:r>
      <w:r w:rsidR="00850C10" w:rsidRPr="00247126">
        <w:t xml:space="preserve"> </w:t>
      </w:r>
      <w:r w:rsidR="000C0CFA" w:rsidRPr="00247126">
        <w:t xml:space="preserve">of </w:t>
      </w:r>
      <w:r w:rsidRPr="00247126">
        <w:t>MSAC 1743</w:t>
      </w:r>
      <w:r w:rsidR="00307162" w:rsidRPr="00247126">
        <w:t xml:space="preserve"> </w:t>
      </w:r>
      <w:proofErr w:type="spellStart"/>
      <w:r w:rsidR="00307162" w:rsidRPr="00247126">
        <w:t>ADAR+in-line</w:t>
      </w:r>
      <w:proofErr w:type="spellEnd"/>
      <w:r w:rsidR="00850C10" w:rsidRPr="00247126">
        <w:t xml:space="preserve"> commentary</w:t>
      </w:r>
      <w:r w:rsidR="00EC2480" w:rsidRPr="00247126">
        <w:t>.</w:t>
      </w:r>
    </w:p>
    <w:p w14:paraId="4A2D670A" w14:textId="4FC724EE" w:rsidR="00EA0A01" w:rsidRPr="00247126" w:rsidRDefault="00EA0A01" w:rsidP="00EA0A01">
      <w:r w:rsidRPr="00247126">
        <w:t>The results from a recent network meta-analysis (NMA) including all relevant OCT+AG versus AG alone trials and the RENOVATE COMPLEX-PCI trial (</w:t>
      </w:r>
      <w:hyperlink r:id="rId19" w:tooltip="Weblink to RENOVATE trial entry on ClinicalTrials.gov website" w:history="1">
        <w:r w:rsidR="009F66FD" w:rsidRPr="00247126">
          <w:rPr>
            <w:rStyle w:val="Hyperlink"/>
          </w:rPr>
          <w:t>NCT</w:t>
        </w:r>
        <w:r w:rsidR="002E0324" w:rsidRPr="00247126">
          <w:rPr>
            <w:rStyle w:val="Hyperlink"/>
          </w:rPr>
          <w:t>03381872</w:t>
        </w:r>
      </w:hyperlink>
      <w:r w:rsidRPr="00247126">
        <w:t xml:space="preserve">) were presented as supportive evidence in the ADAR. Whilst the NMA </w:t>
      </w:r>
      <w:r w:rsidR="00AF06E1" w:rsidRPr="00247126">
        <w:t xml:space="preserve">(provided in the form of a conference presentation) </w:t>
      </w:r>
      <w:r w:rsidR="00F76C44" w:rsidRPr="00247126">
        <w:t>wa</w:t>
      </w:r>
      <w:r w:rsidRPr="00247126">
        <w:t>s not directly applicable to the populations proposed for MBS listing for OCT, it support</w:t>
      </w:r>
      <w:r w:rsidR="00B4049E" w:rsidRPr="00247126">
        <w:t>ed</w:t>
      </w:r>
      <w:r w:rsidRPr="00247126">
        <w:t xml:space="preserve"> the benefits of using OCT+AG more generally. Similarly, although </w:t>
      </w:r>
      <w:r w:rsidR="00B4049E" w:rsidRPr="00247126">
        <w:t xml:space="preserve">the </w:t>
      </w:r>
      <w:r w:rsidRPr="00247126">
        <w:t xml:space="preserve">RENOVATE COMPLEX-PCI </w:t>
      </w:r>
      <w:r w:rsidR="00B4049E" w:rsidRPr="00247126">
        <w:t xml:space="preserve">trial </w:t>
      </w:r>
      <w:r w:rsidRPr="00247126">
        <w:t>d</w:t>
      </w:r>
      <w:r w:rsidR="006E598D" w:rsidRPr="00247126">
        <w:t>id</w:t>
      </w:r>
      <w:r w:rsidRPr="00247126">
        <w:t xml:space="preserve"> not report subgroup data directly applicable to the proposed populations, it reflect</w:t>
      </w:r>
      <w:r w:rsidR="0082775F" w:rsidRPr="00247126">
        <w:t>ed</w:t>
      </w:r>
      <w:r w:rsidRPr="00247126">
        <w:t xml:space="preserve"> a ‘complex’ population that </w:t>
      </w:r>
      <w:r w:rsidR="0082775F" w:rsidRPr="00247126">
        <w:t>wa</w:t>
      </w:r>
      <w:r w:rsidRPr="00247126">
        <w:t>s broadly relevant to the proposed populations for OCT+AG.</w:t>
      </w:r>
    </w:p>
    <w:p w14:paraId="66F27B61" w14:textId="03E1C351" w:rsidR="009D3001" w:rsidRPr="00247126" w:rsidRDefault="006B4BA0" w:rsidP="0009298F">
      <w:r w:rsidRPr="00247126">
        <w:t xml:space="preserve">The key features of the </w:t>
      </w:r>
      <w:r w:rsidR="007F07CD" w:rsidRPr="00247126">
        <w:t xml:space="preserve">pivotal </w:t>
      </w:r>
      <w:r w:rsidRPr="00247126">
        <w:t xml:space="preserve">evidence </w:t>
      </w:r>
      <w:r w:rsidR="00B050B5" w:rsidRPr="00247126">
        <w:t xml:space="preserve">included in the ADAR </w:t>
      </w:r>
      <w:r w:rsidRPr="00247126">
        <w:t xml:space="preserve">is summarised in </w:t>
      </w:r>
      <w:r w:rsidRPr="00247126">
        <w:fldChar w:fldCharType="begin"/>
      </w:r>
      <w:r w:rsidRPr="00247126">
        <w:instrText xml:space="preserve"> REF _Ref69725651 \h </w:instrText>
      </w:r>
      <w:r w:rsidR="00C567A2" w:rsidRPr="00247126">
        <w:instrText xml:space="preserve"> \* MERGEFORMAT </w:instrText>
      </w:r>
      <w:r w:rsidRPr="00247126">
        <w:fldChar w:fldCharType="separate"/>
      </w:r>
      <w:r w:rsidR="00151E03" w:rsidRPr="00247126">
        <w:t>Table 5</w:t>
      </w:r>
      <w:r w:rsidRPr="00247126">
        <w:fldChar w:fldCharType="end"/>
      </w:r>
      <w:r w:rsidR="002379D9" w:rsidRPr="00247126">
        <w:t>.</w:t>
      </w:r>
      <w:r w:rsidR="00BA5E60" w:rsidRPr="00247126">
        <w:t xml:space="preserve"> </w:t>
      </w:r>
      <w:r w:rsidR="009D3001" w:rsidRPr="00247126">
        <w:t>While the ADAR assessed the three RCTs to be at low risk of bias</w:t>
      </w:r>
      <w:r w:rsidR="00AD2BCE" w:rsidRPr="00247126">
        <w:t xml:space="preserve"> overall</w:t>
      </w:r>
      <w:r w:rsidR="009D3001" w:rsidRPr="00247126">
        <w:t xml:space="preserve">, these assessments related to the ITT population. The </w:t>
      </w:r>
      <w:r w:rsidR="00364CAD" w:rsidRPr="00247126">
        <w:t xml:space="preserve">post hoc </w:t>
      </w:r>
      <w:r w:rsidR="00F5618F" w:rsidRPr="00247126">
        <w:t>subgroup</w:t>
      </w:r>
      <w:r w:rsidR="009D3001" w:rsidRPr="00247126">
        <w:t xml:space="preserve"> </w:t>
      </w:r>
      <w:r w:rsidR="00F5618F" w:rsidRPr="00247126">
        <w:t>analyses</w:t>
      </w:r>
      <w:r w:rsidR="009D3001" w:rsidRPr="00247126">
        <w:t xml:space="preserve"> presented in the ADAR for the ILUMIEN IV and OCTIVUS trials were not prespecified in the statistical analysis plan</w:t>
      </w:r>
      <w:r w:rsidR="00A2063B" w:rsidRPr="00247126">
        <w:t>s</w:t>
      </w:r>
      <w:r w:rsidR="00CF08B8" w:rsidRPr="00247126">
        <w:t xml:space="preserve"> and</w:t>
      </w:r>
      <w:r w:rsidR="009D3001" w:rsidRPr="00247126">
        <w:t xml:space="preserve"> no separate sample size calculation</w:t>
      </w:r>
      <w:r w:rsidR="00F51E05" w:rsidRPr="00247126">
        <w:t>s</w:t>
      </w:r>
      <w:r w:rsidR="009D3001" w:rsidRPr="00247126">
        <w:t xml:space="preserve"> w</w:t>
      </w:r>
      <w:r w:rsidR="00F51E05" w:rsidRPr="00247126">
        <w:t>ere</w:t>
      </w:r>
      <w:r w:rsidR="009D3001" w:rsidRPr="00247126">
        <w:t xml:space="preserve"> undertaken for the subgroups. </w:t>
      </w:r>
      <w:r w:rsidR="00E37524" w:rsidRPr="00247126">
        <w:t>The Evidence Profile Tables presented in the ADAR acknowledge</w:t>
      </w:r>
      <w:r w:rsidR="008B019B" w:rsidRPr="00247126">
        <w:t>d</w:t>
      </w:r>
      <w:r w:rsidR="00E37524" w:rsidRPr="00247126">
        <w:t xml:space="preserve"> </w:t>
      </w:r>
      <w:r w:rsidR="00C83CE4" w:rsidRPr="00247126">
        <w:t xml:space="preserve">that the </w:t>
      </w:r>
      <w:r w:rsidR="004C6D21" w:rsidRPr="00247126">
        <w:t xml:space="preserve">ILUMIEN IV and OCTIVUS </w:t>
      </w:r>
      <w:r w:rsidR="00C83CE4" w:rsidRPr="00247126">
        <w:t xml:space="preserve">subgroup analyses </w:t>
      </w:r>
      <w:r w:rsidR="008B019B" w:rsidRPr="00247126">
        <w:t>we</w:t>
      </w:r>
      <w:r w:rsidR="00C83CE4" w:rsidRPr="00247126">
        <w:t xml:space="preserve">re at moderate </w:t>
      </w:r>
      <w:r w:rsidR="00C83CE4" w:rsidRPr="00247126">
        <w:lastRenderedPageBreak/>
        <w:t xml:space="preserve">risk of bias. </w:t>
      </w:r>
      <w:r w:rsidR="009D3001" w:rsidRPr="00247126">
        <w:t>Risk of bias assessments undertaken by the commentary determined the ILUMIEN IV subgroups to be at moderate to high risk of bias.</w:t>
      </w:r>
    </w:p>
    <w:p w14:paraId="692BCA4B" w14:textId="508A6C44" w:rsidR="00956ACE" w:rsidRPr="00247126" w:rsidRDefault="00956ACE" w:rsidP="009A06F4">
      <w:pPr>
        <w:pStyle w:val="Caption"/>
      </w:pPr>
      <w:bookmarkStart w:id="14" w:name="_Ref69725651"/>
      <w:r w:rsidRPr="00247126">
        <w:t>Table</w:t>
      </w:r>
      <w:r w:rsidR="004A4FDF" w:rsidRPr="00247126">
        <w:t> </w:t>
      </w:r>
      <w:r w:rsidRPr="00247126">
        <w:fldChar w:fldCharType="begin"/>
      </w:r>
      <w:r w:rsidRPr="00247126">
        <w:instrText xml:space="preserve"> SEQ Table \* ARABIC </w:instrText>
      </w:r>
      <w:r w:rsidRPr="00247126">
        <w:fldChar w:fldCharType="separate"/>
      </w:r>
      <w:r w:rsidR="00151E03" w:rsidRPr="00247126">
        <w:rPr>
          <w:noProof/>
        </w:rPr>
        <w:t>5</w:t>
      </w:r>
      <w:r w:rsidRPr="00247126">
        <w:rPr>
          <w:noProof/>
        </w:rPr>
        <w:fldChar w:fldCharType="end"/>
      </w:r>
      <w:bookmarkEnd w:id="14"/>
      <w:r w:rsidRPr="00247126">
        <w:tab/>
        <w:t>Key features of the included evidence</w:t>
      </w:r>
    </w:p>
    <w:tbl>
      <w:tblPr>
        <w:tblStyle w:val="TableGrid"/>
        <w:tblW w:w="0" w:type="auto"/>
        <w:tblLook w:val="04A0" w:firstRow="1" w:lastRow="0" w:firstColumn="1" w:lastColumn="0" w:noHBand="0" w:noVBand="1"/>
        <w:tblCaption w:val="Key features of the included evidence"/>
        <w:tblDescription w:val="This table summarises the key features of the included evidence, including trial ID, number of participants, study design, risk of bias, population, intervention, comparator, key outcomes and whether the result was used in the economic model."/>
      </w:tblPr>
      <w:tblGrid>
        <w:gridCol w:w="1283"/>
        <w:gridCol w:w="1547"/>
        <w:gridCol w:w="1539"/>
        <w:gridCol w:w="1155"/>
        <w:gridCol w:w="2269"/>
        <w:gridCol w:w="1223"/>
      </w:tblGrid>
      <w:tr w:rsidR="007E5374" w:rsidRPr="00247126" w14:paraId="5CDFC18C" w14:textId="77777777" w:rsidTr="007A378A">
        <w:trPr>
          <w:tblHeader/>
        </w:trPr>
        <w:tc>
          <w:tcPr>
            <w:tcW w:w="1283" w:type="dxa"/>
          </w:tcPr>
          <w:p w14:paraId="035B62B4" w14:textId="77777777" w:rsidR="007E5374" w:rsidRPr="00247126" w:rsidRDefault="007E5374" w:rsidP="00247B6B">
            <w:pPr>
              <w:pStyle w:val="TableHeading0"/>
              <w:spacing w:before="0" w:after="0"/>
            </w:pPr>
            <w:r w:rsidRPr="00247126">
              <w:t>Trial ID</w:t>
            </w:r>
          </w:p>
          <w:p w14:paraId="5247A218" w14:textId="63E63B53" w:rsidR="007F66BE" w:rsidRPr="00247126" w:rsidRDefault="007F66BE" w:rsidP="00247B6B">
            <w:pPr>
              <w:pStyle w:val="TableHeading0"/>
              <w:spacing w:before="0" w:after="0"/>
            </w:pPr>
            <w:r w:rsidRPr="00247126">
              <w:t>N</w:t>
            </w:r>
          </w:p>
        </w:tc>
        <w:tc>
          <w:tcPr>
            <w:tcW w:w="1547" w:type="dxa"/>
          </w:tcPr>
          <w:p w14:paraId="4F9682C1" w14:textId="77777777" w:rsidR="007E5374" w:rsidRPr="00247126" w:rsidRDefault="007E5374" w:rsidP="00247B6B">
            <w:pPr>
              <w:pStyle w:val="TableHeading0"/>
              <w:spacing w:before="0" w:after="0"/>
            </w:pPr>
            <w:r w:rsidRPr="00247126">
              <w:t xml:space="preserve">Study </w:t>
            </w:r>
            <w:proofErr w:type="gramStart"/>
            <w:r w:rsidRPr="00247126">
              <w:t>design</w:t>
            </w:r>
            <w:proofErr w:type="gramEnd"/>
          </w:p>
          <w:p w14:paraId="21225780" w14:textId="501B2951" w:rsidR="007E5374" w:rsidRPr="00247126" w:rsidRDefault="007E5374" w:rsidP="00247B6B">
            <w:pPr>
              <w:pStyle w:val="TableHeading0"/>
              <w:spacing w:before="0" w:after="0"/>
            </w:pPr>
            <w:r w:rsidRPr="00247126">
              <w:t>Risk of bias</w:t>
            </w:r>
          </w:p>
        </w:tc>
        <w:tc>
          <w:tcPr>
            <w:tcW w:w="1539" w:type="dxa"/>
          </w:tcPr>
          <w:p w14:paraId="3D8388BD" w14:textId="2BF1906E" w:rsidR="007E5374" w:rsidRPr="00247126" w:rsidRDefault="007E5374" w:rsidP="00247B6B">
            <w:pPr>
              <w:pStyle w:val="TableHeading0"/>
              <w:spacing w:before="0" w:after="0"/>
            </w:pPr>
            <w:r w:rsidRPr="00247126">
              <w:t>Population</w:t>
            </w:r>
          </w:p>
        </w:tc>
        <w:tc>
          <w:tcPr>
            <w:tcW w:w="1155" w:type="dxa"/>
          </w:tcPr>
          <w:p w14:paraId="0F75FBB3" w14:textId="77777777" w:rsidR="007E5374" w:rsidRPr="00247126" w:rsidRDefault="007E5374" w:rsidP="00247B6B">
            <w:pPr>
              <w:pStyle w:val="TableHeading0"/>
              <w:spacing w:before="0" w:after="0"/>
            </w:pPr>
            <w:r w:rsidRPr="00247126">
              <w:t>Intervention</w:t>
            </w:r>
          </w:p>
          <w:p w14:paraId="7A21A02F" w14:textId="18FBF421" w:rsidR="007E5374" w:rsidRPr="00247126" w:rsidRDefault="007E5374" w:rsidP="00247B6B">
            <w:pPr>
              <w:pStyle w:val="TableHeading0"/>
              <w:spacing w:before="0" w:after="0"/>
            </w:pPr>
            <w:r w:rsidRPr="00247126">
              <w:t>Comparator</w:t>
            </w:r>
          </w:p>
        </w:tc>
        <w:tc>
          <w:tcPr>
            <w:tcW w:w="2269" w:type="dxa"/>
          </w:tcPr>
          <w:p w14:paraId="770B2FFE" w14:textId="397F4266" w:rsidR="007E5374" w:rsidRPr="00247126" w:rsidRDefault="007E5374" w:rsidP="00247B6B">
            <w:pPr>
              <w:pStyle w:val="TableHeading0"/>
              <w:spacing w:before="0" w:after="0"/>
            </w:pPr>
            <w:r w:rsidRPr="00247126">
              <w:t>Key outcomes</w:t>
            </w:r>
          </w:p>
        </w:tc>
        <w:tc>
          <w:tcPr>
            <w:tcW w:w="1223" w:type="dxa"/>
          </w:tcPr>
          <w:p w14:paraId="033D2C79" w14:textId="01B7884B" w:rsidR="007E5374" w:rsidRPr="00247126" w:rsidRDefault="006063FA" w:rsidP="00247B6B">
            <w:pPr>
              <w:pStyle w:val="TableHeading0"/>
              <w:spacing w:before="0" w:after="0"/>
            </w:pPr>
            <w:r w:rsidRPr="00247126">
              <w:t>Result used in economic model?</w:t>
            </w:r>
          </w:p>
        </w:tc>
      </w:tr>
      <w:tr w:rsidR="006063FA" w:rsidRPr="00247126" w14:paraId="7410C0CD" w14:textId="77777777" w:rsidTr="009E4A92">
        <w:tc>
          <w:tcPr>
            <w:tcW w:w="1283" w:type="dxa"/>
          </w:tcPr>
          <w:p w14:paraId="0733DE96" w14:textId="77777777" w:rsidR="00676810" w:rsidRPr="00247126" w:rsidRDefault="00676810" w:rsidP="00247B6B">
            <w:pPr>
              <w:pStyle w:val="TableText"/>
              <w:keepNext/>
              <w:spacing w:before="0" w:after="0"/>
            </w:pPr>
            <w:r w:rsidRPr="00247126">
              <w:t>OCTOBER</w:t>
            </w:r>
          </w:p>
          <w:p w14:paraId="6A366AD2" w14:textId="3C834E56" w:rsidR="007F66BE" w:rsidRPr="00247126" w:rsidRDefault="00676810" w:rsidP="00247B6B">
            <w:pPr>
              <w:pStyle w:val="TableText"/>
              <w:keepNext/>
              <w:spacing w:before="0" w:after="0"/>
              <w:rPr>
                <w:b/>
                <w:bCs/>
              </w:rPr>
            </w:pPr>
            <w:r w:rsidRPr="00247126">
              <w:t>NCT03171311</w:t>
            </w:r>
          </w:p>
          <w:p w14:paraId="311AEECC" w14:textId="444833FE" w:rsidR="006063FA" w:rsidRPr="00247126" w:rsidRDefault="007F66BE" w:rsidP="00247B6B">
            <w:pPr>
              <w:pStyle w:val="TableText"/>
              <w:keepNext/>
              <w:spacing w:before="0" w:after="0"/>
            </w:pPr>
            <w:r w:rsidRPr="00247126">
              <w:t>N = 1,201</w:t>
            </w:r>
          </w:p>
        </w:tc>
        <w:tc>
          <w:tcPr>
            <w:tcW w:w="1547" w:type="dxa"/>
          </w:tcPr>
          <w:p w14:paraId="4FA3F337" w14:textId="77777777" w:rsidR="00B677FE" w:rsidRPr="00247126" w:rsidRDefault="00B677FE" w:rsidP="00247B6B">
            <w:pPr>
              <w:pStyle w:val="TableText"/>
              <w:keepNext/>
              <w:spacing w:before="0" w:after="0"/>
            </w:pPr>
            <w:r w:rsidRPr="00247126">
              <w:t xml:space="preserve">R (1:1), MC, OL trial at 38 centres in Europe </w:t>
            </w:r>
          </w:p>
          <w:p w14:paraId="712FBDAB" w14:textId="25AEB9FD" w:rsidR="00B677FE" w:rsidRPr="00247126" w:rsidRDefault="00B677FE" w:rsidP="00247B6B">
            <w:pPr>
              <w:pStyle w:val="TableText"/>
              <w:keepNext/>
              <w:spacing w:before="0" w:after="0"/>
            </w:pPr>
            <w:r w:rsidRPr="00247126">
              <w:t xml:space="preserve">Median follow up: 2 </w:t>
            </w:r>
            <w:proofErr w:type="spellStart"/>
            <w:proofErr w:type="gramStart"/>
            <w:r w:rsidRPr="00247126">
              <w:t>yr</w:t>
            </w:r>
            <w:r w:rsidRPr="00247126">
              <w:rPr>
                <w:vertAlign w:val="superscript"/>
              </w:rPr>
              <w:t>a</w:t>
            </w:r>
            <w:proofErr w:type="spellEnd"/>
            <w:proofErr w:type="gramEnd"/>
            <w:r w:rsidRPr="00247126">
              <w:t xml:space="preserve"> </w:t>
            </w:r>
          </w:p>
          <w:p w14:paraId="504DF048" w14:textId="613FC127" w:rsidR="00B677FE" w:rsidRPr="00247126" w:rsidRDefault="00B677FE" w:rsidP="00247B6B">
            <w:pPr>
              <w:pStyle w:val="TableText"/>
              <w:keepNext/>
              <w:spacing w:before="0" w:after="0"/>
              <w:rPr>
                <w:b/>
                <w:bCs/>
              </w:rPr>
            </w:pPr>
            <w:r w:rsidRPr="00247126">
              <w:rPr>
                <w:b/>
                <w:bCs/>
              </w:rPr>
              <w:t>Risk of bias</w:t>
            </w:r>
            <w:r w:rsidR="00C614FA" w:rsidRPr="00247126">
              <w:rPr>
                <w:b/>
                <w:bCs/>
              </w:rPr>
              <w:t>:</w:t>
            </w:r>
          </w:p>
          <w:p w14:paraId="7147E398" w14:textId="16F35115" w:rsidR="006063FA" w:rsidRPr="00247126" w:rsidRDefault="00B677FE" w:rsidP="00247B6B">
            <w:pPr>
              <w:pStyle w:val="TableText"/>
              <w:keepNext/>
              <w:spacing w:before="0" w:after="0"/>
            </w:pPr>
            <w:r w:rsidRPr="00247126">
              <w:t>LOW</w:t>
            </w:r>
          </w:p>
        </w:tc>
        <w:tc>
          <w:tcPr>
            <w:tcW w:w="1539" w:type="dxa"/>
          </w:tcPr>
          <w:p w14:paraId="6DF3361A" w14:textId="7FED145C" w:rsidR="006063FA" w:rsidRPr="00247126" w:rsidRDefault="00C270AE" w:rsidP="00247B6B">
            <w:pPr>
              <w:pStyle w:val="TableText"/>
              <w:keepNext/>
              <w:spacing w:before="0" w:after="0"/>
            </w:pPr>
            <w:r w:rsidRPr="00247126">
              <w:t>Adults (≥</w:t>
            </w:r>
            <w:r w:rsidR="00DF336E" w:rsidRPr="00247126">
              <w:t> </w:t>
            </w:r>
            <w:r w:rsidRPr="00247126">
              <w:t xml:space="preserve">18 </w:t>
            </w:r>
            <w:proofErr w:type="spellStart"/>
            <w:r w:rsidRPr="00247126">
              <w:t>yr</w:t>
            </w:r>
            <w:proofErr w:type="spellEnd"/>
            <w:r w:rsidRPr="00247126">
              <w:t>) with complex bifurcation lesions (main branch diameter of ≥</w:t>
            </w:r>
            <w:r w:rsidR="00DF336E" w:rsidRPr="00247126">
              <w:t> </w:t>
            </w:r>
            <w:r w:rsidRPr="00247126">
              <w:t>2.75 mm by angiographic visual estimation, side branch diameter ≥</w:t>
            </w:r>
            <w:r w:rsidR="00DF336E" w:rsidRPr="00247126">
              <w:t> </w:t>
            </w:r>
            <w:r w:rsidRPr="00247126">
              <w:t>2.5</w:t>
            </w:r>
            <w:r w:rsidR="00DF135C" w:rsidRPr="00247126">
              <w:t> </w:t>
            </w:r>
            <w:r w:rsidRPr="00247126">
              <w:t>mm) undergoing PCI</w:t>
            </w:r>
          </w:p>
        </w:tc>
        <w:tc>
          <w:tcPr>
            <w:tcW w:w="1155" w:type="dxa"/>
          </w:tcPr>
          <w:p w14:paraId="62E80F30" w14:textId="66ACCB28" w:rsidR="006063FA" w:rsidRPr="00247126" w:rsidRDefault="005A3367" w:rsidP="00247B6B">
            <w:pPr>
              <w:pStyle w:val="TableText"/>
              <w:keepNext/>
              <w:spacing w:before="0" w:after="0"/>
            </w:pPr>
            <w:r w:rsidRPr="00247126">
              <w:t>OCT+AG-guided PCI (N</w:t>
            </w:r>
            <w:r w:rsidR="008F6B99" w:rsidRPr="00247126">
              <w:t> </w:t>
            </w:r>
            <w:r w:rsidRPr="00247126">
              <w:t>=</w:t>
            </w:r>
            <w:r w:rsidR="008F6B99" w:rsidRPr="00247126">
              <w:t> </w:t>
            </w:r>
            <w:r w:rsidRPr="00247126">
              <w:t>600)</w:t>
            </w:r>
          </w:p>
          <w:p w14:paraId="266F7543" w14:textId="3321D14C" w:rsidR="005A3367" w:rsidRPr="00247126" w:rsidRDefault="001F0781" w:rsidP="00247B6B">
            <w:pPr>
              <w:pStyle w:val="TableText"/>
              <w:keepNext/>
              <w:spacing w:before="0" w:after="0"/>
            </w:pPr>
            <w:r w:rsidRPr="00247126">
              <w:t>AG (±</w:t>
            </w:r>
            <w:r w:rsidR="00573E05" w:rsidRPr="00247126">
              <w:t xml:space="preserve"> </w:t>
            </w:r>
            <w:proofErr w:type="gramStart"/>
            <w:r w:rsidRPr="00247126">
              <w:t>IVUS)</w:t>
            </w:r>
            <w:r w:rsidR="00D54361" w:rsidRPr="00247126">
              <w:rPr>
                <w:vertAlign w:val="superscript"/>
              </w:rPr>
              <w:t>b</w:t>
            </w:r>
            <w:proofErr w:type="gramEnd"/>
            <w:r w:rsidRPr="00247126">
              <w:t>- guided PCI (N</w:t>
            </w:r>
            <w:r w:rsidR="008F6B99" w:rsidRPr="00247126">
              <w:t> </w:t>
            </w:r>
            <w:r w:rsidRPr="00247126">
              <w:t>=</w:t>
            </w:r>
            <w:r w:rsidR="008F6B99" w:rsidRPr="00247126">
              <w:t> </w:t>
            </w:r>
            <w:r w:rsidRPr="00247126">
              <w:t>601)</w:t>
            </w:r>
          </w:p>
        </w:tc>
        <w:tc>
          <w:tcPr>
            <w:tcW w:w="2269" w:type="dxa"/>
          </w:tcPr>
          <w:p w14:paraId="1F7E52A1" w14:textId="353C418D" w:rsidR="00724924" w:rsidRPr="00247126" w:rsidRDefault="00724924" w:rsidP="00247B6B">
            <w:pPr>
              <w:pStyle w:val="TableText"/>
              <w:keepNext/>
              <w:spacing w:before="0" w:after="0"/>
              <w:rPr>
                <w:b/>
                <w:bCs/>
              </w:rPr>
            </w:pPr>
            <w:r w:rsidRPr="00247126">
              <w:rPr>
                <w:b/>
                <w:bCs/>
              </w:rPr>
              <w:t xml:space="preserve">Primary clinical (2 </w:t>
            </w:r>
            <w:proofErr w:type="spellStart"/>
            <w:r w:rsidRPr="00247126">
              <w:rPr>
                <w:b/>
                <w:bCs/>
              </w:rPr>
              <w:t>yr</w:t>
            </w:r>
            <w:proofErr w:type="spellEnd"/>
            <w:r w:rsidRPr="00247126">
              <w:rPr>
                <w:b/>
                <w:bCs/>
              </w:rPr>
              <w:t>)</w:t>
            </w:r>
          </w:p>
          <w:p w14:paraId="4C34A78E" w14:textId="68749E7D" w:rsidR="00724924" w:rsidRPr="00247126" w:rsidRDefault="00724924" w:rsidP="00247B6B">
            <w:pPr>
              <w:pStyle w:val="TableText"/>
              <w:keepNext/>
              <w:spacing w:before="0" w:after="0"/>
            </w:pPr>
            <w:proofErr w:type="spellStart"/>
            <w:r w:rsidRPr="00247126">
              <w:t>MACE</w:t>
            </w:r>
            <w:r w:rsidR="00D54361" w:rsidRPr="00247126">
              <w:rPr>
                <w:vertAlign w:val="superscript"/>
              </w:rPr>
              <w:t>c</w:t>
            </w:r>
            <w:proofErr w:type="spellEnd"/>
          </w:p>
          <w:p w14:paraId="1B0CCDDA" w14:textId="04528104" w:rsidR="00724924" w:rsidRPr="00247126" w:rsidRDefault="00724924" w:rsidP="00247B6B">
            <w:pPr>
              <w:pStyle w:val="TableText"/>
              <w:keepNext/>
              <w:spacing w:before="0" w:after="0"/>
              <w:rPr>
                <w:b/>
                <w:bCs/>
              </w:rPr>
            </w:pPr>
            <w:r w:rsidRPr="00247126">
              <w:rPr>
                <w:b/>
                <w:bCs/>
              </w:rPr>
              <w:t xml:space="preserve">Secondary clinical (2 </w:t>
            </w:r>
            <w:proofErr w:type="spellStart"/>
            <w:r w:rsidRPr="00247126">
              <w:rPr>
                <w:b/>
                <w:bCs/>
              </w:rPr>
              <w:t>yr</w:t>
            </w:r>
            <w:proofErr w:type="spellEnd"/>
            <w:r w:rsidRPr="00247126">
              <w:rPr>
                <w:b/>
                <w:bCs/>
              </w:rPr>
              <w:t>)</w:t>
            </w:r>
          </w:p>
          <w:p w14:paraId="4D023923" w14:textId="2BEE2864" w:rsidR="00724924" w:rsidRPr="00247126" w:rsidRDefault="00724924" w:rsidP="00247B6B">
            <w:pPr>
              <w:pStyle w:val="TableText"/>
              <w:keepNext/>
              <w:spacing w:before="0" w:after="0"/>
            </w:pPr>
            <w:r w:rsidRPr="00247126">
              <w:t>MI</w:t>
            </w:r>
            <w:r w:rsidR="008854CC" w:rsidRPr="00247126">
              <w:t xml:space="preserve"> (any, target lesion)</w:t>
            </w:r>
          </w:p>
          <w:p w14:paraId="6956D1D3" w14:textId="6CDCD0E6" w:rsidR="00724924" w:rsidRPr="00247126" w:rsidRDefault="0066793E" w:rsidP="00247B6B">
            <w:pPr>
              <w:pStyle w:val="TableText"/>
              <w:keepNext/>
              <w:spacing w:before="0" w:after="0"/>
            </w:pPr>
            <w:r w:rsidRPr="00247126">
              <w:t xml:space="preserve">TVR, </w:t>
            </w:r>
            <w:r w:rsidR="00500A2F" w:rsidRPr="00247126">
              <w:t>TLR</w:t>
            </w:r>
          </w:p>
          <w:p w14:paraId="386EDBA8" w14:textId="74C68BF9" w:rsidR="00CA3310" w:rsidRPr="00247126" w:rsidRDefault="00CA3310" w:rsidP="00247B6B">
            <w:pPr>
              <w:pStyle w:val="TableText"/>
              <w:keepNext/>
              <w:spacing w:before="0" w:after="0"/>
            </w:pPr>
            <w:r w:rsidRPr="00247126">
              <w:t>Mortality (all cause, cardiac)</w:t>
            </w:r>
          </w:p>
          <w:p w14:paraId="42BC6AE3" w14:textId="7A9BE651" w:rsidR="00724924" w:rsidRPr="00247126" w:rsidRDefault="00724924" w:rsidP="00247B6B">
            <w:pPr>
              <w:pStyle w:val="TableText"/>
              <w:keepNext/>
              <w:spacing w:before="0" w:after="0"/>
            </w:pPr>
            <w:r w:rsidRPr="00247126">
              <w:t>Stent thrombosis</w:t>
            </w:r>
          </w:p>
          <w:p w14:paraId="515D5B22" w14:textId="3706C543" w:rsidR="00724924" w:rsidRPr="00247126" w:rsidRDefault="00724924" w:rsidP="00247B6B">
            <w:pPr>
              <w:pStyle w:val="TableText"/>
              <w:keepNext/>
              <w:spacing w:before="0" w:after="0"/>
              <w:rPr>
                <w:b/>
                <w:bCs/>
              </w:rPr>
            </w:pPr>
            <w:r w:rsidRPr="00247126">
              <w:rPr>
                <w:b/>
                <w:bCs/>
              </w:rPr>
              <w:t xml:space="preserve">Safety (over 2 </w:t>
            </w:r>
            <w:proofErr w:type="spellStart"/>
            <w:r w:rsidRPr="00247126">
              <w:rPr>
                <w:b/>
                <w:bCs/>
              </w:rPr>
              <w:t>yr</w:t>
            </w:r>
            <w:proofErr w:type="spellEnd"/>
            <w:r w:rsidRPr="00247126">
              <w:rPr>
                <w:b/>
                <w:bCs/>
              </w:rPr>
              <w:t xml:space="preserve">) </w:t>
            </w:r>
          </w:p>
          <w:p w14:paraId="1CF261E2" w14:textId="057E0AEF" w:rsidR="006063FA" w:rsidRPr="00247126" w:rsidRDefault="00724924" w:rsidP="00247B6B">
            <w:pPr>
              <w:pStyle w:val="TableText"/>
              <w:keepNext/>
              <w:spacing w:before="0" w:after="0"/>
            </w:pPr>
            <w:r w:rsidRPr="00247126">
              <w:t>Procedure-related complications</w:t>
            </w:r>
          </w:p>
        </w:tc>
        <w:tc>
          <w:tcPr>
            <w:tcW w:w="1223" w:type="dxa"/>
          </w:tcPr>
          <w:p w14:paraId="19A1ED13" w14:textId="05FE7D34" w:rsidR="006063FA" w:rsidRPr="00247126" w:rsidRDefault="00C50CDB" w:rsidP="00247B6B">
            <w:pPr>
              <w:pStyle w:val="TableText"/>
              <w:keepNext/>
              <w:spacing w:before="0" w:after="0"/>
            </w:pPr>
            <w:r w:rsidRPr="00247126">
              <w:t>Yes</w:t>
            </w:r>
            <w:r w:rsidR="00960AAD" w:rsidRPr="00247126">
              <w:t xml:space="preserve">, informs </w:t>
            </w:r>
            <w:r w:rsidR="00DC4BBD" w:rsidRPr="00247126">
              <w:t xml:space="preserve">the </w:t>
            </w:r>
            <w:r w:rsidR="00960AAD" w:rsidRPr="00247126">
              <w:t>CUA</w:t>
            </w:r>
            <w:r w:rsidR="00DC4BBD" w:rsidRPr="00247126">
              <w:t xml:space="preserve"> for bifurcation</w:t>
            </w:r>
            <w:r w:rsidR="00BD1F8F" w:rsidRPr="00247126">
              <w:t xml:space="preserve"> lesions</w:t>
            </w:r>
          </w:p>
        </w:tc>
      </w:tr>
      <w:tr w:rsidR="006063FA" w:rsidRPr="00247126" w14:paraId="00013FA8" w14:textId="77777777" w:rsidTr="009E4A92">
        <w:tc>
          <w:tcPr>
            <w:tcW w:w="1283" w:type="dxa"/>
          </w:tcPr>
          <w:p w14:paraId="7AA6517D" w14:textId="77777777" w:rsidR="009F4C99" w:rsidRPr="00247126" w:rsidRDefault="009F4C99" w:rsidP="00247B6B">
            <w:pPr>
              <w:pStyle w:val="TableText"/>
              <w:spacing w:before="0" w:after="0"/>
            </w:pPr>
            <w:r w:rsidRPr="00247126">
              <w:t>ILUMIEN IV</w:t>
            </w:r>
          </w:p>
          <w:p w14:paraId="692A19EC" w14:textId="77777777" w:rsidR="006063FA" w:rsidRPr="00247126" w:rsidRDefault="009F4C99" w:rsidP="00247B6B">
            <w:pPr>
              <w:pStyle w:val="TableText"/>
              <w:spacing w:before="0" w:after="0"/>
            </w:pPr>
            <w:r w:rsidRPr="00247126">
              <w:t>NCT03507777</w:t>
            </w:r>
          </w:p>
          <w:p w14:paraId="0C3FFE3A" w14:textId="32743451" w:rsidR="00243CAD" w:rsidRPr="00247126" w:rsidRDefault="00243CAD" w:rsidP="00247B6B">
            <w:pPr>
              <w:pStyle w:val="TableText"/>
              <w:spacing w:before="0" w:after="0"/>
            </w:pPr>
            <w:r w:rsidRPr="00247126">
              <w:t>N = 2,487</w:t>
            </w:r>
          </w:p>
        </w:tc>
        <w:tc>
          <w:tcPr>
            <w:tcW w:w="1547" w:type="dxa"/>
          </w:tcPr>
          <w:p w14:paraId="2723F98F" w14:textId="77777777" w:rsidR="0095533F" w:rsidRPr="00247126" w:rsidRDefault="0095533F" w:rsidP="00247B6B">
            <w:pPr>
              <w:pStyle w:val="TableText"/>
              <w:spacing w:before="0" w:after="0"/>
            </w:pPr>
            <w:r w:rsidRPr="00247126">
              <w:t xml:space="preserve">R (1:1), MC, SB trial at 80 centres in 18 countries including the US, Australia, and Europe </w:t>
            </w:r>
          </w:p>
          <w:p w14:paraId="1E3F42ED" w14:textId="21D95EF0" w:rsidR="0095533F" w:rsidRPr="00247126" w:rsidRDefault="0095533F" w:rsidP="00247B6B">
            <w:pPr>
              <w:pStyle w:val="TableText"/>
              <w:spacing w:before="0" w:after="0"/>
            </w:pPr>
            <w:r w:rsidRPr="00247126">
              <w:t xml:space="preserve">Median follow up: 2 </w:t>
            </w:r>
            <w:proofErr w:type="spellStart"/>
            <w:proofErr w:type="gramStart"/>
            <w:r w:rsidRPr="00247126">
              <w:t>yr</w:t>
            </w:r>
            <w:proofErr w:type="spellEnd"/>
            <w:proofErr w:type="gramEnd"/>
          </w:p>
          <w:p w14:paraId="5A460BBF" w14:textId="65CC58DE" w:rsidR="0095533F" w:rsidRPr="00247126" w:rsidRDefault="0095533F" w:rsidP="00247B6B">
            <w:pPr>
              <w:pStyle w:val="TableText"/>
              <w:spacing w:before="0" w:after="0"/>
              <w:rPr>
                <w:b/>
                <w:bCs/>
              </w:rPr>
            </w:pPr>
            <w:r w:rsidRPr="00247126">
              <w:rPr>
                <w:b/>
                <w:bCs/>
              </w:rPr>
              <w:t>Risk of bias</w:t>
            </w:r>
            <w:r w:rsidR="00C614FA" w:rsidRPr="00247126">
              <w:rPr>
                <w:b/>
                <w:bCs/>
              </w:rPr>
              <w:t>:</w:t>
            </w:r>
          </w:p>
          <w:p w14:paraId="271144F4" w14:textId="3743227D" w:rsidR="006063FA" w:rsidRPr="00247126" w:rsidRDefault="0095533F" w:rsidP="00247B6B">
            <w:pPr>
              <w:pStyle w:val="TableText"/>
              <w:spacing w:before="0" w:after="0"/>
            </w:pPr>
            <w:r w:rsidRPr="00247126">
              <w:t>LOW</w:t>
            </w:r>
          </w:p>
          <w:p w14:paraId="0E08A0BC" w14:textId="0CA8BF14" w:rsidR="009402B5" w:rsidRPr="00247126" w:rsidRDefault="009402B5" w:rsidP="00247B6B">
            <w:pPr>
              <w:pStyle w:val="TableText"/>
              <w:spacing w:before="0" w:after="0"/>
            </w:pPr>
            <w:r w:rsidRPr="00247126">
              <w:t>MOD</w:t>
            </w:r>
            <w:r w:rsidR="00013748" w:rsidRPr="00247126">
              <w:t>ERATE</w:t>
            </w:r>
            <w:r w:rsidR="008B37D8" w:rsidRPr="00247126">
              <w:t xml:space="preserve"> (to </w:t>
            </w:r>
            <w:r w:rsidRPr="00247126">
              <w:t>HIGH</w:t>
            </w:r>
            <w:r w:rsidR="008B37D8" w:rsidRPr="00247126">
              <w:t>)</w:t>
            </w:r>
            <w:r w:rsidRPr="00247126">
              <w:t xml:space="preserve"> </w:t>
            </w:r>
            <w:r w:rsidR="0066436A" w:rsidRPr="00247126">
              <w:t>for</w:t>
            </w:r>
            <w:r w:rsidRPr="00247126">
              <w:t xml:space="preserve"> efficacy subgroups</w:t>
            </w:r>
          </w:p>
        </w:tc>
        <w:tc>
          <w:tcPr>
            <w:tcW w:w="1539" w:type="dxa"/>
          </w:tcPr>
          <w:p w14:paraId="7C0AFF78" w14:textId="1CB5D184" w:rsidR="006063FA" w:rsidRPr="00247126" w:rsidRDefault="00C041AA" w:rsidP="00247B6B">
            <w:pPr>
              <w:pStyle w:val="TableText"/>
              <w:spacing w:before="0" w:after="0"/>
            </w:pPr>
            <w:r w:rsidRPr="00247126">
              <w:t>Adults (≥</w:t>
            </w:r>
            <w:r w:rsidR="00CC59C1" w:rsidRPr="00247126">
              <w:t> </w:t>
            </w:r>
            <w:r w:rsidRPr="00247126">
              <w:t xml:space="preserve">18 </w:t>
            </w:r>
            <w:proofErr w:type="spellStart"/>
            <w:r w:rsidRPr="00247126">
              <w:t>yr</w:t>
            </w:r>
            <w:proofErr w:type="spellEnd"/>
            <w:r w:rsidRPr="00247126">
              <w:t>) with medication-treated diabetes or complex coronary artery lesions (including bifurcation, severely calcified lesions, in-stent restenosis, long or multiple lesions) undergoing PCI</w:t>
            </w:r>
          </w:p>
        </w:tc>
        <w:tc>
          <w:tcPr>
            <w:tcW w:w="1155" w:type="dxa"/>
          </w:tcPr>
          <w:p w14:paraId="7DA288BA" w14:textId="1C95B008" w:rsidR="006063FA" w:rsidRPr="00247126" w:rsidRDefault="003A0F14" w:rsidP="00247B6B">
            <w:pPr>
              <w:pStyle w:val="TableText"/>
              <w:spacing w:before="0" w:after="0"/>
            </w:pPr>
            <w:r w:rsidRPr="00247126">
              <w:t>OCT+AG-guided PCI (N</w:t>
            </w:r>
            <w:r w:rsidR="006B6B5F" w:rsidRPr="00247126">
              <w:t> </w:t>
            </w:r>
            <w:r w:rsidRPr="00247126">
              <w:t>=</w:t>
            </w:r>
            <w:r w:rsidR="006B6B5F" w:rsidRPr="00247126">
              <w:t> </w:t>
            </w:r>
            <w:r w:rsidRPr="00247126">
              <w:t>1,233)</w:t>
            </w:r>
          </w:p>
          <w:p w14:paraId="4CF7A11E" w14:textId="4694BED0" w:rsidR="003A0F14" w:rsidRPr="00247126" w:rsidRDefault="005E295C" w:rsidP="00247B6B">
            <w:pPr>
              <w:pStyle w:val="TableText"/>
              <w:spacing w:before="0" w:after="0"/>
            </w:pPr>
            <w:r w:rsidRPr="00247126">
              <w:t>AG-guided PCI (N</w:t>
            </w:r>
            <w:r w:rsidR="006B6B5F" w:rsidRPr="00247126">
              <w:t> </w:t>
            </w:r>
            <w:r w:rsidRPr="00247126">
              <w:t>=</w:t>
            </w:r>
            <w:r w:rsidR="006B6B5F" w:rsidRPr="00247126">
              <w:t> </w:t>
            </w:r>
            <w:r w:rsidRPr="00247126">
              <w:t>1,254)</w:t>
            </w:r>
          </w:p>
        </w:tc>
        <w:tc>
          <w:tcPr>
            <w:tcW w:w="2269" w:type="dxa"/>
          </w:tcPr>
          <w:p w14:paraId="625063BA" w14:textId="486BABB1" w:rsidR="000F7971" w:rsidRPr="00247126" w:rsidRDefault="000F7971" w:rsidP="00247B6B">
            <w:pPr>
              <w:pStyle w:val="TableText"/>
              <w:spacing w:before="0" w:after="0"/>
              <w:rPr>
                <w:b/>
                <w:bCs/>
              </w:rPr>
            </w:pPr>
            <w:r w:rsidRPr="00247126">
              <w:rPr>
                <w:b/>
                <w:bCs/>
              </w:rPr>
              <w:t xml:space="preserve">Primary clinical (2 </w:t>
            </w:r>
            <w:proofErr w:type="spellStart"/>
            <w:r w:rsidRPr="00247126">
              <w:rPr>
                <w:b/>
                <w:bCs/>
              </w:rPr>
              <w:t>yr</w:t>
            </w:r>
            <w:proofErr w:type="spellEnd"/>
            <w:r w:rsidRPr="00247126">
              <w:rPr>
                <w:b/>
                <w:bCs/>
              </w:rPr>
              <w:t xml:space="preserve">) </w:t>
            </w:r>
          </w:p>
          <w:p w14:paraId="410EB9ED" w14:textId="452B3854" w:rsidR="000F7971" w:rsidRPr="00247126" w:rsidRDefault="00A24617" w:rsidP="00247B6B">
            <w:pPr>
              <w:pStyle w:val="TableText"/>
              <w:spacing w:before="0" w:after="0"/>
            </w:pPr>
            <w:proofErr w:type="spellStart"/>
            <w:r w:rsidRPr="00247126">
              <w:t>TVF</w:t>
            </w:r>
            <w:r w:rsidRPr="00247126">
              <w:rPr>
                <w:vertAlign w:val="superscript"/>
              </w:rPr>
              <w:t>d</w:t>
            </w:r>
            <w:proofErr w:type="spellEnd"/>
          </w:p>
          <w:p w14:paraId="6CFF8D64" w14:textId="25F46EEC" w:rsidR="000F7971" w:rsidRPr="00247126" w:rsidRDefault="000F7971" w:rsidP="00247B6B">
            <w:pPr>
              <w:pStyle w:val="TableText"/>
              <w:spacing w:before="0" w:after="0"/>
              <w:rPr>
                <w:b/>
                <w:bCs/>
              </w:rPr>
            </w:pPr>
            <w:r w:rsidRPr="00247126">
              <w:rPr>
                <w:b/>
                <w:bCs/>
              </w:rPr>
              <w:t xml:space="preserve">Secondary clinical (2 </w:t>
            </w:r>
            <w:proofErr w:type="spellStart"/>
            <w:r w:rsidRPr="00247126">
              <w:rPr>
                <w:b/>
                <w:bCs/>
              </w:rPr>
              <w:t>yr</w:t>
            </w:r>
            <w:proofErr w:type="spellEnd"/>
            <w:r w:rsidRPr="00247126">
              <w:rPr>
                <w:b/>
                <w:bCs/>
              </w:rPr>
              <w:t>)</w:t>
            </w:r>
          </w:p>
          <w:p w14:paraId="5C9B9354" w14:textId="574BE01B" w:rsidR="000F7971" w:rsidRPr="00247126" w:rsidRDefault="00ED0BF2" w:rsidP="00247B6B">
            <w:pPr>
              <w:pStyle w:val="TableText"/>
              <w:spacing w:before="0" w:after="0"/>
            </w:pPr>
            <w:r w:rsidRPr="00247126">
              <w:t xml:space="preserve">Target vessel </w:t>
            </w:r>
            <w:r w:rsidR="000F7971" w:rsidRPr="00247126">
              <w:t>MI</w:t>
            </w:r>
          </w:p>
          <w:p w14:paraId="58711383" w14:textId="475277BE" w:rsidR="00127D40" w:rsidRPr="00247126" w:rsidRDefault="00127D40" w:rsidP="00247B6B">
            <w:pPr>
              <w:pStyle w:val="TableText"/>
              <w:spacing w:before="0" w:after="0"/>
            </w:pPr>
            <w:r w:rsidRPr="00247126">
              <w:t>TVR</w:t>
            </w:r>
          </w:p>
          <w:p w14:paraId="461CFA09" w14:textId="77777777" w:rsidR="00CA3310" w:rsidRPr="00247126" w:rsidRDefault="00CA3310" w:rsidP="00247B6B">
            <w:pPr>
              <w:pStyle w:val="TableText"/>
              <w:spacing w:before="0" w:after="0"/>
            </w:pPr>
            <w:r w:rsidRPr="00247126">
              <w:t>Cardiac mortality</w:t>
            </w:r>
          </w:p>
          <w:p w14:paraId="5EB74EC8" w14:textId="5268EC61" w:rsidR="000F7971" w:rsidRPr="00247126" w:rsidRDefault="000F7971" w:rsidP="00247B6B">
            <w:pPr>
              <w:pStyle w:val="TableText"/>
              <w:spacing w:before="0" w:after="0"/>
            </w:pPr>
            <w:r w:rsidRPr="00247126">
              <w:t>Stent thrombosis</w:t>
            </w:r>
          </w:p>
          <w:p w14:paraId="3A089359" w14:textId="0668D33E" w:rsidR="00CA3310" w:rsidRPr="00247126" w:rsidRDefault="00CA3310" w:rsidP="00247B6B">
            <w:pPr>
              <w:pStyle w:val="TableText"/>
              <w:spacing w:before="0" w:after="0"/>
            </w:pPr>
            <w:proofErr w:type="spellStart"/>
            <w:r w:rsidRPr="00247126">
              <w:t>HRQoL</w:t>
            </w:r>
            <w:r w:rsidRPr="00247126">
              <w:rPr>
                <w:vertAlign w:val="superscript"/>
              </w:rPr>
              <w:t>e</w:t>
            </w:r>
            <w:proofErr w:type="spellEnd"/>
          </w:p>
          <w:p w14:paraId="39564079" w14:textId="5C44E361" w:rsidR="000F7971" w:rsidRPr="00247126" w:rsidRDefault="000F7971" w:rsidP="00247B6B">
            <w:pPr>
              <w:pStyle w:val="TableText"/>
              <w:spacing w:before="0" w:after="0"/>
              <w:rPr>
                <w:b/>
                <w:bCs/>
              </w:rPr>
            </w:pPr>
            <w:r w:rsidRPr="00247126">
              <w:rPr>
                <w:b/>
                <w:bCs/>
              </w:rPr>
              <w:t xml:space="preserve">Safety (over 2 </w:t>
            </w:r>
            <w:proofErr w:type="spellStart"/>
            <w:r w:rsidRPr="00247126">
              <w:rPr>
                <w:b/>
                <w:bCs/>
              </w:rPr>
              <w:t>yr</w:t>
            </w:r>
            <w:proofErr w:type="spellEnd"/>
            <w:r w:rsidRPr="00247126">
              <w:rPr>
                <w:b/>
                <w:bCs/>
              </w:rPr>
              <w:t>)</w:t>
            </w:r>
          </w:p>
          <w:p w14:paraId="0025789B" w14:textId="77777777" w:rsidR="000F7971" w:rsidRPr="00247126" w:rsidRDefault="000F7971" w:rsidP="00247B6B">
            <w:pPr>
              <w:pStyle w:val="TableText"/>
              <w:spacing w:before="0" w:after="0"/>
            </w:pPr>
            <w:r w:rsidRPr="00247126">
              <w:t xml:space="preserve">Procedure-related complications </w:t>
            </w:r>
          </w:p>
          <w:p w14:paraId="52ECE5EC" w14:textId="1A027FB9" w:rsidR="006063FA" w:rsidRPr="00247126" w:rsidRDefault="00127D40" w:rsidP="00247B6B">
            <w:pPr>
              <w:pStyle w:val="TableText"/>
              <w:spacing w:before="0" w:after="0"/>
            </w:pPr>
            <w:r w:rsidRPr="00247126">
              <w:t>AEs</w:t>
            </w:r>
          </w:p>
        </w:tc>
        <w:tc>
          <w:tcPr>
            <w:tcW w:w="1223" w:type="dxa"/>
          </w:tcPr>
          <w:p w14:paraId="653D6965" w14:textId="54ED7592" w:rsidR="006063FA" w:rsidRPr="00247126" w:rsidRDefault="00FC6E68" w:rsidP="00247B6B">
            <w:pPr>
              <w:pStyle w:val="TableText"/>
              <w:spacing w:before="0" w:after="0"/>
            </w:pPr>
            <w:r w:rsidRPr="00247126">
              <w:t>Yes</w:t>
            </w:r>
            <w:r w:rsidR="0096257E" w:rsidRPr="00247126">
              <w:t>,</w:t>
            </w:r>
            <w:r w:rsidRPr="00247126" w:rsidDel="00B34387">
              <w:t xml:space="preserve"> </w:t>
            </w:r>
            <w:r w:rsidRPr="00247126">
              <w:t>subgroup data</w:t>
            </w:r>
            <w:r w:rsidR="00B34387" w:rsidRPr="00247126">
              <w:t xml:space="preserve"> for long</w:t>
            </w:r>
            <w:r w:rsidR="00D17369" w:rsidRPr="00247126">
              <w:t xml:space="preserve"> lesions and </w:t>
            </w:r>
            <w:r w:rsidR="00520B59" w:rsidRPr="00247126">
              <w:t xml:space="preserve">for </w:t>
            </w:r>
            <w:r w:rsidR="00D17369" w:rsidRPr="00247126">
              <w:t>severely calcified lesions</w:t>
            </w:r>
            <w:r w:rsidR="00DC4BBD" w:rsidRPr="00247126">
              <w:t xml:space="preserve"> informs the CUAs</w:t>
            </w:r>
          </w:p>
        </w:tc>
      </w:tr>
      <w:tr w:rsidR="006063FA" w:rsidRPr="00247126" w14:paraId="589AF723" w14:textId="77777777" w:rsidTr="009E4A92">
        <w:tc>
          <w:tcPr>
            <w:tcW w:w="1283" w:type="dxa"/>
          </w:tcPr>
          <w:p w14:paraId="6863FCC1" w14:textId="77777777" w:rsidR="00C50CDB" w:rsidRPr="00247126" w:rsidRDefault="00C50CDB" w:rsidP="00247B6B">
            <w:pPr>
              <w:pStyle w:val="TableText"/>
              <w:spacing w:before="0" w:after="0"/>
            </w:pPr>
            <w:r w:rsidRPr="00247126">
              <w:t>OCTIVUS</w:t>
            </w:r>
          </w:p>
          <w:p w14:paraId="05380A1B" w14:textId="77777777" w:rsidR="006063FA" w:rsidRPr="00247126" w:rsidRDefault="00C50CDB" w:rsidP="00247B6B">
            <w:pPr>
              <w:pStyle w:val="TableText"/>
              <w:spacing w:before="0" w:after="0"/>
            </w:pPr>
            <w:r w:rsidRPr="00247126">
              <w:t>NCT03394079</w:t>
            </w:r>
          </w:p>
          <w:p w14:paraId="683A13E9" w14:textId="5D41D222" w:rsidR="00C209F7" w:rsidRPr="00247126" w:rsidRDefault="00C209F7" w:rsidP="00247B6B">
            <w:pPr>
              <w:pStyle w:val="TableText"/>
              <w:spacing w:before="0" w:after="0"/>
            </w:pPr>
            <w:r w:rsidRPr="00247126">
              <w:t>N = 2,008</w:t>
            </w:r>
          </w:p>
        </w:tc>
        <w:tc>
          <w:tcPr>
            <w:tcW w:w="1547" w:type="dxa"/>
          </w:tcPr>
          <w:p w14:paraId="6F551FBD" w14:textId="77777777" w:rsidR="00A7322C" w:rsidRPr="00247126" w:rsidRDefault="00A7322C" w:rsidP="00247B6B">
            <w:pPr>
              <w:pStyle w:val="TableText"/>
              <w:spacing w:before="0" w:after="0"/>
            </w:pPr>
            <w:r w:rsidRPr="00247126">
              <w:t>R (1:1), MC, OL trial at 9 centres in South Korea</w:t>
            </w:r>
          </w:p>
          <w:p w14:paraId="79A5A40A" w14:textId="70FBD1A4" w:rsidR="00A7322C" w:rsidRPr="00247126" w:rsidRDefault="00A7322C" w:rsidP="00247B6B">
            <w:pPr>
              <w:pStyle w:val="TableText"/>
              <w:spacing w:before="0" w:after="0"/>
            </w:pPr>
            <w:r w:rsidRPr="00247126">
              <w:t xml:space="preserve">Median follow up: 2 </w:t>
            </w:r>
            <w:proofErr w:type="spellStart"/>
            <w:proofErr w:type="gramStart"/>
            <w:r w:rsidRPr="00247126">
              <w:t>yr</w:t>
            </w:r>
            <w:proofErr w:type="spellEnd"/>
            <w:proofErr w:type="gramEnd"/>
            <w:r w:rsidRPr="00247126">
              <w:t xml:space="preserve"> </w:t>
            </w:r>
          </w:p>
          <w:p w14:paraId="3C1710F9" w14:textId="3AB16603" w:rsidR="00A7322C" w:rsidRPr="00247126" w:rsidRDefault="00A7322C" w:rsidP="00247B6B">
            <w:pPr>
              <w:pStyle w:val="TableText"/>
              <w:spacing w:before="0" w:after="0"/>
              <w:rPr>
                <w:b/>
                <w:bCs/>
              </w:rPr>
            </w:pPr>
            <w:r w:rsidRPr="00247126">
              <w:rPr>
                <w:b/>
                <w:bCs/>
              </w:rPr>
              <w:t>Risk of bias</w:t>
            </w:r>
            <w:r w:rsidR="00C614FA" w:rsidRPr="00247126">
              <w:rPr>
                <w:b/>
                <w:bCs/>
              </w:rPr>
              <w:t>:</w:t>
            </w:r>
          </w:p>
          <w:p w14:paraId="73C1E5FE" w14:textId="6C06C856" w:rsidR="00D73FAB" w:rsidRPr="00247126" w:rsidRDefault="00A7322C" w:rsidP="00247B6B">
            <w:pPr>
              <w:pStyle w:val="TableText"/>
              <w:spacing w:before="0" w:after="0"/>
            </w:pPr>
            <w:r w:rsidRPr="00247126">
              <w:t>LOW</w:t>
            </w:r>
          </w:p>
          <w:p w14:paraId="171ACF61" w14:textId="35D81716" w:rsidR="006063FA" w:rsidRPr="00247126" w:rsidRDefault="0033399D" w:rsidP="00247B6B">
            <w:pPr>
              <w:pStyle w:val="TableText"/>
              <w:spacing w:before="0" w:after="0"/>
            </w:pPr>
            <w:r w:rsidRPr="00247126">
              <w:t>MOD</w:t>
            </w:r>
            <w:r w:rsidR="00013748" w:rsidRPr="00247126">
              <w:t>ERATE</w:t>
            </w:r>
            <w:r w:rsidR="008B37D8" w:rsidRPr="00247126">
              <w:t xml:space="preserve"> </w:t>
            </w:r>
            <w:r w:rsidR="00D73FAB" w:rsidRPr="00247126">
              <w:t xml:space="preserve">for </w:t>
            </w:r>
            <w:r w:rsidR="00013748" w:rsidRPr="00247126">
              <w:t>efficacy subgroup</w:t>
            </w:r>
          </w:p>
        </w:tc>
        <w:tc>
          <w:tcPr>
            <w:tcW w:w="1539" w:type="dxa"/>
          </w:tcPr>
          <w:p w14:paraId="7A9267C5" w14:textId="34340A31" w:rsidR="006063FA" w:rsidRPr="00247126" w:rsidRDefault="00081249" w:rsidP="00247B6B">
            <w:pPr>
              <w:pStyle w:val="TableText"/>
              <w:spacing w:before="0" w:after="0"/>
            </w:pPr>
            <w:r w:rsidRPr="00247126">
              <w:t>Adults (≥</w:t>
            </w:r>
            <w:r w:rsidR="000250BA" w:rsidRPr="00247126">
              <w:t> </w:t>
            </w:r>
            <w:r w:rsidRPr="00247126">
              <w:t xml:space="preserve">19 </w:t>
            </w:r>
            <w:proofErr w:type="spellStart"/>
            <w:r w:rsidRPr="00247126">
              <w:t>yr</w:t>
            </w:r>
            <w:proofErr w:type="spellEnd"/>
            <w:r w:rsidRPr="00247126">
              <w:t>) with significant coronary</w:t>
            </w:r>
            <w:r w:rsidR="00C31C63" w:rsidRPr="00247126">
              <w:t xml:space="preserve"> </w:t>
            </w:r>
            <w:r w:rsidRPr="00247126">
              <w:t>artery lesions (including diffuse long lesions) undergoing PCI</w:t>
            </w:r>
          </w:p>
        </w:tc>
        <w:tc>
          <w:tcPr>
            <w:tcW w:w="1155" w:type="dxa"/>
          </w:tcPr>
          <w:p w14:paraId="48F80F4C" w14:textId="77777777" w:rsidR="006063FA" w:rsidRPr="00247126" w:rsidRDefault="006827CF" w:rsidP="00247B6B">
            <w:pPr>
              <w:pStyle w:val="TableText"/>
              <w:spacing w:before="0" w:after="0"/>
            </w:pPr>
            <w:r w:rsidRPr="00247126">
              <w:t>OCT+AG-guided PCI (N = 1,005)</w:t>
            </w:r>
          </w:p>
          <w:p w14:paraId="5DA3DEDC" w14:textId="57863AC7" w:rsidR="006827CF" w:rsidRPr="00247126" w:rsidRDefault="00743462" w:rsidP="00247B6B">
            <w:pPr>
              <w:pStyle w:val="TableText"/>
              <w:spacing w:before="0" w:after="0"/>
            </w:pPr>
            <w:r w:rsidRPr="00247126">
              <w:t>IVUS+AG-guided PCI (N = 1,003)</w:t>
            </w:r>
          </w:p>
        </w:tc>
        <w:tc>
          <w:tcPr>
            <w:tcW w:w="2269" w:type="dxa"/>
          </w:tcPr>
          <w:p w14:paraId="17DA33D4" w14:textId="40956FB8" w:rsidR="008721DB" w:rsidRPr="00247126" w:rsidRDefault="008721DB" w:rsidP="00247B6B">
            <w:pPr>
              <w:pStyle w:val="TableText"/>
              <w:spacing w:before="0" w:after="0"/>
              <w:rPr>
                <w:b/>
                <w:bCs/>
              </w:rPr>
            </w:pPr>
            <w:r w:rsidRPr="00247126">
              <w:rPr>
                <w:b/>
                <w:bCs/>
              </w:rPr>
              <w:t xml:space="preserve">Primary clinical (1 </w:t>
            </w:r>
            <w:proofErr w:type="spellStart"/>
            <w:r w:rsidRPr="00247126">
              <w:rPr>
                <w:b/>
                <w:bCs/>
              </w:rPr>
              <w:t>yr</w:t>
            </w:r>
            <w:proofErr w:type="spellEnd"/>
            <w:r w:rsidRPr="00247126">
              <w:rPr>
                <w:b/>
                <w:bCs/>
              </w:rPr>
              <w:t>)</w:t>
            </w:r>
          </w:p>
          <w:p w14:paraId="29030317" w14:textId="77E14F64" w:rsidR="008721DB" w:rsidRPr="00247126" w:rsidRDefault="00FB46E7" w:rsidP="00247B6B">
            <w:pPr>
              <w:pStyle w:val="TableText"/>
              <w:spacing w:before="0" w:after="0"/>
            </w:pPr>
            <w:proofErr w:type="spellStart"/>
            <w:r w:rsidRPr="00247126">
              <w:t>TVF</w:t>
            </w:r>
            <w:r w:rsidRPr="00247126">
              <w:rPr>
                <w:vertAlign w:val="superscript"/>
              </w:rPr>
              <w:t>d</w:t>
            </w:r>
            <w:proofErr w:type="spellEnd"/>
          </w:p>
          <w:p w14:paraId="739A503C" w14:textId="42D629CF" w:rsidR="008721DB" w:rsidRPr="00247126" w:rsidRDefault="008721DB" w:rsidP="00247B6B">
            <w:pPr>
              <w:pStyle w:val="TableText"/>
              <w:spacing w:before="0" w:after="0"/>
              <w:rPr>
                <w:b/>
                <w:bCs/>
              </w:rPr>
            </w:pPr>
            <w:r w:rsidRPr="00247126">
              <w:rPr>
                <w:b/>
                <w:bCs/>
              </w:rPr>
              <w:t xml:space="preserve">Secondary clinical (1 </w:t>
            </w:r>
            <w:proofErr w:type="spellStart"/>
            <w:r w:rsidRPr="00247126">
              <w:rPr>
                <w:b/>
                <w:bCs/>
              </w:rPr>
              <w:t>yr</w:t>
            </w:r>
            <w:proofErr w:type="spellEnd"/>
            <w:r w:rsidRPr="00247126">
              <w:rPr>
                <w:b/>
                <w:bCs/>
              </w:rPr>
              <w:t xml:space="preserve">) </w:t>
            </w:r>
          </w:p>
          <w:p w14:paraId="63BBC5ED" w14:textId="33F0F6BA" w:rsidR="00284C46" w:rsidRPr="00247126" w:rsidRDefault="00284C46" w:rsidP="00247B6B">
            <w:pPr>
              <w:pStyle w:val="TableText"/>
              <w:spacing w:before="0" w:after="0"/>
            </w:pPr>
            <w:r w:rsidRPr="00247126">
              <w:t>MI</w:t>
            </w:r>
            <w:r w:rsidR="006C2261" w:rsidRPr="00247126">
              <w:t xml:space="preserve"> (any, target vessel)</w:t>
            </w:r>
          </w:p>
          <w:p w14:paraId="40691921" w14:textId="2573C8AD" w:rsidR="006E2084" w:rsidRPr="00247126" w:rsidRDefault="00F15148" w:rsidP="00247B6B">
            <w:pPr>
              <w:pStyle w:val="TableText"/>
              <w:spacing w:before="0" w:after="0"/>
            </w:pPr>
            <w:r w:rsidRPr="00247126">
              <w:t>TVR</w:t>
            </w:r>
          </w:p>
          <w:p w14:paraId="2AB5B28C" w14:textId="4F61331E" w:rsidR="00CA3310" w:rsidRPr="00247126" w:rsidRDefault="00CA3310" w:rsidP="00247B6B">
            <w:pPr>
              <w:pStyle w:val="TableText"/>
              <w:spacing w:before="0" w:after="0"/>
            </w:pPr>
            <w:r w:rsidRPr="00247126">
              <w:t>Cardiac mortality</w:t>
            </w:r>
          </w:p>
          <w:p w14:paraId="690944DA" w14:textId="6B5576C5" w:rsidR="008721DB" w:rsidRPr="00247126" w:rsidRDefault="008721DB" w:rsidP="00247B6B">
            <w:pPr>
              <w:pStyle w:val="TableText"/>
              <w:spacing w:before="0" w:after="0"/>
            </w:pPr>
            <w:r w:rsidRPr="00247126">
              <w:t>Stent thrombosis</w:t>
            </w:r>
          </w:p>
          <w:p w14:paraId="4A5F4274" w14:textId="793F43B6" w:rsidR="008721DB" w:rsidRPr="00247126" w:rsidRDefault="008721DB" w:rsidP="00247B6B">
            <w:pPr>
              <w:pStyle w:val="TableText"/>
              <w:spacing w:before="0" w:after="0"/>
              <w:rPr>
                <w:b/>
                <w:bCs/>
              </w:rPr>
            </w:pPr>
            <w:r w:rsidRPr="00247126">
              <w:rPr>
                <w:b/>
                <w:bCs/>
              </w:rPr>
              <w:t xml:space="preserve">Safety (over 1 </w:t>
            </w:r>
            <w:proofErr w:type="spellStart"/>
            <w:r w:rsidRPr="00247126">
              <w:rPr>
                <w:b/>
                <w:bCs/>
              </w:rPr>
              <w:t>yr</w:t>
            </w:r>
            <w:proofErr w:type="spellEnd"/>
            <w:r w:rsidRPr="00247126">
              <w:rPr>
                <w:b/>
                <w:bCs/>
              </w:rPr>
              <w:t xml:space="preserve">) </w:t>
            </w:r>
          </w:p>
          <w:p w14:paraId="72A98625" w14:textId="2918360D" w:rsidR="006063FA" w:rsidRPr="00247126" w:rsidRDefault="008721DB" w:rsidP="00247B6B">
            <w:pPr>
              <w:pStyle w:val="TableText"/>
              <w:spacing w:before="0" w:after="0"/>
            </w:pPr>
            <w:r w:rsidRPr="00247126">
              <w:t>Procedure-related complications</w:t>
            </w:r>
          </w:p>
        </w:tc>
        <w:tc>
          <w:tcPr>
            <w:tcW w:w="1223" w:type="dxa"/>
          </w:tcPr>
          <w:p w14:paraId="6C8C2CAE" w14:textId="6063FAC4" w:rsidR="006063FA" w:rsidRPr="00247126" w:rsidRDefault="003D61A8" w:rsidP="00247B6B">
            <w:pPr>
              <w:pStyle w:val="TableText"/>
              <w:spacing w:before="0" w:after="0"/>
            </w:pPr>
            <w:r w:rsidRPr="00247126">
              <w:t>OCT+AG is non-inferior to IVUS+AG; OCTIVUS informs the CMA</w:t>
            </w:r>
          </w:p>
        </w:tc>
      </w:tr>
    </w:tbl>
    <w:p w14:paraId="56631E40" w14:textId="57B7DAD0" w:rsidR="00A9455C" w:rsidRPr="00247126" w:rsidRDefault="00127D40" w:rsidP="00A9455C">
      <w:pPr>
        <w:pStyle w:val="Tablenotes0"/>
      </w:pPr>
      <w:r w:rsidRPr="00247126">
        <w:t xml:space="preserve">AE = adverse event; </w:t>
      </w:r>
      <w:r w:rsidR="00A9455C" w:rsidRPr="00247126">
        <w:t>AG</w:t>
      </w:r>
      <w:r w:rsidR="00540342" w:rsidRPr="00247126">
        <w:t xml:space="preserve"> =</w:t>
      </w:r>
      <w:r w:rsidR="00A9455C" w:rsidRPr="00247126">
        <w:t xml:space="preserve"> angiogram; CMA</w:t>
      </w:r>
      <w:r w:rsidR="00540342" w:rsidRPr="00247126">
        <w:t xml:space="preserve"> = </w:t>
      </w:r>
      <w:r w:rsidR="00A9455C" w:rsidRPr="00247126">
        <w:t xml:space="preserve">cost-minimisation analysis; </w:t>
      </w:r>
      <w:r w:rsidR="005F2E6C" w:rsidRPr="00247126">
        <w:t xml:space="preserve">CUA = cost-utility analysis; </w:t>
      </w:r>
      <w:proofErr w:type="spellStart"/>
      <w:r w:rsidR="004C21FE" w:rsidRPr="00247126">
        <w:t>HRQoL</w:t>
      </w:r>
      <w:proofErr w:type="spellEnd"/>
      <w:r w:rsidR="004C21FE" w:rsidRPr="00247126">
        <w:t xml:space="preserve"> = health</w:t>
      </w:r>
      <w:r w:rsidR="00DF62CC" w:rsidRPr="00247126">
        <w:t>-</w:t>
      </w:r>
      <w:r w:rsidR="004C21FE" w:rsidRPr="00247126">
        <w:t xml:space="preserve">related quality of life; </w:t>
      </w:r>
      <w:r w:rsidR="00A9455C" w:rsidRPr="00247126">
        <w:t>IVUS</w:t>
      </w:r>
      <w:r w:rsidR="00540342" w:rsidRPr="00247126">
        <w:t xml:space="preserve"> = </w:t>
      </w:r>
      <w:r w:rsidR="00A9455C" w:rsidRPr="00247126">
        <w:t>intravascular ultrasound; MACE</w:t>
      </w:r>
      <w:r w:rsidR="00540342" w:rsidRPr="00247126">
        <w:t xml:space="preserve"> = </w:t>
      </w:r>
      <w:r w:rsidR="00A9455C" w:rsidRPr="00247126">
        <w:t>major adverse cardi</w:t>
      </w:r>
      <w:r w:rsidR="000C2FEB" w:rsidRPr="00247126">
        <w:t>ac</w:t>
      </w:r>
      <w:r w:rsidR="00A9455C" w:rsidRPr="00247126">
        <w:t xml:space="preserve"> events; MC</w:t>
      </w:r>
      <w:r w:rsidR="00540342" w:rsidRPr="00247126">
        <w:t xml:space="preserve"> = </w:t>
      </w:r>
      <w:r w:rsidR="00A9455C" w:rsidRPr="00247126">
        <w:t xml:space="preserve">multicentre; </w:t>
      </w:r>
      <w:r w:rsidR="006D0664" w:rsidRPr="00247126">
        <w:t>MI</w:t>
      </w:r>
      <w:r w:rsidR="00540342" w:rsidRPr="00247126">
        <w:t xml:space="preserve"> = </w:t>
      </w:r>
      <w:r w:rsidR="006D0664" w:rsidRPr="00247126">
        <w:t xml:space="preserve">myocardial </w:t>
      </w:r>
      <w:r w:rsidR="00C76759" w:rsidRPr="00247126">
        <w:t>infarction</w:t>
      </w:r>
      <w:r w:rsidR="006D0664" w:rsidRPr="00247126">
        <w:t xml:space="preserve">; </w:t>
      </w:r>
      <w:r w:rsidR="00A9455C" w:rsidRPr="00247126">
        <w:t>N</w:t>
      </w:r>
      <w:r w:rsidR="00540342" w:rsidRPr="00247126">
        <w:t xml:space="preserve"> = </w:t>
      </w:r>
      <w:r w:rsidR="00A9455C" w:rsidRPr="00247126">
        <w:t>total number of randomised patients; OCT</w:t>
      </w:r>
      <w:r w:rsidR="00540342" w:rsidRPr="00247126">
        <w:t xml:space="preserve"> = </w:t>
      </w:r>
      <w:r w:rsidR="00A9455C" w:rsidRPr="00247126">
        <w:t>optical coherence tomography; OL</w:t>
      </w:r>
      <w:r w:rsidR="00540342" w:rsidRPr="00247126">
        <w:t xml:space="preserve"> = </w:t>
      </w:r>
      <w:r w:rsidR="00A9455C" w:rsidRPr="00247126">
        <w:t>open</w:t>
      </w:r>
      <w:r w:rsidR="0022306C" w:rsidRPr="00247126">
        <w:t xml:space="preserve"> </w:t>
      </w:r>
      <w:r w:rsidR="00A9455C" w:rsidRPr="00247126">
        <w:t>label; PCI</w:t>
      </w:r>
      <w:r w:rsidR="00540342" w:rsidRPr="00247126">
        <w:t xml:space="preserve"> =</w:t>
      </w:r>
      <w:r w:rsidR="00A9455C" w:rsidRPr="00247126">
        <w:t xml:space="preserve"> percutaneous coronary intervention; R</w:t>
      </w:r>
      <w:r w:rsidR="00540342" w:rsidRPr="00247126">
        <w:t xml:space="preserve"> =</w:t>
      </w:r>
      <w:r w:rsidR="00A9455C" w:rsidRPr="00247126">
        <w:t xml:space="preserve"> randomised; </w:t>
      </w:r>
      <w:r w:rsidR="00804838" w:rsidRPr="00247126">
        <w:t>SB</w:t>
      </w:r>
      <w:r w:rsidR="00540342" w:rsidRPr="00247126">
        <w:t xml:space="preserve"> = </w:t>
      </w:r>
      <w:r w:rsidR="00804838" w:rsidRPr="00247126">
        <w:t>single</w:t>
      </w:r>
      <w:r w:rsidR="004E0EF1" w:rsidRPr="00247126">
        <w:t xml:space="preserve"> </w:t>
      </w:r>
      <w:r w:rsidR="00804838" w:rsidRPr="00247126">
        <w:t xml:space="preserve">blind; </w:t>
      </w:r>
      <w:r w:rsidR="00C26A34" w:rsidRPr="00247126">
        <w:t xml:space="preserve">TLR = target lesion revascularisation; </w:t>
      </w:r>
      <w:r w:rsidR="00A9455C" w:rsidRPr="00247126">
        <w:t>TVF</w:t>
      </w:r>
      <w:r w:rsidR="00540342" w:rsidRPr="00247126">
        <w:t xml:space="preserve"> = </w:t>
      </w:r>
      <w:r w:rsidR="00A9455C" w:rsidRPr="00247126">
        <w:t>target vessel failure</w:t>
      </w:r>
      <w:r w:rsidR="001C0EE6" w:rsidRPr="00247126">
        <w:t xml:space="preserve">; </w:t>
      </w:r>
      <w:r w:rsidR="00A52BAD" w:rsidRPr="00247126">
        <w:t xml:space="preserve">TVR = target vessel revascularisation; </w:t>
      </w:r>
      <w:r w:rsidR="001C0EE6" w:rsidRPr="00247126">
        <w:t>US</w:t>
      </w:r>
      <w:r w:rsidR="00540342" w:rsidRPr="00247126">
        <w:t xml:space="preserve"> = </w:t>
      </w:r>
      <w:r w:rsidR="001C0EE6" w:rsidRPr="00247126">
        <w:t>United States</w:t>
      </w:r>
      <w:r w:rsidR="00B771BA" w:rsidRPr="00247126">
        <w:t xml:space="preserve">; </w:t>
      </w:r>
      <w:proofErr w:type="spellStart"/>
      <w:r w:rsidR="00B771BA" w:rsidRPr="00247126">
        <w:t>yr</w:t>
      </w:r>
      <w:proofErr w:type="spellEnd"/>
      <w:r w:rsidR="00B771BA" w:rsidRPr="00247126">
        <w:t xml:space="preserve"> = year</w:t>
      </w:r>
      <w:r w:rsidRPr="00247126">
        <w:t>(s)</w:t>
      </w:r>
      <w:r w:rsidR="00A9455C" w:rsidRPr="00247126">
        <w:t xml:space="preserve">. </w:t>
      </w:r>
    </w:p>
    <w:p w14:paraId="338C5524" w14:textId="77777777" w:rsidR="00A9455C" w:rsidRPr="00247126" w:rsidRDefault="00A9455C" w:rsidP="00A9455C">
      <w:pPr>
        <w:pStyle w:val="Tablenotes0"/>
      </w:pPr>
      <w:proofErr w:type="spellStart"/>
      <w:r w:rsidRPr="00247126">
        <w:t>a</w:t>
      </w:r>
      <w:proofErr w:type="spellEnd"/>
      <w:r w:rsidRPr="00247126">
        <w:t xml:space="preserve"> </w:t>
      </w:r>
      <w:proofErr w:type="gramStart"/>
      <w:r w:rsidRPr="00247126">
        <w:t>The</w:t>
      </w:r>
      <w:proofErr w:type="gramEnd"/>
      <w:r w:rsidRPr="00247126">
        <w:t xml:space="preserve"> database for the primary end point was closed before the last 122 enrolled patients reached the 2-year follow-up point.</w:t>
      </w:r>
    </w:p>
    <w:p w14:paraId="51C35525" w14:textId="0F0C25D8" w:rsidR="009C54FC" w:rsidRPr="00247126" w:rsidRDefault="009C54FC" w:rsidP="00A9455C">
      <w:pPr>
        <w:pStyle w:val="Tablenotes0"/>
      </w:pPr>
      <w:r w:rsidRPr="00247126">
        <w:t xml:space="preserve">b </w:t>
      </w:r>
      <w:r w:rsidR="00895E41" w:rsidRPr="00247126">
        <w:t>The ADAR did not consider optional IVUS as part of the comparator</w:t>
      </w:r>
      <w:r w:rsidR="00AD25EA" w:rsidRPr="00247126">
        <w:t>;</w:t>
      </w:r>
      <w:r w:rsidR="00895E41" w:rsidRPr="00247126">
        <w:t xml:space="preserve"> however, </w:t>
      </w:r>
      <w:r w:rsidR="00D03428" w:rsidRPr="00247126">
        <w:t xml:space="preserve">IVUS </w:t>
      </w:r>
      <w:r w:rsidR="008758D0" w:rsidRPr="00247126">
        <w:t>was allowed at the operators’ discretion if the patient had a lesion located at a left main coronary</w:t>
      </w:r>
      <w:r w:rsidR="00AD25EA" w:rsidRPr="00247126">
        <w:t xml:space="preserve"> </w:t>
      </w:r>
      <w:r w:rsidR="008758D0" w:rsidRPr="00247126">
        <w:t xml:space="preserve">artery bifurcation. </w:t>
      </w:r>
    </w:p>
    <w:p w14:paraId="29AB2264" w14:textId="5BBFB337" w:rsidR="00A9455C" w:rsidRPr="00247126" w:rsidRDefault="009C54FC" w:rsidP="00A9455C">
      <w:pPr>
        <w:pStyle w:val="Tablenotes0"/>
      </w:pPr>
      <w:r w:rsidRPr="00247126">
        <w:t>c</w:t>
      </w:r>
      <w:r w:rsidR="00A9455C" w:rsidRPr="00247126" w:rsidDel="000D1D60">
        <w:t xml:space="preserve"> </w:t>
      </w:r>
      <w:r w:rsidR="000D1D60" w:rsidRPr="00247126">
        <w:t xml:space="preserve">MACE was defined </w:t>
      </w:r>
      <w:r w:rsidR="00A9455C" w:rsidRPr="00247126">
        <w:t xml:space="preserve">as </w:t>
      </w:r>
      <w:r w:rsidR="00D52D11" w:rsidRPr="00247126">
        <w:t xml:space="preserve">composite of </w:t>
      </w:r>
      <w:r w:rsidR="00A9455C" w:rsidRPr="00247126">
        <w:t>death from a cardiac cause, target</w:t>
      </w:r>
      <w:r w:rsidR="00201E25" w:rsidRPr="00247126">
        <w:t xml:space="preserve"> </w:t>
      </w:r>
      <w:r w:rsidR="00A9455C" w:rsidRPr="00247126">
        <w:t>lesion MI, or ischemia-driven TLR.</w:t>
      </w:r>
    </w:p>
    <w:p w14:paraId="16FBC9E2" w14:textId="184750B0" w:rsidR="00A9455C" w:rsidRPr="00247126" w:rsidRDefault="00476341" w:rsidP="00A9455C">
      <w:pPr>
        <w:pStyle w:val="Tablenotes0"/>
      </w:pPr>
      <w:r w:rsidRPr="00247126">
        <w:t>d</w:t>
      </w:r>
      <w:r w:rsidR="00A9455C" w:rsidRPr="00247126">
        <w:t xml:space="preserve"> TVF was defined as composite of death from </w:t>
      </w:r>
      <w:r w:rsidR="006F0D8C" w:rsidRPr="00247126">
        <w:t xml:space="preserve">a </w:t>
      </w:r>
      <w:r w:rsidR="00A9455C" w:rsidRPr="00247126">
        <w:t xml:space="preserve">cardiac cause, target vessel MI, or </w:t>
      </w:r>
      <w:proofErr w:type="gramStart"/>
      <w:r w:rsidR="00A9455C" w:rsidRPr="00247126">
        <w:t>ischemia-driven</w:t>
      </w:r>
      <w:proofErr w:type="gramEnd"/>
      <w:r w:rsidR="00A9455C" w:rsidRPr="00247126">
        <w:t xml:space="preserve"> TVR.</w:t>
      </w:r>
    </w:p>
    <w:p w14:paraId="547CADBB" w14:textId="68FAA557" w:rsidR="00A9455C" w:rsidRPr="00247126" w:rsidRDefault="004F7A0F" w:rsidP="00A9455C">
      <w:pPr>
        <w:pStyle w:val="Tablenotes0"/>
      </w:pPr>
      <w:r w:rsidRPr="00247126">
        <w:t>e</w:t>
      </w:r>
      <w:r w:rsidR="00AA7FB1" w:rsidRPr="00247126">
        <w:t xml:space="preserve"> </w:t>
      </w:r>
      <w:proofErr w:type="spellStart"/>
      <w:r w:rsidR="00A9455C" w:rsidRPr="00247126">
        <w:t>EuroQoL</w:t>
      </w:r>
      <w:proofErr w:type="spellEnd"/>
      <w:r w:rsidR="00A9455C" w:rsidRPr="00247126">
        <w:t xml:space="preserve"> EQ-5D-5L was completed at baseline</w:t>
      </w:r>
      <w:r w:rsidR="002A5861" w:rsidRPr="00247126">
        <w:t xml:space="preserve"> </w:t>
      </w:r>
      <w:r w:rsidR="00A9455C" w:rsidRPr="00247126">
        <w:t>and at 30-day, 1-yr and 2-yr follow-up. Results</w:t>
      </w:r>
      <w:r w:rsidR="00A9455C" w:rsidRPr="00247126" w:rsidDel="002A5861">
        <w:t xml:space="preserve"> </w:t>
      </w:r>
      <w:r w:rsidR="00B01487" w:rsidRPr="00247126">
        <w:t xml:space="preserve">were </w:t>
      </w:r>
      <w:r w:rsidR="00A9455C" w:rsidRPr="00247126">
        <w:t>not included in the primary publication but are planned for a future publication.</w:t>
      </w:r>
    </w:p>
    <w:p w14:paraId="4C245D49" w14:textId="4A200A0E" w:rsidR="009E4B03" w:rsidRPr="00247126" w:rsidRDefault="00A9455C" w:rsidP="00A9455C">
      <w:pPr>
        <w:pStyle w:val="Tablenotes0"/>
      </w:pPr>
      <w:r w:rsidRPr="00247126">
        <w:t xml:space="preserve">Source: </w:t>
      </w:r>
      <w:r w:rsidR="00F81170" w:rsidRPr="00247126">
        <w:t xml:space="preserve">Adapted from Table 19 </w:t>
      </w:r>
      <w:r w:rsidR="006A28D2" w:rsidRPr="00247126">
        <w:t xml:space="preserve">of </w:t>
      </w:r>
      <w:r w:rsidR="00F81170" w:rsidRPr="00247126">
        <w:t>MSAC 1743</w:t>
      </w:r>
      <w:r w:rsidR="006A28D2" w:rsidRPr="00247126">
        <w:t xml:space="preserve"> </w:t>
      </w:r>
      <w:proofErr w:type="spellStart"/>
      <w:r w:rsidR="006A28D2" w:rsidRPr="00247126">
        <w:t>ADAR+in-line</w:t>
      </w:r>
      <w:proofErr w:type="spellEnd"/>
      <w:r w:rsidR="00F81170" w:rsidRPr="00247126">
        <w:t xml:space="preserve"> commentary.</w:t>
      </w:r>
    </w:p>
    <w:p w14:paraId="7542D9D7" w14:textId="77777777" w:rsidR="001F2635" w:rsidRPr="00247126" w:rsidRDefault="001F2635" w:rsidP="006F4F8B">
      <w:pPr>
        <w:pStyle w:val="Heading3"/>
      </w:pPr>
      <w:r w:rsidRPr="00247126">
        <w:lastRenderedPageBreak/>
        <w:t>Baseline demographics and characteristics</w:t>
      </w:r>
    </w:p>
    <w:p w14:paraId="1555444B" w14:textId="28A552F4" w:rsidR="00ED0EB1" w:rsidRPr="00247126" w:rsidRDefault="00092CF5" w:rsidP="00ED0EB1">
      <w:r w:rsidRPr="00247126">
        <w:t>For the ILUMIEN IV and OCTIVUS trials</w:t>
      </w:r>
      <w:r w:rsidR="001C33EA" w:rsidRPr="00247126">
        <w:t>,</w:t>
      </w:r>
      <w:r w:rsidR="00A02258" w:rsidRPr="00247126">
        <w:t xml:space="preserve"> the benefits of randomisation in the ITT population w</w:t>
      </w:r>
      <w:r w:rsidR="00BC1D09" w:rsidRPr="00247126">
        <w:t>ere</w:t>
      </w:r>
      <w:r w:rsidR="00A02258" w:rsidRPr="00247126">
        <w:t xml:space="preserve"> lost for the subgroup</w:t>
      </w:r>
      <w:r w:rsidR="00F811B5" w:rsidRPr="00247126">
        <w:t xml:space="preserve"> analyse</w:t>
      </w:r>
      <w:r w:rsidR="00A02258" w:rsidRPr="00247126">
        <w:t>s</w:t>
      </w:r>
      <w:r w:rsidR="00E52BC4" w:rsidRPr="00247126">
        <w:t xml:space="preserve">, meaning that baseline characteristics were not always comparable between the </w:t>
      </w:r>
      <w:r w:rsidR="00743D54" w:rsidRPr="00247126">
        <w:t>OCT+AG and AG alone or IVUS+AG arms.</w:t>
      </w:r>
    </w:p>
    <w:p w14:paraId="4600338A" w14:textId="25C95A94" w:rsidR="00252DCF" w:rsidRPr="00247126" w:rsidRDefault="00327EE5" w:rsidP="00ED0EB1">
      <w:r w:rsidRPr="00247126">
        <w:t>Whil</w:t>
      </w:r>
      <w:r w:rsidR="00BC1D09" w:rsidRPr="00247126">
        <w:t>e</w:t>
      </w:r>
      <w:r w:rsidRPr="00247126">
        <w:t xml:space="preserve"> the ADAR noted some</w:t>
      </w:r>
      <w:r w:rsidR="00F54848" w:rsidRPr="00247126">
        <w:t xml:space="preserve"> differences in baseline characteristics between the OCT+AG and AG alone arms in the </w:t>
      </w:r>
      <w:r w:rsidR="00131C9D" w:rsidRPr="00247126">
        <w:t xml:space="preserve">bifurcation, severe </w:t>
      </w:r>
      <w:proofErr w:type="gramStart"/>
      <w:r w:rsidR="00131C9D" w:rsidRPr="00247126">
        <w:t>calcification</w:t>
      </w:r>
      <w:proofErr w:type="gramEnd"/>
      <w:r w:rsidR="00131C9D" w:rsidRPr="00247126">
        <w:t xml:space="preserve"> and stent failure subgroups of the ILUMIEN IV trial, these </w:t>
      </w:r>
      <w:r w:rsidR="0078384D" w:rsidRPr="00247126">
        <w:t xml:space="preserve">differences </w:t>
      </w:r>
      <w:r w:rsidR="00131C9D" w:rsidRPr="00247126">
        <w:t>generally did not reach statistical significance</w:t>
      </w:r>
      <w:r w:rsidR="002D3277" w:rsidRPr="00247126">
        <w:t>. This was</w:t>
      </w:r>
      <w:r w:rsidR="00131C9D" w:rsidRPr="00247126">
        <w:t xml:space="preserve"> likely in part due to the small sample sizes.</w:t>
      </w:r>
      <w:r w:rsidR="00252DCF" w:rsidRPr="00247126">
        <w:t xml:space="preserve"> The one exception</w:t>
      </w:r>
      <w:r w:rsidR="008A7E65" w:rsidRPr="00247126">
        <w:t xml:space="preserve"> to this</w:t>
      </w:r>
      <w:r w:rsidR="00252DCF" w:rsidRPr="00247126">
        <w:t xml:space="preserve"> was </w:t>
      </w:r>
      <w:r w:rsidR="00E6760D" w:rsidRPr="00247126">
        <w:t xml:space="preserve">prior </w:t>
      </w:r>
      <w:r w:rsidR="00CB79AD" w:rsidRPr="00247126">
        <w:t>myocardial infarction (</w:t>
      </w:r>
      <w:r w:rsidR="00E6760D" w:rsidRPr="00247126">
        <w:t>MI</w:t>
      </w:r>
      <w:r w:rsidR="00CB79AD" w:rsidRPr="00247126">
        <w:t>)</w:t>
      </w:r>
      <w:r w:rsidR="00E6760D" w:rsidRPr="00247126">
        <w:t xml:space="preserve"> in the stent failure subgroup, which was </w:t>
      </w:r>
      <w:r w:rsidR="00186B29" w:rsidRPr="00247126">
        <w:t>statistically significantly higher in the AG alone arm</w:t>
      </w:r>
      <w:r w:rsidR="008A7E65" w:rsidRPr="00247126">
        <w:t xml:space="preserve"> than the OCT+AG arm</w:t>
      </w:r>
      <w:r w:rsidR="002D3277" w:rsidRPr="00247126">
        <w:t>.</w:t>
      </w:r>
    </w:p>
    <w:p w14:paraId="7CD7446C" w14:textId="6D0EE20A" w:rsidR="00327EE5" w:rsidRPr="00247126" w:rsidRDefault="002D4F47" w:rsidP="00ED0EB1">
      <w:r w:rsidRPr="00247126">
        <w:t>In the</w:t>
      </w:r>
      <w:r w:rsidR="00252DCF" w:rsidRPr="00247126">
        <w:t xml:space="preserve"> ILUMIEN IV long</w:t>
      </w:r>
      <w:r w:rsidR="00A26990" w:rsidRPr="00247126">
        <w:t>/multiple</w:t>
      </w:r>
      <w:r w:rsidR="00252DCF" w:rsidRPr="00247126">
        <w:t xml:space="preserve"> lesion subgroup</w:t>
      </w:r>
      <w:r w:rsidRPr="00247126">
        <w:t xml:space="preserve">, </w:t>
      </w:r>
      <w:r w:rsidR="00252DCF" w:rsidRPr="00247126">
        <w:t xml:space="preserve">the OCT+AG </w:t>
      </w:r>
      <w:r w:rsidR="000D1B5C" w:rsidRPr="00247126">
        <w:t>arm ha</w:t>
      </w:r>
      <w:r w:rsidR="009A6C64" w:rsidRPr="00247126">
        <w:t>d</w:t>
      </w:r>
      <w:r w:rsidR="000D1B5C" w:rsidRPr="00247126">
        <w:t xml:space="preserve"> a higher</w:t>
      </w:r>
      <w:r w:rsidR="00252DCF" w:rsidRPr="00247126">
        <w:t xml:space="preserve"> proportion of male patients (81% vs. 76%, p = 0.013)</w:t>
      </w:r>
      <w:r w:rsidR="00FC2888" w:rsidRPr="00247126">
        <w:t xml:space="preserve"> than the AG alone arm. </w:t>
      </w:r>
      <w:r w:rsidR="00734B6E" w:rsidRPr="00247126">
        <w:t xml:space="preserve">The </w:t>
      </w:r>
      <w:r w:rsidR="00252DCF" w:rsidRPr="00247126">
        <w:t xml:space="preserve">OCTIVUS long lesion subgroup </w:t>
      </w:r>
      <w:r w:rsidR="00734B6E" w:rsidRPr="00247126">
        <w:t>had a higher</w:t>
      </w:r>
      <w:r w:rsidR="00252DCF" w:rsidRPr="00247126">
        <w:t xml:space="preserve"> proportion of patients with congestive heart failure </w:t>
      </w:r>
      <w:r w:rsidR="00214FA2" w:rsidRPr="00247126">
        <w:t xml:space="preserve">in the OCT+AG arm than the IVUS+AG arm </w:t>
      </w:r>
      <w:r w:rsidR="00252DCF" w:rsidRPr="00247126">
        <w:t>(3.1% vs. 1.3%, p = 0.035).</w:t>
      </w:r>
    </w:p>
    <w:p w14:paraId="35ACE704" w14:textId="47DCB1C5" w:rsidR="009D6CBC" w:rsidRPr="00247126" w:rsidRDefault="009D6CBC" w:rsidP="00ED0EB1">
      <w:r w:rsidRPr="00247126">
        <w:t xml:space="preserve">In the absence of randomisation </w:t>
      </w:r>
      <w:r w:rsidR="00610FCF" w:rsidRPr="00247126">
        <w:t xml:space="preserve">or other statistical adjustment </w:t>
      </w:r>
      <w:r w:rsidRPr="00247126">
        <w:t>in these subgroups it is also possible that the arms were not balanced</w:t>
      </w:r>
      <w:r w:rsidR="008A5940" w:rsidRPr="00247126">
        <w:t xml:space="preserve"> for other important characteristics that were not measured or </w:t>
      </w:r>
      <w:r w:rsidR="00C46C41" w:rsidRPr="00247126">
        <w:t xml:space="preserve">not </w:t>
      </w:r>
      <w:r w:rsidR="008A5940" w:rsidRPr="00247126">
        <w:t>reported.</w:t>
      </w:r>
    </w:p>
    <w:p w14:paraId="12CE7D64" w14:textId="56786137" w:rsidR="004F35C2" w:rsidRPr="00247126" w:rsidRDefault="001F2635" w:rsidP="001F2635">
      <w:pPr>
        <w:pStyle w:val="Heading3"/>
      </w:pPr>
      <w:r w:rsidRPr="00247126">
        <w:t>Procedural details</w:t>
      </w:r>
      <w:r w:rsidR="003D4EF2" w:rsidRPr="00247126">
        <w:t xml:space="preserve"> </w:t>
      </w:r>
    </w:p>
    <w:p w14:paraId="773B2AA3" w14:textId="05E25BA3" w:rsidR="00BF20F6" w:rsidRPr="00247126" w:rsidRDefault="007F286C" w:rsidP="00BF20F6">
      <w:r w:rsidRPr="00247126">
        <w:t xml:space="preserve">The level of site experience with OCT in the OCTOBER trial </w:t>
      </w:r>
      <w:r w:rsidR="00F84456" w:rsidRPr="00247126">
        <w:t>wa</w:t>
      </w:r>
      <w:r w:rsidRPr="00247126">
        <w:t>s unclear. Sites were</w:t>
      </w:r>
      <w:r w:rsidRPr="00247126" w:rsidDel="000B2D1E">
        <w:t xml:space="preserve"> </w:t>
      </w:r>
      <w:r w:rsidRPr="00247126">
        <w:t xml:space="preserve">required to have completed at least one case of bifurcation stent implantation with OCT guidance and to </w:t>
      </w:r>
      <w:r w:rsidR="00DB3573" w:rsidRPr="00247126">
        <w:t xml:space="preserve">have </w:t>
      </w:r>
      <w:r w:rsidRPr="00247126">
        <w:t>participate</w:t>
      </w:r>
      <w:r w:rsidR="00DB3573" w:rsidRPr="00247126">
        <w:t>d</w:t>
      </w:r>
      <w:r w:rsidRPr="00247126">
        <w:t xml:space="preserve"> in an online feedback session before entering the study.</w:t>
      </w:r>
      <w:r w:rsidR="005E2846" w:rsidRPr="00247126">
        <w:t xml:space="preserve"> </w:t>
      </w:r>
      <w:r w:rsidR="00BF20F6" w:rsidRPr="00247126">
        <w:t xml:space="preserve">Due to the limited training received by OCTOBER investigators before entering the study, investigators were given confidential “next day” case-by-case core laboratory feedback. The feedback was intended for continuous training in OCT-guided PCI and to maximise </w:t>
      </w:r>
      <w:r w:rsidR="009550D1" w:rsidRPr="00247126">
        <w:t xml:space="preserve">study protocol </w:t>
      </w:r>
      <w:r w:rsidR="00BF20F6" w:rsidRPr="00247126">
        <w:t>adherence. The trial was not designed to detect if the feedback sessions changed the treatment</w:t>
      </w:r>
      <w:r w:rsidR="00CB3E7C" w:rsidRPr="00247126">
        <w:t xml:space="preserve">, and </w:t>
      </w:r>
      <w:r w:rsidR="00E94189" w:rsidRPr="00247126">
        <w:t xml:space="preserve">it is possible that </w:t>
      </w:r>
      <w:r w:rsidR="00CB3E7C" w:rsidRPr="00247126">
        <w:t>t</w:t>
      </w:r>
      <w:r w:rsidR="00BF20F6" w:rsidRPr="00247126">
        <w:t>h</w:t>
      </w:r>
      <w:r w:rsidR="00B95381" w:rsidRPr="00247126">
        <w:t>is</w:t>
      </w:r>
      <w:r w:rsidR="00BF20F6" w:rsidRPr="00247126">
        <w:t xml:space="preserve"> structured feedback could have introduced bias.</w:t>
      </w:r>
    </w:p>
    <w:p w14:paraId="50E600B7" w14:textId="7BF638DA" w:rsidR="00CE48EC" w:rsidRPr="00247126" w:rsidRDefault="00CE48EC" w:rsidP="00CE48EC">
      <w:pPr>
        <w:pStyle w:val="Heading3"/>
      </w:pPr>
      <w:r w:rsidRPr="00247126">
        <w:t>Applicability</w:t>
      </w:r>
    </w:p>
    <w:p w14:paraId="22C853F2" w14:textId="01DABB06" w:rsidR="00CE48EC" w:rsidRPr="00247126" w:rsidRDefault="00CE48EC" w:rsidP="00CE48EC">
      <w:r w:rsidRPr="00247126">
        <w:t xml:space="preserve">Overall, relevant data from the OCTOBER, ILUMIEN IV and OCTIVUS trials </w:t>
      </w:r>
      <w:r w:rsidR="003F0FBB" w:rsidRPr="00247126">
        <w:t>were</w:t>
      </w:r>
      <w:r w:rsidRPr="00247126">
        <w:t xml:space="preserve"> considered reasonably applicable to the Australian treatment setting in terms of population, intervention</w:t>
      </w:r>
      <w:r w:rsidR="006445CB" w:rsidRPr="00247126">
        <w:t>,</w:t>
      </w:r>
      <w:r w:rsidRPr="00247126">
        <w:t xml:space="preserve"> comparator</w:t>
      </w:r>
      <w:r w:rsidR="006445CB" w:rsidRPr="00247126">
        <w:t>,</w:t>
      </w:r>
      <w:r w:rsidRPr="00247126">
        <w:t xml:space="preserve"> and the healthcare system. </w:t>
      </w:r>
      <w:r w:rsidR="00DB3573" w:rsidRPr="00247126">
        <w:t xml:space="preserve">However, the </w:t>
      </w:r>
      <w:r w:rsidRPr="00247126">
        <w:t xml:space="preserve">applicability information provided in the ADAR </w:t>
      </w:r>
      <w:r w:rsidR="004776D0" w:rsidRPr="00247126">
        <w:t>wa</w:t>
      </w:r>
      <w:r w:rsidRPr="00247126">
        <w:t>s not sufficient to determine whether the trial populations would be eligible for the MBS items for PCI for stent insertion.</w:t>
      </w:r>
    </w:p>
    <w:p w14:paraId="250B8CD8" w14:textId="77777777" w:rsidR="008E2D9D" w:rsidRPr="00247126" w:rsidRDefault="008E2D9D" w:rsidP="008E2D9D">
      <w:pPr>
        <w:pStyle w:val="Heading3"/>
      </w:pPr>
      <w:r w:rsidRPr="00247126">
        <w:t>Alignment with the PICO confirmation</w:t>
      </w:r>
    </w:p>
    <w:p w14:paraId="4726FA62" w14:textId="77777777" w:rsidR="008E2D9D" w:rsidRPr="00247126" w:rsidRDefault="008E2D9D" w:rsidP="008E2D9D">
      <w:pPr>
        <w:pStyle w:val="Heading4"/>
      </w:pPr>
      <w:r w:rsidRPr="00247126">
        <w:t>Population</w:t>
      </w:r>
    </w:p>
    <w:p w14:paraId="3D60591E" w14:textId="676D9FAA" w:rsidR="008E2D9D" w:rsidRPr="00247126" w:rsidRDefault="008E2D9D" w:rsidP="008E2D9D">
      <w:r w:rsidRPr="00247126">
        <w:t xml:space="preserve">For the bifurcation subpopulation, the OCTOBER trial </w:t>
      </w:r>
      <w:r w:rsidR="006F6889" w:rsidRPr="00247126">
        <w:t>wa</w:t>
      </w:r>
      <w:r w:rsidRPr="00247126">
        <w:t>s directly applicable to the proposed population for OCT whereas the bifurcation subgroup in ILUMIEN IV represent</w:t>
      </w:r>
      <w:r w:rsidR="006F6889" w:rsidRPr="00247126">
        <w:t>ed</w:t>
      </w:r>
      <w:r w:rsidRPr="00247126">
        <w:t xml:space="preserve"> only a subset of the proposed bifurcation population (those intended to be treated with two planned stents).</w:t>
      </w:r>
    </w:p>
    <w:p w14:paraId="3447B3BC" w14:textId="739322E2" w:rsidR="008E2D9D" w:rsidRPr="00247126" w:rsidRDefault="008E2D9D" w:rsidP="008E2D9D">
      <w:r w:rsidRPr="00247126">
        <w:t>The proposed long</w:t>
      </w:r>
      <w:r w:rsidR="00FC5699" w:rsidRPr="00247126">
        <w:t>/multiple</w:t>
      </w:r>
      <w:r w:rsidRPr="00247126">
        <w:t xml:space="preserve"> lesion and severe calcification subpopulations were informed by the eligibility criteria of ILUMIEN IV, meaning the ILUMIEN IV subgroup data supporting these subpopulations </w:t>
      </w:r>
      <w:r w:rsidR="006F6889" w:rsidRPr="00247126">
        <w:t>were</w:t>
      </w:r>
      <w:r w:rsidRPr="00247126">
        <w:t xml:space="preserve"> directly applicable.</w:t>
      </w:r>
    </w:p>
    <w:p w14:paraId="3DC6F2FD" w14:textId="2F015486" w:rsidR="008E2D9D" w:rsidRPr="00247126" w:rsidRDefault="008E2D9D" w:rsidP="008E2D9D">
      <w:r w:rsidRPr="00247126">
        <w:lastRenderedPageBreak/>
        <w:t xml:space="preserve">The proposed stent failure </w:t>
      </w:r>
      <w:r w:rsidR="008C2BE0" w:rsidRPr="00247126">
        <w:t xml:space="preserve">subpopulation </w:t>
      </w:r>
      <w:r w:rsidR="006F6889" w:rsidRPr="00247126">
        <w:t>wa</w:t>
      </w:r>
      <w:r w:rsidRPr="00247126">
        <w:t>s broader than the ILUMIEN IV</w:t>
      </w:r>
      <w:r w:rsidR="00EC390E" w:rsidRPr="00247126">
        <w:t xml:space="preserve"> subgroup</w:t>
      </w:r>
      <w:r w:rsidRPr="00247126">
        <w:t xml:space="preserve">, which </w:t>
      </w:r>
      <w:r w:rsidR="006F6889" w:rsidRPr="00247126">
        <w:t>wa</w:t>
      </w:r>
      <w:r w:rsidRPr="00247126">
        <w:t>s restricted to in-stent restenosis of diffuse or multi-focal pattern. The data presented in the ADAR represent</w:t>
      </w:r>
      <w:r w:rsidR="004F3313" w:rsidRPr="00247126">
        <w:t>ed</w:t>
      </w:r>
      <w:r w:rsidRPr="00247126">
        <w:t xml:space="preserve"> a subset of the population defined in the PICO (which include</w:t>
      </w:r>
      <w:r w:rsidR="004F3313" w:rsidRPr="00247126">
        <w:t>d</w:t>
      </w:r>
      <w:r w:rsidRPr="00247126">
        <w:t xml:space="preserve"> </w:t>
      </w:r>
      <w:r w:rsidR="00D851D2" w:rsidRPr="00247126">
        <w:t xml:space="preserve">patients with </w:t>
      </w:r>
      <w:r w:rsidRPr="00247126">
        <w:t xml:space="preserve">stent thrombosis) and </w:t>
      </w:r>
      <w:r w:rsidR="00D645D7" w:rsidRPr="00247126">
        <w:t xml:space="preserve">the commentary noted that </w:t>
      </w:r>
      <w:r w:rsidR="00C361DB" w:rsidRPr="00247126">
        <w:t xml:space="preserve">it </w:t>
      </w:r>
      <w:r w:rsidR="009C165C" w:rsidRPr="00247126">
        <w:t>may not be an appropriate</w:t>
      </w:r>
      <w:r w:rsidRPr="00247126">
        <w:t xml:space="preserve"> proxy.</w:t>
      </w:r>
    </w:p>
    <w:p w14:paraId="14649686" w14:textId="61145B70" w:rsidR="008E2D9D" w:rsidRPr="00247126" w:rsidRDefault="008E2D9D" w:rsidP="008E2D9D">
      <w:r w:rsidRPr="00247126">
        <w:t xml:space="preserve">The long lesion subgroup in the OCTIVUS trial was defined in a way that was broadly consistent with the definition of the proposed </w:t>
      </w:r>
      <w:r w:rsidR="00B070EF" w:rsidRPr="00247126">
        <w:t>sub</w:t>
      </w:r>
      <w:r w:rsidRPr="00247126">
        <w:t xml:space="preserve">population for OCT. Data from this subgroup from OCTIVUS </w:t>
      </w:r>
      <w:r w:rsidR="001673FF" w:rsidRPr="00247126">
        <w:t>wa</w:t>
      </w:r>
      <w:r w:rsidRPr="00247126">
        <w:t xml:space="preserve">s broadly applicable to the proposed </w:t>
      </w:r>
      <w:r w:rsidR="0056687D" w:rsidRPr="00247126">
        <w:t>sub</w:t>
      </w:r>
      <w:r w:rsidRPr="00247126">
        <w:t>population for the OCT+AG versus IVUS+AG comparison.</w:t>
      </w:r>
    </w:p>
    <w:p w14:paraId="71EF5883" w14:textId="77777777" w:rsidR="008E2D9D" w:rsidRPr="00247126" w:rsidRDefault="008E2D9D" w:rsidP="008E2D9D">
      <w:pPr>
        <w:pStyle w:val="Heading4"/>
      </w:pPr>
      <w:r w:rsidRPr="00247126">
        <w:t>Comparator</w:t>
      </w:r>
    </w:p>
    <w:p w14:paraId="08386A50" w14:textId="2DB632A1" w:rsidR="00DB6429" w:rsidRPr="00247126" w:rsidRDefault="00271A03" w:rsidP="008E2D9D">
      <w:r w:rsidRPr="00247126">
        <w:t xml:space="preserve">The commentary noted that it </w:t>
      </w:r>
      <w:r w:rsidR="008E2D9D" w:rsidRPr="00247126">
        <w:t>may be more appropriate to consider the comparator in the OCTOBER trial as AG ± IVUS-guided PCI, rather than AG-guided PCI as reported in the ADAR. Fifteen percent of patients randomised to AG-guided PCI underwent IVUS-guided PCI, which was not encouraged but allowed at the operators’ discretion in patients with a lesion located at a left main coronary</w:t>
      </w:r>
      <w:r w:rsidR="00CA4C2C" w:rsidRPr="00247126">
        <w:t xml:space="preserve"> </w:t>
      </w:r>
      <w:r w:rsidR="008E2D9D" w:rsidRPr="00247126">
        <w:t>artery bifurcation</w:t>
      </w:r>
      <w:r w:rsidR="00A75234" w:rsidRPr="00247126">
        <w:t xml:space="preserve"> (36% </w:t>
      </w:r>
      <w:r w:rsidR="00C94171" w:rsidRPr="00247126">
        <w:t xml:space="preserve">of cases where IVUS was used </w:t>
      </w:r>
      <w:r w:rsidR="00A75234" w:rsidRPr="00247126">
        <w:t>were protocol violations)</w:t>
      </w:r>
      <w:r w:rsidR="008E2D9D" w:rsidRPr="00247126">
        <w:t xml:space="preserve">. The ADAR assumed that this </w:t>
      </w:r>
      <w:r w:rsidR="000D1BA0" w:rsidRPr="00247126">
        <w:t>wa</w:t>
      </w:r>
      <w:r w:rsidR="008E2D9D" w:rsidRPr="00247126">
        <w:t xml:space="preserve">s likely to have favoured the AG-guided PCI group and underestimated the true intervention effect of OCT+AG-guided PCI versus AG alone. However, a post hoc analysis showed higher rates of major adverse cardiac events (MACE) in IVUS-guided patients randomised to AG-guided PCI compared with AG-guided PCI alone (20.1% versus 13.0%). </w:t>
      </w:r>
      <w:r w:rsidR="00BC72EE" w:rsidRPr="00247126">
        <w:t xml:space="preserve">The commentary noted that this </w:t>
      </w:r>
      <w:r w:rsidR="008E2D9D" w:rsidRPr="00247126">
        <w:t>finding may reflect that these patients were more complex, hence requiring intravascular imaging.</w:t>
      </w:r>
    </w:p>
    <w:p w14:paraId="1AB98192" w14:textId="77777777" w:rsidR="008E2D9D" w:rsidRPr="00247126" w:rsidRDefault="008E2D9D" w:rsidP="008E2D9D">
      <w:pPr>
        <w:pStyle w:val="Heading4"/>
      </w:pPr>
      <w:r w:rsidRPr="00247126">
        <w:t>Outcomes</w:t>
      </w:r>
    </w:p>
    <w:p w14:paraId="59AC7BEE" w14:textId="41C126F3" w:rsidR="008E2D9D" w:rsidRPr="00247126" w:rsidRDefault="008E2D9D" w:rsidP="008E2D9D">
      <w:r w:rsidRPr="00247126">
        <w:t xml:space="preserve">The efficacy and safety outcomes included in the ADAR </w:t>
      </w:r>
      <w:r w:rsidR="00CF7AC9" w:rsidRPr="00247126">
        <w:t>we</w:t>
      </w:r>
      <w:r w:rsidRPr="00247126">
        <w:t>re generally consistent with the PICO. In-stent restenosis and health-related quality of life were not reported in any of the included publications and were therefore not reported in the ADAR.</w:t>
      </w:r>
    </w:p>
    <w:p w14:paraId="491B34A6" w14:textId="57FF8856" w:rsidR="008E2D9D" w:rsidRPr="00247126" w:rsidRDefault="008E2D9D" w:rsidP="008E2D9D">
      <w:r w:rsidRPr="00247126">
        <w:t xml:space="preserve">Most notably, the primary composite outcome used in OCTOBER (MACE) was not an outcome specified in the PICO. MACE was defined in OCTOBER as death from cardiac causes, target lesion MI, or ischemia-driven target lesion revascularisation (TLR). By contrast, the PICO composite outcome of target vessel failure (TVF) was defined as the composite of cardiac death, target vessel MI, or ischemia-driven target vessel revascularisation (TVR). Therefore, the OCTOBER definition of MACE </w:t>
      </w:r>
      <w:r w:rsidR="00C469C0" w:rsidRPr="00247126">
        <w:t>wa</w:t>
      </w:r>
      <w:r w:rsidRPr="00247126">
        <w:t>s not aligned with the PICO and the commentary considered the outcomes too dissimilar to justify meta-analysis.</w:t>
      </w:r>
    </w:p>
    <w:p w14:paraId="7EACEB60" w14:textId="7EEB6C7E" w:rsidR="008E2D9D" w:rsidRPr="00247126" w:rsidRDefault="008E2D9D" w:rsidP="00CE48EC">
      <w:r w:rsidRPr="00247126">
        <w:t xml:space="preserve">There were differences in the definitions of cardiac mortality, </w:t>
      </w:r>
      <w:proofErr w:type="gramStart"/>
      <w:r w:rsidRPr="00247126">
        <w:t>MI</w:t>
      </w:r>
      <w:proofErr w:type="gramEnd"/>
      <w:r w:rsidRPr="00247126">
        <w:t xml:space="preserve"> and revascularisation between the three trials</w:t>
      </w:r>
      <w:r w:rsidR="00C469C0" w:rsidRPr="00247126">
        <w:t>.</w:t>
      </w:r>
      <w:r w:rsidRPr="00247126">
        <w:t xml:space="preserve"> </w:t>
      </w:r>
      <w:r w:rsidR="00C469C0" w:rsidRPr="00247126">
        <w:t>S</w:t>
      </w:r>
      <w:r w:rsidRPr="00247126">
        <w:t>tent thrombosis was also categorised differently between the trials.</w:t>
      </w:r>
    </w:p>
    <w:p w14:paraId="3B9FC2AD" w14:textId="49544FE4" w:rsidR="00772829" w:rsidRPr="00247126" w:rsidRDefault="00247B6B" w:rsidP="002A18BE">
      <w:pPr>
        <w:pStyle w:val="Heading2"/>
        <w:numPr>
          <w:ilvl w:val="0"/>
          <w:numId w:val="0"/>
        </w:numPr>
      </w:pPr>
      <w:bookmarkStart w:id="15" w:name="ColumnTitle_Table3"/>
      <w:bookmarkStart w:id="16" w:name="_Toc69491423"/>
      <w:bookmarkEnd w:id="15"/>
      <w:r w:rsidRPr="00247126">
        <w:t>11</w:t>
      </w:r>
      <w:r w:rsidR="00C36633" w:rsidRPr="00247126">
        <w:t>.</w:t>
      </w:r>
      <w:r w:rsidR="00C36633" w:rsidRPr="00247126">
        <w:tab/>
      </w:r>
      <w:r w:rsidR="00772829" w:rsidRPr="00247126">
        <w:t>Comparative safety</w:t>
      </w:r>
      <w:bookmarkEnd w:id="16"/>
    </w:p>
    <w:p w14:paraId="34E7C270" w14:textId="391C1077" w:rsidR="00B37705" w:rsidRPr="00247126" w:rsidRDefault="00B37705" w:rsidP="00B37705">
      <w:pPr>
        <w:pStyle w:val="Heading3"/>
      </w:pPr>
      <w:r w:rsidRPr="00247126">
        <w:t>OCT+AG versus AG alone</w:t>
      </w:r>
    </w:p>
    <w:p w14:paraId="0EBB0B57" w14:textId="3B932145" w:rsidR="001E5BF4" w:rsidRPr="00247126" w:rsidRDefault="00731A09" w:rsidP="001E5BF4">
      <w:r w:rsidRPr="00247126">
        <w:t xml:space="preserve">Key safety data from the OCTOBER ITT population for the bifurcation subgroup </w:t>
      </w:r>
      <w:r w:rsidR="00681130" w:rsidRPr="00247126">
        <w:t>are</w:t>
      </w:r>
      <w:r w:rsidRPr="00247126">
        <w:t xml:space="preserve"> presented in </w:t>
      </w:r>
      <w:r w:rsidRPr="00247126">
        <w:fldChar w:fldCharType="begin"/>
      </w:r>
      <w:r w:rsidRPr="00247126">
        <w:instrText xml:space="preserve"> REF _Ref163486207 \h </w:instrText>
      </w:r>
      <w:r w:rsidR="00C567A2" w:rsidRPr="00247126">
        <w:instrText xml:space="preserve"> \* MERGEFORMAT </w:instrText>
      </w:r>
      <w:r w:rsidRPr="00247126">
        <w:fldChar w:fldCharType="separate"/>
      </w:r>
      <w:r w:rsidR="00151E03" w:rsidRPr="00247126">
        <w:t xml:space="preserve">Table </w:t>
      </w:r>
      <w:r w:rsidR="00151E03" w:rsidRPr="00247126">
        <w:rPr>
          <w:noProof/>
        </w:rPr>
        <w:t>6</w:t>
      </w:r>
      <w:r w:rsidRPr="00247126">
        <w:fldChar w:fldCharType="end"/>
      </w:r>
      <w:r w:rsidRPr="00247126">
        <w:t xml:space="preserve">. </w:t>
      </w:r>
      <w:r w:rsidR="005241E1" w:rsidRPr="00247126">
        <w:t xml:space="preserve">The proportion of patients experiencing any procedural complication was similar between the </w:t>
      </w:r>
      <w:r w:rsidR="00E856CF" w:rsidRPr="00247126">
        <w:t>OCT+AG and AG alone arm</w:t>
      </w:r>
      <w:r w:rsidR="006F0189" w:rsidRPr="00247126">
        <w:t>s</w:t>
      </w:r>
      <w:r w:rsidR="005241E1" w:rsidRPr="00247126">
        <w:t xml:space="preserve"> </w:t>
      </w:r>
      <w:r w:rsidR="005A61C8" w:rsidRPr="00247126">
        <w:t>(</w:t>
      </w:r>
      <w:r w:rsidR="005241E1" w:rsidRPr="00247126">
        <w:t>6.8%</w:t>
      </w:r>
      <w:r w:rsidR="005A61C8" w:rsidRPr="00247126">
        <w:t xml:space="preserve"> vs 5.7%</w:t>
      </w:r>
      <w:r w:rsidR="008F52DC" w:rsidRPr="00247126">
        <w:t>)</w:t>
      </w:r>
      <w:r w:rsidR="00516DF1" w:rsidRPr="00247126">
        <w:t xml:space="preserve"> (GRADE certainty of evidence was </w:t>
      </w:r>
      <w:r w:rsidR="009A3025" w:rsidRPr="00247126">
        <w:t xml:space="preserve">considered </w:t>
      </w:r>
      <w:r w:rsidR="00516DF1" w:rsidRPr="00247126">
        <w:t>moderate</w:t>
      </w:r>
      <w:r w:rsidR="009A3025" w:rsidRPr="00247126">
        <w:t xml:space="preserve"> in the ADAR and the commentary</w:t>
      </w:r>
      <w:r w:rsidR="00516DF1" w:rsidRPr="00247126">
        <w:t>)</w:t>
      </w:r>
      <w:r w:rsidR="005241E1" w:rsidRPr="00247126">
        <w:t>. There were no statistically significant differences in the individual procedural complications between arms</w:t>
      </w:r>
      <w:r w:rsidR="000667AA" w:rsidRPr="00247126">
        <w:t>;</w:t>
      </w:r>
      <w:r w:rsidR="00EC6BE1" w:rsidRPr="00247126">
        <w:t xml:space="preserve"> </w:t>
      </w:r>
      <w:r w:rsidR="000667AA" w:rsidRPr="00247126">
        <w:t>however, f</w:t>
      </w:r>
      <w:r w:rsidR="00EE327D" w:rsidRPr="00247126">
        <w:t xml:space="preserve">our </w:t>
      </w:r>
      <w:r w:rsidR="00F2623E" w:rsidRPr="00247126">
        <w:t xml:space="preserve">complications </w:t>
      </w:r>
      <w:r w:rsidR="00EE327D" w:rsidRPr="00247126">
        <w:t>occurred more frequently in the OCT+AG arm</w:t>
      </w:r>
      <w:r w:rsidR="009B7BE6" w:rsidRPr="00247126">
        <w:t>:</w:t>
      </w:r>
      <w:r w:rsidR="00EE327D" w:rsidRPr="00247126">
        <w:t xml:space="preserve"> major bleeding</w:t>
      </w:r>
      <w:r w:rsidR="005E34F9" w:rsidRPr="00247126">
        <w:t xml:space="preserve"> (0.5% vs. 0.2%)</w:t>
      </w:r>
      <w:r w:rsidR="00EE327D" w:rsidRPr="00247126">
        <w:t>, vessel occlusion non-recovered</w:t>
      </w:r>
      <w:r w:rsidR="00DA1BCA" w:rsidRPr="00247126">
        <w:t xml:space="preserve"> (1.5% vs. 1.0%)</w:t>
      </w:r>
      <w:r w:rsidR="00EE327D" w:rsidRPr="00247126">
        <w:t>, dissection</w:t>
      </w:r>
      <w:r w:rsidR="00DA1BCA" w:rsidRPr="00247126">
        <w:t xml:space="preserve"> (1.8% vs. 1.3%) and</w:t>
      </w:r>
      <w:r w:rsidR="00EE327D" w:rsidRPr="00247126">
        <w:t xml:space="preserve"> contrast-associated acute kidney injury</w:t>
      </w:r>
      <w:r w:rsidR="00DA1BCA" w:rsidRPr="00247126">
        <w:t xml:space="preserve"> (0.2% vs. 0.0%</w:t>
      </w:r>
      <w:r w:rsidR="00EE327D" w:rsidRPr="00247126">
        <w:t>)</w:t>
      </w:r>
      <w:r w:rsidR="00DA1BCA" w:rsidRPr="00247126">
        <w:t>.</w:t>
      </w:r>
    </w:p>
    <w:p w14:paraId="72FD7A0A" w14:textId="59ECC6E4" w:rsidR="004A1F07" w:rsidRPr="00247126" w:rsidRDefault="00BE0E3B" w:rsidP="00BE0E3B">
      <w:pPr>
        <w:pStyle w:val="Caption"/>
      </w:pPr>
      <w:bookmarkStart w:id="17" w:name="_Ref163486207"/>
      <w:r w:rsidRPr="00247126">
        <w:lastRenderedPageBreak/>
        <w:t xml:space="preserve">Table </w:t>
      </w:r>
      <w:r w:rsidRPr="00247126">
        <w:fldChar w:fldCharType="begin"/>
      </w:r>
      <w:r w:rsidRPr="00247126">
        <w:instrText xml:space="preserve"> SEQ Table \* ARABIC </w:instrText>
      </w:r>
      <w:r w:rsidRPr="00247126">
        <w:fldChar w:fldCharType="separate"/>
      </w:r>
      <w:r w:rsidR="00151E03" w:rsidRPr="00247126">
        <w:rPr>
          <w:noProof/>
        </w:rPr>
        <w:t>6</w:t>
      </w:r>
      <w:r w:rsidRPr="00247126">
        <w:rPr>
          <w:noProof/>
        </w:rPr>
        <w:fldChar w:fldCharType="end"/>
      </w:r>
      <w:bookmarkEnd w:id="17"/>
      <w:r w:rsidRPr="00247126">
        <w:tab/>
        <w:t>Key safety data from OCTOBER</w:t>
      </w:r>
      <w:r w:rsidR="00B618AB" w:rsidRPr="00247126">
        <w:t>: OCT+AG vs</w:t>
      </w:r>
      <w:r w:rsidR="00EA31D3" w:rsidRPr="00247126">
        <w:t>.</w:t>
      </w:r>
      <w:r w:rsidR="00B618AB" w:rsidRPr="00247126">
        <w:t xml:space="preserve"> AG alone</w:t>
      </w:r>
    </w:p>
    <w:tbl>
      <w:tblPr>
        <w:tblStyle w:val="TableGrid"/>
        <w:tblW w:w="0" w:type="auto"/>
        <w:tblLook w:val="04A0" w:firstRow="1" w:lastRow="0" w:firstColumn="1" w:lastColumn="0" w:noHBand="0" w:noVBand="1"/>
        <w:tblCaption w:val="Key safety data from OCTOBER: OCT+AG vs. AG alone – bifurcation lesions"/>
        <w:tblDescription w:val="This table summarises the key safety data from OCTOBER: OCT+AG vs. AG alone for the bifurcation lesion subpopulation, including odds ratio, risk ratio and risk difference. "/>
      </w:tblPr>
      <w:tblGrid>
        <w:gridCol w:w="1980"/>
        <w:gridCol w:w="1263"/>
        <w:gridCol w:w="1264"/>
        <w:gridCol w:w="1503"/>
        <w:gridCol w:w="1503"/>
        <w:gridCol w:w="1503"/>
      </w:tblGrid>
      <w:tr w:rsidR="000E2D4A" w:rsidRPr="00247126" w14:paraId="24C1BA7F" w14:textId="77777777" w:rsidTr="00425B1C">
        <w:trPr>
          <w:tblHeader/>
        </w:trPr>
        <w:tc>
          <w:tcPr>
            <w:tcW w:w="1980" w:type="dxa"/>
          </w:tcPr>
          <w:p w14:paraId="5D175E9B" w14:textId="08D76A11" w:rsidR="000E2D4A" w:rsidRPr="00247126" w:rsidRDefault="000E2D4A" w:rsidP="000E2D4A">
            <w:pPr>
              <w:pStyle w:val="TableHeading0"/>
            </w:pPr>
            <w:r w:rsidRPr="00247126">
              <w:t>Event</w:t>
            </w:r>
          </w:p>
        </w:tc>
        <w:tc>
          <w:tcPr>
            <w:tcW w:w="1263" w:type="dxa"/>
          </w:tcPr>
          <w:p w14:paraId="649545E9" w14:textId="146E8E93" w:rsidR="003D7ECB" w:rsidRPr="00247126" w:rsidRDefault="000E2D4A" w:rsidP="00DF462B">
            <w:pPr>
              <w:pStyle w:val="TableHeading0"/>
            </w:pPr>
            <w:r w:rsidRPr="00247126">
              <w:t>OCT+AG</w:t>
            </w:r>
            <w:r w:rsidR="00DF462B" w:rsidRPr="00247126">
              <w:br/>
            </w:r>
            <w:r w:rsidR="003D7ECB" w:rsidRPr="00247126">
              <w:t>n/N (%)</w:t>
            </w:r>
          </w:p>
        </w:tc>
        <w:tc>
          <w:tcPr>
            <w:tcW w:w="1264" w:type="dxa"/>
          </w:tcPr>
          <w:p w14:paraId="4DA7E12C" w14:textId="7D0E1352" w:rsidR="003D7ECB" w:rsidRPr="00247126" w:rsidRDefault="003D7ECB" w:rsidP="00DF462B">
            <w:pPr>
              <w:pStyle w:val="TableHeading0"/>
            </w:pPr>
            <w:r w:rsidRPr="00247126">
              <w:t>AG alone</w:t>
            </w:r>
            <w:r w:rsidR="00DF462B" w:rsidRPr="00247126">
              <w:br/>
            </w:r>
            <w:r w:rsidRPr="00247126">
              <w:t>n/N (%)</w:t>
            </w:r>
          </w:p>
        </w:tc>
        <w:tc>
          <w:tcPr>
            <w:tcW w:w="1503" w:type="dxa"/>
          </w:tcPr>
          <w:p w14:paraId="3C76338B" w14:textId="124687C6" w:rsidR="000E2D4A" w:rsidRPr="00247126" w:rsidRDefault="009C04DF" w:rsidP="00DF462B">
            <w:pPr>
              <w:pStyle w:val="TableHeading0"/>
            </w:pPr>
            <w:r w:rsidRPr="00247126">
              <w:t xml:space="preserve">OR [95% </w:t>
            </w:r>
            <w:proofErr w:type="gramStart"/>
            <w:r w:rsidRPr="00247126">
              <w:t>CI]</w:t>
            </w:r>
            <w:r w:rsidR="000B7783" w:rsidRPr="00247126">
              <w:rPr>
                <w:vertAlign w:val="superscript"/>
              </w:rPr>
              <w:t>a</w:t>
            </w:r>
            <w:proofErr w:type="gramEnd"/>
            <w:r w:rsidR="00DF462B" w:rsidRPr="00247126">
              <w:br/>
            </w:r>
            <w:r w:rsidR="004F639A" w:rsidRPr="00247126">
              <w:t xml:space="preserve">OR </w:t>
            </w:r>
            <w:r w:rsidRPr="00247126">
              <w:t>&lt;1 favours OCT+AG</w:t>
            </w:r>
          </w:p>
        </w:tc>
        <w:tc>
          <w:tcPr>
            <w:tcW w:w="1503" w:type="dxa"/>
          </w:tcPr>
          <w:p w14:paraId="1DA43E2E" w14:textId="5EAFA3F9" w:rsidR="000E2D4A" w:rsidRPr="00247126" w:rsidRDefault="00541F7A" w:rsidP="00DF462B">
            <w:pPr>
              <w:pStyle w:val="TableHeading0"/>
            </w:pPr>
            <w:r w:rsidRPr="00247126">
              <w:t xml:space="preserve">RR [95% </w:t>
            </w:r>
            <w:proofErr w:type="gramStart"/>
            <w:r w:rsidRPr="00247126">
              <w:t>CI]</w:t>
            </w:r>
            <w:r w:rsidR="000B7783" w:rsidRPr="00247126">
              <w:rPr>
                <w:vertAlign w:val="superscript"/>
              </w:rPr>
              <w:t>a</w:t>
            </w:r>
            <w:proofErr w:type="gramEnd"/>
            <w:r w:rsidR="00DF462B" w:rsidRPr="00247126">
              <w:br/>
            </w:r>
            <w:r w:rsidR="004F639A" w:rsidRPr="00247126">
              <w:t xml:space="preserve">RR </w:t>
            </w:r>
            <w:r w:rsidRPr="00247126">
              <w:t>&lt;1 favours OCT+AG</w:t>
            </w:r>
          </w:p>
        </w:tc>
        <w:tc>
          <w:tcPr>
            <w:tcW w:w="1503" w:type="dxa"/>
          </w:tcPr>
          <w:p w14:paraId="40F226A7" w14:textId="4702F9B2" w:rsidR="000E2D4A" w:rsidRPr="00247126" w:rsidRDefault="00390186" w:rsidP="00DF462B">
            <w:pPr>
              <w:pStyle w:val="TableHeading0"/>
            </w:pPr>
            <w:r w:rsidRPr="00247126">
              <w:t xml:space="preserve">RD [95% </w:t>
            </w:r>
            <w:proofErr w:type="gramStart"/>
            <w:r w:rsidRPr="00247126">
              <w:t>CI]</w:t>
            </w:r>
            <w:r w:rsidR="000B7783" w:rsidRPr="00247126">
              <w:rPr>
                <w:vertAlign w:val="superscript"/>
              </w:rPr>
              <w:t>a</w:t>
            </w:r>
            <w:proofErr w:type="gramEnd"/>
            <w:r w:rsidR="00DF462B" w:rsidRPr="00247126">
              <w:br/>
            </w:r>
            <w:r w:rsidR="004F639A" w:rsidRPr="00247126">
              <w:t xml:space="preserve">RD </w:t>
            </w:r>
            <w:r w:rsidRPr="00247126">
              <w:t>&lt;0 favours OCT+AG</w:t>
            </w:r>
          </w:p>
        </w:tc>
      </w:tr>
      <w:tr w:rsidR="0031089F" w:rsidRPr="00247126" w14:paraId="1F7F6F96" w14:textId="77777777" w:rsidTr="0053279C">
        <w:tc>
          <w:tcPr>
            <w:tcW w:w="1980" w:type="dxa"/>
          </w:tcPr>
          <w:p w14:paraId="371C6E35" w14:textId="7135C1A4" w:rsidR="0031089F" w:rsidRPr="00247126" w:rsidRDefault="0031089F" w:rsidP="0031089F">
            <w:pPr>
              <w:pStyle w:val="TableText"/>
            </w:pPr>
            <w:r w:rsidRPr="00247126">
              <w:t>Any procedural complication</w:t>
            </w:r>
          </w:p>
        </w:tc>
        <w:tc>
          <w:tcPr>
            <w:tcW w:w="1263" w:type="dxa"/>
          </w:tcPr>
          <w:p w14:paraId="58BCB973" w14:textId="3652B008" w:rsidR="0031089F" w:rsidRPr="00247126" w:rsidRDefault="0031089F" w:rsidP="0031089F">
            <w:pPr>
              <w:pStyle w:val="TableText"/>
            </w:pPr>
            <w:r w:rsidRPr="00247126">
              <w:t>41/600 (6.8)</w:t>
            </w:r>
          </w:p>
        </w:tc>
        <w:tc>
          <w:tcPr>
            <w:tcW w:w="1264" w:type="dxa"/>
          </w:tcPr>
          <w:p w14:paraId="5B235495" w14:textId="1D37FBB3" w:rsidR="0031089F" w:rsidRPr="00247126" w:rsidRDefault="0031089F" w:rsidP="0031089F">
            <w:pPr>
              <w:pStyle w:val="TableText"/>
            </w:pPr>
            <w:r w:rsidRPr="00247126">
              <w:t>34/601 (5.7)</w:t>
            </w:r>
          </w:p>
        </w:tc>
        <w:tc>
          <w:tcPr>
            <w:tcW w:w="1503" w:type="dxa"/>
          </w:tcPr>
          <w:p w14:paraId="7570AFDE" w14:textId="07BFBEDF" w:rsidR="0031089F" w:rsidRPr="00247126" w:rsidRDefault="0031089F" w:rsidP="0031089F">
            <w:pPr>
              <w:pStyle w:val="TableText"/>
            </w:pPr>
            <w:r w:rsidRPr="00247126">
              <w:t>1.22 [0.76, 1.96]</w:t>
            </w:r>
          </w:p>
        </w:tc>
        <w:tc>
          <w:tcPr>
            <w:tcW w:w="1503" w:type="dxa"/>
          </w:tcPr>
          <w:p w14:paraId="7F17CC62" w14:textId="620A375E" w:rsidR="0031089F" w:rsidRPr="00247126" w:rsidRDefault="0031089F" w:rsidP="0031089F">
            <w:pPr>
              <w:pStyle w:val="TableText"/>
            </w:pPr>
            <w:r w:rsidRPr="00247126">
              <w:t>1.21 [0.78, 1.88]</w:t>
            </w:r>
          </w:p>
        </w:tc>
        <w:tc>
          <w:tcPr>
            <w:tcW w:w="1503" w:type="dxa"/>
          </w:tcPr>
          <w:p w14:paraId="4F08CBCE" w14:textId="3CFB007E" w:rsidR="0031089F" w:rsidRPr="00247126" w:rsidRDefault="0031089F" w:rsidP="0031089F">
            <w:pPr>
              <w:pStyle w:val="TableText"/>
            </w:pPr>
            <w:r w:rsidRPr="00247126">
              <w:t>0.01 [-0.02, 0.04]</w:t>
            </w:r>
          </w:p>
        </w:tc>
      </w:tr>
      <w:tr w:rsidR="00885C08" w:rsidRPr="00247126" w14:paraId="2CD74546" w14:textId="77777777" w:rsidTr="0053279C">
        <w:tc>
          <w:tcPr>
            <w:tcW w:w="1980" w:type="dxa"/>
          </w:tcPr>
          <w:p w14:paraId="76E8877C" w14:textId="096F9548" w:rsidR="00885C08" w:rsidRPr="00247126" w:rsidRDefault="00885C08" w:rsidP="00885C08">
            <w:pPr>
              <w:pStyle w:val="TableText"/>
            </w:pPr>
            <w:r w:rsidRPr="00247126">
              <w:t>Contrast-associated acute kidney injury</w:t>
            </w:r>
          </w:p>
        </w:tc>
        <w:tc>
          <w:tcPr>
            <w:tcW w:w="1263" w:type="dxa"/>
          </w:tcPr>
          <w:p w14:paraId="51A29083" w14:textId="153790D7" w:rsidR="00885C08" w:rsidRPr="00247126" w:rsidRDefault="00885C08" w:rsidP="00885C08">
            <w:pPr>
              <w:pStyle w:val="TableText"/>
            </w:pPr>
            <w:r w:rsidRPr="00247126">
              <w:t>1/600 (0.2)</w:t>
            </w:r>
          </w:p>
        </w:tc>
        <w:tc>
          <w:tcPr>
            <w:tcW w:w="1264" w:type="dxa"/>
          </w:tcPr>
          <w:p w14:paraId="648EE427" w14:textId="0FBC34B1" w:rsidR="00885C08" w:rsidRPr="00247126" w:rsidRDefault="00885C08" w:rsidP="00885C08">
            <w:pPr>
              <w:pStyle w:val="TableText"/>
            </w:pPr>
            <w:r w:rsidRPr="00247126">
              <w:t>0/601 (0)</w:t>
            </w:r>
          </w:p>
        </w:tc>
        <w:tc>
          <w:tcPr>
            <w:tcW w:w="1503" w:type="dxa"/>
          </w:tcPr>
          <w:p w14:paraId="58D3A1F4" w14:textId="423E20B3" w:rsidR="00885C08" w:rsidRPr="00247126" w:rsidRDefault="00885C08" w:rsidP="00885C08">
            <w:pPr>
              <w:pStyle w:val="TableText"/>
            </w:pPr>
            <w:r w:rsidRPr="00247126">
              <w:t>NE</w:t>
            </w:r>
          </w:p>
        </w:tc>
        <w:tc>
          <w:tcPr>
            <w:tcW w:w="1503" w:type="dxa"/>
          </w:tcPr>
          <w:p w14:paraId="49F8FC29" w14:textId="647947EB" w:rsidR="00885C08" w:rsidRPr="00247126" w:rsidRDefault="00885C08" w:rsidP="00885C08">
            <w:pPr>
              <w:pStyle w:val="TableText"/>
            </w:pPr>
            <w:r w:rsidRPr="00247126">
              <w:t>NE</w:t>
            </w:r>
          </w:p>
        </w:tc>
        <w:tc>
          <w:tcPr>
            <w:tcW w:w="1503" w:type="dxa"/>
          </w:tcPr>
          <w:p w14:paraId="6FEE87A9" w14:textId="1BC8FADC" w:rsidR="00885C08" w:rsidRPr="00247126" w:rsidRDefault="00885C08" w:rsidP="00885C08">
            <w:pPr>
              <w:pStyle w:val="TableText"/>
            </w:pPr>
            <w:r w:rsidRPr="00247126">
              <w:t>0.00 [0.00, 0.00]</w:t>
            </w:r>
          </w:p>
        </w:tc>
      </w:tr>
    </w:tbl>
    <w:p w14:paraId="218F2D85" w14:textId="4F9AA45C" w:rsidR="001E5BF4" w:rsidRPr="00247126" w:rsidRDefault="007C04EC" w:rsidP="00EB4345">
      <w:pPr>
        <w:pStyle w:val="Tablenotes0"/>
      </w:pPr>
      <w:r w:rsidRPr="00247126">
        <w:t>AG</w:t>
      </w:r>
      <w:r w:rsidR="0070780C" w:rsidRPr="00247126">
        <w:t xml:space="preserve"> =</w:t>
      </w:r>
      <w:r w:rsidRPr="00247126">
        <w:t xml:space="preserve"> angiogram; CI</w:t>
      </w:r>
      <w:r w:rsidR="0070780C" w:rsidRPr="00247126">
        <w:t xml:space="preserve"> =</w:t>
      </w:r>
      <w:r w:rsidRPr="00247126">
        <w:t xml:space="preserve"> confidence interval; ITT</w:t>
      </w:r>
      <w:r w:rsidR="0070780C" w:rsidRPr="00247126">
        <w:t xml:space="preserve"> =</w:t>
      </w:r>
      <w:r w:rsidRPr="00247126">
        <w:t xml:space="preserve"> intention-to-treat; OCT</w:t>
      </w:r>
      <w:r w:rsidR="0070780C" w:rsidRPr="00247126">
        <w:t xml:space="preserve"> =</w:t>
      </w:r>
      <w:r w:rsidRPr="00247126">
        <w:t xml:space="preserve"> optical coherence tomography; OR</w:t>
      </w:r>
      <w:r w:rsidR="0070780C" w:rsidRPr="00247126">
        <w:t xml:space="preserve"> =</w:t>
      </w:r>
      <w:r w:rsidRPr="00247126">
        <w:t xml:space="preserve"> odds ratio; RD</w:t>
      </w:r>
      <w:r w:rsidR="0070780C" w:rsidRPr="00247126">
        <w:t xml:space="preserve"> =</w:t>
      </w:r>
      <w:r w:rsidRPr="00247126">
        <w:t xml:space="preserve"> risk difference</w:t>
      </w:r>
      <w:r w:rsidR="001B1114" w:rsidRPr="00247126">
        <w:t>;</w:t>
      </w:r>
      <w:r w:rsidRPr="00247126">
        <w:t xml:space="preserve"> RR</w:t>
      </w:r>
      <w:r w:rsidR="00387A2E" w:rsidRPr="00247126">
        <w:t xml:space="preserve"> =</w:t>
      </w:r>
      <w:r w:rsidRPr="00247126">
        <w:t xml:space="preserve"> risk ratio.</w:t>
      </w:r>
    </w:p>
    <w:p w14:paraId="17206B53" w14:textId="0C590985" w:rsidR="000B7783" w:rsidRPr="00247126" w:rsidRDefault="000B7783" w:rsidP="00EB4345">
      <w:pPr>
        <w:pStyle w:val="Tablenotes0"/>
      </w:pPr>
      <w:r w:rsidRPr="00247126">
        <w:t xml:space="preserve">a </w:t>
      </w:r>
      <w:r w:rsidR="00FD6763" w:rsidRPr="00247126">
        <w:t xml:space="preserve">OR, RR and </w:t>
      </w:r>
      <w:r w:rsidRPr="00247126">
        <w:t>RD</w:t>
      </w:r>
      <w:r w:rsidR="00FD6763" w:rsidRPr="00247126">
        <w:t xml:space="preserve"> </w:t>
      </w:r>
      <w:r w:rsidRPr="00247126">
        <w:t xml:space="preserve">with associated </w:t>
      </w:r>
      <w:proofErr w:type="spellStart"/>
      <w:r w:rsidRPr="00247126">
        <w:t>Cls</w:t>
      </w:r>
      <w:proofErr w:type="spellEnd"/>
      <w:r w:rsidRPr="00247126">
        <w:t xml:space="preserve"> were calculated from n/N</w:t>
      </w:r>
      <w:r w:rsidR="00FD6763" w:rsidRPr="00247126">
        <w:t xml:space="preserve"> event data.</w:t>
      </w:r>
    </w:p>
    <w:p w14:paraId="30159125" w14:textId="6DBCB551" w:rsidR="001B1114" w:rsidRPr="00247126" w:rsidRDefault="001B1114" w:rsidP="00EB4345">
      <w:pPr>
        <w:pStyle w:val="Tablenotes0"/>
      </w:pPr>
      <w:r w:rsidRPr="00247126">
        <w:t xml:space="preserve">Source: </w:t>
      </w:r>
      <w:r w:rsidR="00977F44" w:rsidRPr="00247126">
        <w:t xml:space="preserve">Table 41 of </w:t>
      </w:r>
      <w:r w:rsidR="00A9403C" w:rsidRPr="00247126">
        <w:t xml:space="preserve">MSAC 1743 </w:t>
      </w:r>
      <w:proofErr w:type="spellStart"/>
      <w:r w:rsidR="00A9403C" w:rsidRPr="00247126">
        <w:t>ADAR+in-line</w:t>
      </w:r>
      <w:proofErr w:type="spellEnd"/>
      <w:r w:rsidR="00A9403C" w:rsidRPr="00247126">
        <w:t xml:space="preserve"> commentary.</w:t>
      </w:r>
    </w:p>
    <w:p w14:paraId="055555F8" w14:textId="1A7AE179" w:rsidR="00AF5F16" w:rsidRPr="00247126" w:rsidRDefault="006F0189" w:rsidP="006F0189">
      <w:r w:rsidRPr="00247126">
        <w:t>Key sa</w:t>
      </w:r>
      <w:r w:rsidR="00D223B1" w:rsidRPr="00247126">
        <w:t xml:space="preserve">fety data from the ILUMIEN IV ITT population </w:t>
      </w:r>
      <w:r w:rsidR="00681130" w:rsidRPr="00247126">
        <w:t>are</w:t>
      </w:r>
      <w:r w:rsidR="00D223B1" w:rsidRPr="00247126">
        <w:t xml:space="preserve"> presented in </w:t>
      </w:r>
      <w:r w:rsidR="00D223B1" w:rsidRPr="00247126">
        <w:fldChar w:fldCharType="begin"/>
      </w:r>
      <w:r w:rsidR="00D223B1" w:rsidRPr="00247126">
        <w:instrText xml:space="preserve"> REF _Ref163486635 \h </w:instrText>
      </w:r>
      <w:r w:rsidR="00C567A2" w:rsidRPr="00247126">
        <w:instrText xml:space="preserve"> \* MERGEFORMAT </w:instrText>
      </w:r>
      <w:r w:rsidR="00D223B1" w:rsidRPr="00247126">
        <w:fldChar w:fldCharType="separate"/>
      </w:r>
      <w:r w:rsidR="00151E03" w:rsidRPr="00247126">
        <w:t xml:space="preserve">Table </w:t>
      </w:r>
      <w:r w:rsidR="00151E03" w:rsidRPr="00247126">
        <w:rPr>
          <w:noProof/>
        </w:rPr>
        <w:t>7</w:t>
      </w:r>
      <w:r w:rsidR="00D223B1" w:rsidRPr="00247126">
        <w:fldChar w:fldCharType="end"/>
      </w:r>
      <w:r w:rsidR="00D223B1" w:rsidRPr="00247126">
        <w:t xml:space="preserve">. </w:t>
      </w:r>
      <w:r w:rsidR="00845187" w:rsidRPr="00247126">
        <w:t>Th</w:t>
      </w:r>
      <w:r w:rsidR="0071303B" w:rsidRPr="00247126">
        <w:t>ese</w:t>
      </w:r>
      <w:r w:rsidR="00845187" w:rsidRPr="00247126">
        <w:t xml:space="preserve"> data w</w:t>
      </w:r>
      <w:r w:rsidR="00681130" w:rsidRPr="00247126">
        <w:t>ere</w:t>
      </w:r>
      <w:r w:rsidR="00845187" w:rsidRPr="00247126">
        <w:t xml:space="preserve"> included in the ADAR in the absence of </w:t>
      </w:r>
      <w:r w:rsidR="000930D1" w:rsidRPr="00247126">
        <w:t>subgroup-specific safety data for the severe calcification, stent failure, and long</w:t>
      </w:r>
      <w:r w:rsidR="002910D0" w:rsidRPr="00247126">
        <w:t>/multiple</w:t>
      </w:r>
      <w:r w:rsidR="000930D1" w:rsidRPr="00247126">
        <w:t xml:space="preserve"> lesion subgroups to inform the comparison of OCT+AG versus AG alone.</w:t>
      </w:r>
      <w:r w:rsidR="003968A8" w:rsidRPr="00247126">
        <w:t xml:space="preserve"> </w:t>
      </w:r>
      <w:r w:rsidR="007611C2" w:rsidRPr="00247126">
        <w:t xml:space="preserve">The </w:t>
      </w:r>
      <w:r w:rsidR="00B30C73" w:rsidRPr="00247126">
        <w:t xml:space="preserve">commentary noted that the </w:t>
      </w:r>
      <w:r w:rsidR="007611C2" w:rsidRPr="00247126">
        <w:t xml:space="preserve">ITT population </w:t>
      </w:r>
      <w:r w:rsidR="0002489F" w:rsidRPr="00247126">
        <w:t>include</w:t>
      </w:r>
      <w:r w:rsidR="00B30C73" w:rsidRPr="00247126">
        <w:t>d</w:t>
      </w:r>
      <w:r w:rsidR="0002489F" w:rsidRPr="00247126">
        <w:t xml:space="preserve"> </w:t>
      </w:r>
      <w:r w:rsidR="00FE6B91" w:rsidRPr="00247126">
        <w:t xml:space="preserve">an </w:t>
      </w:r>
      <w:r w:rsidR="00EA466C" w:rsidRPr="00247126">
        <w:t>unspecified</w:t>
      </w:r>
      <w:r w:rsidR="00FE6B91" w:rsidRPr="00247126">
        <w:t xml:space="preserve"> proportion </w:t>
      </w:r>
      <w:r w:rsidR="0013438E" w:rsidRPr="00247126">
        <w:t xml:space="preserve">of </w:t>
      </w:r>
      <w:r w:rsidR="000236F6" w:rsidRPr="00247126">
        <w:t>patients</w:t>
      </w:r>
      <w:r w:rsidR="0002489F" w:rsidRPr="00247126">
        <w:t xml:space="preserve"> </w:t>
      </w:r>
      <w:r w:rsidR="00A83963" w:rsidRPr="00247126">
        <w:t xml:space="preserve">at high clinical risk (i.e. </w:t>
      </w:r>
      <w:r w:rsidR="00E10DE6" w:rsidRPr="00247126">
        <w:t>medication-treated diabetes</w:t>
      </w:r>
      <w:r w:rsidR="00A83963" w:rsidRPr="00247126">
        <w:t>)</w:t>
      </w:r>
      <w:r w:rsidR="000236F6" w:rsidRPr="00247126">
        <w:t xml:space="preserve"> </w:t>
      </w:r>
      <w:r w:rsidR="00FE6B91" w:rsidRPr="00247126">
        <w:t>in the absence of</w:t>
      </w:r>
      <w:r w:rsidR="000236F6" w:rsidRPr="00247126">
        <w:t xml:space="preserve"> </w:t>
      </w:r>
      <w:r w:rsidR="00F93EE1" w:rsidRPr="00247126">
        <w:t>complex coronary lesions (</w:t>
      </w:r>
      <w:r w:rsidR="00EA466C" w:rsidRPr="00247126">
        <w:t>high angiographic risk</w:t>
      </w:r>
      <w:r w:rsidR="00F93EE1" w:rsidRPr="00247126">
        <w:t>)</w:t>
      </w:r>
      <w:r w:rsidR="00805DB0" w:rsidRPr="00247126">
        <w:t>,</w:t>
      </w:r>
      <w:r w:rsidR="00E10DE6" w:rsidRPr="00247126">
        <w:t xml:space="preserve"> </w:t>
      </w:r>
      <w:r w:rsidR="00C31083" w:rsidRPr="00247126">
        <w:t>which raises applicability concerns</w:t>
      </w:r>
      <w:r w:rsidR="00B115ED" w:rsidRPr="00247126">
        <w:t>.</w:t>
      </w:r>
    </w:p>
    <w:p w14:paraId="63495A6A" w14:textId="505EE3C9" w:rsidR="00AF5F16" w:rsidRPr="00247126" w:rsidRDefault="00C82AF8" w:rsidP="006F0189">
      <w:r w:rsidRPr="00247126">
        <w:t xml:space="preserve">Furthermore, </w:t>
      </w:r>
      <w:r w:rsidR="00AF5F16" w:rsidRPr="00247126">
        <w:t xml:space="preserve">a final set of OCT images was obtained after the PCI procedure in both arms </w:t>
      </w:r>
      <w:r w:rsidR="006E52B5" w:rsidRPr="00247126">
        <w:t xml:space="preserve">in ILUMIEN IV </w:t>
      </w:r>
      <w:r w:rsidR="00AF5F16" w:rsidRPr="00247126">
        <w:t xml:space="preserve">(i.e. patients in the AG alone arm also received a final blinded OCT procedure). </w:t>
      </w:r>
      <w:r w:rsidR="007F1DD7" w:rsidRPr="00247126">
        <w:t>The commentary note</w:t>
      </w:r>
      <w:r w:rsidR="000B1004" w:rsidRPr="00247126">
        <w:t>d</w:t>
      </w:r>
      <w:r w:rsidR="007F1DD7" w:rsidRPr="00247126">
        <w:t xml:space="preserve"> that </w:t>
      </w:r>
      <w:r w:rsidR="00F72DB4" w:rsidRPr="00247126">
        <w:t>t</w:t>
      </w:r>
      <w:r w:rsidR="00AF5F16" w:rsidRPr="00247126">
        <w:t xml:space="preserve">he results from this trial </w:t>
      </w:r>
      <w:r w:rsidR="00CC039D" w:rsidRPr="00247126">
        <w:t>were</w:t>
      </w:r>
      <w:r w:rsidR="00530ABE" w:rsidRPr="00247126">
        <w:t xml:space="preserve"> therefore not informative </w:t>
      </w:r>
      <w:r w:rsidR="00CC039D" w:rsidRPr="00247126">
        <w:t xml:space="preserve">in terms of </w:t>
      </w:r>
      <w:r w:rsidR="00A930E2" w:rsidRPr="00247126">
        <w:t>comparing the</w:t>
      </w:r>
      <w:r w:rsidR="006A08D4" w:rsidRPr="00247126">
        <w:t xml:space="preserve"> </w:t>
      </w:r>
      <w:r w:rsidR="00CE3093" w:rsidRPr="00247126">
        <w:t xml:space="preserve">safety </w:t>
      </w:r>
      <w:r w:rsidR="006A08D4" w:rsidRPr="00247126">
        <w:t xml:space="preserve">of </w:t>
      </w:r>
      <w:r w:rsidR="00F72DB4" w:rsidRPr="00247126">
        <w:t>OCT</w:t>
      </w:r>
      <w:r w:rsidR="00643EEC" w:rsidRPr="00247126">
        <w:t>+AG</w:t>
      </w:r>
      <w:r w:rsidR="00F72DB4" w:rsidRPr="00247126">
        <w:t xml:space="preserve"> </w:t>
      </w:r>
      <w:r w:rsidR="00CC039D" w:rsidRPr="00247126">
        <w:t>versus</w:t>
      </w:r>
      <w:r w:rsidR="00F72DB4" w:rsidRPr="00247126">
        <w:t xml:space="preserve"> </w:t>
      </w:r>
      <w:r w:rsidR="00643EEC" w:rsidRPr="00247126">
        <w:t xml:space="preserve">AG with </w:t>
      </w:r>
      <w:r w:rsidR="00F72DB4" w:rsidRPr="00247126">
        <w:t>no OCT</w:t>
      </w:r>
      <w:r w:rsidR="00AF5F16" w:rsidRPr="00247126">
        <w:t>.</w:t>
      </w:r>
    </w:p>
    <w:p w14:paraId="346EC8CE" w14:textId="1DE2EF07" w:rsidR="00AF5F16" w:rsidRPr="00247126" w:rsidRDefault="006D1703" w:rsidP="006F0189">
      <w:r w:rsidRPr="00247126">
        <w:t>The incidence</w:t>
      </w:r>
      <w:r w:rsidR="00F341A7" w:rsidRPr="00247126">
        <w:t xml:space="preserve"> of OCT-related complications w</w:t>
      </w:r>
      <w:r w:rsidR="00EA09D3" w:rsidRPr="00247126">
        <w:t>as</w:t>
      </w:r>
      <w:r w:rsidR="00F341A7" w:rsidRPr="00247126">
        <w:t xml:space="preserve"> low in both arms.</w:t>
      </w:r>
      <w:r w:rsidR="00652B2E" w:rsidRPr="00247126">
        <w:t xml:space="preserve"> </w:t>
      </w:r>
      <w:r w:rsidR="0032361A" w:rsidRPr="00247126">
        <w:t xml:space="preserve">At the completion of the procedure, </w:t>
      </w:r>
      <w:r w:rsidR="006A1426" w:rsidRPr="00247126">
        <w:t xml:space="preserve">a </w:t>
      </w:r>
      <w:r w:rsidR="00617190" w:rsidRPr="00247126">
        <w:t xml:space="preserve">lower </w:t>
      </w:r>
      <w:r w:rsidR="006A1426" w:rsidRPr="00247126">
        <w:t xml:space="preserve">proportion of patients treated with </w:t>
      </w:r>
      <w:r w:rsidR="00617190" w:rsidRPr="00247126">
        <w:t>OCT+</w:t>
      </w:r>
      <w:r w:rsidR="006A1426" w:rsidRPr="00247126">
        <w:t xml:space="preserve">AG experienced PCI-related angiographic complications </w:t>
      </w:r>
      <w:r w:rsidR="006A1426" w:rsidRPr="00247126" w:rsidDel="00F840E1">
        <w:t>(</w:t>
      </w:r>
      <w:r w:rsidR="006A1426" w:rsidRPr="00247126">
        <w:t>RD–1.7% [95% CI: –3.3, −0.1])</w:t>
      </w:r>
      <w:r w:rsidR="00A633D5" w:rsidRPr="00247126">
        <w:t xml:space="preserve"> and</w:t>
      </w:r>
      <w:r w:rsidR="006A1426" w:rsidRPr="00247126">
        <w:t xml:space="preserve"> </w:t>
      </w:r>
      <w:r w:rsidR="00A633D5" w:rsidRPr="00247126">
        <w:t>p</w:t>
      </w:r>
      <w:r w:rsidR="006A1426" w:rsidRPr="00247126">
        <w:t>rocedure-related thrombotic events (RD −1.8% [95% CI: −3.1, −0.4</w:t>
      </w:r>
      <w:r w:rsidR="00943C48" w:rsidRPr="00247126">
        <w:t>]</w:t>
      </w:r>
      <w:r w:rsidR="006A1426" w:rsidRPr="00247126">
        <w:t>)</w:t>
      </w:r>
      <w:r w:rsidR="00A633D5" w:rsidRPr="00247126">
        <w:t xml:space="preserve"> compared with AG alone</w:t>
      </w:r>
      <w:r w:rsidR="006A1426" w:rsidRPr="00247126">
        <w:t>.</w:t>
      </w:r>
      <w:r w:rsidR="00B76010" w:rsidRPr="00247126">
        <w:t xml:space="preserve"> Contrast induced nephropathy was not reported in the primary study publication.</w:t>
      </w:r>
    </w:p>
    <w:p w14:paraId="73282387" w14:textId="4493D569" w:rsidR="00FD6763" w:rsidRPr="00247126" w:rsidRDefault="00FD6763" w:rsidP="00FD6763">
      <w:pPr>
        <w:pStyle w:val="Caption"/>
      </w:pPr>
      <w:bookmarkStart w:id="18" w:name="_Ref163486635"/>
      <w:r w:rsidRPr="00247126">
        <w:t xml:space="preserve">Table </w:t>
      </w:r>
      <w:r w:rsidRPr="00247126">
        <w:fldChar w:fldCharType="begin"/>
      </w:r>
      <w:r w:rsidRPr="00247126">
        <w:instrText xml:space="preserve"> SEQ Table \* ARABIC </w:instrText>
      </w:r>
      <w:r w:rsidRPr="00247126">
        <w:fldChar w:fldCharType="separate"/>
      </w:r>
      <w:r w:rsidR="00151E03" w:rsidRPr="00247126">
        <w:rPr>
          <w:noProof/>
        </w:rPr>
        <w:t>7</w:t>
      </w:r>
      <w:r w:rsidRPr="00247126">
        <w:rPr>
          <w:noProof/>
        </w:rPr>
        <w:fldChar w:fldCharType="end"/>
      </w:r>
      <w:bookmarkEnd w:id="18"/>
      <w:r w:rsidRPr="00247126">
        <w:tab/>
      </w:r>
      <w:r w:rsidR="005D203F" w:rsidRPr="00247126">
        <w:t>Key safety data from the ILUMIEN IV ITT population</w:t>
      </w:r>
      <w:r w:rsidR="00DF2B2C" w:rsidRPr="00247126">
        <w:t>: OCT+AG vs</w:t>
      </w:r>
      <w:r w:rsidR="00EA31D3" w:rsidRPr="00247126">
        <w:t>.</w:t>
      </w:r>
      <w:r w:rsidR="00DF2B2C" w:rsidRPr="00247126">
        <w:t xml:space="preserve"> AG alone</w:t>
      </w:r>
    </w:p>
    <w:tbl>
      <w:tblPr>
        <w:tblStyle w:val="TableGrid"/>
        <w:tblW w:w="0" w:type="auto"/>
        <w:tblLook w:val="04A0" w:firstRow="1" w:lastRow="0" w:firstColumn="1" w:lastColumn="0" w:noHBand="0" w:noVBand="1"/>
        <w:tblCaption w:val="Key safety data from the ILUMIEN IV ITT population: OCT+AG vs. AG alone"/>
        <w:tblDescription w:val="This table summarises the key safety data from the ILUMIEN IV ITT population: OCT+AG vs. AG alone including the odds ratio, risk ratio and risk difference."/>
      </w:tblPr>
      <w:tblGrid>
        <w:gridCol w:w="2263"/>
        <w:gridCol w:w="1134"/>
        <w:gridCol w:w="1134"/>
        <w:gridCol w:w="1495"/>
        <w:gridCol w:w="1495"/>
        <w:gridCol w:w="1495"/>
      </w:tblGrid>
      <w:tr w:rsidR="00FA1915" w:rsidRPr="00247126" w14:paraId="51E75EE1" w14:textId="77777777" w:rsidTr="00F9058A">
        <w:trPr>
          <w:tblHeader/>
        </w:trPr>
        <w:tc>
          <w:tcPr>
            <w:tcW w:w="2263" w:type="dxa"/>
            <w:tcBorders>
              <w:bottom w:val="single" w:sz="4" w:space="0" w:color="auto"/>
            </w:tcBorders>
            <w:tcMar>
              <w:left w:w="57" w:type="dxa"/>
              <w:right w:w="57" w:type="dxa"/>
            </w:tcMar>
          </w:tcPr>
          <w:p w14:paraId="0CFDEFB3" w14:textId="77777777" w:rsidR="00FD6763" w:rsidRPr="00247126" w:rsidRDefault="00FD6763">
            <w:pPr>
              <w:pStyle w:val="TableHeading0"/>
            </w:pPr>
            <w:r w:rsidRPr="00247126">
              <w:t>Event</w:t>
            </w:r>
          </w:p>
        </w:tc>
        <w:tc>
          <w:tcPr>
            <w:tcW w:w="1134" w:type="dxa"/>
            <w:tcBorders>
              <w:bottom w:val="single" w:sz="4" w:space="0" w:color="auto"/>
            </w:tcBorders>
            <w:tcMar>
              <w:left w:w="57" w:type="dxa"/>
              <w:right w:w="57" w:type="dxa"/>
            </w:tcMar>
          </w:tcPr>
          <w:p w14:paraId="56052695" w14:textId="7DF773F0" w:rsidR="00FD6763" w:rsidRPr="00247126" w:rsidRDefault="00FD6763" w:rsidP="00AF4361">
            <w:pPr>
              <w:pStyle w:val="TableHeading0"/>
            </w:pPr>
            <w:r w:rsidRPr="00247126">
              <w:t>OCT+AG</w:t>
            </w:r>
            <w:r w:rsidR="00AF4361" w:rsidRPr="00247126">
              <w:br/>
            </w:r>
            <w:r w:rsidRPr="00247126">
              <w:t>n/N (%)</w:t>
            </w:r>
          </w:p>
        </w:tc>
        <w:tc>
          <w:tcPr>
            <w:tcW w:w="1134" w:type="dxa"/>
            <w:tcBorders>
              <w:bottom w:val="single" w:sz="4" w:space="0" w:color="auto"/>
            </w:tcBorders>
            <w:tcMar>
              <w:left w:w="57" w:type="dxa"/>
              <w:right w:w="57" w:type="dxa"/>
            </w:tcMar>
          </w:tcPr>
          <w:p w14:paraId="641E83F7" w14:textId="6466103C" w:rsidR="00FD6763" w:rsidRPr="00247126" w:rsidRDefault="00FD6763" w:rsidP="00AF4361">
            <w:pPr>
              <w:pStyle w:val="TableHeading0"/>
            </w:pPr>
            <w:r w:rsidRPr="00247126">
              <w:t>AG alone</w:t>
            </w:r>
            <w:r w:rsidR="00AF4361" w:rsidRPr="00247126">
              <w:br/>
            </w:r>
            <w:r w:rsidRPr="00247126">
              <w:t>n/N (%)</w:t>
            </w:r>
          </w:p>
        </w:tc>
        <w:tc>
          <w:tcPr>
            <w:tcW w:w="1495" w:type="dxa"/>
            <w:tcBorders>
              <w:bottom w:val="single" w:sz="4" w:space="0" w:color="auto"/>
            </w:tcBorders>
            <w:tcMar>
              <w:left w:w="57" w:type="dxa"/>
              <w:right w:w="57" w:type="dxa"/>
            </w:tcMar>
          </w:tcPr>
          <w:p w14:paraId="471AE446" w14:textId="33438068" w:rsidR="00FD6763" w:rsidRPr="00247126" w:rsidRDefault="00FD6763" w:rsidP="00AF4361">
            <w:pPr>
              <w:pStyle w:val="TableHeading0"/>
            </w:pPr>
            <w:r w:rsidRPr="00247126">
              <w:t xml:space="preserve">OR [95% </w:t>
            </w:r>
            <w:proofErr w:type="gramStart"/>
            <w:r w:rsidRPr="00247126">
              <w:t>CI]</w:t>
            </w:r>
            <w:r w:rsidRPr="00247126">
              <w:rPr>
                <w:vertAlign w:val="superscript"/>
              </w:rPr>
              <w:t>a</w:t>
            </w:r>
            <w:proofErr w:type="gramEnd"/>
            <w:r w:rsidR="00AF4361" w:rsidRPr="00247126">
              <w:br/>
            </w:r>
            <w:r w:rsidR="004F639A" w:rsidRPr="00247126">
              <w:t xml:space="preserve">OR </w:t>
            </w:r>
            <w:r w:rsidRPr="00247126">
              <w:t>&lt;1 favours OCT+AG</w:t>
            </w:r>
          </w:p>
        </w:tc>
        <w:tc>
          <w:tcPr>
            <w:tcW w:w="1495" w:type="dxa"/>
            <w:tcBorders>
              <w:bottom w:val="single" w:sz="4" w:space="0" w:color="auto"/>
            </w:tcBorders>
            <w:tcMar>
              <w:left w:w="57" w:type="dxa"/>
              <w:right w:w="57" w:type="dxa"/>
            </w:tcMar>
          </w:tcPr>
          <w:p w14:paraId="3476D889" w14:textId="50A00250" w:rsidR="00FD6763" w:rsidRPr="00247126" w:rsidRDefault="00FD6763" w:rsidP="00CA33EA">
            <w:pPr>
              <w:pStyle w:val="TableHeading0"/>
            </w:pPr>
            <w:r w:rsidRPr="00247126">
              <w:t xml:space="preserve">RR [95% </w:t>
            </w:r>
            <w:proofErr w:type="gramStart"/>
            <w:r w:rsidRPr="00247126">
              <w:t>CI]</w:t>
            </w:r>
            <w:r w:rsidRPr="00247126">
              <w:rPr>
                <w:vertAlign w:val="superscript"/>
              </w:rPr>
              <w:t>a</w:t>
            </w:r>
            <w:proofErr w:type="gramEnd"/>
            <w:r w:rsidR="00CA33EA" w:rsidRPr="00247126">
              <w:br/>
            </w:r>
            <w:r w:rsidR="004F639A" w:rsidRPr="00247126">
              <w:t xml:space="preserve">RR </w:t>
            </w:r>
            <w:r w:rsidRPr="00247126">
              <w:t>&lt;1 favours OCT+AG</w:t>
            </w:r>
          </w:p>
        </w:tc>
        <w:tc>
          <w:tcPr>
            <w:tcW w:w="1495" w:type="dxa"/>
            <w:tcBorders>
              <w:bottom w:val="single" w:sz="4" w:space="0" w:color="auto"/>
            </w:tcBorders>
            <w:tcMar>
              <w:left w:w="57" w:type="dxa"/>
              <w:right w:w="57" w:type="dxa"/>
            </w:tcMar>
          </w:tcPr>
          <w:p w14:paraId="7F21E1FB" w14:textId="4D70C141" w:rsidR="00FD6763" w:rsidRPr="00247126" w:rsidRDefault="00FD6763" w:rsidP="00CA33EA">
            <w:pPr>
              <w:pStyle w:val="TableHeading0"/>
            </w:pPr>
            <w:r w:rsidRPr="00247126">
              <w:t xml:space="preserve">RD [95% </w:t>
            </w:r>
            <w:proofErr w:type="gramStart"/>
            <w:r w:rsidRPr="00247126">
              <w:t>CI]</w:t>
            </w:r>
            <w:r w:rsidRPr="00247126">
              <w:rPr>
                <w:vertAlign w:val="superscript"/>
              </w:rPr>
              <w:t>a</w:t>
            </w:r>
            <w:proofErr w:type="gramEnd"/>
            <w:r w:rsidR="00CA33EA" w:rsidRPr="00247126">
              <w:br/>
            </w:r>
            <w:r w:rsidR="004F639A" w:rsidRPr="00247126">
              <w:t xml:space="preserve">RD </w:t>
            </w:r>
            <w:r w:rsidRPr="00247126">
              <w:t>&lt;0 favours OCT+AG</w:t>
            </w:r>
          </w:p>
        </w:tc>
      </w:tr>
      <w:tr w:rsidR="00FA1915" w:rsidRPr="00247126" w14:paraId="16106C12" w14:textId="77777777" w:rsidTr="00F9058A">
        <w:tc>
          <w:tcPr>
            <w:tcW w:w="2263" w:type="dxa"/>
            <w:tcBorders>
              <w:bottom w:val="single" w:sz="4" w:space="0" w:color="auto"/>
            </w:tcBorders>
            <w:tcMar>
              <w:left w:w="57" w:type="dxa"/>
              <w:right w:w="57" w:type="dxa"/>
            </w:tcMar>
          </w:tcPr>
          <w:p w14:paraId="342FD1F4" w14:textId="2455D8CE" w:rsidR="003A1E48" w:rsidRPr="00247126" w:rsidRDefault="003A1E48" w:rsidP="003A1E48">
            <w:pPr>
              <w:pStyle w:val="TableText"/>
            </w:pPr>
            <w:r w:rsidRPr="00247126">
              <w:t xml:space="preserve">OCT-related complications, </w:t>
            </w:r>
            <w:r w:rsidR="001D48D7" w:rsidRPr="00247126">
              <w:br/>
            </w:r>
            <w:r w:rsidRPr="00247126">
              <w:t xml:space="preserve">n. </w:t>
            </w:r>
            <w:proofErr w:type="spellStart"/>
            <w:r w:rsidRPr="00247126">
              <w:t>patients</w:t>
            </w:r>
            <w:r w:rsidRPr="00247126">
              <w:rPr>
                <w:vertAlign w:val="superscript"/>
              </w:rPr>
              <w:t>b</w:t>
            </w:r>
            <w:proofErr w:type="spellEnd"/>
          </w:p>
        </w:tc>
        <w:tc>
          <w:tcPr>
            <w:tcW w:w="1134" w:type="dxa"/>
            <w:tcBorders>
              <w:bottom w:val="single" w:sz="4" w:space="0" w:color="auto"/>
            </w:tcBorders>
            <w:tcMar>
              <w:left w:w="57" w:type="dxa"/>
              <w:right w:w="57" w:type="dxa"/>
            </w:tcMar>
          </w:tcPr>
          <w:p w14:paraId="29964CEB" w14:textId="6A9CE74A" w:rsidR="003A1E48" w:rsidRPr="00247126" w:rsidRDefault="003A1E48" w:rsidP="003A1E48">
            <w:pPr>
              <w:pStyle w:val="TableText"/>
            </w:pPr>
            <w:r w:rsidRPr="00247126">
              <w:t>1/1232 (&lt;0.1)</w:t>
            </w:r>
          </w:p>
        </w:tc>
        <w:tc>
          <w:tcPr>
            <w:tcW w:w="1134" w:type="dxa"/>
            <w:tcBorders>
              <w:bottom w:val="single" w:sz="4" w:space="0" w:color="auto"/>
            </w:tcBorders>
            <w:tcMar>
              <w:left w:w="57" w:type="dxa"/>
              <w:right w:w="57" w:type="dxa"/>
            </w:tcMar>
          </w:tcPr>
          <w:p w14:paraId="06118D98" w14:textId="2061EA43" w:rsidR="003A1E48" w:rsidRPr="00247126" w:rsidRDefault="003A1E48" w:rsidP="003A1E48">
            <w:pPr>
              <w:pStyle w:val="TableText"/>
            </w:pPr>
            <w:r w:rsidRPr="00247126">
              <w:t>2/1252 (0.2)</w:t>
            </w:r>
          </w:p>
        </w:tc>
        <w:tc>
          <w:tcPr>
            <w:tcW w:w="1495" w:type="dxa"/>
            <w:tcBorders>
              <w:bottom w:val="single" w:sz="4" w:space="0" w:color="auto"/>
            </w:tcBorders>
            <w:tcMar>
              <w:left w:w="57" w:type="dxa"/>
              <w:right w:w="57" w:type="dxa"/>
            </w:tcMar>
          </w:tcPr>
          <w:p w14:paraId="6A71B8DD" w14:textId="6764C0CA" w:rsidR="003A1E48" w:rsidRPr="00247126" w:rsidRDefault="003A1E48" w:rsidP="003A1E48">
            <w:pPr>
              <w:pStyle w:val="TableText"/>
            </w:pPr>
            <w:r w:rsidRPr="00247126">
              <w:t>0.51 [0.05, 5.61]</w:t>
            </w:r>
          </w:p>
        </w:tc>
        <w:tc>
          <w:tcPr>
            <w:tcW w:w="1495" w:type="dxa"/>
            <w:tcBorders>
              <w:bottom w:val="single" w:sz="4" w:space="0" w:color="auto"/>
            </w:tcBorders>
            <w:tcMar>
              <w:left w:w="57" w:type="dxa"/>
              <w:right w:w="57" w:type="dxa"/>
            </w:tcMar>
          </w:tcPr>
          <w:p w14:paraId="27CDDC6A" w14:textId="1F44E4EB" w:rsidR="003A1E48" w:rsidRPr="00247126" w:rsidRDefault="003A1E48" w:rsidP="003A1E48">
            <w:pPr>
              <w:pStyle w:val="TableText"/>
            </w:pPr>
            <w:r w:rsidRPr="00247126">
              <w:t>0.51 [0.05, 5.60]</w:t>
            </w:r>
          </w:p>
        </w:tc>
        <w:tc>
          <w:tcPr>
            <w:tcW w:w="1495" w:type="dxa"/>
            <w:tcBorders>
              <w:bottom w:val="single" w:sz="4" w:space="0" w:color="auto"/>
            </w:tcBorders>
            <w:tcMar>
              <w:left w:w="57" w:type="dxa"/>
              <w:right w:w="57" w:type="dxa"/>
            </w:tcMar>
          </w:tcPr>
          <w:p w14:paraId="1F8D9817" w14:textId="310ED58D" w:rsidR="003A1E48" w:rsidRPr="00247126" w:rsidRDefault="003A1E48" w:rsidP="003A1E48">
            <w:pPr>
              <w:pStyle w:val="TableText"/>
            </w:pPr>
            <w:r w:rsidRPr="00247126">
              <w:t>0.00 [0.00, 0.00]</w:t>
            </w:r>
          </w:p>
        </w:tc>
      </w:tr>
      <w:tr w:rsidR="00FA1915" w:rsidRPr="00247126" w14:paraId="735EF244" w14:textId="77777777" w:rsidTr="00F9058A">
        <w:tc>
          <w:tcPr>
            <w:tcW w:w="2263" w:type="dxa"/>
            <w:tcBorders>
              <w:top w:val="single" w:sz="4" w:space="0" w:color="auto"/>
              <w:bottom w:val="single" w:sz="4" w:space="0" w:color="auto"/>
            </w:tcBorders>
            <w:tcMar>
              <w:left w:w="57" w:type="dxa"/>
              <w:right w:w="57" w:type="dxa"/>
            </w:tcMar>
          </w:tcPr>
          <w:p w14:paraId="0F0EAD7B" w14:textId="1506BEF1" w:rsidR="003A1E48" w:rsidRPr="00247126" w:rsidRDefault="003A1E48" w:rsidP="003A1E48">
            <w:pPr>
              <w:pStyle w:val="TableText"/>
            </w:pPr>
            <w:r w:rsidRPr="00247126">
              <w:t xml:space="preserve">PCI-related angiographic complications, </w:t>
            </w:r>
            <w:r w:rsidR="001D48D7" w:rsidRPr="00247126">
              <w:br/>
            </w:r>
            <w:r w:rsidRPr="00247126">
              <w:t xml:space="preserve">n. </w:t>
            </w:r>
            <w:proofErr w:type="spellStart"/>
            <w:r w:rsidRPr="00247126">
              <w:t>lesions</w:t>
            </w:r>
            <w:r w:rsidRPr="00247126">
              <w:rPr>
                <w:vertAlign w:val="superscript"/>
              </w:rPr>
              <w:t>c</w:t>
            </w:r>
            <w:proofErr w:type="spellEnd"/>
          </w:p>
        </w:tc>
        <w:tc>
          <w:tcPr>
            <w:tcW w:w="1134" w:type="dxa"/>
            <w:tcBorders>
              <w:top w:val="single" w:sz="4" w:space="0" w:color="auto"/>
              <w:bottom w:val="single" w:sz="4" w:space="0" w:color="auto"/>
            </w:tcBorders>
            <w:tcMar>
              <w:left w:w="57" w:type="dxa"/>
              <w:right w:w="57" w:type="dxa"/>
            </w:tcMar>
          </w:tcPr>
          <w:p w14:paraId="41221157" w14:textId="638CEF1F" w:rsidR="003A1E48" w:rsidRPr="00247126" w:rsidRDefault="003A1E48" w:rsidP="003A1E48">
            <w:pPr>
              <w:pStyle w:val="TableText"/>
            </w:pPr>
            <w:r w:rsidRPr="00247126">
              <w:t>48/1320 (3.6)</w:t>
            </w:r>
          </w:p>
        </w:tc>
        <w:tc>
          <w:tcPr>
            <w:tcW w:w="1134" w:type="dxa"/>
            <w:tcBorders>
              <w:top w:val="single" w:sz="4" w:space="0" w:color="auto"/>
              <w:bottom w:val="single" w:sz="4" w:space="0" w:color="auto"/>
            </w:tcBorders>
            <w:tcMar>
              <w:left w:w="57" w:type="dxa"/>
              <w:right w:w="57" w:type="dxa"/>
            </w:tcMar>
          </w:tcPr>
          <w:p w14:paraId="52FFFF49" w14:textId="30BE6B47" w:rsidR="003A1E48" w:rsidRPr="00247126" w:rsidRDefault="003A1E48" w:rsidP="003A1E48">
            <w:pPr>
              <w:pStyle w:val="TableText"/>
            </w:pPr>
            <w:r w:rsidRPr="00247126">
              <w:t>74/1387 (5.3)</w:t>
            </w:r>
          </w:p>
        </w:tc>
        <w:tc>
          <w:tcPr>
            <w:tcW w:w="1495" w:type="dxa"/>
            <w:tcBorders>
              <w:top w:val="single" w:sz="4" w:space="0" w:color="auto"/>
              <w:bottom w:val="single" w:sz="4" w:space="0" w:color="auto"/>
            </w:tcBorders>
            <w:tcMar>
              <w:left w:w="57" w:type="dxa"/>
              <w:right w:w="57" w:type="dxa"/>
            </w:tcMar>
          </w:tcPr>
          <w:p w14:paraId="41F174B4" w14:textId="142655AB" w:rsidR="003A1E48" w:rsidRPr="00247126" w:rsidRDefault="003A1E48" w:rsidP="003A1E48">
            <w:pPr>
              <w:pStyle w:val="TableText"/>
              <w:rPr>
                <w:b/>
              </w:rPr>
            </w:pPr>
            <w:r w:rsidRPr="00247126">
              <w:rPr>
                <w:b/>
              </w:rPr>
              <w:t>0.67 [0.46, 0.97]</w:t>
            </w:r>
          </w:p>
        </w:tc>
        <w:tc>
          <w:tcPr>
            <w:tcW w:w="1495" w:type="dxa"/>
            <w:tcBorders>
              <w:top w:val="single" w:sz="4" w:space="0" w:color="auto"/>
              <w:bottom w:val="single" w:sz="4" w:space="0" w:color="auto"/>
            </w:tcBorders>
            <w:tcMar>
              <w:left w:w="57" w:type="dxa"/>
              <w:right w:w="57" w:type="dxa"/>
            </w:tcMar>
          </w:tcPr>
          <w:p w14:paraId="6716E76B" w14:textId="1DB1308E" w:rsidR="003A1E48" w:rsidRPr="00247126" w:rsidRDefault="003A1E48" w:rsidP="003A1E48">
            <w:pPr>
              <w:pStyle w:val="TableText"/>
              <w:rPr>
                <w:b/>
              </w:rPr>
            </w:pPr>
            <w:r w:rsidRPr="00247126">
              <w:rPr>
                <w:b/>
              </w:rPr>
              <w:t>0.68 [0.48, 0.97]</w:t>
            </w:r>
          </w:p>
        </w:tc>
        <w:tc>
          <w:tcPr>
            <w:tcW w:w="1495" w:type="dxa"/>
            <w:tcBorders>
              <w:top w:val="single" w:sz="4" w:space="0" w:color="auto"/>
              <w:bottom w:val="single" w:sz="4" w:space="0" w:color="auto"/>
            </w:tcBorders>
            <w:tcMar>
              <w:left w:w="57" w:type="dxa"/>
              <w:right w:w="57" w:type="dxa"/>
            </w:tcMar>
          </w:tcPr>
          <w:p w14:paraId="74B8DF64" w14:textId="31A06A3D" w:rsidR="003A1E48" w:rsidRPr="00247126" w:rsidRDefault="003A1E48" w:rsidP="003A1E48">
            <w:pPr>
              <w:pStyle w:val="TableText"/>
              <w:rPr>
                <w:b/>
              </w:rPr>
            </w:pPr>
            <w:r w:rsidRPr="00247126">
              <w:rPr>
                <w:b/>
              </w:rPr>
              <w:t>-0.02 [-0.03, 0.00]</w:t>
            </w:r>
          </w:p>
        </w:tc>
      </w:tr>
      <w:tr w:rsidR="00377E87" w:rsidRPr="00247126" w14:paraId="09B88793" w14:textId="77777777" w:rsidTr="00F9058A">
        <w:tc>
          <w:tcPr>
            <w:tcW w:w="2263" w:type="dxa"/>
            <w:tcBorders>
              <w:bottom w:val="single" w:sz="4" w:space="0" w:color="auto"/>
            </w:tcBorders>
            <w:tcMar>
              <w:left w:w="57" w:type="dxa"/>
              <w:right w:w="57" w:type="dxa"/>
            </w:tcMar>
          </w:tcPr>
          <w:p w14:paraId="44E8CD42" w14:textId="7756D44B" w:rsidR="00377E87" w:rsidRPr="00247126" w:rsidRDefault="00377E87" w:rsidP="00377E87">
            <w:pPr>
              <w:pStyle w:val="TableText"/>
            </w:pPr>
            <w:r w:rsidRPr="00247126">
              <w:t>Procedure-related thrombotic events</w:t>
            </w:r>
          </w:p>
        </w:tc>
        <w:tc>
          <w:tcPr>
            <w:tcW w:w="1134" w:type="dxa"/>
            <w:tcBorders>
              <w:bottom w:val="single" w:sz="4" w:space="0" w:color="auto"/>
            </w:tcBorders>
            <w:tcMar>
              <w:left w:w="57" w:type="dxa"/>
              <w:right w:w="57" w:type="dxa"/>
            </w:tcMar>
          </w:tcPr>
          <w:p w14:paraId="32173C5D" w14:textId="591B3B74" w:rsidR="00377E87" w:rsidRPr="00247126" w:rsidRDefault="00377E87" w:rsidP="00377E87">
            <w:pPr>
              <w:pStyle w:val="TableText"/>
            </w:pPr>
            <w:r w:rsidRPr="00247126">
              <w:t>31/1320 (2.3)</w:t>
            </w:r>
          </w:p>
        </w:tc>
        <w:tc>
          <w:tcPr>
            <w:tcW w:w="1134" w:type="dxa"/>
            <w:tcBorders>
              <w:bottom w:val="single" w:sz="4" w:space="0" w:color="auto"/>
            </w:tcBorders>
            <w:tcMar>
              <w:left w:w="57" w:type="dxa"/>
              <w:right w:w="57" w:type="dxa"/>
            </w:tcMar>
          </w:tcPr>
          <w:p w14:paraId="40737807" w14:textId="04C4B4E0" w:rsidR="00377E87" w:rsidRPr="00247126" w:rsidRDefault="00377E87" w:rsidP="00377E87">
            <w:pPr>
              <w:pStyle w:val="TableText"/>
            </w:pPr>
            <w:r w:rsidRPr="00247126">
              <w:t>57/1387 (4.1)</w:t>
            </w:r>
          </w:p>
        </w:tc>
        <w:tc>
          <w:tcPr>
            <w:tcW w:w="1495" w:type="dxa"/>
            <w:tcBorders>
              <w:bottom w:val="single" w:sz="4" w:space="0" w:color="auto"/>
            </w:tcBorders>
            <w:tcMar>
              <w:left w:w="57" w:type="dxa"/>
              <w:right w:w="57" w:type="dxa"/>
            </w:tcMar>
          </w:tcPr>
          <w:p w14:paraId="28D07FE2" w14:textId="095B9FCA" w:rsidR="00377E87" w:rsidRPr="00247126" w:rsidRDefault="00377E87" w:rsidP="00377E87">
            <w:pPr>
              <w:pStyle w:val="TableText"/>
              <w:rPr>
                <w:b/>
                <w:bCs/>
              </w:rPr>
            </w:pPr>
            <w:r w:rsidRPr="00247126">
              <w:rPr>
                <w:b/>
                <w:bCs/>
              </w:rPr>
              <w:t>0.56 [0.36, 0.87]</w:t>
            </w:r>
          </w:p>
        </w:tc>
        <w:tc>
          <w:tcPr>
            <w:tcW w:w="1495" w:type="dxa"/>
            <w:tcBorders>
              <w:bottom w:val="single" w:sz="4" w:space="0" w:color="auto"/>
            </w:tcBorders>
            <w:tcMar>
              <w:left w:w="57" w:type="dxa"/>
              <w:right w:w="57" w:type="dxa"/>
            </w:tcMar>
          </w:tcPr>
          <w:p w14:paraId="61C6C4AF" w14:textId="1B0DB485" w:rsidR="00377E87" w:rsidRPr="00247126" w:rsidRDefault="00377E87" w:rsidP="00377E87">
            <w:pPr>
              <w:pStyle w:val="TableText"/>
              <w:rPr>
                <w:b/>
                <w:bCs/>
              </w:rPr>
            </w:pPr>
            <w:r w:rsidRPr="00247126">
              <w:rPr>
                <w:b/>
                <w:bCs/>
              </w:rPr>
              <w:t>0.57 [0.37, 0.88]</w:t>
            </w:r>
          </w:p>
        </w:tc>
        <w:tc>
          <w:tcPr>
            <w:tcW w:w="1495" w:type="dxa"/>
            <w:tcBorders>
              <w:bottom w:val="single" w:sz="4" w:space="0" w:color="auto"/>
            </w:tcBorders>
            <w:tcMar>
              <w:left w:w="57" w:type="dxa"/>
              <w:right w:w="57" w:type="dxa"/>
            </w:tcMar>
          </w:tcPr>
          <w:p w14:paraId="217467A2" w14:textId="55542331" w:rsidR="00377E87" w:rsidRPr="00247126" w:rsidRDefault="00377E87" w:rsidP="00377E87">
            <w:pPr>
              <w:pStyle w:val="TableText"/>
              <w:rPr>
                <w:b/>
                <w:bCs/>
              </w:rPr>
            </w:pPr>
            <w:r w:rsidRPr="00247126">
              <w:rPr>
                <w:b/>
                <w:bCs/>
              </w:rPr>
              <w:t xml:space="preserve">-0.02 [-0.03, </w:t>
            </w:r>
            <w:r w:rsidR="00DD07BF" w:rsidRPr="00247126">
              <w:rPr>
                <w:b/>
                <w:bCs/>
              </w:rPr>
              <w:t>-</w:t>
            </w:r>
            <w:r w:rsidRPr="00247126">
              <w:rPr>
                <w:b/>
                <w:bCs/>
              </w:rPr>
              <w:t>0.00]</w:t>
            </w:r>
          </w:p>
        </w:tc>
      </w:tr>
    </w:tbl>
    <w:p w14:paraId="2420AFFC" w14:textId="522DADEC" w:rsidR="00E641E9" w:rsidRPr="00247126" w:rsidRDefault="00E641E9" w:rsidP="00E641E9">
      <w:pPr>
        <w:pStyle w:val="Tablenotes0"/>
      </w:pPr>
      <w:r w:rsidRPr="00247126">
        <w:t>AG</w:t>
      </w:r>
      <w:r w:rsidR="00501000" w:rsidRPr="00247126">
        <w:t xml:space="preserve"> =</w:t>
      </w:r>
      <w:r w:rsidRPr="00247126">
        <w:t xml:space="preserve"> angiogram; CI</w:t>
      </w:r>
      <w:r w:rsidR="00501000" w:rsidRPr="00247126">
        <w:t xml:space="preserve"> =</w:t>
      </w:r>
      <w:r w:rsidRPr="00247126">
        <w:t xml:space="preserve"> confidence interval; ITT</w:t>
      </w:r>
      <w:r w:rsidR="00501000" w:rsidRPr="00247126">
        <w:t xml:space="preserve"> =</w:t>
      </w:r>
      <w:r w:rsidRPr="00247126">
        <w:t xml:space="preserve"> intention-to-treat; OCT</w:t>
      </w:r>
      <w:r w:rsidR="00501000" w:rsidRPr="00247126">
        <w:t xml:space="preserve"> =</w:t>
      </w:r>
      <w:r w:rsidRPr="00247126">
        <w:t xml:space="preserve"> optical coherence tomography; OR</w:t>
      </w:r>
      <w:r w:rsidR="00501000" w:rsidRPr="00247126">
        <w:t xml:space="preserve"> =</w:t>
      </w:r>
      <w:r w:rsidRPr="00247126">
        <w:t xml:space="preserve"> odds ratio; PCI</w:t>
      </w:r>
      <w:r w:rsidR="00501000" w:rsidRPr="00247126">
        <w:t xml:space="preserve"> =</w:t>
      </w:r>
      <w:r w:rsidRPr="00247126">
        <w:t xml:space="preserve"> percutaneous coronary intervention; RD</w:t>
      </w:r>
      <w:r w:rsidR="00501000" w:rsidRPr="00247126">
        <w:t xml:space="preserve"> =</w:t>
      </w:r>
      <w:r w:rsidRPr="00247126">
        <w:t xml:space="preserve"> risk difference, RR</w:t>
      </w:r>
      <w:r w:rsidR="00501000" w:rsidRPr="00247126">
        <w:t xml:space="preserve"> =</w:t>
      </w:r>
      <w:r w:rsidRPr="00247126">
        <w:t xml:space="preserve"> risk ratio. </w:t>
      </w:r>
    </w:p>
    <w:p w14:paraId="150C28F9" w14:textId="76521404" w:rsidR="00E641E9" w:rsidRPr="00247126" w:rsidRDefault="00E641E9" w:rsidP="00E641E9">
      <w:pPr>
        <w:pStyle w:val="Tablenotes0"/>
      </w:pPr>
      <w:r w:rsidRPr="00247126">
        <w:t xml:space="preserve">a </w:t>
      </w:r>
      <w:r w:rsidR="00DD5BB9" w:rsidRPr="00247126">
        <w:t xml:space="preserve">OR, RR and </w:t>
      </w:r>
      <w:r w:rsidRPr="00247126">
        <w:t xml:space="preserve">RD with associated </w:t>
      </w:r>
      <w:proofErr w:type="spellStart"/>
      <w:r w:rsidRPr="00247126">
        <w:t>Cls</w:t>
      </w:r>
      <w:proofErr w:type="spellEnd"/>
      <w:r w:rsidRPr="00247126">
        <w:t xml:space="preserve"> were calculated from n/N</w:t>
      </w:r>
      <w:r w:rsidR="00DD5BB9" w:rsidRPr="00247126">
        <w:t xml:space="preserve"> event data</w:t>
      </w:r>
      <w:r w:rsidRPr="00247126">
        <w:t xml:space="preserve">. </w:t>
      </w:r>
    </w:p>
    <w:p w14:paraId="0E8C8471" w14:textId="04F0C852" w:rsidR="00E641E9" w:rsidRPr="00247126" w:rsidRDefault="00E641E9" w:rsidP="00E641E9">
      <w:pPr>
        <w:pStyle w:val="Tablenotes0"/>
      </w:pPr>
      <w:r w:rsidRPr="00247126">
        <w:t xml:space="preserve">b Data were adjudicated by the clinical events committee. The three </w:t>
      </w:r>
      <w:r w:rsidR="00C81DB3" w:rsidRPr="00247126">
        <w:t xml:space="preserve">OCT-related </w:t>
      </w:r>
      <w:r w:rsidRPr="00247126">
        <w:t>complications were a perforation treated with unplanned stent implantation, slow flow treated with hemodynamic support or pressor, and slow flow treated with unplanned stent implantation.</w:t>
      </w:r>
    </w:p>
    <w:p w14:paraId="1DF7B732" w14:textId="325EF2E4" w:rsidR="001F5A5A" w:rsidRPr="00247126" w:rsidRDefault="00E641E9" w:rsidP="00E641E9">
      <w:pPr>
        <w:pStyle w:val="Tablenotes0"/>
      </w:pPr>
      <w:r w:rsidRPr="00247126">
        <w:t>c Angiographic complications were reported at the completion of the procedure and were the composite of slow flow, no reflow, main branch</w:t>
      </w:r>
      <w:r w:rsidR="00F14500" w:rsidRPr="00247126">
        <w:t xml:space="preserve"> </w:t>
      </w:r>
      <w:r w:rsidRPr="00247126">
        <w:t xml:space="preserve">or side-branch closure, distal </w:t>
      </w:r>
      <w:proofErr w:type="spellStart"/>
      <w:r w:rsidRPr="00247126">
        <w:t>emboli</w:t>
      </w:r>
      <w:r w:rsidR="00F14500" w:rsidRPr="00247126">
        <w:t>s</w:t>
      </w:r>
      <w:r w:rsidRPr="00247126">
        <w:t>ation</w:t>
      </w:r>
      <w:proofErr w:type="spellEnd"/>
      <w:r w:rsidRPr="00247126">
        <w:t>, new or worsening thrombus, or intraprocedural stent thrombosis; the events were assessed by the core laboratory. Data were available for 1</w:t>
      </w:r>
      <w:r w:rsidR="0060744D" w:rsidRPr="00247126">
        <w:t>,</w:t>
      </w:r>
      <w:r w:rsidRPr="00247126">
        <w:t>231 patients in the OCT</w:t>
      </w:r>
      <w:r w:rsidR="00F14500" w:rsidRPr="00247126">
        <w:t>+AG</w:t>
      </w:r>
      <w:r w:rsidRPr="00247126">
        <w:t xml:space="preserve"> group and 1</w:t>
      </w:r>
      <w:r w:rsidR="0060744D" w:rsidRPr="00247126">
        <w:t>,</w:t>
      </w:r>
      <w:r w:rsidRPr="00247126">
        <w:t xml:space="preserve">252 patients in the </w:t>
      </w:r>
      <w:r w:rsidR="00F14500" w:rsidRPr="00247126">
        <w:t xml:space="preserve">AG alone </w:t>
      </w:r>
      <w:r w:rsidRPr="00247126">
        <w:t>group.</w:t>
      </w:r>
    </w:p>
    <w:p w14:paraId="66DE025F" w14:textId="450697A7" w:rsidR="006276BD" w:rsidRPr="00247126" w:rsidRDefault="006276BD" w:rsidP="00E641E9">
      <w:pPr>
        <w:pStyle w:val="Tablenotes0"/>
      </w:pPr>
      <w:r w:rsidRPr="00247126">
        <w:t xml:space="preserve">Note: </w:t>
      </w:r>
      <w:r w:rsidR="00237B15" w:rsidRPr="00247126">
        <w:t>R</w:t>
      </w:r>
      <w:r w:rsidRPr="00247126">
        <w:t>esults in bold are statistically significant.</w:t>
      </w:r>
    </w:p>
    <w:p w14:paraId="41C75268" w14:textId="51217332" w:rsidR="00FA011B" w:rsidRPr="00247126" w:rsidRDefault="00FA011B" w:rsidP="00E641E9">
      <w:pPr>
        <w:pStyle w:val="Tablenotes0"/>
      </w:pPr>
      <w:r w:rsidRPr="00247126">
        <w:t xml:space="preserve">Source: </w:t>
      </w:r>
      <w:r w:rsidR="00501000" w:rsidRPr="00247126">
        <w:t xml:space="preserve">Table 62 of </w:t>
      </w:r>
      <w:r w:rsidRPr="00247126">
        <w:t>MSAC 1743</w:t>
      </w:r>
      <w:r w:rsidR="009033D4" w:rsidRPr="00247126">
        <w:t xml:space="preserve"> </w:t>
      </w:r>
      <w:proofErr w:type="spellStart"/>
      <w:r w:rsidR="009033D4" w:rsidRPr="00247126">
        <w:t>ADAR+in-line</w:t>
      </w:r>
      <w:proofErr w:type="spellEnd"/>
      <w:r w:rsidR="009033D4" w:rsidRPr="00247126">
        <w:t xml:space="preserve"> commentary.</w:t>
      </w:r>
    </w:p>
    <w:p w14:paraId="635AE140" w14:textId="1E36AB2F" w:rsidR="001F5A5A" w:rsidRPr="00247126" w:rsidRDefault="001F5A5A" w:rsidP="001F5A5A">
      <w:pPr>
        <w:pStyle w:val="Heading3"/>
      </w:pPr>
      <w:r w:rsidRPr="00247126">
        <w:lastRenderedPageBreak/>
        <w:t>OCT+AG versus IVUS+AG</w:t>
      </w:r>
    </w:p>
    <w:p w14:paraId="0DF74A7F" w14:textId="53B53060" w:rsidR="001F5A5A" w:rsidRPr="00247126" w:rsidRDefault="00E64090" w:rsidP="001F5A5A">
      <w:r w:rsidRPr="00247126">
        <w:t>Key safety data f</w:t>
      </w:r>
      <w:r w:rsidR="00986BBB" w:rsidRPr="00247126">
        <w:t>rom</w:t>
      </w:r>
      <w:r w:rsidRPr="00247126">
        <w:t xml:space="preserve"> the OCTIVUS trial</w:t>
      </w:r>
      <w:r w:rsidR="0019730F" w:rsidRPr="00247126">
        <w:t xml:space="preserve">, including the ITT population, complex lesion </w:t>
      </w:r>
      <w:r w:rsidR="006C45B4" w:rsidRPr="00247126">
        <w:t>subpopulation</w:t>
      </w:r>
      <w:r w:rsidR="0019730F" w:rsidRPr="00247126">
        <w:t xml:space="preserve"> (</w:t>
      </w:r>
      <w:r w:rsidR="004974FD" w:rsidRPr="00247126">
        <w:t xml:space="preserve">published </w:t>
      </w:r>
      <w:r w:rsidR="00641577" w:rsidRPr="00247126">
        <w:t>after the ADAR literature search</w:t>
      </w:r>
      <w:r w:rsidR="0019730F" w:rsidRPr="00247126">
        <w:t>), and long lesion sub</w:t>
      </w:r>
      <w:r w:rsidR="006C45B4" w:rsidRPr="00247126">
        <w:t>population</w:t>
      </w:r>
      <w:r w:rsidR="0019730F" w:rsidRPr="00247126">
        <w:t xml:space="preserve"> (</w:t>
      </w:r>
      <w:r w:rsidR="00986BBB" w:rsidRPr="00247126">
        <w:t>post hoc</w:t>
      </w:r>
      <w:r w:rsidR="006C45B4" w:rsidRPr="00247126">
        <w:t xml:space="preserve"> analysis prepared for </w:t>
      </w:r>
      <w:r w:rsidR="00933120" w:rsidRPr="00247126">
        <w:t xml:space="preserve">the </w:t>
      </w:r>
      <w:r w:rsidR="006C45B4" w:rsidRPr="00247126">
        <w:t>ADAR</w:t>
      </w:r>
      <w:r w:rsidR="00986BBB" w:rsidRPr="00247126">
        <w:t>)</w:t>
      </w:r>
      <w:r w:rsidR="006C45B4" w:rsidRPr="00247126">
        <w:t xml:space="preserve"> are summarised in </w:t>
      </w:r>
      <w:r w:rsidR="006C45B4" w:rsidRPr="00247126">
        <w:fldChar w:fldCharType="begin"/>
      </w:r>
      <w:r w:rsidR="006C45B4" w:rsidRPr="00247126">
        <w:instrText xml:space="preserve"> REF _Ref163487848 \h </w:instrText>
      </w:r>
      <w:r w:rsidR="00C567A2" w:rsidRPr="00247126">
        <w:instrText xml:space="preserve"> \* MERGEFORMAT </w:instrText>
      </w:r>
      <w:r w:rsidR="006C45B4" w:rsidRPr="00247126">
        <w:fldChar w:fldCharType="separate"/>
      </w:r>
      <w:r w:rsidR="00151E03" w:rsidRPr="00247126">
        <w:t xml:space="preserve">Table </w:t>
      </w:r>
      <w:r w:rsidR="00151E03" w:rsidRPr="00247126">
        <w:rPr>
          <w:noProof/>
        </w:rPr>
        <w:t>8</w:t>
      </w:r>
      <w:r w:rsidR="006C45B4" w:rsidRPr="00247126">
        <w:fldChar w:fldCharType="end"/>
      </w:r>
      <w:r w:rsidR="006C45B4" w:rsidRPr="00247126">
        <w:t>.</w:t>
      </w:r>
    </w:p>
    <w:p w14:paraId="1827367B" w14:textId="5AB774CF" w:rsidR="001A3EDE" w:rsidRPr="00247126" w:rsidRDefault="001A3EDE" w:rsidP="001A3EDE">
      <w:r w:rsidRPr="00247126">
        <w:t>For the ITT population, the incidence of procedural complications requiring active intervention during the index procedure was lower with OCT+AG (2.2%) than with IVUS+AG (3.7%). According to the p-value reported in the publication, the difference was statistically significant (p = 0.047). No statistically significant differences in the individual procedural complications between each arm were identified, with events either the same or numerically lower with OCT+AG. No deaths were reported.</w:t>
      </w:r>
    </w:p>
    <w:p w14:paraId="4A577C92" w14:textId="690DB1A8" w:rsidR="001A3EDE" w:rsidRPr="00247126" w:rsidRDefault="001A3EDE" w:rsidP="001A3EDE">
      <w:r w:rsidRPr="00247126">
        <w:t>In patients with complex coronary artery lesions</w:t>
      </w:r>
      <w:r w:rsidR="001B5E9C" w:rsidRPr="00247126">
        <w:rPr>
          <w:rStyle w:val="FootnoteReference"/>
        </w:rPr>
        <w:footnoteReference w:id="3"/>
      </w:r>
      <w:r w:rsidRPr="00247126">
        <w:t xml:space="preserve"> the incidence of procedural complications requiring active intervention was also </w:t>
      </w:r>
      <w:r w:rsidR="00E902A6" w:rsidRPr="00247126">
        <w:t xml:space="preserve">significantly </w:t>
      </w:r>
      <w:r w:rsidRPr="00247126">
        <w:t>lower in the OCT+AG group than the IVUS+AG group (1.7% vs</w:t>
      </w:r>
      <w:r w:rsidR="005772EA" w:rsidRPr="00247126">
        <w:t>.</w:t>
      </w:r>
      <w:r w:rsidRPr="00247126">
        <w:t xml:space="preserve"> 3.4%; p = 0.03).</w:t>
      </w:r>
      <w:r w:rsidR="00E902A6" w:rsidRPr="00247126">
        <w:t xml:space="preserve"> Th</w:t>
      </w:r>
      <w:r w:rsidR="0037394E" w:rsidRPr="00247126">
        <w:t>e</w:t>
      </w:r>
      <w:r w:rsidR="00E902A6" w:rsidRPr="00247126">
        <w:t xml:space="preserve"> difference </w:t>
      </w:r>
      <w:r w:rsidR="00CA6ECA" w:rsidRPr="00247126">
        <w:t>in procedural complications requiring active intervention</w:t>
      </w:r>
      <w:r w:rsidR="00E902A6" w:rsidRPr="00247126">
        <w:t xml:space="preserve"> was not</w:t>
      </w:r>
      <w:r w:rsidR="006F0C59" w:rsidRPr="00247126">
        <w:t xml:space="preserve"> statistically significant</w:t>
      </w:r>
      <w:r w:rsidRPr="00247126">
        <w:t xml:space="preserve"> in </w:t>
      </w:r>
      <w:r w:rsidR="006F0C59" w:rsidRPr="00247126">
        <w:t xml:space="preserve">the subpopulation of </w:t>
      </w:r>
      <w:r w:rsidRPr="00247126">
        <w:t>patients with diffuse long coronary artery lesions (3.3% vs. 4.7%; p = 0.22).</w:t>
      </w:r>
    </w:p>
    <w:p w14:paraId="5D07B5DF" w14:textId="34D37774" w:rsidR="009E139D" w:rsidRPr="00247126" w:rsidRDefault="0067024F" w:rsidP="001F5A5A">
      <w:r w:rsidRPr="00247126">
        <w:t xml:space="preserve">No IVUS or OCT </w:t>
      </w:r>
      <w:r w:rsidR="006B05EF" w:rsidRPr="00247126">
        <w:t xml:space="preserve">procedure related complications were observed in either treatment arm in the trial. </w:t>
      </w:r>
      <w:r w:rsidR="009E139D" w:rsidRPr="00247126">
        <w:t xml:space="preserve">The rate of contrast-induced nephropathy was similar between the OCT+AG and IVUS+AG arms </w:t>
      </w:r>
      <w:r w:rsidR="003349A2" w:rsidRPr="00247126">
        <w:t xml:space="preserve">in the ITT </w:t>
      </w:r>
      <w:r w:rsidR="003A10AD" w:rsidRPr="00247126">
        <w:t xml:space="preserve">population </w:t>
      </w:r>
      <w:r w:rsidR="007B2776" w:rsidRPr="00247126">
        <w:t>(1.4% vs. 1.5%</w:t>
      </w:r>
      <w:r w:rsidR="00007A21" w:rsidRPr="00247126">
        <w:t>; HR=0.93</w:t>
      </w:r>
      <w:r w:rsidR="00B9045C" w:rsidRPr="00247126">
        <w:t>,</w:t>
      </w:r>
      <w:r w:rsidR="00007A21" w:rsidRPr="00247126">
        <w:t xml:space="preserve"> 95% CI 0.45, 1.92</w:t>
      </w:r>
      <w:r w:rsidR="007B2776" w:rsidRPr="00247126">
        <w:t xml:space="preserve">) </w:t>
      </w:r>
      <w:r w:rsidR="003349A2" w:rsidRPr="00247126">
        <w:t xml:space="preserve">and </w:t>
      </w:r>
      <w:r w:rsidR="006B358C" w:rsidRPr="00247126">
        <w:t xml:space="preserve">the </w:t>
      </w:r>
      <w:r w:rsidR="003349A2" w:rsidRPr="00247126">
        <w:t xml:space="preserve">complex lesion </w:t>
      </w:r>
      <w:r w:rsidR="006B358C" w:rsidRPr="00247126">
        <w:t xml:space="preserve">subgroup </w:t>
      </w:r>
      <w:r w:rsidR="007B2776" w:rsidRPr="00247126">
        <w:t>(1.9% vs. 1.5%)</w:t>
      </w:r>
      <w:r w:rsidR="001D39A6" w:rsidRPr="00247126">
        <w:t>.</w:t>
      </w:r>
    </w:p>
    <w:p w14:paraId="1E4D1FF3" w14:textId="17170CC8" w:rsidR="00C422EE" w:rsidRPr="00247126" w:rsidRDefault="00C422EE" w:rsidP="00C422EE">
      <w:pPr>
        <w:pStyle w:val="Caption"/>
      </w:pPr>
      <w:bookmarkStart w:id="19" w:name="_Ref163487848"/>
      <w:r w:rsidRPr="00247126">
        <w:t xml:space="preserve">Table </w:t>
      </w:r>
      <w:r w:rsidRPr="00247126">
        <w:fldChar w:fldCharType="begin"/>
      </w:r>
      <w:r w:rsidRPr="00247126">
        <w:instrText xml:space="preserve"> SEQ Table \* ARABIC </w:instrText>
      </w:r>
      <w:r w:rsidRPr="00247126">
        <w:fldChar w:fldCharType="separate"/>
      </w:r>
      <w:r w:rsidR="00151E03" w:rsidRPr="00247126">
        <w:rPr>
          <w:noProof/>
        </w:rPr>
        <w:t>8</w:t>
      </w:r>
      <w:r w:rsidRPr="00247126">
        <w:rPr>
          <w:noProof/>
        </w:rPr>
        <w:fldChar w:fldCharType="end"/>
      </w:r>
      <w:bookmarkEnd w:id="19"/>
      <w:r w:rsidRPr="00247126">
        <w:tab/>
      </w:r>
      <w:r w:rsidR="00CA3A06" w:rsidRPr="00247126">
        <w:t>Key safety data for OCT+AG vs</w:t>
      </w:r>
      <w:r w:rsidR="00310C98" w:rsidRPr="00247126">
        <w:t>.</w:t>
      </w:r>
      <w:r w:rsidR="00CA3A06" w:rsidRPr="00247126">
        <w:t xml:space="preserve"> IVUS+AG from the OCTIVUS trial</w:t>
      </w:r>
    </w:p>
    <w:tbl>
      <w:tblPr>
        <w:tblStyle w:val="TableGrid"/>
        <w:tblW w:w="5000" w:type="pct"/>
        <w:tblLook w:val="04A0" w:firstRow="1" w:lastRow="0" w:firstColumn="1" w:lastColumn="0" w:noHBand="0" w:noVBand="1"/>
        <w:tblCaption w:val="Key safety data for OCT+AG vs. IVUS+AG from the OCTIVUS trial"/>
        <w:tblDescription w:val="This table summarises the key safety data for OCT+AG vs. IVUS+AG from the OCTIVUS trial including odds ratio, risk ratio and risk difference."/>
      </w:tblPr>
      <w:tblGrid>
        <w:gridCol w:w="2262"/>
        <w:gridCol w:w="561"/>
        <w:gridCol w:w="285"/>
        <w:gridCol w:w="289"/>
        <w:gridCol w:w="1136"/>
        <w:gridCol w:w="141"/>
        <w:gridCol w:w="283"/>
        <w:gridCol w:w="283"/>
        <w:gridCol w:w="710"/>
        <w:gridCol w:w="1387"/>
        <w:gridCol w:w="1679"/>
      </w:tblGrid>
      <w:tr w:rsidR="006C208B" w:rsidRPr="00247126" w14:paraId="49D5B99E" w14:textId="77777777" w:rsidTr="00151B0E">
        <w:trPr>
          <w:tblHeader/>
        </w:trPr>
        <w:tc>
          <w:tcPr>
            <w:tcW w:w="1255" w:type="pct"/>
            <w:tcBorders>
              <w:bottom w:val="single" w:sz="4" w:space="0" w:color="auto"/>
            </w:tcBorders>
            <w:tcMar>
              <w:left w:w="57" w:type="dxa"/>
              <w:right w:w="57" w:type="dxa"/>
            </w:tcMar>
          </w:tcPr>
          <w:p w14:paraId="60792373" w14:textId="55E0DCF2" w:rsidR="003872AA" w:rsidRPr="00247126" w:rsidRDefault="003872AA" w:rsidP="00C6540C">
            <w:pPr>
              <w:pStyle w:val="TableHeading"/>
            </w:pPr>
            <w:r w:rsidRPr="00247126">
              <w:t>Event</w:t>
            </w:r>
          </w:p>
        </w:tc>
        <w:tc>
          <w:tcPr>
            <w:tcW w:w="629" w:type="pct"/>
            <w:gridSpan w:val="3"/>
            <w:tcBorders>
              <w:bottom w:val="single" w:sz="4" w:space="0" w:color="auto"/>
            </w:tcBorders>
            <w:tcMar>
              <w:left w:w="57" w:type="dxa"/>
              <w:right w:w="57" w:type="dxa"/>
            </w:tcMar>
          </w:tcPr>
          <w:p w14:paraId="2251CDAB" w14:textId="3D676AA7" w:rsidR="003872AA" w:rsidRPr="00247126" w:rsidRDefault="003872AA" w:rsidP="00C935B3">
            <w:pPr>
              <w:pStyle w:val="TableHeading"/>
            </w:pPr>
            <w:r w:rsidRPr="00247126">
              <w:t>OCT+AG</w:t>
            </w:r>
            <w:r w:rsidR="00C935B3" w:rsidRPr="00247126">
              <w:br/>
            </w:r>
            <w:r w:rsidRPr="00247126">
              <w:t>n/N (%)</w:t>
            </w:r>
          </w:p>
        </w:tc>
        <w:tc>
          <w:tcPr>
            <w:tcW w:w="629" w:type="pct"/>
            <w:tcBorders>
              <w:bottom w:val="single" w:sz="4" w:space="0" w:color="auto"/>
            </w:tcBorders>
            <w:tcMar>
              <w:left w:w="57" w:type="dxa"/>
              <w:right w:w="57" w:type="dxa"/>
            </w:tcMar>
          </w:tcPr>
          <w:p w14:paraId="374BD943" w14:textId="4B2A547D" w:rsidR="003872AA" w:rsidRPr="00247126" w:rsidRDefault="003872AA" w:rsidP="00C935B3">
            <w:pPr>
              <w:pStyle w:val="TableHeading"/>
            </w:pPr>
            <w:r w:rsidRPr="00247126">
              <w:t>IVUS+AG</w:t>
            </w:r>
            <w:r w:rsidR="00C935B3" w:rsidRPr="00247126">
              <w:br/>
            </w:r>
            <w:r w:rsidRPr="00247126">
              <w:t>n/N (%)</w:t>
            </w:r>
          </w:p>
        </w:tc>
        <w:tc>
          <w:tcPr>
            <w:tcW w:w="786" w:type="pct"/>
            <w:gridSpan w:val="4"/>
            <w:tcBorders>
              <w:bottom w:val="single" w:sz="4" w:space="0" w:color="auto"/>
            </w:tcBorders>
            <w:tcMar>
              <w:left w:w="57" w:type="dxa"/>
              <w:right w:w="57" w:type="dxa"/>
            </w:tcMar>
          </w:tcPr>
          <w:p w14:paraId="26080D87" w14:textId="7E5196CF" w:rsidR="003872AA" w:rsidRPr="00247126" w:rsidRDefault="003872AA" w:rsidP="00C935B3">
            <w:pPr>
              <w:pStyle w:val="TableHeading"/>
            </w:pPr>
            <w:r w:rsidRPr="00247126">
              <w:t xml:space="preserve">OR [95% </w:t>
            </w:r>
            <w:proofErr w:type="gramStart"/>
            <w:r w:rsidRPr="00247126">
              <w:t>CI]</w:t>
            </w:r>
            <w:r w:rsidRPr="00247126">
              <w:rPr>
                <w:vertAlign w:val="superscript"/>
              </w:rPr>
              <w:t>a</w:t>
            </w:r>
            <w:proofErr w:type="gramEnd"/>
            <w:r w:rsidR="00C935B3" w:rsidRPr="00247126">
              <w:br/>
            </w:r>
            <w:r w:rsidR="005B4C38" w:rsidRPr="00247126">
              <w:t xml:space="preserve">OR </w:t>
            </w:r>
            <w:r w:rsidRPr="00247126">
              <w:t>&lt;1 favours OCT+AG</w:t>
            </w:r>
          </w:p>
        </w:tc>
        <w:tc>
          <w:tcPr>
            <w:tcW w:w="769" w:type="pct"/>
            <w:tcBorders>
              <w:bottom w:val="single" w:sz="4" w:space="0" w:color="auto"/>
            </w:tcBorders>
            <w:tcMar>
              <w:left w:w="57" w:type="dxa"/>
              <w:right w:w="57" w:type="dxa"/>
            </w:tcMar>
          </w:tcPr>
          <w:p w14:paraId="1DFBB502" w14:textId="20E17822" w:rsidR="003872AA" w:rsidRPr="00247126" w:rsidRDefault="003872AA" w:rsidP="00C935B3">
            <w:pPr>
              <w:pStyle w:val="TableHeading"/>
            </w:pPr>
            <w:r w:rsidRPr="00247126">
              <w:t xml:space="preserve">RR [95% </w:t>
            </w:r>
            <w:proofErr w:type="gramStart"/>
            <w:r w:rsidRPr="00247126">
              <w:t>CI]</w:t>
            </w:r>
            <w:r w:rsidRPr="00247126">
              <w:rPr>
                <w:vertAlign w:val="superscript"/>
              </w:rPr>
              <w:t>a</w:t>
            </w:r>
            <w:proofErr w:type="gramEnd"/>
            <w:r w:rsidR="00C935B3" w:rsidRPr="00247126">
              <w:br/>
            </w:r>
            <w:r w:rsidR="005B4C38" w:rsidRPr="00247126">
              <w:t xml:space="preserve">RR </w:t>
            </w:r>
            <w:r w:rsidRPr="00247126">
              <w:t>&lt;1 favours OCT+AG</w:t>
            </w:r>
          </w:p>
        </w:tc>
        <w:tc>
          <w:tcPr>
            <w:tcW w:w="931" w:type="pct"/>
            <w:tcBorders>
              <w:bottom w:val="single" w:sz="4" w:space="0" w:color="auto"/>
            </w:tcBorders>
            <w:tcMar>
              <w:left w:w="57" w:type="dxa"/>
              <w:right w:w="57" w:type="dxa"/>
            </w:tcMar>
          </w:tcPr>
          <w:p w14:paraId="5C5BD3B5" w14:textId="5BFB6B3F" w:rsidR="003872AA" w:rsidRPr="00247126" w:rsidRDefault="003872AA" w:rsidP="00A019A1">
            <w:pPr>
              <w:pStyle w:val="TableHeading"/>
            </w:pPr>
            <w:r w:rsidRPr="00247126">
              <w:t xml:space="preserve">RD [95% </w:t>
            </w:r>
            <w:proofErr w:type="gramStart"/>
            <w:r w:rsidRPr="00247126">
              <w:t>CI]</w:t>
            </w:r>
            <w:r w:rsidRPr="00247126">
              <w:rPr>
                <w:vertAlign w:val="superscript"/>
              </w:rPr>
              <w:t>a</w:t>
            </w:r>
            <w:proofErr w:type="gramEnd"/>
            <w:r w:rsidR="00A019A1" w:rsidRPr="00247126">
              <w:br/>
            </w:r>
            <w:r w:rsidR="005B4C38" w:rsidRPr="00247126">
              <w:t xml:space="preserve">RD </w:t>
            </w:r>
            <w:r w:rsidRPr="00247126">
              <w:t>&lt;0 favours OCT+AG</w:t>
            </w:r>
          </w:p>
        </w:tc>
      </w:tr>
      <w:tr w:rsidR="00B354FB" w:rsidRPr="00247126" w14:paraId="4F18B760" w14:textId="77777777" w:rsidTr="00151B0E">
        <w:trPr>
          <w:tblHeader/>
        </w:trPr>
        <w:tc>
          <w:tcPr>
            <w:tcW w:w="2592" w:type="pct"/>
            <w:gridSpan w:val="6"/>
            <w:tcBorders>
              <w:bottom w:val="single" w:sz="4" w:space="0" w:color="auto"/>
              <w:right w:val="nil"/>
            </w:tcBorders>
            <w:shd w:val="clear" w:color="auto" w:fill="auto"/>
            <w:tcMar>
              <w:left w:w="57" w:type="dxa"/>
              <w:right w:w="57" w:type="dxa"/>
            </w:tcMar>
          </w:tcPr>
          <w:p w14:paraId="12B59D0E" w14:textId="091A1750" w:rsidR="003872AA" w:rsidRPr="00247126" w:rsidRDefault="003872AA" w:rsidP="00DF43DC">
            <w:pPr>
              <w:pStyle w:val="TableText"/>
              <w:rPr>
                <w:b/>
                <w:bCs/>
              </w:rPr>
            </w:pPr>
            <w:r w:rsidRPr="00247126">
              <w:rPr>
                <w:b/>
                <w:bCs/>
              </w:rPr>
              <w:t xml:space="preserve">Procedural complications requiring active </w:t>
            </w:r>
            <w:proofErr w:type="spellStart"/>
            <w:r w:rsidRPr="00247126">
              <w:rPr>
                <w:b/>
                <w:bCs/>
              </w:rPr>
              <w:t>intervention</w:t>
            </w:r>
            <w:r w:rsidRPr="00247126">
              <w:rPr>
                <w:b/>
                <w:bCs/>
                <w:vertAlign w:val="superscript"/>
              </w:rPr>
              <w:t>b</w:t>
            </w:r>
            <w:proofErr w:type="spellEnd"/>
          </w:p>
        </w:tc>
        <w:tc>
          <w:tcPr>
            <w:tcW w:w="157" w:type="pct"/>
            <w:tcBorders>
              <w:left w:val="nil"/>
              <w:bottom w:val="single" w:sz="4" w:space="0" w:color="auto"/>
              <w:right w:val="nil"/>
            </w:tcBorders>
            <w:shd w:val="clear" w:color="auto" w:fill="auto"/>
            <w:tcMar>
              <w:left w:w="57" w:type="dxa"/>
              <w:right w:w="57" w:type="dxa"/>
            </w:tcMar>
          </w:tcPr>
          <w:p w14:paraId="5C56D423" w14:textId="3D4D8773" w:rsidR="003872AA" w:rsidRPr="00247126" w:rsidRDefault="003872AA" w:rsidP="00DF43DC">
            <w:pPr>
              <w:pStyle w:val="TableText"/>
            </w:pPr>
          </w:p>
        </w:tc>
        <w:tc>
          <w:tcPr>
            <w:tcW w:w="157" w:type="pct"/>
            <w:tcBorders>
              <w:left w:val="nil"/>
              <w:bottom w:val="single" w:sz="4" w:space="0" w:color="auto"/>
              <w:right w:val="nil"/>
            </w:tcBorders>
            <w:shd w:val="clear" w:color="auto" w:fill="auto"/>
            <w:tcMar>
              <w:left w:w="57" w:type="dxa"/>
              <w:right w:w="57" w:type="dxa"/>
            </w:tcMar>
          </w:tcPr>
          <w:p w14:paraId="0A152972" w14:textId="5E92B599" w:rsidR="003872AA" w:rsidRPr="00247126" w:rsidRDefault="003872AA" w:rsidP="00DF43DC">
            <w:pPr>
              <w:pStyle w:val="TableText"/>
            </w:pPr>
          </w:p>
        </w:tc>
        <w:tc>
          <w:tcPr>
            <w:tcW w:w="394" w:type="pct"/>
            <w:tcBorders>
              <w:left w:val="nil"/>
              <w:bottom w:val="single" w:sz="4" w:space="0" w:color="auto"/>
              <w:right w:val="nil"/>
            </w:tcBorders>
            <w:shd w:val="clear" w:color="auto" w:fill="auto"/>
            <w:tcMar>
              <w:left w:w="57" w:type="dxa"/>
              <w:right w:w="57" w:type="dxa"/>
            </w:tcMar>
          </w:tcPr>
          <w:p w14:paraId="01BDF390" w14:textId="686E4306" w:rsidR="003872AA" w:rsidRPr="00247126" w:rsidRDefault="003872AA" w:rsidP="00DF43DC">
            <w:pPr>
              <w:pStyle w:val="TableText"/>
            </w:pPr>
          </w:p>
        </w:tc>
        <w:tc>
          <w:tcPr>
            <w:tcW w:w="769" w:type="pct"/>
            <w:tcBorders>
              <w:left w:val="nil"/>
              <w:bottom w:val="single" w:sz="4" w:space="0" w:color="auto"/>
              <w:right w:val="nil"/>
            </w:tcBorders>
            <w:shd w:val="clear" w:color="auto" w:fill="auto"/>
            <w:tcMar>
              <w:left w:w="57" w:type="dxa"/>
              <w:right w:w="57" w:type="dxa"/>
            </w:tcMar>
          </w:tcPr>
          <w:p w14:paraId="6F359D3F" w14:textId="1E3167F7" w:rsidR="003872AA" w:rsidRPr="00247126" w:rsidRDefault="003872AA" w:rsidP="00DF43DC">
            <w:pPr>
              <w:pStyle w:val="TableText"/>
            </w:pPr>
          </w:p>
        </w:tc>
        <w:tc>
          <w:tcPr>
            <w:tcW w:w="931" w:type="pct"/>
            <w:tcBorders>
              <w:left w:val="nil"/>
              <w:bottom w:val="single" w:sz="4" w:space="0" w:color="auto"/>
            </w:tcBorders>
            <w:shd w:val="clear" w:color="auto" w:fill="auto"/>
            <w:tcMar>
              <w:left w:w="57" w:type="dxa"/>
              <w:right w:w="57" w:type="dxa"/>
            </w:tcMar>
          </w:tcPr>
          <w:p w14:paraId="76DE7418" w14:textId="2989954D" w:rsidR="003872AA" w:rsidRPr="00247126" w:rsidRDefault="003872AA" w:rsidP="00DF43DC">
            <w:pPr>
              <w:pStyle w:val="TableText"/>
            </w:pPr>
          </w:p>
        </w:tc>
      </w:tr>
      <w:tr w:rsidR="00D508F1" w:rsidRPr="00247126" w14:paraId="23982A40" w14:textId="77777777" w:rsidTr="00151B0E">
        <w:trPr>
          <w:tblHeader/>
        </w:trPr>
        <w:tc>
          <w:tcPr>
            <w:tcW w:w="1255" w:type="pct"/>
            <w:tcBorders>
              <w:right w:val="nil"/>
            </w:tcBorders>
            <w:tcMar>
              <w:left w:w="57" w:type="dxa"/>
              <w:right w:w="57" w:type="dxa"/>
            </w:tcMar>
          </w:tcPr>
          <w:p w14:paraId="7ABD65B2" w14:textId="1F035A93" w:rsidR="003872AA" w:rsidRPr="00247126" w:rsidRDefault="003872AA" w:rsidP="0083172D">
            <w:pPr>
              <w:pStyle w:val="TableText"/>
              <w:rPr>
                <w:b/>
                <w:bCs/>
              </w:rPr>
            </w:pPr>
            <w:r w:rsidRPr="00247126">
              <w:rPr>
                <w:b/>
                <w:bCs/>
              </w:rPr>
              <w:t>Any</w:t>
            </w:r>
          </w:p>
        </w:tc>
        <w:tc>
          <w:tcPr>
            <w:tcW w:w="629" w:type="pct"/>
            <w:gridSpan w:val="3"/>
            <w:tcBorders>
              <w:left w:val="nil"/>
              <w:right w:val="nil"/>
            </w:tcBorders>
            <w:tcMar>
              <w:left w:w="57" w:type="dxa"/>
              <w:right w:w="57" w:type="dxa"/>
            </w:tcMar>
          </w:tcPr>
          <w:p w14:paraId="4EF34750" w14:textId="77777777" w:rsidR="003872AA" w:rsidRPr="00247126" w:rsidRDefault="003872AA" w:rsidP="0083172D">
            <w:pPr>
              <w:pStyle w:val="TableText"/>
            </w:pPr>
          </w:p>
        </w:tc>
        <w:tc>
          <w:tcPr>
            <w:tcW w:w="629" w:type="pct"/>
            <w:tcBorders>
              <w:left w:val="nil"/>
              <w:right w:val="nil"/>
            </w:tcBorders>
            <w:tcMar>
              <w:left w:w="57" w:type="dxa"/>
              <w:right w:w="57" w:type="dxa"/>
            </w:tcMar>
          </w:tcPr>
          <w:p w14:paraId="6603A665" w14:textId="77777777" w:rsidR="003872AA" w:rsidRPr="00247126" w:rsidRDefault="003872AA" w:rsidP="0083172D">
            <w:pPr>
              <w:pStyle w:val="TableText"/>
            </w:pPr>
          </w:p>
        </w:tc>
        <w:tc>
          <w:tcPr>
            <w:tcW w:w="786" w:type="pct"/>
            <w:gridSpan w:val="4"/>
            <w:tcBorders>
              <w:left w:val="nil"/>
              <w:right w:val="nil"/>
            </w:tcBorders>
            <w:tcMar>
              <w:left w:w="57" w:type="dxa"/>
              <w:right w:w="57" w:type="dxa"/>
            </w:tcMar>
          </w:tcPr>
          <w:p w14:paraId="441007AF" w14:textId="77777777" w:rsidR="003872AA" w:rsidRPr="00247126" w:rsidRDefault="003872AA" w:rsidP="0083172D">
            <w:pPr>
              <w:pStyle w:val="TableText"/>
            </w:pPr>
          </w:p>
        </w:tc>
        <w:tc>
          <w:tcPr>
            <w:tcW w:w="769" w:type="pct"/>
            <w:tcBorders>
              <w:left w:val="nil"/>
              <w:right w:val="nil"/>
            </w:tcBorders>
            <w:tcMar>
              <w:left w:w="57" w:type="dxa"/>
              <w:right w:w="57" w:type="dxa"/>
            </w:tcMar>
          </w:tcPr>
          <w:p w14:paraId="3603A947" w14:textId="77777777" w:rsidR="003872AA" w:rsidRPr="00247126" w:rsidRDefault="003872AA" w:rsidP="0083172D">
            <w:pPr>
              <w:pStyle w:val="TableText"/>
            </w:pPr>
          </w:p>
        </w:tc>
        <w:tc>
          <w:tcPr>
            <w:tcW w:w="931" w:type="pct"/>
            <w:tcBorders>
              <w:left w:val="nil"/>
            </w:tcBorders>
            <w:tcMar>
              <w:left w:w="57" w:type="dxa"/>
              <w:right w:w="57" w:type="dxa"/>
            </w:tcMar>
          </w:tcPr>
          <w:p w14:paraId="4581E76D" w14:textId="77777777" w:rsidR="003872AA" w:rsidRPr="00247126" w:rsidRDefault="003872AA" w:rsidP="0083172D">
            <w:pPr>
              <w:pStyle w:val="TableText"/>
            </w:pPr>
          </w:p>
        </w:tc>
      </w:tr>
      <w:tr w:rsidR="00681C4D" w:rsidRPr="00247126" w14:paraId="0D1EDFCF" w14:textId="77777777" w:rsidTr="00151B0E">
        <w:trPr>
          <w:tblHeader/>
        </w:trPr>
        <w:tc>
          <w:tcPr>
            <w:tcW w:w="1255" w:type="pct"/>
            <w:tcMar>
              <w:left w:w="57" w:type="dxa"/>
              <w:right w:w="57" w:type="dxa"/>
            </w:tcMar>
          </w:tcPr>
          <w:p w14:paraId="512AD75D" w14:textId="38286EAF" w:rsidR="003872AA" w:rsidRPr="00247126" w:rsidRDefault="003872AA" w:rsidP="0083172D">
            <w:pPr>
              <w:pStyle w:val="TableText"/>
            </w:pPr>
            <w:r w:rsidRPr="00247126">
              <w:t>ITT</w:t>
            </w:r>
          </w:p>
        </w:tc>
        <w:tc>
          <w:tcPr>
            <w:tcW w:w="629" w:type="pct"/>
            <w:gridSpan w:val="3"/>
            <w:tcMar>
              <w:left w:w="57" w:type="dxa"/>
              <w:right w:w="57" w:type="dxa"/>
            </w:tcMar>
          </w:tcPr>
          <w:p w14:paraId="7394FBDA" w14:textId="590604F1" w:rsidR="003872AA" w:rsidRPr="00247126" w:rsidRDefault="003872AA" w:rsidP="0083172D">
            <w:pPr>
              <w:pStyle w:val="TableText"/>
            </w:pPr>
            <w:r w:rsidRPr="00247126">
              <w:t>22/1005 (2.2)</w:t>
            </w:r>
          </w:p>
        </w:tc>
        <w:tc>
          <w:tcPr>
            <w:tcW w:w="629" w:type="pct"/>
            <w:tcMar>
              <w:left w:w="57" w:type="dxa"/>
              <w:right w:w="57" w:type="dxa"/>
            </w:tcMar>
          </w:tcPr>
          <w:p w14:paraId="358EC32C" w14:textId="56F87D4C" w:rsidR="003872AA" w:rsidRPr="00247126" w:rsidRDefault="003872AA" w:rsidP="0083172D">
            <w:pPr>
              <w:pStyle w:val="TableText"/>
            </w:pPr>
            <w:r w:rsidRPr="00247126">
              <w:t>37/1003 (3.7)</w:t>
            </w:r>
          </w:p>
        </w:tc>
        <w:tc>
          <w:tcPr>
            <w:tcW w:w="786" w:type="pct"/>
            <w:gridSpan w:val="4"/>
            <w:tcMar>
              <w:left w:w="57" w:type="dxa"/>
              <w:right w:w="57" w:type="dxa"/>
            </w:tcMar>
          </w:tcPr>
          <w:p w14:paraId="4113FABA" w14:textId="0D828E43" w:rsidR="003872AA" w:rsidRPr="00247126" w:rsidRDefault="003872AA" w:rsidP="0083172D">
            <w:pPr>
              <w:pStyle w:val="TableText"/>
            </w:pPr>
            <w:r w:rsidRPr="00247126">
              <w:t>0.58 [0.34, 1.00]</w:t>
            </w:r>
          </w:p>
        </w:tc>
        <w:tc>
          <w:tcPr>
            <w:tcW w:w="769" w:type="pct"/>
            <w:tcMar>
              <w:left w:w="57" w:type="dxa"/>
              <w:right w:w="57" w:type="dxa"/>
            </w:tcMar>
          </w:tcPr>
          <w:p w14:paraId="36867AA0" w14:textId="64985503" w:rsidR="003872AA" w:rsidRPr="00247126" w:rsidRDefault="003872AA" w:rsidP="0083172D">
            <w:pPr>
              <w:pStyle w:val="TableText"/>
            </w:pPr>
            <w:r w:rsidRPr="00247126">
              <w:t>0.59 [0.35, 1.00]</w:t>
            </w:r>
          </w:p>
        </w:tc>
        <w:tc>
          <w:tcPr>
            <w:tcW w:w="931" w:type="pct"/>
            <w:tcMar>
              <w:left w:w="57" w:type="dxa"/>
              <w:right w:w="57" w:type="dxa"/>
            </w:tcMar>
          </w:tcPr>
          <w:p w14:paraId="601B29C9" w14:textId="45E055A1" w:rsidR="003872AA" w:rsidRPr="00247126" w:rsidRDefault="00977521" w:rsidP="0083172D">
            <w:pPr>
              <w:pStyle w:val="TableText"/>
              <w:rPr>
                <w:b/>
              </w:rPr>
            </w:pPr>
            <w:r w:rsidRPr="00247126">
              <w:rPr>
                <w:b/>
              </w:rPr>
              <w:t>−</w:t>
            </w:r>
            <w:r w:rsidR="003872AA" w:rsidRPr="00247126">
              <w:rPr>
                <w:b/>
              </w:rPr>
              <w:t>0.01 [</w:t>
            </w:r>
            <w:r w:rsidRPr="00247126">
              <w:rPr>
                <w:b/>
              </w:rPr>
              <w:t>−</w:t>
            </w:r>
            <w:r w:rsidR="003872AA" w:rsidRPr="00247126">
              <w:rPr>
                <w:b/>
              </w:rPr>
              <w:t xml:space="preserve">0.03, </w:t>
            </w:r>
            <w:r w:rsidR="00536C9A" w:rsidRPr="00247126">
              <w:rPr>
                <w:b/>
                <w:bCs/>
              </w:rPr>
              <w:t>−</w:t>
            </w:r>
            <w:r w:rsidR="003872AA" w:rsidRPr="00247126">
              <w:rPr>
                <w:b/>
              </w:rPr>
              <w:t>0.00]</w:t>
            </w:r>
          </w:p>
        </w:tc>
      </w:tr>
      <w:tr w:rsidR="00681C4D" w:rsidRPr="00247126" w14:paraId="2FA4BBC6" w14:textId="77777777" w:rsidTr="00151B0E">
        <w:trPr>
          <w:tblHeader/>
        </w:trPr>
        <w:tc>
          <w:tcPr>
            <w:tcW w:w="1255" w:type="pct"/>
            <w:tcMar>
              <w:left w:w="57" w:type="dxa"/>
              <w:right w:w="57" w:type="dxa"/>
            </w:tcMar>
          </w:tcPr>
          <w:p w14:paraId="0DACE458" w14:textId="678A3CDF" w:rsidR="003872AA" w:rsidRPr="00247126" w:rsidRDefault="008F4C98" w:rsidP="0083172D">
            <w:pPr>
              <w:pStyle w:val="TableText"/>
            </w:pPr>
            <w:r w:rsidRPr="00247126">
              <w:t>C</w:t>
            </w:r>
            <w:r w:rsidR="003872AA" w:rsidRPr="00247126">
              <w:t>omplex lesion</w:t>
            </w:r>
            <w:r w:rsidRPr="00247126">
              <w:t xml:space="preserve"> subgroup</w:t>
            </w:r>
          </w:p>
        </w:tc>
        <w:tc>
          <w:tcPr>
            <w:tcW w:w="629" w:type="pct"/>
            <w:gridSpan w:val="3"/>
            <w:tcMar>
              <w:left w:w="57" w:type="dxa"/>
              <w:right w:w="57" w:type="dxa"/>
            </w:tcMar>
          </w:tcPr>
          <w:p w14:paraId="3CC0CB87" w14:textId="1CE82D8C" w:rsidR="003872AA" w:rsidRPr="00247126" w:rsidRDefault="003872AA" w:rsidP="0083172D">
            <w:pPr>
              <w:pStyle w:val="TableText"/>
            </w:pPr>
            <w:r w:rsidRPr="00247126">
              <w:t>12/719 (1.7)</w:t>
            </w:r>
          </w:p>
        </w:tc>
        <w:tc>
          <w:tcPr>
            <w:tcW w:w="629" w:type="pct"/>
            <w:tcMar>
              <w:left w:w="57" w:type="dxa"/>
              <w:right w:w="57" w:type="dxa"/>
            </w:tcMar>
          </w:tcPr>
          <w:p w14:paraId="4B4CBF6D" w14:textId="565B8E68" w:rsidR="003872AA" w:rsidRPr="00247126" w:rsidRDefault="003872AA" w:rsidP="0083172D">
            <w:pPr>
              <w:pStyle w:val="TableText"/>
            </w:pPr>
            <w:r w:rsidRPr="00247126">
              <w:t>26/756 (3.4)</w:t>
            </w:r>
          </w:p>
        </w:tc>
        <w:tc>
          <w:tcPr>
            <w:tcW w:w="786" w:type="pct"/>
            <w:gridSpan w:val="4"/>
            <w:tcMar>
              <w:left w:w="57" w:type="dxa"/>
              <w:right w:w="57" w:type="dxa"/>
            </w:tcMar>
          </w:tcPr>
          <w:p w14:paraId="141BD72C" w14:textId="0BD585C5" w:rsidR="003872AA" w:rsidRPr="00247126" w:rsidRDefault="00DA604B" w:rsidP="00DA604B">
            <w:pPr>
              <w:pStyle w:val="TableText"/>
              <w:rPr>
                <w:b/>
              </w:rPr>
            </w:pPr>
            <w:r w:rsidRPr="00247126">
              <w:rPr>
                <w:b/>
              </w:rPr>
              <w:t>0.48 [0.24, 0.95]</w:t>
            </w:r>
          </w:p>
        </w:tc>
        <w:tc>
          <w:tcPr>
            <w:tcW w:w="769" w:type="pct"/>
            <w:tcMar>
              <w:left w:w="57" w:type="dxa"/>
              <w:right w:w="57" w:type="dxa"/>
            </w:tcMar>
          </w:tcPr>
          <w:p w14:paraId="0B1A67AA" w14:textId="31886EC8" w:rsidR="003872AA" w:rsidRPr="00247126" w:rsidRDefault="00D44B30" w:rsidP="00D44B30">
            <w:pPr>
              <w:pStyle w:val="TableText"/>
              <w:rPr>
                <w:b/>
              </w:rPr>
            </w:pPr>
            <w:r w:rsidRPr="00247126">
              <w:rPr>
                <w:b/>
              </w:rPr>
              <w:t>0.49 [0.25, 0.95]</w:t>
            </w:r>
          </w:p>
        </w:tc>
        <w:tc>
          <w:tcPr>
            <w:tcW w:w="931" w:type="pct"/>
            <w:tcMar>
              <w:left w:w="57" w:type="dxa"/>
              <w:right w:w="57" w:type="dxa"/>
            </w:tcMar>
          </w:tcPr>
          <w:p w14:paraId="0F078C79" w14:textId="337026D2" w:rsidR="003872AA" w:rsidRPr="00247126" w:rsidRDefault="00193388" w:rsidP="00193388">
            <w:pPr>
              <w:pStyle w:val="TableText"/>
              <w:rPr>
                <w:b/>
              </w:rPr>
            </w:pPr>
            <w:r w:rsidRPr="00247126">
              <w:rPr>
                <w:b/>
              </w:rPr>
              <w:t>−0.02 [−0.03, −0.00]</w:t>
            </w:r>
          </w:p>
        </w:tc>
      </w:tr>
      <w:tr w:rsidR="00681C4D" w:rsidRPr="00247126" w14:paraId="713D629D" w14:textId="77777777" w:rsidTr="00151B0E">
        <w:trPr>
          <w:tblHeader/>
        </w:trPr>
        <w:tc>
          <w:tcPr>
            <w:tcW w:w="1255" w:type="pct"/>
            <w:tcBorders>
              <w:bottom w:val="single" w:sz="4" w:space="0" w:color="auto"/>
            </w:tcBorders>
            <w:tcMar>
              <w:left w:w="57" w:type="dxa"/>
              <w:right w:w="57" w:type="dxa"/>
            </w:tcMar>
          </w:tcPr>
          <w:p w14:paraId="1CFEE356" w14:textId="39884CD7" w:rsidR="003872AA" w:rsidRPr="00247126" w:rsidRDefault="008F4C98" w:rsidP="00A80DE7">
            <w:pPr>
              <w:pStyle w:val="TableText"/>
            </w:pPr>
            <w:r w:rsidRPr="00247126">
              <w:t>L</w:t>
            </w:r>
            <w:r w:rsidR="003872AA" w:rsidRPr="00247126">
              <w:t>ong lesion subgroup</w:t>
            </w:r>
          </w:p>
        </w:tc>
        <w:tc>
          <w:tcPr>
            <w:tcW w:w="629" w:type="pct"/>
            <w:gridSpan w:val="3"/>
            <w:tcBorders>
              <w:bottom w:val="single" w:sz="4" w:space="0" w:color="auto"/>
            </w:tcBorders>
            <w:tcMar>
              <w:left w:w="57" w:type="dxa"/>
              <w:right w:w="57" w:type="dxa"/>
            </w:tcMar>
          </w:tcPr>
          <w:p w14:paraId="7964197A" w14:textId="1348F2A8" w:rsidR="003872AA" w:rsidRPr="00247126" w:rsidRDefault="003872AA" w:rsidP="00A80DE7">
            <w:pPr>
              <w:pStyle w:val="TableText"/>
            </w:pPr>
            <w:r w:rsidRPr="00247126">
              <w:t>19/575 (3.3)</w:t>
            </w:r>
          </w:p>
        </w:tc>
        <w:tc>
          <w:tcPr>
            <w:tcW w:w="629" w:type="pct"/>
            <w:tcBorders>
              <w:bottom w:val="single" w:sz="4" w:space="0" w:color="auto"/>
            </w:tcBorders>
            <w:tcMar>
              <w:left w:w="57" w:type="dxa"/>
              <w:right w:w="57" w:type="dxa"/>
            </w:tcMar>
          </w:tcPr>
          <w:p w14:paraId="10326937" w14:textId="7091D572" w:rsidR="003872AA" w:rsidRPr="00247126" w:rsidRDefault="003872AA" w:rsidP="00A80DE7">
            <w:pPr>
              <w:pStyle w:val="TableText"/>
            </w:pPr>
            <w:r w:rsidRPr="00247126">
              <w:t>28/594 (4.7)</w:t>
            </w:r>
          </w:p>
        </w:tc>
        <w:tc>
          <w:tcPr>
            <w:tcW w:w="786" w:type="pct"/>
            <w:gridSpan w:val="4"/>
            <w:tcBorders>
              <w:bottom w:val="single" w:sz="4" w:space="0" w:color="auto"/>
            </w:tcBorders>
            <w:tcMar>
              <w:left w:w="57" w:type="dxa"/>
              <w:right w:w="57" w:type="dxa"/>
            </w:tcMar>
          </w:tcPr>
          <w:p w14:paraId="54514FE6" w14:textId="502C5FBF" w:rsidR="003872AA" w:rsidRPr="00247126" w:rsidRDefault="003872AA" w:rsidP="00A80DE7">
            <w:pPr>
              <w:pStyle w:val="TableText"/>
            </w:pPr>
            <w:r w:rsidRPr="00247126">
              <w:t>0.69 [0.38, 1.25]</w:t>
            </w:r>
          </w:p>
        </w:tc>
        <w:tc>
          <w:tcPr>
            <w:tcW w:w="769" w:type="pct"/>
            <w:tcBorders>
              <w:bottom w:val="single" w:sz="4" w:space="0" w:color="auto"/>
            </w:tcBorders>
            <w:tcMar>
              <w:left w:w="57" w:type="dxa"/>
              <w:right w:w="57" w:type="dxa"/>
            </w:tcMar>
          </w:tcPr>
          <w:p w14:paraId="4E7308E4" w14:textId="4CE3C691" w:rsidR="003872AA" w:rsidRPr="00247126" w:rsidRDefault="006D503B" w:rsidP="006D503B">
            <w:pPr>
              <w:pStyle w:val="TableText"/>
            </w:pPr>
            <w:r w:rsidRPr="00247126">
              <w:t>0.70 [0.40, 1.24]</w:t>
            </w:r>
          </w:p>
        </w:tc>
        <w:tc>
          <w:tcPr>
            <w:tcW w:w="931" w:type="pct"/>
            <w:tcBorders>
              <w:bottom w:val="single" w:sz="4" w:space="0" w:color="auto"/>
            </w:tcBorders>
            <w:tcMar>
              <w:left w:w="57" w:type="dxa"/>
              <w:right w:w="57" w:type="dxa"/>
            </w:tcMar>
          </w:tcPr>
          <w:p w14:paraId="2E28E09B" w14:textId="0DE633CA" w:rsidR="003872AA" w:rsidRPr="00247126" w:rsidRDefault="00977521" w:rsidP="00547F20">
            <w:pPr>
              <w:pStyle w:val="TableText"/>
            </w:pPr>
            <w:r w:rsidRPr="00247126">
              <w:t>−0.01 [−0.04, 0.01]</w:t>
            </w:r>
          </w:p>
        </w:tc>
      </w:tr>
      <w:tr w:rsidR="00B354FB" w:rsidRPr="00247126" w14:paraId="131576D6" w14:textId="77777777" w:rsidTr="00151B0E">
        <w:trPr>
          <w:tblHeader/>
        </w:trPr>
        <w:tc>
          <w:tcPr>
            <w:tcW w:w="1566" w:type="pct"/>
            <w:gridSpan w:val="2"/>
            <w:tcBorders>
              <w:right w:val="nil"/>
            </w:tcBorders>
            <w:shd w:val="clear" w:color="auto" w:fill="auto"/>
            <w:tcMar>
              <w:left w:w="57" w:type="dxa"/>
              <w:right w:w="57" w:type="dxa"/>
            </w:tcMar>
          </w:tcPr>
          <w:p w14:paraId="612BB1A5" w14:textId="18C943FB" w:rsidR="003872AA" w:rsidRPr="00247126" w:rsidRDefault="003872AA" w:rsidP="00D35E18">
            <w:pPr>
              <w:pStyle w:val="TableText"/>
              <w:rPr>
                <w:b/>
                <w:bCs/>
              </w:rPr>
            </w:pPr>
            <w:r w:rsidRPr="00247126">
              <w:rPr>
                <w:b/>
                <w:bCs/>
              </w:rPr>
              <w:t xml:space="preserve">Contrast-induced </w:t>
            </w:r>
            <w:proofErr w:type="spellStart"/>
            <w:r w:rsidRPr="00247126">
              <w:rPr>
                <w:b/>
                <w:bCs/>
              </w:rPr>
              <w:t>nephropathy</w:t>
            </w:r>
            <w:r w:rsidRPr="00247126">
              <w:rPr>
                <w:b/>
                <w:bCs/>
                <w:vertAlign w:val="superscript"/>
              </w:rPr>
              <w:t>c</w:t>
            </w:r>
            <w:proofErr w:type="spellEnd"/>
          </w:p>
        </w:tc>
        <w:tc>
          <w:tcPr>
            <w:tcW w:w="158" w:type="pct"/>
            <w:tcBorders>
              <w:left w:val="nil"/>
              <w:right w:val="nil"/>
            </w:tcBorders>
            <w:shd w:val="clear" w:color="auto" w:fill="auto"/>
            <w:tcMar>
              <w:left w:w="57" w:type="dxa"/>
              <w:right w:w="57" w:type="dxa"/>
            </w:tcMar>
          </w:tcPr>
          <w:p w14:paraId="644ADE61" w14:textId="77777777" w:rsidR="003872AA" w:rsidRPr="00247126" w:rsidRDefault="003872AA" w:rsidP="00D35E18">
            <w:pPr>
              <w:pStyle w:val="TableText"/>
            </w:pPr>
          </w:p>
        </w:tc>
        <w:tc>
          <w:tcPr>
            <w:tcW w:w="790" w:type="pct"/>
            <w:gridSpan w:val="2"/>
            <w:tcBorders>
              <w:left w:val="nil"/>
              <w:right w:val="nil"/>
            </w:tcBorders>
            <w:shd w:val="clear" w:color="auto" w:fill="auto"/>
            <w:tcMar>
              <w:left w:w="57" w:type="dxa"/>
              <w:right w:w="57" w:type="dxa"/>
            </w:tcMar>
          </w:tcPr>
          <w:p w14:paraId="27422E78" w14:textId="77777777" w:rsidR="003872AA" w:rsidRPr="00247126" w:rsidRDefault="003872AA" w:rsidP="00D35E18">
            <w:pPr>
              <w:pStyle w:val="TableText"/>
            </w:pPr>
          </w:p>
        </w:tc>
        <w:tc>
          <w:tcPr>
            <w:tcW w:w="786" w:type="pct"/>
            <w:gridSpan w:val="4"/>
            <w:tcBorders>
              <w:left w:val="nil"/>
              <w:right w:val="nil"/>
            </w:tcBorders>
            <w:shd w:val="clear" w:color="auto" w:fill="auto"/>
            <w:tcMar>
              <w:left w:w="57" w:type="dxa"/>
              <w:right w:w="57" w:type="dxa"/>
            </w:tcMar>
          </w:tcPr>
          <w:p w14:paraId="068DD906" w14:textId="77777777" w:rsidR="003872AA" w:rsidRPr="00247126" w:rsidRDefault="003872AA" w:rsidP="00D35E18">
            <w:pPr>
              <w:pStyle w:val="TableText"/>
            </w:pPr>
          </w:p>
        </w:tc>
        <w:tc>
          <w:tcPr>
            <w:tcW w:w="769" w:type="pct"/>
            <w:tcBorders>
              <w:left w:val="nil"/>
              <w:right w:val="nil"/>
            </w:tcBorders>
            <w:shd w:val="clear" w:color="auto" w:fill="auto"/>
            <w:tcMar>
              <w:left w:w="57" w:type="dxa"/>
              <w:right w:w="57" w:type="dxa"/>
            </w:tcMar>
          </w:tcPr>
          <w:p w14:paraId="0ACB5E2D" w14:textId="77777777" w:rsidR="003872AA" w:rsidRPr="00247126" w:rsidRDefault="003872AA" w:rsidP="00D35E18">
            <w:pPr>
              <w:pStyle w:val="TableText"/>
            </w:pPr>
          </w:p>
        </w:tc>
        <w:tc>
          <w:tcPr>
            <w:tcW w:w="931" w:type="pct"/>
            <w:tcBorders>
              <w:left w:val="nil"/>
            </w:tcBorders>
            <w:shd w:val="clear" w:color="auto" w:fill="auto"/>
            <w:tcMar>
              <w:left w:w="57" w:type="dxa"/>
              <w:right w:w="57" w:type="dxa"/>
            </w:tcMar>
          </w:tcPr>
          <w:p w14:paraId="36E89128" w14:textId="77777777" w:rsidR="003872AA" w:rsidRPr="00247126" w:rsidRDefault="003872AA" w:rsidP="00D35E18">
            <w:pPr>
              <w:pStyle w:val="TableText"/>
            </w:pPr>
          </w:p>
        </w:tc>
      </w:tr>
      <w:tr w:rsidR="00681C4D" w:rsidRPr="00247126" w14:paraId="72B6F51A" w14:textId="77777777" w:rsidTr="00151B0E">
        <w:trPr>
          <w:tblHeader/>
        </w:trPr>
        <w:tc>
          <w:tcPr>
            <w:tcW w:w="1255" w:type="pct"/>
            <w:tcMar>
              <w:left w:w="57" w:type="dxa"/>
              <w:right w:w="57" w:type="dxa"/>
            </w:tcMar>
          </w:tcPr>
          <w:p w14:paraId="023FC50E" w14:textId="480377AC" w:rsidR="003872AA" w:rsidRPr="00247126" w:rsidRDefault="003872AA" w:rsidP="00D35E18">
            <w:pPr>
              <w:pStyle w:val="TableText"/>
              <w:rPr>
                <w:vertAlign w:val="superscript"/>
              </w:rPr>
            </w:pPr>
            <w:proofErr w:type="spellStart"/>
            <w:r w:rsidRPr="00247126">
              <w:t>ITT</w:t>
            </w:r>
            <w:r w:rsidR="00141D13" w:rsidRPr="00247126">
              <w:rPr>
                <w:vertAlign w:val="superscript"/>
              </w:rPr>
              <w:t>d</w:t>
            </w:r>
            <w:proofErr w:type="spellEnd"/>
          </w:p>
        </w:tc>
        <w:tc>
          <w:tcPr>
            <w:tcW w:w="629" w:type="pct"/>
            <w:gridSpan w:val="3"/>
            <w:tcMar>
              <w:left w:w="57" w:type="dxa"/>
              <w:right w:w="57" w:type="dxa"/>
            </w:tcMar>
          </w:tcPr>
          <w:p w14:paraId="63776221" w14:textId="1D88C569" w:rsidR="003872AA" w:rsidRPr="00247126" w:rsidRDefault="003872AA" w:rsidP="00D35E18">
            <w:pPr>
              <w:pStyle w:val="TableText"/>
            </w:pPr>
            <w:r w:rsidRPr="00247126">
              <w:t>14/1005 (1.4)</w:t>
            </w:r>
          </w:p>
        </w:tc>
        <w:tc>
          <w:tcPr>
            <w:tcW w:w="629" w:type="pct"/>
            <w:tcMar>
              <w:left w:w="57" w:type="dxa"/>
              <w:right w:w="57" w:type="dxa"/>
            </w:tcMar>
          </w:tcPr>
          <w:p w14:paraId="75FC8718" w14:textId="230A1C0C" w:rsidR="003872AA" w:rsidRPr="00247126" w:rsidRDefault="003872AA" w:rsidP="00D35E18">
            <w:pPr>
              <w:pStyle w:val="TableText"/>
            </w:pPr>
            <w:r w:rsidRPr="00247126">
              <w:t>15/1003 (1.5)</w:t>
            </w:r>
          </w:p>
        </w:tc>
        <w:tc>
          <w:tcPr>
            <w:tcW w:w="786" w:type="pct"/>
            <w:gridSpan w:val="4"/>
            <w:tcMar>
              <w:left w:w="57" w:type="dxa"/>
              <w:right w:w="57" w:type="dxa"/>
            </w:tcMar>
          </w:tcPr>
          <w:p w14:paraId="32EC2428" w14:textId="7570D0B2" w:rsidR="003872AA" w:rsidRPr="00247126" w:rsidRDefault="003872AA" w:rsidP="00D35E18">
            <w:pPr>
              <w:pStyle w:val="TableText"/>
            </w:pPr>
            <w:r w:rsidRPr="00247126">
              <w:t>0.93 [0.45, 1.94]</w:t>
            </w:r>
          </w:p>
        </w:tc>
        <w:tc>
          <w:tcPr>
            <w:tcW w:w="769" w:type="pct"/>
            <w:tcMar>
              <w:left w:w="57" w:type="dxa"/>
              <w:right w:w="57" w:type="dxa"/>
            </w:tcMar>
          </w:tcPr>
          <w:p w14:paraId="2833CF26" w14:textId="040320EC" w:rsidR="003872AA" w:rsidRPr="00247126" w:rsidRDefault="003872AA" w:rsidP="00D35E18">
            <w:pPr>
              <w:pStyle w:val="TableText"/>
            </w:pPr>
            <w:r w:rsidRPr="00247126">
              <w:t>0.93 [0.45, 1.92]</w:t>
            </w:r>
          </w:p>
        </w:tc>
        <w:tc>
          <w:tcPr>
            <w:tcW w:w="931" w:type="pct"/>
            <w:tcMar>
              <w:left w:w="57" w:type="dxa"/>
              <w:right w:w="57" w:type="dxa"/>
            </w:tcMar>
          </w:tcPr>
          <w:p w14:paraId="669EBC9E" w14:textId="037A57DA" w:rsidR="003872AA" w:rsidRPr="00247126" w:rsidRDefault="003872AA" w:rsidP="00D35E18">
            <w:pPr>
              <w:pStyle w:val="TableText"/>
            </w:pPr>
            <w:r w:rsidRPr="00247126">
              <w:t>0.00 [</w:t>
            </w:r>
            <w:r w:rsidR="00977521" w:rsidRPr="00247126">
              <w:t>−</w:t>
            </w:r>
            <w:r w:rsidRPr="00247126">
              <w:t>0.01, 0.01]</w:t>
            </w:r>
          </w:p>
        </w:tc>
      </w:tr>
      <w:tr w:rsidR="00681C4D" w:rsidRPr="00247126" w14:paraId="6B0B959F" w14:textId="77777777" w:rsidTr="00151B0E">
        <w:trPr>
          <w:tblHeader/>
        </w:trPr>
        <w:tc>
          <w:tcPr>
            <w:tcW w:w="1255" w:type="pct"/>
            <w:tcMar>
              <w:left w:w="57" w:type="dxa"/>
              <w:right w:w="57" w:type="dxa"/>
            </w:tcMar>
          </w:tcPr>
          <w:p w14:paraId="6FE5E260" w14:textId="74299E3D" w:rsidR="003872AA" w:rsidRPr="00247126" w:rsidRDefault="008F4C98" w:rsidP="00D35E18">
            <w:pPr>
              <w:pStyle w:val="TableText"/>
            </w:pPr>
            <w:r w:rsidRPr="00247126">
              <w:t>C</w:t>
            </w:r>
            <w:r w:rsidR="003872AA" w:rsidRPr="00247126">
              <w:t>omplex lesion</w:t>
            </w:r>
            <w:r w:rsidRPr="00247126">
              <w:t xml:space="preserve"> subgroup</w:t>
            </w:r>
          </w:p>
        </w:tc>
        <w:tc>
          <w:tcPr>
            <w:tcW w:w="629" w:type="pct"/>
            <w:gridSpan w:val="3"/>
            <w:tcMar>
              <w:left w:w="57" w:type="dxa"/>
              <w:right w:w="57" w:type="dxa"/>
            </w:tcMar>
          </w:tcPr>
          <w:p w14:paraId="612A677F" w14:textId="38DE2C44" w:rsidR="003872AA" w:rsidRPr="00247126" w:rsidRDefault="003872AA" w:rsidP="00D35E18">
            <w:pPr>
              <w:pStyle w:val="TableText"/>
            </w:pPr>
            <w:r w:rsidRPr="00247126">
              <w:t>14/719 (1.9)</w:t>
            </w:r>
          </w:p>
        </w:tc>
        <w:tc>
          <w:tcPr>
            <w:tcW w:w="629" w:type="pct"/>
            <w:tcMar>
              <w:left w:w="57" w:type="dxa"/>
              <w:right w:w="57" w:type="dxa"/>
            </w:tcMar>
          </w:tcPr>
          <w:p w14:paraId="32D15F42" w14:textId="64D037DF" w:rsidR="003872AA" w:rsidRPr="00247126" w:rsidRDefault="003872AA" w:rsidP="00D35E18">
            <w:pPr>
              <w:pStyle w:val="TableText"/>
            </w:pPr>
            <w:r w:rsidRPr="00247126">
              <w:t>11/756 (1.5)</w:t>
            </w:r>
          </w:p>
        </w:tc>
        <w:tc>
          <w:tcPr>
            <w:tcW w:w="786" w:type="pct"/>
            <w:gridSpan w:val="4"/>
            <w:tcMar>
              <w:left w:w="57" w:type="dxa"/>
              <w:right w:w="57" w:type="dxa"/>
            </w:tcMar>
          </w:tcPr>
          <w:p w14:paraId="2DA17C7C" w14:textId="13C236A8" w:rsidR="003872AA" w:rsidRPr="00247126" w:rsidRDefault="004F74E5" w:rsidP="00D35E18">
            <w:pPr>
              <w:pStyle w:val="TableText"/>
            </w:pPr>
            <w:r w:rsidRPr="00247126">
              <w:t>1.34 [0.61, 2.98]</w:t>
            </w:r>
          </w:p>
        </w:tc>
        <w:tc>
          <w:tcPr>
            <w:tcW w:w="769" w:type="pct"/>
            <w:tcMar>
              <w:left w:w="57" w:type="dxa"/>
              <w:right w:w="57" w:type="dxa"/>
            </w:tcMar>
          </w:tcPr>
          <w:p w14:paraId="27317DF6" w14:textId="5BB0319C" w:rsidR="003872AA" w:rsidRPr="00247126" w:rsidRDefault="00356EC6" w:rsidP="00D35E18">
            <w:pPr>
              <w:pStyle w:val="TableText"/>
            </w:pPr>
            <w:r w:rsidRPr="00247126">
              <w:t>1.34 [</w:t>
            </w:r>
            <w:r w:rsidR="004F74E5" w:rsidRPr="00247126">
              <w:t>0.61, 2.93]</w:t>
            </w:r>
          </w:p>
        </w:tc>
        <w:tc>
          <w:tcPr>
            <w:tcW w:w="931" w:type="pct"/>
            <w:tcMar>
              <w:left w:w="57" w:type="dxa"/>
              <w:right w:w="57" w:type="dxa"/>
            </w:tcMar>
          </w:tcPr>
          <w:p w14:paraId="30BA02D6" w14:textId="678FE8FD" w:rsidR="003872AA" w:rsidRPr="00247126" w:rsidRDefault="002C655A" w:rsidP="00D35E18">
            <w:pPr>
              <w:pStyle w:val="TableText"/>
            </w:pPr>
            <w:r w:rsidRPr="00247126">
              <w:t>0.00 [</w:t>
            </w:r>
            <w:r w:rsidR="007564D8" w:rsidRPr="00247126">
              <w:t xml:space="preserve">−0.01, </w:t>
            </w:r>
            <w:r w:rsidR="002105DB" w:rsidRPr="00247126">
              <w:t>0.02]</w:t>
            </w:r>
          </w:p>
        </w:tc>
      </w:tr>
    </w:tbl>
    <w:p w14:paraId="60386983" w14:textId="5E6AAE89" w:rsidR="00924EFB" w:rsidRPr="00247126" w:rsidRDefault="00AD48BD" w:rsidP="00BF7BB1">
      <w:pPr>
        <w:pStyle w:val="Tablenotes0"/>
      </w:pPr>
      <w:r w:rsidRPr="00247126">
        <w:t>AG = angiogram</w:t>
      </w:r>
      <w:r w:rsidR="000B40C9" w:rsidRPr="00247126">
        <w:t xml:space="preserve">; </w:t>
      </w:r>
      <w:r w:rsidR="00021BBA" w:rsidRPr="00247126">
        <w:t xml:space="preserve">CI = confidence interval; </w:t>
      </w:r>
      <w:r w:rsidR="001730A6" w:rsidRPr="00247126">
        <w:t xml:space="preserve">ITT = intention-to-treat; </w:t>
      </w:r>
      <w:r w:rsidR="001358C6" w:rsidRPr="00247126">
        <w:t xml:space="preserve">IVUS = intravascular ultrasound; </w:t>
      </w:r>
      <w:r w:rsidR="006A43D0" w:rsidRPr="00247126">
        <w:t xml:space="preserve">NE = not estimated; </w:t>
      </w:r>
      <w:r w:rsidR="000B40C9" w:rsidRPr="00247126">
        <w:t>OCT = optical coherence tomography; OR = odds ratio;</w:t>
      </w:r>
      <w:r w:rsidR="009D26EB" w:rsidRPr="00247126">
        <w:t xml:space="preserve"> RD = risk difference</w:t>
      </w:r>
      <w:r w:rsidR="007A5C34" w:rsidRPr="00247126">
        <w:t>;</w:t>
      </w:r>
      <w:r w:rsidR="000B40C9" w:rsidRPr="00247126">
        <w:t xml:space="preserve"> RR = risk ratio</w:t>
      </w:r>
      <w:r w:rsidR="007A5C34" w:rsidRPr="00247126">
        <w:t>.</w:t>
      </w:r>
    </w:p>
    <w:p w14:paraId="423CCD1A" w14:textId="3A26091D" w:rsidR="002F6319" w:rsidRPr="00247126" w:rsidRDefault="002F6319" w:rsidP="00BF7BB1">
      <w:pPr>
        <w:pStyle w:val="Tablenotes0"/>
      </w:pPr>
      <w:r w:rsidRPr="00247126">
        <w:t xml:space="preserve">a OR, RR and RD were calculated </w:t>
      </w:r>
      <w:r w:rsidR="00B2086D" w:rsidRPr="00247126">
        <w:t>from n/N.</w:t>
      </w:r>
    </w:p>
    <w:p w14:paraId="08F2DD5D" w14:textId="06D39411" w:rsidR="00BF7BB1" w:rsidRPr="00247126" w:rsidRDefault="00BF7BB1" w:rsidP="00BF7BB1">
      <w:pPr>
        <w:pStyle w:val="Tablenotes0"/>
      </w:pPr>
      <w:r w:rsidRPr="00247126">
        <w:t>b Procedural complications requiring active intervention (prolonged balloon inflations, additional stenting required, thrombus aspiration, pericardiocentesis, cardioversion, use of mechanical circulatory support devices)</w:t>
      </w:r>
      <w:r w:rsidR="00F77639" w:rsidRPr="00247126">
        <w:t xml:space="preserve"> that </w:t>
      </w:r>
      <w:r w:rsidRPr="00247126">
        <w:t>were related to PCI or use of intravascular imaging.</w:t>
      </w:r>
    </w:p>
    <w:p w14:paraId="2FAA0F6C" w14:textId="4EEC8B77" w:rsidR="005959D3" w:rsidRPr="00247126" w:rsidRDefault="005959D3" w:rsidP="00BF7BB1">
      <w:pPr>
        <w:pStyle w:val="Tablenotes0"/>
      </w:pPr>
      <w:r w:rsidRPr="00247126">
        <w:t>c Contrast-induced nephropathy was defined as either a greater than 25% increase of serum creatinine or an absolute increase in serum creatinine of 0.5 mg/dL from baseline within 72 h after the index PCI procedure.</w:t>
      </w:r>
    </w:p>
    <w:p w14:paraId="538FAE50" w14:textId="1CEDFF5C" w:rsidR="005959D3" w:rsidRPr="00247126" w:rsidRDefault="00141D13" w:rsidP="00BF7BB1">
      <w:pPr>
        <w:pStyle w:val="Tablenotes0"/>
      </w:pPr>
      <w:r w:rsidRPr="00247126">
        <w:t xml:space="preserve">d </w:t>
      </w:r>
      <w:r w:rsidR="00F03B59" w:rsidRPr="00247126">
        <w:t>E</w:t>
      </w:r>
      <w:r w:rsidR="002F6319" w:rsidRPr="00247126">
        <w:t>valuated during the entire follow up period (2 years).</w:t>
      </w:r>
    </w:p>
    <w:p w14:paraId="703D32F3" w14:textId="5C426E0D" w:rsidR="00503119" w:rsidRPr="00247126" w:rsidRDefault="00DC4A19" w:rsidP="00BF7BB1">
      <w:pPr>
        <w:pStyle w:val="Tablenotes0"/>
      </w:pPr>
      <w:r w:rsidRPr="00247126">
        <w:t>Note: Results in bold are statistically significant.</w:t>
      </w:r>
    </w:p>
    <w:p w14:paraId="19A588C4" w14:textId="2EDD0608" w:rsidR="00F36608" w:rsidRPr="00247126" w:rsidRDefault="00F36608" w:rsidP="00BF7BB1">
      <w:pPr>
        <w:pStyle w:val="Tablenotes0"/>
      </w:pPr>
      <w:r w:rsidRPr="00247126">
        <w:t>Source: Table 64</w:t>
      </w:r>
      <w:r w:rsidR="00DD1E43" w:rsidRPr="00247126">
        <w:t xml:space="preserve">, Commentary Table </w:t>
      </w:r>
      <w:proofErr w:type="gramStart"/>
      <w:r w:rsidR="00A10DDB" w:rsidRPr="00247126">
        <w:t>5</w:t>
      </w:r>
      <w:proofErr w:type="gramEnd"/>
      <w:r w:rsidR="00DD1E43" w:rsidRPr="00247126">
        <w:t xml:space="preserve"> and</w:t>
      </w:r>
      <w:r w:rsidR="00A10DDB" w:rsidRPr="00247126">
        <w:t xml:space="preserve"> Commentary Table 6</w:t>
      </w:r>
      <w:r w:rsidR="00187ED2" w:rsidRPr="00247126">
        <w:t xml:space="preserve"> of </w:t>
      </w:r>
      <w:r w:rsidRPr="00247126">
        <w:t>MSAC 1743</w:t>
      </w:r>
      <w:r w:rsidR="00D04706" w:rsidRPr="00247126">
        <w:t xml:space="preserve"> </w:t>
      </w:r>
      <w:proofErr w:type="spellStart"/>
      <w:r w:rsidR="00D04706" w:rsidRPr="00247126">
        <w:t>ADAR+in-line</w:t>
      </w:r>
      <w:proofErr w:type="spellEnd"/>
      <w:r w:rsidR="00D04706" w:rsidRPr="00247126">
        <w:t xml:space="preserve"> commentary</w:t>
      </w:r>
      <w:r w:rsidR="00A10DDB" w:rsidRPr="00247126">
        <w:t>.</w:t>
      </w:r>
    </w:p>
    <w:p w14:paraId="47243C16" w14:textId="1F813E7A" w:rsidR="00026025" w:rsidRPr="00247126" w:rsidRDefault="00026025" w:rsidP="00EE15C6">
      <w:r w:rsidRPr="00247126">
        <w:lastRenderedPageBreak/>
        <w:t xml:space="preserve">All trials excluded patients with renal disease (defined variably across trials) due to the increased risk of renal failure with the use of contrast media during PCI. As renal insufficiency is </w:t>
      </w:r>
      <w:r w:rsidR="00BD2EB7" w:rsidRPr="00247126">
        <w:t>a</w:t>
      </w:r>
      <w:r w:rsidRPr="00247126">
        <w:t xml:space="preserve"> risk factor for contrast-induced nephropathy</w:t>
      </w:r>
      <w:r w:rsidR="00BD2EB7" w:rsidRPr="00247126">
        <w:t>,</w:t>
      </w:r>
      <w:r w:rsidRPr="00247126">
        <w:t xml:space="preserve"> it is possible that this adverse effect would be seen more often in a non-trial selected population.</w:t>
      </w:r>
    </w:p>
    <w:p w14:paraId="3717AA01" w14:textId="6893E650" w:rsidR="00772829" w:rsidRPr="00247126" w:rsidRDefault="00247B6B" w:rsidP="002A18BE">
      <w:pPr>
        <w:pStyle w:val="Heading2"/>
        <w:numPr>
          <w:ilvl w:val="0"/>
          <w:numId w:val="0"/>
        </w:numPr>
      </w:pPr>
      <w:bookmarkStart w:id="20" w:name="_Toc69491424"/>
      <w:r w:rsidRPr="00247126">
        <w:t>12</w:t>
      </w:r>
      <w:r w:rsidR="00C36633" w:rsidRPr="00247126">
        <w:t>.</w:t>
      </w:r>
      <w:r w:rsidR="00C36633" w:rsidRPr="00247126">
        <w:tab/>
      </w:r>
      <w:r w:rsidR="00772829" w:rsidRPr="00247126">
        <w:t>Comparative effectiveness</w:t>
      </w:r>
      <w:bookmarkEnd w:id="20"/>
    </w:p>
    <w:p w14:paraId="4DDFEDCF" w14:textId="5A3D5A80" w:rsidR="00673CE9" w:rsidRPr="00247126" w:rsidRDefault="00673CE9" w:rsidP="00673CE9">
      <w:r w:rsidRPr="00247126">
        <w:t>The OCTOBER trial (bifurcation lesions) was powered on the primary composite endpoint of MACE (similar to TVF)</w:t>
      </w:r>
      <w:r w:rsidR="00514D39" w:rsidRPr="00247126">
        <w:t>;</w:t>
      </w:r>
      <w:r w:rsidRPr="00247126">
        <w:t xml:space="preserve"> however, all other subpopulations relied on data from subgroup analyses from ILUMIEN IV and OCTIVUS, which lacked power to detect statistically significant differences </w:t>
      </w:r>
      <w:r w:rsidR="002B1BC7" w:rsidRPr="00247126">
        <w:t>i</w:t>
      </w:r>
      <w:r w:rsidRPr="00247126">
        <w:t>n the primary composite endpoint and individual events.</w:t>
      </w:r>
    </w:p>
    <w:p w14:paraId="105CC177" w14:textId="3EC5FF71" w:rsidR="00815B22" w:rsidRPr="00247126" w:rsidRDefault="00DB5BAC" w:rsidP="00D955C6">
      <w:r w:rsidRPr="00247126">
        <w:t>Of note, f</w:t>
      </w:r>
      <w:r w:rsidR="00815B22" w:rsidRPr="00247126">
        <w:t>or the ITT population of ILUMIEN IV, there was no apparent between-group difference in the percentage of patients with TVF at 2 years (HR 0.9, 95% CI 0.67, 1.19; p</w:t>
      </w:r>
      <w:r w:rsidR="00347E09" w:rsidRPr="00247126">
        <w:t> </w:t>
      </w:r>
      <w:r w:rsidR="00815B22" w:rsidRPr="00247126">
        <w:t>=</w:t>
      </w:r>
      <w:r w:rsidR="00347E09" w:rsidRPr="00247126">
        <w:t> </w:t>
      </w:r>
      <w:r w:rsidR="00815B22" w:rsidRPr="00247126">
        <w:t>0.45), which was the primary clinical efficacy endpoint upon which the trial was statistically powered.</w:t>
      </w:r>
    </w:p>
    <w:p w14:paraId="7C0290E5" w14:textId="4B226CAD" w:rsidR="00A434C9" w:rsidRPr="00247126" w:rsidRDefault="006B6E6E" w:rsidP="00A434C9">
      <w:pPr>
        <w:pStyle w:val="Heading3"/>
      </w:pPr>
      <w:r w:rsidRPr="00247126">
        <w:t>OCT+AG v</w:t>
      </w:r>
      <w:r w:rsidR="00FF7220" w:rsidRPr="00247126">
        <w:t>ersu</w:t>
      </w:r>
      <w:r w:rsidRPr="00247126">
        <w:t>s AG alone</w:t>
      </w:r>
    </w:p>
    <w:p w14:paraId="487F811E" w14:textId="3EA0D96A" w:rsidR="00532C7C" w:rsidRPr="00247126" w:rsidRDefault="00532C7C" w:rsidP="00D955C6">
      <w:pPr>
        <w:pStyle w:val="Heading4"/>
      </w:pPr>
      <w:r w:rsidRPr="00247126">
        <w:t>Bifurcation</w:t>
      </w:r>
      <w:r w:rsidR="00207211" w:rsidRPr="00247126">
        <w:t xml:space="preserve"> subpopulation</w:t>
      </w:r>
    </w:p>
    <w:p w14:paraId="267012FE" w14:textId="6B96F5D0" w:rsidR="00030E07" w:rsidRPr="00247126" w:rsidRDefault="00BD420A" w:rsidP="00C95961">
      <w:r w:rsidRPr="00247126">
        <w:t xml:space="preserve">The key effectiveness outcomes </w:t>
      </w:r>
      <w:r w:rsidR="00536615" w:rsidRPr="00247126">
        <w:t xml:space="preserve">at 2 years </w:t>
      </w:r>
      <w:r w:rsidRPr="00247126">
        <w:t xml:space="preserve">for the bifurcation subpopulation are presented in </w:t>
      </w:r>
      <w:r w:rsidRPr="00247126">
        <w:fldChar w:fldCharType="begin"/>
      </w:r>
      <w:r w:rsidRPr="00247126">
        <w:instrText xml:space="preserve"> REF _Ref163561151 \h  \* MERGEFORMAT </w:instrText>
      </w:r>
      <w:r w:rsidRPr="00247126">
        <w:fldChar w:fldCharType="separate"/>
      </w:r>
      <w:r w:rsidR="00151E03" w:rsidRPr="00247126">
        <w:t xml:space="preserve">Table </w:t>
      </w:r>
      <w:r w:rsidR="00151E03" w:rsidRPr="00247126">
        <w:rPr>
          <w:noProof/>
        </w:rPr>
        <w:t>9</w:t>
      </w:r>
      <w:r w:rsidRPr="00247126">
        <w:fldChar w:fldCharType="end"/>
      </w:r>
      <w:r w:rsidR="00B42763" w:rsidRPr="00247126">
        <w:t xml:space="preserve"> and </w:t>
      </w:r>
      <w:r w:rsidR="00B42763" w:rsidRPr="00247126">
        <w:fldChar w:fldCharType="begin"/>
      </w:r>
      <w:r w:rsidR="00B42763" w:rsidRPr="00247126">
        <w:instrText xml:space="preserve"> REF _Ref163590097 \h </w:instrText>
      </w:r>
      <w:r w:rsidR="00C567A2" w:rsidRPr="00247126">
        <w:instrText xml:space="preserve"> \* MERGEFORMAT </w:instrText>
      </w:r>
      <w:r w:rsidR="00B42763" w:rsidRPr="00247126">
        <w:fldChar w:fldCharType="separate"/>
      </w:r>
      <w:r w:rsidR="00151E03" w:rsidRPr="00247126">
        <w:t xml:space="preserve">Figure </w:t>
      </w:r>
      <w:r w:rsidR="00151E03" w:rsidRPr="00247126">
        <w:rPr>
          <w:noProof/>
        </w:rPr>
        <w:t>1</w:t>
      </w:r>
      <w:r w:rsidR="00B42763" w:rsidRPr="00247126">
        <w:fldChar w:fldCharType="end"/>
      </w:r>
      <w:r w:rsidRPr="00247126">
        <w:t>.</w:t>
      </w:r>
      <w:r w:rsidR="00B46AA5" w:rsidRPr="00247126">
        <w:t xml:space="preserve"> </w:t>
      </w:r>
      <w:r w:rsidR="004E766C" w:rsidRPr="00247126">
        <w:t>OCTOBER</w:t>
      </w:r>
      <w:r w:rsidR="00A771C4" w:rsidRPr="00247126">
        <w:t xml:space="preserve"> was </w:t>
      </w:r>
      <w:r w:rsidR="004E766C" w:rsidRPr="00247126">
        <w:t>an appropriately powered trial dedicated to patient</w:t>
      </w:r>
      <w:r w:rsidR="00CA0CD0" w:rsidRPr="00247126">
        <w:t>s</w:t>
      </w:r>
      <w:r w:rsidR="004E766C" w:rsidRPr="00247126">
        <w:t xml:space="preserve"> with bifurcation lesions applicable to the proposed listing </w:t>
      </w:r>
      <w:r w:rsidR="00DE1F4E" w:rsidRPr="00247126">
        <w:t>and wa</w:t>
      </w:r>
      <w:r w:rsidR="004E766C" w:rsidRPr="00247126">
        <w:t xml:space="preserve">s considered the most applicable and informative to the bifurcation subpopulation. </w:t>
      </w:r>
      <w:r w:rsidR="006C4044" w:rsidRPr="00247126">
        <w:t>However, the composite outcome definition in OCTOBER (MACE) was not consistent with the PICO composite outcome (TVF).</w:t>
      </w:r>
    </w:p>
    <w:p w14:paraId="43E14CF7" w14:textId="4185B379" w:rsidR="00FB4B25" w:rsidRPr="00247126" w:rsidRDefault="00C95961" w:rsidP="00926455">
      <w:pPr>
        <w:pStyle w:val="Caption"/>
      </w:pPr>
      <w:bookmarkStart w:id="21" w:name="_Ref163561151"/>
      <w:r w:rsidRPr="00247126">
        <w:t xml:space="preserve">Table </w:t>
      </w:r>
      <w:r w:rsidRPr="00247126">
        <w:fldChar w:fldCharType="begin"/>
      </w:r>
      <w:r w:rsidRPr="00247126">
        <w:instrText xml:space="preserve"> SEQ Table \* ARABIC </w:instrText>
      </w:r>
      <w:r w:rsidRPr="00247126">
        <w:fldChar w:fldCharType="separate"/>
      </w:r>
      <w:r w:rsidR="00151E03" w:rsidRPr="00247126">
        <w:rPr>
          <w:noProof/>
        </w:rPr>
        <w:t>9</w:t>
      </w:r>
      <w:r w:rsidRPr="00247126">
        <w:rPr>
          <w:noProof/>
        </w:rPr>
        <w:fldChar w:fldCharType="end"/>
      </w:r>
      <w:bookmarkEnd w:id="21"/>
      <w:r w:rsidR="00F71561" w:rsidRPr="00247126">
        <w:tab/>
        <w:t>Key effectiveness outcomes</w:t>
      </w:r>
      <w:r w:rsidR="00536615" w:rsidRPr="00247126">
        <w:t xml:space="preserve"> at 2 years</w:t>
      </w:r>
      <w:r w:rsidR="00F71561" w:rsidRPr="00247126">
        <w:t>: OCT+AG v</w:t>
      </w:r>
      <w:r w:rsidR="008C66BB" w:rsidRPr="00247126">
        <w:t>ersu</w:t>
      </w:r>
      <w:r w:rsidR="00F71561" w:rsidRPr="00247126">
        <w:t>s AG alone – bifurcation subpopulation</w:t>
      </w:r>
    </w:p>
    <w:tbl>
      <w:tblPr>
        <w:tblStyle w:val="TableGrid"/>
        <w:tblW w:w="5000" w:type="pct"/>
        <w:tblLayout w:type="fixed"/>
        <w:tblLook w:val="04A0" w:firstRow="1" w:lastRow="0" w:firstColumn="1" w:lastColumn="0" w:noHBand="0" w:noVBand="1"/>
        <w:tblCaption w:val="Key effectiveness outcomes at 2 years: OCT+AG versus AG alone – bifurcation subpopulation"/>
        <w:tblDescription w:val="This table summarises the key effectiveness outcomes at 2 years: OCT+AG versus AG alone for the bifurcation subpopulation."/>
      </w:tblPr>
      <w:tblGrid>
        <w:gridCol w:w="1698"/>
        <w:gridCol w:w="2270"/>
        <w:gridCol w:w="1275"/>
        <w:gridCol w:w="1275"/>
        <w:gridCol w:w="1423"/>
        <w:gridCol w:w="1075"/>
      </w:tblGrid>
      <w:tr w:rsidR="00F760C4" w:rsidRPr="00247126" w14:paraId="2BE6D2B9" w14:textId="77777777" w:rsidTr="00774BC4">
        <w:trPr>
          <w:tblHeader/>
        </w:trPr>
        <w:tc>
          <w:tcPr>
            <w:tcW w:w="942" w:type="pct"/>
            <w:tcBorders>
              <w:bottom w:val="single" w:sz="4" w:space="0" w:color="auto"/>
            </w:tcBorders>
            <w:tcMar>
              <w:left w:w="57" w:type="dxa"/>
              <w:right w:w="57" w:type="dxa"/>
            </w:tcMar>
          </w:tcPr>
          <w:p w14:paraId="36723AED" w14:textId="77777777" w:rsidR="00DA27C8" w:rsidRPr="00247126" w:rsidRDefault="00DA27C8">
            <w:pPr>
              <w:pStyle w:val="TableHeading0"/>
            </w:pPr>
            <w:r w:rsidRPr="00247126">
              <w:t>Event</w:t>
            </w:r>
          </w:p>
        </w:tc>
        <w:tc>
          <w:tcPr>
            <w:tcW w:w="1259" w:type="pct"/>
            <w:tcMar>
              <w:left w:w="57" w:type="dxa"/>
              <w:right w:w="57" w:type="dxa"/>
            </w:tcMar>
          </w:tcPr>
          <w:p w14:paraId="574B7149" w14:textId="77777777" w:rsidR="00DA27C8" w:rsidRPr="00247126" w:rsidRDefault="00DA27C8">
            <w:pPr>
              <w:pStyle w:val="TableHeading0"/>
            </w:pPr>
            <w:r w:rsidRPr="00247126">
              <w:t>Evidence</w:t>
            </w:r>
          </w:p>
        </w:tc>
        <w:tc>
          <w:tcPr>
            <w:tcW w:w="707" w:type="pct"/>
            <w:tcMar>
              <w:left w:w="57" w:type="dxa"/>
              <w:right w:w="57" w:type="dxa"/>
            </w:tcMar>
          </w:tcPr>
          <w:p w14:paraId="06B71259" w14:textId="1E76AC21" w:rsidR="00DA27C8" w:rsidRPr="00247126" w:rsidRDefault="00DA27C8" w:rsidP="009A10AA">
            <w:pPr>
              <w:pStyle w:val="TableHeading0"/>
            </w:pPr>
            <w:r w:rsidRPr="00247126">
              <w:t>OCT+AG</w:t>
            </w:r>
            <w:r w:rsidR="009A10AA" w:rsidRPr="00247126">
              <w:br/>
            </w:r>
            <w:r w:rsidRPr="00247126">
              <w:t>n/N (%)</w:t>
            </w:r>
          </w:p>
        </w:tc>
        <w:tc>
          <w:tcPr>
            <w:tcW w:w="707" w:type="pct"/>
            <w:tcMar>
              <w:left w:w="57" w:type="dxa"/>
              <w:right w:w="57" w:type="dxa"/>
            </w:tcMar>
          </w:tcPr>
          <w:p w14:paraId="2C436647" w14:textId="6EEA9AB0" w:rsidR="00DA27C8" w:rsidRPr="00247126" w:rsidRDefault="00DA27C8" w:rsidP="009A10AA">
            <w:pPr>
              <w:pStyle w:val="TableHeading0"/>
            </w:pPr>
            <w:r w:rsidRPr="00247126">
              <w:t>AG alone</w:t>
            </w:r>
            <w:r w:rsidR="009A10AA" w:rsidRPr="00247126">
              <w:br/>
            </w:r>
            <w:r w:rsidRPr="00247126">
              <w:t>n/N (%)</w:t>
            </w:r>
          </w:p>
        </w:tc>
        <w:tc>
          <w:tcPr>
            <w:tcW w:w="789" w:type="pct"/>
            <w:tcMar>
              <w:left w:w="57" w:type="dxa"/>
              <w:right w:w="57" w:type="dxa"/>
            </w:tcMar>
          </w:tcPr>
          <w:p w14:paraId="0C497977" w14:textId="40F39BD7" w:rsidR="00DA27C8" w:rsidRPr="00247126" w:rsidRDefault="00DA27C8" w:rsidP="009A10AA">
            <w:pPr>
              <w:pStyle w:val="TableHeading0"/>
            </w:pPr>
            <w:r w:rsidRPr="00247126">
              <w:t>HR [95% CI]</w:t>
            </w:r>
            <w:r w:rsidR="009A10AA" w:rsidRPr="00247126">
              <w:br/>
              <w:t xml:space="preserve">HR </w:t>
            </w:r>
            <w:r w:rsidRPr="00247126">
              <w:t>&lt;1 favours OCT+AG</w:t>
            </w:r>
          </w:p>
        </w:tc>
        <w:tc>
          <w:tcPr>
            <w:tcW w:w="597" w:type="pct"/>
            <w:tcBorders>
              <w:bottom w:val="single" w:sz="4" w:space="0" w:color="auto"/>
            </w:tcBorders>
            <w:tcMar>
              <w:left w:w="57" w:type="dxa"/>
              <w:right w:w="57" w:type="dxa"/>
            </w:tcMar>
          </w:tcPr>
          <w:p w14:paraId="79C594B5" w14:textId="0BA0F649" w:rsidR="00DA27C8" w:rsidRPr="00247126" w:rsidRDefault="0001481C">
            <w:pPr>
              <w:pStyle w:val="TableHeading0"/>
            </w:pPr>
            <w:r w:rsidRPr="00247126">
              <w:t>GRADE c</w:t>
            </w:r>
            <w:r w:rsidR="00DA27C8" w:rsidRPr="00247126">
              <w:t>ertainty of evidence</w:t>
            </w:r>
          </w:p>
        </w:tc>
      </w:tr>
      <w:tr w:rsidR="00F760C4" w:rsidRPr="00247126" w14:paraId="751B7A59" w14:textId="77777777" w:rsidTr="00774BC4">
        <w:tc>
          <w:tcPr>
            <w:tcW w:w="942" w:type="pct"/>
            <w:tcBorders>
              <w:bottom w:val="nil"/>
            </w:tcBorders>
            <w:tcMar>
              <w:left w:w="57" w:type="dxa"/>
              <w:right w:w="57" w:type="dxa"/>
            </w:tcMar>
          </w:tcPr>
          <w:p w14:paraId="397B56B6" w14:textId="7E9B3DE7" w:rsidR="005B3A31" w:rsidRPr="00247126" w:rsidRDefault="00425C81">
            <w:pPr>
              <w:pStyle w:val="TableText"/>
              <w:rPr>
                <w:vertAlign w:val="superscript"/>
              </w:rPr>
            </w:pPr>
            <w:proofErr w:type="spellStart"/>
            <w:r w:rsidRPr="00247126">
              <w:t>TVF</w:t>
            </w:r>
            <w:r w:rsidR="00CB4A37" w:rsidRPr="00247126">
              <w:rPr>
                <w:vertAlign w:val="superscript"/>
              </w:rPr>
              <w:t>a</w:t>
            </w:r>
            <w:proofErr w:type="spellEnd"/>
            <w:r w:rsidR="003A053B" w:rsidRPr="00247126">
              <w:t>/</w:t>
            </w:r>
            <w:proofErr w:type="spellStart"/>
            <w:r w:rsidR="003A053B" w:rsidRPr="00247126">
              <w:t>MACE</w:t>
            </w:r>
            <w:r w:rsidR="000F673E" w:rsidRPr="00247126">
              <w:rPr>
                <w:vertAlign w:val="superscript"/>
              </w:rPr>
              <w:t>b</w:t>
            </w:r>
            <w:proofErr w:type="spellEnd"/>
          </w:p>
        </w:tc>
        <w:tc>
          <w:tcPr>
            <w:tcW w:w="1259" w:type="pct"/>
            <w:tcMar>
              <w:left w:w="57" w:type="dxa"/>
              <w:right w:w="57" w:type="dxa"/>
            </w:tcMar>
          </w:tcPr>
          <w:p w14:paraId="4BBA5185" w14:textId="7778D13E" w:rsidR="005B3A31" w:rsidRPr="00247126" w:rsidRDefault="005B3A31">
            <w:pPr>
              <w:pStyle w:val="TableText"/>
            </w:pPr>
            <w:r w:rsidRPr="00247126">
              <w:t xml:space="preserve">ILUMIEN IV subgroup </w:t>
            </w:r>
            <w:r w:rsidR="00E64266" w:rsidRPr="00247126">
              <w:t>(TVF)</w:t>
            </w:r>
          </w:p>
        </w:tc>
        <w:tc>
          <w:tcPr>
            <w:tcW w:w="707" w:type="pct"/>
            <w:tcMar>
              <w:left w:w="57" w:type="dxa"/>
              <w:right w:w="57" w:type="dxa"/>
            </w:tcMar>
          </w:tcPr>
          <w:p w14:paraId="45D62725" w14:textId="3C96BBB2" w:rsidR="005B3A31" w:rsidRPr="00247126" w:rsidRDefault="00425C81">
            <w:pPr>
              <w:pStyle w:val="TableText"/>
            </w:pPr>
            <w:r w:rsidRPr="00247126">
              <w:t xml:space="preserve">3/40 (7.5) </w:t>
            </w:r>
          </w:p>
        </w:tc>
        <w:tc>
          <w:tcPr>
            <w:tcW w:w="707" w:type="pct"/>
            <w:tcMar>
              <w:left w:w="57" w:type="dxa"/>
              <w:right w:w="57" w:type="dxa"/>
            </w:tcMar>
          </w:tcPr>
          <w:p w14:paraId="43A88963" w14:textId="7DAB7653" w:rsidR="005B3A31" w:rsidRPr="00247126" w:rsidRDefault="00425C81">
            <w:pPr>
              <w:pStyle w:val="TableText"/>
            </w:pPr>
            <w:r w:rsidRPr="00247126">
              <w:t>3/43 (7.0)</w:t>
            </w:r>
          </w:p>
        </w:tc>
        <w:tc>
          <w:tcPr>
            <w:tcW w:w="789" w:type="pct"/>
            <w:tcMar>
              <w:left w:w="57" w:type="dxa"/>
              <w:right w:w="57" w:type="dxa"/>
            </w:tcMar>
          </w:tcPr>
          <w:p w14:paraId="33AB77BA" w14:textId="0945AA3E" w:rsidR="005B3A31" w:rsidRPr="00247126" w:rsidRDefault="00425C81">
            <w:pPr>
              <w:pStyle w:val="TableText"/>
              <w:rPr>
                <w:vertAlign w:val="superscript"/>
              </w:rPr>
            </w:pPr>
            <w:r w:rsidRPr="00247126">
              <w:t>1.05 [0.21, 5.18]</w:t>
            </w:r>
          </w:p>
        </w:tc>
        <w:tc>
          <w:tcPr>
            <w:tcW w:w="597" w:type="pct"/>
            <w:tcBorders>
              <w:bottom w:val="single" w:sz="4" w:space="0" w:color="auto"/>
            </w:tcBorders>
            <w:tcMar>
              <w:left w:w="57" w:type="dxa"/>
              <w:right w:w="57" w:type="dxa"/>
            </w:tcMar>
          </w:tcPr>
          <w:p w14:paraId="541CEF77" w14:textId="450473F3" w:rsidR="005B3A31" w:rsidRPr="00247126" w:rsidRDefault="00B0770D">
            <w:pPr>
              <w:pStyle w:val="TableText"/>
            </w:pPr>
            <w:r w:rsidRPr="00247126">
              <w:t>NR</w:t>
            </w:r>
          </w:p>
        </w:tc>
      </w:tr>
      <w:tr w:rsidR="00F760C4" w:rsidRPr="00247126" w14:paraId="76B8DF57" w14:textId="77777777" w:rsidTr="00774BC4">
        <w:tc>
          <w:tcPr>
            <w:tcW w:w="942" w:type="pct"/>
            <w:tcBorders>
              <w:top w:val="nil"/>
            </w:tcBorders>
            <w:tcMar>
              <w:left w:w="57" w:type="dxa"/>
              <w:right w:w="57" w:type="dxa"/>
            </w:tcMar>
          </w:tcPr>
          <w:p w14:paraId="512EDD7F" w14:textId="7240AF26" w:rsidR="00DA27C8" w:rsidRPr="00247126" w:rsidRDefault="00DA27C8">
            <w:pPr>
              <w:pStyle w:val="TableText"/>
            </w:pPr>
          </w:p>
        </w:tc>
        <w:tc>
          <w:tcPr>
            <w:tcW w:w="1259" w:type="pct"/>
            <w:tcMar>
              <w:left w:w="57" w:type="dxa"/>
              <w:right w:w="57" w:type="dxa"/>
            </w:tcMar>
          </w:tcPr>
          <w:p w14:paraId="0DF42642" w14:textId="35850A17" w:rsidR="00DA27C8" w:rsidRPr="00247126" w:rsidRDefault="006D0C2E">
            <w:pPr>
              <w:pStyle w:val="TableText"/>
            </w:pPr>
            <w:r w:rsidRPr="00247126">
              <w:t>OCTOBER ITT</w:t>
            </w:r>
            <w:r w:rsidR="00E64266" w:rsidRPr="00247126">
              <w:t xml:space="preserve"> (MACE)</w:t>
            </w:r>
          </w:p>
        </w:tc>
        <w:tc>
          <w:tcPr>
            <w:tcW w:w="707" w:type="pct"/>
            <w:tcMar>
              <w:left w:w="57" w:type="dxa"/>
              <w:right w:w="57" w:type="dxa"/>
            </w:tcMar>
          </w:tcPr>
          <w:p w14:paraId="6A6C72A3" w14:textId="62629F41" w:rsidR="00DA27C8" w:rsidRPr="00247126" w:rsidRDefault="006B5051">
            <w:pPr>
              <w:pStyle w:val="TableText"/>
            </w:pPr>
            <w:r w:rsidRPr="00247126">
              <w:t>59/600 (10.1)</w:t>
            </w:r>
          </w:p>
        </w:tc>
        <w:tc>
          <w:tcPr>
            <w:tcW w:w="707" w:type="pct"/>
            <w:tcMar>
              <w:left w:w="57" w:type="dxa"/>
              <w:right w:w="57" w:type="dxa"/>
            </w:tcMar>
          </w:tcPr>
          <w:p w14:paraId="5D76CE0D" w14:textId="4293FDB9" w:rsidR="00DA27C8" w:rsidRPr="00247126" w:rsidRDefault="006B5051">
            <w:pPr>
              <w:pStyle w:val="TableText"/>
            </w:pPr>
            <w:r w:rsidRPr="00247126">
              <w:t>83/601 (14.1)</w:t>
            </w:r>
          </w:p>
        </w:tc>
        <w:tc>
          <w:tcPr>
            <w:tcW w:w="789" w:type="pct"/>
            <w:tcMar>
              <w:left w:w="57" w:type="dxa"/>
              <w:right w:w="57" w:type="dxa"/>
            </w:tcMar>
          </w:tcPr>
          <w:p w14:paraId="31CBA5B6" w14:textId="3A6A21E4" w:rsidR="00DA27C8" w:rsidRPr="00247126" w:rsidRDefault="006B5051">
            <w:pPr>
              <w:pStyle w:val="TableText"/>
              <w:rPr>
                <w:b/>
                <w:vertAlign w:val="superscript"/>
              </w:rPr>
            </w:pPr>
            <w:r w:rsidRPr="00247126">
              <w:rPr>
                <w:b/>
              </w:rPr>
              <w:t>0.70 [0.50, 0.98]</w:t>
            </w:r>
          </w:p>
        </w:tc>
        <w:tc>
          <w:tcPr>
            <w:tcW w:w="597" w:type="pct"/>
            <w:tcBorders>
              <w:top w:val="single" w:sz="4" w:space="0" w:color="auto"/>
            </w:tcBorders>
            <w:tcMar>
              <w:left w:w="57" w:type="dxa"/>
              <w:right w:w="57" w:type="dxa"/>
            </w:tcMar>
          </w:tcPr>
          <w:p w14:paraId="6CA0FA8D" w14:textId="03AEED1D" w:rsidR="00DA27C8" w:rsidRPr="00247126" w:rsidRDefault="00B0770D">
            <w:pPr>
              <w:pStyle w:val="TableText"/>
            </w:pPr>
            <w:r w:rsidRPr="00247126">
              <w:t>High</w:t>
            </w:r>
          </w:p>
        </w:tc>
      </w:tr>
      <w:tr w:rsidR="00F760C4" w:rsidRPr="00247126" w14:paraId="71E9B896" w14:textId="77777777" w:rsidTr="00774BC4">
        <w:tc>
          <w:tcPr>
            <w:tcW w:w="942" w:type="pct"/>
            <w:tcMar>
              <w:left w:w="57" w:type="dxa"/>
              <w:right w:w="57" w:type="dxa"/>
            </w:tcMar>
          </w:tcPr>
          <w:p w14:paraId="49CB8A1E" w14:textId="77777777" w:rsidR="00997AB8" w:rsidRPr="00247126" w:rsidRDefault="00997AB8">
            <w:pPr>
              <w:pStyle w:val="TableText"/>
            </w:pPr>
            <w:r w:rsidRPr="00247126">
              <w:t>Target lesion MI</w:t>
            </w:r>
          </w:p>
        </w:tc>
        <w:tc>
          <w:tcPr>
            <w:tcW w:w="1259" w:type="pct"/>
            <w:tcMar>
              <w:left w:w="57" w:type="dxa"/>
              <w:right w:w="57" w:type="dxa"/>
            </w:tcMar>
          </w:tcPr>
          <w:p w14:paraId="207E8D79" w14:textId="77777777" w:rsidR="00997AB8" w:rsidRPr="00247126" w:rsidRDefault="00997AB8">
            <w:pPr>
              <w:pStyle w:val="TableText"/>
            </w:pPr>
            <w:r w:rsidRPr="00247126">
              <w:t>OCTOBER ITT</w:t>
            </w:r>
          </w:p>
        </w:tc>
        <w:tc>
          <w:tcPr>
            <w:tcW w:w="707" w:type="pct"/>
            <w:tcMar>
              <w:left w:w="57" w:type="dxa"/>
              <w:right w:w="57" w:type="dxa"/>
            </w:tcMar>
          </w:tcPr>
          <w:p w14:paraId="32061600" w14:textId="2736F088" w:rsidR="00997AB8" w:rsidRPr="00247126" w:rsidRDefault="00F947A2">
            <w:pPr>
              <w:pStyle w:val="TableText"/>
            </w:pPr>
            <w:r w:rsidRPr="00247126">
              <w:t>46/600 (7.8)</w:t>
            </w:r>
          </w:p>
        </w:tc>
        <w:tc>
          <w:tcPr>
            <w:tcW w:w="707" w:type="pct"/>
            <w:tcMar>
              <w:left w:w="57" w:type="dxa"/>
              <w:right w:w="57" w:type="dxa"/>
            </w:tcMar>
          </w:tcPr>
          <w:p w14:paraId="2E86DCEF" w14:textId="01B665C8" w:rsidR="00997AB8" w:rsidRPr="00247126" w:rsidRDefault="00F947A2">
            <w:pPr>
              <w:pStyle w:val="TableText"/>
            </w:pPr>
            <w:r w:rsidRPr="00247126">
              <w:t>51/601 (8.5)</w:t>
            </w:r>
          </w:p>
        </w:tc>
        <w:tc>
          <w:tcPr>
            <w:tcW w:w="789" w:type="pct"/>
            <w:tcMar>
              <w:left w:w="57" w:type="dxa"/>
              <w:right w:w="57" w:type="dxa"/>
            </w:tcMar>
          </w:tcPr>
          <w:p w14:paraId="06D69BFD" w14:textId="4D6B4B00" w:rsidR="00997AB8" w:rsidRPr="00247126" w:rsidRDefault="00F947A2">
            <w:pPr>
              <w:pStyle w:val="TableText"/>
            </w:pPr>
            <w:r w:rsidRPr="00247126">
              <w:t>0.90 [0.60, 1.34]</w:t>
            </w:r>
          </w:p>
        </w:tc>
        <w:tc>
          <w:tcPr>
            <w:tcW w:w="597" w:type="pct"/>
            <w:tcMar>
              <w:left w:w="57" w:type="dxa"/>
              <w:right w:w="57" w:type="dxa"/>
            </w:tcMar>
          </w:tcPr>
          <w:p w14:paraId="722AE03F" w14:textId="540BAC30" w:rsidR="00997AB8" w:rsidRPr="00247126" w:rsidRDefault="006762B7">
            <w:pPr>
              <w:pStyle w:val="TableText"/>
            </w:pPr>
            <w:r w:rsidRPr="00247126">
              <w:t>Moderate</w:t>
            </w:r>
          </w:p>
        </w:tc>
      </w:tr>
      <w:tr w:rsidR="00F760C4" w:rsidRPr="00247126" w14:paraId="04CCC418" w14:textId="77777777" w:rsidTr="00774BC4">
        <w:tc>
          <w:tcPr>
            <w:tcW w:w="942" w:type="pct"/>
            <w:tcBorders>
              <w:bottom w:val="single" w:sz="4" w:space="0" w:color="auto"/>
            </w:tcBorders>
            <w:tcMar>
              <w:left w:w="57" w:type="dxa"/>
              <w:right w:w="57" w:type="dxa"/>
            </w:tcMar>
          </w:tcPr>
          <w:p w14:paraId="2D5D1101" w14:textId="77777777" w:rsidR="00DA27C8" w:rsidRPr="00247126" w:rsidRDefault="00DA27C8">
            <w:pPr>
              <w:pStyle w:val="TableText"/>
            </w:pPr>
            <w:r w:rsidRPr="00247126">
              <w:t xml:space="preserve">Target vessel MI </w:t>
            </w:r>
          </w:p>
        </w:tc>
        <w:tc>
          <w:tcPr>
            <w:tcW w:w="1259" w:type="pct"/>
            <w:tcMar>
              <w:left w:w="57" w:type="dxa"/>
              <w:right w:w="57" w:type="dxa"/>
            </w:tcMar>
          </w:tcPr>
          <w:p w14:paraId="66622BB4" w14:textId="299AD1C3" w:rsidR="00DA27C8" w:rsidRPr="00247126" w:rsidRDefault="004065F3">
            <w:pPr>
              <w:pStyle w:val="TableText"/>
            </w:pPr>
            <w:r w:rsidRPr="00247126">
              <w:t>ILUMIEN IV subgroup</w:t>
            </w:r>
          </w:p>
        </w:tc>
        <w:tc>
          <w:tcPr>
            <w:tcW w:w="707" w:type="pct"/>
            <w:tcMar>
              <w:left w:w="57" w:type="dxa"/>
              <w:right w:w="57" w:type="dxa"/>
            </w:tcMar>
          </w:tcPr>
          <w:p w14:paraId="5F337826" w14:textId="73E7367A" w:rsidR="00DA27C8" w:rsidRPr="00247126" w:rsidRDefault="00DF378E">
            <w:pPr>
              <w:pStyle w:val="TableText"/>
            </w:pPr>
            <w:r w:rsidRPr="00247126">
              <w:t>1/40 (2.5)</w:t>
            </w:r>
          </w:p>
        </w:tc>
        <w:tc>
          <w:tcPr>
            <w:tcW w:w="707" w:type="pct"/>
            <w:tcMar>
              <w:left w:w="57" w:type="dxa"/>
              <w:right w:w="57" w:type="dxa"/>
            </w:tcMar>
          </w:tcPr>
          <w:p w14:paraId="549528E3" w14:textId="0821EA93" w:rsidR="00DA27C8" w:rsidRPr="00247126" w:rsidRDefault="00DF378E">
            <w:pPr>
              <w:pStyle w:val="TableText"/>
            </w:pPr>
            <w:r w:rsidRPr="00247126">
              <w:t>0/43 (0)</w:t>
            </w:r>
          </w:p>
        </w:tc>
        <w:tc>
          <w:tcPr>
            <w:tcW w:w="789" w:type="pct"/>
            <w:tcMar>
              <w:left w:w="57" w:type="dxa"/>
              <w:right w:w="57" w:type="dxa"/>
            </w:tcMar>
          </w:tcPr>
          <w:p w14:paraId="794E798F" w14:textId="0D309BE0" w:rsidR="00DA27C8" w:rsidRPr="00247126" w:rsidRDefault="00DF378E">
            <w:pPr>
              <w:pStyle w:val="TableText"/>
            </w:pPr>
            <w:r w:rsidRPr="00247126">
              <w:t>NE</w:t>
            </w:r>
          </w:p>
        </w:tc>
        <w:tc>
          <w:tcPr>
            <w:tcW w:w="597" w:type="pct"/>
            <w:tcBorders>
              <w:bottom w:val="single" w:sz="4" w:space="0" w:color="auto"/>
            </w:tcBorders>
            <w:tcMar>
              <w:left w:w="57" w:type="dxa"/>
              <w:right w:w="57" w:type="dxa"/>
            </w:tcMar>
          </w:tcPr>
          <w:p w14:paraId="529A4EC5" w14:textId="2F9245E5" w:rsidR="00DA27C8" w:rsidRPr="00247126" w:rsidRDefault="00E97E58">
            <w:pPr>
              <w:pStyle w:val="TableText"/>
            </w:pPr>
            <w:r w:rsidRPr="00247126">
              <w:t>NR</w:t>
            </w:r>
          </w:p>
        </w:tc>
      </w:tr>
      <w:tr w:rsidR="00F760C4" w:rsidRPr="00247126" w14:paraId="3EB68BDE" w14:textId="77777777" w:rsidTr="00774BC4">
        <w:tc>
          <w:tcPr>
            <w:tcW w:w="942" w:type="pct"/>
            <w:tcBorders>
              <w:bottom w:val="nil"/>
            </w:tcBorders>
            <w:tcMar>
              <w:left w:w="57" w:type="dxa"/>
              <w:right w:w="57" w:type="dxa"/>
            </w:tcMar>
          </w:tcPr>
          <w:p w14:paraId="3E8B8F1B" w14:textId="49DC5434" w:rsidR="00DA27C8" w:rsidRPr="00247126" w:rsidRDefault="00DA27C8">
            <w:pPr>
              <w:pStyle w:val="TableText"/>
            </w:pPr>
            <w:r w:rsidRPr="00247126">
              <w:t>Ischemia-driven TVR</w:t>
            </w:r>
          </w:p>
        </w:tc>
        <w:tc>
          <w:tcPr>
            <w:tcW w:w="1259" w:type="pct"/>
            <w:tcMar>
              <w:left w:w="57" w:type="dxa"/>
              <w:right w:w="57" w:type="dxa"/>
            </w:tcMar>
          </w:tcPr>
          <w:p w14:paraId="0AFDD61B" w14:textId="459A1AD2" w:rsidR="00DA27C8" w:rsidRPr="00247126" w:rsidRDefault="002E2D45">
            <w:pPr>
              <w:pStyle w:val="TableText"/>
            </w:pPr>
            <w:r w:rsidRPr="00247126">
              <w:t>OCTOBER ITT</w:t>
            </w:r>
          </w:p>
        </w:tc>
        <w:tc>
          <w:tcPr>
            <w:tcW w:w="707" w:type="pct"/>
            <w:tcMar>
              <w:left w:w="57" w:type="dxa"/>
              <w:right w:w="57" w:type="dxa"/>
            </w:tcMar>
          </w:tcPr>
          <w:p w14:paraId="470B6E60" w14:textId="6CAB6AE8" w:rsidR="00DA27C8" w:rsidRPr="00247126" w:rsidRDefault="0074121E">
            <w:pPr>
              <w:pStyle w:val="TableText"/>
            </w:pPr>
            <w:r w:rsidRPr="00247126">
              <w:t>17/600 (3.0)</w:t>
            </w:r>
          </w:p>
        </w:tc>
        <w:tc>
          <w:tcPr>
            <w:tcW w:w="707" w:type="pct"/>
            <w:tcMar>
              <w:left w:w="57" w:type="dxa"/>
              <w:right w:w="57" w:type="dxa"/>
            </w:tcMar>
          </w:tcPr>
          <w:p w14:paraId="1C9624EE" w14:textId="07313913" w:rsidR="00DA27C8" w:rsidRPr="00247126" w:rsidRDefault="0074121E">
            <w:pPr>
              <w:pStyle w:val="TableText"/>
            </w:pPr>
            <w:r w:rsidRPr="00247126">
              <w:t>27/601 (4.8)</w:t>
            </w:r>
          </w:p>
        </w:tc>
        <w:tc>
          <w:tcPr>
            <w:tcW w:w="789" w:type="pct"/>
            <w:tcMar>
              <w:left w:w="57" w:type="dxa"/>
              <w:right w:w="57" w:type="dxa"/>
            </w:tcMar>
          </w:tcPr>
          <w:p w14:paraId="47137FF3" w14:textId="06674BDF" w:rsidR="00DA27C8" w:rsidRPr="00247126" w:rsidRDefault="0074121E">
            <w:pPr>
              <w:pStyle w:val="TableText"/>
            </w:pPr>
            <w:r w:rsidRPr="00247126">
              <w:t>0.62 [0.34, 1.13]</w:t>
            </w:r>
          </w:p>
        </w:tc>
        <w:tc>
          <w:tcPr>
            <w:tcW w:w="597" w:type="pct"/>
            <w:tcBorders>
              <w:bottom w:val="single" w:sz="4" w:space="0" w:color="auto"/>
            </w:tcBorders>
            <w:tcMar>
              <w:left w:w="57" w:type="dxa"/>
              <w:right w:w="57" w:type="dxa"/>
            </w:tcMar>
          </w:tcPr>
          <w:p w14:paraId="52205DAD" w14:textId="127BF359" w:rsidR="00DA27C8" w:rsidRPr="00247126" w:rsidRDefault="00763896">
            <w:pPr>
              <w:pStyle w:val="TableText"/>
            </w:pPr>
            <w:r w:rsidRPr="00247126">
              <w:t>Moderate</w:t>
            </w:r>
          </w:p>
        </w:tc>
      </w:tr>
      <w:tr w:rsidR="00F760C4" w:rsidRPr="00247126" w14:paraId="28A6D78C" w14:textId="77777777" w:rsidTr="00774BC4">
        <w:tc>
          <w:tcPr>
            <w:tcW w:w="942" w:type="pct"/>
            <w:tcBorders>
              <w:top w:val="nil"/>
            </w:tcBorders>
            <w:tcMar>
              <w:left w:w="57" w:type="dxa"/>
              <w:right w:w="57" w:type="dxa"/>
            </w:tcMar>
          </w:tcPr>
          <w:p w14:paraId="51B139D9" w14:textId="77777777" w:rsidR="002E2D45" w:rsidRPr="00247126" w:rsidRDefault="002E2D45">
            <w:pPr>
              <w:pStyle w:val="TableText"/>
            </w:pPr>
          </w:p>
        </w:tc>
        <w:tc>
          <w:tcPr>
            <w:tcW w:w="1259" w:type="pct"/>
            <w:tcMar>
              <w:left w:w="57" w:type="dxa"/>
              <w:right w:w="57" w:type="dxa"/>
            </w:tcMar>
          </w:tcPr>
          <w:p w14:paraId="170529DA" w14:textId="55DDD871" w:rsidR="002E2D45" w:rsidRPr="00247126" w:rsidRDefault="002E2D45">
            <w:pPr>
              <w:pStyle w:val="TableText"/>
            </w:pPr>
            <w:r w:rsidRPr="00247126">
              <w:t>ILUMIEN IV subgroup</w:t>
            </w:r>
          </w:p>
        </w:tc>
        <w:tc>
          <w:tcPr>
            <w:tcW w:w="707" w:type="pct"/>
            <w:tcMar>
              <w:left w:w="57" w:type="dxa"/>
              <w:right w:w="57" w:type="dxa"/>
            </w:tcMar>
          </w:tcPr>
          <w:p w14:paraId="3C2358E0" w14:textId="5F241BAD" w:rsidR="002E2D45" w:rsidRPr="00247126" w:rsidRDefault="00767BDD">
            <w:pPr>
              <w:pStyle w:val="TableText"/>
            </w:pPr>
            <w:r w:rsidRPr="00247126">
              <w:t>3/40 (7.5)</w:t>
            </w:r>
          </w:p>
        </w:tc>
        <w:tc>
          <w:tcPr>
            <w:tcW w:w="707" w:type="pct"/>
            <w:tcMar>
              <w:left w:w="57" w:type="dxa"/>
              <w:right w:w="57" w:type="dxa"/>
            </w:tcMar>
          </w:tcPr>
          <w:p w14:paraId="33156A8F" w14:textId="0746AF17" w:rsidR="002E2D45" w:rsidRPr="00247126" w:rsidRDefault="00767BDD">
            <w:pPr>
              <w:pStyle w:val="TableText"/>
            </w:pPr>
            <w:r w:rsidRPr="00247126">
              <w:t>3/43 (7.0)</w:t>
            </w:r>
          </w:p>
        </w:tc>
        <w:tc>
          <w:tcPr>
            <w:tcW w:w="789" w:type="pct"/>
            <w:tcMar>
              <w:left w:w="57" w:type="dxa"/>
              <w:right w:w="57" w:type="dxa"/>
            </w:tcMar>
          </w:tcPr>
          <w:p w14:paraId="57A5B9FA" w14:textId="7CCE65E1" w:rsidR="002E2D45" w:rsidRPr="00247126" w:rsidRDefault="00767BDD">
            <w:pPr>
              <w:pStyle w:val="TableText"/>
            </w:pPr>
            <w:r w:rsidRPr="00247126">
              <w:t>1.05 (0.21, 5.18]</w:t>
            </w:r>
          </w:p>
        </w:tc>
        <w:tc>
          <w:tcPr>
            <w:tcW w:w="597" w:type="pct"/>
            <w:tcBorders>
              <w:top w:val="single" w:sz="4" w:space="0" w:color="auto"/>
            </w:tcBorders>
            <w:tcMar>
              <w:left w:w="57" w:type="dxa"/>
              <w:right w:w="57" w:type="dxa"/>
            </w:tcMar>
          </w:tcPr>
          <w:p w14:paraId="0BDC9759" w14:textId="46489557" w:rsidR="002E2D45" w:rsidRPr="00247126" w:rsidRDefault="00265BF4">
            <w:pPr>
              <w:pStyle w:val="TableText"/>
            </w:pPr>
            <w:r w:rsidRPr="00247126">
              <w:t>NR</w:t>
            </w:r>
          </w:p>
        </w:tc>
      </w:tr>
      <w:tr w:rsidR="00F760C4" w:rsidRPr="00247126" w14:paraId="34156970" w14:textId="77777777" w:rsidTr="00774BC4">
        <w:tc>
          <w:tcPr>
            <w:tcW w:w="942" w:type="pct"/>
            <w:tcBorders>
              <w:bottom w:val="single" w:sz="4" w:space="0" w:color="auto"/>
            </w:tcBorders>
            <w:tcMar>
              <w:left w:w="57" w:type="dxa"/>
              <w:right w:w="57" w:type="dxa"/>
            </w:tcMar>
          </w:tcPr>
          <w:p w14:paraId="19E57162" w14:textId="72EE18C7" w:rsidR="00D43875" w:rsidRPr="00247126" w:rsidRDefault="00D43875">
            <w:pPr>
              <w:pStyle w:val="TableText"/>
            </w:pPr>
            <w:r w:rsidRPr="00247126">
              <w:t>Ischemia-driven TLR</w:t>
            </w:r>
          </w:p>
        </w:tc>
        <w:tc>
          <w:tcPr>
            <w:tcW w:w="1259" w:type="pct"/>
            <w:tcMar>
              <w:left w:w="57" w:type="dxa"/>
              <w:right w:w="57" w:type="dxa"/>
            </w:tcMar>
          </w:tcPr>
          <w:p w14:paraId="123B8C2E" w14:textId="5B6E321F" w:rsidR="00D43875" w:rsidRPr="00247126" w:rsidRDefault="00D43875">
            <w:pPr>
              <w:pStyle w:val="TableText"/>
            </w:pPr>
            <w:r w:rsidRPr="00247126">
              <w:t>OCTOBER ITT</w:t>
            </w:r>
          </w:p>
        </w:tc>
        <w:tc>
          <w:tcPr>
            <w:tcW w:w="707" w:type="pct"/>
            <w:tcMar>
              <w:left w:w="57" w:type="dxa"/>
              <w:right w:w="57" w:type="dxa"/>
            </w:tcMar>
          </w:tcPr>
          <w:p w14:paraId="117D7072" w14:textId="2758F70C" w:rsidR="00D43875" w:rsidRPr="00247126" w:rsidRDefault="001527B0">
            <w:pPr>
              <w:pStyle w:val="TableText"/>
            </w:pPr>
            <w:r w:rsidRPr="00247126">
              <w:t>16/600 (2.8)</w:t>
            </w:r>
          </w:p>
        </w:tc>
        <w:tc>
          <w:tcPr>
            <w:tcW w:w="707" w:type="pct"/>
            <w:tcMar>
              <w:left w:w="57" w:type="dxa"/>
              <w:right w:w="57" w:type="dxa"/>
            </w:tcMar>
          </w:tcPr>
          <w:p w14:paraId="144F6D94" w14:textId="1B0A4A0C" w:rsidR="00D43875" w:rsidRPr="00247126" w:rsidRDefault="001527B0">
            <w:pPr>
              <w:pStyle w:val="TableText"/>
            </w:pPr>
            <w:r w:rsidRPr="00247126">
              <w:t>26/601 (4.6)</w:t>
            </w:r>
          </w:p>
        </w:tc>
        <w:tc>
          <w:tcPr>
            <w:tcW w:w="789" w:type="pct"/>
            <w:tcMar>
              <w:left w:w="57" w:type="dxa"/>
              <w:right w:w="57" w:type="dxa"/>
            </w:tcMar>
          </w:tcPr>
          <w:p w14:paraId="462B8807" w14:textId="74C77B28" w:rsidR="00D43875" w:rsidRPr="00247126" w:rsidRDefault="001527B0">
            <w:pPr>
              <w:pStyle w:val="TableText"/>
            </w:pPr>
            <w:r w:rsidRPr="00247126">
              <w:t>0.60 [0.32, 1.13]</w:t>
            </w:r>
          </w:p>
        </w:tc>
        <w:tc>
          <w:tcPr>
            <w:tcW w:w="597" w:type="pct"/>
            <w:tcMar>
              <w:left w:w="57" w:type="dxa"/>
              <w:right w:w="57" w:type="dxa"/>
            </w:tcMar>
          </w:tcPr>
          <w:p w14:paraId="0F0E5667" w14:textId="065A2B8F" w:rsidR="00D43875" w:rsidRPr="00247126" w:rsidRDefault="00140075">
            <w:pPr>
              <w:pStyle w:val="TableText"/>
            </w:pPr>
            <w:r w:rsidRPr="00247126">
              <w:t>Moderate</w:t>
            </w:r>
          </w:p>
        </w:tc>
      </w:tr>
      <w:tr w:rsidR="00F760C4" w:rsidRPr="00247126" w14:paraId="76638280" w14:textId="77777777" w:rsidTr="00774BC4">
        <w:tc>
          <w:tcPr>
            <w:tcW w:w="942" w:type="pct"/>
            <w:tcBorders>
              <w:bottom w:val="nil"/>
            </w:tcBorders>
            <w:tcMar>
              <w:left w:w="57" w:type="dxa"/>
              <w:right w:w="57" w:type="dxa"/>
            </w:tcMar>
          </w:tcPr>
          <w:p w14:paraId="7C208B34" w14:textId="77777777" w:rsidR="00DA27C8" w:rsidRPr="00247126" w:rsidRDefault="00DA27C8">
            <w:pPr>
              <w:pStyle w:val="TableText"/>
            </w:pPr>
            <w:r w:rsidRPr="00247126">
              <w:t xml:space="preserve">Cardiac death </w:t>
            </w:r>
          </w:p>
        </w:tc>
        <w:tc>
          <w:tcPr>
            <w:tcW w:w="1259" w:type="pct"/>
            <w:tcMar>
              <w:left w:w="57" w:type="dxa"/>
              <w:right w:w="57" w:type="dxa"/>
            </w:tcMar>
          </w:tcPr>
          <w:p w14:paraId="078935A4" w14:textId="482592BB" w:rsidR="00DA27C8" w:rsidRPr="00247126" w:rsidRDefault="003B254A">
            <w:pPr>
              <w:pStyle w:val="TableText"/>
            </w:pPr>
            <w:r w:rsidRPr="00247126">
              <w:t>OCTOBER ITT</w:t>
            </w:r>
          </w:p>
        </w:tc>
        <w:tc>
          <w:tcPr>
            <w:tcW w:w="707" w:type="pct"/>
            <w:tcMar>
              <w:left w:w="57" w:type="dxa"/>
              <w:right w:w="57" w:type="dxa"/>
            </w:tcMar>
          </w:tcPr>
          <w:p w14:paraId="35DB8FD9" w14:textId="12637BF6" w:rsidR="00DA27C8" w:rsidRPr="00247126" w:rsidRDefault="00C02687">
            <w:pPr>
              <w:pStyle w:val="TableText"/>
            </w:pPr>
            <w:r w:rsidRPr="00247126">
              <w:t>8/600 (1.4)</w:t>
            </w:r>
          </w:p>
        </w:tc>
        <w:tc>
          <w:tcPr>
            <w:tcW w:w="707" w:type="pct"/>
            <w:tcMar>
              <w:left w:w="57" w:type="dxa"/>
              <w:right w:w="57" w:type="dxa"/>
            </w:tcMar>
          </w:tcPr>
          <w:p w14:paraId="432A454F" w14:textId="0D973AAD" w:rsidR="00DA27C8" w:rsidRPr="00247126" w:rsidRDefault="00C02687">
            <w:pPr>
              <w:pStyle w:val="TableText"/>
            </w:pPr>
            <w:r w:rsidRPr="00247126">
              <w:t>15/601 (2.6)</w:t>
            </w:r>
          </w:p>
        </w:tc>
        <w:tc>
          <w:tcPr>
            <w:tcW w:w="789" w:type="pct"/>
            <w:tcMar>
              <w:left w:w="57" w:type="dxa"/>
              <w:right w:w="57" w:type="dxa"/>
            </w:tcMar>
          </w:tcPr>
          <w:p w14:paraId="47B1BA7F" w14:textId="7DB2BC10" w:rsidR="00DA27C8" w:rsidRPr="00247126" w:rsidRDefault="00C02687">
            <w:pPr>
              <w:pStyle w:val="TableText"/>
            </w:pPr>
            <w:r w:rsidRPr="00247126">
              <w:t>0.53 [0.22, 1.25]</w:t>
            </w:r>
          </w:p>
        </w:tc>
        <w:tc>
          <w:tcPr>
            <w:tcW w:w="597" w:type="pct"/>
            <w:tcMar>
              <w:left w:w="57" w:type="dxa"/>
              <w:right w:w="57" w:type="dxa"/>
            </w:tcMar>
          </w:tcPr>
          <w:p w14:paraId="084C68F7" w14:textId="09850EF9" w:rsidR="00DA27C8" w:rsidRPr="00247126" w:rsidRDefault="00E75F1C">
            <w:pPr>
              <w:pStyle w:val="TableText"/>
            </w:pPr>
            <w:r w:rsidRPr="00247126">
              <w:t>Moderate</w:t>
            </w:r>
          </w:p>
        </w:tc>
      </w:tr>
      <w:tr w:rsidR="00F760C4" w:rsidRPr="00247126" w14:paraId="3993426C" w14:textId="77777777" w:rsidTr="00774BC4">
        <w:tc>
          <w:tcPr>
            <w:tcW w:w="942" w:type="pct"/>
            <w:tcBorders>
              <w:top w:val="nil"/>
              <w:bottom w:val="single" w:sz="4" w:space="0" w:color="auto"/>
            </w:tcBorders>
            <w:tcMar>
              <w:left w:w="57" w:type="dxa"/>
              <w:right w:w="57" w:type="dxa"/>
            </w:tcMar>
          </w:tcPr>
          <w:p w14:paraId="3F5CC68A" w14:textId="77777777" w:rsidR="003B254A" w:rsidRPr="00247126" w:rsidRDefault="003B254A">
            <w:pPr>
              <w:pStyle w:val="TableText"/>
            </w:pPr>
          </w:p>
        </w:tc>
        <w:tc>
          <w:tcPr>
            <w:tcW w:w="1259" w:type="pct"/>
            <w:tcMar>
              <w:left w:w="57" w:type="dxa"/>
              <w:right w:w="57" w:type="dxa"/>
            </w:tcMar>
          </w:tcPr>
          <w:p w14:paraId="65397E10" w14:textId="29C8BB91" w:rsidR="003B254A" w:rsidRPr="00247126" w:rsidRDefault="003B254A">
            <w:pPr>
              <w:pStyle w:val="TableText"/>
            </w:pPr>
            <w:r w:rsidRPr="00247126">
              <w:t>ILUMIEN IV subgroup</w:t>
            </w:r>
          </w:p>
        </w:tc>
        <w:tc>
          <w:tcPr>
            <w:tcW w:w="707" w:type="pct"/>
            <w:tcMar>
              <w:left w:w="57" w:type="dxa"/>
              <w:right w:w="57" w:type="dxa"/>
            </w:tcMar>
          </w:tcPr>
          <w:p w14:paraId="69A61529" w14:textId="4AEA4E00" w:rsidR="003B254A" w:rsidRPr="00247126" w:rsidRDefault="00FA1242">
            <w:pPr>
              <w:pStyle w:val="TableText"/>
            </w:pPr>
            <w:r w:rsidRPr="00247126">
              <w:t>0/40 (0)</w:t>
            </w:r>
          </w:p>
        </w:tc>
        <w:tc>
          <w:tcPr>
            <w:tcW w:w="707" w:type="pct"/>
            <w:tcMar>
              <w:left w:w="57" w:type="dxa"/>
              <w:right w:w="57" w:type="dxa"/>
            </w:tcMar>
          </w:tcPr>
          <w:p w14:paraId="2386AE92" w14:textId="19BF407A" w:rsidR="003B254A" w:rsidRPr="00247126" w:rsidRDefault="00FA1242">
            <w:pPr>
              <w:pStyle w:val="TableText"/>
            </w:pPr>
            <w:r w:rsidRPr="00247126">
              <w:t>0/43 (0)</w:t>
            </w:r>
          </w:p>
        </w:tc>
        <w:tc>
          <w:tcPr>
            <w:tcW w:w="789" w:type="pct"/>
            <w:tcMar>
              <w:left w:w="57" w:type="dxa"/>
              <w:right w:w="57" w:type="dxa"/>
            </w:tcMar>
          </w:tcPr>
          <w:p w14:paraId="00E3E75E" w14:textId="59194011" w:rsidR="003B254A" w:rsidRPr="00247126" w:rsidRDefault="00FA1242">
            <w:pPr>
              <w:pStyle w:val="TableText"/>
            </w:pPr>
            <w:r w:rsidRPr="00247126">
              <w:t>NE</w:t>
            </w:r>
          </w:p>
        </w:tc>
        <w:tc>
          <w:tcPr>
            <w:tcW w:w="597" w:type="pct"/>
            <w:tcMar>
              <w:left w:w="57" w:type="dxa"/>
              <w:right w:w="57" w:type="dxa"/>
            </w:tcMar>
          </w:tcPr>
          <w:p w14:paraId="422FA9D6" w14:textId="1560BF6C" w:rsidR="003B254A" w:rsidRPr="00247126" w:rsidRDefault="00050501">
            <w:pPr>
              <w:pStyle w:val="TableText"/>
            </w:pPr>
            <w:r w:rsidRPr="00247126">
              <w:t>NR</w:t>
            </w:r>
          </w:p>
        </w:tc>
      </w:tr>
      <w:tr w:rsidR="00F760C4" w:rsidRPr="00247126" w14:paraId="53593642" w14:textId="77777777" w:rsidTr="00774BC4">
        <w:tc>
          <w:tcPr>
            <w:tcW w:w="942" w:type="pct"/>
            <w:tcBorders>
              <w:bottom w:val="nil"/>
            </w:tcBorders>
            <w:tcMar>
              <w:left w:w="57" w:type="dxa"/>
              <w:right w:w="57" w:type="dxa"/>
            </w:tcMar>
          </w:tcPr>
          <w:p w14:paraId="6292603C" w14:textId="77777777" w:rsidR="00DA27C8" w:rsidRPr="00247126" w:rsidRDefault="00DA27C8">
            <w:pPr>
              <w:pStyle w:val="TableText"/>
            </w:pPr>
            <w:r w:rsidRPr="00247126">
              <w:t xml:space="preserve">Stent thrombosis </w:t>
            </w:r>
          </w:p>
        </w:tc>
        <w:tc>
          <w:tcPr>
            <w:tcW w:w="1259" w:type="pct"/>
            <w:tcMar>
              <w:left w:w="57" w:type="dxa"/>
              <w:right w:w="57" w:type="dxa"/>
            </w:tcMar>
          </w:tcPr>
          <w:p w14:paraId="2482C1D4" w14:textId="779A98C0" w:rsidR="00DA27C8" w:rsidRPr="00247126" w:rsidRDefault="00554326">
            <w:pPr>
              <w:pStyle w:val="TableText"/>
            </w:pPr>
            <w:r w:rsidRPr="00247126">
              <w:t>OCTOBER ITT</w:t>
            </w:r>
          </w:p>
        </w:tc>
        <w:tc>
          <w:tcPr>
            <w:tcW w:w="707" w:type="pct"/>
            <w:tcMar>
              <w:left w:w="57" w:type="dxa"/>
              <w:right w:w="57" w:type="dxa"/>
            </w:tcMar>
          </w:tcPr>
          <w:p w14:paraId="4752A84C" w14:textId="7D6CD418" w:rsidR="00DA27C8" w:rsidRPr="00247126" w:rsidRDefault="008D2150">
            <w:pPr>
              <w:pStyle w:val="TableText"/>
            </w:pPr>
            <w:r w:rsidRPr="00247126">
              <w:t>12/600 (2.1)</w:t>
            </w:r>
          </w:p>
        </w:tc>
        <w:tc>
          <w:tcPr>
            <w:tcW w:w="707" w:type="pct"/>
            <w:tcMar>
              <w:left w:w="57" w:type="dxa"/>
              <w:right w:w="57" w:type="dxa"/>
            </w:tcMar>
          </w:tcPr>
          <w:p w14:paraId="490F53FC" w14:textId="53119A13" w:rsidR="00DA27C8" w:rsidRPr="00247126" w:rsidRDefault="008D2150">
            <w:pPr>
              <w:pStyle w:val="TableText"/>
            </w:pPr>
            <w:r w:rsidRPr="00247126">
              <w:t>17/601 (3.0)</w:t>
            </w:r>
          </w:p>
        </w:tc>
        <w:tc>
          <w:tcPr>
            <w:tcW w:w="789" w:type="pct"/>
            <w:tcMar>
              <w:left w:w="57" w:type="dxa"/>
              <w:right w:w="57" w:type="dxa"/>
            </w:tcMar>
          </w:tcPr>
          <w:p w14:paraId="6C15C55C" w14:textId="6550A065" w:rsidR="00DA27C8" w:rsidRPr="00247126" w:rsidRDefault="008D2150">
            <w:pPr>
              <w:pStyle w:val="TableText"/>
            </w:pPr>
            <w:r w:rsidRPr="00247126">
              <w:t>0.70 [0.34, 1.47]</w:t>
            </w:r>
          </w:p>
        </w:tc>
        <w:tc>
          <w:tcPr>
            <w:tcW w:w="597" w:type="pct"/>
            <w:tcMar>
              <w:left w:w="57" w:type="dxa"/>
              <w:right w:w="57" w:type="dxa"/>
            </w:tcMar>
          </w:tcPr>
          <w:p w14:paraId="1A4139F5" w14:textId="1BC9BFDD" w:rsidR="00DA27C8" w:rsidRPr="00247126" w:rsidRDefault="00B12939">
            <w:pPr>
              <w:pStyle w:val="TableText"/>
            </w:pPr>
            <w:r w:rsidRPr="00247126">
              <w:t>Moderate</w:t>
            </w:r>
          </w:p>
        </w:tc>
      </w:tr>
      <w:tr w:rsidR="00F760C4" w:rsidRPr="00247126" w14:paraId="05D8D759" w14:textId="77777777" w:rsidTr="00774BC4">
        <w:tc>
          <w:tcPr>
            <w:tcW w:w="942" w:type="pct"/>
            <w:tcBorders>
              <w:top w:val="nil"/>
            </w:tcBorders>
            <w:tcMar>
              <w:left w:w="57" w:type="dxa"/>
              <w:right w:w="57" w:type="dxa"/>
            </w:tcMar>
          </w:tcPr>
          <w:p w14:paraId="5BC81E6C" w14:textId="77777777" w:rsidR="00554326" w:rsidRPr="00247126" w:rsidRDefault="00554326" w:rsidP="00554326">
            <w:pPr>
              <w:pStyle w:val="TableText"/>
            </w:pPr>
          </w:p>
        </w:tc>
        <w:tc>
          <w:tcPr>
            <w:tcW w:w="1259" w:type="pct"/>
            <w:tcMar>
              <w:left w:w="57" w:type="dxa"/>
              <w:right w:w="57" w:type="dxa"/>
            </w:tcMar>
          </w:tcPr>
          <w:p w14:paraId="2743FB4A" w14:textId="00E2F531" w:rsidR="00554326" w:rsidRPr="00247126" w:rsidRDefault="00554326" w:rsidP="00554326">
            <w:pPr>
              <w:pStyle w:val="TableText"/>
            </w:pPr>
            <w:r w:rsidRPr="00247126">
              <w:t>ILUMIEN IV subgroup</w:t>
            </w:r>
          </w:p>
        </w:tc>
        <w:tc>
          <w:tcPr>
            <w:tcW w:w="707" w:type="pct"/>
            <w:tcMar>
              <w:left w:w="57" w:type="dxa"/>
              <w:right w:w="57" w:type="dxa"/>
            </w:tcMar>
          </w:tcPr>
          <w:p w14:paraId="760C087E" w14:textId="4144D74A" w:rsidR="00554326" w:rsidRPr="00247126" w:rsidRDefault="001F1ADA" w:rsidP="00554326">
            <w:pPr>
              <w:pStyle w:val="TableText"/>
            </w:pPr>
            <w:r w:rsidRPr="00247126">
              <w:t>0/40 (0)</w:t>
            </w:r>
          </w:p>
        </w:tc>
        <w:tc>
          <w:tcPr>
            <w:tcW w:w="707" w:type="pct"/>
            <w:tcMar>
              <w:left w:w="57" w:type="dxa"/>
              <w:right w:w="57" w:type="dxa"/>
            </w:tcMar>
          </w:tcPr>
          <w:p w14:paraId="46AEB5F8" w14:textId="0904037C" w:rsidR="00554326" w:rsidRPr="00247126" w:rsidRDefault="001F1ADA" w:rsidP="00554326">
            <w:pPr>
              <w:pStyle w:val="TableText"/>
            </w:pPr>
            <w:r w:rsidRPr="00247126">
              <w:t>0/43 (0)</w:t>
            </w:r>
          </w:p>
        </w:tc>
        <w:tc>
          <w:tcPr>
            <w:tcW w:w="789" w:type="pct"/>
            <w:tcMar>
              <w:left w:w="57" w:type="dxa"/>
              <w:right w:w="57" w:type="dxa"/>
            </w:tcMar>
          </w:tcPr>
          <w:p w14:paraId="3787D006" w14:textId="7A06581A" w:rsidR="00554326" w:rsidRPr="00247126" w:rsidRDefault="001F1ADA" w:rsidP="00554326">
            <w:pPr>
              <w:pStyle w:val="TableText"/>
            </w:pPr>
            <w:r w:rsidRPr="00247126">
              <w:t>NE</w:t>
            </w:r>
          </w:p>
        </w:tc>
        <w:tc>
          <w:tcPr>
            <w:tcW w:w="597" w:type="pct"/>
            <w:tcMar>
              <w:left w:w="57" w:type="dxa"/>
              <w:right w:w="57" w:type="dxa"/>
            </w:tcMar>
          </w:tcPr>
          <w:p w14:paraId="7044435A" w14:textId="0A064D1D" w:rsidR="00554326" w:rsidRPr="00247126" w:rsidRDefault="00050501" w:rsidP="00554326">
            <w:pPr>
              <w:pStyle w:val="TableText"/>
            </w:pPr>
            <w:r w:rsidRPr="00247126">
              <w:t>NR</w:t>
            </w:r>
          </w:p>
        </w:tc>
      </w:tr>
    </w:tbl>
    <w:p w14:paraId="1177BBFC" w14:textId="68C3E3D3" w:rsidR="00DF378E" w:rsidRPr="00247126" w:rsidRDefault="00CF043A" w:rsidP="00226EB4">
      <w:pPr>
        <w:pStyle w:val="Tablenotes0"/>
      </w:pPr>
      <w:r w:rsidRPr="00247126">
        <w:t xml:space="preserve">AG = angiogram; CI = confidence interval; HR = hazard ratio; ITT = intention-to-treat; </w:t>
      </w:r>
      <w:r w:rsidR="00750904" w:rsidRPr="00247126">
        <w:t xml:space="preserve">MACE = major adverse cardiac events; </w:t>
      </w:r>
      <w:r w:rsidRPr="00247126">
        <w:t xml:space="preserve">MI = myocardial infarction; NE = not estimated; </w:t>
      </w:r>
      <w:r w:rsidR="00E97E58" w:rsidRPr="00247126">
        <w:t xml:space="preserve">NR = not reported; </w:t>
      </w:r>
      <w:r w:rsidRPr="00247126">
        <w:t>OCT</w:t>
      </w:r>
      <w:r w:rsidR="00C829F0" w:rsidRPr="00247126">
        <w:t xml:space="preserve"> =</w:t>
      </w:r>
      <w:r w:rsidRPr="00247126">
        <w:t xml:space="preserve"> optical coherence tomography</w:t>
      </w:r>
      <w:r w:rsidR="00EA71F8" w:rsidRPr="00247126">
        <w:t xml:space="preserve">; </w:t>
      </w:r>
      <w:r w:rsidR="008C1015" w:rsidRPr="00247126">
        <w:t xml:space="preserve">TLR = target lesion revascularisation; </w:t>
      </w:r>
      <w:r w:rsidR="00EA71F8" w:rsidRPr="00247126">
        <w:t>TVF = target vessel failure</w:t>
      </w:r>
      <w:r w:rsidR="008C1015" w:rsidRPr="00247126">
        <w:t>; TVR = target vessel revascularisation.</w:t>
      </w:r>
    </w:p>
    <w:p w14:paraId="45B795FE" w14:textId="63909441" w:rsidR="00DD7D9D" w:rsidRPr="00247126" w:rsidRDefault="00CB4A37" w:rsidP="00226EB4">
      <w:pPr>
        <w:pStyle w:val="Tablenotes0"/>
      </w:pPr>
      <w:r w:rsidRPr="00247126">
        <w:t>a</w:t>
      </w:r>
      <w:r w:rsidR="006F5650" w:rsidRPr="00247126">
        <w:t xml:space="preserve"> </w:t>
      </w:r>
      <w:r w:rsidR="00FB24CE" w:rsidRPr="00247126">
        <w:t xml:space="preserve">TVF, defined as </w:t>
      </w:r>
      <w:r w:rsidR="00420F91" w:rsidRPr="00247126">
        <w:t xml:space="preserve">a composite of </w:t>
      </w:r>
      <w:r w:rsidR="00FB24CE" w:rsidRPr="00247126">
        <w:t xml:space="preserve">death from </w:t>
      </w:r>
      <w:r w:rsidR="008A3067" w:rsidRPr="00247126">
        <w:t xml:space="preserve">a </w:t>
      </w:r>
      <w:r w:rsidR="00FB24CE" w:rsidRPr="00247126">
        <w:t xml:space="preserve">cardiac cause, target vessel </w:t>
      </w:r>
      <w:r w:rsidR="000A7D93" w:rsidRPr="00247126">
        <w:t>MI</w:t>
      </w:r>
      <w:r w:rsidR="00FB24CE" w:rsidRPr="00247126">
        <w:t xml:space="preserve">, or </w:t>
      </w:r>
      <w:proofErr w:type="gramStart"/>
      <w:r w:rsidR="00FB24CE" w:rsidRPr="00247126">
        <w:t>ischemia-driven</w:t>
      </w:r>
      <w:proofErr w:type="gramEnd"/>
      <w:r w:rsidR="00FB24CE" w:rsidRPr="00247126">
        <w:t xml:space="preserve"> </w:t>
      </w:r>
      <w:r w:rsidR="000A7D93" w:rsidRPr="00247126">
        <w:t>TVR</w:t>
      </w:r>
      <w:r w:rsidR="00FB24CE" w:rsidRPr="00247126">
        <w:t>.</w:t>
      </w:r>
    </w:p>
    <w:p w14:paraId="2404F9C0" w14:textId="74E63D02" w:rsidR="000F673E" w:rsidRPr="00247126" w:rsidRDefault="00CB4A37" w:rsidP="00226EB4">
      <w:pPr>
        <w:pStyle w:val="Tablenotes0"/>
      </w:pPr>
      <w:r w:rsidRPr="00247126">
        <w:t>b</w:t>
      </w:r>
      <w:r w:rsidR="006F5650" w:rsidRPr="00247126">
        <w:t xml:space="preserve"> </w:t>
      </w:r>
      <w:r w:rsidR="000F673E" w:rsidRPr="00247126">
        <w:t xml:space="preserve">MACE, defined as </w:t>
      </w:r>
      <w:r w:rsidR="00420F91" w:rsidRPr="00247126">
        <w:t xml:space="preserve">a composite of </w:t>
      </w:r>
      <w:r w:rsidR="000F673E" w:rsidRPr="00247126">
        <w:t xml:space="preserve">death from a cardiac cause, target lesion </w:t>
      </w:r>
      <w:r w:rsidR="008A3067" w:rsidRPr="00247126">
        <w:t>MI</w:t>
      </w:r>
      <w:r w:rsidR="000F673E" w:rsidRPr="00247126">
        <w:t xml:space="preserve">, or ischemia-driven </w:t>
      </w:r>
      <w:r w:rsidR="008A3067" w:rsidRPr="00247126">
        <w:t>TLR</w:t>
      </w:r>
      <w:r w:rsidR="000F673E" w:rsidRPr="00247126">
        <w:t>.</w:t>
      </w:r>
    </w:p>
    <w:p w14:paraId="3DD943A0" w14:textId="304C7C34" w:rsidR="00F24B8E" w:rsidRPr="00247126" w:rsidRDefault="00F24B8E" w:rsidP="00226EB4">
      <w:pPr>
        <w:pStyle w:val="Tablenotes0"/>
      </w:pPr>
      <w:r w:rsidRPr="00247126">
        <w:t>Note</w:t>
      </w:r>
      <w:r w:rsidR="00CD6BC2" w:rsidRPr="00247126">
        <w:t>s</w:t>
      </w:r>
      <w:r w:rsidRPr="00247126">
        <w:t xml:space="preserve">: </w:t>
      </w:r>
      <w:r w:rsidR="00CD6BC2" w:rsidRPr="00247126">
        <w:t>R</w:t>
      </w:r>
      <w:r w:rsidRPr="00247126">
        <w:t>esults in bold are statistically significant.</w:t>
      </w:r>
      <w:r w:rsidR="004D68CC" w:rsidRPr="00247126">
        <w:t xml:space="preserve"> </w:t>
      </w:r>
      <w:r w:rsidR="00BB0378" w:rsidRPr="00247126">
        <w:t>E</w:t>
      </w:r>
      <w:r w:rsidR="00F33841" w:rsidRPr="00247126">
        <w:t xml:space="preserve">stimated percentages were calculated </w:t>
      </w:r>
      <w:r w:rsidR="00BB0378" w:rsidRPr="00247126">
        <w:t>from</w:t>
      </w:r>
      <w:r w:rsidR="00F33841" w:rsidRPr="00247126">
        <w:t xml:space="preserve"> KM </w:t>
      </w:r>
      <w:r w:rsidR="00BB0378" w:rsidRPr="00247126">
        <w:t>curves.</w:t>
      </w:r>
      <w:r w:rsidR="00F33841" w:rsidRPr="00247126" w:rsidDel="00BB0378">
        <w:t xml:space="preserve"> </w:t>
      </w:r>
      <w:r w:rsidR="00F33841" w:rsidRPr="00247126">
        <w:t>The widths of the CIs have not been adjusted for multiplicity and should not be used to reject or not reject treatment effects.</w:t>
      </w:r>
    </w:p>
    <w:p w14:paraId="686166BB" w14:textId="0C66936D" w:rsidR="00CE0C3D" w:rsidRPr="00247126" w:rsidRDefault="00CE0C3D" w:rsidP="00226EB4">
      <w:pPr>
        <w:pStyle w:val="Tablenotes0"/>
      </w:pPr>
      <w:r w:rsidRPr="00247126">
        <w:t xml:space="preserve">Source: </w:t>
      </w:r>
      <w:r w:rsidR="00C05016" w:rsidRPr="00247126">
        <w:t xml:space="preserve">Compiled from </w:t>
      </w:r>
      <w:r w:rsidR="00691C7D" w:rsidRPr="00247126">
        <w:t xml:space="preserve">Table 34, </w:t>
      </w:r>
      <w:r w:rsidR="00B0339D" w:rsidRPr="00247126">
        <w:t xml:space="preserve">Table 35, </w:t>
      </w:r>
      <w:r w:rsidR="00DC457E" w:rsidRPr="00247126">
        <w:t xml:space="preserve">Table 36, </w:t>
      </w:r>
      <w:r w:rsidR="004A244D" w:rsidRPr="00247126">
        <w:t xml:space="preserve">Table 37, </w:t>
      </w:r>
      <w:r w:rsidR="00555ECF" w:rsidRPr="00247126">
        <w:t xml:space="preserve">Table </w:t>
      </w:r>
      <w:proofErr w:type="gramStart"/>
      <w:r w:rsidR="00555ECF" w:rsidRPr="00247126">
        <w:t>39</w:t>
      </w:r>
      <w:proofErr w:type="gramEnd"/>
      <w:r w:rsidR="00EB7742" w:rsidRPr="00247126">
        <w:t xml:space="preserve"> and</w:t>
      </w:r>
      <w:r w:rsidR="005B0E01" w:rsidRPr="00247126">
        <w:t xml:space="preserve"> Table 128</w:t>
      </w:r>
      <w:r w:rsidR="00EB7742" w:rsidRPr="00247126">
        <w:t xml:space="preserve"> of </w:t>
      </w:r>
      <w:r w:rsidRPr="00247126">
        <w:t xml:space="preserve">MSAC 1743 </w:t>
      </w:r>
      <w:proofErr w:type="spellStart"/>
      <w:r w:rsidRPr="00247126">
        <w:t>ADAR+in-line</w:t>
      </w:r>
      <w:proofErr w:type="spellEnd"/>
      <w:r w:rsidRPr="00247126">
        <w:t xml:space="preserve"> commentary</w:t>
      </w:r>
      <w:r w:rsidR="005B0E01" w:rsidRPr="00247126">
        <w:t>.</w:t>
      </w:r>
    </w:p>
    <w:p w14:paraId="76240B1E" w14:textId="34C3D252" w:rsidR="00043330" w:rsidRPr="00247126" w:rsidRDefault="00043330" w:rsidP="00043330">
      <w:r w:rsidRPr="00247126">
        <w:lastRenderedPageBreak/>
        <w:t xml:space="preserve">The numerical benefit in favour of OCT+AG versus AG alone in OCTOBER with respect to stent thrombosis was driven by a lower number of </w:t>
      </w:r>
      <w:r w:rsidR="00B874E8" w:rsidRPr="00247126">
        <w:t xml:space="preserve">events classified as </w:t>
      </w:r>
      <w:r w:rsidRPr="00247126">
        <w:t xml:space="preserve">‘possible’ </w:t>
      </w:r>
      <w:r w:rsidR="00B874E8" w:rsidRPr="00247126">
        <w:t>stent thrombosis</w:t>
      </w:r>
      <w:r w:rsidR="009732CE" w:rsidRPr="00247126">
        <w:t xml:space="preserve"> in the OCT+AG arm</w:t>
      </w:r>
      <w:r w:rsidR="008A4300" w:rsidRPr="00247126">
        <w:t xml:space="preserve"> </w:t>
      </w:r>
      <w:r w:rsidR="00846DF8" w:rsidRPr="00247126">
        <w:t xml:space="preserve">compared </w:t>
      </w:r>
      <w:r w:rsidR="0032333B" w:rsidRPr="00247126">
        <w:t>with</w:t>
      </w:r>
      <w:r w:rsidR="00846DF8" w:rsidRPr="00247126">
        <w:t xml:space="preserve"> the AG alone arm </w:t>
      </w:r>
      <w:r w:rsidR="0032333B" w:rsidRPr="00247126">
        <w:t>(</w:t>
      </w:r>
      <w:r w:rsidR="00846DF8" w:rsidRPr="00247126">
        <w:t xml:space="preserve">7 </w:t>
      </w:r>
      <w:r w:rsidR="00677DFD" w:rsidRPr="00247126">
        <w:t xml:space="preserve">vs. </w:t>
      </w:r>
      <w:r w:rsidR="00846DF8" w:rsidRPr="00247126">
        <w:t>12)</w:t>
      </w:r>
      <w:r w:rsidRPr="00247126">
        <w:t xml:space="preserve">; </w:t>
      </w:r>
      <w:r w:rsidR="005C11EF" w:rsidRPr="00247126">
        <w:t>both arms had</w:t>
      </w:r>
      <w:r w:rsidRPr="00247126">
        <w:t xml:space="preserve"> five ‘definite’ or ‘probable’ stent thrombosis events.</w:t>
      </w:r>
      <w:r w:rsidR="00416E3D" w:rsidRPr="00247126">
        <w:t xml:space="preserve"> Notably, </w:t>
      </w:r>
      <w:r w:rsidR="008D2353" w:rsidRPr="00247126">
        <w:t xml:space="preserve">ILLUMIEN IV and OCTIVUS </w:t>
      </w:r>
      <w:r w:rsidR="00FE61DF" w:rsidRPr="00247126">
        <w:t xml:space="preserve">only </w:t>
      </w:r>
      <w:r w:rsidR="00B110B4" w:rsidRPr="00247126">
        <w:t>captured</w:t>
      </w:r>
      <w:r w:rsidR="00FE61DF" w:rsidRPr="00247126">
        <w:t xml:space="preserve"> ‘definite’ or ‘probable’ stent thrombosis</w:t>
      </w:r>
      <w:r w:rsidR="00B110B4" w:rsidRPr="00247126">
        <w:t xml:space="preserve"> events</w:t>
      </w:r>
      <w:r w:rsidR="00FE61DF" w:rsidRPr="00247126">
        <w:t>.</w:t>
      </w:r>
    </w:p>
    <w:p w14:paraId="784997E8" w14:textId="4E0A35D8" w:rsidR="000D07AD" w:rsidRPr="00247126" w:rsidRDefault="000D07AD" w:rsidP="00043330">
      <w:r w:rsidRPr="00247126">
        <w:t xml:space="preserve">For completeness, the ADAR conducted indicative meta-analyses of OCTOBER and ILUMIEN IV bifurcation subgroup data where possible. The commentary considered that differences in outcome definitions and populations introduced uncertainty and the meta-analyses are not shown in </w:t>
      </w:r>
      <w:r w:rsidRPr="00247126">
        <w:fldChar w:fldCharType="begin"/>
      </w:r>
      <w:r w:rsidRPr="00247126">
        <w:instrText xml:space="preserve"> REF _Ref163561151 \h  \* MERGEFORMAT </w:instrText>
      </w:r>
      <w:r w:rsidRPr="00247126">
        <w:fldChar w:fldCharType="separate"/>
      </w:r>
      <w:r w:rsidR="00151E03" w:rsidRPr="00247126">
        <w:t xml:space="preserve">Table </w:t>
      </w:r>
      <w:r w:rsidR="00151E03" w:rsidRPr="00247126">
        <w:rPr>
          <w:noProof/>
        </w:rPr>
        <w:t>9</w:t>
      </w:r>
      <w:r w:rsidRPr="00247126">
        <w:fldChar w:fldCharType="end"/>
      </w:r>
      <w:r w:rsidRPr="00247126">
        <w:t xml:space="preserve"> or </w:t>
      </w:r>
      <w:r w:rsidRPr="00247126">
        <w:fldChar w:fldCharType="begin"/>
      </w:r>
      <w:r w:rsidRPr="00247126">
        <w:instrText xml:space="preserve"> REF _Ref163590097 \h </w:instrText>
      </w:r>
      <w:r w:rsidR="00C567A2" w:rsidRPr="00247126">
        <w:instrText xml:space="preserve"> \* MERGEFORMAT </w:instrText>
      </w:r>
      <w:r w:rsidRPr="00247126">
        <w:fldChar w:fldCharType="separate"/>
      </w:r>
      <w:r w:rsidR="00151E03" w:rsidRPr="00247126">
        <w:t xml:space="preserve">Figure </w:t>
      </w:r>
      <w:r w:rsidR="00151E03" w:rsidRPr="00247126">
        <w:rPr>
          <w:noProof/>
        </w:rPr>
        <w:t>1</w:t>
      </w:r>
      <w:r w:rsidRPr="00247126">
        <w:fldChar w:fldCharType="end"/>
      </w:r>
      <w:r w:rsidRPr="00247126">
        <w:t>.</w:t>
      </w:r>
    </w:p>
    <w:p w14:paraId="18F6B06B" w14:textId="48B08B78" w:rsidR="000D6636" w:rsidRPr="00247126" w:rsidRDefault="000D6636" w:rsidP="000D6636">
      <w:pPr>
        <w:pStyle w:val="Caption"/>
      </w:pPr>
      <w:bookmarkStart w:id="22" w:name="_Ref163590097"/>
      <w:r w:rsidRPr="00247126">
        <w:t xml:space="preserve">Figure </w:t>
      </w:r>
      <w:r w:rsidRPr="00247126">
        <w:fldChar w:fldCharType="begin"/>
      </w:r>
      <w:r w:rsidRPr="00247126">
        <w:instrText xml:space="preserve"> SEQ Figure \* ARABIC </w:instrText>
      </w:r>
      <w:r w:rsidRPr="00247126">
        <w:fldChar w:fldCharType="separate"/>
      </w:r>
      <w:r w:rsidR="00151E03" w:rsidRPr="00247126">
        <w:rPr>
          <w:noProof/>
        </w:rPr>
        <w:t>1</w:t>
      </w:r>
      <w:r w:rsidRPr="00247126">
        <w:rPr>
          <w:noProof/>
        </w:rPr>
        <w:fldChar w:fldCharType="end"/>
      </w:r>
      <w:bookmarkEnd w:id="22"/>
      <w:r w:rsidR="002309A9" w:rsidRPr="00247126">
        <w:tab/>
        <w:t xml:space="preserve">Forest plot of key effectiveness outcomes for the bifurcation </w:t>
      </w:r>
      <w:proofErr w:type="gramStart"/>
      <w:r w:rsidR="002309A9" w:rsidRPr="00247126">
        <w:t>subpopulation</w:t>
      </w:r>
      <w:proofErr w:type="gramEnd"/>
    </w:p>
    <w:p w14:paraId="18B3C477" w14:textId="1AD4D5DF" w:rsidR="002309A9" w:rsidRPr="00247126" w:rsidRDefault="00A34073" w:rsidP="00A34073">
      <w:pPr>
        <w:pBdr>
          <w:top w:val="single" w:sz="4" w:space="1" w:color="auto"/>
          <w:left w:val="single" w:sz="4" w:space="4" w:color="auto"/>
          <w:bottom w:val="single" w:sz="4" w:space="1" w:color="auto"/>
          <w:right w:val="single" w:sz="4" w:space="4" w:color="auto"/>
        </w:pBdr>
        <w:spacing w:after="0"/>
      </w:pPr>
      <w:r w:rsidRPr="00247126">
        <w:rPr>
          <w:noProof/>
        </w:rPr>
        <w:drawing>
          <wp:inline distT="0" distB="0" distL="0" distR="0" wp14:anchorId="721D93CA" wp14:editId="6FEA6034">
            <wp:extent cx="5731510" cy="3798570"/>
            <wp:effectExtent l="0" t="0" r="2540" b="0"/>
            <wp:docPr id="759702727" name="Picture 759702727" descr="This figure is a forest plot of key effectiveness outcomes for the bifurcation sub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02727" name="Picture 1" descr="This figure is a forest plot of key effectiveness outcomes for the bifurcation subpopul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798570"/>
                    </a:xfrm>
                    <a:prstGeom prst="rect">
                      <a:avLst/>
                    </a:prstGeom>
                    <a:noFill/>
                    <a:ln>
                      <a:noFill/>
                    </a:ln>
                  </pic:spPr>
                </pic:pic>
              </a:graphicData>
            </a:graphic>
          </wp:inline>
        </w:drawing>
      </w:r>
    </w:p>
    <w:p w14:paraId="042C8F3D" w14:textId="5C729E50" w:rsidR="00F60542" w:rsidRPr="00247126" w:rsidRDefault="00F60542" w:rsidP="00F60542">
      <w:pPr>
        <w:pStyle w:val="Tablenotes0"/>
      </w:pPr>
      <w:r w:rsidRPr="00247126">
        <w:t>AG</w:t>
      </w:r>
      <w:r w:rsidR="00E97A30" w:rsidRPr="00247126">
        <w:t xml:space="preserve"> =</w:t>
      </w:r>
      <w:r w:rsidRPr="00247126">
        <w:t xml:space="preserve"> angiogram; CI</w:t>
      </w:r>
      <w:r w:rsidR="00E97A30" w:rsidRPr="00247126">
        <w:t xml:space="preserve"> =</w:t>
      </w:r>
      <w:r w:rsidRPr="00247126">
        <w:t xml:space="preserve"> confidence interval; HR</w:t>
      </w:r>
      <w:r w:rsidR="00E97A30" w:rsidRPr="00247126">
        <w:t xml:space="preserve"> =</w:t>
      </w:r>
      <w:r w:rsidRPr="00247126">
        <w:t xml:space="preserve"> hazard ratio; IV</w:t>
      </w:r>
      <w:r w:rsidR="00E97A30" w:rsidRPr="00247126">
        <w:t xml:space="preserve"> =</w:t>
      </w:r>
      <w:r w:rsidRPr="00247126">
        <w:t xml:space="preserve"> inverse variance; MACE</w:t>
      </w:r>
      <w:r w:rsidR="00E97A30" w:rsidRPr="00247126">
        <w:t xml:space="preserve"> =</w:t>
      </w:r>
      <w:r w:rsidRPr="00247126">
        <w:t xml:space="preserve"> major adverse cardiac events; MI</w:t>
      </w:r>
      <w:r w:rsidR="00E97A30" w:rsidRPr="00247126">
        <w:t xml:space="preserve"> =</w:t>
      </w:r>
      <w:r w:rsidRPr="00247126">
        <w:t xml:space="preserve"> myocardial infarction; OCT</w:t>
      </w:r>
      <w:r w:rsidR="00E97A30" w:rsidRPr="00247126">
        <w:t xml:space="preserve"> =</w:t>
      </w:r>
      <w:r w:rsidRPr="00247126">
        <w:t xml:space="preserve"> optical coherence tomography; SE</w:t>
      </w:r>
      <w:r w:rsidR="00E97A30" w:rsidRPr="00247126">
        <w:t xml:space="preserve"> =</w:t>
      </w:r>
      <w:r w:rsidRPr="00247126">
        <w:t xml:space="preserve"> standard error; TLR</w:t>
      </w:r>
      <w:r w:rsidR="00E97A30" w:rsidRPr="00247126">
        <w:t xml:space="preserve"> =</w:t>
      </w:r>
      <w:r w:rsidRPr="00247126">
        <w:t xml:space="preserve"> target lesion revascularisation; TVF</w:t>
      </w:r>
      <w:r w:rsidR="00E97A30" w:rsidRPr="00247126">
        <w:t xml:space="preserve"> =</w:t>
      </w:r>
      <w:r w:rsidRPr="00247126">
        <w:t xml:space="preserve"> target vessel failure; TVR</w:t>
      </w:r>
      <w:r w:rsidR="00E97A30" w:rsidRPr="00247126">
        <w:t xml:space="preserve"> =</w:t>
      </w:r>
      <w:r w:rsidRPr="00247126">
        <w:t xml:space="preserve"> target vessel revascularisation. </w:t>
      </w:r>
    </w:p>
    <w:p w14:paraId="0F93099C" w14:textId="39CAAF73" w:rsidR="00F60542" w:rsidRPr="00247126" w:rsidRDefault="00F60542" w:rsidP="00F60542">
      <w:pPr>
        <w:pStyle w:val="Tablenotes0"/>
      </w:pPr>
      <w:r w:rsidRPr="00247126">
        <w:t>Note</w:t>
      </w:r>
      <w:r w:rsidR="00334549" w:rsidRPr="00247126">
        <w:t>s</w:t>
      </w:r>
      <w:r w:rsidRPr="00247126">
        <w:t xml:space="preserve">: </w:t>
      </w:r>
      <w:r w:rsidR="00A04B1E" w:rsidRPr="00247126">
        <w:t>S</w:t>
      </w:r>
      <w:r w:rsidRPr="00247126">
        <w:t xml:space="preserve">ome CIs may vary slightly from those in the ADAR due to calculations being performed in </w:t>
      </w:r>
      <w:proofErr w:type="spellStart"/>
      <w:r w:rsidRPr="00247126">
        <w:t>RevMan</w:t>
      </w:r>
      <w:proofErr w:type="spellEnd"/>
      <w:r w:rsidRPr="00247126">
        <w:t xml:space="preserve"> Web. The small differences do not change the interpretation of the data. Data are not shown for ILUMIEN IV for target lesion MI, cardiac death and stent thrombosis because there were no cases of cardiac death or stent thrombosis in either arm, </w:t>
      </w:r>
      <w:proofErr w:type="gramStart"/>
      <w:r w:rsidRPr="00247126">
        <w:t>and</w:t>
      </w:r>
      <w:proofErr w:type="gramEnd"/>
      <w:r w:rsidRPr="00247126">
        <w:t xml:space="preserve"> only one case of target lesion MI in the OCT+AG arm.</w:t>
      </w:r>
    </w:p>
    <w:p w14:paraId="045DB09A" w14:textId="2F3E2D16" w:rsidR="00F60542" w:rsidRPr="00247126" w:rsidRDefault="00F60542" w:rsidP="00F60542">
      <w:pPr>
        <w:pStyle w:val="Tablenotes0"/>
      </w:pPr>
      <w:r w:rsidRPr="00247126">
        <w:t>Source:</w:t>
      </w:r>
      <w:r w:rsidR="00D32E4A" w:rsidRPr="00247126">
        <w:t xml:space="preserve"> </w:t>
      </w:r>
      <w:r w:rsidR="00E97A30" w:rsidRPr="00247126">
        <w:t xml:space="preserve">Commentary Figure 1 </w:t>
      </w:r>
      <w:r w:rsidR="006951EC" w:rsidRPr="00247126">
        <w:t xml:space="preserve">of </w:t>
      </w:r>
      <w:r w:rsidR="00D32E4A" w:rsidRPr="00247126">
        <w:t xml:space="preserve">MSAC 1743 </w:t>
      </w:r>
      <w:proofErr w:type="spellStart"/>
      <w:r w:rsidR="00D32E4A" w:rsidRPr="00247126">
        <w:t>ADAR+in-line</w:t>
      </w:r>
      <w:proofErr w:type="spellEnd"/>
      <w:r w:rsidR="00D32E4A" w:rsidRPr="00247126">
        <w:t xml:space="preserve"> commentary</w:t>
      </w:r>
      <w:r w:rsidR="00F4247B" w:rsidRPr="00247126">
        <w:t>.</w:t>
      </w:r>
    </w:p>
    <w:p w14:paraId="48CD678D" w14:textId="617BC011" w:rsidR="00A434C9" w:rsidRPr="00247126" w:rsidRDefault="00A434C9" w:rsidP="00536372">
      <w:pPr>
        <w:pStyle w:val="Heading4"/>
      </w:pPr>
      <w:r w:rsidRPr="00247126">
        <w:t>Severe calcification</w:t>
      </w:r>
      <w:r w:rsidR="00387690" w:rsidRPr="00247126">
        <w:t xml:space="preserve"> subpopulation</w:t>
      </w:r>
      <w:r w:rsidR="006B6E6E" w:rsidRPr="00247126">
        <w:t xml:space="preserve"> </w:t>
      </w:r>
    </w:p>
    <w:p w14:paraId="002AE85D" w14:textId="5CDBE0AC" w:rsidR="003902EA" w:rsidRPr="00247126" w:rsidRDefault="00926E10" w:rsidP="003902EA">
      <w:r w:rsidRPr="00247126">
        <w:t xml:space="preserve">The key effectiveness outcomes at 2 years for the severe calcification subpopulation are presented in </w:t>
      </w:r>
      <w:r w:rsidRPr="00247126">
        <w:fldChar w:fldCharType="begin"/>
      </w:r>
      <w:r w:rsidRPr="00247126">
        <w:instrText xml:space="preserve"> REF _Ref163550724 \h </w:instrText>
      </w:r>
      <w:r w:rsidR="00C567A2" w:rsidRPr="00247126">
        <w:instrText xml:space="preserve"> \* MERGEFORMAT </w:instrText>
      </w:r>
      <w:r w:rsidRPr="00247126">
        <w:fldChar w:fldCharType="separate"/>
      </w:r>
      <w:r w:rsidR="00151E03" w:rsidRPr="00247126">
        <w:t xml:space="preserve">Table </w:t>
      </w:r>
      <w:r w:rsidR="00151E03" w:rsidRPr="00247126">
        <w:rPr>
          <w:noProof/>
        </w:rPr>
        <w:t>10</w:t>
      </w:r>
      <w:r w:rsidRPr="00247126">
        <w:fldChar w:fldCharType="end"/>
      </w:r>
      <w:r w:rsidR="00B221E8" w:rsidRPr="00247126">
        <w:t xml:space="preserve"> and </w:t>
      </w:r>
      <w:r w:rsidR="00B221E8" w:rsidRPr="00247126">
        <w:fldChar w:fldCharType="begin"/>
      </w:r>
      <w:r w:rsidR="00B221E8" w:rsidRPr="00247126">
        <w:instrText xml:space="preserve"> REF _Ref163591436 \h </w:instrText>
      </w:r>
      <w:r w:rsidR="00C567A2" w:rsidRPr="00247126">
        <w:instrText xml:space="preserve"> \* MERGEFORMAT </w:instrText>
      </w:r>
      <w:r w:rsidR="00B221E8" w:rsidRPr="00247126">
        <w:fldChar w:fldCharType="separate"/>
      </w:r>
      <w:r w:rsidR="00151E03" w:rsidRPr="00247126">
        <w:t xml:space="preserve">Figure </w:t>
      </w:r>
      <w:r w:rsidR="00151E03" w:rsidRPr="00247126">
        <w:rPr>
          <w:noProof/>
        </w:rPr>
        <w:t>2</w:t>
      </w:r>
      <w:r w:rsidR="00B221E8" w:rsidRPr="00247126">
        <w:fldChar w:fldCharType="end"/>
      </w:r>
      <w:r w:rsidRPr="00247126">
        <w:t xml:space="preserve">. </w:t>
      </w:r>
      <w:r w:rsidR="00020479" w:rsidRPr="00247126">
        <w:t xml:space="preserve">The ILUMIEN IV severe calcification subgroup was not adequately powered to show a statistically significant difference </w:t>
      </w:r>
      <w:r w:rsidR="00670E7C" w:rsidRPr="00247126">
        <w:t xml:space="preserve">between </w:t>
      </w:r>
      <w:r w:rsidR="00617A19" w:rsidRPr="00247126">
        <w:t>groups</w:t>
      </w:r>
      <w:r w:rsidR="00020479" w:rsidRPr="00247126">
        <w:t>.</w:t>
      </w:r>
    </w:p>
    <w:p w14:paraId="4F7BDDF3" w14:textId="7D9777E2" w:rsidR="00926455" w:rsidRPr="00247126" w:rsidRDefault="00926455" w:rsidP="00926455">
      <w:pPr>
        <w:pStyle w:val="Caption"/>
        <w:ind w:left="720" w:hanging="720"/>
      </w:pPr>
      <w:bookmarkStart w:id="23" w:name="_Ref163550724"/>
      <w:r w:rsidRPr="00247126">
        <w:lastRenderedPageBreak/>
        <w:t xml:space="preserve">Table </w:t>
      </w:r>
      <w:r w:rsidRPr="00247126">
        <w:fldChar w:fldCharType="begin"/>
      </w:r>
      <w:r w:rsidRPr="00247126">
        <w:instrText xml:space="preserve"> SEQ Table \* ARABIC </w:instrText>
      </w:r>
      <w:r w:rsidRPr="00247126">
        <w:fldChar w:fldCharType="separate"/>
      </w:r>
      <w:r w:rsidR="00151E03" w:rsidRPr="00247126">
        <w:rPr>
          <w:noProof/>
        </w:rPr>
        <w:t>10</w:t>
      </w:r>
      <w:r w:rsidRPr="00247126">
        <w:rPr>
          <w:noProof/>
        </w:rPr>
        <w:fldChar w:fldCharType="end"/>
      </w:r>
      <w:bookmarkEnd w:id="23"/>
      <w:r w:rsidRPr="00247126">
        <w:tab/>
        <w:t xml:space="preserve">Key effectiveness outcomes </w:t>
      </w:r>
      <w:r w:rsidR="00A251EB" w:rsidRPr="00247126">
        <w:t>at 2 years</w:t>
      </w:r>
      <w:r w:rsidRPr="00247126">
        <w:t>: OCT+AG v</w:t>
      </w:r>
      <w:r w:rsidR="008C66BB" w:rsidRPr="00247126">
        <w:t>ersu</w:t>
      </w:r>
      <w:r w:rsidRPr="00247126">
        <w:t>s AG alone – severe calcification subpopulation</w:t>
      </w:r>
    </w:p>
    <w:tbl>
      <w:tblPr>
        <w:tblStyle w:val="TableGrid"/>
        <w:tblW w:w="0" w:type="auto"/>
        <w:tblLook w:val="04A0" w:firstRow="1" w:lastRow="0" w:firstColumn="1" w:lastColumn="0" w:noHBand="0" w:noVBand="1"/>
        <w:tblCaption w:val="Key effectiveness outcomes at 2 years: OCT+AG versus AG alone – severe calcification subpopulation"/>
        <w:tblDescription w:val="This table summarises the key effectiveness outcomes at 2 years: OCT+AG versus AG alone for the severe calcification subpopulation."/>
      </w:tblPr>
      <w:tblGrid>
        <w:gridCol w:w="1879"/>
        <w:gridCol w:w="1944"/>
        <w:gridCol w:w="1275"/>
        <w:gridCol w:w="1276"/>
        <w:gridCol w:w="1559"/>
        <w:gridCol w:w="1083"/>
      </w:tblGrid>
      <w:tr w:rsidR="00926455" w:rsidRPr="00247126" w14:paraId="2BBCA0BD" w14:textId="101E6B73" w:rsidTr="00774BC4">
        <w:trPr>
          <w:tblHeader/>
        </w:trPr>
        <w:tc>
          <w:tcPr>
            <w:tcW w:w="1879" w:type="dxa"/>
            <w:tcMar>
              <w:left w:w="57" w:type="dxa"/>
              <w:right w:w="57" w:type="dxa"/>
            </w:tcMar>
          </w:tcPr>
          <w:p w14:paraId="5DFE86E5" w14:textId="77777777" w:rsidR="00926455" w:rsidRPr="00247126" w:rsidRDefault="00926455">
            <w:pPr>
              <w:pStyle w:val="TableHeading0"/>
            </w:pPr>
            <w:r w:rsidRPr="00247126">
              <w:t>Event</w:t>
            </w:r>
          </w:p>
        </w:tc>
        <w:tc>
          <w:tcPr>
            <w:tcW w:w="1944" w:type="dxa"/>
            <w:tcMar>
              <w:left w:w="57" w:type="dxa"/>
              <w:right w:w="57" w:type="dxa"/>
            </w:tcMar>
          </w:tcPr>
          <w:p w14:paraId="21E801F0" w14:textId="7BDD7BFE" w:rsidR="00027F58" w:rsidRPr="00247126" w:rsidRDefault="00DD5733">
            <w:pPr>
              <w:pStyle w:val="TableHeading0"/>
            </w:pPr>
            <w:r w:rsidRPr="00247126">
              <w:t>Evidence</w:t>
            </w:r>
          </w:p>
        </w:tc>
        <w:tc>
          <w:tcPr>
            <w:tcW w:w="1275" w:type="dxa"/>
            <w:tcMar>
              <w:left w:w="57" w:type="dxa"/>
              <w:right w:w="57" w:type="dxa"/>
            </w:tcMar>
          </w:tcPr>
          <w:p w14:paraId="30616C5C" w14:textId="2DC84CE3" w:rsidR="00926455" w:rsidRPr="00247126" w:rsidRDefault="00926455" w:rsidP="00052727">
            <w:pPr>
              <w:pStyle w:val="TableHeading0"/>
            </w:pPr>
            <w:r w:rsidRPr="00247126">
              <w:t>OCT+AG</w:t>
            </w:r>
            <w:r w:rsidR="00052727" w:rsidRPr="00247126">
              <w:br/>
            </w:r>
            <w:r w:rsidRPr="00247126">
              <w:t>n/N (%)</w:t>
            </w:r>
          </w:p>
        </w:tc>
        <w:tc>
          <w:tcPr>
            <w:tcW w:w="1276" w:type="dxa"/>
            <w:tcMar>
              <w:left w:w="57" w:type="dxa"/>
              <w:right w:w="57" w:type="dxa"/>
            </w:tcMar>
          </w:tcPr>
          <w:p w14:paraId="7D32E35A" w14:textId="3FE03C22" w:rsidR="00926455" w:rsidRPr="00247126" w:rsidRDefault="00926455" w:rsidP="00052727">
            <w:pPr>
              <w:pStyle w:val="TableHeading0"/>
            </w:pPr>
            <w:r w:rsidRPr="00247126">
              <w:t>AG alone</w:t>
            </w:r>
            <w:r w:rsidR="00052727" w:rsidRPr="00247126">
              <w:br/>
            </w:r>
            <w:r w:rsidRPr="00247126">
              <w:t>n/N (%)</w:t>
            </w:r>
          </w:p>
        </w:tc>
        <w:tc>
          <w:tcPr>
            <w:tcW w:w="1559" w:type="dxa"/>
            <w:tcMar>
              <w:left w:w="57" w:type="dxa"/>
              <w:right w:w="57" w:type="dxa"/>
            </w:tcMar>
          </w:tcPr>
          <w:p w14:paraId="1D825326" w14:textId="2991AE8C" w:rsidR="00926455" w:rsidRPr="00247126" w:rsidRDefault="00926455" w:rsidP="00052727">
            <w:pPr>
              <w:pStyle w:val="TableHeading0"/>
            </w:pPr>
            <w:r w:rsidRPr="00247126">
              <w:t>HR [95% CI]</w:t>
            </w:r>
            <w:r w:rsidR="00052727" w:rsidRPr="00247126">
              <w:br/>
              <w:t xml:space="preserve">HR </w:t>
            </w:r>
            <w:r w:rsidRPr="00247126">
              <w:t>&lt;1 favours OCT+AG</w:t>
            </w:r>
          </w:p>
        </w:tc>
        <w:tc>
          <w:tcPr>
            <w:tcW w:w="1083" w:type="dxa"/>
            <w:tcMar>
              <w:left w:w="57" w:type="dxa"/>
              <w:right w:w="57" w:type="dxa"/>
            </w:tcMar>
          </w:tcPr>
          <w:p w14:paraId="6D24C853" w14:textId="12158B9B" w:rsidR="00A5738B" w:rsidRPr="00247126" w:rsidRDefault="00E80C90">
            <w:pPr>
              <w:pStyle w:val="TableHeading0"/>
            </w:pPr>
            <w:r w:rsidRPr="00247126">
              <w:t>GRADE c</w:t>
            </w:r>
            <w:r w:rsidR="00A5738B" w:rsidRPr="00247126">
              <w:t>ertainty of evidence</w:t>
            </w:r>
          </w:p>
        </w:tc>
      </w:tr>
      <w:tr w:rsidR="00926455" w:rsidRPr="00247126" w14:paraId="0478E0E8" w14:textId="1BB18096" w:rsidTr="00774BC4">
        <w:tc>
          <w:tcPr>
            <w:tcW w:w="1879" w:type="dxa"/>
            <w:tcMar>
              <w:left w:w="57" w:type="dxa"/>
              <w:right w:w="57" w:type="dxa"/>
            </w:tcMar>
          </w:tcPr>
          <w:p w14:paraId="7E6F3485" w14:textId="3097913F" w:rsidR="00926455" w:rsidRPr="00247126" w:rsidRDefault="00413D9E">
            <w:pPr>
              <w:pStyle w:val="TableText"/>
            </w:pPr>
            <w:proofErr w:type="spellStart"/>
            <w:r w:rsidRPr="00247126">
              <w:t>TVF</w:t>
            </w:r>
            <w:r w:rsidR="008C4D0D" w:rsidRPr="00247126">
              <w:rPr>
                <w:vertAlign w:val="superscript"/>
              </w:rPr>
              <w:t>a</w:t>
            </w:r>
            <w:proofErr w:type="spellEnd"/>
            <w:r w:rsidR="00A5738B" w:rsidRPr="00247126">
              <w:t xml:space="preserve"> </w:t>
            </w:r>
          </w:p>
        </w:tc>
        <w:tc>
          <w:tcPr>
            <w:tcW w:w="1944" w:type="dxa"/>
            <w:tcMar>
              <w:left w:w="57" w:type="dxa"/>
              <w:right w:w="57" w:type="dxa"/>
            </w:tcMar>
          </w:tcPr>
          <w:p w14:paraId="15ED3869" w14:textId="3AE6C509" w:rsidR="00027F58" w:rsidRPr="00247126" w:rsidRDefault="00027F58">
            <w:pPr>
              <w:pStyle w:val="TableText"/>
            </w:pPr>
            <w:r w:rsidRPr="00247126">
              <w:t>ILUMIEN IV subgroup</w:t>
            </w:r>
          </w:p>
        </w:tc>
        <w:tc>
          <w:tcPr>
            <w:tcW w:w="1275" w:type="dxa"/>
            <w:tcMar>
              <w:left w:w="57" w:type="dxa"/>
              <w:right w:w="57" w:type="dxa"/>
            </w:tcMar>
          </w:tcPr>
          <w:p w14:paraId="0B3EC58F" w14:textId="49FD4FDA" w:rsidR="00926455" w:rsidRPr="00247126" w:rsidRDefault="00926455">
            <w:pPr>
              <w:pStyle w:val="TableText"/>
            </w:pPr>
            <w:r w:rsidRPr="00247126">
              <w:t>9/140 (6.4)</w:t>
            </w:r>
          </w:p>
        </w:tc>
        <w:tc>
          <w:tcPr>
            <w:tcW w:w="1276" w:type="dxa"/>
            <w:tcMar>
              <w:left w:w="57" w:type="dxa"/>
              <w:right w:w="57" w:type="dxa"/>
            </w:tcMar>
          </w:tcPr>
          <w:p w14:paraId="022DC084" w14:textId="77777777" w:rsidR="00926455" w:rsidRPr="00247126" w:rsidRDefault="00926455">
            <w:pPr>
              <w:pStyle w:val="TableText"/>
            </w:pPr>
            <w:r w:rsidRPr="00247126">
              <w:t>18/146 (12.3)</w:t>
            </w:r>
          </w:p>
        </w:tc>
        <w:tc>
          <w:tcPr>
            <w:tcW w:w="1559" w:type="dxa"/>
            <w:tcMar>
              <w:left w:w="57" w:type="dxa"/>
              <w:right w:w="57" w:type="dxa"/>
            </w:tcMar>
          </w:tcPr>
          <w:p w14:paraId="303F38F5" w14:textId="14F03880" w:rsidR="00926455" w:rsidRPr="00247126" w:rsidRDefault="00926455">
            <w:pPr>
              <w:pStyle w:val="TableText"/>
              <w:rPr>
                <w:vertAlign w:val="superscript"/>
              </w:rPr>
            </w:pPr>
            <w:r w:rsidRPr="00247126">
              <w:t>0.50 [0.23, 1.12]</w:t>
            </w:r>
          </w:p>
        </w:tc>
        <w:tc>
          <w:tcPr>
            <w:tcW w:w="1083" w:type="dxa"/>
            <w:tcMar>
              <w:left w:w="57" w:type="dxa"/>
              <w:right w:w="57" w:type="dxa"/>
            </w:tcMar>
          </w:tcPr>
          <w:p w14:paraId="0E633D6B" w14:textId="297951DC" w:rsidR="00A5738B" w:rsidRPr="00247126" w:rsidRDefault="008349B7">
            <w:pPr>
              <w:pStyle w:val="TableText"/>
            </w:pPr>
            <w:r w:rsidRPr="00247126">
              <w:t>Low</w:t>
            </w:r>
          </w:p>
        </w:tc>
      </w:tr>
      <w:tr w:rsidR="00926455" w:rsidRPr="00247126" w14:paraId="5FA4B72C" w14:textId="4FA347A3" w:rsidTr="00774BC4">
        <w:tc>
          <w:tcPr>
            <w:tcW w:w="1879" w:type="dxa"/>
            <w:tcMar>
              <w:left w:w="57" w:type="dxa"/>
              <w:right w:w="57" w:type="dxa"/>
            </w:tcMar>
          </w:tcPr>
          <w:p w14:paraId="2C58DCDB" w14:textId="5B8FB7BB" w:rsidR="00926455" w:rsidRPr="00247126" w:rsidRDefault="00F953CE">
            <w:pPr>
              <w:pStyle w:val="TableText"/>
            </w:pPr>
            <w:r w:rsidRPr="00247126">
              <w:t xml:space="preserve">Target vessel MI </w:t>
            </w:r>
          </w:p>
        </w:tc>
        <w:tc>
          <w:tcPr>
            <w:tcW w:w="1944" w:type="dxa"/>
            <w:tcMar>
              <w:left w:w="57" w:type="dxa"/>
              <w:right w:w="57" w:type="dxa"/>
            </w:tcMar>
          </w:tcPr>
          <w:p w14:paraId="774EE1E3" w14:textId="4221B5B9" w:rsidR="00027F58" w:rsidRPr="00247126" w:rsidRDefault="00027F58" w:rsidP="00F953CE">
            <w:pPr>
              <w:pStyle w:val="TableText"/>
            </w:pPr>
            <w:r w:rsidRPr="00247126">
              <w:t>ILUMIEN IV subgroup</w:t>
            </w:r>
          </w:p>
        </w:tc>
        <w:tc>
          <w:tcPr>
            <w:tcW w:w="1275" w:type="dxa"/>
            <w:tcMar>
              <w:left w:w="57" w:type="dxa"/>
              <w:right w:w="57" w:type="dxa"/>
            </w:tcMar>
          </w:tcPr>
          <w:p w14:paraId="681D765A" w14:textId="437EECCA" w:rsidR="00926455" w:rsidRPr="00247126" w:rsidRDefault="00F953CE">
            <w:pPr>
              <w:pStyle w:val="TableText"/>
            </w:pPr>
            <w:r w:rsidRPr="00247126">
              <w:t>3/140 (2.1)</w:t>
            </w:r>
          </w:p>
        </w:tc>
        <w:tc>
          <w:tcPr>
            <w:tcW w:w="1276" w:type="dxa"/>
            <w:tcMar>
              <w:left w:w="57" w:type="dxa"/>
              <w:right w:w="57" w:type="dxa"/>
            </w:tcMar>
          </w:tcPr>
          <w:p w14:paraId="4D524EC2" w14:textId="4A32CEF5" w:rsidR="00926455" w:rsidRPr="00247126" w:rsidRDefault="00F953CE">
            <w:pPr>
              <w:pStyle w:val="TableText"/>
            </w:pPr>
            <w:r w:rsidRPr="00247126">
              <w:t>7/146 (4.8)</w:t>
            </w:r>
          </w:p>
        </w:tc>
        <w:tc>
          <w:tcPr>
            <w:tcW w:w="1559" w:type="dxa"/>
            <w:tcMar>
              <w:left w:w="57" w:type="dxa"/>
              <w:right w:w="57" w:type="dxa"/>
            </w:tcMar>
          </w:tcPr>
          <w:p w14:paraId="69A4502D" w14:textId="1A3A60ED" w:rsidR="00926455" w:rsidRPr="00247126" w:rsidRDefault="00F953CE">
            <w:pPr>
              <w:pStyle w:val="TableText"/>
            </w:pPr>
            <w:r w:rsidRPr="00247126">
              <w:t>0.44 [0.11, 1.69]</w:t>
            </w:r>
          </w:p>
        </w:tc>
        <w:tc>
          <w:tcPr>
            <w:tcW w:w="1083" w:type="dxa"/>
            <w:tcMar>
              <w:left w:w="57" w:type="dxa"/>
              <w:right w:w="57" w:type="dxa"/>
            </w:tcMar>
          </w:tcPr>
          <w:p w14:paraId="3FF3C8F0" w14:textId="7AD7ED9A" w:rsidR="00A5738B" w:rsidRPr="00247126" w:rsidRDefault="00A83410" w:rsidP="00F953CE">
            <w:pPr>
              <w:pStyle w:val="TableText"/>
            </w:pPr>
            <w:r w:rsidRPr="00247126">
              <w:t>Low</w:t>
            </w:r>
          </w:p>
        </w:tc>
      </w:tr>
      <w:tr w:rsidR="00926455" w:rsidRPr="00247126" w14:paraId="64D32EBA" w14:textId="7B141FDD" w:rsidTr="00774BC4">
        <w:tc>
          <w:tcPr>
            <w:tcW w:w="1879" w:type="dxa"/>
            <w:tcMar>
              <w:left w:w="57" w:type="dxa"/>
              <w:right w:w="57" w:type="dxa"/>
            </w:tcMar>
          </w:tcPr>
          <w:p w14:paraId="4D13F13E" w14:textId="44E8B09C" w:rsidR="00926455" w:rsidRPr="00247126" w:rsidRDefault="00A5738B">
            <w:pPr>
              <w:pStyle w:val="TableText"/>
            </w:pPr>
            <w:r w:rsidRPr="00247126">
              <w:t xml:space="preserve">Ischemia-driven </w:t>
            </w:r>
            <w:r w:rsidR="00413D9E" w:rsidRPr="00247126">
              <w:t>TVR</w:t>
            </w:r>
          </w:p>
        </w:tc>
        <w:tc>
          <w:tcPr>
            <w:tcW w:w="1944" w:type="dxa"/>
            <w:tcMar>
              <w:left w:w="57" w:type="dxa"/>
              <w:right w:w="57" w:type="dxa"/>
            </w:tcMar>
          </w:tcPr>
          <w:p w14:paraId="59BA80F7" w14:textId="7B12F115" w:rsidR="00027F58" w:rsidRPr="00247126" w:rsidRDefault="00027F58" w:rsidP="00F6668F">
            <w:pPr>
              <w:pStyle w:val="TableText"/>
            </w:pPr>
            <w:r w:rsidRPr="00247126">
              <w:t>ILUMIEN IV subgroup</w:t>
            </w:r>
          </w:p>
        </w:tc>
        <w:tc>
          <w:tcPr>
            <w:tcW w:w="1275" w:type="dxa"/>
            <w:tcMar>
              <w:left w:w="57" w:type="dxa"/>
              <w:right w:w="57" w:type="dxa"/>
            </w:tcMar>
          </w:tcPr>
          <w:p w14:paraId="111AC4B2" w14:textId="4781CDA1" w:rsidR="00926455" w:rsidRPr="00247126" w:rsidRDefault="00F6668F">
            <w:pPr>
              <w:pStyle w:val="TableText"/>
            </w:pPr>
            <w:r w:rsidRPr="00247126">
              <w:t>6/140 (4.3)</w:t>
            </w:r>
          </w:p>
        </w:tc>
        <w:tc>
          <w:tcPr>
            <w:tcW w:w="1276" w:type="dxa"/>
            <w:tcMar>
              <w:left w:w="57" w:type="dxa"/>
              <w:right w:w="57" w:type="dxa"/>
            </w:tcMar>
          </w:tcPr>
          <w:p w14:paraId="4AF8AD17" w14:textId="1CA6BDBB" w:rsidR="00926455" w:rsidRPr="00247126" w:rsidRDefault="00F6668F">
            <w:pPr>
              <w:pStyle w:val="TableText"/>
            </w:pPr>
            <w:r w:rsidRPr="00247126">
              <w:t>10/146 (6.8)</w:t>
            </w:r>
          </w:p>
        </w:tc>
        <w:tc>
          <w:tcPr>
            <w:tcW w:w="1559" w:type="dxa"/>
            <w:tcMar>
              <w:left w:w="57" w:type="dxa"/>
              <w:right w:w="57" w:type="dxa"/>
            </w:tcMar>
          </w:tcPr>
          <w:p w14:paraId="41152FAF" w14:textId="43C98194" w:rsidR="00926455" w:rsidRPr="00247126" w:rsidRDefault="00F6668F">
            <w:pPr>
              <w:pStyle w:val="TableText"/>
            </w:pPr>
            <w:r w:rsidRPr="00247126">
              <w:t>0.61 [0.22, 1.69]</w:t>
            </w:r>
          </w:p>
        </w:tc>
        <w:tc>
          <w:tcPr>
            <w:tcW w:w="1083" w:type="dxa"/>
            <w:tcMar>
              <w:left w:w="57" w:type="dxa"/>
              <w:right w:w="57" w:type="dxa"/>
            </w:tcMar>
          </w:tcPr>
          <w:p w14:paraId="187EAB7C" w14:textId="315E7A3A" w:rsidR="00A5738B" w:rsidRPr="00247126" w:rsidRDefault="002A7637" w:rsidP="00F6668F">
            <w:pPr>
              <w:pStyle w:val="TableText"/>
            </w:pPr>
            <w:r w:rsidRPr="00247126">
              <w:t>Low</w:t>
            </w:r>
          </w:p>
        </w:tc>
      </w:tr>
      <w:tr w:rsidR="00926455" w:rsidRPr="00247126" w14:paraId="2F723FA0" w14:textId="2C4D9474" w:rsidTr="00774BC4">
        <w:tc>
          <w:tcPr>
            <w:tcW w:w="1879" w:type="dxa"/>
            <w:tcMar>
              <w:left w:w="57" w:type="dxa"/>
              <w:right w:w="57" w:type="dxa"/>
            </w:tcMar>
          </w:tcPr>
          <w:p w14:paraId="14B493D4" w14:textId="0F6546C0" w:rsidR="00926455" w:rsidRPr="00247126" w:rsidRDefault="00DE4AF6">
            <w:pPr>
              <w:pStyle w:val="TableText"/>
            </w:pPr>
            <w:r w:rsidRPr="00247126">
              <w:t xml:space="preserve">Cardiac death </w:t>
            </w:r>
          </w:p>
        </w:tc>
        <w:tc>
          <w:tcPr>
            <w:tcW w:w="1944" w:type="dxa"/>
            <w:tcMar>
              <w:left w:w="57" w:type="dxa"/>
              <w:right w:w="57" w:type="dxa"/>
            </w:tcMar>
          </w:tcPr>
          <w:p w14:paraId="10CC5F70" w14:textId="20B79E01" w:rsidR="00027F58" w:rsidRPr="00247126" w:rsidRDefault="00027F58" w:rsidP="00DE4AF6">
            <w:pPr>
              <w:pStyle w:val="TableText"/>
            </w:pPr>
            <w:r w:rsidRPr="00247126">
              <w:t>ILUMIEN IV subgroup</w:t>
            </w:r>
          </w:p>
        </w:tc>
        <w:tc>
          <w:tcPr>
            <w:tcW w:w="1275" w:type="dxa"/>
            <w:tcMar>
              <w:left w:w="57" w:type="dxa"/>
              <w:right w:w="57" w:type="dxa"/>
            </w:tcMar>
          </w:tcPr>
          <w:p w14:paraId="6E97E1F6" w14:textId="17682126" w:rsidR="00926455" w:rsidRPr="00247126" w:rsidRDefault="00DE4AF6">
            <w:pPr>
              <w:pStyle w:val="TableText"/>
            </w:pPr>
            <w:r w:rsidRPr="00247126">
              <w:t>3/140 (2.1)</w:t>
            </w:r>
          </w:p>
        </w:tc>
        <w:tc>
          <w:tcPr>
            <w:tcW w:w="1276" w:type="dxa"/>
            <w:tcMar>
              <w:left w:w="57" w:type="dxa"/>
              <w:right w:w="57" w:type="dxa"/>
            </w:tcMar>
          </w:tcPr>
          <w:p w14:paraId="53C4922D" w14:textId="3670EC31" w:rsidR="00926455" w:rsidRPr="00247126" w:rsidRDefault="00DE4AF6">
            <w:pPr>
              <w:pStyle w:val="TableText"/>
            </w:pPr>
            <w:r w:rsidRPr="00247126">
              <w:t>4/146 (2.7)</w:t>
            </w:r>
          </w:p>
        </w:tc>
        <w:tc>
          <w:tcPr>
            <w:tcW w:w="1559" w:type="dxa"/>
            <w:tcMar>
              <w:left w:w="57" w:type="dxa"/>
              <w:right w:w="57" w:type="dxa"/>
            </w:tcMar>
          </w:tcPr>
          <w:p w14:paraId="3728B345" w14:textId="2521E21A" w:rsidR="00926455" w:rsidRPr="00247126" w:rsidRDefault="00DE4AF6">
            <w:pPr>
              <w:pStyle w:val="TableText"/>
            </w:pPr>
            <w:r w:rsidRPr="00247126">
              <w:t>0.79 [0.18, 3.51]</w:t>
            </w:r>
          </w:p>
        </w:tc>
        <w:tc>
          <w:tcPr>
            <w:tcW w:w="1083" w:type="dxa"/>
            <w:tcMar>
              <w:left w:w="57" w:type="dxa"/>
              <w:right w:w="57" w:type="dxa"/>
            </w:tcMar>
          </w:tcPr>
          <w:p w14:paraId="4342110E" w14:textId="3FFB4203" w:rsidR="00A5738B" w:rsidRPr="00247126" w:rsidRDefault="00EA23F1" w:rsidP="00DE4AF6">
            <w:pPr>
              <w:pStyle w:val="TableText"/>
            </w:pPr>
            <w:r w:rsidRPr="00247126">
              <w:t>Low</w:t>
            </w:r>
          </w:p>
        </w:tc>
      </w:tr>
      <w:tr w:rsidR="00926455" w:rsidRPr="00247126" w14:paraId="33FD0226" w14:textId="7A0CB244" w:rsidTr="00774BC4">
        <w:tc>
          <w:tcPr>
            <w:tcW w:w="1879" w:type="dxa"/>
            <w:tcMar>
              <w:left w:w="57" w:type="dxa"/>
              <w:right w:w="57" w:type="dxa"/>
            </w:tcMar>
          </w:tcPr>
          <w:p w14:paraId="4CFFA3A2" w14:textId="338861E4" w:rsidR="00926455" w:rsidRPr="00247126" w:rsidRDefault="00095ABF">
            <w:pPr>
              <w:pStyle w:val="TableText"/>
            </w:pPr>
            <w:r w:rsidRPr="00247126">
              <w:t xml:space="preserve">Stent thrombosis </w:t>
            </w:r>
          </w:p>
        </w:tc>
        <w:tc>
          <w:tcPr>
            <w:tcW w:w="1944" w:type="dxa"/>
            <w:tcMar>
              <w:left w:w="57" w:type="dxa"/>
              <w:right w:w="57" w:type="dxa"/>
            </w:tcMar>
          </w:tcPr>
          <w:p w14:paraId="43DB8B75" w14:textId="3F354B14" w:rsidR="00027F58" w:rsidRPr="00247126" w:rsidRDefault="00027F58" w:rsidP="00095ABF">
            <w:pPr>
              <w:pStyle w:val="TableText"/>
            </w:pPr>
            <w:r w:rsidRPr="00247126">
              <w:t>ILUMIEN IV subgroup</w:t>
            </w:r>
          </w:p>
        </w:tc>
        <w:tc>
          <w:tcPr>
            <w:tcW w:w="1275" w:type="dxa"/>
            <w:tcMar>
              <w:left w:w="57" w:type="dxa"/>
              <w:right w:w="57" w:type="dxa"/>
            </w:tcMar>
          </w:tcPr>
          <w:p w14:paraId="063554C6" w14:textId="3AF77F4D" w:rsidR="00926455" w:rsidRPr="00247126" w:rsidRDefault="00095ABF">
            <w:pPr>
              <w:pStyle w:val="TableText"/>
            </w:pPr>
            <w:r w:rsidRPr="00247126">
              <w:t>1/140 (0.7)</w:t>
            </w:r>
          </w:p>
        </w:tc>
        <w:tc>
          <w:tcPr>
            <w:tcW w:w="1276" w:type="dxa"/>
            <w:tcMar>
              <w:left w:w="57" w:type="dxa"/>
              <w:right w:w="57" w:type="dxa"/>
            </w:tcMar>
          </w:tcPr>
          <w:p w14:paraId="4701D804" w14:textId="6B37E088" w:rsidR="00926455" w:rsidRPr="00247126" w:rsidRDefault="00095ABF">
            <w:pPr>
              <w:pStyle w:val="TableText"/>
            </w:pPr>
            <w:r w:rsidRPr="00247126">
              <w:t>0/146 (0)</w:t>
            </w:r>
          </w:p>
        </w:tc>
        <w:tc>
          <w:tcPr>
            <w:tcW w:w="1559" w:type="dxa"/>
            <w:tcMar>
              <w:left w:w="57" w:type="dxa"/>
              <w:right w:w="57" w:type="dxa"/>
            </w:tcMar>
          </w:tcPr>
          <w:p w14:paraId="2CC8F21D" w14:textId="59ADA73C" w:rsidR="00926455" w:rsidRPr="00247126" w:rsidRDefault="00095ABF">
            <w:pPr>
              <w:pStyle w:val="TableText"/>
            </w:pPr>
            <w:r w:rsidRPr="00247126">
              <w:t>NE</w:t>
            </w:r>
          </w:p>
        </w:tc>
        <w:tc>
          <w:tcPr>
            <w:tcW w:w="1083" w:type="dxa"/>
            <w:tcMar>
              <w:left w:w="57" w:type="dxa"/>
              <w:right w:w="57" w:type="dxa"/>
            </w:tcMar>
          </w:tcPr>
          <w:p w14:paraId="77262AEA" w14:textId="5547DB5B" w:rsidR="00A5738B" w:rsidRPr="00247126" w:rsidRDefault="00906E58" w:rsidP="00095ABF">
            <w:pPr>
              <w:pStyle w:val="TableText"/>
            </w:pPr>
            <w:r w:rsidRPr="00247126">
              <w:t>Low</w:t>
            </w:r>
          </w:p>
        </w:tc>
      </w:tr>
    </w:tbl>
    <w:p w14:paraId="1F2D1A27" w14:textId="27E43FC4" w:rsidR="000D18BB" w:rsidRPr="00247126" w:rsidRDefault="000D18BB" w:rsidP="001B135B">
      <w:pPr>
        <w:pStyle w:val="Tablenotes0"/>
      </w:pPr>
      <w:r w:rsidRPr="00247126">
        <w:t>AG</w:t>
      </w:r>
      <w:r w:rsidR="003524D8" w:rsidRPr="00247126">
        <w:t> =</w:t>
      </w:r>
      <w:r w:rsidRPr="00247126">
        <w:t xml:space="preserve"> angiogram; CI</w:t>
      </w:r>
      <w:r w:rsidR="003524D8" w:rsidRPr="00247126">
        <w:t> =</w:t>
      </w:r>
      <w:r w:rsidRPr="00247126">
        <w:t xml:space="preserve"> confidence interval; HR</w:t>
      </w:r>
      <w:r w:rsidR="003524D8" w:rsidRPr="00247126">
        <w:t xml:space="preserve"> =</w:t>
      </w:r>
      <w:r w:rsidRPr="00247126">
        <w:t xml:space="preserve"> hazard ratio; </w:t>
      </w:r>
      <w:r w:rsidR="00B21264" w:rsidRPr="00247126">
        <w:t>MI</w:t>
      </w:r>
      <w:r w:rsidR="003524D8" w:rsidRPr="00247126">
        <w:t xml:space="preserve"> =</w:t>
      </w:r>
      <w:r w:rsidR="00B21264" w:rsidRPr="00247126">
        <w:t xml:space="preserve"> myocardial infarction; </w:t>
      </w:r>
      <w:r w:rsidRPr="00247126">
        <w:t>OCT</w:t>
      </w:r>
      <w:r w:rsidR="003524D8" w:rsidRPr="00247126">
        <w:t xml:space="preserve"> =</w:t>
      </w:r>
      <w:r w:rsidRPr="00247126">
        <w:t xml:space="preserve"> optical coherence tomography</w:t>
      </w:r>
      <w:r w:rsidR="00413D9E" w:rsidRPr="00247126">
        <w:t>; T</w:t>
      </w:r>
      <w:r w:rsidR="001021DE" w:rsidRPr="00247126">
        <w:t>V</w:t>
      </w:r>
      <w:r w:rsidR="00413D9E" w:rsidRPr="00247126">
        <w:t xml:space="preserve">F = target </w:t>
      </w:r>
      <w:r w:rsidR="001021DE" w:rsidRPr="00247126">
        <w:t>vessel</w:t>
      </w:r>
      <w:r w:rsidR="00413D9E" w:rsidRPr="00247126">
        <w:t xml:space="preserve"> failure; </w:t>
      </w:r>
      <w:r w:rsidR="00397D3A" w:rsidRPr="00247126">
        <w:t>TVR = target vessel revascularisation</w:t>
      </w:r>
      <w:r w:rsidR="00A17581" w:rsidRPr="00247126">
        <w:t>.</w:t>
      </w:r>
    </w:p>
    <w:p w14:paraId="220649EF" w14:textId="7FA79FFD" w:rsidR="008C4D0D" w:rsidRPr="00247126" w:rsidRDefault="008C4D0D" w:rsidP="001B135B">
      <w:pPr>
        <w:pStyle w:val="Tablenotes0"/>
      </w:pPr>
      <w:r w:rsidRPr="00247126">
        <w:t xml:space="preserve">a TVF, defined as </w:t>
      </w:r>
      <w:r w:rsidR="000F34AB" w:rsidRPr="00247126">
        <w:t xml:space="preserve">a composite of </w:t>
      </w:r>
      <w:r w:rsidRPr="00247126">
        <w:t xml:space="preserve">death from a cardiac cause, target vessel MI, or </w:t>
      </w:r>
      <w:proofErr w:type="gramStart"/>
      <w:r w:rsidRPr="00247126">
        <w:t>ischemia-driven</w:t>
      </w:r>
      <w:proofErr w:type="gramEnd"/>
      <w:r w:rsidRPr="00247126">
        <w:t xml:space="preserve"> TVR.</w:t>
      </w:r>
    </w:p>
    <w:p w14:paraId="1B764472" w14:textId="3D0EC40F" w:rsidR="00F953CE" w:rsidRPr="00247126" w:rsidRDefault="00F953CE" w:rsidP="001B135B">
      <w:pPr>
        <w:pStyle w:val="Tablenotes0"/>
      </w:pPr>
      <w:r w:rsidRPr="00247126">
        <w:t xml:space="preserve">Note: </w:t>
      </w:r>
      <w:r w:rsidR="00D96D58" w:rsidRPr="00247126">
        <w:t>Estimated percentages were calculated from KM curves. The widths of the CIs have not been adjusted for multiplicity and should not be used to reject or not reject treatment effects.</w:t>
      </w:r>
    </w:p>
    <w:p w14:paraId="1E41C4F3" w14:textId="0C459FEA" w:rsidR="008C7DAE" w:rsidRPr="00247126" w:rsidRDefault="00612A83" w:rsidP="001B135B">
      <w:pPr>
        <w:pStyle w:val="Tablenotes0"/>
      </w:pPr>
      <w:r w:rsidRPr="00247126">
        <w:t xml:space="preserve">Source: Table 42, </w:t>
      </w:r>
      <w:r w:rsidR="00B21264" w:rsidRPr="00247126">
        <w:t xml:space="preserve">Table 43, </w:t>
      </w:r>
      <w:r w:rsidR="00416B77" w:rsidRPr="00247126">
        <w:t xml:space="preserve">Table 44, </w:t>
      </w:r>
      <w:r w:rsidR="00662F2F" w:rsidRPr="00247126">
        <w:t>Table 45</w:t>
      </w:r>
      <w:r w:rsidR="008C7DAE" w:rsidRPr="00247126">
        <w:t xml:space="preserve">, Table </w:t>
      </w:r>
      <w:proofErr w:type="gramStart"/>
      <w:r w:rsidR="008C7DAE" w:rsidRPr="00247126">
        <w:t>46</w:t>
      </w:r>
      <w:proofErr w:type="gramEnd"/>
      <w:r w:rsidR="004D3A73" w:rsidRPr="00247126">
        <w:t xml:space="preserve"> a</w:t>
      </w:r>
      <w:r w:rsidR="00DA36CF" w:rsidRPr="00247126">
        <w:t>nd Table 129</w:t>
      </w:r>
      <w:r w:rsidR="002B7D5D" w:rsidRPr="00247126">
        <w:t xml:space="preserve"> </w:t>
      </w:r>
      <w:r w:rsidR="006951EC" w:rsidRPr="00247126">
        <w:t xml:space="preserve">of </w:t>
      </w:r>
      <w:r w:rsidRPr="00247126">
        <w:t xml:space="preserve">MSAC 1743 </w:t>
      </w:r>
      <w:proofErr w:type="spellStart"/>
      <w:r w:rsidRPr="00247126">
        <w:t>ADAR+in-line</w:t>
      </w:r>
      <w:proofErr w:type="spellEnd"/>
      <w:r w:rsidRPr="00247126">
        <w:t xml:space="preserve"> commentary</w:t>
      </w:r>
      <w:r w:rsidR="00DA36CF" w:rsidRPr="00247126">
        <w:t>.</w:t>
      </w:r>
    </w:p>
    <w:p w14:paraId="1B6B3583" w14:textId="492DDFC0" w:rsidR="00546781" w:rsidRPr="00247126" w:rsidRDefault="00B221E8" w:rsidP="00546781">
      <w:pPr>
        <w:pStyle w:val="Caption"/>
      </w:pPr>
      <w:bookmarkStart w:id="24" w:name="_Ref163591436"/>
      <w:r w:rsidRPr="00247126">
        <w:t xml:space="preserve">Figure </w:t>
      </w:r>
      <w:r w:rsidRPr="00247126">
        <w:fldChar w:fldCharType="begin"/>
      </w:r>
      <w:r w:rsidRPr="00247126">
        <w:instrText xml:space="preserve"> SEQ Figure \* ARABIC </w:instrText>
      </w:r>
      <w:r w:rsidRPr="00247126">
        <w:fldChar w:fldCharType="separate"/>
      </w:r>
      <w:r w:rsidR="00151E03" w:rsidRPr="00247126">
        <w:rPr>
          <w:noProof/>
        </w:rPr>
        <w:t>2</w:t>
      </w:r>
      <w:r w:rsidRPr="00247126">
        <w:rPr>
          <w:noProof/>
        </w:rPr>
        <w:fldChar w:fldCharType="end"/>
      </w:r>
      <w:bookmarkEnd w:id="24"/>
      <w:r w:rsidRPr="00247126">
        <w:tab/>
        <w:t xml:space="preserve">Forest plot of key </w:t>
      </w:r>
      <w:r w:rsidR="00A0388D" w:rsidRPr="00247126">
        <w:t xml:space="preserve">effectiveness </w:t>
      </w:r>
      <w:r w:rsidR="00546781" w:rsidRPr="00247126">
        <w:t xml:space="preserve">outcomes for the severe calcification </w:t>
      </w:r>
      <w:proofErr w:type="gramStart"/>
      <w:r w:rsidR="00546781" w:rsidRPr="00247126">
        <w:t>sub</w:t>
      </w:r>
      <w:r w:rsidR="00F245FE" w:rsidRPr="00247126">
        <w:t>population</w:t>
      </w:r>
      <w:proofErr w:type="gramEnd"/>
    </w:p>
    <w:p w14:paraId="05FDF3A8" w14:textId="16D51D51" w:rsidR="008C7DAE" w:rsidRPr="00247126" w:rsidRDefault="008C7DAE" w:rsidP="00F95276">
      <w:pPr>
        <w:pStyle w:val="Tablenotes0"/>
        <w:pBdr>
          <w:top w:val="single" w:sz="4" w:space="1" w:color="auto"/>
          <w:left w:val="single" w:sz="4" w:space="4" w:color="auto"/>
          <w:bottom w:val="single" w:sz="4" w:space="1" w:color="auto"/>
          <w:right w:val="single" w:sz="4" w:space="4" w:color="auto"/>
        </w:pBdr>
        <w:spacing w:after="0"/>
      </w:pPr>
      <w:r w:rsidRPr="00247126">
        <w:rPr>
          <w:noProof/>
        </w:rPr>
        <w:drawing>
          <wp:inline distT="0" distB="0" distL="0" distR="0" wp14:anchorId="7FF7259C" wp14:editId="72424CFF">
            <wp:extent cx="5730875" cy="2402006"/>
            <wp:effectExtent l="0" t="0" r="3175" b="0"/>
            <wp:docPr id="1457839966" name="Picture 1457839966" descr="This figure is a forest plot of key effectiveness outcomes for the severe calcification sub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39966" name="Picture 1" descr="This figure is a forest plot of key effectiveness outcomes for the severe calcification subpopul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2402006"/>
                    </a:xfrm>
                    <a:prstGeom prst="rect">
                      <a:avLst/>
                    </a:prstGeom>
                    <a:noFill/>
                  </pic:spPr>
                </pic:pic>
              </a:graphicData>
            </a:graphic>
          </wp:inline>
        </w:drawing>
      </w:r>
    </w:p>
    <w:p w14:paraId="098FBE99" w14:textId="38EF4940" w:rsidR="002A123B" w:rsidRPr="00247126" w:rsidRDefault="002A123B" w:rsidP="002A123B">
      <w:pPr>
        <w:pStyle w:val="Tablenotes0"/>
      </w:pPr>
      <w:r w:rsidRPr="00247126">
        <w:t>AG</w:t>
      </w:r>
      <w:r w:rsidR="00A0388D" w:rsidRPr="00247126">
        <w:t xml:space="preserve"> =</w:t>
      </w:r>
      <w:r w:rsidRPr="00247126">
        <w:t xml:space="preserve"> angiogram; CI</w:t>
      </w:r>
      <w:r w:rsidR="00A0388D" w:rsidRPr="00247126">
        <w:t xml:space="preserve"> =</w:t>
      </w:r>
      <w:r w:rsidRPr="00247126">
        <w:t xml:space="preserve"> confidence interval; HR</w:t>
      </w:r>
      <w:r w:rsidR="00A0388D" w:rsidRPr="00247126">
        <w:t xml:space="preserve"> =</w:t>
      </w:r>
      <w:r w:rsidRPr="00247126">
        <w:t xml:space="preserve"> hazard ratio; IV</w:t>
      </w:r>
      <w:r w:rsidR="00A0388D" w:rsidRPr="00247126">
        <w:t xml:space="preserve"> =</w:t>
      </w:r>
      <w:r w:rsidRPr="00247126">
        <w:t xml:space="preserve"> inverse variance; MI</w:t>
      </w:r>
      <w:r w:rsidR="00A0388D" w:rsidRPr="00247126">
        <w:t xml:space="preserve"> =</w:t>
      </w:r>
      <w:r w:rsidRPr="00247126">
        <w:t xml:space="preserve"> myocardial infarction; OCT</w:t>
      </w:r>
      <w:r w:rsidR="00A0388D" w:rsidRPr="00247126">
        <w:t xml:space="preserve"> =</w:t>
      </w:r>
      <w:r w:rsidRPr="00247126">
        <w:t xml:space="preserve"> optical coherence tomography; SE</w:t>
      </w:r>
      <w:r w:rsidR="00A0388D" w:rsidRPr="00247126">
        <w:t xml:space="preserve"> =</w:t>
      </w:r>
      <w:r w:rsidRPr="00247126">
        <w:t xml:space="preserve"> standard error; TVF</w:t>
      </w:r>
      <w:r w:rsidR="00A0388D" w:rsidRPr="00247126">
        <w:t xml:space="preserve"> =</w:t>
      </w:r>
      <w:r w:rsidRPr="00247126">
        <w:t xml:space="preserve"> target vessel failure; TVR</w:t>
      </w:r>
      <w:r w:rsidR="00A0388D" w:rsidRPr="00247126">
        <w:t xml:space="preserve"> =</w:t>
      </w:r>
      <w:r w:rsidRPr="00247126">
        <w:t xml:space="preserve"> target vessel revascularisation.</w:t>
      </w:r>
    </w:p>
    <w:p w14:paraId="6A8F9FB6" w14:textId="0D215606" w:rsidR="002A123B" w:rsidRPr="00247126" w:rsidRDefault="002A123B" w:rsidP="002A123B">
      <w:pPr>
        <w:pStyle w:val="Tablenotes0"/>
      </w:pPr>
      <w:r w:rsidRPr="00247126">
        <w:t xml:space="preserve">Note: </w:t>
      </w:r>
      <w:r w:rsidR="008B1252" w:rsidRPr="00247126">
        <w:t>S</w:t>
      </w:r>
      <w:r w:rsidRPr="00247126">
        <w:t xml:space="preserve">ome CIs may vary slightly from those reported in the ADAR due to calculations being performed in </w:t>
      </w:r>
      <w:proofErr w:type="spellStart"/>
      <w:r w:rsidRPr="00247126">
        <w:t>RevMan</w:t>
      </w:r>
      <w:proofErr w:type="spellEnd"/>
      <w:r w:rsidRPr="00247126">
        <w:t xml:space="preserve"> Web. The small differences do not change the interpretation of the data. </w:t>
      </w:r>
      <w:r w:rsidR="00025155" w:rsidRPr="00247126">
        <w:t xml:space="preserve">Data are not shown for stent thrombosis </w:t>
      </w:r>
      <w:r w:rsidR="00C11563" w:rsidRPr="00247126">
        <w:t>because there was only one event</w:t>
      </w:r>
      <w:r w:rsidR="00025155" w:rsidRPr="00247126">
        <w:t>.</w:t>
      </w:r>
    </w:p>
    <w:p w14:paraId="78398F8A" w14:textId="4ED9DDE3" w:rsidR="002A123B" w:rsidRPr="00247126" w:rsidRDefault="002A123B" w:rsidP="002A123B">
      <w:pPr>
        <w:pStyle w:val="Tablenotes0"/>
      </w:pPr>
      <w:r w:rsidRPr="00247126">
        <w:t xml:space="preserve">Source: </w:t>
      </w:r>
      <w:r w:rsidR="00EE3A75" w:rsidRPr="00247126">
        <w:t xml:space="preserve">Commentary Figure 2 </w:t>
      </w:r>
      <w:r w:rsidR="006951EC" w:rsidRPr="00247126">
        <w:t xml:space="preserve">of </w:t>
      </w:r>
      <w:r w:rsidR="00CA2A2A" w:rsidRPr="00247126">
        <w:t xml:space="preserve">MSAC 1743 </w:t>
      </w:r>
      <w:proofErr w:type="spellStart"/>
      <w:r w:rsidR="00CA2A2A" w:rsidRPr="00247126">
        <w:t>ADAR+in-line</w:t>
      </w:r>
      <w:proofErr w:type="spellEnd"/>
      <w:r w:rsidR="00CA2A2A" w:rsidRPr="00247126">
        <w:t xml:space="preserve"> commentary.</w:t>
      </w:r>
    </w:p>
    <w:p w14:paraId="45332272" w14:textId="4667C03D" w:rsidR="00A434C9" w:rsidRPr="00247126" w:rsidRDefault="009B664C" w:rsidP="00803ED2">
      <w:pPr>
        <w:pStyle w:val="Heading4"/>
      </w:pPr>
      <w:r w:rsidRPr="00247126">
        <w:t>Stent failure</w:t>
      </w:r>
      <w:r w:rsidR="00387690" w:rsidRPr="00247126">
        <w:t xml:space="preserve"> subpopulation</w:t>
      </w:r>
      <w:r w:rsidR="006B6E6E" w:rsidRPr="00247126">
        <w:t xml:space="preserve"> </w:t>
      </w:r>
    </w:p>
    <w:p w14:paraId="791F5D41" w14:textId="5E2340CD" w:rsidR="00D471AF" w:rsidRPr="00247126" w:rsidRDefault="0001397E" w:rsidP="00C95961">
      <w:r w:rsidRPr="00247126">
        <w:t xml:space="preserve">The key effectiveness outcomes at 2 years for the stent failure subpopulation are presented in </w:t>
      </w:r>
      <w:r w:rsidRPr="00247126">
        <w:fldChar w:fldCharType="begin"/>
      </w:r>
      <w:r w:rsidRPr="00247126">
        <w:instrText xml:space="preserve"> REF _Ref163554711 \h </w:instrText>
      </w:r>
      <w:r w:rsidR="00C567A2" w:rsidRPr="00247126">
        <w:instrText xml:space="preserve"> \* MERGEFORMAT </w:instrText>
      </w:r>
      <w:r w:rsidRPr="00247126">
        <w:fldChar w:fldCharType="separate"/>
      </w:r>
      <w:r w:rsidR="00151E03" w:rsidRPr="00247126">
        <w:t xml:space="preserve">Table </w:t>
      </w:r>
      <w:r w:rsidR="00151E03" w:rsidRPr="00247126">
        <w:rPr>
          <w:noProof/>
        </w:rPr>
        <w:t>11</w:t>
      </w:r>
      <w:r w:rsidRPr="00247126">
        <w:fldChar w:fldCharType="end"/>
      </w:r>
      <w:r w:rsidR="00C32BCC" w:rsidRPr="00247126">
        <w:t xml:space="preserve"> and </w:t>
      </w:r>
      <w:r w:rsidR="00C32BCC" w:rsidRPr="00247126">
        <w:fldChar w:fldCharType="begin"/>
      </w:r>
      <w:r w:rsidR="00C32BCC" w:rsidRPr="00247126">
        <w:instrText xml:space="preserve"> REF _Ref163592358 \h </w:instrText>
      </w:r>
      <w:r w:rsidR="00C567A2" w:rsidRPr="00247126">
        <w:instrText xml:space="preserve"> \* MERGEFORMAT </w:instrText>
      </w:r>
      <w:r w:rsidR="00C32BCC" w:rsidRPr="00247126">
        <w:fldChar w:fldCharType="separate"/>
      </w:r>
      <w:r w:rsidR="00151E03" w:rsidRPr="00247126">
        <w:t xml:space="preserve">Figure </w:t>
      </w:r>
      <w:r w:rsidR="00151E03" w:rsidRPr="00247126">
        <w:rPr>
          <w:noProof/>
        </w:rPr>
        <w:t>3</w:t>
      </w:r>
      <w:r w:rsidR="00C32BCC" w:rsidRPr="00247126">
        <w:fldChar w:fldCharType="end"/>
      </w:r>
      <w:r w:rsidRPr="00247126">
        <w:t xml:space="preserve">. </w:t>
      </w:r>
      <w:r w:rsidR="00702E65" w:rsidRPr="00247126">
        <w:t>The</w:t>
      </w:r>
      <w:r w:rsidRPr="00247126" w:rsidDel="00C32BCC">
        <w:t xml:space="preserve"> ILUMIEN IV </w:t>
      </w:r>
      <w:r w:rsidR="00BD630A" w:rsidRPr="00247126">
        <w:t xml:space="preserve">subgroup </w:t>
      </w:r>
      <w:r w:rsidR="00702E65" w:rsidRPr="00247126">
        <w:t xml:space="preserve">included </w:t>
      </w:r>
      <w:r w:rsidR="00C3572F" w:rsidRPr="00247126">
        <w:t xml:space="preserve">patients with </w:t>
      </w:r>
      <w:r w:rsidR="0031496D" w:rsidRPr="00247126">
        <w:t>in-stent restenosis of diffuse or multifocal pattern</w:t>
      </w:r>
      <w:r w:rsidR="000F323C" w:rsidRPr="00247126">
        <w:t xml:space="preserve"> (</w:t>
      </w:r>
      <w:r w:rsidR="00310A3D" w:rsidRPr="00247126">
        <w:t>which is a subset of the stent failure subpopulation)</w:t>
      </w:r>
      <w:r w:rsidR="003B2BEB" w:rsidRPr="00247126">
        <w:t xml:space="preserve"> </w:t>
      </w:r>
      <w:r w:rsidR="00890469" w:rsidRPr="00247126">
        <w:t xml:space="preserve">and </w:t>
      </w:r>
      <w:r w:rsidR="00BD630A" w:rsidRPr="00247126">
        <w:t xml:space="preserve">was not adequately powered to show a statistically significant difference between groups. </w:t>
      </w:r>
    </w:p>
    <w:p w14:paraId="6CCCA0E1" w14:textId="392FC82E" w:rsidR="0046759F" w:rsidRPr="00247126" w:rsidRDefault="00251801" w:rsidP="00C95961">
      <w:r w:rsidRPr="00247126">
        <w:t xml:space="preserve">No clinical evidence was provided for OCT+AG versus AG alone in patients with stent thrombosis. </w:t>
      </w:r>
      <w:r w:rsidR="00D71703" w:rsidRPr="00247126">
        <w:t>A pragmatic review of the literature did not identify observational data of OCT+AG used for guiding stent placement in patients with stent thrombosis.</w:t>
      </w:r>
    </w:p>
    <w:p w14:paraId="211797EE" w14:textId="694E8349" w:rsidR="00C95961" w:rsidRPr="00247126" w:rsidRDefault="00C95961" w:rsidP="00C95961">
      <w:pPr>
        <w:pStyle w:val="Caption"/>
        <w:rPr>
          <w:vertAlign w:val="superscript"/>
        </w:rPr>
      </w:pPr>
      <w:bookmarkStart w:id="25" w:name="_Ref163554711"/>
      <w:r w:rsidRPr="00247126">
        <w:lastRenderedPageBreak/>
        <w:t xml:space="preserve">Table </w:t>
      </w:r>
      <w:r w:rsidRPr="00247126">
        <w:fldChar w:fldCharType="begin"/>
      </w:r>
      <w:r w:rsidRPr="00247126">
        <w:instrText xml:space="preserve"> SEQ Table \* ARABIC </w:instrText>
      </w:r>
      <w:r w:rsidRPr="00247126">
        <w:fldChar w:fldCharType="separate"/>
      </w:r>
      <w:r w:rsidR="00151E03" w:rsidRPr="00247126">
        <w:rPr>
          <w:noProof/>
        </w:rPr>
        <w:t>11</w:t>
      </w:r>
      <w:r w:rsidRPr="00247126">
        <w:rPr>
          <w:noProof/>
        </w:rPr>
        <w:fldChar w:fldCharType="end"/>
      </w:r>
      <w:bookmarkEnd w:id="25"/>
      <w:r w:rsidR="00D327CE" w:rsidRPr="00247126">
        <w:tab/>
        <w:t>Key effectiveness outcomes at 2 years: OCT+AG v</w:t>
      </w:r>
      <w:r w:rsidR="008C66BB" w:rsidRPr="00247126">
        <w:t>ersu</w:t>
      </w:r>
      <w:r w:rsidR="00D327CE" w:rsidRPr="00247126">
        <w:t xml:space="preserve">s AG alone – stent failure </w:t>
      </w:r>
      <w:proofErr w:type="spellStart"/>
      <w:r w:rsidR="00D327CE" w:rsidRPr="00247126">
        <w:t>subpopulation</w:t>
      </w:r>
      <w:r w:rsidR="00743241" w:rsidRPr="00247126">
        <w:rPr>
          <w:vertAlign w:val="superscript"/>
        </w:rPr>
        <w:t>a</w:t>
      </w:r>
      <w:proofErr w:type="spellEnd"/>
    </w:p>
    <w:tbl>
      <w:tblPr>
        <w:tblStyle w:val="TableGrid"/>
        <w:tblW w:w="0" w:type="auto"/>
        <w:tblLook w:val="04A0" w:firstRow="1" w:lastRow="0" w:firstColumn="1" w:lastColumn="0" w:noHBand="0" w:noVBand="1"/>
        <w:tblCaption w:val="Key effectiveness outcomes at 2 years: OCT+AG versus AG alone – stent failure subpopulation"/>
        <w:tblDescription w:val="This table summarises the key effectiveness outcomes at 2 years: OCT+AG versus AG alone for the stent failure subpopulation."/>
      </w:tblPr>
      <w:tblGrid>
        <w:gridCol w:w="1814"/>
        <w:gridCol w:w="1871"/>
        <w:gridCol w:w="1344"/>
        <w:gridCol w:w="1345"/>
        <w:gridCol w:w="1559"/>
        <w:gridCol w:w="1058"/>
      </w:tblGrid>
      <w:tr w:rsidR="004E2EC8" w:rsidRPr="00247126" w14:paraId="6D86A1C5" w14:textId="77777777" w:rsidTr="00774BC4">
        <w:trPr>
          <w:tblHeader/>
        </w:trPr>
        <w:tc>
          <w:tcPr>
            <w:tcW w:w="1814" w:type="dxa"/>
            <w:tcMar>
              <w:left w:w="57" w:type="dxa"/>
              <w:right w:w="57" w:type="dxa"/>
            </w:tcMar>
          </w:tcPr>
          <w:p w14:paraId="6349901A" w14:textId="77777777" w:rsidR="00D327CE" w:rsidRPr="00247126" w:rsidRDefault="00D327CE">
            <w:pPr>
              <w:pStyle w:val="TableHeading0"/>
            </w:pPr>
            <w:r w:rsidRPr="00247126">
              <w:t>Event</w:t>
            </w:r>
          </w:p>
        </w:tc>
        <w:tc>
          <w:tcPr>
            <w:tcW w:w="1871" w:type="dxa"/>
            <w:tcMar>
              <w:left w:w="57" w:type="dxa"/>
              <w:right w:w="57" w:type="dxa"/>
            </w:tcMar>
          </w:tcPr>
          <w:p w14:paraId="182A307B" w14:textId="77777777" w:rsidR="00D327CE" w:rsidRPr="00247126" w:rsidRDefault="00D327CE">
            <w:pPr>
              <w:pStyle w:val="TableHeading0"/>
            </w:pPr>
            <w:r w:rsidRPr="00247126">
              <w:t>Evidence</w:t>
            </w:r>
          </w:p>
        </w:tc>
        <w:tc>
          <w:tcPr>
            <w:tcW w:w="1344" w:type="dxa"/>
            <w:tcMar>
              <w:left w:w="57" w:type="dxa"/>
              <w:right w:w="57" w:type="dxa"/>
            </w:tcMar>
          </w:tcPr>
          <w:p w14:paraId="0473AFC2" w14:textId="2C102FBF" w:rsidR="00D327CE" w:rsidRPr="00247126" w:rsidRDefault="00D327CE" w:rsidP="00052727">
            <w:pPr>
              <w:pStyle w:val="TableHeading0"/>
            </w:pPr>
            <w:r w:rsidRPr="00247126">
              <w:t>OCT+AG</w:t>
            </w:r>
            <w:r w:rsidR="00052727" w:rsidRPr="00247126">
              <w:br/>
            </w:r>
            <w:r w:rsidRPr="00247126">
              <w:t>n/N (%)</w:t>
            </w:r>
          </w:p>
        </w:tc>
        <w:tc>
          <w:tcPr>
            <w:tcW w:w="1345" w:type="dxa"/>
            <w:tcMar>
              <w:left w:w="57" w:type="dxa"/>
              <w:right w:w="57" w:type="dxa"/>
            </w:tcMar>
          </w:tcPr>
          <w:p w14:paraId="24C5D8C3" w14:textId="293FC2E7" w:rsidR="00D327CE" w:rsidRPr="00247126" w:rsidRDefault="00D327CE" w:rsidP="00052727">
            <w:pPr>
              <w:pStyle w:val="TableHeading0"/>
            </w:pPr>
            <w:r w:rsidRPr="00247126">
              <w:t>AG alone</w:t>
            </w:r>
            <w:r w:rsidR="00052727" w:rsidRPr="00247126">
              <w:br/>
            </w:r>
            <w:r w:rsidRPr="00247126">
              <w:t>n/N (%)</w:t>
            </w:r>
          </w:p>
        </w:tc>
        <w:tc>
          <w:tcPr>
            <w:tcW w:w="1559" w:type="dxa"/>
            <w:tcMar>
              <w:left w:w="57" w:type="dxa"/>
              <w:right w:w="57" w:type="dxa"/>
            </w:tcMar>
          </w:tcPr>
          <w:p w14:paraId="4E2F5ACC" w14:textId="13E666E6" w:rsidR="00D327CE" w:rsidRPr="00247126" w:rsidRDefault="00D327CE" w:rsidP="00052727">
            <w:pPr>
              <w:pStyle w:val="TableHeading0"/>
            </w:pPr>
            <w:r w:rsidRPr="00247126">
              <w:t>HR [95% CI]</w:t>
            </w:r>
            <w:r w:rsidR="00052727" w:rsidRPr="00247126">
              <w:br/>
              <w:t xml:space="preserve">HR </w:t>
            </w:r>
            <w:r w:rsidRPr="00247126">
              <w:t>&lt;1 favours OCT+AG</w:t>
            </w:r>
          </w:p>
        </w:tc>
        <w:tc>
          <w:tcPr>
            <w:tcW w:w="1058" w:type="dxa"/>
            <w:tcMar>
              <w:left w:w="57" w:type="dxa"/>
              <w:right w:w="57" w:type="dxa"/>
            </w:tcMar>
          </w:tcPr>
          <w:p w14:paraId="09BB3255" w14:textId="3BA145C6" w:rsidR="00D327CE" w:rsidRPr="00247126" w:rsidRDefault="00E80C90">
            <w:pPr>
              <w:pStyle w:val="TableHeading0"/>
            </w:pPr>
            <w:r w:rsidRPr="00247126">
              <w:t>GRADE c</w:t>
            </w:r>
            <w:r w:rsidR="00D327CE" w:rsidRPr="00247126">
              <w:t>ertainty of evidence</w:t>
            </w:r>
          </w:p>
        </w:tc>
      </w:tr>
      <w:tr w:rsidR="004E2EC8" w:rsidRPr="00247126" w14:paraId="6F930E29" w14:textId="77777777" w:rsidTr="00774BC4">
        <w:tc>
          <w:tcPr>
            <w:tcW w:w="1814" w:type="dxa"/>
            <w:tcMar>
              <w:left w:w="57" w:type="dxa"/>
              <w:right w:w="57" w:type="dxa"/>
            </w:tcMar>
          </w:tcPr>
          <w:p w14:paraId="60F8F9ED" w14:textId="012958BB" w:rsidR="004D688F" w:rsidRPr="00247126" w:rsidRDefault="00743241" w:rsidP="004D688F">
            <w:pPr>
              <w:pStyle w:val="TableText"/>
            </w:pPr>
            <w:proofErr w:type="spellStart"/>
            <w:r w:rsidRPr="00247126">
              <w:t>TVF</w:t>
            </w:r>
            <w:r w:rsidRPr="00247126">
              <w:rPr>
                <w:vertAlign w:val="superscript"/>
              </w:rPr>
              <w:t>b</w:t>
            </w:r>
            <w:proofErr w:type="spellEnd"/>
            <w:r w:rsidRPr="00247126">
              <w:t xml:space="preserve"> </w:t>
            </w:r>
          </w:p>
        </w:tc>
        <w:tc>
          <w:tcPr>
            <w:tcW w:w="1871" w:type="dxa"/>
            <w:tcMar>
              <w:left w:w="57" w:type="dxa"/>
              <w:right w:w="57" w:type="dxa"/>
            </w:tcMar>
          </w:tcPr>
          <w:p w14:paraId="4A98E093" w14:textId="77777777" w:rsidR="004D688F" w:rsidRPr="00247126" w:rsidRDefault="004D688F" w:rsidP="004D688F">
            <w:pPr>
              <w:pStyle w:val="TableText"/>
            </w:pPr>
            <w:r w:rsidRPr="00247126">
              <w:t>ILUMIEN IV subgroup</w:t>
            </w:r>
          </w:p>
        </w:tc>
        <w:tc>
          <w:tcPr>
            <w:tcW w:w="1344" w:type="dxa"/>
            <w:tcMar>
              <w:left w:w="57" w:type="dxa"/>
              <w:right w:w="57" w:type="dxa"/>
            </w:tcMar>
          </w:tcPr>
          <w:p w14:paraId="65EC3B52" w14:textId="07835F28" w:rsidR="004D688F" w:rsidRPr="00247126" w:rsidRDefault="004D688F" w:rsidP="004D688F">
            <w:pPr>
              <w:pStyle w:val="TableText"/>
            </w:pPr>
            <w:r w:rsidRPr="00247126">
              <w:t>18/130 (15.2)</w:t>
            </w:r>
          </w:p>
        </w:tc>
        <w:tc>
          <w:tcPr>
            <w:tcW w:w="1345" w:type="dxa"/>
            <w:tcMar>
              <w:left w:w="57" w:type="dxa"/>
              <w:right w:w="57" w:type="dxa"/>
            </w:tcMar>
          </w:tcPr>
          <w:p w14:paraId="32ACA36A" w14:textId="55E63010" w:rsidR="004D688F" w:rsidRPr="00247126" w:rsidRDefault="004D688F" w:rsidP="004D688F">
            <w:pPr>
              <w:pStyle w:val="TableText"/>
            </w:pPr>
            <w:r w:rsidRPr="00247126">
              <w:t>18/138 (13.5)</w:t>
            </w:r>
          </w:p>
        </w:tc>
        <w:tc>
          <w:tcPr>
            <w:tcW w:w="1559" w:type="dxa"/>
            <w:tcMar>
              <w:left w:w="57" w:type="dxa"/>
              <w:right w:w="57" w:type="dxa"/>
            </w:tcMar>
          </w:tcPr>
          <w:p w14:paraId="2405DF31" w14:textId="49FDF40B" w:rsidR="004D688F" w:rsidRPr="00247126" w:rsidRDefault="004D688F" w:rsidP="004D688F">
            <w:pPr>
              <w:pStyle w:val="TableText"/>
              <w:rPr>
                <w:vertAlign w:val="superscript"/>
              </w:rPr>
            </w:pPr>
            <w:r w:rsidRPr="00247126">
              <w:t>1.06 [0.55, 2.04]</w:t>
            </w:r>
          </w:p>
        </w:tc>
        <w:tc>
          <w:tcPr>
            <w:tcW w:w="1058" w:type="dxa"/>
            <w:tcMar>
              <w:left w:w="57" w:type="dxa"/>
              <w:right w:w="57" w:type="dxa"/>
            </w:tcMar>
          </w:tcPr>
          <w:p w14:paraId="105031CC" w14:textId="288EA411" w:rsidR="004D688F" w:rsidRPr="00247126" w:rsidRDefault="00922184" w:rsidP="004D688F">
            <w:pPr>
              <w:pStyle w:val="TableText"/>
            </w:pPr>
            <w:r w:rsidRPr="00247126">
              <w:t>Low</w:t>
            </w:r>
          </w:p>
        </w:tc>
      </w:tr>
      <w:tr w:rsidR="00923F76" w:rsidRPr="00247126" w14:paraId="38E4C97A" w14:textId="77777777" w:rsidTr="00774BC4">
        <w:tc>
          <w:tcPr>
            <w:tcW w:w="1814" w:type="dxa"/>
            <w:tcMar>
              <w:left w:w="57" w:type="dxa"/>
              <w:right w:w="57" w:type="dxa"/>
            </w:tcMar>
          </w:tcPr>
          <w:p w14:paraId="77933DCB" w14:textId="77777777" w:rsidR="00923F76" w:rsidRPr="00247126" w:rsidRDefault="00923F76" w:rsidP="00923F76">
            <w:pPr>
              <w:pStyle w:val="TableText"/>
            </w:pPr>
            <w:r w:rsidRPr="00247126">
              <w:t xml:space="preserve">Target vessel MI </w:t>
            </w:r>
          </w:p>
        </w:tc>
        <w:tc>
          <w:tcPr>
            <w:tcW w:w="1871" w:type="dxa"/>
            <w:tcMar>
              <w:left w:w="57" w:type="dxa"/>
              <w:right w:w="57" w:type="dxa"/>
            </w:tcMar>
          </w:tcPr>
          <w:p w14:paraId="66B67B2C" w14:textId="77777777" w:rsidR="00923F76" w:rsidRPr="00247126" w:rsidRDefault="00923F76" w:rsidP="00923F76">
            <w:pPr>
              <w:pStyle w:val="TableText"/>
            </w:pPr>
            <w:r w:rsidRPr="00247126">
              <w:t>ILUMIEN IV subgroup</w:t>
            </w:r>
          </w:p>
        </w:tc>
        <w:tc>
          <w:tcPr>
            <w:tcW w:w="1344" w:type="dxa"/>
            <w:tcMar>
              <w:left w:w="57" w:type="dxa"/>
              <w:right w:w="57" w:type="dxa"/>
            </w:tcMar>
          </w:tcPr>
          <w:p w14:paraId="01A02C84" w14:textId="39EC7A96" w:rsidR="00923F76" w:rsidRPr="00247126" w:rsidRDefault="00923F76" w:rsidP="00923F76">
            <w:pPr>
              <w:pStyle w:val="TableText"/>
            </w:pPr>
            <w:r w:rsidRPr="00247126">
              <w:t>3/130 (2.3)</w:t>
            </w:r>
          </w:p>
        </w:tc>
        <w:tc>
          <w:tcPr>
            <w:tcW w:w="1345" w:type="dxa"/>
            <w:tcMar>
              <w:left w:w="57" w:type="dxa"/>
              <w:right w:w="57" w:type="dxa"/>
            </w:tcMar>
          </w:tcPr>
          <w:p w14:paraId="78D87C25" w14:textId="4027A0F0" w:rsidR="00923F76" w:rsidRPr="00247126" w:rsidRDefault="00923F76" w:rsidP="00923F76">
            <w:pPr>
              <w:pStyle w:val="TableText"/>
            </w:pPr>
            <w:r w:rsidRPr="00247126">
              <w:t>5/138 (3.7)</w:t>
            </w:r>
          </w:p>
        </w:tc>
        <w:tc>
          <w:tcPr>
            <w:tcW w:w="1559" w:type="dxa"/>
            <w:tcMar>
              <w:left w:w="57" w:type="dxa"/>
              <w:right w:w="57" w:type="dxa"/>
            </w:tcMar>
          </w:tcPr>
          <w:p w14:paraId="241FA07D" w14:textId="4B55E5DD" w:rsidR="00923F76" w:rsidRPr="00247126" w:rsidRDefault="00923F76" w:rsidP="00923F76">
            <w:pPr>
              <w:pStyle w:val="TableText"/>
            </w:pPr>
            <w:r w:rsidRPr="00247126">
              <w:t>0.64 [0.15, 2.70]</w:t>
            </w:r>
          </w:p>
        </w:tc>
        <w:tc>
          <w:tcPr>
            <w:tcW w:w="1058" w:type="dxa"/>
            <w:tcMar>
              <w:left w:w="57" w:type="dxa"/>
              <w:right w:w="57" w:type="dxa"/>
            </w:tcMar>
          </w:tcPr>
          <w:p w14:paraId="6C5CA2F7" w14:textId="1AB35554" w:rsidR="00923F76" w:rsidRPr="00247126" w:rsidRDefault="004D0EBC" w:rsidP="00923F76">
            <w:pPr>
              <w:pStyle w:val="TableText"/>
            </w:pPr>
            <w:r w:rsidRPr="00247126">
              <w:t>Low</w:t>
            </w:r>
          </w:p>
        </w:tc>
      </w:tr>
      <w:tr w:rsidR="004E2EC8" w:rsidRPr="00247126" w14:paraId="4E253B76" w14:textId="77777777" w:rsidTr="00774BC4">
        <w:tc>
          <w:tcPr>
            <w:tcW w:w="1814" w:type="dxa"/>
            <w:tcMar>
              <w:left w:w="57" w:type="dxa"/>
              <w:right w:w="57" w:type="dxa"/>
            </w:tcMar>
          </w:tcPr>
          <w:p w14:paraId="3C122EF4" w14:textId="5DAC26CF" w:rsidR="00D327CE" w:rsidRPr="00247126" w:rsidRDefault="00D327CE">
            <w:pPr>
              <w:pStyle w:val="TableText"/>
            </w:pPr>
            <w:r w:rsidRPr="00247126">
              <w:t>Ischemia-driven TVR</w:t>
            </w:r>
          </w:p>
        </w:tc>
        <w:tc>
          <w:tcPr>
            <w:tcW w:w="1871" w:type="dxa"/>
            <w:tcMar>
              <w:left w:w="57" w:type="dxa"/>
              <w:right w:w="57" w:type="dxa"/>
            </w:tcMar>
          </w:tcPr>
          <w:p w14:paraId="20A0141E" w14:textId="77777777" w:rsidR="00D327CE" w:rsidRPr="00247126" w:rsidRDefault="00D327CE">
            <w:pPr>
              <w:pStyle w:val="TableText"/>
            </w:pPr>
            <w:r w:rsidRPr="00247126">
              <w:t>ILUMIEN IV subgroup</w:t>
            </w:r>
          </w:p>
        </w:tc>
        <w:tc>
          <w:tcPr>
            <w:tcW w:w="1344" w:type="dxa"/>
            <w:tcMar>
              <w:left w:w="57" w:type="dxa"/>
              <w:right w:w="57" w:type="dxa"/>
            </w:tcMar>
          </w:tcPr>
          <w:p w14:paraId="383095B2" w14:textId="252FC011" w:rsidR="00D327CE" w:rsidRPr="00247126" w:rsidRDefault="007F1E58">
            <w:pPr>
              <w:pStyle w:val="TableText"/>
            </w:pPr>
            <w:r w:rsidRPr="00247126">
              <w:t>15/130 (12.9)</w:t>
            </w:r>
          </w:p>
        </w:tc>
        <w:tc>
          <w:tcPr>
            <w:tcW w:w="1345" w:type="dxa"/>
            <w:tcMar>
              <w:left w:w="57" w:type="dxa"/>
              <w:right w:w="57" w:type="dxa"/>
            </w:tcMar>
          </w:tcPr>
          <w:p w14:paraId="3AEB9C7D" w14:textId="33E80460" w:rsidR="00D327CE" w:rsidRPr="00247126" w:rsidRDefault="007F1E58">
            <w:pPr>
              <w:pStyle w:val="TableText"/>
            </w:pPr>
            <w:r w:rsidRPr="00247126">
              <w:t>15/138 (11.4)</w:t>
            </w:r>
          </w:p>
        </w:tc>
        <w:tc>
          <w:tcPr>
            <w:tcW w:w="1559" w:type="dxa"/>
            <w:tcMar>
              <w:left w:w="57" w:type="dxa"/>
              <w:right w:w="57" w:type="dxa"/>
            </w:tcMar>
          </w:tcPr>
          <w:p w14:paraId="7BDF448B" w14:textId="66FC9331" w:rsidR="00D327CE" w:rsidRPr="00247126" w:rsidRDefault="007F1E58">
            <w:pPr>
              <w:pStyle w:val="TableText"/>
            </w:pPr>
            <w:r w:rsidRPr="00247126">
              <w:t>1.05 [0.52, 2.16]</w:t>
            </w:r>
          </w:p>
        </w:tc>
        <w:tc>
          <w:tcPr>
            <w:tcW w:w="1058" w:type="dxa"/>
            <w:tcMar>
              <w:left w:w="57" w:type="dxa"/>
              <w:right w:w="57" w:type="dxa"/>
            </w:tcMar>
          </w:tcPr>
          <w:p w14:paraId="3F55803B" w14:textId="3F3C7130" w:rsidR="00D327CE" w:rsidRPr="00247126" w:rsidRDefault="00A171B3">
            <w:pPr>
              <w:pStyle w:val="TableText"/>
            </w:pPr>
            <w:r w:rsidRPr="00247126">
              <w:t>Low</w:t>
            </w:r>
          </w:p>
        </w:tc>
      </w:tr>
      <w:tr w:rsidR="004E2EC8" w:rsidRPr="00247126" w14:paraId="7685AFB0" w14:textId="77777777" w:rsidTr="00774BC4">
        <w:tc>
          <w:tcPr>
            <w:tcW w:w="1814" w:type="dxa"/>
            <w:tcMar>
              <w:left w:w="57" w:type="dxa"/>
              <w:right w:w="57" w:type="dxa"/>
            </w:tcMar>
          </w:tcPr>
          <w:p w14:paraId="05670A84" w14:textId="0CC0DDA4" w:rsidR="00D327CE" w:rsidRPr="00247126" w:rsidRDefault="00D327CE">
            <w:pPr>
              <w:pStyle w:val="TableText"/>
            </w:pPr>
            <w:r w:rsidRPr="00247126">
              <w:t>Cardiac death</w:t>
            </w:r>
          </w:p>
        </w:tc>
        <w:tc>
          <w:tcPr>
            <w:tcW w:w="1871" w:type="dxa"/>
            <w:tcMar>
              <w:left w:w="57" w:type="dxa"/>
              <w:right w:w="57" w:type="dxa"/>
            </w:tcMar>
          </w:tcPr>
          <w:p w14:paraId="5D0B2BF7" w14:textId="77777777" w:rsidR="00D327CE" w:rsidRPr="00247126" w:rsidRDefault="00D327CE">
            <w:pPr>
              <w:pStyle w:val="TableText"/>
            </w:pPr>
            <w:r w:rsidRPr="00247126">
              <w:t>ILUMIEN IV subgroup</w:t>
            </w:r>
          </w:p>
        </w:tc>
        <w:tc>
          <w:tcPr>
            <w:tcW w:w="1344" w:type="dxa"/>
            <w:tcMar>
              <w:left w:w="57" w:type="dxa"/>
              <w:right w:w="57" w:type="dxa"/>
            </w:tcMar>
          </w:tcPr>
          <w:p w14:paraId="10A27D8C" w14:textId="514BFCC7" w:rsidR="00D327CE" w:rsidRPr="00247126" w:rsidRDefault="00C139EB">
            <w:pPr>
              <w:pStyle w:val="TableText"/>
            </w:pPr>
            <w:r w:rsidRPr="00247126">
              <w:t>2/130 (1.6)</w:t>
            </w:r>
          </w:p>
        </w:tc>
        <w:tc>
          <w:tcPr>
            <w:tcW w:w="1345" w:type="dxa"/>
            <w:tcMar>
              <w:left w:w="57" w:type="dxa"/>
              <w:right w:w="57" w:type="dxa"/>
            </w:tcMar>
          </w:tcPr>
          <w:p w14:paraId="44B71D08" w14:textId="6B2D47CA" w:rsidR="00D327CE" w:rsidRPr="00247126" w:rsidRDefault="00C139EB">
            <w:pPr>
              <w:pStyle w:val="TableText"/>
            </w:pPr>
            <w:r w:rsidRPr="00247126">
              <w:t>2/138 (1.5)</w:t>
            </w:r>
          </w:p>
        </w:tc>
        <w:tc>
          <w:tcPr>
            <w:tcW w:w="1559" w:type="dxa"/>
            <w:tcMar>
              <w:left w:w="57" w:type="dxa"/>
              <w:right w:w="57" w:type="dxa"/>
            </w:tcMar>
          </w:tcPr>
          <w:p w14:paraId="3FE18616" w14:textId="432806FF" w:rsidR="00D327CE" w:rsidRPr="00247126" w:rsidRDefault="00C139EB">
            <w:pPr>
              <w:pStyle w:val="TableText"/>
            </w:pPr>
            <w:r w:rsidRPr="00247126">
              <w:t>1.09 [0.15, 7.75]</w:t>
            </w:r>
          </w:p>
        </w:tc>
        <w:tc>
          <w:tcPr>
            <w:tcW w:w="1058" w:type="dxa"/>
            <w:tcMar>
              <w:left w:w="57" w:type="dxa"/>
              <w:right w:w="57" w:type="dxa"/>
            </w:tcMar>
          </w:tcPr>
          <w:p w14:paraId="49E1CD16" w14:textId="0136C98F" w:rsidR="00D327CE" w:rsidRPr="00247126" w:rsidRDefault="00270310">
            <w:pPr>
              <w:pStyle w:val="TableText"/>
            </w:pPr>
            <w:r w:rsidRPr="00247126">
              <w:t>Low</w:t>
            </w:r>
          </w:p>
        </w:tc>
      </w:tr>
      <w:tr w:rsidR="004E2EC8" w:rsidRPr="00247126" w14:paraId="0C1B5CBC" w14:textId="77777777" w:rsidTr="00774BC4">
        <w:tc>
          <w:tcPr>
            <w:tcW w:w="1814" w:type="dxa"/>
            <w:tcMar>
              <w:left w:w="57" w:type="dxa"/>
              <w:right w:w="57" w:type="dxa"/>
            </w:tcMar>
          </w:tcPr>
          <w:p w14:paraId="01B1E5F5" w14:textId="00273A19" w:rsidR="00D327CE" w:rsidRPr="00247126" w:rsidRDefault="00D327CE">
            <w:pPr>
              <w:pStyle w:val="TableText"/>
            </w:pPr>
            <w:r w:rsidRPr="00247126">
              <w:t xml:space="preserve">Stent thrombosis </w:t>
            </w:r>
          </w:p>
        </w:tc>
        <w:tc>
          <w:tcPr>
            <w:tcW w:w="1871" w:type="dxa"/>
            <w:tcMar>
              <w:left w:w="57" w:type="dxa"/>
              <w:right w:w="57" w:type="dxa"/>
            </w:tcMar>
          </w:tcPr>
          <w:p w14:paraId="20CF9497" w14:textId="77777777" w:rsidR="00D327CE" w:rsidRPr="00247126" w:rsidRDefault="00D327CE">
            <w:pPr>
              <w:pStyle w:val="TableText"/>
            </w:pPr>
            <w:r w:rsidRPr="00247126">
              <w:t>ILUMIEN IV subgroup</w:t>
            </w:r>
          </w:p>
        </w:tc>
        <w:tc>
          <w:tcPr>
            <w:tcW w:w="1344" w:type="dxa"/>
            <w:tcMar>
              <w:left w:w="57" w:type="dxa"/>
              <w:right w:w="57" w:type="dxa"/>
            </w:tcMar>
          </w:tcPr>
          <w:p w14:paraId="56841B41" w14:textId="711A82C7" w:rsidR="00D327CE" w:rsidRPr="00247126" w:rsidRDefault="000F2AEF">
            <w:pPr>
              <w:pStyle w:val="TableText"/>
            </w:pPr>
            <w:r w:rsidRPr="00247126">
              <w:t>2/130 (1.6)</w:t>
            </w:r>
          </w:p>
        </w:tc>
        <w:tc>
          <w:tcPr>
            <w:tcW w:w="1345" w:type="dxa"/>
            <w:tcMar>
              <w:left w:w="57" w:type="dxa"/>
              <w:right w:w="57" w:type="dxa"/>
            </w:tcMar>
          </w:tcPr>
          <w:p w14:paraId="25167883" w14:textId="21180D8C" w:rsidR="00D327CE" w:rsidRPr="00247126" w:rsidRDefault="000F2AEF">
            <w:pPr>
              <w:pStyle w:val="TableText"/>
            </w:pPr>
            <w:r w:rsidRPr="00247126">
              <w:t>2/138 (1.5)</w:t>
            </w:r>
          </w:p>
        </w:tc>
        <w:tc>
          <w:tcPr>
            <w:tcW w:w="1559" w:type="dxa"/>
            <w:tcMar>
              <w:left w:w="57" w:type="dxa"/>
              <w:right w:w="57" w:type="dxa"/>
            </w:tcMar>
          </w:tcPr>
          <w:p w14:paraId="6A1A02A5" w14:textId="32CC7413" w:rsidR="00D327CE" w:rsidRPr="00247126" w:rsidRDefault="000F2AEF">
            <w:pPr>
              <w:pStyle w:val="TableText"/>
            </w:pPr>
            <w:r w:rsidRPr="00247126">
              <w:t>1.08 [0.15, 7.65]</w:t>
            </w:r>
          </w:p>
        </w:tc>
        <w:tc>
          <w:tcPr>
            <w:tcW w:w="1058" w:type="dxa"/>
            <w:tcMar>
              <w:left w:w="57" w:type="dxa"/>
              <w:right w:w="57" w:type="dxa"/>
            </w:tcMar>
          </w:tcPr>
          <w:p w14:paraId="02E4519B" w14:textId="0F7EA6E8" w:rsidR="00D327CE" w:rsidRPr="00247126" w:rsidRDefault="00270310">
            <w:pPr>
              <w:pStyle w:val="TableText"/>
            </w:pPr>
            <w:r w:rsidRPr="00247126">
              <w:t>Low</w:t>
            </w:r>
          </w:p>
        </w:tc>
      </w:tr>
    </w:tbl>
    <w:p w14:paraId="71786F92" w14:textId="57272A15" w:rsidR="00BA0F48" w:rsidRPr="00247126" w:rsidRDefault="00BA0F48" w:rsidP="00FD7E57">
      <w:pPr>
        <w:pStyle w:val="Tablenotes0"/>
      </w:pPr>
      <w:r w:rsidRPr="00247126">
        <w:t>AG = angiogram; CI = confidence interval; HR = hazard ratio; MI = myocardial infarction; OCT = optical coherence tomography; TVF = target vessel failure; TVR = target vessel revascularisation.</w:t>
      </w:r>
    </w:p>
    <w:p w14:paraId="69BB106F" w14:textId="61B0E160" w:rsidR="00560D5C" w:rsidRPr="00247126" w:rsidRDefault="00560D5C" w:rsidP="00560D5C">
      <w:pPr>
        <w:pStyle w:val="Tablenotes0"/>
      </w:pPr>
      <w:r w:rsidRPr="00247126">
        <w:t>a Data were from patients with in-stent restenosis, which is a subset of the proposed stent failure subpopulation.</w:t>
      </w:r>
    </w:p>
    <w:p w14:paraId="2D911405" w14:textId="59C3027B" w:rsidR="00C61C04" w:rsidRPr="00247126" w:rsidRDefault="004F4CEC" w:rsidP="00C61C04">
      <w:pPr>
        <w:pStyle w:val="Tablenotes0"/>
      </w:pPr>
      <w:r w:rsidRPr="00247126">
        <w:t>b</w:t>
      </w:r>
      <w:r w:rsidR="00C61C04" w:rsidRPr="00247126">
        <w:t xml:space="preserve"> TVF, defined as</w:t>
      </w:r>
      <w:r w:rsidR="000F34AB" w:rsidRPr="00247126">
        <w:t xml:space="preserve"> a composite of</w:t>
      </w:r>
      <w:r w:rsidR="00C61C04" w:rsidRPr="00247126">
        <w:t xml:space="preserve"> death from a cardiac cause, target vessel MI, or </w:t>
      </w:r>
      <w:proofErr w:type="gramStart"/>
      <w:r w:rsidR="00C61C04" w:rsidRPr="00247126">
        <w:t>ischemia-driven</w:t>
      </w:r>
      <w:proofErr w:type="gramEnd"/>
      <w:r w:rsidR="00C61C04" w:rsidRPr="00247126">
        <w:t xml:space="preserve"> TVR.</w:t>
      </w:r>
    </w:p>
    <w:p w14:paraId="0D45E94E" w14:textId="137620CF" w:rsidR="00BA0EC4" w:rsidRPr="00247126" w:rsidRDefault="00BA0EC4" w:rsidP="00BA0EC4">
      <w:pPr>
        <w:pStyle w:val="Tablenotes0"/>
      </w:pPr>
      <w:r w:rsidRPr="00247126">
        <w:t xml:space="preserve">Note: </w:t>
      </w:r>
      <w:r w:rsidR="00C61C04" w:rsidRPr="00247126">
        <w:t>Estimated percentages were calculated from KM curves. The widths of the CIs have not been adjusted for multiplicity and should not be used to reject or not reject treatment effects.</w:t>
      </w:r>
    </w:p>
    <w:p w14:paraId="2421A72D" w14:textId="1F3845CD" w:rsidR="00355EF4" w:rsidRPr="00247126" w:rsidRDefault="00355EF4" w:rsidP="00FD7E57">
      <w:pPr>
        <w:pStyle w:val="Tablenotes0"/>
      </w:pPr>
      <w:r w:rsidRPr="00247126">
        <w:t xml:space="preserve">Source: Table 47, </w:t>
      </w:r>
      <w:r w:rsidR="008448B9" w:rsidRPr="00247126">
        <w:t>Table 48</w:t>
      </w:r>
      <w:r w:rsidR="00F25B39" w:rsidRPr="00247126">
        <w:t>, Table 49</w:t>
      </w:r>
      <w:r w:rsidR="00231A78" w:rsidRPr="00247126">
        <w:t>, Table 50</w:t>
      </w:r>
      <w:r w:rsidR="00DA36CF" w:rsidRPr="00247126">
        <w:t xml:space="preserve">, </w:t>
      </w:r>
      <w:r w:rsidR="00143AB9" w:rsidRPr="00247126">
        <w:t xml:space="preserve">Table </w:t>
      </w:r>
      <w:proofErr w:type="gramStart"/>
      <w:r w:rsidR="00143AB9" w:rsidRPr="00247126">
        <w:t>51</w:t>
      </w:r>
      <w:proofErr w:type="gramEnd"/>
      <w:r w:rsidR="00DA36CF" w:rsidRPr="00247126">
        <w:t xml:space="preserve"> and </w:t>
      </w:r>
      <w:r w:rsidR="0056180E" w:rsidRPr="00247126">
        <w:t>Table 130</w:t>
      </w:r>
      <w:r w:rsidR="002E23C0" w:rsidRPr="00247126">
        <w:t xml:space="preserve"> </w:t>
      </w:r>
      <w:r w:rsidR="00B34AEB" w:rsidRPr="00247126">
        <w:t xml:space="preserve">of </w:t>
      </w:r>
      <w:r w:rsidRPr="00247126">
        <w:t xml:space="preserve">MSAC 1743 </w:t>
      </w:r>
      <w:proofErr w:type="spellStart"/>
      <w:r w:rsidRPr="00247126">
        <w:t>ADAR+in-line</w:t>
      </w:r>
      <w:proofErr w:type="spellEnd"/>
      <w:r w:rsidRPr="00247126">
        <w:t xml:space="preserve"> commentary</w:t>
      </w:r>
      <w:r w:rsidR="00143AB9" w:rsidRPr="00247126">
        <w:t>.</w:t>
      </w:r>
    </w:p>
    <w:p w14:paraId="37E8C9F2" w14:textId="2077B7C4" w:rsidR="00941B63" w:rsidRPr="00247126" w:rsidRDefault="00C32BCC" w:rsidP="00941B63">
      <w:pPr>
        <w:pStyle w:val="Caption"/>
      </w:pPr>
      <w:bookmarkStart w:id="26" w:name="_Ref163592358"/>
      <w:r w:rsidRPr="00247126">
        <w:t xml:space="preserve">Figure </w:t>
      </w:r>
      <w:r w:rsidRPr="00247126">
        <w:fldChar w:fldCharType="begin"/>
      </w:r>
      <w:r w:rsidRPr="00247126">
        <w:instrText xml:space="preserve"> SEQ Figure \* ARABIC </w:instrText>
      </w:r>
      <w:r w:rsidRPr="00247126">
        <w:fldChar w:fldCharType="separate"/>
      </w:r>
      <w:r w:rsidR="00151E03" w:rsidRPr="00247126">
        <w:rPr>
          <w:noProof/>
        </w:rPr>
        <w:t>3</w:t>
      </w:r>
      <w:r w:rsidRPr="00247126">
        <w:rPr>
          <w:noProof/>
        </w:rPr>
        <w:fldChar w:fldCharType="end"/>
      </w:r>
      <w:bookmarkEnd w:id="26"/>
      <w:r w:rsidRPr="00247126">
        <w:tab/>
        <w:t xml:space="preserve">Forest plot of key </w:t>
      </w:r>
      <w:r w:rsidR="00F245FE" w:rsidRPr="00247126">
        <w:t xml:space="preserve">effectiveness outcomes for the stent failure </w:t>
      </w:r>
      <w:proofErr w:type="spellStart"/>
      <w:proofErr w:type="gramStart"/>
      <w:r w:rsidR="00F245FE" w:rsidRPr="00247126">
        <w:t>subpopulation</w:t>
      </w:r>
      <w:r w:rsidR="00582553" w:rsidRPr="00247126">
        <w:rPr>
          <w:vertAlign w:val="superscript"/>
        </w:rPr>
        <w:t>a</w:t>
      </w:r>
      <w:proofErr w:type="spellEnd"/>
      <w:proofErr w:type="gramEnd"/>
    </w:p>
    <w:p w14:paraId="25CD4D0E" w14:textId="742D6636" w:rsidR="00F245FE" w:rsidRPr="00247126" w:rsidRDefault="00323096" w:rsidP="005E5ECB">
      <w:pPr>
        <w:pBdr>
          <w:top w:val="single" w:sz="4" w:space="1" w:color="auto"/>
          <w:left w:val="single" w:sz="4" w:space="4" w:color="auto"/>
          <w:bottom w:val="single" w:sz="4" w:space="1" w:color="auto"/>
          <w:right w:val="single" w:sz="4" w:space="4" w:color="auto"/>
        </w:pBdr>
        <w:spacing w:after="0"/>
      </w:pPr>
      <w:r w:rsidRPr="00247126">
        <w:rPr>
          <w:noProof/>
        </w:rPr>
        <w:drawing>
          <wp:inline distT="0" distB="0" distL="0" distR="0" wp14:anchorId="0CB7236D" wp14:editId="6197B95A">
            <wp:extent cx="5731510" cy="2790967"/>
            <wp:effectExtent l="0" t="0" r="2540" b="9525"/>
            <wp:docPr id="1745310453" name="Picture 1745310453" descr="This figure is a forest plot of key effectiveness outcomes for the stent failure sub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10453" name="Picture 3" descr="This figure is a forest plot of key effectiveness outcomes for the stent failure subpopul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790967"/>
                    </a:xfrm>
                    <a:prstGeom prst="rect">
                      <a:avLst/>
                    </a:prstGeom>
                    <a:noFill/>
                    <a:ln>
                      <a:noFill/>
                    </a:ln>
                  </pic:spPr>
                </pic:pic>
              </a:graphicData>
            </a:graphic>
          </wp:inline>
        </w:drawing>
      </w:r>
    </w:p>
    <w:p w14:paraId="497421A6" w14:textId="0E9CA4AB" w:rsidR="00555DEE" w:rsidRPr="00247126" w:rsidRDefault="00555DEE" w:rsidP="00555DEE">
      <w:pPr>
        <w:pStyle w:val="Tablenotes0"/>
      </w:pPr>
      <w:r w:rsidRPr="00247126">
        <w:t xml:space="preserve">AG = angiogram; CI = confidence interval; HR = hazard ratio; IV = inverse variance; MI = myocardial infarction; OCT = optical coherence tomography; SE = standard error; TVF = target vessel failure; TVR = target vessel revascularisation. </w:t>
      </w:r>
    </w:p>
    <w:p w14:paraId="312ED9AC" w14:textId="77777777" w:rsidR="00560D5C" w:rsidRPr="00247126" w:rsidRDefault="00560D5C" w:rsidP="00560D5C">
      <w:pPr>
        <w:pStyle w:val="Tablenotes0"/>
      </w:pPr>
      <w:r w:rsidRPr="00247126">
        <w:t>a Data were from patients with in-stent restenosis, which is a subset of the proposed stent failure subpopulation.</w:t>
      </w:r>
    </w:p>
    <w:p w14:paraId="3C9DAA6A" w14:textId="3786691C" w:rsidR="00D25E7B" w:rsidRPr="00247126" w:rsidRDefault="00555DEE" w:rsidP="00555DEE">
      <w:pPr>
        <w:pStyle w:val="Tablenotes0"/>
      </w:pPr>
      <w:r w:rsidRPr="00247126">
        <w:t xml:space="preserve">Note: </w:t>
      </w:r>
      <w:r w:rsidR="00841867" w:rsidRPr="00247126">
        <w:t>S</w:t>
      </w:r>
      <w:r w:rsidRPr="00247126">
        <w:t xml:space="preserve">ome CIs may vary slightly from those reported in the ADAR due to calculations being performed in </w:t>
      </w:r>
      <w:proofErr w:type="spellStart"/>
      <w:r w:rsidRPr="00247126">
        <w:t>RevMan</w:t>
      </w:r>
      <w:proofErr w:type="spellEnd"/>
      <w:r w:rsidRPr="00247126">
        <w:t xml:space="preserve"> Web. The small differences do not change the interpretation of the data.</w:t>
      </w:r>
    </w:p>
    <w:p w14:paraId="772DE0D1" w14:textId="451B413B" w:rsidR="005E5ECB" w:rsidRPr="00247126" w:rsidRDefault="005E5ECB" w:rsidP="00555DEE">
      <w:pPr>
        <w:pStyle w:val="Tablenotes0"/>
      </w:pPr>
      <w:r w:rsidRPr="00247126">
        <w:t xml:space="preserve">Source: </w:t>
      </w:r>
      <w:r w:rsidR="00D1368A" w:rsidRPr="00247126">
        <w:t xml:space="preserve">Commentary Figure 3 </w:t>
      </w:r>
      <w:r w:rsidR="00B34AEB" w:rsidRPr="00247126">
        <w:t xml:space="preserve">of </w:t>
      </w:r>
      <w:r w:rsidRPr="00247126">
        <w:t xml:space="preserve">MSAC 1743 </w:t>
      </w:r>
      <w:proofErr w:type="spellStart"/>
      <w:r w:rsidRPr="00247126">
        <w:t>ADAR+in-line</w:t>
      </w:r>
      <w:proofErr w:type="spellEnd"/>
      <w:r w:rsidRPr="00247126">
        <w:t xml:space="preserve"> commentary.</w:t>
      </w:r>
    </w:p>
    <w:p w14:paraId="7BCE428F" w14:textId="0AC749BD" w:rsidR="009737F3" w:rsidRPr="00247126" w:rsidRDefault="009737F3" w:rsidP="00803ED2">
      <w:r w:rsidRPr="00247126">
        <w:t>According to the</w:t>
      </w:r>
      <w:r w:rsidR="001D7F66" w:rsidRPr="00247126">
        <w:t xml:space="preserve"> European Association of Percutaneous Cardiovascular Interventions</w:t>
      </w:r>
      <w:r w:rsidRPr="00247126">
        <w:t xml:space="preserve"> </w:t>
      </w:r>
      <w:r w:rsidR="00D27172" w:rsidRPr="00247126">
        <w:t>(</w:t>
      </w:r>
      <w:r w:rsidRPr="00247126">
        <w:t>EAPCI</w:t>
      </w:r>
      <w:r w:rsidR="00841867" w:rsidRPr="00247126">
        <w:t>)</w:t>
      </w:r>
      <w:r w:rsidRPr="00247126">
        <w:t xml:space="preserve"> guidelines</w:t>
      </w:r>
      <w:r w:rsidR="00100588" w:rsidRPr="00247126">
        <w:t xml:space="preserve"> (</w:t>
      </w:r>
      <w:proofErr w:type="spellStart"/>
      <w:r w:rsidR="00100588" w:rsidRPr="00247126">
        <w:t>Räber</w:t>
      </w:r>
      <w:proofErr w:type="spellEnd"/>
      <w:r w:rsidR="00100588" w:rsidRPr="00247126">
        <w:t xml:space="preserve"> </w:t>
      </w:r>
      <w:r w:rsidR="009C145D" w:rsidRPr="00247126">
        <w:t xml:space="preserve">et al. </w:t>
      </w:r>
      <w:r w:rsidR="00100588" w:rsidRPr="00247126">
        <w:t>2018)</w:t>
      </w:r>
      <w:r w:rsidRPr="00247126">
        <w:t>, OCT can distinguish thrombus from other tissue components and is generally the imaging modality of choice for stent thrombosis, except for some cases when large amounts of thrombus is present, which may make the assessment of stent struts and the outer vessels challenging by OCT given light attenuation, in which case IVUS may be preferred.</w:t>
      </w:r>
    </w:p>
    <w:p w14:paraId="752DEE66" w14:textId="78C48BF7" w:rsidR="009B664C" w:rsidRPr="00247126" w:rsidRDefault="00256EAF" w:rsidP="00803ED2">
      <w:pPr>
        <w:pStyle w:val="Heading4"/>
      </w:pPr>
      <w:r w:rsidRPr="00247126">
        <w:t>Long</w:t>
      </w:r>
      <w:r w:rsidR="00DA1A6B" w:rsidRPr="00247126">
        <w:t>/multiple</w:t>
      </w:r>
      <w:r w:rsidRPr="00247126">
        <w:t xml:space="preserve"> lesion</w:t>
      </w:r>
      <w:r w:rsidR="00387690" w:rsidRPr="00247126">
        <w:t xml:space="preserve"> subpopulation</w:t>
      </w:r>
      <w:r w:rsidR="006B6E6E" w:rsidRPr="00247126">
        <w:t xml:space="preserve"> </w:t>
      </w:r>
    </w:p>
    <w:p w14:paraId="384D748D" w14:textId="17450DA6" w:rsidR="00C95961" w:rsidRPr="00247126" w:rsidRDefault="00645956" w:rsidP="00C95961">
      <w:r w:rsidRPr="00247126">
        <w:t>The key effectiveness outcomes at 2 years for the long</w:t>
      </w:r>
      <w:r w:rsidR="00DA1A6B" w:rsidRPr="00247126">
        <w:t>/multiple</w:t>
      </w:r>
      <w:r w:rsidRPr="00247126">
        <w:t xml:space="preserve"> lesion subpopulation </w:t>
      </w:r>
      <w:r w:rsidR="008C571C" w:rsidRPr="00247126">
        <w:t xml:space="preserve">comparing OCT+AG versus AG alone </w:t>
      </w:r>
      <w:r w:rsidRPr="00247126">
        <w:t>are presented i</w:t>
      </w:r>
      <w:r w:rsidR="008C571C" w:rsidRPr="00247126">
        <w:t xml:space="preserve">n </w:t>
      </w:r>
      <w:r w:rsidR="008C571C" w:rsidRPr="00247126">
        <w:fldChar w:fldCharType="begin"/>
      </w:r>
      <w:r w:rsidR="008C571C" w:rsidRPr="00247126">
        <w:instrText xml:space="preserve"> REF _Ref163556485 \h </w:instrText>
      </w:r>
      <w:r w:rsidR="00C567A2" w:rsidRPr="00247126">
        <w:instrText xml:space="preserve"> \* MERGEFORMAT </w:instrText>
      </w:r>
      <w:r w:rsidR="008C571C" w:rsidRPr="00247126">
        <w:fldChar w:fldCharType="separate"/>
      </w:r>
      <w:r w:rsidR="00151E03" w:rsidRPr="00247126">
        <w:t xml:space="preserve">Table </w:t>
      </w:r>
      <w:r w:rsidR="00151E03" w:rsidRPr="00247126">
        <w:rPr>
          <w:noProof/>
        </w:rPr>
        <w:t>12</w:t>
      </w:r>
      <w:r w:rsidR="008C571C" w:rsidRPr="00247126">
        <w:fldChar w:fldCharType="end"/>
      </w:r>
      <w:r w:rsidR="00AD3AF1" w:rsidRPr="00247126">
        <w:t xml:space="preserve"> and </w:t>
      </w:r>
      <w:r w:rsidR="00AD3AF1" w:rsidRPr="00247126">
        <w:fldChar w:fldCharType="begin"/>
      </w:r>
      <w:r w:rsidR="00AD3AF1" w:rsidRPr="00247126">
        <w:instrText xml:space="preserve"> REF _Ref163593233 \h </w:instrText>
      </w:r>
      <w:r w:rsidR="00C567A2" w:rsidRPr="00247126">
        <w:instrText xml:space="preserve"> \* MERGEFORMAT </w:instrText>
      </w:r>
      <w:r w:rsidR="00AD3AF1" w:rsidRPr="00247126">
        <w:fldChar w:fldCharType="separate"/>
      </w:r>
      <w:r w:rsidR="00151E03" w:rsidRPr="00247126">
        <w:t xml:space="preserve">Figure </w:t>
      </w:r>
      <w:r w:rsidR="00151E03" w:rsidRPr="00247126">
        <w:rPr>
          <w:noProof/>
        </w:rPr>
        <w:t>4</w:t>
      </w:r>
      <w:r w:rsidR="00AD3AF1" w:rsidRPr="00247126">
        <w:fldChar w:fldCharType="end"/>
      </w:r>
      <w:r w:rsidRPr="00247126">
        <w:t xml:space="preserve">. </w:t>
      </w:r>
      <w:r w:rsidR="00F5755B" w:rsidRPr="00247126">
        <w:t xml:space="preserve">The post hoc subgroup analysis </w:t>
      </w:r>
      <w:r w:rsidR="00522ED8" w:rsidRPr="00247126">
        <w:lastRenderedPageBreak/>
        <w:t>showed a</w:t>
      </w:r>
      <w:r w:rsidR="00F5755B" w:rsidRPr="00247126">
        <w:t xml:space="preserve"> </w:t>
      </w:r>
      <w:r w:rsidR="006E5545" w:rsidRPr="00247126">
        <w:t xml:space="preserve">statistically significant difference in favour of OCT+AG </w:t>
      </w:r>
      <w:r w:rsidR="00522ED8" w:rsidRPr="00247126">
        <w:t>compared with</w:t>
      </w:r>
      <w:r w:rsidR="006E5545" w:rsidRPr="00247126">
        <w:t xml:space="preserve"> AG alone </w:t>
      </w:r>
      <w:r w:rsidR="00522ED8" w:rsidRPr="00247126">
        <w:t>for</w:t>
      </w:r>
      <w:r w:rsidR="006E5545" w:rsidRPr="00247126">
        <w:t xml:space="preserve"> time to stent thrombosis at 2 years.</w:t>
      </w:r>
    </w:p>
    <w:p w14:paraId="6EB65628" w14:textId="34DE0ED8" w:rsidR="00C95961" w:rsidRPr="00247126" w:rsidRDefault="00C95961" w:rsidP="00C95961">
      <w:pPr>
        <w:pStyle w:val="Caption"/>
      </w:pPr>
      <w:bookmarkStart w:id="27" w:name="_Ref163556485"/>
      <w:r w:rsidRPr="00247126">
        <w:t xml:space="preserve">Table </w:t>
      </w:r>
      <w:r w:rsidRPr="00247126">
        <w:fldChar w:fldCharType="begin"/>
      </w:r>
      <w:r w:rsidRPr="00247126">
        <w:instrText xml:space="preserve"> SEQ Table \* ARABIC </w:instrText>
      </w:r>
      <w:r w:rsidRPr="00247126">
        <w:fldChar w:fldCharType="separate"/>
      </w:r>
      <w:r w:rsidR="00151E03" w:rsidRPr="00247126">
        <w:rPr>
          <w:noProof/>
        </w:rPr>
        <w:t>12</w:t>
      </w:r>
      <w:r w:rsidRPr="00247126">
        <w:rPr>
          <w:noProof/>
        </w:rPr>
        <w:fldChar w:fldCharType="end"/>
      </w:r>
      <w:bookmarkEnd w:id="27"/>
      <w:r w:rsidR="00A75478" w:rsidRPr="00247126">
        <w:tab/>
        <w:t>Key effectiveness outcomes at 2 years: OCT+AG v</w:t>
      </w:r>
      <w:r w:rsidR="00097A05" w:rsidRPr="00247126">
        <w:t>ersu</w:t>
      </w:r>
      <w:r w:rsidR="00A75478" w:rsidRPr="00247126">
        <w:t>s AG alone – long</w:t>
      </w:r>
      <w:r w:rsidR="00DA1A6B" w:rsidRPr="00247126">
        <w:t>/multiple</w:t>
      </w:r>
      <w:r w:rsidR="00A75478" w:rsidRPr="00247126">
        <w:t xml:space="preserve"> lesion subpopulation</w:t>
      </w:r>
    </w:p>
    <w:tbl>
      <w:tblPr>
        <w:tblStyle w:val="TableGrid"/>
        <w:tblW w:w="0" w:type="auto"/>
        <w:tblLook w:val="04A0" w:firstRow="1" w:lastRow="0" w:firstColumn="1" w:lastColumn="0" w:noHBand="0" w:noVBand="1"/>
        <w:tblCaption w:val="Key effectiveness outcomes at 2 years: OCT+AG versus AG alone – long lesion subpopulation"/>
        <w:tblDescription w:val="This table summarises the key effectiveness outcomes at 2 years: OCT+AG versus AG alone for the long lesion subpopulation."/>
      </w:tblPr>
      <w:tblGrid>
        <w:gridCol w:w="1814"/>
        <w:gridCol w:w="1871"/>
        <w:gridCol w:w="1344"/>
        <w:gridCol w:w="1345"/>
        <w:gridCol w:w="1559"/>
        <w:gridCol w:w="1058"/>
      </w:tblGrid>
      <w:tr w:rsidR="006A5514" w:rsidRPr="00247126" w14:paraId="0940FEE8" w14:textId="77777777" w:rsidTr="009102DB">
        <w:trPr>
          <w:tblHeader/>
        </w:trPr>
        <w:tc>
          <w:tcPr>
            <w:tcW w:w="1814" w:type="dxa"/>
            <w:tcMar>
              <w:left w:w="57" w:type="dxa"/>
              <w:right w:w="57" w:type="dxa"/>
            </w:tcMar>
          </w:tcPr>
          <w:p w14:paraId="0E78EC5E" w14:textId="77777777" w:rsidR="006A5514" w:rsidRPr="00247126" w:rsidRDefault="006A5514">
            <w:pPr>
              <w:pStyle w:val="TableHeading0"/>
            </w:pPr>
            <w:r w:rsidRPr="00247126">
              <w:t>Event</w:t>
            </w:r>
          </w:p>
        </w:tc>
        <w:tc>
          <w:tcPr>
            <w:tcW w:w="1871" w:type="dxa"/>
            <w:tcMar>
              <w:left w:w="57" w:type="dxa"/>
              <w:right w:w="57" w:type="dxa"/>
            </w:tcMar>
          </w:tcPr>
          <w:p w14:paraId="50108324" w14:textId="77777777" w:rsidR="006A5514" w:rsidRPr="00247126" w:rsidRDefault="006A5514">
            <w:pPr>
              <w:pStyle w:val="TableHeading0"/>
            </w:pPr>
            <w:r w:rsidRPr="00247126">
              <w:t>Evidence</w:t>
            </w:r>
          </w:p>
        </w:tc>
        <w:tc>
          <w:tcPr>
            <w:tcW w:w="1344" w:type="dxa"/>
            <w:tcMar>
              <w:left w:w="57" w:type="dxa"/>
              <w:right w:w="57" w:type="dxa"/>
            </w:tcMar>
          </w:tcPr>
          <w:p w14:paraId="72F87FD0" w14:textId="38B8B5A9" w:rsidR="006A5514" w:rsidRPr="00247126" w:rsidRDefault="006A5514" w:rsidP="00052727">
            <w:pPr>
              <w:pStyle w:val="TableHeading0"/>
            </w:pPr>
            <w:r w:rsidRPr="00247126">
              <w:t>OCT+AG</w:t>
            </w:r>
            <w:r w:rsidR="00052727" w:rsidRPr="00247126">
              <w:br/>
            </w:r>
            <w:r w:rsidRPr="00247126">
              <w:t>n/N (%)</w:t>
            </w:r>
          </w:p>
        </w:tc>
        <w:tc>
          <w:tcPr>
            <w:tcW w:w="1345" w:type="dxa"/>
            <w:tcMar>
              <w:left w:w="57" w:type="dxa"/>
              <w:right w:w="57" w:type="dxa"/>
            </w:tcMar>
          </w:tcPr>
          <w:p w14:paraId="054B3D62" w14:textId="5D0270F9" w:rsidR="006A5514" w:rsidRPr="00247126" w:rsidRDefault="006A5514" w:rsidP="00052727">
            <w:pPr>
              <w:pStyle w:val="TableHeading0"/>
            </w:pPr>
            <w:r w:rsidRPr="00247126">
              <w:t>AG alone</w:t>
            </w:r>
            <w:r w:rsidR="00052727" w:rsidRPr="00247126">
              <w:br/>
            </w:r>
            <w:r w:rsidRPr="00247126">
              <w:t>n/N (%)</w:t>
            </w:r>
          </w:p>
        </w:tc>
        <w:tc>
          <w:tcPr>
            <w:tcW w:w="1559" w:type="dxa"/>
            <w:tcMar>
              <w:left w:w="57" w:type="dxa"/>
              <w:right w:w="57" w:type="dxa"/>
            </w:tcMar>
          </w:tcPr>
          <w:p w14:paraId="3D157E53" w14:textId="449D238E" w:rsidR="006A5514" w:rsidRPr="00247126" w:rsidRDefault="006A5514" w:rsidP="00052727">
            <w:pPr>
              <w:pStyle w:val="TableHeading0"/>
            </w:pPr>
            <w:r w:rsidRPr="00247126">
              <w:t>HR [95% CI]</w:t>
            </w:r>
            <w:r w:rsidR="00052727" w:rsidRPr="00247126">
              <w:br/>
              <w:t xml:space="preserve">HR </w:t>
            </w:r>
            <w:r w:rsidRPr="00247126">
              <w:t>&lt;1 favours OCT+AG</w:t>
            </w:r>
          </w:p>
        </w:tc>
        <w:tc>
          <w:tcPr>
            <w:tcW w:w="1058" w:type="dxa"/>
            <w:tcMar>
              <w:left w:w="57" w:type="dxa"/>
              <w:right w:w="57" w:type="dxa"/>
            </w:tcMar>
          </w:tcPr>
          <w:p w14:paraId="7C9C0A38" w14:textId="3DB69EDE" w:rsidR="006A5514" w:rsidRPr="00247126" w:rsidRDefault="00E80C90">
            <w:pPr>
              <w:pStyle w:val="TableHeading0"/>
            </w:pPr>
            <w:r w:rsidRPr="00247126">
              <w:t>GRADE c</w:t>
            </w:r>
            <w:r w:rsidR="006A5514" w:rsidRPr="00247126">
              <w:t>ertainty of evidence</w:t>
            </w:r>
          </w:p>
        </w:tc>
      </w:tr>
      <w:tr w:rsidR="00AF0E5C" w:rsidRPr="00247126" w14:paraId="7223A4C2" w14:textId="77777777" w:rsidTr="009102DB">
        <w:tc>
          <w:tcPr>
            <w:tcW w:w="1814" w:type="dxa"/>
            <w:tcMar>
              <w:left w:w="57" w:type="dxa"/>
              <w:right w:w="57" w:type="dxa"/>
            </w:tcMar>
          </w:tcPr>
          <w:p w14:paraId="1D7FC7CD" w14:textId="59A9D3CA" w:rsidR="00AF0E5C" w:rsidRPr="00247126" w:rsidRDefault="00AF0E5C" w:rsidP="00AF0E5C">
            <w:pPr>
              <w:pStyle w:val="TableText"/>
            </w:pPr>
            <w:proofErr w:type="spellStart"/>
            <w:r w:rsidRPr="00247126">
              <w:t>TVF</w:t>
            </w:r>
            <w:r w:rsidR="00097A05" w:rsidRPr="00247126">
              <w:rPr>
                <w:vertAlign w:val="superscript"/>
              </w:rPr>
              <w:t>a</w:t>
            </w:r>
            <w:proofErr w:type="spellEnd"/>
            <w:r w:rsidRPr="00247126">
              <w:t xml:space="preserve"> </w:t>
            </w:r>
          </w:p>
        </w:tc>
        <w:tc>
          <w:tcPr>
            <w:tcW w:w="1871" w:type="dxa"/>
            <w:tcMar>
              <w:left w:w="57" w:type="dxa"/>
              <w:right w:w="57" w:type="dxa"/>
            </w:tcMar>
          </w:tcPr>
          <w:p w14:paraId="4A20BBD2" w14:textId="77777777" w:rsidR="00AF0E5C" w:rsidRPr="00247126" w:rsidRDefault="00AF0E5C" w:rsidP="00AF0E5C">
            <w:pPr>
              <w:pStyle w:val="TableText"/>
            </w:pPr>
            <w:r w:rsidRPr="00247126">
              <w:t>ILUMIEN IV subgroup</w:t>
            </w:r>
          </w:p>
        </w:tc>
        <w:tc>
          <w:tcPr>
            <w:tcW w:w="1344" w:type="dxa"/>
            <w:tcMar>
              <w:left w:w="57" w:type="dxa"/>
              <w:right w:w="57" w:type="dxa"/>
            </w:tcMar>
          </w:tcPr>
          <w:p w14:paraId="64D2318B" w14:textId="44A7D02A" w:rsidR="00AF0E5C" w:rsidRPr="00247126" w:rsidRDefault="00AF0E5C" w:rsidP="00AF0E5C">
            <w:pPr>
              <w:pStyle w:val="TableText"/>
            </w:pPr>
            <w:r w:rsidRPr="00247126">
              <w:t>53/853 (6.2%)</w:t>
            </w:r>
          </w:p>
        </w:tc>
        <w:tc>
          <w:tcPr>
            <w:tcW w:w="1345" w:type="dxa"/>
            <w:tcMar>
              <w:left w:w="57" w:type="dxa"/>
              <w:right w:w="57" w:type="dxa"/>
            </w:tcMar>
          </w:tcPr>
          <w:p w14:paraId="6EC37B8F" w14:textId="74E9B3E5" w:rsidR="00AF0E5C" w:rsidRPr="00247126" w:rsidRDefault="00AF0E5C" w:rsidP="00AF0E5C">
            <w:pPr>
              <w:pStyle w:val="TableText"/>
            </w:pPr>
            <w:r w:rsidRPr="00247126">
              <w:t>63/824 (7.7%)</w:t>
            </w:r>
          </w:p>
        </w:tc>
        <w:tc>
          <w:tcPr>
            <w:tcW w:w="1559" w:type="dxa"/>
            <w:tcMar>
              <w:left w:w="57" w:type="dxa"/>
              <w:right w:w="57" w:type="dxa"/>
            </w:tcMar>
          </w:tcPr>
          <w:p w14:paraId="5C680386" w14:textId="7E0440D0" w:rsidR="00AF0E5C" w:rsidRPr="00247126" w:rsidRDefault="00AF0E5C" w:rsidP="00AF0E5C">
            <w:pPr>
              <w:pStyle w:val="TableText"/>
              <w:rPr>
                <w:vertAlign w:val="superscript"/>
              </w:rPr>
            </w:pPr>
            <w:r w:rsidRPr="00247126">
              <w:t>0.81 [0.56, 1.16]</w:t>
            </w:r>
          </w:p>
        </w:tc>
        <w:tc>
          <w:tcPr>
            <w:tcW w:w="1058" w:type="dxa"/>
            <w:tcMar>
              <w:left w:w="57" w:type="dxa"/>
              <w:right w:w="57" w:type="dxa"/>
            </w:tcMar>
          </w:tcPr>
          <w:p w14:paraId="1D5C1F26" w14:textId="4057BC99" w:rsidR="00AF0E5C" w:rsidRPr="00247126" w:rsidRDefault="0035721B" w:rsidP="00AF0E5C">
            <w:pPr>
              <w:pStyle w:val="TableText"/>
            </w:pPr>
            <w:r w:rsidRPr="00247126">
              <w:t>Moderate</w:t>
            </w:r>
          </w:p>
        </w:tc>
      </w:tr>
      <w:tr w:rsidR="00D33687" w:rsidRPr="00247126" w14:paraId="6AE9573C" w14:textId="77777777" w:rsidTr="009102DB">
        <w:tc>
          <w:tcPr>
            <w:tcW w:w="1814" w:type="dxa"/>
            <w:tcMar>
              <w:left w:w="57" w:type="dxa"/>
              <w:right w:w="57" w:type="dxa"/>
            </w:tcMar>
          </w:tcPr>
          <w:p w14:paraId="5C7489E8" w14:textId="77777777" w:rsidR="00D33687" w:rsidRPr="00247126" w:rsidRDefault="00D33687" w:rsidP="00D33687">
            <w:pPr>
              <w:pStyle w:val="TableText"/>
            </w:pPr>
            <w:r w:rsidRPr="00247126">
              <w:t xml:space="preserve">Target vessel MI </w:t>
            </w:r>
          </w:p>
        </w:tc>
        <w:tc>
          <w:tcPr>
            <w:tcW w:w="1871" w:type="dxa"/>
            <w:tcMar>
              <w:left w:w="57" w:type="dxa"/>
              <w:right w:w="57" w:type="dxa"/>
            </w:tcMar>
          </w:tcPr>
          <w:p w14:paraId="7DDB649E" w14:textId="77777777" w:rsidR="00D33687" w:rsidRPr="00247126" w:rsidRDefault="00D33687" w:rsidP="00D33687">
            <w:pPr>
              <w:pStyle w:val="TableText"/>
            </w:pPr>
            <w:r w:rsidRPr="00247126">
              <w:t>ILUMIEN IV subgroup</w:t>
            </w:r>
          </w:p>
        </w:tc>
        <w:tc>
          <w:tcPr>
            <w:tcW w:w="1344" w:type="dxa"/>
            <w:tcMar>
              <w:left w:w="57" w:type="dxa"/>
              <w:right w:w="57" w:type="dxa"/>
            </w:tcMar>
          </w:tcPr>
          <w:p w14:paraId="64AFEB58" w14:textId="1151B95E" w:rsidR="00D33687" w:rsidRPr="00247126" w:rsidRDefault="00D33687" w:rsidP="00D33687">
            <w:pPr>
              <w:pStyle w:val="TableText"/>
            </w:pPr>
            <w:r w:rsidRPr="00247126">
              <w:t>23/853 (2.7%)</w:t>
            </w:r>
          </w:p>
        </w:tc>
        <w:tc>
          <w:tcPr>
            <w:tcW w:w="1345" w:type="dxa"/>
            <w:tcMar>
              <w:left w:w="57" w:type="dxa"/>
              <w:right w:w="57" w:type="dxa"/>
            </w:tcMar>
          </w:tcPr>
          <w:p w14:paraId="4BE4892D" w14:textId="0740FC74" w:rsidR="00D33687" w:rsidRPr="00247126" w:rsidRDefault="00D33687" w:rsidP="00D33687">
            <w:pPr>
              <w:pStyle w:val="TableText"/>
            </w:pPr>
            <w:r w:rsidRPr="00247126">
              <w:t>31/824 (3.8%)</w:t>
            </w:r>
          </w:p>
        </w:tc>
        <w:tc>
          <w:tcPr>
            <w:tcW w:w="1559" w:type="dxa"/>
            <w:tcMar>
              <w:left w:w="57" w:type="dxa"/>
              <w:right w:w="57" w:type="dxa"/>
            </w:tcMar>
          </w:tcPr>
          <w:p w14:paraId="196F6701" w14:textId="6321B58C" w:rsidR="00D33687" w:rsidRPr="00247126" w:rsidRDefault="00D33687" w:rsidP="00D33687">
            <w:pPr>
              <w:pStyle w:val="TableText"/>
            </w:pPr>
            <w:r w:rsidRPr="00247126">
              <w:t>0.71 [0.42, 1.22]</w:t>
            </w:r>
          </w:p>
        </w:tc>
        <w:tc>
          <w:tcPr>
            <w:tcW w:w="1058" w:type="dxa"/>
            <w:tcMar>
              <w:left w:w="57" w:type="dxa"/>
              <w:right w:w="57" w:type="dxa"/>
            </w:tcMar>
          </w:tcPr>
          <w:p w14:paraId="61CF5B2A" w14:textId="44950C30" w:rsidR="00D33687" w:rsidRPr="00247126" w:rsidRDefault="00541E6A" w:rsidP="00D33687">
            <w:pPr>
              <w:pStyle w:val="TableText"/>
            </w:pPr>
            <w:r w:rsidRPr="00247126">
              <w:t>Low</w:t>
            </w:r>
          </w:p>
        </w:tc>
      </w:tr>
      <w:tr w:rsidR="00901006" w:rsidRPr="00247126" w14:paraId="6FC33A4C" w14:textId="77777777" w:rsidTr="009102DB">
        <w:tc>
          <w:tcPr>
            <w:tcW w:w="1814" w:type="dxa"/>
            <w:tcMar>
              <w:left w:w="57" w:type="dxa"/>
              <w:right w:w="57" w:type="dxa"/>
            </w:tcMar>
          </w:tcPr>
          <w:p w14:paraId="14C4981A" w14:textId="61335822" w:rsidR="00901006" w:rsidRPr="00247126" w:rsidRDefault="00901006" w:rsidP="00901006">
            <w:pPr>
              <w:pStyle w:val="TableText"/>
            </w:pPr>
            <w:r w:rsidRPr="00247126">
              <w:t>Ischemia-driven TVR</w:t>
            </w:r>
          </w:p>
        </w:tc>
        <w:tc>
          <w:tcPr>
            <w:tcW w:w="1871" w:type="dxa"/>
            <w:tcMar>
              <w:left w:w="57" w:type="dxa"/>
              <w:right w:w="57" w:type="dxa"/>
            </w:tcMar>
          </w:tcPr>
          <w:p w14:paraId="550BE84C" w14:textId="77777777" w:rsidR="00901006" w:rsidRPr="00247126" w:rsidRDefault="00901006" w:rsidP="00901006">
            <w:pPr>
              <w:pStyle w:val="TableText"/>
            </w:pPr>
            <w:r w:rsidRPr="00247126">
              <w:t>ILUMIEN IV subgroup</w:t>
            </w:r>
          </w:p>
        </w:tc>
        <w:tc>
          <w:tcPr>
            <w:tcW w:w="1344" w:type="dxa"/>
            <w:tcMar>
              <w:left w:w="57" w:type="dxa"/>
              <w:right w:w="57" w:type="dxa"/>
            </w:tcMar>
          </w:tcPr>
          <w:p w14:paraId="44DB970E" w14:textId="13DCF97A" w:rsidR="00901006" w:rsidRPr="00247126" w:rsidRDefault="00901006" w:rsidP="00901006">
            <w:pPr>
              <w:pStyle w:val="TableText"/>
            </w:pPr>
            <w:r w:rsidRPr="00247126">
              <w:t>38/853 (4.5%)</w:t>
            </w:r>
          </w:p>
        </w:tc>
        <w:tc>
          <w:tcPr>
            <w:tcW w:w="1345" w:type="dxa"/>
            <w:tcMar>
              <w:left w:w="57" w:type="dxa"/>
              <w:right w:w="57" w:type="dxa"/>
            </w:tcMar>
          </w:tcPr>
          <w:p w14:paraId="373EE00F" w14:textId="1F5B796A" w:rsidR="00901006" w:rsidRPr="00247126" w:rsidRDefault="00901006" w:rsidP="00901006">
            <w:pPr>
              <w:pStyle w:val="TableText"/>
            </w:pPr>
            <w:r w:rsidRPr="00247126">
              <w:t>37/824 (4.5%)</w:t>
            </w:r>
          </w:p>
        </w:tc>
        <w:tc>
          <w:tcPr>
            <w:tcW w:w="1559" w:type="dxa"/>
            <w:tcMar>
              <w:left w:w="57" w:type="dxa"/>
              <w:right w:w="57" w:type="dxa"/>
            </w:tcMar>
          </w:tcPr>
          <w:p w14:paraId="02266F7A" w14:textId="134DA4E9" w:rsidR="00901006" w:rsidRPr="00247126" w:rsidRDefault="00901006" w:rsidP="00901006">
            <w:pPr>
              <w:pStyle w:val="TableText"/>
            </w:pPr>
            <w:r w:rsidRPr="00247126">
              <w:t>0.99 [0.63, 1.56]</w:t>
            </w:r>
          </w:p>
        </w:tc>
        <w:tc>
          <w:tcPr>
            <w:tcW w:w="1058" w:type="dxa"/>
            <w:tcMar>
              <w:left w:w="57" w:type="dxa"/>
              <w:right w:w="57" w:type="dxa"/>
            </w:tcMar>
          </w:tcPr>
          <w:p w14:paraId="178F4E80" w14:textId="779B5217" w:rsidR="00901006" w:rsidRPr="00247126" w:rsidRDefault="00541E6A" w:rsidP="00901006">
            <w:pPr>
              <w:pStyle w:val="TableText"/>
            </w:pPr>
            <w:r w:rsidRPr="00247126">
              <w:t>Low</w:t>
            </w:r>
          </w:p>
        </w:tc>
      </w:tr>
      <w:tr w:rsidR="008D13B5" w:rsidRPr="00247126" w14:paraId="7B024B05" w14:textId="77777777" w:rsidTr="009102DB">
        <w:tc>
          <w:tcPr>
            <w:tcW w:w="1814" w:type="dxa"/>
            <w:tcMar>
              <w:left w:w="57" w:type="dxa"/>
              <w:right w:w="57" w:type="dxa"/>
            </w:tcMar>
          </w:tcPr>
          <w:p w14:paraId="2FA0767D" w14:textId="77777777" w:rsidR="008D13B5" w:rsidRPr="00247126" w:rsidRDefault="008D13B5" w:rsidP="008D13B5">
            <w:pPr>
              <w:pStyle w:val="TableText"/>
            </w:pPr>
            <w:r w:rsidRPr="00247126">
              <w:t xml:space="preserve">Cardiac death </w:t>
            </w:r>
          </w:p>
        </w:tc>
        <w:tc>
          <w:tcPr>
            <w:tcW w:w="1871" w:type="dxa"/>
            <w:tcMar>
              <w:left w:w="57" w:type="dxa"/>
              <w:right w:w="57" w:type="dxa"/>
            </w:tcMar>
          </w:tcPr>
          <w:p w14:paraId="39EE5D12" w14:textId="77777777" w:rsidR="008D13B5" w:rsidRPr="00247126" w:rsidRDefault="008D13B5" w:rsidP="008D13B5">
            <w:pPr>
              <w:pStyle w:val="TableText"/>
            </w:pPr>
            <w:r w:rsidRPr="00247126">
              <w:t>ILUMIEN IV subgroup</w:t>
            </w:r>
          </w:p>
        </w:tc>
        <w:tc>
          <w:tcPr>
            <w:tcW w:w="1344" w:type="dxa"/>
            <w:tcMar>
              <w:left w:w="57" w:type="dxa"/>
              <w:right w:w="57" w:type="dxa"/>
            </w:tcMar>
          </w:tcPr>
          <w:p w14:paraId="08755635" w14:textId="309DD78E" w:rsidR="008D13B5" w:rsidRPr="00247126" w:rsidRDefault="008D13B5" w:rsidP="008D13B5">
            <w:pPr>
              <w:pStyle w:val="TableText"/>
            </w:pPr>
            <w:r w:rsidRPr="00247126">
              <w:t>5/853 (0.6%)</w:t>
            </w:r>
          </w:p>
        </w:tc>
        <w:tc>
          <w:tcPr>
            <w:tcW w:w="1345" w:type="dxa"/>
            <w:tcMar>
              <w:left w:w="57" w:type="dxa"/>
              <w:right w:w="57" w:type="dxa"/>
            </w:tcMar>
          </w:tcPr>
          <w:p w14:paraId="1878DA7E" w14:textId="326326A9" w:rsidR="008D13B5" w:rsidRPr="00247126" w:rsidRDefault="008D13B5" w:rsidP="008D13B5">
            <w:pPr>
              <w:pStyle w:val="TableText"/>
            </w:pPr>
            <w:r w:rsidRPr="00247126">
              <w:t>12/824 (1.5%)</w:t>
            </w:r>
          </w:p>
        </w:tc>
        <w:tc>
          <w:tcPr>
            <w:tcW w:w="1559" w:type="dxa"/>
            <w:tcMar>
              <w:left w:w="57" w:type="dxa"/>
              <w:right w:w="57" w:type="dxa"/>
            </w:tcMar>
          </w:tcPr>
          <w:p w14:paraId="6F62BFD4" w14:textId="20CEE8D7" w:rsidR="008D13B5" w:rsidRPr="00247126" w:rsidRDefault="008D13B5" w:rsidP="008D13B5">
            <w:pPr>
              <w:pStyle w:val="TableText"/>
            </w:pPr>
            <w:r w:rsidRPr="00247126">
              <w:t>0.40 [0.14, 1.14]</w:t>
            </w:r>
          </w:p>
        </w:tc>
        <w:tc>
          <w:tcPr>
            <w:tcW w:w="1058" w:type="dxa"/>
            <w:tcMar>
              <w:left w:w="57" w:type="dxa"/>
              <w:right w:w="57" w:type="dxa"/>
            </w:tcMar>
          </w:tcPr>
          <w:p w14:paraId="3A6620BA" w14:textId="6FF0D82D" w:rsidR="008D13B5" w:rsidRPr="00247126" w:rsidRDefault="00541E6A" w:rsidP="008D13B5">
            <w:pPr>
              <w:pStyle w:val="TableText"/>
            </w:pPr>
            <w:r w:rsidRPr="00247126">
              <w:t>Low</w:t>
            </w:r>
          </w:p>
        </w:tc>
      </w:tr>
      <w:tr w:rsidR="00EC4C0A" w:rsidRPr="00247126" w14:paraId="7543BE98" w14:textId="77777777" w:rsidTr="009102DB">
        <w:tc>
          <w:tcPr>
            <w:tcW w:w="1814" w:type="dxa"/>
            <w:tcMar>
              <w:left w:w="57" w:type="dxa"/>
              <w:right w:w="57" w:type="dxa"/>
            </w:tcMar>
          </w:tcPr>
          <w:p w14:paraId="2204FBA6" w14:textId="77777777" w:rsidR="00EC4C0A" w:rsidRPr="00247126" w:rsidRDefault="00EC4C0A" w:rsidP="00EC4C0A">
            <w:pPr>
              <w:pStyle w:val="TableText"/>
            </w:pPr>
            <w:r w:rsidRPr="00247126">
              <w:t xml:space="preserve">Stent thrombosis </w:t>
            </w:r>
          </w:p>
        </w:tc>
        <w:tc>
          <w:tcPr>
            <w:tcW w:w="1871" w:type="dxa"/>
            <w:tcMar>
              <w:left w:w="57" w:type="dxa"/>
              <w:right w:w="57" w:type="dxa"/>
            </w:tcMar>
          </w:tcPr>
          <w:p w14:paraId="3436DA75" w14:textId="77777777" w:rsidR="00EC4C0A" w:rsidRPr="00247126" w:rsidRDefault="00EC4C0A" w:rsidP="00EC4C0A">
            <w:pPr>
              <w:pStyle w:val="TableText"/>
            </w:pPr>
            <w:r w:rsidRPr="00247126">
              <w:t>ILUMIEN IV subgroup</w:t>
            </w:r>
          </w:p>
        </w:tc>
        <w:tc>
          <w:tcPr>
            <w:tcW w:w="1344" w:type="dxa"/>
            <w:tcMar>
              <w:left w:w="57" w:type="dxa"/>
              <w:right w:w="57" w:type="dxa"/>
            </w:tcMar>
          </w:tcPr>
          <w:p w14:paraId="37679B76" w14:textId="03585761" w:rsidR="00EC4C0A" w:rsidRPr="00247126" w:rsidRDefault="00EC4C0A" w:rsidP="00EC4C0A">
            <w:pPr>
              <w:pStyle w:val="TableText"/>
            </w:pPr>
            <w:r w:rsidRPr="00247126">
              <w:t>5/853 (0.6%)</w:t>
            </w:r>
          </w:p>
        </w:tc>
        <w:tc>
          <w:tcPr>
            <w:tcW w:w="1345" w:type="dxa"/>
            <w:tcMar>
              <w:left w:w="57" w:type="dxa"/>
              <w:right w:w="57" w:type="dxa"/>
            </w:tcMar>
          </w:tcPr>
          <w:p w14:paraId="1CC3D95B" w14:textId="6F1CE2E0" w:rsidR="00EC4C0A" w:rsidRPr="00247126" w:rsidRDefault="00EC4C0A" w:rsidP="00EC4C0A">
            <w:pPr>
              <w:pStyle w:val="TableText"/>
            </w:pPr>
            <w:r w:rsidRPr="00247126">
              <w:t>15/824 (1.8%)</w:t>
            </w:r>
          </w:p>
        </w:tc>
        <w:tc>
          <w:tcPr>
            <w:tcW w:w="1559" w:type="dxa"/>
            <w:tcMar>
              <w:left w:w="57" w:type="dxa"/>
              <w:right w:w="57" w:type="dxa"/>
            </w:tcMar>
          </w:tcPr>
          <w:p w14:paraId="20764995" w14:textId="4238A5E2" w:rsidR="00EC4C0A" w:rsidRPr="00247126" w:rsidRDefault="00EC4C0A" w:rsidP="00EC4C0A">
            <w:pPr>
              <w:pStyle w:val="TableText"/>
            </w:pPr>
            <w:r w:rsidRPr="00247126">
              <w:rPr>
                <w:b/>
              </w:rPr>
              <w:t>0.32 [0.12, 0.88]</w:t>
            </w:r>
          </w:p>
        </w:tc>
        <w:tc>
          <w:tcPr>
            <w:tcW w:w="1058" w:type="dxa"/>
            <w:tcMar>
              <w:left w:w="57" w:type="dxa"/>
              <w:right w:w="57" w:type="dxa"/>
            </w:tcMar>
          </w:tcPr>
          <w:p w14:paraId="74F1A494" w14:textId="48ADE8E5" w:rsidR="00EC4C0A" w:rsidRPr="00247126" w:rsidRDefault="00541E6A" w:rsidP="00EC4C0A">
            <w:pPr>
              <w:pStyle w:val="TableText"/>
            </w:pPr>
            <w:r w:rsidRPr="00247126">
              <w:t>Moderate</w:t>
            </w:r>
          </w:p>
        </w:tc>
      </w:tr>
    </w:tbl>
    <w:p w14:paraId="5F2F2247" w14:textId="77777777" w:rsidR="00DA09B7" w:rsidRPr="00247126" w:rsidRDefault="00DA09B7" w:rsidP="00DA09B7">
      <w:pPr>
        <w:pStyle w:val="Tablenotes0"/>
      </w:pPr>
      <w:r w:rsidRPr="00247126">
        <w:t>AG = angiogram; CI = confidence interval; HR = hazard ratio; MI = myocardial infarction; OCT = optical coherence tomography; TVF = target vessel failure; TVR = target vessel revascularisation.</w:t>
      </w:r>
    </w:p>
    <w:p w14:paraId="6CCB67C5" w14:textId="353DA797" w:rsidR="00097A05" w:rsidRPr="00247126" w:rsidRDefault="00097A05" w:rsidP="00097A05">
      <w:pPr>
        <w:pStyle w:val="Tablenotes0"/>
      </w:pPr>
      <w:r w:rsidRPr="00247126">
        <w:t xml:space="preserve">a TVF, defined as </w:t>
      </w:r>
      <w:r w:rsidR="000F34AB" w:rsidRPr="00247126">
        <w:t xml:space="preserve">a composite of </w:t>
      </w:r>
      <w:r w:rsidRPr="00247126">
        <w:t xml:space="preserve">death from a cardiac cause, target vessel MI, or </w:t>
      </w:r>
      <w:proofErr w:type="gramStart"/>
      <w:r w:rsidRPr="00247126">
        <w:t>ischemia-driven</w:t>
      </w:r>
      <w:proofErr w:type="gramEnd"/>
      <w:r w:rsidRPr="00247126">
        <w:t xml:space="preserve"> TVR.</w:t>
      </w:r>
    </w:p>
    <w:p w14:paraId="1645D299" w14:textId="15AF9F7D" w:rsidR="00872BF6" w:rsidRPr="00247126" w:rsidRDefault="00D25E7B" w:rsidP="00D25E7B">
      <w:pPr>
        <w:pStyle w:val="Tablenotes0"/>
      </w:pPr>
      <w:r w:rsidRPr="00247126">
        <w:t>Note</w:t>
      </w:r>
      <w:r w:rsidR="00872BF6" w:rsidRPr="00247126">
        <w:t>s</w:t>
      </w:r>
      <w:r w:rsidRPr="00247126">
        <w:t xml:space="preserve">: </w:t>
      </w:r>
      <w:r w:rsidR="00B878F5" w:rsidRPr="00247126">
        <w:t xml:space="preserve">Results in bold are statistically significant. </w:t>
      </w:r>
      <w:r w:rsidR="00A06973" w:rsidRPr="00247126">
        <w:t xml:space="preserve">Estimated percentages were calculated from KM curves. </w:t>
      </w:r>
    </w:p>
    <w:p w14:paraId="577D685B" w14:textId="22AD2942" w:rsidR="006A5514" w:rsidRPr="00247126" w:rsidRDefault="00D25E7B" w:rsidP="007544C8">
      <w:pPr>
        <w:pStyle w:val="Tablenotes0"/>
      </w:pPr>
      <w:r w:rsidRPr="00247126">
        <w:t xml:space="preserve">Source: </w:t>
      </w:r>
      <w:r w:rsidR="00F11CD3" w:rsidRPr="00247126">
        <w:t xml:space="preserve">Table </w:t>
      </w:r>
      <w:r w:rsidR="00C50C3C" w:rsidRPr="00247126">
        <w:t xml:space="preserve">52, </w:t>
      </w:r>
      <w:r w:rsidR="006928A5" w:rsidRPr="00247126">
        <w:t>Table 53, Table 54</w:t>
      </w:r>
      <w:r w:rsidR="00C30186" w:rsidRPr="00247126">
        <w:t>, Table 55</w:t>
      </w:r>
      <w:r w:rsidR="003F0428" w:rsidRPr="00247126">
        <w:t>,</w:t>
      </w:r>
      <w:r w:rsidR="00C604FE" w:rsidRPr="00247126">
        <w:t xml:space="preserve"> Table </w:t>
      </w:r>
      <w:proofErr w:type="gramStart"/>
      <w:r w:rsidR="00C604FE" w:rsidRPr="00247126">
        <w:t>56</w:t>
      </w:r>
      <w:proofErr w:type="gramEnd"/>
      <w:r w:rsidR="00C604FE" w:rsidRPr="00247126">
        <w:t xml:space="preserve"> and Table </w:t>
      </w:r>
      <w:r w:rsidR="00721A8C" w:rsidRPr="00247126">
        <w:t>13</w:t>
      </w:r>
      <w:r w:rsidR="00C65757" w:rsidRPr="00247126">
        <w:t>2</w:t>
      </w:r>
      <w:r w:rsidR="00CF2E54" w:rsidRPr="00247126">
        <w:t xml:space="preserve"> </w:t>
      </w:r>
      <w:r w:rsidR="00B34AEB" w:rsidRPr="00247126">
        <w:t xml:space="preserve">of </w:t>
      </w:r>
      <w:r w:rsidR="00F11CD3" w:rsidRPr="00247126">
        <w:t xml:space="preserve">MSAC 1743 </w:t>
      </w:r>
      <w:proofErr w:type="spellStart"/>
      <w:r w:rsidR="00F11CD3" w:rsidRPr="00247126">
        <w:t>ADAR+in-line</w:t>
      </w:r>
      <w:proofErr w:type="spellEnd"/>
      <w:r w:rsidR="00F11CD3" w:rsidRPr="00247126">
        <w:t xml:space="preserve"> commentary</w:t>
      </w:r>
      <w:r w:rsidR="00C604FE" w:rsidRPr="00247126">
        <w:t>.</w:t>
      </w:r>
    </w:p>
    <w:p w14:paraId="4B6ADD71" w14:textId="320F129F" w:rsidR="00CF08FC" w:rsidRPr="00247126" w:rsidRDefault="00C32BCC" w:rsidP="00CF08FC">
      <w:pPr>
        <w:pStyle w:val="Caption"/>
      </w:pPr>
      <w:bookmarkStart w:id="28" w:name="_Ref163593233"/>
      <w:r w:rsidRPr="00247126">
        <w:t xml:space="preserve">Figure </w:t>
      </w:r>
      <w:r w:rsidRPr="00247126">
        <w:fldChar w:fldCharType="begin"/>
      </w:r>
      <w:r w:rsidRPr="00247126">
        <w:instrText xml:space="preserve"> SEQ Figure \* ARABIC </w:instrText>
      </w:r>
      <w:r w:rsidRPr="00247126">
        <w:fldChar w:fldCharType="separate"/>
      </w:r>
      <w:r w:rsidR="00151E03" w:rsidRPr="00247126">
        <w:rPr>
          <w:noProof/>
        </w:rPr>
        <w:t>4</w:t>
      </w:r>
      <w:r w:rsidRPr="00247126">
        <w:rPr>
          <w:noProof/>
        </w:rPr>
        <w:fldChar w:fldCharType="end"/>
      </w:r>
      <w:bookmarkEnd w:id="28"/>
      <w:r w:rsidRPr="00247126">
        <w:tab/>
        <w:t xml:space="preserve">Forest plot of key </w:t>
      </w:r>
      <w:r w:rsidR="00BD0E1A" w:rsidRPr="00247126">
        <w:t>effectiveness outcomes for the long</w:t>
      </w:r>
      <w:r w:rsidR="00DA1A6B" w:rsidRPr="00247126">
        <w:t>/multiple</w:t>
      </w:r>
      <w:r w:rsidR="00BD0E1A" w:rsidRPr="00247126">
        <w:t xml:space="preserve"> lesion subpopulation</w:t>
      </w:r>
      <w:r w:rsidR="00CE7AA7" w:rsidRPr="00247126">
        <w:t xml:space="preserve">, versus AG </w:t>
      </w:r>
      <w:proofErr w:type="gramStart"/>
      <w:r w:rsidR="00CE7AA7" w:rsidRPr="00247126">
        <w:t>alone</w:t>
      </w:r>
      <w:proofErr w:type="gramEnd"/>
    </w:p>
    <w:p w14:paraId="4B5F0533" w14:textId="12C7450B" w:rsidR="00116343" w:rsidRPr="00247126" w:rsidRDefault="00116343" w:rsidP="00BD0E1A">
      <w:pPr>
        <w:pBdr>
          <w:top w:val="single" w:sz="4" w:space="1" w:color="auto"/>
          <w:left w:val="single" w:sz="4" w:space="4" w:color="auto"/>
          <w:bottom w:val="single" w:sz="4" w:space="1" w:color="auto"/>
          <w:right w:val="single" w:sz="4" w:space="4" w:color="auto"/>
        </w:pBdr>
        <w:spacing w:after="0"/>
      </w:pPr>
      <w:r w:rsidRPr="00247126">
        <w:rPr>
          <w:noProof/>
        </w:rPr>
        <w:drawing>
          <wp:inline distT="0" distB="0" distL="0" distR="0" wp14:anchorId="4D835077" wp14:editId="6EE9BA05">
            <wp:extent cx="5730875" cy="2729552"/>
            <wp:effectExtent l="0" t="0" r="3175" b="0"/>
            <wp:docPr id="723819247" name="Picture 723819247" descr="This figure is a forest plot of key effectiveness outcomes for the long lesion subpopulation, versus AG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19247" name="Picture 2" descr="This figure is a forest plot of key effectiveness outcomes for the long lesion subpopulation, versus AG al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2729552"/>
                    </a:xfrm>
                    <a:prstGeom prst="rect">
                      <a:avLst/>
                    </a:prstGeom>
                    <a:noFill/>
                  </pic:spPr>
                </pic:pic>
              </a:graphicData>
            </a:graphic>
          </wp:inline>
        </w:drawing>
      </w:r>
    </w:p>
    <w:p w14:paraId="601771CC" w14:textId="1D7C385D" w:rsidR="003B61AA" w:rsidRPr="00247126" w:rsidRDefault="003B61AA" w:rsidP="003B61AA">
      <w:pPr>
        <w:pStyle w:val="Tablenotes0"/>
      </w:pPr>
      <w:r w:rsidRPr="00247126">
        <w:t xml:space="preserve">AG = angiogram; CI = confidence interval; HR = hazard ratio; IV = inverse variance; MI = myocardial infarction; OCT = optical coherence tomography; SE = standard error; TVF = target vessel failure; TVR = target vessel revascularisation. </w:t>
      </w:r>
    </w:p>
    <w:p w14:paraId="5F0E6168" w14:textId="418B1244" w:rsidR="00BD0E1A" w:rsidRPr="00247126" w:rsidRDefault="003B61AA" w:rsidP="003B61AA">
      <w:pPr>
        <w:pStyle w:val="Tablenotes0"/>
      </w:pPr>
      <w:r w:rsidRPr="00247126">
        <w:t xml:space="preserve">Note: some CIs may vary slightly from those reported in the ADAR due to calculations being performed in </w:t>
      </w:r>
      <w:proofErr w:type="spellStart"/>
      <w:r w:rsidRPr="00247126">
        <w:t>RevMan</w:t>
      </w:r>
      <w:proofErr w:type="spellEnd"/>
      <w:r w:rsidRPr="00247126">
        <w:t xml:space="preserve"> Web. The small differences do not change the interpretation of the data.</w:t>
      </w:r>
    </w:p>
    <w:p w14:paraId="6BE247E9" w14:textId="3E7F0588" w:rsidR="003B61AA" w:rsidRPr="00247126" w:rsidRDefault="003B61AA" w:rsidP="003B61AA">
      <w:pPr>
        <w:pStyle w:val="Tablenotes0"/>
      </w:pPr>
      <w:r w:rsidRPr="00247126">
        <w:t xml:space="preserve">Source: </w:t>
      </w:r>
      <w:r w:rsidR="002D7649" w:rsidRPr="00247126">
        <w:t xml:space="preserve">Commentary Figure 4 </w:t>
      </w:r>
      <w:r w:rsidR="00B34AEB" w:rsidRPr="00247126">
        <w:t xml:space="preserve">of </w:t>
      </w:r>
      <w:r w:rsidRPr="00247126">
        <w:t xml:space="preserve">MSAC 1743 </w:t>
      </w:r>
      <w:proofErr w:type="spellStart"/>
      <w:r w:rsidRPr="00247126">
        <w:t>ADAR+in-line</w:t>
      </w:r>
      <w:proofErr w:type="spellEnd"/>
      <w:r w:rsidRPr="00247126">
        <w:t xml:space="preserve"> commentary.</w:t>
      </w:r>
    </w:p>
    <w:p w14:paraId="469AAC4D" w14:textId="3CA81596" w:rsidR="00256EAF" w:rsidRPr="00247126" w:rsidRDefault="00BD1650" w:rsidP="006B6E6E">
      <w:pPr>
        <w:pStyle w:val="Heading3"/>
      </w:pPr>
      <w:r w:rsidRPr="00247126">
        <w:t>OCT+AG v</w:t>
      </w:r>
      <w:r w:rsidR="00FF7220" w:rsidRPr="00247126">
        <w:t>ersu</w:t>
      </w:r>
      <w:r w:rsidRPr="00247126">
        <w:t>s IVUS+AG</w:t>
      </w:r>
    </w:p>
    <w:p w14:paraId="2892FE61" w14:textId="7BA82BA2" w:rsidR="00387690" w:rsidRPr="00247126" w:rsidRDefault="00387690" w:rsidP="00803ED2">
      <w:pPr>
        <w:pStyle w:val="Heading4"/>
      </w:pPr>
      <w:r w:rsidRPr="00247126">
        <w:t>Long lesion subpopulation</w:t>
      </w:r>
    </w:p>
    <w:p w14:paraId="53097E71" w14:textId="76A69F8F" w:rsidR="004C0C34" w:rsidRPr="00247126" w:rsidRDefault="00B875AF" w:rsidP="003C63FF">
      <w:r w:rsidRPr="00247126">
        <w:t xml:space="preserve">The key effectiveness outcomes </w:t>
      </w:r>
      <w:r w:rsidR="00651E5D" w:rsidRPr="00247126">
        <w:t xml:space="preserve">at 2 years </w:t>
      </w:r>
      <w:r w:rsidRPr="00247126">
        <w:t xml:space="preserve">for </w:t>
      </w:r>
      <w:r w:rsidR="007A4C20" w:rsidRPr="00247126">
        <w:t xml:space="preserve">OCT+AG versus IVUS+AG in </w:t>
      </w:r>
      <w:r w:rsidRPr="00247126">
        <w:t xml:space="preserve">the long lesion subpopulation are presented in </w:t>
      </w:r>
      <w:r w:rsidRPr="00247126">
        <w:fldChar w:fldCharType="begin"/>
      </w:r>
      <w:r w:rsidRPr="00247126">
        <w:instrText xml:space="preserve"> REF _Ref163558007 \h </w:instrText>
      </w:r>
      <w:r w:rsidR="00C567A2" w:rsidRPr="00247126">
        <w:instrText xml:space="preserve"> \* MERGEFORMAT </w:instrText>
      </w:r>
      <w:r w:rsidRPr="00247126">
        <w:fldChar w:fldCharType="separate"/>
      </w:r>
      <w:r w:rsidR="00151E03" w:rsidRPr="00247126">
        <w:t xml:space="preserve">Table </w:t>
      </w:r>
      <w:r w:rsidR="00151E03" w:rsidRPr="00247126">
        <w:rPr>
          <w:noProof/>
        </w:rPr>
        <w:t>13</w:t>
      </w:r>
      <w:r w:rsidRPr="00247126">
        <w:fldChar w:fldCharType="end"/>
      </w:r>
      <w:r w:rsidR="007A4C20" w:rsidRPr="00247126">
        <w:t xml:space="preserve"> and </w:t>
      </w:r>
      <w:r w:rsidR="007A4C20" w:rsidRPr="00247126">
        <w:fldChar w:fldCharType="begin"/>
      </w:r>
      <w:r w:rsidR="007A4C20" w:rsidRPr="00247126">
        <w:instrText xml:space="preserve"> REF _Ref163594325 \h </w:instrText>
      </w:r>
      <w:r w:rsidR="00C567A2" w:rsidRPr="00247126">
        <w:instrText xml:space="preserve"> \* MERGEFORMAT </w:instrText>
      </w:r>
      <w:r w:rsidR="007A4C20" w:rsidRPr="00247126">
        <w:fldChar w:fldCharType="separate"/>
      </w:r>
      <w:r w:rsidR="00151E03" w:rsidRPr="00247126">
        <w:t xml:space="preserve">Figure </w:t>
      </w:r>
      <w:r w:rsidR="00151E03" w:rsidRPr="00247126">
        <w:rPr>
          <w:noProof/>
        </w:rPr>
        <w:t>5</w:t>
      </w:r>
      <w:r w:rsidR="007A4C20" w:rsidRPr="00247126">
        <w:fldChar w:fldCharType="end"/>
      </w:r>
      <w:r w:rsidRPr="00247126">
        <w:t xml:space="preserve">. The evidence presented in the ADAR was from post hoc subgroup analyses from the </w:t>
      </w:r>
      <w:r w:rsidR="00F07A0A" w:rsidRPr="00247126">
        <w:t>OCTIVUS</w:t>
      </w:r>
      <w:r w:rsidRPr="00247126">
        <w:t xml:space="preserve"> trial.</w:t>
      </w:r>
    </w:p>
    <w:p w14:paraId="308CB0A5" w14:textId="3B35B378" w:rsidR="00C95961" w:rsidRPr="00247126" w:rsidRDefault="00C95961" w:rsidP="00C95961">
      <w:pPr>
        <w:pStyle w:val="Caption"/>
        <w:rPr>
          <w:vertAlign w:val="superscript"/>
        </w:rPr>
      </w:pPr>
      <w:bookmarkStart w:id="29" w:name="_Ref163558007"/>
      <w:r w:rsidRPr="00247126">
        <w:lastRenderedPageBreak/>
        <w:t xml:space="preserve">Table </w:t>
      </w:r>
      <w:r w:rsidRPr="00247126">
        <w:fldChar w:fldCharType="begin"/>
      </w:r>
      <w:r w:rsidRPr="00247126">
        <w:instrText xml:space="preserve"> SEQ Table \* ARABIC </w:instrText>
      </w:r>
      <w:r w:rsidRPr="00247126">
        <w:fldChar w:fldCharType="separate"/>
      </w:r>
      <w:r w:rsidR="00151E03" w:rsidRPr="00247126">
        <w:rPr>
          <w:noProof/>
        </w:rPr>
        <w:t>13</w:t>
      </w:r>
      <w:r w:rsidRPr="00247126">
        <w:rPr>
          <w:noProof/>
        </w:rPr>
        <w:fldChar w:fldCharType="end"/>
      </w:r>
      <w:bookmarkEnd w:id="29"/>
      <w:r w:rsidR="00BD7776" w:rsidRPr="00247126">
        <w:tab/>
        <w:t>Key effectiveness outcomes</w:t>
      </w:r>
      <w:r w:rsidR="00A13DF5" w:rsidRPr="00247126">
        <w:t xml:space="preserve"> at 2 years</w:t>
      </w:r>
      <w:r w:rsidR="00BD7776" w:rsidRPr="00247126">
        <w:t>: OCT+AG v</w:t>
      </w:r>
      <w:r w:rsidR="00A90680" w:rsidRPr="00247126">
        <w:t>ersu</w:t>
      </w:r>
      <w:r w:rsidR="00BD7776" w:rsidRPr="00247126">
        <w:t xml:space="preserve">s IVUS+AG – long lesion </w:t>
      </w:r>
      <w:proofErr w:type="spellStart"/>
      <w:r w:rsidR="00BD7776" w:rsidRPr="00247126">
        <w:t>subpopulation</w:t>
      </w:r>
      <w:r w:rsidR="00671D94" w:rsidRPr="00247126">
        <w:rPr>
          <w:vertAlign w:val="superscript"/>
        </w:rPr>
        <w:t>a</w:t>
      </w:r>
      <w:proofErr w:type="spellEnd"/>
    </w:p>
    <w:tbl>
      <w:tblPr>
        <w:tblStyle w:val="TableGrid"/>
        <w:tblW w:w="0" w:type="auto"/>
        <w:tblLook w:val="04A0" w:firstRow="1" w:lastRow="0" w:firstColumn="1" w:lastColumn="0" w:noHBand="0" w:noVBand="1"/>
        <w:tblCaption w:val="Key effectiveness outcomes at 2 years: OCT+AG versus IVUS+AG – long lesion subpopulation"/>
        <w:tblDescription w:val="This table summarises the key effectiveness outcomes at 2 years: OCT+AG versus IVUS+AG for the long lesion subpopulation."/>
      </w:tblPr>
      <w:tblGrid>
        <w:gridCol w:w="1814"/>
        <w:gridCol w:w="1871"/>
        <w:gridCol w:w="1275"/>
        <w:gridCol w:w="1276"/>
        <w:gridCol w:w="1697"/>
        <w:gridCol w:w="1058"/>
      </w:tblGrid>
      <w:tr w:rsidR="00835363" w:rsidRPr="00247126" w14:paraId="2E3FF00E" w14:textId="77777777" w:rsidTr="00803ED2">
        <w:trPr>
          <w:tblHeader/>
        </w:trPr>
        <w:tc>
          <w:tcPr>
            <w:tcW w:w="1814" w:type="dxa"/>
            <w:tcMar>
              <w:left w:w="57" w:type="dxa"/>
              <w:right w:w="57" w:type="dxa"/>
            </w:tcMar>
          </w:tcPr>
          <w:p w14:paraId="7BCB4833" w14:textId="77777777" w:rsidR="00835363" w:rsidRPr="00247126" w:rsidRDefault="00835363">
            <w:pPr>
              <w:pStyle w:val="TableHeading0"/>
            </w:pPr>
            <w:r w:rsidRPr="00247126">
              <w:t>Event</w:t>
            </w:r>
          </w:p>
        </w:tc>
        <w:tc>
          <w:tcPr>
            <w:tcW w:w="1871" w:type="dxa"/>
            <w:tcMar>
              <w:left w:w="57" w:type="dxa"/>
              <w:right w:w="57" w:type="dxa"/>
            </w:tcMar>
          </w:tcPr>
          <w:p w14:paraId="409DB49A" w14:textId="77777777" w:rsidR="00835363" w:rsidRPr="00247126" w:rsidRDefault="00835363">
            <w:pPr>
              <w:pStyle w:val="TableHeading0"/>
            </w:pPr>
            <w:r w:rsidRPr="00247126">
              <w:t>Evidence</w:t>
            </w:r>
          </w:p>
        </w:tc>
        <w:tc>
          <w:tcPr>
            <w:tcW w:w="1275" w:type="dxa"/>
            <w:tcMar>
              <w:left w:w="57" w:type="dxa"/>
              <w:right w:w="57" w:type="dxa"/>
            </w:tcMar>
          </w:tcPr>
          <w:p w14:paraId="43D709C6" w14:textId="2FF1B8CB" w:rsidR="00835363" w:rsidRPr="00247126" w:rsidRDefault="00835363" w:rsidP="00052727">
            <w:pPr>
              <w:pStyle w:val="TableHeading0"/>
            </w:pPr>
            <w:r w:rsidRPr="00247126">
              <w:t>OCT+AG</w:t>
            </w:r>
            <w:r w:rsidR="00052727" w:rsidRPr="00247126">
              <w:br/>
            </w:r>
            <w:r w:rsidRPr="00247126">
              <w:t>n/N (%)</w:t>
            </w:r>
          </w:p>
        </w:tc>
        <w:tc>
          <w:tcPr>
            <w:tcW w:w="1276" w:type="dxa"/>
            <w:tcMar>
              <w:left w:w="57" w:type="dxa"/>
              <w:right w:w="57" w:type="dxa"/>
            </w:tcMar>
          </w:tcPr>
          <w:p w14:paraId="08651BC1" w14:textId="3E943C46" w:rsidR="00835363" w:rsidRPr="00247126" w:rsidRDefault="0068124F" w:rsidP="00052727">
            <w:pPr>
              <w:pStyle w:val="TableHeading0"/>
            </w:pPr>
            <w:r w:rsidRPr="00247126">
              <w:t>IVUS+</w:t>
            </w:r>
            <w:r w:rsidR="00835363" w:rsidRPr="00247126">
              <w:t>AG</w:t>
            </w:r>
            <w:r w:rsidR="00052727" w:rsidRPr="00247126">
              <w:br/>
            </w:r>
            <w:r w:rsidR="00835363" w:rsidRPr="00247126">
              <w:t>n/N (%)</w:t>
            </w:r>
          </w:p>
        </w:tc>
        <w:tc>
          <w:tcPr>
            <w:tcW w:w="1697" w:type="dxa"/>
            <w:tcMar>
              <w:left w:w="57" w:type="dxa"/>
              <w:right w:w="57" w:type="dxa"/>
            </w:tcMar>
          </w:tcPr>
          <w:p w14:paraId="0B0787AF" w14:textId="3BA717E7" w:rsidR="00835363" w:rsidRPr="00247126" w:rsidRDefault="00835363" w:rsidP="00052727">
            <w:pPr>
              <w:pStyle w:val="TableHeading0"/>
            </w:pPr>
            <w:r w:rsidRPr="00247126">
              <w:t>HR [95% CI]</w:t>
            </w:r>
            <w:r w:rsidR="00052727" w:rsidRPr="00247126">
              <w:br/>
              <w:t xml:space="preserve">HR </w:t>
            </w:r>
            <w:r w:rsidRPr="00247126">
              <w:t>&lt;1 favours OCT+AG</w:t>
            </w:r>
          </w:p>
        </w:tc>
        <w:tc>
          <w:tcPr>
            <w:tcW w:w="1058" w:type="dxa"/>
            <w:tcMar>
              <w:left w:w="57" w:type="dxa"/>
              <w:right w:w="57" w:type="dxa"/>
            </w:tcMar>
          </w:tcPr>
          <w:p w14:paraId="3AECECA9" w14:textId="41A733FE" w:rsidR="00835363" w:rsidRPr="00247126" w:rsidRDefault="00676241">
            <w:pPr>
              <w:pStyle w:val="TableHeading0"/>
            </w:pPr>
            <w:r w:rsidRPr="00247126">
              <w:t>GRADE c</w:t>
            </w:r>
            <w:r w:rsidR="00835363" w:rsidRPr="00247126">
              <w:t>ertainty of evidence</w:t>
            </w:r>
          </w:p>
        </w:tc>
      </w:tr>
      <w:tr w:rsidR="00835363" w:rsidRPr="00247126" w14:paraId="46BA4B54" w14:textId="77777777" w:rsidTr="00E15097">
        <w:tc>
          <w:tcPr>
            <w:tcW w:w="1814" w:type="dxa"/>
            <w:tcMar>
              <w:left w:w="57" w:type="dxa"/>
              <w:right w:w="57" w:type="dxa"/>
            </w:tcMar>
          </w:tcPr>
          <w:p w14:paraId="65E908B3" w14:textId="29997EC0" w:rsidR="00835363" w:rsidRPr="00247126" w:rsidRDefault="00835363">
            <w:pPr>
              <w:pStyle w:val="TableText"/>
            </w:pPr>
            <w:proofErr w:type="spellStart"/>
            <w:r w:rsidRPr="00247126">
              <w:t>TVF</w:t>
            </w:r>
            <w:r w:rsidR="006503E7" w:rsidRPr="00247126">
              <w:rPr>
                <w:vertAlign w:val="superscript"/>
              </w:rPr>
              <w:t>b</w:t>
            </w:r>
            <w:proofErr w:type="spellEnd"/>
            <w:r w:rsidRPr="00247126">
              <w:t xml:space="preserve"> </w:t>
            </w:r>
          </w:p>
        </w:tc>
        <w:tc>
          <w:tcPr>
            <w:tcW w:w="1871" w:type="dxa"/>
            <w:tcMar>
              <w:left w:w="57" w:type="dxa"/>
              <w:right w:w="57" w:type="dxa"/>
            </w:tcMar>
          </w:tcPr>
          <w:p w14:paraId="37FF9D09" w14:textId="6D63F0F5" w:rsidR="00835363" w:rsidRPr="00247126" w:rsidRDefault="00835363">
            <w:pPr>
              <w:pStyle w:val="TableText"/>
            </w:pPr>
            <w:r w:rsidRPr="00247126">
              <w:t>OCTIVUS subgroup</w:t>
            </w:r>
          </w:p>
        </w:tc>
        <w:tc>
          <w:tcPr>
            <w:tcW w:w="1275" w:type="dxa"/>
            <w:tcMar>
              <w:left w:w="57" w:type="dxa"/>
              <w:right w:w="57" w:type="dxa"/>
            </w:tcMar>
          </w:tcPr>
          <w:p w14:paraId="64382C39" w14:textId="67BBE3D3" w:rsidR="00835363" w:rsidRPr="00247126" w:rsidRDefault="0068124F">
            <w:pPr>
              <w:pStyle w:val="TableText"/>
            </w:pPr>
            <w:r w:rsidRPr="00247126">
              <w:t>35/575 (6.1)</w:t>
            </w:r>
          </w:p>
        </w:tc>
        <w:tc>
          <w:tcPr>
            <w:tcW w:w="1276" w:type="dxa"/>
            <w:tcMar>
              <w:left w:w="57" w:type="dxa"/>
              <w:right w:w="57" w:type="dxa"/>
            </w:tcMar>
          </w:tcPr>
          <w:p w14:paraId="5A056B42" w14:textId="2E201675" w:rsidR="00835363" w:rsidRPr="00247126" w:rsidRDefault="0068124F">
            <w:pPr>
              <w:pStyle w:val="TableText"/>
            </w:pPr>
            <w:r w:rsidRPr="00247126">
              <w:t>36/594 (6.1)</w:t>
            </w:r>
          </w:p>
        </w:tc>
        <w:tc>
          <w:tcPr>
            <w:tcW w:w="1697" w:type="dxa"/>
            <w:tcMar>
              <w:left w:w="57" w:type="dxa"/>
              <w:right w:w="57" w:type="dxa"/>
            </w:tcMar>
          </w:tcPr>
          <w:p w14:paraId="1CF0BA0A" w14:textId="36C74DBE" w:rsidR="00835363" w:rsidRPr="00247126" w:rsidRDefault="00CC41F8">
            <w:pPr>
              <w:pStyle w:val="TableText"/>
            </w:pPr>
            <w:r w:rsidRPr="00247126">
              <w:t>0.99 [0.62, 1.59]</w:t>
            </w:r>
          </w:p>
        </w:tc>
        <w:tc>
          <w:tcPr>
            <w:tcW w:w="1058" w:type="dxa"/>
            <w:tcMar>
              <w:left w:w="57" w:type="dxa"/>
              <w:right w:w="57" w:type="dxa"/>
            </w:tcMar>
          </w:tcPr>
          <w:p w14:paraId="5A1DDD29" w14:textId="139D3D5C" w:rsidR="00835363" w:rsidRPr="00247126" w:rsidRDefault="000F5B8E">
            <w:pPr>
              <w:pStyle w:val="TableText"/>
            </w:pPr>
            <w:r w:rsidRPr="00247126">
              <w:t>Low</w:t>
            </w:r>
          </w:p>
        </w:tc>
      </w:tr>
      <w:tr w:rsidR="00835363" w:rsidRPr="00247126" w14:paraId="36EC5782" w14:textId="77777777" w:rsidTr="00E15097">
        <w:tc>
          <w:tcPr>
            <w:tcW w:w="1814" w:type="dxa"/>
            <w:tcMar>
              <w:left w:w="57" w:type="dxa"/>
              <w:right w:w="57" w:type="dxa"/>
            </w:tcMar>
          </w:tcPr>
          <w:p w14:paraId="73E8C2C2" w14:textId="77777777" w:rsidR="00835363" w:rsidRPr="00247126" w:rsidRDefault="00835363">
            <w:pPr>
              <w:pStyle w:val="TableText"/>
            </w:pPr>
            <w:r w:rsidRPr="00247126">
              <w:t xml:space="preserve">Target vessel MI </w:t>
            </w:r>
          </w:p>
        </w:tc>
        <w:tc>
          <w:tcPr>
            <w:tcW w:w="1871" w:type="dxa"/>
            <w:tcMar>
              <w:left w:w="57" w:type="dxa"/>
              <w:right w:w="57" w:type="dxa"/>
            </w:tcMar>
          </w:tcPr>
          <w:p w14:paraId="4384863C" w14:textId="386FB948" w:rsidR="00835363" w:rsidRPr="00247126" w:rsidRDefault="00835363">
            <w:pPr>
              <w:pStyle w:val="TableText"/>
            </w:pPr>
            <w:r w:rsidRPr="00247126">
              <w:t>OCTIVUS subgroup</w:t>
            </w:r>
          </w:p>
        </w:tc>
        <w:tc>
          <w:tcPr>
            <w:tcW w:w="1275" w:type="dxa"/>
            <w:tcMar>
              <w:left w:w="57" w:type="dxa"/>
              <w:right w:w="57" w:type="dxa"/>
            </w:tcMar>
          </w:tcPr>
          <w:p w14:paraId="4E1E8C14" w14:textId="688B7591" w:rsidR="00835363" w:rsidRPr="00247126" w:rsidRDefault="00951A09">
            <w:pPr>
              <w:pStyle w:val="TableText"/>
            </w:pPr>
            <w:r w:rsidRPr="00247126">
              <w:t>6/575 (1.0)</w:t>
            </w:r>
          </w:p>
        </w:tc>
        <w:tc>
          <w:tcPr>
            <w:tcW w:w="1276" w:type="dxa"/>
            <w:tcMar>
              <w:left w:w="57" w:type="dxa"/>
              <w:right w:w="57" w:type="dxa"/>
            </w:tcMar>
          </w:tcPr>
          <w:p w14:paraId="04F0C4C5" w14:textId="492A1930" w:rsidR="00835363" w:rsidRPr="00247126" w:rsidRDefault="00951A09">
            <w:pPr>
              <w:pStyle w:val="TableText"/>
            </w:pPr>
            <w:r w:rsidRPr="00247126">
              <w:t>9/594 (1.5)</w:t>
            </w:r>
          </w:p>
        </w:tc>
        <w:tc>
          <w:tcPr>
            <w:tcW w:w="1697" w:type="dxa"/>
            <w:tcMar>
              <w:left w:w="57" w:type="dxa"/>
              <w:right w:w="57" w:type="dxa"/>
            </w:tcMar>
          </w:tcPr>
          <w:p w14:paraId="23B96374" w14:textId="6F151449" w:rsidR="00835363" w:rsidRPr="00247126" w:rsidRDefault="00951A09">
            <w:pPr>
              <w:pStyle w:val="TableText"/>
            </w:pPr>
            <w:r w:rsidRPr="00247126">
              <w:t>0.69 [0.25, 1.97]</w:t>
            </w:r>
          </w:p>
        </w:tc>
        <w:tc>
          <w:tcPr>
            <w:tcW w:w="1058" w:type="dxa"/>
            <w:tcMar>
              <w:left w:w="57" w:type="dxa"/>
              <w:right w:w="57" w:type="dxa"/>
            </w:tcMar>
          </w:tcPr>
          <w:p w14:paraId="1A292139" w14:textId="7D619E76" w:rsidR="00835363" w:rsidRPr="00247126" w:rsidRDefault="00F52BAB">
            <w:pPr>
              <w:pStyle w:val="TableText"/>
            </w:pPr>
            <w:r w:rsidRPr="00247126">
              <w:t>Low</w:t>
            </w:r>
          </w:p>
        </w:tc>
      </w:tr>
      <w:tr w:rsidR="00835363" w:rsidRPr="00247126" w14:paraId="3539DE32" w14:textId="77777777" w:rsidTr="00E15097">
        <w:tc>
          <w:tcPr>
            <w:tcW w:w="1814" w:type="dxa"/>
            <w:tcMar>
              <w:left w:w="57" w:type="dxa"/>
              <w:right w:w="57" w:type="dxa"/>
            </w:tcMar>
          </w:tcPr>
          <w:p w14:paraId="23E5DADD" w14:textId="28793AFA" w:rsidR="00835363" w:rsidRPr="00247126" w:rsidRDefault="00835363">
            <w:pPr>
              <w:pStyle w:val="TableText"/>
            </w:pPr>
            <w:r w:rsidRPr="00247126">
              <w:t>Ischemia-driven TVR</w:t>
            </w:r>
          </w:p>
        </w:tc>
        <w:tc>
          <w:tcPr>
            <w:tcW w:w="1871" w:type="dxa"/>
            <w:tcMar>
              <w:left w:w="57" w:type="dxa"/>
              <w:right w:w="57" w:type="dxa"/>
            </w:tcMar>
          </w:tcPr>
          <w:p w14:paraId="440A1272" w14:textId="4679899F" w:rsidR="00835363" w:rsidRPr="00247126" w:rsidRDefault="00835363">
            <w:pPr>
              <w:pStyle w:val="TableText"/>
            </w:pPr>
            <w:r w:rsidRPr="00247126">
              <w:t>OCTIVUS subgroup</w:t>
            </w:r>
          </w:p>
        </w:tc>
        <w:tc>
          <w:tcPr>
            <w:tcW w:w="1275" w:type="dxa"/>
            <w:tcMar>
              <w:left w:w="57" w:type="dxa"/>
              <w:right w:w="57" w:type="dxa"/>
            </w:tcMar>
          </w:tcPr>
          <w:p w14:paraId="5172882A" w14:textId="30B18EEC" w:rsidR="00835363" w:rsidRPr="00247126" w:rsidRDefault="00D17521">
            <w:pPr>
              <w:pStyle w:val="TableText"/>
            </w:pPr>
            <w:r w:rsidRPr="00247126">
              <w:t>22/575 (3.8)</w:t>
            </w:r>
          </w:p>
        </w:tc>
        <w:tc>
          <w:tcPr>
            <w:tcW w:w="1276" w:type="dxa"/>
            <w:tcMar>
              <w:left w:w="57" w:type="dxa"/>
              <w:right w:w="57" w:type="dxa"/>
            </w:tcMar>
          </w:tcPr>
          <w:p w14:paraId="31DE8A8D" w14:textId="26C4B3A6" w:rsidR="00835363" w:rsidRPr="00247126" w:rsidRDefault="00D17521">
            <w:pPr>
              <w:pStyle w:val="TableText"/>
            </w:pPr>
            <w:r w:rsidRPr="00247126">
              <w:t>20/594 (3.4)</w:t>
            </w:r>
          </w:p>
        </w:tc>
        <w:tc>
          <w:tcPr>
            <w:tcW w:w="1697" w:type="dxa"/>
            <w:tcMar>
              <w:left w:w="57" w:type="dxa"/>
              <w:right w:w="57" w:type="dxa"/>
            </w:tcMar>
          </w:tcPr>
          <w:p w14:paraId="41760E27" w14:textId="632CBED2" w:rsidR="00835363" w:rsidRPr="00247126" w:rsidRDefault="00D17521">
            <w:pPr>
              <w:pStyle w:val="TableText"/>
            </w:pPr>
            <w:r w:rsidRPr="00247126">
              <w:t>1.16 [0.63, 2.13]</w:t>
            </w:r>
          </w:p>
        </w:tc>
        <w:tc>
          <w:tcPr>
            <w:tcW w:w="1058" w:type="dxa"/>
            <w:tcMar>
              <w:left w:w="57" w:type="dxa"/>
              <w:right w:w="57" w:type="dxa"/>
            </w:tcMar>
          </w:tcPr>
          <w:p w14:paraId="6909BA38" w14:textId="25090D34" w:rsidR="00835363" w:rsidRPr="00247126" w:rsidRDefault="00F52BAB">
            <w:pPr>
              <w:pStyle w:val="TableText"/>
            </w:pPr>
            <w:r w:rsidRPr="00247126">
              <w:t>Low</w:t>
            </w:r>
          </w:p>
        </w:tc>
      </w:tr>
      <w:tr w:rsidR="00835363" w:rsidRPr="00247126" w14:paraId="01E012E3" w14:textId="77777777" w:rsidTr="00E15097">
        <w:tc>
          <w:tcPr>
            <w:tcW w:w="1814" w:type="dxa"/>
            <w:tcMar>
              <w:left w:w="57" w:type="dxa"/>
              <w:right w:w="57" w:type="dxa"/>
            </w:tcMar>
          </w:tcPr>
          <w:p w14:paraId="080DF491" w14:textId="77777777" w:rsidR="00835363" w:rsidRPr="00247126" w:rsidRDefault="00835363">
            <w:pPr>
              <w:pStyle w:val="TableText"/>
            </w:pPr>
            <w:r w:rsidRPr="00247126">
              <w:t xml:space="preserve">Cardiac death </w:t>
            </w:r>
          </w:p>
        </w:tc>
        <w:tc>
          <w:tcPr>
            <w:tcW w:w="1871" w:type="dxa"/>
            <w:tcMar>
              <w:left w:w="57" w:type="dxa"/>
              <w:right w:w="57" w:type="dxa"/>
            </w:tcMar>
          </w:tcPr>
          <w:p w14:paraId="1A6C0E55" w14:textId="2E1E21FC" w:rsidR="00835363" w:rsidRPr="00247126" w:rsidRDefault="00835363">
            <w:pPr>
              <w:pStyle w:val="TableText"/>
            </w:pPr>
            <w:r w:rsidRPr="00247126">
              <w:t>OCTIVUS subgroup</w:t>
            </w:r>
          </w:p>
        </w:tc>
        <w:tc>
          <w:tcPr>
            <w:tcW w:w="1275" w:type="dxa"/>
            <w:tcMar>
              <w:left w:w="57" w:type="dxa"/>
              <w:right w:w="57" w:type="dxa"/>
            </w:tcMar>
          </w:tcPr>
          <w:p w14:paraId="3E6E9A70" w14:textId="2AFEEF01" w:rsidR="00835363" w:rsidRPr="00247126" w:rsidRDefault="0062549D">
            <w:pPr>
              <w:pStyle w:val="TableText"/>
            </w:pPr>
            <w:r w:rsidRPr="00247126">
              <w:t>7/575 (1.2)</w:t>
            </w:r>
          </w:p>
        </w:tc>
        <w:tc>
          <w:tcPr>
            <w:tcW w:w="1276" w:type="dxa"/>
            <w:tcMar>
              <w:left w:w="57" w:type="dxa"/>
              <w:right w:w="57" w:type="dxa"/>
            </w:tcMar>
          </w:tcPr>
          <w:p w14:paraId="34278012" w14:textId="1123C771" w:rsidR="00835363" w:rsidRPr="00247126" w:rsidRDefault="0062549D">
            <w:pPr>
              <w:pStyle w:val="TableText"/>
            </w:pPr>
            <w:r w:rsidRPr="00247126">
              <w:t>9/594 (1.5)</w:t>
            </w:r>
          </w:p>
        </w:tc>
        <w:tc>
          <w:tcPr>
            <w:tcW w:w="1697" w:type="dxa"/>
            <w:tcMar>
              <w:left w:w="57" w:type="dxa"/>
              <w:right w:w="57" w:type="dxa"/>
            </w:tcMar>
          </w:tcPr>
          <w:p w14:paraId="6A691405" w14:textId="24A6F7DE" w:rsidR="00835363" w:rsidRPr="00247126" w:rsidRDefault="0062549D">
            <w:pPr>
              <w:pStyle w:val="TableText"/>
            </w:pPr>
            <w:r w:rsidRPr="00247126">
              <w:t>0.70 [0.25, 1.97]</w:t>
            </w:r>
          </w:p>
        </w:tc>
        <w:tc>
          <w:tcPr>
            <w:tcW w:w="1058" w:type="dxa"/>
            <w:tcMar>
              <w:left w:w="57" w:type="dxa"/>
              <w:right w:w="57" w:type="dxa"/>
            </w:tcMar>
          </w:tcPr>
          <w:p w14:paraId="5C31E9B8" w14:textId="674C52F0" w:rsidR="00835363" w:rsidRPr="00247126" w:rsidRDefault="00F52BAB">
            <w:pPr>
              <w:pStyle w:val="TableText"/>
            </w:pPr>
            <w:r w:rsidRPr="00247126">
              <w:t>Low</w:t>
            </w:r>
          </w:p>
        </w:tc>
      </w:tr>
      <w:tr w:rsidR="00835363" w:rsidRPr="00247126" w14:paraId="5712FDD0" w14:textId="77777777" w:rsidTr="00E15097">
        <w:tc>
          <w:tcPr>
            <w:tcW w:w="1814" w:type="dxa"/>
            <w:tcMar>
              <w:left w:w="57" w:type="dxa"/>
              <w:right w:w="57" w:type="dxa"/>
            </w:tcMar>
          </w:tcPr>
          <w:p w14:paraId="0C41362E" w14:textId="27A8CE0E" w:rsidR="00835363" w:rsidRPr="00247126" w:rsidRDefault="00835363">
            <w:pPr>
              <w:pStyle w:val="TableText"/>
            </w:pPr>
            <w:r w:rsidRPr="00247126">
              <w:t xml:space="preserve">Stent </w:t>
            </w:r>
            <w:proofErr w:type="spellStart"/>
            <w:r w:rsidR="006503E7" w:rsidRPr="00247126">
              <w:t>thrombosis</w:t>
            </w:r>
            <w:r w:rsidR="006503E7" w:rsidRPr="00247126">
              <w:rPr>
                <w:vertAlign w:val="superscript"/>
              </w:rPr>
              <w:t>c</w:t>
            </w:r>
            <w:proofErr w:type="spellEnd"/>
            <w:r w:rsidR="006503E7" w:rsidRPr="00247126">
              <w:t xml:space="preserve"> </w:t>
            </w:r>
          </w:p>
        </w:tc>
        <w:tc>
          <w:tcPr>
            <w:tcW w:w="1871" w:type="dxa"/>
            <w:tcMar>
              <w:left w:w="57" w:type="dxa"/>
              <w:right w:w="57" w:type="dxa"/>
            </w:tcMar>
          </w:tcPr>
          <w:p w14:paraId="3CC84088" w14:textId="0E764BD2" w:rsidR="00835363" w:rsidRPr="00247126" w:rsidRDefault="00835363">
            <w:pPr>
              <w:pStyle w:val="TableText"/>
            </w:pPr>
            <w:r w:rsidRPr="00247126">
              <w:t>OCTIVUS subgroup</w:t>
            </w:r>
          </w:p>
        </w:tc>
        <w:tc>
          <w:tcPr>
            <w:tcW w:w="1275" w:type="dxa"/>
            <w:tcMar>
              <w:left w:w="57" w:type="dxa"/>
              <w:right w:w="57" w:type="dxa"/>
            </w:tcMar>
          </w:tcPr>
          <w:p w14:paraId="69606641" w14:textId="126CC045" w:rsidR="00835363" w:rsidRPr="00247126" w:rsidRDefault="000D1050">
            <w:pPr>
              <w:pStyle w:val="TableText"/>
            </w:pPr>
            <w:r w:rsidRPr="00247126">
              <w:t>0/575 (0.0)</w:t>
            </w:r>
          </w:p>
        </w:tc>
        <w:tc>
          <w:tcPr>
            <w:tcW w:w="1276" w:type="dxa"/>
            <w:tcMar>
              <w:left w:w="57" w:type="dxa"/>
              <w:right w:w="57" w:type="dxa"/>
            </w:tcMar>
          </w:tcPr>
          <w:p w14:paraId="323FB9C2" w14:textId="7118DBD9" w:rsidR="00835363" w:rsidRPr="00247126" w:rsidRDefault="000D1050">
            <w:pPr>
              <w:pStyle w:val="TableText"/>
            </w:pPr>
            <w:r w:rsidRPr="00247126">
              <w:t>2/594 (0.3)</w:t>
            </w:r>
          </w:p>
        </w:tc>
        <w:tc>
          <w:tcPr>
            <w:tcW w:w="1697" w:type="dxa"/>
            <w:tcMar>
              <w:left w:w="57" w:type="dxa"/>
              <w:right w:w="57" w:type="dxa"/>
            </w:tcMar>
          </w:tcPr>
          <w:p w14:paraId="51C621C4" w14:textId="61B70A4B" w:rsidR="00835363" w:rsidRPr="00247126" w:rsidRDefault="000D1050">
            <w:pPr>
              <w:pStyle w:val="TableText"/>
            </w:pPr>
            <w:r w:rsidRPr="00247126">
              <w:t>NE</w:t>
            </w:r>
          </w:p>
        </w:tc>
        <w:tc>
          <w:tcPr>
            <w:tcW w:w="1058" w:type="dxa"/>
            <w:tcMar>
              <w:left w:w="57" w:type="dxa"/>
              <w:right w:w="57" w:type="dxa"/>
            </w:tcMar>
          </w:tcPr>
          <w:p w14:paraId="390A3153" w14:textId="7616B33A" w:rsidR="00835363" w:rsidRPr="00247126" w:rsidRDefault="00F52BAB">
            <w:pPr>
              <w:pStyle w:val="TableText"/>
            </w:pPr>
            <w:r w:rsidRPr="00247126">
              <w:t>Low</w:t>
            </w:r>
          </w:p>
        </w:tc>
      </w:tr>
    </w:tbl>
    <w:p w14:paraId="0482DB53" w14:textId="3BDAFB9C" w:rsidR="00F4265F" w:rsidRPr="00247126" w:rsidRDefault="00F4265F" w:rsidP="00F4265F">
      <w:pPr>
        <w:pStyle w:val="Tablenotes0"/>
      </w:pPr>
      <w:r w:rsidRPr="00247126">
        <w:t xml:space="preserve">AG = angiogram; CI = confidence interval; IVUS = intravascular ultrasound; HR = hazard ratio; </w:t>
      </w:r>
      <w:r w:rsidR="00E26637" w:rsidRPr="00247126">
        <w:t xml:space="preserve">MI = myocardial infarction; </w:t>
      </w:r>
      <w:r w:rsidR="005653CE" w:rsidRPr="00247126">
        <w:t>NE = not estima</w:t>
      </w:r>
      <w:r w:rsidR="0042190B" w:rsidRPr="00247126">
        <w:t>ted</w:t>
      </w:r>
      <w:r w:rsidR="005653CE" w:rsidRPr="00247126">
        <w:t xml:space="preserve">; </w:t>
      </w:r>
      <w:r w:rsidRPr="00247126">
        <w:t>OCT = optical coherence tomography</w:t>
      </w:r>
      <w:r w:rsidR="00E26637" w:rsidRPr="00247126">
        <w:t>; TVF = target vessel failure; TVR = target vessel revascularisation</w:t>
      </w:r>
      <w:r w:rsidRPr="00247126">
        <w:t>.</w:t>
      </w:r>
    </w:p>
    <w:p w14:paraId="65E8A997" w14:textId="635F8FEE" w:rsidR="00835363" w:rsidRPr="00247126" w:rsidRDefault="00671D94" w:rsidP="00671D94">
      <w:pPr>
        <w:pStyle w:val="Tablenotes0"/>
      </w:pPr>
      <w:r w:rsidRPr="00247126">
        <w:t xml:space="preserve">a </w:t>
      </w:r>
      <w:r w:rsidR="00F84F0A" w:rsidRPr="00247126">
        <w:t>Diffuse long coronary</w:t>
      </w:r>
      <w:r w:rsidR="00CA4C2C" w:rsidRPr="00247126">
        <w:t xml:space="preserve"> </w:t>
      </w:r>
      <w:r w:rsidR="00F84F0A" w:rsidRPr="00247126">
        <w:t>artery lesion was defined as lesion length ≥</w:t>
      </w:r>
      <w:r w:rsidR="00766868" w:rsidRPr="00247126">
        <w:t> </w:t>
      </w:r>
      <w:r w:rsidR="00F84F0A" w:rsidRPr="00247126">
        <w:t>28 mm or stent length ≥</w:t>
      </w:r>
      <w:r w:rsidR="00766868" w:rsidRPr="00247126">
        <w:t> </w:t>
      </w:r>
      <w:r w:rsidR="00F84F0A" w:rsidRPr="00247126">
        <w:t>32 mm of treated segment.</w:t>
      </w:r>
    </w:p>
    <w:p w14:paraId="5C158C6D" w14:textId="354CCFA9" w:rsidR="006503E7" w:rsidRPr="00247126" w:rsidRDefault="006503E7" w:rsidP="006503E7">
      <w:pPr>
        <w:pStyle w:val="Tablenotes0"/>
      </w:pPr>
      <w:r w:rsidRPr="00247126">
        <w:t xml:space="preserve">b TVF, defined as </w:t>
      </w:r>
      <w:r w:rsidR="008B488D" w:rsidRPr="00247126">
        <w:t xml:space="preserve">a composite of </w:t>
      </w:r>
      <w:r w:rsidRPr="00247126">
        <w:t xml:space="preserve">death from a cardiac cause, target vessel MI, or </w:t>
      </w:r>
      <w:proofErr w:type="gramStart"/>
      <w:r w:rsidRPr="00247126">
        <w:t>ischemia-driven</w:t>
      </w:r>
      <w:proofErr w:type="gramEnd"/>
      <w:r w:rsidRPr="00247126">
        <w:t xml:space="preserve"> TVR.</w:t>
      </w:r>
    </w:p>
    <w:p w14:paraId="5B612195" w14:textId="34016BBF" w:rsidR="00EE7704" w:rsidRPr="00247126" w:rsidRDefault="006503E7" w:rsidP="00671D94">
      <w:pPr>
        <w:pStyle w:val="Tablenotes0"/>
      </w:pPr>
      <w:r w:rsidRPr="00247126">
        <w:t xml:space="preserve">c </w:t>
      </w:r>
      <w:r w:rsidR="00197B1B" w:rsidRPr="00247126">
        <w:t>Definite or probable</w:t>
      </w:r>
      <w:r w:rsidR="009A30A8" w:rsidRPr="00247126">
        <w:t xml:space="preserve"> stent thrombosis</w:t>
      </w:r>
      <w:r w:rsidR="00197B1B" w:rsidRPr="00247126">
        <w:t>.</w:t>
      </w:r>
    </w:p>
    <w:p w14:paraId="046F76E9" w14:textId="14F72540" w:rsidR="0058132A" w:rsidRPr="00247126" w:rsidRDefault="0058132A" w:rsidP="00671D94">
      <w:pPr>
        <w:pStyle w:val="Tablenotes0"/>
      </w:pPr>
      <w:r w:rsidRPr="00247126">
        <w:t xml:space="preserve">Source: Table </w:t>
      </w:r>
      <w:r w:rsidR="00A13DE8" w:rsidRPr="00247126">
        <w:t xml:space="preserve">57, </w:t>
      </w:r>
      <w:r w:rsidR="00BE2B0C" w:rsidRPr="00247126">
        <w:t xml:space="preserve">Table 58, </w:t>
      </w:r>
      <w:r w:rsidR="00CA2008" w:rsidRPr="00247126">
        <w:t>Table 59</w:t>
      </w:r>
      <w:r w:rsidR="00502106" w:rsidRPr="00247126">
        <w:t>, Table 60</w:t>
      </w:r>
      <w:r w:rsidR="009E4CD4" w:rsidRPr="00247126">
        <w:t>,</w:t>
      </w:r>
      <w:r w:rsidR="00502106" w:rsidRPr="00247126">
        <w:t xml:space="preserve"> Table </w:t>
      </w:r>
      <w:proofErr w:type="gramStart"/>
      <w:r w:rsidR="00502106" w:rsidRPr="00247126">
        <w:t>61</w:t>
      </w:r>
      <w:proofErr w:type="gramEnd"/>
      <w:r w:rsidR="00502106" w:rsidRPr="00247126">
        <w:t xml:space="preserve"> and Table </w:t>
      </w:r>
      <w:r w:rsidR="009E4CD4" w:rsidRPr="00247126">
        <w:t>131</w:t>
      </w:r>
      <w:r w:rsidR="005714BA" w:rsidRPr="00247126">
        <w:t xml:space="preserve"> </w:t>
      </w:r>
      <w:r w:rsidR="00B34AEB" w:rsidRPr="00247126">
        <w:t xml:space="preserve">of </w:t>
      </w:r>
      <w:r w:rsidRPr="00247126">
        <w:t xml:space="preserve">MSAC 1743 </w:t>
      </w:r>
      <w:proofErr w:type="spellStart"/>
      <w:r w:rsidRPr="00247126">
        <w:t>ADAR+in-line</w:t>
      </w:r>
      <w:proofErr w:type="spellEnd"/>
      <w:r w:rsidRPr="00247126">
        <w:t xml:space="preserve"> commentary</w:t>
      </w:r>
      <w:r w:rsidR="00502106" w:rsidRPr="00247126">
        <w:t>.</w:t>
      </w:r>
    </w:p>
    <w:p w14:paraId="3D3A1680" w14:textId="38CA2A09" w:rsidR="00383B90" w:rsidRPr="00247126" w:rsidRDefault="00C32BCC" w:rsidP="00383B90">
      <w:pPr>
        <w:pStyle w:val="Caption"/>
      </w:pPr>
      <w:bookmarkStart w:id="30" w:name="_Ref163594325"/>
      <w:r w:rsidRPr="00247126">
        <w:t xml:space="preserve">Figure </w:t>
      </w:r>
      <w:r w:rsidRPr="00247126">
        <w:fldChar w:fldCharType="begin"/>
      </w:r>
      <w:r w:rsidRPr="00247126">
        <w:instrText xml:space="preserve"> SEQ Figure \* ARABIC </w:instrText>
      </w:r>
      <w:r w:rsidRPr="00247126">
        <w:fldChar w:fldCharType="separate"/>
      </w:r>
      <w:r w:rsidR="00151E03" w:rsidRPr="00247126">
        <w:rPr>
          <w:noProof/>
        </w:rPr>
        <w:t>5</w:t>
      </w:r>
      <w:r w:rsidRPr="00247126">
        <w:rPr>
          <w:noProof/>
        </w:rPr>
        <w:fldChar w:fldCharType="end"/>
      </w:r>
      <w:bookmarkEnd w:id="30"/>
      <w:r w:rsidRPr="00247126">
        <w:tab/>
        <w:t xml:space="preserve">Forest plot of key </w:t>
      </w:r>
      <w:r w:rsidR="00E440AC" w:rsidRPr="00247126">
        <w:t>outcomes for the long lesion subpopulation</w:t>
      </w:r>
      <w:r w:rsidR="00771988" w:rsidRPr="00247126">
        <w:t>, versus IVUS+</w:t>
      </w:r>
      <w:proofErr w:type="gramStart"/>
      <w:r w:rsidR="00771988" w:rsidRPr="00247126">
        <w:t>AG</w:t>
      </w:r>
      <w:proofErr w:type="gramEnd"/>
    </w:p>
    <w:p w14:paraId="19848E4D" w14:textId="7C651EC0" w:rsidR="00601D13" w:rsidRPr="00247126" w:rsidRDefault="00130DAD" w:rsidP="00130DAD">
      <w:pPr>
        <w:pBdr>
          <w:top w:val="single" w:sz="4" w:space="1" w:color="auto"/>
          <w:left w:val="single" w:sz="4" w:space="4" w:color="auto"/>
          <w:bottom w:val="single" w:sz="4" w:space="1" w:color="auto"/>
          <w:right w:val="single" w:sz="4" w:space="4" w:color="auto"/>
        </w:pBdr>
        <w:spacing w:after="0"/>
      </w:pPr>
      <w:r w:rsidRPr="00247126">
        <w:rPr>
          <w:noProof/>
        </w:rPr>
        <w:drawing>
          <wp:inline distT="0" distB="0" distL="0" distR="0" wp14:anchorId="3739C43A" wp14:editId="31EE5E06">
            <wp:extent cx="5731510" cy="2402006"/>
            <wp:effectExtent l="0" t="0" r="2540" b="0"/>
            <wp:docPr id="467444842" name="Picture 467444842" descr="This figure is a forest plot of key outcomes for the long lesion subpopulation, versus IVU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44842" name="Picture 5" descr="This figure is a forest plot of key outcomes for the long lesion subpopulation, versus IVUS+A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2402006"/>
                    </a:xfrm>
                    <a:prstGeom prst="rect">
                      <a:avLst/>
                    </a:prstGeom>
                    <a:noFill/>
                    <a:ln>
                      <a:noFill/>
                    </a:ln>
                  </pic:spPr>
                </pic:pic>
              </a:graphicData>
            </a:graphic>
          </wp:inline>
        </w:drawing>
      </w:r>
    </w:p>
    <w:p w14:paraId="5B23ACF9" w14:textId="4F37265C" w:rsidR="002C3137" w:rsidRPr="00247126" w:rsidRDefault="002C3137" w:rsidP="002C3137">
      <w:pPr>
        <w:pStyle w:val="Tablenotes0"/>
      </w:pPr>
      <w:r w:rsidRPr="00247126">
        <w:t>AG</w:t>
      </w:r>
      <w:r w:rsidR="00F11925" w:rsidRPr="00247126">
        <w:t xml:space="preserve"> =</w:t>
      </w:r>
      <w:r w:rsidRPr="00247126">
        <w:t xml:space="preserve"> angiogram; CI</w:t>
      </w:r>
      <w:r w:rsidR="00F11925" w:rsidRPr="00247126">
        <w:t xml:space="preserve"> =</w:t>
      </w:r>
      <w:r w:rsidRPr="00247126">
        <w:t xml:space="preserve"> confidence interval; HR</w:t>
      </w:r>
      <w:r w:rsidR="00F11925" w:rsidRPr="00247126">
        <w:t xml:space="preserve"> =</w:t>
      </w:r>
      <w:r w:rsidRPr="00247126">
        <w:t xml:space="preserve"> hazard ratio; IV</w:t>
      </w:r>
      <w:r w:rsidR="00F11925" w:rsidRPr="00247126">
        <w:t xml:space="preserve"> =</w:t>
      </w:r>
      <w:r w:rsidRPr="00247126">
        <w:t xml:space="preserve"> inverse variance; IVUS</w:t>
      </w:r>
      <w:r w:rsidR="00F11925" w:rsidRPr="00247126">
        <w:t xml:space="preserve"> =</w:t>
      </w:r>
      <w:r w:rsidRPr="00247126">
        <w:t xml:space="preserve"> intravascular ultrasound; MI</w:t>
      </w:r>
      <w:r w:rsidR="00F62DE5" w:rsidRPr="00247126">
        <w:t xml:space="preserve"> =</w:t>
      </w:r>
      <w:r w:rsidRPr="00247126">
        <w:t xml:space="preserve"> myocardial infarction; OCT</w:t>
      </w:r>
      <w:r w:rsidR="00F62DE5" w:rsidRPr="00247126">
        <w:t xml:space="preserve"> =</w:t>
      </w:r>
      <w:r w:rsidRPr="00247126">
        <w:t xml:space="preserve"> optical coherence tomography; SE</w:t>
      </w:r>
      <w:r w:rsidR="00F62DE5" w:rsidRPr="00247126">
        <w:t xml:space="preserve"> =</w:t>
      </w:r>
      <w:r w:rsidRPr="00247126">
        <w:t xml:space="preserve"> standard error; TVF</w:t>
      </w:r>
      <w:r w:rsidR="00F62DE5" w:rsidRPr="00247126">
        <w:t xml:space="preserve"> =</w:t>
      </w:r>
      <w:r w:rsidRPr="00247126">
        <w:t xml:space="preserve"> target vessel failure; TVR</w:t>
      </w:r>
      <w:r w:rsidR="00F62DE5" w:rsidRPr="00247126">
        <w:t xml:space="preserve"> =</w:t>
      </w:r>
      <w:r w:rsidRPr="00247126">
        <w:t xml:space="preserve"> target vessel revascularisation. </w:t>
      </w:r>
    </w:p>
    <w:p w14:paraId="2962EE13" w14:textId="710A9FCF" w:rsidR="002C3137" w:rsidRPr="00247126" w:rsidRDefault="002C3137" w:rsidP="002C3137">
      <w:pPr>
        <w:pStyle w:val="Tablenotes0"/>
      </w:pPr>
      <w:r w:rsidRPr="00247126">
        <w:t xml:space="preserve">Note: </w:t>
      </w:r>
      <w:r w:rsidR="007E2A56" w:rsidRPr="00247126">
        <w:t>S</w:t>
      </w:r>
      <w:r w:rsidRPr="00247126">
        <w:t xml:space="preserve">ome CIs may vary slightly from those reported in the ADAR due to calculations being performed in </w:t>
      </w:r>
      <w:proofErr w:type="spellStart"/>
      <w:r w:rsidRPr="00247126">
        <w:t>RevMan</w:t>
      </w:r>
      <w:proofErr w:type="spellEnd"/>
      <w:r w:rsidRPr="00247126">
        <w:t xml:space="preserve"> Web. The small differences do not change the interpretation of the data.</w:t>
      </w:r>
      <w:r w:rsidR="00E43B05" w:rsidRPr="00247126">
        <w:t xml:space="preserve"> </w:t>
      </w:r>
      <w:r w:rsidRPr="00247126">
        <w:t xml:space="preserve">Stent thrombosis is not shown because there were no events in the OCT+AG arm and 2 events in the IVUS+AG arm. </w:t>
      </w:r>
    </w:p>
    <w:p w14:paraId="4F92FA89" w14:textId="72E99FDE" w:rsidR="00130DAD" w:rsidRPr="00247126" w:rsidRDefault="002C3137" w:rsidP="002C3137">
      <w:pPr>
        <w:pStyle w:val="Tablenotes0"/>
      </w:pPr>
      <w:r w:rsidRPr="00247126">
        <w:t xml:space="preserve">Source: Commentary Figure 5 of MSAC 1743 </w:t>
      </w:r>
      <w:proofErr w:type="spellStart"/>
      <w:r w:rsidRPr="00247126">
        <w:t>ADAR+in-line</w:t>
      </w:r>
      <w:proofErr w:type="spellEnd"/>
      <w:r w:rsidRPr="00247126">
        <w:t xml:space="preserve"> commentary.</w:t>
      </w:r>
    </w:p>
    <w:p w14:paraId="213924C6" w14:textId="7EEC961A" w:rsidR="00772829" w:rsidRPr="00247126" w:rsidRDefault="00772829" w:rsidP="00AC15E0">
      <w:pPr>
        <w:pStyle w:val="Heading3"/>
      </w:pPr>
      <w:r w:rsidRPr="00247126">
        <w:t>Clinical claim</w:t>
      </w:r>
      <w:r w:rsidR="00823625" w:rsidRPr="00247126">
        <w:t>s</w:t>
      </w:r>
    </w:p>
    <w:p w14:paraId="0884B754" w14:textId="21573A9D" w:rsidR="00C94537" w:rsidRPr="00247126" w:rsidRDefault="00F03E03" w:rsidP="00F662EF">
      <w:r w:rsidRPr="00247126">
        <w:t>Regarding</w:t>
      </w:r>
      <w:r w:rsidR="009F1DC3" w:rsidRPr="00247126">
        <w:t xml:space="preserve"> the clinical claims, t</w:t>
      </w:r>
      <w:r w:rsidR="00C94537" w:rsidRPr="00247126">
        <w:t xml:space="preserve">he ADAR concluded that: </w:t>
      </w:r>
    </w:p>
    <w:p w14:paraId="74E8C899" w14:textId="05076A46" w:rsidR="00F662EF" w:rsidRPr="00247126" w:rsidRDefault="00F662EF" w:rsidP="003D76E2">
      <w:pPr>
        <w:pStyle w:val="ListParagraph"/>
        <w:numPr>
          <w:ilvl w:val="0"/>
          <w:numId w:val="12"/>
        </w:numPr>
      </w:pPr>
      <w:r w:rsidRPr="00247126">
        <w:t xml:space="preserve">OCT+AG versus AG alone for the purpose of guiding stent insertion in patients with myocardial ischemia and prior stent failure or one of 3 documented lesion types (long/multiple, bifurcation, severe calcification) is </w:t>
      </w:r>
      <w:r w:rsidRPr="00247126">
        <w:rPr>
          <w:b/>
        </w:rPr>
        <w:t>superior</w:t>
      </w:r>
      <w:r w:rsidRPr="00247126">
        <w:t xml:space="preserve"> with respect to efficacy and </w:t>
      </w:r>
      <w:r w:rsidRPr="00247126">
        <w:rPr>
          <w:b/>
        </w:rPr>
        <w:t>non-inferior</w:t>
      </w:r>
      <w:r w:rsidRPr="00247126">
        <w:t xml:space="preserve"> with respect to safety.</w:t>
      </w:r>
    </w:p>
    <w:p w14:paraId="4EDD3B17" w14:textId="004165B6" w:rsidR="00CF4103" w:rsidRPr="00247126" w:rsidRDefault="00CF4103" w:rsidP="003D76E2">
      <w:pPr>
        <w:pStyle w:val="ListParagraph"/>
        <w:numPr>
          <w:ilvl w:val="0"/>
          <w:numId w:val="12"/>
        </w:numPr>
      </w:pPr>
      <w:r w:rsidRPr="00247126">
        <w:t xml:space="preserve">OCT+AG versus IVUS+AG for the purpose of guiding stent insertion in patients with myocardial ischaemia and long/multiple lesions is </w:t>
      </w:r>
      <w:r w:rsidRPr="00247126">
        <w:rPr>
          <w:b/>
        </w:rPr>
        <w:t>non-inferior</w:t>
      </w:r>
      <w:r w:rsidRPr="00247126">
        <w:t xml:space="preserve"> with respect to efficacy and safety.</w:t>
      </w:r>
    </w:p>
    <w:p w14:paraId="4211DD35" w14:textId="685CD08E" w:rsidR="001A7010" w:rsidRPr="00247126" w:rsidRDefault="00F662EF" w:rsidP="00F662EF">
      <w:r w:rsidRPr="00247126">
        <w:lastRenderedPageBreak/>
        <w:t>Many of the ADAR claims of superiority were based on numerical differences</w:t>
      </w:r>
      <w:proofErr w:type="gramStart"/>
      <w:r w:rsidRPr="00247126">
        <w:t>/“</w:t>
      </w:r>
      <w:proofErr w:type="gramEnd"/>
      <w:r w:rsidRPr="00247126">
        <w:t>trends” rather than statistically significant differences.</w:t>
      </w:r>
    </w:p>
    <w:p w14:paraId="534EB016" w14:textId="1D91ADFB" w:rsidR="00F662EF" w:rsidRPr="00247126" w:rsidRDefault="009060BB" w:rsidP="00F662EF">
      <w:r w:rsidRPr="00247126">
        <w:t>Based on</w:t>
      </w:r>
      <w:r w:rsidR="00F662EF" w:rsidRPr="00247126">
        <w:t xml:space="preserve"> the evidence presented in </w:t>
      </w:r>
      <w:r w:rsidR="002D1DB2" w:rsidRPr="00247126">
        <w:t>the ADAR</w:t>
      </w:r>
      <w:r w:rsidR="00D7719F" w:rsidRPr="00247126">
        <w:t>,</w:t>
      </w:r>
      <w:r w:rsidR="002D1DB2" w:rsidRPr="00247126">
        <w:t xml:space="preserve"> the commentary </w:t>
      </w:r>
      <w:r w:rsidR="00A82B87" w:rsidRPr="00247126">
        <w:t>proposed</w:t>
      </w:r>
      <w:r w:rsidR="00F662EF" w:rsidRPr="00247126">
        <w:t xml:space="preserve"> the clinical claims </w:t>
      </w:r>
      <w:r w:rsidR="00F50CA5" w:rsidRPr="00247126">
        <w:t xml:space="preserve">presented in </w:t>
      </w:r>
      <w:r w:rsidR="00F50CA5" w:rsidRPr="00247126">
        <w:fldChar w:fldCharType="begin"/>
      </w:r>
      <w:r w:rsidR="00F50CA5" w:rsidRPr="00247126">
        <w:instrText xml:space="preserve"> REF _Ref163560078 \h </w:instrText>
      </w:r>
      <w:r w:rsidR="00C567A2" w:rsidRPr="00247126">
        <w:instrText xml:space="preserve"> \* MERGEFORMAT </w:instrText>
      </w:r>
      <w:r w:rsidR="00F50CA5" w:rsidRPr="00247126">
        <w:fldChar w:fldCharType="separate"/>
      </w:r>
      <w:r w:rsidR="00151E03" w:rsidRPr="00247126">
        <w:t xml:space="preserve">Table </w:t>
      </w:r>
      <w:r w:rsidR="00151E03" w:rsidRPr="00247126">
        <w:rPr>
          <w:noProof/>
        </w:rPr>
        <w:t>14</w:t>
      </w:r>
      <w:r w:rsidR="00F50CA5" w:rsidRPr="00247126">
        <w:fldChar w:fldCharType="end"/>
      </w:r>
      <w:r w:rsidR="00F662EF" w:rsidRPr="00247126">
        <w:t xml:space="preserve"> with respect to OCT+AG </w:t>
      </w:r>
      <w:r w:rsidR="00A96C81" w:rsidRPr="00247126">
        <w:t xml:space="preserve">for the purpose of guiding stent insertion in patients with myocardial ischemia </w:t>
      </w:r>
      <w:r w:rsidR="00F662EF" w:rsidRPr="00247126">
        <w:t>in the subpopulations of interest.</w:t>
      </w:r>
    </w:p>
    <w:p w14:paraId="7251AB36" w14:textId="2673D49A" w:rsidR="00FD2CE4" w:rsidRPr="00247126" w:rsidRDefault="00FD2CE4" w:rsidP="000B2900">
      <w:pPr>
        <w:pStyle w:val="Caption"/>
        <w:ind w:left="720" w:hanging="720"/>
      </w:pPr>
      <w:bookmarkStart w:id="31" w:name="_Ref163560078"/>
      <w:r w:rsidRPr="00247126">
        <w:t xml:space="preserve">Table </w:t>
      </w:r>
      <w:r w:rsidRPr="00247126">
        <w:fldChar w:fldCharType="begin"/>
      </w:r>
      <w:r w:rsidRPr="00247126">
        <w:instrText xml:space="preserve"> SEQ Table \* ARABIC </w:instrText>
      </w:r>
      <w:r w:rsidRPr="00247126">
        <w:fldChar w:fldCharType="separate"/>
      </w:r>
      <w:r w:rsidR="00151E03" w:rsidRPr="00247126">
        <w:rPr>
          <w:noProof/>
        </w:rPr>
        <w:t>14</w:t>
      </w:r>
      <w:r w:rsidRPr="00247126">
        <w:rPr>
          <w:noProof/>
        </w:rPr>
        <w:fldChar w:fldCharType="end"/>
      </w:r>
      <w:bookmarkEnd w:id="31"/>
      <w:r w:rsidRPr="00247126">
        <w:tab/>
        <w:t>Summary of commentary conclusions of the clinical claims</w:t>
      </w:r>
      <w:r w:rsidR="00C722B5" w:rsidRPr="00247126">
        <w:t xml:space="preserve"> </w:t>
      </w:r>
      <w:r w:rsidR="000B2900" w:rsidRPr="00247126">
        <w:t>in the subpopulations of interest</w:t>
      </w:r>
    </w:p>
    <w:tbl>
      <w:tblPr>
        <w:tblStyle w:val="TableGrid"/>
        <w:tblW w:w="0" w:type="auto"/>
        <w:tblLook w:val="04A0" w:firstRow="1" w:lastRow="0" w:firstColumn="1" w:lastColumn="0" w:noHBand="0" w:noVBand="1"/>
        <w:tblCaption w:val="Summary of commentary conclusions of the clinical claims in the subpopulations of interest"/>
        <w:tblDescription w:val="This table summarises the commentary conclusions of the clinical claims in the subpopulations of interest for OCT+AG versus AG alone and OCT+AG versus IVUS+AG comparisons."/>
      </w:tblPr>
      <w:tblGrid>
        <w:gridCol w:w="1804"/>
        <w:gridCol w:w="539"/>
        <w:gridCol w:w="3349"/>
        <w:gridCol w:w="3324"/>
      </w:tblGrid>
      <w:tr w:rsidR="001B3BFE" w:rsidRPr="00247126" w14:paraId="039FBF90" w14:textId="77777777" w:rsidTr="009B462E">
        <w:trPr>
          <w:tblHeader/>
        </w:trPr>
        <w:tc>
          <w:tcPr>
            <w:tcW w:w="1838" w:type="dxa"/>
            <w:tcBorders>
              <w:bottom w:val="single" w:sz="4" w:space="0" w:color="auto"/>
            </w:tcBorders>
            <w:tcMar>
              <w:left w:w="57" w:type="dxa"/>
              <w:right w:w="57" w:type="dxa"/>
            </w:tcMar>
          </w:tcPr>
          <w:p w14:paraId="0EB54F70" w14:textId="2C7CEF03" w:rsidR="001B3BFE" w:rsidRPr="00247126" w:rsidRDefault="00646B13" w:rsidP="00646B13">
            <w:pPr>
              <w:pStyle w:val="TableHeading0"/>
            </w:pPr>
            <w:r w:rsidRPr="00247126">
              <w:t>Subpopulation</w:t>
            </w:r>
          </w:p>
        </w:tc>
        <w:tc>
          <w:tcPr>
            <w:tcW w:w="3686" w:type="dxa"/>
            <w:gridSpan w:val="2"/>
            <w:tcBorders>
              <w:bottom w:val="single" w:sz="4" w:space="0" w:color="auto"/>
            </w:tcBorders>
            <w:tcMar>
              <w:left w:w="57" w:type="dxa"/>
              <w:right w:w="57" w:type="dxa"/>
            </w:tcMar>
          </w:tcPr>
          <w:p w14:paraId="5CB53588" w14:textId="5304DE36" w:rsidR="001B3BFE" w:rsidRPr="00247126" w:rsidRDefault="002C0475" w:rsidP="002C0475">
            <w:pPr>
              <w:pStyle w:val="TableHeading0"/>
            </w:pPr>
            <w:r w:rsidRPr="00247126">
              <w:t>Efficacy</w:t>
            </w:r>
          </w:p>
        </w:tc>
        <w:tc>
          <w:tcPr>
            <w:tcW w:w="3492" w:type="dxa"/>
            <w:tcBorders>
              <w:bottom w:val="single" w:sz="4" w:space="0" w:color="auto"/>
            </w:tcBorders>
            <w:tcMar>
              <w:left w:w="57" w:type="dxa"/>
              <w:right w:w="57" w:type="dxa"/>
            </w:tcMar>
          </w:tcPr>
          <w:p w14:paraId="2ED384F0" w14:textId="0CBF829C" w:rsidR="001B3BFE" w:rsidRPr="00247126" w:rsidRDefault="002C0475" w:rsidP="002C0475">
            <w:pPr>
              <w:pStyle w:val="TableHeading0"/>
            </w:pPr>
            <w:r w:rsidRPr="00247126">
              <w:t>Safety</w:t>
            </w:r>
          </w:p>
        </w:tc>
      </w:tr>
      <w:tr w:rsidR="00984F8D" w:rsidRPr="00247126" w14:paraId="2220A333" w14:textId="77777777" w:rsidTr="00174C77">
        <w:tc>
          <w:tcPr>
            <w:tcW w:w="1980" w:type="dxa"/>
            <w:gridSpan w:val="2"/>
            <w:tcBorders>
              <w:right w:val="nil"/>
            </w:tcBorders>
            <w:shd w:val="clear" w:color="auto" w:fill="auto"/>
            <w:tcMar>
              <w:left w:w="57" w:type="dxa"/>
              <w:right w:w="57" w:type="dxa"/>
            </w:tcMar>
          </w:tcPr>
          <w:p w14:paraId="5A19E5E6" w14:textId="2622B39D" w:rsidR="00984F8D" w:rsidRPr="00247126" w:rsidRDefault="00984F8D" w:rsidP="00D628EA">
            <w:pPr>
              <w:pStyle w:val="TableText"/>
              <w:rPr>
                <w:b/>
                <w:bCs/>
              </w:rPr>
            </w:pPr>
            <w:r w:rsidRPr="00247126">
              <w:rPr>
                <w:b/>
                <w:bCs/>
              </w:rPr>
              <w:t>OCT+AG vs. AG alone</w:t>
            </w:r>
          </w:p>
        </w:tc>
        <w:tc>
          <w:tcPr>
            <w:tcW w:w="3544" w:type="dxa"/>
            <w:tcBorders>
              <w:left w:val="nil"/>
              <w:right w:val="nil"/>
            </w:tcBorders>
            <w:shd w:val="clear" w:color="auto" w:fill="auto"/>
            <w:tcMar>
              <w:left w:w="57" w:type="dxa"/>
              <w:right w:w="57" w:type="dxa"/>
            </w:tcMar>
          </w:tcPr>
          <w:p w14:paraId="2E959175" w14:textId="77777777" w:rsidR="00984F8D" w:rsidRPr="00247126" w:rsidRDefault="00984F8D" w:rsidP="00902A60">
            <w:pPr>
              <w:pStyle w:val="TableText"/>
              <w:rPr>
                <w:b/>
              </w:rPr>
            </w:pPr>
          </w:p>
        </w:tc>
        <w:tc>
          <w:tcPr>
            <w:tcW w:w="3492" w:type="dxa"/>
            <w:tcBorders>
              <w:left w:val="nil"/>
            </w:tcBorders>
            <w:shd w:val="clear" w:color="auto" w:fill="auto"/>
            <w:tcMar>
              <w:left w:w="57" w:type="dxa"/>
              <w:right w:w="57" w:type="dxa"/>
            </w:tcMar>
          </w:tcPr>
          <w:p w14:paraId="3AF9F45F" w14:textId="77777777" w:rsidR="00984F8D" w:rsidRPr="00247126" w:rsidRDefault="00984F8D" w:rsidP="00902A60">
            <w:pPr>
              <w:pStyle w:val="TableText"/>
              <w:rPr>
                <w:b/>
              </w:rPr>
            </w:pPr>
          </w:p>
        </w:tc>
      </w:tr>
      <w:tr w:rsidR="001B3BFE" w:rsidRPr="00247126" w14:paraId="468C907A" w14:textId="77777777" w:rsidTr="00BE74D5">
        <w:tc>
          <w:tcPr>
            <w:tcW w:w="1838" w:type="dxa"/>
            <w:tcMar>
              <w:left w:w="57" w:type="dxa"/>
              <w:right w:w="57" w:type="dxa"/>
            </w:tcMar>
          </w:tcPr>
          <w:p w14:paraId="228498A8" w14:textId="6B8AF639" w:rsidR="001B3BFE" w:rsidRPr="00247126" w:rsidRDefault="001B3BFE" w:rsidP="00D628EA">
            <w:pPr>
              <w:pStyle w:val="TableText"/>
            </w:pPr>
            <w:r w:rsidRPr="00247126">
              <w:t>Bifurcation</w:t>
            </w:r>
          </w:p>
        </w:tc>
        <w:tc>
          <w:tcPr>
            <w:tcW w:w="3686" w:type="dxa"/>
            <w:gridSpan w:val="2"/>
            <w:tcMar>
              <w:left w:w="57" w:type="dxa"/>
              <w:right w:w="57" w:type="dxa"/>
            </w:tcMar>
          </w:tcPr>
          <w:p w14:paraId="53E1385A" w14:textId="3B1C77F0" w:rsidR="001B3BFE" w:rsidRPr="00247126" w:rsidRDefault="00FD2CE4" w:rsidP="00902A60">
            <w:pPr>
              <w:pStyle w:val="TableText"/>
            </w:pPr>
            <w:r w:rsidRPr="00247126">
              <w:rPr>
                <w:b/>
              </w:rPr>
              <w:t>S</w:t>
            </w:r>
            <w:r w:rsidR="00902A60" w:rsidRPr="00247126">
              <w:rPr>
                <w:b/>
              </w:rPr>
              <w:t>uperior</w:t>
            </w:r>
            <w:r w:rsidR="00902A60" w:rsidRPr="00247126">
              <w:t xml:space="preserve"> (MACE at 2 years; HIGH certainty evidence)</w:t>
            </w:r>
          </w:p>
        </w:tc>
        <w:tc>
          <w:tcPr>
            <w:tcW w:w="3492" w:type="dxa"/>
            <w:tcMar>
              <w:left w:w="57" w:type="dxa"/>
              <w:right w:w="57" w:type="dxa"/>
            </w:tcMar>
          </w:tcPr>
          <w:p w14:paraId="023BADF0" w14:textId="3EB2A9A9" w:rsidR="001B3BFE" w:rsidRPr="00247126" w:rsidRDefault="001E04F8" w:rsidP="00902A60">
            <w:pPr>
              <w:pStyle w:val="TableText"/>
            </w:pPr>
            <w:r w:rsidRPr="00247126">
              <w:rPr>
                <w:b/>
              </w:rPr>
              <w:t>Non-inferior</w:t>
            </w:r>
            <w:r w:rsidRPr="00247126">
              <w:t xml:space="preserve"> (procedural complications; MODERATE certainty evidence)</w:t>
            </w:r>
          </w:p>
        </w:tc>
      </w:tr>
      <w:tr w:rsidR="001B3BFE" w:rsidRPr="00247126" w14:paraId="28260B05" w14:textId="77777777" w:rsidTr="00BE74D5">
        <w:tc>
          <w:tcPr>
            <w:tcW w:w="1838" w:type="dxa"/>
            <w:tcBorders>
              <w:bottom w:val="single" w:sz="4" w:space="0" w:color="auto"/>
            </w:tcBorders>
            <w:tcMar>
              <w:left w:w="57" w:type="dxa"/>
              <w:right w:w="57" w:type="dxa"/>
            </w:tcMar>
          </w:tcPr>
          <w:p w14:paraId="198F6C52" w14:textId="053D23C9" w:rsidR="001B3BFE" w:rsidRPr="00247126" w:rsidRDefault="00616302" w:rsidP="00D628EA">
            <w:pPr>
              <w:pStyle w:val="TableText"/>
            </w:pPr>
            <w:r w:rsidRPr="00247126">
              <w:t>Severe calcification</w:t>
            </w:r>
          </w:p>
        </w:tc>
        <w:tc>
          <w:tcPr>
            <w:tcW w:w="3686" w:type="dxa"/>
            <w:gridSpan w:val="2"/>
            <w:tcBorders>
              <w:bottom w:val="single" w:sz="4" w:space="0" w:color="auto"/>
            </w:tcBorders>
            <w:tcMar>
              <w:left w:w="57" w:type="dxa"/>
              <w:right w:w="57" w:type="dxa"/>
            </w:tcMar>
          </w:tcPr>
          <w:p w14:paraId="290679AB" w14:textId="354C6388" w:rsidR="00D628EA" w:rsidRPr="00247126" w:rsidRDefault="00D628EA" w:rsidP="00D628EA">
            <w:pPr>
              <w:pStyle w:val="TableText"/>
            </w:pPr>
            <w:r w:rsidRPr="00247126">
              <w:rPr>
                <w:b/>
              </w:rPr>
              <w:t>Non-inferior</w:t>
            </w:r>
            <w:r w:rsidRPr="00247126">
              <w:t xml:space="preserve"> (TVF and its individual constituents at 2 years; LOW certainty evidence)</w:t>
            </w:r>
          </w:p>
          <w:p w14:paraId="2E3B41A8" w14:textId="5FEEDA8F" w:rsidR="001B3BFE" w:rsidRPr="00247126" w:rsidRDefault="00D628EA" w:rsidP="00902A60">
            <w:pPr>
              <w:pStyle w:val="TableText"/>
            </w:pPr>
            <w:r w:rsidRPr="00247126">
              <w:t>Further trials are required to confirm the applicant’s claim of superiority</w:t>
            </w:r>
          </w:p>
        </w:tc>
        <w:tc>
          <w:tcPr>
            <w:tcW w:w="3492" w:type="dxa"/>
            <w:tcBorders>
              <w:bottom w:val="single" w:sz="4" w:space="0" w:color="auto"/>
            </w:tcBorders>
            <w:tcMar>
              <w:left w:w="57" w:type="dxa"/>
              <w:right w:w="57" w:type="dxa"/>
            </w:tcMar>
          </w:tcPr>
          <w:p w14:paraId="3252A8E4" w14:textId="3582A46B" w:rsidR="001B3BFE" w:rsidRPr="00247126" w:rsidRDefault="00614019" w:rsidP="00902A60">
            <w:pPr>
              <w:pStyle w:val="TableText"/>
            </w:pPr>
            <w:r w:rsidRPr="00247126">
              <w:rPr>
                <w:b/>
              </w:rPr>
              <w:t>Non-inferior</w:t>
            </w:r>
            <w:r w:rsidRPr="00247126">
              <w:t xml:space="preserve"> (</w:t>
            </w:r>
            <w:r w:rsidR="00E27BB8" w:rsidRPr="00247126">
              <w:t xml:space="preserve">although </w:t>
            </w:r>
            <w:r w:rsidRPr="00247126">
              <w:t>procedural complications were not available specifically for this subpopulation; LOW certainty evidence)</w:t>
            </w:r>
          </w:p>
        </w:tc>
      </w:tr>
      <w:tr w:rsidR="001B3BFE" w:rsidRPr="00247126" w14:paraId="178AF130" w14:textId="77777777" w:rsidTr="00BE74D5">
        <w:tc>
          <w:tcPr>
            <w:tcW w:w="1838" w:type="dxa"/>
            <w:tcBorders>
              <w:bottom w:val="nil"/>
            </w:tcBorders>
            <w:tcMar>
              <w:left w:w="57" w:type="dxa"/>
              <w:right w:w="57" w:type="dxa"/>
            </w:tcMar>
          </w:tcPr>
          <w:p w14:paraId="568190A3" w14:textId="63171B4F" w:rsidR="001B3BFE" w:rsidRPr="00247126" w:rsidRDefault="002C0475" w:rsidP="001E4138">
            <w:pPr>
              <w:pStyle w:val="TableText"/>
              <w:keepNext/>
            </w:pPr>
            <w:r w:rsidRPr="00247126">
              <w:t>Stent failure</w:t>
            </w:r>
          </w:p>
        </w:tc>
        <w:tc>
          <w:tcPr>
            <w:tcW w:w="3686" w:type="dxa"/>
            <w:gridSpan w:val="2"/>
            <w:tcBorders>
              <w:bottom w:val="nil"/>
            </w:tcBorders>
            <w:tcMar>
              <w:left w:w="57" w:type="dxa"/>
              <w:right w:w="57" w:type="dxa"/>
            </w:tcMar>
          </w:tcPr>
          <w:p w14:paraId="4396A48B" w14:textId="77777777" w:rsidR="001B3BFE" w:rsidRPr="00247126" w:rsidRDefault="001B3BFE" w:rsidP="001E4138">
            <w:pPr>
              <w:pStyle w:val="TableText"/>
              <w:keepNext/>
            </w:pPr>
          </w:p>
        </w:tc>
        <w:tc>
          <w:tcPr>
            <w:tcW w:w="3492" w:type="dxa"/>
            <w:tcBorders>
              <w:bottom w:val="nil"/>
            </w:tcBorders>
            <w:tcMar>
              <w:left w:w="57" w:type="dxa"/>
              <w:right w:w="57" w:type="dxa"/>
            </w:tcMar>
          </w:tcPr>
          <w:p w14:paraId="05332E7C" w14:textId="77777777" w:rsidR="001B3BFE" w:rsidRPr="00247126" w:rsidRDefault="001B3BFE" w:rsidP="001E4138">
            <w:pPr>
              <w:pStyle w:val="TableText"/>
              <w:keepNext/>
            </w:pPr>
          </w:p>
        </w:tc>
      </w:tr>
      <w:tr w:rsidR="005D0511" w:rsidRPr="00247126" w14:paraId="1C2846F3" w14:textId="77777777" w:rsidTr="00BE74D5">
        <w:tc>
          <w:tcPr>
            <w:tcW w:w="1838" w:type="dxa"/>
            <w:tcBorders>
              <w:top w:val="nil"/>
              <w:bottom w:val="nil"/>
            </w:tcBorders>
            <w:tcMar>
              <w:left w:w="57" w:type="dxa"/>
              <w:right w:w="57" w:type="dxa"/>
            </w:tcMar>
          </w:tcPr>
          <w:p w14:paraId="7ADF3F3F" w14:textId="592F6EF4" w:rsidR="005D0511" w:rsidRPr="00247126" w:rsidRDefault="00E47C07" w:rsidP="00A96CBF">
            <w:pPr>
              <w:pStyle w:val="TableText"/>
              <w:ind w:left="454" w:hanging="234"/>
            </w:pPr>
            <w:r w:rsidRPr="00247126">
              <w:t>In-stent restenosis</w:t>
            </w:r>
          </w:p>
        </w:tc>
        <w:tc>
          <w:tcPr>
            <w:tcW w:w="3686" w:type="dxa"/>
            <w:gridSpan w:val="2"/>
            <w:tcBorders>
              <w:top w:val="nil"/>
              <w:bottom w:val="nil"/>
            </w:tcBorders>
            <w:tcMar>
              <w:left w:w="57" w:type="dxa"/>
              <w:right w:w="57" w:type="dxa"/>
            </w:tcMar>
          </w:tcPr>
          <w:p w14:paraId="618A54C3" w14:textId="215772CD" w:rsidR="005D0511" w:rsidRPr="00247126" w:rsidRDefault="00196B57" w:rsidP="00D628EA">
            <w:pPr>
              <w:pStyle w:val="TableText"/>
            </w:pPr>
            <w:r w:rsidRPr="00247126">
              <w:rPr>
                <w:b/>
              </w:rPr>
              <w:t>Non-inferior</w:t>
            </w:r>
            <w:r w:rsidRPr="00247126">
              <w:t xml:space="preserve"> (TVF and its individual constituents at 2 years; LOW certainty evidence)</w:t>
            </w:r>
          </w:p>
        </w:tc>
        <w:tc>
          <w:tcPr>
            <w:tcW w:w="3492" w:type="dxa"/>
            <w:tcBorders>
              <w:top w:val="nil"/>
              <w:bottom w:val="nil"/>
            </w:tcBorders>
            <w:tcMar>
              <w:left w:w="57" w:type="dxa"/>
              <w:right w:w="57" w:type="dxa"/>
            </w:tcMar>
          </w:tcPr>
          <w:p w14:paraId="12E2A6DE" w14:textId="6FEA72E3" w:rsidR="005D0511" w:rsidRPr="00247126" w:rsidRDefault="00DB495E" w:rsidP="00D628EA">
            <w:pPr>
              <w:pStyle w:val="TableText"/>
            </w:pPr>
            <w:r w:rsidRPr="00247126">
              <w:rPr>
                <w:b/>
              </w:rPr>
              <w:t>Non-inferior</w:t>
            </w:r>
            <w:r w:rsidRPr="00247126">
              <w:t xml:space="preserve"> (</w:t>
            </w:r>
            <w:r w:rsidR="00D74AE2" w:rsidRPr="00247126">
              <w:t xml:space="preserve">although </w:t>
            </w:r>
            <w:r w:rsidRPr="00247126">
              <w:t>procedural complications were not available specifically for this subpopulation; LOW certainty evidence)</w:t>
            </w:r>
          </w:p>
        </w:tc>
      </w:tr>
      <w:tr w:rsidR="005D0511" w:rsidRPr="00247126" w14:paraId="00911C0F" w14:textId="77777777" w:rsidTr="00BE74D5">
        <w:tc>
          <w:tcPr>
            <w:tcW w:w="1838" w:type="dxa"/>
            <w:tcBorders>
              <w:top w:val="nil"/>
            </w:tcBorders>
            <w:tcMar>
              <w:left w:w="57" w:type="dxa"/>
              <w:right w:w="57" w:type="dxa"/>
            </w:tcMar>
          </w:tcPr>
          <w:p w14:paraId="6E55AFE1" w14:textId="32543317" w:rsidR="005D0511" w:rsidRPr="00247126" w:rsidRDefault="003C36F8" w:rsidP="00A96CBF">
            <w:pPr>
              <w:pStyle w:val="TableText"/>
              <w:ind w:left="454" w:hanging="234"/>
            </w:pPr>
            <w:r w:rsidRPr="00247126">
              <w:t>Stent thrombosis</w:t>
            </w:r>
          </w:p>
        </w:tc>
        <w:tc>
          <w:tcPr>
            <w:tcW w:w="3686" w:type="dxa"/>
            <w:gridSpan w:val="2"/>
            <w:tcBorders>
              <w:top w:val="nil"/>
            </w:tcBorders>
            <w:tcMar>
              <w:left w:w="57" w:type="dxa"/>
              <w:right w:w="57" w:type="dxa"/>
            </w:tcMar>
          </w:tcPr>
          <w:p w14:paraId="68494099" w14:textId="70166FE9" w:rsidR="005D0511" w:rsidRPr="00247126" w:rsidRDefault="00923622" w:rsidP="00D628EA">
            <w:pPr>
              <w:pStyle w:val="TableText"/>
            </w:pPr>
            <w:r w:rsidRPr="00247126">
              <w:t>No evidence</w:t>
            </w:r>
            <w:r w:rsidR="001B7B70" w:rsidRPr="00247126">
              <w:t xml:space="preserve"> presented in the ADAR</w:t>
            </w:r>
          </w:p>
        </w:tc>
        <w:tc>
          <w:tcPr>
            <w:tcW w:w="3492" w:type="dxa"/>
            <w:tcBorders>
              <w:top w:val="nil"/>
            </w:tcBorders>
            <w:tcMar>
              <w:left w:w="57" w:type="dxa"/>
              <w:right w:w="57" w:type="dxa"/>
            </w:tcMar>
          </w:tcPr>
          <w:p w14:paraId="5D402325" w14:textId="1AA62587" w:rsidR="005D0511" w:rsidRPr="00247126" w:rsidRDefault="001B7B70" w:rsidP="00D628EA">
            <w:pPr>
              <w:pStyle w:val="TableText"/>
            </w:pPr>
            <w:r w:rsidRPr="00247126">
              <w:t>No evidence presented in the ADAR</w:t>
            </w:r>
          </w:p>
        </w:tc>
      </w:tr>
      <w:tr w:rsidR="001B3BFE" w:rsidRPr="00247126" w14:paraId="4D20446A" w14:textId="77777777" w:rsidTr="009B462E">
        <w:tc>
          <w:tcPr>
            <w:tcW w:w="1838" w:type="dxa"/>
            <w:tcBorders>
              <w:bottom w:val="single" w:sz="4" w:space="0" w:color="auto"/>
            </w:tcBorders>
            <w:tcMar>
              <w:left w:w="57" w:type="dxa"/>
              <w:right w:w="57" w:type="dxa"/>
            </w:tcMar>
          </w:tcPr>
          <w:p w14:paraId="4853835F" w14:textId="2C91BC68" w:rsidR="001B3BFE" w:rsidRPr="00247126" w:rsidRDefault="002C0475" w:rsidP="00D628EA">
            <w:pPr>
              <w:pStyle w:val="TableText"/>
              <w:rPr>
                <w:vertAlign w:val="superscript"/>
              </w:rPr>
            </w:pPr>
            <w:r w:rsidRPr="00247126">
              <w:t>Long</w:t>
            </w:r>
            <w:r w:rsidR="001E2276" w:rsidRPr="00247126">
              <w:t>/multiple</w:t>
            </w:r>
            <w:r w:rsidRPr="00247126">
              <w:t xml:space="preserve"> </w:t>
            </w:r>
            <w:proofErr w:type="spellStart"/>
            <w:r w:rsidRPr="00247126">
              <w:t>lesion</w:t>
            </w:r>
            <w:r w:rsidR="00951A8B" w:rsidRPr="00247126">
              <w:rPr>
                <w:vertAlign w:val="superscript"/>
              </w:rPr>
              <w:t>a</w:t>
            </w:r>
            <w:proofErr w:type="spellEnd"/>
          </w:p>
        </w:tc>
        <w:tc>
          <w:tcPr>
            <w:tcW w:w="3686" w:type="dxa"/>
            <w:gridSpan w:val="2"/>
            <w:tcBorders>
              <w:bottom w:val="single" w:sz="4" w:space="0" w:color="auto"/>
            </w:tcBorders>
            <w:tcMar>
              <w:left w:w="57" w:type="dxa"/>
              <w:right w:w="57" w:type="dxa"/>
            </w:tcMar>
          </w:tcPr>
          <w:p w14:paraId="46E3B18C" w14:textId="45E968E9" w:rsidR="001B3BFE" w:rsidRPr="00247126" w:rsidRDefault="00C066A2" w:rsidP="00902A60">
            <w:pPr>
              <w:pStyle w:val="TableText"/>
            </w:pPr>
            <w:r w:rsidRPr="00247126">
              <w:rPr>
                <w:b/>
                <w:bCs/>
              </w:rPr>
              <w:t>Superior</w:t>
            </w:r>
            <w:r w:rsidRPr="00247126">
              <w:t xml:space="preserve"> (risk of stent thrombosis at 2 years; MODERATE certainty evidence)</w:t>
            </w:r>
          </w:p>
        </w:tc>
        <w:tc>
          <w:tcPr>
            <w:tcW w:w="3492" w:type="dxa"/>
            <w:tcBorders>
              <w:bottom w:val="single" w:sz="4" w:space="0" w:color="auto"/>
            </w:tcBorders>
            <w:tcMar>
              <w:left w:w="57" w:type="dxa"/>
              <w:right w:w="57" w:type="dxa"/>
            </w:tcMar>
          </w:tcPr>
          <w:p w14:paraId="281F2020" w14:textId="10467364" w:rsidR="001B3BFE" w:rsidRPr="00247126" w:rsidRDefault="003D2F84" w:rsidP="00902A60">
            <w:pPr>
              <w:pStyle w:val="TableText"/>
            </w:pPr>
            <w:r w:rsidRPr="00247126">
              <w:rPr>
                <w:b/>
                <w:bCs/>
              </w:rPr>
              <w:t>Non-inferior</w:t>
            </w:r>
            <w:r w:rsidRPr="00247126">
              <w:t xml:space="preserve"> (</w:t>
            </w:r>
            <w:r w:rsidR="00E27BB8" w:rsidRPr="00247126">
              <w:t xml:space="preserve">although </w:t>
            </w:r>
            <w:r w:rsidRPr="00247126">
              <w:t>procedural complications were not available specifically for this subpopulation; LOW certainty evidence)</w:t>
            </w:r>
          </w:p>
        </w:tc>
      </w:tr>
      <w:tr w:rsidR="00984F8D" w:rsidRPr="00247126" w14:paraId="0C4AEA03" w14:textId="77777777" w:rsidTr="00174C77">
        <w:tc>
          <w:tcPr>
            <w:tcW w:w="2405" w:type="dxa"/>
            <w:gridSpan w:val="2"/>
            <w:tcBorders>
              <w:right w:val="nil"/>
            </w:tcBorders>
            <w:shd w:val="clear" w:color="auto" w:fill="auto"/>
            <w:tcMar>
              <w:left w:w="57" w:type="dxa"/>
              <w:right w:w="57" w:type="dxa"/>
            </w:tcMar>
          </w:tcPr>
          <w:p w14:paraId="13885CD0" w14:textId="62035207" w:rsidR="00984F8D" w:rsidRPr="00247126" w:rsidRDefault="00984F8D" w:rsidP="00D628EA">
            <w:pPr>
              <w:pStyle w:val="TableText"/>
              <w:rPr>
                <w:b/>
                <w:bCs/>
              </w:rPr>
            </w:pPr>
            <w:r w:rsidRPr="00247126">
              <w:rPr>
                <w:b/>
                <w:bCs/>
              </w:rPr>
              <w:t>OCT+AG vs. IVUS+AG</w:t>
            </w:r>
          </w:p>
        </w:tc>
        <w:tc>
          <w:tcPr>
            <w:tcW w:w="3119" w:type="dxa"/>
            <w:tcBorders>
              <w:left w:val="nil"/>
              <w:right w:val="nil"/>
            </w:tcBorders>
            <w:shd w:val="clear" w:color="auto" w:fill="auto"/>
            <w:tcMar>
              <w:left w:w="57" w:type="dxa"/>
              <w:right w:w="57" w:type="dxa"/>
            </w:tcMar>
          </w:tcPr>
          <w:p w14:paraId="715D4D95" w14:textId="77777777" w:rsidR="00984F8D" w:rsidRPr="00247126" w:rsidRDefault="00984F8D" w:rsidP="00902A60">
            <w:pPr>
              <w:pStyle w:val="TableText"/>
              <w:rPr>
                <w:b/>
                <w:bCs/>
              </w:rPr>
            </w:pPr>
          </w:p>
        </w:tc>
        <w:tc>
          <w:tcPr>
            <w:tcW w:w="3492" w:type="dxa"/>
            <w:tcBorders>
              <w:left w:val="nil"/>
            </w:tcBorders>
            <w:shd w:val="clear" w:color="auto" w:fill="auto"/>
            <w:tcMar>
              <w:left w:w="57" w:type="dxa"/>
              <w:right w:w="57" w:type="dxa"/>
            </w:tcMar>
          </w:tcPr>
          <w:p w14:paraId="23764BE9" w14:textId="77777777" w:rsidR="00984F8D" w:rsidRPr="00247126" w:rsidRDefault="00984F8D" w:rsidP="00902A60">
            <w:pPr>
              <w:pStyle w:val="TableText"/>
              <w:rPr>
                <w:b/>
                <w:bCs/>
              </w:rPr>
            </w:pPr>
          </w:p>
        </w:tc>
      </w:tr>
      <w:tr w:rsidR="00984F8D" w:rsidRPr="00247126" w14:paraId="520413E4" w14:textId="77777777" w:rsidTr="00BE74D5">
        <w:tc>
          <w:tcPr>
            <w:tcW w:w="1838" w:type="dxa"/>
            <w:tcMar>
              <w:left w:w="57" w:type="dxa"/>
              <w:right w:w="57" w:type="dxa"/>
            </w:tcMar>
          </w:tcPr>
          <w:p w14:paraId="5ACE85DA" w14:textId="13F733D1" w:rsidR="00984F8D" w:rsidRPr="00247126" w:rsidRDefault="00984F8D" w:rsidP="00984F8D">
            <w:pPr>
              <w:pStyle w:val="TableText"/>
              <w:rPr>
                <w:b/>
                <w:bCs/>
              </w:rPr>
            </w:pPr>
            <w:r w:rsidRPr="00247126">
              <w:t>Long lesion</w:t>
            </w:r>
          </w:p>
        </w:tc>
        <w:tc>
          <w:tcPr>
            <w:tcW w:w="3686" w:type="dxa"/>
            <w:gridSpan w:val="2"/>
            <w:tcMar>
              <w:left w:w="57" w:type="dxa"/>
              <w:right w:w="57" w:type="dxa"/>
            </w:tcMar>
          </w:tcPr>
          <w:p w14:paraId="3FF1D403" w14:textId="0B151D0B" w:rsidR="00984F8D" w:rsidRPr="00247126" w:rsidRDefault="00984F8D" w:rsidP="00984F8D">
            <w:pPr>
              <w:pStyle w:val="TableText"/>
              <w:rPr>
                <w:b/>
                <w:bCs/>
              </w:rPr>
            </w:pPr>
            <w:r w:rsidRPr="00247126">
              <w:rPr>
                <w:b/>
                <w:bCs/>
              </w:rPr>
              <w:t>Non-inferior</w:t>
            </w:r>
            <w:r w:rsidRPr="00247126">
              <w:t xml:space="preserve"> (TVF and its individual constituents at 2 years; LOW certainty evidence)</w:t>
            </w:r>
          </w:p>
        </w:tc>
        <w:tc>
          <w:tcPr>
            <w:tcW w:w="3492" w:type="dxa"/>
            <w:tcMar>
              <w:left w:w="57" w:type="dxa"/>
              <w:right w:w="57" w:type="dxa"/>
            </w:tcMar>
          </w:tcPr>
          <w:p w14:paraId="3B5F4C6F" w14:textId="3FDAC2F7" w:rsidR="00984F8D" w:rsidRPr="00247126" w:rsidRDefault="00984F8D" w:rsidP="00984F8D">
            <w:pPr>
              <w:pStyle w:val="TableText"/>
              <w:rPr>
                <w:b/>
                <w:bCs/>
              </w:rPr>
            </w:pPr>
            <w:r w:rsidRPr="00247126">
              <w:rPr>
                <w:b/>
                <w:bCs/>
              </w:rPr>
              <w:t>Non-inferior</w:t>
            </w:r>
            <w:r w:rsidRPr="00247126">
              <w:t xml:space="preserve"> (procedural complications; MODERATE certainty evidence).</w:t>
            </w:r>
          </w:p>
        </w:tc>
      </w:tr>
    </w:tbl>
    <w:p w14:paraId="76569E3A" w14:textId="787F507C" w:rsidR="00360D63" w:rsidRPr="00247126" w:rsidRDefault="006F401E" w:rsidP="00951A8B">
      <w:pPr>
        <w:pStyle w:val="Tablenotes0"/>
      </w:pPr>
      <w:r w:rsidRPr="00247126">
        <w:t xml:space="preserve">AG </w:t>
      </w:r>
      <w:r w:rsidR="00736C04" w:rsidRPr="00247126">
        <w:t xml:space="preserve">= angiogram; </w:t>
      </w:r>
      <w:r w:rsidR="00BF6070" w:rsidRPr="00247126">
        <w:t xml:space="preserve">IVUS = intravascular ultrasound; </w:t>
      </w:r>
      <w:r w:rsidR="00736C04" w:rsidRPr="00247126">
        <w:t>MACE = major adverse cardiac event</w:t>
      </w:r>
      <w:r w:rsidR="00A66207" w:rsidRPr="00247126">
        <w:t>s</w:t>
      </w:r>
      <w:r w:rsidR="00736C04" w:rsidRPr="00247126">
        <w:t xml:space="preserve">; </w:t>
      </w:r>
      <w:r w:rsidRPr="00247126">
        <w:t xml:space="preserve">OCT </w:t>
      </w:r>
      <w:r w:rsidR="00A66207" w:rsidRPr="00247126">
        <w:t xml:space="preserve">= optical coherence tomography; </w:t>
      </w:r>
      <w:r w:rsidRPr="00247126">
        <w:t xml:space="preserve">TVF </w:t>
      </w:r>
      <w:r w:rsidR="00A66207" w:rsidRPr="00247126">
        <w:t>= target vessel failure.</w:t>
      </w:r>
      <w:r w:rsidRPr="00247126">
        <w:t xml:space="preserve"> </w:t>
      </w:r>
    </w:p>
    <w:p w14:paraId="530D3756" w14:textId="3604EF21" w:rsidR="007A4A20" w:rsidRPr="00247126" w:rsidRDefault="00951A8B" w:rsidP="00951A8B">
      <w:pPr>
        <w:pStyle w:val="Tablenotes0"/>
      </w:pPr>
      <w:r w:rsidRPr="00247126">
        <w:t>a Note that if stent thrombosis was considered a safety outcome, as per PICO Confirmation 1354.1 for IVUS, the clinical claim for the long or multiple lesion subpopulation would be non-inferior with respect to efficacy (TVF and its individual constituents at 2 years) and superior for safety (stent thrombosis).</w:t>
      </w:r>
    </w:p>
    <w:p w14:paraId="4D0BA09E" w14:textId="570C7B3E" w:rsidR="00BE3A4E" w:rsidRPr="00247126" w:rsidRDefault="00BE3A4E" w:rsidP="00951A8B">
      <w:pPr>
        <w:pStyle w:val="Tablenotes0"/>
      </w:pPr>
      <w:r w:rsidRPr="00247126">
        <w:t xml:space="preserve">Source: </w:t>
      </w:r>
      <w:r w:rsidR="00677474" w:rsidRPr="00247126">
        <w:t>C</w:t>
      </w:r>
      <w:r w:rsidRPr="00247126">
        <w:t xml:space="preserve">ompiled from </w:t>
      </w:r>
      <w:r w:rsidR="005107AA" w:rsidRPr="00247126">
        <w:t>S</w:t>
      </w:r>
      <w:r w:rsidR="003105D3" w:rsidRPr="00247126">
        <w:t xml:space="preserve">ection 2A.5 of </w:t>
      </w:r>
      <w:r w:rsidRPr="00247126">
        <w:t xml:space="preserve">MSAC 1743 </w:t>
      </w:r>
      <w:proofErr w:type="spellStart"/>
      <w:r w:rsidRPr="00247126">
        <w:t>ADAR+in-line</w:t>
      </w:r>
      <w:proofErr w:type="spellEnd"/>
      <w:r w:rsidRPr="00247126">
        <w:t xml:space="preserve"> commentary.</w:t>
      </w:r>
    </w:p>
    <w:p w14:paraId="6A7ED92F" w14:textId="1421E5FC" w:rsidR="00C03915" w:rsidRPr="00247126" w:rsidRDefault="00565F32" w:rsidP="00F662EF">
      <w:r w:rsidRPr="00247126">
        <w:fldChar w:fldCharType="begin"/>
      </w:r>
      <w:r w:rsidRPr="00247126">
        <w:instrText xml:space="preserve"> REF _Ref163596748 \h </w:instrText>
      </w:r>
      <w:r w:rsidR="00C567A2" w:rsidRPr="00247126">
        <w:instrText xml:space="preserve"> \* MERGEFORMAT </w:instrText>
      </w:r>
      <w:r w:rsidRPr="00247126">
        <w:fldChar w:fldCharType="separate"/>
      </w:r>
      <w:r w:rsidR="00151E03" w:rsidRPr="00247126">
        <w:t xml:space="preserve">Figure </w:t>
      </w:r>
      <w:r w:rsidR="00151E03" w:rsidRPr="00247126">
        <w:rPr>
          <w:noProof/>
        </w:rPr>
        <w:t>6</w:t>
      </w:r>
      <w:r w:rsidRPr="00247126">
        <w:fldChar w:fldCharType="end"/>
      </w:r>
      <w:r w:rsidRPr="00247126">
        <w:t xml:space="preserve"> and </w:t>
      </w:r>
      <w:r w:rsidRPr="00247126">
        <w:fldChar w:fldCharType="begin"/>
      </w:r>
      <w:r w:rsidRPr="00247126">
        <w:instrText xml:space="preserve"> REF _Ref163596764 \h </w:instrText>
      </w:r>
      <w:r w:rsidR="00C567A2" w:rsidRPr="00247126">
        <w:instrText xml:space="preserve"> \* MERGEFORMAT </w:instrText>
      </w:r>
      <w:r w:rsidRPr="00247126">
        <w:fldChar w:fldCharType="separate"/>
      </w:r>
      <w:r w:rsidR="00151E03" w:rsidRPr="00247126">
        <w:t xml:space="preserve">Figure </w:t>
      </w:r>
      <w:r w:rsidR="00151E03" w:rsidRPr="00247126">
        <w:rPr>
          <w:noProof/>
        </w:rPr>
        <w:t>7</w:t>
      </w:r>
      <w:r w:rsidRPr="00247126">
        <w:fldChar w:fldCharType="end"/>
      </w:r>
      <w:r w:rsidRPr="00247126">
        <w:t xml:space="preserve"> </w:t>
      </w:r>
      <w:r w:rsidR="00F662EF" w:rsidRPr="00247126">
        <w:t>summarise the primary composite outcome across the sub</w:t>
      </w:r>
      <w:r w:rsidR="00143CF1" w:rsidRPr="00247126">
        <w:t>populations</w:t>
      </w:r>
      <w:r w:rsidR="00F662EF" w:rsidRPr="00247126">
        <w:t xml:space="preserve"> for the OCT+AG versus AG alone and OCT+AG versus IVUS+AG comparisons, respectively.</w:t>
      </w:r>
    </w:p>
    <w:p w14:paraId="0892F2B1" w14:textId="68704497" w:rsidR="00E657C1" w:rsidRPr="00247126" w:rsidRDefault="00565F32" w:rsidP="00E30535">
      <w:pPr>
        <w:pStyle w:val="Caption"/>
        <w:ind w:left="720" w:hanging="720"/>
      </w:pPr>
      <w:bookmarkStart w:id="32" w:name="_Ref163596748"/>
      <w:r w:rsidRPr="00247126">
        <w:lastRenderedPageBreak/>
        <w:t xml:space="preserve">Figure </w:t>
      </w:r>
      <w:r w:rsidRPr="00247126">
        <w:fldChar w:fldCharType="begin"/>
      </w:r>
      <w:r w:rsidRPr="00247126">
        <w:instrText xml:space="preserve"> SEQ Figure \* ARABIC </w:instrText>
      </w:r>
      <w:r w:rsidRPr="00247126">
        <w:fldChar w:fldCharType="separate"/>
      </w:r>
      <w:r w:rsidR="00151E03" w:rsidRPr="00247126">
        <w:rPr>
          <w:noProof/>
        </w:rPr>
        <w:t>6</w:t>
      </w:r>
      <w:r w:rsidRPr="00247126">
        <w:rPr>
          <w:noProof/>
        </w:rPr>
        <w:fldChar w:fldCharType="end"/>
      </w:r>
      <w:bookmarkEnd w:id="32"/>
      <w:r w:rsidRPr="00247126">
        <w:tab/>
        <w:t xml:space="preserve">Forest plot of </w:t>
      </w:r>
      <w:r w:rsidR="00F6467C" w:rsidRPr="00247126">
        <w:t xml:space="preserve">the primary composite outcome (TVF/MACE) by subpopulation for OCT+AG versus AG </w:t>
      </w:r>
      <w:proofErr w:type="gramStart"/>
      <w:r w:rsidR="00F6467C" w:rsidRPr="00247126">
        <w:t>alone</w:t>
      </w:r>
      <w:proofErr w:type="gramEnd"/>
    </w:p>
    <w:p w14:paraId="75B719AC" w14:textId="7A9D9305" w:rsidR="00E657C1" w:rsidRPr="00247126" w:rsidRDefault="007929A5" w:rsidP="007C7AD0">
      <w:pPr>
        <w:pBdr>
          <w:top w:val="single" w:sz="4" w:space="1" w:color="auto"/>
          <w:left w:val="single" w:sz="4" w:space="4" w:color="auto"/>
          <w:bottom w:val="single" w:sz="4" w:space="1" w:color="auto"/>
          <w:right w:val="single" w:sz="4" w:space="4" w:color="auto"/>
        </w:pBdr>
        <w:spacing w:after="0"/>
      </w:pPr>
      <w:r w:rsidRPr="00247126">
        <w:rPr>
          <w:noProof/>
        </w:rPr>
        <w:drawing>
          <wp:inline distT="0" distB="0" distL="0" distR="0" wp14:anchorId="0A1E2287" wp14:editId="584562EF">
            <wp:extent cx="5731510" cy="2578735"/>
            <wp:effectExtent l="0" t="0" r="2540" b="0"/>
            <wp:docPr id="1402458459" name="Picture 1402458459" descr="This figure is a forest plot of the primary composite outcome (TVF/MACE) by subpopulation for OCT+AG versus AG 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58459" name="Picture 6" descr="This figure is a forest plot of the primary composite outcome (TVF/MACE) by subpopulation for OCT+AG versus AG alo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578735"/>
                    </a:xfrm>
                    <a:prstGeom prst="rect">
                      <a:avLst/>
                    </a:prstGeom>
                    <a:noFill/>
                    <a:ln>
                      <a:noFill/>
                    </a:ln>
                  </pic:spPr>
                </pic:pic>
              </a:graphicData>
            </a:graphic>
          </wp:inline>
        </w:drawing>
      </w:r>
    </w:p>
    <w:p w14:paraId="54061868" w14:textId="6D5F668D" w:rsidR="00CA63C6" w:rsidRPr="00247126" w:rsidRDefault="00CA63C6" w:rsidP="00CA63C6">
      <w:pPr>
        <w:pStyle w:val="Tablenotes0"/>
      </w:pPr>
      <w:r w:rsidRPr="00247126">
        <w:t>AG</w:t>
      </w:r>
      <w:r w:rsidR="001D7743" w:rsidRPr="00247126">
        <w:t xml:space="preserve"> =</w:t>
      </w:r>
      <w:r w:rsidRPr="00247126">
        <w:t xml:space="preserve"> angiogram; CI</w:t>
      </w:r>
      <w:r w:rsidR="001D7743" w:rsidRPr="00247126">
        <w:t xml:space="preserve"> =</w:t>
      </w:r>
      <w:r w:rsidRPr="00247126">
        <w:t xml:space="preserve"> confidence interval; HR</w:t>
      </w:r>
      <w:r w:rsidR="001D7743" w:rsidRPr="00247126">
        <w:t xml:space="preserve"> =</w:t>
      </w:r>
      <w:r w:rsidRPr="00247126">
        <w:t xml:space="preserve"> hazard ratio; IV</w:t>
      </w:r>
      <w:r w:rsidR="001D7743" w:rsidRPr="00247126">
        <w:t xml:space="preserve"> =</w:t>
      </w:r>
      <w:r w:rsidRPr="00247126">
        <w:t xml:space="preserve"> inverse variance; MACE</w:t>
      </w:r>
      <w:r w:rsidR="001D7743" w:rsidRPr="00247126">
        <w:t xml:space="preserve"> =</w:t>
      </w:r>
      <w:r w:rsidRPr="00247126">
        <w:t xml:space="preserve"> major adverse cardiac event; OCT</w:t>
      </w:r>
      <w:r w:rsidR="001D7743" w:rsidRPr="00247126">
        <w:t xml:space="preserve"> =</w:t>
      </w:r>
      <w:r w:rsidRPr="00247126">
        <w:t xml:space="preserve"> optical coherence tomography; SE</w:t>
      </w:r>
      <w:r w:rsidR="001D7743" w:rsidRPr="00247126">
        <w:t xml:space="preserve"> =</w:t>
      </w:r>
      <w:r w:rsidRPr="00247126">
        <w:t xml:space="preserve"> standard error; TVF</w:t>
      </w:r>
      <w:r w:rsidR="001D7743" w:rsidRPr="00247126">
        <w:t xml:space="preserve"> =</w:t>
      </w:r>
      <w:r w:rsidRPr="00247126">
        <w:t xml:space="preserve"> target vessel failure. </w:t>
      </w:r>
    </w:p>
    <w:p w14:paraId="08E34093" w14:textId="4B4E07A4" w:rsidR="00CA63C6" w:rsidRPr="00247126" w:rsidRDefault="00CA63C6" w:rsidP="00CA63C6">
      <w:pPr>
        <w:pStyle w:val="Tablenotes0"/>
      </w:pPr>
      <w:r w:rsidRPr="00247126">
        <w:t xml:space="preserve">Note: </w:t>
      </w:r>
      <w:r w:rsidR="000F1329" w:rsidRPr="00247126">
        <w:t>S</w:t>
      </w:r>
      <w:r w:rsidRPr="00247126">
        <w:t xml:space="preserve">ome CIs may vary slightly from those reported in the ADAR due to calculations being performed in </w:t>
      </w:r>
      <w:proofErr w:type="spellStart"/>
      <w:r w:rsidRPr="00247126">
        <w:t>RevMan</w:t>
      </w:r>
      <w:proofErr w:type="spellEnd"/>
      <w:r w:rsidRPr="00247126">
        <w:t xml:space="preserve"> Web. The small differences do not change the interpretation of the data. </w:t>
      </w:r>
    </w:p>
    <w:p w14:paraId="7334D37A" w14:textId="1FDE719C" w:rsidR="007929A5" w:rsidRPr="00247126" w:rsidRDefault="00CA63C6" w:rsidP="007929A5">
      <w:pPr>
        <w:pStyle w:val="Tablenotes0"/>
      </w:pPr>
      <w:r w:rsidRPr="00247126">
        <w:t xml:space="preserve">Source: </w:t>
      </w:r>
      <w:r w:rsidR="005447AF" w:rsidRPr="00247126">
        <w:t xml:space="preserve">Commentary Figure 6 of </w:t>
      </w:r>
      <w:r w:rsidRPr="00247126">
        <w:t>MSAC 1743</w:t>
      </w:r>
      <w:r w:rsidR="002227F2" w:rsidRPr="00247126">
        <w:t xml:space="preserve"> </w:t>
      </w:r>
      <w:proofErr w:type="spellStart"/>
      <w:r w:rsidR="002227F2" w:rsidRPr="00247126">
        <w:t>ADAR+in-line</w:t>
      </w:r>
      <w:proofErr w:type="spellEnd"/>
      <w:r w:rsidR="002227F2" w:rsidRPr="00247126">
        <w:t xml:space="preserve"> commentary.</w:t>
      </w:r>
    </w:p>
    <w:p w14:paraId="50829708" w14:textId="3CF488C1" w:rsidR="007929A5" w:rsidRPr="00247126" w:rsidRDefault="00565F32" w:rsidP="00390AB9">
      <w:pPr>
        <w:pStyle w:val="Caption"/>
        <w:ind w:left="720" w:hanging="720"/>
      </w:pPr>
      <w:bookmarkStart w:id="33" w:name="_Ref163596764"/>
      <w:r w:rsidRPr="00247126">
        <w:t xml:space="preserve">Figure </w:t>
      </w:r>
      <w:r w:rsidRPr="00247126">
        <w:fldChar w:fldCharType="begin"/>
      </w:r>
      <w:r w:rsidRPr="00247126">
        <w:instrText xml:space="preserve"> SEQ Figure \* ARABIC </w:instrText>
      </w:r>
      <w:r w:rsidRPr="00247126">
        <w:fldChar w:fldCharType="separate"/>
      </w:r>
      <w:r w:rsidR="00151E03" w:rsidRPr="00247126">
        <w:rPr>
          <w:noProof/>
        </w:rPr>
        <w:t>7</w:t>
      </w:r>
      <w:r w:rsidRPr="00247126">
        <w:rPr>
          <w:noProof/>
        </w:rPr>
        <w:fldChar w:fldCharType="end"/>
      </w:r>
      <w:bookmarkEnd w:id="33"/>
      <w:r w:rsidRPr="00247126">
        <w:tab/>
        <w:t xml:space="preserve">Forest plot of </w:t>
      </w:r>
      <w:r w:rsidR="00390AB9" w:rsidRPr="00247126">
        <w:t>the primary composite outcome (TVF) for OCT+AG versus IVUS+AG for the long</w:t>
      </w:r>
      <w:r w:rsidR="008744FE" w:rsidRPr="00247126">
        <w:t>/multiple</w:t>
      </w:r>
      <w:r w:rsidR="00390AB9" w:rsidRPr="00247126">
        <w:t xml:space="preserve"> lesion </w:t>
      </w:r>
      <w:proofErr w:type="gramStart"/>
      <w:r w:rsidR="00390AB9" w:rsidRPr="00247126">
        <w:t>sub</w:t>
      </w:r>
      <w:r w:rsidR="0084131F" w:rsidRPr="00247126">
        <w:t>population</w:t>
      </w:r>
      <w:proofErr w:type="gramEnd"/>
    </w:p>
    <w:p w14:paraId="0E27A6B0" w14:textId="1D2368B4" w:rsidR="007929A5" w:rsidRPr="00247126" w:rsidRDefault="0089631B" w:rsidP="00285BC5">
      <w:pPr>
        <w:pBdr>
          <w:top w:val="single" w:sz="4" w:space="1" w:color="auto"/>
          <w:left w:val="single" w:sz="4" w:space="4" w:color="auto"/>
          <w:bottom w:val="single" w:sz="4" w:space="1" w:color="auto"/>
          <w:right w:val="single" w:sz="4" w:space="4" w:color="auto"/>
        </w:pBdr>
        <w:spacing w:after="0"/>
      </w:pPr>
      <w:r w:rsidRPr="00247126">
        <w:rPr>
          <w:noProof/>
        </w:rPr>
        <w:drawing>
          <wp:inline distT="0" distB="0" distL="0" distR="0" wp14:anchorId="72748187" wp14:editId="118A26EA">
            <wp:extent cx="5731510" cy="1240790"/>
            <wp:effectExtent l="0" t="0" r="2540" b="0"/>
            <wp:docPr id="1879443793" name="Picture 1879443793" descr="This figure is a forest plot of the primary composite outcome (TVF) for OCT+AG versus IVUS+AG for the long lesion sub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43793" name="Picture 7" descr="This figure is a forest plot of the primary composite outcome (TVF) for OCT+AG versus IVUS+AG for the long lesion subpopula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1240790"/>
                    </a:xfrm>
                    <a:prstGeom prst="rect">
                      <a:avLst/>
                    </a:prstGeom>
                    <a:noFill/>
                    <a:ln>
                      <a:noFill/>
                    </a:ln>
                  </pic:spPr>
                </pic:pic>
              </a:graphicData>
            </a:graphic>
          </wp:inline>
        </w:drawing>
      </w:r>
    </w:p>
    <w:p w14:paraId="1D9AFC5A" w14:textId="1682988B" w:rsidR="00F6070D" w:rsidRPr="00247126" w:rsidRDefault="00F6070D" w:rsidP="00F6070D">
      <w:pPr>
        <w:pStyle w:val="Tablenotes0"/>
      </w:pPr>
      <w:r w:rsidRPr="00247126">
        <w:t xml:space="preserve">AG = angiogram; CI = confidence interval; HR = hazard ratio; IV = inverse variance; OCT = optical coherence tomography; SE = standard error; TVF = target vessel failure. </w:t>
      </w:r>
    </w:p>
    <w:p w14:paraId="4742D14A" w14:textId="3CF253EB" w:rsidR="00E36FE0" w:rsidRPr="00247126" w:rsidRDefault="00F6070D" w:rsidP="00ED6922">
      <w:pPr>
        <w:pStyle w:val="Tablenotes0"/>
      </w:pPr>
      <w:r w:rsidRPr="00247126">
        <w:t xml:space="preserve">Source: </w:t>
      </w:r>
      <w:r w:rsidR="00970E16" w:rsidRPr="00247126">
        <w:t xml:space="preserve">Commentary Figure 7 of </w:t>
      </w:r>
      <w:r w:rsidRPr="00247126">
        <w:t xml:space="preserve">MSAC application 1743 </w:t>
      </w:r>
      <w:proofErr w:type="spellStart"/>
      <w:r w:rsidRPr="00247126">
        <w:t>ADAR+in-line</w:t>
      </w:r>
      <w:proofErr w:type="spellEnd"/>
      <w:r w:rsidRPr="00247126">
        <w:t xml:space="preserve"> commentary.</w:t>
      </w:r>
    </w:p>
    <w:p w14:paraId="0D09C9E4" w14:textId="0F280712" w:rsidR="00772829" w:rsidRPr="00247126" w:rsidRDefault="00B27795" w:rsidP="002A18BE">
      <w:pPr>
        <w:pStyle w:val="Heading2"/>
        <w:numPr>
          <w:ilvl w:val="0"/>
          <w:numId w:val="0"/>
        </w:numPr>
      </w:pPr>
      <w:bookmarkStart w:id="34" w:name="_Toc69491425"/>
      <w:r w:rsidRPr="00247126">
        <w:t>1</w:t>
      </w:r>
      <w:r w:rsidR="00247B6B" w:rsidRPr="00247126">
        <w:t>3</w:t>
      </w:r>
      <w:r w:rsidR="00C36633" w:rsidRPr="00247126">
        <w:t>.</w:t>
      </w:r>
      <w:r w:rsidR="00C36633" w:rsidRPr="00247126">
        <w:tab/>
      </w:r>
      <w:r w:rsidR="00772829" w:rsidRPr="00247126">
        <w:t>Economic evaluation</w:t>
      </w:r>
      <w:bookmarkEnd w:id="34"/>
    </w:p>
    <w:p w14:paraId="24CE2526" w14:textId="0F999E1E" w:rsidR="005027B6" w:rsidRPr="00247126" w:rsidRDefault="005027B6" w:rsidP="005027B6">
      <w:bookmarkStart w:id="35" w:name="_Toc69491426"/>
      <w:r w:rsidRPr="00247126">
        <w:t>Three cost-utility analyses (CUAs) and one cost-minimisation analysis (CMA) were presented in the ADAR (</w:t>
      </w:r>
      <w:r w:rsidRPr="00247126">
        <w:fldChar w:fldCharType="begin"/>
      </w:r>
      <w:r w:rsidRPr="00247126">
        <w:instrText xml:space="preserve"> REF _Ref163062160 \h </w:instrText>
      </w:r>
      <w:r w:rsidR="00C567A2" w:rsidRPr="00247126">
        <w:instrText xml:space="preserve"> \* MERGEFORMAT </w:instrText>
      </w:r>
      <w:r w:rsidRPr="00247126">
        <w:fldChar w:fldCharType="separate"/>
      </w:r>
      <w:r w:rsidR="00151E03" w:rsidRPr="00247126">
        <w:t>Table 15</w:t>
      </w:r>
      <w:r w:rsidRPr="00247126">
        <w:fldChar w:fldCharType="end"/>
      </w:r>
      <w:r w:rsidRPr="00247126">
        <w:t>). No formal CUA was presented for the stent failure subpopulation due to the absence of reliable subgroup data.</w:t>
      </w:r>
    </w:p>
    <w:p w14:paraId="1373F2E8" w14:textId="1A25441E" w:rsidR="005027B6" w:rsidRPr="00247126" w:rsidRDefault="005027B6" w:rsidP="00DE4F5F">
      <w:pPr>
        <w:pStyle w:val="Caption"/>
        <w:keepLines/>
        <w:rPr>
          <w:sz w:val="16"/>
          <w:szCs w:val="16"/>
        </w:rPr>
      </w:pPr>
      <w:bookmarkStart w:id="36" w:name="_Ref163062160"/>
      <w:r w:rsidRPr="00247126">
        <w:lastRenderedPageBreak/>
        <w:t>Table </w:t>
      </w:r>
      <w:r w:rsidRPr="00247126">
        <w:fldChar w:fldCharType="begin"/>
      </w:r>
      <w:r w:rsidRPr="00247126">
        <w:instrText xml:space="preserve"> SEQ Table \* ARABIC </w:instrText>
      </w:r>
      <w:r w:rsidRPr="00247126">
        <w:fldChar w:fldCharType="separate"/>
      </w:r>
      <w:r w:rsidR="00151E03" w:rsidRPr="00247126">
        <w:rPr>
          <w:noProof/>
        </w:rPr>
        <w:t>15</w:t>
      </w:r>
      <w:r w:rsidRPr="00247126">
        <w:rPr>
          <w:noProof/>
        </w:rPr>
        <w:fldChar w:fldCharType="end"/>
      </w:r>
      <w:bookmarkEnd w:id="36"/>
      <w:r w:rsidRPr="00247126">
        <w:tab/>
        <w:t xml:space="preserve">Economic analyses presented in the ADAR for OCT+AG, by patient </w:t>
      </w:r>
      <w:proofErr w:type="gramStart"/>
      <w:r w:rsidRPr="00247126">
        <w:t>subpopulation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conomic analyses presented in the ADAR for OCT+AG, by patient subpopulation"/>
        <w:tblDescription w:val="This table describes the economic analyses presented in the ADAR for each subpopulation and comparison, including the applicant's clinical claim, type of economic analysis and supporting clinical data."/>
      </w:tblPr>
      <w:tblGrid>
        <w:gridCol w:w="1838"/>
        <w:gridCol w:w="1843"/>
        <w:gridCol w:w="1843"/>
        <w:gridCol w:w="1559"/>
        <w:gridCol w:w="1933"/>
      </w:tblGrid>
      <w:tr w:rsidR="005027B6" w:rsidRPr="00247126" w14:paraId="6929040F" w14:textId="77777777">
        <w:trPr>
          <w:tblHeader/>
        </w:trPr>
        <w:tc>
          <w:tcPr>
            <w:tcW w:w="1838" w:type="dxa"/>
          </w:tcPr>
          <w:p w14:paraId="623A686D" w14:textId="77777777" w:rsidR="005027B6" w:rsidRPr="00247126" w:rsidRDefault="005027B6" w:rsidP="00DE4F5F">
            <w:pPr>
              <w:pStyle w:val="TableHeading"/>
              <w:keepLines/>
              <w:rPr>
                <w:szCs w:val="20"/>
              </w:rPr>
            </w:pPr>
            <w:r w:rsidRPr="00247126">
              <w:rPr>
                <w:szCs w:val="20"/>
              </w:rPr>
              <w:t>Eligibility group</w:t>
            </w:r>
          </w:p>
        </w:tc>
        <w:tc>
          <w:tcPr>
            <w:tcW w:w="1843" w:type="dxa"/>
          </w:tcPr>
          <w:p w14:paraId="75C4F5A3" w14:textId="77777777" w:rsidR="005027B6" w:rsidRPr="00247126" w:rsidRDefault="005027B6" w:rsidP="00DE4F5F">
            <w:pPr>
              <w:pStyle w:val="TableHeading"/>
              <w:keepLines/>
              <w:rPr>
                <w:szCs w:val="20"/>
              </w:rPr>
            </w:pPr>
            <w:r w:rsidRPr="00247126">
              <w:rPr>
                <w:szCs w:val="20"/>
              </w:rPr>
              <w:t>Applicant’s clinical claim</w:t>
            </w:r>
          </w:p>
        </w:tc>
        <w:tc>
          <w:tcPr>
            <w:tcW w:w="1843" w:type="dxa"/>
          </w:tcPr>
          <w:p w14:paraId="20105877" w14:textId="77777777" w:rsidR="005027B6" w:rsidRPr="00247126" w:rsidRDefault="005027B6" w:rsidP="00DE4F5F">
            <w:pPr>
              <w:pStyle w:val="TableHeading"/>
              <w:keepLines/>
            </w:pPr>
            <w:r w:rsidRPr="00247126">
              <w:t>Economic analysis in ADAR</w:t>
            </w:r>
          </w:p>
        </w:tc>
        <w:tc>
          <w:tcPr>
            <w:tcW w:w="1559" w:type="dxa"/>
          </w:tcPr>
          <w:p w14:paraId="2E1E9696" w14:textId="77777777" w:rsidR="005027B6" w:rsidRPr="00247126" w:rsidRDefault="005027B6" w:rsidP="00DE4F5F">
            <w:pPr>
              <w:pStyle w:val="TableHeading"/>
              <w:keepLines/>
            </w:pPr>
            <w:r w:rsidRPr="00247126">
              <w:t>Comparator</w:t>
            </w:r>
          </w:p>
        </w:tc>
        <w:tc>
          <w:tcPr>
            <w:tcW w:w="1933" w:type="dxa"/>
          </w:tcPr>
          <w:p w14:paraId="6683CBA9" w14:textId="77777777" w:rsidR="005027B6" w:rsidRPr="00247126" w:rsidRDefault="005027B6" w:rsidP="00DE4F5F">
            <w:pPr>
              <w:pStyle w:val="TableHeading"/>
              <w:keepLines/>
            </w:pPr>
            <w:r w:rsidRPr="00247126">
              <w:t>Supporting clinical data (efficacy)</w:t>
            </w:r>
          </w:p>
        </w:tc>
      </w:tr>
      <w:tr w:rsidR="005027B6" w:rsidRPr="00247126" w14:paraId="1FB86B2C" w14:textId="77777777">
        <w:tc>
          <w:tcPr>
            <w:tcW w:w="1838" w:type="dxa"/>
          </w:tcPr>
          <w:p w14:paraId="658DA257" w14:textId="77777777" w:rsidR="005027B6" w:rsidRPr="00247126" w:rsidRDefault="005027B6" w:rsidP="00DE4F5F">
            <w:pPr>
              <w:pStyle w:val="TableText"/>
              <w:keepNext/>
              <w:keepLines/>
              <w:rPr>
                <w:szCs w:val="20"/>
              </w:rPr>
            </w:pPr>
            <w:r w:rsidRPr="00247126">
              <w:rPr>
                <w:szCs w:val="20"/>
              </w:rPr>
              <w:t>Bifurcation</w:t>
            </w:r>
          </w:p>
        </w:tc>
        <w:tc>
          <w:tcPr>
            <w:tcW w:w="1843" w:type="dxa"/>
          </w:tcPr>
          <w:p w14:paraId="0599DD38" w14:textId="77777777" w:rsidR="005027B6" w:rsidRPr="00247126" w:rsidRDefault="005027B6" w:rsidP="00DE4F5F">
            <w:pPr>
              <w:pStyle w:val="TableText"/>
              <w:keepNext/>
              <w:keepLines/>
              <w:rPr>
                <w:szCs w:val="20"/>
              </w:rPr>
            </w:pPr>
            <w:r w:rsidRPr="00247126">
              <w:rPr>
                <w:szCs w:val="20"/>
              </w:rPr>
              <w:t>Superiority</w:t>
            </w:r>
          </w:p>
        </w:tc>
        <w:tc>
          <w:tcPr>
            <w:tcW w:w="1843" w:type="dxa"/>
          </w:tcPr>
          <w:p w14:paraId="7AC85940" w14:textId="77777777" w:rsidR="005027B6" w:rsidRPr="00247126" w:rsidRDefault="005027B6" w:rsidP="00DE4F5F">
            <w:pPr>
              <w:pStyle w:val="TableText"/>
              <w:keepNext/>
              <w:keepLines/>
              <w:rPr>
                <w:szCs w:val="20"/>
              </w:rPr>
            </w:pPr>
            <w:r w:rsidRPr="00247126">
              <w:rPr>
                <w:szCs w:val="20"/>
              </w:rPr>
              <w:t>CUA</w:t>
            </w:r>
          </w:p>
        </w:tc>
        <w:tc>
          <w:tcPr>
            <w:tcW w:w="1559" w:type="dxa"/>
          </w:tcPr>
          <w:p w14:paraId="7314D705" w14:textId="77777777" w:rsidR="005027B6" w:rsidRPr="00247126" w:rsidRDefault="005027B6" w:rsidP="00DE4F5F">
            <w:pPr>
              <w:pStyle w:val="TableText"/>
              <w:keepNext/>
              <w:keepLines/>
              <w:rPr>
                <w:szCs w:val="20"/>
              </w:rPr>
            </w:pPr>
            <w:r w:rsidRPr="00247126">
              <w:rPr>
                <w:szCs w:val="20"/>
              </w:rPr>
              <w:t>AG alone</w:t>
            </w:r>
          </w:p>
        </w:tc>
        <w:tc>
          <w:tcPr>
            <w:tcW w:w="1933" w:type="dxa"/>
          </w:tcPr>
          <w:p w14:paraId="0189D4E1" w14:textId="77777777" w:rsidR="005027B6" w:rsidRPr="00247126" w:rsidRDefault="005027B6" w:rsidP="00DE4F5F">
            <w:pPr>
              <w:pStyle w:val="TableText"/>
              <w:keepNext/>
              <w:keepLines/>
              <w:rPr>
                <w:szCs w:val="20"/>
              </w:rPr>
            </w:pPr>
            <w:r w:rsidRPr="00247126">
              <w:rPr>
                <w:szCs w:val="20"/>
              </w:rPr>
              <w:t>OCTOBER RCT</w:t>
            </w:r>
            <w:r w:rsidRPr="00247126">
              <w:rPr>
                <w:szCs w:val="20"/>
              </w:rPr>
              <w:br/>
              <w:t>ITT population</w:t>
            </w:r>
          </w:p>
        </w:tc>
      </w:tr>
      <w:tr w:rsidR="005027B6" w:rsidRPr="00247126" w14:paraId="5D0EADA2" w14:textId="77777777">
        <w:tc>
          <w:tcPr>
            <w:tcW w:w="1838" w:type="dxa"/>
          </w:tcPr>
          <w:p w14:paraId="00F429A4" w14:textId="77777777" w:rsidR="005027B6" w:rsidRPr="00247126" w:rsidRDefault="005027B6" w:rsidP="00DE4F5F">
            <w:pPr>
              <w:pStyle w:val="TableText"/>
              <w:keepNext/>
              <w:keepLines/>
              <w:rPr>
                <w:szCs w:val="20"/>
              </w:rPr>
            </w:pPr>
            <w:r w:rsidRPr="00247126">
              <w:rPr>
                <w:szCs w:val="20"/>
              </w:rPr>
              <w:t>Severe calcification</w:t>
            </w:r>
          </w:p>
        </w:tc>
        <w:tc>
          <w:tcPr>
            <w:tcW w:w="1843" w:type="dxa"/>
          </w:tcPr>
          <w:p w14:paraId="31EE2F77" w14:textId="77777777" w:rsidR="005027B6" w:rsidRPr="00247126" w:rsidRDefault="005027B6" w:rsidP="00DE4F5F">
            <w:pPr>
              <w:pStyle w:val="TableText"/>
              <w:keepNext/>
              <w:keepLines/>
              <w:rPr>
                <w:szCs w:val="20"/>
              </w:rPr>
            </w:pPr>
            <w:r w:rsidRPr="00247126">
              <w:rPr>
                <w:szCs w:val="20"/>
              </w:rPr>
              <w:t>Superiority</w:t>
            </w:r>
          </w:p>
        </w:tc>
        <w:tc>
          <w:tcPr>
            <w:tcW w:w="1843" w:type="dxa"/>
          </w:tcPr>
          <w:p w14:paraId="199FB0E1" w14:textId="77777777" w:rsidR="005027B6" w:rsidRPr="00247126" w:rsidRDefault="005027B6" w:rsidP="00DE4F5F">
            <w:pPr>
              <w:pStyle w:val="TableText"/>
              <w:keepNext/>
              <w:keepLines/>
              <w:rPr>
                <w:szCs w:val="20"/>
              </w:rPr>
            </w:pPr>
            <w:r w:rsidRPr="00247126">
              <w:rPr>
                <w:szCs w:val="20"/>
              </w:rPr>
              <w:t>CUA</w:t>
            </w:r>
          </w:p>
        </w:tc>
        <w:tc>
          <w:tcPr>
            <w:tcW w:w="1559" w:type="dxa"/>
          </w:tcPr>
          <w:p w14:paraId="1E515765" w14:textId="77777777" w:rsidR="005027B6" w:rsidRPr="00247126" w:rsidRDefault="005027B6" w:rsidP="00DE4F5F">
            <w:pPr>
              <w:pStyle w:val="TableText"/>
              <w:keepNext/>
              <w:keepLines/>
              <w:rPr>
                <w:szCs w:val="20"/>
              </w:rPr>
            </w:pPr>
            <w:r w:rsidRPr="00247126">
              <w:rPr>
                <w:szCs w:val="20"/>
              </w:rPr>
              <w:t>AG alone</w:t>
            </w:r>
          </w:p>
        </w:tc>
        <w:tc>
          <w:tcPr>
            <w:tcW w:w="1933" w:type="dxa"/>
          </w:tcPr>
          <w:p w14:paraId="31928540" w14:textId="102421A4" w:rsidR="005027B6" w:rsidRPr="00247126" w:rsidRDefault="005027B6" w:rsidP="00DE4F5F">
            <w:pPr>
              <w:pStyle w:val="TableText"/>
              <w:keepNext/>
              <w:keepLines/>
              <w:rPr>
                <w:szCs w:val="20"/>
              </w:rPr>
            </w:pPr>
            <w:r w:rsidRPr="00247126">
              <w:rPr>
                <w:szCs w:val="20"/>
              </w:rPr>
              <w:t>ILUMIEN IV RCT</w:t>
            </w:r>
            <w:r w:rsidRPr="00247126">
              <w:rPr>
                <w:szCs w:val="20"/>
              </w:rPr>
              <w:br/>
              <w:t>post hoc subgroup</w:t>
            </w:r>
          </w:p>
        </w:tc>
      </w:tr>
      <w:tr w:rsidR="005027B6" w:rsidRPr="00247126" w14:paraId="170F2C5E" w14:textId="77777777">
        <w:tc>
          <w:tcPr>
            <w:tcW w:w="1838" w:type="dxa"/>
            <w:tcBorders>
              <w:bottom w:val="single" w:sz="4" w:space="0" w:color="auto"/>
            </w:tcBorders>
          </w:tcPr>
          <w:p w14:paraId="17280156" w14:textId="77777777" w:rsidR="005027B6" w:rsidRPr="00247126" w:rsidRDefault="005027B6" w:rsidP="00DE4F5F">
            <w:pPr>
              <w:pStyle w:val="TableText"/>
              <w:keepNext/>
              <w:keepLines/>
              <w:rPr>
                <w:szCs w:val="20"/>
              </w:rPr>
            </w:pPr>
            <w:r w:rsidRPr="00247126">
              <w:rPr>
                <w:szCs w:val="20"/>
              </w:rPr>
              <w:t>Stent failure</w:t>
            </w:r>
          </w:p>
        </w:tc>
        <w:tc>
          <w:tcPr>
            <w:tcW w:w="1843" w:type="dxa"/>
          </w:tcPr>
          <w:p w14:paraId="74C7FFC7" w14:textId="77777777" w:rsidR="005027B6" w:rsidRPr="00247126" w:rsidRDefault="005027B6" w:rsidP="00DE4F5F">
            <w:pPr>
              <w:pStyle w:val="TableText"/>
              <w:keepNext/>
              <w:keepLines/>
              <w:rPr>
                <w:szCs w:val="20"/>
              </w:rPr>
            </w:pPr>
            <w:r w:rsidRPr="00247126">
              <w:rPr>
                <w:szCs w:val="20"/>
              </w:rPr>
              <w:t>Superiority</w:t>
            </w:r>
          </w:p>
        </w:tc>
        <w:tc>
          <w:tcPr>
            <w:tcW w:w="1843" w:type="dxa"/>
          </w:tcPr>
          <w:p w14:paraId="37AC76B2" w14:textId="77777777" w:rsidR="005027B6" w:rsidRPr="00247126" w:rsidRDefault="005027B6" w:rsidP="00DE4F5F">
            <w:pPr>
              <w:pStyle w:val="TableText"/>
              <w:keepNext/>
              <w:keepLines/>
              <w:rPr>
                <w:szCs w:val="20"/>
              </w:rPr>
            </w:pPr>
            <w:r w:rsidRPr="00247126">
              <w:rPr>
                <w:szCs w:val="20"/>
              </w:rPr>
              <w:t>Not formally explored</w:t>
            </w:r>
          </w:p>
        </w:tc>
        <w:tc>
          <w:tcPr>
            <w:tcW w:w="1559" w:type="dxa"/>
          </w:tcPr>
          <w:p w14:paraId="6E5258D0" w14:textId="77777777" w:rsidR="005027B6" w:rsidRPr="00247126" w:rsidRDefault="005027B6" w:rsidP="00DE4F5F">
            <w:pPr>
              <w:pStyle w:val="TableText"/>
              <w:keepNext/>
              <w:keepLines/>
              <w:rPr>
                <w:szCs w:val="20"/>
              </w:rPr>
            </w:pPr>
            <w:r w:rsidRPr="00247126">
              <w:rPr>
                <w:szCs w:val="20"/>
              </w:rPr>
              <w:t>AG alone</w:t>
            </w:r>
          </w:p>
        </w:tc>
        <w:tc>
          <w:tcPr>
            <w:tcW w:w="1933" w:type="dxa"/>
          </w:tcPr>
          <w:p w14:paraId="68260EB5" w14:textId="552B54D6" w:rsidR="005027B6" w:rsidRPr="00247126" w:rsidRDefault="005027B6" w:rsidP="00DE4F5F">
            <w:pPr>
              <w:pStyle w:val="TableText"/>
              <w:keepNext/>
              <w:keepLines/>
              <w:rPr>
                <w:szCs w:val="20"/>
              </w:rPr>
            </w:pPr>
            <w:r w:rsidRPr="00247126">
              <w:rPr>
                <w:szCs w:val="20"/>
              </w:rPr>
              <w:t>ILUMIEN IV RCT</w:t>
            </w:r>
            <w:r w:rsidRPr="00247126">
              <w:rPr>
                <w:szCs w:val="20"/>
              </w:rPr>
              <w:br/>
              <w:t>post hoc subgroup</w:t>
            </w:r>
          </w:p>
        </w:tc>
      </w:tr>
      <w:tr w:rsidR="005027B6" w:rsidRPr="00247126" w14:paraId="0212295A" w14:textId="77777777">
        <w:trPr>
          <w:tblHeader/>
        </w:trPr>
        <w:tc>
          <w:tcPr>
            <w:tcW w:w="1838" w:type="dxa"/>
            <w:tcBorders>
              <w:bottom w:val="nil"/>
            </w:tcBorders>
          </w:tcPr>
          <w:p w14:paraId="3C25DA3B" w14:textId="745990EF" w:rsidR="005027B6" w:rsidRPr="00247126" w:rsidRDefault="005027B6">
            <w:pPr>
              <w:pStyle w:val="TableText"/>
              <w:rPr>
                <w:szCs w:val="20"/>
              </w:rPr>
            </w:pPr>
            <w:r w:rsidRPr="00247126">
              <w:rPr>
                <w:szCs w:val="20"/>
              </w:rPr>
              <w:t>Long</w:t>
            </w:r>
            <w:r w:rsidR="00852B88" w:rsidRPr="00247126">
              <w:rPr>
                <w:szCs w:val="20"/>
              </w:rPr>
              <w:t>/multiple</w:t>
            </w:r>
            <w:r w:rsidRPr="00247126">
              <w:rPr>
                <w:szCs w:val="20"/>
              </w:rPr>
              <w:t xml:space="preserve"> lesion</w:t>
            </w:r>
          </w:p>
        </w:tc>
        <w:tc>
          <w:tcPr>
            <w:tcW w:w="1843" w:type="dxa"/>
          </w:tcPr>
          <w:p w14:paraId="1331D93C" w14:textId="77777777" w:rsidR="005027B6" w:rsidRPr="00247126" w:rsidRDefault="005027B6">
            <w:pPr>
              <w:pStyle w:val="TableText"/>
              <w:rPr>
                <w:szCs w:val="20"/>
              </w:rPr>
            </w:pPr>
            <w:r w:rsidRPr="00247126">
              <w:rPr>
                <w:szCs w:val="20"/>
              </w:rPr>
              <w:t>Superiority</w:t>
            </w:r>
          </w:p>
        </w:tc>
        <w:tc>
          <w:tcPr>
            <w:tcW w:w="1843" w:type="dxa"/>
          </w:tcPr>
          <w:p w14:paraId="7A67976E" w14:textId="77777777" w:rsidR="005027B6" w:rsidRPr="00247126" w:rsidRDefault="005027B6">
            <w:pPr>
              <w:pStyle w:val="TableText"/>
              <w:rPr>
                <w:szCs w:val="20"/>
              </w:rPr>
            </w:pPr>
            <w:r w:rsidRPr="00247126">
              <w:rPr>
                <w:szCs w:val="20"/>
              </w:rPr>
              <w:t>CUA</w:t>
            </w:r>
          </w:p>
        </w:tc>
        <w:tc>
          <w:tcPr>
            <w:tcW w:w="1559" w:type="dxa"/>
          </w:tcPr>
          <w:p w14:paraId="73293F7C" w14:textId="77777777" w:rsidR="005027B6" w:rsidRPr="00247126" w:rsidRDefault="005027B6">
            <w:pPr>
              <w:pStyle w:val="TableText"/>
              <w:rPr>
                <w:szCs w:val="20"/>
              </w:rPr>
            </w:pPr>
            <w:r w:rsidRPr="00247126">
              <w:rPr>
                <w:szCs w:val="20"/>
              </w:rPr>
              <w:t>AG alone</w:t>
            </w:r>
          </w:p>
        </w:tc>
        <w:tc>
          <w:tcPr>
            <w:tcW w:w="1933" w:type="dxa"/>
          </w:tcPr>
          <w:p w14:paraId="107560E0" w14:textId="7A6281C9" w:rsidR="005027B6" w:rsidRPr="00247126" w:rsidRDefault="005027B6">
            <w:pPr>
              <w:pStyle w:val="TableText"/>
              <w:rPr>
                <w:szCs w:val="20"/>
              </w:rPr>
            </w:pPr>
            <w:r w:rsidRPr="00247126">
              <w:rPr>
                <w:szCs w:val="20"/>
              </w:rPr>
              <w:t>ILUMIEN IV RCT</w:t>
            </w:r>
            <w:r w:rsidRPr="00247126">
              <w:rPr>
                <w:szCs w:val="20"/>
              </w:rPr>
              <w:br/>
              <w:t>post hoc subgroup</w:t>
            </w:r>
          </w:p>
        </w:tc>
      </w:tr>
      <w:tr w:rsidR="005027B6" w:rsidRPr="00247126" w14:paraId="367642D0" w14:textId="77777777">
        <w:trPr>
          <w:tblHeader/>
        </w:trPr>
        <w:tc>
          <w:tcPr>
            <w:tcW w:w="1838" w:type="dxa"/>
            <w:tcBorders>
              <w:top w:val="nil"/>
            </w:tcBorders>
          </w:tcPr>
          <w:p w14:paraId="0DC9091C" w14:textId="77777777" w:rsidR="005027B6" w:rsidRPr="00247126" w:rsidRDefault="005027B6">
            <w:pPr>
              <w:pStyle w:val="TableText"/>
              <w:rPr>
                <w:szCs w:val="20"/>
              </w:rPr>
            </w:pPr>
          </w:p>
        </w:tc>
        <w:tc>
          <w:tcPr>
            <w:tcW w:w="1843" w:type="dxa"/>
          </w:tcPr>
          <w:p w14:paraId="746F3F7A" w14:textId="77777777" w:rsidR="005027B6" w:rsidRPr="00247126" w:rsidRDefault="005027B6">
            <w:pPr>
              <w:pStyle w:val="TableText"/>
              <w:rPr>
                <w:szCs w:val="20"/>
              </w:rPr>
            </w:pPr>
            <w:r w:rsidRPr="00247126">
              <w:rPr>
                <w:szCs w:val="20"/>
              </w:rPr>
              <w:t>Non-inferiority</w:t>
            </w:r>
          </w:p>
        </w:tc>
        <w:tc>
          <w:tcPr>
            <w:tcW w:w="1843" w:type="dxa"/>
          </w:tcPr>
          <w:p w14:paraId="6AE32706" w14:textId="77777777" w:rsidR="005027B6" w:rsidRPr="00247126" w:rsidRDefault="005027B6">
            <w:pPr>
              <w:pStyle w:val="TableText"/>
              <w:rPr>
                <w:szCs w:val="20"/>
              </w:rPr>
            </w:pPr>
            <w:r w:rsidRPr="00247126">
              <w:rPr>
                <w:szCs w:val="20"/>
              </w:rPr>
              <w:t>CMA</w:t>
            </w:r>
          </w:p>
        </w:tc>
        <w:tc>
          <w:tcPr>
            <w:tcW w:w="1559" w:type="dxa"/>
          </w:tcPr>
          <w:p w14:paraId="275D0D30" w14:textId="77777777" w:rsidR="005027B6" w:rsidRPr="00247126" w:rsidRDefault="005027B6">
            <w:pPr>
              <w:pStyle w:val="TableText"/>
              <w:rPr>
                <w:szCs w:val="20"/>
              </w:rPr>
            </w:pPr>
            <w:r w:rsidRPr="00247126">
              <w:rPr>
                <w:szCs w:val="20"/>
              </w:rPr>
              <w:t>IVUS+AG</w:t>
            </w:r>
          </w:p>
        </w:tc>
        <w:tc>
          <w:tcPr>
            <w:tcW w:w="1933" w:type="dxa"/>
          </w:tcPr>
          <w:p w14:paraId="37CFB597" w14:textId="77777777" w:rsidR="005027B6" w:rsidRPr="00247126" w:rsidRDefault="005027B6">
            <w:pPr>
              <w:pStyle w:val="TableText"/>
              <w:rPr>
                <w:szCs w:val="20"/>
              </w:rPr>
            </w:pPr>
            <w:r w:rsidRPr="00247126">
              <w:rPr>
                <w:szCs w:val="20"/>
              </w:rPr>
              <w:t>OCTIVUS RCT</w:t>
            </w:r>
            <w:r w:rsidRPr="00247126">
              <w:rPr>
                <w:szCs w:val="20"/>
              </w:rPr>
              <w:br/>
              <w:t>post hoc subgroup</w:t>
            </w:r>
          </w:p>
        </w:tc>
      </w:tr>
    </w:tbl>
    <w:p w14:paraId="71EE010C" w14:textId="15829329" w:rsidR="005027B6" w:rsidRPr="00247126" w:rsidRDefault="005027B6" w:rsidP="009102DB">
      <w:pPr>
        <w:pStyle w:val="Tablenotes0"/>
      </w:pPr>
      <w:r w:rsidRPr="00247126">
        <w:t>AG = angiogram; CMA = cost minimisation analysis; CUA = cost-utility analysis; ITT = intention-to-treat; IVUS = intravascular ultrasound; OCT = optical coherence tomography; RCT = randomised control trial.</w:t>
      </w:r>
    </w:p>
    <w:p w14:paraId="52AB213E" w14:textId="77777777" w:rsidR="005027B6" w:rsidRPr="00247126" w:rsidRDefault="005027B6" w:rsidP="009102DB">
      <w:pPr>
        <w:pStyle w:val="Tablenotes0"/>
      </w:pPr>
      <w:r w:rsidRPr="00247126">
        <w:t xml:space="preserve">Source: Table 74 of MSAC 1743 </w:t>
      </w:r>
      <w:proofErr w:type="spellStart"/>
      <w:r w:rsidRPr="00247126">
        <w:t>ADAR+in-line</w:t>
      </w:r>
      <w:proofErr w:type="spellEnd"/>
      <w:r w:rsidRPr="00247126">
        <w:t xml:space="preserve"> commentary.</w:t>
      </w:r>
    </w:p>
    <w:p w14:paraId="0A273958" w14:textId="7C653AC9" w:rsidR="005027B6" w:rsidRPr="00247126" w:rsidRDefault="005027B6" w:rsidP="005027B6">
      <w:r w:rsidRPr="00247126">
        <w:t>The commentary assert</w:t>
      </w:r>
      <w:r w:rsidR="00C06748" w:rsidRPr="00247126">
        <w:t>ed</w:t>
      </w:r>
      <w:r w:rsidRPr="00247126">
        <w:t xml:space="preserve"> that the superiority claims for OCT+AG versus AG alone </w:t>
      </w:r>
      <w:r w:rsidR="00FC7A8D" w:rsidRPr="00247126">
        <w:t>we</w:t>
      </w:r>
      <w:r w:rsidRPr="00247126">
        <w:t>re not supported by the clinical evidence provided in the ADAR for the severe calcification and stent failure subpopulations. If non-inferiority is justified, as per the commentary interpretation of the evidence, a CMA would be more appropriate, though cost minimisation would not be demonstrated due to the higher cost for OCT</w:t>
      </w:r>
      <w:r w:rsidR="007C53CC" w:rsidRPr="00247126">
        <w:t xml:space="preserve"> as </w:t>
      </w:r>
      <w:r w:rsidR="00C75C41" w:rsidRPr="00247126">
        <w:t>an adjunct to</w:t>
      </w:r>
      <w:r w:rsidR="006A5707" w:rsidRPr="00247126">
        <w:t xml:space="preserve"> coronary</w:t>
      </w:r>
      <w:r w:rsidRPr="00247126">
        <w:t xml:space="preserve"> AG.</w:t>
      </w:r>
    </w:p>
    <w:p w14:paraId="1DCF9513" w14:textId="77777777" w:rsidR="005027B6" w:rsidRPr="00247126" w:rsidRDefault="005027B6" w:rsidP="005027B6">
      <w:pPr>
        <w:pStyle w:val="Heading3"/>
      </w:pPr>
      <w:r w:rsidRPr="00247126">
        <w:t>OCT+AG versus AG alone</w:t>
      </w:r>
    </w:p>
    <w:p w14:paraId="5CECDD86" w14:textId="7A09E835" w:rsidR="00DE4F5F" w:rsidRPr="00247126" w:rsidRDefault="005027B6" w:rsidP="00DE4F5F">
      <w:r w:rsidRPr="00247126">
        <w:t xml:space="preserve">A summary of the cost-utility economic evaluation is provided in </w:t>
      </w:r>
      <w:r w:rsidRPr="00247126">
        <w:fldChar w:fldCharType="begin"/>
      </w:r>
      <w:r w:rsidRPr="00247126">
        <w:instrText xml:space="preserve"> REF _Ref69725820 \h </w:instrText>
      </w:r>
      <w:r w:rsidR="00C567A2" w:rsidRPr="00247126">
        <w:instrText xml:space="preserve"> \* MERGEFORMAT </w:instrText>
      </w:r>
      <w:r w:rsidRPr="00247126">
        <w:fldChar w:fldCharType="separate"/>
      </w:r>
      <w:r w:rsidR="00151E03" w:rsidRPr="00247126">
        <w:t>Table 16</w:t>
      </w:r>
      <w:r w:rsidRPr="00247126">
        <w:fldChar w:fldCharType="end"/>
      </w:r>
      <w:r w:rsidRPr="00247126">
        <w:t>. The three patient subpopulations (bifurcation, severe calcification, long</w:t>
      </w:r>
      <w:r w:rsidR="00852B88" w:rsidRPr="00247126">
        <w:t>/multiple</w:t>
      </w:r>
      <w:r w:rsidRPr="00247126">
        <w:t xml:space="preserve"> lesion) were considered in separate analyses.</w:t>
      </w:r>
      <w:r w:rsidR="00DE4F5F" w:rsidRPr="00247126">
        <w:br w:type="page"/>
      </w:r>
    </w:p>
    <w:p w14:paraId="160CCB4E" w14:textId="245E4674" w:rsidR="005027B6" w:rsidRPr="00247126" w:rsidRDefault="005027B6" w:rsidP="005027B6">
      <w:pPr>
        <w:pStyle w:val="Caption"/>
        <w:tabs>
          <w:tab w:val="left" w:pos="1134"/>
        </w:tabs>
        <w:ind w:left="1134" w:hanging="1134"/>
      </w:pPr>
      <w:bookmarkStart w:id="37" w:name="_Ref69725820"/>
      <w:r w:rsidRPr="00247126">
        <w:lastRenderedPageBreak/>
        <w:t>Table </w:t>
      </w:r>
      <w:r w:rsidRPr="00247126">
        <w:rPr>
          <w:noProof/>
        </w:rPr>
        <w:fldChar w:fldCharType="begin"/>
      </w:r>
      <w:r w:rsidRPr="00247126">
        <w:rPr>
          <w:noProof/>
        </w:rPr>
        <w:instrText xml:space="preserve"> SEQ Table \* ARABIC </w:instrText>
      </w:r>
      <w:r w:rsidRPr="00247126">
        <w:rPr>
          <w:noProof/>
        </w:rPr>
        <w:fldChar w:fldCharType="separate"/>
      </w:r>
      <w:r w:rsidR="00151E03" w:rsidRPr="00247126">
        <w:rPr>
          <w:noProof/>
        </w:rPr>
        <w:t>16</w:t>
      </w:r>
      <w:r w:rsidRPr="00247126">
        <w:rPr>
          <w:noProof/>
        </w:rPr>
        <w:fldChar w:fldCharType="end"/>
      </w:r>
      <w:bookmarkEnd w:id="37"/>
      <w:r w:rsidRPr="00247126">
        <w:tab/>
        <w:t xml:space="preserve">Summary of the cost-utility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cost-utility economic evaluation "/>
        <w:tblDescription w:val="This table describes the components of the cost-utility economic evaluation."/>
      </w:tblPr>
      <w:tblGrid>
        <w:gridCol w:w="2122"/>
        <w:gridCol w:w="6894"/>
      </w:tblGrid>
      <w:tr w:rsidR="005027B6" w:rsidRPr="00247126" w14:paraId="40020BC1" w14:textId="77777777">
        <w:trPr>
          <w:tblHeader/>
        </w:trPr>
        <w:tc>
          <w:tcPr>
            <w:tcW w:w="1177" w:type="pct"/>
          </w:tcPr>
          <w:p w14:paraId="03E02CB5" w14:textId="77777777" w:rsidR="005027B6" w:rsidRPr="00247126" w:rsidRDefault="005027B6" w:rsidP="00B702A6">
            <w:pPr>
              <w:pStyle w:val="TableHeading"/>
              <w:keepNext w:val="0"/>
              <w:rPr>
                <w:szCs w:val="20"/>
              </w:rPr>
            </w:pPr>
            <w:bookmarkStart w:id="38" w:name="Title_Table5"/>
            <w:bookmarkStart w:id="39" w:name="_Hlk68276446"/>
            <w:bookmarkEnd w:id="38"/>
            <w:r w:rsidRPr="00247126">
              <w:rPr>
                <w:szCs w:val="20"/>
              </w:rPr>
              <w:t>Component</w:t>
            </w:r>
          </w:p>
        </w:tc>
        <w:tc>
          <w:tcPr>
            <w:tcW w:w="3823" w:type="pct"/>
          </w:tcPr>
          <w:p w14:paraId="4A1FC62A" w14:textId="77777777" w:rsidR="005027B6" w:rsidRPr="00247126" w:rsidRDefault="005027B6" w:rsidP="00B702A6">
            <w:pPr>
              <w:pStyle w:val="TableHeading"/>
              <w:keepNext w:val="0"/>
              <w:rPr>
                <w:szCs w:val="20"/>
              </w:rPr>
            </w:pPr>
            <w:r w:rsidRPr="00247126">
              <w:rPr>
                <w:szCs w:val="20"/>
              </w:rPr>
              <w:t>Description</w:t>
            </w:r>
          </w:p>
        </w:tc>
      </w:tr>
      <w:tr w:rsidR="005027B6" w:rsidRPr="00247126" w14:paraId="5B876F37" w14:textId="77777777">
        <w:tc>
          <w:tcPr>
            <w:tcW w:w="1177" w:type="pct"/>
          </w:tcPr>
          <w:p w14:paraId="2989C46E" w14:textId="77777777" w:rsidR="005027B6" w:rsidRPr="00247126" w:rsidRDefault="005027B6" w:rsidP="00B702A6">
            <w:pPr>
              <w:pStyle w:val="TableText"/>
              <w:rPr>
                <w:szCs w:val="20"/>
              </w:rPr>
            </w:pPr>
            <w:r w:rsidRPr="00247126">
              <w:rPr>
                <w:szCs w:val="20"/>
              </w:rPr>
              <w:t>Perspective</w:t>
            </w:r>
          </w:p>
        </w:tc>
        <w:tc>
          <w:tcPr>
            <w:tcW w:w="3823" w:type="pct"/>
          </w:tcPr>
          <w:p w14:paraId="25417738" w14:textId="77777777" w:rsidR="005027B6" w:rsidRPr="00247126" w:rsidRDefault="005027B6" w:rsidP="00B702A6">
            <w:pPr>
              <w:pStyle w:val="TableText"/>
              <w:rPr>
                <w:szCs w:val="20"/>
              </w:rPr>
            </w:pPr>
            <w:r w:rsidRPr="00247126">
              <w:t>Health care system perspective</w:t>
            </w:r>
          </w:p>
        </w:tc>
      </w:tr>
      <w:tr w:rsidR="005027B6" w:rsidRPr="00247126" w14:paraId="5596A68D" w14:textId="77777777">
        <w:trPr>
          <w:tblHeader/>
        </w:trPr>
        <w:tc>
          <w:tcPr>
            <w:tcW w:w="1177" w:type="pct"/>
          </w:tcPr>
          <w:p w14:paraId="75C282F2" w14:textId="77777777" w:rsidR="005027B6" w:rsidRPr="00247126" w:rsidRDefault="005027B6" w:rsidP="00B702A6">
            <w:pPr>
              <w:pStyle w:val="TableText"/>
              <w:rPr>
                <w:szCs w:val="20"/>
              </w:rPr>
            </w:pPr>
            <w:r w:rsidRPr="00247126">
              <w:rPr>
                <w:szCs w:val="20"/>
              </w:rPr>
              <w:t>Population</w:t>
            </w:r>
          </w:p>
        </w:tc>
        <w:tc>
          <w:tcPr>
            <w:tcW w:w="3823" w:type="pct"/>
          </w:tcPr>
          <w:p w14:paraId="42266251" w14:textId="77777777" w:rsidR="005027B6" w:rsidRPr="00247126" w:rsidRDefault="005027B6" w:rsidP="00B702A6">
            <w:pPr>
              <w:pStyle w:val="TableText"/>
              <w:rPr>
                <w:szCs w:val="20"/>
              </w:rPr>
            </w:pPr>
            <w:r w:rsidRPr="00247126">
              <w:t>Patients undergoing angiography-guided PCI for DES insertion</w:t>
            </w:r>
          </w:p>
        </w:tc>
      </w:tr>
      <w:tr w:rsidR="005027B6" w:rsidRPr="00247126" w14:paraId="2627394B" w14:textId="77777777">
        <w:tc>
          <w:tcPr>
            <w:tcW w:w="1177" w:type="pct"/>
          </w:tcPr>
          <w:p w14:paraId="0F8042FF" w14:textId="77777777" w:rsidR="005027B6" w:rsidRPr="00247126" w:rsidRDefault="005027B6" w:rsidP="00B702A6">
            <w:pPr>
              <w:pStyle w:val="TableText"/>
              <w:rPr>
                <w:szCs w:val="20"/>
              </w:rPr>
            </w:pPr>
            <w:r w:rsidRPr="00247126">
              <w:rPr>
                <w:szCs w:val="20"/>
              </w:rPr>
              <w:t>Prior testing</w:t>
            </w:r>
          </w:p>
        </w:tc>
        <w:tc>
          <w:tcPr>
            <w:tcW w:w="3823" w:type="pct"/>
          </w:tcPr>
          <w:p w14:paraId="4696E6F6" w14:textId="77777777" w:rsidR="005027B6" w:rsidRPr="00247126" w:rsidRDefault="005027B6" w:rsidP="00B702A6">
            <w:pPr>
              <w:pStyle w:val="TableText"/>
              <w:rPr>
                <w:szCs w:val="20"/>
              </w:rPr>
            </w:pPr>
            <w:r w:rsidRPr="00247126">
              <w:t>Not applicable</w:t>
            </w:r>
          </w:p>
        </w:tc>
      </w:tr>
      <w:tr w:rsidR="005027B6" w:rsidRPr="00247126" w14:paraId="3D4C2D65" w14:textId="77777777">
        <w:tc>
          <w:tcPr>
            <w:tcW w:w="1177" w:type="pct"/>
          </w:tcPr>
          <w:p w14:paraId="49CDC87D" w14:textId="77777777" w:rsidR="005027B6" w:rsidRPr="00247126" w:rsidRDefault="005027B6" w:rsidP="00B702A6">
            <w:pPr>
              <w:pStyle w:val="TableText"/>
              <w:rPr>
                <w:szCs w:val="20"/>
              </w:rPr>
            </w:pPr>
            <w:r w:rsidRPr="00247126">
              <w:rPr>
                <w:szCs w:val="20"/>
              </w:rPr>
              <w:t>Comparator</w:t>
            </w:r>
          </w:p>
        </w:tc>
        <w:tc>
          <w:tcPr>
            <w:tcW w:w="3823" w:type="pct"/>
          </w:tcPr>
          <w:p w14:paraId="76913FDE" w14:textId="77777777" w:rsidR="005027B6" w:rsidRPr="00247126" w:rsidRDefault="005027B6" w:rsidP="00B702A6">
            <w:pPr>
              <w:pStyle w:val="TableText"/>
              <w:rPr>
                <w:szCs w:val="20"/>
              </w:rPr>
            </w:pPr>
            <w:r w:rsidRPr="00247126">
              <w:t>Angiography guidance alone (= the current standard practice)</w:t>
            </w:r>
          </w:p>
        </w:tc>
      </w:tr>
      <w:tr w:rsidR="005027B6" w:rsidRPr="00247126" w14:paraId="7ACFEBC0" w14:textId="77777777">
        <w:tc>
          <w:tcPr>
            <w:tcW w:w="1177" w:type="pct"/>
          </w:tcPr>
          <w:p w14:paraId="2E765E60" w14:textId="77777777" w:rsidR="005027B6" w:rsidRPr="00247126" w:rsidRDefault="005027B6" w:rsidP="00B702A6">
            <w:pPr>
              <w:pStyle w:val="TableText"/>
              <w:rPr>
                <w:szCs w:val="20"/>
              </w:rPr>
            </w:pPr>
            <w:r w:rsidRPr="00247126">
              <w:rPr>
                <w:szCs w:val="20"/>
              </w:rPr>
              <w:t>Type(s) of analysis</w:t>
            </w:r>
          </w:p>
        </w:tc>
        <w:tc>
          <w:tcPr>
            <w:tcW w:w="3823" w:type="pct"/>
          </w:tcPr>
          <w:p w14:paraId="0E0F44D2" w14:textId="77777777" w:rsidR="005027B6" w:rsidRPr="00247126" w:rsidRDefault="005027B6" w:rsidP="00B702A6">
            <w:pPr>
              <w:pStyle w:val="TableText"/>
              <w:rPr>
                <w:szCs w:val="20"/>
              </w:rPr>
            </w:pPr>
            <w:r w:rsidRPr="00247126">
              <w:t xml:space="preserve">Modelled cost-utility analysis </w:t>
            </w:r>
          </w:p>
        </w:tc>
      </w:tr>
      <w:tr w:rsidR="005027B6" w:rsidRPr="00247126" w14:paraId="51519A9D" w14:textId="77777777" w:rsidTr="009102DB">
        <w:trPr>
          <w:trHeight w:val="70"/>
        </w:trPr>
        <w:tc>
          <w:tcPr>
            <w:tcW w:w="1177" w:type="pct"/>
          </w:tcPr>
          <w:p w14:paraId="15941F30" w14:textId="77777777" w:rsidR="005027B6" w:rsidRPr="00247126" w:rsidRDefault="005027B6" w:rsidP="00B702A6">
            <w:pPr>
              <w:pStyle w:val="TableText"/>
              <w:rPr>
                <w:szCs w:val="20"/>
              </w:rPr>
            </w:pPr>
            <w:r w:rsidRPr="00247126">
              <w:rPr>
                <w:szCs w:val="20"/>
              </w:rPr>
              <w:t>Outcomes</w:t>
            </w:r>
          </w:p>
        </w:tc>
        <w:tc>
          <w:tcPr>
            <w:tcW w:w="3823" w:type="pct"/>
          </w:tcPr>
          <w:p w14:paraId="6E7D206B" w14:textId="77777777" w:rsidR="005027B6" w:rsidRPr="00247126" w:rsidRDefault="005027B6" w:rsidP="00B702A6">
            <w:pPr>
              <w:pStyle w:val="TableText"/>
              <w:rPr>
                <w:szCs w:val="20"/>
              </w:rPr>
            </w:pPr>
            <w:r w:rsidRPr="00247126">
              <w:t>Quality-adjusted life years (QALYs)</w:t>
            </w:r>
          </w:p>
        </w:tc>
      </w:tr>
      <w:tr w:rsidR="005027B6" w:rsidRPr="00247126" w14:paraId="5789BD9E" w14:textId="77777777">
        <w:tc>
          <w:tcPr>
            <w:tcW w:w="1177" w:type="pct"/>
          </w:tcPr>
          <w:p w14:paraId="42A548AF" w14:textId="77777777" w:rsidR="005027B6" w:rsidRPr="00247126" w:rsidRDefault="005027B6" w:rsidP="00B702A6">
            <w:pPr>
              <w:pStyle w:val="TableText"/>
              <w:rPr>
                <w:szCs w:val="20"/>
              </w:rPr>
            </w:pPr>
            <w:r w:rsidRPr="00247126">
              <w:rPr>
                <w:szCs w:val="20"/>
              </w:rPr>
              <w:t>Time horizon</w:t>
            </w:r>
          </w:p>
        </w:tc>
        <w:tc>
          <w:tcPr>
            <w:tcW w:w="3823" w:type="pct"/>
          </w:tcPr>
          <w:p w14:paraId="59E23EA2" w14:textId="77777777" w:rsidR="005027B6" w:rsidRPr="00247126" w:rsidRDefault="005027B6" w:rsidP="00B702A6">
            <w:pPr>
              <w:pStyle w:val="TableText"/>
              <w:rPr>
                <w:szCs w:val="20"/>
              </w:rPr>
            </w:pPr>
            <w:r w:rsidRPr="00247126">
              <w:t>Lifetime: the duration of OCT efficacy is limited to 2 years to match the trial data availability</w:t>
            </w:r>
          </w:p>
        </w:tc>
      </w:tr>
      <w:tr w:rsidR="005027B6" w:rsidRPr="00247126" w14:paraId="3732A31B" w14:textId="77777777">
        <w:tc>
          <w:tcPr>
            <w:tcW w:w="1177" w:type="pct"/>
          </w:tcPr>
          <w:p w14:paraId="5A3C3E66" w14:textId="77777777" w:rsidR="005027B6" w:rsidRPr="00247126" w:rsidRDefault="005027B6" w:rsidP="00B702A6">
            <w:pPr>
              <w:pStyle w:val="TableText"/>
              <w:rPr>
                <w:szCs w:val="20"/>
              </w:rPr>
            </w:pPr>
            <w:r w:rsidRPr="00247126">
              <w:rPr>
                <w:szCs w:val="20"/>
              </w:rPr>
              <w:t>Computational method</w:t>
            </w:r>
          </w:p>
        </w:tc>
        <w:tc>
          <w:tcPr>
            <w:tcW w:w="3823" w:type="pct"/>
          </w:tcPr>
          <w:p w14:paraId="5432AD63" w14:textId="77777777" w:rsidR="005027B6" w:rsidRPr="00247126" w:rsidRDefault="005027B6" w:rsidP="00B702A6">
            <w:pPr>
              <w:pStyle w:val="TableText"/>
              <w:rPr>
                <w:szCs w:val="20"/>
              </w:rPr>
            </w:pPr>
            <w:r w:rsidRPr="00247126">
              <w:t>Markov cohort analysis</w:t>
            </w:r>
          </w:p>
        </w:tc>
      </w:tr>
      <w:tr w:rsidR="005027B6" w:rsidRPr="00247126" w14:paraId="5476CECB" w14:textId="77777777">
        <w:tc>
          <w:tcPr>
            <w:tcW w:w="1177" w:type="pct"/>
          </w:tcPr>
          <w:p w14:paraId="2CA80B1E" w14:textId="77777777" w:rsidR="005027B6" w:rsidRPr="00247126" w:rsidRDefault="005027B6" w:rsidP="00B702A6">
            <w:pPr>
              <w:pStyle w:val="TableText"/>
              <w:rPr>
                <w:szCs w:val="20"/>
              </w:rPr>
            </w:pPr>
            <w:r w:rsidRPr="00247126">
              <w:rPr>
                <w:szCs w:val="20"/>
              </w:rPr>
              <w:t>Generation of the base case</w:t>
            </w:r>
          </w:p>
        </w:tc>
        <w:tc>
          <w:tcPr>
            <w:tcW w:w="3823" w:type="pct"/>
          </w:tcPr>
          <w:p w14:paraId="45BF3C3D" w14:textId="77777777" w:rsidR="005027B6" w:rsidRPr="00247126" w:rsidRDefault="005027B6" w:rsidP="00B702A6">
            <w:pPr>
              <w:pStyle w:val="TableText"/>
              <w:rPr>
                <w:szCs w:val="20"/>
              </w:rPr>
            </w:pPr>
            <w:r w:rsidRPr="00247126">
              <w:t>Markov cohort model: the duration of OCT efficacy is limited to 2 years to match the trial data availability</w:t>
            </w:r>
          </w:p>
        </w:tc>
      </w:tr>
      <w:tr w:rsidR="005027B6" w:rsidRPr="00247126" w14:paraId="2A091C56" w14:textId="77777777">
        <w:tc>
          <w:tcPr>
            <w:tcW w:w="1177" w:type="pct"/>
          </w:tcPr>
          <w:p w14:paraId="6CE82B64" w14:textId="77777777" w:rsidR="005027B6" w:rsidRPr="00247126" w:rsidRDefault="005027B6" w:rsidP="00B702A6">
            <w:pPr>
              <w:pStyle w:val="TableText"/>
              <w:rPr>
                <w:szCs w:val="20"/>
              </w:rPr>
            </w:pPr>
            <w:r w:rsidRPr="00247126">
              <w:rPr>
                <w:szCs w:val="20"/>
              </w:rPr>
              <w:t>Health states</w:t>
            </w:r>
          </w:p>
        </w:tc>
        <w:tc>
          <w:tcPr>
            <w:tcW w:w="3823" w:type="pct"/>
          </w:tcPr>
          <w:p w14:paraId="21D59FE1" w14:textId="77777777" w:rsidR="005027B6" w:rsidRPr="00247126" w:rsidRDefault="005027B6" w:rsidP="00B702A6">
            <w:pPr>
              <w:pStyle w:val="TableText"/>
            </w:pPr>
            <w:r w:rsidRPr="00247126">
              <w:t>Alive with no event</w:t>
            </w:r>
          </w:p>
          <w:p w14:paraId="1B633AA8" w14:textId="77777777" w:rsidR="005027B6" w:rsidRPr="00247126" w:rsidRDefault="005027B6" w:rsidP="00B702A6">
            <w:pPr>
              <w:pStyle w:val="TableText"/>
            </w:pPr>
            <w:r w:rsidRPr="00247126">
              <w:t>Alive post-MI</w:t>
            </w:r>
          </w:p>
          <w:p w14:paraId="48CDF02F" w14:textId="77777777" w:rsidR="005027B6" w:rsidRPr="00247126" w:rsidRDefault="005027B6" w:rsidP="00B702A6">
            <w:pPr>
              <w:pStyle w:val="TableText"/>
            </w:pPr>
            <w:r w:rsidRPr="00247126">
              <w:t>Alive post-revascularisation</w:t>
            </w:r>
          </w:p>
          <w:p w14:paraId="1F841AE9" w14:textId="77777777" w:rsidR="005027B6" w:rsidRPr="00247126" w:rsidRDefault="005027B6" w:rsidP="00B702A6">
            <w:pPr>
              <w:pStyle w:val="TableText"/>
              <w:rPr>
                <w:szCs w:val="20"/>
              </w:rPr>
            </w:pPr>
            <w:r w:rsidRPr="00247126">
              <w:t>Dead</w:t>
            </w:r>
          </w:p>
        </w:tc>
      </w:tr>
      <w:tr w:rsidR="005027B6" w:rsidRPr="00247126" w14:paraId="1416D542" w14:textId="77777777">
        <w:tc>
          <w:tcPr>
            <w:tcW w:w="1177" w:type="pct"/>
          </w:tcPr>
          <w:p w14:paraId="3A90D1DB" w14:textId="77777777" w:rsidR="005027B6" w:rsidRPr="00247126" w:rsidRDefault="005027B6" w:rsidP="00B702A6">
            <w:pPr>
              <w:pStyle w:val="TableText"/>
              <w:rPr>
                <w:szCs w:val="20"/>
              </w:rPr>
            </w:pPr>
            <w:r w:rsidRPr="00247126">
              <w:rPr>
                <w:szCs w:val="20"/>
              </w:rPr>
              <w:t>Cycle length</w:t>
            </w:r>
          </w:p>
        </w:tc>
        <w:tc>
          <w:tcPr>
            <w:tcW w:w="3823" w:type="pct"/>
          </w:tcPr>
          <w:p w14:paraId="60CF8464" w14:textId="77777777" w:rsidR="005027B6" w:rsidRPr="00247126" w:rsidRDefault="005027B6" w:rsidP="00B702A6">
            <w:pPr>
              <w:pStyle w:val="TableText"/>
              <w:rPr>
                <w:szCs w:val="20"/>
              </w:rPr>
            </w:pPr>
            <w:r w:rsidRPr="00247126">
              <w:t>0-1 month (= 30 days), 2-12 months, then annual cycle thereafter</w:t>
            </w:r>
          </w:p>
        </w:tc>
      </w:tr>
      <w:tr w:rsidR="005027B6" w:rsidRPr="00247126" w14:paraId="624560F7" w14:textId="77777777">
        <w:tc>
          <w:tcPr>
            <w:tcW w:w="1177" w:type="pct"/>
          </w:tcPr>
          <w:p w14:paraId="4B001227" w14:textId="77777777" w:rsidR="005027B6" w:rsidRPr="00247126" w:rsidRDefault="005027B6" w:rsidP="00BD55FC">
            <w:pPr>
              <w:pStyle w:val="TableText"/>
              <w:keepNext/>
              <w:rPr>
                <w:szCs w:val="20"/>
              </w:rPr>
            </w:pPr>
            <w:r w:rsidRPr="00247126">
              <w:rPr>
                <w:szCs w:val="20"/>
              </w:rPr>
              <w:t>Transition probabilities</w:t>
            </w:r>
          </w:p>
        </w:tc>
        <w:tc>
          <w:tcPr>
            <w:tcW w:w="3823" w:type="pct"/>
          </w:tcPr>
          <w:p w14:paraId="5CC53F74" w14:textId="77777777" w:rsidR="005027B6" w:rsidRPr="00247126" w:rsidRDefault="005027B6" w:rsidP="00BD55FC">
            <w:pPr>
              <w:pStyle w:val="Tabletext0"/>
              <w:keepNext/>
            </w:pPr>
            <w:r w:rsidRPr="00247126">
              <w:t>Bifurcation subpopulation: OCTOBER RCT, ITT data</w:t>
            </w:r>
          </w:p>
          <w:p w14:paraId="16202474" w14:textId="77777777" w:rsidR="005027B6" w:rsidRPr="00247126" w:rsidRDefault="005027B6" w:rsidP="00BD55FC">
            <w:pPr>
              <w:pStyle w:val="Tabletext0"/>
              <w:keepNext/>
            </w:pPr>
            <w:r w:rsidRPr="00247126">
              <w:t xml:space="preserve">Long lesion / severe calcification subpopulations: ILUMIEN IV RCT, </w:t>
            </w:r>
            <w:r w:rsidRPr="00247126">
              <w:rPr>
                <w:iCs/>
              </w:rPr>
              <w:t>post hoc</w:t>
            </w:r>
            <w:r w:rsidRPr="00247126">
              <w:t xml:space="preserve"> subgroup data</w:t>
            </w:r>
          </w:p>
          <w:p w14:paraId="6A232B6A" w14:textId="77777777" w:rsidR="005027B6" w:rsidRPr="00247126" w:rsidRDefault="005027B6" w:rsidP="00BD55FC">
            <w:pPr>
              <w:pStyle w:val="TableText"/>
              <w:keepNext/>
              <w:rPr>
                <w:szCs w:val="20"/>
              </w:rPr>
            </w:pPr>
            <w:r w:rsidRPr="00247126">
              <w:t>Other cause death as per the Australian life table</w:t>
            </w:r>
          </w:p>
        </w:tc>
      </w:tr>
      <w:tr w:rsidR="005027B6" w:rsidRPr="00247126" w14:paraId="5E9C0B8B" w14:textId="77777777">
        <w:tc>
          <w:tcPr>
            <w:tcW w:w="1177" w:type="pct"/>
          </w:tcPr>
          <w:p w14:paraId="1AA5CD4F" w14:textId="77777777" w:rsidR="005027B6" w:rsidRPr="00247126" w:rsidRDefault="005027B6" w:rsidP="00B702A6">
            <w:pPr>
              <w:pStyle w:val="TableText"/>
              <w:rPr>
                <w:szCs w:val="20"/>
              </w:rPr>
            </w:pPr>
            <w:r w:rsidRPr="00247126">
              <w:rPr>
                <w:szCs w:val="20"/>
              </w:rPr>
              <w:t>Discount rate</w:t>
            </w:r>
          </w:p>
        </w:tc>
        <w:tc>
          <w:tcPr>
            <w:tcW w:w="3823" w:type="pct"/>
          </w:tcPr>
          <w:p w14:paraId="65C2008D" w14:textId="77777777" w:rsidR="005027B6" w:rsidRPr="00247126" w:rsidRDefault="005027B6" w:rsidP="00B702A6">
            <w:pPr>
              <w:pStyle w:val="TableText"/>
              <w:rPr>
                <w:szCs w:val="20"/>
              </w:rPr>
            </w:pPr>
            <w:r w:rsidRPr="00247126">
              <w:rPr>
                <w:szCs w:val="20"/>
              </w:rPr>
              <w:t>5%</w:t>
            </w:r>
          </w:p>
        </w:tc>
      </w:tr>
      <w:tr w:rsidR="005027B6" w:rsidRPr="00247126" w14:paraId="0F228F86" w14:textId="77777777">
        <w:tc>
          <w:tcPr>
            <w:tcW w:w="1177" w:type="pct"/>
          </w:tcPr>
          <w:p w14:paraId="2373CA09" w14:textId="77777777" w:rsidR="005027B6" w:rsidRPr="00247126" w:rsidRDefault="005027B6" w:rsidP="00B702A6">
            <w:pPr>
              <w:pStyle w:val="TableText"/>
              <w:rPr>
                <w:szCs w:val="20"/>
              </w:rPr>
            </w:pPr>
            <w:r w:rsidRPr="00247126">
              <w:rPr>
                <w:szCs w:val="20"/>
              </w:rPr>
              <w:t>Software</w:t>
            </w:r>
          </w:p>
        </w:tc>
        <w:tc>
          <w:tcPr>
            <w:tcW w:w="3823" w:type="pct"/>
          </w:tcPr>
          <w:p w14:paraId="2C1A7C62" w14:textId="77777777" w:rsidR="005027B6" w:rsidRPr="00247126" w:rsidRDefault="005027B6" w:rsidP="00B702A6">
            <w:pPr>
              <w:pStyle w:val="TableText"/>
              <w:rPr>
                <w:szCs w:val="20"/>
              </w:rPr>
            </w:pPr>
            <w:r w:rsidRPr="00247126">
              <w:rPr>
                <w:szCs w:val="20"/>
              </w:rPr>
              <w:t>Excel</w:t>
            </w:r>
          </w:p>
        </w:tc>
      </w:tr>
    </w:tbl>
    <w:p w14:paraId="3BE8CBF1" w14:textId="77777777" w:rsidR="005027B6" w:rsidRPr="00247126" w:rsidRDefault="005027B6" w:rsidP="009102DB">
      <w:pPr>
        <w:pStyle w:val="Tablenotes0"/>
      </w:pPr>
      <w:bookmarkStart w:id="40" w:name="_Hlk68276459"/>
      <w:bookmarkEnd w:id="39"/>
      <w:r w:rsidRPr="00247126">
        <w:t>DES = drug eluting stent; ITT = intention-to-treat; OCT = optical coherence tomography; MI = myocardial infarction; PCI = percutaneous coronary intervention; RCT = randomised controlled trial.</w:t>
      </w:r>
    </w:p>
    <w:p w14:paraId="6CE4A23B" w14:textId="77777777" w:rsidR="005027B6" w:rsidRPr="00247126" w:rsidRDefault="005027B6" w:rsidP="009102DB">
      <w:pPr>
        <w:pStyle w:val="Tablenotes0"/>
      </w:pPr>
      <w:r w:rsidRPr="00247126">
        <w:t xml:space="preserve">Source: Table 76 of MSAC 1743 </w:t>
      </w:r>
      <w:proofErr w:type="spellStart"/>
      <w:r w:rsidRPr="00247126">
        <w:t>ADAR+in-line</w:t>
      </w:r>
      <w:proofErr w:type="spellEnd"/>
      <w:r w:rsidRPr="00247126">
        <w:t xml:space="preserve"> commentary.</w:t>
      </w:r>
    </w:p>
    <w:p w14:paraId="1A30AECB" w14:textId="77777777" w:rsidR="005027B6" w:rsidRPr="00247126" w:rsidRDefault="005027B6" w:rsidP="005027B6">
      <w:r w:rsidRPr="00247126">
        <w:t>The model considered differential risks between the two treatment arms in terms of: 1. death from a cardiac cause; 2. MI; 3. ischemia-driven revascularisation; and 4. stent thrombosis. Long-term sequelae of MI and revascularisation were also captured in terms of elevated subsequent risks of recurrent MI (only relevant to those with prior MI) and death.</w:t>
      </w:r>
    </w:p>
    <w:p w14:paraId="58AE50E0" w14:textId="130DD62D" w:rsidR="005027B6" w:rsidRPr="00247126" w:rsidRDefault="005027B6" w:rsidP="005027B6">
      <w:r w:rsidRPr="00247126">
        <w:t xml:space="preserve">The model was designed to closely resemble the IVUS model considered by MSAC at its April 2022 meeting (MSAC application 1354.1 PSD), thereby facilitating consideration of OCT on a consistent basis with IVUS in application 1354.1. While this approach has some merit, the commentary raised concerns about the applicability of the model to the clinical evidence presented in support of superiority of OCT+AG versus AG alone. In particular, the clinical trials for OCT were powered for composite efficacy outcomes rather than the individual components, and </w:t>
      </w:r>
      <w:proofErr w:type="gramStart"/>
      <w:r w:rsidRPr="00247126">
        <w:t>no</w:t>
      </w:r>
      <w:proofErr w:type="gramEnd"/>
      <w:r w:rsidRPr="00247126">
        <w:t xml:space="preserve"> statistically significant between-group differences were shown for cardiac death, MI or revascularisation. Furthermore, crude percentages from the trial data were used as model inputs and did not account for competing risks (i.e. secondary outcomes were not mutually exclusive and the sum exceeded that of the primary composite outcome).</w:t>
      </w:r>
      <w:r w:rsidR="003C7338" w:rsidRPr="00247126">
        <w:t xml:space="preserve"> </w:t>
      </w:r>
      <w:r w:rsidR="00DB0560" w:rsidRPr="00247126">
        <w:t>The commentary noted that this</w:t>
      </w:r>
      <w:r w:rsidR="003C7338" w:rsidRPr="00247126">
        <w:t xml:space="preserve"> </w:t>
      </w:r>
      <w:r w:rsidR="006567B3" w:rsidRPr="00247126">
        <w:t xml:space="preserve">could bias the </w:t>
      </w:r>
      <w:r w:rsidR="005D78A4" w:rsidRPr="00247126">
        <w:t>incremental cost</w:t>
      </w:r>
      <w:r w:rsidR="00280ADA" w:rsidRPr="00247126">
        <w:t>-effectiveness ratio (</w:t>
      </w:r>
      <w:r w:rsidR="006567B3" w:rsidRPr="00247126">
        <w:t>ICER</w:t>
      </w:r>
      <w:r w:rsidR="00280ADA" w:rsidRPr="00247126">
        <w:t>)</w:t>
      </w:r>
      <w:r w:rsidR="006567B3" w:rsidRPr="00247126">
        <w:t xml:space="preserve"> to be more favourable</w:t>
      </w:r>
      <w:r w:rsidR="00F25C0B" w:rsidRPr="00247126">
        <w:t xml:space="preserve"> </w:t>
      </w:r>
      <w:r w:rsidR="00C81694" w:rsidRPr="00247126">
        <w:t xml:space="preserve">because the benefit for </w:t>
      </w:r>
      <w:r w:rsidR="006B6960" w:rsidRPr="00247126">
        <w:t xml:space="preserve">some people in the model </w:t>
      </w:r>
      <w:r w:rsidR="00823150" w:rsidRPr="00247126">
        <w:t xml:space="preserve">(and </w:t>
      </w:r>
      <w:r w:rsidR="00C56314" w:rsidRPr="00247126">
        <w:t xml:space="preserve">the </w:t>
      </w:r>
      <w:r w:rsidR="00823150" w:rsidRPr="00247126">
        <w:t xml:space="preserve">associated </w:t>
      </w:r>
      <w:r w:rsidR="00F7131F" w:rsidRPr="00247126">
        <w:t>quality</w:t>
      </w:r>
      <w:r w:rsidR="004971D1" w:rsidRPr="00247126">
        <w:t>-adjusted life year [</w:t>
      </w:r>
      <w:r w:rsidR="00823150" w:rsidRPr="00247126">
        <w:t>QALY</w:t>
      </w:r>
      <w:r w:rsidR="004971D1" w:rsidRPr="00247126">
        <w:t>]</w:t>
      </w:r>
      <w:r w:rsidR="00823150" w:rsidRPr="00247126">
        <w:t xml:space="preserve"> gain</w:t>
      </w:r>
      <w:r w:rsidR="00CB6D00" w:rsidRPr="00247126">
        <w:t xml:space="preserve"> and</w:t>
      </w:r>
      <w:r w:rsidR="00823150" w:rsidRPr="00247126">
        <w:t xml:space="preserve"> complication cost averted) could be incurred more than once</w:t>
      </w:r>
      <w:r w:rsidR="009D06CA" w:rsidRPr="00247126">
        <w:t>.</w:t>
      </w:r>
    </w:p>
    <w:p w14:paraId="326184E2" w14:textId="77777777" w:rsidR="005027B6" w:rsidRPr="00247126" w:rsidRDefault="005027B6" w:rsidP="005027B6">
      <w:pPr>
        <w:pStyle w:val="Heading4"/>
      </w:pPr>
      <w:r w:rsidRPr="00247126">
        <w:t>Bifurcation subpopulation</w:t>
      </w:r>
    </w:p>
    <w:p w14:paraId="62338DF8" w14:textId="77777777" w:rsidR="005027B6" w:rsidRPr="00247126" w:rsidRDefault="005027B6" w:rsidP="005027B6">
      <w:r w:rsidRPr="00247126">
        <w:t xml:space="preserve">The primary outcome for the bifurcation subpopulation was a composite outcome (MACE, comprised of death from a cardiac cause, target-lesion MI and ischaemia-driven TLR at a median </w:t>
      </w:r>
      <w:r w:rsidRPr="00247126">
        <w:lastRenderedPageBreak/>
        <w:t>of 2 years follow-up). The OCTOBER study supported superiority based on this primary outcome with the addition of OCT to AG alone. These outcomes were disaggregated for the economic evaluation, with the addition of stent thrombosis and other death outcomes. While this matches the natural history of patients better than simulating a composite outcome, the commentary noted the major limitation to this approach is that the secondary endpoints had no data supporting a statistically significant difference between groups.</w:t>
      </w:r>
    </w:p>
    <w:p w14:paraId="6EDA41F3" w14:textId="1EC0B2E3" w:rsidR="005027B6" w:rsidRPr="00247126" w:rsidRDefault="005027B6" w:rsidP="005027B6">
      <w:r w:rsidRPr="00247126">
        <w:t xml:space="preserve">The base case results for the bifurcation subpopulation are shown in </w:t>
      </w:r>
      <w:r w:rsidRPr="00247126">
        <w:fldChar w:fldCharType="begin"/>
      </w:r>
      <w:r w:rsidRPr="00247126">
        <w:instrText xml:space="preserve"> REF _Ref69726284 \h </w:instrText>
      </w:r>
      <w:r w:rsidR="00C567A2" w:rsidRPr="00247126">
        <w:instrText xml:space="preserve"> \* MERGEFORMAT </w:instrText>
      </w:r>
      <w:r w:rsidRPr="00247126">
        <w:fldChar w:fldCharType="separate"/>
      </w:r>
      <w:r w:rsidR="00151E03" w:rsidRPr="00247126">
        <w:t>Table 17</w:t>
      </w:r>
      <w:r w:rsidRPr="00247126">
        <w:fldChar w:fldCharType="end"/>
      </w:r>
      <w:r w:rsidRPr="00247126">
        <w:t>.</w:t>
      </w:r>
    </w:p>
    <w:p w14:paraId="462105D5" w14:textId="3A3B4088" w:rsidR="005027B6" w:rsidRPr="00247126" w:rsidRDefault="005027B6" w:rsidP="005027B6">
      <w:pPr>
        <w:pStyle w:val="Caption"/>
      </w:pPr>
      <w:bookmarkStart w:id="41" w:name="_Ref69726284"/>
      <w:bookmarkEnd w:id="40"/>
      <w:r w:rsidRPr="00247126">
        <w:t>Table </w:t>
      </w:r>
      <w:r w:rsidRPr="00247126">
        <w:fldChar w:fldCharType="begin"/>
      </w:r>
      <w:r w:rsidRPr="00247126">
        <w:instrText xml:space="preserve"> SEQ Table \* ARABIC </w:instrText>
      </w:r>
      <w:r w:rsidRPr="00247126">
        <w:fldChar w:fldCharType="separate"/>
      </w:r>
      <w:r w:rsidR="00151E03" w:rsidRPr="00247126">
        <w:rPr>
          <w:noProof/>
        </w:rPr>
        <w:t>17</w:t>
      </w:r>
      <w:r w:rsidRPr="00247126">
        <w:rPr>
          <w:noProof/>
        </w:rPr>
        <w:fldChar w:fldCharType="end"/>
      </w:r>
      <w:bookmarkEnd w:id="41"/>
      <w:r w:rsidRPr="00247126">
        <w:tab/>
        <w:t>Incremental cost-effectiveness ratio for OCT+AG versus AG alone – bifurcation subpopulation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Incremental cost-effectiveness ratio for OCT+AG versus AG alone – bifurcation subpopulation"/>
        <w:tblDescription w:val="This table shows the incremental cost-effectiveness ratio for OCT+AG versus AG alone for the bifurcation subpopulation."/>
      </w:tblPr>
      <w:tblGrid>
        <w:gridCol w:w="3540"/>
        <w:gridCol w:w="1700"/>
        <w:gridCol w:w="1563"/>
        <w:gridCol w:w="2213"/>
      </w:tblGrid>
      <w:tr w:rsidR="005027B6" w:rsidRPr="00247126" w14:paraId="29DF4D4E" w14:textId="77777777">
        <w:trPr>
          <w:cantSplit/>
          <w:tblHeader/>
        </w:trPr>
        <w:tc>
          <w:tcPr>
            <w:tcW w:w="1963" w:type="pct"/>
            <w:shd w:val="clear" w:color="auto" w:fill="FFFFFF"/>
          </w:tcPr>
          <w:p w14:paraId="7BE98E46" w14:textId="77777777" w:rsidR="005027B6" w:rsidRPr="00247126" w:rsidRDefault="005027B6">
            <w:pPr>
              <w:pStyle w:val="In-tableHeading"/>
              <w:spacing w:before="120" w:after="60"/>
            </w:pPr>
            <w:bookmarkStart w:id="42" w:name="Title_Table9" w:colFirst="0" w:colLast="0"/>
            <w:bookmarkStart w:id="43" w:name="_Hlk68276590"/>
            <w:r w:rsidRPr="00247126">
              <w:t>Treatment strategy</w:t>
            </w:r>
          </w:p>
        </w:tc>
        <w:tc>
          <w:tcPr>
            <w:tcW w:w="943" w:type="pct"/>
            <w:shd w:val="clear" w:color="auto" w:fill="FFFFFF"/>
          </w:tcPr>
          <w:p w14:paraId="4A0401B9" w14:textId="77777777" w:rsidR="005027B6" w:rsidRPr="00247126" w:rsidRDefault="005027B6">
            <w:pPr>
              <w:pStyle w:val="In-tableHeading"/>
              <w:spacing w:before="120" w:after="60"/>
              <w:jc w:val="center"/>
            </w:pPr>
            <w:r w:rsidRPr="00247126">
              <w:t>OCT+AG</w:t>
            </w:r>
          </w:p>
        </w:tc>
        <w:tc>
          <w:tcPr>
            <w:tcW w:w="867" w:type="pct"/>
            <w:shd w:val="clear" w:color="auto" w:fill="FFFFFF"/>
          </w:tcPr>
          <w:p w14:paraId="16C2FE6F" w14:textId="77777777" w:rsidR="005027B6" w:rsidRPr="00247126" w:rsidRDefault="005027B6">
            <w:pPr>
              <w:pStyle w:val="In-tableHeading"/>
              <w:spacing w:before="120" w:after="60"/>
              <w:jc w:val="center"/>
            </w:pPr>
            <w:r w:rsidRPr="00247126">
              <w:t>AG alone</w:t>
            </w:r>
          </w:p>
        </w:tc>
        <w:tc>
          <w:tcPr>
            <w:tcW w:w="1227" w:type="pct"/>
            <w:shd w:val="clear" w:color="auto" w:fill="FFFFFF"/>
            <w:vAlign w:val="center"/>
          </w:tcPr>
          <w:p w14:paraId="51A7B533" w14:textId="77777777" w:rsidR="005027B6" w:rsidRPr="00247126" w:rsidRDefault="005027B6">
            <w:pPr>
              <w:pStyle w:val="In-tableHeading"/>
              <w:spacing w:before="120" w:after="60"/>
              <w:jc w:val="center"/>
            </w:pPr>
            <w:r w:rsidRPr="00247126">
              <w:t>Difference</w:t>
            </w:r>
          </w:p>
        </w:tc>
      </w:tr>
      <w:bookmarkEnd w:id="42"/>
      <w:tr w:rsidR="005027B6" w:rsidRPr="00247126" w14:paraId="0C09AD85" w14:textId="77777777">
        <w:trPr>
          <w:cantSplit/>
        </w:trPr>
        <w:tc>
          <w:tcPr>
            <w:tcW w:w="1963" w:type="pct"/>
            <w:shd w:val="clear" w:color="auto" w:fill="auto"/>
          </w:tcPr>
          <w:p w14:paraId="76A572C3" w14:textId="77777777" w:rsidR="005027B6" w:rsidRPr="00247126" w:rsidRDefault="005027B6">
            <w:pPr>
              <w:pStyle w:val="TableText"/>
            </w:pPr>
            <w:r w:rsidRPr="00247126">
              <w:t>Costs – Total</w:t>
            </w:r>
          </w:p>
        </w:tc>
        <w:tc>
          <w:tcPr>
            <w:tcW w:w="943" w:type="pct"/>
            <w:shd w:val="clear" w:color="auto" w:fill="auto"/>
          </w:tcPr>
          <w:p w14:paraId="4430A358" w14:textId="75EAD78C" w:rsidR="005027B6" w:rsidRPr="00247126" w:rsidRDefault="005027B6">
            <w:pPr>
              <w:pStyle w:val="TableText"/>
              <w:jc w:val="center"/>
            </w:pPr>
            <w:r w:rsidRPr="00247126">
              <w:t>$</w:t>
            </w:r>
            <w:r w:rsidR="008B7692" w:rsidRPr="00247126">
              <w:rPr>
                <w:b/>
                <w:bCs/>
              </w:rPr>
              <w:t>Redacted</w:t>
            </w:r>
          </w:p>
        </w:tc>
        <w:tc>
          <w:tcPr>
            <w:tcW w:w="867" w:type="pct"/>
            <w:shd w:val="clear" w:color="auto" w:fill="auto"/>
          </w:tcPr>
          <w:p w14:paraId="18F72E3A" w14:textId="77777777" w:rsidR="005027B6" w:rsidRPr="00247126" w:rsidRDefault="005027B6">
            <w:pPr>
              <w:pStyle w:val="TableText"/>
              <w:jc w:val="center"/>
            </w:pPr>
            <w:r w:rsidRPr="00247126">
              <w:t>$17,888</w:t>
            </w:r>
          </w:p>
        </w:tc>
        <w:tc>
          <w:tcPr>
            <w:tcW w:w="1227" w:type="pct"/>
            <w:shd w:val="clear" w:color="auto" w:fill="auto"/>
          </w:tcPr>
          <w:p w14:paraId="5DB536F1" w14:textId="4D5C0534" w:rsidR="005027B6" w:rsidRPr="00247126" w:rsidRDefault="005027B6">
            <w:pPr>
              <w:pStyle w:val="TableText"/>
              <w:jc w:val="center"/>
              <w:rPr>
                <w:b/>
                <w:bCs/>
              </w:rPr>
            </w:pPr>
            <w:r w:rsidRPr="00247126">
              <w:t>$</w:t>
            </w:r>
            <w:r w:rsidR="008B7692" w:rsidRPr="00247126">
              <w:rPr>
                <w:b/>
                <w:bCs/>
              </w:rPr>
              <w:t>Redacted</w:t>
            </w:r>
          </w:p>
        </w:tc>
      </w:tr>
      <w:tr w:rsidR="005027B6" w:rsidRPr="00247126" w14:paraId="0A8E9A34" w14:textId="77777777">
        <w:trPr>
          <w:cantSplit/>
        </w:trPr>
        <w:tc>
          <w:tcPr>
            <w:tcW w:w="1963" w:type="pct"/>
            <w:shd w:val="clear" w:color="auto" w:fill="auto"/>
          </w:tcPr>
          <w:p w14:paraId="6A52855B" w14:textId="77777777" w:rsidR="005027B6" w:rsidRPr="00247126" w:rsidRDefault="005027B6">
            <w:pPr>
              <w:pStyle w:val="TableText"/>
              <w:ind w:left="720" w:hanging="131"/>
            </w:pPr>
            <w:r w:rsidRPr="00247126">
              <w:t>Intervention</w:t>
            </w:r>
          </w:p>
        </w:tc>
        <w:tc>
          <w:tcPr>
            <w:tcW w:w="943" w:type="pct"/>
            <w:shd w:val="clear" w:color="auto" w:fill="auto"/>
          </w:tcPr>
          <w:p w14:paraId="7AD2DD2E" w14:textId="5E4072BB" w:rsidR="005027B6" w:rsidRPr="00247126" w:rsidRDefault="005027B6">
            <w:pPr>
              <w:pStyle w:val="TableText"/>
              <w:jc w:val="center"/>
              <w:rPr>
                <w:b/>
                <w:bCs/>
              </w:rPr>
            </w:pPr>
            <w:r w:rsidRPr="00247126">
              <w:t>$</w:t>
            </w:r>
            <w:r w:rsidR="008B7692" w:rsidRPr="00247126">
              <w:rPr>
                <w:b/>
                <w:bCs/>
              </w:rPr>
              <w:t>Redacted</w:t>
            </w:r>
          </w:p>
        </w:tc>
        <w:tc>
          <w:tcPr>
            <w:tcW w:w="867" w:type="pct"/>
            <w:shd w:val="clear" w:color="auto" w:fill="auto"/>
          </w:tcPr>
          <w:p w14:paraId="067C27D9" w14:textId="77777777" w:rsidR="005027B6" w:rsidRPr="00247126" w:rsidRDefault="005027B6">
            <w:pPr>
              <w:pStyle w:val="TableText"/>
              <w:jc w:val="center"/>
            </w:pPr>
            <w:r w:rsidRPr="00247126">
              <w:t>$13,423</w:t>
            </w:r>
          </w:p>
        </w:tc>
        <w:tc>
          <w:tcPr>
            <w:tcW w:w="1227" w:type="pct"/>
            <w:shd w:val="clear" w:color="auto" w:fill="auto"/>
          </w:tcPr>
          <w:p w14:paraId="6411664E" w14:textId="697E5DC7" w:rsidR="005027B6" w:rsidRPr="00247126" w:rsidRDefault="005027B6">
            <w:pPr>
              <w:pStyle w:val="TableText"/>
              <w:jc w:val="center"/>
              <w:rPr>
                <w:b/>
                <w:bCs/>
              </w:rPr>
            </w:pPr>
            <w:r w:rsidRPr="00247126">
              <w:t>$</w:t>
            </w:r>
            <w:r w:rsidR="0012608B" w:rsidRPr="00247126">
              <w:rPr>
                <w:b/>
                <w:bCs/>
              </w:rPr>
              <w:t>Redacted</w:t>
            </w:r>
          </w:p>
        </w:tc>
      </w:tr>
      <w:tr w:rsidR="005027B6" w:rsidRPr="00247126" w14:paraId="5981D102" w14:textId="77777777">
        <w:trPr>
          <w:cantSplit/>
        </w:trPr>
        <w:tc>
          <w:tcPr>
            <w:tcW w:w="1963" w:type="pct"/>
            <w:shd w:val="clear" w:color="auto" w:fill="auto"/>
          </w:tcPr>
          <w:p w14:paraId="1BBE6488" w14:textId="77777777" w:rsidR="005027B6" w:rsidRPr="00247126" w:rsidRDefault="005027B6">
            <w:pPr>
              <w:pStyle w:val="TableText"/>
              <w:ind w:left="720" w:hanging="131"/>
            </w:pPr>
            <w:r w:rsidRPr="00247126">
              <w:t>Management of complications</w:t>
            </w:r>
          </w:p>
        </w:tc>
        <w:tc>
          <w:tcPr>
            <w:tcW w:w="943" w:type="pct"/>
            <w:shd w:val="clear" w:color="auto" w:fill="auto"/>
          </w:tcPr>
          <w:p w14:paraId="72236C40" w14:textId="77777777" w:rsidR="005027B6" w:rsidRPr="00247126" w:rsidRDefault="005027B6">
            <w:pPr>
              <w:pStyle w:val="TableText"/>
              <w:jc w:val="center"/>
            </w:pPr>
            <w:r w:rsidRPr="00247126">
              <w:t>$4,008</w:t>
            </w:r>
          </w:p>
        </w:tc>
        <w:tc>
          <w:tcPr>
            <w:tcW w:w="867" w:type="pct"/>
            <w:shd w:val="clear" w:color="auto" w:fill="auto"/>
          </w:tcPr>
          <w:p w14:paraId="53FCD1F4" w14:textId="77777777" w:rsidR="005027B6" w:rsidRPr="00247126" w:rsidRDefault="005027B6">
            <w:pPr>
              <w:pStyle w:val="TableText"/>
              <w:jc w:val="center"/>
            </w:pPr>
            <w:r w:rsidRPr="00247126">
              <w:t>$4,465</w:t>
            </w:r>
          </w:p>
        </w:tc>
        <w:tc>
          <w:tcPr>
            <w:tcW w:w="1227" w:type="pct"/>
            <w:shd w:val="clear" w:color="auto" w:fill="auto"/>
          </w:tcPr>
          <w:p w14:paraId="250F5D7A" w14:textId="77777777" w:rsidR="005027B6" w:rsidRPr="00247126" w:rsidRDefault="005027B6">
            <w:pPr>
              <w:pStyle w:val="TableText"/>
              <w:jc w:val="center"/>
            </w:pPr>
            <w:r w:rsidRPr="00247126">
              <w:t>-$457</w:t>
            </w:r>
          </w:p>
        </w:tc>
      </w:tr>
      <w:tr w:rsidR="005027B6" w:rsidRPr="00247126" w14:paraId="2ECC6F7C" w14:textId="77777777">
        <w:trPr>
          <w:cantSplit/>
        </w:trPr>
        <w:tc>
          <w:tcPr>
            <w:tcW w:w="1963" w:type="pct"/>
            <w:tcBorders>
              <w:bottom w:val="single" w:sz="4" w:space="0" w:color="auto"/>
            </w:tcBorders>
            <w:shd w:val="clear" w:color="auto" w:fill="auto"/>
          </w:tcPr>
          <w:p w14:paraId="643C22B3" w14:textId="77777777" w:rsidR="005027B6" w:rsidRPr="00247126" w:rsidRDefault="005027B6">
            <w:pPr>
              <w:pStyle w:val="TableText"/>
            </w:pPr>
            <w:r w:rsidRPr="00247126">
              <w:t>QALYS</w:t>
            </w:r>
          </w:p>
        </w:tc>
        <w:tc>
          <w:tcPr>
            <w:tcW w:w="943" w:type="pct"/>
            <w:tcBorders>
              <w:bottom w:val="single" w:sz="4" w:space="0" w:color="auto"/>
            </w:tcBorders>
            <w:shd w:val="clear" w:color="auto" w:fill="auto"/>
          </w:tcPr>
          <w:p w14:paraId="720C1939" w14:textId="77777777" w:rsidR="005027B6" w:rsidRPr="00247126" w:rsidRDefault="005027B6">
            <w:pPr>
              <w:pStyle w:val="TableText"/>
              <w:jc w:val="center"/>
            </w:pPr>
            <w:r w:rsidRPr="00247126">
              <w:t>9.6659</w:t>
            </w:r>
          </w:p>
        </w:tc>
        <w:tc>
          <w:tcPr>
            <w:tcW w:w="867" w:type="pct"/>
            <w:shd w:val="clear" w:color="auto" w:fill="auto"/>
          </w:tcPr>
          <w:p w14:paraId="553084A2" w14:textId="77777777" w:rsidR="005027B6" w:rsidRPr="00247126" w:rsidRDefault="005027B6">
            <w:pPr>
              <w:pStyle w:val="TableText"/>
              <w:jc w:val="center"/>
            </w:pPr>
            <w:r w:rsidRPr="00247126">
              <w:t>9.5373</w:t>
            </w:r>
          </w:p>
        </w:tc>
        <w:tc>
          <w:tcPr>
            <w:tcW w:w="1227" w:type="pct"/>
            <w:shd w:val="clear" w:color="auto" w:fill="auto"/>
          </w:tcPr>
          <w:p w14:paraId="415D2E77" w14:textId="77777777" w:rsidR="005027B6" w:rsidRPr="00247126" w:rsidRDefault="005027B6">
            <w:pPr>
              <w:pStyle w:val="TableText"/>
              <w:jc w:val="center"/>
            </w:pPr>
            <w:r w:rsidRPr="00247126">
              <w:t>0.1286</w:t>
            </w:r>
          </w:p>
        </w:tc>
      </w:tr>
      <w:tr w:rsidR="005027B6" w:rsidRPr="00247126" w14:paraId="5E9112AA" w14:textId="77777777">
        <w:trPr>
          <w:cantSplit/>
        </w:trPr>
        <w:tc>
          <w:tcPr>
            <w:tcW w:w="1963" w:type="pct"/>
            <w:tcBorders>
              <w:right w:val="nil"/>
            </w:tcBorders>
            <w:shd w:val="clear" w:color="auto" w:fill="auto"/>
          </w:tcPr>
          <w:p w14:paraId="73DDC33B" w14:textId="77777777" w:rsidR="005027B6" w:rsidRPr="00247126" w:rsidRDefault="005027B6">
            <w:pPr>
              <w:pStyle w:val="In-tableHeading"/>
              <w:keepNext w:val="0"/>
              <w:spacing w:before="40" w:after="40"/>
              <w:rPr>
                <w:b w:val="0"/>
                <w:bCs/>
              </w:rPr>
            </w:pPr>
            <w:r w:rsidRPr="00247126">
              <w:rPr>
                <w:b w:val="0"/>
                <w:bCs/>
              </w:rPr>
              <w:t>Incremental cost-effectiveness ratio</w:t>
            </w:r>
          </w:p>
        </w:tc>
        <w:tc>
          <w:tcPr>
            <w:tcW w:w="943" w:type="pct"/>
            <w:tcBorders>
              <w:left w:val="nil"/>
              <w:right w:val="nil"/>
            </w:tcBorders>
            <w:shd w:val="clear" w:color="auto" w:fill="auto"/>
          </w:tcPr>
          <w:p w14:paraId="1D97B0D0" w14:textId="77777777" w:rsidR="005027B6" w:rsidRPr="00247126" w:rsidRDefault="005027B6">
            <w:pPr>
              <w:pStyle w:val="In-tableHeading"/>
              <w:keepNext w:val="0"/>
              <w:spacing w:before="40" w:after="40"/>
              <w:rPr>
                <w:b w:val="0"/>
                <w:bCs/>
              </w:rPr>
            </w:pPr>
          </w:p>
        </w:tc>
        <w:tc>
          <w:tcPr>
            <w:tcW w:w="867" w:type="pct"/>
            <w:tcBorders>
              <w:left w:val="nil"/>
              <w:right w:val="single" w:sz="4" w:space="0" w:color="000000"/>
            </w:tcBorders>
            <w:shd w:val="clear" w:color="auto" w:fill="auto"/>
          </w:tcPr>
          <w:p w14:paraId="5F66D122" w14:textId="77777777" w:rsidR="005027B6" w:rsidRPr="00247126" w:rsidRDefault="005027B6">
            <w:pPr>
              <w:pStyle w:val="In-tableHeading"/>
              <w:keepNext w:val="0"/>
              <w:spacing w:before="40" w:after="40"/>
              <w:rPr>
                <w:b w:val="0"/>
                <w:bCs/>
              </w:rPr>
            </w:pPr>
          </w:p>
        </w:tc>
        <w:tc>
          <w:tcPr>
            <w:tcW w:w="1227" w:type="pct"/>
            <w:tcBorders>
              <w:left w:val="single" w:sz="4" w:space="0" w:color="000000"/>
            </w:tcBorders>
            <w:shd w:val="clear" w:color="auto" w:fill="auto"/>
          </w:tcPr>
          <w:p w14:paraId="067200B0" w14:textId="2FE08013" w:rsidR="005027B6" w:rsidRPr="00247126" w:rsidRDefault="005027B6">
            <w:pPr>
              <w:pStyle w:val="In-tableHeading"/>
              <w:keepNext w:val="0"/>
              <w:spacing w:before="40" w:after="40"/>
              <w:jc w:val="center"/>
              <w:rPr>
                <w:b w:val="0"/>
                <w:bCs/>
              </w:rPr>
            </w:pPr>
            <w:r w:rsidRPr="00247126">
              <w:rPr>
                <w:b w:val="0"/>
                <w:bCs/>
              </w:rPr>
              <w:t>$</w:t>
            </w:r>
            <w:r w:rsidR="00B77E73" w:rsidRPr="00247126">
              <w:t>Redacted</w:t>
            </w:r>
            <w:r w:rsidRPr="00247126">
              <w:rPr>
                <w:b w:val="0"/>
                <w:bCs/>
              </w:rPr>
              <w:t xml:space="preserve"> per QALY gain</w:t>
            </w:r>
          </w:p>
        </w:tc>
      </w:tr>
    </w:tbl>
    <w:p w14:paraId="7E85DC78" w14:textId="77777777" w:rsidR="005027B6" w:rsidRPr="00247126" w:rsidRDefault="005027B6" w:rsidP="009102DB">
      <w:pPr>
        <w:pStyle w:val="Tablenotes0"/>
        <w:rPr>
          <w:rFonts w:eastAsia="Calibri"/>
          <w:szCs w:val="20"/>
        </w:rPr>
      </w:pPr>
      <w:bookmarkStart w:id="44" w:name="_Hlk68276600"/>
      <w:bookmarkEnd w:id="43"/>
      <w:r w:rsidRPr="00247126">
        <w:t xml:space="preserve">AG = angiogram; OCT = optical coherence tomography; </w:t>
      </w:r>
      <w:r w:rsidRPr="00247126">
        <w:rPr>
          <w:rFonts w:eastAsia="Calibri"/>
          <w:szCs w:val="20"/>
        </w:rPr>
        <w:t>QALY = quality-adjusted life year.</w:t>
      </w:r>
    </w:p>
    <w:p w14:paraId="7067EA31" w14:textId="77777777" w:rsidR="005027B6" w:rsidRPr="00247126" w:rsidRDefault="005027B6" w:rsidP="009102DB">
      <w:pPr>
        <w:pStyle w:val="Tablenotes0"/>
      </w:pPr>
      <w:r w:rsidRPr="00247126">
        <w:t xml:space="preserve">Source: Table 91 of MSAC 1743 </w:t>
      </w:r>
      <w:proofErr w:type="spellStart"/>
      <w:r w:rsidRPr="00247126">
        <w:t>ADAR+in-line</w:t>
      </w:r>
      <w:proofErr w:type="spellEnd"/>
      <w:r w:rsidRPr="00247126">
        <w:t xml:space="preserve"> commentary.</w:t>
      </w:r>
    </w:p>
    <w:p w14:paraId="5D904AB7" w14:textId="3E5A49E7" w:rsidR="005027B6" w:rsidRPr="00247126" w:rsidRDefault="005027B6" w:rsidP="005027B6">
      <w:r w:rsidRPr="00247126">
        <w:t xml:space="preserve">The results for the bifurcation subpopulation were most sensitive to the time horizon (base = lifetime), as shown in </w:t>
      </w:r>
      <w:r w:rsidRPr="00247126">
        <w:fldChar w:fldCharType="begin"/>
      </w:r>
      <w:r w:rsidRPr="00247126">
        <w:instrText xml:space="preserve"> REF _Ref163054732 \h </w:instrText>
      </w:r>
      <w:r w:rsidR="00C567A2" w:rsidRPr="00247126">
        <w:instrText xml:space="preserve"> \* MERGEFORMAT </w:instrText>
      </w:r>
      <w:r w:rsidRPr="00247126">
        <w:fldChar w:fldCharType="separate"/>
      </w:r>
      <w:r w:rsidR="00151E03" w:rsidRPr="00247126">
        <w:t>Table 18</w:t>
      </w:r>
      <w:r w:rsidRPr="00247126">
        <w:fldChar w:fldCharType="end"/>
      </w:r>
      <w:r w:rsidRPr="00247126">
        <w:t>.</w:t>
      </w:r>
    </w:p>
    <w:p w14:paraId="038F447F" w14:textId="259DD2DF" w:rsidR="005027B6" w:rsidRPr="00247126" w:rsidRDefault="005027B6" w:rsidP="005027B6">
      <w:r w:rsidRPr="00247126">
        <w:t>When removing the differential effect for each component of the primary outcome in-turn, the ICER was highest when no difference in death from a cardiac cause was considered ($</w:t>
      </w:r>
      <w:r w:rsidR="00D80B4D" w:rsidRPr="00247126">
        <w:rPr>
          <w:b/>
          <w:bCs/>
        </w:rPr>
        <w:t>Redacted</w:t>
      </w:r>
      <w:r w:rsidRPr="00247126">
        <w:t xml:space="preserve"> per QALY gained, </w:t>
      </w:r>
      <w:r w:rsidRPr="00247126">
        <w:fldChar w:fldCharType="begin"/>
      </w:r>
      <w:r w:rsidRPr="00247126">
        <w:instrText xml:space="preserve"> REF _Ref163054732 \h </w:instrText>
      </w:r>
      <w:r w:rsidR="00C567A2" w:rsidRPr="00247126">
        <w:instrText xml:space="preserve"> \* MERGEFORMAT </w:instrText>
      </w:r>
      <w:r w:rsidRPr="00247126">
        <w:fldChar w:fldCharType="separate"/>
      </w:r>
      <w:r w:rsidR="00151E03" w:rsidRPr="00247126">
        <w:t>Table 18</w:t>
      </w:r>
      <w:r w:rsidRPr="00247126">
        <w:fldChar w:fldCharType="end"/>
      </w:r>
      <w:r w:rsidRPr="00247126">
        <w:t xml:space="preserve">). </w:t>
      </w:r>
      <w:r w:rsidR="00822182" w:rsidRPr="00247126">
        <w:t>R</w:t>
      </w:r>
      <w:r w:rsidRPr="00247126">
        <w:t xml:space="preserve">emoving a difference based on target lesion MI, </w:t>
      </w:r>
      <w:proofErr w:type="gramStart"/>
      <w:r w:rsidRPr="00247126">
        <w:t>ischaemia-driven</w:t>
      </w:r>
      <w:proofErr w:type="gramEnd"/>
      <w:r w:rsidRPr="00247126">
        <w:t xml:space="preserve"> TLR, or stent thrombosis had a much less pronounced effect on the ICERs (range $</w:t>
      </w:r>
      <w:r w:rsidR="00D80B4D" w:rsidRPr="00247126">
        <w:rPr>
          <w:b/>
          <w:bCs/>
        </w:rPr>
        <w:t>Redacted</w:t>
      </w:r>
      <w:r w:rsidRPr="00247126">
        <w:t xml:space="preserve"> to $</w:t>
      </w:r>
      <w:r w:rsidR="00D80B4D" w:rsidRPr="00247126">
        <w:rPr>
          <w:b/>
          <w:bCs/>
        </w:rPr>
        <w:t>Redacted</w:t>
      </w:r>
      <w:r w:rsidRPr="00247126">
        <w:t xml:space="preserve"> per QALY gained).</w:t>
      </w:r>
    </w:p>
    <w:p w14:paraId="2A4372D6" w14:textId="0415FB15" w:rsidR="005027B6" w:rsidRPr="00247126" w:rsidRDefault="005027B6" w:rsidP="005027B6">
      <w:pPr>
        <w:pStyle w:val="Caption"/>
      </w:pPr>
      <w:bookmarkStart w:id="45" w:name="_Ref163054732"/>
      <w:r w:rsidRPr="00247126">
        <w:t>Table </w:t>
      </w:r>
      <w:r w:rsidRPr="00247126">
        <w:fldChar w:fldCharType="begin"/>
      </w:r>
      <w:r w:rsidRPr="00247126">
        <w:instrText xml:space="preserve"> SEQ Table \* ARABIC </w:instrText>
      </w:r>
      <w:r w:rsidRPr="00247126">
        <w:fldChar w:fldCharType="separate"/>
      </w:r>
      <w:r w:rsidR="00151E03" w:rsidRPr="00247126">
        <w:rPr>
          <w:noProof/>
        </w:rPr>
        <w:t>18</w:t>
      </w:r>
      <w:r w:rsidRPr="00247126">
        <w:rPr>
          <w:noProof/>
        </w:rPr>
        <w:fldChar w:fldCharType="end"/>
      </w:r>
      <w:bookmarkEnd w:id="45"/>
      <w:r w:rsidRPr="00247126">
        <w:tab/>
        <w:t>Selected sensitivity analyses – bifurcation subpopulation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Selected sensitivity analyses – bifurcation subpopulation"/>
        <w:tblDescription w:val="This table summarises selected sensitivity analyses for the bifurcation subpopulation."/>
      </w:tblPr>
      <w:tblGrid>
        <w:gridCol w:w="1701"/>
        <w:gridCol w:w="3826"/>
        <w:gridCol w:w="1163"/>
        <w:gridCol w:w="1163"/>
        <w:gridCol w:w="1163"/>
      </w:tblGrid>
      <w:tr w:rsidR="005027B6" w:rsidRPr="00247126" w14:paraId="5C25C538" w14:textId="77777777">
        <w:trPr>
          <w:cantSplit/>
          <w:tblHeader/>
        </w:trPr>
        <w:tc>
          <w:tcPr>
            <w:tcW w:w="943" w:type="pct"/>
            <w:shd w:val="clear" w:color="auto" w:fill="FFFFFF"/>
          </w:tcPr>
          <w:p w14:paraId="78994625" w14:textId="77777777" w:rsidR="005027B6" w:rsidRPr="00247126" w:rsidRDefault="005027B6">
            <w:pPr>
              <w:pStyle w:val="In-tableHeading"/>
              <w:spacing w:before="120" w:after="60"/>
            </w:pPr>
            <w:r w:rsidRPr="00247126">
              <w:t>Tested variable</w:t>
            </w:r>
          </w:p>
        </w:tc>
        <w:tc>
          <w:tcPr>
            <w:tcW w:w="2122" w:type="pct"/>
            <w:shd w:val="clear" w:color="auto" w:fill="FFFFFF"/>
          </w:tcPr>
          <w:p w14:paraId="2B24E172" w14:textId="77777777" w:rsidR="005027B6" w:rsidRPr="00247126" w:rsidRDefault="005027B6">
            <w:pPr>
              <w:pStyle w:val="In-tableHeading"/>
              <w:spacing w:before="120" w:after="60"/>
            </w:pPr>
            <w:r w:rsidRPr="00247126">
              <w:t>Input</w:t>
            </w:r>
          </w:p>
        </w:tc>
        <w:tc>
          <w:tcPr>
            <w:tcW w:w="645" w:type="pct"/>
            <w:shd w:val="clear" w:color="auto" w:fill="FFFFFF"/>
          </w:tcPr>
          <w:p w14:paraId="40E98A63" w14:textId="77777777" w:rsidR="005027B6" w:rsidRPr="00247126" w:rsidRDefault="005027B6">
            <w:pPr>
              <w:pStyle w:val="In-tableHeading"/>
              <w:spacing w:before="120" w:after="60"/>
              <w:jc w:val="center"/>
            </w:pPr>
            <w:r w:rsidRPr="00247126">
              <w:t>Incremental cost</w:t>
            </w:r>
          </w:p>
        </w:tc>
        <w:tc>
          <w:tcPr>
            <w:tcW w:w="645" w:type="pct"/>
            <w:shd w:val="clear" w:color="auto" w:fill="FFFFFF"/>
          </w:tcPr>
          <w:p w14:paraId="5A6EC5BD" w14:textId="77777777" w:rsidR="005027B6" w:rsidRPr="00247126" w:rsidRDefault="005027B6">
            <w:pPr>
              <w:pStyle w:val="In-tableHeading"/>
              <w:spacing w:before="120" w:after="60"/>
              <w:jc w:val="center"/>
            </w:pPr>
            <w:r w:rsidRPr="00247126">
              <w:t>Incremental QALYs</w:t>
            </w:r>
          </w:p>
        </w:tc>
        <w:tc>
          <w:tcPr>
            <w:tcW w:w="645" w:type="pct"/>
            <w:shd w:val="clear" w:color="auto" w:fill="FFFFFF"/>
            <w:vAlign w:val="center"/>
          </w:tcPr>
          <w:p w14:paraId="66A4D254" w14:textId="77777777" w:rsidR="005027B6" w:rsidRPr="00247126" w:rsidRDefault="005027B6">
            <w:pPr>
              <w:pStyle w:val="In-tableHeading"/>
              <w:spacing w:before="120" w:after="60"/>
              <w:jc w:val="center"/>
            </w:pPr>
            <w:r w:rsidRPr="00247126">
              <w:t>ICER</w:t>
            </w:r>
          </w:p>
        </w:tc>
      </w:tr>
      <w:tr w:rsidR="005027B6" w:rsidRPr="00247126" w14:paraId="5EF40187" w14:textId="77777777">
        <w:trPr>
          <w:cantSplit/>
        </w:trPr>
        <w:tc>
          <w:tcPr>
            <w:tcW w:w="943" w:type="pct"/>
            <w:tcBorders>
              <w:bottom w:val="single" w:sz="4" w:space="0" w:color="auto"/>
            </w:tcBorders>
            <w:shd w:val="clear" w:color="auto" w:fill="auto"/>
          </w:tcPr>
          <w:p w14:paraId="300BD3FB" w14:textId="77777777" w:rsidR="005027B6" w:rsidRPr="00247126" w:rsidRDefault="005027B6">
            <w:pPr>
              <w:pStyle w:val="TableText"/>
            </w:pPr>
            <w:r w:rsidRPr="00247126">
              <w:t>Base case analysis</w:t>
            </w:r>
          </w:p>
        </w:tc>
        <w:tc>
          <w:tcPr>
            <w:tcW w:w="2122" w:type="pct"/>
          </w:tcPr>
          <w:p w14:paraId="50D00778" w14:textId="77777777" w:rsidR="005027B6" w:rsidRPr="00247126" w:rsidRDefault="005027B6">
            <w:pPr>
              <w:pStyle w:val="TableText"/>
            </w:pPr>
            <w:r w:rsidRPr="00247126">
              <w:t>-</w:t>
            </w:r>
          </w:p>
        </w:tc>
        <w:tc>
          <w:tcPr>
            <w:tcW w:w="645" w:type="pct"/>
            <w:shd w:val="clear" w:color="auto" w:fill="auto"/>
          </w:tcPr>
          <w:p w14:paraId="57BB64C7" w14:textId="32AF7155" w:rsidR="005027B6" w:rsidRPr="00247126" w:rsidRDefault="005027B6">
            <w:pPr>
              <w:pStyle w:val="TableText"/>
              <w:jc w:val="center"/>
            </w:pPr>
            <w:r w:rsidRPr="00247126">
              <w:t>$</w:t>
            </w:r>
            <w:r w:rsidR="00B77E73" w:rsidRPr="00247126">
              <w:rPr>
                <w:b/>
                <w:bCs/>
              </w:rPr>
              <w:t>Redacted</w:t>
            </w:r>
          </w:p>
        </w:tc>
        <w:tc>
          <w:tcPr>
            <w:tcW w:w="645" w:type="pct"/>
            <w:shd w:val="clear" w:color="auto" w:fill="auto"/>
          </w:tcPr>
          <w:p w14:paraId="4B160C7F" w14:textId="77777777" w:rsidR="005027B6" w:rsidRPr="00247126" w:rsidRDefault="005027B6">
            <w:pPr>
              <w:pStyle w:val="TableText"/>
              <w:jc w:val="center"/>
            </w:pPr>
            <w:r w:rsidRPr="00247126">
              <w:t>0.1286</w:t>
            </w:r>
          </w:p>
        </w:tc>
        <w:tc>
          <w:tcPr>
            <w:tcW w:w="645" w:type="pct"/>
            <w:shd w:val="clear" w:color="auto" w:fill="auto"/>
          </w:tcPr>
          <w:p w14:paraId="27EA34B0" w14:textId="5D6FE5F7" w:rsidR="005027B6" w:rsidRPr="00247126" w:rsidRDefault="00B77E73">
            <w:pPr>
              <w:pStyle w:val="TableText"/>
              <w:jc w:val="center"/>
            </w:pPr>
            <w:r w:rsidRPr="00247126">
              <w:t>$</w:t>
            </w:r>
            <w:r w:rsidRPr="00247126">
              <w:rPr>
                <w:b/>
                <w:bCs/>
              </w:rPr>
              <w:t>Redacted</w:t>
            </w:r>
          </w:p>
        </w:tc>
      </w:tr>
      <w:tr w:rsidR="005027B6" w:rsidRPr="00247126" w14:paraId="14B56631" w14:textId="77777777">
        <w:trPr>
          <w:cantSplit/>
        </w:trPr>
        <w:tc>
          <w:tcPr>
            <w:tcW w:w="943" w:type="pct"/>
            <w:tcBorders>
              <w:bottom w:val="nil"/>
            </w:tcBorders>
            <w:shd w:val="clear" w:color="auto" w:fill="auto"/>
          </w:tcPr>
          <w:p w14:paraId="51EB7DB8" w14:textId="77777777" w:rsidR="005027B6" w:rsidRPr="00247126" w:rsidRDefault="005027B6">
            <w:pPr>
              <w:pStyle w:val="TableText"/>
            </w:pPr>
            <w:r w:rsidRPr="00247126">
              <w:t>Model duration</w:t>
            </w:r>
          </w:p>
        </w:tc>
        <w:tc>
          <w:tcPr>
            <w:tcW w:w="2122" w:type="pct"/>
          </w:tcPr>
          <w:p w14:paraId="5242E857" w14:textId="77777777" w:rsidR="005027B6" w:rsidRPr="00247126" w:rsidRDefault="005027B6">
            <w:pPr>
              <w:pStyle w:val="TableText"/>
            </w:pPr>
            <w:r w:rsidRPr="00247126">
              <w:t>2-year analysis</w:t>
            </w:r>
          </w:p>
        </w:tc>
        <w:tc>
          <w:tcPr>
            <w:tcW w:w="645" w:type="pct"/>
            <w:shd w:val="clear" w:color="auto" w:fill="auto"/>
          </w:tcPr>
          <w:p w14:paraId="6BD82C0B" w14:textId="28D62D4B" w:rsidR="005027B6" w:rsidRPr="00247126" w:rsidRDefault="005027B6">
            <w:pPr>
              <w:pStyle w:val="TableText"/>
              <w:jc w:val="center"/>
            </w:pPr>
            <w:r w:rsidRPr="00247126">
              <w:t>$</w:t>
            </w:r>
            <w:r w:rsidR="00B77E73" w:rsidRPr="00247126">
              <w:rPr>
                <w:b/>
                <w:bCs/>
              </w:rPr>
              <w:t>Redacted</w:t>
            </w:r>
          </w:p>
        </w:tc>
        <w:tc>
          <w:tcPr>
            <w:tcW w:w="645" w:type="pct"/>
            <w:shd w:val="clear" w:color="auto" w:fill="auto"/>
          </w:tcPr>
          <w:p w14:paraId="5F1E850D" w14:textId="77777777" w:rsidR="005027B6" w:rsidRPr="00247126" w:rsidRDefault="005027B6">
            <w:pPr>
              <w:pStyle w:val="TableText"/>
              <w:jc w:val="center"/>
            </w:pPr>
            <w:r w:rsidRPr="00247126">
              <w:t>0.0219</w:t>
            </w:r>
          </w:p>
        </w:tc>
        <w:tc>
          <w:tcPr>
            <w:tcW w:w="645" w:type="pct"/>
            <w:shd w:val="clear" w:color="auto" w:fill="auto"/>
          </w:tcPr>
          <w:p w14:paraId="30E322A8" w14:textId="3B9453B0" w:rsidR="005027B6" w:rsidRPr="00247126" w:rsidRDefault="00B77E73">
            <w:pPr>
              <w:pStyle w:val="TableText"/>
              <w:jc w:val="center"/>
            </w:pPr>
            <w:r w:rsidRPr="00247126">
              <w:t>$</w:t>
            </w:r>
            <w:r w:rsidRPr="00247126">
              <w:rPr>
                <w:b/>
                <w:bCs/>
              </w:rPr>
              <w:t>Redacted</w:t>
            </w:r>
          </w:p>
        </w:tc>
      </w:tr>
      <w:tr w:rsidR="005027B6" w:rsidRPr="00247126" w14:paraId="3ADAF8FD" w14:textId="77777777">
        <w:trPr>
          <w:cantSplit/>
        </w:trPr>
        <w:tc>
          <w:tcPr>
            <w:tcW w:w="943" w:type="pct"/>
            <w:tcBorders>
              <w:top w:val="nil"/>
              <w:bottom w:val="nil"/>
            </w:tcBorders>
            <w:shd w:val="clear" w:color="auto" w:fill="auto"/>
          </w:tcPr>
          <w:p w14:paraId="0E1E3381" w14:textId="77777777" w:rsidR="005027B6" w:rsidRPr="00247126" w:rsidRDefault="005027B6">
            <w:pPr>
              <w:pStyle w:val="TableText"/>
            </w:pPr>
          </w:p>
        </w:tc>
        <w:tc>
          <w:tcPr>
            <w:tcW w:w="2122" w:type="pct"/>
          </w:tcPr>
          <w:p w14:paraId="37AA9D34" w14:textId="77777777" w:rsidR="005027B6" w:rsidRPr="00247126" w:rsidRDefault="005027B6">
            <w:pPr>
              <w:pStyle w:val="TableText"/>
            </w:pPr>
            <w:r w:rsidRPr="00247126">
              <w:t xml:space="preserve">5-year </w:t>
            </w:r>
            <w:proofErr w:type="spellStart"/>
            <w:r w:rsidRPr="00247126">
              <w:t>analysis</w:t>
            </w:r>
            <w:r w:rsidRPr="00247126">
              <w:rPr>
                <w:vertAlign w:val="superscript"/>
              </w:rPr>
              <w:t>a</w:t>
            </w:r>
            <w:proofErr w:type="spellEnd"/>
          </w:p>
        </w:tc>
        <w:tc>
          <w:tcPr>
            <w:tcW w:w="645" w:type="pct"/>
            <w:shd w:val="clear" w:color="auto" w:fill="auto"/>
          </w:tcPr>
          <w:p w14:paraId="275D965B" w14:textId="445B5EAE" w:rsidR="005027B6" w:rsidRPr="00247126" w:rsidRDefault="005027B6">
            <w:pPr>
              <w:pStyle w:val="TableText"/>
              <w:jc w:val="center"/>
            </w:pPr>
            <w:r w:rsidRPr="00247126">
              <w:t>$</w:t>
            </w:r>
            <w:r w:rsidR="00B77E73" w:rsidRPr="00247126">
              <w:rPr>
                <w:b/>
                <w:bCs/>
              </w:rPr>
              <w:t>Redacted</w:t>
            </w:r>
          </w:p>
        </w:tc>
        <w:tc>
          <w:tcPr>
            <w:tcW w:w="645" w:type="pct"/>
            <w:shd w:val="clear" w:color="auto" w:fill="auto"/>
          </w:tcPr>
          <w:p w14:paraId="4C5DD8F4" w14:textId="77777777" w:rsidR="005027B6" w:rsidRPr="00247126" w:rsidRDefault="005027B6">
            <w:pPr>
              <w:pStyle w:val="TableText"/>
              <w:jc w:val="center"/>
            </w:pPr>
            <w:r w:rsidRPr="00247126">
              <w:t>0.0481</w:t>
            </w:r>
          </w:p>
        </w:tc>
        <w:tc>
          <w:tcPr>
            <w:tcW w:w="645" w:type="pct"/>
            <w:shd w:val="clear" w:color="auto" w:fill="auto"/>
          </w:tcPr>
          <w:p w14:paraId="4758F5D0" w14:textId="004C0797" w:rsidR="005027B6" w:rsidRPr="00247126" w:rsidRDefault="00B77E73">
            <w:pPr>
              <w:pStyle w:val="TableText"/>
              <w:jc w:val="center"/>
            </w:pPr>
            <w:r w:rsidRPr="00247126">
              <w:t>$</w:t>
            </w:r>
            <w:r w:rsidRPr="00247126">
              <w:rPr>
                <w:b/>
                <w:bCs/>
              </w:rPr>
              <w:t>Redacted</w:t>
            </w:r>
          </w:p>
        </w:tc>
      </w:tr>
      <w:tr w:rsidR="005027B6" w:rsidRPr="00247126" w14:paraId="2D4A06F4" w14:textId="77777777">
        <w:trPr>
          <w:cantSplit/>
        </w:trPr>
        <w:tc>
          <w:tcPr>
            <w:tcW w:w="943" w:type="pct"/>
            <w:tcBorders>
              <w:top w:val="nil"/>
            </w:tcBorders>
            <w:shd w:val="clear" w:color="auto" w:fill="auto"/>
          </w:tcPr>
          <w:p w14:paraId="7D8EE63C" w14:textId="77777777" w:rsidR="005027B6" w:rsidRPr="00247126" w:rsidRDefault="005027B6">
            <w:pPr>
              <w:pStyle w:val="TableText"/>
            </w:pPr>
          </w:p>
        </w:tc>
        <w:tc>
          <w:tcPr>
            <w:tcW w:w="2122" w:type="pct"/>
          </w:tcPr>
          <w:p w14:paraId="6E239450" w14:textId="77777777" w:rsidR="005027B6" w:rsidRPr="00247126" w:rsidRDefault="005027B6">
            <w:pPr>
              <w:pStyle w:val="TableText"/>
            </w:pPr>
            <w:r w:rsidRPr="00247126">
              <w:t xml:space="preserve">10-year </w:t>
            </w:r>
            <w:proofErr w:type="spellStart"/>
            <w:r w:rsidRPr="00247126">
              <w:t>analysis</w:t>
            </w:r>
            <w:r w:rsidRPr="00247126">
              <w:rPr>
                <w:vertAlign w:val="superscript"/>
              </w:rPr>
              <w:t>a</w:t>
            </w:r>
            <w:proofErr w:type="spellEnd"/>
          </w:p>
        </w:tc>
        <w:tc>
          <w:tcPr>
            <w:tcW w:w="645" w:type="pct"/>
            <w:shd w:val="clear" w:color="auto" w:fill="auto"/>
          </w:tcPr>
          <w:p w14:paraId="65FDBF77" w14:textId="7FCBDF2E" w:rsidR="005027B6" w:rsidRPr="00247126" w:rsidRDefault="00B77E73">
            <w:pPr>
              <w:pStyle w:val="TableText"/>
              <w:jc w:val="center"/>
            </w:pPr>
            <w:r w:rsidRPr="00247126">
              <w:t>$</w:t>
            </w:r>
            <w:r w:rsidRPr="00247126">
              <w:rPr>
                <w:b/>
                <w:bCs/>
              </w:rPr>
              <w:t>Redacted</w:t>
            </w:r>
          </w:p>
        </w:tc>
        <w:tc>
          <w:tcPr>
            <w:tcW w:w="645" w:type="pct"/>
            <w:shd w:val="clear" w:color="auto" w:fill="auto"/>
          </w:tcPr>
          <w:p w14:paraId="52A7228E" w14:textId="77777777" w:rsidR="005027B6" w:rsidRPr="00247126" w:rsidRDefault="005027B6">
            <w:pPr>
              <w:pStyle w:val="TableText"/>
              <w:jc w:val="center"/>
            </w:pPr>
            <w:r w:rsidRPr="00247126">
              <w:t>0.0821</w:t>
            </w:r>
          </w:p>
        </w:tc>
        <w:tc>
          <w:tcPr>
            <w:tcW w:w="645" w:type="pct"/>
            <w:shd w:val="clear" w:color="auto" w:fill="auto"/>
          </w:tcPr>
          <w:p w14:paraId="70E571C2" w14:textId="4B3DD1CF" w:rsidR="005027B6" w:rsidRPr="00247126" w:rsidRDefault="00B77E73">
            <w:pPr>
              <w:pStyle w:val="TableText"/>
              <w:jc w:val="center"/>
            </w:pPr>
            <w:r w:rsidRPr="00247126">
              <w:t>$</w:t>
            </w:r>
            <w:r w:rsidRPr="00247126">
              <w:rPr>
                <w:b/>
                <w:bCs/>
              </w:rPr>
              <w:t>Redacted</w:t>
            </w:r>
          </w:p>
        </w:tc>
      </w:tr>
      <w:tr w:rsidR="005027B6" w:rsidRPr="00247126" w14:paraId="10934C54" w14:textId="77777777">
        <w:trPr>
          <w:cantSplit/>
        </w:trPr>
        <w:tc>
          <w:tcPr>
            <w:tcW w:w="943" w:type="pct"/>
            <w:tcBorders>
              <w:bottom w:val="nil"/>
            </w:tcBorders>
            <w:shd w:val="clear" w:color="auto" w:fill="auto"/>
          </w:tcPr>
          <w:p w14:paraId="0BF992A4" w14:textId="77777777" w:rsidR="005027B6" w:rsidRPr="00247126" w:rsidRDefault="005027B6">
            <w:pPr>
              <w:pStyle w:val="TableText"/>
            </w:pPr>
            <w:r w:rsidRPr="00247126">
              <w:t>Secondary endpoint inclusion</w:t>
            </w:r>
          </w:p>
        </w:tc>
        <w:tc>
          <w:tcPr>
            <w:tcW w:w="2122" w:type="pct"/>
          </w:tcPr>
          <w:p w14:paraId="007B4272" w14:textId="77777777" w:rsidR="005027B6" w:rsidRPr="00247126" w:rsidRDefault="005027B6">
            <w:pPr>
              <w:pStyle w:val="TableText"/>
            </w:pPr>
            <w:r w:rsidRPr="00247126">
              <w:t>No difference in MI (risk equal to AG only)</w:t>
            </w:r>
          </w:p>
        </w:tc>
        <w:tc>
          <w:tcPr>
            <w:tcW w:w="645" w:type="pct"/>
            <w:shd w:val="clear" w:color="auto" w:fill="auto"/>
          </w:tcPr>
          <w:p w14:paraId="13B0D0FB" w14:textId="1DA6E238" w:rsidR="005027B6" w:rsidRPr="00247126" w:rsidRDefault="00B77E73">
            <w:pPr>
              <w:pStyle w:val="TableText"/>
              <w:jc w:val="center"/>
            </w:pPr>
            <w:r w:rsidRPr="00247126">
              <w:t>$</w:t>
            </w:r>
            <w:r w:rsidRPr="00247126">
              <w:rPr>
                <w:b/>
                <w:bCs/>
              </w:rPr>
              <w:t>Redacted</w:t>
            </w:r>
          </w:p>
        </w:tc>
        <w:tc>
          <w:tcPr>
            <w:tcW w:w="645" w:type="pct"/>
            <w:shd w:val="clear" w:color="auto" w:fill="auto"/>
          </w:tcPr>
          <w:p w14:paraId="014DDE31" w14:textId="77777777" w:rsidR="005027B6" w:rsidRPr="00247126" w:rsidRDefault="005027B6">
            <w:pPr>
              <w:pStyle w:val="TableText"/>
              <w:jc w:val="center"/>
            </w:pPr>
            <w:r w:rsidRPr="00247126">
              <w:t>0.1123</w:t>
            </w:r>
          </w:p>
        </w:tc>
        <w:tc>
          <w:tcPr>
            <w:tcW w:w="645" w:type="pct"/>
            <w:shd w:val="clear" w:color="auto" w:fill="auto"/>
          </w:tcPr>
          <w:p w14:paraId="2351B4D6" w14:textId="26414707" w:rsidR="005027B6" w:rsidRPr="00247126" w:rsidRDefault="00B77E73">
            <w:pPr>
              <w:pStyle w:val="TableText"/>
              <w:jc w:val="center"/>
            </w:pPr>
            <w:r w:rsidRPr="00247126">
              <w:t>$</w:t>
            </w:r>
            <w:r w:rsidRPr="00247126">
              <w:rPr>
                <w:b/>
                <w:bCs/>
              </w:rPr>
              <w:t>Redacted</w:t>
            </w:r>
          </w:p>
        </w:tc>
      </w:tr>
      <w:tr w:rsidR="005027B6" w:rsidRPr="00247126" w14:paraId="11DEA56C" w14:textId="77777777">
        <w:trPr>
          <w:cantSplit/>
        </w:trPr>
        <w:tc>
          <w:tcPr>
            <w:tcW w:w="943" w:type="pct"/>
            <w:tcBorders>
              <w:top w:val="nil"/>
              <w:bottom w:val="nil"/>
            </w:tcBorders>
            <w:shd w:val="clear" w:color="auto" w:fill="auto"/>
          </w:tcPr>
          <w:p w14:paraId="7DE3D9ED" w14:textId="77777777" w:rsidR="005027B6" w:rsidRPr="00247126" w:rsidRDefault="005027B6">
            <w:pPr>
              <w:pStyle w:val="TableText"/>
            </w:pPr>
          </w:p>
        </w:tc>
        <w:tc>
          <w:tcPr>
            <w:tcW w:w="2122" w:type="pct"/>
          </w:tcPr>
          <w:p w14:paraId="292C47C5" w14:textId="77777777" w:rsidR="005027B6" w:rsidRPr="00247126" w:rsidRDefault="005027B6">
            <w:pPr>
              <w:pStyle w:val="TableText"/>
            </w:pPr>
            <w:r w:rsidRPr="00247126">
              <w:t>No difference in TLR (risk equal to AG only)</w:t>
            </w:r>
          </w:p>
        </w:tc>
        <w:tc>
          <w:tcPr>
            <w:tcW w:w="645" w:type="pct"/>
            <w:shd w:val="clear" w:color="auto" w:fill="auto"/>
          </w:tcPr>
          <w:p w14:paraId="22CA0EFC" w14:textId="314E925D" w:rsidR="005027B6" w:rsidRPr="00247126" w:rsidRDefault="00B77E73">
            <w:pPr>
              <w:pStyle w:val="TableText"/>
              <w:jc w:val="center"/>
            </w:pPr>
            <w:r w:rsidRPr="00247126">
              <w:t>$</w:t>
            </w:r>
            <w:r w:rsidRPr="00247126">
              <w:rPr>
                <w:b/>
                <w:bCs/>
              </w:rPr>
              <w:t>Redacted</w:t>
            </w:r>
          </w:p>
        </w:tc>
        <w:tc>
          <w:tcPr>
            <w:tcW w:w="645" w:type="pct"/>
            <w:shd w:val="clear" w:color="auto" w:fill="auto"/>
          </w:tcPr>
          <w:p w14:paraId="3CAD98C9" w14:textId="77777777" w:rsidR="005027B6" w:rsidRPr="00247126" w:rsidRDefault="005027B6">
            <w:pPr>
              <w:pStyle w:val="TableText"/>
              <w:jc w:val="center"/>
            </w:pPr>
            <w:r w:rsidRPr="00247126">
              <w:t>0.1270</w:t>
            </w:r>
          </w:p>
        </w:tc>
        <w:tc>
          <w:tcPr>
            <w:tcW w:w="645" w:type="pct"/>
            <w:shd w:val="clear" w:color="auto" w:fill="auto"/>
          </w:tcPr>
          <w:p w14:paraId="6ACB3C8C" w14:textId="2E51C3D1" w:rsidR="005027B6" w:rsidRPr="00247126" w:rsidRDefault="00B77E73">
            <w:pPr>
              <w:pStyle w:val="TableText"/>
              <w:jc w:val="center"/>
            </w:pPr>
            <w:r w:rsidRPr="00247126">
              <w:t>$</w:t>
            </w:r>
            <w:r w:rsidRPr="00247126">
              <w:rPr>
                <w:b/>
                <w:bCs/>
              </w:rPr>
              <w:t>Redacted</w:t>
            </w:r>
          </w:p>
        </w:tc>
      </w:tr>
      <w:tr w:rsidR="005027B6" w:rsidRPr="00247126" w14:paraId="4908F945" w14:textId="77777777" w:rsidTr="00CA5D4C">
        <w:trPr>
          <w:cantSplit/>
        </w:trPr>
        <w:tc>
          <w:tcPr>
            <w:tcW w:w="943" w:type="pct"/>
            <w:tcBorders>
              <w:top w:val="nil"/>
              <w:bottom w:val="nil"/>
            </w:tcBorders>
            <w:shd w:val="clear" w:color="auto" w:fill="auto"/>
          </w:tcPr>
          <w:p w14:paraId="257CDCB4" w14:textId="77777777" w:rsidR="005027B6" w:rsidRPr="00247126" w:rsidRDefault="005027B6">
            <w:pPr>
              <w:pStyle w:val="TableText"/>
            </w:pPr>
          </w:p>
        </w:tc>
        <w:tc>
          <w:tcPr>
            <w:tcW w:w="2122" w:type="pct"/>
          </w:tcPr>
          <w:p w14:paraId="422BAF45" w14:textId="77777777" w:rsidR="005027B6" w:rsidRPr="00247126" w:rsidRDefault="005027B6">
            <w:pPr>
              <w:pStyle w:val="TableText"/>
            </w:pPr>
            <w:r w:rsidRPr="00247126">
              <w:t>No difference in ST (risk equal to AG only)</w:t>
            </w:r>
          </w:p>
        </w:tc>
        <w:tc>
          <w:tcPr>
            <w:tcW w:w="645" w:type="pct"/>
            <w:shd w:val="clear" w:color="auto" w:fill="auto"/>
          </w:tcPr>
          <w:p w14:paraId="20EFC7A7" w14:textId="11D1EE16" w:rsidR="005027B6" w:rsidRPr="00247126" w:rsidRDefault="00B77E73">
            <w:pPr>
              <w:pStyle w:val="TableText"/>
              <w:jc w:val="center"/>
            </w:pPr>
            <w:r w:rsidRPr="00247126">
              <w:t>$</w:t>
            </w:r>
            <w:r w:rsidRPr="00247126">
              <w:rPr>
                <w:b/>
                <w:bCs/>
              </w:rPr>
              <w:t>Redacted</w:t>
            </w:r>
          </w:p>
        </w:tc>
        <w:tc>
          <w:tcPr>
            <w:tcW w:w="645" w:type="pct"/>
            <w:shd w:val="clear" w:color="auto" w:fill="auto"/>
          </w:tcPr>
          <w:p w14:paraId="29CB267D" w14:textId="77777777" w:rsidR="005027B6" w:rsidRPr="00247126" w:rsidRDefault="005027B6">
            <w:pPr>
              <w:pStyle w:val="TableText"/>
              <w:jc w:val="center"/>
            </w:pPr>
            <w:r w:rsidRPr="00247126">
              <w:t>0.1263</w:t>
            </w:r>
          </w:p>
        </w:tc>
        <w:tc>
          <w:tcPr>
            <w:tcW w:w="645" w:type="pct"/>
            <w:shd w:val="clear" w:color="auto" w:fill="auto"/>
          </w:tcPr>
          <w:p w14:paraId="7190548F" w14:textId="3DA78E92" w:rsidR="005027B6" w:rsidRPr="00247126" w:rsidRDefault="00B77E73">
            <w:pPr>
              <w:pStyle w:val="TableText"/>
              <w:jc w:val="center"/>
            </w:pPr>
            <w:r w:rsidRPr="00247126">
              <w:t>$</w:t>
            </w:r>
            <w:r w:rsidRPr="00247126">
              <w:rPr>
                <w:b/>
                <w:bCs/>
              </w:rPr>
              <w:t>Redacted</w:t>
            </w:r>
          </w:p>
        </w:tc>
      </w:tr>
      <w:tr w:rsidR="005027B6" w:rsidRPr="00247126" w14:paraId="38CDD2F2" w14:textId="77777777" w:rsidTr="00CA5D4C">
        <w:trPr>
          <w:cantSplit/>
        </w:trPr>
        <w:tc>
          <w:tcPr>
            <w:tcW w:w="943" w:type="pct"/>
            <w:tcBorders>
              <w:top w:val="nil"/>
              <w:bottom w:val="single" w:sz="4" w:space="0" w:color="auto"/>
            </w:tcBorders>
            <w:shd w:val="clear" w:color="auto" w:fill="auto"/>
          </w:tcPr>
          <w:p w14:paraId="784FA7B3" w14:textId="77777777" w:rsidR="005027B6" w:rsidRPr="00247126" w:rsidRDefault="005027B6">
            <w:pPr>
              <w:pStyle w:val="TableText"/>
            </w:pPr>
          </w:p>
        </w:tc>
        <w:tc>
          <w:tcPr>
            <w:tcW w:w="2122" w:type="pct"/>
          </w:tcPr>
          <w:p w14:paraId="22E183DA" w14:textId="77777777" w:rsidR="005027B6" w:rsidRPr="00247126" w:rsidRDefault="005027B6">
            <w:pPr>
              <w:pStyle w:val="TableText"/>
            </w:pPr>
            <w:r w:rsidRPr="00247126">
              <w:t>No difference in CV death (risk equal to AG only)</w:t>
            </w:r>
          </w:p>
        </w:tc>
        <w:tc>
          <w:tcPr>
            <w:tcW w:w="645" w:type="pct"/>
            <w:shd w:val="clear" w:color="auto" w:fill="auto"/>
          </w:tcPr>
          <w:p w14:paraId="408C058E" w14:textId="601542F1" w:rsidR="005027B6" w:rsidRPr="00247126" w:rsidRDefault="00B77E73">
            <w:pPr>
              <w:pStyle w:val="TableText"/>
              <w:jc w:val="center"/>
            </w:pPr>
            <w:r w:rsidRPr="00247126">
              <w:t>$</w:t>
            </w:r>
            <w:r w:rsidRPr="00247126">
              <w:rPr>
                <w:b/>
                <w:bCs/>
              </w:rPr>
              <w:t>Redacted</w:t>
            </w:r>
          </w:p>
        </w:tc>
        <w:tc>
          <w:tcPr>
            <w:tcW w:w="645" w:type="pct"/>
            <w:shd w:val="clear" w:color="auto" w:fill="auto"/>
          </w:tcPr>
          <w:p w14:paraId="56BDFDBD" w14:textId="77777777" w:rsidR="005027B6" w:rsidRPr="00247126" w:rsidRDefault="005027B6">
            <w:pPr>
              <w:pStyle w:val="TableText"/>
              <w:jc w:val="center"/>
            </w:pPr>
            <w:r w:rsidRPr="00247126">
              <w:t>0.0195</w:t>
            </w:r>
          </w:p>
        </w:tc>
        <w:tc>
          <w:tcPr>
            <w:tcW w:w="645" w:type="pct"/>
            <w:shd w:val="clear" w:color="auto" w:fill="auto"/>
          </w:tcPr>
          <w:p w14:paraId="51BC1DBE" w14:textId="2AB5F177" w:rsidR="005027B6" w:rsidRPr="00247126" w:rsidRDefault="00B77E73">
            <w:pPr>
              <w:pStyle w:val="TableText"/>
              <w:jc w:val="center"/>
            </w:pPr>
            <w:r w:rsidRPr="00247126">
              <w:t>$</w:t>
            </w:r>
            <w:r w:rsidRPr="00247126">
              <w:rPr>
                <w:b/>
                <w:bCs/>
              </w:rPr>
              <w:t>Redacted</w:t>
            </w:r>
          </w:p>
        </w:tc>
      </w:tr>
    </w:tbl>
    <w:p w14:paraId="4B226E59" w14:textId="77777777" w:rsidR="005027B6" w:rsidRPr="00247126" w:rsidRDefault="005027B6" w:rsidP="009102DB">
      <w:pPr>
        <w:pStyle w:val="Tablenotes0"/>
        <w:rPr>
          <w:rFonts w:eastAsia="Calibri"/>
          <w:szCs w:val="20"/>
        </w:rPr>
      </w:pPr>
      <w:r w:rsidRPr="00247126">
        <w:t xml:space="preserve">AG = angiogram; CV = cardiovascular; ICER = incremental cost-effectiveness ratio; MI = myocardial infarction; </w:t>
      </w:r>
      <w:r w:rsidRPr="00247126">
        <w:rPr>
          <w:rFonts w:eastAsia="Calibri"/>
          <w:szCs w:val="20"/>
        </w:rPr>
        <w:t>QALY = quality-adjusted life year; ST = stent thrombosis; TLR = target lesion revascularisation.</w:t>
      </w:r>
    </w:p>
    <w:p w14:paraId="02F01D69" w14:textId="77777777" w:rsidR="005027B6" w:rsidRPr="00247126" w:rsidRDefault="005027B6" w:rsidP="009102DB">
      <w:pPr>
        <w:pStyle w:val="Tablenotes0"/>
        <w:rPr>
          <w:rFonts w:eastAsia="Calibri"/>
          <w:szCs w:val="20"/>
        </w:rPr>
      </w:pPr>
      <w:r w:rsidRPr="00247126">
        <w:rPr>
          <w:rFonts w:eastAsia="Calibri"/>
          <w:szCs w:val="20"/>
        </w:rPr>
        <w:t>Note: Duration of OCT benefits limited to the availability of trial data (= 2 years) under all scenarios.</w:t>
      </w:r>
    </w:p>
    <w:p w14:paraId="50A4E6C9" w14:textId="77777777" w:rsidR="005027B6" w:rsidRPr="00247126" w:rsidRDefault="005027B6" w:rsidP="009102DB">
      <w:pPr>
        <w:pStyle w:val="Tablenotes0"/>
        <w:rPr>
          <w:rFonts w:eastAsia="Calibri"/>
          <w:szCs w:val="20"/>
        </w:rPr>
      </w:pPr>
      <w:proofErr w:type="spellStart"/>
      <w:proofErr w:type="gramStart"/>
      <w:r w:rsidRPr="00247126">
        <w:rPr>
          <w:rFonts w:eastAsia="Calibri"/>
          <w:szCs w:val="20"/>
        </w:rPr>
        <w:t>a</w:t>
      </w:r>
      <w:proofErr w:type="spellEnd"/>
      <w:proofErr w:type="gramEnd"/>
      <w:r w:rsidRPr="00247126">
        <w:rPr>
          <w:rFonts w:eastAsia="Calibri"/>
          <w:szCs w:val="20"/>
        </w:rPr>
        <w:t xml:space="preserve"> Elevated risks of MI and/or death for ‘Alive post-MI’ and ‘Alive post-revascularisation’ applied to 5 years (= base case).</w:t>
      </w:r>
    </w:p>
    <w:p w14:paraId="61369C37" w14:textId="77777777" w:rsidR="005027B6" w:rsidRPr="00247126" w:rsidRDefault="005027B6" w:rsidP="009102DB">
      <w:pPr>
        <w:pStyle w:val="Tablenotes0"/>
      </w:pPr>
      <w:r w:rsidRPr="00247126">
        <w:t xml:space="preserve">Source: Table 96 and Table 97 of MSAC 1743 </w:t>
      </w:r>
      <w:proofErr w:type="spellStart"/>
      <w:r w:rsidRPr="00247126">
        <w:t>ADAR+in-line</w:t>
      </w:r>
      <w:proofErr w:type="spellEnd"/>
      <w:r w:rsidRPr="00247126">
        <w:t xml:space="preserve"> commentary, with commentary additions (sensitivity analyses relating to secondary endpoint inclusion).</w:t>
      </w:r>
    </w:p>
    <w:p w14:paraId="0713C9BE" w14:textId="77777777" w:rsidR="005027B6" w:rsidRPr="00247126" w:rsidRDefault="005027B6" w:rsidP="005027B6">
      <w:pPr>
        <w:pStyle w:val="Heading4"/>
      </w:pPr>
      <w:r w:rsidRPr="00247126">
        <w:lastRenderedPageBreak/>
        <w:t>Severe calcification subpopulation</w:t>
      </w:r>
    </w:p>
    <w:p w14:paraId="1D2F36BF" w14:textId="690AA4FC" w:rsidR="005027B6" w:rsidRPr="00247126" w:rsidRDefault="005027B6" w:rsidP="005027B6">
      <w:r w:rsidRPr="00247126">
        <w:t>Due to the small sample size and low event rates for the severely calcified lesion subpopulation of ILUMIEN IV (a total of 9 events were observed for the three component outcomes of TVF in the OCT arm), the ADAR used an alternative approach to generate event rates, whereby a ratio of the reported TVF rates between the long</w:t>
      </w:r>
      <w:r w:rsidR="00227868" w:rsidRPr="00247126">
        <w:t>/multiple</w:t>
      </w:r>
      <w:r w:rsidRPr="00247126">
        <w:t xml:space="preserve"> lesion and severe calcification subpopulations was calculated and applied to the available long</w:t>
      </w:r>
      <w:r w:rsidR="00CB4F0F" w:rsidRPr="00247126">
        <w:t>/multiple</w:t>
      </w:r>
      <w:r w:rsidRPr="00247126">
        <w:t xml:space="preserve"> lesion data. The ADAR acknowledge</w:t>
      </w:r>
      <w:r w:rsidR="00EB4669" w:rsidRPr="00247126">
        <w:t>d</w:t>
      </w:r>
      <w:r w:rsidRPr="00247126">
        <w:t xml:space="preserve"> that this approach is pragmatic, and primarily aimed at providing an ‘indicative ICER’ that is reflective of the favourable effect size observed for this subgroup on the primary endpoint.</w:t>
      </w:r>
    </w:p>
    <w:p w14:paraId="3754041F" w14:textId="36721F6E" w:rsidR="005027B6" w:rsidRPr="00247126" w:rsidRDefault="005027B6" w:rsidP="005027B6">
      <w:r w:rsidRPr="00247126">
        <w:t xml:space="preserve">The base case results for the severely calcified lesion subpopulation are shown in </w:t>
      </w:r>
      <w:r w:rsidRPr="00247126">
        <w:fldChar w:fldCharType="begin"/>
      </w:r>
      <w:r w:rsidRPr="00247126">
        <w:instrText xml:space="preserve"> REF _Ref163062225 \h </w:instrText>
      </w:r>
      <w:r w:rsidR="00C567A2" w:rsidRPr="00247126">
        <w:instrText xml:space="preserve"> \* MERGEFORMAT </w:instrText>
      </w:r>
      <w:r w:rsidRPr="00247126">
        <w:fldChar w:fldCharType="separate"/>
      </w:r>
      <w:r w:rsidR="00151E03" w:rsidRPr="00247126">
        <w:t>Table 19</w:t>
      </w:r>
      <w:r w:rsidRPr="00247126">
        <w:fldChar w:fldCharType="end"/>
      </w:r>
      <w:r w:rsidRPr="00247126">
        <w:t>. The commentary note</w:t>
      </w:r>
      <w:r w:rsidR="006B5F2E" w:rsidRPr="00247126">
        <w:t>d</w:t>
      </w:r>
      <w:r w:rsidRPr="00247126">
        <w:t xml:space="preserve"> that the ICER </w:t>
      </w:r>
      <w:r w:rsidR="006B5F2E" w:rsidRPr="00247126">
        <w:t>wa</w:t>
      </w:r>
      <w:r w:rsidRPr="00247126">
        <w:t xml:space="preserve">s subject to considerable uncertainty given the direction of any association </w:t>
      </w:r>
      <w:r w:rsidR="006B5F2E" w:rsidRPr="00247126">
        <w:t>wa</w:t>
      </w:r>
      <w:r w:rsidRPr="00247126">
        <w:t>s not statistically robust.</w:t>
      </w:r>
    </w:p>
    <w:p w14:paraId="2D2EDEB9" w14:textId="1B305C89" w:rsidR="005027B6" w:rsidRPr="00247126" w:rsidRDefault="005027B6" w:rsidP="005027B6">
      <w:pPr>
        <w:pStyle w:val="Caption"/>
      </w:pPr>
      <w:bookmarkStart w:id="46" w:name="_Ref163062225"/>
      <w:r w:rsidRPr="00247126">
        <w:t>Table </w:t>
      </w:r>
      <w:r w:rsidRPr="00247126">
        <w:fldChar w:fldCharType="begin"/>
      </w:r>
      <w:r w:rsidRPr="00247126">
        <w:instrText xml:space="preserve"> SEQ Table \* ARABIC </w:instrText>
      </w:r>
      <w:r w:rsidRPr="00247126">
        <w:fldChar w:fldCharType="separate"/>
      </w:r>
      <w:r w:rsidR="00151E03" w:rsidRPr="00247126">
        <w:rPr>
          <w:noProof/>
        </w:rPr>
        <w:t>19</w:t>
      </w:r>
      <w:r w:rsidRPr="00247126">
        <w:rPr>
          <w:noProof/>
        </w:rPr>
        <w:fldChar w:fldCharType="end"/>
      </w:r>
      <w:bookmarkEnd w:id="46"/>
      <w:r w:rsidRPr="00247126">
        <w:tab/>
        <w:t>Incremental cost-effectiveness ratio for OCT+AG versus AG alone – severe calcification subpopulation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Incremental cost-effectiveness ratio for OCT+AG versus AG alone – severe calcification subpopulation"/>
        <w:tblDescription w:val="This table presents the incremental cost-effectiveness ratio for OCT+AG versus AG alone in the severe calcification subpopulation."/>
      </w:tblPr>
      <w:tblGrid>
        <w:gridCol w:w="3540"/>
        <w:gridCol w:w="1700"/>
        <w:gridCol w:w="1563"/>
        <w:gridCol w:w="2213"/>
      </w:tblGrid>
      <w:tr w:rsidR="005027B6" w:rsidRPr="00247126" w14:paraId="03A56F6B" w14:textId="77777777">
        <w:trPr>
          <w:cantSplit/>
          <w:tblHeader/>
        </w:trPr>
        <w:tc>
          <w:tcPr>
            <w:tcW w:w="1963" w:type="pct"/>
            <w:shd w:val="clear" w:color="auto" w:fill="FFFFFF"/>
          </w:tcPr>
          <w:p w14:paraId="7A23214A" w14:textId="77777777" w:rsidR="005027B6" w:rsidRPr="00247126" w:rsidRDefault="005027B6">
            <w:pPr>
              <w:pStyle w:val="In-tableHeading"/>
              <w:spacing w:before="120" w:after="60"/>
            </w:pPr>
            <w:r w:rsidRPr="00247126">
              <w:t>Treatment strategy</w:t>
            </w:r>
          </w:p>
        </w:tc>
        <w:tc>
          <w:tcPr>
            <w:tcW w:w="943" w:type="pct"/>
            <w:shd w:val="clear" w:color="auto" w:fill="FFFFFF"/>
          </w:tcPr>
          <w:p w14:paraId="30C11C07" w14:textId="77777777" w:rsidR="005027B6" w:rsidRPr="00247126" w:rsidRDefault="005027B6">
            <w:pPr>
              <w:pStyle w:val="In-tableHeading"/>
              <w:spacing w:before="120" w:after="60"/>
              <w:jc w:val="center"/>
            </w:pPr>
            <w:r w:rsidRPr="00247126">
              <w:t>OCT+AG</w:t>
            </w:r>
          </w:p>
        </w:tc>
        <w:tc>
          <w:tcPr>
            <w:tcW w:w="867" w:type="pct"/>
            <w:shd w:val="clear" w:color="auto" w:fill="FFFFFF"/>
          </w:tcPr>
          <w:p w14:paraId="7B5D1407" w14:textId="77777777" w:rsidR="005027B6" w:rsidRPr="00247126" w:rsidRDefault="005027B6">
            <w:pPr>
              <w:pStyle w:val="In-tableHeading"/>
              <w:spacing w:before="120" w:after="60"/>
              <w:jc w:val="center"/>
            </w:pPr>
            <w:r w:rsidRPr="00247126">
              <w:t>AG alone</w:t>
            </w:r>
          </w:p>
        </w:tc>
        <w:tc>
          <w:tcPr>
            <w:tcW w:w="1227" w:type="pct"/>
            <w:shd w:val="clear" w:color="auto" w:fill="FFFFFF"/>
            <w:vAlign w:val="center"/>
          </w:tcPr>
          <w:p w14:paraId="3CD6486E" w14:textId="77777777" w:rsidR="005027B6" w:rsidRPr="00247126" w:rsidRDefault="005027B6">
            <w:pPr>
              <w:pStyle w:val="In-tableHeading"/>
              <w:spacing w:before="120" w:after="60"/>
              <w:jc w:val="center"/>
            </w:pPr>
            <w:r w:rsidRPr="00247126">
              <w:t>Difference</w:t>
            </w:r>
          </w:p>
        </w:tc>
      </w:tr>
      <w:tr w:rsidR="005027B6" w:rsidRPr="00247126" w14:paraId="75DE33A4" w14:textId="77777777">
        <w:trPr>
          <w:cantSplit/>
        </w:trPr>
        <w:tc>
          <w:tcPr>
            <w:tcW w:w="1963" w:type="pct"/>
            <w:shd w:val="clear" w:color="auto" w:fill="auto"/>
          </w:tcPr>
          <w:p w14:paraId="7CB00BF9" w14:textId="77777777" w:rsidR="005027B6" w:rsidRPr="00247126" w:rsidRDefault="005027B6">
            <w:pPr>
              <w:pStyle w:val="TableText"/>
            </w:pPr>
            <w:r w:rsidRPr="00247126">
              <w:t>Costs – Total</w:t>
            </w:r>
          </w:p>
        </w:tc>
        <w:tc>
          <w:tcPr>
            <w:tcW w:w="943" w:type="pct"/>
            <w:shd w:val="clear" w:color="auto" w:fill="auto"/>
          </w:tcPr>
          <w:p w14:paraId="08C840D4" w14:textId="20FD3ADF" w:rsidR="005027B6" w:rsidRPr="00247126" w:rsidRDefault="00B77E73">
            <w:pPr>
              <w:pStyle w:val="TableText"/>
              <w:jc w:val="center"/>
            </w:pPr>
            <w:r w:rsidRPr="00247126">
              <w:t>$</w:t>
            </w:r>
            <w:r w:rsidRPr="00247126">
              <w:rPr>
                <w:b/>
                <w:bCs/>
              </w:rPr>
              <w:t>Redacted</w:t>
            </w:r>
          </w:p>
        </w:tc>
        <w:tc>
          <w:tcPr>
            <w:tcW w:w="867" w:type="pct"/>
            <w:shd w:val="clear" w:color="auto" w:fill="auto"/>
          </w:tcPr>
          <w:p w14:paraId="056BB1C0" w14:textId="77777777" w:rsidR="005027B6" w:rsidRPr="00247126" w:rsidRDefault="005027B6">
            <w:pPr>
              <w:pStyle w:val="TableText"/>
              <w:jc w:val="center"/>
            </w:pPr>
            <w:r w:rsidRPr="00247126">
              <w:t>$22,229</w:t>
            </w:r>
          </w:p>
        </w:tc>
        <w:tc>
          <w:tcPr>
            <w:tcW w:w="1227" w:type="pct"/>
            <w:shd w:val="clear" w:color="auto" w:fill="auto"/>
          </w:tcPr>
          <w:p w14:paraId="0F8ED716" w14:textId="790962C1" w:rsidR="005027B6" w:rsidRPr="00247126" w:rsidRDefault="00B77E73">
            <w:pPr>
              <w:pStyle w:val="TableText"/>
              <w:jc w:val="center"/>
            </w:pPr>
            <w:r w:rsidRPr="00247126">
              <w:t>$</w:t>
            </w:r>
            <w:r w:rsidRPr="00247126">
              <w:rPr>
                <w:b/>
                <w:bCs/>
              </w:rPr>
              <w:t>Redacted</w:t>
            </w:r>
          </w:p>
        </w:tc>
      </w:tr>
      <w:tr w:rsidR="005027B6" w:rsidRPr="00247126" w14:paraId="19CB0725" w14:textId="77777777">
        <w:trPr>
          <w:cantSplit/>
        </w:trPr>
        <w:tc>
          <w:tcPr>
            <w:tcW w:w="1963" w:type="pct"/>
            <w:shd w:val="clear" w:color="auto" w:fill="auto"/>
          </w:tcPr>
          <w:p w14:paraId="687013CF" w14:textId="77777777" w:rsidR="005027B6" w:rsidRPr="00247126" w:rsidRDefault="005027B6">
            <w:pPr>
              <w:pStyle w:val="TableText"/>
              <w:ind w:left="720" w:hanging="131"/>
            </w:pPr>
            <w:r w:rsidRPr="00247126">
              <w:t>Intervention</w:t>
            </w:r>
          </w:p>
        </w:tc>
        <w:tc>
          <w:tcPr>
            <w:tcW w:w="943" w:type="pct"/>
            <w:shd w:val="clear" w:color="auto" w:fill="auto"/>
          </w:tcPr>
          <w:p w14:paraId="2EB4E882" w14:textId="781E74B4" w:rsidR="005027B6" w:rsidRPr="00247126" w:rsidRDefault="00B77E73">
            <w:pPr>
              <w:pStyle w:val="TableText"/>
              <w:jc w:val="center"/>
            </w:pPr>
            <w:r w:rsidRPr="00247126">
              <w:t>$</w:t>
            </w:r>
            <w:r w:rsidRPr="00247126">
              <w:rPr>
                <w:b/>
                <w:bCs/>
              </w:rPr>
              <w:t>Redacted</w:t>
            </w:r>
          </w:p>
        </w:tc>
        <w:tc>
          <w:tcPr>
            <w:tcW w:w="867" w:type="pct"/>
            <w:shd w:val="clear" w:color="auto" w:fill="auto"/>
          </w:tcPr>
          <w:p w14:paraId="6D4883D0" w14:textId="77777777" w:rsidR="005027B6" w:rsidRPr="00247126" w:rsidRDefault="005027B6">
            <w:pPr>
              <w:pStyle w:val="TableText"/>
              <w:jc w:val="center"/>
            </w:pPr>
            <w:r w:rsidRPr="00247126">
              <w:t>$13,423</w:t>
            </w:r>
          </w:p>
        </w:tc>
        <w:tc>
          <w:tcPr>
            <w:tcW w:w="1227" w:type="pct"/>
            <w:shd w:val="clear" w:color="auto" w:fill="auto"/>
          </w:tcPr>
          <w:p w14:paraId="11F5B26F" w14:textId="4370217D" w:rsidR="005027B6" w:rsidRPr="00247126" w:rsidRDefault="00B77E73">
            <w:pPr>
              <w:pStyle w:val="TableText"/>
              <w:jc w:val="center"/>
            </w:pPr>
            <w:r w:rsidRPr="00247126">
              <w:t>$</w:t>
            </w:r>
            <w:r w:rsidRPr="00247126">
              <w:rPr>
                <w:b/>
                <w:bCs/>
              </w:rPr>
              <w:t>Redacted</w:t>
            </w:r>
          </w:p>
        </w:tc>
      </w:tr>
      <w:tr w:rsidR="005027B6" w:rsidRPr="00247126" w14:paraId="73A0EE9E" w14:textId="77777777">
        <w:trPr>
          <w:cantSplit/>
        </w:trPr>
        <w:tc>
          <w:tcPr>
            <w:tcW w:w="1963" w:type="pct"/>
            <w:shd w:val="clear" w:color="auto" w:fill="auto"/>
          </w:tcPr>
          <w:p w14:paraId="1CDDE079" w14:textId="77777777" w:rsidR="005027B6" w:rsidRPr="00247126" w:rsidRDefault="005027B6">
            <w:pPr>
              <w:pStyle w:val="TableText"/>
              <w:ind w:left="720" w:hanging="131"/>
            </w:pPr>
            <w:r w:rsidRPr="00247126">
              <w:t>Management of complications</w:t>
            </w:r>
          </w:p>
        </w:tc>
        <w:tc>
          <w:tcPr>
            <w:tcW w:w="943" w:type="pct"/>
            <w:shd w:val="clear" w:color="auto" w:fill="auto"/>
          </w:tcPr>
          <w:p w14:paraId="06F9471F" w14:textId="77777777" w:rsidR="005027B6" w:rsidRPr="00247126" w:rsidRDefault="005027B6">
            <w:pPr>
              <w:pStyle w:val="TableText"/>
              <w:jc w:val="center"/>
            </w:pPr>
            <w:r w:rsidRPr="00247126">
              <w:t>$7,575</w:t>
            </w:r>
          </w:p>
        </w:tc>
        <w:tc>
          <w:tcPr>
            <w:tcW w:w="867" w:type="pct"/>
            <w:shd w:val="clear" w:color="auto" w:fill="auto"/>
          </w:tcPr>
          <w:p w14:paraId="242A167A" w14:textId="77777777" w:rsidR="005027B6" w:rsidRPr="00247126" w:rsidRDefault="005027B6">
            <w:pPr>
              <w:pStyle w:val="TableText"/>
              <w:jc w:val="center"/>
            </w:pPr>
            <w:r w:rsidRPr="00247126">
              <w:t>$8,806</w:t>
            </w:r>
          </w:p>
        </w:tc>
        <w:tc>
          <w:tcPr>
            <w:tcW w:w="1227" w:type="pct"/>
            <w:shd w:val="clear" w:color="auto" w:fill="auto"/>
          </w:tcPr>
          <w:p w14:paraId="7DAD1238" w14:textId="77777777" w:rsidR="005027B6" w:rsidRPr="00247126" w:rsidRDefault="005027B6">
            <w:pPr>
              <w:pStyle w:val="TableText"/>
              <w:jc w:val="center"/>
            </w:pPr>
            <w:r w:rsidRPr="00247126">
              <w:t>-$1,231</w:t>
            </w:r>
          </w:p>
        </w:tc>
      </w:tr>
      <w:tr w:rsidR="005027B6" w:rsidRPr="00247126" w14:paraId="01A8999E" w14:textId="77777777">
        <w:trPr>
          <w:cantSplit/>
        </w:trPr>
        <w:tc>
          <w:tcPr>
            <w:tcW w:w="1963" w:type="pct"/>
            <w:tcBorders>
              <w:bottom w:val="single" w:sz="4" w:space="0" w:color="auto"/>
            </w:tcBorders>
            <w:shd w:val="clear" w:color="auto" w:fill="auto"/>
          </w:tcPr>
          <w:p w14:paraId="7FEF2266" w14:textId="77777777" w:rsidR="005027B6" w:rsidRPr="00247126" w:rsidRDefault="005027B6">
            <w:pPr>
              <w:pStyle w:val="TableText"/>
            </w:pPr>
            <w:r w:rsidRPr="00247126">
              <w:t>QALYS</w:t>
            </w:r>
          </w:p>
        </w:tc>
        <w:tc>
          <w:tcPr>
            <w:tcW w:w="943" w:type="pct"/>
            <w:tcBorders>
              <w:bottom w:val="single" w:sz="4" w:space="0" w:color="auto"/>
            </w:tcBorders>
            <w:shd w:val="clear" w:color="auto" w:fill="auto"/>
          </w:tcPr>
          <w:p w14:paraId="14079EC4" w14:textId="77777777" w:rsidR="005027B6" w:rsidRPr="00247126" w:rsidRDefault="005027B6">
            <w:pPr>
              <w:pStyle w:val="TableText"/>
              <w:jc w:val="center"/>
            </w:pPr>
            <w:r w:rsidRPr="00247126">
              <w:t>9.7357</w:t>
            </w:r>
          </w:p>
        </w:tc>
        <w:tc>
          <w:tcPr>
            <w:tcW w:w="867" w:type="pct"/>
            <w:shd w:val="clear" w:color="auto" w:fill="auto"/>
          </w:tcPr>
          <w:p w14:paraId="0362747D" w14:textId="77777777" w:rsidR="005027B6" w:rsidRPr="00247126" w:rsidRDefault="005027B6">
            <w:pPr>
              <w:pStyle w:val="TableText"/>
              <w:jc w:val="center"/>
            </w:pPr>
            <w:r w:rsidRPr="00247126">
              <w:t>9.4818</w:t>
            </w:r>
          </w:p>
        </w:tc>
        <w:tc>
          <w:tcPr>
            <w:tcW w:w="1227" w:type="pct"/>
            <w:shd w:val="clear" w:color="auto" w:fill="auto"/>
          </w:tcPr>
          <w:p w14:paraId="731B841F" w14:textId="77777777" w:rsidR="005027B6" w:rsidRPr="00247126" w:rsidRDefault="005027B6">
            <w:pPr>
              <w:pStyle w:val="TableText"/>
              <w:jc w:val="center"/>
            </w:pPr>
            <w:r w:rsidRPr="00247126">
              <w:t>0.2538</w:t>
            </w:r>
          </w:p>
        </w:tc>
      </w:tr>
      <w:tr w:rsidR="005027B6" w:rsidRPr="00247126" w14:paraId="3C8A12A0" w14:textId="77777777">
        <w:trPr>
          <w:cantSplit/>
        </w:trPr>
        <w:tc>
          <w:tcPr>
            <w:tcW w:w="1963" w:type="pct"/>
            <w:tcBorders>
              <w:right w:val="nil"/>
            </w:tcBorders>
            <w:shd w:val="clear" w:color="auto" w:fill="auto"/>
          </w:tcPr>
          <w:p w14:paraId="3C19FBB8" w14:textId="77777777" w:rsidR="005027B6" w:rsidRPr="00247126" w:rsidRDefault="005027B6">
            <w:pPr>
              <w:pStyle w:val="In-tableHeading"/>
              <w:keepNext w:val="0"/>
              <w:spacing w:before="40" w:after="40"/>
              <w:rPr>
                <w:b w:val="0"/>
                <w:bCs/>
              </w:rPr>
            </w:pPr>
            <w:r w:rsidRPr="00247126">
              <w:rPr>
                <w:b w:val="0"/>
                <w:bCs/>
              </w:rPr>
              <w:t>Incremental cost-effectiveness ratio</w:t>
            </w:r>
          </w:p>
        </w:tc>
        <w:tc>
          <w:tcPr>
            <w:tcW w:w="943" w:type="pct"/>
            <w:tcBorders>
              <w:left w:val="nil"/>
              <w:right w:val="nil"/>
            </w:tcBorders>
            <w:shd w:val="clear" w:color="auto" w:fill="auto"/>
          </w:tcPr>
          <w:p w14:paraId="4BDA99F6" w14:textId="77777777" w:rsidR="005027B6" w:rsidRPr="00247126" w:rsidRDefault="005027B6">
            <w:pPr>
              <w:pStyle w:val="In-tableHeading"/>
              <w:keepNext w:val="0"/>
              <w:spacing w:before="40" w:after="40"/>
              <w:rPr>
                <w:b w:val="0"/>
                <w:bCs/>
              </w:rPr>
            </w:pPr>
          </w:p>
        </w:tc>
        <w:tc>
          <w:tcPr>
            <w:tcW w:w="867" w:type="pct"/>
            <w:tcBorders>
              <w:left w:val="nil"/>
              <w:right w:val="single" w:sz="4" w:space="0" w:color="000000"/>
            </w:tcBorders>
            <w:shd w:val="clear" w:color="auto" w:fill="auto"/>
          </w:tcPr>
          <w:p w14:paraId="1C5148B0" w14:textId="77777777" w:rsidR="005027B6" w:rsidRPr="00247126" w:rsidRDefault="005027B6">
            <w:pPr>
              <w:pStyle w:val="In-tableHeading"/>
              <w:keepNext w:val="0"/>
              <w:spacing w:before="40" w:after="40"/>
              <w:rPr>
                <w:b w:val="0"/>
                <w:bCs/>
              </w:rPr>
            </w:pPr>
          </w:p>
        </w:tc>
        <w:tc>
          <w:tcPr>
            <w:tcW w:w="1227" w:type="pct"/>
            <w:tcBorders>
              <w:left w:val="single" w:sz="4" w:space="0" w:color="000000"/>
            </w:tcBorders>
            <w:shd w:val="clear" w:color="auto" w:fill="auto"/>
          </w:tcPr>
          <w:p w14:paraId="755E4500" w14:textId="3FC19B3E" w:rsidR="005027B6" w:rsidRPr="00247126" w:rsidRDefault="00B77E73">
            <w:pPr>
              <w:pStyle w:val="In-tableHeading"/>
              <w:keepNext w:val="0"/>
              <w:spacing w:before="40" w:after="40"/>
              <w:jc w:val="center"/>
              <w:rPr>
                <w:b w:val="0"/>
                <w:bCs/>
              </w:rPr>
            </w:pPr>
            <w:r w:rsidRPr="00247126">
              <w:rPr>
                <w:b w:val="0"/>
                <w:bCs/>
              </w:rPr>
              <w:t>$</w:t>
            </w:r>
            <w:r w:rsidRPr="00247126">
              <w:t>Redacted</w:t>
            </w:r>
            <w:r w:rsidRPr="00247126" w:rsidDel="00B77E73">
              <w:rPr>
                <w:b w:val="0"/>
                <w:bCs/>
              </w:rPr>
              <w:t xml:space="preserve"> </w:t>
            </w:r>
            <w:r w:rsidR="005027B6" w:rsidRPr="00247126">
              <w:rPr>
                <w:b w:val="0"/>
                <w:bCs/>
              </w:rPr>
              <w:t>per QALY gain</w:t>
            </w:r>
          </w:p>
        </w:tc>
      </w:tr>
    </w:tbl>
    <w:p w14:paraId="17F96742" w14:textId="77777777" w:rsidR="005027B6" w:rsidRPr="00247126" w:rsidRDefault="005027B6" w:rsidP="009102DB">
      <w:pPr>
        <w:pStyle w:val="Tablenotes0"/>
        <w:rPr>
          <w:rFonts w:eastAsia="Calibri"/>
          <w:szCs w:val="20"/>
        </w:rPr>
      </w:pPr>
      <w:r w:rsidRPr="00247126">
        <w:t xml:space="preserve">AG = angiogram; OCT = optical coherence tomography; </w:t>
      </w:r>
      <w:r w:rsidRPr="00247126">
        <w:rPr>
          <w:rFonts w:eastAsia="Calibri"/>
          <w:szCs w:val="20"/>
        </w:rPr>
        <w:t>QALY = quality-adjusted life year.</w:t>
      </w:r>
    </w:p>
    <w:p w14:paraId="55FB0E5D" w14:textId="77777777" w:rsidR="005027B6" w:rsidRPr="00247126" w:rsidRDefault="005027B6" w:rsidP="009102DB">
      <w:pPr>
        <w:pStyle w:val="Tablenotes0"/>
      </w:pPr>
      <w:r w:rsidRPr="00247126">
        <w:t xml:space="preserve">Source: Table 95 of MSAC 1743 </w:t>
      </w:r>
      <w:proofErr w:type="spellStart"/>
      <w:r w:rsidRPr="00247126">
        <w:t>ADAR+in-line</w:t>
      </w:r>
      <w:proofErr w:type="spellEnd"/>
      <w:r w:rsidRPr="00247126">
        <w:t xml:space="preserve"> commentary.</w:t>
      </w:r>
    </w:p>
    <w:p w14:paraId="1B62F941" w14:textId="77777777" w:rsidR="005027B6" w:rsidRPr="00247126" w:rsidRDefault="005027B6" w:rsidP="005027B6">
      <w:pPr>
        <w:pStyle w:val="Heading4"/>
      </w:pPr>
      <w:r w:rsidRPr="00247126">
        <w:t>Stent failure subpopulation</w:t>
      </w:r>
    </w:p>
    <w:p w14:paraId="3F00E291" w14:textId="77777777" w:rsidR="005027B6" w:rsidRPr="00247126" w:rsidRDefault="005027B6" w:rsidP="005027B6">
      <w:r w:rsidRPr="00247126">
        <w:t>No formal CUA was presented therefore no quantitative comments can be made on the likely cost-effectiveness for this subpopulation.</w:t>
      </w:r>
    </w:p>
    <w:p w14:paraId="2000B81C" w14:textId="3345EA4E" w:rsidR="005027B6" w:rsidRPr="00247126" w:rsidRDefault="005027B6" w:rsidP="005027B6">
      <w:pPr>
        <w:pStyle w:val="Heading4"/>
      </w:pPr>
      <w:r w:rsidRPr="00247126">
        <w:t>Long</w:t>
      </w:r>
      <w:r w:rsidR="00CB4F0F" w:rsidRPr="00247126">
        <w:t>/multiple</w:t>
      </w:r>
      <w:r w:rsidRPr="00247126">
        <w:t xml:space="preserve"> lesion subpopulation</w:t>
      </w:r>
    </w:p>
    <w:p w14:paraId="56A3BF12" w14:textId="1F9ABFEC" w:rsidR="005027B6" w:rsidRPr="00247126" w:rsidRDefault="005027B6" w:rsidP="005027B6">
      <w:r w:rsidRPr="00247126">
        <w:t>The base case results for the long</w:t>
      </w:r>
      <w:r w:rsidR="00CB4F0F" w:rsidRPr="00247126">
        <w:t>/multiple</w:t>
      </w:r>
      <w:r w:rsidRPr="00247126">
        <w:t xml:space="preserve"> lesion subpopulation are shown in </w:t>
      </w:r>
      <w:r w:rsidRPr="00247126">
        <w:fldChar w:fldCharType="begin"/>
      </w:r>
      <w:r w:rsidRPr="00247126">
        <w:instrText xml:space="preserve"> REF _Ref163062244 \h </w:instrText>
      </w:r>
      <w:r w:rsidR="00C567A2" w:rsidRPr="00247126">
        <w:instrText xml:space="preserve"> \* MERGEFORMAT </w:instrText>
      </w:r>
      <w:r w:rsidRPr="00247126">
        <w:fldChar w:fldCharType="separate"/>
      </w:r>
      <w:r w:rsidR="00151E03" w:rsidRPr="00247126">
        <w:t>Table 20</w:t>
      </w:r>
      <w:r w:rsidRPr="00247126">
        <w:fldChar w:fldCharType="end"/>
      </w:r>
      <w:r w:rsidRPr="00247126">
        <w:t>. The clinical inputs were taken from the ILUMIEN IV post hoc subgroup analysis. The available evidence supported a claim of superiority for stent thrombosis only, whereas other endpoints of cardiac death, target vessel MI and TVR were included in the model with no statistically significant evidence for a between-group difference.</w:t>
      </w:r>
    </w:p>
    <w:p w14:paraId="62E5F884" w14:textId="21A0DF5F" w:rsidR="005027B6" w:rsidRPr="00247126" w:rsidRDefault="005027B6" w:rsidP="005027B6">
      <w:pPr>
        <w:pStyle w:val="Caption"/>
      </w:pPr>
      <w:bookmarkStart w:id="47" w:name="_Ref163062244"/>
      <w:r w:rsidRPr="00247126">
        <w:t>Table </w:t>
      </w:r>
      <w:r w:rsidRPr="00247126">
        <w:fldChar w:fldCharType="begin"/>
      </w:r>
      <w:r w:rsidRPr="00247126">
        <w:instrText xml:space="preserve"> SEQ Table \* ARABIC </w:instrText>
      </w:r>
      <w:r w:rsidRPr="00247126">
        <w:fldChar w:fldCharType="separate"/>
      </w:r>
      <w:r w:rsidR="00151E03" w:rsidRPr="00247126">
        <w:rPr>
          <w:noProof/>
        </w:rPr>
        <w:t>20</w:t>
      </w:r>
      <w:r w:rsidRPr="00247126">
        <w:rPr>
          <w:noProof/>
        </w:rPr>
        <w:fldChar w:fldCharType="end"/>
      </w:r>
      <w:bookmarkEnd w:id="47"/>
      <w:r w:rsidRPr="00247126">
        <w:tab/>
        <w:t>Incremental cost-effectiveness ratio for OCT+AG versus AG alone – long</w:t>
      </w:r>
      <w:r w:rsidR="00CB4F0F" w:rsidRPr="00247126">
        <w:t>/multiple</w:t>
      </w:r>
      <w:r w:rsidRPr="00247126">
        <w:t xml:space="preserve"> lesion subpopulation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Incremental cost-effectiveness ratio for OCT+AG versus AG alone – long lesion subpopulation"/>
        <w:tblDescription w:val="This table presents the incremental cost-effectiveness ratio for OCT+AG versus AG alone for the long lesion subpopulation."/>
      </w:tblPr>
      <w:tblGrid>
        <w:gridCol w:w="3540"/>
        <w:gridCol w:w="1700"/>
        <w:gridCol w:w="1563"/>
        <w:gridCol w:w="2213"/>
      </w:tblGrid>
      <w:tr w:rsidR="005027B6" w:rsidRPr="00247126" w14:paraId="1DAFB065" w14:textId="77777777">
        <w:trPr>
          <w:cantSplit/>
          <w:tblHeader/>
        </w:trPr>
        <w:tc>
          <w:tcPr>
            <w:tcW w:w="1963" w:type="pct"/>
            <w:shd w:val="clear" w:color="auto" w:fill="FFFFFF"/>
          </w:tcPr>
          <w:p w14:paraId="2B7BDE22" w14:textId="77777777" w:rsidR="005027B6" w:rsidRPr="00247126" w:rsidRDefault="005027B6">
            <w:pPr>
              <w:pStyle w:val="In-tableHeading"/>
              <w:spacing w:before="120" w:after="60"/>
            </w:pPr>
            <w:r w:rsidRPr="00247126">
              <w:t>Treatment strategy</w:t>
            </w:r>
          </w:p>
        </w:tc>
        <w:tc>
          <w:tcPr>
            <w:tcW w:w="943" w:type="pct"/>
            <w:shd w:val="clear" w:color="auto" w:fill="FFFFFF"/>
          </w:tcPr>
          <w:p w14:paraId="4A0593B2" w14:textId="77777777" w:rsidR="005027B6" w:rsidRPr="00247126" w:rsidRDefault="005027B6">
            <w:pPr>
              <w:pStyle w:val="In-tableHeading"/>
              <w:spacing w:before="120" w:after="60"/>
              <w:jc w:val="center"/>
            </w:pPr>
            <w:r w:rsidRPr="00247126">
              <w:t>OCT+AG</w:t>
            </w:r>
          </w:p>
        </w:tc>
        <w:tc>
          <w:tcPr>
            <w:tcW w:w="867" w:type="pct"/>
            <w:shd w:val="clear" w:color="auto" w:fill="FFFFFF"/>
          </w:tcPr>
          <w:p w14:paraId="52FFE93B" w14:textId="77777777" w:rsidR="005027B6" w:rsidRPr="00247126" w:rsidRDefault="005027B6">
            <w:pPr>
              <w:pStyle w:val="In-tableHeading"/>
              <w:spacing w:before="120" w:after="60"/>
              <w:jc w:val="center"/>
            </w:pPr>
            <w:r w:rsidRPr="00247126">
              <w:t>AG alone</w:t>
            </w:r>
          </w:p>
        </w:tc>
        <w:tc>
          <w:tcPr>
            <w:tcW w:w="1227" w:type="pct"/>
            <w:shd w:val="clear" w:color="auto" w:fill="FFFFFF"/>
            <w:vAlign w:val="center"/>
          </w:tcPr>
          <w:p w14:paraId="3EA366E8" w14:textId="77777777" w:rsidR="005027B6" w:rsidRPr="00247126" w:rsidRDefault="005027B6">
            <w:pPr>
              <w:pStyle w:val="In-tableHeading"/>
              <w:spacing w:before="120" w:after="60"/>
              <w:jc w:val="center"/>
            </w:pPr>
            <w:r w:rsidRPr="00247126">
              <w:t>Difference</w:t>
            </w:r>
          </w:p>
        </w:tc>
      </w:tr>
      <w:tr w:rsidR="005027B6" w:rsidRPr="00247126" w14:paraId="32C8CB27" w14:textId="77777777">
        <w:trPr>
          <w:cantSplit/>
        </w:trPr>
        <w:tc>
          <w:tcPr>
            <w:tcW w:w="1963" w:type="pct"/>
            <w:shd w:val="clear" w:color="auto" w:fill="auto"/>
          </w:tcPr>
          <w:p w14:paraId="780ECB8F" w14:textId="77777777" w:rsidR="005027B6" w:rsidRPr="00247126" w:rsidRDefault="005027B6">
            <w:pPr>
              <w:pStyle w:val="TableText"/>
            </w:pPr>
            <w:r w:rsidRPr="00247126">
              <w:t>Costs – Total</w:t>
            </w:r>
          </w:p>
        </w:tc>
        <w:tc>
          <w:tcPr>
            <w:tcW w:w="943" w:type="pct"/>
            <w:shd w:val="clear" w:color="auto" w:fill="auto"/>
          </w:tcPr>
          <w:p w14:paraId="6AA427FB" w14:textId="016D6368" w:rsidR="005027B6" w:rsidRPr="00247126" w:rsidRDefault="00B77E73">
            <w:pPr>
              <w:pStyle w:val="TableText"/>
              <w:jc w:val="center"/>
            </w:pPr>
            <w:r w:rsidRPr="00247126">
              <w:t>$</w:t>
            </w:r>
            <w:r w:rsidRPr="00247126">
              <w:rPr>
                <w:b/>
                <w:bCs/>
              </w:rPr>
              <w:t>Redacted</w:t>
            </w:r>
          </w:p>
        </w:tc>
        <w:tc>
          <w:tcPr>
            <w:tcW w:w="867" w:type="pct"/>
            <w:shd w:val="clear" w:color="auto" w:fill="auto"/>
          </w:tcPr>
          <w:p w14:paraId="369EABEA" w14:textId="77777777" w:rsidR="005027B6" w:rsidRPr="00247126" w:rsidRDefault="005027B6">
            <w:pPr>
              <w:pStyle w:val="TableText"/>
              <w:jc w:val="center"/>
            </w:pPr>
            <w:r w:rsidRPr="00247126">
              <w:t>$18,859</w:t>
            </w:r>
          </w:p>
        </w:tc>
        <w:tc>
          <w:tcPr>
            <w:tcW w:w="1227" w:type="pct"/>
            <w:shd w:val="clear" w:color="auto" w:fill="auto"/>
          </w:tcPr>
          <w:p w14:paraId="003600C9" w14:textId="65BCAF2E" w:rsidR="005027B6" w:rsidRPr="00247126" w:rsidRDefault="00B77E73">
            <w:pPr>
              <w:pStyle w:val="TableText"/>
              <w:jc w:val="center"/>
            </w:pPr>
            <w:r w:rsidRPr="00247126">
              <w:t>$</w:t>
            </w:r>
            <w:r w:rsidRPr="00247126">
              <w:rPr>
                <w:b/>
                <w:bCs/>
              </w:rPr>
              <w:t>Redacted</w:t>
            </w:r>
          </w:p>
        </w:tc>
      </w:tr>
      <w:tr w:rsidR="005027B6" w:rsidRPr="00247126" w14:paraId="6F44A2AD" w14:textId="77777777">
        <w:trPr>
          <w:cantSplit/>
        </w:trPr>
        <w:tc>
          <w:tcPr>
            <w:tcW w:w="1963" w:type="pct"/>
            <w:shd w:val="clear" w:color="auto" w:fill="auto"/>
          </w:tcPr>
          <w:p w14:paraId="5C26707C" w14:textId="77777777" w:rsidR="005027B6" w:rsidRPr="00247126" w:rsidRDefault="005027B6">
            <w:pPr>
              <w:pStyle w:val="TableText"/>
              <w:ind w:left="720" w:hanging="131"/>
            </w:pPr>
            <w:r w:rsidRPr="00247126">
              <w:t>Intervention</w:t>
            </w:r>
          </w:p>
        </w:tc>
        <w:tc>
          <w:tcPr>
            <w:tcW w:w="943" w:type="pct"/>
            <w:shd w:val="clear" w:color="auto" w:fill="auto"/>
          </w:tcPr>
          <w:p w14:paraId="49B61AB1" w14:textId="129974B2" w:rsidR="005027B6" w:rsidRPr="00247126" w:rsidRDefault="00B77E73">
            <w:pPr>
              <w:pStyle w:val="TableText"/>
              <w:jc w:val="center"/>
            </w:pPr>
            <w:r w:rsidRPr="00247126">
              <w:t>$</w:t>
            </w:r>
            <w:r w:rsidRPr="00247126">
              <w:rPr>
                <w:b/>
                <w:bCs/>
              </w:rPr>
              <w:t>Redacted</w:t>
            </w:r>
          </w:p>
        </w:tc>
        <w:tc>
          <w:tcPr>
            <w:tcW w:w="867" w:type="pct"/>
            <w:shd w:val="clear" w:color="auto" w:fill="auto"/>
          </w:tcPr>
          <w:p w14:paraId="6A2AC360" w14:textId="77777777" w:rsidR="005027B6" w:rsidRPr="00247126" w:rsidRDefault="005027B6">
            <w:pPr>
              <w:pStyle w:val="TableText"/>
              <w:jc w:val="center"/>
            </w:pPr>
            <w:r w:rsidRPr="00247126">
              <w:t>$13,423</w:t>
            </w:r>
          </w:p>
        </w:tc>
        <w:tc>
          <w:tcPr>
            <w:tcW w:w="1227" w:type="pct"/>
            <w:shd w:val="clear" w:color="auto" w:fill="auto"/>
          </w:tcPr>
          <w:p w14:paraId="05963A3B" w14:textId="241E833E" w:rsidR="005027B6" w:rsidRPr="00247126" w:rsidRDefault="00B77E73">
            <w:pPr>
              <w:pStyle w:val="TableText"/>
              <w:jc w:val="center"/>
            </w:pPr>
            <w:r w:rsidRPr="00247126">
              <w:t>$</w:t>
            </w:r>
            <w:r w:rsidRPr="00247126">
              <w:rPr>
                <w:b/>
                <w:bCs/>
              </w:rPr>
              <w:t>Redacted</w:t>
            </w:r>
          </w:p>
        </w:tc>
      </w:tr>
      <w:tr w:rsidR="005027B6" w:rsidRPr="00247126" w14:paraId="5C88C4B5" w14:textId="77777777">
        <w:trPr>
          <w:cantSplit/>
        </w:trPr>
        <w:tc>
          <w:tcPr>
            <w:tcW w:w="1963" w:type="pct"/>
            <w:shd w:val="clear" w:color="auto" w:fill="auto"/>
          </w:tcPr>
          <w:p w14:paraId="3721BE5C" w14:textId="77777777" w:rsidR="005027B6" w:rsidRPr="00247126" w:rsidRDefault="005027B6">
            <w:pPr>
              <w:pStyle w:val="TableText"/>
              <w:ind w:left="720" w:hanging="131"/>
            </w:pPr>
            <w:r w:rsidRPr="00247126">
              <w:t>Management of complications</w:t>
            </w:r>
          </w:p>
        </w:tc>
        <w:tc>
          <w:tcPr>
            <w:tcW w:w="943" w:type="pct"/>
            <w:shd w:val="clear" w:color="auto" w:fill="auto"/>
          </w:tcPr>
          <w:p w14:paraId="24909E79" w14:textId="77777777" w:rsidR="005027B6" w:rsidRPr="00247126" w:rsidRDefault="005027B6">
            <w:pPr>
              <w:pStyle w:val="TableText"/>
              <w:jc w:val="center"/>
            </w:pPr>
            <w:r w:rsidRPr="00247126">
              <w:t>$5,071</w:t>
            </w:r>
          </w:p>
        </w:tc>
        <w:tc>
          <w:tcPr>
            <w:tcW w:w="867" w:type="pct"/>
            <w:shd w:val="clear" w:color="auto" w:fill="auto"/>
          </w:tcPr>
          <w:p w14:paraId="5B1C53A2" w14:textId="77777777" w:rsidR="005027B6" w:rsidRPr="00247126" w:rsidRDefault="005027B6">
            <w:pPr>
              <w:pStyle w:val="TableText"/>
              <w:jc w:val="center"/>
            </w:pPr>
            <w:r w:rsidRPr="00247126">
              <w:t>$5,436</w:t>
            </w:r>
          </w:p>
        </w:tc>
        <w:tc>
          <w:tcPr>
            <w:tcW w:w="1227" w:type="pct"/>
            <w:shd w:val="clear" w:color="auto" w:fill="auto"/>
          </w:tcPr>
          <w:p w14:paraId="68C15939" w14:textId="77777777" w:rsidR="005027B6" w:rsidRPr="00247126" w:rsidRDefault="005027B6">
            <w:pPr>
              <w:pStyle w:val="TableText"/>
              <w:jc w:val="center"/>
            </w:pPr>
            <w:r w:rsidRPr="00247126">
              <w:t>-$365</w:t>
            </w:r>
          </w:p>
        </w:tc>
      </w:tr>
      <w:tr w:rsidR="005027B6" w:rsidRPr="00247126" w14:paraId="3CDF7CAD" w14:textId="77777777">
        <w:trPr>
          <w:cantSplit/>
        </w:trPr>
        <w:tc>
          <w:tcPr>
            <w:tcW w:w="1963" w:type="pct"/>
            <w:tcBorders>
              <w:bottom w:val="single" w:sz="4" w:space="0" w:color="auto"/>
            </w:tcBorders>
            <w:shd w:val="clear" w:color="auto" w:fill="auto"/>
          </w:tcPr>
          <w:p w14:paraId="05EF4E44" w14:textId="77777777" w:rsidR="005027B6" w:rsidRPr="00247126" w:rsidRDefault="005027B6">
            <w:pPr>
              <w:pStyle w:val="TableText"/>
            </w:pPr>
            <w:r w:rsidRPr="00247126">
              <w:t>QALYS</w:t>
            </w:r>
          </w:p>
        </w:tc>
        <w:tc>
          <w:tcPr>
            <w:tcW w:w="943" w:type="pct"/>
            <w:tcBorders>
              <w:bottom w:val="single" w:sz="4" w:space="0" w:color="auto"/>
            </w:tcBorders>
            <w:shd w:val="clear" w:color="auto" w:fill="auto"/>
          </w:tcPr>
          <w:p w14:paraId="489A3981" w14:textId="77777777" w:rsidR="005027B6" w:rsidRPr="00247126" w:rsidRDefault="005027B6">
            <w:pPr>
              <w:pStyle w:val="TableText"/>
              <w:jc w:val="center"/>
            </w:pPr>
            <w:r w:rsidRPr="00247126">
              <w:t>9.7755</w:t>
            </w:r>
          </w:p>
        </w:tc>
        <w:tc>
          <w:tcPr>
            <w:tcW w:w="867" w:type="pct"/>
            <w:shd w:val="clear" w:color="auto" w:fill="auto"/>
          </w:tcPr>
          <w:p w14:paraId="5F9CE98C" w14:textId="77777777" w:rsidR="005027B6" w:rsidRPr="00247126" w:rsidRDefault="005027B6">
            <w:pPr>
              <w:pStyle w:val="TableText"/>
              <w:jc w:val="center"/>
            </w:pPr>
            <w:r w:rsidRPr="00247126">
              <w:t>9.6559</w:t>
            </w:r>
          </w:p>
        </w:tc>
        <w:tc>
          <w:tcPr>
            <w:tcW w:w="1227" w:type="pct"/>
            <w:shd w:val="clear" w:color="auto" w:fill="auto"/>
          </w:tcPr>
          <w:p w14:paraId="21B877FA" w14:textId="77777777" w:rsidR="005027B6" w:rsidRPr="00247126" w:rsidRDefault="005027B6">
            <w:pPr>
              <w:pStyle w:val="TableText"/>
              <w:jc w:val="center"/>
            </w:pPr>
            <w:r w:rsidRPr="00247126">
              <w:t>0.1196</w:t>
            </w:r>
          </w:p>
        </w:tc>
      </w:tr>
      <w:tr w:rsidR="005027B6" w:rsidRPr="00247126" w14:paraId="28DA172D" w14:textId="77777777">
        <w:trPr>
          <w:cantSplit/>
        </w:trPr>
        <w:tc>
          <w:tcPr>
            <w:tcW w:w="1963" w:type="pct"/>
            <w:tcBorders>
              <w:right w:val="nil"/>
            </w:tcBorders>
            <w:shd w:val="clear" w:color="auto" w:fill="auto"/>
          </w:tcPr>
          <w:p w14:paraId="64BEBDEE" w14:textId="77777777" w:rsidR="005027B6" w:rsidRPr="00247126" w:rsidRDefault="005027B6">
            <w:pPr>
              <w:pStyle w:val="In-tableHeading"/>
              <w:keepNext w:val="0"/>
              <w:spacing w:before="40" w:after="40"/>
              <w:rPr>
                <w:b w:val="0"/>
                <w:bCs/>
              </w:rPr>
            </w:pPr>
            <w:r w:rsidRPr="00247126">
              <w:rPr>
                <w:b w:val="0"/>
                <w:bCs/>
              </w:rPr>
              <w:t>Incremental cost-effectiveness ratio</w:t>
            </w:r>
          </w:p>
        </w:tc>
        <w:tc>
          <w:tcPr>
            <w:tcW w:w="943" w:type="pct"/>
            <w:tcBorders>
              <w:left w:val="nil"/>
              <w:right w:val="nil"/>
            </w:tcBorders>
            <w:shd w:val="clear" w:color="auto" w:fill="auto"/>
          </w:tcPr>
          <w:p w14:paraId="04893F70" w14:textId="77777777" w:rsidR="005027B6" w:rsidRPr="00247126" w:rsidRDefault="005027B6">
            <w:pPr>
              <w:pStyle w:val="In-tableHeading"/>
              <w:keepNext w:val="0"/>
              <w:spacing w:before="40" w:after="40"/>
              <w:rPr>
                <w:b w:val="0"/>
                <w:bCs/>
              </w:rPr>
            </w:pPr>
          </w:p>
        </w:tc>
        <w:tc>
          <w:tcPr>
            <w:tcW w:w="867" w:type="pct"/>
            <w:tcBorders>
              <w:left w:val="nil"/>
              <w:right w:val="single" w:sz="4" w:space="0" w:color="000000"/>
            </w:tcBorders>
            <w:shd w:val="clear" w:color="auto" w:fill="auto"/>
          </w:tcPr>
          <w:p w14:paraId="2053555A" w14:textId="77777777" w:rsidR="005027B6" w:rsidRPr="00247126" w:rsidRDefault="005027B6">
            <w:pPr>
              <w:pStyle w:val="In-tableHeading"/>
              <w:keepNext w:val="0"/>
              <w:spacing w:before="40" w:after="40"/>
              <w:rPr>
                <w:b w:val="0"/>
                <w:bCs/>
              </w:rPr>
            </w:pPr>
          </w:p>
        </w:tc>
        <w:tc>
          <w:tcPr>
            <w:tcW w:w="1227" w:type="pct"/>
            <w:tcBorders>
              <w:left w:val="single" w:sz="4" w:space="0" w:color="000000"/>
            </w:tcBorders>
            <w:shd w:val="clear" w:color="auto" w:fill="auto"/>
          </w:tcPr>
          <w:p w14:paraId="37FE10DF" w14:textId="419DAC4D" w:rsidR="005027B6" w:rsidRPr="00247126" w:rsidRDefault="005027B6">
            <w:pPr>
              <w:pStyle w:val="In-tableHeading"/>
              <w:keepNext w:val="0"/>
              <w:spacing w:before="40" w:after="40"/>
              <w:jc w:val="center"/>
              <w:rPr>
                <w:b w:val="0"/>
                <w:bCs/>
              </w:rPr>
            </w:pPr>
            <w:r w:rsidRPr="00247126">
              <w:rPr>
                <w:b w:val="0"/>
                <w:bCs/>
              </w:rPr>
              <w:t>$</w:t>
            </w:r>
            <w:r w:rsidR="00B77E73" w:rsidRPr="00247126">
              <w:t>Redacted</w:t>
            </w:r>
            <w:r w:rsidRPr="00247126">
              <w:rPr>
                <w:b w:val="0"/>
                <w:bCs/>
              </w:rPr>
              <w:t xml:space="preserve"> per QALY gain</w:t>
            </w:r>
          </w:p>
        </w:tc>
      </w:tr>
    </w:tbl>
    <w:p w14:paraId="51B7DCDB" w14:textId="77777777" w:rsidR="005027B6" w:rsidRPr="00247126" w:rsidRDefault="005027B6" w:rsidP="009102DB">
      <w:pPr>
        <w:pStyle w:val="Tablenotes0"/>
        <w:rPr>
          <w:rFonts w:eastAsia="Calibri"/>
          <w:szCs w:val="20"/>
        </w:rPr>
      </w:pPr>
      <w:r w:rsidRPr="00247126">
        <w:t xml:space="preserve">AG = angiogram; OCT = optical coherence tomography; </w:t>
      </w:r>
      <w:r w:rsidRPr="00247126">
        <w:rPr>
          <w:rFonts w:eastAsia="Calibri"/>
          <w:szCs w:val="20"/>
        </w:rPr>
        <w:t>QALY = quality-adjusted life year.</w:t>
      </w:r>
    </w:p>
    <w:p w14:paraId="15A0B0A7" w14:textId="77777777" w:rsidR="005027B6" w:rsidRPr="00247126" w:rsidRDefault="005027B6" w:rsidP="009102DB">
      <w:pPr>
        <w:pStyle w:val="Tablenotes0"/>
      </w:pPr>
      <w:r w:rsidRPr="00247126">
        <w:t xml:space="preserve">Source: Table 93 of MSAC 1743 </w:t>
      </w:r>
      <w:proofErr w:type="spellStart"/>
      <w:r w:rsidRPr="00247126">
        <w:t>ADAR+in-line</w:t>
      </w:r>
      <w:proofErr w:type="spellEnd"/>
      <w:r w:rsidRPr="00247126">
        <w:t xml:space="preserve"> commentary.</w:t>
      </w:r>
    </w:p>
    <w:p w14:paraId="50A5AA25" w14:textId="58E7EA73" w:rsidR="005027B6" w:rsidRPr="00247126" w:rsidRDefault="005027B6" w:rsidP="005027B6">
      <w:r w:rsidRPr="00247126">
        <w:t>The results for the long</w:t>
      </w:r>
      <w:r w:rsidR="0003112A" w:rsidRPr="00247126">
        <w:t>/multiple</w:t>
      </w:r>
      <w:r w:rsidRPr="00247126">
        <w:t xml:space="preserve"> lesion subpopulation were most sensitive to the time horizon (base = lifetime), as shown in </w:t>
      </w:r>
      <w:r w:rsidRPr="00247126">
        <w:fldChar w:fldCharType="begin"/>
      </w:r>
      <w:r w:rsidRPr="00247126">
        <w:instrText xml:space="preserve"> REF _Ref163062893 \h </w:instrText>
      </w:r>
      <w:r w:rsidR="00C567A2" w:rsidRPr="00247126">
        <w:instrText xml:space="preserve"> \* MERGEFORMAT </w:instrText>
      </w:r>
      <w:r w:rsidRPr="00247126">
        <w:fldChar w:fldCharType="separate"/>
      </w:r>
      <w:r w:rsidR="00151E03" w:rsidRPr="00247126">
        <w:t>Table 21</w:t>
      </w:r>
      <w:r w:rsidRPr="00247126">
        <w:fldChar w:fldCharType="end"/>
      </w:r>
      <w:r w:rsidRPr="00247126">
        <w:t xml:space="preserve">. When only a difference in stent thrombosis was included </w:t>
      </w:r>
      <w:r w:rsidRPr="00247126">
        <w:lastRenderedPageBreak/>
        <w:t xml:space="preserve">in the model (other transition probabilities </w:t>
      </w:r>
      <w:r w:rsidR="00FC4F53" w:rsidRPr="00247126">
        <w:t xml:space="preserve">were </w:t>
      </w:r>
      <w:r w:rsidRPr="00247126">
        <w:t>equal to that of the AG group alone), the resulting ICER was $</w:t>
      </w:r>
      <w:r w:rsidR="00AD7004" w:rsidRPr="00247126">
        <w:rPr>
          <w:b/>
          <w:bCs/>
        </w:rPr>
        <w:t>Redacted</w:t>
      </w:r>
      <w:r w:rsidRPr="00247126">
        <w:t xml:space="preserve"> per QALY gained.</w:t>
      </w:r>
    </w:p>
    <w:p w14:paraId="7E7D1F1C" w14:textId="4FB38B75" w:rsidR="005027B6" w:rsidRPr="00247126" w:rsidRDefault="005027B6" w:rsidP="005027B6">
      <w:pPr>
        <w:pStyle w:val="Caption"/>
      </w:pPr>
      <w:bookmarkStart w:id="48" w:name="_Ref163062893"/>
      <w:r w:rsidRPr="00247126">
        <w:t>Table </w:t>
      </w:r>
      <w:r w:rsidRPr="00247126">
        <w:fldChar w:fldCharType="begin"/>
      </w:r>
      <w:r w:rsidRPr="00247126">
        <w:instrText xml:space="preserve"> SEQ Table \* ARABIC </w:instrText>
      </w:r>
      <w:r w:rsidRPr="00247126">
        <w:fldChar w:fldCharType="separate"/>
      </w:r>
      <w:r w:rsidR="00151E03" w:rsidRPr="00247126">
        <w:rPr>
          <w:noProof/>
        </w:rPr>
        <w:t>21</w:t>
      </w:r>
      <w:r w:rsidRPr="00247126">
        <w:rPr>
          <w:noProof/>
        </w:rPr>
        <w:fldChar w:fldCharType="end"/>
      </w:r>
      <w:bookmarkEnd w:id="48"/>
      <w:r w:rsidRPr="00247126">
        <w:tab/>
        <w:t>Selected sensitivity analyses – long</w:t>
      </w:r>
      <w:r w:rsidR="0003112A" w:rsidRPr="00247126">
        <w:t>/multiple</w:t>
      </w:r>
      <w:r w:rsidRPr="00247126">
        <w:t xml:space="preserve"> lesion subpopulation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Caption w:val="Selected sensitivity analyses – long lesion subpopulation"/>
        <w:tblDescription w:val="This table summarises selected sensitivity analyses for the long lesion subpopulation for OCT+AG versus AG alone."/>
      </w:tblPr>
      <w:tblGrid>
        <w:gridCol w:w="1701"/>
        <w:gridCol w:w="3826"/>
        <w:gridCol w:w="1163"/>
        <w:gridCol w:w="1163"/>
        <w:gridCol w:w="1163"/>
      </w:tblGrid>
      <w:tr w:rsidR="005027B6" w:rsidRPr="00247126" w14:paraId="1D2C44AF" w14:textId="77777777">
        <w:trPr>
          <w:cantSplit/>
          <w:tblHeader/>
        </w:trPr>
        <w:tc>
          <w:tcPr>
            <w:tcW w:w="943" w:type="pct"/>
            <w:shd w:val="clear" w:color="auto" w:fill="FFFFFF"/>
          </w:tcPr>
          <w:p w14:paraId="211F74ED" w14:textId="77777777" w:rsidR="005027B6" w:rsidRPr="00247126" w:rsidRDefault="005027B6">
            <w:pPr>
              <w:pStyle w:val="In-tableHeading"/>
              <w:spacing w:before="120" w:after="60"/>
            </w:pPr>
            <w:r w:rsidRPr="00247126">
              <w:t>Tested variable</w:t>
            </w:r>
          </w:p>
        </w:tc>
        <w:tc>
          <w:tcPr>
            <w:tcW w:w="2122" w:type="pct"/>
            <w:shd w:val="clear" w:color="auto" w:fill="FFFFFF"/>
          </w:tcPr>
          <w:p w14:paraId="4ED57666" w14:textId="77777777" w:rsidR="005027B6" w:rsidRPr="00247126" w:rsidRDefault="005027B6">
            <w:pPr>
              <w:pStyle w:val="In-tableHeading"/>
              <w:spacing w:before="120" w:after="60"/>
            </w:pPr>
            <w:r w:rsidRPr="00247126">
              <w:t>Input</w:t>
            </w:r>
          </w:p>
        </w:tc>
        <w:tc>
          <w:tcPr>
            <w:tcW w:w="645" w:type="pct"/>
            <w:shd w:val="clear" w:color="auto" w:fill="FFFFFF"/>
          </w:tcPr>
          <w:p w14:paraId="6E2BF9C6" w14:textId="77777777" w:rsidR="005027B6" w:rsidRPr="00247126" w:rsidRDefault="005027B6">
            <w:pPr>
              <w:pStyle w:val="In-tableHeading"/>
              <w:spacing w:before="120" w:after="60"/>
              <w:jc w:val="center"/>
            </w:pPr>
            <w:r w:rsidRPr="00247126">
              <w:t>Incremental cost</w:t>
            </w:r>
          </w:p>
        </w:tc>
        <w:tc>
          <w:tcPr>
            <w:tcW w:w="645" w:type="pct"/>
            <w:shd w:val="clear" w:color="auto" w:fill="FFFFFF"/>
          </w:tcPr>
          <w:p w14:paraId="281A0F27" w14:textId="77777777" w:rsidR="005027B6" w:rsidRPr="00247126" w:rsidRDefault="005027B6">
            <w:pPr>
              <w:pStyle w:val="In-tableHeading"/>
              <w:spacing w:before="120" w:after="60"/>
              <w:jc w:val="center"/>
            </w:pPr>
            <w:r w:rsidRPr="00247126">
              <w:t>Incremental QALYs</w:t>
            </w:r>
          </w:p>
        </w:tc>
        <w:tc>
          <w:tcPr>
            <w:tcW w:w="645" w:type="pct"/>
            <w:shd w:val="clear" w:color="auto" w:fill="FFFFFF"/>
            <w:vAlign w:val="center"/>
          </w:tcPr>
          <w:p w14:paraId="0AC40624" w14:textId="77777777" w:rsidR="005027B6" w:rsidRPr="00247126" w:rsidRDefault="005027B6">
            <w:pPr>
              <w:pStyle w:val="In-tableHeading"/>
              <w:spacing w:before="120" w:after="60"/>
              <w:jc w:val="center"/>
            </w:pPr>
            <w:r w:rsidRPr="00247126">
              <w:t>ICER</w:t>
            </w:r>
          </w:p>
        </w:tc>
      </w:tr>
      <w:tr w:rsidR="005027B6" w:rsidRPr="00247126" w14:paraId="493E47FE" w14:textId="77777777">
        <w:trPr>
          <w:cantSplit/>
        </w:trPr>
        <w:tc>
          <w:tcPr>
            <w:tcW w:w="943" w:type="pct"/>
            <w:tcBorders>
              <w:bottom w:val="single" w:sz="4" w:space="0" w:color="auto"/>
            </w:tcBorders>
            <w:shd w:val="clear" w:color="auto" w:fill="auto"/>
          </w:tcPr>
          <w:p w14:paraId="4653AA7E" w14:textId="77777777" w:rsidR="005027B6" w:rsidRPr="00247126" w:rsidRDefault="005027B6" w:rsidP="009102DB">
            <w:pPr>
              <w:pStyle w:val="TableText"/>
              <w:keepNext/>
            </w:pPr>
            <w:r w:rsidRPr="00247126">
              <w:t>Base case analysis</w:t>
            </w:r>
          </w:p>
        </w:tc>
        <w:tc>
          <w:tcPr>
            <w:tcW w:w="2122" w:type="pct"/>
          </w:tcPr>
          <w:p w14:paraId="12C0711A" w14:textId="77777777" w:rsidR="005027B6" w:rsidRPr="00247126" w:rsidRDefault="005027B6" w:rsidP="009102DB">
            <w:pPr>
              <w:pStyle w:val="TableText"/>
              <w:keepNext/>
            </w:pPr>
            <w:r w:rsidRPr="00247126">
              <w:t>-</w:t>
            </w:r>
          </w:p>
        </w:tc>
        <w:tc>
          <w:tcPr>
            <w:tcW w:w="645" w:type="pct"/>
            <w:shd w:val="clear" w:color="auto" w:fill="auto"/>
          </w:tcPr>
          <w:p w14:paraId="7BBFB74D" w14:textId="541A2DDF" w:rsidR="005027B6" w:rsidRPr="00247126" w:rsidRDefault="00B77E73" w:rsidP="009102DB">
            <w:pPr>
              <w:pStyle w:val="TableText"/>
              <w:keepNext/>
              <w:jc w:val="center"/>
            </w:pPr>
            <w:r w:rsidRPr="00247126">
              <w:t>$</w:t>
            </w:r>
            <w:r w:rsidRPr="00247126">
              <w:rPr>
                <w:b/>
                <w:bCs/>
              </w:rPr>
              <w:t>Redacted</w:t>
            </w:r>
          </w:p>
        </w:tc>
        <w:tc>
          <w:tcPr>
            <w:tcW w:w="645" w:type="pct"/>
            <w:shd w:val="clear" w:color="auto" w:fill="auto"/>
          </w:tcPr>
          <w:p w14:paraId="04E80268" w14:textId="77777777" w:rsidR="005027B6" w:rsidRPr="00247126" w:rsidRDefault="005027B6" w:rsidP="009102DB">
            <w:pPr>
              <w:pStyle w:val="TableText"/>
              <w:keepNext/>
              <w:jc w:val="center"/>
            </w:pPr>
            <w:r w:rsidRPr="00247126">
              <w:t>0.1196</w:t>
            </w:r>
          </w:p>
        </w:tc>
        <w:tc>
          <w:tcPr>
            <w:tcW w:w="645" w:type="pct"/>
            <w:shd w:val="clear" w:color="auto" w:fill="auto"/>
          </w:tcPr>
          <w:p w14:paraId="53B105F4" w14:textId="0FE62DE9" w:rsidR="005027B6" w:rsidRPr="00247126" w:rsidRDefault="00B77E73" w:rsidP="009102DB">
            <w:pPr>
              <w:pStyle w:val="TableText"/>
              <w:keepNext/>
              <w:jc w:val="center"/>
            </w:pPr>
            <w:r w:rsidRPr="00247126">
              <w:t>$</w:t>
            </w:r>
            <w:r w:rsidRPr="00247126">
              <w:rPr>
                <w:b/>
                <w:bCs/>
              </w:rPr>
              <w:t>Redacted</w:t>
            </w:r>
          </w:p>
        </w:tc>
      </w:tr>
      <w:tr w:rsidR="005027B6" w:rsidRPr="00247126" w14:paraId="1A62ED6B" w14:textId="77777777">
        <w:trPr>
          <w:cantSplit/>
        </w:trPr>
        <w:tc>
          <w:tcPr>
            <w:tcW w:w="943" w:type="pct"/>
            <w:tcBorders>
              <w:bottom w:val="nil"/>
            </w:tcBorders>
            <w:shd w:val="clear" w:color="auto" w:fill="auto"/>
          </w:tcPr>
          <w:p w14:paraId="755CB9C1" w14:textId="77777777" w:rsidR="005027B6" w:rsidRPr="00247126" w:rsidRDefault="005027B6">
            <w:pPr>
              <w:pStyle w:val="TableText"/>
            </w:pPr>
            <w:r w:rsidRPr="00247126">
              <w:t>Model duration</w:t>
            </w:r>
          </w:p>
        </w:tc>
        <w:tc>
          <w:tcPr>
            <w:tcW w:w="2122" w:type="pct"/>
          </w:tcPr>
          <w:p w14:paraId="014F2331" w14:textId="77777777" w:rsidR="005027B6" w:rsidRPr="00247126" w:rsidRDefault="005027B6">
            <w:pPr>
              <w:pStyle w:val="TableText"/>
            </w:pPr>
            <w:r w:rsidRPr="00247126">
              <w:t>2-year analysis</w:t>
            </w:r>
          </w:p>
        </w:tc>
        <w:tc>
          <w:tcPr>
            <w:tcW w:w="645" w:type="pct"/>
            <w:shd w:val="clear" w:color="auto" w:fill="auto"/>
          </w:tcPr>
          <w:p w14:paraId="5405CEDD" w14:textId="0C7C0549" w:rsidR="005027B6" w:rsidRPr="00247126" w:rsidRDefault="00B77E73">
            <w:pPr>
              <w:pStyle w:val="TableText"/>
              <w:jc w:val="center"/>
            </w:pPr>
            <w:r w:rsidRPr="00247126">
              <w:t>$</w:t>
            </w:r>
            <w:r w:rsidRPr="00247126">
              <w:rPr>
                <w:b/>
                <w:bCs/>
              </w:rPr>
              <w:t>Redacted</w:t>
            </w:r>
          </w:p>
        </w:tc>
        <w:tc>
          <w:tcPr>
            <w:tcW w:w="645" w:type="pct"/>
            <w:shd w:val="clear" w:color="auto" w:fill="auto"/>
          </w:tcPr>
          <w:p w14:paraId="7DDDD9BC" w14:textId="77777777" w:rsidR="005027B6" w:rsidRPr="00247126" w:rsidRDefault="005027B6">
            <w:pPr>
              <w:pStyle w:val="TableText"/>
              <w:jc w:val="center"/>
            </w:pPr>
            <w:r w:rsidRPr="00247126">
              <w:t>0.0156</w:t>
            </w:r>
          </w:p>
        </w:tc>
        <w:tc>
          <w:tcPr>
            <w:tcW w:w="645" w:type="pct"/>
            <w:shd w:val="clear" w:color="auto" w:fill="auto"/>
          </w:tcPr>
          <w:p w14:paraId="42F70AB7" w14:textId="0CE3797F" w:rsidR="005027B6" w:rsidRPr="00247126" w:rsidRDefault="00B77E73">
            <w:pPr>
              <w:pStyle w:val="TableText"/>
              <w:jc w:val="center"/>
            </w:pPr>
            <w:r w:rsidRPr="00247126">
              <w:t>$</w:t>
            </w:r>
            <w:r w:rsidRPr="00247126">
              <w:rPr>
                <w:b/>
                <w:bCs/>
              </w:rPr>
              <w:t>Redacted</w:t>
            </w:r>
          </w:p>
        </w:tc>
      </w:tr>
      <w:tr w:rsidR="005027B6" w:rsidRPr="00247126" w14:paraId="585B62C1" w14:textId="77777777">
        <w:trPr>
          <w:cantSplit/>
        </w:trPr>
        <w:tc>
          <w:tcPr>
            <w:tcW w:w="943" w:type="pct"/>
            <w:tcBorders>
              <w:top w:val="nil"/>
              <w:bottom w:val="nil"/>
            </w:tcBorders>
            <w:shd w:val="clear" w:color="auto" w:fill="auto"/>
          </w:tcPr>
          <w:p w14:paraId="603ADAAA" w14:textId="77777777" w:rsidR="005027B6" w:rsidRPr="00247126" w:rsidRDefault="005027B6">
            <w:pPr>
              <w:pStyle w:val="TableText"/>
            </w:pPr>
          </w:p>
        </w:tc>
        <w:tc>
          <w:tcPr>
            <w:tcW w:w="2122" w:type="pct"/>
          </w:tcPr>
          <w:p w14:paraId="4CE39FD2" w14:textId="77777777" w:rsidR="005027B6" w:rsidRPr="00247126" w:rsidRDefault="005027B6">
            <w:pPr>
              <w:pStyle w:val="TableText"/>
            </w:pPr>
            <w:r w:rsidRPr="00247126">
              <w:t xml:space="preserve">5-year </w:t>
            </w:r>
            <w:proofErr w:type="spellStart"/>
            <w:r w:rsidRPr="00247126">
              <w:t>analysis</w:t>
            </w:r>
            <w:r w:rsidRPr="00247126">
              <w:rPr>
                <w:vertAlign w:val="superscript"/>
              </w:rPr>
              <w:t>a</w:t>
            </w:r>
            <w:proofErr w:type="spellEnd"/>
          </w:p>
        </w:tc>
        <w:tc>
          <w:tcPr>
            <w:tcW w:w="645" w:type="pct"/>
            <w:shd w:val="clear" w:color="auto" w:fill="auto"/>
          </w:tcPr>
          <w:p w14:paraId="537722FD" w14:textId="0DB8A48D" w:rsidR="005027B6" w:rsidRPr="00247126" w:rsidRDefault="00B77E73">
            <w:pPr>
              <w:pStyle w:val="TableText"/>
              <w:jc w:val="center"/>
            </w:pPr>
            <w:r w:rsidRPr="00247126">
              <w:t>$</w:t>
            </w:r>
            <w:r w:rsidRPr="00247126">
              <w:rPr>
                <w:b/>
                <w:bCs/>
              </w:rPr>
              <w:t>Redacted</w:t>
            </w:r>
          </w:p>
        </w:tc>
        <w:tc>
          <w:tcPr>
            <w:tcW w:w="645" w:type="pct"/>
            <w:shd w:val="clear" w:color="auto" w:fill="auto"/>
          </w:tcPr>
          <w:p w14:paraId="1C862CBD" w14:textId="77777777" w:rsidR="005027B6" w:rsidRPr="00247126" w:rsidRDefault="005027B6">
            <w:pPr>
              <w:pStyle w:val="TableText"/>
              <w:jc w:val="center"/>
            </w:pPr>
            <w:r w:rsidRPr="00247126">
              <w:t>0.0412</w:t>
            </w:r>
          </w:p>
        </w:tc>
        <w:tc>
          <w:tcPr>
            <w:tcW w:w="645" w:type="pct"/>
            <w:shd w:val="clear" w:color="auto" w:fill="auto"/>
          </w:tcPr>
          <w:p w14:paraId="626F068E" w14:textId="7F8D7D86" w:rsidR="005027B6" w:rsidRPr="00247126" w:rsidRDefault="00B77E73">
            <w:pPr>
              <w:pStyle w:val="TableText"/>
              <w:jc w:val="center"/>
            </w:pPr>
            <w:r w:rsidRPr="00247126">
              <w:t>$</w:t>
            </w:r>
            <w:r w:rsidRPr="00247126">
              <w:rPr>
                <w:b/>
                <w:bCs/>
              </w:rPr>
              <w:t>Redacted</w:t>
            </w:r>
          </w:p>
        </w:tc>
      </w:tr>
      <w:tr w:rsidR="005027B6" w:rsidRPr="00247126" w14:paraId="27D101BE" w14:textId="77777777">
        <w:trPr>
          <w:cantSplit/>
        </w:trPr>
        <w:tc>
          <w:tcPr>
            <w:tcW w:w="943" w:type="pct"/>
            <w:tcBorders>
              <w:top w:val="nil"/>
            </w:tcBorders>
            <w:shd w:val="clear" w:color="auto" w:fill="auto"/>
          </w:tcPr>
          <w:p w14:paraId="44E878E7" w14:textId="77777777" w:rsidR="005027B6" w:rsidRPr="00247126" w:rsidRDefault="005027B6">
            <w:pPr>
              <w:pStyle w:val="TableText"/>
            </w:pPr>
          </w:p>
        </w:tc>
        <w:tc>
          <w:tcPr>
            <w:tcW w:w="2122" w:type="pct"/>
          </w:tcPr>
          <w:p w14:paraId="25731A40" w14:textId="77777777" w:rsidR="005027B6" w:rsidRPr="00247126" w:rsidRDefault="005027B6">
            <w:pPr>
              <w:pStyle w:val="TableText"/>
            </w:pPr>
            <w:r w:rsidRPr="00247126">
              <w:t xml:space="preserve">10-year </w:t>
            </w:r>
            <w:proofErr w:type="spellStart"/>
            <w:r w:rsidRPr="00247126">
              <w:t>analysis</w:t>
            </w:r>
            <w:r w:rsidRPr="00247126">
              <w:rPr>
                <w:vertAlign w:val="superscript"/>
              </w:rPr>
              <w:t>a</w:t>
            </w:r>
            <w:proofErr w:type="spellEnd"/>
          </w:p>
        </w:tc>
        <w:tc>
          <w:tcPr>
            <w:tcW w:w="645" w:type="pct"/>
            <w:shd w:val="clear" w:color="auto" w:fill="auto"/>
          </w:tcPr>
          <w:p w14:paraId="4BC2C50B" w14:textId="721588BE" w:rsidR="005027B6" w:rsidRPr="00247126" w:rsidRDefault="00B77E73">
            <w:pPr>
              <w:pStyle w:val="TableText"/>
              <w:jc w:val="center"/>
            </w:pPr>
            <w:r w:rsidRPr="00247126">
              <w:t>$</w:t>
            </w:r>
            <w:r w:rsidRPr="00247126">
              <w:rPr>
                <w:b/>
                <w:bCs/>
              </w:rPr>
              <w:t>Redacted</w:t>
            </w:r>
          </w:p>
        </w:tc>
        <w:tc>
          <w:tcPr>
            <w:tcW w:w="645" w:type="pct"/>
            <w:shd w:val="clear" w:color="auto" w:fill="auto"/>
          </w:tcPr>
          <w:p w14:paraId="0A0E0EE4" w14:textId="77777777" w:rsidR="005027B6" w:rsidRPr="00247126" w:rsidRDefault="005027B6">
            <w:pPr>
              <w:pStyle w:val="TableText"/>
              <w:jc w:val="center"/>
            </w:pPr>
            <w:r w:rsidRPr="00247126">
              <w:t>0.0745</w:t>
            </w:r>
          </w:p>
        </w:tc>
        <w:tc>
          <w:tcPr>
            <w:tcW w:w="645" w:type="pct"/>
            <w:shd w:val="clear" w:color="auto" w:fill="auto"/>
          </w:tcPr>
          <w:p w14:paraId="585DF6C6" w14:textId="3F2BE606" w:rsidR="005027B6" w:rsidRPr="00247126" w:rsidRDefault="00B77E73">
            <w:pPr>
              <w:pStyle w:val="TableText"/>
              <w:jc w:val="center"/>
            </w:pPr>
            <w:r w:rsidRPr="00247126">
              <w:t>$</w:t>
            </w:r>
            <w:r w:rsidRPr="00247126">
              <w:rPr>
                <w:b/>
                <w:bCs/>
              </w:rPr>
              <w:t>Redacted</w:t>
            </w:r>
          </w:p>
        </w:tc>
      </w:tr>
      <w:tr w:rsidR="005027B6" w:rsidRPr="00247126" w14:paraId="6A117423" w14:textId="77777777">
        <w:trPr>
          <w:cantSplit/>
        </w:trPr>
        <w:tc>
          <w:tcPr>
            <w:tcW w:w="943" w:type="pct"/>
            <w:tcBorders>
              <w:bottom w:val="single" w:sz="4" w:space="0" w:color="auto"/>
            </w:tcBorders>
            <w:shd w:val="clear" w:color="auto" w:fill="auto"/>
          </w:tcPr>
          <w:p w14:paraId="183C9A83" w14:textId="77777777" w:rsidR="005027B6" w:rsidRPr="00247126" w:rsidRDefault="005027B6">
            <w:pPr>
              <w:pStyle w:val="TableText"/>
            </w:pPr>
            <w:r w:rsidRPr="00247126">
              <w:t>Secondary endpoint inclusion</w:t>
            </w:r>
          </w:p>
        </w:tc>
        <w:tc>
          <w:tcPr>
            <w:tcW w:w="2122" w:type="pct"/>
          </w:tcPr>
          <w:p w14:paraId="680047D0" w14:textId="77777777" w:rsidR="005027B6" w:rsidRPr="00247126" w:rsidRDefault="005027B6">
            <w:pPr>
              <w:pStyle w:val="TableText"/>
            </w:pPr>
            <w:r w:rsidRPr="00247126">
              <w:t>Difference applied only for ST. No difference in MI, TVR or CV death (risk equal to AG only)</w:t>
            </w:r>
          </w:p>
        </w:tc>
        <w:tc>
          <w:tcPr>
            <w:tcW w:w="645" w:type="pct"/>
            <w:shd w:val="clear" w:color="auto" w:fill="auto"/>
          </w:tcPr>
          <w:p w14:paraId="6DCFE78D" w14:textId="1224378B" w:rsidR="005027B6" w:rsidRPr="00247126" w:rsidRDefault="00B77E73">
            <w:pPr>
              <w:pStyle w:val="TableText"/>
              <w:jc w:val="center"/>
            </w:pPr>
            <w:r w:rsidRPr="00247126">
              <w:t>$</w:t>
            </w:r>
            <w:r w:rsidRPr="00247126">
              <w:rPr>
                <w:b/>
                <w:bCs/>
              </w:rPr>
              <w:t>Redacted</w:t>
            </w:r>
          </w:p>
        </w:tc>
        <w:tc>
          <w:tcPr>
            <w:tcW w:w="645" w:type="pct"/>
            <w:shd w:val="clear" w:color="auto" w:fill="auto"/>
          </w:tcPr>
          <w:p w14:paraId="5BF30920" w14:textId="77777777" w:rsidR="005027B6" w:rsidRPr="00247126" w:rsidRDefault="005027B6">
            <w:pPr>
              <w:pStyle w:val="TableText"/>
              <w:jc w:val="center"/>
            </w:pPr>
            <w:r w:rsidRPr="00247126">
              <w:t>0.0203</w:t>
            </w:r>
          </w:p>
        </w:tc>
        <w:tc>
          <w:tcPr>
            <w:tcW w:w="645" w:type="pct"/>
            <w:shd w:val="clear" w:color="auto" w:fill="auto"/>
          </w:tcPr>
          <w:p w14:paraId="15B2090A" w14:textId="12738E4A" w:rsidR="005027B6" w:rsidRPr="00247126" w:rsidRDefault="00B77E73">
            <w:pPr>
              <w:pStyle w:val="TableText"/>
              <w:jc w:val="center"/>
            </w:pPr>
            <w:r w:rsidRPr="00247126">
              <w:t>$</w:t>
            </w:r>
            <w:r w:rsidRPr="00247126">
              <w:rPr>
                <w:b/>
                <w:bCs/>
              </w:rPr>
              <w:t>Redacted</w:t>
            </w:r>
          </w:p>
        </w:tc>
      </w:tr>
    </w:tbl>
    <w:p w14:paraId="3AA142B3" w14:textId="77777777" w:rsidR="005027B6" w:rsidRPr="00247126" w:rsidRDefault="005027B6" w:rsidP="009102DB">
      <w:pPr>
        <w:pStyle w:val="Tablenotes0"/>
        <w:rPr>
          <w:rFonts w:eastAsia="Calibri"/>
          <w:szCs w:val="20"/>
        </w:rPr>
      </w:pPr>
      <w:r w:rsidRPr="00247126">
        <w:t xml:space="preserve">AG = angiogram; CV = cardiovascular; ICER = incremental cost-effectiveness ratio; MI = myocardial infarction; </w:t>
      </w:r>
      <w:r w:rsidRPr="00247126">
        <w:rPr>
          <w:rFonts w:eastAsia="Calibri"/>
          <w:szCs w:val="20"/>
        </w:rPr>
        <w:t>QALY = quality-adjusted life year; ST = stent thrombosis; TVR = target vessel revascularisation.</w:t>
      </w:r>
    </w:p>
    <w:p w14:paraId="57889AA7" w14:textId="77777777" w:rsidR="005027B6" w:rsidRPr="00247126" w:rsidRDefault="005027B6" w:rsidP="009102DB">
      <w:pPr>
        <w:pStyle w:val="Tablenotes0"/>
        <w:rPr>
          <w:rFonts w:eastAsia="Calibri"/>
          <w:szCs w:val="20"/>
        </w:rPr>
      </w:pPr>
      <w:r w:rsidRPr="00247126">
        <w:rPr>
          <w:rFonts w:eastAsia="Calibri"/>
          <w:szCs w:val="20"/>
        </w:rPr>
        <w:t>Note: Duration of OCT benefits limited to the availability of trial data (= 2 years) under all scenarios.</w:t>
      </w:r>
    </w:p>
    <w:p w14:paraId="2EA1D967" w14:textId="77777777" w:rsidR="005027B6" w:rsidRPr="00247126" w:rsidRDefault="005027B6" w:rsidP="009102DB">
      <w:pPr>
        <w:pStyle w:val="Tablenotes0"/>
        <w:rPr>
          <w:rFonts w:eastAsia="Calibri"/>
          <w:szCs w:val="20"/>
        </w:rPr>
      </w:pPr>
      <w:proofErr w:type="spellStart"/>
      <w:proofErr w:type="gramStart"/>
      <w:r w:rsidRPr="00247126">
        <w:rPr>
          <w:rFonts w:eastAsia="Calibri"/>
          <w:szCs w:val="20"/>
        </w:rPr>
        <w:t>a</w:t>
      </w:r>
      <w:proofErr w:type="spellEnd"/>
      <w:proofErr w:type="gramEnd"/>
      <w:r w:rsidRPr="00247126">
        <w:rPr>
          <w:rFonts w:eastAsia="Calibri"/>
          <w:szCs w:val="20"/>
        </w:rPr>
        <w:t xml:space="preserve"> Elevated risks of MI and/or death for ‘Alive post-MI’ and ‘Alive post-revascularisation’ applied to 5 years (= base case).</w:t>
      </w:r>
    </w:p>
    <w:p w14:paraId="121E0B01" w14:textId="5058F7C7" w:rsidR="005027B6" w:rsidRPr="00247126" w:rsidRDefault="005027B6" w:rsidP="009102DB">
      <w:pPr>
        <w:pStyle w:val="Tablenotes0"/>
      </w:pPr>
      <w:r w:rsidRPr="00247126">
        <w:t xml:space="preserve">Source: Table 94 </w:t>
      </w:r>
      <w:r w:rsidR="00894203" w:rsidRPr="00247126">
        <w:t xml:space="preserve">and Table 98 </w:t>
      </w:r>
      <w:r w:rsidR="00160237" w:rsidRPr="00247126">
        <w:t>(commentary sensitivity analys</w:t>
      </w:r>
      <w:r w:rsidR="0074765E" w:rsidRPr="00247126">
        <w:t>i</w:t>
      </w:r>
      <w:r w:rsidR="00160237" w:rsidRPr="00247126">
        <w:t xml:space="preserve">s relating to secondary endpoint inclusion) </w:t>
      </w:r>
      <w:r w:rsidRPr="00247126">
        <w:t xml:space="preserve">of MSAC 1743 </w:t>
      </w:r>
      <w:proofErr w:type="spellStart"/>
      <w:r w:rsidRPr="00247126">
        <w:t>ADAR+in-line</w:t>
      </w:r>
      <w:proofErr w:type="spellEnd"/>
      <w:r w:rsidRPr="00247126">
        <w:t xml:space="preserve"> commentary.</w:t>
      </w:r>
    </w:p>
    <w:p w14:paraId="2598DCE3" w14:textId="77777777" w:rsidR="005027B6" w:rsidRPr="00247126" w:rsidRDefault="005027B6" w:rsidP="005027B6">
      <w:pPr>
        <w:pStyle w:val="Heading3"/>
      </w:pPr>
      <w:r w:rsidRPr="00247126">
        <w:t>OCT+AG versus IVUS+AG</w:t>
      </w:r>
    </w:p>
    <w:p w14:paraId="745EBACA" w14:textId="77777777" w:rsidR="005027B6" w:rsidRPr="00247126" w:rsidRDefault="005027B6" w:rsidP="005027B6">
      <w:pPr>
        <w:pStyle w:val="Heading4"/>
      </w:pPr>
      <w:r w:rsidRPr="00247126">
        <w:t>Long lesion subpopulation</w:t>
      </w:r>
    </w:p>
    <w:p w14:paraId="7130DEC7" w14:textId="60BEAEF9" w:rsidR="005027B6" w:rsidRPr="00247126" w:rsidRDefault="005027B6" w:rsidP="005027B6">
      <w:r w:rsidRPr="00247126">
        <w:t xml:space="preserve">A summary of the cost-minimisation economic evaluation is provided in </w:t>
      </w:r>
      <w:r w:rsidRPr="00247126">
        <w:fldChar w:fldCharType="begin"/>
      </w:r>
      <w:r w:rsidRPr="00247126">
        <w:instrText xml:space="preserve"> REF _Ref163065813 \h </w:instrText>
      </w:r>
      <w:r w:rsidR="00CC5607" w:rsidRPr="00247126">
        <w:instrText xml:space="preserve"> \* MERGEFORMAT </w:instrText>
      </w:r>
      <w:r w:rsidRPr="00247126">
        <w:fldChar w:fldCharType="separate"/>
      </w:r>
      <w:r w:rsidR="00151E03" w:rsidRPr="00247126">
        <w:t>Table 22</w:t>
      </w:r>
      <w:r w:rsidRPr="00247126">
        <w:fldChar w:fldCharType="end"/>
      </w:r>
      <w:r w:rsidRPr="00247126">
        <w:t>. The premise for cost neutrality assumes that OCT is substituted for IVUS, and not used in addition to IVUS.</w:t>
      </w:r>
    </w:p>
    <w:p w14:paraId="7ADF5AD2" w14:textId="4E940073" w:rsidR="005027B6" w:rsidRPr="00247126" w:rsidRDefault="005027B6" w:rsidP="005027B6">
      <w:pPr>
        <w:pStyle w:val="Caption"/>
        <w:tabs>
          <w:tab w:val="left" w:pos="1134"/>
        </w:tabs>
        <w:ind w:left="1134" w:hanging="1134"/>
      </w:pPr>
      <w:bookmarkStart w:id="49" w:name="_Ref163065813"/>
      <w:r w:rsidRPr="00247126">
        <w:t>Table </w:t>
      </w:r>
      <w:r w:rsidRPr="00247126">
        <w:rPr>
          <w:noProof/>
        </w:rPr>
        <w:fldChar w:fldCharType="begin"/>
      </w:r>
      <w:r w:rsidRPr="00247126">
        <w:rPr>
          <w:noProof/>
        </w:rPr>
        <w:instrText xml:space="preserve"> SEQ Table \* ARABIC </w:instrText>
      </w:r>
      <w:r w:rsidRPr="00247126">
        <w:rPr>
          <w:noProof/>
        </w:rPr>
        <w:fldChar w:fldCharType="separate"/>
      </w:r>
      <w:r w:rsidR="00151E03" w:rsidRPr="00247126">
        <w:rPr>
          <w:noProof/>
        </w:rPr>
        <w:t>22</w:t>
      </w:r>
      <w:r w:rsidRPr="00247126">
        <w:rPr>
          <w:noProof/>
        </w:rPr>
        <w:fldChar w:fldCharType="end"/>
      </w:r>
      <w:bookmarkEnd w:id="49"/>
      <w:r w:rsidRPr="00247126">
        <w:tab/>
        <w:t>Summary of the cost-minimisation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cost-minimisation economic evaluation"/>
        <w:tblDescription w:val="This table describes the therapeutic claims, evidence base, costs and cost offsets that underpin the cost minimisation analysis for OCT+AG versus IVUS+AG."/>
      </w:tblPr>
      <w:tblGrid>
        <w:gridCol w:w="2829"/>
        <w:gridCol w:w="6187"/>
      </w:tblGrid>
      <w:tr w:rsidR="005027B6" w:rsidRPr="00247126" w14:paraId="6B98078B" w14:textId="77777777">
        <w:trPr>
          <w:tblHeader/>
        </w:trPr>
        <w:tc>
          <w:tcPr>
            <w:tcW w:w="1569" w:type="pct"/>
          </w:tcPr>
          <w:p w14:paraId="65AC2518" w14:textId="77777777" w:rsidR="005027B6" w:rsidRPr="00247126" w:rsidRDefault="005027B6">
            <w:pPr>
              <w:pStyle w:val="TableHeading"/>
              <w:rPr>
                <w:szCs w:val="20"/>
              </w:rPr>
            </w:pPr>
            <w:r w:rsidRPr="00247126">
              <w:rPr>
                <w:szCs w:val="20"/>
              </w:rPr>
              <w:t>Component</w:t>
            </w:r>
          </w:p>
        </w:tc>
        <w:tc>
          <w:tcPr>
            <w:tcW w:w="3431" w:type="pct"/>
          </w:tcPr>
          <w:p w14:paraId="1817FED6" w14:textId="77777777" w:rsidR="005027B6" w:rsidRPr="00247126" w:rsidRDefault="005027B6">
            <w:pPr>
              <w:pStyle w:val="TableHeading"/>
              <w:rPr>
                <w:szCs w:val="20"/>
              </w:rPr>
            </w:pPr>
            <w:r w:rsidRPr="00247126">
              <w:rPr>
                <w:szCs w:val="20"/>
              </w:rPr>
              <w:t>Description</w:t>
            </w:r>
          </w:p>
        </w:tc>
      </w:tr>
      <w:tr w:rsidR="005027B6" w:rsidRPr="00247126" w14:paraId="7678B9A0" w14:textId="77777777">
        <w:tc>
          <w:tcPr>
            <w:tcW w:w="1569" w:type="pct"/>
          </w:tcPr>
          <w:p w14:paraId="42665B5A" w14:textId="77777777" w:rsidR="005027B6" w:rsidRPr="00247126" w:rsidRDefault="005027B6">
            <w:pPr>
              <w:pStyle w:val="TableText"/>
              <w:rPr>
                <w:szCs w:val="20"/>
              </w:rPr>
            </w:pPr>
            <w:r w:rsidRPr="00247126">
              <w:t>Therapeutic claim: effectiveness</w:t>
            </w:r>
          </w:p>
        </w:tc>
        <w:tc>
          <w:tcPr>
            <w:tcW w:w="3431" w:type="pct"/>
          </w:tcPr>
          <w:p w14:paraId="6BCB6F46" w14:textId="77777777" w:rsidR="005027B6" w:rsidRPr="00247126" w:rsidRDefault="005027B6">
            <w:pPr>
              <w:pStyle w:val="TableText"/>
              <w:rPr>
                <w:szCs w:val="20"/>
              </w:rPr>
            </w:pPr>
            <w:r w:rsidRPr="00247126">
              <w:t>Effectiveness is non-inferior between OCT+AG and IVUS+AG</w:t>
            </w:r>
          </w:p>
        </w:tc>
      </w:tr>
      <w:tr w:rsidR="005027B6" w:rsidRPr="00247126" w14:paraId="228C9063" w14:textId="77777777">
        <w:trPr>
          <w:tblHeader/>
        </w:trPr>
        <w:tc>
          <w:tcPr>
            <w:tcW w:w="1569" w:type="pct"/>
          </w:tcPr>
          <w:p w14:paraId="1076303B" w14:textId="77777777" w:rsidR="005027B6" w:rsidRPr="00247126" w:rsidRDefault="005027B6">
            <w:pPr>
              <w:pStyle w:val="TableText"/>
              <w:rPr>
                <w:szCs w:val="20"/>
              </w:rPr>
            </w:pPr>
            <w:r w:rsidRPr="00247126">
              <w:t>Therapeutic claim: safety</w:t>
            </w:r>
          </w:p>
        </w:tc>
        <w:tc>
          <w:tcPr>
            <w:tcW w:w="3431" w:type="pct"/>
          </w:tcPr>
          <w:p w14:paraId="2124F9B6" w14:textId="77777777" w:rsidR="005027B6" w:rsidRPr="00247126" w:rsidRDefault="005027B6">
            <w:pPr>
              <w:pStyle w:val="TableText"/>
              <w:rPr>
                <w:szCs w:val="20"/>
              </w:rPr>
            </w:pPr>
            <w:r w:rsidRPr="00247126">
              <w:t>Safety is non-inferior between OCT+AG and IVUS+AG</w:t>
            </w:r>
          </w:p>
        </w:tc>
      </w:tr>
      <w:tr w:rsidR="005027B6" w:rsidRPr="00247126" w14:paraId="500B7004" w14:textId="77777777">
        <w:tc>
          <w:tcPr>
            <w:tcW w:w="1569" w:type="pct"/>
          </w:tcPr>
          <w:p w14:paraId="058BF492" w14:textId="77777777" w:rsidR="005027B6" w:rsidRPr="00247126" w:rsidRDefault="005027B6">
            <w:pPr>
              <w:pStyle w:val="TableText"/>
              <w:rPr>
                <w:szCs w:val="20"/>
              </w:rPr>
            </w:pPr>
            <w:r w:rsidRPr="00247126">
              <w:t>Evidence base</w:t>
            </w:r>
          </w:p>
        </w:tc>
        <w:tc>
          <w:tcPr>
            <w:tcW w:w="3431" w:type="pct"/>
          </w:tcPr>
          <w:p w14:paraId="653226E8" w14:textId="745FA471" w:rsidR="005027B6" w:rsidRPr="00247126" w:rsidRDefault="005027B6">
            <w:pPr>
              <w:pStyle w:val="TableText"/>
              <w:rPr>
                <w:szCs w:val="20"/>
              </w:rPr>
            </w:pPr>
            <w:r w:rsidRPr="00247126">
              <w:t xml:space="preserve">OCTIVUS RCT, </w:t>
            </w:r>
            <w:r w:rsidRPr="00247126">
              <w:rPr>
                <w:iCs/>
              </w:rPr>
              <w:t>post</w:t>
            </w:r>
            <w:r w:rsidR="00124681" w:rsidRPr="00247126">
              <w:rPr>
                <w:iCs/>
              </w:rPr>
              <w:t xml:space="preserve"> </w:t>
            </w:r>
            <w:r w:rsidRPr="00247126">
              <w:rPr>
                <w:iCs/>
              </w:rPr>
              <w:t>hoc</w:t>
            </w:r>
            <w:r w:rsidRPr="00247126">
              <w:t xml:space="preserve"> subgroup data</w:t>
            </w:r>
          </w:p>
        </w:tc>
      </w:tr>
      <w:tr w:rsidR="005027B6" w:rsidRPr="00247126" w14:paraId="6633CC31" w14:textId="77777777">
        <w:tc>
          <w:tcPr>
            <w:tcW w:w="1569" w:type="pct"/>
          </w:tcPr>
          <w:p w14:paraId="61D52C35" w14:textId="77777777" w:rsidR="005027B6" w:rsidRPr="00247126" w:rsidRDefault="005027B6">
            <w:pPr>
              <w:pStyle w:val="TableText"/>
              <w:rPr>
                <w:szCs w:val="20"/>
              </w:rPr>
            </w:pPr>
            <w:r w:rsidRPr="00247126">
              <w:t>Direct health technology costs</w:t>
            </w:r>
          </w:p>
        </w:tc>
        <w:tc>
          <w:tcPr>
            <w:tcW w:w="3431" w:type="pct"/>
          </w:tcPr>
          <w:p w14:paraId="4A0DD687" w14:textId="77777777" w:rsidR="005027B6" w:rsidRPr="00247126" w:rsidRDefault="005027B6">
            <w:pPr>
              <w:pStyle w:val="TableText"/>
            </w:pPr>
            <w:r w:rsidRPr="00247126">
              <w:t>Proposed MBS fee for OCT is same as that for IVUS (with no additional cost implications; cost-neutrality for MBS has been achieved)</w:t>
            </w:r>
          </w:p>
          <w:p w14:paraId="0FEBDAC1" w14:textId="77777777" w:rsidR="005027B6" w:rsidRPr="00247126" w:rsidRDefault="005027B6">
            <w:pPr>
              <w:pStyle w:val="TableText"/>
              <w:rPr>
                <w:szCs w:val="20"/>
              </w:rPr>
            </w:pPr>
            <w:r w:rsidRPr="00247126">
              <w:t>Costs of other resource use, including consumables and imaging equipment, are expected to be comparable</w:t>
            </w:r>
          </w:p>
        </w:tc>
      </w:tr>
      <w:tr w:rsidR="005027B6" w:rsidRPr="00247126" w14:paraId="36ECBD07" w14:textId="77777777">
        <w:tc>
          <w:tcPr>
            <w:tcW w:w="1569" w:type="pct"/>
          </w:tcPr>
          <w:p w14:paraId="6C2D68D6" w14:textId="77777777" w:rsidR="005027B6" w:rsidRPr="00247126" w:rsidRDefault="005027B6">
            <w:pPr>
              <w:pStyle w:val="TableText"/>
              <w:rPr>
                <w:szCs w:val="20"/>
              </w:rPr>
            </w:pPr>
            <w:r w:rsidRPr="00247126">
              <w:t>Other costs or cost offsets</w:t>
            </w:r>
          </w:p>
        </w:tc>
        <w:tc>
          <w:tcPr>
            <w:tcW w:w="3431" w:type="pct"/>
          </w:tcPr>
          <w:p w14:paraId="251BCF4F" w14:textId="77777777" w:rsidR="005027B6" w:rsidRPr="00247126" w:rsidRDefault="005027B6">
            <w:pPr>
              <w:pStyle w:val="TableText"/>
              <w:rPr>
                <w:szCs w:val="20"/>
              </w:rPr>
            </w:pPr>
            <w:r w:rsidRPr="00247126">
              <w:t>Not considered; not expected to meaningfully differ between OCT and IVUS</w:t>
            </w:r>
          </w:p>
        </w:tc>
      </w:tr>
    </w:tbl>
    <w:p w14:paraId="331C7947" w14:textId="77777777" w:rsidR="005027B6" w:rsidRPr="00247126" w:rsidRDefault="005027B6" w:rsidP="009102DB">
      <w:pPr>
        <w:pStyle w:val="Tablenotes0"/>
      </w:pPr>
      <w:r w:rsidRPr="00247126">
        <w:t>AG = angiogram; IVUS = intravascular ultrasound; MBS = Medicare Benefits Schedule; OCT = optical coherence tomography; RCT = randomised controlled trial.</w:t>
      </w:r>
    </w:p>
    <w:p w14:paraId="66657A6C" w14:textId="77777777" w:rsidR="005027B6" w:rsidRPr="00247126" w:rsidRDefault="005027B6" w:rsidP="009102DB">
      <w:pPr>
        <w:pStyle w:val="Tablenotes0"/>
      </w:pPr>
      <w:r w:rsidRPr="00247126">
        <w:t xml:space="preserve">Source: Derived from Table 100 of MSAC 1743 </w:t>
      </w:r>
      <w:proofErr w:type="spellStart"/>
      <w:r w:rsidRPr="00247126">
        <w:t>ADAR+in-line</w:t>
      </w:r>
      <w:proofErr w:type="spellEnd"/>
      <w:r w:rsidRPr="00247126">
        <w:t xml:space="preserve"> commentary.</w:t>
      </w:r>
    </w:p>
    <w:p w14:paraId="5E167512" w14:textId="01FFA116" w:rsidR="005027B6" w:rsidRPr="00247126" w:rsidRDefault="005027B6" w:rsidP="005027B6">
      <w:r w:rsidRPr="00247126">
        <w:t>The delivery of OCT services requires the OCT imaging system, the cost of which is currently $</w:t>
      </w:r>
      <w:r w:rsidR="00AD7004" w:rsidRPr="00247126">
        <w:rPr>
          <w:b/>
          <w:bCs/>
        </w:rPr>
        <w:t>Redacted</w:t>
      </w:r>
      <w:r w:rsidRPr="00247126">
        <w:t xml:space="preserve"> per unit with an expected longevity of 10 years, and the likely cost of maintenance each year estimated at $</w:t>
      </w:r>
      <w:r w:rsidR="00AD7004" w:rsidRPr="00247126">
        <w:rPr>
          <w:b/>
          <w:bCs/>
        </w:rPr>
        <w:t>Redacted</w:t>
      </w:r>
      <w:r w:rsidRPr="00247126">
        <w:t xml:space="preserve">. Translating the annualised capital cost to a per-procedure equivalent required an estimated number of procedures provided per OCT system, noting that the same system could be shared to treat patients managed under the public system or privately paying patients for any indications (including diagnostic and interventional). The analysis assumed that each OCT system would on average deliver </w:t>
      </w:r>
      <w:r w:rsidR="00B77E73" w:rsidRPr="00247126">
        <w:rPr>
          <w:b/>
          <w:bCs/>
        </w:rPr>
        <w:t>Redacted</w:t>
      </w:r>
      <w:r w:rsidRPr="00247126">
        <w:t xml:space="preserve"> services each year, noting that caseload intensity is difficult to reliably derive.</w:t>
      </w:r>
    </w:p>
    <w:p w14:paraId="1E962CB3" w14:textId="46D373B4" w:rsidR="005027B6" w:rsidRPr="00247126" w:rsidRDefault="005027B6" w:rsidP="005027B6">
      <w:r w:rsidRPr="00247126">
        <w:lastRenderedPageBreak/>
        <w:fldChar w:fldCharType="begin"/>
      </w:r>
      <w:r w:rsidRPr="00247126">
        <w:instrText xml:space="preserve"> REF _Ref163075807 \h </w:instrText>
      </w:r>
      <w:r w:rsidR="00CC5607" w:rsidRPr="00247126">
        <w:instrText xml:space="preserve"> \* MERGEFORMAT </w:instrText>
      </w:r>
      <w:r w:rsidRPr="00247126">
        <w:fldChar w:fldCharType="separate"/>
      </w:r>
      <w:r w:rsidR="00151E03" w:rsidRPr="00247126">
        <w:t>Table 23</w:t>
      </w:r>
      <w:r w:rsidRPr="00247126">
        <w:fldChar w:fldCharType="end"/>
      </w:r>
      <w:r w:rsidRPr="00247126">
        <w:t xml:space="preserve"> presents the results of the cost comparison of OCT+AG versus IVUS+AG. The ADAR acknowledged the cost minimisation premise was not achieved in the strict sense with an additional cost of </w:t>
      </w:r>
      <w:r w:rsidR="00B77E73" w:rsidRPr="00247126">
        <w:t>$</w:t>
      </w:r>
      <w:r w:rsidR="00B77E73" w:rsidRPr="00247126">
        <w:rPr>
          <w:b/>
          <w:bCs/>
        </w:rPr>
        <w:t>Redacted</w:t>
      </w:r>
      <w:r w:rsidRPr="00247126">
        <w:t xml:space="preserve"> per procedure, which should be considered as negligible given the costs for IVUS were based on 2014 information included in MSAC application 1354.</w:t>
      </w:r>
    </w:p>
    <w:p w14:paraId="023D9DDB" w14:textId="5A19348F" w:rsidR="005027B6" w:rsidRPr="00247126" w:rsidRDefault="005027B6" w:rsidP="005027B6">
      <w:r w:rsidRPr="00247126">
        <w:t xml:space="preserve">The commentary provided a revised analysis using a lower cost for the IVUS catheter and consumables. Leaving aside the capital cost per procedure, which is highly uncertain because it depends on the number of machines available and total caseload, the revised analysis suggests that cost neutrality may not be established with the current cost proposed for OCT consumables, with OCT+AG resulting in an additional cost </w:t>
      </w:r>
      <w:proofErr w:type="gramStart"/>
      <w:r w:rsidRPr="00247126">
        <w:t>in excess of</w:t>
      </w:r>
      <w:proofErr w:type="gramEnd"/>
      <w:r w:rsidRPr="00247126">
        <w:t xml:space="preserve"> </w:t>
      </w:r>
      <w:r w:rsidR="00B77E73" w:rsidRPr="00247126">
        <w:t>$</w:t>
      </w:r>
      <w:r w:rsidR="00B77E73" w:rsidRPr="00247126">
        <w:rPr>
          <w:b/>
          <w:bCs/>
        </w:rPr>
        <w:t>Redacted</w:t>
      </w:r>
      <w:r w:rsidR="00B77E73" w:rsidRPr="00247126" w:rsidDel="00B77E73">
        <w:t xml:space="preserve"> </w:t>
      </w:r>
      <w:r w:rsidRPr="00247126">
        <w:t>compared with IVUS+AG. To achieve cost minimisation, the cost for OCT consumables would need to be lower.</w:t>
      </w:r>
    </w:p>
    <w:p w14:paraId="10DD9156" w14:textId="6C392CE1" w:rsidR="005027B6" w:rsidRPr="00247126" w:rsidRDefault="005027B6" w:rsidP="004C34D8">
      <w:pPr>
        <w:pStyle w:val="Caption"/>
        <w:tabs>
          <w:tab w:val="left" w:pos="1134"/>
        </w:tabs>
        <w:spacing w:before="240"/>
        <w:ind w:left="1134" w:hanging="1134"/>
      </w:pPr>
      <w:bookmarkStart w:id="50" w:name="_Ref163075807"/>
      <w:r w:rsidRPr="00247126">
        <w:t>Table </w:t>
      </w:r>
      <w:r w:rsidRPr="00247126">
        <w:rPr>
          <w:noProof/>
        </w:rPr>
        <w:fldChar w:fldCharType="begin"/>
      </w:r>
      <w:r w:rsidRPr="00247126">
        <w:rPr>
          <w:noProof/>
        </w:rPr>
        <w:instrText xml:space="preserve"> SEQ Table \* ARABIC </w:instrText>
      </w:r>
      <w:r w:rsidRPr="00247126">
        <w:rPr>
          <w:noProof/>
        </w:rPr>
        <w:fldChar w:fldCharType="separate"/>
      </w:r>
      <w:r w:rsidR="00151E03" w:rsidRPr="00247126">
        <w:rPr>
          <w:noProof/>
        </w:rPr>
        <w:t>23</w:t>
      </w:r>
      <w:r w:rsidRPr="00247126">
        <w:rPr>
          <w:noProof/>
        </w:rPr>
        <w:fldChar w:fldCharType="end"/>
      </w:r>
      <w:bookmarkEnd w:id="50"/>
      <w:r w:rsidRPr="00247126">
        <w:tab/>
        <w:t>Cost comparison of OCT+AG versus IVUS+AG for use in angiography-guided PCI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 comparison of OCT+AG versus IVUS+AG for use in angiography-guided PCI procedure"/>
        <w:tblDescription w:val="This table summarises the costs and assumptions that were taken into consideration in the cost comparison between OCT and IVUS for coroanry stent insertion."/>
      </w:tblPr>
      <w:tblGrid>
        <w:gridCol w:w="2527"/>
        <w:gridCol w:w="1046"/>
        <w:gridCol w:w="976"/>
        <w:gridCol w:w="4467"/>
      </w:tblGrid>
      <w:tr w:rsidR="005027B6" w:rsidRPr="00247126" w14:paraId="67FCBD78" w14:textId="77777777" w:rsidTr="00B47DFA">
        <w:trPr>
          <w:tblHeader/>
        </w:trPr>
        <w:tc>
          <w:tcPr>
            <w:tcW w:w="1412" w:type="pct"/>
            <w:tcBorders>
              <w:bottom w:val="single" w:sz="4" w:space="0" w:color="auto"/>
            </w:tcBorders>
          </w:tcPr>
          <w:p w14:paraId="1F1D3B41" w14:textId="77777777" w:rsidR="005027B6" w:rsidRPr="00247126" w:rsidRDefault="005027B6" w:rsidP="004C34D8">
            <w:pPr>
              <w:pStyle w:val="TableHeading"/>
              <w:keepNext w:val="0"/>
              <w:spacing w:before="20" w:after="20"/>
              <w:rPr>
                <w:szCs w:val="20"/>
              </w:rPr>
            </w:pPr>
            <w:r w:rsidRPr="00247126">
              <w:rPr>
                <w:szCs w:val="20"/>
              </w:rPr>
              <w:t>Resource use</w:t>
            </w:r>
          </w:p>
        </w:tc>
        <w:tc>
          <w:tcPr>
            <w:tcW w:w="550" w:type="pct"/>
            <w:tcBorders>
              <w:bottom w:val="single" w:sz="4" w:space="0" w:color="auto"/>
            </w:tcBorders>
          </w:tcPr>
          <w:p w14:paraId="3F770122" w14:textId="77777777" w:rsidR="005027B6" w:rsidRPr="00247126" w:rsidRDefault="005027B6" w:rsidP="004C34D8">
            <w:pPr>
              <w:pStyle w:val="TableHeading"/>
              <w:keepNext w:val="0"/>
              <w:spacing w:before="20" w:after="20"/>
              <w:rPr>
                <w:szCs w:val="20"/>
              </w:rPr>
            </w:pPr>
            <w:r w:rsidRPr="00247126">
              <w:rPr>
                <w:szCs w:val="20"/>
              </w:rPr>
              <w:t>OCT+AG</w:t>
            </w:r>
          </w:p>
        </w:tc>
        <w:tc>
          <w:tcPr>
            <w:tcW w:w="551" w:type="pct"/>
            <w:tcBorders>
              <w:bottom w:val="single" w:sz="4" w:space="0" w:color="auto"/>
            </w:tcBorders>
          </w:tcPr>
          <w:p w14:paraId="53734AFE" w14:textId="77777777" w:rsidR="005027B6" w:rsidRPr="00247126" w:rsidRDefault="005027B6" w:rsidP="004C34D8">
            <w:pPr>
              <w:pStyle w:val="TableHeading"/>
              <w:keepNext w:val="0"/>
              <w:spacing w:before="20" w:after="20"/>
              <w:rPr>
                <w:szCs w:val="20"/>
              </w:rPr>
            </w:pPr>
            <w:r w:rsidRPr="00247126">
              <w:rPr>
                <w:szCs w:val="20"/>
              </w:rPr>
              <w:t>IVUS+AG</w:t>
            </w:r>
          </w:p>
        </w:tc>
        <w:tc>
          <w:tcPr>
            <w:tcW w:w="2487" w:type="pct"/>
          </w:tcPr>
          <w:p w14:paraId="0910E3B8" w14:textId="77777777" w:rsidR="005027B6" w:rsidRPr="00247126" w:rsidRDefault="005027B6" w:rsidP="004C34D8">
            <w:pPr>
              <w:pStyle w:val="TableHeading"/>
              <w:keepNext w:val="0"/>
              <w:spacing w:before="20" w:after="20"/>
              <w:rPr>
                <w:szCs w:val="20"/>
              </w:rPr>
            </w:pPr>
            <w:r w:rsidRPr="00247126">
              <w:rPr>
                <w:szCs w:val="20"/>
              </w:rPr>
              <w:t>Source / note</w:t>
            </w:r>
          </w:p>
        </w:tc>
      </w:tr>
      <w:tr w:rsidR="005027B6" w:rsidRPr="00247126" w14:paraId="4DE7F7BB" w14:textId="77777777" w:rsidTr="00B47DFA">
        <w:tc>
          <w:tcPr>
            <w:tcW w:w="1412" w:type="pct"/>
            <w:tcBorders>
              <w:right w:val="nil"/>
            </w:tcBorders>
          </w:tcPr>
          <w:p w14:paraId="65FD8433" w14:textId="77777777" w:rsidR="005027B6" w:rsidRPr="00247126" w:rsidRDefault="005027B6" w:rsidP="004C34D8">
            <w:pPr>
              <w:pStyle w:val="TableText"/>
              <w:spacing w:before="20" w:after="20"/>
              <w:rPr>
                <w:b/>
                <w:bCs/>
              </w:rPr>
            </w:pPr>
            <w:r w:rsidRPr="00247126">
              <w:rPr>
                <w:b/>
                <w:bCs/>
              </w:rPr>
              <w:t>ADAR analysis</w:t>
            </w:r>
          </w:p>
        </w:tc>
        <w:tc>
          <w:tcPr>
            <w:tcW w:w="550" w:type="pct"/>
            <w:tcBorders>
              <w:left w:val="nil"/>
              <w:right w:val="nil"/>
            </w:tcBorders>
          </w:tcPr>
          <w:p w14:paraId="49C5900A" w14:textId="77777777" w:rsidR="005027B6" w:rsidRPr="00247126" w:rsidRDefault="005027B6" w:rsidP="004C34D8">
            <w:pPr>
              <w:pStyle w:val="TableText"/>
              <w:spacing w:before="20" w:after="20"/>
              <w:rPr>
                <w:b/>
                <w:bCs/>
              </w:rPr>
            </w:pPr>
          </w:p>
        </w:tc>
        <w:tc>
          <w:tcPr>
            <w:tcW w:w="551" w:type="pct"/>
            <w:tcBorders>
              <w:left w:val="nil"/>
              <w:right w:val="nil"/>
            </w:tcBorders>
          </w:tcPr>
          <w:p w14:paraId="3B339E9C" w14:textId="77777777" w:rsidR="005027B6" w:rsidRPr="00247126" w:rsidRDefault="005027B6" w:rsidP="004C34D8">
            <w:pPr>
              <w:pStyle w:val="TableText"/>
              <w:spacing w:before="20" w:after="20"/>
              <w:rPr>
                <w:b/>
                <w:bCs/>
              </w:rPr>
            </w:pPr>
          </w:p>
        </w:tc>
        <w:tc>
          <w:tcPr>
            <w:tcW w:w="2487" w:type="pct"/>
            <w:tcBorders>
              <w:left w:val="nil"/>
            </w:tcBorders>
          </w:tcPr>
          <w:p w14:paraId="46588B62" w14:textId="77777777" w:rsidR="005027B6" w:rsidRPr="00247126" w:rsidRDefault="005027B6" w:rsidP="004C34D8">
            <w:pPr>
              <w:pStyle w:val="TableText"/>
              <w:spacing w:before="20" w:after="20"/>
              <w:rPr>
                <w:b/>
                <w:bCs/>
              </w:rPr>
            </w:pPr>
          </w:p>
        </w:tc>
      </w:tr>
      <w:tr w:rsidR="005027B6" w:rsidRPr="00247126" w14:paraId="4018797B" w14:textId="77777777" w:rsidTr="00B47DFA">
        <w:tc>
          <w:tcPr>
            <w:tcW w:w="1412" w:type="pct"/>
          </w:tcPr>
          <w:p w14:paraId="5717A590" w14:textId="77777777" w:rsidR="005027B6" w:rsidRPr="00247126" w:rsidRDefault="005027B6" w:rsidP="004C34D8">
            <w:pPr>
              <w:pStyle w:val="TableText"/>
              <w:spacing w:before="20" w:after="20"/>
              <w:rPr>
                <w:szCs w:val="20"/>
              </w:rPr>
            </w:pPr>
            <w:r w:rsidRPr="00247126">
              <w:t>Professional fee</w:t>
            </w:r>
          </w:p>
        </w:tc>
        <w:tc>
          <w:tcPr>
            <w:tcW w:w="550" w:type="pct"/>
          </w:tcPr>
          <w:p w14:paraId="41375CFB" w14:textId="77777777" w:rsidR="005027B6" w:rsidRPr="00247126" w:rsidRDefault="005027B6" w:rsidP="004C34D8">
            <w:pPr>
              <w:pStyle w:val="TableText"/>
              <w:spacing w:before="20" w:after="20"/>
              <w:rPr>
                <w:szCs w:val="20"/>
              </w:rPr>
            </w:pPr>
            <w:r w:rsidRPr="00247126">
              <w:t>$258.45</w:t>
            </w:r>
          </w:p>
        </w:tc>
        <w:tc>
          <w:tcPr>
            <w:tcW w:w="551" w:type="pct"/>
          </w:tcPr>
          <w:p w14:paraId="03F6D098" w14:textId="77777777" w:rsidR="005027B6" w:rsidRPr="00247126" w:rsidRDefault="005027B6" w:rsidP="004C34D8">
            <w:pPr>
              <w:pStyle w:val="TableText"/>
              <w:spacing w:before="20" w:after="20"/>
              <w:rPr>
                <w:szCs w:val="20"/>
              </w:rPr>
            </w:pPr>
            <w:r w:rsidRPr="00247126">
              <w:t>$258.45</w:t>
            </w:r>
          </w:p>
        </w:tc>
        <w:tc>
          <w:tcPr>
            <w:tcW w:w="2487" w:type="pct"/>
          </w:tcPr>
          <w:p w14:paraId="2EAD0EAB" w14:textId="77777777" w:rsidR="005027B6" w:rsidRPr="00247126" w:rsidRDefault="005027B6" w:rsidP="004C34D8">
            <w:pPr>
              <w:pStyle w:val="TableText"/>
              <w:spacing w:before="20" w:after="20"/>
            </w:pPr>
            <w:r w:rsidRPr="00247126">
              <w:t xml:space="preserve">Requested fee ($516.90), 50% MOR factor Benchmarked to MBS item 38241 (coronary pressure wire) </w:t>
            </w:r>
          </w:p>
        </w:tc>
      </w:tr>
      <w:tr w:rsidR="005027B6" w:rsidRPr="00247126" w14:paraId="79ADC8EE" w14:textId="77777777" w:rsidTr="00B47DFA">
        <w:trPr>
          <w:tblHeader/>
        </w:trPr>
        <w:tc>
          <w:tcPr>
            <w:tcW w:w="1412" w:type="pct"/>
          </w:tcPr>
          <w:p w14:paraId="05F948D7" w14:textId="77777777" w:rsidR="005027B6" w:rsidRPr="00247126" w:rsidRDefault="005027B6" w:rsidP="004C34D8">
            <w:pPr>
              <w:pStyle w:val="TableText"/>
              <w:spacing w:before="20" w:after="20"/>
              <w:rPr>
                <w:szCs w:val="20"/>
              </w:rPr>
            </w:pPr>
            <w:r w:rsidRPr="00247126">
              <w:t xml:space="preserve">Catheter and other consumables </w:t>
            </w:r>
          </w:p>
        </w:tc>
        <w:tc>
          <w:tcPr>
            <w:tcW w:w="550" w:type="pct"/>
          </w:tcPr>
          <w:p w14:paraId="476C1BD3" w14:textId="641F90E3" w:rsidR="005027B6" w:rsidRPr="00247126" w:rsidRDefault="00B77E73" w:rsidP="004C34D8">
            <w:pPr>
              <w:pStyle w:val="TableText"/>
              <w:spacing w:before="20" w:after="20"/>
              <w:rPr>
                <w:szCs w:val="20"/>
              </w:rPr>
            </w:pPr>
            <w:r w:rsidRPr="00247126">
              <w:t>$</w:t>
            </w:r>
            <w:r w:rsidRPr="00247126">
              <w:rPr>
                <w:b/>
                <w:bCs/>
              </w:rPr>
              <w:t>Redacted</w:t>
            </w:r>
          </w:p>
        </w:tc>
        <w:tc>
          <w:tcPr>
            <w:tcW w:w="551" w:type="pct"/>
          </w:tcPr>
          <w:p w14:paraId="19743E94" w14:textId="77777777" w:rsidR="005027B6" w:rsidRPr="00247126" w:rsidRDefault="005027B6" w:rsidP="004C34D8">
            <w:pPr>
              <w:pStyle w:val="TableText"/>
              <w:spacing w:before="20" w:after="20"/>
              <w:rPr>
                <w:szCs w:val="20"/>
              </w:rPr>
            </w:pPr>
            <w:r w:rsidRPr="00247126">
              <w:t>$1,500</w:t>
            </w:r>
          </w:p>
        </w:tc>
        <w:tc>
          <w:tcPr>
            <w:tcW w:w="2487" w:type="pct"/>
          </w:tcPr>
          <w:p w14:paraId="1B916DD6" w14:textId="77777777" w:rsidR="005027B6" w:rsidRPr="00247126" w:rsidRDefault="005027B6" w:rsidP="004C34D8">
            <w:pPr>
              <w:pStyle w:val="TableText"/>
              <w:spacing w:before="20" w:after="20"/>
            </w:pPr>
            <w:r w:rsidRPr="00247126">
              <w:t>Proposed price for OCT</w:t>
            </w:r>
          </w:p>
          <w:p w14:paraId="352F7BD1" w14:textId="77777777" w:rsidR="005027B6" w:rsidRPr="00247126" w:rsidRDefault="005027B6" w:rsidP="004C34D8">
            <w:pPr>
              <w:pStyle w:val="TableText"/>
              <w:spacing w:before="20" w:after="20"/>
              <w:rPr>
                <w:szCs w:val="20"/>
              </w:rPr>
            </w:pPr>
            <w:r w:rsidRPr="00247126">
              <w:rPr>
                <w:szCs w:val="20"/>
              </w:rPr>
              <w:t>IVUS cost based on MSAC application 1354, quoted range $1,000-$1,500</w:t>
            </w:r>
          </w:p>
        </w:tc>
      </w:tr>
      <w:tr w:rsidR="005027B6" w:rsidRPr="00247126" w14:paraId="561D38CC" w14:textId="77777777" w:rsidTr="00B47DFA">
        <w:tc>
          <w:tcPr>
            <w:tcW w:w="1412" w:type="pct"/>
          </w:tcPr>
          <w:p w14:paraId="1B0241A8" w14:textId="77777777" w:rsidR="005027B6" w:rsidRPr="00247126" w:rsidRDefault="005027B6" w:rsidP="004C34D8">
            <w:pPr>
              <w:pStyle w:val="TableText"/>
              <w:spacing w:before="20" w:after="20"/>
              <w:rPr>
                <w:szCs w:val="20"/>
              </w:rPr>
            </w:pPr>
            <w:r w:rsidRPr="00247126">
              <w:t>Capital cost and maintenance</w:t>
            </w:r>
          </w:p>
        </w:tc>
        <w:tc>
          <w:tcPr>
            <w:tcW w:w="550" w:type="pct"/>
          </w:tcPr>
          <w:p w14:paraId="409D92C9" w14:textId="77777777" w:rsidR="005027B6" w:rsidRPr="00247126" w:rsidRDefault="005027B6" w:rsidP="004C34D8">
            <w:pPr>
              <w:pStyle w:val="TableText"/>
              <w:spacing w:before="20" w:after="20"/>
              <w:rPr>
                <w:szCs w:val="20"/>
              </w:rPr>
            </w:pPr>
          </w:p>
        </w:tc>
        <w:tc>
          <w:tcPr>
            <w:tcW w:w="551" w:type="pct"/>
          </w:tcPr>
          <w:p w14:paraId="7815112B" w14:textId="77777777" w:rsidR="005027B6" w:rsidRPr="00247126" w:rsidRDefault="005027B6" w:rsidP="004C34D8">
            <w:pPr>
              <w:pStyle w:val="TableText"/>
              <w:spacing w:before="20" w:after="20"/>
              <w:rPr>
                <w:szCs w:val="20"/>
              </w:rPr>
            </w:pPr>
          </w:p>
        </w:tc>
        <w:tc>
          <w:tcPr>
            <w:tcW w:w="2487" w:type="pct"/>
          </w:tcPr>
          <w:p w14:paraId="5B408AE4" w14:textId="77777777" w:rsidR="005027B6" w:rsidRPr="00247126" w:rsidRDefault="005027B6" w:rsidP="004C34D8">
            <w:pPr>
              <w:pStyle w:val="TableText"/>
              <w:spacing w:before="20" w:after="20"/>
              <w:rPr>
                <w:szCs w:val="20"/>
              </w:rPr>
            </w:pPr>
          </w:p>
        </w:tc>
      </w:tr>
      <w:tr w:rsidR="005027B6" w:rsidRPr="00247126" w14:paraId="22A394AD" w14:textId="77777777" w:rsidTr="00B47DFA">
        <w:tc>
          <w:tcPr>
            <w:tcW w:w="1412" w:type="pct"/>
          </w:tcPr>
          <w:p w14:paraId="3A18E07F" w14:textId="77777777" w:rsidR="005027B6" w:rsidRPr="00247126" w:rsidRDefault="005027B6" w:rsidP="004C34D8">
            <w:pPr>
              <w:pStyle w:val="TableText"/>
              <w:spacing w:before="20" w:after="20"/>
              <w:ind w:left="306"/>
            </w:pPr>
            <w:r w:rsidRPr="00247126">
              <w:t>Imaging system</w:t>
            </w:r>
          </w:p>
        </w:tc>
        <w:tc>
          <w:tcPr>
            <w:tcW w:w="550" w:type="pct"/>
          </w:tcPr>
          <w:p w14:paraId="676941AD" w14:textId="2A063A85" w:rsidR="005027B6" w:rsidRPr="00247126" w:rsidRDefault="00B77E73" w:rsidP="004C34D8">
            <w:pPr>
              <w:pStyle w:val="TableText"/>
              <w:spacing w:before="20" w:after="20"/>
            </w:pPr>
            <w:r w:rsidRPr="00247126">
              <w:t>$</w:t>
            </w:r>
            <w:r w:rsidRPr="00247126">
              <w:rPr>
                <w:b/>
                <w:bCs/>
              </w:rPr>
              <w:t>Redacted</w:t>
            </w:r>
          </w:p>
        </w:tc>
        <w:tc>
          <w:tcPr>
            <w:tcW w:w="551" w:type="pct"/>
          </w:tcPr>
          <w:p w14:paraId="4C096602" w14:textId="77777777" w:rsidR="005027B6" w:rsidRPr="00247126" w:rsidRDefault="005027B6" w:rsidP="004C34D8">
            <w:pPr>
              <w:pStyle w:val="TableText"/>
              <w:spacing w:before="20" w:after="20"/>
            </w:pPr>
            <w:r w:rsidRPr="00247126">
              <w:t>$150,000</w:t>
            </w:r>
          </w:p>
        </w:tc>
        <w:tc>
          <w:tcPr>
            <w:tcW w:w="2487" w:type="pct"/>
          </w:tcPr>
          <w:p w14:paraId="1F9B449A" w14:textId="77777777" w:rsidR="005027B6" w:rsidRPr="00247126" w:rsidRDefault="005027B6" w:rsidP="004C34D8">
            <w:pPr>
              <w:pStyle w:val="TableText"/>
              <w:spacing w:before="20" w:after="20"/>
              <w:rPr>
                <w:szCs w:val="20"/>
              </w:rPr>
            </w:pPr>
            <w:r w:rsidRPr="00247126">
              <w:rPr>
                <w:szCs w:val="20"/>
              </w:rPr>
              <w:t>IVUS cost based on MSAC application 1354</w:t>
            </w:r>
          </w:p>
        </w:tc>
      </w:tr>
      <w:tr w:rsidR="005027B6" w:rsidRPr="00247126" w14:paraId="77EB6F3D" w14:textId="77777777" w:rsidTr="00B47DFA">
        <w:tc>
          <w:tcPr>
            <w:tcW w:w="1412" w:type="pct"/>
          </w:tcPr>
          <w:p w14:paraId="788B6452" w14:textId="77777777" w:rsidR="005027B6" w:rsidRPr="00247126" w:rsidRDefault="005027B6" w:rsidP="004C34D8">
            <w:pPr>
              <w:pStyle w:val="TableText"/>
              <w:spacing w:before="20" w:after="20"/>
              <w:ind w:left="306"/>
            </w:pPr>
            <w:r w:rsidRPr="00247126">
              <w:t>Maintenance (annual)</w:t>
            </w:r>
          </w:p>
        </w:tc>
        <w:tc>
          <w:tcPr>
            <w:tcW w:w="550" w:type="pct"/>
          </w:tcPr>
          <w:p w14:paraId="169495D4" w14:textId="4BFFC2ED" w:rsidR="005027B6" w:rsidRPr="00247126" w:rsidRDefault="00B77E73" w:rsidP="004C34D8">
            <w:pPr>
              <w:pStyle w:val="TableText"/>
              <w:spacing w:before="20" w:after="20"/>
            </w:pPr>
            <w:r w:rsidRPr="00247126">
              <w:t>$</w:t>
            </w:r>
            <w:r w:rsidRPr="00247126">
              <w:rPr>
                <w:b/>
                <w:bCs/>
              </w:rPr>
              <w:t>Redacted</w:t>
            </w:r>
          </w:p>
        </w:tc>
        <w:tc>
          <w:tcPr>
            <w:tcW w:w="551" w:type="pct"/>
          </w:tcPr>
          <w:p w14:paraId="5D449931" w14:textId="77777777" w:rsidR="005027B6" w:rsidRPr="00247126" w:rsidRDefault="005027B6" w:rsidP="004C34D8">
            <w:pPr>
              <w:pStyle w:val="TableText"/>
              <w:spacing w:before="20" w:after="20"/>
            </w:pPr>
            <w:r w:rsidRPr="00247126">
              <w:t>$1,940</w:t>
            </w:r>
          </w:p>
        </w:tc>
        <w:tc>
          <w:tcPr>
            <w:tcW w:w="2487" w:type="pct"/>
          </w:tcPr>
          <w:p w14:paraId="2BB5C8F7" w14:textId="77777777" w:rsidR="005027B6" w:rsidRPr="00247126" w:rsidRDefault="005027B6" w:rsidP="004C34D8">
            <w:pPr>
              <w:pStyle w:val="TableText"/>
              <w:spacing w:before="20" w:after="20"/>
              <w:rPr>
                <w:szCs w:val="20"/>
              </w:rPr>
            </w:pPr>
            <w:r w:rsidRPr="00247126">
              <w:rPr>
                <w:szCs w:val="20"/>
              </w:rPr>
              <w:t>IVUS cost based on MSAC application 1354</w:t>
            </w:r>
          </w:p>
        </w:tc>
      </w:tr>
      <w:tr w:rsidR="005027B6" w:rsidRPr="00247126" w14:paraId="387E7DC6" w14:textId="77777777" w:rsidTr="00B47DFA">
        <w:tc>
          <w:tcPr>
            <w:tcW w:w="1412" w:type="pct"/>
          </w:tcPr>
          <w:p w14:paraId="1E176A41" w14:textId="77777777" w:rsidR="005027B6" w:rsidRPr="00247126" w:rsidRDefault="005027B6" w:rsidP="004C34D8">
            <w:pPr>
              <w:pStyle w:val="TableText"/>
              <w:spacing w:before="20" w:after="20"/>
              <w:ind w:left="306"/>
            </w:pPr>
            <w:r w:rsidRPr="00247126">
              <w:t>Annualised capital cost (including maintenance)</w:t>
            </w:r>
          </w:p>
        </w:tc>
        <w:tc>
          <w:tcPr>
            <w:tcW w:w="550" w:type="pct"/>
          </w:tcPr>
          <w:p w14:paraId="0353F318" w14:textId="2DE5EA4C" w:rsidR="005027B6" w:rsidRPr="00247126" w:rsidRDefault="00B77E73" w:rsidP="004C34D8">
            <w:pPr>
              <w:pStyle w:val="TableText"/>
              <w:spacing w:before="20" w:after="20"/>
              <w:rPr>
                <w:szCs w:val="20"/>
              </w:rPr>
            </w:pPr>
            <w:r w:rsidRPr="00247126">
              <w:t>$</w:t>
            </w:r>
            <w:r w:rsidRPr="00247126">
              <w:rPr>
                <w:b/>
                <w:bCs/>
              </w:rPr>
              <w:t>Redacted</w:t>
            </w:r>
          </w:p>
        </w:tc>
        <w:tc>
          <w:tcPr>
            <w:tcW w:w="551" w:type="pct"/>
          </w:tcPr>
          <w:p w14:paraId="46A18B07" w14:textId="77777777" w:rsidR="005027B6" w:rsidRPr="00247126" w:rsidRDefault="005027B6" w:rsidP="004C34D8">
            <w:pPr>
              <w:pStyle w:val="TableText"/>
              <w:spacing w:before="20" w:after="20"/>
              <w:rPr>
                <w:szCs w:val="20"/>
              </w:rPr>
            </w:pPr>
            <w:r w:rsidRPr="00247126">
              <w:t>$26,690</w:t>
            </w:r>
          </w:p>
        </w:tc>
        <w:tc>
          <w:tcPr>
            <w:tcW w:w="2487" w:type="pct"/>
          </w:tcPr>
          <w:p w14:paraId="3E5F64EF" w14:textId="7B069DE5" w:rsidR="005027B6" w:rsidRPr="00247126" w:rsidRDefault="005027B6" w:rsidP="004C34D8">
            <w:pPr>
              <w:pStyle w:val="TableText"/>
              <w:spacing w:before="20" w:after="20"/>
              <w:rPr>
                <w:szCs w:val="20"/>
              </w:rPr>
            </w:pPr>
            <w:r w:rsidRPr="00247126">
              <w:rPr>
                <w:szCs w:val="20"/>
              </w:rPr>
              <w:t>Expected longevity 10 years for OCT, 8 years for IVUS (based on MSAC application 1354</w:t>
            </w:r>
            <w:r w:rsidR="0009217C" w:rsidRPr="00247126">
              <w:rPr>
                <w:szCs w:val="20"/>
              </w:rPr>
              <w:t>)</w:t>
            </w:r>
          </w:p>
          <w:p w14:paraId="6CB00A0D" w14:textId="77777777" w:rsidR="005027B6" w:rsidRPr="00247126" w:rsidRDefault="005027B6" w:rsidP="004C34D8">
            <w:pPr>
              <w:pStyle w:val="TableText"/>
              <w:spacing w:before="20" w:after="20"/>
              <w:rPr>
                <w:szCs w:val="20"/>
              </w:rPr>
            </w:pPr>
            <w:r w:rsidRPr="00247126">
              <w:rPr>
                <w:szCs w:val="20"/>
              </w:rPr>
              <w:t>4% annual foregone capital return based on MSAC application 1354</w:t>
            </w:r>
          </w:p>
        </w:tc>
      </w:tr>
      <w:tr w:rsidR="005027B6" w:rsidRPr="00247126" w14:paraId="2FD2CD10" w14:textId="77777777" w:rsidTr="00B47DFA">
        <w:tc>
          <w:tcPr>
            <w:tcW w:w="1412" w:type="pct"/>
          </w:tcPr>
          <w:p w14:paraId="67ABE1E1" w14:textId="77777777" w:rsidR="005027B6" w:rsidRPr="00247126" w:rsidRDefault="005027B6" w:rsidP="004C34D8">
            <w:pPr>
              <w:pStyle w:val="TableText"/>
              <w:spacing w:before="20" w:after="20"/>
              <w:ind w:left="306"/>
            </w:pPr>
            <w:r w:rsidRPr="00247126">
              <w:t>Cost per procedure</w:t>
            </w:r>
          </w:p>
        </w:tc>
        <w:tc>
          <w:tcPr>
            <w:tcW w:w="550" w:type="pct"/>
          </w:tcPr>
          <w:p w14:paraId="4805637B" w14:textId="685A242C" w:rsidR="005027B6" w:rsidRPr="00247126" w:rsidRDefault="00B77E73" w:rsidP="004C34D8">
            <w:pPr>
              <w:pStyle w:val="TableText"/>
              <w:spacing w:before="20" w:after="20"/>
              <w:rPr>
                <w:szCs w:val="20"/>
              </w:rPr>
            </w:pPr>
            <w:r w:rsidRPr="00247126">
              <w:t>$</w:t>
            </w:r>
            <w:r w:rsidRPr="00247126">
              <w:rPr>
                <w:b/>
                <w:bCs/>
              </w:rPr>
              <w:t>Redacted</w:t>
            </w:r>
          </w:p>
        </w:tc>
        <w:tc>
          <w:tcPr>
            <w:tcW w:w="551" w:type="pct"/>
          </w:tcPr>
          <w:p w14:paraId="11C6515C" w14:textId="77777777" w:rsidR="005027B6" w:rsidRPr="00247126" w:rsidRDefault="005027B6" w:rsidP="004C34D8">
            <w:pPr>
              <w:pStyle w:val="TableText"/>
              <w:spacing w:before="20" w:after="20"/>
              <w:rPr>
                <w:szCs w:val="20"/>
              </w:rPr>
            </w:pPr>
            <w:r w:rsidRPr="00247126">
              <w:t>$69</w:t>
            </w:r>
          </w:p>
        </w:tc>
        <w:tc>
          <w:tcPr>
            <w:tcW w:w="2487" w:type="pct"/>
          </w:tcPr>
          <w:p w14:paraId="002BEA94" w14:textId="77777777" w:rsidR="005027B6" w:rsidRPr="00247126" w:rsidRDefault="005027B6" w:rsidP="004C34D8">
            <w:pPr>
              <w:pStyle w:val="TableText"/>
              <w:spacing w:before="20" w:after="20"/>
              <w:rPr>
                <w:szCs w:val="20"/>
              </w:rPr>
            </w:pPr>
            <w:r w:rsidRPr="00247126">
              <w:t>Calculated, assuming an average of 500 OCT and 388 IVUS procedures per machine per year</w:t>
            </w:r>
          </w:p>
        </w:tc>
      </w:tr>
      <w:tr w:rsidR="005027B6" w:rsidRPr="00247126" w14:paraId="779CA81A" w14:textId="77777777" w:rsidTr="00B47DFA">
        <w:tc>
          <w:tcPr>
            <w:tcW w:w="1412" w:type="pct"/>
            <w:tcBorders>
              <w:bottom w:val="single" w:sz="4" w:space="0" w:color="auto"/>
            </w:tcBorders>
          </w:tcPr>
          <w:p w14:paraId="4511B97A" w14:textId="77777777" w:rsidR="005027B6" w:rsidRPr="00247126" w:rsidRDefault="005027B6" w:rsidP="004C34D8">
            <w:pPr>
              <w:pStyle w:val="TableText"/>
              <w:spacing w:before="20" w:after="20"/>
              <w:rPr>
                <w:szCs w:val="20"/>
              </w:rPr>
            </w:pPr>
            <w:r w:rsidRPr="00247126">
              <w:t>Total per service</w:t>
            </w:r>
          </w:p>
        </w:tc>
        <w:tc>
          <w:tcPr>
            <w:tcW w:w="550" w:type="pct"/>
            <w:tcBorders>
              <w:bottom w:val="single" w:sz="4" w:space="0" w:color="auto"/>
            </w:tcBorders>
          </w:tcPr>
          <w:p w14:paraId="54055D4D" w14:textId="652A9F86" w:rsidR="005027B6" w:rsidRPr="00247126" w:rsidRDefault="00B77E73" w:rsidP="004C34D8">
            <w:pPr>
              <w:pStyle w:val="TableText"/>
              <w:spacing w:before="20" w:after="20"/>
              <w:rPr>
                <w:szCs w:val="20"/>
              </w:rPr>
            </w:pPr>
            <w:r w:rsidRPr="00247126">
              <w:t>$</w:t>
            </w:r>
            <w:r w:rsidRPr="00247126">
              <w:rPr>
                <w:b/>
                <w:bCs/>
              </w:rPr>
              <w:t>Redacted</w:t>
            </w:r>
          </w:p>
        </w:tc>
        <w:tc>
          <w:tcPr>
            <w:tcW w:w="551" w:type="pct"/>
            <w:tcBorders>
              <w:bottom w:val="single" w:sz="4" w:space="0" w:color="auto"/>
            </w:tcBorders>
          </w:tcPr>
          <w:p w14:paraId="6CD946F6" w14:textId="77777777" w:rsidR="005027B6" w:rsidRPr="00247126" w:rsidRDefault="005027B6" w:rsidP="004C34D8">
            <w:pPr>
              <w:pStyle w:val="TableText"/>
              <w:spacing w:before="20" w:after="20"/>
              <w:rPr>
                <w:szCs w:val="20"/>
              </w:rPr>
            </w:pPr>
            <w:r w:rsidRPr="00247126">
              <w:t>$1,827.31</w:t>
            </w:r>
          </w:p>
        </w:tc>
        <w:tc>
          <w:tcPr>
            <w:tcW w:w="2487" w:type="pct"/>
          </w:tcPr>
          <w:p w14:paraId="66842C19" w14:textId="77777777" w:rsidR="005027B6" w:rsidRPr="00247126" w:rsidRDefault="005027B6" w:rsidP="004C34D8">
            <w:pPr>
              <w:pStyle w:val="TableText"/>
              <w:spacing w:before="20" w:after="20"/>
              <w:rPr>
                <w:szCs w:val="20"/>
              </w:rPr>
            </w:pPr>
            <w:r w:rsidRPr="00247126">
              <w:t xml:space="preserve">Calculated </w:t>
            </w:r>
          </w:p>
        </w:tc>
      </w:tr>
      <w:tr w:rsidR="005027B6" w:rsidRPr="00247126" w14:paraId="27F2ABF2" w14:textId="77777777" w:rsidTr="00B47DFA">
        <w:tc>
          <w:tcPr>
            <w:tcW w:w="1412" w:type="pct"/>
            <w:tcBorders>
              <w:right w:val="nil"/>
            </w:tcBorders>
          </w:tcPr>
          <w:p w14:paraId="4FE9D24C" w14:textId="77777777" w:rsidR="005027B6" w:rsidRPr="00247126" w:rsidRDefault="005027B6" w:rsidP="004C34D8">
            <w:pPr>
              <w:pStyle w:val="TableText"/>
              <w:spacing w:before="20" w:after="20"/>
              <w:rPr>
                <w:b/>
                <w:bCs/>
              </w:rPr>
            </w:pPr>
            <w:r w:rsidRPr="00247126">
              <w:rPr>
                <w:b/>
                <w:bCs/>
              </w:rPr>
              <w:t>Commentary revised analysis</w:t>
            </w:r>
          </w:p>
        </w:tc>
        <w:tc>
          <w:tcPr>
            <w:tcW w:w="550" w:type="pct"/>
            <w:tcBorders>
              <w:left w:val="nil"/>
              <w:right w:val="nil"/>
            </w:tcBorders>
          </w:tcPr>
          <w:p w14:paraId="58359A54" w14:textId="77777777" w:rsidR="005027B6" w:rsidRPr="00247126" w:rsidRDefault="005027B6" w:rsidP="004C34D8">
            <w:pPr>
              <w:pStyle w:val="TableText"/>
              <w:spacing w:before="20" w:after="20"/>
              <w:rPr>
                <w:b/>
                <w:bCs/>
              </w:rPr>
            </w:pPr>
          </w:p>
        </w:tc>
        <w:tc>
          <w:tcPr>
            <w:tcW w:w="551" w:type="pct"/>
            <w:tcBorders>
              <w:left w:val="nil"/>
              <w:right w:val="nil"/>
            </w:tcBorders>
          </w:tcPr>
          <w:p w14:paraId="1B6E77DD" w14:textId="77777777" w:rsidR="005027B6" w:rsidRPr="00247126" w:rsidRDefault="005027B6" w:rsidP="004C34D8">
            <w:pPr>
              <w:pStyle w:val="TableText"/>
              <w:spacing w:before="20" w:after="20"/>
              <w:rPr>
                <w:b/>
                <w:bCs/>
              </w:rPr>
            </w:pPr>
          </w:p>
        </w:tc>
        <w:tc>
          <w:tcPr>
            <w:tcW w:w="2487" w:type="pct"/>
            <w:tcBorders>
              <w:left w:val="nil"/>
            </w:tcBorders>
          </w:tcPr>
          <w:p w14:paraId="77F9099C" w14:textId="77777777" w:rsidR="005027B6" w:rsidRPr="00247126" w:rsidRDefault="005027B6" w:rsidP="004C34D8">
            <w:pPr>
              <w:pStyle w:val="TableText"/>
              <w:spacing w:before="20" w:after="20"/>
              <w:rPr>
                <w:b/>
                <w:bCs/>
              </w:rPr>
            </w:pPr>
          </w:p>
        </w:tc>
      </w:tr>
      <w:tr w:rsidR="005027B6" w:rsidRPr="00247126" w14:paraId="116B30CE" w14:textId="77777777" w:rsidTr="00B47DFA">
        <w:tc>
          <w:tcPr>
            <w:tcW w:w="1412" w:type="pct"/>
          </w:tcPr>
          <w:p w14:paraId="23BB2993" w14:textId="77777777" w:rsidR="005027B6" w:rsidRPr="00247126" w:rsidRDefault="005027B6" w:rsidP="004C34D8">
            <w:pPr>
              <w:pStyle w:val="TableText"/>
              <w:spacing w:before="20" w:after="20"/>
            </w:pPr>
            <w:r w:rsidRPr="00247126">
              <w:t>Professional fee</w:t>
            </w:r>
          </w:p>
        </w:tc>
        <w:tc>
          <w:tcPr>
            <w:tcW w:w="550" w:type="pct"/>
          </w:tcPr>
          <w:p w14:paraId="5E36AAE4" w14:textId="77777777" w:rsidR="005027B6" w:rsidRPr="00247126" w:rsidRDefault="005027B6" w:rsidP="004C34D8">
            <w:pPr>
              <w:pStyle w:val="TableText"/>
              <w:spacing w:before="20" w:after="20"/>
            </w:pPr>
            <w:r w:rsidRPr="00247126">
              <w:t>$254.35</w:t>
            </w:r>
          </w:p>
        </w:tc>
        <w:tc>
          <w:tcPr>
            <w:tcW w:w="551" w:type="pct"/>
          </w:tcPr>
          <w:p w14:paraId="7246D965" w14:textId="77777777" w:rsidR="005027B6" w:rsidRPr="00247126" w:rsidRDefault="005027B6" w:rsidP="004C34D8">
            <w:pPr>
              <w:pStyle w:val="TableText"/>
              <w:spacing w:before="20" w:after="20"/>
            </w:pPr>
            <w:r w:rsidRPr="00247126">
              <w:t>$254.35</w:t>
            </w:r>
          </w:p>
        </w:tc>
        <w:tc>
          <w:tcPr>
            <w:tcW w:w="2487" w:type="pct"/>
          </w:tcPr>
          <w:p w14:paraId="230EFF77" w14:textId="77777777" w:rsidR="005027B6" w:rsidRPr="00247126" w:rsidRDefault="005027B6" w:rsidP="004C34D8">
            <w:pPr>
              <w:pStyle w:val="TableText"/>
              <w:spacing w:before="20" w:after="20"/>
            </w:pPr>
            <w:r w:rsidRPr="00247126">
              <w:t>MBS item 38325 Schedule fee ($508.70), 50% MOR factor</w:t>
            </w:r>
          </w:p>
        </w:tc>
      </w:tr>
      <w:tr w:rsidR="005027B6" w:rsidRPr="00247126" w14:paraId="21E1A408" w14:textId="77777777" w:rsidTr="00B47DFA">
        <w:tc>
          <w:tcPr>
            <w:tcW w:w="1412" w:type="pct"/>
          </w:tcPr>
          <w:p w14:paraId="583C07A1" w14:textId="77777777" w:rsidR="005027B6" w:rsidRPr="00247126" w:rsidRDefault="005027B6" w:rsidP="004C34D8">
            <w:pPr>
              <w:pStyle w:val="TableText"/>
              <w:spacing w:before="20" w:after="20"/>
            </w:pPr>
            <w:r w:rsidRPr="00247126">
              <w:t xml:space="preserve">Catheter and other consumables </w:t>
            </w:r>
          </w:p>
        </w:tc>
        <w:tc>
          <w:tcPr>
            <w:tcW w:w="550" w:type="pct"/>
          </w:tcPr>
          <w:p w14:paraId="11FD9F8E" w14:textId="2F36B4F7" w:rsidR="005027B6" w:rsidRPr="00247126" w:rsidRDefault="00B77E73" w:rsidP="004C34D8">
            <w:pPr>
              <w:pStyle w:val="TableText"/>
              <w:spacing w:before="20" w:after="20"/>
            </w:pPr>
            <w:r w:rsidRPr="00247126">
              <w:t>$</w:t>
            </w:r>
            <w:r w:rsidRPr="00247126">
              <w:rPr>
                <w:b/>
                <w:bCs/>
              </w:rPr>
              <w:t>Redacted</w:t>
            </w:r>
          </w:p>
        </w:tc>
        <w:tc>
          <w:tcPr>
            <w:tcW w:w="551" w:type="pct"/>
          </w:tcPr>
          <w:p w14:paraId="49DECBEC" w14:textId="77777777" w:rsidR="005027B6" w:rsidRPr="00247126" w:rsidRDefault="005027B6" w:rsidP="004C34D8">
            <w:pPr>
              <w:pStyle w:val="TableText"/>
              <w:spacing w:before="20" w:after="20"/>
            </w:pPr>
            <w:r w:rsidRPr="00247126">
              <w:t>$1,250</w:t>
            </w:r>
          </w:p>
        </w:tc>
        <w:tc>
          <w:tcPr>
            <w:tcW w:w="2487" w:type="pct"/>
          </w:tcPr>
          <w:p w14:paraId="03420590" w14:textId="77777777" w:rsidR="005027B6" w:rsidRPr="00247126" w:rsidRDefault="005027B6" w:rsidP="004C34D8">
            <w:pPr>
              <w:pStyle w:val="TableText"/>
              <w:spacing w:before="20" w:after="20"/>
              <w:rPr>
                <w:szCs w:val="20"/>
              </w:rPr>
            </w:pPr>
            <w:r w:rsidRPr="00247126">
              <w:rPr>
                <w:szCs w:val="20"/>
              </w:rPr>
              <w:t>IVUS cost based on MSAC application 1354.1 PSD, quoted range $1,000-$</w:t>
            </w:r>
            <w:proofErr w:type="gramStart"/>
            <w:r w:rsidRPr="00247126">
              <w:rPr>
                <w:szCs w:val="20"/>
              </w:rPr>
              <w:t>1,500</w:t>
            </w:r>
            <w:proofErr w:type="gramEnd"/>
          </w:p>
          <w:p w14:paraId="16DC1D36" w14:textId="6C8D741F" w:rsidR="005027B6" w:rsidRPr="00247126" w:rsidRDefault="005027B6" w:rsidP="004C34D8">
            <w:pPr>
              <w:pStyle w:val="TableText"/>
              <w:spacing w:before="20" w:after="20"/>
            </w:pPr>
            <w:r w:rsidRPr="00247126">
              <w:t xml:space="preserve">Zhou </w:t>
            </w:r>
            <w:r w:rsidR="008859A0" w:rsidRPr="00247126">
              <w:t xml:space="preserve">et al. </w:t>
            </w:r>
            <w:r w:rsidRPr="00247126">
              <w:t>2021</w:t>
            </w:r>
            <w:r w:rsidR="00F51AEA" w:rsidRPr="00247126">
              <w:rPr>
                <w:rStyle w:val="FootnoteReference"/>
              </w:rPr>
              <w:footnoteReference w:id="4"/>
            </w:r>
            <w:r w:rsidRPr="00247126">
              <w:t xml:space="preserve"> reported additional cost of $1,170 for IVUS consumables based on costs at the Alfred Hospital, Melbourne</w:t>
            </w:r>
          </w:p>
          <w:p w14:paraId="1559676E" w14:textId="77777777" w:rsidR="005027B6" w:rsidRPr="00247126" w:rsidRDefault="005027B6" w:rsidP="004C34D8">
            <w:pPr>
              <w:pStyle w:val="TableText"/>
              <w:spacing w:before="20" w:after="20"/>
            </w:pPr>
            <w:r w:rsidRPr="00247126">
              <w:t xml:space="preserve">Assume $1,250 per procedure (mid of range in PSD for MSAC application 1354.1). </w:t>
            </w:r>
          </w:p>
        </w:tc>
      </w:tr>
      <w:tr w:rsidR="005027B6" w:rsidRPr="00247126" w14:paraId="03E3A2CC" w14:textId="77777777" w:rsidTr="00B47DFA">
        <w:tc>
          <w:tcPr>
            <w:tcW w:w="1412" w:type="pct"/>
          </w:tcPr>
          <w:p w14:paraId="685E7BCE" w14:textId="77777777" w:rsidR="005027B6" w:rsidRPr="00247126" w:rsidRDefault="005027B6" w:rsidP="004C34D8">
            <w:pPr>
              <w:pStyle w:val="TableText"/>
              <w:spacing w:before="20" w:after="20"/>
            </w:pPr>
            <w:r w:rsidRPr="00247126">
              <w:t>Capital cost and maintenance</w:t>
            </w:r>
          </w:p>
        </w:tc>
        <w:tc>
          <w:tcPr>
            <w:tcW w:w="550" w:type="pct"/>
          </w:tcPr>
          <w:p w14:paraId="0BC070D2" w14:textId="77777777" w:rsidR="005027B6" w:rsidRPr="00247126" w:rsidRDefault="005027B6" w:rsidP="004C34D8">
            <w:pPr>
              <w:pStyle w:val="TableText"/>
              <w:spacing w:before="20" w:after="20"/>
            </w:pPr>
            <w:r w:rsidRPr="00247126">
              <w:t>-</w:t>
            </w:r>
          </w:p>
        </w:tc>
        <w:tc>
          <w:tcPr>
            <w:tcW w:w="551" w:type="pct"/>
          </w:tcPr>
          <w:p w14:paraId="70B4D9BD" w14:textId="77777777" w:rsidR="005027B6" w:rsidRPr="00247126" w:rsidRDefault="005027B6" w:rsidP="004C34D8">
            <w:pPr>
              <w:pStyle w:val="TableText"/>
              <w:spacing w:before="20" w:after="20"/>
            </w:pPr>
            <w:r w:rsidRPr="00247126">
              <w:t>-</w:t>
            </w:r>
          </w:p>
        </w:tc>
        <w:tc>
          <w:tcPr>
            <w:tcW w:w="2487" w:type="pct"/>
          </w:tcPr>
          <w:p w14:paraId="6512235D" w14:textId="5BE344CC" w:rsidR="005027B6" w:rsidRPr="00247126" w:rsidRDefault="005027B6" w:rsidP="004C34D8">
            <w:pPr>
              <w:pStyle w:val="TableText"/>
              <w:spacing w:before="20" w:after="20"/>
            </w:pPr>
            <w:r w:rsidRPr="00247126">
              <w:t xml:space="preserve">Cost per procedure not included due to uncertainty in the </w:t>
            </w:r>
            <w:r w:rsidR="006B0266" w:rsidRPr="00247126">
              <w:t xml:space="preserve">assumed </w:t>
            </w:r>
            <w:r w:rsidRPr="00247126">
              <w:t>MBS caseload per machine per year</w:t>
            </w:r>
          </w:p>
        </w:tc>
      </w:tr>
      <w:tr w:rsidR="005027B6" w:rsidRPr="00247126" w14:paraId="0C56B678" w14:textId="77777777" w:rsidTr="00B47DFA">
        <w:tc>
          <w:tcPr>
            <w:tcW w:w="1412" w:type="pct"/>
          </w:tcPr>
          <w:p w14:paraId="4EE910D3" w14:textId="77777777" w:rsidR="005027B6" w:rsidRPr="00247126" w:rsidRDefault="005027B6" w:rsidP="004C34D8">
            <w:pPr>
              <w:pStyle w:val="TableText"/>
              <w:spacing w:before="20" w:after="20"/>
            </w:pPr>
            <w:r w:rsidRPr="00247126">
              <w:t>Total per service</w:t>
            </w:r>
          </w:p>
        </w:tc>
        <w:tc>
          <w:tcPr>
            <w:tcW w:w="550" w:type="pct"/>
          </w:tcPr>
          <w:p w14:paraId="5E3748A4" w14:textId="60C9470A" w:rsidR="005027B6" w:rsidRPr="00247126" w:rsidRDefault="00B77E73" w:rsidP="004C34D8">
            <w:pPr>
              <w:pStyle w:val="TableText"/>
              <w:spacing w:before="20" w:after="20"/>
            </w:pPr>
            <w:r w:rsidRPr="00247126">
              <w:t>$</w:t>
            </w:r>
            <w:r w:rsidRPr="00247126">
              <w:rPr>
                <w:b/>
                <w:bCs/>
              </w:rPr>
              <w:t>Redacted</w:t>
            </w:r>
          </w:p>
        </w:tc>
        <w:tc>
          <w:tcPr>
            <w:tcW w:w="551" w:type="pct"/>
          </w:tcPr>
          <w:p w14:paraId="09EA9B31" w14:textId="77777777" w:rsidR="005027B6" w:rsidRPr="00247126" w:rsidRDefault="005027B6" w:rsidP="004C34D8">
            <w:pPr>
              <w:pStyle w:val="TableText"/>
              <w:spacing w:before="20" w:after="20"/>
            </w:pPr>
            <w:r w:rsidRPr="00247126">
              <w:t>$1,504.35</w:t>
            </w:r>
          </w:p>
        </w:tc>
        <w:tc>
          <w:tcPr>
            <w:tcW w:w="2487" w:type="pct"/>
          </w:tcPr>
          <w:p w14:paraId="08505197" w14:textId="77777777" w:rsidR="005027B6" w:rsidRPr="00247126" w:rsidRDefault="005027B6" w:rsidP="004C34D8">
            <w:pPr>
              <w:pStyle w:val="TableText"/>
              <w:spacing w:before="20" w:after="20"/>
            </w:pPr>
            <w:r w:rsidRPr="00247126">
              <w:t>Calculated</w:t>
            </w:r>
          </w:p>
        </w:tc>
      </w:tr>
    </w:tbl>
    <w:p w14:paraId="75A2DE4D" w14:textId="77777777" w:rsidR="005027B6" w:rsidRPr="00247126" w:rsidRDefault="005027B6" w:rsidP="00B057D5">
      <w:pPr>
        <w:pStyle w:val="Tablenotes0"/>
        <w:spacing w:before="0"/>
      </w:pPr>
      <w:r w:rsidRPr="00247126">
        <w:t>AG = angiogram; IVUS = intravascular ultrasound; MBS = Medicare Benefits Schedule; MOR = multiple operation rule; MSAC = Medical Services Advisory Committee; OCT = optical coherence tomography; PSD = Public Summary Document.</w:t>
      </w:r>
    </w:p>
    <w:p w14:paraId="04371F78" w14:textId="77777777" w:rsidR="005027B6" w:rsidRPr="00247126" w:rsidRDefault="005027B6" w:rsidP="009102DB">
      <w:pPr>
        <w:pStyle w:val="Tablenotes0"/>
      </w:pPr>
      <w:r w:rsidRPr="00247126">
        <w:t>Note: ADAR costs and assumptions for IVUS were taken from MSAC application 1354 (2014) Final Protocol, assuming costs remain unchanged.</w:t>
      </w:r>
    </w:p>
    <w:p w14:paraId="51BEFCDC" w14:textId="77777777" w:rsidR="005027B6" w:rsidRPr="00247126" w:rsidRDefault="005027B6" w:rsidP="004C34D8">
      <w:pPr>
        <w:pStyle w:val="Tablenotes0"/>
        <w:spacing w:before="0"/>
      </w:pPr>
      <w:r w:rsidRPr="00247126">
        <w:t xml:space="preserve">Source: Compiled from Table 102, Table </w:t>
      </w:r>
      <w:proofErr w:type="gramStart"/>
      <w:r w:rsidRPr="00247126">
        <w:t>104</w:t>
      </w:r>
      <w:proofErr w:type="gramEnd"/>
      <w:r w:rsidRPr="00247126">
        <w:t xml:space="preserve"> and Table 106 of MSAC 1743 </w:t>
      </w:r>
      <w:proofErr w:type="spellStart"/>
      <w:r w:rsidRPr="00247126">
        <w:t>ADAR+in-line</w:t>
      </w:r>
      <w:proofErr w:type="spellEnd"/>
      <w:r w:rsidRPr="00247126">
        <w:t xml:space="preserve"> commentary.</w:t>
      </w:r>
    </w:p>
    <w:bookmarkEnd w:id="44"/>
    <w:p w14:paraId="25AE2BAC" w14:textId="63BE4B01" w:rsidR="00772829" w:rsidRPr="00247126" w:rsidRDefault="00B27795" w:rsidP="002A18BE">
      <w:pPr>
        <w:pStyle w:val="Heading2"/>
        <w:numPr>
          <w:ilvl w:val="0"/>
          <w:numId w:val="0"/>
        </w:numPr>
      </w:pPr>
      <w:r w:rsidRPr="00247126">
        <w:lastRenderedPageBreak/>
        <w:t>1</w:t>
      </w:r>
      <w:r w:rsidR="00247B6B" w:rsidRPr="00247126">
        <w:t>4</w:t>
      </w:r>
      <w:r w:rsidR="00C36633" w:rsidRPr="00247126">
        <w:t>.</w:t>
      </w:r>
      <w:r w:rsidR="00C36633" w:rsidRPr="00247126">
        <w:tab/>
      </w:r>
      <w:r w:rsidR="00772829" w:rsidRPr="00247126">
        <w:t>Financial/budgetary impacts</w:t>
      </w:r>
      <w:bookmarkEnd w:id="35"/>
    </w:p>
    <w:p w14:paraId="7F82FFAA" w14:textId="6E23348C" w:rsidR="00F2592D" w:rsidRPr="00247126" w:rsidRDefault="008C7720" w:rsidP="008C7720">
      <w:r w:rsidRPr="00247126">
        <w:t xml:space="preserve">An epidemiological approach </w:t>
      </w:r>
      <w:r w:rsidR="000752A6" w:rsidRPr="00247126">
        <w:t>wa</w:t>
      </w:r>
      <w:r w:rsidRPr="00247126">
        <w:t>s taken</w:t>
      </w:r>
      <w:r w:rsidR="00224635" w:rsidRPr="00247126">
        <w:t xml:space="preserve"> </w:t>
      </w:r>
      <w:r w:rsidR="00A47E4B" w:rsidRPr="00247126">
        <w:t xml:space="preserve">in the ADAR to estimate the </w:t>
      </w:r>
      <w:r w:rsidR="0012069D" w:rsidRPr="00247126">
        <w:t xml:space="preserve">utilisation and </w:t>
      </w:r>
      <w:r w:rsidR="00A47E4B" w:rsidRPr="00247126">
        <w:t>financial impact to the MBS</w:t>
      </w:r>
      <w:r w:rsidR="0012069D" w:rsidRPr="00247126">
        <w:t xml:space="preserve"> of the proposed </w:t>
      </w:r>
      <w:r w:rsidR="00626EAE" w:rsidRPr="00247126">
        <w:t xml:space="preserve">listing. The estimates </w:t>
      </w:r>
      <w:r w:rsidR="000752A6" w:rsidRPr="00247126">
        <w:t>we</w:t>
      </w:r>
      <w:r w:rsidR="00626EAE" w:rsidRPr="00247126">
        <w:t xml:space="preserve">re </w:t>
      </w:r>
      <w:r w:rsidRPr="00247126">
        <w:t>informed by the current MBS service data for the relevant PCI services</w:t>
      </w:r>
      <w:r w:rsidR="008432E3" w:rsidRPr="00247126">
        <w:t>,</w:t>
      </w:r>
      <w:r w:rsidRPr="00247126">
        <w:t xml:space="preserve"> </w:t>
      </w:r>
      <w:r w:rsidR="006A1DC9" w:rsidRPr="00247126">
        <w:t>together with</w:t>
      </w:r>
      <w:r w:rsidRPr="00247126">
        <w:t xml:space="preserve"> patient demographics / disease characteristics data from Australian registries (primarily VCOR</w:t>
      </w:r>
      <w:r w:rsidR="008432E3" w:rsidRPr="00247126">
        <w:t xml:space="preserve">) </w:t>
      </w:r>
      <w:r w:rsidRPr="00247126">
        <w:t>to inform eligibility rates</w:t>
      </w:r>
      <w:r w:rsidR="006A1DC9" w:rsidRPr="00247126">
        <w:t xml:space="preserve"> for </w:t>
      </w:r>
      <w:r w:rsidR="006D7D2B" w:rsidRPr="00247126">
        <w:t>each lesion type (long/multiple, bifurcation, severely calcified and stent failure)</w:t>
      </w:r>
      <w:r w:rsidRPr="00247126">
        <w:t xml:space="preserve">. The </w:t>
      </w:r>
      <w:r w:rsidR="000752A6" w:rsidRPr="00247126">
        <w:t xml:space="preserve">ADAR assumed </w:t>
      </w:r>
      <w:r w:rsidRPr="00247126">
        <w:t xml:space="preserve">uptake of OCT </w:t>
      </w:r>
      <w:r w:rsidR="006D7D2B" w:rsidRPr="00247126">
        <w:t xml:space="preserve">would </w:t>
      </w:r>
      <w:r w:rsidRPr="00247126">
        <w:t>be gradual</w:t>
      </w:r>
      <w:r w:rsidR="00110161" w:rsidRPr="00247126">
        <w:t xml:space="preserve"> given the requirements for capital investment / infrastructure necessary for this technology</w:t>
      </w:r>
      <w:r w:rsidRPr="00247126">
        <w:t xml:space="preserve">, reaching </w:t>
      </w:r>
      <w:r w:rsidR="00784ADB" w:rsidRPr="00247126">
        <w:rPr>
          <w:b/>
          <w:bCs/>
        </w:rPr>
        <w:t>Redacted</w:t>
      </w:r>
      <w:r w:rsidRPr="00247126">
        <w:t>% by Year 6.</w:t>
      </w:r>
    </w:p>
    <w:p w14:paraId="609F3E45" w14:textId="57A3D9E4" w:rsidR="00A86499" w:rsidRPr="00247126" w:rsidRDefault="008C7720" w:rsidP="008C7720">
      <w:r w:rsidRPr="00247126">
        <w:t>For the long</w:t>
      </w:r>
      <w:r w:rsidR="00BF08F7" w:rsidRPr="00247126">
        <w:t>/multiple</w:t>
      </w:r>
      <w:r w:rsidRPr="00247126">
        <w:t xml:space="preserve"> lesion subpopulation, </w:t>
      </w:r>
      <w:r w:rsidR="00BF08F7" w:rsidRPr="00247126">
        <w:t xml:space="preserve">the ADAR assumed that </w:t>
      </w:r>
      <w:r w:rsidRPr="00247126">
        <w:t xml:space="preserve">patients would otherwise receive IVUS, thus achieving cost neutrality from the perspective of </w:t>
      </w:r>
      <w:r w:rsidR="00465629" w:rsidRPr="00247126">
        <w:t xml:space="preserve">the </w:t>
      </w:r>
      <w:r w:rsidRPr="00247126">
        <w:t>MBS</w:t>
      </w:r>
      <w:r w:rsidR="00BF08F7" w:rsidRPr="00247126">
        <w:t xml:space="preserve"> </w:t>
      </w:r>
      <w:r w:rsidR="00E46908" w:rsidRPr="00247126">
        <w:t>(</w:t>
      </w:r>
      <w:r w:rsidR="00B542A2" w:rsidRPr="00247126">
        <w:t xml:space="preserve">the proposed fee for the </w:t>
      </w:r>
      <w:r w:rsidR="001F4083" w:rsidRPr="00247126">
        <w:t xml:space="preserve">OCT </w:t>
      </w:r>
      <w:r w:rsidR="00B542A2" w:rsidRPr="00247126">
        <w:t xml:space="preserve">service </w:t>
      </w:r>
      <w:r w:rsidR="00E37117" w:rsidRPr="00247126">
        <w:t xml:space="preserve">is </w:t>
      </w:r>
      <w:r w:rsidR="00C60A61" w:rsidRPr="00247126">
        <w:t>the same as for IVUS</w:t>
      </w:r>
      <w:r w:rsidR="00E46908" w:rsidRPr="00247126">
        <w:t>)</w:t>
      </w:r>
      <w:r w:rsidRPr="00247126">
        <w:t>.</w:t>
      </w:r>
      <w:r w:rsidR="00A148E6" w:rsidRPr="00247126">
        <w:t xml:space="preserve"> </w:t>
      </w:r>
      <w:r w:rsidR="00F2592D" w:rsidRPr="00247126">
        <w:t xml:space="preserve">The commentary noted </w:t>
      </w:r>
      <w:r w:rsidR="00C60A61" w:rsidRPr="00247126">
        <w:t xml:space="preserve">that </w:t>
      </w:r>
      <w:r w:rsidR="00392799" w:rsidRPr="00247126">
        <w:t xml:space="preserve">the assumed </w:t>
      </w:r>
      <w:r w:rsidR="00784ADB" w:rsidRPr="00247126">
        <w:rPr>
          <w:b/>
          <w:bCs/>
        </w:rPr>
        <w:t>Redacted</w:t>
      </w:r>
      <w:r w:rsidR="00392799" w:rsidRPr="00247126">
        <w:t xml:space="preserve"> market share</w:t>
      </w:r>
      <w:r w:rsidR="00F2592D" w:rsidRPr="00247126">
        <w:t xml:space="preserve"> </w:t>
      </w:r>
      <w:r w:rsidR="009952AB" w:rsidRPr="00247126">
        <w:t xml:space="preserve">did </w:t>
      </w:r>
      <w:r w:rsidR="00F2592D" w:rsidRPr="00247126">
        <w:t xml:space="preserve">not </w:t>
      </w:r>
      <w:proofErr w:type="gramStart"/>
      <w:r w:rsidR="00F2592D" w:rsidRPr="00247126">
        <w:t>take into account</w:t>
      </w:r>
      <w:proofErr w:type="gramEnd"/>
      <w:r w:rsidR="00F2592D" w:rsidRPr="00247126">
        <w:t xml:space="preserve"> that the definition of long lesions </w:t>
      </w:r>
      <w:r w:rsidR="00ED1C52" w:rsidRPr="00247126">
        <w:t>wa</w:t>
      </w:r>
      <w:r w:rsidR="00F2592D" w:rsidRPr="00247126">
        <w:t>s broader for OCT than for IVUS</w:t>
      </w:r>
      <w:r w:rsidR="008C00F8" w:rsidRPr="00247126">
        <w:t xml:space="preserve"> and there </w:t>
      </w:r>
      <w:r w:rsidR="0069757D" w:rsidRPr="00247126">
        <w:t>may be uncertainty in the way the IVUS and OCT eligibility for the long lesion subpopulation will be interpreted in clinical practice</w:t>
      </w:r>
      <w:r w:rsidR="0055262C" w:rsidRPr="00247126">
        <w:t xml:space="preserve">. </w:t>
      </w:r>
    </w:p>
    <w:p w14:paraId="2A6B5253" w14:textId="23A6871B" w:rsidR="00E77F77" w:rsidRPr="00247126" w:rsidRDefault="00E77F77" w:rsidP="008C7720">
      <w:r w:rsidRPr="00247126">
        <w:t>The commentary noted that in practice, uptake of OCT, and substitution with IVUS, may be dependent on the availability of OCT capital equipment as well as patients’ accessibility to OCT-trained cardiologists. Given that OCT and IVUS provide different information for the operator, the commentary raised concerns that OCT and IVUS may be used together for long lesions if both modalities were available (the proposed MBS item descriptor does not prohibit dual use).</w:t>
      </w:r>
    </w:p>
    <w:p w14:paraId="4FE2390F" w14:textId="2528B5B9" w:rsidR="0072578A" w:rsidRPr="00247126" w:rsidRDefault="00D428B9" w:rsidP="00330A0A">
      <w:r w:rsidRPr="00247126">
        <w:t xml:space="preserve">The financial implications to the </w:t>
      </w:r>
      <w:r w:rsidR="00A54A02" w:rsidRPr="00247126">
        <w:t>MBS</w:t>
      </w:r>
      <w:r w:rsidRPr="00247126">
        <w:t xml:space="preserve"> resulting from the proposed listing of </w:t>
      </w:r>
      <w:r w:rsidR="00A54A02" w:rsidRPr="00247126">
        <w:t>OCT</w:t>
      </w:r>
      <w:r w:rsidR="00224635" w:rsidRPr="00247126">
        <w:t>-guided PCI with stent insertion</w:t>
      </w:r>
      <w:r w:rsidR="00A54A02" w:rsidRPr="00247126">
        <w:t xml:space="preserve"> </w:t>
      </w:r>
      <w:r w:rsidRPr="00247126">
        <w:t xml:space="preserve">are summarised in </w:t>
      </w:r>
      <w:r w:rsidR="003571C2" w:rsidRPr="00247126">
        <w:fldChar w:fldCharType="begin"/>
      </w:r>
      <w:r w:rsidR="003571C2" w:rsidRPr="00247126">
        <w:instrText xml:space="preserve"> REF _Ref69726382 \h </w:instrText>
      </w:r>
      <w:r w:rsidR="00CC5607" w:rsidRPr="00247126">
        <w:instrText xml:space="preserve"> \* MERGEFORMAT </w:instrText>
      </w:r>
      <w:r w:rsidR="003571C2" w:rsidRPr="00247126">
        <w:fldChar w:fldCharType="separate"/>
      </w:r>
      <w:r w:rsidR="00151E03" w:rsidRPr="00247126">
        <w:t>Table 24</w:t>
      </w:r>
      <w:r w:rsidR="003571C2" w:rsidRPr="00247126">
        <w:fldChar w:fldCharType="end"/>
      </w:r>
      <w:r w:rsidRPr="00247126">
        <w:t xml:space="preserve">. </w:t>
      </w:r>
      <w:r w:rsidR="008D49E7" w:rsidRPr="00247126">
        <w:t xml:space="preserve">The analyses assumed </w:t>
      </w:r>
      <w:r w:rsidR="00B77E73" w:rsidRPr="00247126">
        <w:rPr>
          <w:b/>
          <w:bCs/>
        </w:rPr>
        <w:t>Redacted</w:t>
      </w:r>
      <w:r w:rsidR="008D49E7" w:rsidRPr="00247126">
        <w:t>% of all patients undergoing PCI stent insertion would meet at least one of the OCT eligibility criteria</w:t>
      </w:r>
      <w:r w:rsidR="006F639C" w:rsidRPr="00247126">
        <w:t>, acknowledging many patients would satisfy multiple eligibility criteria.</w:t>
      </w:r>
      <w:r w:rsidR="00317251" w:rsidRPr="00247126">
        <w:t xml:space="preserve"> </w:t>
      </w:r>
      <w:r w:rsidR="00802497" w:rsidRPr="00247126">
        <w:t xml:space="preserve">The net cost to the MBS </w:t>
      </w:r>
      <w:r w:rsidR="00317251" w:rsidRPr="00247126">
        <w:t xml:space="preserve">would </w:t>
      </w:r>
      <w:r w:rsidR="00802497" w:rsidRPr="00247126">
        <w:t xml:space="preserve">increase if OCT uptake </w:t>
      </w:r>
      <w:r w:rsidR="008A4FED" w:rsidRPr="00247126">
        <w:t>was</w:t>
      </w:r>
      <w:r w:rsidR="00802497" w:rsidRPr="00247126">
        <w:t xml:space="preserve"> greater than </w:t>
      </w:r>
      <w:r w:rsidR="00B77E73" w:rsidRPr="00247126">
        <w:rPr>
          <w:b/>
          <w:bCs/>
        </w:rPr>
        <w:t>Redacted</w:t>
      </w:r>
      <w:r w:rsidR="00686518" w:rsidRPr="00247126">
        <w:t xml:space="preserve">% </w:t>
      </w:r>
      <w:r w:rsidR="0033348E" w:rsidRPr="00247126">
        <w:t>by Year 6</w:t>
      </w:r>
      <w:r w:rsidR="005A163A" w:rsidRPr="00247126">
        <w:t>,</w:t>
      </w:r>
      <w:r w:rsidR="0033348E" w:rsidRPr="00247126">
        <w:t xml:space="preserve"> </w:t>
      </w:r>
      <w:r w:rsidR="00F16149" w:rsidRPr="00247126">
        <w:t>or</w:t>
      </w:r>
      <w:r w:rsidR="00572BE3" w:rsidRPr="00247126">
        <w:t xml:space="preserve"> </w:t>
      </w:r>
      <w:r w:rsidR="00903295" w:rsidRPr="00247126">
        <w:t xml:space="preserve">a lower proportion of </w:t>
      </w:r>
      <w:r w:rsidR="00547C17" w:rsidRPr="00247126">
        <w:t>patients satisfy multiple eligibility criteria</w:t>
      </w:r>
      <w:r w:rsidR="00802497" w:rsidRPr="00247126">
        <w:t>.</w:t>
      </w:r>
    </w:p>
    <w:p w14:paraId="79E2037E" w14:textId="706E11A7" w:rsidR="0068236E" w:rsidRDefault="00200F08" w:rsidP="0068236E">
      <w:r w:rsidRPr="00247126">
        <w:t>T</w:t>
      </w:r>
      <w:r w:rsidR="00C1499B" w:rsidRPr="00247126">
        <w:t xml:space="preserve">he </w:t>
      </w:r>
      <w:r w:rsidRPr="00247126">
        <w:t xml:space="preserve">financial </w:t>
      </w:r>
      <w:r w:rsidR="00C1499B" w:rsidRPr="00247126">
        <w:t>estimates d</w:t>
      </w:r>
      <w:r w:rsidR="009A5A54" w:rsidRPr="00247126">
        <w:t>id</w:t>
      </w:r>
      <w:r w:rsidR="00C1499B" w:rsidRPr="00247126">
        <w:t xml:space="preserve"> not include any potential cost savings to the MBS associated with reduced major cardiac events in patients who receive OCT-guided stent implantation</w:t>
      </w:r>
      <w:r w:rsidR="00A7691D" w:rsidRPr="00247126">
        <w:t xml:space="preserve"> (modelled in the economic evaluation)</w:t>
      </w:r>
      <w:r w:rsidR="00C1499B" w:rsidRPr="00247126">
        <w:t>.</w:t>
      </w:r>
      <w:r w:rsidR="0068236E">
        <w:br w:type="page"/>
      </w:r>
    </w:p>
    <w:p w14:paraId="33FCA9D4" w14:textId="0F5E3AEB" w:rsidR="00D428B9" w:rsidRPr="00247126" w:rsidRDefault="00D428B9" w:rsidP="00215AFB">
      <w:pPr>
        <w:pStyle w:val="Caption"/>
      </w:pPr>
      <w:bookmarkStart w:id="51" w:name="_Ref69726382"/>
      <w:r w:rsidRPr="00247126">
        <w:lastRenderedPageBreak/>
        <w:t>Table</w:t>
      </w:r>
      <w:r w:rsidR="003571C2" w:rsidRPr="00247126">
        <w:t> </w:t>
      </w:r>
      <w:r w:rsidRPr="00247126">
        <w:fldChar w:fldCharType="begin"/>
      </w:r>
      <w:r w:rsidRPr="00247126">
        <w:instrText xml:space="preserve"> SEQ Table \* ARABIC </w:instrText>
      </w:r>
      <w:r w:rsidRPr="00247126">
        <w:fldChar w:fldCharType="separate"/>
      </w:r>
      <w:r w:rsidR="00151E03" w:rsidRPr="00247126">
        <w:rPr>
          <w:noProof/>
        </w:rPr>
        <w:t>24</w:t>
      </w:r>
      <w:r w:rsidRPr="00247126">
        <w:rPr>
          <w:noProof/>
        </w:rPr>
        <w:fldChar w:fldCharType="end"/>
      </w:r>
      <w:bookmarkEnd w:id="51"/>
      <w:r w:rsidRPr="00247126">
        <w:tab/>
        <w:t xml:space="preserve">Net financial implications of </w:t>
      </w:r>
      <w:r w:rsidR="00345115" w:rsidRPr="00247126">
        <w:t xml:space="preserve">OCT-guided stent insertion </w:t>
      </w:r>
      <w:r w:rsidRPr="00247126">
        <w:t xml:space="preserve">to </w:t>
      </w:r>
      <w:r w:rsidR="00345115" w:rsidRPr="00247126">
        <w:t>the MBS</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Net financial implications of OCT-guided stent insertion to the MBS"/>
        <w:tblDescription w:val="This table shows the estimated utilisation and cost for the MBS service for OCT over the first 6 years of MBS listing (from 2025 to 2030), by subpopulation."/>
      </w:tblPr>
      <w:tblGrid>
        <w:gridCol w:w="2268"/>
        <w:gridCol w:w="1134"/>
        <w:gridCol w:w="1134"/>
        <w:gridCol w:w="1134"/>
        <w:gridCol w:w="1134"/>
        <w:gridCol w:w="1134"/>
        <w:gridCol w:w="1247"/>
      </w:tblGrid>
      <w:tr w:rsidR="00B77E73" w:rsidRPr="00247126" w14:paraId="10C955A8" w14:textId="77777777" w:rsidTr="00247126">
        <w:trPr>
          <w:tblHeader/>
        </w:trPr>
        <w:tc>
          <w:tcPr>
            <w:tcW w:w="2268" w:type="dxa"/>
            <w:tcMar>
              <w:top w:w="0" w:type="dxa"/>
              <w:left w:w="108" w:type="dxa"/>
              <w:bottom w:w="0" w:type="dxa"/>
              <w:right w:w="108" w:type="dxa"/>
            </w:tcMar>
          </w:tcPr>
          <w:p w14:paraId="7F0BEFFF" w14:textId="130CD43F" w:rsidR="00D428B9" w:rsidRPr="00247126" w:rsidRDefault="00211DC3" w:rsidP="00215AFB">
            <w:pPr>
              <w:pStyle w:val="TableText"/>
              <w:keepNext/>
              <w:rPr>
                <w:b/>
                <w:bCs/>
              </w:rPr>
            </w:pPr>
            <w:bookmarkStart w:id="52" w:name="Title_Table12" w:colFirst="0" w:colLast="0"/>
            <w:bookmarkStart w:id="53" w:name="_Hlk68276802"/>
            <w:r w:rsidRPr="00247126">
              <w:rPr>
                <w:b/>
                <w:bCs/>
              </w:rPr>
              <w:t>Parameter</w:t>
            </w:r>
            <w:r w:rsidR="001531D6" w:rsidRPr="00247126">
              <w:rPr>
                <w:b/>
                <w:bCs/>
              </w:rPr>
              <w:t xml:space="preserve"> </w:t>
            </w:r>
          </w:p>
        </w:tc>
        <w:tc>
          <w:tcPr>
            <w:tcW w:w="1134" w:type="dxa"/>
            <w:tcMar>
              <w:top w:w="0" w:type="dxa"/>
              <w:left w:w="108" w:type="dxa"/>
              <w:bottom w:w="0" w:type="dxa"/>
              <w:right w:w="108" w:type="dxa"/>
            </w:tcMar>
            <w:hideMark/>
          </w:tcPr>
          <w:p w14:paraId="0802FC81" w14:textId="75E1A5EA" w:rsidR="00D428B9" w:rsidRPr="00247126" w:rsidRDefault="00D428B9" w:rsidP="00215AFB">
            <w:pPr>
              <w:pStyle w:val="TableText"/>
              <w:keepNext/>
              <w:rPr>
                <w:b/>
                <w:bCs/>
              </w:rPr>
            </w:pPr>
            <w:r w:rsidRPr="00247126">
              <w:rPr>
                <w:b/>
                <w:bCs/>
              </w:rPr>
              <w:t xml:space="preserve">Year </w:t>
            </w:r>
            <w:r w:rsidR="00D77B20" w:rsidRPr="00247126">
              <w:rPr>
                <w:b/>
                <w:bCs/>
              </w:rPr>
              <w:t>20</w:t>
            </w:r>
            <w:r w:rsidR="00BF76BD" w:rsidRPr="00247126">
              <w:rPr>
                <w:b/>
                <w:bCs/>
              </w:rPr>
              <w:t>25</w:t>
            </w:r>
          </w:p>
        </w:tc>
        <w:tc>
          <w:tcPr>
            <w:tcW w:w="1134" w:type="dxa"/>
            <w:tcMar>
              <w:top w:w="0" w:type="dxa"/>
              <w:left w:w="108" w:type="dxa"/>
              <w:bottom w:w="0" w:type="dxa"/>
              <w:right w:w="108" w:type="dxa"/>
            </w:tcMar>
            <w:hideMark/>
          </w:tcPr>
          <w:p w14:paraId="759DA5DF" w14:textId="3A968798" w:rsidR="00D428B9" w:rsidRPr="00247126" w:rsidRDefault="00D428B9" w:rsidP="00215AFB">
            <w:pPr>
              <w:pStyle w:val="TableText"/>
              <w:keepNext/>
              <w:rPr>
                <w:b/>
                <w:bCs/>
              </w:rPr>
            </w:pPr>
            <w:r w:rsidRPr="00247126">
              <w:rPr>
                <w:b/>
                <w:bCs/>
              </w:rPr>
              <w:t xml:space="preserve">Year </w:t>
            </w:r>
            <w:r w:rsidR="00D77B20" w:rsidRPr="00247126">
              <w:rPr>
                <w:b/>
                <w:bCs/>
              </w:rPr>
              <w:t>20</w:t>
            </w:r>
            <w:r w:rsidR="00BF76BD" w:rsidRPr="00247126">
              <w:rPr>
                <w:b/>
                <w:bCs/>
              </w:rPr>
              <w:t>26</w:t>
            </w:r>
          </w:p>
        </w:tc>
        <w:tc>
          <w:tcPr>
            <w:tcW w:w="1134" w:type="dxa"/>
            <w:tcMar>
              <w:top w:w="0" w:type="dxa"/>
              <w:left w:w="108" w:type="dxa"/>
              <w:bottom w:w="0" w:type="dxa"/>
              <w:right w:w="108" w:type="dxa"/>
            </w:tcMar>
            <w:hideMark/>
          </w:tcPr>
          <w:p w14:paraId="3BF14104" w14:textId="3C637DFF" w:rsidR="00D428B9" w:rsidRPr="00247126" w:rsidRDefault="00D428B9" w:rsidP="00215AFB">
            <w:pPr>
              <w:pStyle w:val="TableText"/>
              <w:keepNext/>
              <w:rPr>
                <w:b/>
                <w:bCs/>
              </w:rPr>
            </w:pPr>
            <w:r w:rsidRPr="00247126">
              <w:rPr>
                <w:b/>
                <w:bCs/>
              </w:rPr>
              <w:t xml:space="preserve">Year </w:t>
            </w:r>
            <w:r w:rsidR="00D77B20" w:rsidRPr="00247126">
              <w:rPr>
                <w:b/>
                <w:bCs/>
              </w:rPr>
              <w:t>2</w:t>
            </w:r>
            <w:r w:rsidR="00BF76BD" w:rsidRPr="00247126">
              <w:rPr>
                <w:b/>
                <w:bCs/>
              </w:rPr>
              <w:t>027</w:t>
            </w:r>
          </w:p>
        </w:tc>
        <w:tc>
          <w:tcPr>
            <w:tcW w:w="1134" w:type="dxa"/>
            <w:tcMar>
              <w:top w:w="0" w:type="dxa"/>
              <w:left w:w="108" w:type="dxa"/>
              <w:bottom w:w="0" w:type="dxa"/>
              <w:right w:w="108" w:type="dxa"/>
            </w:tcMar>
            <w:hideMark/>
          </w:tcPr>
          <w:p w14:paraId="31580A99" w14:textId="54E57D67" w:rsidR="00D428B9" w:rsidRPr="00247126" w:rsidRDefault="00D428B9" w:rsidP="00215AFB">
            <w:pPr>
              <w:pStyle w:val="TableText"/>
              <w:keepNext/>
              <w:rPr>
                <w:b/>
                <w:bCs/>
              </w:rPr>
            </w:pPr>
            <w:r w:rsidRPr="00247126">
              <w:rPr>
                <w:b/>
                <w:bCs/>
              </w:rPr>
              <w:t xml:space="preserve">Year </w:t>
            </w:r>
            <w:r w:rsidR="00D77B20" w:rsidRPr="00247126">
              <w:rPr>
                <w:b/>
                <w:bCs/>
              </w:rPr>
              <w:t>20</w:t>
            </w:r>
            <w:r w:rsidR="00BF76BD" w:rsidRPr="00247126">
              <w:rPr>
                <w:b/>
                <w:bCs/>
              </w:rPr>
              <w:t>28</w:t>
            </w:r>
          </w:p>
        </w:tc>
        <w:tc>
          <w:tcPr>
            <w:tcW w:w="1134" w:type="dxa"/>
            <w:tcMar>
              <w:top w:w="0" w:type="dxa"/>
              <w:left w:w="108" w:type="dxa"/>
              <w:bottom w:w="0" w:type="dxa"/>
              <w:right w:w="108" w:type="dxa"/>
            </w:tcMar>
            <w:hideMark/>
          </w:tcPr>
          <w:p w14:paraId="199B68C0" w14:textId="7847EC66" w:rsidR="00D428B9" w:rsidRPr="00247126" w:rsidRDefault="00D428B9" w:rsidP="00215AFB">
            <w:pPr>
              <w:pStyle w:val="TableText"/>
              <w:keepNext/>
              <w:rPr>
                <w:b/>
                <w:bCs/>
              </w:rPr>
            </w:pPr>
            <w:r w:rsidRPr="00247126">
              <w:rPr>
                <w:b/>
                <w:bCs/>
              </w:rPr>
              <w:t xml:space="preserve">Year </w:t>
            </w:r>
            <w:r w:rsidR="00D77B20" w:rsidRPr="00247126">
              <w:rPr>
                <w:b/>
                <w:bCs/>
              </w:rPr>
              <w:t>20</w:t>
            </w:r>
            <w:r w:rsidR="00BF76BD" w:rsidRPr="00247126">
              <w:rPr>
                <w:b/>
                <w:bCs/>
              </w:rPr>
              <w:t>29</w:t>
            </w:r>
          </w:p>
        </w:tc>
        <w:tc>
          <w:tcPr>
            <w:tcW w:w="1247" w:type="dxa"/>
            <w:tcMar>
              <w:top w:w="0" w:type="dxa"/>
              <w:left w:w="108" w:type="dxa"/>
              <w:bottom w:w="0" w:type="dxa"/>
              <w:right w:w="108" w:type="dxa"/>
            </w:tcMar>
            <w:hideMark/>
          </w:tcPr>
          <w:p w14:paraId="7A0E4711" w14:textId="174B376A" w:rsidR="00D428B9" w:rsidRPr="00247126" w:rsidRDefault="00D428B9" w:rsidP="00215AFB">
            <w:pPr>
              <w:pStyle w:val="TableText"/>
              <w:keepNext/>
              <w:rPr>
                <w:b/>
                <w:bCs/>
              </w:rPr>
            </w:pPr>
            <w:r w:rsidRPr="00247126">
              <w:rPr>
                <w:b/>
                <w:bCs/>
              </w:rPr>
              <w:t xml:space="preserve">Year </w:t>
            </w:r>
            <w:r w:rsidR="00D77B20" w:rsidRPr="00247126">
              <w:rPr>
                <w:b/>
                <w:bCs/>
              </w:rPr>
              <w:t>20</w:t>
            </w:r>
            <w:r w:rsidR="00BF76BD" w:rsidRPr="00247126">
              <w:rPr>
                <w:b/>
                <w:bCs/>
              </w:rPr>
              <w:t>30</w:t>
            </w:r>
          </w:p>
        </w:tc>
      </w:tr>
      <w:bookmarkEnd w:id="52"/>
      <w:tr w:rsidR="00B77E73" w:rsidRPr="00247126" w14:paraId="70BBEFF6" w14:textId="77777777" w:rsidTr="00247126">
        <w:tc>
          <w:tcPr>
            <w:tcW w:w="9185" w:type="dxa"/>
            <w:gridSpan w:val="7"/>
            <w:tcMar>
              <w:top w:w="0" w:type="dxa"/>
              <w:left w:w="108" w:type="dxa"/>
              <w:bottom w:w="0" w:type="dxa"/>
              <w:right w:w="108" w:type="dxa"/>
            </w:tcMar>
          </w:tcPr>
          <w:p w14:paraId="2A253701" w14:textId="7265ABB1" w:rsidR="00B77E73" w:rsidRPr="00247126" w:rsidRDefault="00B77E73" w:rsidP="00C22AC4">
            <w:pPr>
              <w:pStyle w:val="TableText"/>
              <w:keepNext/>
            </w:pPr>
            <w:r w:rsidRPr="00247126">
              <w:rPr>
                <w:b/>
                <w:bCs/>
              </w:rPr>
              <w:t>Estimated use and cost of the proposed health technology</w:t>
            </w:r>
          </w:p>
        </w:tc>
      </w:tr>
      <w:tr w:rsidR="00B77E73" w:rsidRPr="00247126" w14:paraId="16C50CDA" w14:textId="77777777" w:rsidTr="00247126">
        <w:tc>
          <w:tcPr>
            <w:tcW w:w="2268" w:type="dxa"/>
            <w:tcMar>
              <w:top w:w="0" w:type="dxa"/>
              <w:left w:w="108" w:type="dxa"/>
              <w:bottom w:w="0" w:type="dxa"/>
              <w:right w:w="108" w:type="dxa"/>
            </w:tcMar>
            <w:hideMark/>
          </w:tcPr>
          <w:p w14:paraId="3B7783D5" w14:textId="238E48FA" w:rsidR="00C22AC4" w:rsidRPr="00247126" w:rsidRDefault="00C22AC4" w:rsidP="00C22AC4">
            <w:pPr>
              <w:pStyle w:val="TableText"/>
              <w:keepNext/>
            </w:pPr>
            <w:r w:rsidRPr="00247126">
              <w:t xml:space="preserve">Number of PCI procedures with stent </w:t>
            </w:r>
            <w:proofErr w:type="spellStart"/>
            <w:r w:rsidRPr="00247126">
              <w:t>insertion</w:t>
            </w:r>
            <w:r w:rsidR="00FB55BD" w:rsidRPr="00247126">
              <w:rPr>
                <w:vertAlign w:val="superscript"/>
              </w:rPr>
              <w:t>a</w:t>
            </w:r>
            <w:proofErr w:type="spellEnd"/>
          </w:p>
        </w:tc>
        <w:tc>
          <w:tcPr>
            <w:tcW w:w="1134" w:type="dxa"/>
            <w:tcMar>
              <w:top w:w="0" w:type="dxa"/>
              <w:left w:w="108" w:type="dxa"/>
              <w:bottom w:w="0" w:type="dxa"/>
              <w:right w:w="108" w:type="dxa"/>
            </w:tcMar>
          </w:tcPr>
          <w:p w14:paraId="73095266" w14:textId="47276641" w:rsidR="00C22AC4" w:rsidRPr="00247126" w:rsidRDefault="00C22AC4" w:rsidP="00C22AC4">
            <w:pPr>
              <w:pStyle w:val="TableText"/>
              <w:keepNext/>
            </w:pPr>
            <w:r w:rsidRPr="00247126">
              <w:t>23,031</w:t>
            </w:r>
          </w:p>
        </w:tc>
        <w:tc>
          <w:tcPr>
            <w:tcW w:w="1134" w:type="dxa"/>
            <w:tcMar>
              <w:top w:w="0" w:type="dxa"/>
              <w:left w:w="108" w:type="dxa"/>
              <w:bottom w:w="0" w:type="dxa"/>
              <w:right w:w="108" w:type="dxa"/>
            </w:tcMar>
          </w:tcPr>
          <w:p w14:paraId="47AB12F5" w14:textId="4D8AB317" w:rsidR="00C22AC4" w:rsidRPr="00247126" w:rsidRDefault="00C22AC4" w:rsidP="00C22AC4">
            <w:pPr>
              <w:pStyle w:val="TableText"/>
              <w:keepNext/>
            </w:pPr>
            <w:r w:rsidRPr="00247126">
              <w:t>23,652</w:t>
            </w:r>
          </w:p>
        </w:tc>
        <w:tc>
          <w:tcPr>
            <w:tcW w:w="1134" w:type="dxa"/>
            <w:tcMar>
              <w:top w:w="0" w:type="dxa"/>
              <w:left w:w="108" w:type="dxa"/>
              <w:bottom w:w="0" w:type="dxa"/>
              <w:right w:w="108" w:type="dxa"/>
            </w:tcMar>
          </w:tcPr>
          <w:p w14:paraId="09031D3F" w14:textId="5D054D46" w:rsidR="00C22AC4" w:rsidRPr="00247126" w:rsidRDefault="00C22AC4" w:rsidP="00C22AC4">
            <w:pPr>
              <w:pStyle w:val="TableText"/>
              <w:keepNext/>
            </w:pPr>
            <w:r w:rsidRPr="00247126">
              <w:t>24,291</w:t>
            </w:r>
          </w:p>
        </w:tc>
        <w:tc>
          <w:tcPr>
            <w:tcW w:w="1134" w:type="dxa"/>
            <w:tcMar>
              <w:top w:w="0" w:type="dxa"/>
              <w:left w:w="108" w:type="dxa"/>
              <w:bottom w:w="0" w:type="dxa"/>
              <w:right w:w="108" w:type="dxa"/>
            </w:tcMar>
          </w:tcPr>
          <w:p w14:paraId="57859E00" w14:textId="2F72610E" w:rsidR="00C22AC4" w:rsidRPr="00247126" w:rsidRDefault="00C22AC4" w:rsidP="00C22AC4">
            <w:pPr>
              <w:pStyle w:val="TableText"/>
              <w:keepNext/>
            </w:pPr>
            <w:r w:rsidRPr="00247126">
              <w:t>24,947</w:t>
            </w:r>
          </w:p>
        </w:tc>
        <w:tc>
          <w:tcPr>
            <w:tcW w:w="1134" w:type="dxa"/>
            <w:tcMar>
              <w:top w:w="0" w:type="dxa"/>
              <w:left w:w="108" w:type="dxa"/>
              <w:bottom w:w="0" w:type="dxa"/>
              <w:right w:w="108" w:type="dxa"/>
            </w:tcMar>
          </w:tcPr>
          <w:p w14:paraId="3C0B54F8" w14:textId="52021BC5" w:rsidR="00C22AC4" w:rsidRPr="00247126" w:rsidRDefault="00C22AC4" w:rsidP="00C22AC4">
            <w:pPr>
              <w:pStyle w:val="TableText"/>
              <w:keepNext/>
            </w:pPr>
            <w:r w:rsidRPr="00247126">
              <w:t>25,620</w:t>
            </w:r>
          </w:p>
        </w:tc>
        <w:tc>
          <w:tcPr>
            <w:tcW w:w="1247" w:type="dxa"/>
            <w:tcMar>
              <w:top w:w="0" w:type="dxa"/>
              <w:left w:w="108" w:type="dxa"/>
              <w:bottom w:w="0" w:type="dxa"/>
              <w:right w:w="108" w:type="dxa"/>
            </w:tcMar>
          </w:tcPr>
          <w:p w14:paraId="19C7884F" w14:textId="35F02B8F" w:rsidR="00C22AC4" w:rsidRPr="00247126" w:rsidRDefault="00C22AC4" w:rsidP="00C22AC4">
            <w:pPr>
              <w:pStyle w:val="TableText"/>
              <w:keepNext/>
            </w:pPr>
            <w:r w:rsidRPr="00247126">
              <w:t>26,312</w:t>
            </w:r>
          </w:p>
        </w:tc>
      </w:tr>
      <w:tr w:rsidR="00B77E73" w:rsidRPr="00247126" w14:paraId="3779D74A" w14:textId="77777777" w:rsidTr="00247126">
        <w:tc>
          <w:tcPr>
            <w:tcW w:w="2268" w:type="dxa"/>
            <w:tcMar>
              <w:top w:w="0" w:type="dxa"/>
              <w:left w:w="108" w:type="dxa"/>
              <w:bottom w:w="0" w:type="dxa"/>
              <w:right w:w="108" w:type="dxa"/>
            </w:tcMar>
          </w:tcPr>
          <w:p w14:paraId="6A73B3D2" w14:textId="1DA8310F" w:rsidR="00140974" w:rsidRPr="00247126" w:rsidRDefault="000B0CA9" w:rsidP="001363A7">
            <w:pPr>
              <w:pStyle w:val="TableText"/>
            </w:pPr>
            <w:r w:rsidRPr="00247126">
              <w:t>Uptake</w:t>
            </w:r>
            <w:r w:rsidR="00133A6D" w:rsidRPr="00247126">
              <w:t xml:space="preserve"> of intravascular </w:t>
            </w:r>
            <w:proofErr w:type="spellStart"/>
            <w:r w:rsidR="00133A6D" w:rsidRPr="00247126">
              <w:t>imaging</w:t>
            </w:r>
            <w:r w:rsidR="00FB55BD" w:rsidRPr="00247126">
              <w:rPr>
                <w:vertAlign w:val="superscript"/>
              </w:rPr>
              <w:t>b</w:t>
            </w:r>
            <w:proofErr w:type="spellEnd"/>
          </w:p>
        </w:tc>
        <w:tc>
          <w:tcPr>
            <w:tcW w:w="1134" w:type="dxa"/>
            <w:tcMar>
              <w:top w:w="0" w:type="dxa"/>
              <w:left w:w="108" w:type="dxa"/>
              <w:bottom w:w="0" w:type="dxa"/>
              <w:right w:w="108" w:type="dxa"/>
            </w:tcMar>
          </w:tcPr>
          <w:p w14:paraId="73C6645D" w14:textId="25D04CB4" w:rsidR="00140974" w:rsidRPr="00247126" w:rsidRDefault="00B77E73" w:rsidP="001363A7">
            <w:pPr>
              <w:pStyle w:val="TableText"/>
            </w:pPr>
            <w:r w:rsidRPr="00247126">
              <w:rPr>
                <w:b/>
                <w:bCs/>
              </w:rPr>
              <w:t>Redacted</w:t>
            </w:r>
            <w:r w:rsidR="00133A6D" w:rsidRPr="00247126">
              <w:t>%</w:t>
            </w:r>
          </w:p>
        </w:tc>
        <w:tc>
          <w:tcPr>
            <w:tcW w:w="1134" w:type="dxa"/>
            <w:tcMar>
              <w:top w:w="0" w:type="dxa"/>
              <w:left w:w="108" w:type="dxa"/>
              <w:bottom w:w="0" w:type="dxa"/>
              <w:right w:w="108" w:type="dxa"/>
            </w:tcMar>
          </w:tcPr>
          <w:p w14:paraId="1D054544" w14:textId="431B6EB5" w:rsidR="00140974" w:rsidRPr="00247126" w:rsidRDefault="00B77E73" w:rsidP="001363A7">
            <w:pPr>
              <w:pStyle w:val="TableText"/>
            </w:pPr>
            <w:r w:rsidRPr="00247126">
              <w:rPr>
                <w:b/>
                <w:bCs/>
              </w:rPr>
              <w:t>Redacted</w:t>
            </w:r>
            <w:r w:rsidRPr="00247126">
              <w:t>%</w:t>
            </w:r>
          </w:p>
        </w:tc>
        <w:tc>
          <w:tcPr>
            <w:tcW w:w="1134" w:type="dxa"/>
            <w:tcMar>
              <w:top w:w="0" w:type="dxa"/>
              <w:left w:w="108" w:type="dxa"/>
              <w:bottom w:w="0" w:type="dxa"/>
              <w:right w:w="108" w:type="dxa"/>
            </w:tcMar>
          </w:tcPr>
          <w:p w14:paraId="6E3EF062" w14:textId="0E72DD04" w:rsidR="00140974" w:rsidRPr="00247126" w:rsidRDefault="00B77E73" w:rsidP="001363A7">
            <w:pPr>
              <w:pStyle w:val="TableText"/>
            </w:pPr>
            <w:r w:rsidRPr="00247126">
              <w:rPr>
                <w:b/>
                <w:bCs/>
              </w:rPr>
              <w:t>Redacted</w:t>
            </w:r>
            <w:r w:rsidRPr="00247126">
              <w:t>%</w:t>
            </w:r>
          </w:p>
        </w:tc>
        <w:tc>
          <w:tcPr>
            <w:tcW w:w="1134" w:type="dxa"/>
            <w:tcMar>
              <w:top w:w="0" w:type="dxa"/>
              <w:left w:w="108" w:type="dxa"/>
              <w:bottom w:w="0" w:type="dxa"/>
              <w:right w:w="108" w:type="dxa"/>
            </w:tcMar>
          </w:tcPr>
          <w:p w14:paraId="7F98BFA8" w14:textId="67958BF6" w:rsidR="00140974" w:rsidRPr="00247126" w:rsidRDefault="00B77E73" w:rsidP="001363A7">
            <w:pPr>
              <w:pStyle w:val="TableText"/>
            </w:pPr>
            <w:r w:rsidRPr="00247126">
              <w:rPr>
                <w:b/>
                <w:bCs/>
              </w:rPr>
              <w:t>Redacted</w:t>
            </w:r>
            <w:r w:rsidRPr="00247126">
              <w:t>%</w:t>
            </w:r>
          </w:p>
        </w:tc>
        <w:tc>
          <w:tcPr>
            <w:tcW w:w="1134" w:type="dxa"/>
            <w:tcMar>
              <w:top w:w="0" w:type="dxa"/>
              <w:left w:w="108" w:type="dxa"/>
              <w:bottom w:w="0" w:type="dxa"/>
              <w:right w:w="108" w:type="dxa"/>
            </w:tcMar>
          </w:tcPr>
          <w:p w14:paraId="21FD8B24" w14:textId="6F274E55" w:rsidR="00140974" w:rsidRPr="00247126" w:rsidRDefault="00B77E73" w:rsidP="001363A7">
            <w:pPr>
              <w:pStyle w:val="TableText"/>
            </w:pPr>
            <w:r w:rsidRPr="00247126">
              <w:rPr>
                <w:b/>
                <w:bCs/>
              </w:rPr>
              <w:t>Redacted</w:t>
            </w:r>
            <w:r w:rsidRPr="00247126">
              <w:t>%</w:t>
            </w:r>
          </w:p>
        </w:tc>
        <w:tc>
          <w:tcPr>
            <w:tcW w:w="1247" w:type="dxa"/>
            <w:tcMar>
              <w:top w:w="0" w:type="dxa"/>
              <w:left w:w="108" w:type="dxa"/>
              <w:bottom w:w="0" w:type="dxa"/>
              <w:right w:w="108" w:type="dxa"/>
            </w:tcMar>
          </w:tcPr>
          <w:p w14:paraId="16CFA857" w14:textId="51F4F748" w:rsidR="00140974" w:rsidRPr="00247126" w:rsidRDefault="00B77E73" w:rsidP="001363A7">
            <w:pPr>
              <w:pStyle w:val="TableText"/>
            </w:pPr>
            <w:r w:rsidRPr="00247126">
              <w:rPr>
                <w:b/>
                <w:bCs/>
              </w:rPr>
              <w:t>Redacted</w:t>
            </w:r>
            <w:r w:rsidRPr="00247126">
              <w:t>%</w:t>
            </w:r>
          </w:p>
        </w:tc>
      </w:tr>
      <w:tr w:rsidR="00B77E73" w:rsidRPr="00247126" w14:paraId="755DEAF4" w14:textId="77777777" w:rsidTr="00247126">
        <w:tc>
          <w:tcPr>
            <w:tcW w:w="2268" w:type="dxa"/>
            <w:tcMar>
              <w:top w:w="0" w:type="dxa"/>
              <w:left w:w="108" w:type="dxa"/>
              <w:bottom w:w="0" w:type="dxa"/>
              <w:right w:w="108" w:type="dxa"/>
            </w:tcMar>
            <w:hideMark/>
          </w:tcPr>
          <w:p w14:paraId="208ACBFB" w14:textId="2CC2AD64" w:rsidR="00D428B9" w:rsidRPr="00247126" w:rsidRDefault="00D428B9" w:rsidP="001363A7">
            <w:pPr>
              <w:pStyle w:val="TableText"/>
            </w:pPr>
            <w:r w:rsidRPr="00247126">
              <w:t xml:space="preserve">Number of </w:t>
            </w:r>
            <w:r w:rsidR="00C22AC4" w:rsidRPr="00247126">
              <w:t xml:space="preserve">PCI procedures meeting proposed eligibility </w:t>
            </w:r>
            <w:proofErr w:type="spellStart"/>
            <w:r w:rsidR="00C22AC4" w:rsidRPr="00247126">
              <w:t>criteria</w:t>
            </w:r>
            <w:r w:rsidR="00FB55BD" w:rsidRPr="00247126">
              <w:rPr>
                <w:vertAlign w:val="superscript"/>
              </w:rPr>
              <w:t>c</w:t>
            </w:r>
            <w:proofErr w:type="spellEnd"/>
          </w:p>
        </w:tc>
        <w:tc>
          <w:tcPr>
            <w:tcW w:w="1134" w:type="dxa"/>
            <w:tcMar>
              <w:top w:w="0" w:type="dxa"/>
              <w:left w:w="108" w:type="dxa"/>
              <w:bottom w:w="0" w:type="dxa"/>
              <w:right w:w="108" w:type="dxa"/>
            </w:tcMar>
          </w:tcPr>
          <w:p w14:paraId="07C02C49" w14:textId="77777777" w:rsidR="00D428B9" w:rsidRPr="00247126" w:rsidRDefault="00D428B9" w:rsidP="001363A7">
            <w:pPr>
              <w:pStyle w:val="TableText"/>
            </w:pPr>
          </w:p>
        </w:tc>
        <w:tc>
          <w:tcPr>
            <w:tcW w:w="1134" w:type="dxa"/>
            <w:tcMar>
              <w:top w:w="0" w:type="dxa"/>
              <w:left w:w="108" w:type="dxa"/>
              <w:bottom w:w="0" w:type="dxa"/>
              <w:right w:w="108" w:type="dxa"/>
            </w:tcMar>
          </w:tcPr>
          <w:p w14:paraId="726FA6A9" w14:textId="77777777" w:rsidR="00D428B9" w:rsidRPr="00247126" w:rsidRDefault="00D428B9" w:rsidP="001363A7">
            <w:pPr>
              <w:pStyle w:val="TableText"/>
            </w:pPr>
          </w:p>
        </w:tc>
        <w:tc>
          <w:tcPr>
            <w:tcW w:w="1134" w:type="dxa"/>
            <w:tcMar>
              <w:top w:w="0" w:type="dxa"/>
              <w:left w:w="108" w:type="dxa"/>
              <w:bottom w:w="0" w:type="dxa"/>
              <w:right w:w="108" w:type="dxa"/>
            </w:tcMar>
          </w:tcPr>
          <w:p w14:paraId="40599FCD" w14:textId="77777777" w:rsidR="00D428B9" w:rsidRPr="00247126" w:rsidRDefault="00D428B9" w:rsidP="001363A7">
            <w:pPr>
              <w:pStyle w:val="TableText"/>
            </w:pPr>
          </w:p>
        </w:tc>
        <w:tc>
          <w:tcPr>
            <w:tcW w:w="1134" w:type="dxa"/>
            <w:tcMar>
              <w:top w:w="0" w:type="dxa"/>
              <w:left w:w="108" w:type="dxa"/>
              <w:bottom w:w="0" w:type="dxa"/>
              <w:right w:w="108" w:type="dxa"/>
            </w:tcMar>
          </w:tcPr>
          <w:p w14:paraId="49543F6F" w14:textId="77777777" w:rsidR="00D428B9" w:rsidRPr="00247126" w:rsidRDefault="00D428B9" w:rsidP="001363A7">
            <w:pPr>
              <w:pStyle w:val="TableText"/>
            </w:pPr>
          </w:p>
        </w:tc>
        <w:tc>
          <w:tcPr>
            <w:tcW w:w="1134" w:type="dxa"/>
            <w:tcMar>
              <w:top w:w="0" w:type="dxa"/>
              <w:left w:w="108" w:type="dxa"/>
              <w:bottom w:w="0" w:type="dxa"/>
              <w:right w:w="108" w:type="dxa"/>
            </w:tcMar>
          </w:tcPr>
          <w:p w14:paraId="4012557F" w14:textId="77777777" w:rsidR="00D428B9" w:rsidRPr="00247126" w:rsidRDefault="00D428B9" w:rsidP="001363A7">
            <w:pPr>
              <w:pStyle w:val="TableText"/>
            </w:pPr>
          </w:p>
        </w:tc>
        <w:tc>
          <w:tcPr>
            <w:tcW w:w="1247" w:type="dxa"/>
            <w:tcMar>
              <w:top w:w="0" w:type="dxa"/>
              <w:left w:w="108" w:type="dxa"/>
              <w:bottom w:w="0" w:type="dxa"/>
              <w:right w:w="108" w:type="dxa"/>
            </w:tcMar>
          </w:tcPr>
          <w:p w14:paraId="1A66D09E" w14:textId="77777777" w:rsidR="00D428B9" w:rsidRPr="00247126" w:rsidRDefault="00D428B9" w:rsidP="001363A7">
            <w:pPr>
              <w:pStyle w:val="TableText"/>
            </w:pPr>
          </w:p>
        </w:tc>
      </w:tr>
      <w:tr w:rsidR="00B77E73" w:rsidRPr="00247126" w14:paraId="404B485F" w14:textId="77777777" w:rsidTr="00247126">
        <w:tc>
          <w:tcPr>
            <w:tcW w:w="2268" w:type="dxa"/>
            <w:tcMar>
              <w:top w:w="0" w:type="dxa"/>
              <w:left w:w="108" w:type="dxa"/>
              <w:bottom w:w="0" w:type="dxa"/>
              <w:right w:w="108" w:type="dxa"/>
            </w:tcMar>
          </w:tcPr>
          <w:p w14:paraId="067E6E0B" w14:textId="0C83FF3C" w:rsidR="00690B30" w:rsidRPr="00247126" w:rsidRDefault="00690B30" w:rsidP="001363A7">
            <w:pPr>
              <w:pStyle w:val="TableText"/>
              <w:ind w:firstLine="306"/>
            </w:pPr>
            <w:r w:rsidRPr="00247126">
              <w:t>Long/multiple lesion</w:t>
            </w:r>
          </w:p>
        </w:tc>
        <w:tc>
          <w:tcPr>
            <w:tcW w:w="1134" w:type="dxa"/>
            <w:tcMar>
              <w:top w:w="0" w:type="dxa"/>
              <w:left w:w="108" w:type="dxa"/>
              <w:bottom w:w="0" w:type="dxa"/>
              <w:right w:w="108" w:type="dxa"/>
            </w:tcMar>
          </w:tcPr>
          <w:p w14:paraId="3B504668" w14:textId="3DBF6E48" w:rsidR="00690B30" w:rsidRPr="00247126" w:rsidRDefault="007215D0" w:rsidP="001363A7">
            <w:pPr>
              <w:pStyle w:val="TableText"/>
              <w:rPr>
                <w:b/>
                <w:bCs/>
              </w:rPr>
            </w:pPr>
            <w:r w:rsidRPr="00247126">
              <w:rPr>
                <w:b/>
                <w:bCs/>
              </w:rPr>
              <w:t>Redacted</w:t>
            </w:r>
          </w:p>
        </w:tc>
        <w:tc>
          <w:tcPr>
            <w:tcW w:w="1134" w:type="dxa"/>
            <w:tcMar>
              <w:top w:w="0" w:type="dxa"/>
              <w:left w:w="108" w:type="dxa"/>
              <w:bottom w:w="0" w:type="dxa"/>
              <w:right w:w="108" w:type="dxa"/>
            </w:tcMar>
          </w:tcPr>
          <w:p w14:paraId="11A9D648" w14:textId="73F693EC"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3B8E3B1C" w14:textId="5595C7C8"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5A7E686D" w14:textId="6E1E3804"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3E7913D6" w14:textId="1857F508" w:rsidR="00690B30" w:rsidRPr="00247126" w:rsidRDefault="007215D0" w:rsidP="001363A7">
            <w:pPr>
              <w:pStyle w:val="TableText"/>
            </w:pPr>
            <w:r w:rsidRPr="00247126">
              <w:rPr>
                <w:b/>
                <w:bCs/>
              </w:rPr>
              <w:t>Redacted</w:t>
            </w:r>
          </w:p>
        </w:tc>
        <w:tc>
          <w:tcPr>
            <w:tcW w:w="1247" w:type="dxa"/>
            <w:tcMar>
              <w:top w:w="0" w:type="dxa"/>
              <w:left w:w="108" w:type="dxa"/>
              <w:bottom w:w="0" w:type="dxa"/>
              <w:right w:w="108" w:type="dxa"/>
            </w:tcMar>
          </w:tcPr>
          <w:p w14:paraId="45FAC458" w14:textId="015FE5E3" w:rsidR="00690B30" w:rsidRPr="00247126" w:rsidRDefault="007215D0" w:rsidP="001363A7">
            <w:pPr>
              <w:pStyle w:val="TableText"/>
            </w:pPr>
            <w:r w:rsidRPr="00247126">
              <w:rPr>
                <w:b/>
                <w:bCs/>
              </w:rPr>
              <w:t>Redacted</w:t>
            </w:r>
          </w:p>
        </w:tc>
      </w:tr>
      <w:tr w:rsidR="00B77E73" w:rsidRPr="00247126" w14:paraId="52A4DD2D" w14:textId="77777777" w:rsidTr="00247126">
        <w:tc>
          <w:tcPr>
            <w:tcW w:w="2268" w:type="dxa"/>
            <w:tcMar>
              <w:top w:w="0" w:type="dxa"/>
              <w:left w:w="108" w:type="dxa"/>
              <w:bottom w:w="0" w:type="dxa"/>
              <w:right w:w="108" w:type="dxa"/>
            </w:tcMar>
          </w:tcPr>
          <w:p w14:paraId="23244DA3" w14:textId="0961AF21" w:rsidR="00690B30" w:rsidRPr="00247126" w:rsidRDefault="00690B30" w:rsidP="001363A7">
            <w:pPr>
              <w:pStyle w:val="TableText"/>
              <w:ind w:firstLine="306"/>
            </w:pPr>
            <w:r w:rsidRPr="00247126">
              <w:t>Bifurcation lesion</w:t>
            </w:r>
          </w:p>
        </w:tc>
        <w:tc>
          <w:tcPr>
            <w:tcW w:w="1134" w:type="dxa"/>
            <w:tcMar>
              <w:top w:w="0" w:type="dxa"/>
              <w:left w:w="108" w:type="dxa"/>
              <w:bottom w:w="0" w:type="dxa"/>
              <w:right w:w="108" w:type="dxa"/>
            </w:tcMar>
          </w:tcPr>
          <w:p w14:paraId="42C339FC" w14:textId="5702EEDC"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5694553B" w14:textId="26924D02"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1396ACBA" w14:textId="55A117EC"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166D0B74" w14:textId="201F9C8B"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705D173C" w14:textId="77C531DF" w:rsidR="00690B30" w:rsidRPr="00247126" w:rsidRDefault="007215D0" w:rsidP="001363A7">
            <w:pPr>
              <w:pStyle w:val="TableText"/>
            </w:pPr>
            <w:r w:rsidRPr="00247126">
              <w:rPr>
                <w:b/>
                <w:bCs/>
              </w:rPr>
              <w:t>Redacted</w:t>
            </w:r>
          </w:p>
        </w:tc>
        <w:tc>
          <w:tcPr>
            <w:tcW w:w="1247" w:type="dxa"/>
            <w:tcMar>
              <w:top w:w="0" w:type="dxa"/>
              <w:left w:w="108" w:type="dxa"/>
              <w:bottom w:w="0" w:type="dxa"/>
              <w:right w:w="108" w:type="dxa"/>
            </w:tcMar>
          </w:tcPr>
          <w:p w14:paraId="3E515E8B" w14:textId="63172CC0" w:rsidR="00690B30" w:rsidRPr="00247126" w:rsidRDefault="007215D0" w:rsidP="001363A7">
            <w:pPr>
              <w:pStyle w:val="TableText"/>
            </w:pPr>
            <w:r w:rsidRPr="00247126">
              <w:rPr>
                <w:b/>
                <w:bCs/>
              </w:rPr>
              <w:t>Redacted</w:t>
            </w:r>
          </w:p>
        </w:tc>
      </w:tr>
      <w:tr w:rsidR="00B77E73" w:rsidRPr="00247126" w14:paraId="4563F0E7" w14:textId="77777777" w:rsidTr="00247126">
        <w:tc>
          <w:tcPr>
            <w:tcW w:w="2268" w:type="dxa"/>
            <w:tcMar>
              <w:top w:w="0" w:type="dxa"/>
              <w:left w:w="108" w:type="dxa"/>
              <w:bottom w:w="0" w:type="dxa"/>
              <w:right w:w="108" w:type="dxa"/>
            </w:tcMar>
          </w:tcPr>
          <w:p w14:paraId="7197AA86" w14:textId="682C4372" w:rsidR="00690B30" w:rsidRPr="00247126" w:rsidRDefault="00690B30" w:rsidP="001363A7">
            <w:pPr>
              <w:pStyle w:val="TableText"/>
              <w:ind w:firstLine="306"/>
            </w:pPr>
            <w:r w:rsidRPr="00247126">
              <w:t>Severe calcification</w:t>
            </w:r>
          </w:p>
        </w:tc>
        <w:tc>
          <w:tcPr>
            <w:tcW w:w="1134" w:type="dxa"/>
            <w:tcMar>
              <w:top w:w="0" w:type="dxa"/>
              <w:left w:w="108" w:type="dxa"/>
              <w:bottom w:w="0" w:type="dxa"/>
              <w:right w:w="108" w:type="dxa"/>
            </w:tcMar>
          </w:tcPr>
          <w:p w14:paraId="6275BCA8" w14:textId="0B1C9B98"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59D35B1C" w14:textId="6389C187"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1C5B3876" w14:textId="36D2316F"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7291C0EF" w14:textId="38BF3D8D"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5CA38842" w14:textId="1BA915FA" w:rsidR="00690B30" w:rsidRPr="00247126" w:rsidRDefault="007215D0" w:rsidP="001363A7">
            <w:pPr>
              <w:pStyle w:val="TableText"/>
            </w:pPr>
            <w:r w:rsidRPr="00247126">
              <w:rPr>
                <w:b/>
                <w:bCs/>
              </w:rPr>
              <w:t>Redacted</w:t>
            </w:r>
          </w:p>
        </w:tc>
        <w:tc>
          <w:tcPr>
            <w:tcW w:w="1247" w:type="dxa"/>
            <w:tcMar>
              <w:top w:w="0" w:type="dxa"/>
              <w:left w:w="108" w:type="dxa"/>
              <w:bottom w:w="0" w:type="dxa"/>
              <w:right w:w="108" w:type="dxa"/>
            </w:tcMar>
          </w:tcPr>
          <w:p w14:paraId="08AF3A80" w14:textId="40BCE3CC" w:rsidR="00690B30" w:rsidRPr="00247126" w:rsidRDefault="007215D0" w:rsidP="001363A7">
            <w:pPr>
              <w:pStyle w:val="TableText"/>
            </w:pPr>
            <w:r w:rsidRPr="00247126">
              <w:rPr>
                <w:b/>
                <w:bCs/>
              </w:rPr>
              <w:t>Redacted</w:t>
            </w:r>
          </w:p>
        </w:tc>
      </w:tr>
      <w:tr w:rsidR="00B77E73" w:rsidRPr="00247126" w14:paraId="18CB5704" w14:textId="77777777" w:rsidTr="00247126">
        <w:tc>
          <w:tcPr>
            <w:tcW w:w="2268" w:type="dxa"/>
            <w:tcMar>
              <w:top w:w="0" w:type="dxa"/>
              <w:left w:w="108" w:type="dxa"/>
              <w:bottom w:w="0" w:type="dxa"/>
              <w:right w:w="108" w:type="dxa"/>
            </w:tcMar>
          </w:tcPr>
          <w:p w14:paraId="261DB4CC" w14:textId="269B33DC" w:rsidR="00690B30" w:rsidRPr="00247126" w:rsidRDefault="00690B30" w:rsidP="001363A7">
            <w:pPr>
              <w:pStyle w:val="TableText"/>
              <w:ind w:firstLine="306"/>
            </w:pPr>
            <w:r w:rsidRPr="00247126">
              <w:t>Stent failure</w:t>
            </w:r>
          </w:p>
        </w:tc>
        <w:tc>
          <w:tcPr>
            <w:tcW w:w="1134" w:type="dxa"/>
            <w:tcMar>
              <w:top w:w="0" w:type="dxa"/>
              <w:left w:w="108" w:type="dxa"/>
              <w:bottom w:w="0" w:type="dxa"/>
              <w:right w:w="108" w:type="dxa"/>
            </w:tcMar>
          </w:tcPr>
          <w:p w14:paraId="5CADB8A5" w14:textId="297BE9FE"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0F91772C" w14:textId="11CC89CC"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5A9595AB" w14:textId="6ECF0663"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379BB449" w14:textId="1734F569"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6B603553" w14:textId="65B770EB" w:rsidR="00690B30" w:rsidRPr="00247126" w:rsidRDefault="007215D0" w:rsidP="001363A7">
            <w:pPr>
              <w:pStyle w:val="TableText"/>
            </w:pPr>
            <w:r w:rsidRPr="00247126">
              <w:rPr>
                <w:b/>
                <w:bCs/>
              </w:rPr>
              <w:t>Redacted</w:t>
            </w:r>
          </w:p>
        </w:tc>
        <w:tc>
          <w:tcPr>
            <w:tcW w:w="1247" w:type="dxa"/>
            <w:tcMar>
              <w:top w:w="0" w:type="dxa"/>
              <w:left w:w="108" w:type="dxa"/>
              <w:bottom w:w="0" w:type="dxa"/>
              <w:right w:w="108" w:type="dxa"/>
            </w:tcMar>
          </w:tcPr>
          <w:p w14:paraId="64EAA511" w14:textId="4973D4EA" w:rsidR="00690B30" w:rsidRPr="00247126" w:rsidRDefault="007215D0" w:rsidP="001363A7">
            <w:pPr>
              <w:pStyle w:val="TableText"/>
            </w:pPr>
            <w:r w:rsidRPr="00247126">
              <w:rPr>
                <w:b/>
                <w:bCs/>
              </w:rPr>
              <w:t>Redacted</w:t>
            </w:r>
          </w:p>
        </w:tc>
      </w:tr>
      <w:tr w:rsidR="00B77E73" w:rsidRPr="00247126" w14:paraId="55A6176D" w14:textId="77777777" w:rsidTr="00247126">
        <w:tc>
          <w:tcPr>
            <w:tcW w:w="2268" w:type="dxa"/>
            <w:tcMar>
              <w:top w:w="0" w:type="dxa"/>
              <w:left w:w="108" w:type="dxa"/>
              <w:bottom w:w="0" w:type="dxa"/>
              <w:right w:w="108" w:type="dxa"/>
            </w:tcMar>
            <w:hideMark/>
          </w:tcPr>
          <w:p w14:paraId="2F0B7D44" w14:textId="04DAB514" w:rsidR="00690B30" w:rsidRPr="00247126" w:rsidRDefault="00690B30" w:rsidP="001363A7">
            <w:pPr>
              <w:pStyle w:val="TableText"/>
              <w:ind w:left="306"/>
            </w:pPr>
            <w:r w:rsidRPr="00247126">
              <w:t xml:space="preserve">At least one of the above (assuming </w:t>
            </w:r>
            <w:proofErr w:type="gramStart"/>
            <w:r w:rsidRPr="00247126">
              <w:t>overlap)</w:t>
            </w:r>
            <w:r w:rsidR="00FB55BD" w:rsidRPr="00247126">
              <w:rPr>
                <w:vertAlign w:val="superscript"/>
              </w:rPr>
              <w:t>d</w:t>
            </w:r>
            <w:proofErr w:type="gramEnd"/>
          </w:p>
        </w:tc>
        <w:tc>
          <w:tcPr>
            <w:tcW w:w="1134" w:type="dxa"/>
            <w:tcMar>
              <w:top w:w="0" w:type="dxa"/>
              <w:left w:w="108" w:type="dxa"/>
              <w:bottom w:w="0" w:type="dxa"/>
              <w:right w:w="108" w:type="dxa"/>
            </w:tcMar>
          </w:tcPr>
          <w:p w14:paraId="66D15F76" w14:textId="7BBC0446"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09480FD5" w14:textId="76FCE783"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2C940950" w14:textId="5F4A96FB"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46361EF9" w14:textId="4B8F07E7" w:rsidR="00690B30" w:rsidRPr="00247126" w:rsidRDefault="007215D0" w:rsidP="001363A7">
            <w:pPr>
              <w:pStyle w:val="TableText"/>
            </w:pPr>
            <w:r w:rsidRPr="00247126">
              <w:rPr>
                <w:b/>
                <w:bCs/>
              </w:rPr>
              <w:t>Redacted</w:t>
            </w:r>
          </w:p>
        </w:tc>
        <w:tc>
          <w:tcPr>
            <w:tcW w:w="1134" w:type="dxa"/>
            <w:tcMar>
              <w:top w:w="0" w:type="dxa"/>
              <w:left w:w="108" w:type="dxa"/>
              <w:bottom w:w="0" w:type="dxa"/>
              <w:right w:w="108" w:type="dxa"/>
            </w:tcMar>
          </w:tcPr>
          <w:p w14:paraId="254F194A" w14:textId="492F1843" w:rsidR="00690B30" w:rsidRPr="00247126" w:rsidRDefault="007215D0" w:rsidP="001363A7">
            <w:pPr>
              <w:pStyle w:val="TableText"/>
            </w:pPr>
            <w:r w:rsidRPr="00247126">
              <w:rPr>
                <w:b/>
                <w:bCs/>
              </w:rPr>
              <w:t>Redacted</w:t>
            </w:r>
          </w:p>
        </w:tc>
        <w:tc>
          <w:tcPr>
            <w:tcW w:w="1247" w:type="dxa"/>
            <w:tcMar>
              <w:top w:w="0" w:type="dxa"/>
              <w:left w:w="108" w:type="dxa"/>
              <w:bottom w:w="0" w:type="dxa"/>
              <w:right w:w="108" w:type="dxa"/>
            </w:tcMar>
          </w:tcPr>
          <w:p w14:paraId="6689F5C3" w14:textId="2EC29909" w:rsidR="00690B30" w:rsidRPr="00247126" w:rsidRDefault="007215D0" w:rsidP="001363A7">
            <w:pPr>
              <w:pStyle w:val="TableText"/>
            </w:pPr>
            <w:r w:rsidRPr="00247126">
              <w:rPr>
                <w:b/>
                <w:bCs/>
              </w:rPr>
              <w:t>Redacted</w:t>
            </w:r>
          </w:p>
        </w:tc>
      </w:tr>
      <w:tr w:rsidR="00B77E73" w:rsidRPr="00247126" w14:paraId="18183138" w14:textId="77777777" w:rsidTr="00247126">
        <w:tc>
          <w:tcPr>
            <w:tcW w:w="2268" w:type="dxa"/>
            <w:tcMar>
              <w:top w:w="0" w:type="dxa"/>
              <w:left w:w="108" w:type="dxa"/>
              <w:bottom w:w="0" w:type="dxa"/>
              <w:right w:w="108" w:type="dxa"/>
            </w:tcMar>
          </w:tcPr>
          <w:p w14:paraId="0BCFCB25" w14:textId="1412AF2F" w:rsidR="00A03F9E" w:rsidRPr="00247126" w:rsidRDefault="00A03F9E" w:rsidP="00605D9B">
            <w:pPr>
              <w:pStyle w:val="TableText"/>
              <w:keepNext/>
            </w:pPr>
            <w:r w:rsidRPr="00247126">
              <w:t>Cost to the MBS</w:t>
            </w:r>
            <w:r w:rsidR="00A42D7D" w:rsidRPr="00247126">
              <w:t xml:space="preserve"> at 75% </w:t>
            </w:r>
            <w:proofErr w:type="spellStart"/>
            <w:r w:rsidR="00A42D7D" w:rsidRPr="00247126">
              <w:t>benefit</w:t>
            </w:r>
            <w:r w:rsidR="00FB55BD" w:rsidRPr="00247126">
              <w:rPr>
                <w:vertAlign w:val="superscript"/>
              </w:rPr>
              <w:t>e</w:t>
            </w:r>
            <w:proofErr w:type="spellEnd"/>
          </w:p>
        </w:tc>
        <w:tc>
          <w:tcPr>
            <w:tcW w:w="1134" w:type="dxa"/>
            <w:tcMar>
              <w:top w:w="0" w:type="dxa"/>
              <w:left w:w="108" w:type="dxa"/>
              <w:bottom w:w="0" w:type="dxa"/>
              <w:right w:w="108" w:type="dxa"/>
            </w:tcMar>
          </w:tcPr>
          <w:p w14:paraId="3DB113B9" w14:textId="77777777" w:rsidR="00A03F9E" w:rsidRPr="00247126" w:rsidRDefault="00A03F9E" w:rsidP="00605D9B">
            <w:pPr>
              <w:pStyle w:val="TableText"/>
              <w:keepNext/>
            </w:pPr>
          </w:p>
        </w:tc>
        <w:tc>
          <w:tcPr>
            <w:tcW w:w="1134" w:type="dxa"/>
            <w:tcMar>
              <w:top w:w="0" w:type="dxa"/>
              <w:left w:w="108" w:type="dxa"/>
              <w:bottom w:w="0" w:type="dxa"/>
              <w:right w:w="108" w:type="dxa"/>
            </w:tcMar>
          </w:tcPr>
          <w:p w14:paraId="4D4E6C69" w14:textId="77777777" w:rsidR="00A03F9E" w:rsidRPr="00247126" w:rsidRDefault="00A03F9E" w:rsidP="00605D9B">
            <w:pPr>
              <w:pStyle w:val="TableText"/>
              <w:keepNext/>
            </w:pPr>
          </w:p>
        </w:tc>
        <w:tc>
          <w:tcPr>
            <w:tcW w:w="1134" w:type="dxa"/>
            <w:tcMar>
              <w:top w:w="0" w:type="dxa"/>
              <w:left w:w="108" w:type="dxa"/>
              <w:bottom w:w="0" w:type="dxa"/>
              <w:right w:w="108" w:type="dxa"/>
            </w:tcMar>
          </w:tcPr>
          <w:p w14:paraId="54A1C791" w14:textId="77777777" w:rsidR="00A03F9E" w:rsidRPr="00247126" w:rsidRDefault="00A03F9E" w:rsidP="00605D9B">
            <w:pPr>
              <w:pStyle w:val="TableText"/>
              <w:keepNext/>
            </w:pPr>
          </w:p>
        </w:tc>
        <w:tc>
          <w:tcPr>
            <w:tcW w:w="1134" w:type="dxa"/>
            <w:tcMar>
              <w:top w:w="0" w:type="dxa"/>
              <w:left w:w="108" w:type="dxa"/>
              <w:bottom w:w="0" w:type="dxa"/>
              <w:right w:w="108" w:type="dxa"/>
            </w:tcMar>
          </w:tcPr>
          <w:p w14:paraId="5D71F432" w14:textId="77777777" w:rsidR="00A03F9E" w:rsidRPr="00247126" w:rsidRDefault="00A03F9E" w:rsidP="00605D9B">
            <w:pPr>
              <w:pStyle w:val="TableText"/>
              <w:keepNext/>
            </w:pPr>
          </w:p>
        </w:tc>
        <w:tc>
          <w:tcPr>
            <w:tcW w:w="1134" w:type="dxa"/>
            <w:tcMar>
              <w:top w:w="0" w:type="dxa"/>
              <w:left w:w="108" w:type="dxa"/>
              <w:bottom w:w="0" w:type="dxa"/>
              <w:right w:w="108" w:type="dxa"/>
            </w:tcMar>
          </w:tcPr>
          <w:p w14:paraId="77B1F8EE" w14:textId="77777777" w:rsidR="00A03F9E" w:rsidRPr="00247126" w:rsidRDefault="00A03F9E" w:rsidP="00605D9B">
            <w:pPr>
              <w:pStyle w:val="TableText"/>
              <w:keepNext/>
            </w:pPr>
          </w:p>
        </w:tc>
        <w:tc>
          <w:tcPr>
            <w:tcW w:w="1247" w:type="dxa"/>
            <w:tcMar>
              <w:top w:w="0" w:type="dxa"/>
              <w:left w:w="108" w:type="dxa"/>
              <w:bottom w:w="0" w:type="dxa"/>
              <w:right w:w="108" w:type="dxa"/>
            </w:tcMar>
          </w:tcPr>
          <w:p w14:paraId="01A7A957" w14:textId="77777777" w:rsidR="00A03F9E" w:rsidRPr="00247126" w:rsidRDefault="00A03F9E" w:rsidP="00605D9B">
            <w:pPr>
              <w:pStyle w:val="TableText"/>
              <w:keepNext/>
            </w:pPr>
          </w:p>
        </w:tc>
      </w:tr>
      <w:tr w:rsidR="00B77E73" w:rsidRPr="00247126" w14:paraId="4FBFB23B" w14:textId="77777777" w:rsidTr="00247126">
        <w:tc>
          <w:tcPr>
            <w:tcW w:w="2268" w:type="dxa"/>
            <w:tcMar>
              <w:top w:w="0" w:type="dxa"/>
              <w:left w:w="108" w:type="dxa"/>
              <w:bottom w:w="0" w:type="dxa"/>
              <w:right w:w="108" w:type="dxa"/>
            </w:tcMar>
          </w:tcPr>
          <w:p w14:paraId="7324F72D" w14:textId="49E20F61" w:rsidR="0062789D" w:rsidRPr="00247126" w:rsidRDefault="0062789D" w:rsidP="001363A7">
            <w:pPr>
              <w:pStyle w:val="TableText"/>
              <w:ind w:left="306"/>
            </w:pPr>
            <w:r w:rsidRPr="00247126">
              <w:t>Long/multiple lesion</w:t>
            </w:r>
          </w:p>
        </w:tc>
        <w:tc>
          <w:tcPr>
            <w:tcW w:w="1134" w:type="dxa"/>
            <w:tcMar>
              <w:top w:w="0" w:type="dxa"/>
              <w:left w:w="108" w:type="dxa"/>
              <w:bottom w:w="0" w:type="dxa"/>
              <w:right w:w="108" w:type="dxa"/>
            </w:tcMar>
          </w:tcPr>
          <w:p w14:paraId="6C2B69C6" w14:textId="7A75A7D0" w:rsidR="0062789D" w:rsidRPr="00247126" w:rsidRDefault="0062789D" w:rsidP="001363A7">
            <w:pPr>
              <w:pStyle w:val="TableText"/>
            </w:pPr>
            <w:r w:rsidRPr="00247126">
              <w:t>$</w:t>
            </w:r>
            <w:r w:rsidR="00810793" w:rsidRPr="00247126">
              <w:rPr>
                <w:b/>
                <w:bCs/>
              </w:rPr>
              <w:t>Redacted</w:t>
            </w:r>
          </w:p>
        </w:tc>
        <w:tc>
          <w:tcPr>
            <w:tcW w:w="1134" w:type="dxa"/>
            <w:tcMar>
              <w:top w:w="0" w:type="dxa"/>
              <w:left w:w="108" w:type="dxa"/>
              <w:bottom w:w="0" w:type="dxa"/>
              <w:right w:w="108" w:type="dxa"/>
            </w:tcMar>
          </w:tcPr>
          <w:p w14:paraId="5885D33B" w14:textId="0EB3C396"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2105537B" w14:textId="2163100F"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64604F60" w14:textId="706BDC9F"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5DD210D5" w14:textId="74FBC368" w:rsidR="0062789D" w:rsidRPr="00247126" w:rsidRDefault="00810793" w:rsidP="001363A7">
            <w:pPr>
              <w:pStyle w:val="TableText"/>
            </w:pPr>
            <w:r w:rsidRPr="00247126">
              <w:t>$</w:t>
            </w:r>
            <w:r w:rsidRPr="00247126">
              <w:rPr>
                <w:b/>
                <w:bCs/>
              </w:rPr>
              <w:t>Redacted</w:t>
            </w:r>
          </w:p>
        </w:tc>
        <w:tc>
          <w:tcPr>
            <w:tcW w:w="1247" w:type="dxa"/>
            <w:tcMar>
              <w:top w:w="0" w:type="dxa"/>
              <w:left w:w="108" w:type="dxa"/>
              <w:bottom w:w="0" w:type="dxa"/>
              <w:right w:w="108" w:type="dxa"/>
            </w:tcMar>
          </w:tcPr>
          <w:p w14:paraId="5EDC97FD" w14:textId="79847286" w:rsidR="0062789D" w:rsidRPr="00247126" w:rsidRDefault="00810793" w:rsidP="001363A7">
            <w:pPr>
              <w:pStyle w:val="TableText"/>
            </w:pPr>
            <w:r w:rsidRPr="00247126">
              <w:t>$</w:t>
            </w:r>
            <w:r w:rsidRPr="00247126">
              <w:rPr>
                <w:b/>
                <w:bCs/>
              </w:rPr>
              <w:t>Redacted</w:t>
            </w:r>
          </w:p>
        </w:tc>
      </w:tr>
      <w:tr w:rsidR="00B77E73" w:rsidRPr="00247126" w14:paraId="7298FE9B" w14:textId="77777777" w:rsidTr="00247126">
        <w:tc>
          <w:tcPr>
            <w:tcW w:w="2268" w:type="dxa"/>
            <w:tcMar>
              <w:top w:w="0" w:type="dxa"/>
              <w:left w:w="108" w:type="dxa"/>
              <w:bottom w:w="0" w:type="dxa"/>
              <w:right w:w="108" w:type="dxa"/>
            </w:tcMar>
          </w:tcPr>
          <w:p w14:paraId="08255BCD" w14:textId="0074C7EC" w:rsidR="0062789D" w:rsidRPr="00247126" w:rsidRDefault="0062789D" w:rsidP="001363A7">
            <w:pPr>
              <w:pStyle w:val="TableText"/>
              <w:ind w:left="306"/>
            </w:pPr>
            <w:r w:rsidRPr="00247126">
              <w:t>Bifurcation lesion</w:t>
            </w:r>
          </w:p>
        </w:tc>
        <w:tc>
          <w:tcPr>
            <w:tcW w:w="1134" w:type="dxa"/>
            <w:tcMar>
              <w:top w:w="0" w:type="dxa"/>
              <w:left w:w="108" w:type="dxa"/>
              <w:bottom w:w="0" w:type="dxa"/>
              <w:right w:w="108" w:type="dxa"/>
            </w:tcMar>
          </w:tcPr>
          <w:p w14:paraId="1C3F7D33" w14:textId="692A87B9"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4AB2CA12" w14:textId="1FA5A697"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47FEE563" w14:textId="30F4B54A"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18B2E06F" w14:textId="36DBA7D5"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2158B128" w14:textId="23C268F4" w:rsidR="0062789D" w:rsidRPr="00247126" w:rsidRDefault="00810793" w:rsidP="001363A7">
            <w:pPr>
              <w:pStyle w:val="TableText"/>
            </w:pPr>
            <w:r w:rsidRPr="00247126">
              <w:t>$</w:t>
            </w:r>
            <w:r w:rsidRPr="00247126">
              <w:rPr>
                <w:b/>
                <w:bCs/>
              </w:rPr>
              <w:t>Redacted</w:t>
            </w:r>
          </w:p>
        </w:tc>
        <w:tc>
          <w:tcPr>
            <w:tcW w:w="1247" w:type="dxa"/>
            <w:tcMar>
              <w:top w:w="0" w:type="dxa"/>
              <w:left w:w="108" w:type="dxa"/>
              <w:bottom w:w="0" w:type="dxa"/>
              <w:right w:w="108" w:type="dxa"/>
            </w:tcMar>
          </w:tcPr>
          <w:p w14:paraId="62911329" w14:textId="7441128F" w:rsidR="0062789D" w:rsidRPr="00247126" w:rsidRDefault="00810793" w:rsidP="001363A7">
            <w:pPr>
              <w:pStyle w:val="TableText"/>
            </w:pPr>
            <w:r w:rsidRPr="00247126">
              <w:t>$</w:t>
            </w:r>
            <w:r w:rsidRPr="00247126">
              <w:rPr>
                <w:b/>
                <w:bCs/>
              </w:rPr>
              <w:t>Redacted</w:t>
            </w:r>
          </w:p>
        </w:tc>
      </w:tr>
      <w:tr w:rsidR="00B77E73" w:rsidRPr="00247126" w14:paraId="020E07FB" w14:textId="77777777" w:rsidTr="00247126">
        <w:tc>
          <w:tcPr>
            <w:tcW w:w="2268" w:type="dxa"/>
            <w:tcMar>
              <w:top w:w="0" w:type="dxa"/>
              <w:left w:w="108" w:type="dxa"/>
              <w:bottom w:w="0" w:type="dxa"/>
              <w:right w:w="108" w:type="dxa"/>
            </w:tcMar>
          </w:tcPr>
          <w:p w14:paraId="726C8408" w14:textId="1B264762" w:rsidR="0062789D" w:rsidRPr="00247126" w:rsidRDefault="0062789D" w:rsidP="001363A7">
            <w:pPr>
              <w:pStyle w:val="TableText"/>
              <w:ind w:left="306"/>
            </w:pPr>
            <w:r w:rsidRPr="00247126">
              <w:t>Severe calcification</w:t>
            </w:r>
          </w:p>
        </w:tc>
        <w:tc>
          <w:tcPr>
            <w:tcW w:w="1134" w:type="dxa"/>
            <w:tcMar>
              <w:top w:w="0" w:type="dxa"/>
              <w:left w:w="108" w:type="dxa"/>
              <w:bottom w:w="0" w:type="dxa"/>
              <w:right w:w="108" w:type="dxa"/>
            </w:tcMar>
          </w:tcPr>
          <w:p w14:paraId="48120D55" w14:textId="7F71E172"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77965B67" w14:textId="4EE2C906"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5E3D8357" w14:textId="6D46D9B2"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78E4836F" w14:textId="521A7ECB"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71932990" w14:textId="5D7F18C5" w:rsidR="0062789D" w:rsidRPr="00247126" w:rsidRDefault="00810793" w:rsidP="001363A7">
            <w:pPr>
              <w:pStyle w:val="TableText"/>
            </w:pPr>
            <w:r w:rsidRPr="00247126">
              <w:t>$</w:t>
            </w:r>
            <w:r w:rsidRPr="00247126">
              <w:rPr>
                <w:b/>
                <w:bCs/>
              </w:rPr>
              <w:t>Redacted</w:t>
            </w:r>
          </w:p>
        </w:tc>
        <w:tc>
          <w:tcPr>
            <w:tcW w:w="1247" w:type="dxa"/>
            <w:tcMar>
              <w:top w:w="0" w:type="dxa"/>
              <w:left w:w="108" w:type="dxa"/>
              <w:bottom w:w="0" w:type="dxa"/>
              <w:right w:w="108" w:type="dxa"/>
            </w:tcMar>
          </w:tcPr>
          <w:p w14:paraId="35AE7D69" w14:textId="6FE63466" w:rsidR="0062789D" w:rsidRPr="00247126" w:rsidRDefault="00810793" w:rsidP="001363A7">
            <w:pPr>
              <w:pStyle w:val="TableText"/>
            </w:pPr>
            <w:r w:rsidRPr="00247126">
              <w:t>$</w:t>
            </w:r>
            <w:r w:rsidRPr="00247126">
              <w:rPr>
                <w:b/>
                <w:bCs/>
              </w:rPr>
              <w:t>Redacted</w:t>
            </w:r>
          </w:p>
        </w:tc>
      </w:tr>
      <w:tr w:rsidR="00B77E73" w:rsidRPr="00247126" w14:paraId="6FC6B4EC" w14:textId="77777777" w:rsidTr="00247126">
        <w:tc>
          <w:tcPr>
            <w:tcW w:w="2268" w:type="dxa"/>
            <w:tcMar>
              <w:top w:w="0" w:type="dxa"/>
              <w:left w:w="108" w:type="dxa"/>
              <w:bottom w:w="0" w:type="dxa"/>
              <w:right w:w="108" w:type="dxa"/>
            </w:tcMar>
          </w:tcPr>
          <w:p w14:paraId="6F54CBB2" w14:textId="268D393F" w:rsidR="0062789D" w:rsidRPr="00247126" w:rsidRDefault="0062789D" w:rsidP="001363A7">
            <w:pPr>
              <w:pStyle w:val="TableText"/>
              <w:ind w:left="306"/>
            </w:pPr>
            <w:r w:rsidRPr="00247126">
              <w:t>Stent failure</w:t>
            </w:r>
          </w:p>
        </w:tc>
        <w:tc>
          <w:tcPr>
            <w:tcW w:w="1134" w:type="dxa"/>
            <w:tcMar>
              <w:top w:w="0" w:type="dxa"/>
              <w:left w:w="108" w:type="dxa"/>
              <w:bottom w:w="0" w:type="dxa"/>
              <w:right w:w="108" w:type="dxa"/>
            </w:tcMar>
          </w:tcPr>
          <w:p w14:paraId="23176F9E" w14:textId="6D753067"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5521C5DB" w14:textId="43CEC94B"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0BB04B03" w14:textId="6F0D0F0C"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053A6D83" w14:textId="6307202A"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2D87EFA4" w14:textId="2369DF2D" w:rsidR="0062789D" w:rsidRPr="00247126" w:rsidRDefault="00810793" w:rsidP="001363A7">
            <w:pPr>
              <w:pStyle w:val="TableText"/>
            </w:pPr>
            <w:r w:rsidRPr="00247126">
              <w:t>$</w:t>
            </w:r>
            <w:r w:rsidRPr="00247126">
              <w:rPr>
                <w:b/>
                <w:bCs/>
              </w:rPr>
              <w:t>Redacted</w:t>
            </w:r>
          </w:p>
        </w:tc>
        <w:tc>
          <w:tcPr>
            <w:tcW w:w="1247" w:type="dxa"/>
            <w:tcMar>
              <w:top w:w="0" w:type="dxa"/>
              <w:left w:w="108" w:type="dxa"/>
              <w:bottom w:w="0" w:type="dxa"/>
              <w:right w:w="108" w:type="dxa"/>
            </w:tcMar>
          </w:tcPr>
          <w:p w14:paraId="53013122" w14:textId="2FA374C0" w:rsidR="0062789D" w:rsidRPr="00247126" w:rsidRDefault="00810793" w:rsidP="001363A7">
            <w:pPr>
              <w:pStyle w:val="TableText"/>
            </w:pPr>
            <w:r w:rsidRPr="00247126">
              <w:t>$</w:t>
            </w:r>
            <w:r w:rsidRPr="00247126">
              <w:rPr>
                <w:b/>
                <w:bCs/>
              </w:rPr>
              <w:t>Redacted</w:t>
            </w:r>
          </w:p>
        </w:tc>
      </w:tr>
      <w:tr w:rsidR="00B77E73" w:rsidRPr="00247126" w14:paraId="43C3FFF7" w14:textId="77777777" w:rsidTr="00247126">
        <w:tc>
          <w:tcPr>
            <w:tcW w:w="2268" w:type="dxa"/>
            <w:tcMar>
              <w:top w:w="0" w:type="dxa"/>
              <w:left w:w="108" w:type="dxa"/>
              <w:bottom w:w="0" w:type="dxa"/>
              <w:right w:w="108" w:type="dxa"/>
            </w:tcMar>
          </w:tcPr>
          <w:p w14:paraId="3517BE31" w14:textId="01238016" w:rsidR="0062789D" w:rsidRPr="00247126" w:rsidRDefault="0062789D" w:rsidP="001363A7">
            <w:pPr>
              <w:pStyle w:val="TableText"/>
              <w:ind w:left="306"/>
              <w:rPr>
                <w:vertAlign w:val="superscript"/>
              </w:rPr>
            </w:pPr>
            <w:r w:rsidRPr="00247126">
              <w:t xml:space="preserve">At least one of the above (assuming </w:t>
            </w:r>
            <w:proofErr w:type="gramStart"/>
            <w:r w:rsidRPr="00247126">
              <w:t>overlap)</w:t>
            </w:r>
            <w:r w:rsidR="00FB55BD" w:rsidRPr="00247126">
              <w:rPr>
                <w:vertAlign w:val="superscript"/>
              </w:rPr>
              <w:t>d</w:t>
            </w:r>
            <w:proofErr w:type="gramEnd"/>
          </w:p>
        </w:tc>
        <w:tc>
          <w:tcPr>
            <w:tcW w:w="1134" w:type="dxa"/>
            <w:tcMar>
              <w:top w:w="0" w:type="dxa"/>
              <w:left w:w="108" w:type="dxa"/>
              <w:bottom w:w="0" w:type="dxa"/>
              <w:right w:w="108" w:type="dxa"/>
            </w:tcMar>
          </w:tcPr>
          <w:p w14:paraId="6AE82C66" w14:textId="2CC2B474"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67FC33A6" w14:textId="4491A3A7"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5156450A" w14:textId="22400B85"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75A37363" w14:textId="0E06BC98" w:rsidR="0062789D" w:rsidRPr="00247126" w:rsidRDefault="00810793" w:rsidP="001363A7">
            <w:pPr>
              <w:pStyle w:val="TableText"/>
            </w:pPr>
            <w:r w:rsidRPr="00247126">
              <w:t>$</w:t>
            </w:r>
            <w:r w:rsidRPr="00247126">
              <w:rPr>
                <w:b/>
                <w:bCs/>
              </w:rPr>
              <w:t>Redacted</w:t>
            </w:r>
          </w:p>
        </w:tc>
        <w:tc>
          <w:tcPr>
            <w:tcW w:w="1134" w:type="dxa"/>
            <w:tcMar>
              <w:top w:w="0" w:type="dxa"/>
              <w:left w:w="108" w:type="dxa"/>
              <w:bottom w:w="0" w:type="dxa"/>
              <w:right w:w="108" w:type="dxa"/>
            </w:tcMar>
          </w:tcPr>
          <w:p w14:paraId="1A8E863E" w14:textId="337DCD70" w:rsidR="0062789D" w:rsidRPr="00247126" w:rsidRDefault="00810793" w:rsidP="001363A7">
            <w:pPr>
              <w:pStyle w:val="TableText"/>
            </w:pPr>
            <w:r w:rsidRPr="00247126">
              <w:t>$</w:t>
            </w:r>
            <w:r w:rsidRPr="00247126">
              <w:rPr>
                <w:b/>
                <w:bCs/>
              </w:rPr>
              <w:t>Redacted</w:t>
            </w:r>
          </w:p>
        </w:tc>
        <w:tc>
          <w:tcPr>
            <w:tcW w:w="1247" w:type="dxa"/>
            <w:tcMar>
              <w:top w:w="0" w:type="dxa"/>
              <w:left w:w="108" w:type="dxa"/>
              <w:bottom w:w="0" w:type="dxa"/>
              <w:right w:w="108" w:type="dxa"/>
            </w:tcMar>
          </w:tcPr>
          <w:p w14:paraId="68C0B3F0" w14:textId="7C3F20B1" w:rsidR="0062789D" w:rsidRPr="00247126" w:rsidRDefault="00810793" w:rsidP="001363A7">
            <w:pPr>
              <w:pStyle w:val="TableText"/>
            </w:pPr>
            <w:r w:rsidRPr="00247126">
              <w:t>$</w:t>
            </w:r>
            <w:r w:rsidRPr="00247126">
              <w:rPr>
                <w:b/>
                <w:bCs/>
              </w:rPr>
              <w:t>Redacted</w:t>
            </w:r>
          </w:p>
        </w:tc>
      </w:tr>
      <w:tr w:rsidR="00B77E73" w:rsidRPr="00247126" w14:paraId="1C8FEB63" w14:textId="77777777" w:rsidTr="00247126">
        <w:tc>
          <w:tcPr>
            <w:tcW w:w="9185" w:type="dxa"/>
            <w:gridSpan w:val="7"/>
            <w:tcMar>
              <w:top w:w="0" w:type="dxa"/>
              <w:left w:w="108" w:type="dxa"/>
              <w:bottom w:w="0" w:type="dxa"/>
              <w:right w:w="108" w:type="dxa"/>
            </w:tcMar>
          </w:tcPr>
          <w:p w14:paraId="6FC6113B" w14:textId="7719EF56" w:rsidR="00B77E73" w:rsidRPr="00247126" w:rsidRDefault="00B77E73" w:rsidP="00C22AC4">
            <w:pPr>
              <w:pStyle w:val="TableText"/>
              <w:keepNext/>
            </w:pPr>
            <w:r w:rsidRPr="00247126">
              <w:rPr>
                <w:b/>
                <w:bCs/>
              </w:rPr>
              <w:t>Change in use and cost of other health technologies</w:t>
            </w:r>
          </w:p>
        </w:tc>
      </w:tr>
      <w:tr w:rsidR="00810793" w:rsidRPr="00247126" w14:paraId="2742512C" w14:textId="77777777" w:rsidTr="00247126">
        <w:tc>
          <w:tcPr>
            <w:tcW w:w="2268" w:type="dxa"/>
            <w:tcMar>
              <w:top w:w="0" w:type="dxa"/>
              <w:left w:w="108" w:type="dxa"/>
              <w:bottom w:w="0" w:type="dxa"/>
              <w:right w:w="108" w:type="dxa"/>
            </w:tcMar>
          </w:tcPr>
          <w:p w14:paraId="364CD32F" w14:textId="2633E782" w:rsidR="00810793" w:rsidRPr="00247126" w:rsidRDefault="00810793" w:rsidP="00810793">
            <w:pPr>
              <w:pStyle w:val="TableText"/>
            </w:pPr>
            <w:r w:rsidRPr="00247126">
              <w:t>Change in use of IVUS for long lesion only</w:t>
            </w:r>
          </w:p>
        </w:tc>
        <w:tc>
          <w:tcPr>
            <w:tcW w:w="1134" w:type="dxa"/>
            <w:tcMar>
              <w:top w:w="0" w:type="dxa"/>
              <w:left w:w="108" w:type="dxa"/>
              <w:bottom w:w="0" w:type="dxa"/>
              <w:right w:w="108" w:type="dxa"/>
            </w:tcMar>
          </w:tcPr>
          <w:p w14:paraId="3C4E8B77" w14:textId="1CD632CB" w:rsidR="00810793" w:rsidRPr="00247126" w:rsidRDefault="00810793"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2C492275" w14:textId="60675F66" w:rsidR="00810793" w:rsidRPr="00247126" w:rsidRDefault="00810793"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0CBBAE43" w14:textId="78C3BB18" w:rsidR="00810793" w:rsidRPr="00247126" w:rsidRDefault="00810793"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1718E5F5" w14:textId="07ED8F45" w:rsidR="00810793" w:rsidRPr="00247126" w:rsidRDefault="00810793"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313AA286" w14:textId="3F9DEDCF" w:rsidR="00810793" w:rsidRPr="00247126" w:rsidRDefault="00810793" w:rsidP="00810793">
            <w:pPr>
              <w:pStyle w:val="TableText"/>
            </w:pPr>
            <w:r w:rsidRPr="00247126">
              <w:t>-</w:t>
            </w:r>
            <w:r w:rsidRPr="00247126">
              <w:rPr>
                <w:b/>
                <w:bCs/>
              </w:rPr>
              <w:t>Redacted</w:t>
            </w:r>
          </w:p>
        </w:tc>
        <w:tc>
          <w:tcPr>
            <w:tcW w:w="1247" w:type="dxa"/>
            <w:tcMar>
              <w:top w:w="0" w:type="dxa"/>
              <w:left w:w="108" w:type="dxa"/>
              <w:bottom w:w="0" w:type="dxa"/>
              <w:right w:w="108" w:type="dxa"/>
            </w:tcMar>
          </w:tcPr>
          <w:p w14:paraId="3179C333" w14:textId="28B8EA54" w:rsidR="00810793" w:rsidRPr="00247126" w:rsidRDefault="00810793" w:rsidP="00810793">
            <w:pPr>
              <w:pStyle w:val="TableText"/>
            </w:pPr>
            <w:r w:rsidRPr="00247126">
              <w:t>-</w:t>
            </w:r>
            <w:r w:rsidRPr="00247126">
              <w:rPr>
                <w:b/>
                <w:bCs/>
              </w:rPr>
              <w:t>Redacted</w:t>
            </w:r>
          </w:p>
        </w:tc>
      </w:tr>
      <w:tr w:rsidR="00810793" w:rsidRPr="00247126" w14:paraId="141B431A" w14:textId="77777777" w:rsidTr="00247126">
        <w:tc>
          <w:tcPr>
            <w:tcW w:w="2268" w:type="dxa"/>
            <w:tcMar>
              <w:top w:w="0" w:type="dxa"/>
              <w:left w:w="108" w:type="dxa"/>
              <w:bottom w:w="0" w:type="dxa"/>
              <w:right w:w="108" w:type="dxa"/>
            </w:tcMar>
            <w:hideMark/>
          </w:tcPr>
          <w:p w14:paraId="673F8140" w14:textId="67A40D3C" w:rsidR="00810793" w:rsidRPr="00247126" w:rsidRDefault="00810793" w:rsidP="00810793">
            <w:pPr>
              <w:pStyle w:val="TableText"/>
            </w:pPr>
            <w:r w:rsidRPr="00247126">
              <w:t xml:space="preserve">Total cost offset to the MBS at 75% </w:t>
            </w:r>
            <w:proofErr w:type="spellStart"/>
            <w:r w:rsidRPr="00247126">
              <w:t>benefit</w:t>
            </w:r>
            <w:r w:rsidRPr="00247126">
              <w:rPr>
                <w:vertAlign w:val="superscript"/>
              </w:rPr>
              <w:t>e</w:t>
            </w:r>
            <w:proofErr w:type="spellEnd"/>
          </w:p>
        </w:tc>
        <w:tc>
          <w:tcPr>
            <w:tcW w:w="1134" w:type="dxa"/>
            <w:tcMar>
              <w:top w:w="0" w:type="dxa"/>
              <w:left w:w="108" w:type="dxa"/>
              <w:bottom w:w="0" w:type="dxa"/>
              <w:right w:w="108" w:type="dxa"/>
            </w:tcMar>
          </w:tcPr>
          <w:p w14:paraId="0A4E6D7D" w14:textId="590260F8" w:rsidR="00810793" w:rsidRPr="00247126" w:rsidRDefault="00810793" w:rsidP="00810793">
            <w:pPr>
              <w:pStyle w:val="TableText"/>
            </w:pPr>
            <w:r w:rsidRPr="00247126">
              <w:t>-$</w:t>
            </w:r>
            <w:r w:rsidRPr="00247126">
              <w:rPr>
                <w:b/>
                <w:bCs/>
              </w:rPr>
              <w:t>Redacted</w:t>
            </w:r>
          </w:p>
        </w:tc>
        <w:tc>
          <w:tcPr>
            <w:tcW w:w="1134" w:type="dxa"/>
            <w:tcBorders>
              <w:bottom w:val="single" w:sz="4" w:space="0" w:color="auto"/>
            </w:tcBorders>
            <w:tcMar>
              <w:top w:w="0" w:type="dxa"/>
              <w:left w:w="108" w:type="dxa"/>
              <w:bottom w:w="0" w:type="dxa"/>
              <w:right w:w="108" w:type="dxa"/>
            </w:tcMar>
          </w:tcPr>
          <w:p w14:paraId="7DCB03D6" w14:textId="4B4EFCBC" w:rsidR="00810793" w:rsidRPr="00247126" w:rsidRDefault="00810793" w:rsidP="00810793">
            <w:pPr>
              <w:pStyle w:val="TableText"/>
            </w:pPr>
            <w:r w:rsidRPr="00247126">
              <w:t>-$</w:t>
            </w:r>
            <w:r w:rsidRPr="00247126">
              <w:rPr>
                <w:b/>
                <w:bCs/>
              </w:rPr>
              <w:t>Redacted</w:t>
            </w:r>
          </w:p>
        </w:tc>
        <w:tc>
          <w:tcPr>
            <w:tcW w:w="1134" w:type="dxa"/>
            <w:tcBorders>
              <w:bottom w:val="single" w:sz="4" w:space="0" w:color="auto"/>
            </w:tcBorders>
            <w:tcMar>
              <w:top w:w="0" w:type="dxa"/>
              <w:left w:w="108" w:type="dxa"/>
              <w:bottom w:w="0" w:type="dxa"/>
              <w:right w:w="108" w:type="dxa"/>
            </w:tcMar>
          </w:tcPr>
          <w:p w14:paraId="705F281E" w14:textId="30428EB1" w:rsidR="00810793" w:rsidRPr="00247126" w:rsidRDefault="00810793" w:rsidP="00810793">
            <w:pPr>
              <w:pStyle w:val="TableText"/>
            </w:pPr>
            <w:r w:rsidRPr="00247126">
              <w:t>-$</w:t>
            </w:r>
            <w:r w:rsidRPr="00247126">
              <w:rPr>
                <w:b/>
                <w:bCs/>
              </w:rPr>
              <w:t>Redacted</w:t>
            </w:r>
          </w:p>
        </w:tc>
        <w:tc>
          <w:tcPr>
            <w:tcW w:w="1134" w:type="dxa"/>
            <w:tcBorders>
              <w:bottom w:val="single" w:sz="4" w:space="0" w:color="auto"/>
            </w:tcBorders>
            <w:tcMar>
              <w:top w:w="0" w:type="dxa"/>
              <w:left w:w="108" w:type="dxa"/>
              <w:bottom w:w="0" w:type="dxa"/>
              <w:right w:w="108" w:type="dxa"/>
            </w:tcMar>
          </w:tcPr>
          <w:p w14:paraId="0D92FF03" w14:textId="0468E057" w:rsidR="00810793" w:rsidRPr="00247126" w:rsidRDefault="00810793" w:rsidP="00810793">
            <w:pPr>
              <w:pStyle w:val="TableText"/>
            </w:pPr>
            <w:r w:rsidRPr="00247126">
              <w:t>-$</w:t>
            </w:r>
            <w:r w:rsidRPr="00247126">
              <w:rPr>
                <w:b/>
                <w:bCs/>
              </w:rPr>
              <w:t>Redacted</w:t>
            </w:r>
          </w:p>
        </w:tc>
        <w:tc>
          <w:tcPr>
            <w:tcW w:w="1134" w:type="dxa"/>
            <w:tcBorders>
              <w:bottom w:val="single" w:sz="4" w:space="0" w:color="auto"/>
            </w:tcBorders>
            <w:tcMar>
              <w:top w:w="0" w:type="dxa"/>
              <w:left w:w="108" w:type="dxa"/>
              <w:bottom w:w="0" w:type="dxa"/>
              <w:right w:w="108" w:type="dxa"/>
            </w:tcMar>
          </w:tcPr>
          <w:p w14:paraId="5B4DD028" w14:textId="46731A62" w:rsidR="00810793" w:rsidRPr="00247126" w:rsidRDefault="00810793" w:rsidP="00810793">
            <w:pPr>
              <w:pStyle w:val="TableText"/>
            </w:pPr>
            <w:r w:rsidRPr="00247126">
              <w:t>-$</w:t>
            </w:r>
            <w:r w:rsidRPr="00247126">
              <w:rPr>
                <w:b/>
                <w:bCs/>
              </w:rPr>
              <w:t>Redacted</w:t>
            </w:r>
          </w:p>
        </w:tc>
        <w:tc>
          <w:tcPr>
            <w:tcW w:w="1247" w:type="dxa"/>
            <w:tcMar>
              <w:top w:w="0" w:type="dxa"/>
              <w:left w:w="108" w:type="dxa"/>
              <w:bottom w:w="0" w:type="dxa"/>
              <w:right w:w="108" w:type="dxa"/>
            </w:tcMar>
          </w:tcPr>
          <w:p w14:paraId="533785F7" w14:textId="48C804F5" w:rsidR="00810793" w:rsidRPr="00247126" w:rsidRDefault="00810793" w:rsidP="00810793">
            <w:pPr>
              <w:pStyle w:val="TableText"/>
            </w:pPr>
            <w:r w:rsidRPr="00247126">
              <w:t>-$</w:t>
            </w:r>
            <w:r w:rsidRPr="00247126">
              <w:rPr>
                <w:b/>
                <w:bCs/>
              </w:rPr>
              <w:t>Redacted</w:t>
            </w:r>
          </w:p>
        </w:tc>
      </w:tr>
      <w:tr w:rsidR="00810793" w:rsidRPr="00247126" w14:paraId="1D7F897A" w14:textId="77777777" w:rsidTr="00247126">
        <w:tc>
          <w:tcPr>
            <w:tcW w:w="9185" w:type="dxa"/>
            <w:gridSpan w:val="7"/>
            <w:tcMar>
              <w:top w:w="0" w:type="dxa"/>
              <w:left w:w="108" w:type="dxa"/>
              <w:bottom w:w="0" w:type="dxa"/>
              <w:right w:w="108" w:type="dxa"/>
            </w:tcMar>
            <w:hideMark/>
          </w:tcPr>
          <w:p w14:paraId="3ADBCE21" w14:textId="7AB9A9DF" w:rsidR="00810793" w:rsidRPr="00247126" w:rsidRDefault="00810793" w:rsidP="00810793">
            <w:pPr>
              <w:pStyle w:val="TableText"/>
              <w:keepNext/>
              <w:rPr>
                <w:b/>
                <w:bCs/>
              </w:rPr>
            </w:pPr>
            <w:r w:rsidRPr="00247126">
              <w:rPr>
                <w:b/>
                <w:bCs/>
              </w:rPr>
              <w:t xml:space="preserve">Net financial impact to the </w:t>
            </w:r>
            <w:proofErr w:type="spellStart"/>
            <w:r w:rsidRPr="00247126">
              <w:rPr>
                <w:b/>
                <w:bCs/>
              </w:rPr>
              <w:t>MBS</w:t>
            </w:r>
            <w:r w:rsidRPr="00247126">
              <w:rPr>
                <w:vertAlign w:val="superscript"/>
              </w:rPr>
              <w:t>e</w:t>
            </w:r>
            <w:proofErr w:type="spellEnd"/>
          </w:p>
        </w:tc>
      </w:tr>
      <w:tr w:rsidR="00810793" w:rsidRPr="00247126" w14:paraId="4AD9F2B2" w14:textId="77777777" w:rsidTr="00247126">
        <w:tc>
          <w:tcPr>
            <w:tcW w:w="2268" w:type="dxa"/>
            <w:tcMar>
              <w:top w:w="0" w:type="dxa"/>
              <w:left w:w="108" w:type="dxa"/>
              <w:bottom w:w="0" w:type="dxa"/>
              <w:right w:w="108" w:type="dxa"/>
            </w:tcMar>
          </w:tcPr>
          <w:p w14:paraId="2DE98A95" w14:textId="0A312BE9" w:rsidR="00810793" w:rsidRPr="00247126" w:rsidRDefault="00810793" w:rsidP="00810793">
            <w:pPr>
              <w:pStyle w:val="TableText"/>
              <w:keepNext/>
              <w:ind w:left="306"/>
            </w:pPr>
            <w:r w:rsidRPr="00247126">
              <w:t>Long/multiple lesion</w:t>
            </w:r>
          </w:p>
        </w:tc>
        <w:tc>
          <w:tcPr>
            <w:tcW w:w="1134" w:type="dxa"/>
            <w:tcMar>
              <w:top w:w="0" w:type="dxa"/>
              <w:left w:w="108" w:type="dxa"/>
              <w:bottom w:w="0" w:type="dxa"/>
              <w:right w:w="108" w:type="dxa"/>
            </w:tcMar>
          </w:tcPr>
          <w:p w14:paraId="737651D7" w14:textId="3C72FF4C" w:rsidR="00810793" w:rsidRPr="00247126" w:rsidRDefault="00810793" w:rsidP="00810793">
            <w:pPr>
              <w:pStyle w:val="TableText"/>
              <w:keepNext/>
            </w:pPr>
            <w:r w:rsidRPr="00247126">
              <w:t>$</w:t>
            </w:r>
            <w:r w:rsidRPr="00247126">
              <w:rPr>
                <w:b/>
                <w:bCs/>
              </w:rPr>
              <w:t>Redacted</w:t>
            </w:r>
          </w:p>
        </w:tc>
        <w:tc>
          <w:tcPr>
            <w:tcW w:w="1134" w:type="dxa"/>
            <w:tcMar>
              <w:top w:w="0" w:type="dxa"/>
              <w:left w:w="108" w:type="dxa"/>
              <w:bottom w:w="0" w:type="dxa"/>
              <w:right w:w="108" w:type="dxa"/>
            </w:tcMar>
          </w:tcPr>
          <w:p w14:paraId="1D2E8B89" w14:textId="22B8EDB6" w:rsidR="00810793" w:rsidRPr="00247126" w:rsidRDefault="00810793" w:rsidP="00810793">
            <w:pPr>
              <w:pStyle w:val="TableText"/>
              <w:keepNext/>
            </w:pPr>
            <w:r w:rsidRPr="00247126">
              <w:t>$</w:t>
            </w:r>
            <w:r w:rsidRPr="00247126">
              <w:rPr>
                <w:b/>
                <w:bCs/>
              </w:rPr>
              <w:t>Redacted</w:t>
            </w:r>
          </w:p>
        </w:tc>
        <w:tc>
          <w:tcPr>
            <w:tcW w:w="1134" w:type="dxa"/>
            <w:tcMar>
              <w:top w:w="0" w:type="dxa"/>
              <w:left w:w="108" w:type="dxa"/>
              <w:bottom w:w="0" w:type="dxa"/>
              <w:right w:w="108" w:type="dxa"/>
            </w:tcMar>
          </w:tcPr>
          <w:p w14:paraId="1DABC5F0" w14:textId="2B84368F" w:rsidR="00810793" w:rsidRPr="00247126" w:rsidRDefault="00810793" w:rsidP="00810793">
            <w:pPr>
              <w:pStyle w:val="TableText"/>
              <w:keepNext/>
            </w:pPr>
            <w:r w:rsidRPr="00247126">
              <w:t>$</w:t>
            </w:r>
            <w:r w:rsidRPr="00247126">
              <w:rPr>
                <w:b/>
                <w:bCs/>
              </w:rPr>
              <w:t>Redacted</w:t>
            </w:r>
          </w:p>
        </w:tc>
        <w:tc>
          <w:tcPr>
            <w:tcW w:w="1134" w:type="dxa"/>
            <w:tcMar>
              <w:top w:w="0" w:type="dxa"/>
              <w:left w:w="108" w:type="dxa"/>
              <w:bottom w:w="0" w:type="dxa"/>
              <w:right w:w="108" w:type="dxa"/>
            </w:tcMar>
          </w:tcPr>
          <w:p w14:paraId="61D54062" w14:textId="0A2DE4D1" w:rsidR="00810793" w:rsidRPr="00247126" w:rsidRDefault="00810793" w:rsidP="00810793">
            <w:pPr>
              <w:pStyle w:val="TableText"/>
              <w:keepNext/>
            </w:pPr>
            <w:r w:rsidRPr="00247126">
              <w:t>$</w:t>
            </w:r>
            <w:r w:rsidRPr="00247126">
              <w:rPr>
                <w:b/>
                <w:bCs/>
              </w:rPr>
              <w:t>Redacted</w:t>
            </w:r>
          </w:p>
        </w:tc>
        <w:tc>
          <w:tcPr>
            <w:tcW w:w="1134" w:type="dxa"/>
            <w:tcMar>
              <w:top w:w="0" w:type="dxa"/>
              <w:left w:w="108" w:type="dxa"/>
              <w:bottom w:w="0" w:type="dxa"/>
              <w:right w:w="108" w:type="dxa"/>
            </w:tcMar>
          </w:tcPr>
          <w:p w14:paraId="4D13D248" w14:textId="1DAFE9BD" w:rsidR="00810793" w:rsidRPr="00247126" w:rsidRDefault="00810793" w:rsidP="00810793">
            <w:pPr>
              <w:pStyle w:val="TableText"/>
              <w:keepNext/>
            </w:pPr>
            <w:r w:rsidRPr="00247126">
              <w:t>$</w:t>
            </w:r>
            <w:r w:rsidRPr="00247126">
              <w:rPr>
                <w:b/>
                <w:bCs/>
              </w:rPr>
              <w:t>Redacted</w:t>
            </w:r>
          </w:p>
        </w:tc>
        <w:tc>
          <w:tcPr>
            <w:tcW w:w="1247" w:type="dxa"/>
            <w:tcMar>
              <w:top w:w="0" w:type="dxa"/>
              <w:left w:w="108" w:type="dxa"/>
              <w:bottom w:w="0" w:type="dxa"/>
              <w:right w:w="108" w:type="dxa"/>
            </w:tcMar>
          </w:tcPr>
          <w:p w14:paraId="0C76F677" w14:textId="00A6B9E7" w:rsidR="00810793" w:rsidRPr="00247126" w:rsidRDefault="00810793" w:rsidP="00810793">
            <w:pPr>
              <w:pStyle w:val="TableText"/>
              <w:keepNext/>
            </w:pPr>
            <w:r w:rsidRPr="00247126">
              <w:t>$</w:t>
            </w:r>
            <w:r w:rsidRPr="00247126">
              <w:rPr>
                <w:b/>
                <w:bCs/>
              </w:rPr>
              <w:t>Redacted</w:t>
            </w:r>
          </w:p>
        </w:tc>
      </w:tr>
      <w:tr w:rsidR="00810793" w:rsidRPr="00247126" w14:paraId="08F80523" w14:textId="77777777" w:rsidTr="00247126">
        <w:tc>
          <w:tcPr>
            <w:tcW w:w="2268" w:type="dxa"/>
            <w:tcMar>
              <w:top w:w="0" w:type="dxa"/>
              <w:left w:w="108" w:type="dxa"/>
              <w:bottom w:w="0" w:type="dxa"/>
              <w:right w:w="108" w:type="dxa"/>
            </w:tcMar>
          </w:tcPr>
          <w:p w14:paraId="63AF30A6" w14:textId="1B6E33FB" w:rsidR="00810793" w:rsidRPr="00247126" w:rsidRDefault="00810793" w:rsidP="00810793">
            <w:pPr>
              <w:pStyle w:val="TableText"/>
              <w:ind w:left="306"/>
            </w:pPr>
            <w:r w:rsidRPr="00247126">
              <w:t>Bifurcation lesion</w:t>
            </w:r>
          </w:p>
        </w:tc>
        <w:tc>
          <w:tcPr>
            <w:tcW w:w="1134" w:type="dxa"/>
            <w:tcMar>
              <w:top w:w="0" w:type="dxa"/>
              <w:left w:w="108" w:type="dxa"/>
              <w:bottom w:w="0" w:type="dxa"/>
              <w:right w:w="108" w:type="dxa"/>
            </w:tcMar>
          </w:tcPr>
          <w:p w14:paraId="52EA29B1" w14:textId="173675EA"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7C4E5FE3" w14:textId="1F563ED2"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65C17994" w14:textId="4AB4AEBB"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4A62152E" w14:textId="10A0131E" w:rsidR="00810793" w:rsidRPr="00247126" w:rsidRDefault="00632689"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2FD36D90" w14:textId="680A1327" w:rsidR="00810793" w:rsidRPr="00247126" w:rsidRDefault="00632689" w:rsidP="00810793">
            <w:pPr>
              <w:pStyle w:val="TableText"/>
            </w:pPr>
            <w:r w:rsidRPr="00247126">
              <w:t>$</w:t>
            </w:r>
            <w:r w:rsidRPr="00247126">
              <w:rPr>
                <w:b/>
                <w:bCs/>
              </w:rPr>
              <w:t>Redacted</w:t>
            </w:r>
          </w:p>
        </w:tc>
        <w:tc>
          <w:tcPr>
            <w:tcW w:w="1247" w:type="dxa"/>
            <w:tcMar>
              <w:top w:w="0" w:type="dxa"/>
              <w:left w:w="108" w:type="dxa"/>
              <w:bottom w:w="0" w:type="dxa"/>
              <w:right w:w="108" w:type="dxa"/>
            </w:tcMar>
          </w:tcPr>
          <w:p w14:paraId="5D1EFDB6" w14:textId="658DB447" w:rsidR="00810793" w:rsidRPr="00247126" w:rsidRDefault="00810793" w:rsidP="00810793">
            <w:pPr>
              <w:pStyle w:val="TableText"/>
            </w:pPr>
            <w:r w:rsidRPr="00247126">
              <w:t>$</w:t>
            </w:r>
            <w:r w:rsidRPr="00247126">
              <w:rPr>
                <w:b/>
                <w:bCs/>
              </w:rPr>
              <w:t>Redacted</w:t>
            </w:r>
          </w:p>
        </w:tc>
      </w:tr>
      <w:tr w:rsidR="00810793" w:rsidRPr="00247126" w14:paraId="371CB742" w14:textId="77777777" w:rsidTr="00247126">
        <w:tc>
          <w:tcPr>
            <w:tcW w:w="2268" w:type="dxa"/>
            <w:tcMar>
              <w:top w:w="0" w:type="dxa"/>
              <w:left w:w="108" w:type="dxa"/>
              <w:bottom w:w="0" w:type="dxa"/>
              <w:right w:w="108" w:type="dxa"/>
            </w:tcMar>
          </w:tcPr>
          <w:p w14:paraId="168E45D8" w14:textId="6DCCEFB5" w:rsidR="00810793" w:rsidRPr="00247126" w:rsidRDefault="00810793" w:rsidP="00810793">
            <w:pPr>
              <w:pStyle w:val="TableText"/>
              <w:ind w:left="306"/>
            </w:pPr>
            <w:r w:rsidRPr="00247126">
              <w:t>Severe calcification</w:t>
            </w:r>
          </w:p>
        </w:tc>
        <w:tc>
          <w:tcPr>
            <w:tcW w:w="1134" w:type="dxa"/>
            <w:tcMar>
              <w:top w:w="0" w:type="dxa"/>
              <w:left w:w="108" w:type="dxa"/>
              <w:bottom w:w="0" w:type="dxa"/>
              <w:right w:w="108" w:type="dxa"/>
            </w:tcMar>
          </w:tcPr>
          <w:p w14:paraId="6B1A3513" w14:textId="084A0454"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67731049" w14:textId="1A94B9A6"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4444C06C" w14:textId="56A2D272"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1C96CB66" w14:textId="3F7041A5"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6005CB90" w14:textId="509335CD" w:rsidR="00810793" w:rsidRPr="00247126" w:rsidRDefault="00632689" w:rsidP="00810793">
            <w:pPr>
              <w:pStyle w:val="TableText"/>
            </w:pPr>
            <w:r w:rsidRPr="00247126">
              <w:t>$</w:t>
            </w:r>
            <w:r w:rsidRPr="00247126">
              <w:rPr>
                <w:b/>
                <w:bCs/>
              </w:rPr>
              <w:t>Redacted</w:t>
            </w:r>
          </w:p>
        </w:tc>
        <w:tc>
          <w:tcPr>
            <w:tcW w:w="1247" w:type="dxa"/>
            <w:tcMar>
              <w:top w:w="0" w:type="dxa"/>
              <w:left w:w="108" w:type="dxa"/>
              <w:bottom w:w="0" w:type="dxa"/>
              <w:right w:w="108" w:type="dxa"/>
            </w:tcMar>
          </w:tcPr>
          <w:p w14:paraId="595F4667" w14:textId="3A83D1AA" w:rsidR="00810793" w:rsidRPr="00247126" w:rsidRDefault="00810793" w:rsidP="00810793">
            <w:pPr>
              <w:pStyle w:val="TableText"/>
            </w:pPr>
            <w:r w:rsidRPr="00247126">
              <w:t>$</w:t>
            </w:r>
            <w:r w:rsidRPr="00247126">
              <w:rPr>
                <w:b/>
                <w:bCs/>
              </w:rPr>
              <w:t>Redacted</w:t>
            </w:r>
          </w:p>
        </w:tc>
      </w:tr>
      <w:tr w:rsidR="00810793" w:rsidRPr="00247126" w14:paraId="090FED95" w14:textId="77777777" w:rsidTr="00247126">
        <w:tc>
          <w:tcPr>
            <w:tcW w:w="2268" w:type="dxa"/>
            <w:tcMar>
              <w:top w:w="0" w:type="dxa"/>
              <w:left w:w="108" w:type="dxa"/>
              <w:bottom w:w="0" w:type="dxa"/>
              <w:right w:w="108" w:type="dxa"/>
            </w:tcMar>
          </w:tcPr>
          <w:p w14:paraId="709ED73D" w14:textId="6A14F68D" w:rsidR="00810793" w:rsidRPr="00247126" w:rsidRDefault="00810793" w:rsidP="00810793">
            <w:pPr>
              <w:pStyle w:val="TableText"/>
              <w:ind w:left="306"/>
            </w:pPr>
            <w:r w:rsidRPr="00247126">
              <w:t>Stent failure</w:t>
            </w:r>
          </w:p>
        </w:tc>
        <w:tc>
          <w:tcPr>
            <w:tcW w:w="1134" w:type="dxa"/>
            <w:tcMar>
              <w:top w:w="0" w:type="dxa"/>
              <w:left w:w="108" w:type="dxa"/>
              <w:bottom w:w="0" w:type="dxa"/>
              <w:right w:w="108" w:type="dxa"/>
            </w:tcMar>
          </w:tcPr>
          <w:p w14:paraId="18B430FB" w14:textId="6E0F3894"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53C7BD5D" w14:textId="58FA6D17"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30B86AC2" w14:textId="1A37F7C8"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2DE46361" w14:textId="702960C3"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2DC53DFB" w14:textId="7E720003" w:rsidR="00810793" w:rsidRPr="00247126" w:rsidRDefault="00632689" w:rsidP="00810793">
            <w:pPr>
              <w:pStyle w:val="TableText"/>
            </w:pPr>
            <w:r w:rsidRPr="00247126">
              <w:t>$</w:t>
            </w:r>
            <w:r w:rsidRPr="00247126">
              <w:rPr>
                <w:b/>
                <w:bCs/>
              </w:rPr>
              <w:t>Redacted</w:t>
            </w:r>
          </w:p>
        </w:tc>
        <w:tc>
          <w:tcPr>
            <w:tcW w:w="1247" w:type="dxa"/>
            <w:tcMar>
              <w:top w:w="0" w:type="dxa"/>
              <w:left w:w="108" w:type="dxa"/>
              <w:bottom w:w="0" w:type="dxa"/>
              <w:right w:w="108" w:type="dxa"/>
            </w:tcMar>
          </w:tcPr>
          <w:p w14:paraId="02E79370" w14:textId="767777EF" w:rsidR="00810793" w:rsidRPr="00247126" w:rsidRDefault="00810793" w:rsidP="00810793">
            <w:pPr>
              <w:pStyle w:val="TableText"/>
            </w:pPr>
            <w:r w:rsidRPr="00247126">
              <w:t>$</w:t>
            </w:r>
            <w:r w:rsidRPr="00247126">
              <w:rPr>
                <w:b/>
                <w:bCs/>
              </w:rPr>
              <w:t>Redacted</w:t>
            </w:r>
          </w:p>
        </w:tc>
      </w:tr>
      <w:tr w:rsidR="00810793" w:rsidRPr="00247126" w14:paraId="2564A640" w14:textId="77777777" w:rsidTr="00247126">
        <w:tc>
          <w:tcPr>
            <w:tcW w:w="2268" w:type="dxa"/>
            <w:tcMar>
              <w:top w:w="0" w:type="dxa"/>
              <w:left w:w="108" w:type="dxa"/>
              <w:bottom w:w="0" w:type="dxa"/>
              <w:right w:w="108" w:type="dxa"/>
            </w:tcMar>
          </w:tcPr>
          <w:p w14:paraId="431A21F5" w14:textId="59F07B14" w:rsidR="00810793" w:rsidRPr="00247126" w:rsidRDefault="00810793" w:rsidP="00810793">
            <w:pPr>
              <w:pStyle w:val="TableText"/>
              <w:ind w:left="306"/>
            </w:pPr>
            <w:r w:rsidRPr="00247126">
              <w:t xml:space="preserve">At least one of the above (assuming </w:t>
            </w:r>
            <w:proofErr w:type="gramStart"/>
            <w:r w:rsidRPr="00247126">
              <w:t>overlap)</w:t>
            </w:r>
            <w:r w:rsidRPr="00247126">
              <w:rPr>
                <w:vertAlign w:val="superscript"/>
              </w:rPr>
              <w:t>d</w:t>
            </w:r>
            <w:proofErr w:type="gramEnd"/>
          </w:p>
        </w:tc>
        <w:tc>
          <w:tcPr>
            <w:tcW w:w="1134" w:type="dxa"/>
            <w:tcMar>
              <w:top w:w="0" w:type="dxa"/>
              <w:left w:w="108" w:type="dxa"/>
              <w:bottom w:w="0" w:type="dxa"/>
              <w:right w:w="108" w:type="dxa"/>
            </w:tcMar>
          </w:tcPr>
          <w:p w14:paraId="5C9580A5" w14:textId="60410DF9"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6E7523E3" w14:textId="3AC1F6EE"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1EEEB586" w14:textId="3E2ACA66"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46B6AB79" w14:textId="0AA37EE7" w:rsidR="00810793" w:rsidRPr="00247126" w:rsidRDefault="00A60C9B" w:rsidP="00810793">
            <w:pPr>
              <w:pStyle w:val="TableText"/>
            </w:pPr>
            <w:r w:rsidRPr="00247126">
              <w:t>$</w:t>
            </w:r>
            <w:r w:rsidRPr="00247126">
              <w:rPr>
                <w:b/>
                <w:bCs/>
              </w:rPr>
              <w:t>Redacted</w:t>
            </w:r>
          </w:p>
        </w:tc>
        <w:tc>
          <w:tcPr>
            <w:tcW w:w="1134" w:type="dxa"/>
            <w:tcMar>
              <w:top w:w="0" w:type="dxa"/>
              <w:left w:w="108" w:type="dxa"/>
              <w:bottom w:w="0" w:type="dxa"/>
              <w:right w:w="108" w:type="dxa"/>
            </w:tcMar>
          </w:tcPr>
          <w:p w14:paraId="68DD19F8" w14:textId="3D482136" w:rsidR="00810793" w:rsidRPr="00247126" w:rsidRDefault="00632689" w:rsidP="00810793">
            <w:pPr>
              <w:pStyle w:val="TableText"/>
            </w:pPr>
            <w:r w:rsidRPr="00247126">
              <w:t>$</w:t>
            </w:r>
            <w:r w:rsidRPr="00247126">
              <w:rPr>
                <w:b/>
                <w:bCs/>
              </w:rPr>
              <w:t>Redacted</w:t>
            </w:r>
          </w:p>
        </w:tc>
        <w:tc>
          <w:tcPr>
            <w:tcW w:w="1247" w:type="dxa"/>
            <w:tcMar>
              <w:top w:w="0" w:type="dxa"/>
              <w:left w:w="108" w:type="dxa"/>
              <w:bottom w:w="0" w:type="dxa"/>
              <w:right w:w="108" w:type="dxa"/>
            </w:tcMar>
          </w:tcPr>
          <w:p w14:paraId="053A3735" w14:textId="132EDE6D" w:rsidR="00810793" w:rsidRPr="00247126" w:rsidRDefault="00810793" w:rsidP="00810793">
            <w:pPr>
              <w:pStyle w:val="TableText"/>
            </w:pPr>
            <w:r w:rsidRPr="00247126">
              <w:t>$</w:t>
            </w:r>
            <w:r w:rsidRPr="00247126">
              <w:rPr>
                <w:b/>
                <w:bCs/>
              </w:rPr>
              <w:t>Redacted</w:t>
            </w:r>
          </w:p>
        </w:tc>
      </w:tr>
    </w:tbl>
    <w:p w14:paraId="4428D346" w14:textId="20B50195" w:rsidR="00EB26CF" w:rsidRPr="00247126" w:rsidRDefault="00EB26CF" w:rsidP="009102DB">
      <w:pPr>
        <w:pStyle w:val="Tablenotes0"/>
      </w:pPr>
      <w:bookmarkStart w:id="54" w:name="_Hlk68276814"/>
      <w:bookmarkEnd w:id="53"/>
      <w:r w:rsidRPr="00247126">
        <w:t xml:space="preserve">IVUS = intravascular ultrasounds; </w:t>
      </w:r>
      <w:r w:rsidR="00356AA3" w:rsidRPr="00247126">
        <w:t xml:space="preserve">MBS = Medical Benefits Schedule; </w:t>
      </w:r>
      <w:r w:rsidRPr="00247126">
        <w:t>OCT = optical coherence tomography</w:t>
      </w:r>
      <w:r w:rsidR="00356AA3" w:rsidRPr="00247126">
        <w:t>; PCI = percutaneous coronary intervention</w:t>
      </w:r>
      <w:r w:rsidRPr="00247126">
        <w:t>.</w:t>
      </w:r>
    </w:p>
    <w:p w14:paraId="6B787457" w14:textId="3418C600" w:rsidR="00FB55BD" w:rsidRPr="00247126" w:rsidRDefault="00FB55BD" w:rsidP="009102DB">
      <w:pPr>
        <w:pStyle w:val="Tablenotes0"/>
      </w:pPr>
      <w:r w:rsidRPr="00247126">
        <w:t xml:space="preserve">a </w:t>
      </w:r>
      <w:proofErr w:type="gramStart"/>
      <w:r w:rsidR="005E0F9F" w:rsidRPr="00247126">
        <w:t>Based on</w:t>
      </w:r>
      <w:proofErr w:type="gramEnd"/>
      <w:r w:rsidR="005E0F9F" w:rsidRPr="00247126">
        <w:t xml:space="preserve"> usage of 12 PCI MBS items</w:t>
      </w:r>
      <w:r w:rsidR="00472DD0" w:rsidRPr="00247126">
        <w:t xml:space="preserve"> in 2023</w:t>
      </w:r>
      <w:r w:rsidR="001B4759" w:rsidRPr="00247126">
        <w:t xml:space="preserve">, </w:t>
      </w:r>
      <w:r w:rsidR="00935C90" w:rsidRPr="00247126">
        <w:t>growth rate of 2.7% per annum</w:t>
      </w:r>
      <w:r w:rsidR="001B4759" w:rsidRPr="00247126">
        <w:t xml:space="preserve">, and </w:t>
      </w:r>
      <w:r w:rsidR="00884E87" w:rsidRPr="00247126">
        <w:t>93.3% stent deployment</w:t>
      </w:r>
      <w:r w:rsidR="00935C90" w:rsidRPr="00247126">
        <w:t>.</w:t>
      </w:r>
    </w:p>
    <w:p w14:paraId="0F646F7E" w14:textId="0817ABDB" w:rsidR="00B739DA" w:rsidRPr="00247126" w:rsidRDefault="00FB55BD" w:rsidP="009102DB">
      <w:pPr>
        <w:pStyle w:val="Tablenotes0"/>
      </w:pPr>
      <w:r w:rsidRPr="00247126">
        <w:t>b</w:t>
      </w:r>
      <w:r w:rsidR="00DB0147" w:rsidRPr="00247126">
        <w:t xml:space="preserve"> </w:t>
      </w:r>
      <w:proofErr w:type="gramStart"/>
      <w:r w:rsidR="00B739DA" w:rsidRPr="00247126">
        <w:t>For</w:t>
      </w:r>
      <w:proofErr w:type="gramEnd"/>
      <w:r w:rsidR="00B739DA" w:rsidRPr="00247126">
        <w:t xml:space="preserve"> long lesions, </w:t>
      </w:r>
      <w:r w:rsidR="00757824" w:rsidRPr="00247126">
        <w:t xml:space="preserve">uptake </w:t>
      </w:r>
      <w:r w:rsidR="00FD1927" w:rsidRPr="00247126">
        <w:t>refers</w:t>
      </w:r>
      <w:r w:rsidR="00757824" w:rsidRPr="00247126">
        <w:t xml:space="preserve"> to OCT/IVUS.</w:t>
      </w:r>
      <w:r w:rsidR="00404C1C" w:rsidRPr="00247126">
        <w:t xml:space="preserve"> Assumed market share </w:t>
      </w:r>
      <w:r w:rsidR="00E53160" w:rsidRPr="00247126">
        <w:t>wa</w:t>
      </w:r>
      <w:r w:rsidR="00404C1C" w:rsidRPr="00247126">
        <w:t xml:space="preserve">s </w:t>
      </w:r>
      <w:r w:rsidR="00A60C9B" w:rsidRPr="00247126">
        <w:rPr>
          <w:b/>
          <w:bCs/>
        </w:rPr>
        <w:t>Redacted</w:t>
      </w:r>
      <w:r w:rsidR="00404C1C" w:rsidRPr="00247126">
        <w:t>.</w:t>
      </w:r>
    </w:p>
    <w:p w14:paraId="6745E347" w14:textId="42C801F7" w:rsidR="0014794B" w:rsidRPr="00247126" w:rsidRDefault="00FB55BD" w:rsidP="009102DB">
      <w:pPr>
        <w:pStyle w:val="Tablenotes0"/>
      </w:pPr>
      <w:r w:rsidRPr="00247126">
        <w:t>c</w:t>
      </w:r>
      <w:r w:rsidR="00B739DA" w:rsidRPr="00247126">
        <w:t xml:space="preserve"> </w:t>
      </w:r>
      <w:r w:rsidR="00C5362E" w:rsidRPr="00247126">
        <w:t>Assume</w:t>
      </w:r>
      <w:r w:rsidR="00FD1927" w:rsidRPr="00247126">
        <w:t>d</w:t>
      </w:r>
      <w:r w:rsidR="00167664" w:rsidRPr="00247126">
        <w:t xml:space="preserve"> </w:t>
      </w:r>
      <w:r w:rsidR="00C83525" w:rsidRPr="00247126">
        <w:t xml:space="preserve">that for all PCI procedures, </w:t>
      </w:r>
      <w:r w:rsidR="00167664" w:rsidRPr="00247126">
        <w:t>prevalence</w:t>
      </w:r>
      <w:r w:rsidR="00145D69" w:rsidRPr="00247126">
        <w:t xml:space="preserve"> </w:t>
      </w:r>
      <w:r w:rsidR="00404C1C" w:rsidRPr="00247126">
        <w:t>of</w:t>
      </w:r>
      <w:r w:rsidR="00145D69" w:rsidRPr="00247126">
        <w:t xml:space="preserve"> long/multip</w:t>
      </w:r>
      <w:r w:rsidR="008D0B9F" w:rsidRPr="00247126">
        <w:t>le lesions</w:t>
      </w:r>
      <w:r w:rsidR="00404C1C" w:rsidRPr="00247126">
        <w:t xml:space="preserve"> is 30%</w:t>
      </w:r>
      <w:r w:rsidR="008D0B9F" w:rsidRPr="00247126">
        <w:t>, bifurcation lesions</w:t>
      </w:r>
      <w:r w:rsidR="00404C1C" w:rsidRPr="00247126">
        <w:t xml:space="preserve"> is 10%</w:t>
      </w:r>
      <w:r w:rsidR="008D0B9F" w:rsidRPr="00247126">
        <w:t>, severely calcified lesions</w:t>
      </w:r>
      <w:r w:rsidR="00404C1C" w:rsidRPr="00247126">
        <w:t xml:space="preserve"> is 8%</w:t>
      </w:r>
      <w:r w:rsidR="008D0B9F" w:rsidRPr="00247126">
        <w:t xml:space="preserve"> and </w:t>
      </w:r>
      <w:r w:rsidR="00170783" w:rsidRPr="00247126">
        <w:t>for stent failure</w:t>
      </w:r>
      <w:r w:rsidR="00404C1C" w:rsidRPr="00247126">
        <w:t xml:space="preserve"> is 6.9%</w:t>
      </w:r>
      <w:r w:rsidR="00170783" w:rsidRPr="00247126">
        <w:t>.</w:t>
      </w:r>
    </w:p>
    <w:p w14:paraId="314B5062" w14:textId="704EE315" w:rsidR="00215AFB" w:rsidRPr="00247126" w:rsidRDefault="00FB55BD" w:rsidP="009102DB">
      <w:pPr>
        <w:pStyle w:val="Tablenotes0"/>
      </w:pPr>
      <w:r w:rsidRPr="00247126">
        <w:t>d</w:t>
      </w:r>
      <w:r w:rsidR="0014794B" w:rsidRPr="00247126">
        <w:t xml:space="preserve"> Assume</w:t>
      </w:r>
      <w:r w:rsidR="00CB09DC" w:rsidRPr="00247126">
        <w:t>d</w:t>
      </w:r>
      <w:r w:rsidR="0014794B" w:rsidRPr="00247126">
        <w:t xml:space="preserve"> 40% of all patients undergoing PCI stent insertion meet at least one of the OCT eligibility criteria</w:t>
      </w:r>
      <w:r w:rsidR="00CF7275" w:rsidRPr="00247126">
        <w:t>, acknowledging many patients would satisfy multiple eligibility criteria</w:t>
      </w:r>
      <w:r w:rsidR="0014794B" w:rsidRPr="00247126">
        <w:t>.</w:t>
      </w:r>
    </w:p>
    <w:p w14:paraId="7E69CCC1" w14:textId="00464CDC" w:rsidR="00A42D7D" w:rsidRPr="00247126" w:rsidRDefault="00FB55BD" w:rsidP="009102DB">
      <w:pPr>
        <w:pStyle w:val="Tablenotes0"/>
      </w:pPr>
      <w:r w:rsidRPr="00247126">
        <w:t>e</w:t>
      </w:r>
      <w:r w:rsidR="00A42D7D" w:rsidRPr="00247126">
        <w:t xml:space="preserve"> </w:t>
      </w:r>
      <w:r w:rsidR="00535007" w:rsidRPr="00247126">
        <w:t xml:space="preserve">Costed at </w:t>
      </w:r>
      <w:r w:rsidR="00A30133" w:rsidRPr="00247126">
        <w:t xml:space="preserve">75% of </w:t>
      </w:r>
      <w:r w:rsidR="00535007" w:rsidRPr="00247126">
        <w:t>$258.45 per service</w:t>
      </w:r>
      <w:r w:rsidR="00BC72C1" w:rsidRPr="00247126">
        <w:t xml:space="preserve">, </w:t>
      </w:r>
      <w:r w:rsidR="00535007" w:rsidRPr="00247126">
        <w:t xml:space="preserve">after applying a 50% </w:t>
      </w:r>
      <w:r w:rsidR="009855B7" w:rsidRPr="00247126">
        <w:t>multiple operation rule (</w:t>
      </w:r>
      <w:r w:rsidR="00535007" w:rsidRPr="00247126">
        <w:t>MOR</w:t>
      </w:r>
      <w:r w:rsidR="009855B7" w:rsidRPr="00247126">
        <w:t>)</w:t>
      </w:r>
      <w:r w:rsidR="00535007" w:rsidRPr="00247126">
        <w:t xml:space="preserve"> factor to the requested fee of $516.90</w:t>
      </w:r>
      <w:r w:rsidR="00BC72C1" w:rsidRPr="00247126">
        <w:t>.</w:t>
      </w:r>
    </w:p>
    <w:p w14:paraId="499AC42D" w14:textId="4A5D444E" w:rsidR="00CD48A6" w:rsidRPr="00247126" w:rsidRDefault="00CD48A6" w:rsidP="009102DB">
      <w:pPr>
        <w:pStyle w:val="Tablenotes0"/>
      </w:pPr>
      <w:r w:rsidRPr="00247126">
        <w:t xml:space="preserve">Source: </w:t>
      </w:r>
      <w:r w:rsidR="00034E7E" w:rsidRPr="00247126">
        <w:t xml:space="preserve">Compiled from </w:t>
      </w:r>
      <w:r w:rsidR="005B6451" w:rsidRPr="00247126">
        <w:t xml:space="preserve">Tables 112, Table 113, Table </w:t>
      </w:r>
      <w:proofErr w:type="gramStart"/>
      <w:r w:rsidR="005B6451" w:rsidRPr="00247126">
        <w:t>115</w:t>
      </w:r>
      <w:proofErr w:type="gramEnd"/>
      <w:r w:rsidR="005B6451" w:rsidRPr="00247126">
        <w:t xml:space="preserve"> and </w:t>
      </w:r>
      <w:r w:rsidRPr="00247126">
        <w:t xml:space="preserve">Table 117 of MSAC 1743 </w:t>
      </w:r>
      <w:proofErr w:type="spellStart"/>
      <w:r w:rsidRPr="00247126">
        <w:t>ADAR+in-line</w:t>
      </w:r>
      <w:proofErr w:type="spellEnd"/>
      <w:r w:rsidRPr="00247126">
        <w:t xml:space="preserve"> commentary.</w:t>
      </w:r>
    </w:p>
    <w:p w14:paraId="1011527F" w14:textId="59F6B557" w:rsidR="00C37C1E" w:rsidRPr="00247126" w:rsidRDefault="00856A1E" w:rsidP="00C37C1E">
      <w:r w:rsidRPr="00247126">
        <w:lastRenderedPageBreak/>
        <w:t xml:space="preserve">MBS costs comprise a minor component of the overall financial costs. The majority of the costs of OCT are borne by hospitals, health funds and/or patients. The capital equipment cost per procedure will occur on a per hospital basis, given that each hospital will be required to purchase its own OCT system. </w:t>
      </w:r>
      <w:r w:rsidR="001C5438" w:rsidRPr="00247126">
        <w:t>T</w:t>
      </w:r>
      <w:r w:rsidRPr="00247126">
        <w:t>he OCT system currently costs $</w:t>
      </w:r>
      <w:r w:rsidR="00C52F77" w:rsidRPr="00247126">
        <w:rPr>
          <w:b/>
          <w:bCs/>
        </w:rPr>
        <w:t>Redacted</w:t>
      </w:r>
      <w:r w:rsidRPr="00247126">
        <w:t xml:space="preserve"> per unit </w:t>
      </w:r>
      <w:r w:rsidR="001664E2" w:rsidRPr="00247126">
        <w:t>(plus $</w:t>
      </w:r>
      <w:r w:rsidR="00C52F77" w:rsidRPr="00247126">
        <w:rPr>
          <w:b/>
          <w:bCs/>
        </w:rPr>
        <w:t>Redacted</w:t>
      </w:r>
      <w:r w:rsidR="001664E2" w:rsidRPr="00247126">
        <w:t xml:space="preserve"> annual maintenance) </w:t>
      </w:r>
      <w:r w:rsidRPr="00247126">
        <w:t>with an expected longevity of 10 years.</w:t>
      </w:r>
      <w:r w:rsidR="00D723F6" w:rsidRPr="00247126">
        <w:t xml:space="preserve"> </w:t>
      </w:r>
      <w:r w:rsidR="00C37C1E" w:rsidRPr="00247126">
        <w:t xml:space="preserve">According to the application, there </w:t>
      </w:r>
      <w:r w:rsidR="00E80138" w:rsidRPr="00247126">
        <w:t>were</w:t>
      </w:r>
      <w:r w:rsidR="00C37C1E" w:rsidRPr="00247126">
        <w:t xml:space="preserve"> </w:t>
      </w:r>
      <w:r w:rsidR="00A60C9B" w:rsidRPr="00247126">
        <w:rPr>
          <w:b/>
          <w:bCs/>
        </w:rPr>
        <w:t>Redacted</w:t>
      </w:r>
      <w:r w:rsidR="00C37C1E" w:rsidRPr="00247126">
        <w:t xml:space="preserve"> OCT systems in private hospitals in Australia. No estimate was provided </w:t>
      </w:r>
      <w:r w:rsidR="00E80138" w:rsidRPr="00247126">
        <w:t>for</w:t>
      </w:r>
      <w:r w:rsidR="00C37C1E" w:rsidRPr="00247126">
        <w:t xml:space="preserve"> the number of OCT systems that would be purchased after </w:t>
      </w:r>
      <w:r w:rsidR="00122DDD" w:rsidRPr="00247126">
        <w:t>listing on the</w:t>
      </w:r>
      <w:r w:rsidR="00C37C1E" w:rsidRPr="00247126">
        <w:t xml:space="preserve"> MBS.</w:t>
      </w:r>
    </w:p>
    <w:p w14:paraId="79011B77" w14:textId="6897C09E" w:rsidR="0050778F" w:rsidRPr="00247126" w:rsidRDefault="00BD45E4" w:rsidP="00DA293B">
      <w:r w:rsidRPr="00247126">
        <w:t xml:space="preserve">Each OCT procedure requires a </w:t>
      </w:r>
      <w:r w:rsidR="00862B02" w:rsidRPr="00247126">
        <w:t xml:space="preserve">single-use </w:t>
      </w:r>
      <w:r w:rsidRPr="00247126">
        <w:t>catheter</w:t>
      </w:r>
      <w:r w:rsidR="00862B02" w:rsidRPr="00247126">
        <w:t xml:space="preserve">, which is </w:t>
      </w:r>
      <w:r w:rsidRPr="00247126">
        <w:t xml:space="preserve">provided as a kit including other OCT-specific consumables. Depending on the funding arrangement, the </w:t>
      </w:r>
      <w:r w:rsidR="00302415" w:rsidRPr="00247126">
        <w:t>cost of the OCT kit (</w:t>
      </w:r>
      <w:r w:rsidRPr="00247126">
        <w:t>$</w:t>
      </w:r>
      <w:r w:rsidR="00C52F77" w:rsidRPr="00247126">
        <w:rPr>
          <w:b/>
          <w:bCs/>
        </w:rPr>
        <w:t>Redacted</w:t>
      </w:r>
      <w:r w:rsidRPr="00247126">
        <w:t xml:space="preserve"> per procedure</w:t>
      </w:r>
      <w:r w:rsidR="00302415" w:rsidRPr="00247126">
        <w:t>)</w:t>
      </w:r>
      <w:r w:rsidRPr="00247126">
        <w:t xml:space="preserve"> is to be met by patients (i.e. out-of-pocket expense) or by </w:t>
      </w:r>
      <w:r w:rsidR="00907753" w:rsidRPr="00247126">
        <w:t xml:space="preserve">hospitals or </w:t>
      </w:r>
      <w:r w:rsidRPr="00247126">
        <w:t>private health insurance funds.</w:t>
      </w:r>
      <w:r w:rsidR="0050778F" w:rsidRPr="00247126">
        <w:t xml:space="preserve"> </w:t>
      </w:r>
      <w:r w:rsidR="0050778F" w:rsidRPr="00247126">
        <w:fldChar w:fldCharType="begin"/>
      </w:r>
      <w:r w:rsidR="0050778F" w:rsidRPr="00247126">
        <w:instrText xml:space="preserve"> REF _Ref163394947 \h </w:instrText>
      </w:r>
      <w:r w:rsidR="00CC5607" w:rsidRPr="00247126">
        <w:instrText xml:space="preserve"> \* MERGEFORMAT </w:instrText>
      </w:r>
      <w:r w:rsidR="0050778F" w:rsidRPr="00247126">
        <w:fldChar w:fldCharType="separate"/>
      </w:r>
      <w:r w:rsidR="00151E03" w:rsidRPr="00247126">
        <w:t>Table 25</w:t>
      </w:r>
      <w:r w:rsidR="0050778F" w:rsidRPr="00247126">
        <w:fldChar w:fldCharType="end"/>
      </w:r>
      <w:r w:rsidR="0050778F" w:rsidRPr="00247126">
        <w:t xml:space="preserve"> </w:t>
      </w:r>
      <w:r w:rsidR="002F7C96" w:rsidRPr="00247126">
        <w:t>estimates the total catheter</w:t>
      </w:r>
      <w:r w:rsidR="00F569A0" w:rsidRPr="00247126">
        <w:t xml:space="preserve"> / consumable</w:t>
      </w:r>
      <w:r w:rsidR="002F7C96" w:rsidRPr="00247126">
        <w:t xml:space="preserve"> costs based on </w:t>
      </w:r>
      <w:r w:rsidR="006F2D3A" w:rsidRPr="00247126">
        <w:t>the utilisation estimates presented above.</w:t>
      </w:r>
      <w:r w:rsidR="006A7681" w:rsidRPr="00247126">
        <w:t xml:space="preserve"> </w:t>
      </w:r>
    </w:p>
    <w:p w14:paraId="6F85B511" w14:textId="18517CCB" w:rsidR="007B5181" w:rsidRPr="00247126" w:rsidRDefault="007B5181" w:rsidP="007B5181">
      <w:pPr>
        <w:pStyle w:val="Caption"/>
      </w:pPr>
      <w:bookmarkStart w:id="55" w:name="_Ref163394947"/>
      <w:r w:rsidRPr="00247126">
        <w:t>Table </w:t>
      </w:r>
      <w:r w:rsidRPr="00247126">
        <w:fldChar w:fldCharType="begin"/>
      </w:r>
      <w:r w:rsidRPr="00247126">
        <w:instrText xml:space="preserve"> SEQ Table \* ARABIC </w:instrText>
      </w:r>
      <w:r w:rsidRPr="00247126">
        <w:fldChar w:fldCharType="separate"/>
      </w:r>
      <w:r w:rsidR="00151E03" w:rsidRPr="00247126">
        <w:rPr>
          <w:noProof/>
        </w:rPr>
        <w:t>25</w:t>
      </w:r>
      <w:r w:rsidRPr="00247126">
        <w:rPr>
          <w:noProof/>
        </w:rPr>
        <w:fldChar w:fldCharType="end"/>
      </w:r>
      <w:bookmarkEnd w:id="55"/>
      <w:r w:rsidRPr="00247126">
        <w:tab/>
        <w:t>Net financial implications of OCT</w:t>
      </w:r>
      <w:r w:rsidR="006F2D3A" w:rsidRPr="00247126">
        <w:t xml:space="preserve"> in terms of catheter</w:t>
      </w:r>
      <w:r w:rsidR="002B4F45" w:rsidRPr="00247126">
        <w:t xml:space="preserve"> </w:t>
      </w:r>
      <w:r w:rsidR="006F2D3A" w:rsidRPr="00247126">
        <w:t>/</w:t>
      </w:r>
      <w:r w:rsidR="002B4F45" w:rsidRPr="00247126">
        <w:t xml:space="preserve"> </w:t>
      </w:r>
      <w:r w:rsidR="006F2D3A" w:rsidRPr="00247126">
        <w:t>consumables</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Net financial implications of OCT in terms of catheter / consumables"/>
        <w:tblDescription w:val="This table shows the cost per yer for OCT and IVUS consumables over the first 6 years of listing OCT on the MBS (2025 to 2030)"/>
      </w:tblPr>
      <w:tblGrid>
        <w:gridCol w:w="2194"/>
        <w:gridCol w:w="1196"/>
        <w:gridCol w:w="1196"/>
        <w:gridCol w:w="1196"/>
        <w:gridCol w:w="1196"/>
        <w:gridCol w:w="1196"/>
        <w:gridCol w:w="1201"/>
      </w:tblGrid>
      <w:tr w:rsidR="00A463F0" w:rsidRPr="00247126" w14:paraId="5D8BC87F" w14:textId="77777777" w:rsidTr="00A463F0">
        <w:trPr>
          <w:trHeight w:hRule="exact" w:val="411"/>
          <w:tblHeader/>
        </w:trPr>
        <w:tc>
          <w:tcPr>
            <w:tcW w:w="2194" w:type="dxa"/>
            <w:tcMar>
              <w:top w:w="0" w:type="dxa"/>
              <w:left w:w="108" w:type="dxa"/>
              <w:bottom w:w="0" w:type="dxa"/>
              <w:right w:w="108" w:type="dxa"/>
            </w:tcMar>
          </w:tcPr>
          <w:p w14:paraId="77804788" w14:textId="77777777" w:rsidR="007B5181" w:rsidRPr="00247126" w:rsidRDefault="007B5181" w:rsidP="001A38DB">
            <w:pPr>
              <w:pStyle w:val="TableText"/>
              <w:keepNext/>
              <w:rPr>
                <w:b/>
                <w:bCs/>
              </w:rPr>
            </w:pPr>
            <w:r w:rsidRPr="00247126">
              <w:rPr>
                <w:b/>
                <w:bCs/>
              </w:rPr>
              <w:t xml:space="preserve">Parameter </w:t>
            </w:r>
          </w:p>
        </w:tc>
        <w:tc>
          <w:tcPr>
            <w:tcW w:w="1196" w:type="dxa"/>
            <w:tcMar>
              <w:top w:w="0" w:type="dxa"/>
              <w:left w:w="108" w:type="dxa"/>
              <w:bottom w:w="0" w:type="dxa"/>
              <w:right w:w="108" w:type="dxa"/>
            </w:tcMar>
            <w:hideMark/>
          </w:tcPr>
          <w:p w14:paraId="0F451E13" w14:textId="77777777" w:rsidR="007B5181" w:rsidRPr="00247126" w:rsidRDefault="007B5181" w:rsidP="001A38DB">
            <w:pPr>
              <w:pStyle w:val="TableText"/>
              <w:keepNext/>
              <w:rPr>
                <w:b/>
                <w:bCs/>
              </w:rPr>
            </w:pPr>
            <w:r w:rsidRPr="00247126">
              <w:rPr>
                <w:b/>
                <w:bCs/>
              </w:rPr>
              <w:t>Year 2025</w:t>
            </w:r>
          </w:p>
        </w:tc>
        <w:tc>
          <w:tcPr>
            <w:tcW w:w="1196" w:type="dxa"/>
            <w:tcMar>
              <w:top w:w="0" w:type="dxa"/>
              <w:left w:w="108" w:type="dxa"/>
              <w:bottom w:w="0" w:type="dxa"/>
              <w:right w:w="108" w:type="dxa"/>
            </w:tcMar>
            <w:hideMark/>
          </w:tcPr>
          <w:p w14:paraId="699F8781" w14:textId="77777777" w:rsidR="007B5181" w:rsidRPr="00247126" w:rsidRDefault="007B5181" w:rsidP="001A38DB">
            <w:pPr>
              <w:pStyle w:val="TableText"/>
              <w:keepNext/>
              <w:rPr>
                <w:b/>
                <w:bCs/>
              </w:rPr>
            </w:pPr>
            <w:r w:rsidRPr="00247126">
              <w:rPr>
                <w:b/>
                <w:bCs/>
              </w:rPr>
              <w:t>Year 2026</w:t>
            </w:r>
          </w:p>
        </w:tc>
        <w:tc>
          <w:tcPr>
            <w:tcW w:w="1196" w:type="dxa"/>
            <w:tcMar>
              <w:top w:w="0" w:type="dxa"/>
              <w:left w:w="108" w:type="dxa"/>
              <w:bottom w:w="0" w:type="dxa"/>
              <w:right w:w="108" w:type="dxa"/>
            </w:tcMar>
            <w:hideMark/>
          </w:tcPr>
          <w:p w14:paraId="281E6071" w14:textId="77777777" w:rsidR="007B5181" w:rsidRPr="00247126" w:rsidRDefault="007B5181" w:rsidP="001A38DB">
            <w:pPr>
              <w:pStyle w:val="TableText"/>
              <w:keepNext/>
              <w:rPr>
                <w:b/>
                <w:bCs/>
              </w:rPr>
            </w:pPr>
            <w:r w:rsidRPr="00247126">
              <w:rPr>
                <w:b/>
                <w:bCs/>
              </w:rPr>
              <w:t>Year 2027</w:t>
            </w:r>
          </w:p>
        </w:tc>
        <w:tc>
          <w:tcPr>
            <w:tcW w:w="1196" w:type="dxa"/>
            <w:tcMar>
              <w:top w:w="0" w:type="dxa"/>
              <w:left w:w="108" w:type="dxa"/>
              <w:bottom w:w="0" w:type="dxa"/>
              <w:right w:w="108" w:type="dxa"/>
            </w:tcMar>
            <w:hideMark/>
          </w:tcPr>
          <w:p w14:paraId="30669D34" w14:textId="77777777" w:rsidR="007B5181" w:rsidRPr="00247126" w:rsidRDefault="007B5181" w:rsidP="001A38DB">
            <w:pPr>
              <w:pStyle w:val="TableText"/>
              <w:keepNext/>
              <w:rPr>
                <w:b/>
                <w:bCs/>
              </w:rPr>
            </w:pPr>
            <w:r w:rsidRPr="00247126">
              <w:rPr>
                <w:b/>
                <w:bCs/>
              </w:rPr>
              <w:t>Year 2028</w:t>
            </w:r>
          </w:p>
        </w:tc>
        <w:tc>
          <w:tcPr>
            <w:tcW w:w="1196" w:type="dxa"/>
            <w:tcMar>
              <w:top w:w="0" w:type="dxa"/>
              <w:left w:w="108" w:type="dxa"/>
              <w:bottom w:w="0" w:type="dxa"/>
              <w:right w:w="108" w:type="dxa"/>
            </w:tcMar>
            <w:hideMark/>
          </w:tcPr>
          <w:p w14:paraId="6BA998AC" w14:textId="77777777" w:rsidR="007B5181" w:rsidRPr="00247126" w:rsidRDefault="007B5181" w:rsidP="001A38DB">
            <w:pPr>
              <w:pStyle w:val="TableText"/>
              <w:keepNext/>
              <w:rPr>
                <w:b/>
                <w:bCs/>
              </w:rPr>
            </w:pPr>
            <w:r w:rsidRPr="00247126">
              <w:rPr>
                <w:b/>
                <w:bCs/>
              </w:rPr>
              <w:t>Year 2029</w:t>
            </w:r>
          </w:p>
        </w:tc>
        <w:tc>
          <w:tcPr>
            <w:tcW w:w="1201" w:type="dxa"/>
            <w:tcMar>
              <w:top w:w="0" w:type="dxa"/>
              <w:left w:w="108" w:type="dxa"/>
              <w:bottom w:w="0" w:type="dxa"/>
              <w:right w:w="108" w:type="dxa"/>
            </w:tcMar>
            <w:hideMark/>
          </w:tcPr>
          <w:p w14:paraId="6452F4F2" w14:textId="77777777" w:rsidR="007B5181" w:rsidRPr="00247126" w:rsidRDefault="007B5181" w:rsidP="001A38DB">
            <w:pPr>
              <w:pStyle w:val="TableText"/>
              <w:keepNext/>
              <w:rPr>
                <w:b/>
                <w:bCs/>
              </w:rPr>
            </w:pPr>
            <w:r w:rsidRPr="00247126">
              <w:rPr>
                <w:b/>
                <w:bCs/>
              </w:rPr>
              <w:t>Year 2030</w:t>
            </w:r>
          </w:p>
        </w:tc>
      </w:tr>
      <w:tr w:rsidR="00A60C9B" w:rsidRPr="00247126" w14:paraId="7A2C409B" w14:textId="77777777" w:rsidTr="00247126">
        <w:trPr>
          <w:trHeight w:hRule="exact" w:val="411"/>
        </w:trPr>
        <w:tc>
          <w:tcPr>
            <w:tcW w:w="9375" w:type="dxa"/>
            <w:gridSpan w:val="7"/>
            <w:tcMar>
              <w:top w:w="0" w:type="dxa"/>
              <w:left w:w="108" w:type="dxa"/>
              <w:bottom w:w="0" w:type="dxa"/>
              <w:right w:w="108" w:type="dxa"/>
            </w:tcMar>
          </w:tcPr>
          <w:p w14:paraId="54346C51" w14:textId="0BB701D3" w:rsidR="00A60C9B" w:rsidRPr="00247126" w:rsidRDefault="00A60C9B" w:rsidP="001A38DB">
            <w:pPr>
              <w:pStyle w:val="TableText"/>
              <w:keepNext/>
            </w:pPr>
            <w:r w:rsidRPr="00247126">
              <w:rPr>
                <w:b/>
                <w:bCs/>
              </w:rPr>
              <w:t xml:space="preserve">Total cost for OCT catheter / </w:t>
            </w:r>
            <w:proofErr w:type="spellStart"/>
            <w:r w:rsidRPr="00247126">
              <w:rPr>
                <w:b/>
                <w:bCs/>
              </w:rPr>
              <w:t>consumables</w:t>
            </w:r>
            <w:r w:rsidRPr="00247126">
              <w:rPr>
                <w:b/>
                <w:bCs/>
                <w:vertAlign w:val="superscript"/>
              </w:rPr>
              <w:t>a</w:t>
            </w:r>
            <w:proofErr w:type="spellEnd"/>
            <w:r w:rsidRPr="00247126">
              <w:rPr>
                <w:b/>
                <w:bCs/>
              </w:rPr>
              <w:t>, by eligibility group</w:t>
            </w:r>
          </w:p>
        </w:tc>
      </w:tr>
      <w:tr w:rsidR="00A463F0" w:rsidRPr="00247126" w14:paraId="78DB0A98" w14:textId="77777777" w:rsidTr="00A463F0">
        <w:trPr>
          <w:trHeight w:hRule="exact" w:val="411"/>
        </w:trPr>
        <w:tc>
          <w:tcPr>
            <w:tcW w:w="2194" w:type="dxa"/>
            <w:tcMar>
              <w:top w:w="0" w:type="dxa"/>
              <w:left w:w="108" w:type="dxa"/>
              <w:bottom w:w="0" w:type="dxa"/>
              <w:right w:w="108" w:type="dxa"/>
            </w:tcMar>
          </w:tcPr>
          <w:p w14:paraId="4E9966E1" w14:textId="77777777" w:rsidR="00594F0C" w:rsidRPr="00247126" w:rsidRDefault="00594F0C" w:rsidP="001A38DB">
            <w:pPr>
              <w:pStyle w:val="TableText"/>
              <w:keepNext/>
            </w:pPr>
            <w:r w:rsidRPr="00247126">
              <w:t>Long/multiple lesion</w:t>
            </w:r>
          </w:p>
        </w:tc>
        <w:tc>
          <w:tcPr>
            <w:tcW w:w="1196" w:type="dxa"/>
            <w:tcMar>
              <w:top w:w="0" w:type="dxa"/>
              <w:left w:w="108" w:type="dxa"/>
              <w:bottom w:w="0" w:type="dxa"/>
              <w:right w:w="108" w:type="dxa"/>
            </w:tcMar>
          </w:tcPr>
          <w:p w14:paraId="6E0C9216" w14:textId="20C54A76" w:rsidR="00594F0C" w:rsidRPr="00247126" w:rsidRDefault="00A60C9B" w:rsidP="001A38DB">
            <w:pPr>
              <w:pStyle w:val="TableText"/>
              <w:keepNext/>
            </w:pPr>
            <w:r w:rsidRPr="00247126">
              <w:t>$</w:t>
            </w:r>
            <w:r w:rsidRPr="00247126">
              <w:rPr>
                <w:b/>
                <w:bCs/>
              </w:rPr>
              <w:t>Redacted</w:t>
            </w:r>
          </w:p>
        </w:tc>
        <w:tc>
          <w:tcPr>
            <w:tcW w:w="1196" w:type="dxa"/>
            <w:tcMar>
              <w:top w:w="0" w:type="dxa"/>
              <w:left w:w="108" w:type="dxa"/>
              <w:bottom w:w="0" w:type="dxa"/>
              <w:right w:w="108" w:type="dxa"/>
            </w:tcMar>
          </w:tcPr>
          <w:p w14:paraId="734D59B7" w14:textId="4BC65B45" w:rsidR="00594F0C" w:rsidRPr="00247126" w:rsidRDefault="00A60C9B" w:rsidP="001A38DB">
            <w:pPr>
              <w:pStyle w:val="TableText"/>
              <w:keepNext/>
            </w:pPr>
            <w:r w:rsidRPr="00247126">
              <w:t>$</w:t>
            </w:r>
            <w:r w:rsidRPr="00247126">
              <w:rPr>
                <w:b/>
                <w:bCs/>
              </w:rPr>
              <w:t>Redacted</w:t>
            </w:r>
          </w:p>
        </w:tc>
        <w:tc>
          <w:tcPr>
            <w:tcW w:w="1196" w:type="dxa"/>
            <w:tcMar>
              <w:top w:w="0" w:type="dxa"/>
              <w:left w:w="108" w:type="dxa"/>
              <w:bottom w:w="0" w:type="dxa"/>
              <w:right w:w="108" w:type="dxa"/>
            </w:tcMar>
          </w:tcPr>
          <w:p w14:paraId="7977A7E7" w14:textId="13A84E12" w:rsidR="00594F0C" w:rsidRPr="00247126" w:rsidRDefault="00A60C9B" w:rsidP="001A38DB">
            <w:pPr>
              <w:pStyle w:val="TableText"/>
              <w:keepNext/>
            </w:pPr>
            <w:r w:rsidRPr="00247126">
              <w:t>$</w:t>
            </w:r>
            <w:r w:rsidRPr="00247126">
              <w:rPr>
                <w:b/>
                <w:bCs/>
              </w:rPr>
              <w:t>Redacted</w:t>
            </w:r>
          </w:p>
        </w:tc>
        <w:tc>
          <w:tcPr>
            <w:tcW w:w="1196" w:type="dxa"/>
            <w:tcMar>
              <w:top w:w="0" w:type="dxa"/>
              <w:left w:w="108" w:type="dxa"/>
              <w:bottom w:w="0" w:type="dxa"/>
              <w:right w:w="108" w:type="dxa"/>
            </w:tcMar>
          </w:tcPr>
          <w:p w14:paraId="7E7154CE" w14:textId="3AC7C083" w:rsidR="00594F0C" w:rsidRPr="00247126" w:rsidRDefault="00A60C9B" w:rsidP="001A38DB">
            <w:pPr>
              <w:pStyle w:val="TableText"/>
              <w:keepNext/>
            </w:pPr>
            <w:r w:rsidRPr="00247126">
              <w:t>$</w:t>
            </w:r>
            <w:r w:rsidRPr="00247126">
              <w:rPr>
                <w:b/>
                <w:bCs/>
              </w:rPr>
              <w:t>Redacted</w:t>
            </w:r>
          </w:p>
        </w:tc>
        <w:tc>
          <w:tcPr>
            <w:tcW w:w="1196" w:type="dxa"/>
            <w:tcMar>
              <w:top w:w="0" w:type="dxa"/>
              <w:left w:w="108" w:type="dxa"/>
              <w:bottom w:w="0" w:type="dxa"/>
              <w:right w:w="108" w:type="dxa"/>
            </w:tcMar>
          </w:tcPr>
          <w:p w14:paraId="5CCF67D5" w14:textId="1C312F5E" w:rsidR="00594F0C" w:rsidRPr="00247126" w:rsidRDefault="00A60C9B" w:rsidP="001A38DB">
            <w:pPr>
              <w:pStyle w:val="TableText"/>
              <w:keepNext/>
            </w:pPr>
            <w:r w:rsidRPr="00247126">
              <w:t>$</w:t>
            </w:r>
            <w:r w:rsidRPr="00247126">
              <w:rPr>
                <w:b/>
                <w:bCs/>
              </w:rPr>
              <w:t>Redacted</w:t>
            </w:r>
          </w:p>
        </w:tc>
        <w:tc>
          <w:tcPr>
            <w:tcW w:w="1201" w:type="dxa"/>
            <w:tcMar>
              <w:top w:w="0" w:type="dxa"/>
              <w:left w:w="108" w:type="dxa"/>
              <w:bottom w:w="0" w:type="dxa"/>
              <w:right w:w="108" w:type="dxa"/>
            </w:tcMar>
          </w:tcPr>
          <w:p w14:paraId="1BCF401B" w14:textId="25F2F175" w:rsidR="00594F0C" w:rsidRPr="00247126" w:rsidRDefault="00A60C9B" w:rsidP="001A38DB">
            <w:pPr>
              <w:pStyle w:val="TableText"/>
              <w:keepNext/>
            </w:pPr>
            <w:r w:rsidRPr="00247126">
              <w:t>$</w:t>
            </w:r>
            <w:r w:rsidRPr="00247126">
              <w:rPr>
                <w:b/>
                <w:bCs/>
              </w:rPr>
              <w:t>Redacted</w:t>
            </w:r>
          </w:p>
        </w:tc>
      </w:tr>
      <w:tr w:rsidR="00A463F0" w:rsidRPr="00247126" w14:paraId="286C34F6" w14:textId="77777777" w:rsidTr="00A463F0">
        <w:trPr>
          <w:trHeight w:hRule="exact" w:val="411"/>
        </w:trPr>
        <w:tc>
          <w:tcPr>
            <w:tcW w:w="2194" w:type="dxa"/>
            <w:tcMar>
              <w:top w:w="0" w:type="dxa"/>
              <w:left w:w="108" w:type="dxa"/>
              <w:bottom w:w="0" w:type="dxa"/>
              <w:right w:w="108" w:type="dxa"/>
            </w:tcMar>
          </w:tcPr>
          <w:p w14:paraId="063271AB" w14:textId="77777777" w:rsidR="00A463F0" w:rsidRPr="00247126" w:rsidRDefault="00A463F0" w:rsidP="00A463F0">
            <w:pPr>
              <w:pStyle w:val="TableText"/>
              <w:keepNext/>
            </w:pPr>
            <w:r w:rsidRPr="00247126">
              <w:t>Bifurcation lesion</w:t>
            </w:r>
          </w:p>
        </w:tc>
        <w:tc>
          <w:tcPr>
            <w:tcW w:w="1196" w:type="dxa"/>
            <w:tcMar>
              <w:top w:w="0" w:type="dxa"/>
              <w:left w:w="108" w:type="dxa"/>
              <w:bottom w:w="0" w:type="dxa"/>
              <w:right w:w="108" w:type="dxa"/>
            </w:tcMar>
          </w:tcPr>
          <w:p w14:paraId="583F57C1" w14:textId="7425D3D7"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11166E84" w14:textId="6A3CE41A"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249A8AE8" w14:textId="3D07A32B"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7CFAEA9" w14:textId="690B8DC6"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56C7511" w14:textId="7B4AC702" w:rsidR="00A463F0" w:rsidRPr="00247126" w:rsidRDefault="00A463F0" w:rsidP="00A463F0">
            <w:pPr>
              <w:pStyle w:val="TableText"/>
              <w:keepNext/>
            </w:pPr>
            <w:r w:rsidRPr="00247126">
              <w:t>$</w:t>
            </w:r>
            <w:r w:rsidRPr="00247126">
              <w:rPr>
                <w:b/>
                <w:bCs/>
              </w:rPr>
              <w:t>Redacted</w:t>
            </w:r>
          </w:p>
        </w:tc>
        <w:tc>
          <w:tcPr>
            <w:tcW w:w="1201" w:type="dxa"/>
            <w:tcMar>
              <w:top w:w="0" w:type="dxa"/>
              <w:left w:w="108" w:type="dxa"/>
              <w:bottom w:w="0" w:type="dxa"/>
              <w:right w:w="108" w:type="dxa"/>
            </w:tcMar>
          </w:tcPr>
          <w:p w14:paraId="3CD3E7B1" w14:textId="7EC18F02" w:rsidR="00A463F0" w:rsidRPr="00247126" w:rsidRDefault="00A463F0" w:rsidP="00A463F0">
            <w:pPr>
              <w:pStyle w:val="TableText"/>
              <w:keepNext/>
            </w:pPr>
            <w:r w:rsidRPr="00247126">
              <w:t>$</w:t>
            </w:r>
            <w:r w:rsidRPr="00247126">
              <w:rPr>
                <w:b/>
                <w:bCs/>
              </w:rPr>
              <w:t>Redacted</w:t>
            </w:r>
          </w:p>
        </w:tc>
      </w:tr>
      <w:tr w:rsidR="00A463F0" w:rsidRPr="00247126" w14:paraId="09A6B1E9" w14:textId="77777777" w:rsidTr="00A463F0">
        <w:trPr>
          <w:trHeight w:hRule="exact" w:val="411"/>
        </w:trPr>
        <w:tc>
          <w:tcPr>
            <w:tcW w:w="2194" w:type="dxa"/>
            <w:tcMar>
              <w:top w:w="0" w:type="dxa"/>
              <w:left w:w="108" w:type="dxa"/>
              <w:bottom w:w="0" w:type="dxa"/>
              <w:right w:w="108" w:type="dxa"/>
            </w:tcMar>
          </w:tcPr>
          <w:p w14:paraId="5A389C07" w14:textId="77777777" w:rsidR="00A463F0" w:rsidRPr="00247126" w:rsidRDefault="00A463F0" w:rsidP="00A463F0">
            <w:pPr>
              <w:pStyle w:val="TableText"/>
              <w:keepNext/>
            </w:pPr>
            <w:r w:rsidRPr="00247126">
              <w:t>Severe calcification</w:t>
            </w:r>
          </w:p>
        </w:tc>
        <w:tc>
          <w:tcPr>
            <w:tcW w:w="1196" w:type="dxa"/>
            <w:tcMar>
              <w:top w:w="0" w:type="dxa"/>
              <w:left w:w="108" w:type="dxa"/>
              <w:bottom w:w="0" w:type="dxa"/>
              <w:right w:w="108" w:type="dxa"/>
            </w:tcMar>
          </w:tcPr>
          <w:p w14:paraId="48C6B081" w14:textId="62984685"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096E174A" w14:textId="06D653D5"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F801DDD" w14:textId="675ABAFD"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1069907" w14:textId="1EC466FC"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0529710C" w14:textId="6FAF9AAD" w:rsidR="00A463F0" w:rsidRPr="00247126" w:rsidRDefault="00A463F0" w:rsidP="00A463F0">
            <w:pPr>
              <w:pStyle w:val="TableText"/>
              <w:keepNext/>
            </w:pPr>
            <w:r w:rsidRPr="00247126">
              <w:t>$</w:t>
            </w:r>
            <w:r w:rsidRPr="00247126">
              <w:rPr>
                <w:b/>
                <w:bCs/>
              </w:rPr>
              <w:t>Redacted</w:t>
            </w:r>
          </w:p>
        </w:tc>
        <w:tc>
          <w:tcPr>
            <w:tcW w:w="1201" w:type="dxa"/>
            <w:tcMar>
              <w:top w:w="0" w:type="dxa"/>
              <w:left w:w="108" w:type="dxa"/>
              <w:bottom w:w="0" w:type="dxa"/>
              <w:right w:w="108" w:type="dxa"/>
            </w:tcMar>
          </w:tcPr>
          <w:p w14:paraId="21E2821F" w14:textId="3ECDC37A" w:rsidR="00A463F0" w:rsidRPr="00247126" w:rsidRDefault="00A463F0" w:rsidP="00A463F0">
            <w:pPr>
              <w:pStyle w:val="TableText"/>
              <w:keepNext/>
            </w:pPr>
            <w:r w:rsidRPr="00247126">
              <w:t>$</w:t>
            </w:r>
            <w:r w:rsidRPr="00247126">
              <w:rPr>
                <w:b/>
                <w:bCs/>
              </w:rPr>
              <w:t>Redacted</w:t>
            </w:r>
          </w:p>
        </w:tc>
      </w:tr>
      <w:tr w:rsidR="00A463F0" w:rsidRPr="00247126" w14:paraId="0949D10F" w14:textId="77777777" w:rsidTr="00A463F0">
        <w:trPr>
          <w:trHeight w:hRule="exact" w:val="411"/>
        </w:trPr>
        <w:tc>
          <w:tcPr>
            <w:tcW w:w="2194" w:type="dxa"/>
            <w:tcMar>
              <w:top w:w="0" w:type="dxa"/>
              <w:left w:w="108" w:type="dxa"/>
              <w:bottom w:w="0" w:type="dxa"/>
              <w:right w:w="108" w:type="dxa"/>
            </w:tcMar>
          </w:tcPr>
          <w:p w14:paraId="5B03F888" w14:textId="77777777" w:rsidR="00A463F0" w:rsidRPr="00247126" w:rsidRDefault="00A463F0" w:rsidP="00A463F0">
            <w:pPr>
              <w:pStyle w:val="TableText"/>
              <w:keepNext/>
            </w:pPr>
            <w:r w:rsidRPr="00247126">
              <w:t>Stent failure</w:t>
            </w:r>
          </w:p>
        </w:tc>
        <w:tc>
          <w:tcPr>
            <w:tcW w:w="1196" w:type="dxa"/>
            <w:tcMar>
              <w:top w:w="0" w:type="dxa"/>
              <w:left w:w="108" w:type="dxa"/>
              <w:bottom w:w="0" w:type="dxa"/>
              <w:right w:w="108" w:type="dxa"/>
            </w:tcMar>
          </w:tcPr>
          <w:p w14:paraId="42625EC9" w14:textId="76D0F70F"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2DB15A4" w14:textId="49A2EF30"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39DA1F80" w14:textId="0ABEDE48"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7FF7530E" w14:textId="57621B77"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4E3A2CF5" w14:textId="69C47D9E" w:rsidR="00A463F0" w:rsidRPr="00247126" w:rsidRDefault="00A463F0" w:rsidP="00A463F0">
            <w:pPr>
              <w:pStyle w:val="TableText"/>
              <w:keepNext/>
            </w:pPr>
            <w:r w:rsidRPr="00247126">
              <w:t>$</w:t>
            </w:r>
            <w:r w:rsidRPr="00247126">
              <w:rPr>
                <w:b/>
                <w:bCs/>
              </w:rPr>
              <w:t>Redacted</w:t>
            </w:r>
          </w:p>
        </w:tc>
        <w:tc>
          <w:tcPr>
            <w:tcW w:w="1201" w:type="dxa"/>
            <w:tcMar>
              <w:top w:w="0" w:type="dxa"/>
              <w:left w:w="108" w:type="dxa"/>
              <w:bottom w:w="0" w:type="dxa"/>
              <w:right w:w="108" w:type="dxa"/>
            </w:tcMar>
          </w:tcPr>
          <w:p w14:paraId="28DB89FF" w14:textId="32140AFD" w:rsidR="00A463F0" w:rsidRPr="00247126" w:rsidRDefault="00A463F0" w:rsidP="00A463F0">
            <w:pPr>
              <w:pStyle w:val="TableText"/>
              <w:keepNext/>
            </w:pPr>
            <w:r w:rsidRPr="00247126">
              <w:t>$</w:t>
            </w:r>
            <w:r w:rsidRPr="00247126">
              <w:rPr>
                <w:b/>
                <w:bCs/>
              </w:rPr>
              <w:t>Redacted</w:t>
            </w:r>
          </w:p>
        </w:tc>
      </w:tr>
      <w:tr w:rsidR="00A463F0" w:rsidRPr="00247126" w14:paraId="026685E5" w14:textId="77777777" w:rsidTr="00A463F0">
        <w:trPr>
          <w:trHeight w:hRule="exact" w:val="411"/>
        </w:trPr>
        <w:tc>
          <w:tcPr>
            <w:tcW w:w="2194" w:type="dxa"/>
            <w:tcMar>
              <w:top w:w="0" w:type="dxa"/>
              <w:left w:w="108" w:type="dxa"/>
              <w:bottom w:w="0" w:type="dxa"/>
              <w:right w:w="108" w:type="dxa"/>
            </w:tcMar>
          </w:tcPr>
          <w:p w14:paraId="6FE5E29F" w14:textId="197D43AD" w:rsidR="00A463F0" w:rsidRPr="00247126" w:rsidRDefault="00A463F0" w:rsidP="00A463F0">
            <w:pPr>
              <w:pStyle w:val="TableText"/>
              <w:keepNext/>
            </w:pPr>
            <w:r w:rsidRPr="00247126">
              <w:t>At least one of the above</w:t>
            </w:r>
          </w:p>
        </w:tc>
        <w:tc>
          <w:tcPr>
            <w:tcW w:w="1196" w:type="dxa"/>
            <w:tcMar>
              <w:top w:w="0" w:type="dxa"/>
              <w:left w:w="108" w:type="dxa"/>
              <w:bottom w:w="0" w:type="dxa"/>
              <w:right w:w="108" w:type="dxa"/>
            </w:tcMar>
          </w:tcPr>
          <w:p w14:paraId="6133D41D" w14:textId="45F657AA"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1C5D3B2C" w14:textId="168DE0BD"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3FB3CA45" w14:textId="5BF36D2E"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6F639740" w14:textId="24B0523B"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AAE5873" w14:textId="1B4F7714" w:rsidR="00A463F0" w:rsidRPr="00247126" w:rsidRDefault="00A463F0" w:rsidP="00A463F0">
            <w:pPr>
              <w:pStyle w:val="TableText"/>
              <w:keepNext/>
            </w:pPr>
            <w:r w:rsidRPr="00247126">
              <w:t>$</w:t>
            </w:r>
            <w:r w:rsidRPr="00247126">
              <w:rPr>
                <w:b/>
                <w:bCs/>
              </w:rPr>
              <w:t>Redacted</w:t>
            </w:r>
          </w:p>
        </w:tc>
        <w:tc>
          <w:tcPr>
            <w:tcW w:w="1201" w:type="dxa"/>
            <w:tcMar>
              <w:top w:w="0" w:type="dxa"/>
              <w:left w:w="108" w:type="dxa"/>
              <w:bottom w:w="0" w:type="dxa"/>
              <w:right w:w="108" w:type="dxa"/>
            </w:tcMar>
          </w:tcPr>
          <w:p w14:paraId="6D842AB0" w14:textId="52980558" w:rsidR="00A463F0" w:rsidRPr="00247126" w:rsidRDefault="00A463F0" w:rsidP="00A463F0">
            <w:pPr>
              <w:pStyle w:val="TableText"/>
              <w:keepNext/>
            </w:pPr>
            <w:r w:rsidRPr="00247126">
              <w:t>$</w:t>
            </w:r>
            <w:r w:rsidRPr="00247126">
              <w:rPr>
                <w:b/>
                <w:bCs/>
              </w:rPr>
              <w:t>Redacted</w:t>
            </w:r>
          </w:p>
        </w:tc>
      </w:tr>
      <w:tr w:rsidR="00A463F0" w:rsidRPr="00247126" w14:paraId="4BDF295A" w14:textId="77777777" w:rsidTr="00247126">
        <w:trPr>
          <w:trHeight w:hRule="exact" w:val="411"/>
        </w:trPr>
        <w:tc>
          <w:tcPr>
            <w:tcW w:w="9375" w:type="dxa"/>
            <w:gridSpan w:val="7"/>
            <w:tcMar>
              <w:top w:w="0" w:type="dxa"/>
              <w:left w:w="108" w:type="dxa"/>
              <w:bottom w:w="0" w:type="dxa"/>
              <w:right w:w="108" w:type="dxa"/>
            </w:tcMar>
          </w:tcPr>
          <w:p w14:paraId="6D5AB503" w14:textId="37F3C75C" w:rsidR="00A463F0" w:rsidRPr="00247126" w:rsidRDefault="00A463F0" w:rsidP="00A463F0">
            <w:pPr>
              <w:pStyle w:val="TableText"/>
              <w:keepNext/>
            </w:pPr>
            <w:r w:rsidRPr="00247126">
              <w:rPr>
                <w:b/>
                <w:bCs/>
              </w:rPr>
              <w:t xml:space="preserve">Change in cost for IVUS catheter / </w:t>
            </w:r>
            <w:proofErr w:type="spellStart"/>
            <w:r w:rsidRPr="00247126">
              <w:rPr>
                <w:b/>
                <w:bCs/>
              </w:rPr>
              <w:t>consumables</w:t>
            </w:r>
            <w:r w:rsidRPr="00247126">
              <w:rPr>
                <w:b/>
                <w:bCs/>
                <w:vertAlign w:val="superscript"/>
              </w:rPr>
              <w:t>b</w:t>
            </w:r>
            <w:proofErr w:type="spellEnd"/>
            <w:r w:rsidRPr="00247126">
              <w:rPr>
                <w:b/>
                <w:bCs/>
              </w:rPr>
              <w:t xml:space="preserve"> (substitution)</w:t>
            </w:r>
          </w:p>
        </w:tc>
      </w:tr>
      <w:tr w:rsidR="00A463F0" w:rsidRPr="00247126" w14:paraId="22B18E1C" w14:textId="77777777" w:rsidTr="00A463F0">
        <w:trPr>
          <w:trHeight w:hRule="exact" w:val="411"/>
        </w:trPr>
        <w:tc>
          <w:tcPr>
            <w:tcW w:w="2194" w:type="dxa"/>
            <w:tcMar>
              <w:top w:w="0" w:type="dxa"/>
              <w:left w:w="108" w:type="dxa"/>
              <w:bottom w:w="0" w:type="dxa"/>
              <w:right w:w="108" w:type="dxa"/>
            </w:tcMar>
          </w:tcPr>
          <w:p w14:paraId="4B4245E0" w14:textId="53DF8FF4" w:rsidR="00A463F0" w:rsidRPr="00247126" w:rsidRDefault="00A463F0" w:rsidP="00A463F0">
            <w:pPr>
              <w:pStyle w:val="TableText"/>
              <w:keepNext/>
            </w:pPr>
            <w:r w:rsidRPr="00247126">
              <w:t>For long lesion only</w:t>
            </w:r>
          </w:p>
        </w:tc>
        <w:tc>
          <w:tcPr>
            <w:tcW w:w="1196" w:type="dxa"/>
            <w:tcMar>
              <w:top w:w="0" w:type="dxa"/>
              <w:left w:w="108" w:type="dxa"/>
              <w:bottom w:w="0" w:type="dxa"/>
              <w:right w:w="108" w:type="dxa"/>
            </w:tcMar>
          </w:tcPr>
          <w:p w14:paraId="487F7698" w14:textId="2D11DAF6"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CF5855A" w14:textId="2109C89D"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209A942" w14:textId="0F620030"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7AF2177" w14:textId="3DADDA0D"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74A3BFEC" w14:textId="5192E96E" w:rsidR="00A463F0" w:rsidRPr="00247126" w:rsidRDefault="00A463F0" w:rsidP="00A463F0">
            <w:pPr>
              <w:pStyle w:val="TableText"/>
              <w:keepNext/>
            </w:pPr>
            <w:r w:rsidRPr="00247126">
              <w:t>-$</w:t>
            </w:r>
            <w:r w:rsidRPr="00247126">
              <w:rPr>
                <w:b/>
                <w:bCs/>
              </w:rPr>
              <w:t>Redacted</w:t>
            </w:r>
          </w:p>
        </w:tc>
        <w:tc>
          <w:tcPr>
            <w:tcW w:w="1201" w:type="dxa"/>
            <w:tcMar>
              <w:top w:w="0" w:type="dxa"/>
              <w:left w:w="108" w:type="dxa"/>
              <w:bottom w:w="0" w:type="dxa"/>
              <w:right w:w="108" w:type="dxa"/>
            </w:tcMar>
          </w:tcPr>
          <w:p w14:paraId="4906BDF0" w14:textId="0C121075" w:rsidR="00A463F0" w:rsidRPr="00247126" w:rsidRDefault="00A463F0" w:rsidP="00A463F0">
            <w:pPr>
              <w:pStyle w:val="TableText"/>
              <w:keepNext/>
            </w:pPr>
            <w:r w:rsidRPr="00247126">
              <w:t>-$</w:t>
            </w:r>
            <w:r w:rsidRPr="00247126">
              <w:rPr>
                <w:b/>
                <w:bCs/>
              </w:rPr>
              <w:t>Redacted</w:t>
            </w:r>
          </w:p>
        </w:tc>
      </w:tr>
      <w:tr w:rsidR="00A463F0" w:rsidRPr="00247126" w14:paraId="59005A3F" w14:textId="77777777" w:rsidTr="00247126">
        <w:trPr>
          <w:trHeight w:hRule="exact" w:val="411"/>
        </w:trPr>
        <w:tc>
          <w:tcPr>
            <w:tcW w:w="9375" w:type="dxa"/>
            <w:gridSpan w:val="7"/>
            <w:tcMar>
              <w:top w:w="0" w:type="dxa"/>
              <w:left w:w="108" w:type="dxa"/>
              <w:bottom w:w="0" w:type="dxa"/>
              <w:right w:w="108" w:type="dxa"/>
            </w:tcMar>
            <w:hideMark/>
          </w:tcPr>
          <w:p w14:paraId="3EC65038" w14:textId="3A3BAD4F" w:rsidR="00A463F0" w:rsidRPr="00247126" w:rsidRDefault="00A463F0" w:rsidP="00A463F0">
            <w:pPr>
              <w:pStyle w:val="TableText"/>
              <w:keepNext/>
              <w:rPr>
                <w:b/>
                <w:bCs/>
              </w:rPr>
            </w:pPr>
            <w:r w:rsidRPr="00247126">
              <w:rPr>
                <w:b/>
                <w:bCs/>
              </w:rPr>
              <w:t>Net financial impact to patients / PHIs / hospitals</w:t>
            </w:r>
          </w:p>
        </w:tc>
      </w:tr>
      <w:tr w:rsidR="00A463F0" w:rsidRPr="00247126" w14:paraId="6BC3A33E" w14:textId="77777777" w:rsidTr="00A463F0">
        <w:trPr>
          <w:trHeight w:hRule="exact" w:val="411"/>
        </w:trPr>
        <w:tc>
          <w:tcPr>
            <w:tcW w:w="2194" w:type="dxa"/>
            <w:tcMar>
              <w:top w:w="0" w:type="dxa"/>
              <w:left w:w="108" w:type="dxa"/>
              <w:bottom w:w="0" w:type="dxa"/>
              <w:right w:w="108" w:type="dxa"/>
            </w:tcMar>
          </w:tcPr>
          <w:p w14:paraId="7D92FDEC" w14:textId="009604B0" w:rsidR="00A463F0" w:rsidRPr="00247126" w:rsidRDefault="00A463F0" w:rsidP="00A463F0">
            <w:pPr>
              <w:pStyle w:val="TableText"/>
              <w:keepNext/>
            </w:pPr>
            <w:r w:rsidRPr="00247126">
              <w:t>Total</w:t>
            </w:r>
          </w:p>
        </w:tc>
        <w:tc>
          <w:tcPr>
            <w:tcW w:w="1196" w:type="dxa"/>
            <w:tcMar>
              <w:top w:w="0" w:type="dxa"/>
              <w:left w:w="108" w:type="dxa"/>
              <w:bottom w:w="0" w:type="dxa"/>
              <w:right w:w="108" w:type="dxa"/>
            </w:tcMar>
          </w:tcPr>
          <w:p w14:paraId="0B243B2D" w14:textId="2C0E16C5"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07FEEB51" w14:textId="338C5B3C"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59963E38" w14:textId="2A94D435"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73DDC23B" w14:textId="2A9DACB4" w:rsidR="00A463F0" w:rsidRPr="00247126" w:rsidRDefault="00A463F0" w:rsidP="00A463F0">
            <w:pPr>
              <w:pStyle w:val="TableText"/>
              <w:keepNext/>
            </w:pPr>
            <w:r w:rsidRPr="00247126">
              <w:t>$</w:t>
            </w:r>
            <w:r w:rsidRPr="00247126">
              <w:rPr>
                <w:b/>
                <w:bCs/>
              </w:rPr>
              <w:t>Redacted</w:t>
            </w:r>
          </w:p>
        </w:tc>
        <w:tc>
          <w:tcPr>
            <w:tcW w:w="1196" w:type="dxa"/>
            <w:tcMar>
              <w:top w:w="0" w:type="dxa"/>
              <w:left w:w="108" w:type="dxa"/>
              <w:bottom w:w="0" w:type="dxa"/>
              <w:right w:w="108" w:type="dxa"/>
            </w:tcMar>
          </w:tcPr>
          <w:p w14:paraId="1D71541C" w14:textId="7DF738BF" w:rsidR="00A463F0" w:rsidRPr="00247126" w:rsidRDefault="00A463F0" w:rsidP="00A463F0">
            <w:pPr>
              <w:pStyle w:val="TableText"/>
              <w:keepNext/>
            </w:pPr>
            <w:r w:rsidRPr="00247126">
              <w:t>$</w:t>
            </w:r>
            <w:r w:rsidRPr="00247126">
              <w:rPr>
                <w:b/>
                <w:bCs/>
              </w:rPr>
              <w:t>Redacted</w:t>
            </w:r>
          </w:p>
        </w:tc>
        <w:tc>
          <w:tcPr>
            <w:tcW w:w="1201" w:type="dxa"/>
            <w:tcMar>
              <w:top w:w="0" w:type="dxa"/>
              <w:left w:w="108" w:type="dxa"/>
              <w:bottom w:w="0" w:type="dxa"/>
              <w:right w:w="108" w:type="dxa"/>
            </w:tcMar>
          </w:tcPr>
          <w:p w14:paraId="1FB4879F" w14:textId="104902E8" w:rsidR="00A463F0" w:rsidRPr="00247126" w:rsidRDefault="00A463F0" w:rsidP="00A463F0">
            <w:pPr>
              <w:pStyle w:val="TableText"/>
              <w:keepNext/>
            </w:pPr>
            <w:r w:rsidRPr="00247126">
              <w:t>$</w:t>
            </w:r>
            <w:r w:rsidRPr="00247126">
              <w:rPr>
                <w:b/>
                <w:bCs/>
              </w:rPr>
              <w:t>Redacted</w:t>
            </w:r>
          </w:p>
        </w:tc>
      </w:tr>
    </w:tbl>
    <w:p w14:paraId="3C5A3699" w14:textId="24A9EFEC" w:rsidR="00356AA3" w:rsidRPr="00247126" w:rsidRDefault="00356AA3" w:rsidP="009102DB">
      <w:pPr>
        <w:pStyle w:val="Tablenotes0"/>
      </w:pPr>
      <w:r w:rsidRPr="00247126">
        <w:t>IVUS = intravascular ultrasounds; OCT = optical coherence tomography</w:t>
      </w:r>
      <w:r w:rsidR="0026132E" w:rsidRPr="00247126">
        <w:t>; PHI = private health insurance</w:t>
      </w:r>
      <w:r w:rsidRPr="00247126">
        <w:t>.</w:t>
      </w:r>
    </w:p>
    <w:p w14:paraId="494F98D0" w14:textId="5C013A26" w:rsidR="007B5181" w:rsidRPr="00247126" w:rsidRDefault="007B5181" w:rsidP="009102DB">
      <w:pPr>
        <w:pStyle w:val="Tablenotes0"/>
      </w:pPr>
      <w:r w:rsidRPr="00247126">
        <w:t xml:space="preserve">a </w:t>
      </w:r>
      <w:r w:rsidR="00570FD9" w:rsidRPr="00247126">
        <w:t xml:space="preserve">Assumes </w:t>
      </w:r>
      <w:r w:rsidR="00E03A76" w:rsidRPr="00247126">
        <w:t>OCT catheter / consumables cost $</w:t>
      </w:r>
      <w:r w:rsidR="00C52F77" w:rsidRPr="00247126">
        <w:rPr>
          <w:b/>
          <w:bCs/>
        </w:rPr>
        <w:t>Redacted</w:t>
      </w:r>
      <w:r w:rsidR="00E03A76" w:rsidRPr="00247126">
        <w:t xml:space="preserve"> per procedure</w:t>
      </w:r>
      <w:r w:rsidRPr="00247126">
        <w:t>.</w:t>
      </w:r>
    </w:p>
    <w:p w14:paraId="0DA633AA" w14:textId="6302D022" w:rsidR="007B5181" w:rsidRPr="00247126" w:rsidRDefault="007B5181" w:rsidP="009102DB">
      <w:pPr>
        <w:pStyle w:val="Tablenotes0"/>
      </w:pPr>
      <w:r w:rsidRPr="00247126">
        <w:t xml:space="preserve">b </w:t>
      </w:r>
      <w:r w:rsidR="00E03A76" w:rsidRPr="00247126">
        <w:t>Assumes IVUS catheter / consumables cost $1,500 per procedure.</w:t>
      </w:r>
      <w:r w:rsidR="002E2AA7" w:rsidRPr="00247126">
        <w:t xml:space="preserve"> The commentary note</w:t>
      </w:r>
      <w:r w:rsidR="00795DC4" w:rsidRPr="00247126">
        <w:t>d</w:t>
      </w:r>
      <w:r w:rsidR="002E2AA7" w:rsidRPr="00247126">
        <w:t xml:space="preserve"> that t</w:t>
      </w:r>
      <w:r w:rsidR="00C325CA" w:rsidRPr="00247126">
        <w:t>he cost of the IVUS catheter / consumables may be lower.</w:t>
      </w:r>
    </w:p>
    <w:p w14:paraId="3F6A9979" w14:textId="0CCE87AA" w:rsidR="0026132E" w:rsidRPr="00247126" w:rsidRDefault="0026132E" w:rsidP="009102DB">
      <w:pPr>
        <w:pStyle w:val="Tablenotes0"/>
      </w:pPr>
      <w:r w:rsidRPr="00247126">
        <w:t xml:space="preserve">Source: Table 118 of MSAC 1743 </w:t>
      </w:r>
      <w:proofErr w:type="spellStart"/>
      <w:r w:rsidRPr="00247126">
        <w:t>ADAR+in-line</w:t>
      </w:r>
      <w:proofErr w:type="spellEnd"/>
      <w:r w:rsidRPr="00247126">
        <w:t xml:space="preserve"> commentary.</w:t>
      </w:r>
    </w:p>
    <w:p w14:paraId="3F2C0C6D" w14:textId="28F02C83" w:rsidR="00AB29E1" w:rsidRPr="00247126" w:rsidRDefault="00AB29E1" w:rsidP="00DA293B">
      <w:r w:rsidRPr="00247126">
        <w:t>No meaningful changes in other healthcare resource use (for example, hospital stay) are expected because OCT will be added onto the current standard practice of invasive coronary angiography to guide stent placement (i.e. adjunct setting).</w:t>
      </w:r>
    </w:p>
    <w:p w14:paraId="7838A9FF" w14:textId="23725314" w:rsidR="00772829" w:rsidRPr="00247126" w:rsidRDefault="00B27795" w:rsidP="002A18BE">
      <w:pPr>
        <w:pStyle w:val="Heading2"/>
        <w:numPr>
          <w:ilvl w:val="0"/>
          <w:numId w:val="0"/>
        </w:numPr>
      </w:pPr>
      <w:bookmarkStart w:id="56" w:name="_Toc69491427"/>
      <w:bookmarkEnd w:id="54"/>
      <w:r w:rsidRPr="00247126">
        <w:t>1</w:t>
      </w:r>
      <w:r w:rsidR="00247B6B" w:rsidRPr="00247126">
        <w:t>5</w:t>
      </w:r>
      <w:r w:rsidR="00C36633" w:rsidRPr="00247126">
        <w:t>.</w:t>
      </w:r>
      <w:r w:rsidR="00C36633" w:rsidRPr="00247126">
        <w:tab/>
      </w:r>
      <w:r w:rsidR="00772829" w:rsidRPr="00247126">
        <w:t xml:space="preserve">Other relevant </w:t>
      </w:r>
      <w:bookmarkEnd w:id="56"/>
      <w:r w:rsidR="00FA5766" w:rsidRPr="00247126">
        <w:t>information</w:t>
      </w:r>
    </w:p>
    <w:p w14:paraId="1B43A334" w14:textId="2DA54241" w:rsidR="002D55E4" w:rsidRPr="00247126" w:rsidRDefault="002D24C0" w:rsidP="009C4325">
      <w:r w:rsidRPr="00247126">
        <w:t>While the ADAR noted</w:t>
      </w:r>
      <w:r w:rsidR="00B40771" w:rsidRPr="00247126">
        <w:t xml:space="preserve"> existing </w:t>
      </w:r>
      <w:r w:rsidR="00390FE3" w:rsidRPr="00247126">
        <w:t xml:space="preserve">equity of access </w:t>
      </w:r>
      <w:r w:rsidR="00B40771" w:rsidRPr="00247126">
        <w:t xml:space="preserve">issues </w:t>
      </w:r>
      <w:r w:rsidR="00390FE3" w:rsidRPr="00247126">
        <w:t>for</w:t>
      </w:r>
      <w:r w:rsidR="00B40771" w:rsidRPr="00247126">
        <w:t xml:space="preserve"> OCT, particularly for privately insured patients </w:t>
      </w:r>
      <w:r w:rsidR="009845C5" w:rsidRPr="00247126">
        <w:t xml:space="preserve">in regional and remote areas, it is unclear if listing OCT on the MBS would address this </w:t>
      </w:r>
      <w:r w:rsidR="006A7D5F" w:rsidRPr="00247126">
        <w:t xml:space="preserve">issue </w:t>
      </w:r>
      <w:r w:rsidR="009845C5" w:rsidRPr="00247126">
        <w:t xml:space="preserve">given </w:t>
      </w:r>
      <w:r w:rsidR="007334BE" w:rsidRPr="00247126">
        <w:t xml:space="preserve">the </w:t>
      </w:r>
      <w:r w:rsidR="00C4091E" w:rsidRPr="00247126">
        <w:t xml:space="preserve">training </w:t>
      </w:r>
      <w:r w:rsidR="008B5775" w:rsidRPr="00247126">
        <w:t xml:space="preserve">and accreditation </w:t>
      </w:r>
      <w:r w:rsidR="00C4091E" w:rsidRPr="00247126">
        <w:t>requirements of the proposed service</w:t>
      </w:r>
      <w:r w:rsidR="006C0EE2" w:rsidRPr="00247126">
        <w:t>, the high capital cost of the OCT system</w:t>
      </w:r>
      <w:r w:rsidR="00225463" w:rsidRPr="00247126">
        <w:t xml:space="preserve">, and </w:t>
      </w:r>
      <w:r w:rsidR="00C05C63" w:rsidRPr="00247126">
        <w:t>the requirement for the service to be provided in-hospital only</w:t>
      </w:r>
      <w:r w:rsidR="002D1DA0" w:rsidRPr="00247126">
        <w:t>.</w:t>
      </w:r>
      <w:r w:rsidR="00A22294" w:rsidRPr="00247126">
        <w:t xml:space="preserve"> </w:t>
      </w:r>
    </w:p>
    <w:p w14:paraId="26029CE7" w14:textId="63982CA9" w:rsidR="00FC18A0" w:rsidRPr="00247126" w:rsidRDefault="00594046" w:rsidP="009C4325">
      <w:r w:rsidRPr="00247126">
        <w:t>As noted by PASC, i</w:t>
      </w:r>
      <w:r w:rsidR="00FC18A0" w:rsidRPr="00247126">
        <w:t xml:space="preserve">nequity in access may also arise due to the </w:t>
      </w:r>
      <w:r w:rsidR="0015157B" w:rsidRPr="00247126">
        <w:t>cost</w:t>
      </w:r>
      <w:r w:rsidRPr="00247126">
        <w:t xml:space="preserve"> of</w:t>
      </w:r>
      <w:r w:rsidR="0015157B" w:rsidRPr="00247126">
        <w:t xml:space="preserve"> the imaging catheter</w:t>
      </w:r>
      <w:r w:rsidRPr="00247126">
        <w:t>, which may become a patient out-of-pocket expense.</w:t>
      </w:r>
    </w:p>
    <w:p w14:paraId="6E40E8F2" w14:textId="6D86DD5D" w:rsidR="00037302" w:rsidRPr="00247126" w:rsidRDefault="00B27795" w:rsidP="00487C85">
      <w:pPr>
        <w:pStyle w:val="Heading2"/>
        <w:numPr>
          <w:ilvl w:val="0"/>
          <w:numId w:val="0"/>
        </w:numPr>
      </w:pPr>
      <w:bookmarkStart w:id="57" w:name="_Toc69491428"/>
      <w:r w:rsidRPr="00247126">
        <w:lastRenderedPageBreak/>
        <w:t>1</w:t>
      </w:r>
      <w:r w:rsidR="00247B6B" w:rsidRPr="00247126">
        <w:t>6</w:t>
      </w:r>
      <w:r w:rsidR="00487C85" w:rsidRPr="00247126">
        <w:t>.</w:t>
      </w:r>
      <w:r w:rsidR="00487C85" w:rsidRPr="00247126">
        <w:tab/>
      </w:r>
      <w:r w:rsidR="00037302" w:rsidRPr="00247126">
        <w:t>Committee-</w:t>
      </w:r>
      <w:r w:rsidR="00487C85" w:rsidRPr="00247126">
        <w:t>i</w:t>
      </w:r>
      <w:r w:rsidR="00037302" w:rsidRPr="00247126">
        <w:t>n-</w:t>
      </w:r>
      <w:r w:rsidR="00487C85" w:rsidRPr="00247126">
        <w:t>c</w:t>
      </w:r>
      <w:r w:rsidR="00037302" w:rsidRPr="00247126">
        <w:t>onfidence information</w:t>
      </w:r>
      <w:bookmarkEnd w:id="57"/>
    </w:p>
    <w:p w14:paraId="4F95CBB0" w14:textId="7FDCD7E1" w:rsidR="00D45E7A" w:rsidRPr="00247126" w:rsidRDefault="001E4138" w:rsidP="00D45E7A">
      <w:r w:rsidRPr="00247126">
        <w:t xml:space="preserve">The cost of the </w:t>
      </w:r>
      <w:r w:rsidR="000508D5" w:rsidRPr="00247126">
        <w:t xml:space="preserve">IVUS </w:t>
      </w:r>
      <w:r w:rsidR="007513D6" w:rsidRPr="00247126">
        <w:t xml:space="preserve">system </w:t>
      </w:r>
      <w:r w:rsidR="00E75DF4" w:rsidRPr="00247126">
        <w:t xml:space="preserve">was redacted from the </w:t>
      </w:r>
      <w:r w:rsidR="00E36443" w:rsidRPr="00247126">
        <w:t>PSD</w:t>
      </w:r>
      <w:r w:rsidR="009E110F" w:rsidRPr="00247126">
        <w:t xml:space="preserve"> for MSAC application 1354.1</w:t>
      </w:r>
      <w:r w:rsidR="00E36443" w:rsidRPr="00247126">
        <w:t>.</w:t>
      </w:r>
      <w:r w:rsidR="009E110F" w:rsidRPr="00247126">
        <w:t xml:space="preserve"> </w:t>
      </w:r>
      <w:r w:rsidR="000508D5" w:rsidRPr="00247126">
        <w:t>The IVUS consumables (</w:t>
      </w:r>
      <w:r w:rsidR="00ED1720" w:rsidRPr="00247126">
        <w:t>including the</w:t>
      </w:r>
      <w:r w:rsidR="000508D5" w:rsidRPr="00247126">
        <w:t xml:space="preserve"> imaging catheter)</w:t>
      </w:r>
      <w:r w:rsidR="00E36443" w:rsidRPr="00247126">
        <w:t xml:space="preserve"> wa</w:t>
      </w:r>
      <w:r w:rsidR="000508D5" w:rsidRPr="00247126">
        <w:t xml:space="preserve">s estimated by the applicant </w:t>
      </w:r>
      <w:r w:rsidR="00B82A97" w:rsidRPr="00247126">
        <w:t xml:space="preserve">(Boston Scientific) </w:t>
      </w:r>
      <w:r w:rsidR="000508D5" w:rsidRPr="00247126">
        <w:t>to be $</w:t>
      </w:r>
      <w:r w:rsidR="003013DF" w:rsidRPr="00247126">
        <w:rPr>
          <w:b/>
          <w:bCs/>
        </w:rPr>
        <w:t>Redacted</w:t>
      </w:r>
      <w:r w:rsidR="000508D5" w:rsidRPr="00247126">
        <w:t xml:space="preserve"> per procedure. The </w:t>
      </w:r>
      <w:r w:rsidR="00B82A97" w:rsidRPr="00247126">
        <w:t xml:space="preserve">disclosed </w:t>
      </w:r>
      <w:r w:rsidR="00ED1720" w:rsidRPr="00247126">
        <w:t xml:space="preserve">cost for the </w:t>
      </w:r>
      <w:r w:rsidR="000508D5" w:rsidRPr="00247126">
        <w:t xml:space="preserve">IVUS generator </w:t>
      </w:r>
      <w:r w:rsidR="00ED1720" w:rsidRPr="00247126">
        <w:t>was</w:t>
      </w:r>
      <w:r w:rsidR="000508D5" w:rsidRPr="00247126">
        <w:t xml:space="preserve"> $</w:t>
      </w:r>
      <w:r w:rsidR="003013DF" w:rsidRPr="00247126">
        <w:rPr>
          <w:b/>
          <w:bCs/>
        </w:rPr>
        <w:t>Redacted</w:t>
      </w:r>
      <w:r w:rsidR="000508D5" w:rsidRPr="00247126">
        <w:t>.</w:t>
      </w:r>
      <w:r w:rsidR="0094579B" w:rsidRPr="00247126">
        <w:t xml:space="preserve"> </w:t>
      </w:r>
      <w:r w:rsidR="003013DF" w:rsidRPr="00247126">
        <w:rPr>
          <w:b/>
          <w:bCs/>
        </w:rPr>
        <w:t>Redacted</w:t>
      </w:r>
      <w:r w:rsidR="0094579B" w:rsidRPr="00247126">
        <w:t xml:space="preserve"> the </w:t>
      </w:r>
      <w:r w:rsidR="00472D85" w:rsidRPr="00247126">
        <w:t xml:space="preserve">cost of </w:t>
      </w:r>
      <w:r w:rsidR="0094579B" w:rsidRPr="00247126">
        <w:t>OCT consumables (</w:t>
      </w:r>
      <w:r w:rsidR="00F665B8" w:rsidRPr="00247126">
        <w:t>$</w:t>
      </w:r>
      <w:r w:rsidR="00C52F77" w:rsidRPr="00247126">
        <w:rPr>
          <w:b/>
          <w:bCs/>
        </w:rPr>
        <w:t>Redacted</w:t>
      </w:r>
      <w:r w:rsidR="00F665B8" w:rsidRPr="00247126">
        <w:t xml:space="preserve">) </w:t>
      </w:r>
      <w:r w:rsidR="0094579B" w:rsidRPr="00247126">
        <w:t xml:space="preserve">and </w:t>
      </w:r>
      <w:r w:rsidR="000C06CA" w:rsidRPr="00247126">
        <w:t xml:space="preserve">the </w:t>
      </w:r>
      <w:r w:rsidR="00F665B8" w:rsidRPr="00247126">
        <w:t xml:space="preserve">OCT </w:t>
      </w:r>
      <w:r w:rsidR="0094579B" w:rsidRPr="00247126">
        <w:t>imaging system</w:t>
      </w:r>
      <w:r w:rsidR="00F665B8" w:rsidRPr="00247126">
        <w:t xml:space="preserve"> </w:t>
      </w:r>
      <w:r w:rsidR="00472D85" w:rsidRPr="00247126">
        <w:t>(</w:t>
      </w:r>
      <w:r w:rsidR="00F665B8" w:rsidRPr="00247126">
        <w:t>$</w:t>
      </w:r>
      <w:r w:rsidR="0006624C" w:rsidRPr="00247126">
        <w:rPr>
          <w:b/>
          <w:bCs/>
        </w:rPr>
        <w:t>Redacted</w:t>
      </w:r>
      <w:r w:rsidR="00F665B8" w:rsidRPr="00247126">
        <w:t>)</w:t>
      </w:r>
      <w:r w:rsidR="0094579B" w:rsidRPr="00247126">
        <w:t>.</w:t>
      </w:r>
    </w:p>
    <w:p w14:paraId="14B6026C" w14:textId="2ACBAD73" w:rsidR="00247B6B" w:rsidRPr="00247126" w:rsidRDefault="00247B6B" w:rsidP="00247B6B">
      <w:pPr>
        <w:pStyle w:val="Heading2"/>
        <w:numPr>
          <w:ilvl w:val="0"/>
          <w:numId w:val="0"/>
        </w:numPr>
      </w:pPr>
      <w:bookmarkStart w:id="58" w:name="_Toc145678765"/>
      <w:bookmarkStart w:id="59" w:name="_Toc150172410"/>
      <w:bookmarkStart w:id="60" w:name="_Toc153462785"/>
      <w:r w:rsidRPr="00247126">
        <w:t>17.</w:t>
      </w:r>
      <w:r w:rsidRPr="00247126">
        <w:tab/>
        <w:t>Key issues from ESC to MSAC</w:t>
      </w:r>
    </w:p>
    <w:bookmarkEnd w:id="58"/>
    <w:bookmarkEnd w:id="59"/>
    <w:bookmarkEnd w:id="60"/>
    <w:p w14:paraId="73B224A9" w14:textId="77777777" w:rsidR="00247B6B" w:rsidRPr="00247126" w:rsidRDefault="00247B6B" w:rsidP="00247B6B">
      <w:pPr>
        <w:pStyle w:val="BoxName0"/>
        <w:pBdr>
          <w:top w:val="none" w:sz="0" w:space="0" w:color="auto"/>
          <w:left w:val="none" w:sz="0" w:space="0" w:color="auto"/>
          <w:bottom w:val="none" w:sz="0" w:space="0" w:color="auto"/>
          <w:right w:val="none" w:sz="0" w:space="0" w:color="auto"/>
        </w:pBdr>
      </w:pPr>
      <w:r w:rsidRPr="00247126">
        <w:t>Main issues for MSAC consideration</w:t>
      </w:r>
    </w:p>
    <w:p w14:paraId="730AC38C" w14:textId="77777777" w:rsidR="00247B6B" w:rsidRPr="00247126" w:rsidRDefault="00247B6B" w:rsidP="00247B6B">
      <w:pPr>
        <w:pStyle w:val="BoxName0"/>
        <w:pBdr>
          <w:top w:val="single" w:sz="4" w:space="1" w:color="auto"/>
          <w:left w:val="single" w:sz="4" w:space="4" w:color="auto"/>
          <w:bottom w:val="single" w:sz="4" w:space="1" w:color="auto"/>
          <w:right w:val="single" w:sz="4" w:space="4" w:color="auto"/>
        </w:pBdr>
      </w:pPr>
      <w:r w:rsidRPr="00247126">
        <w:t>Clinical issues:</w:t>
      </w:r>
    </w:p>
    <w:p w14:paraId="7EFCD954"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pPr>
      <w:r w:rsidRPr="00247126">
        <w:t xml:space="preserve">The safety evidence is based on intention to treat (ITT) data for the whole trial population rather than for specified MBS indications. Safety appears to be non-inferior to coronary angiography (AG), notwithstanding the data limitations. </w:t>
      </w:r>
    </w:p>
    <w:p w14:paraId="452A54F1"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pPr>
      <w:r w:rsidRPr="00247126">
        <w:t>The clinical evidence is mostly from underpowered subgroup (potentially biased) analyses. Evidence supports optical coherence tomography (OCT) use in bifurcation lesions but is inconclusive for other indications compared to AG.</w:t>
      </w:r>
    </w:p>
    <w:p w14:paraId="04096AE9"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rPr>
          <w:b/>
          <w:bCs/>
        </w:rPr>
      </w:pPr>
      <w:r w:rsidRPr="00247126">
        <w:t>Patients with stent thrombosis were included in the stent failure group despite a lack of evidence. However, stent thrombosis is a rare event and therefore the evidence base supporting this subgroup is likely to be small. There is a high clinical need for stent thrombosis treatments.</w:t>
      </w:r>
    </w:p>
    <w:p w14:paraId="78571973"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rPr>
          <w:b/>
          <w:bCs/>
        </w:rPr>
      </w:pPr>
      <w:r w:rsidRPr="00247126">
        <w:t xml:space="preserve">The intravascular ultrasound guided coronary (IVUS) comparison for the long lesion subgroup was based on a trial subgroup and thus not powered for non-inferiority, but results are suggestive of non-inferiority. </w:t>
      </w:r>
    </w:p>
    <w:p w14:paraId="40784272" w14:textId="77777777" w:rsidR="00247B6B" w:rsidRPr="00247126" w:rsidRDefault="00247B6B" w:rsidP="00247B6B">
      <w:pPr>
        <w:pStyle w:val="BoxHeading"/>
        <w:pBdr>
          <w:top w:val="single" w:sz="4" w:space="1" w:color="auto"/>
          <w:left w:val="single" w:sz="4" w:space="4" w:color="auto"/>
          <w:bottom w:val="single" w:sz="4" w:space="1" w:color="auto"/>
          <w:right w:val="single" w:sz="4" w:space="4" w:color="auto"/>
        </w:pBdr>
      </w:pPr>
      <w:r w:rsidRPr="00247126">
        <w:t>Economic issues:</w:t>
      </w:r>
    </w:p>
    <w:p w14:paraId="6099D805"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rPr>
          <w:b/>
          <w:bCs/>
        </w:rPr>
      </w:pPr>
      <w:r w:rsidRPr="00247126">
        <w:t xml:space="preserve">Separate cost-utility analyses were performed for OCT+AG versus AG alone in the bifurcation, severe </w:t>
      </w:r>
      <w:proofErr w:type="gramStart"/>
      <w:r w:rsidRPr="00247126">
        <w:t>calcification</w:t>
      </w:r>
      <w:proofErr w:type="gramEnd"/>
      <w:r w:rsidRPr="00247126">
        <w:t xml:space="preserve"> and long/multiple lesion subgroups (the stent failure subgroup was not formally explored). Statistically significant differences in the primary outcome of major adverse cardiac events (MACE) were observed for the bifurcation group only. MACE is a composite outcome of death from cardiac cause, </w:t>
      </w:r>
      <w:proofErr w:type="gramStart"/>
      <w:r w:rsidRPr="00247126">
        <w:t>MI</w:t>
      </w:r>
      <w:proofErr w:type="gramEnd"/>
      <w:r w:rsidRPr="00247126">
        <w:t xml:space="preserve"> and target lesion revascularisation (TLR). However, transition probabilities for the secondary outcomes of myocardial infarction (MI), revascularisation and cardiac death were used in the ADAR’s model when there were </w:t>
      </w:r>
      <w:proofErr w:type="gramStart"/>
      <w:r w:rsidRPr="00247126">
        <w:t>no</w:t>
      </w:r>
      <w:proofErr w:type="gramEnd"/>
      <w:r w:rsidRPr="00247126">
        <w:t xml:space="preserve"> statistically significant between-group differences observed in the trials.</w:t>
      </w:r>
    </w:p>
    <w:p w14:paraId="09011209" w14:textId="2AB5DD4E" w:rsidR="00247B6B" w:rsidRPr="00247126" w:rsidRDefault="00247B6B" w:rsidP="00247B6B">
      <w:pPr>
        <w:pStyle w:val="BoxBullet"/>
        <w:pBdr>
          <w:top w:val="single" w:sz="4" w:space="1" w:color="auto"/>
          <w:left w:val="single" w:sz="4" w:space="4" w:color="auto"/>
          <w:bottom w:val="single" w:sz="4" w:space="1" w:color="auto"/>
          <w:right w:val="single" w:sz="4" w:space="4" w:color="auto"/>
        </w:pBdr>
        <w:tabs>
          <w:tab w:val="clear" w:pos="357"/>
        </w:tabs>
        <w:rPr>
          <w:b/>
          <w:bCs/>
        </w:rPr>
      </w:pPr>
      <w:r w:rsidRPr="00247126">
        <w:t>Key drivers: Removing a difference between groups in cardiac death increased the incremental cost-effectiveness ratio (ICER) for the bifurcation subpopulation from $</w:t>
      </w:r>
      <w:r w:rsidR="0006624C" w:rsidRPr="00247126">
        <w:rPr>
          <w:b/>
          <w:bCs/>
        </w:rPr>
        <w:t>Redacted</w:t>
      </w:r>
      <w:r w:rsidRPr="00247126">
        <w:t xml:space="preserve"> to $</w:t>
      </w:r>
      <w:r w:rsidR="0006624C" w:rsidRPr="00247126">
        <w:rPr>
          <w:b/>
          <w:bCs/>
        </w:rPr>
        <w:t>Redacted</w:t>
      </w:r>
      <w:r w:rsidRPr="00247126">
        <w:t xml:space="preserve"> per quality adjusted life year (QALY) gained; removing a difference based on MI, revascularisation or stent thrombosis had a much less pronounced effect (range $</w:t>
      </w:r>
      <w:r w:rsidR="0006624C" w:rsidRPr="00247126">
        <w:rPr>
          <w:b/>
          <w:bCs/>
        </w:rPr>
        <w:t>Redacted</w:t>
      </w:r>
      <w:r w:rsidRPr="00247126">
        <w:t xml:space="preserve"> to $</w:t>
      </w:r>
      <w:r w:rsidR="0006624C" w:rsidRPr="00247126">
        <w:rPr>
          <w:b/>
          <w:bCs/>
        </w:rPr>
        <w:t>Redacted</w:t>
      </w:r>
      <w:r w:rsidRPr="00247126">
        <w:t xml:space="preserve"> per QALY gained).</w:t>
      </w:r>
    </w:p>
    <w:p w14:paraId="091D8B0F"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tabs>
          <w:tab w:val="clear" w:pos="357"/>
          <w:tab w:val="num" w:pos="1560"/>
        </w:tabs>
      </w:pPr>
      <w:r w:rsidRPr="00247126">
        <w:t>For the comparison of OCT+AG versus IVUS+AG in the long lesion subgroup, the cost-minimisation analysis showed similar costs, assuming that OCT is substituted for IVUS.</w:t>
      </w:r>
    </w:p>
    <w:p w14:paraId="4D6C833C"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pPr>
      <w:r w:rsidRPr="00247126">
        <w:t>The costs of consumables are the main driver of a cost difference as there was uncertainty about the capital cost component (which depends on the number of imaging systems available). For OCT to meet cost minimisation, the consumables would need to be equivalent in cost to IVUS, although information from the MSAC 1354.1 PSD and a published Australian economic analysis indicate that IVUS consumables may be less costly.</w:t>
      </w:r>
    </w:p>
    <w:p w14:paraId="56F364E5" w14:textId="77777777" w:rsidR="00247B6B" w:rsidRPr="00247126" w:rsidRDefault="00247B6B" w:rsidP="00247B6B">
      <w:pPr>
        <w:pStyle w:val="BoxHeading"/>
        <w:pBdr>
          <w:top w:val="single" w:sz="4" w:space="1" w:color="auto"/>
          <w:left w:val="single" w:sz="4" w:space="4" w:color="auto"/>
          <w:bottom w:val="single" w:sz="4" w:space="1" w:color="auto"/>
          <w:right w:val="single" w:sz="4" w:space="4" w:color="auto"/>
        </w:pBdr>
      </w:pPr>
      <w:r w:rsidRPr="00247126">
        <w:lastRenderedPageBreak/>
        <w:t>Financial issues:</w:t>
      </w:r>
    </w:p>
    <w:p w14:paraId="527285B3"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rPr>
          <w:b/>
          <w:bCs/>
        </w:rPr>
      </w:pPr>
      <w:r w:rsidRPr="00247126">
        <w:t>The financial forecasts are sensitive to uptake assumptions. A conservative uptake rate was assumed for OCT and may underestimate usage if OCT is listed on the MBS. In practice, uptake of OCT, and substitution with IVUS, may depend on the availability of OCT capital equipment as well as patients’ accessibility to OCT-trained cardiologists.</w:t>
      </w:r>
    </w:p>
    <w:p w14:paraId="0E7FFC12"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pPr>
      <w:r w:rsidRPr="00247126">
        <w:t>MBS costs comprise a minor component of the overall financial costs. Most of the costs of OCT relate to capital equipment and consumables, which are borne by hospitals, health funds and/or patients.</w:t>
      </w:r>
    </w:p>
    <w:p w14:paraId="5EF6026C" w14:textId="77777777" w:rsidR="00247B6B" w:rsidRPr="00247126" w:rsidRDefault="00247B6B" w:rsidP="00247B6B">
      <w:pPr>
        <w:pStyle w:val="BoxHeading"/>
        <w:pBdr>
          <w:top w:val="single" w:sz="4" w:space="1" w:color="auto"/>
          <w:left w:val="single" w:sz="4" w:space="4" w:color="auto"/>
          <w:bottom w:val="single" w:sz="4" w:space="1" w:color="auto"/>
          <w:right w:val="single" w:sz="4" w:space="4" w:color="auto"/>
        </w:pBdr>
      </w:pPr>
      <w:r w:rsidRPr="00247126">
        <w:t>Other relevant information:</w:t>
      </w:r>
    </w:p>
    <w:p w14:paraId="1EC7D8CE" w14:textId="77777777" w:rsidR="00247B6B" w:rsidRPr="00247126" w:rsidRDefault="00247B6B" w:rsidP="00247B6B">
      <w:pPr>
        <w:pStyle w:val="BoxBullet"/>
        <w:pBdr>
          <w:top w:val="single" w:sz="4" w:space="1" w:color="auto"/>
          <w:left w:val="single" w:sz="4" w:space="4" w:color="auto"/>
          <w:bottom w:val="single" w:sz="4" w:space="1" w:color="auto"/>
          <w:right w:val="single" w:sz="4" w:space="4" w:color="auto"/>
        </w:pBdr>
      </w:pPr>
      <w:r w:rsidRPr="00247126">
        <w:t xml:space="preserve">Service providers may need to be accredited. ESC considered there may be access/equity implications for regional/remote/rural areas that may have access to the device, but not an adequately accredited clinician to perform the service. </w:t>
      </w:r>
    </w:p>
    <w:p w14:paraId="73D51C11" w14:textId="1DF7CA1C" w:rsidR="00247B6B" w:rsidRPr="00247126" w:rsidRDefault="00247B6B" w:rsidP="00247B6B">
      <w:pPr>
        <w:pStyle w:val="BoxBullet"/>
        <w:pBdr>
          <w:top w:val="single" w:sz="4" w:space="1" w:color="auto"/>
          <w:left w:val="single" w:sz="4" w:space="4" w:color="auto"/>
          <w:bottom w:val="single" w:sz="4" w:space="1" w:color="auto"/>
          <w:right w:val="single" w:sz="4" w:space="4" w:color="auto"/>
        </w:pBdr>
      </w:pPr>
      <w:r w:rsidRPr="00247126">
        <w:t>If the cost of the OCT catheter and consumables ($</w:t>
      </w:r>
      <w:r w:rsidR="0006624C" w:rsidRPr="00247126">
        <w:rPr>
          <w:b/>
          <w:bCs/>
        </w:rPr>
        <w:t>Redacted</w:t>
      </w:r>
      <w:r w:rsidRPr="00247126">
        <w:t xml:space="preserve"> per procedure) is to be incurred as an out-of-pocket expense to patients, this has potential equity implications. There is a pending application of consumables on Part C of the Prescribed List (PL).</w:t>
      </w:r>
    </w:p>
    <w:p w14:paraId="51A2B215" w14:textId="77777777" w:rsidR="00247B6B" w:rsidRPr="00247126" w:rsidRDefault="00247B6B" w:rsidP="000B3DB4">
      <w:pPr>
        <w:spacing w:before="240"/>
        <w:rPr>
          <w:rStyle w:val="Strong"/>
        </w:rPr>
      </w:pPr>
      <w:r w:rsidRPr="00247126">
        <w:rPr>
          <w:rStyle w:val="Strong"/>
        </w:rPr>
        <w:t>ESC discussion</w:t>
      </w:r>
    </w:p>
    <w:p w14:paraId="6996BDD9" w14:textId="77777777" w:rsidR="00247B6B" w:rsidRPr="00247126" w:rsidRDefault="00247B6B" w:rsidP="00247B6B">
      <w:r w:rsidRPr="00247126">
        <w:t xml:space="preserve">ESC noted that this application from Abbott Medical was for Medicare Benefits Schedule (MBS) listing of optical coherence tomography– (OCT-) guided stent insertion for patients undergoing invasive coronary angiography (AG), percutaneous angioplasty and transluminal insertion of stents for the management of high-risk lesions which includes long or multiple lesions, bifurcation lesions angiographic severe calcification or stent failure. ESC noted the applicant has removed lesions in the left main coronary artery from the population, due to a lack of evidence for this patient group. </w:t>
      </w:r>
    </w:p>
    <w:p w14:paraId="56FE0F16" w14:textId="77777777" w:rsidR="00247B6B" w:rsidRPr="00247126" w:rsidRDefault="00247B6B" w:rsidP="00247B6B">
      <w:pPr>
        <w:rPr>
          <w:rStyle w:val="FootnoteReference"/>
        </w:rPr>
      </w:pPr>
      <w:r w:rsidRPr="00247126">
        <w:t>ESC noted that OCT is a catheter-based intravascular imaging technique that uses infrared light to obtain three-dimensional cross-sectional images of a coronary artery. The applicant-developed assessment report (ADAR) claimed that OCT technology allows physicians to visualise and measure vessel characteristics that are otherwise not visible or difficult to assess with angiography alone, which helps guide stent selection and deployment as well as assess stent placement. ESC noted that the European Guidelines recommend OCT for complex lesion morphology.</w:t>
      </w:r>
      <w:r w:rsidRPr="00247126">
        <w:rPr>
          <w:rStyle w:val="FootnoteReference"/>
        </w:rPr>
        <w:footnoteReference w:id="5"/>
      </w:r>
    </w:p>
    <w:p w14:paraId="6B95B65A" w14:textId="77777777" w:rsidR="00247B6B" w:rsidRPr="00247126" w:rsidRDefault="00247B6B" w:rsidP="00247B6B">
      <w:r w:rsidRPr="00247126">
        <w:t>ESC noted that three coronary OCT systems and three OCT system catheters are currently listed on the Australian Register of Therapeutic Goods (ARTG).</w:t>
      </w:r>
    </w:p>
    <w:p w14:paraId="69818218" w14:textId="77777777" w:rsidR="00247B6B" w:rsidRPr="00247126" w:rsidRDefault="00247B6B" w:rsidP="00247B6B">
      <w:r w:rsidRPr="00247126">
        <w:rPr>
          <w:rFonts w:cs="Calibri"/>
        </w:rPr>
        <w:t xml:space="preserve">ESC noted and welcomed consultation input from one (1) professional organisation, one (1) consumer organisations and nine (9) individuals, all of whom were medical specialists. </w:t>
      </w:r>
      <w:r w:rsidRPr="00247126">
        <w:t xml:space="preserve">ESC noted the consultation feedback from 11 individuals or organisations, which overall was supportive of the technology. Specialists claimed that it will allow more accurate decisions about which intervention to go forward with, and that patients are at increased risk if OCT is not available. ESC noted that a number of specialists noted that OCT would take 5–10 minutes longer than IVUS – however, justified that this increased time is warranted due to the clinical benefit(s). Consultation feedback concerns included the need for accreditation and how this will affect access in regional, rural, and remote areas, as well as the issue of out-of-pocket costs and the uncertainty of what these costs would be. ESC considered the accreditation issue and determined that it would be flagged for MSAC consideration. </w:t>
      </w:r>
    </w:p>
    <w:p w14:paraId="2868C609" w14:textId="47E9A537" w:rsidR="00247B6B" w:rsidRPr="00247126" w:rsidRDefault="00247B6B" w:rsidP="00247B6B">
      <w:r w:rsidRPr="00247126">
        <w:lastRenderedPageBreak/>
        <w:t xml:space="preserve">ESC noted the proposed MBS item descriptor and fee and agreed with the suggested changes (see </w:t>
      </w:r>
      <w:r w:rsidRPr="00247126">
        <w:fldChar w:fldCharType="begin"/>
      </w:r>
      <w:r w:rsidRPr="00247126">
        <w:instrText xml:space="preserve"> REF _Ref163127457 \h </w:instrText>
      </w:r>
      <w:r w:rsidR="00247126">
        <w:instrText xml:space="preserve"> \* MERGEFORMAT </w:instrText>
      </w:r>
      <w:r w:rsidRPr="00247126">
        <w:fldChar w:fldCharType="separate"/>
      </w:r>
      <w:r w:rsidRPr="00247126">
        <w:t xml:space="preserve">Table </w:t>
      </w:r>
      <w:r w:rsidRPr="00247126">
        <w:rPr>
          <w:noProof/>
        </w:rPr>
        <w:t>2</w:t>
      </w:r>
      <w:r w:rsidRPr="00247126">
        <w:fldChar w:fldCharType="end"/>
      </w:r>
      <w:r w:rsidRPr="00247126">
        <w:t xml:space="preserve">). </w:t>
      </w:r>
    </w:p>
    <w:p w14:paraId="56820FA6" w14:textId="77777777" w:rsidR="00247B6B" w:rsidRPr="00247126" w:rsidRDefault="00247B6B" w:rsidP="00247B6B">
      <w:pPr>
        <w:pStyle w:val="NormalBeforeBullet0"/>
      </w:pPr>
      <w:r w:rsidRPr="00247126">
        <w:t>ESC also considered that the fee should be $508.70, not $516.90, to align with the fee for IVUS (</w:t>
      </w:r>
      <w:hyperlink r:id="rId27" w:history="1">
        <w:r w:rsidRPr="00247126">
          <w:rPr>
            <w:rStyle w:val="Hyperlink"/>
          </w:rPr>
          <w:t>MBS item 38325</w:t>
        </w:r>
      </w:hyperlink>
      <w:r w:rsidRPr="00247126">
        <w:t xml:space="preserve">). </w:t>
      </w:r>
    </w:p>
    <w:p w14:paraId="569F3EFA" w14:textId="77777777" w:rsidR="00247B6B" w:rsidRPr="00247126" w:rsidRDefault="00247B6B" w:rsidP="00247B6B">
      <w:pPr>
        <w:pStyle w:val="NormalBeforeBullet0"/>
      </w:pPr>
      <w:r w:rsidRPr="00247126">
        <w:t>ESC noted that OCT and IVUS have overlapping indications and provide different information for the operator. The proposed MBS item descriptor would not prevent dual use of these technologies for some lesions (e.g. for left main coronary artery bifurcation lesions or for long lesions). ESC considered this would have financial and economic implications, without clinical evidence to support safe and effective use of the two modalities together. However, ESC noted that hybrid IVUS–OCT systems are in development. Additionally, ESC noted that the applicant raised no issues in the pre-ESC response in relation to the possibility of a co-claiming restriction being included on the proposed MBS item descriptor. ESC considered that a co-claiming restriction to prevent dual use of these technologies is appropriate however, the use of a second imaging technique should be possible in the event that there is a failure with the use of the first imaging technique.</w:t>
      </w:r>
    </w:p>
    <w:p w14:paraId="363FD756" w14:textId="77777777" w:rsidR="00247B6B" w:rsidRPr="00247126" w:rsidRDefault="00247B6B" w:rsidP="00247B6B">
      <w:pPr>
        <w:pStyle w:val="NormalBeforeBullet0"/>
      </w:pPr>
      <w:r w:rsidRPr="00247126">
        <w:t>ESC noted there is no evidence of patient safety issues with repeat procedures, but increasing duration of the procedure may pose risks. ESC considered the presence of a multidisciplinary team (MDT) may need to be consulted for ≥3 vessels and queried whether this should be included as an explanatory note.</w:t>
      </w:r>
    </w:p>
    <w:p w14:paraId="4A34C1E7" w14:textId="77777777" w:rsidR="00247B6B" w:rsidRPr="00247126" w:rsidRDefault="00247B6B" w:rsidP="00247B6B">
      <w:pPr>
        <w:pStyle w:val="Bullet"/>
        <w:numPr>
          <w:ilvl w:val="0"/>
          <w:numId w:val="0"/>
        </w:numPr>
        <w:spacing w:before="0"/>
        <w:rPr>
          <w:rFonts w:ascii="Franklin Gothic Book" w:hAnsi="Franklin Gothic Book"/>
        </w:rPr>
      </w:pPr>
      <w:r w:rsidRPr="00247126">
        <w:rPr>
          <w:rFonts w:ascii="Franklin Gothic Book" w:hAnsi="Franklin Gothic Book"/>
        </w:rPr>
        <w:t>ESC also noted that stent thrombosis (ST) is included in stent failure within the proposed MBS item descriptor – however, there is no trial evidence to support this use.</w:t>
      </w:r>
    </w:p>
    <w:p w14:paraId="64FF9594" w14:textId="77777777" w:rsidR="00247B6B" w:rsidRPr="00247126" w:rsidRDefault="00247B6B" w:rsidP="00247B6B">
      <w:r w:rsidRPr="00247126">
        <w:t>ESC noted the Cardiac Society of Australia and New Zealand (CSANZ) is currently developing accreditation guidelines and training for intravascular imaging to assist with implementing IVUS on the MBS, and CSANZ should also assist with the implementation of OCT. Additionally, ESC noted smaller hospitals may only have access to either IVUS or OCT and not provide both. ESC considered there may be equity of access issues for patients in regional/remote areas, given the need for specialised training and equipment.</w:t>
      </w:r>
    </w:p>
    <w:p w14:paraId="3C1A46BA" w14:textId="77777777" w:rsidR="00247B6B" w:rsidRPr="00247126" w:rsidRDefault="00247B6B" w:rsidP="00247B6B">
      <w:r w:rsidRPr="00247126">
        <w:t>ESC noted the comparator for the transluminal insertion of stents alone was coronary angiogram (AG) and percutaneous angioplasty. For the subgroup of patients with long or multiple lesions (total stent length ≥28 mm), IVUS-guided coronary stent insertion + AG was the comparator.</w:t>
      </w:r>
    </w:p>
    <w:p w14:paraId="57181FFE" w14:textId="77777777" w:rsidR="00247B6B" w:rsidRPr="00247126" w:rsidRDefault="00247B6B" w:rsidP="00247B6B">
      <w:r w:rsidRPr="00247126">
        <w:t>ESC considered the ≥28 mm threshold for long lesions was appropriate, as this is recommended in the European Guidelines.</w:t>
      </w:r>
    </w:p>
    <w:p w14:paraId="5390259E" w14:textId="77777777" w:rsidR="00247B6B" w:rsidRPr="00247126" w:rsidRDefault="00247B6B" w:rsidP="00247B6B">
      <w:r w:rsidRPr="00247126">
        <w:t>ESC noted the proposed clinical management algorithm where OCT + AG would be offered as an option for patients with high-risk lesions which includes long or multiple lesions, bifurcation lesions, lesions with severe calcification or stent failure. ESC also noted that OCT + AG would be an alternative option with IVUS + AG for patients with long lesions.</w:t>
      </w:r>
    </w:p>
    <w:p w14:paraId="5C001023" w14:textId="77777777" w:rsidR="00247B6B" w:rsidRPr="00247126" w:rsidRDefault="00247B6B" w:rsidP="00247B6B">
      <w:pPr>
        <w:pStyle w:val="NormalBeforeBullet0"/>
      </w:pPr>
      <w:r w:rsidRPr="00247126">
        <w:t>ESC noted the clinical evidence was derived from three randomised clinical trials (RCTs):</w:t>
      </w:r>
    </w:p>
    <w:p w14:paraId="09780495" w14:textId="77777777" w:rsidR="00247B6B" w:rsidRPr="00247126" w:rsidRDefault="00247B6B" w:rsidP="00725F19">
      <w:pPr>
        <w:pStyle w:val="Bullet"/>
        <w:numPr>
          <w:ilvl w:val="1"/>
          <w:numId w:val="50"/>
        </w:numPr>
        <w:spacing w:before="0"/>
        <w:ind w:left="284" w:hanging="284"/>
        <w:rPr>
          <w:rFonts w:ascii="Franklin Gothic Book" w:hAnsi="Franklin Gothic Book"/>
        </w:rPr>
      </w:pPr>
      <w:r w:rsidRPr="00247126">
        <w:rPr>
          <w:rFonts w:ascii="Franklin Gothic Book" w:hAnsi="Franklin Gothic Book"/>
        </w:rPr>
        <w:t>The Holm (OCTOBER) trial (</w:t>
      </w:r>
      <w:r w:rsidRPr="00247126">
        <w:rPr>
          <w:rFonts w:ascii="Franklin Gothic Book" w:hAnsi="Franklin Gothic Book"/>
          <w:i/>
        </w:rPr>
        <w:t>n</w:t>
      </w:r>
      <w:r w:rsidRPr="00247126">
        <w:rPr>
          <w:rFonts w:ascii="Franklin Gothic Book" w:hAnsi="Franklin Gothic Book"/>
        </w:rPr>
        <w:t xml:space="preserve"> = 2,487), evaluated patients with complex bifurcation lesions with a median of 2 years follow-up, compared with AG guided PCI. </w:t>
      </w:r>
    </w:p>
    <w:p w14:paraId="5C5470E3" w14:textId="77777777" w:rsidR="00247B6B" w:rsidRPr="00247126" w:rsidRDefault="00247B6B" w:rsidP="00725F19">
      <w:pPr>
        <w:pStyle w:val="Bullet"/>
        <w:numPr>
          <w:ilvl w:val="1"/>
          <w:numId w:val="50"/>
        </w:numPr>
        <w:spacing w:before="0"/>
        <w:ind w:left="284" w:hanging="284"/>
        <w:rPr>
          <w:rFonts w:ascii="Franklin Gothic Book" w:hAnsi="Franklin Gothic Book"/>
        </w:rPr>
      </w:pPr>
      <w:r w:rsidRPr="00247126">
        <w:rPr>
          <w:rFonts w:ascii="Franklin Gothic Book" w:hAnsi="Franklin Gothic Book"/>
        </w:rPr>
        <w:t>The Ali (ILUMIEN IV) trial (</w:t>
      </w:r>
      <w:r w:rsidRPr="00247126">
        <w:rPr>
          <w:rFonts w:ascii="Franklin Gothic Book" w:hAnsi="Franklin Gothic Book"/>
          <w:i/>
        </w:rPr>
        <w:t>n</w:t>
      </w:r>
      <w:r w:rsidRPr="00247126">
        <w:rPr>
          <w:rFonts w:ascii="Franklin Gothic Book" w:hAnsi="Franklin Gothic Book"/>
        </w:rPr>
        <w:t> = 1,201), evaluated patients with medication-treated diabetes or complex coronary artery lesions with 2 years follow-up, compared with AG guided PCI.</w:t>
      </w:r>
    </w:p>
    <w:p w14:paraId="2E7BAD7A" w14:textId="77777777" w:rsidR="00247B6B" w:rsidRPr="00247126" w:rsidRDefault="00247B6B" w:rsidP="00725F19">
      <w:pPr>
        <w:pStyle w:val="BulletLast"/>
        <w:numPr>
          <w:ilvl w:val="1"/>
          <w:numId w:val="50"/>
        </w:numPr>
        <w:ind w:left="284" w:hanging="284"/>
      </w:pPr>
      <w:r w:rsidRPr="00247126">
        <w:t>The Kang (OCTIVUS) trial (</w:t>
      </w:r>
      <w:r w:rsidRPr="00247126">
        <w:rPr>
          <w:i/>
          <w:iCs/>
        </w:rPr>
        <w:t>n</w:t>
      </w:r>
      <w:r w:rsidRPr="00247126">
        <w:t xml:space="preserve"> = 2,008), evaluated patients with significant coronary artery lesions with 2 years follow-up, compared with IVUS-guided PCI. </w:t>
      </w:r>
    </w:p>
    <w:p w14:paraId="59BAE235" w14:textId="77777777" w:rsidR="00247B6B" w:rsidRPr="00247126" w:rsidRDefault="00247B6B" w:rsidP="00247B6B">
      <w:r w:rsidRPr="00247126">
        <w:t xml:space="preserve">ESC noted the comparative safety data for all the groups and considered that OCT to be non-inferior, compared to both AG and IVUS. However, ESC noted that the safety analysis was for the </w:t>
      </w:r>
      <w:r w:rsidRPr="00247126">
        <w:lastRenderedPageBreak/>
        <w:t>intention-to-treat (ITT) population and was not analysed by subgroup, which is potentially problematic because the clinical-effectiveness analysis was separated into subgroups.</w:t>
      </w:r>
    </w:p>
    <w:p w14:paraId="7184F0A1" w14:textId="77777777" w:rsidR="00247B6B" w:rsidRPr="00247126" w:rsidRDefault="00247B6B" w:rsidP="00247B6B">
      <w:pPr>
        <w:pStyle w:val="NormalBeforeBullet0"/>
      </w:pPr>
      <w:r w:rsidRPr="00247126">
        <w:t xml:space="preserve">For the bifurcation lesion population, ESC considered that OCT + AG appeared to be superior to AG alone when examining major adverse cardiac events (MACE) – hazard ratio (HR) = 0.70 [0.50, 0.98]; </w:t>
      </w:r>
      <w:r w:rsidRPr="00247126">
        <w:rPr>
          <w:i/>
          <w:iCs/>
        </w:rPr>
        <w:t>p</w:t>
      </w:r>
      <w:r w:rsidRPr="00247126">
        <w:t xml:space="preserve"> = 0.035; target vessel failure (TVF) – HR = 1.05 [0.21, 5.18]; and meta-analysis – HR = 0.71 [0.51, 0.99]. ESC noted that the adverse events (AEs) were similar across treatment arms in the OCTOBER trial with 6.8% for OCT and 5.7% in AG. </w:t>
      </w:r>
    </w:p>
    <w:p w14:paraId="1410477A" w14:textId="77777777" w:rsidR="00247B6B" w:rsidRPr="00247126" w:rsidRDefault="00247B6B" w:rsidP="00247B6B">
      <w:r w:rsidRPr="00247126">
        <w:t>ESC noted that the ILUMIEN IV trial did not demonstrate superiority on the primary endpoint in the intention to treat (ITT) population.</w:t>
      </w:r>
    </w:p>
    <w:p w14:paraId="4F92D7E1" w14:textId="77777777" w:rsidR="00247B6B" w:rsidRPr="00247126" w:rsidRDefault="00247B6B" w:rsidP="00247B6B">
      <w:r w:rsidRPr="00247126">
        <w:t>For the severe calcification population, ESC noted the results were based on</w:t>
      </w:r>
      <w:r w:rsidRPr="00247126" w:rsidDel="00EE6592">
        <w:t xml:space="preserve"> </w:t>
      </w:r>
      <w:r w:rsidRPr="00247126">
        <w:t xml:space="preserve">subgroup analysis from the ILUMIEN IV trial, which demonstrated a HR = 0.50 [0.23, 1.12] for TVF. ESC considered that although the HR favours the intervention, the results were not statistically significant and such ESC concluded that OCT superiority to AG alone for lesions with severe calcification was not clearly demonstrated. </w:t>
      </w:r>
    </w:p>
    <w:p w14:paraId="4F70B44B" w14:textId="77777777" w:rsidR="00247B6B" w:rsidRPr="00247126" w:rsidRDefault="00247B6B" w:rsidP="00247B6B">
      <w:r w:rsidRPr="00247126">
        <w:t xml:space="preserve">For the stent failure population, ESC noted the results from the ILUMIEN IV trial were based on a subgroup analysis that included diffuse or multifocal in-stent stenosis and did not include patients with ST as per the PICO. ESC noted that the results demonstrated a HR = 1.06 [0.55, 2.04] for TVF – however, did not suggest a statistically significant benefit. ESC noted the pre-ESC response, which stated that there is a lack of evidence for ST. However, ESC considered the high clinical need in this rare group (as per expert opinion) and OCT may be better at distinguishing thrombus from other tissue compared to AG. ESC concluded that these results did not demonstrate OCT had superiority to AG alone for the stent failure subgroup. </w:t>
      </w:r>
    </w:p>
    <w:p w14:paraId="31C18E1E" w14:textId="77777777" w:rsidR="00247B6B" w:rsidRPr="00247126" w:rsidRDefault="00247B6B" w:rsidP="00247B6B">
      <w:r w:rsidRPr="00247126">
        <w:t xml:space="preserve">For the long lesions population, ESC noted the results from the ILUMIEN IV trial were based on a subgroup analysis and revealed a HR = 0.81 [0.56, 1.16] for TVF. ESC considered that OCT superiority to AG alone for long lesions was not clearly demonstrated. </w:t>
      </w:r>
    </w:p>
    <w:p w14:paraId="6975EBD0" w14:textId="77777777" w:rsidR="00247B6B" w:rsidRPr="00247126" w:rsidRDefault="00247B6B" w:rsidP="00247B6B">
      <w:r w:rsidRPr="00247126">
        <w:t xml:space="preserve">For OCT compared to IVUS in the long </w:t>
      </w:r>
      <w:proofErr w:type="gramStart"/>
      <w:r w:rsidRPr="00247126">
        <w:t>lesions</w:t>
      </w:r>
      <w:proofErr w:type="gramEnd"/>
      <w:r w:rsidRPr="00247126">
        <w:t xml:space="preserve"> population, the OCTIVUS trial was based on a subgroup analysis that evaluated 2-year data provided in the ADAR as a post hoc analysis that demonstrated a HR = 1.15 [0.60, 2.22] for TVF; after 1-year follow-up and HR = 0.99 [0.62, 1.59] for TVF after 2-years follow-up. ESC noted that these results are based on subgroup analyses that were not sufficiently powered. ESC agreed with the pre-ESC response that there are challenges with trials being sufficiently powered when looking at relatively rare events. ESC considered that OCT is non-inferior in effectiveness to IVUS for long lesions.</w:t>
      </w:r>
    </w:p>
    <w:p w14:paraId="6BE47F60" w14:textId="77777777" w:rsidR="00247B6B" w:rsidRPr="00247126" w:rsidRDefault="00247B6B" w:rsidP="00247B6B">
      <w:pPr>
        <w:pStyle w:val="NormalBeforeBullet0"/>
      </w:pPr>
      <w:r w:rsidRPr="00247126">
        <w:t>ESC noted additional evidence from a network meta-analysis that demonstrated intravascular-guided percutaneous coronary stent insertion (PCI) (using IVUS or OCT) reduced most adverse outcomes compared to AG-guided PCI.</w:t>
      </w:r>
      <w:r w:rsidRPr="00247126">
        <w:rPr>
          <w:rStyle w:val="FootnoteReference"/>
        </w:rPr>
        <w:footnoteReference w:id="6"/>
      </w:r>
      <w:r w:rsidRPr="00247126">
        <w:t xml:space="preserve"> Additionally, this meta-analysis demonstrated minimal clinical difference between IVUS and OCT (noting most point estimates suggested slight benefit for IVUS and estimates for target vessel revascularisation [TVR] were statistically significant in favour of IVUS).</w:t>
      </w:r>
    </w:p>
    <w:p w14:paraId="37F76689" w14:textId="77777777" w:rsidR="00247B6B" w:rsidRPr="00247126" w:rsidRDefault="00247B6B" w:rsidP="00247B6B">
      <w:r w:rsidRPr="00247126">
        <w:t>ESC noted that ST was a rare event (&lt;1%) in the trials. The European Guidelines state that OCT is mostly superior in its ability to distinguish thrombus when compared to IVUS, although no evidence was available to demonstrate this benefit in the three RCTs considered in the ADAR.</w:t>
      </w:r>
    </w:p>
    <w:p w14:paraId="29255589" w14:textId="77777777" w:rsidR="00247B6B" w:rsidRPr="00247126" w:rsidRDefault="00247B6B" w:rsidP="00247B6B">
      <w:r w:rsidRPr="00247126">
        <w:t xml:space="preserve">ESC considered the main safety issue to be the use of contrast and the potential for contrast-induced nephropathy. OCT is a longer procedure than, for example, IVUS, and thus requires the use of more contrast. ESC noted that the RCTs excluded those with significant renal disease, and </w:t>
      </w:r>
      <w:r w:rsidRPr="00247126">
        <w:lastRenderedPageBreak/>
        <w:t xml:space="preserve">ESC acknowledged that clinical judgement would be used for patients with renal disease before recommending OCT. </w:t>
      </w:r>
    </w:p>
    <w:p w14:paraId="184F325A" w14:textId="77777777" w:rsidR="00247B6B" w:rsidRPr="00247126" w:rsidRDefault="00247B6B" w:rsidP="00247B6B">
      <w:r w:rsidRPr="00247126">
        <w:t xml:space="preserve">ESC noted that, for the economic evaluations, the ADAR presented three cost-utility analyses (CUAs) and one cost-minimisation analysis (CMA). No formal CUA was presented for the stent failure subgroup due to the absence of reliable subgroup data. ESC noted that the evidence for bifurcation (OCTOBER trial) had low risk of bias and that the evidence supported the claim of superiority. The subgroup analysis for severe calcification (ILUMIEN IV trial) and long lesions (ILUMIEN IV and OCTIVUS trials) were not prespecified in analysis plans and no separate sample size calculations were undertaken. </w:t>
      </w:r>
      <w:r w:rsidRPr="00247126" w:rsidDel="00504205">
        <w:t>T</w:t>
      </w:r>
      <w:r w:rsidRPr="00247126">
        <w:t>he benefits of randomisation to the ITT population were consequently lost (there was an underlying difference in the observed and unobserved baseline characteristics), which introduces bias. ESC agreed with the commentary that there was a moderate to high risk of bias for these trials, which makes the translation uncertain. Therefore, ESC considered the clinical claims of superiority compared to AG for severe calcification and long lesions were unsupported by the evidence. The claim of non-inferiority for long lesions compared to IVUS (using a CMA) was supported by the evidence.</w:t>
      </w:r>
    </w:p>
    <w:p w14:paraId="314B6869" w14:textId="77777777" w:rsidR="00247B6B" w:rsidRPr="00247126" w:rsidRDefault="00247B6B" w:rsidP="00247B6B">
      <w:r w:rsidRPr="00247126">
        <w:t xml:space="preserve">ESC noted that the CUA was similar to that used for </w:t>
      </w:r>
      <w:hyperlink r:id="rId28" w:history="1">
        <w:r w:rsidRPr="00247126">
          <w:rPr>
            <w:rStyle w:val="Hyperlink"/>
          </w:rPr>
          <w:t>MSAC Application 1354.1</w:t>
        </w:r>
      </w:hyperlink>
      <w:r w:rsidRPr="00247126">
        <w:t xml:space="preserve"> (IVUS) and was based on Zhou 2021 for IVUS-guided PCI.</w:t>
      </w:r>
      <w:r w:rsidRPr="00247126">
        <w:rPr>
          <w:rStyle w:val="FootnoteReference"/>
        </w:rPr>
        <w:footnoteReference w:id="7"/>
      </w:r>
      <w:r w:rsidRPr="00247126">
        <w:t xml:space="preserve"> As a lifetime model, the clinical benefits directly attributable to OCT are assumed to be fully absorbed within 2 years post-baseline. The probability estimates for events at each branch differed, based on crude event rates from trials for bifurcation, severe </w:t>
      </w:r>
      <w:proofErr w:type="gramStart"/>
      <w:r w:rsidRPr="00247126">
        <w:t>calcification</w:t>
      </w:r>
      <w:proofErr w:type="gramEnd"/>
      <w:r w:rsidRPr="00247126">
        <w:t xml:space="preserve"> and long/multiple lesions. ESC considered the transition probabilities for the secondary outcomes of MI, revascularisation and cardiac death were problematic as there were no statistically significant difference between groups observed in the trials, although underpowered for these outcomes.</w:t>
      </w:r>
    </w:p>
    <w:p w14:paraId="34F14316" w14:textId="77777777" w:rsidR="00247B6B" w:rsidRPr="00247126" w:rsidRDefault="00247B6B" w:rsidP="00247B6B">
      <w:r w:rsidRPr="00247126">
        <w:t>ESC noted the separate subgroup analyses for the economic evaluation. In the pre-ESC response, the applicant stated that this is valid and appropriate because each event is associated with very different clinical sequela and quality-adjusted life year (QALY)/cost implications. ESC considered that this is a valid approach, but found the trials were not powered for these subgroups and thus the issue of statistical non-significance remains.</w:t>
      </w:r>
    </w:p>
    <w:p w14:paraId="26A76CA6" w14:textId="5A2D64F3" w:rsidR="00247B6B" w:rsidRPr="00247126" w:rsidRDefault="00247B6B" w:rsidP="00247B6B">
      <w:r w:rsidRPr="00247126">
        <w:t>For the bifurcation subgroup, the incremental cost-effectiveness ratio (ICER) for the base case analysis was $</w:t>
      </w:r>
      <w:r w:rsidR="00352906" w:rsidRPr="00247126">
        <w:rPr>
          <w:b/>
          <w:bCs/>
        </w:rPr>
        <w:t>Redacted</w:t>
      </w:r>
      <w:r w:rsidRPr="00247126">
        <w:t xml:space="preserve"> per QALY gained. ESC noted from the sensitivity analysis that the key driver was removing a difference between groups in cardiac death, which increased the ICER for this subgroup to $</w:t>
      </w:r>
      <w:r w:rsidR="00352906" w:rsidRPr="00247126">
        <w:rPr>
          <w:b/>
          <w:bCs/>
        </w:rPr>
        <w:t>Redacted</w:t>
      </w:r>
      <w:r w:rsidRPr="00247126">
        <w:t>/QALY gained. ESC noted removing the secondary endpoints produced a much less pronounced effect on the ICER resulting in $</w:t>
      </w:r>
      <w:r w:rsidR="00352906" w:rsidRPr="00247126">
        <w:rPr>
          <w:b/>
          <w:bCs/>
        </w:rPr>
        <w:t>Redacted</w:t>
      </w:r>
      <w:r w:rsidRPr="00247126">
        <w:t xml:space="preserve"> per QALY gained for no difference in myocardial infarction (MI); $</w:t>
      </w:r>
      <w:r w:rsidR="00352906" w:rsidRPr="00247126">
        <w:rPr>
          <w:b/>
          <w:bCs/>
        </w:rPr>
        <w:t>Redacted</w:t>
      </w:r>
      <w:r w:rsidRPr="00247126">
        <w:t xml:space="preserve"> per QALY gained for no difference in TLR; and $</w:t>
      </w:r>
      <w:r w:rsidR="00352906" w:rsidRPr="00247126">
        <w:rPr>
          <w:b/>
          <w:bCs/>
        </w:rPr>
        <w:t>Redacted</w:t>
      </w:r>
      <w:r w:rsidRPr="00247126">
        <w:t xml:space="preserve"> per QALY gained for no difference in ST. ESC noted that the multivariate sensitivity analysis removing difference in MI, TLR, ST and CV resulted in OCT dominated. ESC noted that MACE was the only statistically significant outcome but was not explicitly included in the ADAR's economic evaluation. ESC noted that the clinical trials for OCT were powered for composite efficacy outcomes rather than the individual components. ESC noted the commentary considered that the crude percentages used as model inputs did not account for competing risks (i.e. secondary outcomes were not mutually exclusive and the sum exceeded that of the primary composite outcome) and could bias the ICER in favour of OCT.</w:t>
      </w:r>
    </w:p>
    <w:p w14:paraId="7FFFE4FB" w14:textId="7C4E841F" w:rsidR="00247B6B" w:rsidRPr="00247126" w:rsidRDefault="00247B6B" w:rsidP="00247B6B">
      <w:r w:rsidRPr="00247126">
        <w:t>The pre-ESC response stated that the commentary’s ICER for the bifurcation subgroup of $</w:t>
      </w:r>
      <w:r w:rsidR="00352906" w:rsidRPr="00247126">
        <w:rPr>
          <w:b/>
          <w:bCs/>
        </w:rPr>
        <w:t>Redacted</w:t>
      </w:r>
      <w:r w:rsidRPr="00247126">
        <w:t xml:space="preserve">/QALY gained reflected a hypothetical scenario where there are no mortality benefits </w:t>
      </w:r>
      <w:r w:rsidRPr="00247126">
        <w:lastRenderedPageBreak/>
        <w:t>directly attributable to the use of OCT. The applicant presented a different two-step analysis for the bifurcation subgroup – a combined event risk based on MACE (OCTOBER trial) and assumed mortality rate of 2.9% and 4.1% for each disease sequela. This resulted in ICERs ranging from $</w:t>
      </w:r>
      <w:r w:rsidR="002331E8" w:rsidRPr="00247126">
        <w:rPr>
          <w:b/>
          <w:bCs/>
        </w:rPr>
        <w:t>Redacted</w:t>
      </w:r>
      <w:r w:rsidRPr="00247126">
        <w:t xml:space="preserve"> to $</w:t>
      </w:r>
      <w:r w:rsidR="00A05F0D" w:rsidRPr="00247126">
        <w:rPr>
          <w:b/>
          <w:bCs/>
        </w:rPr>
        <w:t>Redacted</w:t>
      </w:r>
      <w:r w:rsidRPr="00247126">
        <w:t xml:space="preserve">/QALY gained. ESC considered that this approach required several assumptions which appeared reasonable, however ESC noted that because there was no between group difference in cardiac death in the OCTOBER </w:t>
      </w:r>
      <w:proofErr w:type="gramStart"/>
      <w:r w:rsidRPr="00247126">
        <w:t>trial</w:t>
      </w:r>
      <w:proofErr w:type="gramEnd"/>
      <w:r w:rsidRPr="00247126">
        <w:t xml:space="preserve"> so the issue of non-significance remained.</w:t>
      </w:r>
    </w:p>
    <w:p w14:paraId="170078BB" w14:textId="6B2F8D8C" w:rsidR="00247B6B" w:rsidRPr="00247126" w:rsidRDefault="00247B6B" w:rsidP="00247B6B">
      <w:r w:rsidRPr="00247126">
        <w:t>For the severe calcification subgroup, the base case ICER was $</w:t>
      </w:r>
      <w:r w:rsidR="00A05F0D" w:rsidRPr="00247126">
        <w:rPr>
          <w:b/>
          <w:bCs/>
        </w:rPr>
        <w:t>Redacted</w:t>
      </w:r>
      <w:r w:rsidRPr="00247126">
        <w:rPr>
          <w:b/>
          <w:bCs/>
        </w:rPr>
        <w:t>/</w:t>
      </w:r>
      <w:r w:rsidRPr="00247126">
        <w:t>QALY gained. ESC noted that, due to the small sample size and low event rates for the severely calcified lesion subgroup of ILUMIEN IV (a total of nine events were observed for the three component outcomes of TVF in the OCT arm), the ADAR used an alternative approach to generate event rates, whereby a ratio of the reported TVF rates between the long/multiple lesion and severe calcification subgroups was calculated and applied to the available long/multiple lesion data. ESC noted the ADAR acknowledged that this approach is pragmatic, and primarily aimed at providing an ‘indicative ICER’ that reflects the favourable effect size observed for this subgroup on the primary endpoint. ESC considered that on the basis of assuming non-inferiority, OCT is more expensive, with no difference in quality of life.</w:t>
      </w:r>
    </w:p>
    <w:p w14:paraId="0824680B" w14:textId="778E21C4" w:rsidR="00247B6B" w:rsidRPr="00247126" w:rsidRDefault="00247B6B" w:rsidP="00247B6B">
      <w:r w:rsidRPr="00247126">
        <w:t>ESC noted that for the long/multiple lesions subgroup, the base case ICER was $</w:t>
      </w:r>
      <w:r w:rsidR="00023881" w:rsidRPr="00247126">
        <w:rPr>
          <w:b/>
          <w:bCs/>
        </w:rPr>
        <w:t>Redacted</w:t>
      </w:r>
      <w:r w:rsidRPr="00247126">
        <w:t>/QALY gained. Additionally, ESC noted that when the ST difference was applied – being the only statistically significant variable secondary endpoint – the ICER increased to $</w:t>
      </w:r>
      <w:r w:rsidR="00023881" w:rsidRPr="00247126">
        <w:rPr>
          <w:b/>
          <w:bCs/>
        </w:rPr>
        <w:t>Redacted</w:t>
      </w:r>
      <w:r w:rsidRPr="00247126">
        <w:t>/QALY gained.</w:t>
      </w:r>
    </w:p>
    <w:p w14:paraId="77B813C2" w14:textId="77777777" w:rsidR="00247B6B" w:rsidRPr="00247126" w:rsidRDefault="00247B6B" w:rsidP="00247B6B">
      <w:r w:rsidRPr="00247126">
        <w:rPr>
          <w:rStyle w:val="Strong"/>
          <w:b w:val="0"/>
          <w:bCs w:val="0"/>
        </w:rPr>
        <w:t>ESC noted that</w:t>
      </w:r>
      <w:r w:rsidRPr="00247126">
        <w:rPr>
          <w:rStyle w:val="Strong"/>
        </w:rPr>
        <w:t xml:space="preserve"> </w:t>
      </w:r>
      <w:r w:rsidRPr="00247126">
        <w:t xml:space="preserve">the proposed MBS fee for OCT is the same as that for IVUS, which the ADAR claimed cost neutrality due to no additional cost implications. ESC noted that the ADAR considered that costs of other resource use, including consumables and imaging equipment, are expected to be comparable to IVUS as well. </w:t>
      </w:r>
    </w:p>
    <w:p w14:paraId="6BDAE84B" w14:textId="0E301EEE" w:rsidR="00247B6B" w:rsidRPr="00247126" w:rsidRDefault="00247B6B" w:rsidP="00247B6B">
      <w:r w:rsidRPr="00247126">
        <w:rPr>
          <w:rStyle w:val="Strong"/>
          <w:b w:val="0"/>
          <w:bCs w:val="0"/>
        </w:rPr>
        <w:t>ESC noted the ADAR’s net financial implications of OCT-guided stent insertions to the MBS. ESC noted the total cost offset to the MBS at 75% benefit would result in cost savings to the MBS of $</w:t>
      </w:r>
      <w:r w:rsidR="00023881" w:rsidRPr="00247126">
        <w:rPr>
          <w:rStyle w:val="Strong"/>
        </w:rPr>
        <w:t>Redacted</w:t>
      </w:r>
      <w:r w:rsidRPr="00247126">
        <w:rPr>
          <w:rStyle w:val="Strong"/>
          <w:b w:val="0"/>
          <w:bCs w:val="0"/>
        </w:rPr>
        <w:t xml:space="preserve"> in Year 1 and $</w:t>
      </w:r>
      <w:r w:rsidR="00023881" w:rsidRPr="00247126">
        <w:rPr>
          <w:rStyle w:val="Strong"/>
        </w:rPr>
        <w:t>Redacted</w:t>
      </w:r>
      <w:r w:rsidR="00023881" w:rsidRPr="00247126">
        <w:rPr>
          <w:rStyle w:val="Strong"/>
          <w:b w:val="0"/>
          <w:bCs w:val="0"/>
        </w:rPr>
        <w:t xml:space="preserve"> </w:t>
      </w:r>
      <w:r w:rsidRPr="00247126">
        <w:rPr>
          <w:rStyle w:val="Strong"/>
          <w:b w:val="0"/>
          <w:bCs w:val="0"/>
        </w:rPr>
        <w:t xml:space="preserve">in Year 6. ESC noted that the </w:t>
      </w:r>
      <w:r w:rsidRPr="00247126">
        <w:t>MBS costs comprise a minor component of the overall financial costs, as most of the costs associated with OCT are borne by hospitals, health funds and/or patients. ESC noted the capital equipment cost per procedure will occur on a per hospital basis, given that each hospital will be required to purchase its own OCT system. The OCT system currently costs $</w:t>
      </w:r>
      <w:r w:rsidR="00023881" w:rsidRPr="00247126">
        <w:rPr>
          <w:b/>
          <w:bCs/>
        </w:rPr>
        <w:t>Redacted</w:t>
      </w:r>
      <w:r w:rsidRPr="00247126">
        <w:t xml:space="preserve"> per unit (plus $</w:t>
      </w:r>
      <w:r w:rsidR="00023881" w:rsidRPr="00247126">
        <w:rPr>
          <w:b/>
          <w:bCs/>
        </w:rPr>
        <w:t>Redacted</w:t>
      </w:r>
      <w:r w:rsidRPr="00247126">
        <w:t xml:space="preserve"> annual maintenance), with an expected longevity of 10 years. ESC noted the ADAR specified that there were </w:t>
      </w:r>
      <w:r w:rsidR="00A463F0" w:rsidRPr="00247126">
        <w:rPr>
          <w:b/>
          <w:bCs/>
        </w:rPr>
        <w:t>Redacted</w:t>
      </w:r>
      <w:r w:rsidRPr="00247126">
        <w:t xml:space="preserve"> OCT systems in private hospitals in Australia – however, no estimate was provided for the number of OCT systems that would be purchased after listing on the MBS. </w:t>
      </w:r>
    </w:p>
    <w:p w14:paraId="480E77F6" w14:textId="520E6F09" w:rsidR="00247B6B" w:rsidRPr="00247126" w:rsidRDefault="00247B6B" w:rsidP="00247B6B">
      <w:r w:rsidRPr="00247126">
        <w:t>ESC noted that each OCT procedure requires a single-use catheter, which is provided as a kit including other OCT-specific consumables. ESC noted that the commentary identified that cost neutrality may not be achieved based on the current cost of OCT consumables being approximately $</w:t>
      </w:r>
      <w:r w:rsidR="003A0A1B" w:rsidRPr="00247126">
        <w:rPr>
          <w:b/>
          <w:bCs/>
        </w:rPr>
        <w:t>Redacted</w:t>
      </w:r>
      <w:r w:rsidRPr="00247126">
        <w:t xml:space="preserve"> more than compared with IVUS (OCT is $</w:t>
      </w:r>
      <w:r w:rsidR="003A0A1B" w:rsidRPr="00247126">
        <w:rPr>
          <w:b/>
          <w:bCs/>
        </w:rPr>
        <w:t>Redacted</w:t>
      </w:r>
      <w:r w:rsidRPr="00247126">
        <w:t xml:space="preserve"> and IVUS is $1,250 per procedure respectively) as calculated</w:t>
      </w:r>
      <w:r w:rsidR="003F4585" w:rsidRPr="00247126">
        <w:t xml:space="preserve"> by the commentary from</w:t>
      </w:r>
      <w:r w:rsidR="009E45EA" w:rsidRPr="00247126">
        <w:t xml:space="preserve"> the</w:t>
      </w:r>
      <w:r w:rsidR="003F4585" w:rsidRPr="00247126">
        <w:t xml:space="preserve"> range presented</w:t>
      </w:r>
      <w:r w:rsidRPr="00247126">
        <w:t xml:space="preserve"> in </w:t>
      </w:r>
      <w:hyperlink r:id="rId29" w:history="1">
        <w:r w:rsidRPr="00247126">
          <w:rPr>
            <w:rStyle w:val="Hyperlink"/>
          </w:rPr>
          <w:t>MSAC Application 1354.1</w:t>
        </w:r>
      </w:hyperlink>
      <w:r w:rsidRPr="00247126">
        <w:t>. ESC considered that depending on the funding arrangement, the $</w:t>
      </w:r>
      <w:r w:rsidR="003A0A1B" w:rsidRPr="00247126">
        <w:rPr>
          <w:b/>
          <w:bCs/>
        </w:rPr>
        <w:t>Redacted</w:t>
      </w:r>
      <w:r w:rsidRPr="00247126">
        <w:t xml:space="preserve"> cost per OCT procedure will be met by patients (i.e., as an out-of-pocket expense), hospitals and/or private health insurance funds (subject to approval on the Prescribed List [PL]). ESC noted that the applicant intends to lodge a submission to the PL seeking listing of the consumables on Part C of the PL list. ESC considered that there are potential equity implications, if the cost of the OCT catheter and consumables is to be incurred as an out-of-pocket cost to patients, rather than as an ancillary service cost borne by hospitals as suggested in the pre-ESC response.</w:t>
      </w:r>
    </w:p>
    <w:p w14:paraId="6E1CF5CD" w14:textId="0EC68F54" w:rsidR="00247B6B" w:rsidRPr="00247126" w:rsidRDefault="00247B6B" w:rsidP="00247B6B">
      <w:r w:rsidRPr="00247126">
        <w:lastRenderedPageBreak/>
        <w:t xml:space="preserve">ESC noted that, in 2022, OCT was used in 2.7% of PCI cases in Victoria, with public use higher than in private hospitals. The ADAR estimated that </w:t>
      </w:r>
      <w:r w:rsidR="00292477" w:rsidRPr="00247126">
        <w:rPr>
          <w:b/>
          <w:bCs/>
        </w:rPr>
        <w:t>Redacted</w:t>
      </w:r>
      <w:r w:rsidRPr="00247126">
        <w:t>% of these PCI cases would meet the PICO population definition, which ESC considered to be conservative, and that actual uptake may be higher and influence the economic and financial modelling.</w:t>
      </w:r>
    </w:p>
    <w:p w14:paraId="45BA29DD" w14:textId="0422C9E7" w:rsidR="00A66806" w:rsidRPr="00247126" w:rsidRDefault="00A66806" w:rsidP="00A66806">
      <w:pPr>
        <w:pStyle w:val="Heading2"/>
        <w:numPr>
          <w:ilvl w:val="0"/>
          <w:numId w:val="0"/>
        </w:numPr>
      </w:pPr>
      <w:r w:rsidRPr="00247126">
        <w:t>18.</w:t>
      </w:r>
      <w:r w:rsidRPr="00247126">
        <w:tab/>
        <w:t>Applicant comments on MSAC’s Public Summary Document</w:t>
      </w:r>
    </w:p>
    <w:p w14:paraId="02FC1DB9" w14:textId="77777777" w:rsidR="00305E4B" w:rsidRPr="00247126" w:rsidRDefault="00305E4B" w:rsidP="00247126">
      <w:r w:rsidRPr="00247126">
        <w:t xml:space="preserve">Abbott Australasia Pty Ltd. (Abbott) is pleased with the advice made by MSAC for public funding of OCT for bifurcation, long </w:t>
      </w:r>
      <w:proofErr w:type="gramStart"/>
      <w:r w:rsidRPr="00247126">
        <w:t>lesion</w:t>
      </w:r>
      <w:proofErr w:type="gramEnd"/>
      <w:r w:rsidRPr="00247126">
        <w:t xml:space="preserve"> and stent thrombosis subpopulations. Abbott is committed to working with all relevant stakeholders to enable equitable access to OCT across Australia.</w:t>
      </w:r>
    </w:p>
    <w:p w14:paraId="139F4AD4" w14:textId="5B025177" w:rsidR="00A66806" w:rsidRPr="00247126" w:rsidRDefault="00A66806" w:rsidP="00A66806">
      <w:pPr>
        <w:pStyle w:val="Heading2"/>
        <w:numPr>
          <w:ilvl w:val="0"/>
          <w:numId w:val="0"/>
        </w:numPr>
      </w:pPr>
      <w:r w:rsidRPr="00247126">
        <w:t>19.</w:t>
      </w:r>
      <w:r w:rsidRPr="00247126">
        <w:tab/>
        <w:t>Further information on MSAC</w:t>
      </w:r>
    </w:p>
    <w:p w14:paraId="53989428" w14:textId="6AD4425A" w:rsidR="00247B6B" w:rsidRPr="00A66806" w:rsidRDefault="00A66806" w:rsidP="00A66806">
      <w:pPr>
        <w:pStyle w:val="BodyText"/>
        <w:rPr>
          <w:rFonts w:ascii="Franklin Gothic Book" w:hAnsi="Franklin Gothic Book" w:cstheme="minorBidi"/>
          <w:b/>
          <w:bCs/>
          <w:i/>
          <w:iCs/>
          <w:sz w:val="22"/>
        </w:rPr>
      </w:pPr>
      <w:r w:rsidRPr="00247126">
        <w:rPr>
          <w:rFonts w:ascii="Franklin Gothic Book" w:hAnsi="Franklin Gothic Book"/>
          <w:bCs/>
          <w:iCs/>
          <w:sz w:val="22"/>
        </w:rPr>
        <w:t xml:space="preserve">MSAC Terms of Reference and other information are available on the MSAC Website: </w:t>
      </w:r>
      <w:hyperlink r:id="rId30" w:tooltip="Link to the MSAC website" w:history="1">
        <w:r w:rsidRPr="00247126">
          <w:rPr>
            <w:rStyle w:val="Hyperlink"/>
            <w:rFonts w:ascii="Franklin Gothic Book" w:hAnsi="Franklin Gothic Book"/>
            <w:iCs/>
            <w:sz w:val="22"/>
          </w:rPr>
          <w:t>visit the MSAC website</w:t>
        </w:r>
      </w:hyperlink>
    </w:p>
    <w:sectPr w:rsidR="00247B6B" w:rsidRPr="00A66806" w:rsidSect="006B0541">
      <w:headerReference w:type="even" r:id="rId31"/>
      <w:headerReference w:type="default" r:id="rId32"/>
      <w:footerReference w:type="even" r:id="rId33"/>
      <w:footerReference w:type="default" r:id="rId34"/>
      <w:headerReference w:type="first" r:id="rId35"/>
      <w:footerReference w:type="first" r:id="rId36"/>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53B72" w14:textId="77777777" w:rsidR="00D858E3" w:rsidRDefault="00D858E3" w:rsidP="00B62DF2">
      <w:pPr>
        <w:spacing w:after="0" w:line="240" w:lineRule="auto"/>
      </w:pPr>
      <w:r>
        <w:separator/>
      </w:r>
    </w:p>
  </w:endnote>
  <w:endnote w:type="continuationSeparator" w:id="0">
    <w:p w14:paraId="38D20B45" w14:textId="77777777" w:rsidR="00D858E3" w:rsidRDefault="00D858E3" w:rsidP="00B62DF2">
      <w:pPr>
        <w:spacing w:after="0" w:line="240" w:lineRule="auto"/>
      </w:pPr>
      <w:r>
        <w:continuationSeparator/>
      </w:r>
    </w:p>
  </w:endnote>
  <w:endnote w:type="continuationNotice" w:id="1">
    <w:p w14:paraId="49359866" w14:textId="77777777" w:rsidR="00D858E3" w:rsidRDefault="00D858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053A4FC9" w:rsidR="005947B5" w:rsidRDefault="005947B5" w:rsidP="00247B6B">
        <w:pPr>
          <w:pStyle w:val="Footer"/>
          <w:tabs>
            <w:tab w:val="clear" w:pos="4513"/>
          </w:tabs>
          <w:jc w:val="right"/>
        </w:pPr>
        <w:r>
          <w:fldChar w:fldCharType="begin"/>
        </w:r>
        <w:r>
          <w:instrText xml:space="preserve"> PAGE   \* MERGEFORMAT </w:instrText>
        </w:r>
        <w:r>
          <w:fldChar w:fldCharType="separate"/>
        </w:r>
        <w:r w:rsidR="00120BD3">
          <w:rPr>
            <w:noProof/>
          </w:rPr>
          <w:t>22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52323A8E" w:rsidR="005947B5" w:rsidRDefault="005947B5" w:rsidP="00247B6B">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B314" w14:textId="77777777" w:rsidR="00F80A00" w:rsidRDefault="00F80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2611" w14:textId="77777777" w:rsidR="00D858E3" w:rsidRDefault="00D858E3" w:rsidP="00B62DF2">
      <w:pPr>
        <w:spacing w:after="0" w:line="240" w:lineRule="auto"/>
      </w:pPr>
      <w:r>
        <w:separator/>
      </w:r>
    </w:p>
  </w:footnote>
  <w:footnote w:type="continuationSeparator" w:id="0">
    <w:p w14:paraId="642A586F" w14:textId="77777777" w:rsidR="00D858E3" w:rsidRDefault="00D858E3" w:rsidP="00B62DF2">
      <w:pPr>
        <w:spacing w:after="0" w:line="240" w:lineRule="auto"/>
      </w:pPr>
      <w:r>
        <w:continuationSeparator/>
      </w:r>
    </w:p>
  </w:footnote>
  <w:footnote w:type="continuationNotice" w:id="1">
    <w:p w14:paraId="698FD114" w14:textId="77777777" w:rsidR="00D858E3" w:rsidRDefault="00D858E3">
      <w:pPr>
        <w:spacing w:before="0" w:after="0" w:line="240" w:lineRule="auto"/>
      </w:pPr>
    </w:p>
  </w:footnote>
  <w:footnote w:id="2">
    <w:p w14:paraId="0750DACA" w14:textId="3C13F5A6" w:rsidR="003427EC" w:rsidRDefault="003427EC">
      <w:pPr>
        <w:pStyle w:val="FootnoteText"/>
      </w:pPr>
      <w:r w:rsidRPr="009F676B">
        <w:rPr>
          <w:rStyle w:val="FootnoteReference"/>
        </w:rPr>
        <w:footnoteRef/>
      </w:r>
      <w:r w:rsidRPr="009F676B">
        <w:t xml:space="preserve"> Räber L, Mintz GS, Koskinas KC, Johnson TW, Holm NR</w:t>
      </w:r>
      <w:r w:rsidR="00154771" w:rsidRPr="00EB4345">
        <w:t>,</w:t>
      </w:r>
      <w:r w:rsidRPr="009F676B">
        <w:t xml:space="preserve"> Onuma</w:t>
      </w:r>
      <w:r w:rsidR="00154771" w:rsidRPr="00EB4345">
        <w:t xml:space="preserve"> Y, </w:t>
      </w:r>
      <w:r w:rsidR="003C22EA" w:rsidRPr="00EB4345">
        <w:t>Radu MD, Joner M, Yu B, Jia H, Menev</w:t>
      </w:r>
      <w:r w:rsidR="00C63D9C" w:rsidRPr="00EB4345">
        <w:t xml:space="preserve">eau N, de la Torre Hernandez JM, Escaned J, Hill J, Prati F, Colonbo A, </w:t>
      </w:r>
      <w:r w:rsidR="00504009" w:rsidRPr="00EB4345">
        <w:t xml:space="preserve">di Mario C, Regar E, Capodanno D, Wijns W, </w:t>
      </w:r>
      <w:r w:rsidR="00380338" w:rsidRPr="00EB4345">
        <w:t xml:space="preserve">Byrne RA, </w:t>
      </w:r>
      <w:r w:rsidRPr="009F676B">
        <w:t>Guagliumi</w:t>
      </w:r>
      <w:r w:rsidR="00446CBF" w:rsidRPr="00EB4345">
        <w:t xml:space="preserve"> G</w:t>
      </w:r>
      <w:r w:rsidR="00380338" w:rsidRPr="00EB4345">
        <w:t>, ESC Scientific Document Group</w:t>
      </w:r>
      <w:r w:rsidRPr="009F676B">
        <w:t xml:space="preserve"> (2018) </w:t>
      </w:r>
      <w:r w:rsidR="00F34C9E" w:rsidRPr="00EB4345">
        <w:t>‘</w:t>
      </w:r>
      <w:r w:rsidRPr="009F676B">
        <w:t>Clinical use of intracoronary imaging. Part 1: guidance and optimization of coronary interventions. An expert consensus document of the European Association of Percutaneous Cardiovascular Interventions</w:t>
      </w:r>
      <w:r w:rsidR="00F34C9E" w:rsidRPr="00EB4345">
        <w:t>’,</w:t>
      </w:r>
      <w:r w:rsidRPr="009F676B">
        <w:t xml:space="preserve"> </w:t>
      </w:r>
      <w:r w:rsidRPr="00EB4345">
        <w:rPr>
          <w:i/>
          <w:iCs/>
        </w:rPr>
        <w:t xml:space="preserve">Eur </w:t>
      </w:r>
      <w:r w:rsidR="00F34C9E" w:rsidRPr="00EB4345">
        <w:rPr>
          <w:i/>
          <w:iCs/>
        </w:rPr>
        <w:t>H</w:t>
      </w:r>
      <w:r w:rsidRPr="00EB4345">
        <w:rPr>
          <w:i/>
          <w:iCs/>
        </w:rPr>
        <w:t xml:space="preserve">eart </w:t>
      </w:r>
      <w:r w:rsidR="00335F13" w:rsidRPr="00EB4345">
        <w:rPr>
          <w:i/>
          <w:iCs/>
        </w:rPr>
        <w:t>J</w:t>
      </w:r>
      <w:r w:rsidRPr="009F676B">
        <w:t>, 39(35), 3281-3300</w:t>
      </w:r>
      <w:r w:rsidR="0005326C" w:rsidRPr="009F676B">
        <w:t>, doi: 10.1093/eurheartj/ehy285</w:t>
      </w:r>
      <w:r w:rsidR="00154771" w:rsidRPr="009F676B">
        <w:t>.</w:t>
      </w:r>
    </w:p>
  </w:footnote>
  <w:footnote w:id="3">
    <w:p w14:paraId="51A2D05A" w14:textId="6B55FF6D" w:rsidR="001B5E9C" w:rsidRDefault="001B5E9C" w:rsidP="001B5E9C">
      <w:pPr>
        <w:pStyle w:val="FootnoteText"/>
      </w:pPr>
      <w:r>
        <w:rPr>
          <w:rStyle w:val="FootnoteReference"/>
        </w:rPr>
        <w:footnoteRef/>
      </w:r>
      <w:r>
        <w:t xml:space="preserve"> </w:t>
      </w:r>
      <w:r w:rsidR="00007D00">
        <w:t>Defined as</w:t>
      </w:r>
      <w:r w:rsidRPr="002B3EFC">
        <w:t xml:space="preserve"> unprotected left main disease, bifurcation disease, aorto-ostial lesion, chronic total occlusion, severely calcified lesion, in-stent </w:t>
      </w:r>
      <w:r w:rsidRPr="002B3EFC">
        <w:t xml:space="preserve">restenotic lesion, long diffuse lesion (i.e. stent length &gt;38 mm of treated segment), or multivessel PCI involving at least </w:t>
      </w:r>
      <w:r>
        <w:t>two</w:t>
      </w:r>
      <w:r w:rsidRPr="002B3EFC">
        <w:t xml:space="preserve"> major epicardial coronary arteries being treated at the index hospitalisation.</w:t>
      </w:r>
    </w:p>
  </w:footnote>
  <w:footnote w:id="4">
    <w:p w14:paraId="75BE472A" w14:textId="71F9DED2" w:rsidR="00F51AEA" w:rsidRDefault="00F51AEA">
      <w:pPr>
        <w:pStyle w:val="FootnoteText"/>
      </w:pPr>
      <w:r>
        <w:rPr>
          <w:rStyle w:val="FootnoteReference"/>
        </w:rPr>
        <w:footnoteRef/>
      </w:r>
      <w:r>
        <w:t xml:space="preserve"> </w:t>
      </w:r>
      <w:r w:rsidRPr="00F51AEA">
        <w:t>Zhou J, Liew D, Duffy SJ, Shaw J, Walton A, Chan W, Gerber R, Stub D</w:t>
      </w:r>
      <w:r>
        <w:t xml:space="preserve"> (2021)</w:t>
      </w:r>
      <w:r w:rsidRPr="00F51AEA">
        <w:t xml:space="preserve"> </w:t>
      </w:r>
      <w:r>
        <w:t>‘</w:t>
      </w:r>
      <w:r w:rsidRPr="00F51AEA">
        <w:t xml:space="preserve">Intravascular </w:t>
      </w:r>
      <w:r>
        <w:t>u</w:t>
      </w:r>
      <w:r w:rsidRPr="00F51AEA">
        <w:t xml:space="preserve">ltrasound </w:t>
      </w:r>
      <w:r>
        <w:t>v</w:t>
      </w:r>
      <w:r w:rsidRPr="00F51AEA">
        <w:t xml:space="preserve">ersus </w:t>
      </w:r>
      <w:r>
        <w:t>a</w:t>
      </w:r>
      <w:r w:rsidRPr="00F51AEA">
        <w:t>ngiography-</w:t>
      </w:r>
      <w:r>
        <w:t>g</w:t>
      </w:r>
      <w:r w:rsidRPr="00F51AEA">
        <w:t xml:space="preserve">uided </w:t>
      </w:r>
      <w:r>
        <w:t>d</w:t>
      </w:r>
      <w:r w:rsidRPr="00F51AEA">
        <w:t>rug-</w:t>
      </w:r>
      <w:r>
        <w:t>e</w:t>
      </w:r>
      <w:r w:rsidRPr="00F51AEA">
        <w:t xml:space="preserve">luting </w:t>
      </w:r>
      <w:r>
        <w:t>s</w:t>
      </w:r>
      <w:r w:rsidRPr="00F51AEA">
        <w:t xml:space="preserve">tent </w:t>
      </w:r>
      <w:r>
        <w:t>i</w:t>
      </w:r>
      <w:r w:rsidRPr="00F51AEA">
        <w:t xml:space="preserve">mplantation: A </w:t>
      </w:r>
      <w:r>
        <w:t>h</w:t>
      </w:r>
      <w:r w:rsidRPr="00F51AEA">
        <w:t xml:space="preserve">ealth </w:t>
      </w:r>
      <w:r>
        <w:t>e</w:t>
      </w:r>
      <w:r w:rsidRPr="00F51AEA">
        <w:t xml:space="preserve">conomic </w:t>
      </w:r>
      <w:r>
        <w:t>a</w:t>
      </w:r>
      <w:r w:rsidRPr="00F51AEA">
        <w:t>nalysis</w:t>
      </w:r>
      <w:r>
        <w:t>’,</w:t>
      </w:r>
      <w:r w:rsidRPr="00F51AEA">
        <w:t xml:space="preserve"> </w:t>
      </w:r>
      <w:r w:rsidRPr="009102DB">
        <w:rPr>
          <w:i/>
          <w:iCs/>
        </w:rPr>
        <w:t>Circ Cardiovasc Qual Outcomes</w:t>
      </w:r>
      <w:r>
        <w:t>,</w:t>
      </w:r>
      <w:r w:rsidRPr="00F51AEA">
        <w:t xml:space="preserve"> 14(5</w:t>
      </w:r>
      <w:r w:rsidRPr="00F51AEA">
        <w:t>)</w:t>
      </w:r>
      <w:r w:rsidR="00614E4B">
        <w:t>:e006789</w:t>
      </w:r>
      <w:r w:rsidR="002C2759">
        <w:t xml:space="preserve">, </w:t>
      </w:r>
      <w:r w:rsidR="002C2759">
        <w:t xml:space="preserve">doi: </w:t>
      </w:r>
      <w:r w:rsidR="002C2759" w:rsidRPr="002C2759">
        <w:t>10.1161/CIRCOUTCOMES.120.006789</w:t>
      </w:r>
      <w:r w:rsidRPr="00F51AEA">
        <w:t>.</w:t>
      </w:r>
    </w:p>
  </w:footnote>
  <w:footnote w:id="5">
    <w:p w14:paraId="680EA6B7" w14:textId="77777777" w:rsidR="00247B6B" w:rsidRPr="001F57D2" w:rsidRDefault="00247B6B" w:rsidP="00247B6B">
      <w:pPr>
        <w:pStyle w:val="Tablenotes"/>
        <w:rPr>
          <w:rFonts w:ascii="Franklin Gothic Book" w:eastAsia="Franklin Gothic Book" w:hAnsi="Franklin Gothic Book"/>
          <w:color w:val="000000" w:themeColor="text1"/>
          <w:sz w:val="16"/>
          <w:szCs w:val="16"/>
          <w:lang w:val="en-US"/>
        </w:rPr>
      </w:pPr>
      <w:r w:rsidRPr="001F57D2">
        <w:rPr>
          <w:rStyle w:val="FootnoteReference"/>
          <w:rFonts w:ascii="Franklin Gothic Book" w:eastAsia="Franklin Gothic Book" w:hAnsi="Franklin Gothic Book" w:cs="Franklin Gothic Book"/>
          <w:sz w:val="16"/>
          <w:szCs w:val="16"/>
        </w:rPr>
        <w:footnoteRef/>
      </w:r>
      <w:r w:rsidRPr="001F57D2">
        <w:rPr>
          <w:rFonts w:ascii="Franklin Gothic Book" w:eastAsia="Franklin Gothic Book" w:hAnsi="Franklin Gothic Book"/>
          <w:sz w:val="16"/>
          <w:szCs w:val="16"/>
        </w:rPr>
        <w:t xml:space="preserve"> </w:t>
      </w:r>
      <w:r w:rsidRPr="001F57D2">
        <w:rPr>
          <w:rFonts w:ascii="Franklin Gothic Book" w:eastAsia="Franklin Gothic Book" w:hAnsi="Franklin Gothic Book"/>
          <w:color w:val="000000" w:themeColor="text1"/>
          <w:sz w:val="16"/>
          <w:szCs w:val="16"/>
        </w:rPr>
        <w:t xml:space="preserve">Räber et al. </w:t>
      </w:r>
      <w:r w:rsidRPr="001F57D2">
        <w:rPr>
          <w:rFonts w:ascii="Franklin Gothic Book" w:eastAsia="Franklin Gothic Book" w:hAnsi="Franklin Gothic Book"/>
          <w:color w:val="000000" w:themeColor="text1"/>
          <w:sz w:val="16"/>
          <w:szCs w:val="16"/>
          <w:lang w:val="en-US"/>
        </w:rPr>
        <w:t xml:space="preserve">(2018). </w:t>
      </w:r>
      <w:r w:rsidRPr="00CA5D4C">
        <w:rPr>
          <w:rFonts w:eastAsia="Franklin Gothic Book"/>
          <w:sz w:val="16"/>
          <w:szCs w:val="16"/>
        </w:rPr>
        <w:t>Clinical use of intracoronary imaging. Part 1: guidance and optimization of coronary interventions. An expert consensus document of the European Association of Percutaneous Cardiovascular Interventions</w:t>
      </w:r>
      <w:r w:rsidRPr="001F57D2">
        <w:rPr>
          <w:rFonts w:ascii="Franklin Gothic Book" w:eastAsia="Franklin Gothic Book" w:hAnsi="Franklin Gothic Book"/>
          <w:color w:val="000000" w:themeColor="text1"/>
          <w:sz w:val="16"/>
          <w:szCs w:val="16"/>
          <w:lang w:val="en-US"/>
        </w:rPr>
        <w:t>. Eur Heart J 39(35):3281–3300.</w:t>
      </w:r>
    </w:p>
  </w:footnote>
  <w:footnote w:id="6">
    <w:p w14:paraId="151EB464" w14:textId="77777777" w:rsidR="00247B6B" w:rsidRDefault="00247B6B" w:rsidP="00247B6B">
      <w:pPr>
        <w:pStyle w:val="FootnoteText"/>
      </w:pPr>
      <w:r>
        <w:rPr>
          <w:rStyle w:val="FootnoteReference"/>
        </w:rPr>
        <w:footnoteRef/>
      </w:r>
      <w:r>
        <w:t xml:space="preserve"> </w:t>
      </w:r>
      <w:r w:rsidRPr="00604ED9">
        <w:rPr>
          <w:rFonts w:ascii="Franklin Gothic Book" w:hAnsi="Franklin Gothic Book"/>
          <w:sz w:val="16"/>
          <w:szCs w:val="16"/>
        </w:rPr>
        <w:t xml:space="preserve">Stone et al. (2024). </w:t>
      </w:r>
      <w:hyperlink r:id="rId1" w:history="1">
        <w:r w:rsidRPr="00604ED9">
          <w:rPr>
            <w:rStyle w:val="Hyperlink"/>
            <w:rFonts w:ascii="Franklin Gothic Book" w:hAnsi="Franklin Gothic Book"/>
            <w:sz w:val="16"/>
            <w:szCs w:val="16"/>
          </w:rPr>
          <w:t>Intravascular imaging-guided coronary drug-eluting stent implantation: an updated network meta-analysis</w:t>
        </w:r>
      </w:hyperlink>
      <w:r w:rsidRPr="00604ED9">
        <w:rPr>
          <w:rFonts w:ascii="Franklin Gothic Book" w:hAnsi="Franklin Gothic Book"/>
          <w:sz w:val="16"/>
          <w:szCs w:val="16"/>
        </w:rPr>
        <w:t>. Lancet 403(10429):824–837.</w:t>
      </w:r>
    </w:p>
  </w:footnote>
  <w:footnote w:id="7">
    <w:p w14:paraId="55FB281C" w14:textId="77777777" w:rsidR="00247B6B" w:rsidRDefault="00247B6B" w:rsidP="00247B6B">
      <w:pPr>
        <w:pStyle w:val="FootnoteText"/>
      </w:pPr>
      <w:r>
        <w:rPr>
          <w:rStyle w:val="FootnoteReference"/>
        </w:rPr>
        <w:footnoteRef/>
      </w:r>
      <w:r>
        <w:t xml:space="preserve"> </w:t>
      </w:r>
      <w:r w:rsidRPr="00604ED9">
        <w:rPr>
          <w:rFonts w:ascii="Franklin Gothic Book" w:hAnsi="Franklin Gothic Book" w:cs="Segoe UI"/>
          <w:color w:val="212121"/>
          <w:sz w:val="16"/>
          <w:szCs w:val="16"/>
          <w:shd w:val="clear" w:color="auto" w:fill="FFFFFF"/>
        </w:rPr>
        <w:t xml:space="preserve">Zhou J, Liew D, Duffy SJ, Shaw J, Walton A, Chan W, Gerber R, Stub D. </w:t>
      </w:r>
      <w:hyperlink r:id="rId2" w:history="1">
        <w:r w:rsidRPr="00604ED9">
          <w:rPr>
            <w:rStyle w:val="Hyperlink"/>
            <w:rFonts w:ascii="Franklin Gothic Book" w:hAnsi="Franklin Gothic Book" w:cs="Segoe UI"/>
            <w:sz w:val="16"/>
            <w:szCs w:val="16"/>
            <w:shd w:val="clear" w:color="auto" w:fill="FFFFFF"/>
          </w:rPr>
          <w:t>Intravascular Ultrasound Versus Angiography-Guided Drug-Eluting Stent Implantation: A Health Economic Analysis. Circ Cardiovasc Qual Outcomes. 2021 May;14(5</w:t>
        </w:r>
        <w:r w:rsidRPr="00604ED9">
          <w:rPr>
            <w:rStyle w:val="Hyperlink"/>
            <w:rFonts w:ascii="Franklin Gothic Book" w:hAnsi="Franklin Gothic Book" w:cs="Segoe UI"/>
            <w:sz w:val="16"/>
            <w:szCs w:val="16"/>
            <w:shd w:val="clear" w:color="auto" w:fill="FFFFFF"/>
          </w:rPr>
          <w:t>):e006789</w:t>
        </w:r>
      </w:hyperlink>
      <w:r w:rsidRPr="00604ED9">
        <w:rPr>
          <w:rFonts w:ascii="Franklin Gothic Book" w:hAnsi="Franklin Gothic Book" w:cs="Segoe UI"/>
          <w:color w:val="212121"/>
          <w:sz w:val="16"/>
          <w:szCs w:val="16"/>
          <w:shd w:val="clear" w:color="auto" w:fill="FFFFFF"/>
        </w:rPr>
        <w:t xml:space="preserve">. </w:t>
      </w:r>
      <w:r w:rsidRPr="00604ED9">
        <w:rPr>
          <w:rFonts w:ascii="Franklin Gothic Book" w:hAnsi="Franklin Gothic Book" w:cs="Segoe UI"/>
          <w:color w:val="212121"/>
          <w:sz w:val="16"/>
          <w:szCs w:val="16"/>
          <w:shd w:val="clear" w:color="auto" w:fill="FFFFFF"/>
        </w:rPr>
        <w:t>doi: 10.1161/CIRCOUTCOMES.120.006789. Epub 2021 May 18. PMID: 34003686.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3057" w14:textId="77777777" w:rsidR="00F80A00" w:rsidRDefault="00F80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E6B6" w14:textId="77777777" w:rsidR="00F80A00" w:rsidRDefault="00F80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C862" w14:textId="77777777" w:rsidR="00F80A00" w:rsidRDefault="00F80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243CFC"/>
    <w:lvl w:ilvl="0">
      <w:numFmt w:val="bullet"/>
      <w:lvlText w:val="*"/>
      <w:lvlJc w:val="left"/>
    </w:lvl>
  </w:abstractNum>
  <w:abstractNum w:abstractNumId="1"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3487E43"/>
    <w:multiLevelType w:val="hybridMultilevel"/>
    <w:tmpl w:val="5404871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3796257"/>
    <w:multiLevelType w:val="hybridMultilevel"/>
    <w:tmpl w:val="027A6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8764A"/>
    <w:multiLevelType w:val="hybridMultilevel"/>
    <w:tmpl w:val="730E50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A2099E"/>
    <w:multiLevelType w:val="hybridMultilevel"/>
    <w:tmpl w:val="4E7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B9778E"/>
    <w:multiLevelType w:val="hybridMultilevel"/>
    <w:tmpl w:val="935E1790"/>
    <w:lvl w:ilvl="0" w:tplc="6182266A">
      <w:start w:val="1"/>
      <w:numFmt w:val="bullet"/>
      <w:lvlText w:val=""/>
      <w:lvlJc w:val="left"/>
      <w:pPr>
        <w:ind w:left="1300" w:hanging="360"/>
      </w:pPr>
      <w:rPr>
        <w:rFonts w:ascii="Symbol" w:hAnsi="Symbol"/>
      </w:rPr>
    </w:lvl>
    <w:lvl w:ilvl="1" w:tplc="295E3FE2">
      <w:start w:val="1"/>
      <w:numFmt w:val="bullet"/>
      <w:lvlText w:val=""/>
      <w:lvlJc w:val="left"/>
      <w:pPr>
        <w:ind w:left="1300" w:hanging="360"/>
      </w:pPr>
      <w:rPr>
        <w:rFonts w:ascii="Symbol" w:hAnsi="Symbol"/>
      </w:rPr>
    </w:lvl>
    <w:lvl w:ilvl="2" w:tplc="0C9613B2">
      <w:start w:val="1"/>
      <w:numFmt w:val="bullet"/>
      <w:lvlText w:val=""/>
      <w:lvlJc w:val="left"/>
      <w:pPr>
        <w:ind w:left="1300" w:hanging="360"/>
      </w:pPr>
      <w:rPr>
        <w:rFonts w:ascii="Symbol" w:hAnsi="Symbol"/>
      </w:rPr>
    </w:lvl>
    <w:lvl w:ilvl="3" w:tplc="05840F6A">
      <w:start w:val="1"/>
      <w:numFmt w:val="bullet"/>
      <w:lvlText w:val=""/>
      <w:lvlJc w:val="left"/>
      <w:pPr>
        <w:ind w:left="1300" w:hanging="360"/>
      </w:pPr>
      <w:rPr>
        <w:rFonts w:ascii="Symbol" w:hAnsi="Symbol"/>
      </w:rPr>
    </w:lvl>
    <w:lvl w:ilvl="4" w:tplc="CEF2CAA6">
      <w:start w:val="1"/>
      <w:numFmt w:val="bullet"/>
      <w:lvlText w:val=""/>
      <w:lvlJc w:val="left"/>
      <w:pPr>
        <w:ind w:left="1300" w:hanging="360"/>
      </w:pPr>
      <w:rPr>
        <w:rFonts w:ascii="Symbol" w:hAnsi="Symbol"/>
      </w:rPr>
    </w:lvl>
    <w:lvl w:ilvl="5" w:tplc="E8D01528">
      <w:start w:val="1"/>
      <w:numFmt w:val="bullet"/>
      <w:lvlText w:val=""/>
      <w:lvlJc w:val="left"/>
      <w:pPr>
        <w:ind w:left="1300" w:hanging="360"/>
      </w:pPr>
      <w:rPr>
        <w:rFonts w:ascii="Symbol" w:hAnsi="Symbol"/>
      </w:rPr>
    </w:lvl>
    <w:lvl w:ilvl="6" w:tplc="14DC7962">
      <w:start w:val="1"/>
      <w:numFmt w:val="bullet"/>
      <w:lvlText w:val=""/>
      <w:lvlJc w:val="left"/>
      <w:pPr>
        <w:ind w:left="1300" w:hanging="360"/>
      </w:pPr>
      <w:rPr>
        <w:rFonts w:ascii="Symbol" w:hAnsi="Symbol"/>
      </w:rPr>
    </w:lvl>
    <w:lvl w:ilvl="7" w:tplc="24E6F5E8">
      <w:start w:val="1"/>
      <w:numFmt w:val="bullet"/>
      <w:lvlText w:val=""/>
      <w:lvlJc w:val="left"/>
      <w:pPr>
        <w:ind w:left="1300" w:hanging="360"/>
      </w:pPr>
      <w:rPr>
        <w:rFonts w:ascii="Symbol" w:hAnsi="Symbol"/>
      </w:rPr>
    </w:lvl>
    <w:lvl w:ilvl="8" w:tplc="678AA378">
      <w:start w:val="1"/>
      <w:numFmt w:val="bullet"/>
      <w:lvlText w:val=""/>
      <w:lvlJc w:val="left"/>
      <w:pPr>
        <w:ind w:left="1300" w:hanging="360"/>
      </w:pPr>
      <w:rPr>
        <w:rFonts w:ascii="Symbol" w:hAnsi="Symbol"/>
      </w:rPr>
    </w:lvl>
  </w:abstractNum>
  <w:abstractNum w:abstractNumId="7" w15:restartNumberingAfterBreak="0">
    <w:nsid w:val="0E810B49"/>
    <w:multiLevelType w:val="hybridMultilevel"/>
    <w:tmpl w:val="36D887CE"/>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BF58AF"/>
    <w:multiLevelType w:val="hybridMultilevel"/>
    <w:tmpl w:val="086A33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F53AFE"/>
    <w:multiLevelType w:val="hybridMultilevel"/>
    <w:tmpl w:val="18828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C73C39"/>
    <w:multiLevelType w:val="hybridMultilevel"/>
    <w:tmpl w:val="0BE25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DF0490"/>
    <w:multiLevelType w:val="hybridMultilevel"/>
    <w:tmpl w:val="0CEAAB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9F3096"/>
    <w:multiLevelType w:val="hybridMultilevel"/>
    <w:tmpl w:val="54E084D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1503589"/>
    <w:multiLevelType w:val="hybridMultilevel"/>
    <w:tmpl w:val="D86A056C"/>
    <w:lvl w:ilvl="0" w:tplc="AB9AC096">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9" w15:restartNumberingAfterBreak="0">
    <w:nsid w:val="25E334E2"/>
    <w:multiLevelType w:val="hybridMultilevel"/>
    <w:tmpl w:val="009A67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3C147C"/>
    <w:multiLevelType w:val="hybridMultilevel"/>
    <w:tmpl w:val="FB4AD5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AC86B4C"/>
    <w:multiLevelType w:val="hybridMultilevel"/>
    <w:tmpl w:val="3614FB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B1F756D"/>
    <w:multiLevelType w:val="hybridMultilevel"/>
    <w:tmpl w:val="97225E9A"/>
    <w:lvl w:ilvl="0" w:tplc="32765AD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BBF668C"/>
    <w:multiLevelType w:val="hybridMultilevel"/>
    <w:tmpl w:val="9876954C"/>
    <w:lvl w:ilvl="0" w:tplc="50CAEA1A">
      <w:start w:val="1"/>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500F15"/>
    <w:multiLevelType w:val="hybridMultilevel"/>
    <w:tmpl w:val="EFFAF71A"/>
    <w:lvl w:ilvl="0" w:tplc="A68AA7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37433F3"/>
    <w:multiLevelType w:val="hybridMultilevel"/>
    <w:tmpl w:val="4596D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E7C5DF5"/>
    <w:multiLevelType w:val="hybridMultilevel"/>
    <w:tmpl w:val="9220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0E76D3"/>
    <w:multiLevelType w:val="hybridMultilevel"/>
    <w:tmpl w:val="BF1AF8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496164C7"/>
    <w:multiLevelType w:val="hybridMultilevel"/>
    <w:tmpl w:val="FC8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A8F0EEE"/>
    <w:multiLevelType w:val="hybridMultilevel"/>
    <w:tmpl w:val="A120CF0E"/>
    <w:lvl w:ilvl="0" w:tplc="AB9AC096">
      <w:numFmt w:val="bullet"/>
      <w:lvlText w:val="–"/>
      <w:lvlJc w:val="left"/>
      <w:pPr>
        <w:ind w:left="851" w:hanging="491"/>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5B0C9B"/>
    <w:multiLevelType w:val="hybridMultilevel"/>
    <w:tmpl w:val="7416D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4255C0"/>
    <w:multiLevelType w:val="hybridMultilevel"/>
    <w:tmpl w:val="D998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A206DA"/>
    <w:multiLevelType w:val="hybridMultilevel"/>
    <w:tmpl w:val="2CA6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3B7C4E"/>
    <w:multiLevelType w:val="hybridMultilevel"/>
    <w:tmpl w:val="FD14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7A5E54"/>
    <w:multiLevelType w:val="hybridMultilevel"/>
    <w:tmpl w:val="BB2639BA"/>
    <w:lvl w:ilvl="0" w:tplc="0C090019">
      <w:start w:val="1"/>
      <w:numFmt w:val="lowerLetter"/>
      <w:lvlText w:val="%1."/>
      <w:lvlJc w:val="left"/>
      <w:pPr>
        <w:tabs>
          <w:tab w:val="num" w:pos="360"/>
        </w:tabs>
        <w:ind w:left="360" w:hanging="360"/>
      </w:pPr>
      <w:rPr>
        <w:rFont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69EE2789"/>
    <w:multiLevelType w:val="hybridMultilevel"/>
    <w:tmpl w:val="EA2AE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0F5112"/>
    <w:multiLevelType w:val="hybridMultilevel"/>
    <w:tmpl w:val="6FCA1548"/>
    <w:lvl w:ilvl="0" w:tplc="C02A822C">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A11FDB"/>
    <w:multiLevelType w:val="hybridMultilevel"/>
    <w:tmpl w:val="D7509F20"/>
    <w:lvl w:ilvl="0" w:tplc="A0D0DDA0">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C64334"/>
    <w:multiLevelType w:val="hybridMultilevel"/>
    <w:tmpl w:val="29924DBA"/>
    <w:lvl w:ilvl="0" w:tplc="FFFFFFFF">
      <w:start w:val="1"/>
      <w:numFmt w:val="bullet"/>
      <w:lvlText w:val="•"/>
      <w:lvlJc w:val="left"/>
      <w:pPr>
        <w:tabs>
          <w:tab w:val="num" w:pos="-1080"/>
        </w:tabs>
        <w:ind w:left="-1080" w:hanging="360"/>
      </w:pPr>
      <w:rPr>
        <w:rFonts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cs="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cs="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5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5808F5"/>
    <w:multiLevelType w:val="hybridMultilevel"/>
    <w:tmpl w:val="A5F4346E"/>
    <w:lvl w:ilvl="0" w:tplc="AB9AC096">
      <w:numFmt w:val="bullet"/>
      <w:lvlText w:val="–"/>
      <w:lvlJc w:val="left"/>
      <w:pPr>
        <w:ind w:left="851" w:hanging="491"/>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E81FDC"/>
    <w:multiLevelType w:val="hybridMultilevel"/>
    <w:tmpl w:val="D5C698E8"/>
    <w:lvl w:ilvl="0" w:tplc="A79EC4F8">
      <w:start w:val="1"/>
      <w:numFmt w:val="bullet"/>
      <w:pStyle w:val="BulletBeforeDash"/>
      <w:lvlText w:val="•"/>
      <w:lvlJc w:val="left"/>
      <w:pPr>
        <w:tabs>
          <w:tab w:val="num" w:pos="-1080"/>
        </w:tabs>
        <w:ind w:left="-1080" w:hanging="360"/>
      </w:pPr>
      <w:rPr>
        <w:rFonts w:hint="default"/>
      </w:rPr>
    </w:lvl>
    <w:lvl w:ilvl="1" w:tplc="0C090003">
      <w:start w:val="1"/>
      <w:numFmt w:val="bullet"/>
      <w:lvlText w:val="o"/>
      <w:lvlJc w:val="left"/>
      <w:pPr>
        <w:tabs>
          <w:tab w:val="num" w:pos="0"/>
        </w:tabs>
        <w:ind w:left="0" w:hanging="360"/>
      </w:pPr>
      <w:rPr>
        <w:rFonts w:ascii="Courier New" w:hAnsi="Courier New" w:cs="Courier New" w:hint="default"/>
      </w:rPr>
    </w:lvl>
    <w:lvl w:ilvl="2" w:tplc="0C090005">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54" w15:restartNumberingAfterBreak="0">
    <w:nsid w:val="7B414A06"/>
    <w:multiLevelType w:val="hybridMultilevel"/>
    <w:tmpl w:val="06C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29"/>
  </w:num>
  <w:num w:numId="2" w16cid:durableId="1270162788">
    <w:abstractNumId w:val="55"/>
  </w:num>
  <w:num w:numId="3" w16cid:durableId="1754930659">
    <w:abstractNumId w:val="9"/>
  </w:num>
  <w:num w:numId="4" w16cid:durableId="410388863">
    <w:abstractNumId w:val="18"/>
  </w:num>
  <w:num w:numId="5" w16cid:durableId="1821774551">
    <w:abstractNumId w:val="51"/>
  </w:num>
  <w:num w:numId="6" w16cid:durableId="758334604">
    <w:abstractNumId w:val="20"/>
  </w:num>
  <w:num w:numId="7" w16cid:durableId="1414619933">
    <w:abstractNumId w:val="22"/>
  </w:num>
  <w:num w:numId="8" w16cid:durableId="747844684">
    <w:abstractNumId w:val="27"/>
  </w:num>
  <w:num w:numId="9" w16cid:durableId="1180662619">
    <w:abstractNumId w:val="37"/>
  </w:num>
  <w:num w:numId="10" w16cid:durableId="2060005600">
    <w:abstractNumId w:val="39"/>
  </w:num>
  <w:num w:numId="11" w16cid:durableId="395785826">
    <w:abstractNumId w:val="49"/>
  </w:num>
  <w:num w:numId="12" w16cid:durableId="1243417862">
    <w:abstractNumId w:val="47"/>
  </w:num>
  <w:num w:numId="13" w16cid:durableId="824467576">
    <w:abstractNumId w:val="35"/>
  </w:num>
  <w:num w:numId="14" w16cid:durableId="894973878">
    <w:abstractNumId w:val="53"/>
  </w:num>
  <w:num w:numId="15" w16cid:durableId="88241826">
    <w:abstractNumId w:val="12"/>
  </w:num>
  <w:num w:numId="16" w16cid:durableId="1880437056">
    <w:abstractNumId w:val="45"/>
  </w:num>
  <w:num w:numId="17" w16cid:durableId="2081639206">
    <w:abstractNumId w:val="17"/>
  </w:num>
  <w:num w:numId="18" w16cid:durableId="935600010">
    <w:abstractNumId w:val="31"/>
  </w:num>
  <w:num w:numId="19" w16cid:durableId="717319707">
    <w:abstractNumId w:val="36"/>
  </w:num>
  <w:num w:numId="20" w16cid:durableId="1167213439">
    <w:abstractNumId w:val="44"/>
  </w:num>
  <w:num w:numId="21" w16cid:durableId="766192764">
    <w:abstractNumId w:val="7"/>
  </w:num>
  <w:num w:numId="22" w16cid:durableId="1545293962">
    <w:abstractNumId w:val="13"/>
  </w:num>
  <w:num w:numId="23" w16cid:durableId="1966231397">
    <w:abstractNumId w:val="43"/>
  </w:num>
  <w:num w:numId="24" w16cid:durableId="537358159">
    <w:abstractNumId w:val="38"/>
  </w:num>
  <w:num w:numId="25" w16cid:durableId="2056078063">
    <w:abstractNumId w:val="54"/>
  </w:num>
  <w:num w:numId="26" w16cid:durableId="2101947116">
    <w:abstractNumId w:val="42"/>
  </w:num>
  <w:num w:numId="27" w16cid:durableId="1486624296">
    <w:abstractNumId w:val="5"/>
  </w:num>
  <w:num w:numId="28" w16cid:durableId="1096706406">
    <w:abstractNumId w:val="41"/>
  </w:num>
  <w:num w:numId="29" w16cid:durableId="903876282">
    <w:abstractNumId w:val="33"/>
  </w:num>
  <w:num w:numId="30" w16cid:durableId="910966895">
    <w:abstractNumId w:val="19"/>
  </w:num>
  <w:num w:numId="31" w16cid:durableId="617838053">
    <w:abstractNumId w:val="23"/>
  </w:num>
  <w:num w:numId="32" w16cid:durableId="314575076">
    <w:abstractNumId w:val="11"/>
  </w:num>
  <w:num w:numId="33" w16cid:durableId="1414737293">
    <w:abstractNumId w:val="2"/>
  </w:num>
  <w:num w:numId="34" w16cid:durableId="920988303">
    <w:abstractNumId w:val="4"/>
  </w:num>
  <w:num w:numId="35" w16cid:durableId="1993289095">
    <w:abstractNumId w:val="32"/>
  </w:num>
  <w:num w:numId="36" w16cid:durableId="1319918792">
    <w:abstractNumId w:val="1"/>
  </w:num>
  <w:num w:numId="37" w16cid:durableId="632759583">
    <w:abstractNumId w:val="28"/>
  </w:num>
  <w:num w:numId="38" w16cid:durableId="1099061888">
    <w:abstractNumId w:val="46"/>
  </w:num>
  <w:num w:numId="39" w16cid:durableId="808012019">
    <w:abstractNumId w:val="8"/>
  </w:num>
  <w:num w:numId="40" w16cid:durableId="1425154226">
    <w:abstractNumId w:val="21"/>
  </w:num>
  <w:num w:numId="41" w16cid:durableId="101582668">
    <w:abstractNumId w:val="34"/>
  </w:num>
  <w:num w:numId="42" w16cid:durableId="731779165">
    <w:abstractNumId w:val="3"/>
  </w:num>
  <w:num w:numId="43" w16cid:durableId="1649285192">
    <w:abstractNumId w:val="40"/>
  </w:num>
  <w:num w:numId="44" w16cid:durableId="792479251">
    <w:abstractNumId w:val="52"/>
  </w:num>
  <w:num w:numId="45" w16cid:durableId="116604048">
    <w:abstractNumId w:val="30"/>
  </w:num>
  <w:num w:numId="46" w16cid:durableId="1780100498">
    <w:abstractNumId w:val="45"/>
    <w:lvlOverride w:ilvl="0">
      <w:startOverride w:val="1"/>
    </w:lvlOverride>
    <w:lvlOverride w:ilvl="1"/>
    <w:lvlOverride w:ilvl="2"/>
    <w:lvlOverride w:ilvl="3"/>
    <w:lvlOverride w:ilvl="4"/>
    <w:lvlOverride w:ilvl="5"/>
    <w:lvlOverride w:ilvl="6"/>
    <w:lvlOverride w:ilvl="7"/>
    <w:lvlOverride w:ilvl="8"/>
  </w:num>
  <w:num w:numId="47" w16cid:durableId="51196075">
    <w:abstractNumId w:val="0"/>
    <w:lvlOverride w:ilvl="0">
      <w:lvl w:ilvl="0">
        <w:numFmt w:val="bullet"/>
        <w:lvlText w:val=""/>
        <w:legacy w:legacy="1" w:legacySpace="0" w:legacyIndent="0"/>
        <w:lvlJc w:val="left"/>
        <w:rPr>
          <w:rFonts w:ascii="Symbol" w:hAnsi="Symbol" w:hint="default"/>
          <w:sz w:val="24"/>
        </w:rPr>
      </w:lvl>
    </w:lvlOverride>
  </w:num>
  <w:num w:numId="48" w16cid:durableId="868953241">
    <w:abstractNumId w:val="15"/>
  </w:num>
  <w:num w:numId="49" w16cid:durableId="825511446">
    <w:abstractNumId w:val="48"/>
  </w:num>
  <w:num w:numId="50" w16cid:durableId="1432237683">
    <w:abstractNumId w:val="50"/>
  </w:num>
  <w:num w:numId="51" w16cid:durableId="1557745138">
    <w:abstractNumId w:val="14"/>
  </w:num>
  <w:num w:numId="52" w16cid:durableId="1110246336">
    <w:abstractNumId w:val="24"/>
  </w:num>
  <w:num w:numId="53" w16cid:durableId="168104864">
    <w:abstractNumId w:val="10"/>
  </w:num>
  <w:num w:numId="54" w16cid:durableId="215824972">
    <w:abstractNumId w:val="25"/>
  </w:num>
  <w:num w:numId="55" w16cid:durableId="54937102">
    <w:abstractNumId w:val="16"/>
  </w:num>
  <w:num w:numId="56" w16cid:durableId="734091198">
    <w:abstractNumId w:val="26"/>
  </w:num>
  <w:num w:numId="57" w16cid:durableId="1868638262">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0DF"/>
    <w:rsid w:val="000004A0"/>
    <w:rsid w:val="0000074F"/>
    <w:rsid w:val="00000DBA"/>
    <w:rsid w:val="00000EE5"/>
    <w:rsid w:val="0000109A"/>
    <w:rsid w:val="00001104"/>
    <w:rsid w:val="000011D8"/>
    <w:rsid w:val="00001A3E"/>
    <w:rsid w:val="00001AE6"/>
    <w:rsid w:val="00001D55"/>
    <w:rsid w:val="00002CBC"/>
    <w:rsid w:val="00002DBA"/>
    <w:rsid w:val="00002ECF"/>
    <w:rsid w:val="0000339B"/>
    <w:rsid w:val="00003BF3"/>
    <w:rsid w:val="00003CBF"/>
    <w:rsid w:val="00003E01"/>
    <w:rsid w:val="00003E2E"/>
    <w:rsid w:val="00003E4E"/>
    <w:rsid w:val="00003EAF"/>
    <w:rsid w:val="00004462"/>
    <w:rsid w:val="00004D69"/>
    <w:rsid w:val="00004DFA"/>
    <w:rsid w:val="00004EAC"/>
    <w:rsid w:val="00004F7F"/>
    <w:rsid w:val="0000504E"/>
    <w:rsid w:val="000054C9"/>
    <w:rsid w:val="00005C07"/>
    <w:rsid w:val="0000628D"/>
    <w:rsid w:val="00007A21"/>
    <w:rsid w:val="00007C0D"/>
    <w:rsid w:val="00007D00"/>
    <w:rsid w:val="00007EB1"/>
    <w:rsid w:val="00007EDE"/>
    <w:rsid w:val="00010163"/>
    <w:rsid w:val="00010B81"/>
    <w:rsid w:val="00010DC0"/>
    <w:rsid w:val="000110C4"/>
    <w:rsid w:val="000110EE"/>
    <w:rsid w:val="00011223"/>
    <w:rsid w:val="00011274"/>
    <w:rsid w:val="00011402"/>
    <w:rsid w:val="00011568"/>
    <w:rsid w:val="000116F1"/>
    <w:rsid w:val="00012438"/>
    <w:rsid w:val="000124C9"/>
    <w:rsid w:val="0001294B"/>
    <w:rsid w:val="00012D9A"/>
    <w:rsid w:val="00013748"/>
    <w:rsid w:val="00013807"/>
    <w:rsid w:val="0001397E"/>
    <w:rsid w:val="000142FA"/>
    <w:rsid w:val="000143C0"/>
    <w:rsid w:val="00014791"/>
    <w:rsid w:val="0001481C"/>
    <w:rsid w:val="00014974"/>
    <w:rsid w:val="00014FAE"/>
    <w:rsid w:val="00015436"/>
    <w:rsid w:val="000156E4"/>
    <w:rsid w:val="00015A16"/>
    <w:rsid w:val="00015BCE"/>
    <w:rsid w:val="00015D32"/>
    <w:rsid w:val="0001661F"/>
    <w:rsid w:val="00016724"/>
    <w:rsid w:val="00017186"/>
    <w:rsid w:val="00017C9B"/>
    <w:rsid w:val="00017CB2"/>
    <w:rsid w:val="00017D84"/>
    <w:rsid w:val="00017DE4"/>
    <w:rsid w:val="00017F00"/>
    <w:rsid w:val="0002010C"/>
    <w:rsid w:val="00020479"/>
    <w:rsid w:val="0002051C"/>
    <w:rsid w:val="0002057B"/>
    <w:rsid w:val="00020760"/>
    <w:rsid w:val="00020B7D"/>
    <w:rsid w:val="0002183D"/>
    <w:rsid w:val="00021BBA"/>
    <w:rsid w:val="00021F9B"/>
    <w:rsid w:val="000220E0"/>
    <w:rsid w:val="00022394"/>
    <w:rsid w:val="0002250A"/>
    <w:rsid w:val="000228B8"/>
    <w:rsid w:val="000228BB"/>
    <w:rsid w:val="00022A8F"/>
    <w:rsid w:val="00023058"/>
    <w:rsid w:val="000231A5"/>
    <w:rsid w:val="000236F6"/>
    <w:rsid w:val="0002381B"/>
    <w:rsid w:val="00023881"/>
    <w:rsid w:val="00023F0F"/>
    <w:rsid w:val="00023F96"/>
    <w:rsid w:val="000240DA"/>
    <w:rsid w:val="00024370"/>
    <w:rsid w:val="0002489F"/>
    <w:rsid w:val="00024AAC"/>
    <w:rsid w:val="00024AC7"/>
    <w:rsid w:val="00024CC6"/>
    <w:rsid w:val="00024E9D"/>
    <w:rsid w:val="00024EA5"/>
    <w:rsid w:val="000250BA"/>
    <w:rsid w:val="00025155"/>
    <w:rsid w:val="000255F7"/>
    <w:rsid w:val="000256F8"/>
    <w:rsid w:val="00026025"/>
    <w:rsid w:val="000264E1"/>
    <w:rsid w:val="0002686A"/>
    <w:rsid w:val="000268C8"/>
    <w:rsid w:val="00026903"/>
    <w:rsid w:val="00026F66"/>
    <w:rsid w:val="00027234"/>
    <w:rsid w:val="0002755F"/>
    <w:rsid w:val="00027804"/>
    <w:rsid w:val="00027F58"/>
    <w:rsid w:val="00030DD6"/>
    <w:rsid w:val="00030E07"/>
    <w:rsid w:val="00030E3D"/>
    <w:rsid w:val="00031078"/>
    <w:rsid w:val="0003112A"/>
    <w:rsid w:val="00031133"/>
    <w:rsid w:val="0003179D"/>
    <w:rsid w:val="00031BA9"/>
    <w:rsid w:val="0003201C"/>
    <w:rsid w:val="000324CF"/>
    <w:rsid w:val="00032788"/>
    <w:rsid w:val="000329D4"/>
    <w:rsid w:val="00032CF1"/>
    <w:rsid w:val="0003335C"/>
    <w:rsid w:val="000333FC"/>
    <w:rsid w:val="0003423A"/>
    <w:rsid w:val="0003430D"/>
    <w:rsid w:val="000344AC"/>
    <w:rsid w:val="000345C7"/>
    <w:rsid w:val="0003477F"/>
    <w:rsid w:val="0003481B"/>
    <w:rsid w:val="00034E7E"/>
    <w:rsid w:val="000354DD"/>
    <w:rsid w:val="00035FB5"/>
    <w:rsid w:val="00036181"/>
    <w:rsid w:val="0003648A"/>
    <w:rsid w:val="0003661A"/>
    <w:rsid w:val="000367D8"/>
    <w:rsid w:val="00036841"/>
    <w:rsid w:val="00036AD8"/>
    <w:rsid w:val="00036E81"/>
    <w:rsid w:val="00037037"/>
    <w:rsid w:val="00037302"/>
    <w:rsid w:val="00037376"/>
    <w:rsid w:val="0003754C"/>
    <w:rsid w:val="0003758E"/>
    <w:rsid w:val="00037A1E"/>
    <w:rsid w:val="0004005D"/>
    <w:rsid w:val="00040ADF"/>
    <w:rsid w:val="00040CE3"/>
    <w:rsid w:val="00040F82"/>
    <w:rsid w:val="00040FB4"/>
    <w:rsid w:val="00041226"/>
    <w:rsid w:val="0004178C"/>
    <w:rsid w:val="00041F5D"/>
    <w:rsid w:val="000426FF"/>
    <w:rsid w:val="00042A76"/>
    <w:rsid w:val="00042E98"/>
    <w:rsid w:val="00043159"/>
    <w:rsid w:val="00043174"/>
    <w:rsid w:val="00043330"/>
    <w:rsid w:val="00043BF2"/>
    <w:rsid w:val="00043E22"/>
    <w:rsid w:val="00043EE3"/>
    <w:rsid w:val="000443A6"/>
    <w:rsid w:val="0004490B"/>
    <w:rsid w:val="000449D1"/>
    <w:rsid w:val="00044E7F"/>
    <w:rsid w:val="00044E9A"/>
    <w:rsid w:val="00045107"/>
    <w:rsid w:val="000454B3"/>
    <w:rsid w:val="00045665"/>
    <w:rsid w:val="00045AE0"/>
    <w:rsid w:val="00045B8D"/>
    <w:rsid w:val="00045CC5"/>
    <w:rsid w:val="00045E3D"/>
    <w:rsid w:val="00045EA8"/>
    <w:rsid w:val="00045FDF"/>
    <w:rsid w:val="00046039"/>
    <w:rsid w:val="000461C4"/>
    <w:rsid w:val="0004662B"/>
    <w:rsid w:val="00046909"/>
    <w:rsid w:val="00046AF6"/>
    <w:rsid w:val="00046B6A"/>
    <w:rsid w:val="000472D4"/>
    <w:rsid w:val="000473F7"/>
    <w:rsid w:val="00047944"/>
    <w:rsid w:val="000502E9"/>
    <w:rsid w:val="00050501"/>
    <w:rsid w:val="000508D5"/>
    <w:rsid w:val="00051A73"/>
    <w:rsid w:val="00051E99"/>
    <w:rsid w:val="0005200E"/>
    <w:rsid w:val="000521CE"/>
    <w:rsid w:val="00052727"/>
    <w:rsid w:val="00052AB4"/>
    <w:rsid w:val="00052D65"/>
    <w:rsid w:val="00052D93"/>
    <w:rsid w:val="00052DB7"/>
    <w:rsid w:val="00052DD3"/>
    <w:rsid w:val="0005326C"/>
    <w:rsid w:val="0005326D"/>
    <w:rsid w:val="00053A86"/>
    <w:rsid w:val="00053F6C"/>
    <w:rsid w:val="00054680"/>
    <w:rsid w:val="000549E1"/>
    <w:rsid w:val="00054CB8"/>
    <w:rsid w:val="000554C2"/>
    <w:rsid w:val="000556C5"/>
    <w:rsid w:val="00055A9E"/>
    <w:rsid w:val="00055C51"/>
    <w:rsid w:val="00056084"/>
    <w:rsid w:val="00056A54"/>
    <w:rsid w:val="00056D64"/>
    <w:rsid w:val="00057056"/>
    <w:rsid w:val="00060280"/>
    <w:rsid w:val="0006055C"/>
    <w:rsid w:val="00060869"/>
    <w:rsid w:val="00060A53"/>
    <w:rsid w:val="00060C92"/>
    <w:rsid w:val="00060F80"/>
    <w:rsid w:val="000614B8"/>
    <w:rsid w:val="00061727"/>
    <w:rsid w:val="000618F8"/>
    <w:rsid w:val="00061A5C"/>
    <w:rsid w:val="00061A90"/>
    <w:rsid w:val="00061C1C"/>
    <w:rsid w:val="00061EED"/>
    <w:rsid w:val="00061F72"/>
    <w:rsid w:val="00061FED"/>
    <w:rsid w:val="00062C84"/>
    <w:rsid w:val="00062E85"/>
    <w:rsid w:val="00063054"/>
    <w:rsid w:val="00063387"/>
    <w:rsid w:val="0006339C"/>
    <w:rsid w:val="000640F3"/>
    <w:rsid w:val="00064550"/>
    <w:rsid w:val="00064783"/>
    <w:rsid w:val="000647C2"/>
    <w:rsid w:val="00064CD0"/>
    <w:rsid w:val="00064DFD"/>
    <w:rsid w:val="00065164"/>
    <w:rsid w:val="00065542"/>
    <w:rsid w:val="00065566"/>
    <w:rsid w:val="00065640"/>
    <w:rsid w:val="00065E72"/>
    <w:rsid w:val="00065E9E"/>
    <w:rsid w:val="0006624C"/>
    <w:rsid w:val="00066657"/>
    <w:rsid w:val="000667AA"/>
    <w:rsid w:val="00066871"/>
    <w:rsid w:val="000669F9"/>
    <w:rsid w:val="000671C0"/>
    <w:rsid w:val="000672FD"/>
    <w:rsid w:val="0006730A"/>
    <w:rsid w:val="000673BC"/>
    <w:rsid w:val="00067954"/>
    <w:rsid w:val="00067E52"/>
    <w:rsid w:val="0007021F"/>
    <w:rsid w:val="000707B8"/>
    <w:rsid w:val="000709A0"/>
    <w:rsid w:val="00070C97"/>
    <w:rsid w:val="00071435"/>
    <w:rsid w:val="0007153F"/>
    <w:rsid w:val="0007160D"/>
    <w:rsid w:val="00071A3F"/>
    <w:rsid w:val="00071D0D"/>
    <w:rsid w:val="00072D7E"/>
    <w:rsid w:val="00072F7A"/>
    <w:rsid w:val="0007321F"/>
    <w:rsid w:val="00073259"/>
    <w:rsid w:val="0007333C"/>
    <w:rsid w:val="0007364D"/>
    <w:rsid w:val="00073DD8"/>
    <w:rsid w:val="00073E3B"/>
    <w:rsid w:val="00073E8A"/>
    <w:rsid w:val="00073F7D"/>
    <w:rsid w:val="00073F92"/>
    <w:rsid w:val="00074199"/>
    <w:rsid w:val="000741BD"/>
    <w:rsid w:val="000743A4"/>
    <w:rsid w:val="00074641"/>
    <w:rsid w:val="0007468D"/>
    <w:rsid w:val="000748C7"/>
    <w:rsid w:val="00074A30"/>
    <w:rsid w:val="00074E1E"/>
    <w:rsid w:val="00074F50"/>
    <w:rsid w:val="000752A6"/>
    <w:rsid w:val="000752DF"/>
    <w:rsid w:val="00075335"/>
    <w:rsid w:val="00075364"/>
    <w:rsid w:val="00075D74"/>
    <w:rsid w:val="000760B4"/>
    <w:rsid w:val="000762A4"/>
    <w:rsid w:val="0007630E"/>
    <w:rsid w:val="000767FD"/>
    <w:rsid w:val="000769C5"/>
    <w:rsid w:val="00076BBB"/>
    <w:rsid w:val="00077018"/>
    <w:rsid w:val="00077499"/>
    <w:rsid w:val="000774CA"/>
    <w:rsid w:val="000774ED"/>
    <w:rsid w:val="00077AD2"/>
    <w:rsid w:val="00080241"/>
    <w:rsid w:val="0008038C"/>
    <w:rsid w:val="0008046D"/>
    <w:rsid w:val="00080B75"/>
    <w:rsid w:val="00080C5A"/>
    <w:rsid w:val="00081249"/>
    <w:rsid w:val="00081335"/>
    <w:rsid w:val="0008165D"/>
    <w:rsid w:val="00081778"/>
    <w:rsid w:val="00081BE1"/>
    <w:rsid w:val="00082DE2"/>
    <w:rsid w:val="0008362E"/>
    <w:rsid w:val="000847B5"/>
    <w:rsid w:val="00084E32"/>
    <w:rsid w:val="0008508C"/>
    <w:rsid w:val="0008509E"/>
    <w:rsid w:val="00085186"/>
    <w:rsid w:val="0008535C"/>
    <w:rsid w:val="00085A60"/>
    <w:rsid w:val="00085B2F"/>
    <w:rsid w:val="00085C59"/>
    <w:rsid w:val="00085D31"/>
    <w:rsid w:val="00085EE7"/>
    <w:rsid w:val="000860D0"/>
    <w:rsid w:val="0008694F"/>
    <w:rsid w:val="00086C9B"/>
    <w:rsid w:val="000870B6"/>
    <w:rsid w:val="00087407"/>
    <w:rsid w:val="00087427"/>
    <w:rsid w:val="00087CF4"/>
    <w:rsid w:val="00090613"/>
    <w:rsid w:val="00090BD1"/>
    <w:rsid w:val="00090D8F"/>
    <w:rsid w:val="00091857"/>
    <w:rsid w:val="00091996"/>
    <w:rsid w:val="00091AC8"/>
    <w:rsid w:val="00091C59"/>
    <w:rsid w:val="00091F1B"/>
    <w:rsid w:val="000920CC"/>
    <w:rsid w:val="0009217C"/>
    <w:rsid w:val="00092426"/>
    <w:rsid w:val="0009298F"/>
    <w:rsid w:val="000929D8"/>
    <w:rsid w:val="00092A21"/>
    <w:rsid w:val="00092CF5"/>
    <w:rsid w:val="000930D1"/>
    <w:rsid w:val="00093595"/>
    <w:rsid w:val="000936C0"/>
    <w:rsid w:val="00093D9A"/>
    <w:rsid w:val="00094342"/>
    <w:rsid w:val="00094656"/>
    <w:rsid w:val="00094A58"/>
    <w:rsid w:val="00094AA1"/>
    <w:rsid w:val="00094E03"/>
    <w:rsid w:val="0009526F"/>
    <w:rsid w:val="0009541F"/>
    <w:rsid w:val="00095766"/>
    <w:rsid w:val="0009577A"/>
    <w:rsid w:val="00095ABF"/>
    <w:rsid w:val="00095C64"/>
    <w:rsid w:val="00095D05"/>
    <w:rsid w:val="00095DBA"/>
    <w:rsid w:val="00095EC2"/>
    <w:rsid w:val="000960DE"/>
    <w:rsid w:val="000963E9"/>
    <w:rsid w:val="00096986"/>
    <w:rsid w:val="00096B52"/>
    <w:rsid w:val="00096ECF"/>
    <w:rsid w:val="00097127"/>
    <w:rsid w:val="00097672"/>
    <w:rsid w:val="0009768D"/>
    <w:rsid w:val="00097737"/>
    <w:rsid w:val="00097A05"/>
    <w:rsid w:val="00097B3D"/>
    <w:rsid w:val="00097C68"/>
    <w:rsid w:val="00097CD9"/>
    <w:rsid w:val="00097DFA"/>
    <w:rsid w:val="000A07D7"/>
    <w:rsid w:val="000A0DA1"/>
    <w:rsid w:val="000A10BF"/>
    <w:rsid w:val="000A13CF"/>
    <w:rsid w:val="000A1F62"/>
    <w:rsid w:val="000A2222"/>
    <w:rsid w:val="000A2589"/>
    <w:rsid w:val="000A2ACD"/>
    <w:rsid w:val="000A2B65"/>
    <w:rsid w:val="000A2DA8"/>
    <w:rsid w:val="000A2E95"/>
    <w:rsid w:val="000A36B5"/>
    <w:rsid w:val="000A394C"/>
    <w:rsid w:val="000A3A66"/>
    <w:rsid w:val="000A3A8F"/>
    <w:rsid w:val="000A3D5C"/>
    <w:rsid w:val="000A4B34"/>
    <w:rsid w:val="000A4FE3"/>
    <w:rsid w:val="000A5206"/>
    <w:rsid w:val="000A52CF"/>
    <w:rsid w:val="000A577D"/>
    <w:rsid w:val="000A57A8"/>
    <w:rsid w:val="000A5C47"/>
    <w:rsid w:val="000A5E17"/>
    <w:rsid w:val="000A5F84"/>
    <w:rsid w:val="000A629E"/>
    <w:rsid w:val="000A64DA"/>
    <w:rsid w:val="000A69F5"/>
    <w:rsid w:val="000A6B30"/>
    <w:rsid w:val="000A71E2"/>
    <w:rsid w:val="000A7463"/>
    <w:rsid w:val="000A76D4"/>
    <w:rsid w:val="000A7A24"/>
    <w:rsid w:val="000A7CC4"/>
    <w:rsid w:val="000A7D93"/>
    <w:rsid w:val="000B01E6"/>
    <w:rsid w:val="000B0916"/>
    <w:rsid w:val="000B0CA9"/>
    <w:rsid w:val="000B1004"/>
    <w:rsid w:val="000B107F"/>
    <w:rsid w:val="000B14FC"/>
    <w:rsid w:val="000B1A4F"/>
    <w:rsid w:val="000B1B95"/>
    <w:rsid w:val="000B1BE1"/>
    <w:rsid w:val="000B1E48"/>
    <w:rsid w:val="000B1E6C"/>
    <w:rsid w:val="000B20B5"/>
    <w:rsid w:val="000B273A"/>
    <w:rsid w:val="000B2900"/>
    <w:rsid w:val="000B2907"/>
    <w:rsid w:val="000B2B12"/>
    <w:rsid w:val="000B2D1E"/>
    <w:rsid w:val="000B303E"/>
    <w:rsid w:val="000B31BB"/>
    <w:rsid w:val="000B3330"/>
    <w:rsid w:val="000B35E2"/>
    <w:rsid w:val="000B3891"/>
    <w:rsid w:val="000B3A91"/>
    <w:rsid w:val="000B3ADA"/>
    <w:rsid w:val="000B3DB4"/>
    <w:rsid w:val="000B40C9"/>
    <w:rsid w:val="000B4402"/>
    <w:rsid w:val="000B4518"/>
    <w:rsid w:val="000B4566"/>
    <w:rsid w:val="000B4620"/>
    <w:rsid w:val="000B4CB2"/>
    <w:rsid w:val="000B4DBA"/>
    <w:rsid w:val="000B5CAF"/>
    <w:rsid w:val="000B6800"/>
    <w:rsid w:val="000B6CF0"/>
    <w:rsid w:val="000B6FC7"/>
    <w:rsid w:val="000B7108"/>
    <w:rsid w:val="000B720C"/>
    <w:rsid w:val="000B7665"/>
    <w:rsid w:val="000B7783"/>
    <w:rsid w:val="000B7FDE"/>
    <w:rsid w:val="000C0205"/>
    <w:rsid w:val="000C02AF"/>
    <w:rsid w:val="000C047A"/>
    <w:rsid w:val="000C06CA"/>
    <w:rsid w:val="000C0717"/>
    <w:rsid w:val="000C074D"/>
    <w:rsid w:val="000C0760"/>
    <w:rsid w:val="000C0942"/>
    <w:rsid w:val="000C0CFA"/>
    <w:rsid w:val="000C0EAF"/>
    <w:rsid w:val="000C10A7"/>
    <w:rsid w:val="000C10F7"/>
    <w:rsid w:val="000C17D3"/>
    <w:rsid w:val="000C1CBC"/>
    <w:rsid w:val="000C2098"/>
    <w:rsid w:val="000C23E6"/>
    <w:rsid w:val="000C2552"/>
    <w:rsid w:val="000C27DA"/>
    <w:rsid w:val="000C28A4"/>
    <w:rsid w:val="000C2CC5"/>
    <w:rsid w:val="000C2FEB"/>
    <w:rsid w:val="000C3262"/>
    <w:rsid w:val="000C3422"/>
    <w:rsid w:val="000C3499"/>
    <w:rsid w:val="000C34F3"/>
    <w:rsid w:val="000C39B9"/>
    <w:rsid w:val="000C3BE9"/>
    <w:rsid w:val="000C3C3F"/>
    <w:rsid w:val="000C3F0F"/>
    <w:rsid w:val="000C4011"/>
    <w:rsid w:val="000C61E2"/>
    <w:rsid w:val="000C62AA"/>
    <w:rsid w:val="000C6597"/>
    <w:rsid w:val="000C6BE9"/>
    <w:rsid w:val="000C6E55"/>
    <w:rsid w:val="000C70FD"/>
    <w:rsid w:val="000C749A"/>
    <w:rsid w:val="000C7C46"/>
    <w:rsid w:val="000D0499"/>
    <w:rsid w:val="000D0660"/>
    <w:rsid w:val="000D06EB"/>
    <w:rsid w:val="000D07AD"/>
    <w:rsid w:val="000D0D5B"/>
    <w:rsid w:val="000D0D70"/>
    <w:rsid w:val="000D102E"/>
    <w:rsid w:val="000D1050"/>
    <w:rsid w:val="000D18BB"/>
    <w:rsid w:val="000D18C1"/>
    <w:rsid w:val="000D18E1"/>
    <w:rsid w:val="000D1B52"/>
    <w:rsid w:val="000D1B5C"/>
    <w:rsid w:val="000D1BA0"/>
    <w:rsid w:val="000D1D60"/>
    <w:rsid w:val="000D2133"/>
    <w:rsid w:val="000D2415"/>
    <w:rsid w:val="000D2767"/>
    <w:rsid w:val="000D2A93"/>
    <w:rsid w:val="000D2AF0"/>
    <w:rsid w:val="000D2CB6"/>
    <w:rsid w:val="000D3357"/>
    <w:rsid w:val="000D337E"/>
    <w:rsid w:val="000D3533"/>
    <w:rsid w:val="000D36E8"/>
    <w:rsid w:val="000D3748"/>
    <w:rsid w:val="000D38E2"/>
    <w:rsid w:val="000D3AC4"/>
    <w:rsid w:val="000D3D6E"/>
    <w:rsid w:val="000D3D7C"/>
    <w:rsid w:val="000D40BE"/>
    <w:rsid w:val="000D43D2"/>
    <w:rsid w:val="000D4673"/>
    <w:rsid w:val="000D4C1B"/>
    <w:rsid w:val="000D5036"/>
    <w:rsid w:val="000D5523"/>
    <w:rsid w:val="000D5AB5"/>
    <w:rsid w:val="000D5E7A"/>
    <w:rsid w:val="000D600C"/>
    <w:rsid w:val="000D612C"/>
    <w:rsid w:val="000D6636"/>
    <w:rsid w:val="000D69F3"/>
    <w:rsid w:val="000D6A40"/>
    <w:rsid w:val="000D6C1F"/>
    <w:rsid w:val="000D71E1"/>
    <w:rsid w:val="000D732D"/>
    <w:rsid w:val="000E03DC"/>
    <w:rsid w:val="000E0450"/>
    <w:rsid w:val="000E061D"/>
    <w:rsid w:val="000E0CAA"/>
    <w:rsid w:val="000E0EA0"/>
    <w:rsid w:val="000E1124"/>
    <w:rsid w:val="000E1445"/>
    <w:rsid w:val="000E1453"/>
    <w:rsid w:val="000E1457"/>
    <w:rsid w:val="000E1A4C"/>
    <w:rsid w:val="000E2218"/>
    <w:rsid w:val="000E22E3"/>
    <w:rsid w:val="000E2544"/>
    <w:rsid w:val="000E2A42"/>
    <w:rsid w:val="000E2C5A"/>
    <w:rsid w:val="000E2D4A"/>
    <w:rsid w:val="000E2D83"/>
    <w:rsid w:val="000E307D"/>
    <w:rsid w:val="000E312C"/>
    <w:rsid w:val="000E31CC"/>
    <w:rsid w:val="000E322E"/>
    <w:rsid w:val="000E3553"/>
    <w:rsid w:val="000E40A4"/>
    <w:rsid w:val="000E4396"/>
    <w:rsid w:val="000E4B46"/>
    <w:rsid w:val="000E4F6A"/>
    <w:rsid w:val="000E50D1"/>
    <w:rsid w:val="000E5531"/>
    <w:rsid w:val="000E573B"/>
    <w:rsid w:val="000E57EA"/>
    <w:rsid w:val="000E5D08"/>
    <w:rsid w:val="000E621B"/>
    <w:rsid w:val="000E6410"/>
    <w:rsid w:val="000E6730"/>
    <w:rsid w:val="000E678B"/>
    <w:rsid w:val="000E6963"/>
    <w:rsid w:val="000E6C1A"/>
    <w:rsid w:val="000E708C"/>
    <w:rsid w:val="000E74B8"/>
    <w:rsid w:val="000E74F6"/>
    <w:rsid w:val="000F0003"/>
    <w:rsid w:val="000F0AD8"/>
    <w:rsid w:val="000F0CC7"/>
    <w:rsid w:val="000F0CD0"/>
    <w:rsid w:val="000F1119"/>
    <w:rsid w:val="000F1329"/>
    <w:rsid w:val="000F257C"/>
    <w:rsid w:val="000F278C"/>
    <w:rsid w:val="000F2AEF"/>
    <w:rsid w:val="000F2E01"/>
    <w:rsid w:val="000F2F6B"/>
    <w:rsid w:val="000F31C7"/>
    <w:rsid w:val="000F323C"/>
    <w:rsid w:val="000F34AB"/>
    <w:rsid w:val="000F378C"/>
    <w:rsid w:val="000F3888"/>
    <w:rsid w:val="000F389C"/>
    <w:rsid w:val="000F3953"/>
    <w:rsid w:val="000F3CF7"/>
    <w:rsid w:val="000F4A3E"/>
    <w:rsid w:val="000F4A8E"/>
    <w:rsid w:val="000F5373"/>
    <w:rsid w:val="000F5832"/>
    <w:rsid w:val="000F58E7"/>
    <w:rsid w:val="000F5A54"/>
    <w:rsid w:val="000F5A7A"/>
    <w:rsid w:val="000F5B8E"/>
    <w:rsid w:val="000F5EA0"/>
    <w:rsid w:val="000F6024"/>
    <w:rsid w:val="000F649B"/>
    <w:rsid w:val="000F673E"/>
    <w:rsid w:val="000F6C18"/>
    <w:rsid w:val="000F74B0"/>
    <w:rsid w:val="000F7575"/>
    <w:rsid w:val="000F7971"/>
    <w:rsid w:val="000F7987"/>
    <w:rsid w:val="000F7FBA"/>
    <w:rsid w:val="001002C5"/>
    <w:rsid w:val="0010051C"/>
    <w:rsid w:val="00100588"/>
    <w:rsid w:val="00100732"/>
    <w:rsid w:val="001007D3"/>
    <w:rsid w:val="00100E82"/>
    <w:rsid w:val="001010E0"/>
    <w:rsid w:val="00101234"/>
    <w:rsid w:val="0010164F"/>
    <w:rsid w:val="00101A11"/>
    <w:rsid w:val="00101BC2"/>
    <w:rsid w:val="00101CE0"/>
    <w:rsid w:val="00101D55"/>
    <w:rsid w:val="001021DE"/>
    <w:rsid w:val="00102B29"/>
    <w:rsid w:val="00102B89"/>
    <w:rsid w:val="0010314F"/>
    <w:rsid w:val="001037F4"/>
    <w:rsid w:val="00103A77"/>
    <w:rsid w:val="00103CC9"/>
    <w:rsid w:val="00103E93"/>
    <w:rsid w:val="0010404C"/>
    <w:rsid w:val="0010448B"/>
    <w:rsid w:val="0010459C"/>
    <w:rsid w:val="00104A2C"/>
    <w:rsid w:val="00104E0A"/>
    <w:rsid w:val="00104E70"/>
    <w:rsid w:val="00104FF2"/>
    <w:rsid w:val="0010521F"/>
    <w:rsid w:val="00105300"/>
    <w:rsid w:val="00105604"/>
    <w:rsid w:val="00106155"/>
    <w:rsid w:val="0010625A"/>
    <w:rsid w:val="0010697E"/>
    <w:rsid w:val="00106C65"/>
    <w:rsid w:val="00107524"/>
    <w:rsid w:val="00107A27"/>
    <w:rsid w:val="00107A7F"/>
    <w:rsid w:val="00107DCD"/>
    <w:rsid w:val="00107EF0"/>
    <w:rsid w:val="00110161"/>
    <w:rsid w:val="0011016E"/>
    <w:rsid w:val="001102C5"/>
    <w:rsid w:val="0011055A"/>
    <w:rsid w:val="00111417"/>
    <w:rsid w:val="0011174B"/>
    <w:rsid w:val="001118AC"/>
    <w:rsid w:val="00111C7A"/>
    <w:rsid w:val="00113763"/>
    <w:rsid w:val="001139C3"/>
    <w:rsid w:val="00113B50"/>
    <w:rsid w:val="00113C60"/>
    <w:rsid w:val="00114058"/>
    <w:rsid w:val="001141EA"/>
    <w:rsid w:val="001142F6"/>
    <w:rsid w:val="00114BB5"/>
    <w:rsid w:val="00114C3B"/>
    <w:rsid w:val="00115036"/>
    <w:rsid w:val="00115691"/>
    <w:rsid w:val="001156D9"/>
    <w:rsid w:val="001159B1"/>
    <w:rsid w:val="00115B4D"/>
    <w:rsid w:val="00115C62"/>
    <w:rsid w:val="001160AB"/>
    <w:rsid w:val="00116209"/>
    <w:rsid w:val="00116343"/>
    <w:rsid w:val="00116666"/>
    <w:rsid w:val="00116E2F"/>
    <w:rsid w:val="00117039"/>
    <w:rsid w:val="00117219"/>
    <w:rsid w:val="0011750E"/>
    <w:rsid w:val="00117A21"/>
    <w:rsid w:val="00117B0B"/>
    <w:rsid w:val="00117C91"/>
    <w:rsid w:val="00117F04"/>
    <w:rsid w:val="00120017"/>
    <w:rsid w:val="0012006D"/>
    <w:rsid w:val="00120070"/>
    <w:rsid w:val="00120118"/>
    <w:rsid w:val="0012069D"/>
    <w:rsid w:val="00120890"/>
    <w:rsid w:val="00120BD3"/>
    <w:rsid w:val="00120E70"/>
    <w:rsid w:val="00121172"/>
    <w:rsid w:val="00121368"/>
    <w:rsid w:val="0012197F"/>
    <w:rsid w:val="001221EF"/>
    <w:rsid w:val="001225DF"/>
    <w:rsid w:val="00122AE3"/>
    <w:rsid w:val="00122C3D"/>
    <w:rsid w:val="00122CC6"/>
    <w:rsid w:val="00122DDD"/>
    <w:rsid w:val="00122EE1"/>
    <w:rsid w:val="0012310B"/>
    <w:rsid w:val="0012350D"/>
    <w:rsid w:val="00123658"/>
    <w:rsid w:val="00123663"/>
    <w:rsid w:val="001237AF"/>
    <w:rsid w:val="00123884"/>
    <w:rsid w:val="00124440"/>
    <w:rsid w:val="001244B4"/>
    <w:rsid w:val="001245EF"/>
    <w:rsid w:val="00124681"/>
    <w:rsid w:val="00124739"/>
    <w:rsid w:val="001247EB"/>
    <w:rsid w:val="001248BB"/>
    <w:rsid w:val="00124A13"/>
    <w:rsid w:val="00124A22"/>
    <w:rsid w:val="00124AFC"/>
    <w:rsid w:val="00124F3C"/>
    <w:rsid w:val="0012597B"/>
    <w:rsid w:val="00125B61"/>
    <w:rsid w:val="00125DF3"/>
    <w:rsid w:val="00126059"/>
    <w:rsid w:val="0012608B"/>
    <w:rsid w:val="001260AB"/>
    <w:rsid w:val="00126122"/>
    <w:rsid w:val="001261C1"/>
    <w:rsid w:val="00126464"/>
    <w:rsid w:val="00126721"/>
    <w:rsid w:val="0012744D"/>
    <w:rsid w:val="00127649"/>
    <w:rsid w:val="00127955"/>
    <w:rsid w:val="00127D40"/>
    <w:rsid w:val="00130520"/>
    <w:rsid w:val="001308C7"/>
    <w:rsid w:val="00130DAD"/>
    <w:rsid w:val="001318BE"/>
    <w:rsid w:val="00131C9D"/>
    <w:rsid w:val="00131D45"/>
    <w:rsid w:val="001320F0"/>
    <w:rsid w:val="00132834"/>
    <w:rsid w:val="00132A57"/>
    <w:rsid w:val="00132A72"/>
    <w:rsid w:val="0013320A"/>
    <w:rsid w:val="001336E0"/>
    <w:rsid w:val="00133A6D"/>
    <w:rsid w:val="00133F16"/>
    <w:rsid w:val="00133F34"/>
    <w:rsid w:val="00134096"/>
    <w:rsid w:val="00134225"/>
    <w:rsid w:val="0013438E"/>
    <w:rsid w:val="0013442F"/>
    <w:rsid w:val="00134527"/>
    <w:rsid w:val="001345E2"/>
    <w:rsid w:val="001346C8"/>
    <w:rsid w:val="00135273"/>
    <w:rsid w:val="001355F4"/>
    <w:rsid w:val="00135619"/>
    <w:rsid w:val="00135807"/>
    <w:rsid w:val="001358C6"/>
    <w:rsid w:val="001359EA"/>
    <w:rsid w:val="00135B3D"/>
    <w:rsid w:val="00135CF7"/>
    <w:rsid w:val="00135FC9"/>
    <w:rsid w:val="001363A7"/>
    <w:rsid w:val="00136588"/>
    <w:rsid w:val="00136A54"/>
    <w:rsid w:val="00136EA5"/>
    <w:rsid w:val="00136EB8"/>
    <w:rsid w:val="001373F7"/>
    <w:rsid w:val="001376AF"/>
    <w:rsid w:val="001376D1"/>
    <w:rsid w:val="001378C1"/>
    <w:rsid w:val="00137F63"/>
    <w:rsid w:val="00140075"/>
    <w:rsid w:val="001402CB"/>
    <w:rsid w:val="00140481"/>
    <w:rsid w:val="001407B1"/>
    <w:rsid w:val="00140974"/>
    <w:rsid w:val="00140A05"/>
    <w:rsid w:val="0014150D"/>
    <w:rsid w:val="00141CAB"/>
    <w:rsid w:val="00141D13"/>
    <w:rsid w:val="001420D2"/>
    <w:rsid w:val="001426AB"/>
    <w:rsid w:val="00142B1F"/>
    <w:rsid w:val="00142D0C"/>
    <w:rsid w:val="00143478"/>
    <w:rsid w:val="00143497"/>
    <w:rsid w:val="0014394F"/>
    <w:rsid w:val="00143AB9"/>
    <w:rsid w:val="00143CF1"/>
    <w:rsid w:val="00143ED1"/>
    <w:rsid w:val="00143F2F"/>
    <w:rsid w:val="00144047"/>
    <w:rsid w:val="0014420E"/>
    <w:rsid w:val="001445AF"/>
    <w:rsid w:val="00145240"/>
    <w:rsid w:val="001452E3"/>
    <w:rsid w:val="00145494"/>
    <w:rsid w:val="00145611"/>
    <w:rsid w:val="00145D69"/>
    <w:rsid w:val="00145E61"/>
    <w:rsid w:val="00146337"/>
    <w:rsid w:val="00146624"/>
    <w:rsid w:val="001468C3"/>
    <w:rsid w:val="00146BE3"/>
    <w:rsid w:val="00147107"/>
    <w:rsid w:val="001477D1"/>
    <w:rsid w:val="0014794B"/>
    <w:rsid w:val="001479A2"/>
    <w:rsid w:val="00147ABB"/>
    <w:rsid w:val="00150376"/>
    <w:rsid w:val="00150B4F"/>
    <w:rsid w:val="00150B53"/>
    <w:rsid w:val="00150EC7"/>
    <w:rsid w:val="0015157B"/>
    <w:rsid w:val="0015182C"/>
    <w:rsid w:val="00151932"/>
    <w:rsid w:val="00151B0E"/>
    <w:rsid w:val="00151B56"/>
    <w:rsid w:val="00151DBD"/>
    <w:rsid w:val="00151E03"/>
    <w:rsid w:val="001521D4"/>
    <w:rsid w:val="001524B2"/>
    <w:rsid w:val="001525EB"/>
    <w:rsid w:val="001527B0"/>
    <w:rsid w:val="00152ACD"/>
    <w:rsid w:val="00152C0F"/>
    <w:rsid w:val="001531D6"/>
    <w:rsid w:val="001533E6"/>
    <w:rsid w:val="00153648"/>
    <w:rsid w:val="00153666"/>
    <w:rsid w:val="00153E5A"/>
    <w:rsid w:val="00154437"/>
    <w:rsid w:val="00154563"/>
    <w:rsid w:val="001546BD"/>
    <w:rsid w:val="00154771"/>
    <w:rsid w:val="00154B7D"/>
    <w:rsid w:val="00154CDD"/>
    <w:rsid w:val="001550F9"/>
    <w:rsid w:val="00155434"/>
    <w:rsid w:val="001555D2"/>
    <w:rsid w:val="0015565A"/>
    <w:rsid w:val="001558CA"/>
    <w:rsid w:val="00155B70"/>
    <w:rsid w:val="00155BDA"/>
    <w:rsid w:val="001562D3"/>
    <w:rsid w:val="00156760"/>
    <w:rsid w:val="0015683A"/>
    <w:rsid w:val="001569F0"/>
    <w:rsid w:val="00156C4F"/>
    <w:rsid w:val="00156FA7"/>
    <w:rsid w:val="0015722E"/>
    <w:rsid w:val="0015734C"/>
    <w:rsid w:val="00157AD5"/>
    <w:rsid w:val="0016010C"/>
    <w:rsid w:val="00160237"/>
    <w:rsid w:val="0016023A"/>
    <w:rsid w:val="00160420"/>
    <w:rsid w:val="0016090C"/>
    <w:rsid w:val="00160F2B"/>
    <w:rsid w:val="0016115D"/>
    <w:rsid w:val="0016133D"/>
    <w:rsid w:val="00161C57"/>
    <w:rsid w:val="0016227C"/>
    <w:rsid w:val="0016236C"/>
    <w:rsid w:val="0016282E"/>
    <w:rsid w:val="00162A4C"/>
    <w:rsid w:val="00162DBF"/>
    <w:rsid w:val="001632BE"/>
    <w:rsid w:val="001633F6"/>
    <w:rsid w:val="00163AD7"/>
    <w:rsid w:val="00163FA8"/>
    <w:rsid w:val="00164466"/>
    <w:rsid w:val="00164CF8"/>
    <w:rsid w:val="00165143"/>
    <w:rsid w:val="001653AE"/>
    <w:rsid w:val="0016543E"/>
    <w:rsid w:val="0016548B"/>
    <w:rsid w:val="00165779"/>
    <w:rsid w:val="00165FEA"/>
    <w:rsid w:val="001664E2"/>
    <w:rsid w:val="00166546"/>
    <w:rsid w:val="0016718C"/>
    <w:rsid w:val="001673FF"/>
    <w:rsid w:val="00167664"/>
    <w:rsid w:val="00167F9B"/>
    <w:rsid w:val="00167FD0"/>
    <w:rsid w:val="00170776"/>
    <w:rsid w:val="00170783"/>
    <w:rsid w:val="00170D5B"/>
    <w:rsid w:val="00170FF7"/>
    <w:rsid w:val="00171923"/>
    <w:rsid w:val="00172015"/>
    <w:rsid w:val="0017202E"/>
    <w:rsid w:val="00172545"/>
    <w:rsid w:val="00172B8F"/>
    <w:rsid w:val="00172BD1"/>
    <w:rsid w:val="00172EDA"/>
    <w:rsid w:val="001730A6"/>
    <w:rsid w:val="0017318B"/>
    <w:rsid w:val="00173338"/>
    <w:rsid w:val="001736F8"/>
    <w:rsid w:val="00173B53"/>
    <w:rsid w:val="00173D54"/>
    <w:rsid w:val="00173D85"/>
    <w:rsid w:val="00173E52"/>
    <w:rsid w:val="001740DD"/>
    <w:rsid w:val="0017422A"/>
    <w:rsid w:val="0017481E"/>
    <w:rsid w:val="00174BB1"/>
    <w:rsid w:val="00174C77"/>
    <w:rsid w:val="00174E36"/>
    <w:rsid w:val="00174F35"/>
    <w:rsid w:val="00174F45"/>
    <w:rsid w:val="00174FD4"/>
    <w:rsid w:val="00175CB0"/>
    <w:rsid w:val="00176A2E"/>
    <w:rsid w:val="00176C05"/>
    <w:rsid w:val="00176D30"/>
    <w:rsid w:val="00176DA2"/>
    <w:rsid w:val="00176E38"/>
    <w:rsid w:val="00177620"/>
    <w:rsid w:val="001776C1"/>
    <w:rsid w:val="00177812"/>
    <w:rsid w:val="001779C8"/>
    <w:rsid w:val="00177B09"/>
    <w:rsid w:val="00180283"/>
    <w:rsid w:val="0018050F"/>
    <w:rsid w:val="00180C75"/>
    <w:rsid w:val="00180D81"/>
    <w:rsid w:val="001817B9"/>
    <w:rsid w:val="00181A0C"/>
    <w:rsid w:val="00181EF0"/>
    <w:rsid w:val="00182297"/>
    <w:rsid w:val="00182B37"/>
    <w:rsid w:val="001837AB"/>
    <w:rsid w:val="00183CB9"/>
    <w:rsid w:val="00183F0F"/>
    <w:rsid w:val="0018412E"/>
    <w:rsid w:val="00184AD3"/>
    <w:rsid w:val="00184BAE"/>
    <w:rsid w:val="00184E99"/>
    <w:rsid w:val="00184FFA"/>
    <w:rsid w:val="0018513F"/>
    <w:rsid w:val="001851B0"/>
    <w:rsid w:val="00185425"/>
    <w:rsid w:val="00185538"/>
    <w:rsid w:val="00185752"/>
    <w:rsid w:val="0018588D"/>
    <w:rsid w:val="00185C82"/>
    <w:rsid w:val="00186189"/>
    <w:rsid w:val="00186637"/>
    <w:rsid w:val="00186B29"/>
    <w:rsid w:val="001878CB"/>
    <w:rsid w:val="00187ED2"/>
    <w:rsid w:val="00191256"/>
    <w:rsid w:val="00191529"/>
    <w:rsid w:val="00191591"/>
    <w:rsid w:val="00191CD2"/>
    <w:rsid w:val="00191D7E"/>
    <w:rsid w:val="00191E5D"/>
    <w:rsid w:val="00192102"/>
    <w:rsid w:val="00192897"/>
    <w:rsid w:val="00192A03"/>
    <w:rsid w:val="001930BF"/>
    <w:rsid w:val="00193388"/>
    <w:rsid w:val="0019362A"/>
    <w:rsid w:val="001937CE"/>
    <w:rsid w:val="00193AEC"/>
    <w:rsid w:val="00193E7E"/>
    <w:rsid w:val="001942EA"/>
    <w:rsid w:val="001943E5"/>
    <w:rsid w:val="00194601"/>
    <w:rsid w:val="00194637"/>
    <w:rsid w:val="0019474E"/>
    <w:rsid w:val="0019481A"/>
    <w:rsid w:val="00194972"/>
    <w:rsid w:val="00194B88"/>
    <w:rsid w:val="00194E01"/>
    <w:rsid w:val="00194F33"/>
    <w:rsid w:val="00195119"/>
    <w:rsid w:val="00195728"/>
    <w:rsid w:val="001968A2"/>
    <w:rsid w:val="00196B57"/>
    <w:rsid w:val="001970C0"/>
    <w:rsid w:val="0019730F"/>
    <w:rsid w:val="001979EE"/>
    <w:rsid w:val="00197B1B"/>
    <w:rsid w:val="00197B31"/>
    <w:rsid w:val="00197E64"/>
    <w:rsid w:val="00197FA7"/>
    <w:rsid w:val="001A01E4"/>
    <w:rsid w:val="001A07A7"/>
    <w:rsid w:val="001A0E88"/>
    <w:rsid w:val="001A0F68"/>
    <w:rsid w:val="001A10D2"/>
    <w:rsid w:val="001A18F2"/>
    <w:rsid w:val="001A1CB7"/>
    <w:rsid w:val="001A1F7D"/>
    <w:rsid w:val="001A24F0"/>
    <w:rsid w:val="001A2A8F"/>
    <w:rsid w:val="001A2C69"/>
    <w:rsid w:val="001A3064"/>
    <w:rsid w:val="001A346D"/>
    <w:rsid w:val="001A35D0"/>
    <w:rsid w:val="001A38DB"/>
    <w:rsid w:val="001A3A0C"/>
    <w:rsid w:val="001A3A93"/>
    <w:rsid w:val="001A3EDE"/>
    <w:rsid w:val="001A3F3E"/>
    <w:rsid w:val="001A3F96"/>
    <w:rsid w:val="001A4147"/>
    <w:rsid w:val="001A420B"/>
    <w:rsid w:val="001A457E"/>
    <w:rsid w:val="001A4B97"/>
    <w:rsid w:val="001A4F7D"/>
    <w:rsid w:val="001A5399"/>
    <w:rsid w:val="001A54E3"/>
    <w:rsid w:val="001A55CD"/>
    <w:rsid w:val="001A5C23"/>
    <w:rsid w:val="001A5FC1"/>
    <w:rsid w:val="001A62F4"/>
    <w:rsid w:val="001A6EBA"/>
    <w:rsid w:val="001A7010"/>
    <w:rsid w:val="001A774D"/>
    <w:rsid w:val="001A7A31"/>
    <w:rsid w:val="001A7B42"/>
    <w:rsid w:val="001A7D3D"/>
    <w:rsid w:val="001A7D5B"/>
    <w:rsid w:val="001A7D8F"/>
    <w:rsid w:val="001B009F"/>
    <w:rsid w:val="001B0180"/>
    <w:rsid w:val="001B0723"/>
    <w:rsid w:val="001B07B9"/>
    <w:rsid w:val="001B0B7D"/>
    <w:rsid w:val="001B0C0D"/>
    <w:rsid w:val="001B1114"/>
    <w:rsid w:val="001B135B"/>
    <w:rsid w:val="001B1ADA"/>
    <w:rsid w:val="001B1B76"/>
    <w:rsid w:val="001B1E51"/>
    <w:rsid w:val="001B1E84"/>
    <w:rsid w:val="001B203E"/>
    <w:rsid w:val="001B22DD"/>
    <w:rsid w:val="001B23CC"/>
    <w:rsid w:val="001B244E"/>
    <w:rsid w:val="001B2517"/>
    <w:rsid w:val="001B285C"/>
    <w:rsid w:val="001B2920"/>
    <w:rsid w:val="001B2A97"/>
    <w:rsid w:val="001B2CD4"/>
    <w:rsid w:val="001B2CDE"/>
    <w:rsid w:val="001B30D7"/>
    <w:rsid w:val="001B31C1"/>
    <w:rsid w:val="001B3618"/>
    <w:rsid w:val="001B3AAA"/>
    <w:rsid w:val="001B3ADB"/>
    <w:rsid w:val="001B3BFE"/>
    <w:rsid w:val="001B3D25"/>
    <w:rsid w:val="001B3E29"/>
    <w:rsid w:val="001B4759"/>
    <w:rsid w:val="001B4921"/>
    <w:rsid w:val="001B549B"/>
    <w:rsid w:val="001B5B3E"/>
    <w:rsid w:val="001B5DF2"/>
    <w:rsid w:val="001B5E0B"/>
    <w:rsid w:val="001B5E9C"/>
    <w:rsid w:val="001B661A"/>
    <w:rsid w:val="001B6C20"/>
    <w:rsid w:val="001B6E49"/>
    <w:rsid w:val="001B71E3"/>
    <w:rsid w:val="001B7329"/>
    <w:rsid w:val="001B732E"/>
    <w:rsid w:val="001B756E"/>
    <w:rsid w:val="001B75F6"/>
    <w:rsid w:val="001B7A94"/>
    <w:rsid w:val="001B7B70"/>
    <w:rsid w:val="001B7EC9"/>
    <w:rsid w:val="001C0379"/>
    <w:rsid w:val="001C09AC"/>
    <w:rsid w:val="001C0EE6"/>
    <w:rsid w:val="001C12C9"/>
    <w:rsid w:val="001C12E4"/>
    <w:rsid w:val="001C174A"/>
    <w:rsid w:val="001C1D05"/>
    <w:rsid w:val="001C20C2"/>
    <w:rsid w:val="001C23B2"/>
    <w:rsid w:val="001C23EE"/>
    <w:rsid w:val="001C27C5"/>
    <w:rsid w:val="001C2A48"/>
    <w:rsid w:val="001C2C97"/>
    <w:rsid w:val="001C2DCA"/>
    <w:rsid w:val="001C2E04"/>
    <w:rsid w:val="001C2E75"/>
    <w:rsid w:val="001C2E7F"/>
    <w:rsid w:val="001C33EA"/>
    <w:rsid w:val="001C3806"/>
    <w:rsid w:val="001C39BB"/>
    <w:rsid w:val="001C3A57"/>
    <w:rsid w:val="001C3B70"/>
    <w:rsid w:val="001C3F53"/>
    <w:rsid w:val="001C42CC"/>
    <w:rsid w:val="001C431C"/>
    <w:rsid w:val="001C4959"/>
    <w:rsid w:val="001C4DC5"/>
    <w:rsid w:val="001C4DF4"/>
    <w:rsid w:val="001C513A"/>
    <w:rsid w:val="001C5438"/>
    <w:rsid w:val="001C5E87"/>
    <w:rsid w:val="001C6041"/>
    <w:rsid w:val="001C69E3"/>
    <w:rsid w:val="001C6B4F"/>
    <w:rsid w:val="001C6D0D"/>
    <w:rsid w:val="001C6DFD"/>
    <w:rsid w:val="001C7214"/>
    <w:rsid w:val="001C7222"/>
    <w:rsid w:val="001C7AAE"/>
    <w:rsid w:val="001C7B70"/>
    <w:rsid w:val="001D0260"/>
    <w:rsid w:val="001D06D6"/>
    <w:rsid w:val="001D0A39"/>
    <w:rsid w:val="001D0EFA"/>
    <w:rsid w:val="001D1502"/>
    <w:rsid w:val="001D1620"/>
    <w:rsid w:val="001D1A6C"/>
    <w:rsid w:val="001D1C2B"/>
    <w:rsid w:val="001D1DAE"/>
    <w:rsid w:val="001D1E7E"/>
    <w:rsid w:val="001D21ED"/>
    <w:rsid w:val="001D22CA"/>
    <w:rsid w:val="001D2314"/>
    <w:rsid w:val="001D32C0"/>
    <w:rsid w:val="001D3900"/>
    <w:rsid w:val="001D39A6"/>
    <w:rsid w:val="001D3A64"/>
    <w:rsid w:val="001D3AD9"/>
    <w:rsid w:val="001D430F"/>
    <w:rsid w:val="001D43DF"/>
    <w:rsid w:val="001D4430"/>
    <w:rsid w:val="001D44E0"/>
    <w:rsid w:val="001D4690"/>
    <w:rsid w:val="001D47FB"/>
    <w:rsid w:val="001D48D7"/>
    <w:rsid w:val="001D4924"/>
    <w:rsid w:val="001D4B0F"/>
    <w:rsid w:val="001D4C58"/>
    <w:rsid w:val="001D4F03"/>
    <w:rsid w:val="001D5550"/>
    <w:rsid w:val="001D5793"/>
    <w:rsid w:val="001D5B7C"/>
    <w:rsid w:val="001D5C74"/>
    <w:rsid w:val="001D5EBC"/>
    <w:rsid w:val="001D6221"/>
    <w:rsid w:val="001D628B"/>
    <w:rsid w:val="001D66A8"/>
    <w:rsid w:val="001D66E1"/>
    <w:rsid w:val="001D6927"/>
    <w:rsid w:val="001D6A46"/>
    <w:rsid w:val="001D6A4F"/>
    <w:rsid w:val="001D6B58"/>
    <w:rsid w:val="001D6D32"/>
    <w:rsid w:val="001D6F43"/>
    <w:rsid w:val="001D73CE"/>
    <w:rsid w:val="001D74A7"/>
    <w:rsid w:val="001D75A0"/>
    <w:rsid w:val="001D7743"/>
    <w:rsid w:val="001D7753"/>
    <w:rsid w:val="001D7CC9"/>
    <w:rsid w:val="001D7DB1"/>
    <w:rsid w:val="001D7F66"/>
    <w:rsid w:val="001E01C5"/>
    <w:rsid w:val="001E03FB"/>
    <w:rsid w:val="001E04F8"/>
    <w:rsid w:val="001E06FD"/>
    <w:rsid w:val="001E07D4"/>
    <w:rsid w:val="001E0BFA"/>
    <w:rsid w:val="001E0F7D"/>
    <w:rsid w:val="001E1269"/>
    <w:rsid w:val="001E15F2"/>
    <w:rsid w:val="001E183E"/>
    <w:rsid w:val="001E18D7"/>
    <w:rsid w:val="001E196E"/>
    <w:rsid w:val="001E19EE"/>
    <w:rsid w:val="001E219A"/>
    <w:rsid w:val="001E2276"/>
    <w:rsid w:val="001E22F7"/>
    <w:rsid w:val="001E340C"/>
    <w:rsid w:val="001E377B"/>
    <w:rsid w:val="001E4030"/>
    <w:rsid w:val="001E4138"/>
    <w:rsid w:val="001E4162"/>
    <w:rsid w:val="001E4244"/>
    <w:rsid w:val="001E4630"/>
    <w:rsid w:val="001E465F"/>
    <w:rsid w:val="001E4F78"/>
    <w:rsid w:val="001E5124"/>
    <w:rsid w:val="001E599A"/>
    <w:rsid w:val="001E5BF4"/>
    <w:rsid w:val="001E6098"/>
    <w:rsid w:val="001E66B7"/>
    <w:rsid w:val="001E6F6C"/>
    <w:rsid w:val="001E71BD"/>
    <w:rsid w:val="001E7E15"/>
    <w:rsid w:val="001E7F3C"/>
    <w:rsid w:val="001F0781"/>
    <w:rsid w:val="001F09C0"/>
    <w:rsid w:val="001F0A04"/>
    <w:rsid w:val="001F0F99"/>
    <w:rsid w:val="001F1147"/>
    <w:rsid w:val="001F16E8"/>
    <w:rsid w:val="001F17C0"/>
    <w:rsid w:val="001F1ADA"/>
    <w:rsid w:val="001F20BF"/>
    <w:rsid w:val="001F234F"/>
    <w:rsid w:val="001F25C6"/>
    <w:rsid w:val="001F261D"/>
    <w:rsid w:val="001F2635"/>
    <w:rsid w:val="001F26C4"/>
    <w:rsid w:val="001F26CC"/>
    <w:rsid w:val="001F2902"/>
    <w:rsid w:val="001F2C55"/>
    <w:rsid w:val="001F2F16"/>
    <w:rsid w:val="001F321E"/>
    <w:rsid w:val="001F3333"/>
    <w:rsid w:val="001F396C"/>
    <w:rsid w:val="001F3E01"/>
    <w:rsid w:val="001F3F36"/>
    <w:rsid w:val="001F3F3D"/>
    <w:rsid w:val="001F3F75"/>
    <w:rsid w:val="001F4083"/>
    <w:rsid w:val="001F431E"/>
    <w:rsid w:val="001F4730"/>
    <w:rsid w:val="001F4867"/>
    <w:rsid w:val="001F4FAD"/>
    <w:rsid w:val="001F51AB"/>
    <w:rsid w:val="001F52BE"/>
    <w:rsid w:val="001F57D2"/>
    <w:rsid w:val="001F5887"/>
    <w:rsid w:val="001F5A5A"/>
    <w:rsid w:val="001F5E72"/>
    <w:rsid w:val="001F5F9E"/>
    <w:rsid w:val="001F658C"/>
    <w:rsid w:val="001F675C"/>
    <w:rsid w:val="001F6F44"/>
    <w:rsid w:val="001F707F"/>
    <w:rsid w:val="001F7563"/>
    <w:rsid w:val="00200258"/>
    <w:rsid w:val="0020066E"/>
    <w:rsid w:val="00200B88"/>
    <w:rsid w:val="00200F08"/>
    <w:rsid w:val="002010DF"/>
    <w:rsid w:val="002016D4"/>
    <w:rsid w:val="00201BF5"/>
    <w:rsid w:val="00201E25"/>
    <w:rsid w:val="00202378"/>
    <w:rsid w:val="00202E74"/>
    <w:rsid w:val="0020349F"/>
    <w:rsid w:val="002035B7"/>
    <w:rsid w:val="00203BB7"/>
    <w:rsid w:val="00203CA8"/>
    <w:rsid w:val="00203DF2"/>
    <w:rsid w:val="0020473A"/>
    <w:rsid w:val="00204E1F"/>
    <w:rsid w:val="00204EF3"/>
    <w:rsid w:val="00204FF5"/>
    <w:rsid w:val="002053DF"/>
    <w:rsid w:val="00205417"/>
    <w:rsid w:val="002055A9"/>
    <w:rsid w:val="00205863"/>
    <w:rsid w:val="00205AA8"/>
    <w:rsid w:val="00205DD0"/>
    <w:rsid w:val="00205EB1"/>
    <w:rsid w:val="00206948"/>
    <w:rsid w:val="00207211"/>
    <w:rsid w:val="0020794D"/>
    <w:rsid w:val="00207F59"/>
    <w:rsid w:val="002105DB"/>
    <w:rsid w:val="00210E97"/>
    <w:rsid w:val="00211266"/>
    <w:rsid w:val="0021135B"/>
    <w:rsid w:val="00211388"/>
    <w:rsid w:val="00211479"/>
    <w:rsid w:val="002117CD"/>
    <w:rsid w:val="00211BA3"/>
    <w:rsid w:val="00211DC3"/>
    <w:rsid w:val="002120CC"/>
    <w:rsid w:val="00212294"/>
    <w:rsid w:val="00213054"/>
    <w:rsid w:val="002131CA"/>
    <w:rsid w:val="0021371A"/>
    <w:rsid w:val="002137EB"/>
    <w:rsid w:val="00213C1B"/>
    <w:rsid w:val="00214836"/>
    <w:rsid w:val="00214F89"/>
    <w:rsid w:val="00214FA2"/>
    <w:rsid w:val="00215326"/>
    <w:rsid w:val="002155B6"/>
    <w:rsid w:val="002157E4"/>
    <w:rsid w:val="002158F4"/>
    <w:rsid w:val="00215A57"/>
    <w:rsid w:val="00215A7D"/>
    <w:rsid w:val="00215AFB"/>
    <w:rsid w:val="00215D4A"/>
    <w:rsid w:val="00215DEA"/>
    <w:rsid w:val="00215FA3"/>
    <w:rsid w:val="0021608F"/>
    <w:rsid w:val="002163D0"/>
    <w:rsid w:val="002165CC"/>
    <w:rsid w:val="00216A13"/>
    <w:rsid w:val="00216B3A"/>
    <w:rsid w:val="00216CC1"/>
    <w:rsid w:val="00216DB2"/>
    <w:rsid w:val="00217057"/>
    <w:rsid w:val="00217E87"/>
    <w:rsid w:val="0022007D"/>
    <w:rsid w:val="002200D8"/>
    <w:rsid w:val="002200F6"/>
    <w:rsid w:val="00220372"/>
    <w:rsid w:val="00220B16"/>
    <w:rsid w:val="0022139F"/>
    <w:rsid w:val="00221B91"/>
    <w:rsid w:val="00221BF2"/>
    <w:rsid w:val="00222387"/>
    <w:rsid w:val="002225DF"/>
    <w:rsid w:val="002227F2"/>
    <w:rsid w:val="00222A86"/>
    <w:rsid w:val="00222A9A"/>
    <w:rsid w:val="0022306C"/>
    <w:rsid w:val="00223572"/>
    <w:rsid w:val="002235FD"/>
    <w:rsid w:val="00223664"/>
    <w:rsid w:val="00223A56"/>
    <w:rsid w:val="00223D0A"/>
    <w:rsid w:val="00223E5F"/>
    <w:rsid w:val="002245E6"/>
    <w:rsid w:val="00224635"/>
    <w:rsid w:val="00224AF1"/>
    <w:rsid w:val="00225275"/>
    <w:rsid w:val="00225458"/>
    <w:rsid w:val="00225463"/>
    <w:rsid w:val="00225498"/>
    <w:rsid w:val="002254AF"/>
    <w:rsid w:val="00225833"/>
    <w:rsid w:val="002258B0"/>
    <w:rsid w:val="00225C2E"/>
    <w:rsid w:val="00226095"/>
    <w:rsid w:val="002262D5"/>
    <w:rsid w:val="002263FA"/>
    <w:rsid w:val="002266A7"/>
    <w:rsid w:val="00226EB4"/>
    <w:rsid w:val="0022752A"/>
    <w:rsid w:val="00227868"/>
    <w:rsid w:val="0022789C"/>
    <w:rsid w:val="00227B89"/>
    <w:rsid w:val="00227EE7"/>
    <w:rsid w:val="00227F43"/>
    <w:rsid w:val="00230009"/>
    <w:rsid w:val="00230468"/>
    <w:rsid w:val="00230961"/>
    <w:rsid w:val="002309A9"/>
    <w:rsid w:val="00231A78"/>
    <w:rsid w:val="002323DF"/>
    <w:rsid w:val="002331E8"/>
    <w:rsid w:val="00233A08"/>
    <w:rsid w:val="00234187"/>
    <w:rsid w:val="00234640"/>
    <w:rsid w:val="0023489A"/>
    <w:rsid w:val="0023599D"/>
    <w:rsid w:val="00235A49"/>
    <w:rsid w:val="00236399"/>
    <w:rsid w:val="002364BD"/>
    <w:rsid w:val="002365E2"/>
    <w:rsid w:val="00236AB2"/>
    <w:rsid w:val="0023723E"/>
    <w:rsid w:val="00237693"/>
    <w:rsid w:val="00237756"/>
    <w:rsid w:val="002379D9"/>
    <w:rsid w:val="00237B15"/>
    <w:rsid w:val="00240106"/>
    <w:rsid w:val="002402E3"/>
    <w:rsid w:val="00240887"/>
    <w:rsid w:val="00240932"/>
    <w:rsid w:val="002411C7"/>
    <w:rsid w:val="0024160E"/>
    <w:rsid w:val="00241AAF"/>
    <w:rsid w:val="00241B71"/>
    <w:rsid w:val="002423A4"/>
    <w:rsid w:val="002427F5"/>
    <w:rsid w:val="00242ABE"/>
    <w:rsid w:val="00242AD8"/>
    <w:rsid w:val="00242CB7"/>
    <w:rsid w:val="00242D1D"/>
    <w:rsid w:val="00242F4E"/>
    <w:rsid w:val="00243626"/>
    <w:rsid w:val="00243BE1"/>
    <w:rsid w:val="00243C15"/>
    <w:rsid w:val="00243CAD"/>
    <w:rsid w:val="00243F60"/>
    <w:rsid w:val="00244409"/>
    <w:rsid w:val="002446C8"/>
    <w:rsid w:val="002448F3"/>
    <w:rsid w:val="00244DA8"/>
    <w:rsid w:val="002452A0"/>
    <w:rsid w:val="00245342"/>
    <w:rsid w:val="00245855"/>
    <w:rsid w:val="00245AEE"/>
    <w:rsid w:val="002463A6"/>
    <w:rsid w:val="002463DD"/>
    <w:rsid w:val="00246ADB"/>
    <w:rsid w:val="00246B3D"/>
    <w:rsid w:val="00246D33"/>
    <w:rsid w:val="00246F82"/>
    <w:rsid w:val="00247126"/>
    <w:rsid w:val="00247278"/>
    <w:rsid w:val="00247B6B"/>
    <w:rsid w:val="00247BF0"/>
    <w:rsid w:val="00247DB3"/>
    <w:rsid w:val="002501BD"/>
    <w:rsid w:val="002503E8"/>
    <w:rsid w:val="00250C00"/>
    <w:rsid w:val="00250EFB"/>
    <w:rsid w:val="002510C4"/>
    <w:rsid w:val="00251168"/>
    <w:rsid w:val="002513FF"/>
    <w:rsid w:val="00251585"/>
    <w:rsid w:val="002517A5"/>
    <w:rsid w:val="002517D0"/>
    <w:rsid w:val="00251801"/>
    <w:rsid w:val="00251C0C"/>
    <w:rsid w:val="00251C6D"/>
    <w:rsid w:val="00251C94"/>
    <w:rsid w:val="00251DAD"/>
    <w:rsid w:val="00251DD5"/>
    <w:rsid w:val="00251F6C"/>
    <w:rsid w:val="0025211A"/>
    <w:rsid w:val="00252180"/>
    <w:rsid w:val="00252307"/>
    <w:rsid w:val="0025249C"/>
    <w:rsid w:val="00252606"/>
    <w:rsid w:val="002527A2"/>
    <w:rsid w:val="00252DCF"/>
    <w:rsid w:val="00252F8D"/>
    <w:rsid w:val="00253744"/>
    <w:rsid w:val="00253752"/>
    <w:rsid w:val="002538E7"/>
    <w:rsid w:val="002539ED"/>
    <w:rsid w:val="00253A08"/>
    <w:rsid w:val="00253F1A"/>
    <w:rsid w:val="00253FFE"/>
    <w:rsid w:val="0025434B"/>
    <w:rsid w:val="0025440D"/>
    <w:rsid w:val="0025450E"/>
    <w:rsid w:val="00254528"/>
    <w:rsid w:val="00254E01"/>
    <w:rsid w:val="0025509C"/>
    <w:rsid w:val="00255152"/>
    <w:rsid w:val="00255304"/>
    <w:rsid w:val="0025554E"/>
    <w:rsid w:val="00255721"/>
    <w:rsid w:val="00255FDA"/>
    <w:rsid w:val="0025618C"/>
    <w:rsid w:val="0025629D"/>
    <w:rsid w:val="00256384"/>
    <w:rsid w:val="00256775"/>
    <w:rsid w:val="00256EAF"/>
    <w:rsid w:val="0025718C"/>
    <w:rsid w:val="00257679"/>
    <w:rsid w:val="0025784C"/>
    <w:rsid w:val="00260211"/>
    <w:rsid w:val="002608FF"/>
    <w:rsid w:val="00260A39"/>
    <w:rsid w:val="00260CA2"/>
    <w:rsid w:val="00260F70"/>
    <w:rsid w:val="00260F95"/>
    <w:rsid w:val="0026132E"/>
    <w:rsid w:val="00261E19"/>
    <w:rsid w:val="0026243D"/>
    <w:rsid w:val="00262574"/>
    <w:rsid w:val="0026262F"/>
    <w:rsid w:val="00262A0F"/>
    <w:rsid w:val="00262D34"/>
    <w:rsid w:val="002638E5"/>
    <w:rsid w:val="002638F4"/>
    <w:rsid w:val="00263BC9"/>
    <w:rsid w:val="00263F3D"/>
    <w:rsid w:val="002640CC"/>
    <w:rsid w:val="002641C1"/>
    <w:rsid w:val="002648F1"/>
    <w:rsid w:val="00264D66"/>
    <w:rsid w:val="00264D94"/>
    <w:rsid w:val="002650C0"/>
    <w:rsid w:val="002653A9"/>
    <w:rsid w:val="002657C9"/>
    <w:rsid w:val="002657F7"/>
    <w:rsid w:val="00265BF4"/>
    <w:rsid w:val="00265EB5"/>
    <w:rsid w:val="00266196"/>
    <w:rsid w:val="002665E5"/>
    <w:rsid w:val="002666EA"/>
    <w:rsid w:val="00266735"/>
    <w:rsid w:val="00266870"/>
    <w:rsid w:val="00266B35"/>
    <w:rsid w:val="00266FD9"/>
    <w:rsid w:val="00267618"/>
    <w:rsid w:val="00267B52"/>
    <w:rsid w:val="00267E6D"/>
    <w:rsid w:val="00270310"/>
    <w:rsid w:val="002703A8"/>
    <w:rsid w:val="002706C7"/>
    <w:rsid w:val="00270939"/>
    <w:rsid w:val="00270B9D"/>
    <w:rsid w:val="00271013"/>
    <w:rsid w:val="0027118A"/>
    <w:rsid w:val="00271360"/>
    <w:rsid w:val="0027160C"/>
    <w:rsid w:val="00271A03"/>
    <w:rsid w:val="00271FC0"/>
    <w:rsid w:val="00272416"/>
    <w:rsid w:val="002724C4"/>
    <w:rsid w:val="00272756"/>
    <w:rsid w:val="002728EF"/>
    <w:rsid w:val="00272E62"/>
    <w:rsid w:val="00273213"/>
    <w:rsid w:val="00273270"/>
    <w:rsid w:val="00273432"/>
    <w:rsid w:val="002737DD"/>
    <w:rsid w:val="00273957"/>
    <w:rsid w:val="00273F98"/>
    <w:rsid w:val="0027405F"/>
    <w:rsid w:val="002740E3"/>
    <w:rsid w:val="00274179"/>
    <w:rsid w:val="002749F4"/>
    <w:rsid w:val="00274C47"/>
    <w:rsid w:val="0027501A"/>
    <w:rsid w:val="002751D1"/>
    <w:rsid w:val="002751E9"/>
    <w:rsid w:val="00275209"/>
    <w:rsid w:val="002752D1"/>
    <w:rsid w:val="002754A9"/>
    <w:rsid w:val="002758FD"/>
    <w:rsid w:val="00277AA2"/>
    <w:rsid w:val="00277DD6"/>
    <w:rsid w:val="0028016E"/>
    <w:rsid w:val="002803F3"/>
    <w:rsid w:val="0028053C"/>
    <w:rsid w:val="002805E9"/>
    <w:rsid w:val="00280839"/>
    <w:rsid w:val="00280ADA"/>
    <w:rsid w:val="002811B2"/>
    <w:rsid w:val="00281F1E"/>
    <w:rsid w:val="00282C21"/>
    <w:rsid w:val="00282C2C"/>
    <w:rsid w:val="00282C4C"/>
    <w:rsid w:val="002830EC"/>
    <w:rsid w:val="00283422"/>
    <w:rsid w:val="0028360F"/>
    <w:rsid w:val="00283B45"/>
    <w:rsid w:val="00283F03"/>
    <w:rsid w:val="00284340"/>
    <w:rsid w:val="00284C46"/>
    <w:rsid w:val="00284D07"/>
    <w:rsid w:val="002851C4"/>
    <w:rsid w:val="002856B0"/>
    <w:rsid w:val="00285AC6"/>
    <w:rsid w:val="00285BC5"/>
    <w:rsid w:val="002860E4"/>
    <w:rsid w:val="00286A96"/>
    <w:rsid w:val="00286D6F"/>
    <w:rsid w:val="00287132"/>
    <w:rsid w:val="00287272"/>
    <w:rsid w:val="00287879"/>
    <w:rsid w:val="00287E78"/>
    <w:rsid w:val="00290161"/>
    <w:rsid w:val="00290676"/>
    <w:rsid w:val="002910D0"/>
    <w:rsid w:val="00291462"/>
    <w:rsid w:val="00291572"/>
    <w:rsid w:val="002915DD"/>
    <w:rsid w:val="002919E1"/>
    <w:rsid w:val="00291D93"/>
    <w:rsid w:val="00292477"/>
    <w:rsid w:val="0029250B"/>
    <w:rsid w:val="00292697"/>
    <w:rsid w:val="00292B6E"/>
    <w:rsid w:val="00293B85"/>
    <w:rsid w:val="00293D54"/>
    <w:rsid w:val="002940A0"/>
    <w:rsid w:val="0029444B"/>
    <w:rsid w:val="00294D63"/>
    <w:rsid w:val="00294EB9"/>
    <w:rsid w:val="00295331"/>
    <w:rsid w:val="0029637B"/>
    <w:rsid w:val="00296B4E"/>
    <w:rsid w:val="002974C4"/>
    <w:rsid w:val="00297ADB"/>
    <w:rsid w:val="00297F7C"/>
    <w:rsid w:val="002A04B4"/>
    <w:rsid w:val="002A08F9"/>
    <w:rsid w:val="002A0A2D"/>
    <w:rsid w:val="002A0CA2"/>
    <w:rsid w:val="002A109E"/>
    <w:rsid w:val="002A123B"/>
    <w:rsid w:val="002A145B"/>
    <w:rsid w:val="002A148F"/>
    <w:rsid w:val="002A14F5"/>
    <w:rsid w:val="002A15C4"/>
    <w:rsid w:val="002A18BE"/>
    <w:rsid w:val="002A21C5"/>
    <w:rsid w:val="002A29FC"/>
    <w:rsid w:val="002A2B36"/>
    <w:rsid w:val="002A2CD9"/>
    <w:rsid w:val="002A36F6"/>
    <w:rsid w:val="002A3892"/>
    <w:rsid w:val="002A4084"/>
    <w:rsid w:val="002A4210"/>
    <w:rsid w:val="002A47AA"/>
    <w:rsid w:val="002A4AD6"/>
    <w:rsid w:val="002A4D9C"/>
    <w:rsid w:val="002A50F7"/>
    <w:rsid w:val="002A53BB"/>
    <w:rsid w:val="002A56F7"/>
    <w:rsid w:val="002A57B2"/>
    <w:rsid w:val="002A5861"/>
    <w:rsid w:val="002A59BF"/>
    <w:rsid w:val="002A5B2F"/>
    <w:rsid w:val="002A619D"/>
    <w:rsid w:val="002A6264"/>
    <w:rsid w:val="002A7196"/>
    <w:rsid w:val="002A74F3"/>
    <w:rsid w:val="002A7637"/>
    <w:rsid w:val="002A76AE"/>
    <w:rsid w:val="002A786B"/>
    <w:rsid w:val="002B0367"/>
    <w:rsid w:val="002B0466"/>
    <w:rsid w:val="002B0592"/>
    <w:rsid w:val="002B12FB"/>
    <w:rsid w:val="002B1384"/>
    <w:rsid w:val="002B1BC7"/>
    <w:rsid w:val="002B229D"/>
    <w:rsid w:val="002B263F"/>
    <w:rsid w:val="002B2898"/>
    <w:rsid w:val="002B3186"/>
    <w:rsid w:val="002B31FD"/>
    <w:rsid w:val="002B3500"/>
    <w:rsid w:val="002B3657"/>
    <w:rsid w:val="002B3681"/>
    <w:rsid w:val="002B39B6"/>
    <w:rsid w:val="002B3C5F"/>
    <w:rsid w:val="002B3DE8"/>
    <w:rsid w:val="002B3ED5"/>
    <w:rsid w:val="002B3EFC"/>
    <w:rsid w:val="002B4B33"/>
    <w:rsid w:val="002B4D8A"/>
    <w:rsid w:val="002B4F45"/>
    <w:rsid w:val="002B52B8"/>
    <w:rsid w:val="002B53EE"/>
    <w:rsid w:val="002B5DF4"/>
    <w:rsid w:val="002B61DD"/>
    <w:rsid w:val="002B65CC"/>
    <w:rsid w:val="002B6614"/>
    <w:rsid w:val="002B667C"/>
    <w:rsid w:val="002B691C"/>
    <w:rsid w:val="002B739A"/>
    <w:rsid w:val="002B7907"/>
    <w:rsid w:val="002B7D5D"/>
    <w:rsid w:val="002C0475"/>
    <w:rsid w:val="002C1035"/>
    <w:rsid w:val="002C119F"/>
    <w:rsid w:val="002C11CA"/>
    <w:rsid w:val="002C2759"/>
    <w:rsid w:val="002C30E9"/>
    <w:rsid w:val="002C3137"/>
    <w:rsid w:val="002C33FB"/>
    <w:rsid w:val="002C3A25"/>
    <w:rsid w:val="002C42F9"/>
    <w:rsid w:val="002C45E8"/>
    <w:rsid w:val="002C4BBC"/>
    <w:rsid w:val="002C4BDF"/>
    <w:rsid w:val="002C4C49"/>
    <w:rsid w:val="002C4E1F"/>
    <w:rsid w:val="002C551A"/>
    <w:rsid w:val="002C5A1A"/>
    <w:rsid w:val="002C5A3A"/>
    <w:rsid w:val="002C5FD1"/>
    <w:rsid w:val="002C630C"/>
    <w:rsid w:val="002C655A"/>
    <w:rsid w:val="002C6B32"/>
    <w:rsid w:val="002C6D2B"/>
    <w:rsid w:val="002C6FE4"/>
    <w:rsid w:val="002C70CE"/>
    <w:rsid w:val="002C76DD"/>
    <w:rsid w:val="002D08C1"/>
    <w:rsid w:val="002D115B"/>
    <w:rsid w:val="002D156E"/>
    <w:rsid w:val="002D1A9B"/>
    <w:rsid w:val="002D1C66"/>
    <w:rsid w:val="002D1DA0"/>
    <w:rsid w:val="002D1DB2"/>
    <w:rsid w:val="002D1F75"/>
    <w:rsid w:val="002D2243"/>
    <w:rsid w:val="002D24C0"/>
    <w:rsid w:val="002D2F25"/>
    <w:rsid w:val="002D3277"/>
    <w:rsid w:val="002D3CE0"/>
    <w:rsid w:val="002D3E50"/>
    <w:rsid w:val="002D45D1"/>
    <w:rsid w:val="002D46FD"/>
    <w:rsid w:val="002D4766"/>
    <w:rsid w:val="002D4927"/>
    <w:rsid w:val="002D4CAA"/>
    <w:rsid w:val="002D4F47"/>
    <w:rsid w:val="002D5097"/>
    <w:rsid w:val="002D5459"/>
    <w:rsid w:val="002D55E4"/>
    <w:rsid w:val="002D6334"/>
    <w:rsid w:val="002D690D"/>
    <w:rsid w:val="002D6CFF"/>
    <w:rsid w:val="002D6DBF"/>
    <w:rsid w:val="002D6EA8"/>
    <w:rsid w:val="002D7537"/>
    <w:rsid w:val="002D7649"/>
    <w:rsid w:val="002D77B8"/>
    <w:rsid w:val="002D7922"/>
    <w:rsid w:val="002D79E0"/>
    <w:rsid w:val="002D7CD1"/>
    <w:rsid w:val="002E0324"/>
    <w:rsid w:val="002E03A6"/>
    <w:rsid w:val="002E04FB"/>
    <w:rsid w:val="002E07CE"/>
    <w:rsid w:val="002E0AAB"/>
    <w:rsid w:val="002E0BB6"/>
    <w:rsid w:val="002E1056"/>
    <w:rsid w:val="002E1157"/>
    <w:rsid w:val="002E11B0"/>
    <w:rsid w:val="002E1FA8"/>
    <w:rsid w:val="002E237D"/>
    <w:rsid w:val="002E23C0"/>
    <w:rsid w:val="002E25F1"/>
    <w:rsid w:val="002E2732"/>
    <w:rsid w:val="002E2749"/>
    <w:rsid w:val="002E2AA7"/>
    <w:rsid w:val="002E2D45"/>
    <w:rsid w:val="002E2F2F"/>
    <w:rsid w:val="002E30E2"/>
    <w:rsid w:val="002E35A0"/>
    <w:rsid w:val="002E36A9"/>
    <w:rsid w:val="002E3780"/>
    <w:rsid w:val="002E37E3"/>
    <w:rsid w:val="002E4A74"/>
    <w:rsid w:val="002E50EE"/>
    <w:rsid w:val="002E539C"/>
    <w:rsid w:val="002E53A7"/>
    <w:rsid w:val="002E5F10"/>
    <w:rsid w:val="002E5F2D"/>
    <w:rsid w:val="002E5F6D"/>
    <w:rsid w:val="002E6066"/>
    <w:rsid w:val="002E61B0"/>
    <w:rsid w:val="002E63BE"/>
    <w:rsid w:val="002E67C1"/>
    <w:rsid w:val="002E6897"/>
    <w:rsid w:val="002E71E3"/>
    <w:rsid w:val="002E735C"/>
    <w:rsid w:val="002E7775"/>
    <w:rsid w:val="002E7A78"/>
    <w:rsid w:val="002E7AD2"/>
    <w:rsid w:val="002F027E"/>
    <w:rsid w:val="002F0CE1"/>
    <w:rsid w:val="002F0DC4"/>
    <w:rsid w:val="002F0FE0"/>
    <w:rsid w:val="002F1203"/>
    <w:rsid w:val="002F1399"/>
    <w:rsid w:val="002F154D"/>
    <w:rsid w:val="002F1F65"/>
    <w:rsid w:val="002F2360"/>
    <w:rsid w:val="002F2413"/>
    <w:rsid w:val="002F289C"/>
    <w:rsid w:val="002F28D6"/>
    <w:rsid w:val="002F2BEA"/>
    <w:rsid w:val="002F3276"/>
    <w:rsid w:val="002F32FB"/>
    <w:rsid w:val="002F3918"/>
    <w:rsid w:val="002F3AD7"/>
    <w:rsid w:val="002F42C8"/>
    <w:rsid w:val="002F440F"/>
    <w:rsid w:val="002F4799"/>
    <w:rsid w:val="002F558A"/>
    <w:rsid w:val="002F5611"/>
    <w:rsid w:val="002F5A23"/>
    <w:rsid w:val="002F5BDE"/>
    <w:rsid w:val="002F5F5E"/>
    <w:rsid w:val="002F5F85"/>
    <w:rsid w:val="002F61CB"/>
    <w:rsid w:val="002F6319"/>
    <w:rsid w:val="002F64F6"/>
    <w:rsid w:val="002F66A5"/>
    <w:rsid w:val="002F693F"/>
    <w:rsid w:val="002F7093"/>
    <w:rsid w:val="002F798A"/>
    <w:rsid w:val="002F7C96"/>
    <w:rsid w:val="002F7E53"/>
    <w:rsid w:val="003008CC"/>
    <w:rsid w:val="003008FF"/>
    <w:rsid w:val="00300A00"/>
    <w:rsid w:val="00300F83"/>
    <w:rsid w:val="0030104C"/>
    <w:rsid w:val="003013DF"/>
    <w:rsid w:val="0030148C"/>
    <w:rsid w:val="00301763"/>
    <w:rsid w:val="003017A1"/>
    <w:rsid w:val="00301B8B"/>
    <w:rsid w:val="00302252"/>
    <w:rsid w:val="003023B8"/>
    <w:rsid w:val="00302415"/>
    <w:rsid w:val="00302670"/>
    <w:rsid w:val="00302A04"/>
    <w:rsid w:val="00302B60"/>
    <w:rsid w:val="00302FBF"/>
    <w:rsid w:val="003030FC"/>
    <w:rsid w:val="003039FA"/>
    <w:rsid w:val="00303C60"/>
    <w:rsid w:val="00303DCE"/>
    <w:rsid w:val="00303FCF"/>
    <w:rsid w:val="00304611"/>
    <w:rsid w:val="00304948"/>
    <w:rsid w:val="00304FB8"/>
    <w:rsid w:val="003050A3"/>
    <w:rsid w:val="00305310"/>
    <w:rsid w:val="003056D1"/>
    <w:rsid w:val="003057B6"/>
    <w:rsid w:val="003059EF"/>
    <w:rsid w:val="00305A86"/>
    <w:rsid w:val="00305CDF"/>
    <w:rsid w:val="00305E4B"/>
    <w:rsid w:val="00305F3E"/>
    <w:rsid w:val="00306316"/>
    <w:rsid w:val="00306907"/>
    <w:rsid w:val="00306AD5"/>
    <w:rsid w:val="00306CF7"/>
    <w:rsid w:val="00307162"/>
    <w:rsid w:val="00307299"/>
    <w:rsid w:val="00307DE9"/>
    <w:rsid w:val="00307EFD"/>
    <w:rsid w:val="003105D3"/>
    <w:rsid w:val="003105F2"/>
    <w:rsid w:val="0031089F"/>
    <w:rsid w:val="00310A3D"/>
    <w:rsid w:val="00310A72"/>
    <w:rsid w:val="00310B9B"/>
    <w:rsid w:val="00310C3F"/>
    <w:rsid w:val="00310C98"/>
    <w:rsid w:val="00310CDD"/>
    <w:rsid w:val="00310F10"/>
    <w:rsid w:val="00311017"/>
    <w:rsid w:val="003119DE"/>
    <w:rsid w:val="00312167"/>
    <w:rsid w:val="00313029"/>
    <w:rsid w:val="003140D2"/>
    <w:rsid w:val="00314218"/>
    <w:rsid w:val="00314239"/>
    <w:rsid w:val="0031496D"/>
    <w:rsid w:val="00314B53"/>
    <w:rsid w:val="00315289"/>
    <w:rsid w:val="003152AF"/>
    <w:rsid w:val="00315545"/>
    <w:rsid w:val="0031596F"/>
    <w:rsid w:val="00315E89"/>
    <w:rsid w:val="00316282"/>
    <w:rsid w:val="003163A5"/>
    <w:rsid w:val="003163E9"/>
    <w:rsid w:val="0031684C"/>
    <w:rsid w:val="00316C09"/>
    <w:rsid w:val="0031712F"/>
    <w:rsid w:val="00317182"/>
    <w:rsid w:val="00317240"/>
    <w:rsid w:val="00317251"/>
    <w:rsid w:val="003174DB"/>
    <w:rsid w:val="00317714"/>
    <w:rsid w:val="0032063D"/>
    <w:rsid w:val="00320A17"/>
    <w:rsid w:val="00320ABA"/>
    <w:rsid w:val="00321A4A"/>
    <w:rsid w:val="00321C8D"/>
    <w:rsid w:val="00322407"/>
    <w:rsid w:val="00322DA9"/>
    <w:rsid w:val="00323096"/>
    <w:rsid w:val="0032333B"/>
    <w:rsid w:val="0032361A"/>
    <w:rsid w:val="00323AF6"/>
    <w:rsid w:val="00323C0C"/>
    <w:rsid w:val="00323F03"/>
    <w:rsid w:val="00324255"/>
    <w:rsid w:val="00324C84"/>
    <w:rsid w:val="003251C2"/>
    <w:rsid w:val="00325FA0"/>
    <w:rsid w:val="00326269"/>
    <w:rsid w:val="00326DA6"/>
    <w:rsid w:val="00326F1C"/>
    <w:rsid w:val="00327162"/>
    <w:rsid w:val="00327209"/>
    <w:rsid w:val="00327929"/>
    <w:rsid w:val="00327BF8"/>
    <w:rsid w:val="00327EE5"/>
    <w:rsid w:val="00330A0A"/>
    <w:rsid w:val="00330A87"/>
    <w:rsid w:val="00330B37"/>
    <w:rsid w:val="00331074"/>
    <w:rsid w:val="003311C0"/>
    <w:rsid w:val="0033187E"/>
    <w:rsid w:val="003319E3"/>
    <w:rsid w:val="003321AB"/>
    <w:rsid w:val="003328A9"/>
    <w:rsid w:val="0033296A"/>
    <w:rsid w:val="00332B21"/>
    <w:rsid w:val="00332BEC"/>
    <w:rsid w:val="00332E3E"/>
    <w:rsid w:val="00333255"/>
    <w:rsid w:val="0033326E"/>
    <w:rsid w:val="00333331"/>
    <w:rsid w:val="0033348E"/>
    <w:rsid w:val="0033383C"/>
    <w:rsid w:val="0033399D"/>
    <w:rsid w:val="00333FC2"/>
    <w:rsid w:val="0033411C"/>
    <w:rsid w:val="003343A3"/>
    <w:rsid w:val="00334549"/>
    <w:rsid w:val="00334588"/>
    <w:rsid w:val="0033489A"/>
    <w:rsid w:val="003349A2"/>
    <w:rsid w:val="003354BE"/>
    <w:rsid w:val="00335987"/>
    <w:rsid w:val="00335AD9"/>
    <w:rsid w:val="00335C6C"/>
    <w:rsid w:val="00335F13"/>
    <w:rsid w:val="003360F9"/>
    <w:rsid w:val="00336466"/>
    <w:rsid w:val="00336821"/>
    <w:rsid w:val="0033698C"/>
    <w:rsid w:val="00336FB8"/>
    <w:rsid w:val="003370EA"/>
    <w:rsid w:val="003371B5"/>
    <w:rsid w:val="003371EF"/>
    <w:rsid w:val="0033729D"/>
    <w:rsid w:val="00337BAF"/>
    <w:rsid w:val="0034002C"/>
    <w:rsid w:val="003400BD"/>
    <w:rsid w:val="00340152"/>
    <w:rsid w:val="003401BA"/>
    <w:rsid w:val="003402DF"/>
    <w:rsid w:val="00340341"/>
    <w:rsid w:val="00340945"/>
    <w:rsid w:val="003417CB"/>
    <w:rsid w:val="00342687"/>
    <w:rsid w:val="003427EC"/>
    <w:rsid w:val="003435A9"/>
    <w:rsid w:val="003437C6"/>
    <w:rsid w:val="00343D5B"/>
    <w:rsid w:val="00343E33"/>
    <w:rsid w:val="00343F48"/>
    <w:rsid w:val="003441F9"/>
    <w:rsid w:val="0034453C"/>
    <w:rsid w:val="00344602"/>
    <w:rsid w:val="00344649"/>
    <w:rsid w:val="0034468E"/>
    <w:rsid w:val="0034474D"/>
    <w:rsid w:val="0034475D"/>
    <w:rsid w:val="003448F4"/>
    <w:rsid w:val="00345115"/>
    <w:rsid w:val="00345496"/>
    <w:rsid w:val="003454E7"/>
    <w:rsid w:val="00345BCF"/>
    <w:rsid w:val="00345E1B"/>
    <w:rsid w:val="003466F9"/>
    <w:rsid w:val="00346A33"/>
    <w:rsid w:val="003470BE"/>
    <w:rsid w:val="0034751B"/>
    <w:rsid w:val="003477D8"/>
    <w:rsid w:val="00347956"/>
    <w:rsid w:val="00347E09"/>
    <w:rsid w:val="00350092"/>
    <w:rsid w:val="00350B1C"/>
    <w:rsid w:val="00350DF5"/>
    <w:rsid w:val="00351856"/>
    <w:rsid w:val="003519AD"/>
    <w:rsid w:val="00351C7C"/>
    <w:rsid w:val="00351CB3"/>
    <w:rsid w:val="00351CD6"/>
    <w:rsid w:val="00351E0E"/>
    <w:rsid w:val="003524D8"/>
    <w:rsid w:val="00352708"/>
    <w:rsid w:val="00352906"/>
    <w:rsid w:val="00352A30"/>
    <w:rsid w:val="00352FAA"/>
    <w:rsid w:val="003530D1"/>
    <w:rsid w:val="0035330B"/>
    <w:rsid w:val="00353734"/>
    <w:rsid w:val="00353E5D"/>
    <w:rsid w:val="00353E62"/>
    <w:rsid w:val="003540F3"/>
    <w:rsid w:val="0035446D"/>
    <w:rsid w:val="00354EB4"/>
    <w:rsid w:val="00354F4B"/>
    <w:rsid w:val="003553EE"/>
    <w:rsid w:val="003559F4"/>
    <w:rsid w:val="00355D8C"/>
    <w:rsid w:val="00355EF4"/>
    <w:rsid w:val="00355FC3"/>
    <w:rsid w:val="0035668B"/>
    <w:rsid w:val="003566DA"/>
    <w:rsid w:val="003569EF"/>
    <w:rsid w:val="00356AA3"/>
    <w:rsid w:val="00356CFB"/>
    <w:rsid w:val="00356D29"/>
    <w:rsid w:val="00356E25"/>
    <w:rsid w:val="00356EC6"/>
    <w:rsid w:val="003571C2"/>
    <w:rsid w:val="0035721B"/>
    <w:rsid w:val="0035742B"/>
    <w:rsid w:val="003609E5"/>
    <w:rsid w:val="00360D63"/>
    <w:rsid w:val="003612E1"/>
    <w:rsid w:val="0036146E"/>
    <w:rsid w:val="00361862"/>
    <w:rsid w:val="0036188A"/>
    <w:rsid w:val="0036195E"/>
    <w:rsid w:val="00362597"/>
    <w:rsid w:val="003626F7"/>
    <w:rsid w:val="003627CA"/>
    <w:rsid w:val="00362A3A"/>
    <w:rsid w:val="003632FE"/>
    <w:rsid w:val="00363567"/>
    <w:rsid w:val="00363633"/>
    <w:rsid w:val="00363673"/>
    <w:rsid w:val="00363A26"/>
    <w:rsid w:val="00363ACD"/>
    <w:rsid w:val="00363CD2"/>
    <w:rsid w:val="00363E0F"/>
    <w:rsid w:val="003640A7"/>
    <w:rsid w:val="003645E6"/>
    <w:rsid w:val="00364BA4"/>
    <w:rsid w:val="00364CAD"/>
    <w:rsid w:val="0036541C"/>
    <w:rsid w:val="00365447"/>
    <w:rsid w:val="003656DF"/>
    <w:rsid w:val="00365B45"/>
    <w:rsid w:val="00365D45"/>
    <w:rsid w:val="00365DD9"/>
    <w:rsid w:val="003660D7"/>
    <w:rsid w:val="00366ADC"/>
    <w:rsid w:val="00366CD2"/>
    <w:rsid w:val="00367250"/>
    <w:rsid w:val="0036794E"/>
    <w:rsid w:val="003679D5"/>
    <w:rsid w:val="00367C3A"/>
    <w:rsid w:val="003704C4"/>
    <w:rsid w:val="003707BF"/>
    <w:rsid w:val="00370B59"/>
    <w:rsid w:val="00371919"/>
    <w:rsid w:val="003720D3"/>
    <w:rsid w:val="00372ACF"/>
    <w:rsid w:val="00372C2A"/>
    <w:rsid w:val="00372F85"/>
    <w:rsid w:val="00373446"/>
    <w:rsid w:val="0037367A"/>
    <w:rsid w:val="003737E3"/>
    <w:rsid w:val="0037394E"/>
    <w:rsid w:val="00373EA6"/>
    <w:rsid w:val="003740B3"/>
    <w:rsid w:val="00374624"/>
    <w:rsid w:val="0037463A"/>
    <w:rsid w:val="00374838"/>
    <w:rsid w:val="00374869"/>
    <w:rsid w:val="00375137"/>
    <w:rsid w:val="0037538B"/>
    <w:rsid w:val="003754CA"/>
    <w:rsid w:val="00375695"/>
    <w:rsid w:val="0037591B"/>
    <w:rsid w:val="003759CF"/>
    <w:rsid w:val="00375ABA"/>
    <w:rsid w:val="00375CC8"/>
    <w:rsid w:val="00375F15"/>
    <w:rsid w:val="00375F1F"/>
    <w:rsid w:val="00375F33"/>
    <w:rsid w:val="0037610E"/>
    <w:rsid w:val="00376143"/>
    <w:rsid w:val="00376F40"/>
    <w:rsid w:val="00377401"/>
    <w:rsid w:val="00377CCA"/>
    <w:rsid w:val="00377E87"/>
    <w:rsid w:val="00377F1F"/>
    <w:rsid w:val="00380338"/>
    <w:rsid w:val="0038048B"/>
    <w:rsid w:val="0038146C"/>
    <w:rsid w:val="0038243B"/>
    <w:rsid w:val="003824C1"/>
    <w:rsid w:val="00382609"/>
    <w:rsid w:val="00383360"/>
    <w:rsid w:val="00383366"/>
    <w:rsid w:val="00383B90"/>
    <w:rsid w:val="003842AF"/>
    <w:rsid w:val="003845E0"/>
    <w:rsid w:val="00384917"/>
    <w:rsid w:val="00385049"/>
    <w:rsid w:val="003850A4"/>
    <w:rsid w:val="003854A5"/>
    <w:rsid w:val="00385DF1"/>
    <w:rsid w:val="00386124"/>
    <w:rsid w:val="00386219"/>
    <w:rsid w:val="003864D5"/>
    <w:rsid w:val="003865D0"/>
    <w:rsid w:val="003867A1"/>
    <w:rsid w:val="0038703A"/>
    <w:rsid w:val="00387170"/>
    <w:rsid w:val="003871BD"/>
    <w:rsid w:val="003872AA"/>
    <w:rsid w:val="00387690"/>
    <w:rsid w:val="003878A2"/>
    <w:rsid w:val="00387910"/>
    <w:rsid w:val="00387A2E"/>
    <w:rsid w:val="00387AAF"/>
    <w:rsid w:val="00387BC5"/>
    <w:rsid w:val="00390186"/>
    <w:rsid w:val="003902EA"/>
    <w:rsid w:val="00390567"/>
    <w:rsid w:val="0039077E"/>
    <w:rsid w:val="00390888"/>
    <w:rsid w:val="00390AB9"/>
    <w:rsid w:val="00390FE3"/>
    <w:rsid w:val="00391835"/>
    <w:rsid w:val="0039231E"/>
    <w:rsid w:val="003923C3"/>
    <w:rsid w:val="00392515"/>
    <w:rsid w:val="00392600"/>
    <w:rsid w:val="00392799"/>
    <w:rsid w:val="0039286F"/>
    <w:rsid w:val="00393B99"/>
    <w:rsid w:val="00393BF4"/>
    <w:rsid w:val="00393D54"/>
    <w:rsid w:val="0039403C"/>
    <w:rsid w:val="00394126"/>
    <w:rsid w:val="00394199"/>
    <w:rsid w:val="0039420F"/>
    <w:rsid w:val="00394601"/>
    <w:rsid w:val="00394A85"/>
    <w:rsid w:val="00394C91"/>
    <w:rsid w:val="00394FFC"/>
    <w:rsid w:val="0039503D"/>
    <w:rsid w:val="00395388"/>
    <w:rsid w:val="00395B4F"/>
    <w:rsid w:val="00395CBE"/>
    <w:rsid w:val="003966F6"/>
    <w:rsid w:val="0039677D"/>
    <w:rsid w:val="003968A8"/>
    <w:rsid w:val="00396DF0"/>
    <w:rsid w:val="003972DF"/>
    <w:rsid w:val="003977AC"/>
    <w:rsid w:val="003978FE"/>
    <w:rsid w:val="00397D3A"/>
    <w:rsid w:val="00397DEB"/>
    <w:rsid w:val="00397E2A"/>
    <w:rsid w:val="003A0142"/>
    <w:rsid w:val="003A053B"/>
    <w:rsid w:val="003A0551"/>
    <w:rsid w:val="003A0660"/>
    <w:rsid w:val="003A0A1B"/>
    <w:rsid w:val="003A0B0F"/>
    <w:rsid w:val="003A0D52"/>
    <w:rsid w:val="003A0DBC"/>
    <w:rsid w:val="003A0F14"/>
    <w:rsid w:val="003A10AD"/>
    <w:rsid w:val="003A1D1E"/>
    <w:rsid w:val="003A1DB8"/>
    <w:rsid w:val="003A1E48"/>
    <w:rsid w:val="003A1F21"/>
    <w:rsid w:val="003A295A"/>
    <w:rsid w:val="003A295D"/>
    <w:rsid w:val="003A2EA8"/>
    <w:rsid w:val="003A2ED1"/>
    <w:rsid w:val="003A3557"/>
    <w:rsid w:val="003A35DF"/>
    <w:rsid w:val="003A43C2"/>
    <w:rsid w:val="003A4BA8"/>
    <w:rsid w:val="003A4C47"/>
    <w:rsid w:val="003A5466"/>
    <w:rsid w:val="003A54E3"/>
    <w:rsid w:val="003A5D28"/>
    <w:rsid w:val="003A63F6"/>
    <w:rsid w:val="003A6418"/>
    <w:rsid w:val="003A6724"/>
    <w:rsid w:val="003A676B"/>
    <w:rsid w:val="003A6B06"/>
    <w:rsid w:val="003A6E1A"/>
    <w:rsid w:val="003A70C7"/>
    <w:rsid w:val="003A7596"/>
    <w:rsid w:val="003A7688"/>
    <w:rsid w:val="003A7CC0"/>
    <w:rsid w:val="003B047E"/>
    <w:rsid w:val="003B04D1"/>
    <w:rsid w:val="003B04FE"/>
    <w:rsid w:val="003B0571"/>
    <w:rsid w:val="003B05A5"/>
    <w:rsid w:val="003B0BA1"/>
    <w:rsid w:val="003B1597"/>
    <w:rsid w:val="003B1794"/>
    <w:rsid w:val="003B20F7"/>
    <w:rsid w:val="003B2195"/>
    <w:rsid w:val="003B2512"/>
    <w:rsid w:val="003B254A"/>
    <w:rsid w:val="003B2BEB"/>
    <w:rsid w:val="003B2CB0"/>
    <w:rsid w:val="003B33E1"/>
    <w:rsid w:val="003B349F"/>
    <w:rsid w:val="003B3764"/>
    <w:rsid w:val="003B3807"/>
    <w:rsid w:val="003B3B62"/>
    <w:rsid w:val="003B4078"/>
    <w:rsid w:val="003B41F7"/>
    <w:rsid w:val="003B4274"/>
    <w:rsid w:val="003B43DC"/>
    <w:rsid w:val="003B4599"/>
    <w:rsid w:val="003B49BB"/>
    <w:rsid w:val="003B4F35"/>
    <w:rsid w:val="003B4FAD"/>
    <w:rsid w:val="003B5360"/>
    <w:rsid w:val="003B5774"/>
    <w:rsid w:val="003B61AA"/>
    <w:rsid w:val="003B61B7"/>
    <w:rsid w:val="003B65F5"/>
    <w:rsid w:val="003B67A5"/>
    <w:rsid w:val="003B70A1"/>
    <w:rsid w:val="003B73E8"/>
    <w:rsid w:val="003B7AC6"/>
    <w:rsid w:val="003B7B49"/>
    <w:rsid w:val="003C002D"/>
    <w:rsid w:val="003C0056"/>
    <w:rsid w:val="003C025E"/>
    <w:rsid w:val="003C055E"/>
    <w:rsid w:val="003C07A0"/>
    <w:rsid w:val="003C07B9"/>
    <w:rsid w:val="003C1AE2"/>
    <w:rsid w:val="003C1B86"/>
    <w:rsid w:val="003C1D36"/>
    <w:rsid w:val="003C1F9B"/>
    <w:rsid w:val="003C22EA"/>
    <w:rsid w:val="003C28D0"/>
    <w:rsid w:val="003C2969"/>
    <w:rsid w:val="003C3585"/>
    <w:rsid w:val="003C3629"/>
    <w:rsid w:val="003C36F8"/>
    <w:rsid w:val="003C395D"/>
    <w:rsid w:val="003C3DBC"/>
    <w:rsid w:val="003C40B3"/>
    <w:rsid w:val="003C433B"/>
    <w:rsid w:val="003C4641"/>
    <w:rsid w:val="003C4A14"/>
    <w:rsid w:val="003C4A77"/>
    <w:rsid w:val="003C4E9C"/>
    <w:rsid w:val="003C4F8F"/>
    <w:rsid w:val="003C57C1"/>
    <w:rsid w:val="003C5873"/>
    <w:rsid w:val="003C5A0D"/>
    <w:rsid w:val="003C5BF7"/>
    <w:rsid w:val="003C604D"/>
    <w:rsid w:val="003C63FF"/>
    <w:rsid w:val="003C6479"/>
    <w:rsid w:val="003C647D"/>
    <w:rsid w:val="003C686E"/>
    <w:rsid w:val="003C6B59"/>
    <w:rsid w:val="003C6EE6"/>
    <w:rsid w:val="003C703A"/>
    <w:rsid w:val="003C705B"/>
    <w:rsid w:val="003C7097"/>
    <w:rsid w:val="003C70A1"/>
    <w:rsid w:val="003C7338"/>
    <w:rsid w:val="003C7782"/>
    <w:rsid w:val="003D00C5"/>
    <w:rsid w:val="003D0E1F"/>
    <w:rsid w:val="003D1623"/>
    <w:rsid w:val="003D17C5"/>
    <w:rsid w:val="003D187D"/>
    <w:rsid w:val="003D1954"/>
    <w:rsid w:val="003D1B1A"/>
    <w:rsid w:val="003D1BE3"/>
    <w:rsid w:val="003D1C91"/>
    <w:rsid w:val="003D1E50"/>
    <w:rsid w:val="003D269B"/>
    <w:rsid w:val="003D26E9"/>
    <w:rsid w:val="003D299E"/>
    <w:rsid w:val="003D2C99"/>
    <w:rsid w:val="003D2DAB"/>
    <w:rsid w:val="003D2EEA"/>
    <w:rsid w:val="003D2F84"/>
    <w:rsid w:val="003D32A1"/>
    <w:rsid w:val="003D3FE4"/>
    <w:rsid w:val="003D42A2"/>
    <w:rsid w:val="003D4B19"/>
    <w:rsid w:val="003D4EF2"/>
    <w:rsid w:val="003D55E1"/>
    <w:rsid w:val="003D58D1"/>
    <w:rsid w:val="003D58E3"/>
    <w:rsid w:val="003D5A2A"/>
    <w:rsid w:val="003D5A5A"/>
    <w:rsid w:val="003D61A8"/>
    <w:rsid w:val="003D641A"/>
    <w:rsid w:val="003D643A"/>
    <w:rsid w:val="003D6ACF"/>
    <w:rsid w:val="003D6B99"/>
    <w:rsid w:val="003D70F5"/>
    <w:rsid w:val="003D71EB"/>
    <w:rsid w:val="003D73FF"/>
    <w:rsid w:val="003D76E2"/>
    <w:rsid w:val="003D77B2"/>
    <w:rsid w:val="003D7CBC"/>
    <w:rsid w:val="003D7ECB"/>
    <w:rsid w:val="003D7F9C"/>
    <w:rsid w:val="003E0269"/>
    <w:rsid w:val="003E06BE"/>
    <w:rsid w:val="003E0C38"/>
    <w:rsid w:val="003E138A"/>
    <w:rsid w:val="003E1615"/>
    <w:rsid w:val="003E1EA0"/>
    <w:rsid w:val="003E1FE6"/>
    <w:rsid w:val="003E22CB"/>
    <w:rsid w:val="003E2343"/>
    <w:rsid w:val="003E2B83"/>
    <w:rsid w:val="003E2FEA"/>
    <w:rsid w:val="003E3903"/>
    <w:rsid w:val="003E3A09"/>
    <w:rsid w:val="003E406B"/>
    <w:rsid w:val="003E4358"/>
    <w:rsid w:val="003E4869"/>
    <w:rsid w:val="003E4A29"/>
    <w:rsid w:val="003E4B72"/>
    <w:rsid w:val="003E4F96"/>
    <w:rsid w:val="003E5916"/>
    <w:rsid w:val="003E5994"/>
    <w:rsid w:val="003E5A91"/>
    <w:rsid w:val="003E5CCA"/>
    <w:rsid w:val="003E6B53"/>
    <w:rsid w:val="003E72A7"/>
    <w:rsid w:val="003E72B5"/>
    <w:rsid w:val="003E75BA"/>
    <w:rsid w:val="003E76DC"/>
    <w:rsid w:val="003E7773"/>
    <w:rsid w:val="003E77A9"/>
    <w:rsid w:val="003F00F0"/>
    <w:rsid w:val="003F0428"/>
    <w:rsid w:val="003F047A"/>
    <w:rsid w:val="003F0CA3"/>
    <w:rsid w:val="003F0FBB"/>
    <w:rsid w:val="003F115E"/>
    <w:rsid w:val="003F117B"/>
    <w:rsid w:val="003F1367"/>
    <w:rsid w:val="003F145C"/>
    <w:rsid w:val="003F14C2"/>
    <w:rsid w:val="003F173A"/>
    <w:rsid w:val="003F1B31"/>
    <w:rsid w:val="003F1F29"/>
    <w:rsid w:val="003F2210"/>
    <w:rsid w:val="003F22A3"/>
    <w:rsid w:val="003F3987"/>
    <w:rsid w:val="003F3A57"/>
    <w:rsid w:val="003F455A"/>
    <w:rsid w:val="003F4585"/>
    <w:rsid w:val="003F47F0"/>
    <w:rsid w:val="003F5191"/>
    <w:rsid w:val="003F535C"/>
    <w:rsid w:val="003F5BFA"/>
    <w:rsid w:val="003F5D3D"/>
    <w:rsid w:val="003F5DBD"/>
    <w:rsid w:val="003F5FDE"/>
    <w:rsid w:val="003F603D"/>
    <w:rsid w:val="003F6117"/>
    <w:rsid w:val="003F69A4"/>
    <w:rsid w:val="003F6F53"/>
    <w:rsid w:val="003F701C"/>
    <w:rsid w:val="003F7196"/>
    <w:rsid w:val="003F795B"/>
    <w:rsid w:val="00400006"/>
    <w:rsid w:val="004004B1"/>
    <w:rsid w:val="004008AF"/>
    <w:rsid w:val="004008C1"/>
    <w:rsid w:val="00400B5F"/>
    <w:rsid w:val="00400BEE"/>
    <w:rsid w:val="004015D4"/>
    <w:rsid w:val="00401B54"/>
    <w:rsid w:val="00401C1F"/>
    <w:rsid w:val="00401DBF"/>
    <w:rsid w:val="004020AF"/>
    <w:rsid w:val="0040247E"/>
    <w:rsid w:val="004025D5"/>
    <w:rsid w:val="00402BD7"/>
    <w:rsid w:val="00402C7B"/>
    <w:rsid w:val="00403156"/>
    <w:rsid w:val="004033D9"/>
    <w:rsid w:val="00403618"/>
    <w:rsid w:val="00403E2E"/>
    <w:rsid w:val="00404028"/>
    <w:rsid w:val="00404813"/>
    <w:rsid w:val="00404851"/>
    <w:rsid w:val="00404A94"/>
    <w:rsid w:val="00404C1C"/>
    <w:rsid w:val="00404CA8"/>
    <w:rsid w:val="0040551F"/>
    <w:rsid w:val="0040588B"/>
    <w:rsid w:val="00405AA9"/>
    <w:rsid w:val="00405E05"/>
    <w:rsid w:val="004063EC"/>
    <w:rsid w:val="0040640F"/>
    <w:rsid w:val="00406570"/>
    <w:rsid w:val="004065F3"/>
    <w:rsid w:val="0040771F"/>
    <w:rsid w:val="00407AC4"/>
    <w:rsid w:val="004109CD"/>
    <w:rsid w:val="00410D00"/>
    <w:rsid w:val="00411122"/>
    <w:rsid w:val="004111F7"/>
    <w:rsid w:val="004119C4"/>
    <w:rsid w:val="00411AEF"/>
    <w:rsid w:val="00411E6A"/>
    <w:rsid w:val="0041217D"/>
    <w:rsid w:val="004122FF"/>
    <w:rsid w:val="004125C6"/>
    <w:rsid w:val="0041275F"/>
    <w:rsid w:val="004130B1"/>
    <w:rsid w:val="0041332F"/>
    <w:rsid w:val="00413D9E"/>
    <w:rsid w:val="00413DF2"/>
    <w:rsid w:val="00413EF5"/>
    <w:rsid w:val="00413F2E"/>
    <w:rsid w:val="0041471D"/>
    <w:rsid w:val="00415309"/>
    <w:rsid w:val="00415762"/>
    <w:rsid w:val="00415BEF"/>
    <w:rsid w:val="004166E1"/>
    <w:rsid w:val="00416906"/>
    <w:rsid w:val="00416ADF"/>
    <w:rsid w:val="00416B77"/>
    <w:rsid w:val="00416E3D"/>
    <w:rsid w:val="004170B8"/>
    <w:rsid w:val="004170E8"/>
    <w:rsid w:val="00417332"/>
    <w:rsid w:val="004173D3"/>
    <w:rsid w:val="0041744D"/>
    <w:rsid w:val="00417A7D"/>
    <w:rsid w:val="004205CB"/>
    <w:rsid w:val="00420926"/>
    <w:rsid w:val="00420F91"/>
    <w:rsid w:val="0042109D"/>
    <w:rsid w:val="0042145D"/>
    <w:rsid w:val="00421714"/>
    <w:rsid w:val="0042190B"/>
    <w:rsid w:val="00421A89"/>
    <w:rsid w:val="00421D4C"/>
    <w:rsid w:val="00421EBC"/>
    <w:rsid w:val="00422457"/>
    <w:rsid w:val="0042252B"/>
    <w:rsid w:val="00422593"/>
    <w:rsid w:val="0042284A"/>
    <w:rsid w:val="004229F1"/>
    <w:rsid w:val="00422CC4"/>
    <w:rsid w:val="0042304B"/>
    <w:rsid w:val="00423451"/>
    <w:rsid w:val="00424084"/>
    <w:rsid w:val="0042467F"/>
    <w:rsid w:val="00424736"/>
    <w:rsid w:val="00424C2E"/>
    <w:rsid w:val="00424DD5"/>
    <w:rsid w:val="00425083"/>
    <w:rsid w:val="00425461"/>
    <w:rsid w:val="004254D6"/>
    <w:rsid w:val="00425B1C"/>
    <w:rsid w:val="00425C81"/>
    <w:rsid w:val="00425D0F"/>
    <w:rsid w:val="00425FF1"/>
    <w:rsid w:val="004265DE"/>
    <w:rsid w:val="004266B1"/>
    <w:rsid w:val="0042680B"/>
    <w:rsid w:val="00426ED5"/>
    <w:rsid w:val="0042717D"/>
    <w:rsid w:val="00427345"/>
    <w:rsid w:val="004273AD"/>
    <w:rsid w:val="00427809"/>
    <w:rsid w:val="0042791D"/>
    <w:rsid w:val="004301F9"/>
    <w:rsid w:val="004305AE"/>
    <w:rsid w:val="00430C95"/>
    <w:rsid w:val="004316C3"/>
    <w:rsid w:val="00431800"/>
    <w:rsid w:val="00431922"/>
    <w:rsid w:val="0043194D"/>
    <w:rsid w:val="00431C51"/>
    <w:rsid w:val="00431C7E"/>
    <w:rsid w:val="00431D69"/>
    <w:rsid w:val="00431DEA"/>
    <w:rsid w:val="00432F89"/>
    <w:rsid w:val="00433448"/>
    <w:rsid w:val="00433541"/>
    <w:rsid w:val="004335CA"/>
    <w:rsid w:val="00433B7A"/>
    <w:rsid w:val="004346E1"/>
    <w:rsid w:val="00434C72"/>
    <w:rsid w:val="00434EC4"/>
    <w:rsid w:val="004358DB"/>
    <w:rsid w:val="0043592F"/>
    <w:rsid w:val="00435979"/>
    <w:rsid w:val="00435D9B"/>
    <w:rsid w:val="00435F9A"/>
    <w:rsid w:val="00436514"/>
    <w:rsid w:val="004366B4"/>
    <w:rsid w:val="00436D38"/>
    <w:rsid w:val="00436E35"/>
    <w:rsid w:val="00437236"/>
    <w:rsid w:val="00437396"/>
    <w:rsid w:val="00437666"/>
    <w:rsid w:val="00437B21"/>
    <w:rsid w:val="0044049C"/>
    <w:rsid w:val="0044055A"/>
    <w:rsid w:val="0044066A"/>
    <w:rsid w:val="004407C5"/>
    <w:rsid w:val="00440925"/>
    <w:rsid w:val="00440ADB"/>
    <w:rsid w:val="0044141E"/>
    <w:rsid w:val="00441C61"/>
    <w:rsid w:val="004423F7"/>
    <w:rsid w:val="0044253B"/>
    <w:rsid w:val="0044254C"/>
    <w:rsid w:val="00442794"/>
    <w:rsid w:val="004427A0"/>
    <w:rsid w:val="00442A46"/>
    <w:rsid w:val="00442A49"/>
    <w:rsid w:val="00442ACE"/>
    <w:rsid w:val="00442C1E"/>
    <w:rsid w:val="00442C47"/>
    <w:rsid w:val="004431C0"/>
    <w:rsid w:val="004434B6"/>
    <w:rsid w:val="00443B03"/>
    <w:rsid w:val="00443B61"/>
    <w:rsid w:val="0044432E"/>
    <w:rsid w:val="00444A60"/>
    <w:rsid w:val="00445295"/>
    <w:rsid w:val="00445CFA"/>
    <w:rsid w:val="00445D0B"/>
    <w:rsid w:val="00446039"/>
    <w:rsid w:val="0044690B"/>
    <w:rsid w:val="00446B99"/>
    <w:rsid w:val="00446BBE"/>
    <w:rsid w:val="00446CBF"/>
    <w:rsid w:val="00446D81"/>
    <w:rsid w:val="00446EDF"/>
    <w:rsid w:val="004471F0"/>
    <w:rsid w:val="00447318"/>
    <w:rsid w:val="0044782C"/>
    <w:rsid w:val="00447BCB"/>
    <w:rsid w:val="00447F66"/>
    <w:rsid w:val="004501F3"/>
    <w:rsid w:val="0045026A"/>
    <w:rsid w:val="00450411"/>
    <w:rsid w:val="004507F0"/>
    <w:rsid w:val="0045091C"/>
    <w:rsid w:val="0045093D"/>
    <w:rsid w:val="00450AD0"/>
    <w:rsid w:val="00450BAF"/>
    <w:rsid w:val="00450BC3"/>
    <w:rsid w:val="00450D1E"/>
    <w:rsid w:val="00451307"/>
    <w:rsid w:val="0045162E"/>
    <w:rsid w:val="00451645"/>
    <w:rsid w:val="00451ACB"/>
    <w:rsid w:val="00451F93"/>
    <w:rsid w:val="0045285E"/>
    <w:rsid w:val="00452B45"/>
    <w:rsid w:val="00452CE2"/>
    <w:rsid w:val="004530B7"/>
    <w:rsid w:val="00453A4C"/>
    <w:rsid w:val="00453C13"/>
    <w:rsid w:val="0045417A"/>
    <w:rsid w:val="004541A4"/>
    <w:rsid w:val="00454804"/>
    <w:rsid w:val="00454BF0"/>
    <w:rsid w:val="00454DDF"/>
    <w:rsid w:val="00454F17"/>
    <w:rsid w:val="00454F7E"/>
    <w:rsid w:val="00454F8E"/>
    <w:rsid w:val="00455184"/>
    <w:rsid w:val="00455340"/>
    <w:rsid w:val="00455E5F"/>
    <w:rsid w:val="00456164"/>
    <w:rsid w:val="0045657D"/>
    <w:rsid w:val="0045781E"/>
    <w:rsid w:val="00457944"/>
    <w:rsid w:val="00457968"/>
    <w:rsid w:val="004605D8"/>
    <w:rsid w:val="00460F32"/>
    <w:rsid w:val="004617E3"/>
    <w:rsid w:val="00461912"/>
    <w:rsid w:val="00461C83"/>
    <w:rsid w:val="00461D90"/>
    <w:rsid w:val="00462181"/>
    <w:rsid w:val="0046250B"/>
    <w:rsid w:val="00462698"/>
    <w:rsid w:val="00462778"/>
    <w:rsid w:val="00462AB6"/>
    <w:rsid w:val="00462CCA"/>
    <w:rsid w:val="00463330"/>
    <w:rsid w:val="0046338F"/>
    <w:rsid w:val="0046362C"/>
    <w:rsid w:val="00463650"/>
    <w:rsid w:val="004644BD"/>
    <w:rsid w:val="00464715"/>
    <w:rsid w:val="00464F6C"/>
    <w:rsid w:val="004653E4"/>
    <w:rsid w:val="00465629"/>
    <w:rsid w:val="00465883"/>
    <w:rsid w:val="00465D30"/>
    <w:rsid w:val="00466380"/>
    <w:rsid w:val="00466DA7"/>
    <w:rsid w:val="0046759F"/>
    <w:rsid w:val="004679AD"/>
    <w:rsid w:val="0047058A"/>
    <w:rsid w:val="00470B4A"/>
    <w:rsid w:val="00470F4B"/>
    <w:rsid w:val="0047138B"/>
    <w:rsid w:val="00471C6E"/>
    <w:rsid w:val="00471D0D"/>
    <w:rsid w:val="00471FE4"/>
    <w:rsid w:val="00472150"/>
    <w:rsid w:val="00472A5C"/>
    <w:rsid w:val="00472AF6"/>
    <w:rsid w:val="00472D85"/>
    <w:rsid w:val="00472DD0"/>
    <w:rsid w:val="00472F91"/>
    <w:rsid w:val="004731D4"/>
    <w:rsid w:val="00474082"/>
    <w:rsid w:val="0047423A"/>
    <w:rsid w:val="004742D3"/>
    <w:rsid w:val="00474E01"/>
    <w:rsid w:val="0047509B"/>
    <w:rsid w:val="00475AFB"/>
    <w:rsid w:val="00476341"/>
    <w:rsid w:val="0047691C"/>
    <w:rsid w:val="00477505"/>
    <w:rsid w:val="00477579"/>
    <w:rsid w:val="004776D0"/>
    <w:rsid w:val="00477860"/>
    <w:rsid w:val="00480649"/>
    <w:rsid w:val="00480798"/>
    <w:rsid w:val="00480CD6"/>
    <w:rsid w:val="004815B1"/>
    <w:rsid w:val="00481AA8"/>
    <w:rsid w:val="00482804"/>
    <w:rsid w:val="00482A69"/>
    <w:rsid w:val="00482B47"/>
    <w:rsid w:val="0048319B"/>
    <w:rsid w:val="0048323E"/>
    <w:rsid w:val="00483E19"/>
    <w:rsid w:val="004842BB"/>
    <w:rsid w:val="00484356"/>
    <w:rsid w:val="0048448B"/>
    <w:rsid w:val="00484DC5"/>
    <w:rsid w:val="00485675"/>
    <w:rsid w:val="00485821"/>
    <w:rsid w:val="00485DDA"/>
    <w:rsid w:val="004861B5"/>
    <w:rsid w:val="004870DD"/>
    <w:rsid w:val="00487384"/>
    <w:rsid w:val="004877E8"/>
    <w:rsid w:val="004878C3"/>
    <w:rsid w:val="00487C85"/>
    <w:rsid w:val="00490337"/>
    <w:rsid w:val="004904A7"/>
    <w:rsid w:val="004905F5"/>
    <w:rsid w:val="0049081E"/>
    <w:rsid w:val="00490A30"/>
    <w:rsid w:val="00490A37"/>
    <w:rsid w:val="00490BB2"/>
    <w:rsid w:val="00490DC4"/>
    <w:rsid w:val="00490DC9"/>
    <w:rsid w:val="004910D7"/>
    <w:rsid w:val="004911B6"/>
    <w:rsid w:val="00491411"/>
    <w:rsid w:val="00491722"/>
    <w:rsid w:val="00491A3F"/>
    <w:rsid w:val="00491C99"/>
    <w:rsid w:val="00491DEA"/>
    <w:rsid w:val="00491E21"/>
    <w:rsid w:val="0049200C"/>
    <w:rsid w:val="00492208"/>
    <w:rsid w:val="0049235A"/>
    <w:rsid w:val="00492DF2"/>
    <w:rsid w:val="00492FD9"/>
    <w:rsid w:val="0049337E"/>
    <w:rsid w:val="004935FD"/>
    <w:rsid w:val="004942FA"/>
    <w:rsid w:val="004949F7"/>
    <w:rsid w:val="00494A67"/>
    <w:rsid w:val="00494E20"/>
    <w:rsid w:val="00494F0E"/>
    <w:rsid w:val="00494F64"/>
    <w:rsid w:val="0049528D"/>
    <w:rsid w:val="004953DD"/>
    <w:rsid w:val="004959E0"/>
    <w:rsid w:val="00495C72"/>
    <w:rsid w:val="00495D8C"/>
    <w:rsid w:val="00495FA9"/>
    <w:rsid w:val="0049606C"/>
    <w:rsid w:val="0049679A"/>
    <w:rsid w:val="004969CF"/>
    <w:rsid w:val="004969E2"/>
    <w:rsid w:val="004971D1"/>
    <w:rsid w:val="004974FD"/>
    <w:rsid w:val="00497514"/>
    <w:rsid w:val="00497A48"/>
    <w:rsid w:val="00497B9F"/>
    <w:rsid w:val="00497C71"/>
    <w:rsid w:val="00497DAD"/>
    <w:rsid w:val="004A0369"/>
    <w:rsid w:val="004A03C3"/>
    <w:rsid w:val="004A058D"/>
    <w:rsid w:val="004A0803"/>
    <w:rsid w:val="004A1145"/>
    <w:rsid w:val="004A12A0"/>
    <w:rsid w:val="004A155D"/>
    <w:rsid w:val="004A15AF"/>
    <w:rsid w:val="004A1AE4"/>
    <w:rsid w:val="004A1F07"/>
    <w:rsid w:val="004A1FAD"/>
    <w:rsid w:val="004A1FC1"/>
    <w:rsid w:val="004A2084"/>
    <w:rsid w:val="004A20DB"/>
    <w:rsid w:val="004A244D"/>
    <w:rsid w:val="004A260B"/>
    <w:rsid w:val="004A2711"/>
    <w:rsid w:val="004A27B9"/>
    <w:rsid w:val="004A3142"/>
    <w:rsid w:val="004A40C7"/>
    <w:rsid w:val="004A4324"/>
    <w:rsid w:val="004A4430"/>
    <w:rsid w:val="004A4ADE"/>
    <w:rsid w:val="004A4C01"/>
    <w:rsid w:val="004A4EF9"/>
    <w:rsid w:val="004A4F18"/>
    <w:rsid w:val="004A4FDF"/>
    <w:rsid w:val="004A50C6"/>
    <w:rsid w:val="004A5489"/>
    <w:rsid w:val="004A54F4"/>
    <w:rsid w:val="004A5799"/>
    <w:rsid w:val="004A5E73"/>
    <w:rsid w:val="004A6062"/>
    <w:rsid w:val="004A61AE"/>
    <w:rsid w:val="004A71FA"/>
    <w:rsid w:val="004A72C7"/>
    <w:rsid w:val="004A7789"/>
    <w:rsid w:val="004A7A06"/>
    <w:rsid w:val="004A7A52"/>
    <w:rsid w:val="004A7C87"/>
    <w:rsid w:val="004B02C1"/>
    <w:rsid w:val="004B032C"/>
    <w:rsid w:val="004B0674"/>
    <w:rsid w:val="004B0DF7"/>
    <w:rsid w:val="004B1231"/>
    <w:rsid w:val="004B18E8"/>
    <w:rsid w:val="004B18EA"/>
    <w:rsid w:val="004B19FE"/>
    <w:rsid w:val="004B1FF4"/>
    <w:rsid w:val="004B2168"/>
    <w:rsid w:val="004B2A4D"/>
    <w:rsid w:val="004B2F45"/>
    <w:rsid w:val="004B30FD"/>
    <w:rsid w:val="004B33C2"/>
    <w:rsid w:val="004B36CE"/>
    <w:rsid w:val="004B37F1"/>
    <w:rsid w:val="004B38AC"/>
    <w:rsid w:val="004B3ACE"/>
    <w:rsid w:val="004B3D33"/>
    <w:rsid w:val="004B4214"/>
    <w:rsid w:val="004B499A"/>
    <w:rsid w:val="004B5050"/>
    <w:rsid w:val="004B6035"/>
    <w:rsid w:val="004B62DD"/>
    <w:rsid w:val="004B6618"/>
    <w:rsid w:val="004B689D"/>
    <w:rsid w:val="004B6BE9"/>
    <w:rsid w:val="004B6EBE"/>
    <w:rsid w:val="004B7164"/>
    <w:rsid w:val="004B78B1"/>
    <w:rsid w:val="004B793A"/>
    <w:rsid w:val="004B7B2F"/>
    <w:rsid w:val="004C05B3"/>
    <w:rsid w:val="004C06BD"/>
    <w:rsid w:val="004C08BC"/>
    <w:rsid w:val="004C0969"/>
    <w:rsid w:val="004C0BD6"/>
    <w:rsid w:val="004C0C34"/>
    <w:rsid w:val="004C0E97"/>
    <w:rsid w:val="004C139D"/>
    <w:rsid w:val="004C13CA"/>
    <w:rsid w:val="004C1B8F"/>
    <w:rsid w:val="004C2018"/>
    <w:rsid w:val="004C2199"/>
    <w:rsid w:val="004C21FE"/>
    <w:rsid w:val="004C2270"/>
    <w:rsid w:val="004C2384"/>
    <w:rsid w:val="004C2468"/>
    <w:rsid w:val="004C2AE8"/>
    <w:rsid w:val="004C2E99"/>
    <w:rsid w:val="004C2FF3"/>
    <w:rsid w:val="004C313C"/>
    <w:rsid w:val="004C33B4"/>
    <w:rsid w:val="004C34D8"/>
    <w:rsid w:val="004C3849"/>
    <w:rsid w:val="004C3919"/>
    <w:rsid w:val="004C3DDB"/>
    <w:rsid w:val="004C3ED4"/>
    <w:rsid w:val="004C43AC"/>
    <w:rsid w:val="004C450F"/>
    <w:rsid w:val="004C48C8"/>
    <w:rsid w:val="004C4A30"/>
    <w:rsid w:val="004C50C7"/>
    <w:rsid w:val="004C5388"/>
    <w:rsid w:val="004C5832"/>
    <w:rsid w:val="004C58B2"/>
    <w:rsid w:val="004C598D"/>
    <w:rsid w:val="004C5DEA"/>
    <w:rsid w:val="004C5E01"/>
    <w:rsid w:val="004C613D"/>
    <w:rsid w:val="004C6405"/>
    <w:rsid w:val="004C6669"/>
    <w:rsid w:val="004C6947"/>
    <w:rsid w:val="004C6C4E"/>
    <w:rsid w:val="004C6D21"/>
    <w:rsid w:val="004C77BD"/>
    <w:rsid w:val="004C7B4F"/>
    <w:rsid w:val="004D0621"/>
    <w:rsid w:val="004D0A71"/>
    <w:rsid w:val="004D0EBC"/>
    <w:rsid w:val="004D1063"/>
    <w:rsid w:val="004D1125"/>
    <w:rsid w:val="004D1207"/>
    <w:rsid w:val="004D12F7"/>
    <w:rsid w:val="004D15FC"/>
    <w:rsid w:val="004D1827"/>
    <w:rsid w:val="004D1A50"/>
    <w:rsid w:val="004D1C8B"/>
    <w:rsid w:val="004D1ECA"/>
    <w:rsid w:val="004D23C9"/>
    <w:rsid w:val="004D2A84"/>
    <w:rsid w:val="004D3181"/>
    <w:rsid w:val="004D3897"/>
    <w:rsid w:val="004D38B9"/>
    <w:rsid w:val="004D3A73"/>
    <w:rsid w:val="004D425A"/>
    <w:rsid w:val="004D4425"/>
    <w:rsid w:val="004D44CE"/>
    <w:rsid w:val="004D4519"/>
    <w:rsid w:val="004D5147"/>
    <w:rsid w:val="004D5955"/>
    <w:rsid w:val="004D5992"/>
    <w:rsid w:val="004D5F82"/>
    <w:rsid w:val="004D6068"/>
    <w:rsid w:val="004D6614"/>
    <w:rsid w:val="004D688F"/>
    <w:rsid w:val="004D68CC"/>
    <w:rsid w:val="004D6C59"/>
    <w:rsid w:val="004D741F"/>
    <w:rsid w:val="004D7744"/>
    <w:rsid w:val="004E05A9"/>
    <w:rsid w:val="004E0625"/>
    <w:rsid w:val="004E065B"/>
    <w:rsid w:val="004E0EF1"/>
    <w:rsid w:val="004E1008"/>
    <w:rsid w:val="004E1B3D"/>
    <w:rsid w:val="004E2406"/>
    <w:rsid w:val="004E2A66"/>
    <w:rsid w:val="004E2BD6"/>
    <w:rsid w:val="004E2D6E"/>
    <w:rsid w:val="004E2EC8"/>
    <w:rsid w:val="004E2F05"/>
    <w:rsid w:val="004E2FFA"/>
    <w:rsid w:val="004E309D"/>
    <w:rsid w:val="004E32C7"/>
    <w:rsid w:val="004E360E"/>
    <w:rsid w:val="004E39AC"/>
    <w:rsid w:val="004E3FFB"/>
    <w:rsid w:val="004E4151"/>
    <w:rsid w:val="004E42DC"/>
    <w:rsid w:val="004E4785"/>
    <w:rsid w:val="004E4866"/>
    <w:rsid w:val="004E4876"/>
    <w:rsid w:val="004E5299"/>
    <w:rsid w:val="004E631F"/>
    <w:rsid w:val="004E63B7"/>
    <w:rsid w:val="004E650B"/>
    <w:rsid w:val="004E6D62"/>
    <w:rsid w:val="004E6FA7"/>
    <w:rsid w:val="004E766C"/>
    <w:rsid w:val="004E7727"/>
    <w:rsid w:val="004E7838"/>
    <w:rsid w:val="004E7C61"/>
    <w:rsid w:val="004F04E5"/>
    <w:rsid w:val="004F067D"/>
    <w:rsid w:val="004F0C9C"/>
    <w:rsid w:val="004F0D13"/>
    <w:rsid w:val="004F11C4"/>
    <w:rsid w:val="004F1317"/>
    <w:rsid w:val="004F1D3A"/>
    <w:rsid w:val="004F1D56"/>
    <w:rsid w:val="004F21BC"/>
    <w:rsid w:val="004F2209"/>
    <w:rsid w:val="004F27A7"/>
    <w:rsid w:val="004F29C5"/>
    <w:rsid w:val="004F29F9"/>
    <w:rsid w:val="004F2D72"/>
    <w:rsid w:val="004F2FD0"/>
    <w:rsid w:val="004F30FD"/>
    <w:rsid w:val="004F3313"/>
    <w:rsid w:val="004F35C2"/>
    <w:rsid w:val="004F39C9"/>
    <w:rsid w:val="004F3CD3"/>
    <w:rsid w:val="004F3FC7"/>
    <w:rsid w:val="004F3FEB"/>
    <w:rsid w:val="004F45EF"/>
    <w:rsid w:val="004F48B7"/>
    <w:rsid w:val="004F4CEC"/>
    <w:rsid w:val="004F4D37"/>
    <w:rsid w:val="004F596C"/>
    <w:rsid w:val="004F6211"/>
    <w:rsid w:val="004F639A"/>
    <w:rsid w:val="004F6554"/>
    <w:rsid w:val="004F6749"/>
    <w:rsid w:val="004F6AD3"/>
    <w:rsid w:val="004F6D85"/>
    <w:rsid w:val="004F702A"/>
    <w:rsid w:val="004F74E5"/>
    <w:rsid w:val="004F7A0F"/>
    <w:rsid w:val="004F7A3E"/>
    <w:rsid w:val="005000E7"/>
    <w:rsid w:val="005000F2"/>
    <w:rsid w:val="00500236"/>
    <w:rsid w:val="0050025D"/>
    <w:rsid w:val="005008EC"/>
    <w:rsid w:val="00500A2F"/>
    <w:rsid w:val="00500A33"/>
    <w:rsid w:val="00500B10"/>
    <w:rsid w:val="00500D74"/>
    <w:rsid w:val="00500D7D"/>
    <w:rsid w:val="00501000"/>
    <w:rsid w:val="00501386"/>
    <w:rsid w:val="00501844"/>
    <w:rsid w:val="00501AAF"/>
    <w:rsid w:val="00501BD9"/>
    <w:rsid w:val="00501C25"/>
    <w:rsid w:val="00502106"/>
    <w:rsid w:val="005026BE"/>
    <w:rsid w:val="005027A6"/>
    <w:rsid w:val="005027B6"/>
    <w:rsid w:val="005027C6"/>
    <w:rsid w:val="00502DAE"/>
    <w:rsid w:val="00502FFB"/>
    <w:rsid w:val="00503119"/>
    <w:rsid w:val="005038A0"/>
    <w:rsid w:val="00503C5D"/>
    <w:rsid w:val="00503C7A"/>
    <w:rsid w:val="00503D05"/>
    <w:rsid w:val="00504009"/>
    <w:rsid w:val="0050408D"/>
    <w:rsid w:val="00504205"/>
    <w:rsid w:val="0050465F"/>
    <w:rsid w:val="00504922"/>
    <w:rsid w:val="00504A82"/>
    <w:rsid w:val="00505981"/>
    <w:rsid w:val="00505B79"/>
    <w:rsid w:val="00505BAB"/>
    <w:rsid w:val="00505E19"/>
    <w:rsid w:val="0050642C"/>
    <w:rsid w:val="0050655F"/>
    <w:rsid w:val="00506BA2"/>
    <w:rsid w:val="0050726E"/>
    <w:rsid w:val="005072F5"/>
    <w:rsid w:val="0050778F"/>
    <w:rsid w:val="00510173"/>
    <w:rsid w:val="005103C5"/>
    <w:rsid w:val="005105BD"/>
    <w:rsid w:val="005105C5"/>
    <w:rsid w:val="005107AA"/>
    <w:rsid w:val="00510D97"/>
    <w:rsid w:val="00510E08"/>
    <w:rsid w:val="005110E3"/>
    <w:rsid w:val="0051173F"/>
    <w:rsid w:val="00512086"/>
    <w:rsid w:val="005121EC"/>
    <w:rsid w:val="00512A9F"/>
    <w:rsid w:val="00512FC1"/>
    <w:rsid w:val="005131D3"/>
    <w:rsid w:val="0051352C"/>
    <w:rsid w:val="00513836"/>
    <w:rsid w:val="0051390E"/>
    <w:rsid w:val="005139BB"/>
    <w:rsid w:val="00513FE9"/>
    <w:rsid w:val="00514D39"/>
    <w:rsid w:val="00514FC2"/>
    <w:rsid w:val="00515B61"/>
    <w:rsid w:val="00515BFA"/>
    <w:rsid w:val="00515C62"/>
    <w:rsid w:val="00515E2B"/>
    <w:rsid w:val="00515F1F"/>
    <w:rsid w:val="00515FEB"/>
    <w:rsid w:val="005169BD"/>
    <w:rsid w:val="00516AC9"/>
    <w:rsid w:val="00516DF1"/>
    <w:rsid w:val="00516FE3"/>
    <w:rsid w:val="005170C7"/>
    <w:rsid w:val="00517246"/>
    <w:rsid w:val="0051740D"/>
    <w:rsid w:val="00517601"/>
    <w:rsid w:val="0051799E"/>
    <w:rsid w:val="00517A86"/>
    <w:rsid w:val="00517E64"/>
    <w:rsid w:val="00520312"/>
    <w:rsid w:val="00520474"/>
    <w:rsid w:val="0052087E"/>
    <w:rsid w:val="00520B59"/>
    <w:rsid w:val="00520F43"/>
    <w:rsid w:val="005210E5"/>
    <w:rsid w:val="0052137D"/>
    <w:rsid w:val="00521655"/>
    <w:rsid w:val="00521882"/>
    <w:rsid w:val="00521B47"/>
    <w:rsid w:val="005224B2"/>
    <w:rsid w:val="005226E0"/>
    <w:rsid w:val="00522A75"/>
    <w:rsid w:val="00522CC5"/>
    <w:rsid w:val="00522EB3"/>
    <w:rsid w:val="00522ED8"/>
    <w:rsid w:val="0052349D"/>
    <w:rsid w:val="00523814"/>
    <w:rsid w:val="00523858"/>
    <w:rsid w:val="00524169"/>
    <w:rsid w:val="005241C5"/>
    <w:rsid w:val="005241E1"/>
    <w:rsid w:val="005245DB"/>
    <w:rsid w:val="00524923"/>
    <w:rsid w:val="00524B93"/>
    <w:rsid w:val="00524BE8"/>
    <w:rsid w:val="0052525D"/>
    <w:rsid w:val="00525552"/>
    <w:rsid w:val="0052575D"/>
    <w:rsid w:val="00525BE2"/>
    <w:rsid w:val="00525EEA"/>
    <w:rsid w:val="00525FB4"/>
    <w:rsid w:val="00525FE8"/>
    <w:rsid w:val="0052617A"/>
    <w:rsid w:val="00526C92"/>
    <w:rsid w:val="005275FC"/>
    <w:rsid w:val="0052768C"/>
    <w:rsid w:val="0052792C"/>
    <w:rsid w:val="00527A6F"/>
    <w:rsid w:val="00527BA4"/>
    <w:rsid w:val="00527C0C"/>
    <w:rsid w:val="00527C9C"/>
    <w:rsid w:val="00527EC5"/>
    <w:rsid w:val="00530429"/>
    <w:rsid w:val="00530583"/>
    <w:rsid w:val="00530896"/>
    <w:rsid w:val="00530924"/>
    <w:rsid w:val="0053093B"/>
    <w:rsid w:val="00530ABE"/>
    <w:rsid w:val="00530AEC"/>
    <w:rsid w:val="00530B54"/>
    <w:rsid w:val="00530D92"/>
    <w:rsid w:val="005310AF"/>
    <w:rsid w:val="00531633"/>
    <w:rsid w:val="00531A4B"/>
    <w:rsid w:val="00531FC2"/>
    <w:rsid w:val="0053213C"/>
    <w:rsid w:val="00532645"/>
    <w:rsid w:val="00532718"/>
    <w:rsid w:val="0053279C"/>
    <w:rsid w:val="00532C7C"/>
    <w:rsid w:val="00532CD0"/>
    <w:rsid w:val="00532F0F"/>
    <w:rsid w:val="005332B2"/>
    <w:rsid w:val="0053355C"/>
    <w:rsid w:val="005335D7"/>
    <w:rsid w:val="005337D2"/>
    <w:rsid w:val="00533BFE"/>
    <w:rsid w:val="005342B5"/>
    <w:rsid w:val="005342C3"/>
    <w:rsid w:val="00534463"/>
    <w:rsid w:val="0053466B"/>
    <w:rsid w:val="00534E1A"/>
    <w:rsid w:val="00535007"/>
    <w:rsid w:val="005358EC"/>
    <w:rsid w:val="00535981"/>
    <w:rsid w:val="00535BFE"/>
    <w:rsid w:val="005362F5"/>
    <w:rsid w:val="00536372"/>
    <w:rsid w:val="00536615"/>
    <w:rsid w:val="00536B76"/>
    <w:rsid w:val="00536BB7"/>
    <w:rsid w:val="00536BFD"/>
    <w:rsid w:val="00536C9A"/>
    <w:rsid w:val="00536F2E"/>
    <w:rsid w:val="005370BA"/>
    <w:rsid w:val="005370F1"/>
    <w:rsid w:val="00537131"/>
    <w:rsid w:val="0053725B"/>
    <w:rsid w:val="00540342"/>
    <w:rsid w:val="00540369"/>
    <w:rsid w:val="00540467"/>
    <w:rsid w:val="005407B1"/>
    <w:rsid w:val="00540C57"/>
    <w:rsid w:val="00540DCC"/>
    <w:rsid w:val="00540F8B"/>
    <w:rsid w:val="005412B1"/>
    <w:rsid w:val="005416AD"/>
    <w:rsid w:val="00541786"/>
    <w:rsid w:val="00541DCF"/>
    <w:rsid w:val="00541E6A"/>
    <w:rsid w:val="00541F7A"/>
    <w:rsid w:val="005423A4"/>
    <w:rsid w:val="0054259B"/>
    <w:rsid w:val="0054264A"/>
    <w:rsid w:val="00542877"/>
    <w:rsid w:val="00543A2A"/>
    <w:rsid w:val="00543C26"/>
    <w:rsid w:val="005447AF"/>
    <w:rsid w:val="00545BD8"/>
    <w:rsid w:val="00545D18"/>
    <w:rsid w:val="00545D33"/>
    <w:rsid w:val="00545FCB"/>
    <w:rsid w:val="0054621C"/>
    <w:rsid w:val="00546512"/>
    <w:rsid w:val="00546714"/>
    <w:rsid w:val="00546781"/>
    <w:rsid w:val="00546B27"/>
    <w:rsid w:val="00546FC7"/>
    <w:rsid w:val="00547C17"/>
    <w:rsid w:val="00547F20"/>
    <w:rsid w:val="0055038A"/>
    <w:rsid w:val="00550462"/>
    <w:rsid w:val="0055068F"/>
    <w:rsid w:val="005507C7"/>
    <w:rsid w:val="00550EE3"/>
    <w:rsid w:val="0055185B"/>
    <w:rsid w:val="00551F32"/>
    <w:rsid w:val="0055262C"/>
    <w:rsid w:val="00552C09"/>
    <w:rsid w:val="00552D92"/>
    <w:rsid w:val="005531BD"/>
    <w:rsid w:val="005532F3"/>
    <w:rsid w:val="0055366F"/>
    <w:rsid w:val="00553EF2"/>
    <w:rsid w:val="00554010"/>
    <w:rsid w:val="00554326"/>
    <w:rsid w:val="00554502"/>
    <w:rsid w:val="00554D90"/>
    <w:rsid w:val="005554C6"/>
    <w:rsid w:val="0055578D"/>
    <w:rsid w:val="00555A5D"/>
    <w:rsid w:val="00555DEE"/>
    <w:rsid w:val="00555ECF"/>
    <w:rsid w:val="00556367"/>
    <w:rsid w:val="0055641D"/>
    <w:rsid w:val="0055666A"/>
    <w:rsid w:val="005567B2"/>
    <w:rsid w:val="00556D94"/>
    <w:rsid w:val="00556FC7"/>
    <w:rsid w:val="00557870"/>
    <w:rsid w:val="00557B14"/>
    <w:rsid w:val="00557E89"/>
    <w:rsid w:val="00557F5E"/>
    <w:rsid w:val="00560277"/>
    <w:rsid w:val="005605DB"/>
    <w:rsid w:val="00560938"/>
    <w:rsid w:val="00560AF1"/>
    <w:rsid w:val="00560BEF"/>
    <w:rsid w:val="00560CA2"/>
    <w:rsid w:val="00560D5C"/>
    <w:rsid w:val="00560DCD"/>
    <w:rsid w:val="00560EE5"/>
    <w:rsid w:val="0056116C"/>
    <w:rsid w:val="00561562"/>
    <w:rsid w:val="0056180E"/>
    <w:rsid w:val="00561810"/>
    <w:rsid w:val="00561874"/>
    <w:rsid w:val="00561E0F"/>
    <w:rsid w:val="00562651"/>
    <w:rsid w:val="00563BAC"/>
    <w:rsid w:val="00563C99"/>
    <w:rsid w:val="00563DDF"/>
    <w:rsid w:val="00563DE6"/>
    <w:rsid w:val="00563EBC"/>
    <w:rsid w:val="005644B5"/>
    <w:rsid w:val="00564814"/>
    <w:rsid w:val="005648A8"/>
    <w:rsid w:val="0056491F"/>
    <w:rsid w:val="00564CCB"/>
    <w:rsid w:val="0056528D"/>
    <w:rsid w:val="005653CE"/>
    <w:rsid w:val="005656D9"/>
    <w:rsid w:val="00565ADB"/>
    <w:rsid w:val="00565F32"/>
    <w:rsid w:val="0056628B"/>
    <w:rsid w:val="00566298"/>
    <w:rsid w:val="00566365"/>
    <w:rsid w:val="005667A0"/>
    <w:rsid w:val="0056687D"/>
    <w:rsid w:val="00566996"/>
    <w:rsid w:val="00566AFD"/>
    <w:rsid w:val="005676E3"/>
    <w:rsid w:val="00567AE7"/>
    <w:rsid w:val="00567CC6"/>
    <w:rsid w:val="00567DD4"/>
    <w:rsid w:val="005703B9"/>
    <w:rsid w:val="005704C8"/>
    <w:rsid w:val="0057091E"/>
    <w:rsid w:val="00570FD9"/>
    <w:rsid w:val="005714BA"/>
    <w:rsid w:val="00571578"/>
    <w:rsid w:val="0057184B"/>
    <w:rsid w:val="00571995"/>
    <w:rsid w:val="005723D6"/>
    <w:rsid w:val="005724CF"/>
    <w:rsid w:val="005724D0"/>
    <w:rsid w:val="00572575"/>
    <w:rsid w:val="00572BE3"/>
    <w:rsid w:val="00573004"/>
    <w:rsid w:val="005732EA"/>
    <w:rsid w:val="00573E05"/>
    <w:rsid w:val="005746C4"/>
    <w:rsid w:val="00574A6E"/>
    <w:rsid w:val="00575EB8"/>
    <w:rsid w:val="00575FDD"/>
    <w:rsid w:val="00577145"/>
    <w:rsid w:val="0057714B"/>
    <w:rsid w:val="005772CC"/>
    <w:rsid w:val="005772EA"/>
    <w:rsid w:val="00577309"/>
    <w:rsid w:val="00577397"/>
    <w:rsid w:val="005773BE"/>
    <w:rsid w:val="005773C4"/>
    <w:rsid w:val="00577625"/>
    <w:rsid w:val="0058030B"/>
    <w:rsid w:val="005803D7"/>
    <w:rsid w:val="005804AD"/>
    <w:rsid w:val="00580824"/>
    <w:rsid w:val="00580C29"/>
    <w:rsid w:val="005810E1"/>
    <w:rsid w:val="00581108"/>
    <w:rsid w:val="0058132A"/>
    <w:rsid w:val="005815DD"/>
    <w:rsid w:val="00581F28"/>
    <w:rsid w:val="00581F8E"/>
    <w:rsid w:val="00582119"/>
    <w:rsid w:val="00582365"/>
    <w:rsid w:val="00582553"/>
    <w:rsid w:val="00582E14"/>
    <w:rsid w:val="00583492"/>
    <w:rsid w:val="00584BAE"/>
    <w:rsid w:val="00584F5B"/>
    <w:rsid w:val="005851ED"/>
    <w:rsid w:val="005855B8"/>
    <w:rsid w:val="005857F4"/>
    <w:rsid w:val="00585B99"/>
    <w:rsid w:val="00585C1B"/>
    <w:rsid w:val="00586080"/>
    <w:rsid w:val="0058609C"/>
    <w:rsid w:val="005860F6"/>
    <w:rsid w:val="00586203"/>
    <w:rsid w:val="00586296"/>
    <w:rsid w:val="00586782"/>
    <w:rsid w:val="0058681A"/>
    <w:rsid w:val="00586C47"/>
    <w:rsid w:val="00586E2A"/>
    <w:rsid w:val="00587059"/>
    <w:rsid w:val="005870BA"/>
    <w:rsid w:val="00587639"/>
    <w:rsid w:val="005876C2"/>
    <w:rsid w:val="0059068F"/>
    <w:rsid w:val="00590824"/>
    <w:rsid w:val="00590F98"/>
    <w:rsid w:val="00591238"/>
    <w:rsid w:val="005916C8"/>
    <w:rsid w:val="00591720"/>
    <w:rsid w:val="00591929"/>
    <w:rsid w:val="00591BBB"/>
    <w:rsid w:val="00591CCF"/>
    <w:rsid w:val="00591EE4"/>
    <w:rsid w:val="00592037"/>
    <w:rsid w:val="00592611"/>
    <w:rsid w:val="00592638"/>
    <w:rsid w:val="005927CA"/>
    <w:rsid w:val="005927FE"/>
    <w:rsid w:val="00592E90"/>
    <w:rsid w:val="00593093"/>
    <w:rsid w:val="00593138"/>
    <w:rsid w:val="00593A33"/>
    <w:rsid w:val="00593D83"/>
    <w:rsid w:val="00594046"/>
    <w:rsid w:val="005944A7"/>
    <w:rsid w:val="005944D6"/>
    <w:rsid w:val="00594748"/>
    <w:rsid w:val="005947B5"/>
    <w:rsid w:val="00594CED"/>
    <w:rsid w:val="00594F0C"/>
    <w:rsid w:val="005951C6"/>
    <w:rsid w:val="00595315"/>
    <w:rsid w:val="0059598F"/>
    <w:rsid w:val="005959D3"/>
    <w:rsid w:val="00595F90"/>
    <w:rsid w:val="005960BB"/>
    <w:rsid w:val="00596392"/>
    <w:rsid w:val="0059655D"/>
    <w:rsid w:val="00596F68"/>
    <w:rsid w:val="005970D5"/>
    <w:rsid w:val="00597407"/>
    <w:rsid w:val="00597408"/>
    <w:rsid w:val="00597A16"/>
    <w:rsid w:val="00597AB6"/>
    <w:rsid w:val="00597EF4"/>
    <w:rsid w:val="00597FBE"/>
    <w:rsid w:val="005A0496"/>
    <w:rsid w:val="005A05D7"/>
    <w:rsid w:val="005A0715"/>
    <w:rsid w:val="005A088F"/>
    <w:rsid w:val="005A0FC7"/>
    <w:rsid w:val="005A163A"/>
    <w:rsid w:val="005A1BB8"/>
    <w:rsid w:val="005A1D9A"/>
    <w:rsid w:val="005A2129"/>
    <w:rsid w:val="005A218D"/>
    <w:rsid w:val="005A2313"/>
    <w:rsid w:val="005A2768"/>
    <w:rsid w:val="005A2B92"/>
    <w:rsid w:val="005A2C35"/>
    <w:rsid w:val="005A2CA1"/>
    <w:rsid w:val="005A3367"/>
    <w:rsid w:val="005A3837"/>
    <w:rsid w:val="005A4047"/>
    <w:rsid w:val="005A4059"/>
    <w:rsid w:val="005A4384"/>
    <w:rsid w:val="005A44C7"/>
    <w:rsid w:val="005A44CD"/>
    <w:rsid w:val="005A46BB"/>
    <w:rsid w:val="005A585E"/>
    <w:rsid w:val="005A5B2F"/>
    <w:rsid w:val="005A5D73"/>
    <w:rsid w:val="005A61C8"/>
    <w:rsid w:val="005A6AF2"/>
    <w:rsid w:val="005A7012"/>
    <w:rsid w:val="005A7268"/>
    <w:rsid w:val="005A7A2A"/>
    <w:rsid w:val="005A7A5E"/>
    <w:rsid w:val="005A7B23"/>
    <w:rsid w:val="005B0268"/>
    <w:rsid w:val="005B04FB"/>
    <w:rsid w:val="005B0C0E"/>
    <w:rsid w:val="005B0E01"/>
    <w:rsid w:val="005B1301"/>
    <w:rsid w:val="005B13F6"/>
    <w:rsid w:val="005B14B8"/>
    <w:rsid w:val="005B172A"/>
    <w:rsid w:val="005B1C07"/>
    <w:rsid w:val="005B1DE9"/>
    <w:rsid w:val="005B20B2"/>
    <w:rsid w:val="005B26EC"/>
    <w:rsid w:val="005B2AD9"/>
    <w:rsid w:val="005B3432"/>
    <w:rsid w:val="005B3A31"/>
    <w:rsid w:val="005B3BD6"/>
    <w:rsid w:val="005B3C28"/>
    <w:rsid w:val="005B447B"/>
    <w:rsid w:val="005B4C38"/>
    <w:rsid w:val="005B4CA2"/>
    <w:rsid w:val="005B4D0E"/>
    <w:rsid w:val="005B4E74"/>
    <w:rsid w:val="005B5127"/>
    <w:rsid w:val="005B51F8"/>
    <w:rsid w:val="005B5738"/>
    <w:rsid w:val="005B5759"/>
    <w:rsid w:val="005B598A"/>
    <w:rsid w:val="005B5D2C"/>
    <w:rsid w:val="005B5E84"/>
    <w:rsid w:val="005B5E9D"/>
    <w:rsid w:val="005B5F34"/>
    <w:rsid w:val="005B6196"/>
    <w:rsid w:val="005B622F"/>
    <w:rsid w:val="005B6451"/>
    <w:rsid w:val="005B64E6"/>
    <w:rsid w:val="005B6B6F"/>
    <w:rsid w:val="005B6BFC"/>
    <w:rsid w:val="005B6F58"/>
    <w:rsid w:val="005B738E"/>
    <w:rsid w:val="005B7399"/>
    <w:rsid w:val="005B7673"/>
    <w:rsid w:val="005B79DF"/>
    <w:rsid w:val="005B7D6C"/>
    <w:rsid w:val="005C001B"/>
    <w:rsid w:val="005C0239"/>
    <w:rsid w:val="005C0EF9"/>
    <w:rsid w:val="005C11EF"/>
    <w:rsid w:val="005C140A"/>
    <w:rsid w:val="005C1D30"/>
    <w:rsid w:val="005C208B"/>
    <w:rsid w:val="005C20A4"/>
    <w:rsid w:val="005C23C0"/>
    <w:rsid w:val="005C24DD"/>
    <w:rsid w:val="005C2ABB"/>
    <w:rsid w:val="005C2B58"/>
    <w:rsid w:val="005C2C01"/>
    <w:rsid w:val="005C2DC8"/>
    <w:rsid w:val="005C2F43"/>
    <w:rsid w:val="005C341A"/>
    <w:rsid w:val="005C359B"/>
    <w:rsid w:val="005C373B"/>
    <w:rsid w:val="005C3FE5"/>
    <w:rsid w:val="005C4755"/>
    <w:rsid w:val="005C4F41"/>
    <w:rsid w:val="005C5422"/>
    <w:rsid w:val="005C54DD"/>
    <w:rsid w:val="005C5887"/>
    <w:rsid w:val="005C5923"/>
    <w:rsid w:val="005C5D35"/>
    <w:rsid w:val="005C5E58"/>
    <w:rsid w:val="005C6648"/>
    <w:rsid w:val="005C6A8B"/>
    <w:rsid w:val="005C6C45"/>
    <w:rsid w:val="005C70ED"/>
    <w:rsid w:val="005C7195"/>
    <w:rsid w:val="005C7215"/>
    <w:rsid w:val="005C73C4"/>
    <w:rsid w:val="005C759F"/>
    <w:rsid w:val="005C7818"/>
    <w:rsid w:val="005C7EC0"/>
    <w:rsid w:val="005C7F13"/>
    <w:rsid w:val="005D00EA"/>
    <w:rsid w:val="005D023B"/>
    <w:rsid w:val="005D02C4"/>
    <w:rsid w:val="005D0511"/>
    <w:rsid w:val="005D08F6"/>
    <w:rsid w:val="005D0B9E"/>
    <w:rsid w:val="005D1AD4"/>
    <w:rsid w:val="005D1DE7"/>
    <w:rsid w:val="005D1EB5"/>
    <w:rsid w:val="005D203F"/>
    <w:rsid w:val="005D21E7"/>
    <w:rsid w:val="005D2302"/>
    <w:rsid w:val="005D2304"/>
    <w:rsid w:val="005D2619"/>
    <w:rsid w:val="005D2E58"/>
    <w:rsid w:val="005D3A04"/>
    <w:rsid w:val="005D3BCB"/>
    <w:rsid w:val="005D3EAA"/>
    <w:rsid w:val="005D461D"/>
    <w:rsid w:val="005D465C"/>
    <w:rsid w:val="005D48FE"/>
    <w:rsid w:val="005D4F2A"/>
    <w:rsid w:val="005D4FB7"/>
    <w:rsid w:val="005D5566"/>
    <w:rsid w:val="005D5BAE"/>
    <w:rsid w:val="005D6461"/>
    <w:rsid w:val="005D6A5B"/>
    <w:rsid w:val="005D7131"/>
    <w:rsid w:val="005D7471"/>
    <w:rsid w:val="005D749D"/>
    <w:rsid w:val="005D78A4"/>
    <w:rsid w:val="005D78B7"/>
    <w:rsid w:val="005D796B"/>
    <w:rsid w:val="005D7B8D"/>
    <w:rsid w:val="005E025A"/>
    <w:rsid w:val="005E0548"/>
    <w:rsid w:val="005E0680"/>
    <w:rsid w:val="005E0F9F"/>
    <w:rsid w:val="005E17B2"/>
    <w:rsid w:val="005E1854"/>
    <w:rsid w:val="005E18FE"/>
    <w:rsid w:val="005E1A16"/>
    <w:rsid w:val="005E1DBC"/>
    <w:rsid w:val="005E2111"/>
    <w:rsid w:val="005E2128"/>
    <w:rsid w:val="005E2702"/>
    <w:rsid w:val="005E27FE"/>
    <w:rsid w:val="005E2846"/>
    <w:rsid w:val="005E295C"/>
    <w:rsid w:val="005E2FFC"/>
    <w:rsid w:val="005E3223"/>
    <w:rsid w:val="005E33CA"/>
    <w:rsid w:val="005E34F9"/>
    <w:rsid w:val="005E4637"/>
    <w:rsid w:val="005E480C"/>
    <w:rsid w:val="005E4859"/>
    <w:rsid w:val="005E4E62"/>
    <w:rsid w:val="005E5070"/>
    <w:rsid w:val="005E51BB"/>
    <w:rsid w:val="005E5874"/>
    <w:rsid w:val="005E596A"/>
    <w:rsid w:val="005E5BB3"/>
    <w:rsid w:val="005E5EB6"/>
    <w:rsid w:val="005E5ECB"/>
    <w:rsid w:val="005E5ECF"/>
    <w:rsid w:val="005E674A"/>
    <w:rsid w:val="005E6D3C"/>
    <w:rsid w:val="005E6E4C"/>
    <w:rsid w:val="005E6F58"/>
    <w:rsid w:val="005E73E8"/>
    <w:rsid w:val="005E757B"/>
    <w:rsid w:val="005E75D5"/>
    <w:rsid w:val="005E785E"/>
    <w:rsid w:val="005E7878"/>
    <w:rsid w:val="005E79D9"/>
    <w:rsid w:val="005F0137"/>
    <w:rsid w:val="005F066C"/>
    <w:rsid w:val="005F0A90"/>
    <w:rsid w:val="005F1555"/>
    <w:rsid w:val="005F16B0"/>
    <w:rsid w:val="005F1D7B"/>
    <w:rsid w:val="005F1EC3"/>
    <w:rsid w:val="005F2230"/>
    <w:rsid w:val="005F22FB"/>
    <w:rsid w:val="005F293E"/>
    <w:rsid w:val="005F2978"/>
    <w:rsid w:val="005F2E5F"/>
    <w:rsid w:val="005F2E6C"/>
    <w:rsid w:val="005F302B"/>
    <w:rsid w:val="005F3044"/>
    <w:rsid w:val="005F311A"/>
    <w:rsid w:val="005F3146"/>
    <w:rsid w:val="005F330A"/>
    <w:rsid w:val="005F3FDD"/>
    <w:rsid w:val="005F44F9"/>
    <w:rsid w:val="005F4721"/>
    <w:rsid w:val="005F4745"/>
    <w:rsid w:val="005F49FB"/>
    <w:rsid w:val="005F5120"/>
    <w:rsid w:val="005F5392"/>
    <w:rsid w:val="005F55BC"/>
    <w:rsid w:val="005F5760"/>
    <w:rsid w:val="005F5B3E"/>
    <w:rsid w:val="005F5E8D"/>
    <w:rsid w:val="005F6256"/>
    <w:rsid w:val="005F65B0"/>
    <w:rsid w:val="005F6AAE"/>
    <w:rsid w:val="005F6FBB"/>
    <w:rsid w:val="005F720A"/>
    <w:rsid w:val="005F7429"/>
    <w:rsid w:val="005F7B74"/>
    <w:rsid w:val="005F7BBD"/>
    <w:rsid w:val="005F7D83"/>
    <w:rsid w:val="00600039"/>
    <w:rsid w:val="0060035E"/>
    <w:rsid w:val="0060131B"/>
    <w:rsid w:val="006016CB"/>
    <w:rsid w:val="00601972"/>
    <w:rsid w:val="00601C8B"/>
    <w:rsid w:val="00601D13"/>
    <w:rsid w:val="006020A3"/>
    <w:rsid w:val="006020DB"/>
    <w:rsid w:val="0060247E"/>
    <w:rsid w:val="00602A39"/>
    <w:rsid w:val="00602C4F"/>
    <w:rsid w:val="00602F43"/>
    <w:rsid w:val="00603034"/>
    <w:rsid w:val="006037CF"/>
    <w:rsid w:val="00603A4E"/>
    <w:rsid w:val="00603AEE"/>
    <w:rsid w:val="00603B08"/>
    <w:rsid w:val="00603CA4"/>
    <w:rsid w:val="0060433E"/>
    <w:rsid w:val="00604665"/>
    <w:rsid w:val="00604DDB"/>
    <w:rsid w:val="0060516A"/>
    <w:rsid w:val="006053E9"/>
    <w:rsid w:val="00605776"/>
    <w:rsid w:val="00605D9B"/>
    <w:rsid w:val="00605E7F"/>
    <w:rsid w:val="00606278"/>
    <w:rsid w:val="006063FA"/>
    <w:rsid w:val="0060653D"/>
    <w:rsid w:val="0060663B"/>
    <w:rsid w:val="006067B9"/>
    <w:rsid w:val="00606853"/>
    <w:rsid w:val="0060742C"/>
    <w:rsid w:val="0060744D"/>
    <w:rsid w:val="00607A4E"/>
    <w:rsid w:val="00610162"/>
    <w:rsid w:val="00610172"/>
    <w:rsid w:val="00610349"/>
    <w:rsid w:val="006103E6"/>
    <w:rsid w:val="00610ABA"/>
    <w:rsid w:val="00610D6D"/>
    <w:rsid w:val="00610FCF"/>
    <w:rsid w:val="0061169B"/>
    <w:rsid w:val="00611D71"/>
    <w:rsid w:val="00612166"/>
    <w:rsid w:val="006122CC"/>
    <w:rsid w:val="0061290C"/>
    <w:rsid w:val="00612A83"/>
    <w:rsid w:val="00612F6C"/>
    <w:rsid w:val="00613037"/>
    <w:rsid w:val="0061314F"/>
    <w:rsid w:val="006135AB"/>
    <w:rsid w:val="006138E4"/>
    <w:rsid w:val="0061393B"/>
    <w:rsid w:val="00613B6A"/>
    <w:rsid w:val="00613B9E"/>
    <w:rsid w:val="00614019"/>
    <w:rsid w:val="00614091"/>
    <w:rsid w:val="0061434F"/>
    <w:rsid w:val="006143A8"/>
    <w:rsid w:val="006144F6"/>
    <w:rsid w:val="00614E4B"/>
    <w:rsid w:val="0061581F"/>
    <w:rsid w:val="00615A31"/>
    <w:rsid w:val="00615A3F"/>
    <w:rsid w:val="00615BE0"/>
    <w:rsid w:val="00616302"/>
    <w:rsid w:val="0061636C"/>
    <w:rsid w:val="00616407"/>
    <w:rsid w:val="006169D2"/>
    <w:rsid w:val="00616B29"/>
    <w:rsid w:val="00616F21"/>
    <w:rsid w:val="00617190"/>
    <w:rsid w:val="006174B2"/>
    <w:rsid w:val="006178B0"/>
    <w:rsid w:val="00617A19"/>
    <w:rsid w:val="00617A81"/>
    <w:rsid w:val="00617EF1"/>
    <w:rsid w:val="00617FE4"/>
    <w:rsid w:val="0062043C"/>
    <w:rsid w:val="006205C4"/>
    <w:rsid w:val="006208ED"/>
    <w:rsid w:val="006209B5"/>
    <w:rsid w:val="00620D23"/>
    <w:rsid w:val="00620E5A"/>
    <w:rsid w:val="006212D3"/>
    <w:rsid w:val="0062135C"/>
    <w:rsid w:val="006214FA"/>
    <w:rsid w:val="00621FE8"/>
    <w:rsid w:val="00622986"/>
    <w:rsid w:val="00622EFF"/>
    <w:rsid w:val="00622FDD"/>
    <w:rsid w:val="00623074"/>
    <w:rsid w:val="0062307A"/>
    <w:rsid w:val="00623105"/>
    <w:rsid w:val="0062314C"/>
    <w:rsid w:val="00623427"/>
    <w:rsid w:val="00623549"/>
    <w:rsid w:val="00623D8F"/>
    <w:rsid w:val="0062456E"/>
    <w:rsid w:val="0062466E"/>
    <w:rsid w:val="00624CE9"/>
    <w:rsid w:val="00624E71"/>
    <w:rsid w:val="00624F04"/>
    <w:rsid w:val="00624F4F"/>
    <w:rsid w:val="00624FE7"/>
    <w:rsid w:val="006250E9"/>
    <w:rsid w:val="006250F2"/>
    <w:rsid w:val="0062532C"/>
    <w:rsid w:val="00625341"/>
    <w:rsid w:val="0062549D"/>
    <w:rsid w:val="006257DE"/>
    <w:rsid w:val="00625859"/>
    <w:rsid w:val="00625D74"/>
    <w:rsid w:val="00625F52"/>
    <w:rsid w:val="006261F0"/>
    <w:rsid w:val="00626273"/>
    <w:rsid w:val="006268DE"/>
    <w:rsid w:val="00626C28"/>
    <w:rsid w:val="00626EAE"/>
    <w:rsid w:val="006275B2"/>
    <w:rsid w:val="006276BD"/>
    <w:rsid w:val="0062789D"/>
    <w:rsid w:val="00627C77"/>
    <w:rsid w:val="00627D92"/>
    <w:rsid w:val="00627E28"/>
    <w:rsid w:val="0063077E"/>
    <w:rsid w:val="00630975"/>
    <w:rsid w:val="00630F49"/>
    <w:rsid w:val="006313FB"/>
    <w:rsid w:val="00631DD6"/>
    <w:rsid w:val="00632178"/>
    <w:rsid w:val="0063229E"/>
    <w:rsid w:val="00632487"/>
    <w:rsid w:val="006324FE"/>
    <w:rsid w:val="00632663"/>
    <w:rsid w:val="00632689"/>
    <w:rsid w:val="006329A2"/>
    <w:rsid w:val="00632AA7"/>
    <w:rsid w:val="00632BEF"/>
    <w:rsid w:val="006331F3"/>
    <w:rsid w:val="006333CC"/>
    <w:rsid w:val="00633645"/>
    <w:rsid w:val="00633651"/>
    <w:rsid w:val="006339AE"/>
    <w:rsid w:val="00633AEA"/>
    <w:rsid w:val="00633B2F"/>
    <w:rsid w:val="00633BCF"/>
    <w:rsid w:val="00633EA1"/>
    <w:rsid w:val="00633FEF"/>
    <w:rsid w:val="00634753"/>
    <w:rsid w:val="00634A04"/>
    <w:rsid w:val="00634AA5"/>
    <w:rsid w:val="00634BE3"/>
    <w:rsid w:val="00635290"/>
    <w:rsid w:val="0063563B"/>
    <w:rsid w:val="0063597D"/>
    <w:rsid w:val="00635B26"/>
    <w:rsid w:val="00635BB4"/>
    <w:rsid w:val="00636087"/>
    <w:rsid w:val="00636643"/>
    <w:rsid w:val="00636C96"/>
    <w:rsid w:val="00636CC8"/>
    <w:rsid w:val="006372EE"/>
    <w:rsid w:val="00637949"/>
    <w:rsid w:val="00637B43"/>
    <w:rsid w:val="00637BD6"/>
    <w:rsid w:val="00637E5B"/>
    <w:rsid w:val="006403A5"/>
    <w:rsid w:val="0064070C"/>
    <w:rsid w:val="006409D7"/>
    <w:rsid w:val="00640C31"/>
    <w:rsid w:val="00640D1A"/>
    <w:rsid w:val="00640E61"/>
    <w:rsid w:val="00641577"/>
    <w:rsid w:val="006419B3"/>
    <w:rsid w:val="00642A9C"/>
    <w:rsid w:val="00642AF4"/>
    <w:rsid w:val="00643226"/>
    <w:rsid w:val="0064361F"/>
    <w:rsid w:val="006439C4"/>
    <w:rsid w:val="00643EEC"/>
    <w:rsid w:val="00644201"/>
    <w:rsid w:val="00644271"/>
    <w:rsid w:val="00644416"/>
    <w:rsid w:val="006445CB"/>
    <w:rsid w:val="0064460D"/>
    <w:rsid w:val="0064500A"/>
    <w:rsid w:val="00645084"/>
    <w:rsid w:val="00645539"/>
    <w:rsid w:val="00645956"/>
    <w:rsid w:val="006459EF"/>
    <w:rsid w:val="00646075"/>
    <w:rsid w:val="00646094"/>
    <w:rsid w:val="00646279"/>
    <w:rsid w:val="006462C4"/>
    <w:rsid w:val="006465F3"/>
    <w:rsid w:val="0064686B"/>
    <w:rsid w:val="00646889"/>
    <w:rsid w:val="00646B13"/>
    <w:rsid w:val="00647610"/>
    <w:rsid w:val="006477BD"/>
    <w:rsid w:val="0064782B"/>
    <w:rsid w:val="00647AE2"/>
    <w:rsid w:val="00647B24"/>
    <w:rsid w:val="006503E7"/>
    <w:rsid w:val="0065066E"/>
    <w:rsid w:val="00650689"/>
    <w:rsid w:val="0065092E"/>
    <w:rsid w:val="00650AA3"/>
    <w:rsid w:val="00650CAC"/>
    <w:rsid w:val="00651AD4"/>
    <w:rsid w:val="00651C58"/>
    <w:rsid w:val="00651E5D"/>
    <w:rsid w:val="00652137"/>
    <w:rsid w:val="006525A3"/>
    <w:rsid w:val="006528B0"/>
    <w:rsid w:val="00652B2E"/>
    <w:rsid w:val="00653040"/>
    <w:rsid w:val="006532A1"/>
    <w:rsid w:val="006534BF"/>
    <w:rsid w:val="006537D7"/>
    <w:rsid w:val="006538EB"/>
    <w:rsid w:val="00654023"/>
    <w:rsid w:val="006542BE"/>
    <w:rsid w:val="006542D3"/>
    <w:rsid w:val="0065444A"/>
    <w:rsid w:val="0065451A"/>
    <w:rsid w:val="006545C8"/>
    <w:rsid w:val="006546EC"/>
    <w:rsid w:val="006547C3"/>
    <w:rsid w:val="00654D15"/>
    <w:rsid w:val="00654F68"/>
    <w:rsid w:val="0065536A"/>
    <w:rsid w:val="006555CF"/>
    <w:rsid w:val="006557F5"/>
    <w:rsid w:val="00655A72"/>
    <w:rsid w:val="00655CF9"/>
    <w:rsid w:val="00655D45"/>
    <w:rsid w:val="0065603A"/>
    <w:rsid w:val="00656046"/>
    <w:rsid w:val="006567B3"/>
    <w:rsid w:val="00656CA1"/>
    <w:rsid w:val="00657035"/>
    <w:rsid w:val="0065714C"/>
    <w:rsid w:val="00657501"/>
    <w:rsid w:val="00660359"/>
    <w:rsid w:val="006606CD"/>
    <w:rsid w:val="00660A74"/>
    <w:rsid w:val="0066187D"/>
    <w:rsid w:val="00661B7D"/>
    <w:rsid w:val="006620F8"/>
    <w:rsid w:val="00662564"/>
    <w:rsid w:val="00662E5F"/>
    <w:rsid w:val="00662EAE"/>
    <w:rsid w:val="00662F2F"/>
    <w:rsid w:val="00662F94"/>
    <w:rsid w:val="006635FB"/>
    <w:rsid w:val="00664039"/>
    <w:rsid w:val="00664064"/>
    <w:rsid w:val="0066436A"/>
    <w:rsid w:val="00664434"/>
    <w:rsid w:val="00664B54"/>
    <w:rsid w:val="006650E9"/>
    <w:rsid w:val="00665180"/>
    <w:rsid w:val="00665229"/>
    <w:rsid w:val="0066529E"/>
    <w:rsid w:val="0066535E"/>
    <w:rsid w:val="0066561F"/>
    <w:rsid w:val="006659EA"/>
    <w:rsid w:val="00665F82"/>
    <w:rsid w:val="00666A58"/>
    <w:rsid w:val="00666B36"/>
    <w:rsid w:val="006675B6"/>
    <w:rsid w:val="00667651"/>
    <w:rsid w:val="0066793E"/>
    <w:rsid w:val="00667D4C"/>
    <w:rsid w:val="0067024F"/>
    <w:rsid w:val="006703E8"/>
    <w:rsid w:val="00670633"/>
    <w:rsid w:val="00670650"/>
    <w:rsid w:val="00670814"/>
    <w:rsid w:val="00670AFF"/>
    <w:rsid w:val="00670D23"/>
    <w:rsid w:val="00670E7C"/>
    <w:rsid w:val="0067122E"/>
    <w:rsid w:val="006712C0"/>
    <w:rsid w:val="006717B7"/>
    <w:rsid w:val="00671D94"/>
    <w:rsid w:val="00671E87"/>
    <w:rsid w:val="00672ABB"/>
    <w:rsid w:val="00672BDD"/>
    <w:rsid w:val="00672EAB"/>
    <w:rsid w:val="00673327"/>
    <w:rsid w:val="0067342F"/>
    <w:rsid w:val="0067345A"/>
    <w:rsid w:val="0067345E"/>
    <w:rsid w:val="0067351F"/>
    <w:rsid w:val="00673670"/>
    <w:rsid w:val="00673CE9"/>
    <w:rsid w:val="00673FE3"/>
    <w:rsid w:val="006740D7"/>
    <w:rsid w:val="0067435F"/>
    <w:rsid w:val="006744AC"/>
    <w:rsid w:val="006746DA"/>
    <w:rsid w:val="00674C7D"/>
    <w:rsid w:val="00674E82"/>
    <w:rsid w:val="00675CCF"/>
    <w:rsid w:val="006760A3"/>
    <w:rsid w:val="00676151"/>
    <w:rsid w:val="00676217"/>
    <w:rsid w:val="00676241"/>
    <w:rsid w:val="006762B7"/>
    <w:rsid w:val="00676709"/>
    <w:rsid w:val="00676810"/>
    <w:rsid w:val="00676A78"/>
    <w:rsid w:val="0067704F"/>
    <w:rsid w:val="00677375"/>
    <w:rsid w:val="00677474"/>
    <w:rsid w:val="0067747A"/>
    <w:rsid w:val="00677563"/>
    <w:rsid w:val="0067760A"/>
    <w:rsid w:val="006777D1"/>
    <w:rsid w:val="00677849"/>
    <w:rsid w:val="00677DFD"/>
    <w:rsid w:val="006809EB"/>
    <w:rsid w:val="00680B40"/>
    <w:rsid w:val="00681021"/>
    <w:rsid w:val="00681130"/>
    <w:rsid w:val="0068124F"/>
    <w:rsid w:val="00681444"/>
    <w:rsid w:val="0068160B"/>
    <w:rsid w:val="00681865"/>
    <w:rsid w:val="00681C4D"/>
    <w:rsid w:val="00681EC9"/>
    <w:rsid w:val="0068203F"/>
    <w:rsid w:val="006822FA"/>
    <w:rsid w:val="0068236E"/>
    <w:rsid w:val="00682587"/>
    <w:rsid w:val="0068266A"/>
    <w:rsid w:val="006827CF"/>
    <w:rsid w:val="0068288C"/>
    <w:rsid w:val="00682956"/>
    <w:rsid w:val="00682A06"/>
    <w:rsid w:val="00682A0D"/>
    <w:rsid w:val="00682C13"/>
    <w:rsid w:val="00682E99"/>
    <w:rsid w:val="00682F00"/>
    <w:rsid w:val="006830A7"/>
    <w:rsid w:val="00683F36"/>
    <w:rsid w:val="00683FD6"/>
    <w:rsid w:val="00684507"/>
    <w:rsid w:val="006845C0"/>
    <w:rsid w:val="006849C7"/>
    <w:rsid w:val="00684B70"/>
    <w:rsid w:val="00684DD9"/>
    <w:rsid w:val="00684F9A"/>
    <w:rsid w:val="006850AC"/>
    <w:rsid w:val="006850AF"/>
    <w:rsid w:val="00685169"/>
    <w:rsid w:val="00685589"/>
    <w:rsid w:val="00685A24"/>
    <w:rsid w:val="00685B91"/>
    <w:rsid w:val="00685D93"/>
    <w:rsid w:val="00685E49"/>
    <w:rsid w:val="006861A7"/>
    <w:rsid w:val="00686518"/>
    <w:rsid w:val="006865A1"/>
    <w:rsid w:val="0068682C"/>
    <w:rsid w:val="00686D92"/>
    <w:rsid w:val="006872B7"/>
    <w:rsid w:val="006876E4"/>
    <w:rsid w:val="00687CB7"/>
    <w:rsid w:val="00687CBC"/>
    <w:rsid w:val="00690594"/>
    <w:rsid w:val="0069071A"/>
    <w:rsid w:val="00690725"/>
    <w:rsid w:val="0069074F"/>
    <w:rsid w:val="00690B30"/>
    <w:rsid w:val="00690BBF"/>
    <w:rsid w:val="0069155C"/>
    <w:rsid w:val="00691C7D"/>
    <w:rsid w:val="00691EC6"/>
    <w:rsid w:val="006925D6"/>
    <w:rsid w:val="006928A5"/>
    <w:rsid w:val="00692B8C"/>
    <w:rsid w:val="00692BD3"/>
    <w:rsid w:val="00693194"/>
    <w:rsid w:val="006935F6"/>
    <w:rsid w:val="006938AA"/>
    <w:rsid w:val="00693BD8"/>
    <w:rsid w:val="00693D0B"/>
    <w:rsid w:val="006941F1"/>
    <w:rsid w:val="0069474B"/>
    <w:rsid w:val="0069475D"/>
    <w:rsid w:val="006951EC"/>
    <w:rsid w:val="006959DD"/>
    <w:rsid w:val="0069617E"/>
    <w:rsid w:val="0069624D"/>
    <w:rsid w:val="006963EB"/>
    <w:rsid w:val="00696436"/>
    <w:rsid w:val="0069757D"/>
    <w:rsid w:val="00697966"/>
    <w:rsid w:val="006A0025"/>
    <w:rsid w:val="006A04E5"/>
    <w:rsid w:val="006A0821"/>
    <w:rsid w:val="006A08D4"/>
    <w:rsid w:val="006A0B26"/>
    <w:rsid w:val="006A0C67"/>
    <w:rsid w:val="006A0F6C"/>
    <w:rsid w:val="006A0F8E"/>
    <w:rsid w:val="006A11D9"/>
    <w:rsid w:val="006A1426"/>
    <w:rsid w:val="006A1DC9"/>
    <w:rsid w:val="006A21FD"/>
    <w:rsid w:val="006A228F"/>
    <w:rsid w:val="006A28D2"/>
    <w:rsid w:val="006A2995"/>
    <w:rsid w:val="006A3412"/>
    <w:rsid w:val="006A3A2B"/>
    <w:rsid w:val="006A436F"/>
    <w:rsid w:val="006A43D0"/>
    <w:rsid w:val="006A454A"/>
    <w:rsid w:val="006A4792"/>
    <w:rsid w:val="006A48CF"/>
    <w:rsid w:val="006A4B06"/>
    <w:rsid w:val="006A4D3F"/>
    <w:rsid w:val="006A4EC8"/>
    <w:rsid w:val="006A5190"/>
    <w:rsid w:val="006A5514"/>
    <w:rsid w:val="006A5530"/>
    <w:rsid w:val="006A5639"/>
    <w:rsid w:val="006A5707"/>
    <w:rsid w:val="006A5A5B"/>
    <w:rsid w:val="006A5B63"/>
    <w:rsid w:val="006A5DA5"/>
    <w:rsid w:val="006A5DF4"/>
    <w:rsid w:val="006A62BA"/>
    <w:rsid w:val="006A6BF1"/>
    <w:rsid w:val="006A7242"/>
    <w:rsid w:val="006A75FF"/>
    <w:rsid w:val="006A7681"/>
    <w:rsid w:val="006A7990"/>
    <w:rsid w:val="006A7D5F"/>
    <w:rsid w:val="006A7DBF"/>
    <w:rsid w:val="006B0266"/>
    <w:rsid w:val="006B0541"/>
    <w:rsid w:val="006B05EE"/>
    <w:rsid w:val="006B05EF"/>
    <w:rsid w:val="006B061C"/>
    <w:rsid w:val="006B10F4"/>
    <w:rsid w:val="006B1118"/>
    <w:rsid w:val="006B1195"/>
    <w:rsid w:val="006B17C6"/>
    <w:rsid w:val="006B17CC"/>
    <w:rsid w:val="006B1AD8"/>
    <w:rsid w:val="006B1B9A"/>
    <w:rsid w:val="006B1C1F"/>
    <w:rsid w:val="006B1E93"/>
    <w:rsid w:val="006B1F4D"/>
    <w:rsid w:val="006B2CE7"/>
    <w:rsid w:val="006B2EC5"/>
    <w:rsid w:val="006B3032"/>
    <w:rsid w:val="006B358C"/>
    <w:rsid w:val="006B35D3"/>
    <w:rsid w:val="006B36D6"/>
    <w:rsid w:val="006B38E6"/>
    <w:rsid w:val="006B3973"/>
    <w:rsid w:val="006B3ADB"/>
    <w:rsid w:val="006B3C82"/>
    <w:rsid w:val="006B3ECF"/>
    <w:rsid w:val="006B3F9E"/>
    <w:rsid w:val="006B3FD6"/>
    <w:rsid w:val="006B43BC"/>
    <w:rsid w:val="006B4712"/>
    <w:rsid w:val="006B4B4A"/>
    <w:rsid w:val="006B4BA0"/>
    <w:rsid w:val="006B4C45"/>
    <w:rsid w:val="006B5051"/>
    <w:rsid w:val="006B574C"/>
    <w:rsid w:val="006B5822"/>
    <w:rsid w:val="006B58B5"/>
    <w:rsid w:val="006B59D7"/>
    <w:rsid w:val="006B5F2E"/>
    <w:rsid w:val="006B6441"/>
    <w:rsid w:val="006B669B"/>
    <w:rsid w:val="006B6960"/>
    <w:rsid w:val="006B6AB6"/>
    <w:rsid w:val="006B6B5F"/>
    <w:rsid w:val="006B6E6E"/>
    <w:rsid w:val="006B75C6"/>
    <w:rsid w:val="006C08C1"/>
    <w:rsid w:val="006C0999"/>
    <w:rsid w:val="006C0BF5"/>
    <w:rsid w:val="006C0EE2"/>
    <w:rsid w:val="006C1315"/>
    <w:rsid w:val="006C1814"/>
    <w:rsid w:val="006C1CAF"/>
    <w:rsid w:val="006C1D39"/>
    <w:rsid w:val="006C208B"/>
    <w:rsid w:val="006C2261"/>
    <w:rsid w:val="006C22C0"/>
    <w:rsid w:val="006C2982"/>
    <w:rsid w:val="006C2ED4"/>
    <w:rsid w:val="006C30EF"/>
    <w:rsid w:val="006C343E"/>
    <w:rsid w:val="006C34EF"/>
    <w:rsid w:val="006C34FC"/>
    <w:rsid w:val="006C354C"/>
    <w:rsid w:val="006C39D9"/>
    <w:rsid w:val="006C3B76"/>
    <w:rsid w:val="006C3EC9"/>
    <w:rsid w:val="006C4044"/>
    <w:rsid w:val="006C4572"/>
    <w:rsid w:val="006C45B4"/>
    <w:rsid w:val="006C521E"/>
    <w:rsid w:val="006C5400"/>
    <w:rsid w:val="006C559D"/>
    <w:rsid w:val="006C5DAE"/>
    <w:rsid w:val="006C5F86"/>
    <w:rsid w:val="006C69E9"/>
    <w:rsid w:val="006C6A1B"/>
    <w:rsid w:val="006C7347"/>
    <w:rsid w:val="006C764B"/>
    <w:rsid w:val="006C7B03"/>
    <w:rsid w:val="006C7B28"/>
    <w:rsid w:val="006C7CBD"/>
    <w:rsid w:val="006D018B"/>
    <w:rsid w:val="006D04A2"/>
    <w:rsid w:val="006D0664"/>
    <w:rsid w:val="006D076F"/>
    <w:rsid w:val="006D0807"/>
    <w:rsid w:val="006D0C2E"/>
    <w:rsid w:val="006D0EC2"/>
    <w:rsid w:val="006D1204"/>
    <w:rsid w:val="006D1703"/>
    <w:rsid w:val="006D19F1"/>
    <w:rsid w:val="006D1AD0"/>
    <w:rsid w:val="006D1C0F"/>
    <w:rsid w:val="006D25C5"/>
    <w:rsid w:val="006D270E"/>
    <w:rsid w:val="006D2952"/>
    <w:rsid w:val="006D2A5E"/>
    <w:rsid w:val="006D2FDB"/>
    <w:rsid w:val="006D32ED"/>
    <w:rsid w:val="006D3BCC"/>
    <w:rsid w:val="006D3DC5"/>
    <w:rsid w:val="006D439A"/>
    <w:rsid w:val="006D459C"/>
    <w:rsid w:val="006D4A89"/>
    <w:rsid w:val="006D4C72"/>
    <w:rsid w:val="006D4E4C"/>
    <w:rsid w:val="006D4FBA"/>
    <w:rsid w:val="006D503B"/>
    <w:rsid w:val="006D547D"/>
    <w:rsid w:val="006D54A5"/>
    <w:rsid w:val="006D5585"/>
    <w:rsid w:val="006D5E86"/>
    <w:rsid w:val="006D5F76"/>
    <w:rsid w:val="006D6105"/>
    <w:rsid w:val="006D6128"/>
    <w:rsid w:val="006D64D5"/>
    <w:rsid w:val="006D679A"/>
    <w:rsid w:val="006D6D96"/>
    <w:rsid w:val="006D6E1F"/>
    <w:rsid w:val="006D7211"/>
    <w:rsid w:val="006D7340"/>
    <w:rsid w:val="006D75BA"/>
    <w:rsid w:val="006D75C8"/>
    <w:rsid w:val="006D7725"/>
    <w:rsid w:val="006D7C07"/>
    <w:rsid w:val="006D7D2B"/>
    <w:rsid w:val="006E0280"/>
    <w:rsid w:val="006E0750"/>
    <w:rsid w:val="006E0814"/>
    <w:rsid w:val="006E0DF1"/>
    <w:rsid w:val="006E18C1"/>
    <w:rsid w:val="006E1A92"/>
    <w:rsid w:val="006E1BCB"/>
    <w:rsid w:val="006E2084"/>
    <w:rsid w:val="006E22B8"/>
    <w:rsid w:val="006E2B45"/>
    <w:rsid w:val="006E30DF"/>
    <w:rsid w:val="006E3202"/>
    <w:rsid w:val="006E3250"/>
    <w:rsid w:val="006E35A8"/>
    <w:rsid w:val="006E3C9C"/>
    <w:rsid w:val="006E3DCF"/>
    <w:rsid w:val="006E43BB"/>
    <w:rsid w:val="006E4628"/>
    <w:rsid w:val="006E52B5"/>
    <w:rsid w:val="006E5545"/>
    <w:rsid w:val="006E572E"/>
    <w:rsid w:val="006E598D"/>
    <w:rsid w:val="006E605F"/>
    <w:rsid w:val="006E638B"/>
    <w:rsid w:val="006E668F"/>
    <w:rsid w:val="006E66CC"/>
    <w:rsid w:val="006E66FC"/>
    <w:rsid w:val="006E68A8"/>
    <w:rsid w:val="006E6D80"/>
    <w:rsid w:val="006E6EEE"/>
    <w:rsid w:val="006E6FE4"/>
    <w:rsid w:val="006E7048"/>
    <w:rsid w:val="006E73B6"/>
    <w:rsid w:val="006E759F"/>
    <w:rsid w:val="006E771E"/>
    <w:rsid w:val="006E7987"/>
    <w:rsid w:val="006E7A00"/>
    <w:rsid w:val="006E7C15"/>
    <w:rsid w:val="006F0189"/>
    <w:rsid w:val="006F0371"/>
    <w:rsid w:val="006F0C59"/>
    <w:rsid w:val="006F0D46"/>
    <w:rsid w:val="006F0D8C"/>
    <w:rsid w:val="006F0EDC"/>
    <w:rsid w:val="006F1047"/>
    <w:rsid w:val="006F1284"/>
    <w:rsid w:val="006F17E9"/>
    <w:rsid w:val="006F1AC8"/>
    <w:rsid w:val="006F23DD"/>
    <w:rsid w:val="006F2A11"/>
    <w:rsid w:val="006F2D3A"/>
    <w:rsid w:val="006F35F5"/>
    <w:rsid w:val="006F3624"/>
    <w:rsid w:val="006F3D7F"/>
    <w:rsid w:val="006F401E"/>
    <w:rsid w:val="006F4253"/>
    <w:rsid w:val="006F4516"/>
    <w:rsid w:val="006F47CC"/>
    <w:rsid w:val="006F4F8B"/>
    <w:rsid w:val="006F5158"/>
    <w:rsid w:val="006F554A"/>
    <w:rsid w:val="006F5650"/>
    <w:rsid w:val="006F59C7"/>
    <w:rsid w:val="006F5ACA"/>
    <w:rsid w:val="006F5DB6"/>
    <w:rsid w:val="006F5E75"/>
    <w:rsid w:val="006F5E95"/>
    <w:rsid w:val="006F639C"/>
    <w:rsid w:val="006F66C6"/>
    <w:rsid w:val="006F6889"/>
    <w:rsid w:val="006F6967"/>
    <w:rsid w:val="006F721F"/>
    <w:rsid w:val="006F76BA"/>
    <w:rsid w:val="006F78FA"/>
    <w:rsid w:val="006F7D1A"/>
    <w:rsid w:val="00700950"/>
    <w:rsid w:val="00700A16"/>
    <w:rsid w:val="00701136"/>
    <w:rsid w:val="00701154"/>
    <w:rsid w:val="0070133F"/>
    <w:rsid w:val="00701A8D"/>
    <w:rsid w:val="00701C67"/>
    <w:rsid w:val="00701EA3"/>
    <w:rsid w:val="00702506"/>
    <w:rsid w:val="007028D0"/>
    <w:rsid w:val="00702BDF"/>
    <w:rsid w:val="00702E65"/>
    <w:rsid w:val="00702F71"/>
    <w:rsid w:val="0070319A"/>
    <w:rsid w:val="007031D9"/>
    <w:rsid w:val="00703204"/>
    <w:rsid w:val="007035F2"/>
    <w:rsid w:val="007037BA"/>
    <w:rsid w:val="00703CB4"/>
    <w:rsid w:val="00704ABE"/>
    <w:rsid w:val="0070502C"/>
    <w:rsid w:val="00705172"/>
    <w:rsid w:val="00705870"/>
    <w:rsid w:val="00705FAC"/>
    <w:rsid w:val="007060E2"/>
    <w:rsid w:val="00706759"/>
    <w:rsid w:val="00706B5F"/>
    <w:rsid w:val="00706D15"/>
    <w:rsid w:val="00706D86"/>
    <w:rsid w:val="007071A9"/>
    <w:rsid w:val="007073C8"/>
    <w:rsid w:val="0070780C"/>
    <w:rsid w:val="007078ED"/>
    <w:rsid w:val="00707C18"/>
    <w:rsid w:val="00707FE3"/>
    <w:rsid w:val="007103A9"/>
    <w:rsid w:val="00710590"/>
    <w:rsid w:val="0071120A"/>
    <w:rsid w:val="0071158E"/>
    <w:rsid w:val="00711807"/>
    <w:rsid w:val="00711835"/>
    <w:rsid w:val="007118D9"/>
    <w:rsid w:val="00711A38"/>
    <w:rsid w:val="00712506"/>
    <w:rsid w:val="00712A56"/>
    <w:rsid w:val="0071303B"/>
    <w:rsid w:val="007131FA"/>
    <w:rsid w:val="00713204"/>
    <w:rsid w:val="007132C5"/>
    <w:rsid w:val="00713B49"/>
    <w:rsid w:val="0071429C"/>
    <w:rsid w:val="00714BBF"/>
    <w:rsid w:val="00714C16"/>
    <w:rsid w:val="00714ED5"/>
    <w:rsid w:val="00716367"/>
    <w:rsid w:val="00716677"/>
    <w:rsid w:val="007167E7"/>
    <w:rsid w:val="00716A5F"/>
    <w:rsid w:val="00716AD2"/>
    <w:rsid w:val="00717024"/>
    <w:rsid w:val="007172B0"/>
    <w:rsid w:val="00717554"/>
    <w:rsid w:val="007177FD"/>
    <w:rsid w:val="00720243"/>
    <w:rsid w:val="007203CA"/>
    <w:rsid w:val="007206A8"/>
    <w:rsid w:val="00720D59"/>
    <w:rsid w:val="007215D0"/>
    <w:rsid w:val="007219DC"/>
    <w:rsid w:val="00721A8C"/>
    <w:rsid w:val="00721F20"/>
    <w:rsid w:val="00722002"/>
    <w:rsid w:val="007226F5"/>
    <w:rsid w:val="00722768"/>
    <w:rsid w:val="00722853"/>
    <w:rsid w:val="00722AE0"/>
    <w:rsid w:val="00722B0D"/>
    <w:rsid w:val="00722CD3"/>
    <w:rsid w:val="00722ECE"/>
    <w:rsid w:val="00723461"/>
    <w:rsid w:val="00723B2C"/>
    <w:rsid w:val="00723CA4"/>
    <w:rsid w:val="00723D8A"/>
    <w:rsid w:val="00724201"/>
    <w:rsid w:val="007244A6"/>
    <w:rsid w:val="007244E4"/>
    <w:rsid w:val="00724924"/>
    <w:rsid w:val="00724A05"/>
    <w:rsid w:val="00724E70"/>
    <w:rsid w:val="00724ED0"/>
    <w:rsid w:val="00724F92"/>
    <w:rsid w:val="00725088"/>
    <w:rsid w:val="0072512D"/>
    <w:rsid w:val="007251C6"/>
    <w:rsid w:val="007253D6"/>
    <w:rsid w:val="0072545E"/>
    <w:rsid w:val="0072578A"/>
    <w:rsid w:val="0072585C"/>
    <w:rsid w:val="0072597A"/>
    <w:rsid w:val="00725A7D"/>
    <w:rsid w:val="00725F19"/>
    <w:rsid w:val="007260E1"/>
    <w:rsid w:val="00726151"/>
    <w:rsid w:val="00726306"/>
    <w:rsid w:val="00726D51"/>
    <w:rsid w:val="00727366"/>
    <w:rsid w:val="0072798F"/>
    <w:rsid w:val="00727B0F"/>
    <w:rsid w:val="0073091F"/>
    <w:rsid w:val="00730C4D"/>
    <w:rsid w:val="007315D7"/>
    <w:rsid w:val="00731A01"/>
    <w:rsid w:val="00731A09"/>
    <w:rsid w:val="00731CBD"/>
    <w:rsid w:val="00731F4A"/>
    <w:rsid w:val="007321CA"/>
    <w:rsid w:val="007325BB"/>
    <w:rsid w:val="00732D1B"/>
    <w:rsid w:val="00733066"/>
    <w:rsid w:val="007334BE"/>
    <w:rsid w:val="007335BF"/>
    <w:rsid w:val="007336CA"/>
    <w:rsid w:val="00733982"/>
    <w:rsid w:val="00733A0C"/>
    <w:rsid w:val="00733B20"/>
    <w:rsid w:val="00733DAE"/>
    <w:rsid w:val="00733FBF"/>
    <w:rsid w:val="00734076"/>
    <w:rsid w:val="007340E2"/>
    <w:rsid w:val="0073437F"/>
    <w:rsid w:val="0073482C"/>
    <w:rsid w:val="00734B6E"/>
    <w:rsid w:val="00734BF3"/>
    <w:rsid w:val="007351E1"/>
    <w:rsid w:val="007354D2"/>
    <w:rsid w:val="007356ED"/>
    <w:rsid w:val="00735CA5"/>
    <w:rsid w:val="00735D3E"/>
    <w:rsid w:val="00735E16"/>
    <w:rsid w:val="00736439"/>
    <w:rsid w:val="00736C04"/>
    <w:rsid w:val="00736F0C"/>
    <w:rsid w:val="00736FA3"/>
    <w:rsid w:val="0073730F"/>
    <w:rsid w:val="00737377"/>
    <w:rsid w:val="00737427"/>
    <w:rsid w:val="00737845"/>
    <w:rsid w:val="0073792C"/>
    <w:rsid w:val="007401E3"/>
    <w:rsid w:val="00740278"/>
    <w:rsid w:val="00740937"/>
    <w:rsid w:val="00740EC8"/>
    <w:rsid w:val="00740F98"/>
    <w:rsid w:val="0074121E"/>
    <w:rsid w:val="00741707"/>
    <w:rsid w:val="00741A13"/>
    <w:rsid w:val="00741C19"/>
    <w:rsid w:val="00741F88"/>
    <w:rsid w:val="0074257A"/>
    <w:rsid w:val="007426AD"/>
    <w:rsid w:val="0074273C"/>
    <w:rsid w:val="00743241"/>
    <w:rsid w:val="00743462"/>
    <w:rsid w:val="00743597"/>
    <w:rsid w:val="007436F3"/>
    <w:rsid w:val="00743827"/>
    <w:rsid w:val="00743D54"/>
    <w:rsid w:val="00743F9B"/>
    <w:rsid w:val="0074497C"/>
    <w:rsid w:val="0074504D"/>
    <w:rsid w:val="007453E6"/>
    <w:rsid w:val="0074568B"/>
    <w:rsid w:val="007460A0"/>
    <w:rsid w:val="00746258"/>
    <w:rsid w:val="00746994"/>
    <w:rsid w:val="00746A21"/>
    <w:rsid w:val="00746F42"/>
    <w:rsid w:val="00746F72"/>
    <w:rsid w:val="0074742F"/>
    <w:rsid w:val="00747434"/>
    <w:rsid w:val="0074765E"/>
    <w:rsid w:val="0074788B"/>
    <w:rsid w:val="00747B4C"/>
    <w:rsid w:val="00747C47"/>
    <w:rsid w:val="00747DAF"/>
    <w:rsid w:val="0075077D"/>
    <w:rsid w:val="00750904"/>
    <w:rsid w:val="007512F7"/>
    <w:rsid w:val="0075137C"/>
    <w:rsid w:val="007513D6"/>
    <w:rsid w:val="00751630"/>
    <w:rsid w:val="007519C7"/>
    <w:rsid w:val="00751C14"/>
    <w:rsid w:val="00751FA2"/>
    <w:rsid w:val="0075267C"/>
    <w:rsid w:val="00752D90"/>
    <w:rsid w:val="007536EC"/>
    <w:rsid w:val="00753939"/>
    <w:rsid w:val="0075399B"/>
    <w:rsid w:val="00753B25"/>
    <w:rsid w:val="00753DFD"/>
    <w:rsid w:val="007540E5"/>
    <w:rsid w:val="0075418A"/>
    <w:rsid w:val="007544C8"/>
    <w:rsid w:val="00754611"/>
    <w:rsid w:val="00754791"/>
    <w:rsid w:val="007547CB"/>
    <w:rsid w:val="007547D3"/>
    <w:rsid w:val="00754BD6"/>
    <w:rsid w:val="00754DD0"/>
    <w:rsid w:val="00754E1C"/>
    <w:rsid w:val="007555FE"/>
    <w:rsid w:val="00755643"/>
    <w:rsid w:val="00755C47"/>
    <w:rsid w:val="00755E55"/>
    <w:rsid w:val="00755F1B"/>
    <w:rsid w:val="0075647A"/>
    <w:rsid w:val="007564D8"/>
    <w:rsid w:val="00756588"/>
    <w:rsid w:val="0075684F"/>
    <w:rsid w:val="007569E4"/>
    <w:rsid w:val="007572AE"/>
    <w:rsid w:val="00757824"/>
    <w:rsid w:val="00757918"/>
    <w:rsid w:val="00760596"/>
    <w:rsid w:val="0076102C"/>
    <w:rsid w:val="007611C2"/>
    <w:rsid w:val="007611E9"/>
    <w:rsid w:val="00761D2E"/>
    <w:rsid w:val="0076211D"/>
    <w:rsid w:val="0076260D"/>
    <w:rsid w:val="007626E5"/>
    <w:rsid w:val="007626F9"/>
    <w:rsid w:val="007628AD"/>
    <w:rsid w:val="0076301E"/>
    <w:rsid w:val="0076326F"/>
    <w:rsid w:val="00763684"/>
    <w:rsid w:val="0076369B"/>
    <w:rsid w:val="00763779"/>
    <w:rsid w:val="00763896"/>
    <w:rsid w:val="00763B77"/>
    <w:rsid w:val="00763BE2"/>
    <w:rsid w:val="00763DF0"/>
    <w:rsid w:val="00763E71"/>
    <w:rsid w:val="0076404B"/>
    <w:rsid w:val="00764137"/>
    <w:rsid w:val="0076416F"/>
    <w:rsid w:val="00764527"/>
    <w:rsid w:val="007648FD"/>
    <w:rsid w:val="00765777"/>
    <w:rsid w:val="00765A01"/>
    <w:rsid w:val="00766868"/>
    <w:rsid w:val="00766B46"/>
    <w:rsid w:val="00766D33"/>
    <w:rsid w:val="00766D88"/>
    <w:rsid w:val="0076702C"/>
    <w:rsid w:val="00767A32"/>
    <w:rsid w:val="00767B53"/>
    <w:rsid w:val="00767BDD"/>
    <w:rsid w:val="00767DC9"/>
    <w:rsid w:val="00767F6C"/>
    <w:rsid w:val="007700BE"/>
    <w:rsid w:val="00770410"/>
    <w:rsid w:val="007706B6"/>
    <w:rsid w:val="0077077E"/>
    <w:rsid w:val="00770815"/>
    <w:rsid w:val="00770C42"/>
    <w:rsid w:val="00771042"/>
    <w:rsid w:val="0077117D"/>
    <w:rsid w:val="00771497"/>
    <w:rsid w:val="00771517"/>
    <w:rsid w:val="00771988"/>
    <w:rsid w:val="00771E27"/>
    <w:rsid w:val="00771EEE"/>
    <w:rsid w:val="00772113"/>
    <w:rsid w:val="00772337"/>
    <w:rsid w:val="00772536"/>
    <w:rsid w:val="0077281C"/>
    <w:rsid w:val="00772829"/>
    <w:rsid w:val="007728DF"/>
    <w:rsid w:val="0077290E"/>
    <w:rsid w:val="00772A37"/>
    <w:rsid w:val="00772CF3"/>
    <w:rsid w:val="00772CFB"/>
    <w:rsid w:val="00774470"/>
    <w:rsid w:val="007744FF"/>
    <w:rsid w:val="00774BC4"/>
    <w:rsid w:val="00775150"/>
    <w:rsid w:val="007756DE"/>
    <w:rsid w:val="00775CBF"/>
    <w:rsid w:val="00776103"/>
    <w:rsid w:val="0077622D"/>
    <w:rsid w:val="00776EEE"/>
    <w:rsid w:val="007770AF"/>
    <w:rsid w:val="00777238"/>
    <w:rsid w:val="00777848"/>
    <w:rsid w:val="00777893"/>
    <w:rsid w:val="0078028C"/>
    <w:rsid w:val="00780372"/>
    <w:rsid w:val="007809E2"/>
    <w:rsid w:val="00781188"/>
    <w:rsid w:val="0078190C"/>
    <w:rsid w:val="00781D2C"/>
    <w:rsid w:val="00782D62"/>
    <w:rsid w:val="00783169"/>
    <w:rsid w:val="007831E3"/>
    <w:rsid w:val="00783510"/>
    <w:rsid w:val="0078353D"/>
    <w:rsid w:val="0078384D"/>
    <w:rsid w:val="00783B00"/>
    <w:rsid w:val="00783FEC"/>
    <w:rsid w:val="0078429F"/>
    <w:rsid w:val="00784341"/>
    <w:rsid w:val="00784549"/>
    <w:rsid w:val="007847C1"/>
    <w:rsid w:val="007848DB"/>
    <w:rsid w:val="007849C0"/>
    <w:rsid w:val="00784A66"/>
    <w:rsid w:val="00784ADB"/>
    <w:rsid w:val="00784BE4"/>
    <w:rsid w:val="0078521F"/>
    <w:rsid w:val="007852E9"/>
    <w:rsid w:val="00785B77"/>
    <w:rsid w:val="007865B2"/>
    <w:rsid w:val="00786955"/>
    <w:rsid w:val="00786D30"/>
    <w:rsid w:val="00786E52"/>
    <w:rsid w:val="007874B0"/>
    <w:rsid w:val="00787AE4"/>
    <w:rsid w:val="00787B4D"/>
    <w:rsid w:val="00787C10"/>
    <w:rsid w:val="00787CC8"/>
    <w:rsid w:val="00787DA4"/>
    <w:rsid w:val="00787FDC"/>
    <w:rsid w:val="0079007B"/>
    <w:rsid w:val="007905AA"/>
    <w:rsid w:val="007905B9"/>
    <w:rsid w:val="007908EE"/>
    <w:rsid w:val="00790B15"/>
    <w:rsid w:val="00790EFF"/>
    <w:rsid w:val="00790F49"/>
    <w:rsid w:val="00791224"/>
    <w:rsid w:val="0079127D"/>
    <w:rsid w:val="007913F8"/>
    <w:rsid w:val="007917F1"/>
    <w:rsid w:val="007929A5"/>
    <w:rsid w:val="007931CB"/>
    <w:rsid w:val="007932E2"/>
    <w:rsid w:val="0079353C"/>
    <w:rsid w:val="007939DD"/>
    <w:rsid w:val="00793B12"/>
    <w:rsid w:val="00793D38"/>
    <w:rsid w:val="007942CB"/>
    <w:rsid w:val="00794920"/>
    <w:rsid w:val="00794E1B"/>
    <w:rsid w:val="00794E7C"/>
    <w:rsid w:val="00795047"/>
    <w:rsid w:val="007951D4"/>
    <w:rsid w:val="007958FA"/>
    <w:rsid w:val="00795AA7"/>
    <w:rsid w:val="00795DC4"/>
    <w:rsid w:val="0079625F"/>
    <w:rsid w:val="007968B1"/>
    <w:rsid w:val="0079754E"/>
    <w:rsid w:val="007979BD"/>
    <w:rsid w:val="00797C46"/>
    <w:rsid w:val="00797DE1"/>
    <w:rsid w:val="00797FA8"/>
    <w:rsid w:val="007A04E5"/>
    <w:rsid w:val="007A06F3"/>
    <w:rsid w:val="007A0835"/>
    <w:rsid w:val="007A0A79"/>
    <w:rsid w:val="007A0C7C"/>
    <w:rsid w:val="007A129C"/>
    <w:rsid w:val="007A1381"/>
    <w:rsid w:val="007A1483"/>
    <w:rsid w:val="007A14C7"/>
    <w:rsid w:val="007A17F7"/>
    <w:rsid w:val="007A19F6"/>
    <w:rsid w:val="007A223F"/>
    <w:rsid w:val="007A244F"/>
    <w:rsid w:val="007A24FC"/>
    <w:rsid w:val="007A2B65"/>
    <w:rsid w:val="007A2C5A"/>
    <w:rsid w:val="007A2CBF"/>
    <w:rsid w:val="007A2EF0"/>
    <w:rsid w:val="007A309E"/>
    <w:rsid w:val="007A3539"/>
    <w:rsid w:val="007A378A"/>
    <w:rsid w:val="007A38EB"/>
    <w:rsid w:val="007A39E8"/>
    <w:rsid w:val="007A3A94"/>
    <w:rsid w:val="007A3CFE"/>
    <w:rsid w:val="007A3F16"/>
    <w:rsid w:val="007A426E"/>
    <w:rsid w:val="007A4A20"/>
    <w:rsid w:val="007A4C20"/>
    <w:rsid w:val="007A500C"/>
    <w:rsid w:val="007A54A9"/>
    <w:rsid w:val="007A5582"/>
    <w:rsid w:val="007A5617"/>
    <w:rsid w:val="007A5A46"/>
    <w:rsid w:val="007A5BBB"/>
    <w:rsid w:val="007A5C34"/>
    <w:rsid w:val="007A5CA9"/>
    <w:rsid w:val="007A5E9D"/>
    <w:rsid w:val="007A61F8"/>
    <w:rsid w:val="007A68DF"/>
    <w:rsid w:val="007A6977"/>
    <w:rsid w:val="007A6A3A"/>
    <w:rsid w:val="007A6D88"/>
    <w:rsid w:val="007A72D6"/>
    <w:rsid w:val="007A770D"/>
    <w:rsid w:val="007B00A6"/>
    <w:rsid w:val="007B0245"/>
    <w:rsid w:val="007B02AD"/>
    <w:rsid w:val="007B0751"/>
    <w:rsid w:val="007B083D"/>
    <w:rsid w:val="007B083F"/>
    <w:rsid w:val="007B0880"/>
    <w:rsid w:val="007B08EE"/>
    <w:rsid w:val="007B0B48"/>
    <w:rsid w:val="007B0D01"/>
    <w:rsid w:val="007B1260"/>
    <w:rsid w:val="007B1488"/>
    <w:rsid w:val="007B1C77"/>
    <w:rsid w:val="007B201A"/>
    <w:rsid w:val="007B2085"/>
    <w:rsid w:val="007B233B"/>
    <w:rsid w:val="007B2776"/>
    <w:rsid w:val="007B28E9"/>
    <w:rsid w:val="007B2E39"/>
    <w:rsid w:val="007B2FDC"/>
    <w:rsid w:val="007B3751"/>
    <w:rsid w:val="007B38A0"/>
    <w:rsid w:val="007B38B7"/>
    <w:rsid w:val="007B39FA"/>
    <w:rsid w:val="007B3D21"/>
    <w:rsid w:val="007B3DE3"/>
    <w:rsid w:val="007B4174"/>
    <w:rsid w:val="007B4CC8"/>
    <w:rsid w:val="007B4CD2"/>
    <w:rsid w:val="007B4F4D"/>
    <w:rsid w:val="007B4F7B"/>
    <w:rsid w:val="007B5181"/>
    <w:rsid w:val="007B5426"/>
    <w:rsid w:val="007B569C"/>
    <w:rsid w:val="007B583D"/>
    <w:rsid w:val="007B5D1C"/>
    <w:rsid w:val="007B612D"/>
    <w:rsid w:val="007B63CE"/>
    <w:rsid w:val="007B63E6"/>
    <w:rsid w:val="007B6684"/>
    <w:rsid w:val="007B696F"/>
    <w:rsid w:val="007B6A53"/>
    <w:rsid w:val="007B6B21"/>
    <w:rsid w:val="007B6D95"/>
    <w:rsid w:val="007B6EF3"/>
    <w:rsid w:val="007B7024"/>
    <w:rsid w:val="007B70C2"/>
    <w:rsid w:val="007B7F62"/>
    <w:rsid w:val="007C0390"/>
    <w:rsid w:val="007C04EC"/>
    <w:rsid w:val="007C0DD0"/>
    <w:rsid w:val="007C1369"/>
    <w:rsid w:val="007C14A2"/>
    <w:rsid w:val="007C165B"/>
    <w:rsid w:val="007C1B39"/>
    <w:rsid w:val="007C1C7A"/>
    <w:rsid w:val="007C1CD2"/>
    <w:rsid w:val="007C265A"/>
    <w:rsid w:val="007C2938"/>
    <w:rsid w:val="007C2E9A"/>
    <w:rsid w:val="007C300E"/>
    <w:rsid w:val="007C328D"/>
    <w:rsid w:val="007C336F"/>
    <w:rsid w:val="007C3583"/>
    <w:rsid w:val="007C3ABA"/>
    <w:rsid w:val="007C41B1"/>
    <w:rsid w:val="007C46B6"/>
    <w:rsid w:val="007C46F1"/>
    <w:rsid w:val="007C4C5F"/>
    <w:rsid w:val="007C4C83"/>
    <w:rsid w:val="007C53CC"/>
    <w:rsid w:val="007C53F4"/>
    <w:rsid w:val="007C5411"/>
    <w:rsid w:val="007C553F"/>
    <w:rsid w:val="007C56B6"/>
    <w:rsid w:val="007C6806"/>
    <w:rsid w:val="007C6AE4"/>
    <w:rsid w:val="007C6D53"/>
    <w:rsid w:val="007C71AB"/>
    <w:rsid w:val="007C7370"/>
    <w:rsid w:val="007C7729"/>
    <w:rsid w:val="007C7789"/>
    <w:rsid w:val="007C7A92"/>
    <w:rsid w:val="007C7AD0"/>
    <w:rsid w:val="007C7C59"/>
    <w:rsid w:val="007C7D27"/>
    <w:rsid w:val="007D0211"/>
    <w:rsid w:val="007D0242"/>
    <w:rsid w:val="007D072B"/>
    <w:rsid w:val="007D072C"/>
    <w:rsid w:val="007D1262"/>
    <w:rsid w:val="007D1A9A"/>
    <w:rsid w:val="007D1F6E"/>
    <w:rsid w:val="007D20E4"/>
    <w:rsid w:val="007D252B"/>
    <w:rsid w:val="007D2571"/>
    <w:rsid w:val="007D272D"/>
    <w:rsid w:val="007D2B54"/>
    <w:rsid w:val="007D2D12"/>
    <w:rsid w:val="007D30B7"/>
    <w:rsid w:val="007D3382"/>
    <w:rsid w:val="007D3501"/>
    <w:rsid w:val="007D3754"/>
    <w:rsid w:val="007D3C77"/>
    <w:rsid w:val="007D484A"/>
    <w:rsid w:val="007D502A"/>
    <w:rsid w:val="007D5388"/>
    <w:rsid w:val="007D544A"/>
    <w:rsid w:val="007D54E8"/>
    <w:rsid w:val="007D5513"/>
    <w:rsid w:val="007D563C"/>
    <w:rsid w:val="007D5A3A"/>
    <w:rsid w:val="007D5E1A"/>
    <w:rsid w:val="007D6062"/>
    <w:rsid w:val="007D6403"/>
    <w:rsid w:val="007D6467"/>
    <w:rsid w:val="007D690D"/>
    <w:rsid w:val="007D6A27"/>
    <w:rsid w:val="007D6B85"/>
    <w:rsid w:val="007D6E13"/>
    <w:rsid w:val="007D7257"/>
    <w:rsid w:val="007D7473"/>
    <w:rsid w:val="007D7D00"/>
    <w:rsid w:val="007E0361"/>
    <w:rsid w:val="007E04F8"/>
    <w:rsid w:val="007E04FF"/>
    <w:rsid w:val="007E0661"/>
    <w:rsid w:val="007E073E"/>
    <w:rsid w:val="007E0790"/>
    <w:rsid w:val="007E07D3"/>
    <w:rsid w:val="007E0D1C"/>
    <w:rsid w:val="007E0D8D"/>
    <w:rsid w:val="007E15AD"/>
    <w:rsid w:val="007E18FD"/>
    <w:rsid w:val="007E25ED"/>
    <w:rsid w:val="007E2A37"/>
    <w:rsid w:val="007E2A56"/>
    <w:rsid w:val="007E2BC0"/>
    <w:rsid w:val="007E2EC6"/>
    <w:rsid w:val="007E3276"/>
    <w:rsid w:val="007E35F2"/>
    <w:rsid w:val="007E3A49"/>
    <w:rsid w:val="007E3F75"/>
    <w:rsid w:val="007E3FD0"/>
    <w:rsid w:val="007E4416"/>
    <w:rsid w:val="007E44B4"/>
    <w:rsid w:val="007E476B"/>
    <w:rsid w:val="007E4AA1"/>
    <w:rsid w:val="007E4AB6"/>
    <w:rsid w:val="007E4C0D"/>
    <w:rsid w:val="007E5374"/>
    <w:rsid w:val="007E5521"/>
    <w:rsid w:val="007E58B3"/>
    <w:rsid w:val="007E595C"/>
    <w:rsid w:val="007E6D0A"/>
    <w:rsid w:val="007E6DBA"/>
    <w:rsid w:val="007E7389"/>
    <w:rsid w:val="007E73E1"/>
    <w:rsid w:val="007E7A28"/>
    <w:rsid w:val="007E7BC8"/>
    <w:rsid w:val="007F00B4"/>
    <w:rsid w:val="007F047E"/>
    <w:rsid w:val="007F07CD"/>
    <w:rsid w:val="007F0F18"/>
    <w:rsid w:val="007F132C"/>
    <w:rsid w:val="007F13F8"/>
    <w:rsid w:val="007F1DD7"/>
    <w:rsid w:val="007F1E58"/>
    <w:rsid w:val="007F1FA2"/>
    <w:rsid w:val="007F286C"/>
    <w:rsid w:val="007F28ED"/>
    <w:rsid w:val="007F291B"/>
    <w:rsid w:val="007F2921"/>
    <w:rsid w:val="007F3014"/>
    <w:rsid w:val="007F32E3"/>
    <w:rsid w:val="007F339C"/>
    <w:rsid w:val="007F343A"/>
    <w:rsid w:val="007F364A"/>
    <w:rsid w:val="007F386E"/>
    <w:rsid w:val="007F42EE"/>
    <w:rsid w:val="007F4397"/>
    <w:rsid w:val="007F44CF"/>
    <w:rsid w:val="007F4EB2"/>
    <w:rsid w:val="007F557F"/>
    <w:rsid w:val="007F5D57"/>
    <w:rsid w:val="007F5E58"/>
    <w:rsid w:val="007F640C"/>
    <w:rsid w:val="007F666B"/>
    <w:rsid w:val="007F66BE"/>
    <w:rsid w:val="007F67E9"/>
    <w:rsid w:val="007F6B9F"/>
    <w:rsid w:val="007F6DEB"/>
    <w:rsid w:val="007F6F32"/>
    <w:rsid w:val="007F782B"/>
    <w:rsid w:val="007F7A92"/>
    <w:rsid w:val="007F7B77"/>
    <w:rsid w:val="007F7C28"/>
    <w:rsid w:val="007F7C7B"/>
    <w:rsid w:val="0080042C"/>
    <w:rsid w:val="00801743"/>
    <w:rsid w:val="00801B5C"/>
    <w:rsid w:val="00801D57"/>
    <w:rsid w:val="00802497"/>
    <w:rsid w:val="00802921"/>
    <w:rsid w:val="00802CA1"/>
    <w:rsid w:val="00802CBC"/>
    <w:rsid w:val="00802D31"/>
    <w:rsid w:val="0080315F"/>
    <w:rsid w:val="008033D0"/>
    <w:rsid w:val="0080381E"/>
    <w:rsid w:val="008039F5"/>
    <w:rsid w:val="00803ED2"/>
    <w:rsid w:val="008040A2"/>
    <w:rsid w:val="008041D8"/>
    <w:rsid w:val="0080457D"/>
    <w:rsid w:val="00804632"/>
    <w:rsid w:val="008046E2"/>
    <w:rsid w:val="00804838"/>
    <w:rsid w:val="00804D4C"/>
    <w:rsid w:val="00804E73"/>
    <w:rsid w:val="008054D9"/>
    <w:rsid w:val="00805D09"/>
    <w:rsid w:val="00805DB0"/>
    <w:rsid w:val="00805E3A"/>
    <w:rsid w:val="00805FE5"/>
    <w:rsid w:val="0080605C"/>
    <w:rsid w:val="0080640E"/>
    <w:rsid w:val="00806688"/>
    <w:rsid w:val="00806B78"/>
    <w:rsid w:val="00807448"/>
    <w:rsid w:val="00807A3E"/>
    <w:rsid w:val="00807EBA"/>
    <w:rsid w:val="00810338"/>
    <w:rsid w:val="00810784"/>
    <w:rsid w:val="00810793"/>
    <w:rsid w:val="00810B54"/>
    <w:rsid w:val="00810D8C"/>
    <w:rsid w:val="0081143A"/>
    <w:rsid w:val="008116A8"/>
    <w:rsid w:val="00812282"/>
    <w:rsid w:val="00812439"/>
    <w:rsid w:val="00812541"/>
    <w:rsid w:val="00812967"/>
    <w:rsid w:val="00812FF5"/>
    <w:rsid w:val="0081308A"/>
    <w:rsid w:val="0081319F"/>
    <w:rsid w:val="008144D2"/>
    <w:rsid w:val="00814646"/>
    <w:rsid w:val="008146AB"/>
    <w:rsid w:val="0081474E"/>
    <w:rsid w:val="008148E4"/>
    <w:rsid w:val="008149F5"/>
    <w:rsid w:val="00815587"/>
    <w:rsid w:val="00815693"/>
    <w:rsid w:val="008157F1"/>
    <w:rsid w:val="00815B22"/>
    <w:rsid w:val="00815E28"/>
    <w:rsid w:val="00815FA4"/>
    <w:rsid w:val="008164C4"/>
    <w:rsid w:val="008165A8"/>
    <w:rsid w:val="00816990"/>
    <w:rsid w:val="00816B67"/>
    <w:rsid w:val="00816BAA"/>
    <w:rsid w:val="00816EC2"/>
    <w:rsid w:val="00816EF4"/>
    <w:rsid w:val="00817579"/>
    <w:rsid w:val="00817611"/>
    <w:rsid w:val="0081789B"/>
    <w:rsid w:val="00817B0B"/>
    <w:rsid w:val="00817D4B"/>
    <w:rsid w:val="00817D6C"/>
    <w:rsid w:val="00817EFF"/>
    <w:rsid w:val="00820005"/>
    <w:rsid w:val="00820418"/>
    <w:rsid w:val="0082063D"/>
    <w:rsid w:val="00820972"/>
    <w:rsid w:val="008209BC"/>
    <w:rsid w:val="00820A96"/>
    <w:rsid w:val="00820C06"/>
    <w:rsid w:val="00820E7D"/>
    <w:rsid w:val="00821339"/>
    <w:rsid w:val="00821819"/>
    <w:rsid w:val="00821A48"/>
    <w:rsid w:val="00821A79"/>
    <w:rsid w:val="00822182"/>
    <w:rsid w:val="008222C4"/>
    <w:rsid w:val="008229DB"/>
    <w:rsid w:val="00823150"/>
    <w:rsid w:val="00823625"/>
    <w:rsid w:val="008236E1"/>
    <w:rsid w:val="00823851"/>
    <w:rsid w:val="00823B68"/>
    <w:rsid w:val="00823D4B"/>
    <w:rsid w:val="00823D5A"/>
    <w:rsid w:val="00823E25"/>
    <w:rsid w:val="00823E2F"/>
    <w:rsid w:val="008241F2"/>
    <w:rsid w:val="00824458"/>
    <w:rsid w:val="0082447A"/>
    <w:rsid w:val="008244CA"/>
    <w:rsid w:val="008249F7"/>
    <w:rsid w:val="00824ACB"/>
    <w:rsid w:val="00824AF7"/>
    <w:rsid w:val="00824B3D"/>
    <w:rsid w:val="00824B74"/>
    <w:rsid w:val="00824D68"/>
    <w:rsid w:val="00825052"/>
    <w:rsid w:val="008254F2"/>
    <w:rsid w:val="00825ADB"/>
    <w:rsid w:val="00825EDF"/>
    <w:rsid w:val="008267EE"/>
    <w:rsid w:val="00826EA9"/>
    <w:rsid w:val="00827027"/>
    <w:rsid w:val="0082745B"/>
    <w:rsid w:val="0082765F"/>
    <w:rsid w:val="0082775F"/>
    <w:rsid w:val="00827E11"/>
    <w:rsid w:val="00827F06"/>
    <w:rsid w:val="00827F74"/>
    <w:rsid w:val="00827F9F"/>
    <w:rsid w:val="008302C5"/>
    <w:rsid w:val="008303FA"/>
    <w:rsid w:val="00830687"/>
    <w:rsid w:val="008308A3"/>
    <w:rsid w:val="0083172D"/>
    <w:rsid w:val="00831893"/>
    <w:rsid w:val="0083209E"/>
    <w:rsid w:val="00832154"/>
    <w:rsid w:val="0083239A"/>
    <w:rsid w:val="008324B8"/>
    <w:rsid w:val="008324D1"/>
    <w:rsid w:val="00832D1E"/>
    <w:rsid w:val="0083310D"/>
    <w:rsid w:val="0083347A"/>
    <w:rsid w:val="008335B1"/>
    <w:rsid w:val="0083397D"/>
    <w:rsid w:val="00833C76"/>
    <w:rsid w:val="00833D13"/>
    <w:rsid w:val="00833D59"/>
    <w:rsid w:val="00833E4F"/>
    <w:rsid w:val="0083401A"/>
    <w:rsid w:val="0083403C"/>
    <w:rsid w:val="008340CF"/>
    <w:rsid w:val="00834297"/>
    <w:rsid w:val="00834323"/>
    <w:rsid w:val="008349B7"/>
    <w:rsid w:val="008349B8"/>
    <w:rsid w:val="00834E4F"/>
    <w:rsid w:val="00834F4A"/>
    <w:rsid w:val="008351E7"/>
    <w:rsid w:val="00835363"/>
    <w:rsid w:val="00835800"/>
    <w:rsid w:val="00835CCB"/>
    <w:rsid w:val="00835EC9"/>
    <w:rsid w:val="0083613A"/>
    <w:rsid w:val="00836619"/>
    <w:rsid w:val="00836A87"/>
    <w:rsid w:val="00836BF3"/>
    <w:rsid w:val="00836E37"/>
    <w:rsid w:val="00836F32"/>
    <w:rsid w:val="008370D7"/>
    <w:rsid w:val="00837531"/>
    <w:rsid w:val="008406A6"/>
    <w:rsid w:val="00840818"/>
    <w:rsid w:val="0084087A"/>
    <w:rsid w:val="00840AD9"/>
    <w:rsid w:val="00840D64"/>
    <w:rsid w:val="0084131F"/>
    <w:rsid w:val="00841388"/>
    <w:rsid w:val="00841867"/>
    <w:rsid w:val="008418A4"/>
    <w:rsid w:val="0084196C"/>
    <w:rsid w:val="00841AB2"/>
    <w:rsid w:val="00841EFB"/>
    <w:rsid w:val="00841F44"/>
    <w:rsid w:val="00842A85"/>
    <w:rsid w:val="00842C82"/>
    <w:rsid w:val="008432CA"/>
    <w:rsid w:val="008432E3"/>
    <w:rsid w:val="008436D7"/>
    <w:rsid w:val="00843729"/>
    <w:rsid w:val="00843AF4"/>
    <w:rsid w:val="00843D3E"/>
    <w:rsid w:val="008440FE"/>
    <w:rsid w:val="00844393"/>
    <w:rsid w:val="008448B9"/>
    <w:rsid w:val="00844F6A"/>
    <w:rsid w:val="00844F7E"/>
    <w:rsid w:val="00845187"/>
    <w:rsid w:val="00845394"/>
    <w:rsid w:val="0084567D"/>
    <w:rsid w:val="00845BDE"/>
    <w:rsid w:val="00845C7D"/>
    <w:rsid w:val="008460C3"/>
    <w:rsid w:val="00846119"/>
    <w:rsid w:val="0084683D"/>
    <w:rsid w:val="0084684A"/>
    <w:rsid w:val="00846B62"/>
    <w:rsid w:val="00846DF8"/>
    <w:rsid w:val="00846E94"/>
    <w:rsid w:val="008471A1"/>
    <w:rsid w:val="008474E3"/>
    <w:rsid w:val="00847A72"/>
    <w:rsid w:val="00847C0F"/>
    <w:rsid w:val="008502AD"/>
    <w:rsid w:val="008506E2"/>
    <w:rsid w:val="00850B59"/>
    <w:rsid w:val="00850C10"/>
    <w:rsid w:val="00851C71"/>
    <w:rsid w:val="00851FF3"/>
    <w:rsid w:val="008524B1"/>
    <w:rsid w:val="008527ED"/>
    <w:rsid w:val="00852B88"/>
    <w:rsid w:val="00852F87"/>
    <w:rsid w:val="008530F3"/>
    <w:rsid w:val="00853271"/>
    <w:rsid w:val="008533EB"/>
    <w:rsid w:val="008535BF"/>
    <w:rsid w:val="008537F7"/>
    <w:rsid w:val="00853C00"/>
    <w:rsid w:val="00853C81"/>
    <w:rsid w:val="00853E17"/>
    <w:rsid w:val="00854090"/>
    <w:rsid w:val="0085431B"/>
    <w:rsid w:val="00854554"/>
    <w:rsid w:val="008545FF"/>
    <w:rsid w:val="008546BE"/>
    <w:rsid w:val="00854BB4"/>
    <w:rsid w:val="00854C1E"/>
    <w:rsid w:val="00854C72"/>
    <w:rsid w:val="00854D19"/>
    <w:rsid w:val="0085503E"/>
    <w:rsid w:val="008551AB"/>
    <w:rsid w:val="008554DA"/>
    <w:rsid w:val="008556FA"/>
    <w:rsid w:val="008557BF"/>
    <w:rsid w:val="0085580C"/>
    <w:rsid w:val="00855C3E"/>
    <w:rsid w:val="00856074"/>
    <w:rsid w:val="0085669B"/>
    <w:rsid w:val="00856A1E"/>
    <w:rsid w:val="00856A93"/>
    <w:rsid w:val="00856B01"/>
    <w:rsid w:val="00856C72"/>
    <w:rsid w:val="0085723A"/>
    <w:rsid w:val="00857949"/>
    <w:rsid w:val="008579BF"/>
    <w:rsid w:val="00860CCE"/>
    <w:rsid w:val="008618E3"/>
    <w:rsid w:val="00861FF7"/>
    <w:rsid w:val="00862083"/>
    <w:rsid w:val="00862099"/>
    <w:rsid w:val="00862A27"/>
    <w:rsid w:val="00862A95"/>
    <w:rsid w:val="00862B02"/>
    <w:rsid w:val="00862F19"/>
    <w:rsid w:val="008633C8"/>
    <w:rsid w:val="00863810"/>
    <w:rsid w:val="00863EE7"/>
    <w:rsid w:val="008640A3"/>
    <w:rsid w:val="008649A1"/>
    <w:rsid w:val="008651FE"/>
    <w:rsid w:val="0086525B"/>
    <w:rsid w:val="00865323"/>
    <w:rsid w:val="00865945"/>
    <w:rsid w:val="00865B2B"/>
    <w:rsid w:val="00866453"/>
    <w:rsid w:val="00866F4B"/>
    <w:rsid w:val="00870128"/>
    <w:rsid w:val="008701E8"/>
    <w:rsid w:val="00870E71"/>
    <w:rsid w:val="00871574"/>
    <w:rsid w:val="008719C2"/>
    <w:rsid w:val="0087206F"/>
    <w:rsid w:val="008720F1"/>
    <w:rsid w:val="008721DB"/>
    <w:rsid w:val="00872418"/>
    <w:rsid w:val="008726DF"/>
    <w:rsid w:val="0087277A"/>
    <w:rsid w:val="00872A47"/>
    <w:rsid w:val="00872B03"/>
    <w:rsid w:val="00872BF6"/>
    <w:rsid w:val="0087300C"/>
    <w:rsid w:val="008736E2"/>
    <w:rsid w:val="008738E7"/>
    <w:rsid w:val="00873C7A"/>
    <w:rsid w:val="00873CCA"/>
    <w:rsid w:val="008740B7"/>
    <w:rsid w:val="00874190"/>
    <w:rsid w:val="008744FE"/>
    <w:rsid w:val="00874565"/>
    <w:rsid w:val="00874897"/>
    <w:rsid w:val="00874E1D"/>
    <w:rsid w:val="00874FA0"/>
    <w:rsid w:val="008758D0"/>
    <w:rsid w:val="00875E39"/>
    <w:rsid w:val="00875F55"/>
    <w:rsid w:val="00875F70"/>
    <w:rsid w:val="0087617F"/>
    <w:rsid w:val="0087642C"/>
    <w:rsid w:val="00877088"/>
    <w:rsid w:val="00877247"/>
    <w:rsid w:val="0087764B"/>
    <w:rsid w:val="00877C41"/>
    <w:rsid w:val="00877D8D"/>
    <w:rsid w:val="008801AE"/>
    <w:rsid w:val="00880AA3"/>
    <w:rsid w:val="00881572"/>
    <w:rsid w:val="00881708"/>
    <w:rsid w:val="0088181E"/>
    <w:rsid w:val="008819C7"/>
    <w:rsid w:val="00881C65"/>
    <w:rsid w:val="008821BA"/>
    <w:rsid w:val="00882410"/>
    <w:rsid w:val="008824DE"/>
    <w:rsid w:val="00882614"/>
    <w:rsid w:val="00882A30"/>
    <w:rsid w:val="008831E2"/>
    <w:rsid w:val="00883350"/>
    <w:rsid w:val="0088339F"/>
    <w:rsid w:val="00883498"/>
    <w:rsid w:val="0088353A"/>
    <w:rsid w:val="0088421C"/>
    <w:rsid w:val="00884362"/>
    <w:rsid w:val="0088445B"/>
    <w:rsid w:val="0088448D"/>
    <w:rsid w:val="00884540"/>
    <w:rsid w:val="00884E87"/>
    <w:rsid w:val="00884FFF"/>
    <w:rsid w:val="008854CC"/>
    <w:rsid w:val="008859A0"/>
    <w:rsid w:val="00885A50"/>
    <w:rsid w:val="00885C08"/>
    <w:rsid w:val="00886392"/>
    <w:rsid w:val="008866D0"/>
    <w:rsid w:val="00886E00"/>
    <w:rsid w:val="00886E0C"/>
    <w:rsid w:val="00887400"/>
    <w:rsid w:val="00887970"/>
    <w:rsid w:val="0089027A"/>
    <w:rsid w:val="00890469"/>
    <w:rsid w:val="00890A07"/>
    <w:rsid w:val="00890CBB"/>
    <w:rsid w:val="008912B5"/>
    <w:rsid w:val="008913C5"/>
    <w:rsid w:val="008919E7"/>
    <w:rsid w:val="00891AF6"/>
    <w:rsid w:val="00891BB7"/>
    <w:rsid w:val="00891BC3"/>
    <w:rsid w:val="00892097"/>
    <w:rsid w:val="0089279E"/>
    <w:rsid w:val="00892843"/>
    <w:rsid w:val="00892A8D"/>
    <w:rsid w:val="00892DEF"/>
    <w:rsid w:val="0089356C"/>
    <w:rsid w:val="008937C8"/>
    <w:rsid w:val="00893A47"/>
    <w:rsid w:val="00893F97"/>
    <w:rsid w:val="00894203"/>
    <w:rsid w:val="00894215"/>
    <w:rsid w:val="00894446"/>
    <w:rsid w:val="00894B1A"/>
    <w:rsid w:val="00894E51"/>
    <w:rsid w:val="00894FE4"/>
    <w:rsid w:val="00894FE5"/>
    <w:rsid w:val="00895776"/>
    <w:rsid w:val="00895798"/>
    <w:rsid w:val="00895AAA"/>
    <w:rsid w:val="00895E41"/>
    <w:rsid w:val="00896088"/>
    <w:rsid w:val="0089616A"/>
    <w:rsid w:val="0089631B"/>
    <w:rsid w:val="00896380"/>
    <w:rsid w:val="008967C4"/>
    <w:rsid w:val="00896BD0"/>
    <w:rsid w:val="00896D14"/>
    <w:rsid w:val="0089724D"/>
    <w:rsid w:val="008973DA"/>
    <w:rsid w:val="00897534"/>
    <w:rsid w:val="008A0770"/>
    <w:rsid w:val="008A0969"/>
    <w:rsid w:val="008A0D2A"/>
    <w:rsid w:val="008A14A1"/>
    <w:rsid w:val="008A1693"/>
    <w:rsid w:val="008A17C4"/>
    <w:rsid w:val="008A1849"/>
    <w:rsid w:val="008A254F"/>
    <w:rsid w:val="008A2630"/>
    <w:rsid w:val="008A2F3A"/>
    <w:rsid w:val="008A3067"/>
    <w:rsid w:val="008A30ED"/>
    <w:rsid w:val="008A34CB"/>
    <w:rsid w:val="008A34D1"/>
    <w:rsid w:val="008A3C06"/>
    <w:rsid w:val="008A3EA8"/>
    <w:rsid w:val="008A4300"/>
    <w:rsid w:val="008A47D5"/>
    <w:rsid w:val="008A490E"/>
    <w:rsid w:val="008A4FED"/>
    <w:rsid w:val="008A5833"/>
    <w:rsid w:val="008A5940"/>
    <w:rsid w:val="008A59CD"/>
    <w:rsid w:val="008A5A7D"/>
    <w:rsid w:val="008A60E6"/>
    <w:rsid w:val="008A6A27"/>
    <w:rsid w:val="008A7713"/>
    <w:rsid w:val="008A7774"/>
    <w:rsid w:val="008A77F1"/>
    <w:rsid w:val="008A7874"/>
    <w:rsid w:val="008A7E65"/>
    <w:rsid w:val="008B019B"/>
    <w:rsid w:val="008B1252"/>
    <w:rsid w:val="008B1F2F"/>
    <w:rsid w:val="008B2179"/>
    <w:rsid w:val="008B24FD"/>
    <w:rsid w:val="008B25D7"/>
    <w:rsid w:val="008B282A"/>
    <w:rsid w:val="008B2C3B"/>
    <w:rsid w:val="008B2FF6"/>
    <w:rsid w:val="008B32BD"/>
    <w:rsid w:val="008B3500"/>
    <w:rsid w:val="008B3510"/>
    <w:rsid w:val="008B355C"/>
    <w:rsid w:val="008B37D8"/>
    <w:rsid w:val="008B3A71"/>
    <w:rsid w:val="008B3A88"/>
    <w:rsid w:val="008B3C19"/>
    <w:rsid w:val="008B3F46"/>
    <w:rsid w:val="008B4879"/>
    <w:rsid w:val="008B488D"/>
    <w:rsid w:val="008B4BFC"/>
    <w:rsid w:val="008B4DE6"/>
    <w:rsid w:val="008B51B4"/>
    <w:rsid w:val="008B5225"/>
    <w:rsid w:val="008B56BA"/>
    <w:rsid w:val="008B5775"/>
    <w:rsid w:val="008B5B67"/>
    <w:rsid w:val="008B5B83"/>
    <w:rsid w:val="008B5D7A"/>
    <w:rsid w:val="008B609E"/>
    <w:rsid w:val="008B60C1"/>
    <w:rsid w:val="008B66E3"/>
    <w:rsid w:val="008B6B8F"/>
    <w:rsid w:val="008B6EEA"/>
    <w:rsid w:val="008B7001"/>
    <w:rsid w:val="008B7692"/>
    <w:rsid w:val="008B7848"/>
    <w:rsid w:val="008B7D1B"/>
    <w:rsid w:val="008C00F4"/>
    <w:rsid w:val="008C00F8"/>
    <w:rsid w:val="008C0724"/>
    <w:rsid w:val="008C09C9"/>
    <w:rsid w:val="008C0AFA"/>
    <w:rsid w:val="008C0D71"/>
    <w:rsid w:val="008C0F42"/>
    <w:rsid w:val="008C1015"/>
    <w:rsid w:val="008C1481"/>
    <w:rsid w:val="008C15AD"/>
    <w:rsid w:val="008C1953"/>
    <w:rsid w:val="008C1A60"/>
    <w:rsid w:val="008C1BA8"/>
    <w:rsid w:val="008C1E05"/>
    <w:rsid w:val="008C2200"/>
    <w:rsid w:val="008C2457"/>
    <w:rsid w:val="008C268D"/>
    <w:rsid w:val="008C270E"/>
    <w:rsid w:val="008C2A95"/>
    <w:rsid w:val="008C2BE0"/>
    <w:rsid w:val="008C2FA8"/>
    <w:rsid w:val="008C32E5"/>
    <w:rsid w:val="008C34BB"/>
    <w:rsid w:val="008C420E"/>
    <w:rsid w:val="008C45E2"/>
    <w:rsid w:val="008C4940"/>
    <w:rsid w:val="008C4AF2"/>
    <w:rsid w:val="008C4C03"/>
    <w:rsid w:val="008C4D0D"/>
    <w:rsid w:val="008C4E62"/>
    <w:rsid w:val="008C537E"/>
    <w:rsid w:val="008C571C"/>
    <w:rsid w:val="008C57D1"/>
    <w:rsid w:val="008C5835"/>
    <w:rsid w:val="008C5C67"/>
    <w:rsid w:val="008C66BB"/>
    <w:rsid w:val="008C6F2F"/>
    <w:rsid w:val="008C7720"/>
    <w:rsid w:val="008C7DAE"/>
    <w:rsid w:val="008C7E69"/>
    <w:rsid w:val="008D0A99"/>
    <w:rsid w:val="008D0B21"/>
    <w:rsid w:val="008D0B9F"/>
    <w:rsid w:val="008D0D92"/>
    <w:rsid w:val="008D0E9E"/>
    <w:rsid w:val="008D0F35"/>
    <w:rsid w:val="008D12C4"/>
    <w:rsid w:val="008D13B5"/>
    <w:rsid w:val="008D1A57"/>
    <w:rsid w:val="008D2150"/>
    <w:rsid w:val="008D2353"/>
    <w:rsid w:val="008D2460"/>
    <w:rsid w:val="008D267A"/>
    <w:rsid w:val="008D2888"/>
    <w:rsid w:val="008D2F16"/>
    <w:rsid w:val="008D3286"/>
    <w:rsid w:val="008D3726"/>
    <w:rsid w:val="008D3AE2"/>
    <w:rsid w:val="008D4097"/>
    <w:rsid w:val="008D41F0"/>
    <w:rsid w:val="008D4356"/>
    <w:rsid w:val="008D43E9"/>
    <w:rsid w:val="008D49DA"/>
    <w:rsid w:val="008D49E7"/>
    <w:rsid w:val="008D4A77"/>
    <w:rsid w:val="008D4CB0"/>
    <w:rsid w:val="008D4F9D"/>
    <w:rsid w:val="008D5290"/>
    <w:rsid w:val="008D5A13"/>
    <w:rsid w:val="008D6397"/>
    <w:rsid w:val="008D65AE"/>
    <w:rsid w:val="008D6652"/>
    <w:rsid w:val="008D6807"/>
    <w:rsid w:val="008D699C"/>
    <w:rsid w:val="008D6D07"/>
    <w:rsid w:val="008D7126"/>
    <w:rsid w:val="008D73C9"/>
    <w:rsid w:val="008D7836"/>
    <w:rsid w:val="008D7A66"/>
    <w:rsid w:val="008D7B7C"/>
    <w:rsid w:val="008D7F8D"/>
    <w:rsid w:val="008E0775"/>
    <w:rsid w:val="008E0AF8"/>
    <w:rsid w:val="008E10E4"/>
    <w:rsid w:val="008E10F3"/>
    <w:rsid w:val="008E14BB"/>
    <w:rsid w:val="008E16BF"/>
    <w:rsid w:val="008E1948"/>
    <w:rsid w:val="008E1BD2"/>
    <w:rsid w:val="008E1FA2"/>
    <w:rsid w:val="008E1FC5"/>
    <w:rsid w:val="008E1FDB"/>
    <w:rsid w:val="008E2A3A"/>
    <w:rsid w:val="008E2D9D"/>
    <w:rsid w:val="008E3049"/>
    <w:rsid w:val="008E35A3"/>
    <w:rsid w:val="008E3BBB"/>
    <w:rsid w:val="008E3C3F"/>
    <w:rsid w:val="008E3CC2"/>
    <w:rsid w:val="008E45F3"/>
    <w:rsid w:val="008E462B"/>
    <w:rsid w:val="008E49EB"/>
    <w:rsid w:val="008E508A"/>
    <w:rsid w:val="008E51EC"/>
    <w:rsid w:val="008E5445"/>
    <w:rsid w:val="008E637E"/>
    <w:rsid w:val="008E63D3"/>
    <w:rsid w:val="008E6AE7"/>
    <w:rsid w:val="008E7274"/>
    <w:rsid w:val="008E72BA"/>
    <w:rsid w:val="008E75CA"/>
    <w:rsid w:val="008E78D8"/>
    <w:rsid w:val="008E7AA7"/>
    <w:rsid w:val="008E7D63"/>
    <w:rsid w:val="008E7D98"/>
    <w:rsid w:val="008F007D"/>
    <w:rsid w:val="008F0108"/>
    <w:rsid w:val="008F0562"/>
    <w:rsid w:val="008F08FC"/>
    <w:rsid w:val="008F09D5"/>
    <w:rsid w:val="008F09F7"/>
    <w:rsid w:val="008F0D56"/>
    <w:rsid w:val="008F1E41"/>
    <w:rsid w:val="008F1FB9"/>
    <w:rsid w:val="008F23F6"/>
    <w:rsid w:val="008F260B"/>
    <w:rsid w:val="008F2B47"/>
    <w:rsid w:val="008F2B54"/>
    <w:rsid w:val="008F2B9E"/>
    <w:rsid w:val="008F2BA0"/>
    <w:rsid w:val="008F3532"/>
    <w:rsid w:val="008F3A2B"/>
    <w:rsid w:val="008F3E9C"/>
    <w:rsid w:val="008F41D7"/>
    <w:rsid w:val="008F46E0"/>
    <w:rsid w:val="008F4C98"/>
    <w:rsid w:val="008F52DC"/>
    <w:rsid w:val="008F52F0"/>
    <w:rsid w:val="008F596A"/>
    <w:rsid w:val="008F66B6"/>
    <w:rsid w:val="008F68C7"/>
    <w:rsid w:val="008F6B99"/>
    <w:rsid w:val="008F6D6C"/>
    <w:rsid w:val="008F7B00"/>
    <w:rsid w:val="008F7FB2"/>
    <w:rsid w:val="00900300"/>
    <w:rsid w:val="00900588"/>
    <w:rsid w:val="00900A72"/>
    <w:rsid w:val="00901006"/>
    <w:rsid w:val="00901523"/>
    <w:rsid w:val="00901E7C"/>
    <w:rsid w:val="00902216"/>
    <w:rsid w:val="00902303"/>
    <w:rsid w:val="00902529"/>
    <w:rsid w:val="0090276F"/>
    <w:rsid w:val="00902A60"/>
    <w:rsid w:val="00902CFA"/>
    <w:rsid w:val="00902E0C"/>
    <w:rsid w:val="009030E3"/>
    <w:rsid w:val="00903295"/>
    <w:rsid w:val="009033D4"/>
    <w:rsid w:val="009035B1"/>
    <w:rsid w:val="00903C30"/>
    <w:rsid w:val="00903E69"/>
    <w:rsid w:val="0090429D"/>
    <w:rsid w:val="009043B1"/>
    <w:rsid w:val="009043BD"/>
    <w:rsid w:val="009046BA"/>
    <w:rsid w:val="0090480B"/>
    <w:rsid w:val="0090522A"/>
    <w:rsid w:val="0090587E"/>
    <w:rsid w:val="00905890"/>
    <w:rsid w:val="00905DAC"/>
    <w:rsid w:val="00906027"/>
    <w:rsid w:val="009060BB"/>
    <w:rsid w:val="0090631E"/>
    <w:rsid w:val="0090639B"/>
    <w:rsid w:val="00906821"/>
    <w:rsid w:val="009068FA"/>
    <w:rsid w:val="00906966"/>
    <w:rsid w:val="00906E58"/>
    <w:rsid w:val="00906E65"/>
    <w:rsid w:val="00907158"/>
    <w:rsid w:val="009073EA"/>
    <w:rsid w:val="00907753"/>
    <w:rsid w:val="00907AF7"/>
    <w:rsid w:val="00907DEB"/>
    <w:rsid w:val="00907FF7"/>
    <w:rsid w:val="0091020F"/>
    <w:rsid w:val="009102DB"/>
    <w:rsid w:val="009109FB"/>
    <w:rsid w:val="00911123"/>
    <w:rsid w:val="0091112F"/>
    <w:rsid w:val="0091164D"/>
    <w:rsid w:val="00911786"/>
    <w:rsid w:val="00911E89"/>
    <w:rsid w:val="009122D6"/>
    <w:rsid w:val="00912704"/>
    <w:rsid w:val="00912A44"/>
    <w:rsid w:val="00912CF6"/>
    <w:rsid w:val="00913201"/>
    <w:rsid w:val="00913213"/>
    <w:rsid w:val="00913B15"/>
    <w:rsid w:val="00913F81"/>
    <w:rsid w:val="009144D5"/>
    <w:rsid w:val="00914507"/>
    <w:rsid w:val="0091470E"/>
    <w:rsid w:val="00914838"/>
    <w:rsid w:val="00914D9D"/>
    <w:rsid w:val="00914F28"/>
    <w:rsid w:val="0091507F"/>
    <w:rsid w:val="009153BC"/>
    <w:rsid w:val="0091585F"/>
    <w:rsid w:val="0091596D"/>
    <w:rsid w:val="00915F98"/>
    <w:rsid w:val="00915FA3"/>
    <w:rsid w:val="009166FA"/>
    <w:rsid w:val="00916770"/>
    <w:rsid w:val="009168FF"/>
    <w:rsid w:val="00916AFB"/>
    <w:rsid w:val="009201C0"/>
    <w:rsid w:val="0092021F"/>
    <w:rsid w:val="00920449"/>
    <w:rsid w:val="009208B0"/>
    <w:rsid w:val="00920A11"/>
    <w:rsid w:val="00920FC4"/>
    <w:rsid w:val="009215D7"/>
    <w:rsid w:val="00921775"/>
    <w:rsid w:val="009217F8"/>
    <w:rsid w:val="00921D61"/>
    <w:rsid w:val="00921EC7"/>
    <w:rsid w:val="00922184"/>
    <w:rsid w:val="009222ED"/>
    <w:rsid w:val="00922B3B"/>
    <w:rsid w:val="00922B41"/>
    <w:rsid w:val="00923117"/>
    <w:rsid w:val="00923376"/>
    <w:rsid w:val="00923622"/>
    <w:rsid w:val="00923732"/>
    <w:rsid w:val="00923DE8"/>
    <w:rsid w:val="00923F76"/>
    <w:rsid w:val="009241FC"/>
    <w:rsid w:val="0092432E"/>
    <w:rsid w:val="0092470E"/>
    <w:rsid w:val="00924A54"/>
    <w:rsid w:val="00924A90"/>
    <w:rsid w:val="00924BBD"/>
    <w:rsid w:val="00924E71"/>
    <w:rsid w:val="00924EFB"/>
    <w:rsid w:val="009250EF"/>
    <w:rsid w:val="00925119"/>
    <w:rsid w:val="00925187"/>
    <w:rsid w:val="009252A2"/>
    <w:rsid w:val="00925428"/>
    <w:rsid w:val="00925E81"/>
    <w:rsid w:val="00925FFC"/>
    <w:rsid w:val="00926455"/>
    <w:rsid w:val="009264CB"/>
    <w:rsid w:val="009269CF"/>
    <w:rsid w:val="00926CBE"/>
    <w:rsid w:val="00926E10"/>
    <w:rsid w:val="00926E11"/>
    <w:rsid w:val="0092709C"/>
    <w:rsid w:val="009270E5"/>
    <w:rsid w:val="0092717F"/>
    <w:rsid w:val="00927413"/>
    <w:rsid w:val="0092765B"/>
    <w:rsid w:val="00927744"/>
    <w:rsid w:val="009279D3"/>
    <w:rsid w:val="009279D8"/>
    <w:rsid w:val="00927A7F"/>
    <w:rsid w:val="00927B05"/>
    <w:rsid w:val="00930376"/>
    <w:rsid w:val="00930881"/>
    <w:rsid w:val="00930A8F"/>
    <w:rsid w:val="00930F25"/>
    <w:rsid w:val="00930F4E"/>
    <w:rsid w:val="00931075"/>
    <w:rsid w:val="009313C0"/>
    <w:rsid w:val="009317AD"/>
    <w:rsid w:val="00931874"/>
    <w:rsid w:val="00932489"/>
    <w:rsid w:val="009326B1"/>
    <w:rsid w:val="009326DB"/>
    <w:rsid w:val="009328E0"/>
    <w:rsid w:val="00932A81"/>
    <w:rsid w:val="00932F13"/>
    <w:rsid w:val="00933120"/>
    <w:rsid w:val="00933350"/>
    <w:rsid w:val="0093352B"/>
    <w:rsid w:val="00933B09"/>
    <w:rsid w:val="00933CFF"/>
    <w:rsid w:val="009342BC"/>
    <w:rsid w:val="00934544"/>
    <w:rsid w:val="00934FD7"/>
    <w:rsid w:val="0093527B"/>
    <w:rsid w:val="0093542C"/>
    <w:rsid w:val="00935628"/>
    <w:rsid w:val="00935C03"/>
    <w:rsid w:val="00935C90"/>
    <w:rsid w:val="00936062"/>
    <w:rsid w:val="009365D8"/>
    <w:rsid w:val="00936779"/>
    <w:rsid w:val="00936A70"/>
    <w:rsid w:val="00936DCB"/>
    <w:rsid w:val="00936E68"/>
    <w:rsid w:val="009371F1"/>
    <w:rsid w:val="00937CBE"/>
    <w:rsid w:val="009402B5"/>
    <w:rsid w:val="00940811"/>
    <w:rsid w:val="00940C7D"/>
    <w:rsid w:val="00941448"/>
    <w:rsid w:val="009414C0"/>
    <w:rsid w:val="00941A5C"/>
    <w:rsid w:val="00941A9F"/>
    <w:rsid w:val="00941B63"/>
    <w:rsid w:val="00941FA6"/>
    <w:rsid w:val="0094203C"/>
    <w:rsid w:val="009421F5"/>
    <w:rsid w:val="00942493"/>
    <w:rsid w:val="0094259E"/>
    <w:rsid w:val="009427A0"/>
    <w:rsid w:val="0094285C"/>
    <w:rsid w:val="00942A41"/>
    <w:rsid w:val="00942B34"/>
    <w:rsid w:val="00942C2D"/>
    <w:rsid w:val="009433E8"/>
    <w:rsid w:val="0094349E"/>
    <w:rsid w:val="00943A10"/>
    <w:rsid w:val="00943C48"/>
    <w:rsid w:val="00943CB7"/>
    <w:rsid w:val="00943D38"/>
    <w:rsid w:val="00943FB0"/>
    <w:rsid w:val="00944087"/>
    <w:rsid w:val="00944638"/>
    <w:rsid w:val="009446E5"/>
    <w:rsid w:val="00944BC9"/>
    <w:rsid w:val="00944E74"/>
    <w:rsid w:val="00945061"/>
    <w:rsid w:val="0094511F"/>
    <w:rsid w:val="0094512D"/>
    <w:rsid w:val="009451C6"/>
    <w:rsid w:val="009456C5"/>
    <w:rsid w:val="0094579B"/>
    <w:rsid w:val="00945C49"/>
    <w:rsid w:val="009463E4"/>
    <w:rsid w:val="0094642C"/>
    <w:rsid w:val="00946815"/>
    <w:rsid w:val="00946A1E"/>
    <w:rsid w:val="00946B82"/>
    <w:rsid w:val="009470D5"/>
    <w:rsid w:val="0094713E"/>
    <w:rsid w:val="00947B80"/>
    <w:rsid w:val="0095012E"/>
    <w:rsid w:val="009504E2"/>
    <w:rsid w:val="00950507"/>
    <w:rsid w:val="00950C0D"/>
    <w:rsid w:val="00951934"/>
    <w:rsid w:val="00951A09"/>
    <w:rsid w:val="00951A8B"/>
    <w:rsid w:val="0095207B"/>
    <w:rsid w:val="009526DB"/>
    <w:rsid w:val="00952928"/>
    <w:rsid w:val="00952C54"/>
    <w:rsid w:val="00952CE1"/>
    <w:rsid w:val="009536C8"/>
    <w:rsid w:val="00953F58"/>
    <w:rsid w:val="009542C9"/>
    <w:rsid w:val="00954725"/>
    <w:rsid w:val="00954C8C"/>
    <w:rsid w:val="00954F60"/>
    <w:rsid w:val="009550D1"/>
    <w:rsid w:val="0095533F"/>
    <w:rsid w:val="00955D4A"/>
    <w:rsid w:val="00956747"/>
    <w:rsid w:val="00956ACE"/>
    <w:rsid w:val="00956B25"/>
    <w:rsid w:val="009570DA"/>
    <w:rsid w:val="009570E3"/>
    <w:rsid w:val="0095728B"/>
    <w:rsid w:val="009572A0"/>
    <w:rsid w:val="009575C5"/>
    <w:rsid w:val="009575C6"/>
    <w:rsid w:val="00957675"/>
    <w:rsid w:val="00957692"/>
    <w:rsid w:val="00957998"/>
    <w:rsid w:val="00957D24"/>
    <w:rsid w:val="0096056B"/>
    <w:rsid w:val="00960AAD"/>
    <w:rsid w:val="00960B59"/>
    <w:rsid w:val="00960D05"/>
    <w:rsid w:val="00960DCF"/>
    <w:rsid w:val="009613A5"/>
    <w:rsid w:val="00961573"/>
    <w:rsid w:val="009615CF"/>
    <w:rsid w:val="00961895"/>
    <w:rsid w:val="009618F2"/>
    <w:rsid w:val="0096198C"/>
    <w:rsid w:val="00961B53"/>
    <w:rsid w:val="00961D43"/>
    <w:rsid w:val="00961D63"/>
    <w:rsid w:val="00961EB8"/>
    <w:rsid w:val="0096257E"/>
    <w:rsid w:val="00962A84"/>
    <w:rsid w:val="00962DDE"/>
    <w:rsid w:val="00963264"/>
    <w:rsid w:val="009633E3"/>
    <w:rsid w:val="0096389D"/>
    <w:rsid w:val="00963C1F"/>
    <w:rsid w:val="00963D9C"/>
    <w:rsid w:val="009648AC"/>
    <w:rsid w:val="00964FC4"/>
    <w:rsid w:val="009650D1"/>
    <w:rsid w:val="009654AE"/>
    <w:rsid w:val="00965A84"/>
    <w:rsid w:val="00966165"/>
    <w:rsid w:val="0096630D"/>
    <w:rsid w:val="009663D8"/>
    <w:rsid w:val="0096651B"/>
    <w:rsid w:val="00966FB6"/>
    <w:rsid w:val="00967277"/>
    <w:rsid w:val="009672CE"/>
    <w:rsid w:val="0096732A"/>
    <w:rsid w:val="0096746E"/>
    <w:rsid w:val="0096767B"/>
    <w:rsid w:val="009676C0"/>
    <w:rsid w:val="00970E16"/>
    <w:rsid w:val="00970E4D"/>
    <w:rsid w:val="00970F13"/>
    <w:rsid w:val="009715C8"/>
    <w:rsid w:val="00971E0D"/>
    <w:rsid w:val="0097208F"/>
    <w:rsid w:val="0097229D"/>
    <w:rsid w:val="009726C8"/>
    <w:rsid w:val="009729B8"/>
    <w:rsid w:val="00972A10"/>
    <w:rsid w:val="00972BDC"/>
    <w:rsid w:val="00972CEC"/>
    <w:rsid w:val="00972CFA"/>
    <w:rsid w:val="0097315B"/>
    <w:rsid w:val="009732CE"/>
    <w:rsid w:val="009737F3"/>
    <w:rsid w:val="00974260"/>
    <w:rsid w:val="00974443"/>
    <w:rsid w:val="0097448F"/>
    <w:rsid w:val="009748B9"/>
    <w:rsid w:val="00974DB3"/>
    <w:rsid w:val="009751FA"/>
    <w:rsid w:val="00975259"/>
    <w:rsid w:val="00975267"/>
    <w:rsid w:val="0097527E"/>
    <w:rsid w:val="009752BD"/>
    <w:rsid w:val="00975BDB"/>
    <w:rsid w:val="00976A5D"/>
    <w:rsid w:val="00976C69"/>
    <w:rsid w:val="009770E4"/>
    <w:rsid w:val="00977521"/>
    <w:rsid w:val="009778CE"/>
    <w:rsid w:val="00977D30"/>
    <w:rsid w:val="00977F44"/>
    <w:rsid w:val="0098001F"/>
    <w:rsid w:val="0098037B"/>
    <w:rsid w:val="009803A9"/>
    <w:rsid w:val="009803CB"/>
    <w:rsid w:val="009803D4"/>
    <w:rsid w:val="009804FD"/>
    <w:rsid w:val="009806CC"/>
    <w:rsid w:val="009807A2"/>
    <w:rsid w:val="009809B7"/>
    <w:rsid w:val="00980B58"/>
    <w:rsid w:val="00980F10"/>
    <w:rsid w:val="00980F7A"/>
    <w:rsid w:val="00981604"/>
    <w:rsid w:val="00981712"/>
    <w:rsid w:val="0098199C"/>
    <w:rsid w:val="00981C41"/>
    <w:rsid w:val="009822E9"/>
    <w:rsid w:val="00982576"/>
    <w:rsid w:val="00982ABD"/>
    <w:rsid w:val="009831B0"/>
    <w:rsid w:val="00983D52"/>
    <w:rsid w:val="00984443"/>
    <w:rsid w:val="009845C5"/>
    <w:rsid w:val="00984F8D"/>
    <w:rsid w:val="0098512D"/>
    <w:rsid w:val="009855B7"/>
    <w:rsid w:val="0098578B"/>
    <w:rsid w:val="00985F70"/>
    <w:rsid w:val="00986378"/>
    <w:rsid w:val="00986BBB"/>
    <w:rsid w:val="009873F3"/>
    <w:rsid w:val="009874BE"/>
    <w:rsid w:val="009874D3"/>
    <w:rsid w:val="00987695"/>
    <w:rsid w:val="00987DE0"/>
    <w:rsid w:val="00987F55"/>
    <w:rsid w:val="009902ED"/>
    <w:rsid w:val="00991696"/>
    <w:rsid w:val="00991DCC"/>
    <w:rsid w:val="00992572"/>
    <w:rsid w:val="00992870"/>
    <w:rsid w:val="00992E3F"/>
    <w:rsid w:val="00992FAD"/>
    <w:rsid w:val="00992FC1"/>
    <w:rsid w:val="00993155"/>
    <w:rsid w:val="009931A5"/>
    <w:rsid w:val="00993299"/>
    <w:rsid w:val="00993331"/>
    <w:rsid w:val="00993842"/>
    <w:rsid w:val="00994B2F"/>
    <w:rsid w:val="00994BF7"/>
    <w:rsid w:val="00994CB8"/>
    <w:rsid w:val="00994D2B"/>
    <w:rsid w:val="00994E6F"/>
    <w:rsid w:val="009952AB"/>
    <w:rsid w:val="00995B9C"/>
    <w:rsid w:val="00995E8E"/>
    <w:rsid w:val="00995E98"/>
    <w:rsid w:val="0099682C"/>
    <w:rsid w:val="00996F15"/>
    <w:rsid w:val="009978F9"/>
    <w:rsid w:val="00997AB8"/>
    <w:rsid w:val="00997BA8"/>
    <w:rsid w:val="009A0054"/>
    <w:rsid w:val="009A011A"/>
    <w:rsid w:val="009A0609"/>
    <w:rsid w:val="009A06F4"/>
    <w:rsid w:val="009A09AA"/>
    <w:rsid w:val="009A0A4B"/>
    <w:rsid w:val="009A0F5D"/>
    <w:rsid w:val="009A10AA"/>
    <w:rsid w:val="009A11C5"/>
    <w:rsid w:val="009A1387"/>
    <w:rsid w:val="009A1430"/>
    <w:rsid w:val="009A1780"/>
    <w:rsid w:val="009A1A25"/>
    <w:rsid w:val="009A229C"/>
    <w:rsid w:val="009A2423"/>
    <w:rsid w:val="009A24EC"/>
    <w:rsid w:val="009A2524"/>
    <w:rsid w:val="009A256E"/>
    <w:rsid w:val="009A2725"/>
    <w:rsid w:val="009A296C"/>
    <w:rsid w:val="009A2DF7"/>
    <w:rsid w:val="009A3025"/>
    <w:rsid w:val="009A3098"/>
    <w:rsid w:val="009A30A8"/>
    <w:rsid w:val="009A373D"/>
    <w:rsid w:val="009A3778"/>
    <w:rsid w:val="009A3CB2"/>
    <w:rsid w:val="009A3E2E"/>
    <w:rsid w:val="009A40EB"/>
    <w:rsid w:val="009A4588"/>
    <w:rsid w:val="009A46CA"/>
    <w:rsid w:val="009A46F7"/>
    <w:rsid w:val="009A4BC3"/>
    <w:rsid w:val="009A537F"/>
    <w:rsid w:val="009A5419"/>
    <w:rsid w:val="009A588D"/>
    <w:rsid w:val="009A5A54"/>
    <w:rsid w:val="009A5ABD"/>
    <w:rsid w:val="009A5BA2"/>
    <w:rsid w:val="009A6414"/>
    <w:rsid w:val="009A66D9"/>
    <w:rsid w:val="009A6C64"/>
    <w:rsid w:val="009A6E3C"/>
    <w:rsid w:val="009A6F18"/>
    <w:rsid w:val="009A7245"/>
    <w:rsid w:val="009A73A4"/>
    <w:rsid w:val="009A73F0"/>
    <w:rsid w:val="009A7D74"/>
    <w:rsid w:val="009A7F34"/>
    <w:rsid w:val="009B0388"/>
    <w:rsid w:val="009B03AB"/>
    <w:rsid w:val="009B03AD"/>
    <w:rsid w:val="009B0F82"/>
    <w:rsid w:val="009B12AC"/>
    <w:rsid w:val="009B12BE"/>
    <w:rsid w:val="009B1E6E"/>
    <w:rsid w:val="009B1E72"/>
    <w:rsid w:val="009B2245"/>
    <w:rsid w:val="009B22DF"/>
    <w:rsid w:val="009B22FC"/>
    <w:rsid w:val="009B258E"/>
    <w:rsid w:val="009B2613"/>
    <w:rsid w:val="009B265F"/>
    <w:rsid w:val="009B28D8"/>
    <w:rsid w:val="009B2C5C"/>
    <w:rsid w:val="009B3073"/>
    <w:rsid w:val="009B31F7"/>
    <w:rsid w:val="009B338C"/>
    <w:rsid w:val="009B3A51"/>
    <w:rsid w:val="009B3B5D"/>
    <w:rsid w:val="009B3C1F"/>
    <w:rsid w:val="009B462E"/>
    <w:rsid w:val="009B4888"/>
    <w:rsid w:val="009B4DF3"/>
    <w:rsid w:val="009B5450"/>
    <w:rsid w:val="009B577D"/>
    <w:rsid w:val="009B5832"/>
    <w:rsid w:val="009B5997"/>
    <w:rsid w:val="009B5BC4"/>
    <w:rsid w:val="009B5C4E"/>
    <w:rsid w:val="009B63C5"/>
    <w:rsid w:val="009B6401"/>
    <w:rsid w:val="009B664C"/>
    <w:rsid w:val="009B669C"/>
    <w:rsid w:val="009B684F"/>
    <w:rsid w:val="009B6B23"/>
    <w:rsid w:val="009B6BE8"/>
    <w:rsid w:val="009B7790"/>
    <w:rsid w:val="009B788B"/>
    <w:rsid w:val="009B7938"/>
    <w:rsid w:val="009B79E3"/>
    <w:rsid w:val="009B7ABD"/>
    <w:rsid w:val="009B7BE6"/>
    <w:rsid w:val="009B7D1B"/>
    <w:rsid w:val="009C04DF"/>
    <w:rsid w:val="009C065F"/>
    <w:rsid w:val="009C0B58"/>
    <w:rsid w:val="009C0C13"/>
    <w:rsid w:val="009C145D"/>
    <w:rsid w:val="009C1605"/>
    <w:rsid w:val="009C165C"/>
    <w:rsid w:val="009C16BE"/>
    <w:rsid w:val="009C1A13"/>
    <w:rsid w:val="009C1D27"/>
    <w:rsid w:val="009C1D5D"/>
    <w:rsid w:val="009C1F8A"/>
    <w:rsid w:val="009C20D2"/>
    <w:rsid w:val="009C2180"/>
    <w:rsid w:val="009C27D9"/>
    <w:rsid w:val="009C2B32"/>
    <w:rsid w:val="009C39ED"/>
    <w:rsid w:val="009C3BD9"/>
    <w:rsid w:val="009C409B"/>
    <w:rsid w:val="009C4325"/>
    <w:rsid w:val="009C4942"/>
    <w:rsid w:val="009C54FC"/>
    <w:rsid w:val="009C57A8"/>
    <w:rsid w:val="009C5B82"/>
    <w:rsid w:val="009C63EE"/>
    <w:rsid w:val="009C756E"/>
    <w:rsid w:val="009C78B7"/>
    <w:rsid w:val="009D0305"/>
    <w:rsid w:val="009D06CA"/>
    <w:rsid w:val="009D0AE9"/>
    <w:rsid w:val="009D194F"/>
    <w:rsid w:val="009D1F80"/>
    <w:rsid w:val="009D21BE"/>
    <w:rsid w:val="009D26EB"/>
    <w:rsid w:val="009D2F65"/>
    <w:rsid w:val="009D3001"/>
    <w:rsid w:val="009D316E"/>
    <w:rsid w:val="009D38D1"/>
    <w:rsid w:val="009D3C3D"/>
    <w:rsid w:val="009D3CD1"/>
    <w:rsid w:val="009D4556"/>
    <w:rsid w:val="009D4A83"/>
    <w:rsid w:val="009D4E8F"/>
    <w:rsid w:val="009D4F1C"/>
    <w:rsid w:val="009D5288"/>
    <w:rsid w:val="009D5388"/>
    <w:rsid w:val="009D57A4"/>
    <w:rsid w:val="009D59ED"/>
    <w:rsid w:val="009D5B86"/>
    <w:rsid w:val="009D5D91"/>
    <w:rsid w:val="009D648B"/>
    <w:rsid w:val="009D6513"/>
    <w:rsid w:val="009D65E9"/>
    <w:rsid w:val="009D68D6"/>
    <w:rsid w:val="009D6CBC"/>
    <w:rsid w:val="009D7F20"/>
    <w:rsid w:val="009E025C"/>
    <w:rsid w:val="009E0879"/>
    <w:rsid w:val="009E0E0E"/>
    <w:rsid w:val="009E110F"/>
    <w:rsid w:val="009E1227"/>
    <w:rsid w:val="009E139D"/>
    <w:rsid w:val="009E14C4"/>
    <w:rsid w:val="009E162B"/>
    <w:rsid w:val="009E17A6"/>
    <w:rsid w:val="009E1AAD"/>
    <w:rsid w:val="009E1C72"/>
    <w:rsid w:val="009E266A"/>
    <w:rsid w:val="009E2AD3"/>
    <w:rsid w:val="009E330D"/>
    <w:rsid w:val="009E349F"/>
    <w:rsid w:val="009E3C74"/>
    <w:rsid w:val="009E40C6"/>
    <w:rsid w:val="009E45EA"/>
    <w:rsid w:val="009E47E5"/>
    <w:rsid w:val="009E4A92"/>
    <w:rsid w:val="009E4B03"/>
    <w:rsid w:val="009E4CD4"/>
    <w:rsid w:val="009E5047"/>
    <w:rsid w:val="009E50D0"/>
    <w:rsid w:val="009E5CA8"/>
    <w:rsid w:val="009E664B"/>
    <w:rsid w:val="009E6835"/>
    <w:rsid w:val="009E6986"/>
    <w:rsid w:val="009E7926"/>
    <w:rsid w:val="009E7AAD"/>
    <w:rsid w:val="009F10FA"/>
    <w:rsid w:val="009F146F"/>
    <w:rsid w:val="009F16BD"/>
    <w:rsid w:val="009F176C"/>
    <w:rsid w:val="009F1A86"/>
    <w:rsid w:val="009F1CBB"/>
    <w:rsid w:val="009F1D8C"/>
    <w:rsid w:val="009F1DC3"/>
    <w:rsid w:val="009F1E72"/>
    <w:rsid w:val="009F253C"/>
    <w:rsid w:val="009F2876"/>
    <w:rsid w:val="009F2E8A"/>
    <w:rsid w:val="009F306B"/>
    <w:rsid w:val="009F3152"/>
    <w:rsid w:val="009F3160"/>
    <w:rsid w:val="009F3630"/>
    <w:rsid w:val="009F38B3"/>
    <w:rsid w:val="009F3C75"/>
    <w:rsid w:val="009F3FDC"/>
    <w:rsid w:val="009F412D"/>
    <w:rsid w:val="009F44FE"/>
    <w:rsid w:val="009F44FF"/>
    <w:rsid w:val="009F459E"/>
    <w:rsid w:val="009F49DA"/>
    <w:rsid w:val="009F4C35"/>
    <w:rsid w:val="009F4C99"/>
    <w:rsid w:val="009F4FBE"/>
    <w:rsid w:val="009F5385"/>
    <w:rsid w:val="009F5967"/>
    <w:rsid w:val="009F5B0F"/>
    <w:rsid w:val="009F5C76"/>
    <w:rsid w:val="009F5D34"/>
    <w:rsid w:val="009F5EE7"/>
    <w:rsid w:val="009F60B5"/>
    <w:rsid w:val="009F66FD"/>
    <w:rsid w:val="009F676B"/>
    <w:rsid w:val="009F6F69"/>
    <w:rsid w:val="009F70F6"/>
    <w:rsid w:val="009F7A48"/>
    <w:rsid w:val="009F7B41"/>
    <w:rsid w:val="009F7C5A"/>
    <w:rsid w:val="00A0037E"/>
    <w:rsid w:val="00A006B0"/>
    <w:rsid w:val="00A00C33"/>
    <w:rsid w:val="00A00C6E"/>
    <w:rsid w:val="00A01303"/>
    <w:rsid w:val="00A0132B"/>
    <w:rsid w:val="00A0135E"/>
    <w:rsid w:val="00A01607"/>
    <w:rsid w:val="00A019A1"/>
    <w:rsid w:val="00A019AE"/>
    <w:rsid w:val="00A02258"/>
    <w:rsid w:val="00A029BC"/>
    <w:rsid w:val="00A02AB7"/>
    <w:rsid w:val="00A02B36"/>
    <w:rsid w:val="00A02C4F"/>
    <w:rsid w:val="00A02D09"/>
    <w:rsid w:val="00A02D72"/>
    <w:rsid w:val="00A02E53"/>
    <w:rsid w:val="00A031B7"/>
    <w:rsid w:val="00A0388D"/>
    <w:rsid w:val="00A03C1A"/>
    <w:rsid w:val="00A03CCD"/>
    <w:rsid w:val="00A03D01"/>
    <w:rsid w:val="00A03DEC"/>
    <w:rsid w:val="00A03F9E"/>
    <w:rsid w:val="00A04400"/>
    <w:rsid w:val="00A04A09"/>
    <w:rsid w:val="00A04A3E"/>
    <w:rsid w:val="00A04B1E"/>
    <w:rsid w:val="00A05821"/>
    <w:rsid w:val="00A0583D"/>
    <w:rsid w:val="00A05843"/>
    <w:rsid w:val="00A05951"/>
    <w:rsid w:val="00A05D1D"/>
    <w:rsid w:val="00A05EA2"/>
    <w:rsid w:val="00A05F0D"/>
    <w:rsid w:val="00A06018"/>
    <w:rsid w:val="00A0672A"/>
    <w:rsid w:val="00A06973"/>
    <w:rsid w:val="00A06D0D"/>
    <w:rsid w:val="00A06E3D"/>
    <w:rsid w:val="00A076CC"/>
    <w:rsid w:val="00A0778E"/>
    <w:rsid w:val="00A07F4F"/>
    <w:rsid w:val="00A10195"/>
    <w:rsid w:val="00A105EF"/>
    <w:rsid w:val="00A10680"/>
    <w:rsid w:val="00A10769"/>
    <w:rsid w:val="00A108C0"/>
    <w:rsid w:val="00A10DDB"/>
    <w:rsid w:val="00A10FF4"/>
    <w:rsid w:val="00A1165C"/>
    <w:rsid w:val="00A119DD"/>
    <w:rsid w:val="00A11CF9"/>
    <w:rsid w:val="00A125B0"/>
    <w:rsid w:val="00A125D6"/>
    <w:rsid w:val="00A1280E"/>
    <w:rsid w:val="00A12EAD"/>
    <w:rsid w:val="00A1331B"/>
    <w:rsid w:val="00A13445"/>
    <w:rsid w:val="00A136BC"/>
    <w:rsid w:val="00A13853"/>
    <w:rsid w:val="00A13BE7"/>
    <w:rsid w:val="00A13DE8"/>
    <w:rsid w:val="00A13DF5"/>
    <w:rsid w:val="00A13E2B"/>
    <w:rsid w:val="00A13FA6"/>
    <w:rsid w:val="00A14370"/>
    <w:rsid w:val="00A144B2"/>
    <w:rsid w:val="00A148E6"/>
    <w:rsid w:val="00A14C9B"/>
    <w:rsid w:val="00A14D91"/>
    <w:rsid w:val="00A14E53"/>
    <w:rsid w:val="00A15098"/>
    <w:rsid w:val="00A152F8"/>
    <w:rsid w:val="00A15580"/>
    <w:rsid w:val="00A1559B"/>
    <w:rsid w:val="00A15A97"/>
    <w:rsid w:val="00A15B1A"/>
    <w:rsid w:val="00A160FD"/>
    <w:rsid w:val="00A16449"/>
    <w:rsid w:val="00A16486"/>
    <w:rsid w:val="00A1686E"/>
    <w:rsid w:val="00A16891"/>
    <w:rsid w:val="00A169B0"/>
    <w:rsid w:val="00A16EB4"/>
    <w:rsid w:val="00A1700D"/>
    <w:rsid w:val="00A171B3"/>
    <w:rsid w:val="00A17581"/>
    <w:rsid w:val="00A17B72"/>
    <w:rsid w:val="00A17E57"/>
    <w:rsid w:val="00A20155"/>
    <w:rsid w:val="00A20185"/>
    <w:rsid w:val="00A2063B"/>
    <w:rsid w:val="00A206F5"/>
    <w:rsid w:val="00A20F23"/>
    <w:rsid w:val="00A210B9"/>
    <w:rsid w:val="00A21B5C"/>
    <w:rsid w:val="00A21D0B"/>
    <w:rsid w:val="00A21DEC"/>
    <w:rsid w:val="00A22294"/>
    <w:rsid w:val="00A222DB"/>
    <w:rsid w:val="00A22A74"/>
    <w:rsid w:val="00A22BCA"/>
    <w:rsid w:val="00A22D70"/>
    <w:rsid w:val="00A22EFC"/>
    <w:rsid w:val="00A239A4"/>
    <w:rsid w:val="00A242B0"/>
    <w:rsid w:val="00A24617"/>
    <w:rsid w:val="00A251EB"/>
    <w:rsid w:val="00A25538"/>
    <w:rsid w:val="00A256ED"/>
    <w:rsid w:val="00A2571D"/>
    <w:rsid w:val="00A25BE3"/>
    <w:rsid w:val="00A25CDF"/>
    <w:rsid w:val="00A25F63"/>
    <w:rsid w:val="00A25F73"/>
    <w:rsid w:val="00A25F7A"/>
    <w:rsid w:val="00A26389"/>
    <w:rsid w:val="00A265CD"/>
    <w:rsid w:val="00A26990"/>
    <w:rsid w:val="00A27017"/>
    <w:rsid w:val="00A274F8"/>
    <w:rsid w:val="00A30133"/>
    <w:rsid w:val="00A303B8"/>
    <w:rsid w:val="00A30947"/>
    <w:rsid w:val="00A30B6E"/>
    <w:rsid w:val="00A30BEA"/>
    <w:rsid w:val="00A31241"/>
    <w:rsid w:val="00A3129B"/>
    <w:rsid w:val="00A318ED"/>
    <w:rsid w:val="00A32037"/>
    <w:rsid w:val="00A325D0"/>
    <w:rsid w:val="00A32603"/>
    <w:rsid w:val="00A32B28"/>
    <w:rsid w:val="00A32BE9"/>
    <w:rsid w:val="00A32CF8"/>
    <w:rsid w:val="00A32D62"/>
    <w:rsid w:val="00A3302F"/>
    <w:rsid w:val="00A334A6"/>
    <w:rsid w:val="00A33C12"/>
    <w:rsid w:val="00A33CA4"/>
    <w:rsid w:val="00A33D53"/>
    <w:rsid w:val="00A3400E"/>
    <w:rsid w:val="00A34073"/>
    <w:rsid w:val="00A34735"/>
    <w:rsid w:val="00A34D06"/>
    <w:rsid w:val="00A34D83"/>
    <w:rsid w:val="00A34DCE"/>
    <w:rsid w:val="00A3572C"/>
    <w:rsid w:val="00A35AB2"/>
    <w:rsid w:val="00A35E59"/>
    <w:rsid w:val="00A3611A"/>
    <w:rsid w:val="00A361C3"/>
    <w:rsid w:val="00A36494"/>
    <w:rsid w:val="00A3667F"/>
    <w:rsid w:val="00A373B7"/>
    <w:rsid w:val="00A37B2E"/>
    <w:rsid w:val="00A40555"/>
    <w:rsid w:val="00A40804"/>
    <w:rsid w:val="00A40BFF"/>
    <w:rsid w:val="00A40DC4"/>
    <w:rsid w:val="00A40F1B"/>
    <w:rsid w:val="00A411FA"/>
    <w:rsid w:val="00A41294"/>
    <w:rsid w:val="00A41701"/>
    <w:rsid w:val="00A41707"/>
    <w:rsid w:val="00A42850"/>
    <w:rsid w:val="00A428A1"/>
    <w:rsid w:val="00A42984"/>
    <w:rsid w:val="00A42D7D"/>
    <w:rsid w:val="00A433B8"/>
    <w:rsid w:val="00A434C9"/>
    <w:rsid w:val="00A43699"/>
    <w:rsid w:val="00A43755"/>
    <w:rsid w:val="00A43A52"/>
    <w:rsid w:val="00A43FBC"/>
    <w:rsid w:val="00A44024"/>
    <w:rsid w:val="00A448C2"/>
    <w:rsid w:val="00A44EC1"/>
    <w:rsid w:val="00A4548F"/>
    <w:rsid w:val="00A454B3"/>
    <w:rsid w:val="00A45A3A"/>
    <w:rsid w:val="00A45ADA"/>
    <w:rsid w:val="00A45E52"/>
    <w:rsid w:val="00A461AA"/>
    <w:rsid w:val="00A463F0"/>
    <w:rsid w:val="00A4646B"/>
    <w:rsid w:val="00A46652"/>
    <w:rsid w:val="00A469C1"/>
    <w:rsid w:val="00A46A1E"/>
    <w:rsid w:val="00A46CCC"/>
    <w:rsid w:val="00A46D15"/>
    <w:rsid w:val="00A4713D"/>
    <w:rsid w:val="00A475BC"/>
    <w:rsid w:val="00A476A9"/>
    <w:rsid w:val="00A47BE8"/>
    <w:rsid w:val="00A47E4B"/>
    <w:rsid w:val="00A47F26"/>
    <w:rsid w:val="00A47FE7"/>
    <w:rsid w:val="00A50399"/>
    <w:rsid w:val="00A5041F"/>
    <w:rsid w:val="00A505B1"/>
    <w:rsid w:val="00A50959"/>
    <w:rsid w:val="00A50B09"/>
    <w:rsid w:val="00A50D61"/>
    <w:rsid w:val="00A512BD"/>
    <w:rsid w:val="00A515BE"/>
    <w:rsid w:val="00A516BC"/>
    <w:rsid w:val="00A51FF5"/>
    <w:rsid w:val="00A52199"/>
    <w:rsid w:val="00A5251F"/>
    <w:rsid w:val="00A5273A"/>
    <w:rsid w:val="00A52BAD"/>
    <w:rsid w:val="00A52D13"/>
    <w:rsid w:val="00A5323B"/>
    <w:rsid w:val="00A5331C"/>
    <w:rsid w:val="00A533BB"/>
    <w:rsid w:val="00A53B98"/>
    <w:rsid w:val="00A53EDA"/>
    <w:rsid w:val="00A53EDB"/>
    <w:rsid w:val="00A548FE"/>
    <w:rsid w:val="00A54A02"/>
    <w:rsid w:val="00A54ABA"/>
    <w:rsid w:val="00A54BFF"/>
    <w:rsid w:val="00A54FB4"/>
    <w:rsid w:val="00A55A56"/>
    <w:rsid w:val="00A55BA9"/>
    <w:rsid w:val="00A55CC7"/>
    <w:rsid w:val="00A55D5B"/>
    <w:rsid w:val="00A55DFF"/>
    <w:rsid w:val="00A56100"/>
    <w:rsid w:val="00A56CB0"/>
    <w:rsid w:val="00A56DB9"/>
    <w:rsid w:val="00A56DE0"/>
    <w:rsid w:val="00A57072"/>
    <w:rsid w:val="00A572A1"/>
    <w:rsid w:val="00A5738B"/>
    <w:rsid w:val="00A57625"/>
    <w:rsid w:val="00A57FBB"/>
    <w:rsid w:val="00A57FD5"/>
    <w:rsid w:val="00A57FE2"/>
    <w:rsid w:val="00A60089"/>
    <w:rsid w:val="00A60C1E"/>
    <w:rsid w:val="00A60C9B"/>
    <w:rsid w:val="00A610E9"/>
    <w:rsid w:val="00A6115A"/>
    <w:rsid w:val="00A6160A"/>
    <w:rsid w:val="00A6162A"/>
    <w:rsid w:val="00A61A8C"/>
    <w:rsid w:val="00A620AD"/>
    <w:rsid w:val="00A62604"/>
    <w:rsid w:val="00A62684"/>
    <w:rsid w:val="00A62796"/>
    <w:rsid w:val="00A628AB"/>
    <w:rsid w:val="00A62C40"/>
    <w:rsid w:val="00A631BC"/>
    <w:rsid w:val="00A63330"/>
    <w:rsid w:val="00A633D5"/>
    <w:rsid w:val="00A633FC"/>
    <w:rsid w:val="00A63C18"/>
    <w:rsid w:val="00A63D0F"/>
    <w:rsid w:val="00A63E59"/>
    <w:rsid w:val="00A63EE1"/>
    <w:rsid w:val="00A63FB7"/>
    <w:rsid w:val="00A643D5"/>
    <w:rsid w:val="00A64593"/>
    <w:rsid w:val="00A646D6"/>
    <w:rsid w:val="00A649B7"/>
    <w:rsid w:val="00A64B34"/>
    <w:rsid w:val="00A64FE1"/>
    <w:rsid w:val="00A65102"/>
    <w:rsid w:val="00A6539F"/>
    <w:rsid w:val="00A655EB"/>
    <w:rsid w:val="00A6575D"/>
    <w:rsid w:val="00A65855"/>
    <w:rsid w:val="00A65E0F"/>
    <w:rsid w:val="00A66207"/>
    <w:rsid w:val="00A662AA"/>
    <w:rsid w:val="00A662BE"/>
    <w:rsid w:val="00A662DC"/>
    <w:rsid w:val="00A6655E"/>
    <w:rsid w:val="00A66806"/>
    <w:rsid w:val="00A66894"/>
    <w:rsid w:val="00A668DE"/>
    <w:rsid w:val="00A66D44"/>
    <w:rsid w:val="00A6741B"/>
    <w:rsid w:val="00A674D9"/>
    <w:rsid w:val="00A67D45"/>
    <w:rsid w:val="00A70307"/>
    <w:rsid w:val="00A70607"/>
    <w:rsid w:val="00A70875"/>
    <w:rsid w:val="00A70A61"/>
    <w:rsid w:val="00A70B2A"/>
    <w:rsid w:val="00A70D1C"/>
    <w:rsid w:val="00A71292"/>
    <w:rsid w:val="00A714D7"/>
    <w:rsid w:val="00A71AFA"/>
    <w:rsid w:val="00A71C45"/>
    <w:rsid w:val="00A72210"/>
    <w:rsid w:val="00A725A4"/>
    <w:rsid w:val="00A7322C"/>
    <w:rsid w:val="00A73407"/>
    <w:rsid w:val="00A738CF"/>
    <w:rsid w:val="00A73B1C"/>
    <w:rsid w:val="00A73DD3"/>
    <w:rsid w:val="00A73F6F"/>
    <w:rsid w:val="00A74226"/>
    <w:rsid w:val="00A74335"/>
    <w:rsid w:val="00A74772"/>
    <w:rsid w:val="00A74A3B"/>
    <w:rsid w:val="00A74FAA"/>
    <w:rsid w:val="00A75234"/>
    <w:rsid w:val="00A753F3"/>
    <w:rsid w:val="00A7542E"/>
    <w:rsid w:val="00A75478"/>
    <w:rsid w:val="00A754FB"/>
    <w:rsid w:val="00A75692"/>
    <w:rsid w:val="00A757B0"/>
    <w:rsid w:val="00A75888"/>
    <w:rsid w:val="00A75ECA"/>
    <w:rsid w:val="00A76603"/>
    <w:rsid w:val="00A766C8"/>
    <w:rsid w:val="00A766DC"/>
    <w:rsid w:val="00A7691D"/>
    <w:rsid w:val="00A76F21"/>
    <w:rsid w:val="00A771C4"/>
    <w:rsid w:val="00A7730C"/>
    <w:rsid w:val="00A773A9"/>
    <w:rsid w:val="00A77480"/>
    <w:rsid w:val="00A776A4"/>
    <w:rsid w:val="00A8009D"/>
    <w:rsid w:val="00A80137"/>
    <w:rsid w:val="00A80289"/>
    <w:rsid w:val="00A8049D"/>
    <w:rsid w:val="00A805CA"/>
    <w:rsid w:val="00A807F7"/>
    <w:rsid w:val="00A80DE7"/>
    <w:rsid w:val="00A80E28"/>
    <w:rsid w:val="00A816AB"/>
    <w:rsid w:val="00A81A76"/>
    <w:rsid w:val="00A81C19"/>
    <w:rsid w:val="00A8203C"/>
    <w:rsid w:val="00A822C2"/>
    <w:rsid w:val="00A82990"/>
    <w:rsid w:val="00A82B87"/>
    <w:rsid w:val="00A82D9E"/>
    <w:rsid w:val="00A82ED0"/>
    <w:rsid w:val="00A833A7"/>
    <w:rsid w:val="00A833B3"/>
    <w:rsid w:val="00A833BE"/>
    <w:rsid w:val="00A83410"/>
    <w:rsid w:val="00A83649"/>
    <w:rsid w:val="00A8370A"/>
    <w:rsid w:val="00A83963"/>
    <w:rsid w:val="00A83A37"/>
    <w:rsid w:val="00A83D59"/>
    <w:rsid w:val="00A83E85"/>
    <w:rsid w:val="00A8413B"/>
    <w:rsid w:val="00A84FB6"/>
    <w:rsid w:val="00A8584F"/>
    <w:rsid w:val="00A86499"/>
    <w:rsid w:val="00A8723A"/>
    <w:rsid w:val="00A87299"/>
    <w:rsid w:val="00A8749B"/>
    <w:rsid w:val="00A87649"/>
    <w:rsid w:val="00A87773"/>
    <w:rsid w:val="00A87823"/>
    <w:rsid w:val="00A8790A"/>
    <w:rsid w:val="00A901E0"/>
    <w:rsid w:val="00A9037F"/>
    <w:rsid w:val="00A90401"/>
    <w:rsid w:val="00A90680"/>
    <w:rsid w:val="00A90A17"/>
    <w:rsid w:val="00A90FBB"/>
    <w:rsid w:val="00A91297"/>
    <w:rsid w:val="00A918F6"/>
    <w:rsid w:val="00A921E3"/>
    <w:rsid w:val="00A928C3"/>
    <w:rsid w:val="00A92B4C"/>
    <w:rsid w:val="00A930E2"/>
    <w:rsid w:val="00A931F3"/>
    <w:rsid w:val="00A93319"/>
    <w:rsid w:val="00A935F2"/>
    <w:rsid w:val="00A93D2B"/>
    <w:rsid w:val="00A93E83"/>
    <w:rsid w:val="00A9403C"/>
    <w:rsid w:val="00A9455B"/>
    <w:rsid w:val="00A9455C"/>
    <w:rsid w:val="00A949D6"/>
    <w:rsid w:val="00A94B93"/>
    <w:rsid w:val="00A94C7B"/>
    <w:rsid w:val="00A94C8B"/>
    <w:rsid w:val="00A94D20"/>
    <w:rsid w:val="00A94EC7"/>
    <w:rsid w:val="00A94FB6"/>
    <w:rsid w:val="00A95012"/>
    <w:rsid w:val="00A95474"/>
    <w:rsid w:val="00A95563"/>
    <w:rsid w:val="00A95F73"/>
    <w:rsid w:val="00A95F79"/>
    <w:rsid w:val="00A96273"/>
    <w:rsid w:val="00A96476"/>
    <w:rsid w:val="00A96A64"/>
    <w:rsid w:val="00A96B74"/>
    <w:rsid w:val="00A96C81"/>
    <w:rsid w:val="00A96CBF"/>
    <w:rsid w:val="00A96F0D"/>
    <w:rsid w:val="00A9752B"/>
    <w:rsid w:val="00A9782D"/>
    <w:rsid w:val="00A97C90"/>
    <w:rsid w:val="00A97ECD"/>
    <w:rsid w:val="00A97F56"/>
    <w:rsid w:val="00A97FE2"/>
    <w:rsid w:val="00AA06BD"/>
    <w:rsid w:val="00AA0BAB"/>
    <w:rsid w:val="00AA1002"/>
    <w:rsid w:val="00AA146C"/>
    <w:rsid w:val="00AA17D5"/>
    <w:rsid w:val="00AA1B59"/>
    <w:rsid w:val="00AA1E8E"/>
    <w:rsid w:val="00AA2233"/>
    <w:rsid w:val="00AA23F3"/>
    <w:rsid w:val="00AA2461"/>
    <w:rsid w:val="00AA2865"/>
    <w:rsid w:val="00AA29A1"/>
    <w:rsid w:val="00AA2A8D"/>
    <w:rsid w:val="00AA2A9C"/>
    <w:rsid w:val="00AA2CB8"/>
    <w:rsid w:val="00AA2EF3"/>
    <w:rsid w:val="00AA2F11"/>
    <w:rsid w:val="00AA3323"/>
    <w:rsid w:val="00AA333C"/>
    <w:rsid w:val="00AA3393"/>
    <w:rsid w:val="00AA340B"/>
    <w:rsid w:val="00AA34C5"/>
    <w:rsid w:val="00AA383C"/>
    <w:rsid w:val="00AA3A9B"/>
    <w:rsid w:val="00AA3BF1"/>
    <w:rsid w:val="00AA4330"/>
    <w:rsid w:val="00AA46D3"/>
    <w:rsid w:val="00AA4C9C"/>
    <w:rsid w:val="00AA528D"/>
    <w:rsid w:val="00AA5410"/>
    <w:rsid w:val="00AA54F6"/>
    <w:rsid w:val="00AA616F"/>
    <w:rsid w:val="00AA6C16"/>
    <w:rsid w:val="00AA7397"/>
    <w:rsid w:val="00AA7C12"/>
    <w:rsid w:val="00AA7E66"/>
    <w:rsid w:val="00AA7EEF"/>
    <w:rsid w:val="00AA7FB1"/>
    <w:rsid w:val="00AB009B"/>
    <w:rsid w:val="00AB0362"/>
    <w:rsid w:val="00AB098C"/>
    <w:rsid w:val="00AB0F39"/>
    <w:rsid w:val="00AB0F5B"/>
    <w:rsid w:val="00AB10DE"/>
    <w:rsid w:val="00AB1B2E"/>
    <w:rsid w:val="00AB1D47"/>
    <w:rsid w:val="00AB1E92"/>
    <w:rsid w:val="00AB1E9E"/>
    <w:rsid w:val="00AB1F08"/>
    <w:rsid w:val="00AB208B"/>
    <w:rsid w:val="00AB21C6"/>
    <w:rsid w:val="00AB2841"/>
    <w:rsid w:val="00AB29E1"/>
    <w:rsid w:val="00AB2A89"/>
    <w:rsid w:val="00AB2B96"/>
    <w:rsid w:val="00AB3363"/>
    <w:rsid w:val="00AB33FE"/>
    <w:rsid w:val="00AB3573"/>
    <w:rsid w:val="00AB3C99"/>
    <w:rsid w:val="00AB4149"/>
    <w:rsid w:val="00AB4367"/>
    <w:rsid w:val="00AB436C"/>
    <w:rsid w:val="00AB448C"/>
    <w:rsid w:val="00AB469E"/>
    <w:rsid w:val="00AB4A95"/>
    <w:rsid w:val="00AB5203"/>
    <w:rsid w:val="00AB5AA0"/>
    <w:rsid w:val="00AB6B83"/>
    <w:rsid w:val="00AB6C90"/>
    <w:rsid w:val="00AB7003"/>
    <w:rsid w:val="00AB723F"/>
    <w:rsid w:val="00AB726A"/>
    <w:rsid w:val="00AB729F"/>
    <w:rsid w:val="00AB75A6"/>
    <w:rsid w:val="00AB7849"/>
    <w:rsid w:val="00AC062B"/>
    <w:rsid w:val="00AC0DB5"/>
    <w:rsid w:val="00AC144B"/>
    <w:rsid w:val="00AC152C"/>
    <w:rsid w:val="00AC15E0"/>
    <w:rsid w:val="00AC161B"/>
    <w:rsid w:val="00AC1EA9"/>
    <w:rsid w:val="00AC24CB"/>
    <w:rsid w:val="00AC2F8B"/>
    <w:rsid w:val="00AC320C"/>
    <w:rsid w:val="00AC337F"/>
    <w:rsid w:val="00AC363F"/>
    <w:rsid w:val="00AC383E"/>
    <w:rsid w:val="00AC3980"/>
    <w:rsid w:val="00AC3BA3"/>
    <w:rsid w:val="00AC42C8"/>
    <w:rsid w:val="00AC44EE"/>
    <w:rsid w:val="00AC468F"/>
    <w:rsid w:val="00AC48AA"/>
    <w:rsid w:val="00AC4C22"/>
    <w:rsid w:val="00AC5035"/>
    <w:rsid w:val="00AC51C9"/>
    <w:rsid w:val="00AC54AC"/>
    <w:rsid w:val="00AC5A8D"/>
    <w:rsid w:val="00AC5CBB"/>
    <w:rsid w:val="00AC5D61"/>
    <w:rsid w:val="00AC6B9C"/>
    <w:rsid w:val="00AC6F61"/>
    <w:rsid w:val="00AC6F7D"/>
    <w:rsid w:val="00AC7118"/>
    <w:rsid w:val="00AC720A"/>
    <w:rsid w:val="00AC75BD"/>
    <w:rsid w:val="00AC794C"/>
    <w:rsid w:val="00AC7DB4"/>
    <w:rsid w:val="00AC7EB6"/>
    <w:rsid w:val="00AD0171"/>
    <w:rsid w:val="00AD08CF"/>
    <w:rsid w:val="00AD0BF8"/>
    <w:rsid w:val="00AD120A"/>
    <w:rsid w:val="00AD12E5"/>
    <w:rsid w:val="00AD13EB"/>
    <w:rsid w:val="00AD1742"/>
    <w:rsid w:val="00AD1957"/>
    <w:rsid w:val="00AD196E"/>
    <w:rsid w:val="00AD25EA"/>
    <w:rsid w:val="00AD2637"/>
    <w:rsid w:val="00AD2842"/>
    <w:rsid w:val="00AD2BCE"/>
    <w:rsid w:val="00AD2D3E"/>
    <w:rsid w:val="00AD3726"/>
    <w:rsid w:val="00AD3807"/>
    <w:rsid w:val="00AD3AF1"/>
    <w:rsid w:val="00AD4607"/>
    <w:rsid w:val="00AD48BD"/>
    <w:rsid w:val="00AD4902"/>
    <w:rsid w:val="00AD49B8"/>
    <w:rsid w:val="00AD4F20"/>
    <w:rsid w:val="00AD565F"/>
    <w:rsid w:val="00AD5F9D"/>
    <w:rsid w:val="00AD604D"/>
    <w:rsid w:val="00AD60EA"/>
    <w:rsid w:val="00AD6465"/>
    <w:rsid w:val="00AD67D4"/>
    <w:rsid w:val="00AD67F7"/>
    <w:rsid w:val="00AD68C4"/>
    <w:rsid w:val="00AD7004"/>
    <w:rsid w:val="00AD70E0"/>
    <w:rsid w:val="00AD74F7"/>
    <w:rsid w:val="00AD7BD3"/>
    <w:rsid w:val="00AD7F8B"/>
    <w:rsid w:val="00AE000A"/>
    <w:rsid w:val="00AE005C"/>
    <w:rsid w:val="00AE05B7"/>
    <w:rsid w:val="00AE0E29"/>
    <w:rsid w:val="00AE14BE"/>
    <w:rsid w:val="00AE16A8"/>
    <w:rsid w:val="00AE16ED"/>
    <w:rsid w:val="00AE2120"/>
    <w:rsid w:val="00AE217A"/>
    <w:rsid w:val="00AE2311"/>
    <w:rsid w:val="00AE31BA"/>
    <w:rsid w:val="00AE3C38"/>
    <w:rsid w:val="00AE4331"/>
    <w:rsid w:val="00AE4351"/>
    <w:rsid w:val="00AE473B"/>
    <w:rsid w:val="00AE54C3"/>
    <w:rsid w:val="00AE5BEC"/>
    <w:rsid w:val="00AE5FC2"/>
    <w:rsid w:val="00AE614D"/>
    <w:rsid w:val="00AE6C6B"/>
    <w:rsid w:val="00AE6CF7"/>
    <w:rsid w:val="00AE7146"/>
    <w:rsid w:val="00AE73DC"/>
    <w:rsid w:val="00AE7849"/>
    <w:rsid w:val="00AE7977"/>
    <w:rsid w:val="00AE79EB"/>
    <w:rsid w:val="00AE7DD2"/>
    <w:rsid w:val="00AF0182"/>
    <w:rsid w:val="00AF04E9"/>
    <w:rsid w:val="00AF0609"/>
    <w:rsid w:val="00AF06E1"/>
    <w:rsid w:val="00AF0A78"/>
    <w:rsid w:val="00AF0E1F"/>
    <w:rsid w:val="00AF0E5C"/>
    <w:rsid w:val="00AF1260"/>
    <w:rsid w:val="00AF1D01"/>
    <w:rsid w:val="00AF1D8E"/>
    <w:rsid w:val="00AF1F10"/>
    <w:rsid w:val="00AF25B0"/>
    <w:rsid w:val="00AF2805"/>
    <w:rsid w:val="00AF30CF"/>
    <w:rsid w:val="00AF332E"/>
    <w:rsid w:val="00AF3831"/>
    <w:rsid w:val="00AF3C39"/>
    <w:rsid w:val="00AF3D39"/>
    <w:rsid w:val="00AF3E1A"/>
    <w:rsid w:val="00AF3FF0"/>
    <w:rsid w:val="00AF41B6"/>
    <w:rsid w:val="00AF4361"/>
    <w:rsid w:val="00AF441D"/>
    <w:rsid w:val="00AF497B"/>
    <w:rsid w:val="00AF4B61"/>
    <w:rsid w:val="00AF5314"/>
    <w:rsid w:val="00AF5339"/>
    <w:rsid w:val="00AF5645"/>
    <w:rsid w:val="00AF56EA"/>
    <w:rsid w:val="00AF57CF"/>
    <w:rsid w:val="00AF57DC"/>
    <w:rsid w:val="00AF5BA1"/>
    <w:rsid w:val="00AF5CC6"/>
    <w:rsid w:val="00AF5F16"/>
    <w:rsid w:val="00AF6484"/>
    <w:rsid w:val="00AF6803"/>
    <w:rsid w:val="00AF68FE"/>
    <w:rsid w:val="00AF6A4C"/>
    <w:rsid w:val="00AF722A"/>
    <w:rsid w:val="00AF748A"/>
    <w:rsid w:val="00AF7561"/>
    <w:rsid w:val="00AF7E41"/>
    <w:rsid w:val="00B001CD"/>
    <w:rsid w:val="00B00629"/>
    <w:rsid w:val="00B01123"/>
    <w:rsid w:val="00B01487"/>
    <w:rsid w:val="00B01A1D"/>
    <w:rsid w:val="00B01C1F"/>
    <w:rsid w:val="00B01C84"/>
    <w:rsid w:val="00B02122"/>
    <w:rsid w:val="00B02183"/>
    <w:rsid w:val="00B0339D"/>
    <w:rsid w:val="00B033B0"/>
    <w:rsid w:val="00B03A18"/>
    <w:rsid w:val="00B040F7"/>
    <w:rsid w:val="00B0463B"/>
    <w:rsid w:val="00B047C2"/>
    <w:rsid w:val="00B049DB"/>
    <w:rsid w:val="00B04C42"/>
    <w:rsid w:val="00B04CB1"/>
    <w:rsid w:val="00B050B5"/>
    <w:rsid w:val="00B050F6"/>
    <w:rsid w:val="00B053F5"/>
    <w:rsid w:val="00B055CE"/>
    <w:rsid w:val="00B055F8"/>
    <w:rsid w:val="00B05635"/>
    <w:rsid w:val="00B057D5"/>
    <w:rsid w:val="00B05A56"/>
    <w:rsid w:val="00B067C3"/>
    <w:rsid w:val="00B067F6"/>
    <w:rsid w:val="00B070EF"/>
    <w:rsid w:val="00B07620"/>
    <w:rsid w:val="00B0770D"/>
    <w:rsid w:val="00B077B0"/>
    <w:rsid w:val="00B10631"/>
    <w:rsid w:val="00B10764"/>
    <w:rsid w:val="00B10DC8"/>
    <w:rsid w:val="00B10E73"/>
    <w:rsid w:val="00B110B4"/>
    <w:rsid w:val="00B113C2"/>
    <w:rsid w:val="00B115ED"/>
    <w:rsid w:val="00B11833"/>
    <w:rsid w:val="00B11AC1"/>
    <w:rsid w:val="00B11D73"/>
    <w:rsid w:val="00B122B3"/>
    <w:rsid w:val="00B12716"/>
    <w:rsid w:val="00B12720"/>
    <w:rsid w:val="00B12939"/>
    <w:rsid w:val="00B12FCA"/>
    <w:rsid w:val="00B1314F"/>
    <w:rsid w:val="00B1334F"/>
    <w:rsid w:val="00B133CA"/>
    <w:rsid w:val="00B13F4B"/>
    <w:rsid w:val="00B1470D"/>
    <w:rsid w:val="00B14DAF"/>
    <w:rsid w:val="00B15011"/>
    <w:rsid w:val="00B151CF"/>
    <w:rsid w:val="00B15CBF"/>
    <w:rsid w:val="00B15EBC"/>
    <w:rsid w:val="00B15F85"/>
    <w:rsid w:val="00B160B9"/>
    <w:rsid w:val="00B17C91"/>
    <w:rsid w:val="00B17FD2"/>
    <w:rsid w:val="00B202C0"/>
    <w:rsid w:val="00B202F4"/>
    <w:rsid w:val="00B20445"/>
    <w:rsid w:val="00B20632"/>
    <w:rsid w:val="00B207B0"/>
    <w:rsid w:val="00B2086D"/>
    <w:rsid w:val="00B20880"/>
    <w:rsid w:val="00B21263"/>
    <w:rsid w:val="00B21264"/>
    <w:rsid w:val="00B219E0"/>
    <w:rsid w:val="00B21DF2"/>
    <w:rsid w:val="00B221E8"/>
    <w:rsid w:val="00B228B6"/>
    <w:rsid w:val="00B22ADA"/>
    <w:rsid w:val="00B22E2D"/>
    <w:rsid w:val="00B232CA"/>
    <w:rsid w:val="00B234A5"/>
    <w:rsid w:val="00B23ABE"/>
    <w:rsid w:val="00B242A5"/>
    <w:rsid w:val="00B242F8"/>
    <w:rsid w:val="00B24565"/>
    <w:rsid w:val="00B247AD"/>
    <w:rsid w:val="00B2498B"/>
    <w:rsid w:val="00B255DF"/>
    <w:rsid w:val="00B255E2"/>
    <w:rsid w:val="00B25A08"/>
    <w:rsid w:val="00B25D05"/>
    <w:rsid w:val="00B261CD"/>
    <w:rsid w:val="00B26622"/>
    <w:rsid w:val="00B26633"/>
    <w:rsid w:val="00B26669"/>
    <w:rsid w:val="00B26841"/>
    <w:rsid w:val="00B268B4"/>
    <w:rsid w:val="00B27046"/>
    <w:rsid w:val="00B270BD"/>
    <w:rsid w:val="00B271C9"/>
    <w:rsid w:val="00B2737A"/>
    <w:rsid w:val="00B2763D"/>
    <w:rsid w:val="00B276B4"/>
    <w:rsid w:val="00B27749"/>
    <w:rsid w:val="00B27795"/>
    <w:rsid w:val="00B27BA8"/>
    <w:rsid w:val="00B27F9B"/>
    <w:rsid w:val="00B302B4"/>
    <w:rsid w:val="00B302DA"/>
    <w:rsid w:val="00B303F6"/>
    <w:rsid w:val="00B307B7"/>
    <w:rsid w:val="00B30A93"/>
    <w:rsid w:val="00B30C73"/>
    <w:rsid w:val="00B311BC"/>
    <w:rsid w:val="00B3152F"/>
    <w:rsid w:val="00B31704"/>
    <w:rsid w:val="00B3192A"/>
    <w:rsid w:val="00B3193F"/>
    <w:rsid w:val="00B31996"/>
    <w:rsid w:val="00B319CE"/>
    <w:rsid w:val="00B319E6"/>
    <w:rsid w:val="00B320C9"/>
    <w:rsid w:val="00B32255"/>
    <w:rsid w:val="00B322D8"/>
    <w:rsid w:val="00B3270C"/>
    <w:rsid w:val="00B32ACE"/>
    <w:rsid w:val="00B32FF4"/>
    <w:rsid w:val="00B3345F"/>
    <w:rsid w:val="00B33603"/>
    <w:rsid w:val="00B33B88"/>
    <w:rsid w:val="00B33D76"/>
    <w:rsid w:val="00B34387"/>
    <w:rsid w:val="00B34886"/>
    <w:rsid w:val="00B34AEB"/>
    <w:rsid w:val="00B34D05"/>
    <w:rsid w:val="00B354FB"/>
    <w:rsid w:val="00B357D1"/>
    <w:rsid w:val="00B35A1F"/>
    <w:rsid w:val="00B35A34"/>
    <w:rsid w:val="00B35AB8"/>
    <w:rsid w:val="00B35DC0"/>
    <w:rsid w:val="00B35F12"/>
    <w:rsid w:val="00B36028"/>
    <w:rsid w:val="00B3662C"/>
    <w:rsid w:val="00B366E2"/>
    <w:rsid w:val="00B36AC4"/>
    <w:rsid w:val="00B36D0F"/>
    <w:rsid w:val="00B36E14"/>
    <w:rsid w:val="00B36E3E"/>
    <w:rsid w:val="00B37383"/>
    <w:rsid w:val="00B37705"/>
    <w:rsid w:val="00B3790F"/>
    <w:rsid w:val="00B37CE5"/>
    <w:rsid w:val="00B37F88"/>
    <w:rsid w:val="00B40064"/>
    <w:rsid w:val="00B4049E"/>
    <w:rsid w:val="00B406D7"/>
    <w:rsid w:val="00B40771"/>
    <w:rsid w:val="00B40E18"/>
    <w:rsid w:val="00B40F88"/>
    <w:rsid w:val="00B415A4"/>
    <w:rsid w:val="00B418E9"/>
    <w:rsid w:val="00B41AAB"/>
    <w:rsid w:val="00B42763"/>
    <w:rsid w:val="00B42880"/>
    <w:rsid w:val="00B429BF"/>
    <w:rsid w:val="00B430DB"/>
    <w:rsid w:val="00B431F4"/>
    <w:rsid w:val="00B43386"/>
    <w:rsid w:val="00B43387"/>
    <w:rsid w:val="00B43B3A"/>
    <w:rsid w:val="00B43D8B"/>
    <w:rsid w:val="00B44AA5"/>
    <w:rsid w:val="00B44BA8"/>
    <w:rsid w:val="00B4501F"/>
    <w:rsid w:val="00B45168"/>
    <w:rsid w:val="00B45359"/>
    <w:rsid w:val="00B45DA1"/>
    <w:rsid w:val="00B45E9B"/>
    <w:rsid w:val="00B4602D"/>
    <w:rsid w:val="00B4667B"/>
    <w:rsid w:val="00B46AA5"/>
    <w:rsid w:val="00B46CD0"/>
    <w:rsid w:val="00B47586"/>
    <w:rsid w:val="00B47DFA"/>
    <w:rsid w:val="00B50A44"/>
    <w:rsid w:val="00B50B2F"/>
    <w:rsid w:val="00B50C0B"/>
    <w:rsid w:val="00B50E9C"/>
    <w:rsid w:val="00B50EC3"/>
    <w:rsid w:val="00B51A9A"/>
    <w:rsid w:val="00B51DE2"/>
    <w:rsid w:val="00B527BF"/>
    <w:rsid w:val="00B52AF2"/>
    <w:rsid w:val="00B52CEF"/>
    <w:rsid w:val="00B536A5"/>
    <w:rsid w:val="00B536E5"/>
    <w:rsid w:val="00B53B8B"/>
    <w:rsid w:val="00B53E71"/>
    <w:rsid w:val="00B53EF9"/>
    <w:rsid w:val="00B53FA7"/>
    <w:rsid w:val="00B5407B"/>
    <w:rsid w:val="00B542A2"/>
    <w:rsid w:val="00B543B5"/>
    <w:rsid w:val="00B547F1"/>
    <w:rsid w:val="00B54A87"/>
    <w:rsid w:val="00B54F7F"/>
    <w:rsid w:val="00B55524"/>
    <w:rsid w:val="00B55733"/>
    <w:rsid w:val="00B557C4"/>
    <w:rsid w:val="00B55CED"/>
    <w:rsid w:val="00B563C3"/>
    <w:rsid w:val="00B57279"/>
    <w:rsid w:val="00B574A8"/>
    <w:rsid w:val="00B575BF"/>
    <w:rsid w:val="00B5779E"/>
    <w:rsid w:val="00B577DA"/>
    <w:rsid w:val="00B57A0B"/>
    <w:rsid w:val="00B600DE"/>
    <w:rsid w:val="00B60149"/>
    <w:rsid w:val="00B6035A"/>
    <w:rsid w:val="00B607C4"/>
    <w:rsid w:val="00B60A9B"/>
    <w:rsid w:val="00B612EA"/>
    <w:rsid w:val="00B614D2"/>
    <w:rsid w:val="00B618AB"/>
    <w:rsid w:val="00B61ABC"/>
    <w:rsid w:val="00B61C66"/>
    <w:rsid w:val="00B61E4A"/>
    <w:rsid w:val="00B61FD5"/>
    <w:rsid w:val="00B623A1"/>
    <w:rsid w:val="00B62604"/>
    <w:rsid w:val="00B6269D"/>
    <w:rsid w:val="00B62883"/>
    <w:rsid w:val="00B62DF2"/>
    <w:rsid w:val="00B63443"/>
    <w:rsid w:val="00B63454"/>
    <w:rsid w:val="00B6372D"/>
    <w:rsid w:val="00B64559"/>
    <w:rsid w:val="00B64664"/>
    <w:rsid w:val="00B64AC8"/>
    <w:rsid w:val="00B64D79"/>
    <w:rsid w:val="00B650B3"/>
    <w:rsid w:val="00B65149"/>
    <w:rsid w:val="00B652C0"/>
    <w:rsid w:val="00B65508"/>
    <w:rsid w:val="00B65D4D"/>
    <w:rsid w:val="00B66184"/>
    <w:rsid w:val="00B6677F"/>
    <w:rsid w:val="00B66897"/>
    <w:rsid w:val="00B66945"/>
    <w:rsid w:val="00B66A1F"/>
    <w:rsid w:val="00B66A87"/>
    <w:rsid w:val="00B66C7F"/>
    <w:rsid w:val="00B66F47"/>
    <w:rsid w:val="00B6727D"/>
    <w:rsid w:val="00B6760D"/>
    <w:rsid w:val="00B677FE"/>
    <w:rsid w:val="00B67D31"/>
    <w:rsid w:val="00B67F81"/>
    <w:rsid w:val="00B702A6"/>
    <w:rsid w:val="00B7055D"/>
    <w:rsid w:val="00B707F3"/>
    <w:rsid w:val="00B7093F"/>
    <w:rsid w:val="00B710B8"/>
    <w:rsid w:val="00B7122E"/>
    <w:rsid w:val="00B712D0"/>
    <w:rsid w:val="00B71CBC"/>
    <w:rsid w:val="00B71E65"/>
    <w:rsid w:val="00B71FC1"/>
    <w:rsid w:val="00B720E9"/>
    <w:rsid w:val="00B722DA"/>
    <w:rsid w:val="00B72421"/>
    <w:rsid w:val="00B724E2"/>
    <w:rsid w:val="00B72529"/>
    <w:rsid w:val="00B72E4C"/>
    <w:rsid w:val="00B732D5"/>
    <w:rsid w:val="00B7370A"/>
    <w:rsid w:val="00B739DA"/>
    <w:rsid w:val="00B73EEA"/>
    <w:rsid w:val="00B7410F"/>
    <w:rsid w:val="00B741A6"/>
    <w:rsid w:val="00B74642"/>
    <w:rsid w:val="00B748B0"/>
    <w:rsid w:val="00B748E5"/>
    <w:rsid w:val="00B74D09"/>
    <w:rsid w:val="00B75425"/>
    <w:rsid w:val="00B757E5"/>
    <w:rsid w:val="00B75A74"/>
    <w:rsid w:val="00B75D52"/>
    <w:rsid w:val="00B76010"/>
    <w:rsid w:val="00B7632A"/>
    <w:rsid w:val="00B7663E"/>
    <w:rsid w:val="00B771BA"/>
    <w:rsid w:val="00B77298"/>
    <w:rsid w:val="00B7729C"/>
    <w:rsid w:val="00B774C1"/>
    <w:rsid w:val="00B77B8C"/>
    <w:rsid w:val="00B77DB5"/>
    <w:rsid w:val="00B77E73"/>
    <w:rsid w:val="00B77F22"/>
    <w:rsid w:val="00B8049C"/>
    <w:rsid w:val="00B80777"/>
    <w:rsid w:val="00B8112F"/>
    <w:rsid w:val="00B811C2"/>
    <w:rsid w:val="00B81A89"/>
    <w:rsid w:val="00B81F38"/>
    <w:rsid w:val="00B8223F"/>
    <w:rsid w:val="00B82647"/>
    <w:rsid w:val="00B829B0"/>
    <w:rsid w:val="00B82A97"/>
    <w:rsid w:val="00B82BD9"/>
    <w:rsid w:val="00B82D11"/>
    <w:rsid w:val="00B8347B"/>
    <w:rsid w:val="00B83AE2"/>
    <w:rsid w:val="00B83B62"/>
    <w:rsid w:val="00B83F33"/>
    <w:rsid w:val="00B8408D"/>
    <w:rsid w:val="00B840D0"/>
    <w:rsid w:val="00B841F0"/>
    <w:rsid w:val="00B84680"/>
    <w:rsid w:val="00B84BD7"/>
    <w:rsid w:val="00B85011"/>
    <w:rsid w:val="00B8535F"/>
    <w:rsid w:val="00B85596"/>
    <w:rsid w:val="00B85830"/>
    <w:rsid w:val="00B864E2"/>
    <w:rsid w:val="00B86620"/>
    <w:rsid w:val="00B86899"/>
    <w:rsid w:val="00B86C03"/>
    <w:rsid w:val="00B874E8"/>
    <w:rsid w:val="00B875AF"/>
    <w:rsid w:val="00B8766A"/>
    <w:rsid w:val="00B87707"/>
    <w:rsid w:val="00B87796"/>
    <w:rsid w:val="00B878CD"/>
    <w:rsid w:val="00B878F5"/>
    <w:rsid w:val="00B90217"/>
    <w:rsid w:val="00B9045C"/>
    <w:rsid w:val="00B90519"/>
    <w:rsid w:val="00B90644"/>
    <w:rsid w:val="00B90748"/>
    <w:rsid w:val="00B90ABB"/>
    <w:rsid w:val="00B90BA7"/>
    <w:rsid w:val="00B90C6E"/>
    <w:rsid w:val="00B9135E"/>
    <w:rsid w:val="00B9199B"/>
    <w:rsid w:val="00B91CB1"/>
    <w:rsid w:val="00B91D74"/>
    <w:rsid w:val="00B9249B"/>
    <w:rsid w:val="00B9351E"/>
    <w:rsid w:val="00B938B3"/>
    <w:rsid w:val="00B9392E"/>
    <w:rsid w:val="00B93B51"/>
    <w:rsid w:val="00B9403F"/>
    <w:rsid w:val="00B94197"/>
    <w:rsid w:val="00B948AA"/>
    <w:rsid w:val="00B948D6"/>
    <w:rsid w:val="00B94BE2"/>
    <w:rsid w:val="00B94CA0"/>
    <w:rsid w:val="00B9536C"/>
    <w:rsid w:val="00B95381"/>
    <w:rsid w:val="00B95D79"/>
    <w:rsid w:val="00B95E2E"/>
    <w:rsid w:val="00B95F1B"/>
    <w:rsid w:val="00B96465"/>
    <w:rsid w:val="00B96B27"/>
    <w:rsid w:val="00B9701E"/>
    <w:rsid w:val="00B97359"/>
    <w:rsid w:val="00B979F1"/>
    <w:rsid w:val="00B97A9A"/>
    <w:rsid w:val="00B97C3E"/>
    <w:rsid w:val="00BA013F"/>
    <w:rsid w:val="00BA0B0B"/>
    <w:rsid w:val="00BA0EC4"/>
    <w:rsid w:val="00BA0F2D"/>
    <w:rsid w:val="00BA0F48"/>
    <w:rsid w:val="00BA104D"/>
    <w:rsid w:val="00BA1B58"/>
    <w:rsid w:val="00BA1FFB"/>
    <w:rsid w:val="00BA299A"/>
    <w:rsid w:val="00BA29D7"/>
    <w:rsid w:val="00BA2AAC"/>
    <w:rsid w:val="00BA2B3F"/>
    <w:rsid w:val="00BA2C97"/>
    <w:rsid w:val="00BA2EAB"/>
    <w:rsid w:val="00BA2EB3"/>
    <w:rsid w:val="00BA312A"/>
    <w:rsid w:val="00BA31F0"/>
    <w:rsid w:val="00BA3413"/>
    <w:rsid w:val="00BA3882"/>
    <w:rsid w:val="00BA3A7B"/>
    <w:rsid w:val="00BA3EAB"/>
    <w:rsid w:val="00BA4899"/>
    <w:rsid w:val="00BA4CEA"/>
    <w:rsid w:val="00BA4E45"/>
    <w:rsid w:val="00BA52D6"/>
    <w:rsid w:val="00BA5835"/>
    <w:rsid w:val="00BA586E"/>
    <w:rsid w:val="00BA58CA"/>
    <w:rsid w:val="00BA59FB"/>
    <w:rsid w:val="00BA5B99"/>
    <w:rsid w:val="00BA5E60"/>
    <w:rsid w:val="00BA665E"/>
    <w:rsid w:val="00BA6A35"/>
    <w:rsid w:val="00BA6E91"/>
    <w:rsid w:val="00BA731D"/>
    <w:rsid w:val="00BA7449"/>
    <w:rsid w:val="00BA7681"/>
    <w:rsid w:val="00BA7E14"/>
    <w:rsid w:val="00BA7EE1"/>
    <w:rsid w:val="00BB0378"/>
    <w:rsid w:val="00BB0B7F"/>
    <w:rsid w:val="00BB0CC4"/>
    <w:rsid w:val="00BB10D0"/>
    <w:rsid w:val="00BB14A3"/>
    <w:rsid w:val="00BB1510"/>
    <w:rsid w:val="00BB19F7"/>
    <w:rsid w:val="00BB1ABB"/>
    <w:rsid w:val="00BB23A1"/>
    <w:rsid w:val="00BB23DD"/>
    <w:rsid w:val="00BB23F2"/>
    <w:rsid w:val="00BB24A6"/>
    <w:rsid w:val="00BB2547"/>
    <w:rsid w:val="00BB2D81"/>
    <w:rsid w:val="00BB2E41"/>
    <w:rsid w:val="00BB3087"/>
    <w:rsid w:val="00BB3FBC"/>
    <w:rsid w:val="00BB4290"/>
    <w:rsid w:val="00BB4776"/>
    <w:rsid w:val="00BB480F"/>
    <w:rsid w:val="00BB4C20"/>
    <w:rsid w:val="00BB4EAE"/>
    <w:rsid w:val="00BB5203"/>
    <w:rsid w:val="00BB527C"/>
    <w:rsid w:val="00BB5478"/>
    <w:rsid w:val="00BB578A"/>
    <w:rsid w:val="00BB5B06"/>
    <w:rsid w:val="00BB5F5E"/>
    <w:rsid w:val="00BB5F64"/>
    <w:rsid w:val="00BB5F9F"/>
    <w:rsid w:val="00BB6A78"/>
    <w:rsid w:val="00BB6B67"/>
    <w:rsid w:val="00BB7168"/>
    <w:rsid w:val="00BB752C"/>
    <w:rsid w:val="00BB7BBB"/>
    <w:rsid w:val="00BB7BEE"/>
    <w:rsid w:val="00BB7E17"/>
    <w:rsid w:val="00BC0140"/>
    <w:rsid w:val="00BC03A2"/>
    <w:rsid w:val="00BC0B55"/>
    <w:rsid w:val="00BC0F84"/>
    <w:rsid w:val="00BC10BA"/>
    <w:rsid w:val="00BC141D"/>
    <w:rsid w:val="00BC15DE"/>
    <w:rsid w:val="00BC17C8"/>
    <w:rsid w:val="00BC198B"/>
    <w:rsid w:val="00BC1D09"/>
    <w:rsid w:val="00BC1D82"/>
    <w:rsid w:val="00BC1F32"/>
    <w:rsid w:val="00BC274E"/>
    <w:rsid w:val="00BC2F78"/>
    <w:rsid w:val="00BC33C0"/>
    <w:rsid w:val="00BC369C"/>
    <w:rsid w:val="00BC3FC7"/>
    <w:rsid w:val="00BC478E"/>
    <w:rsid w:val="00BC4972"/>
    <w:rsid w:val="00BC4A38"/>
    <w:rsid w:val="00BC4D84"/>
    <w:rsid w:val="00BC5233"/>
    <w:rsid w:val="00BC5485"/>
    <w:rsid w:val="00BC553B"/>
    <w:rsid w:val="00BC55AB"/>
    <w:rsid w:val="00BC55CB"/>
    <w:rsid w:val="00BC5FD0"/>
    <w:rsid w:val="00BC6273"/>
    <w:rsid w:val="00BC63E2"/>
    <w:rsid w:val="00BC67DA"/>
    <w:rsid w:val="00BC6897"/>
    <w:rsid w:val="00BC6950"/>
    <w:rsid w:val="00BC697E"/>
    <w:rsid w:val="00BC698B"/>
    <w:rsid w:val="00BC6C3C"/>
    <w:rsid w:val="00BC7015"/>
    <w:rsid w:val="00BC7072"/>
    <w:rsid w:val="00BC7191"/>
    <w:rsid w:val="00BC72C1"/>
    <w:rsid w:val="00BC72EE"/>
    <w:rsid w:val="00BC787C"/>
    <w:rsid w:val="00BC79D8"/>
    <w:rsid w:val="00BC7B9A"/>
    <w:rsid w:val="00BC7D05"/>
    <w:rsid w:val="00BC7FC1"/>
    <w:rsid w:val="00BD0023"/>
    <w:rsid w:val="00BD018A"/>
    <w:rsid w:val="00BD07F8"/>
    <w:rsid w:val="00BD0E1A"/>
    <w:rsid w:val="00BD0FC3"/>
    <w:rsid w:val="00BD1650"/>
    <w:rsid w:val="00BD1880"/>
    <w:rsid w:val="00BD18C3"/>
    <w:rsid w:val="00BD1B27"/>
    <w:rsid w:val="00BD1B8D"/>
    <w:rsid w:val="00BD1C70"/>
    <w:rsid w:val="00BD1F8F"/>
    <w:rsid w:val="00BD2105"/>
    <w:rsid w:val="00BD21C0"/>
    <w:rsid w:val="00BD23DE"/>
    <w:rsid w:val="00BD2403"/>
    <w:rsid w:val="00BD2EB7"/>
    <w:rsid w:val="00BD2F54"/>
    <w:rsid w:val="00BD31C9"/>
    <w:rsid w:val="00BD33D4"/>
    <w:rsid w:val="00BD353B"/>
    <w:rsid w:val="00BD3985"/>
    <w:rsid w:val="00BD3BF0"/>
    <w:rsid w:val="00BD40B1"/>
    <w:rsid w:val="00BD420A"/>
    <w:rsid w:val="00BD4231"/>
    <w:rsid w:val="00BD444A"/>
    <w:rsid w:val="00BD45E4"/>
    <w:rsid w:val="00BD485A"/>
    <w:rsid w:val="00BD4978"/>
    <w:rsid w:val="00BD4ADF"/>
    <w:rsid w:val="00BD4B09"/>
    <w:rsid w:val="00BD4BC1"/>
    <w:rsid w:val="00BD53F1"/>
    <w:rsid w:val="00BD55FC"/>
    <w:rsid w:val="00BD5616"/>
    <w:rsid w:val="00BD5BED"/>
    <w:rsid w:val="00BD630A"/>
    <w:rsid w:val="00BD6FBA"/>
    <w:rsid w:val="00BD7165"/>
    <w:rsid w:val="00BD7198"/>
    <w:rsid w:val="00BD72C1"/>
    <w:rsid w:val="00BD760F"/>
    <w:rsid w:val="00BD7776"/>
    <w:rsid w:val="00BD7946"/>
    <w:rsid w:val="00BD7CF0"/>
    <w:rsid w:val="00BE0584"/>
    <w:rsid w:val="00BE0615"/>
    <w:rsid w:val="00BE0703"/>
    <w:rsid w:val="00BE0C4C"/>
    <w:rsid w:val="00BE0E3B"/>
    <w:rsid w:val="00BE1068"/>
    <w:rsid w:val="00BE19B3"/>
    <w:rsid w:val="00BE1B92"/>
    <w:rsid w:val="00BE1FEB"/>
    <w:rsid w:val="00BE2452"/>
    <w:rsid w:val="00BE2625"/>
    <w:rsid w:val="00BE29A2"/>
    <w:rsid w:val="00BE2B0C"/>
    <w:rsid w:val="00BE2BBE"/>
    <w:rsid w:val="00BE30D7"/>
    <w:rsid w:val="00BE3575"/>
    <w:rsid w:val="00BE3627"/>
    <w:rsid w:val="00BE38FE"/>
    <w:rsid w:val="00BE3A4E"/>
    <w:rsid w:val="00BE3B1F"/>
    <w:rsid w:val="00BE47BF"/>
    <w:rsid w:val="00BE4C1D"/>
    <w:rsid w:val="00BE4D58"/>
    <w:rsid w:val="00BE5350"/>
    <w:rsid w:val="00BE5374"/>
    <w:rsid w:val="00BE5820"/>
    <w:rsid w:val="00BE5828"/>
    <w:rsid w:val="00BE627A"/>
    <w:rsid w:val="00BE6753"/>
    <w:rsid w:val="00BE68F9"/>
    <w:rsid w:val="00BE6CE8"/>
    <w:rsid w:val="00BE6DFC"/>
    <w:rsid w:val="00BE70FC"/>
    <w:rsid w:val="00BE73C2"/>
    <w:rsid w:val="00BE74D5"/>
    <w:rsid w:val="00BE74E5"/>
    <w:rsid w:val="00BE76A8"/>
    <w:rsid w:val="00BE76EB"/>
    <w:rsid w:val="00BE7946"/>
    <w:rsid w:val="00BF08F7"/>
    <w:rsid w:val="00BF0AD4"/>
    <w:rsid w:val="00BF1135"/>
    <w:rsid w:val="00BF127E"/>
    <w:rsid w:val="00BF1351"/>
    <w:rsid w:val="00BF1480"/>
    <w:rsid w:val="00BF16AA"/>
    <w:rsid w:val="00BF20F6"/>
    <w:rsid w:val="00BF2291"/>
    <w:rsid w:val="00BF2B4C"/>
    <w:rsid w:val="00BF2DDD"/>
    <w:rsid w:val="00BF343C"/>
    <w:rsid w:val="00BF3C9E"/>
    <w:rsid w:val="00BF3E57"/>
    <w:rsid w:val="00BF4256"/>
    <w:rsid w:val="00BF4A3C"/>
    <w:rsid w:val="00BF5FB5"/>
    <w:rsid w:val="00BF6070"/>
    <w:rsid w:val="00BF6576"/>
    <w:rsid w:val="00BF724E"/>
    <w:rsid w:val="00BF76BD"/>
    <w:rsid w:val="00BF792E"/>
    <w:rsid w:val="00BF7A39"/>
    <w:rsid w:val="00BF7BB1"/>
    <w:rsid w:val="00BF7C54"/>
    <w:rsid w:val="00BF7CCA"/>
    <w:rsid w:val="00BF7CFF"/>
    <w:rsid w:val="00C0080D"/>
    <w:rsid w:val="00C0091A"/>
    <w:rsid w:val="00C009C8"/>
    <w:rsid w:val="00C00E9F"/>
    <w:rsid w:val="00C01377"/>
    <w:rsid w:val="00C01CA1"/>
    <w:rsid w:val="00C01D5F"/>
    <w:rsid w:val="00C01E77"/>
    <w:rsid w:val="00C02165"/>
    <w:rsid w:val="00C0218C"/>
    <w:rsid w:val="00C02295"/>
    <w:rsid w:val="00C023E5"/>
    <w:rsid w:val="00C02687"/>
    <w:rsid w:val="00C026B0"/>
    <w:rsid w:val="00C02A65"/>
    <w:rsid w:val="00C02EBE"/>
    <w:rsid w:val="00C030EF"/>
    <w:rsid w:val="00C031E6"/>
    <w:rsid w:val="00C0345A"/>
    <w:rsid w:val="00C03511"/>
    <w:rsid w:val="00C036C4"/>
    <w:rsid w:val="00C03915"/>
    <w:rsid w:val="00C04128"/>
    <w:rsid w:val="00C041AA"/>
    <w:rsid w:val="00C047AC"/>
    <w:rsid w:val="00C048E3"/>
    <w:rsid w:val="00C04A0D"/>
    <w:rsid w:val="00C04A61"/>
    <w:rsid w:val="00C04AD3"/>
    <w:rsid w:val="00C04B7C"/>
    <w:rsid w:val="00C04C3A"/>
    <w:rsid w:val="00C05016"/>
    <w:rsid w:val="00C053CC"/>
    <w:rsid w:val="00C05700"/>
    <w:rsid w:val="00C05AC3"/>
    <w:rsid w:val="00C05C63"/>
    <w:rsid w:val="00C05DC4"/>
    <w:rsid w:val="00C066A2"/>
    <w:rsid w:val="00C06748"/>
    <w:rsid w:val="00C069CF"/>
    <w:rsid w:val="00C06BE4"/>
    <w:rsid w:val="00C06EB4"/>
    <w:rsid w:val="00C07135"/>
    <w:rsid w:val="00C0736F"/>
    <w:rsid w:val="00C0742A"/>
    <w:rsid w:val="00C074CD"/>
    <w:rsid w:val="00C076C6"/>
    <w:rsid w:val="00C0787B"/>
    <w:rsid w:val="00C07D6F"/>
    <w:rsid w:val="00C1032A"/>
    <w:rsid w:val="00C10483"/>
    <w:rsid w:val="00C1076F"/>
    <w:rsid w:val="00C107C3"/>
    <w:rsid w:val="00C109C1"/>
    <w:rsid w:val="00C109CA"/>
    <w:rsid w:val="00C10D6B"/>
    <w:rsid w:val="00C11563"/>
    <w:rsid w:val="00C11576"/>
    <w:rsid w:val="00C122C6"/>
    <w:rsid w:val="00C12418"/>
    <w:rsid w:val="00C124AA"/>
    <w:rsid w:val="00C12629"/>
    <w:rsid w:val="00C12870"/>
    <w:rsid w:val="00C12A32"/>
    <w:rsid w:val="00C13520"/>
    <w:rsid w:val="00C13766"/>
    <w:rsid w:val="00C139CF"/>
    <w:rsid w:val="00C139EB"/>
    <w:rsid w:val="00C140DB"/>
    <w:rsid w:val="00C1481A"/>
    <w:rsid w:val="00C1499B"/>
    <w:rsid w:val="00C14EFF"/>
    <w:rsid w:val="00C14F9B"/>
    <w:rsid w:val="00C14FAB"/>
    <w:rsid w:val="00C15062"/>
    <w:rsid w:val="00C15307"/>
    <w:rsid w:val="00C1530D"/>
    <w:rsid w:val="00C15F42"/>
    <w:rsid w:val="00C1610B"/>
    <w:rsid w:val="00C1611D"/>
    <w:rsid w:val="00C164D2"/>
    <w:rsid w:val="00C16730"/>
    <w:rsid w:val="00C1683C"/>
    <w:rsid w:val="00C168AB"/>
    <w:rsid w:val="00C16942"/>
    <w:rsid w:val="00C16C9A"/>
    <w:rsid w:val="00C170DF"/>
    <w:rsid w:val="00C17561"/>
    <w:rsid w:val="00C175E4"/>
    <w:rsid w:val="00C17A7C"/>
    <w:rsid w:val="00C17BC1"/>
    <w:rsid w:val="00C17EA8"/>
    <w:rsid w:val="00C20331"/>
    <w:rsid w:val="00C209D6"/>
    <w:rsid w:val="00C209F7"/>
    <w:rsid w:val="00C209FC"/>
    <w:rsid w:val="00C217AD"/>
    <w:rsid w:val="00C21807"/>
    <w:rsid w:val="00C219BB"/>
    <w:rsid w:val="00C219D2"/>
    <w:rsid w:val="00C222BF"/>
    <w:rsid w:val="00C22524"/>
    <w:rsid w:val="00C22559"/>
    <w:rsid w:val="00C226DE"/>
    <w:rsid w:val="00C22718"/>
    <w:rsid w:val="00C22AC4"/>
    <w:rsid w:val="00C22BE6"/>
    <w:rsid w:val="00C22C22"/>
    <w:rsid w:val="00C23096"/>
    <w:rsid w:val="00C232E0"/>
    <w:rsid w:val="00C23530"/>
    <w:rsid w:val="00C23BBC"/>
    <w:rsid w:val="00C23CBF"/>
    <w:rsid w:val="00C245F5"/>
    <w:rsid w:val="00C248B7"/>
    <w:rsid w:val="00C24B5E"/>
    <w:rsid w:val="00C2504E"/>
    <w:rsid w:val="00C2534F"/>
    <w:rsid w:val="00C2544F"/>
    <w:rsid w:val="00C25BB7"/>
    <w:rsid w:val="00C25D2F"/>
    <w:rsid w:val="00C25D79"/>
    <w:rsid w:val="00C267EB"/>
    <w:rsid w:val="00C26A34"/>
    <w:rsid w:val="00C26BAF"/>
    <w:rsid w:val="00C26C7A"/>
    <w:rsid w:val="00C270AE"/>
    <w:rsid w:val="00C271D6"/>
    <w:rsid w:val="00C273C3"/>
    <w:rsid w:val="00C274A3"/>
    <w:rsid w:val="00C27620"/>
    <w:rsid w:val="00C30058"/>
    <w:rsid w:val="00C30186"/>
    <w:rsid w:val="00C3020E"/>
    <w:rsid w:val="00C302FC"/>
    <w:rsid w:val="00C3086E"/>
    <w:rsid w:val="00C30B2B"/>
    <w:rsid w:val="00C31083"/>
    <w:rsid w:val="00C31150"/>
    <w:rsid w:val="00C317A2"/>
    <w:rsid w:val="00C319C3"/>
    <w:rsid w:val="00C31C63"/>
    <w:rsid w:val="00C325CA"/>
    <w:rsid w:val="00C32BCC"/>
    <w:rsid w:val="00C3333A"/>
    <w:rsid w:val="00C33403"/>
    <w:rsid w:val="00C33981"/>
    <w:rsid w:val="00C33E56"/>
    <w:rsid w:val="00C33ED2"/>
    <w:rsid w:val="00C33F62"/>
    <w:rsid w:val="00C343FC"/>
    <w:rsid w:val="00C34AD1"/>
    <w:rsid w:val="00C34C66"/>
    <w:rsid w:val="00C3572F"/>
    <w:rsid w:val="00C358D8"/>
    <w:rsid w:val="00C361DB"/>
    <w:rsid w:val="00C3651F"/>
    <w:rsid w:val="00C3654B"/>
    <w:rsid w:val="00C36633"/>
    <w:rsid w:val="00C36723"/>
    <w:rsid w:val="00C368A7"/>
    <w:rsid w:val="00C36E9D"/>
    <w:rsid w:val="00C3718F"/>
    <w:rsid w:val="00C37598"/>
    <w:rsid w:val="00C378EF"/>
    <w:rsid w:val="00C37AEA"/>
    <w:rsid w:val="00C37C1E"/>
    <w:rsid w:val="00C37C86"/>
    <w:rsid w:val="00C406D3"/>
    <w:rsid w:val="00C4074A"/>
    <w:rsid w:val="00C408BC"/>
    <w:rsid w:val="00C4091E"/>
    <w:rsid w:val="00C41070"/>
    <w:rsid w:val="00C412B1"/>
    <w:rsid w:val="00C4166D"/>
    <w:rsid w:val="00C417E3"/>
    <w:rsid w:val="00C4186C"/>
    <w:rsid w:val="00C418C3"/>
    <w:rsid w:val="00C41D2B"/>
    <w:rsid w:val="00C4206F"/>
    <w:rsid w:val="00C422EE"/>
    <w:rsid w:val="00C42813"/>
    <w:rsid w:val="00C43044"/>
    <w:rsid w:val="00C43409"/>
    <w:rsid w:val="00C435E9"/>
    <w:rsid w:val="00C4436C"/>
    <w:rsid w:val="00C4467B"/>
    <w:rsid w:val="00C44B5B"/>
    <w:rsid w:val="00C454B9"/>
    <w:rsid w:val="00C45C35"/>
    <w:rsid w:val="00C45CC4"/>
    <w:rsid w:val="00C461B2"/>
    <w:rsid w:val="00C462B2"/>
    <w:rsid w:val="00C46622"/>
    <w:rsid w:val="00C469C0"/>
    <w:rsid w:val="00C46C41"/>
    <w:rsid w:val="00C47128"/>
    <w:rsid w:val="00C47503"/>
    <w:rsid w:val="00C476B9"/>
    <w:rsid w:val="00C47C8E"/>
    <w:rsid w:val="00C501F2"/>
    <w:rsid w:val="00C505F8"/>
    <w:rsid w:val="00C50954"/>
    <w:rsid w:val="00C50C3C"/>
    <w:rsid w:val="00C50CDB"/>
    <w:rsid w:val="00C50CE9"/>
    <w:rsid w:val="00C50E0E"/>
    <w:rsid w:val="00C51820"/>
    <w:rsid w:val="00C521E7"/>
    <w:rsid w:val="00C5225C"/>
    <w:rsid w:val="00C525D1"/>
    <w:rsid w:val="00C52F77"/>
    <w:rsid w:val="00C52FD1"/>
    <w:rsid w:val="00C53380"/>
    <w:rsid w:val="00C5346F"/>
    <w:rsid w:val="00C5359B"/>
    <w:rsid w:val="00C5362E"/>
    <w:rsid w:val="00C53AE7"/>
    <w:rsid w:val="00C53AF7"/>
    <w:rsid w:val="00C5432D"/>
    <w:rsid w:val="00C543DA"/>
    <w:rsid w:val="00C54540"/>
    <w:rsid w:val="00C554B5"/>
    <w:rsid w:val="00C55920"/>
    <w:rsid w:val="00C55E34"/>
    <w:rsid w:val="00C56222"/>
    <w:rsid w:val="00C56314"/>
    <w:rsid w:val="00C56660"/>
    <w:rsid w:val="00C566EF"/>
    <w:rsid w:val="00C567A2"/>
    <w:rsid w:val="00C569C6"/>
    <w:rsid w:val="00C56EF2"/>
    <w:rsid w:val="00C570A6"/>
    <w:rsid w:val="00C579F3"/>
    <w:rsid w:val="00C57DC0"/>
    <w:rsid w:val="00C57E07"/>
    <w:rsid w:val="00C600B3"/>
    <w:rsid w:val="00C6022A"/>
    <w:rsid w:val="00C60440"/>
    <w:rsid w:val="00C60451"/>
    <w:rsid w:val="00C604FE"/>
    <w:rsid w:val="00C6050F"/>
    <w:rsid w:val="00C6070C"/>
    <w:rsid w:val="00C608A2"/>
    <w:rsid w:val="00C60A61"/>
    <w:rsid w:val="00C60DE1"/>
    <w:rsid w:val="00C61260"/>
    <w:rsid w:val="00C61449"/>
    <w:rsid w:val="00C61462"/>
    <w:rsid w:val="00C61464"/>
    <w:rsid w:val="00C614FA"/>
    <w:rsid w:val="00C61B30"/>
    <w:rsid w:val="00C61C04"/>
    <w:rsid w:val="00C61E46"/>
    <w:rsid w:val="00C61EA2"/>
    <w:rsid w:val="00C623DA"/>
    <w:rsid w:val="00C62B4C"/>
    <w:rsid w:val="00C62D1C"/>
    <w:rsid w:val="00C63184"/>
    <w:rsid w:val="00C63311"/>
    <w:rsid w:val="00C633D8"/>
    <w:rsid w:val="00C636F6"/>
    <w:rsid w:val="00C63845"/>
    <w:rsid w:val="00C63A4A"/>
    <w:rsid w:val="00C63A9B"/>
    <w:rsid w:val="00C63C0C"/>
    <w:rsid w:val="00C63D35"/>
    <w:rsid w:val="00C63D4C"/>
    <w:rsid w:val="00C63D9C"/>
    <w:rsid w:val="00C63F27"/>
    <w:rsid w:val="00C64294"/>
    <w:rsid w:val="00C64745"/>
    <w:rsid w:val="00C6475B"/>
    <w:rsid w:val="00C647E9"/>
    <w:rsid w:val="00C647F7"/>
    <w:rsid w:val="00C648F2"/>
    <w:rsid w:val="00C649EF"/>
    <w:rsid w:val="00C64A07"/>
    <w:rsid w:val="00C64B4E"/>
    <w:rsid w:val="00C64B50"/>
    <w:rsid w:val="00C65039"/>
    <w:rsid w:val="00C651AE"/>
    <w:rsid w:val="00C652DB"/>
    <w:rsid w:val="00C6540C"/>
    <w:rsid w:val="00C6546F"/>
    <w:rsid w:val="00C65757"/>
    <w:rsid w:val="00C65BC9"/>
    <w:rsid w:val="00C66738"/>
    <w:rsid w:val="00C6696B"/>
    <w:rsid w:val="00C66B2D"/>
    <w:rsid w:val="00C66BEF"/>
    <w:rsid w:val="00C671B5"/>
    <w:rsid w:val="00C6729B"/>
    <w:rsid w:val="00C67898"/>
    <w:rsid w:val="00C67E8E"/>
    <w:rsid w:val="00C67EA7"/>
    <w:rsid w:val="00C704DE"/>
    <w:rsid w:val="00C710F9"/>
    <w:rsid w:val="00C7181E"/>
    <w:rsid w:val="00C71CAE"/>
    <w:rsid w:val="00C72177"/>
    <w:rsid w:val="00C722B5"/>
    <w:rsid w:val="00C72361"/>
    <w:rsid w:val="00C73799"/>
    <w:rsid w:val="00C73AF3"/>
    <w:rsid w:val="00C73DDD"/>
    <w:rsid w:val="00C73E76"/>
    <w:rsid w:val="00C73EF4"/>
    <w:rsid w:val="00C73FEF"/>
    <w:rsid w:val="00C744FC"/>
    <w:rsid w:val="00C7475B"/>
    <w:rsid w:val="00C749FA"/>
    <w:rsid w:val="00C74B8C"/>
    <w:rsid w:val="00C74CFD"/>
    <w:rsid w:val="00C74FF7"/>
    <w:rsid w:val="00C75702"/>
    <w:rsid w:val="00C758A3"/>
    <w:rsid w:val="00C75C41"/>
    <w:rsid w:val="00C75DDB"/>
    <w:rsid w:val="00C75FB3"/>
    <w:rsid w:val="00C765FC"/>
    <w:rsid w:val="00C76759"/>
    <w:rsid w:val="00C7756F"/>
    <w:rsid w:val="00C77609"/>
    <w:rsid w:val="00C77ACA"/>
    <w:rsid w:val="00C77D4E"/>
    <w:rsid w:val="00C80661"/>
    <w:rsid w:val="00C80DBC"/>
    <w:rsid w:val="00C811CB"/>
    <w:rsid w:val="00C81358"/>
    <w:rsid w:val="00C813E7"/>
    <w:rsid w:val="00C81547"/>
    <w:rsid w:val="00C81694"/>
    <w:rsid w:val="00C81955"/>
    <w:rsid w:val="00C81DB3"/>
    <w:rsid w:val="00C825C8"/>
    <w:rsid w:val="00C825D7"/>
    <w:rsid w:val="00C825EE"/>
    <w:rsid w:val="00C82616"/>
    <w:rsid w:val="00C8268F"/>
    <w:rsid w:val="00C82798"/>
    <w:rsid w:val="00C829F0"/>
    <w:rsid w:val="00C82AF8"/>
    <w:rsid w:val="00C82C9F"/>
    <w:rsid w:val="00C83048"/>
    <w:rsid w:val="00C8309D"/>
    <w:rsid w:val="00C83525"/>
    <w:rsid w:val="00C83535"/>
    <w:rsid w:val="00C83CE4"/>
    <w:rsid w:val="00C83D84"/>
    <w:rsid w:val="00C83F35"/>
    <w:rsid w:val="00C840C9"/>
    <w:rsid w:val="00C84870"/>
    <w:rsid w:val="00C84BC6"/>
    <w:rsid w:val="00C85410"/>
    <w:rsid w:val="00C85C0F"/>
    <w:rsid w:val="00C85CAC"/>
    <w:rsid w:val="00C85DB0"/>
    <w:rsid w:val="00C86249"/>
    <w:rsid w:val="00C8653A"/>
    <w:rsid w:val="00C86660"/>
    <w:rsid w:val="00C86F18"/>
    <w:rsid w:val="00C870D1"/>
    <w:rsid w:val="00C873D7"/>
    <w:rsid w:val="00C87436"/>
    <w:rsid w:val="00C87573"/>
    <w:rsid w:val="00C87699"/>
    <w:rsid w:val="00C879B9"/>
    <w:rsid w:val="00C87ACD"/>
    <w:rsid w:val="00C90014"/>
    <w:rsid w:val="00C90231"/>
    <w:rsid w:val="00C906CC"/>
    <w:rsid w:val="00C90AA9"/>
    <w:rsid w:val="00C90AD8"/>
    <w:rsid w:val="00C90FE5"/>
    <w:rsid w:val="00C91651"/>
    <w:rsid w:val="00C916B4"/>
    <w:rsid w:val="00C917A4"/>
    <w:rsid w:val="00C91810"/>
    <w:rsid w:val="00C91CFF"/>
    <w:rsid w:val="00C9207C"/>
    <w:rsid w:val="00C920A7"/>
    <w:rsid w:val="00C922A2"/>
    <w:rsid w:val="00C92542"/>
    <w:rsid w:val="00C925AB"/>
    <w:rsid w:val="00C92DA5"/>
    <w:rsid w:val="00C92FD6"/>
    <w:rsid w:val="00C93200"/>
    <w:rsid w:val="00C934DF"/>
    <w:rsid w:val="00C935B3"/>
    <w:rsid w:val="00C93944"/>
    <w:rsid w:val="00C93AC6"/>
    <w:rsid w:val="00C93E3A"/>
    <w:rsid w:val="00C94171"/>
    <w:rsid w:val="00C94537"/>
    <w:rsid w:val="00C9463C"/>
    <w:rsid w:val="00C9518A"/>
    <w:rsid w:val="00C95961"/>
    <w:rsid w:val="00C95A31"/>
    <w:rsid w:val="00C95CCB"/>
    <w:rsid w:val="00C95E6D"/>
    <w:rsid w:val="00C9668A"/>
    <w:rsid w:val="00C96EEB"/>
    <w:rsid w:val="00C97392"/>
    <w:rsid w:val="00C97CEE"/>
    <w:rsid w:val="00CA0156"/>
    <w:rsid w:val="00CA0414"/>
    <w:rsid w:val="00CA0890"/>
    <w:rsid w:val="00CA0CD0"/>
    <w:rsid w:val="00CA0CEF"/>
    <w:rsid w:val="00CA11FB"/>
    <w:rsid w:val="00CA1263"/>
    <w:rsid w:val="00CA1276"/>
    <w:rsid w:val="00CA14D5"/>
    <w:rsid w:val="00CA14DF"/>
    <w:rsid w:val="00CA1964"/>
    <w:rsid w:val="00CA1F01"/>
    <w:rsid w:val="00CA2008"/>
    <w:rsid w:val="00CA26EA"/>
    <w:rsid w:val="00CA2A2A"/>
    <w:rsid w:val="00CA2D69"/>
    <w:rsid w:val="00CA2F7F"/>
    <w:rsid w:val="00CA2FB2"/>
    <w:rsid w:val="00CA32C8"/>
    <w:rsid w:val="00CA32F0"/>
    <w:rsid w:val="00CA3310"/>
    <w:rsid w:val="00CA33EA"/>
    <w:rsid w:val="00CA3465"/>
    <w:rsid w:val="00CA3744"/>
    <w:rsid w:val="00CA3A06"/>
    <w:rsid w:val="00CA3B28"/>
    <w:rsid w:val="00CA3D3A"/>
    <w:rsid w:val="00CA3E19"/>
    <w:rsid w:val="00CA409D"/>
    <w:rsid w:val="00CA42D6"/>
    <w:rsid w:val="00CA462B"/>
    <w:rsid w:val="00CA4A15"/>
    <w:rsid w:val="00CA4BB6"/>
    <w:rsid w:val="00CA4C2C"/>
    <w:rsid w:val="00CA5213"/>
    <w:rsid w:val="00CA528A"/>
    <w:rsid w:val="00CA5D4C"/>
    <w:rsid w:val="00CA5D5A"/>
    <w:rsid w:val="00CA6068"/>
    <w:rsid w:val="00CA6362"/>
    <w:rsid w:val="00CA63C6"/>
    <w:rsid w:val="00CA6ECA"/>
    <w:rsid w:val="00CA7464"/>
    <w:rsid w:val="00CA755D"/>
    <w:rsid w:val="00CA76B2"/>
    <w:rsid w:val="00CB0083"/>
    <w:rsid w:val="00CB0341"/>
    <w:rsid w:val="00CB06E1"/>
    <w:rsid w:val="00CB09BF"/>
    <w:rsid w:val="00CB09DC"/>
    <w:rsid w:val="00CB0FCB"/>
    <w:rsid w:val="00CB15E9"/>
    <w:rsid w:val="00CB1733"/>
    <w:rsid w:val="00CB2246"/>
    <w:rsid w:val="00CB2364"/>
    <w:rsid w:val="00CB241F"/>
    <w:rsid w:val="00CB28E3"/>
    <w:rsid w:val="00CB2AB4"/>
    <w:rsid w:val="00CB2BD5"/>
    <w:rsid w:val="00CB3E7C"/>
    <w:rsid w:val="00CB3F0D"/>
    <w:rsid w:val="00CB3FC3"/>
    <w:rsid w:val="00CB4437"/>
    <w:rsid w:val="00CB46D9"/>
    <w:rsid w:val="00CB490E"/>
    <w:rsid w:val="00CB4A37"/>
    <w:rsid w:val="00CB4F0F"/>
    <w:rsid w:val="00CB513F"/>
    <w:rsid w:val="00CB51F2"/>
    <w:rsid w:val="00CB56DE"/>
    <w:rsid w:val="00CB5B53"/>
    <w:rsid w:val="00CB5C55"/>
    <w:rsid w:val="00CB5D18"/>
    <w:rsid w:val="00CB5D9E"/>
    <w:rsid w:val="00CB5F5E"/>
    <w:rsid w:val="00CB616D"/>
    <w:rsid w:val="00CB68FA"/>
    <w:rsid w:val="00CB6B9B"/>
    <w:rsid w:val="00CB6D00"/>
    <w:rsid w:val="00CB773C"/>
    <w:rsid w:val="00CB79AD"/>
    <w:rsid w:val="00CB7F6B"/>
    <w:rsid w:val="00CC02C4"/>
    <w:rsid w:val="00CC039D"/>
    <w:rsid w:val="00CC074A"/>
    <w:rsid w:val="00CC0B8F"/>
    <w:rsid w:val="00CC0B92"/>
    <w:rsid w:val="00CC1522"/>
    <w:rsid w:val="00CC1C7C"/>
    <w:rsid w:val="00CC1D1A"/>
    <w:rsid w:val="00CC1E32"/>
    <w:rsid w:val="00CC27E2"/>
    <w:rsid w:val="00CC29DA"/>
    <w:rsid w:val="00CC2C05"/>
    <w:rsid w:val="00CC2E21"/>
    <w:rsid w:val="00CC2F5A"/>
    <w:rsid w:val="00CC2FF3"/>
    <w:rsid w:val="00CC3000"/>
    <w:rsid w:val="00CC3058"/>
    <w:rsid w:val="00CC34C7"/>
    <w:rsid w:val="00CC4065"/>
    <w:rsid w:val="00CC41F8"/>
    <w:rsid w:val="00CC453A"/>
    <w:rsid w:val="00CC4939"/>
    <w:rsid w:val="00CC4A63"/>
    <w:rsid w:val="00CC4AC7"/>
    <w:rsid w:val="00CC4B8A"/>
    <w:rsid w:val="00CC4B8F"/>
    <w:rsid w:val="00CC4C74"/>
    <w:rsid w:val="00CC4F9A"/>
    <w:rsid w:val="00CC54B8"/>
    <w:rsid w:val="00CC5524"/>
    <w:rsid w:val="00CC5607"/>
    <w:rsid w:val="00CC5956"/>
    <w:rsid w:val="00CC59C1"/>
    <w:rsid w:val="00CC6260"/>
    <w:rsid w:val="00CC69C4"/>
    <w:rsid w:val="00CC6C9E"/>
    <w:rsid w:val="00CC6E99"/>
    <w:rsid w:val="00CC6ED7"/>
    <w:rsid w:val="00CC6EF4"/>
    <w:rsid w:val="00CC780F"/>
    <w:rsid w:val="00CC7B83"/>
    <w:rsid w:val="00CD06DD"/>
    <w:rsid w:val="00CD0C1D"/>
    <w:rsid w:val="00CD0F82"/>
    <w:rsid w:val="00CD1404"/>
    <w:rsid w:val="00CD15CF"/>
    <w:rsid w:val="00CD1ACB"/>
    <w:rsid w:val="00CD1E99"/>
    <w:rsid w:val="00CD20A9"/>
    <w:rsid w:val="00CD20E0"/>
    <w:rsid w:val="00CD2371"/>
    <w:rsid w:val="00CD2569"/>
    <w:rsid w:val="00CD2B38"/>
    <w:rsid w:val="00CD2C49"/>
    <w:rsid w:val="00CD2F99"/>
    <w:rsid w:val="00CD325C"/>
    <w:rsid w:val="00CD3B88"/>
    <w:rsid w:val="00CD446A"/>
    <w:rsid w:val="00CD447E"/>
    <w:rsid w:val="00CD4669"/>
    <w:rsid w:val="00CD48A6"/>
    <w:rsid w:val="00CD4A4A"/>
    <w:rsid w:val="00CD4E82"/>
    <w:rsid w:val="00CD4ECF"/>
    <w:rsid w:val="00CD5095"/>
    <w:rsid w:val="00CD51AA"/>
    <w:rsid w:val="00CD534D"/>
    <w:rsid w:val="00CD5BD2"/>
    <w:rsid w:val="00CD5D00"/>
    <w:rsid w:val="00CD64AE"/>
    <w:rsid w:val="00CD66D8"/>
    <w:rsid w:val="00CD69D1"/>
    <w:rsid w:val="00CD6B36"/>
    <w:rsid w:val="00CD6BC2"/>
    <w:rsid w:val="00CD725F"/>
    <w:rsid w:val="00CE0C3D"/>
    <w:rsid w:val="00CE1028"/>
    <w:rsid w:val="00CE1398"/>
    <w:rsid w:val="00CE13B0"/>
    <w:rsid w:val="00CE1E4F"/>
    <w:rsid w:val="00CE2064"/>
    <w:rsid w:val="00CE2643"/>
    <w:rsid w:val="00CE2837"/>
    <w:rsid w:val="00CE288C"/>
    <w:rsid w:val="00CE28E3"/>
    <w:rsid w:val="00CE2B2F"/>
    <w:rsid w:val="00CE2C7A"/>
    <w:rsid w:val="00CE2E04"/>
    <w:rsid w:val="00CE2F0C"/>
    <w:rsid w:val="00CE3093"/>
    <w:rsid w:val="00CE3122"/>
    <w:rsid w:val="00CE3F4B"/>
    <w:rsid w:val="00CE41DC"/>
    <w:rsid w:val="00CE428C"/>
    <w:rsid w:val="00CE4593"/>
    <w:rsid w:val="00CE46FE"/>
    <w:rsid w:val="00CE48EC"/>
    <w:rsid w:val="00CE5378"/>
    <w:rsid w:val="00CE564A"/>
    <w:rsid w:val="00CE5A1E"/>
    <w:rsid w:val="00CE5A49"/>
    <w:rsid w:val="00CE7016"/>
    <w:rsid w:val="00CE7198"/>
    <w:rsid w:val="00CE721C"/>
    <w:rsid w:val="00CE7444"/>
    <w:rsid w:val="00CE793F"/>
    <w:rsid w:val="00CE79F6"/>
    <w:rsid w:val="00CE7AA7"/>
    <w:rsid w:val="00CE7DFA"/>
    <w:rsid w:val="00CE7EA8"/>
    <w:rsid w:val="00CF015F"/>
    <w:rsid w:val="00CF01CA"/>
    <w:rsid w:val="00CF043A"/>
    <w:rsid w:val="00CF0480"/>
    <w:rsid w:val="00CF04D6"/>
    <w:rsid w:val="00CF0891"/>
    <w:rsid w:val="00CF08B8"/>
    <w:rsid w:val="00CF08FC"/>
    <w:rsid w:val="00CF0AB3"/>
    <w:rsid w:val="00CF0E3F"/>
    <w:rsid w:val="00CF1664"/>
    <w:rsid w:val="00CF1A2D"/>
    <w:rsid w:val="00CF1BFE"/>
    <w:rsid w:val="00CF1CE0"/>
    <w:rsid w:val="00CF2011"/>
    <w:rsid w:val="00CF20D2"/>
    <w:rsid w:val="00CF26ED"/>
    <w:rsid w:val="00CF2913"/>
    <w:rsid w:val="00CF2C23"/>
    <w:rsid w:val="00CF2D51"/>
    <w:rsid w:val="00CF2E54"/>
    <w:rsid w:val="00CF2FBA"/>
    <w:rsid w:val="00CF34AC"/>
    <w:rsid w:val="00CF34C8"/>
    <w:rsid w:val="00CF34D1"/>
    <w:rsid w:val="00CF350D"/>
    <w:rsid w:val="00CF3888"/>
    <w:rsid w:val="00CF3BC4"/>
    <w:rsid w:val="00CF3D42"/>
    <w:rsid w:val="00CF3DB3"/>
    <w:rsid w:val="00CF3EA0"/>
    <w:rsid w:val="00CF4103"/>
    <w:rsid w:val="00CF439F"/>
    <w:rsid w:val="00CF45EC"/>
    <w:rsid w:val="00CF4A60"/>
    <w:rsid w:val="00CF4C22"/>
    <w:rsid w:val="00CF5073"/>
    <w:rsid w:val="00CF5239"/>
    <w:rsid w:val="00CF5702"/>
    <w:rsid w:val="00CF5739"/>
    <w:rsid w:val="00CF5E8A"/>
    <w:rsid w:val="00CF6111"/>
    <w:rsid w:val="00CF640A"/>
    <w:rsid w:val="00CF6871"/>
    <w:rsid w:val="00CF6E9E"/>
    <w:rsid w:val="00CF7120"/>
    <w:rsid w:val="00CF724C"/>
    <w:rsid w:val="00CF7275"/>
    <w:rsid w:val="00CF7398"/>
    <w:rsid w:val="00CF75D9"/>
    <w:rsid w:val="00CF7AC9"/>
    <w:rsid w:val="00D001B4"/>
    <w:rsid w:val="00D003B7"/>
    <w:rsid w:val="00D004FE"/>
    <w:rsid w:val="00D0057D"/>
    <w:rsid w:val="00D00E36"/>
    <w:rsid w:val="00D015FC"/>
    <w:rsid w:val="00D0170B"/>
    <w:rsid w:val="00D01906"/>
    <w:rsid w:val="00D01C93"/>
    <w:rsid w:val="00D0220D"/>
    <w:rsid w:val="00D027D5"/>
    <w:rsid w:val="00D02E2F"/>
    <w:rsid w:val="00D02F4F"/>
    <w:rsid w:val="00D03428"/>
    <w:rsid w:val="00D03620"/>
    <w:rsid w:val="00D03871"/>
    <w:rsid w:val="00D03ADF"/>
    <w:rsid w:val="00D03C5A"/>
    <w:rsid w:val="00D03D92"/>
    <w:rsid w:val="00D04706"/>
    <w:rsid w:val="00D0496E"/>
    <w:rsid w:val="00D04A67"/>
    <w:rsid w:val="00D04AB8"/>
    <w:rsid w:val="00D04AD3"/>
    <w:rsid w:val="00D04CB0"/>
    <w:rsid w:val="00D04CB3"/>
    <w:rsid w:val="00D05D64"/>
    <w:rsid w:val="00D06489"/>
    <w:rsid w:val="00D06687"/>
    <w:rsid w:val="00D06ADA"/>
    <w:rsid w:val="00D06DCD"/>
    <w:rsid w:val="00D07233"/>
    <w:rsid w:val="00D072A7"/>
    <w:rsid w:val="00D0770F"/>
    <w:rsid w:val="00D07A38"/>
    <w:rsid w:val="00D07D09"/>
    <w:rsid w:val="00D07D21"/>
    <w:rsid w:val="00D1034E"/>
    <w:rsid w:val="00D104DE"/>
    <w:rsid w:val="00D10520"/>
    <w:rsid w:val="00D108A1"/>
    <w:rsid w:val="00D1099E"/>
    <w:rsid w:val="00D10CA6"/>
    <w:rsid w:val="00D12954"/>
    <w:rsid w:val="00D12CCE"/>
    <w:rsid w:val="00D1303B"/>
    <w:rsid w:val="00D130CD"/>
    <w:rsid w:val="00D133EA"/>
    <w:rsid w:val="00D1368A"/>
    <w:rsid w:val="00D1406B"/>
    <w:rsid w:val="00D1437E"/>
    <w:rsid w:val="00D145FD"/>
    <w:rsid w:val="00D14C68"/>
    <w:rsid w:val="00D14E59"/>
    <w:rsid w:val="00D14E75"/>
    <w:rsid w:val="00D14E92"/>
    <w:rsid w:val="00D150E3"/>
    <w:rsid w:val="00D15277"/>
    <w:rsid w:val="00D154B4"/>
    <w:rsid w:val="00D15797"/>
    <w:rsid w:val="00D157AB"/>
    <w:rsid w:val="00D16275"/>
    <w:rsid w:val="00D16E29"/>
    <w:rsid w:val="00D17330"/>
    <w:rsid w:val="00D17369"/>
    <w:rsid w:val="00D17521"/>
    <w:rsid w:val="00D17699"/>
    <w:rsid w:val="00D17B46"/>
    <w:rsid w:val="00D20031"/>
    <w:rsid w:val="00D20976"/>
    <w:rsid w:val="00D209AD"/>
    <w:rsid w:val="00D209FA"/>
    <w:rsid w:val="00D20F9B"/>
    <w:rsid w:val="00D21510"/>
    <w:rsid w:val="00D219DC"/>
    <w:rsid w:val="00D21A5A"/>
    <w:rsid w:val="00D21F32"/>
    <w:rsid w:val="00D22003"/>
    <w:rsid w:val="00D2237C"/>
    <w:rsid w:val="00D223B1"/>
    <w:rsid w:val="00D2287B"/>
    <w:rsid w:val="00D22D93"/>
    <w:rsid w:val="00D22F45"/>
    <w:rsid w:val="00D23257"/>
    <w:rsid w:val="00D23445"/>
    <w:rsid w:val="00D238C4"/>
    <w:rsid w:val="00D23E53"/>
    <w:rsid w:val="00D23F45"/>
    <w:rsid w:val="00D24792"/>
    <w:rsid w:val="00D25108"/>
    <w:rsid w:val="00D2531A"/>
    <w:rsid w:val="00D253AC"/>
    <w:rsid w:val="00D25A80"/>
    <w:rsid w:val="00D25DB9"/>
    <w:rsid w:val="00D25E7B"/>
    <w:rsid w:val="00D2681C"/>
    <w:rsid w:val="00D26BBA"/>
    <w:rsid w:val="00D26D01"/>
    <w:rsid w:val="00D26F79"/>
    <w:rsid w:val="00D26FD3"/>
    <w:rsid w:val="00D27172"/>
    <w:rsid w:val="00D2736A"/>
    <w:rsid w:val="00D2764A"/>
    <w:rsid w:val="00D277DA"/>
    <w:rsid w:val="00D27835"/>
    <w:rsid w:val="00D27C50"/>
    <w:rsid w:val="00D27D9B"/>
    <w:rsid w:val="00D27F47"/>
    <w:rsid w:val="00D304EE"/>
    <w:rsid w:val="00D3095C"/>
    <w:rsid w:val="00D313B3"/>
    <w:rsid w:val="00D315B6"/>
    <w:rsid w:val="00D31671"/>
    <w:rsid w:val="00D319F0"/>
    <w:rsid w:val="00D31CB7"/>
    <w:rsid w:val="00D31CFF"/>
    <w:rsid w:val="00D327CE"/>
    <w:rsid w:val="00D3292B"/>
    <w:rsid w:val="00D32E4A"/>
    <w:rsid w:val="00D32F87"/>
    <w:rsid w:val="00D330E1"/>
    <w:rsid w:val="00D33354"/>
    <w:rsid w:val="00D33687"/>
    <w:rsid w:val="00D33B79"/>
    <w:rsid w:val="00D33BA5"/>
    <w:rsid w:val="00D33DC1"/>
    <w:rsid w:val="00D33F02"/>
    <w:rsid w:val="00D33FE6"/>
    <w:rsid w:val="00D3433E"/>
    <w:rsid w:val="00D349C0"/>
    <w:rsid w:val="00D35685"/>
    <w:rsid w:val="00D358F7"/>
    <w:rsid w:val="00D35A86"/>
    <w:rsid w:val="00D35D4F"/>
    <w:rsid w:val="00D35E18"/>
    <w:rsid w:val="00D35EB4"/>
    <w:rsid w:val="00D35F50"/>
    <w:rsid w:val="00D36062"/>
    <w:rsid w:val="00D36376"/>
    <w:rsid w:val="00D36477"/>
    <w:rsid w:val="00D36718"/>
    <w:rsid w:val="00D36E67"/>
    <w:rsid w:val="00D37057"/>
    <w:rsid w:val="00D3706E"/>
    <w:rsid w:val="00D37089"/>
    <w:rsid w:val="00D37265"/>
    <w:rsid w:val="00D376FB"/>
    <w:rsid w:val="00D37AD9"/>
    <w:rsid w:val="00D37BEE"/>
    <w:rsid w:val="00D37EF5"/>
    <w:rsid w:val="00D37F7D"/>
    <w:rsid w:val="00D40599"/>
    <w:rsid w:val="00D405A0"/>
    <w:rsid w:val="00D409CC"/>
    <w:rsid w:val="00D40A79"/>
    <w:rsid w:val="00D40E3C"/>
    <w:rsid w:val="00D40FFD"/>
    <w:rsid w:val="00D419C9"/>
    <w:rsid w:val="00D41C70"/>
    <w:rsid w:val="00D420EF"/>
    <w:rsid w:val="00D426FC"/>
    <w:rsid w:val="00D427D5"/>
    <w:rsid w:val="00D427DB"/>
    <w:rsid w:val="00D428B9"/>
    <w:rsid w:val="00D4298B"/>
    <w:rsid w:val="00D43246"/>
    <w:rsid w:val="00D43875"/>
    <w:rsid w:val="00D43A88"/>
    <w:rsid w:val="00D43F7B"/>
    <w:rsid w:val="00D442CB"/>
    <w:rsid w:val="00D4434E"/>
    <w:rsid w:val="00D44438"/>
    <w:rsid w:val="00D44B30"/>
    <w:rsid w:val="00D44C0B"/>
    <w:rsid w:val="00D451AB"/>
    <w:rsid w:val="00D45611"/>
    <w:rsid w:val="00D45750"/>
    <w:rsid w:val="00D457EA"/>
    <w:rsid w:val="00D4599D"/>
    <w:rsid w:val="00D45AA8"/>
    <w:rsid w:val="00D45C42"/>
    <w:rsid w:val="00D45D1E"/>
    <w:rsid w:val="00D45E7A"/>
    <w:rsid w:val="00D466AD"/>
    <w:rsid w:val="00D469D9"/>
    <w:rsid w:val="00D46A26"/>
    <w:rsid w:val="00D46B92"/>
    <w:rsid w:val="00D471AF"/>
    <w:rsid w:val="00D473DB"/>
    <w:rsid w:val="00D475EF"/>
    <w:rsid w:val="00D4795F"/>
    <w:rsid w:val="00D479D2"/>
    <w:rsid w:val="00D47E96"/>
    <w:rsid w:val="00D5014E"/>
    <w:rsid w:val="00D508F1"/>
    <w:rsid w:val="00D50BA9"/>
    <w:rsid w:val="00D50F61"/>
    <w:rsid w:val="00D51217"/>
    <w:rsid w:val="00D512D0"/>
    <w:rsid w:val="00D515D4"/>
    <w:rsid w:val="00D51C30"/>
    <w:rsid w:val="00D527C8"/>
    <w:rsid w:val="00D52963"/>
    <w:rsid w:val="00D52AF3"/>
    <w:rsid w:val="00D52D11"/>
    <w:rsid w:val="00D52E54"/>
    <w:rsid w:val="00D52FF5"/>
    <w:rsid w:val="00D5303F"/>
    <w:rsid w:val="00D531B4"/>
    <w:rsid w:val="00D531D6"/>
    <w:rsid w:val="00D53401"/>
    <w:rsid w:val="00D5373C"/>
    <w:rsid w:val="00D539BD"/>
    <w:rsid w:val="00D54361"/>
    <w:rsid w:val="00D54695"/>
    <w:rsid w:val="00D54E47"/>
    <w:rsid w:val="00D54F45"/>
    <w:rsid w:val="00D55612"/>
    <w:rsid w:val="00D560A6"/>
    <w:rsid w:val="00D568F6"/>
    <w:rsid w:val="00D56CFE"/>
    <w:rsid w:val="00D56DFA"/>
    <w:rsid w:val="00D570F9"/>
    <w:rsid w:val="00D575FF"/>
    <w:rsid w:val="00D576FB"/>
    <w:rsid w:val="00D57CC9"/>
    <w:rsid w:val="00D6002B"/>
    <w:rsid w:val="00D60414"/>
    <w:rsid w:val="00D60E22"/>
    <w:rsid w:val="00D60EDD"/>
    <w:rsid w:val="00D60EFD"/>
    <w:rsid w:val="00D60F04"/>
    <w:rsid w:val="00D60F6A"/>
    <w:rsid w:val="00D61050"/>
    <w:rsid w:val="00D61075"/>
    <w:rsid w:val="00D61302"/>
    <w:rsid w:val="00D61320"/>
    <w:rsid w:val="00D6153E"/>
    <w:rsid w:val="00D6182C"/>
    <w:rsid w:val="00D61A3C"/>
    <w:rsid w:val="00D628E1"/>
    <w:rsid w:val="00D628EA"/>
    <w:rsid w:val="00D62B2E"/>
    <w:rsid w:val="00D62F4D"/>
    <w:rsid w:val="00D631A6"/>
    <w:rsid w:val="00D63A47"/>
    <w:rsid w:val="00D63AAA"/>
    <w:rsid w:val="00D63AAC"/>
    <w:rsid w:val="00D63C08"/>
    <w:rsid w:val="00D641A9"/>
    <w:rsid w:val="00D643C0"/>
    <w:rsid w:val="00D643CC"/>
    <w:rsid w:val="00D645D7"/>
    <w:rsid w:val="00D64733"/>
    <w:rsid w:val="00D64906"/>
    <w:rsid w:val="00D64DD3"/>
    <w:rsid w:val="00D64EDA"/>
    <w:rsid w:val="00D64F8A"/>
    <w:rsid w:val="00D652D9"/>
    <w:rsid w:val="00D656C2"/>
    <w:rsid w:val="00D6693D"/>
    <w:rsid w:val="00D6699B"/>
    <w:rsid w:val="00D66A88"/>
    <w:rsid w:val="00D66B33"/>
    <w:rsid w:val="00D6733E"/>
    <w:rsid w:val="00D67371"/>
    <w:rsid w:val="00D678E7"/>
    <w:rsid w:val="00D67D0C"/>
    <w:rsid w:val="00D70AAA"/>
    <w:rsid w:val="00D70C88"/>
    <w:rsid w:val="00D70CD1"/>
    <w:rsid w:val="00D70DA1"/>
    <w:rsid w:val="00D70DDA"/>
    <w:rsid w:val="00D70FF3"/>
    <w:rsid w:val="00D713F7"/>
    <w:rsid w:val="00D7166D"/>
    <w:rsid w:val="00D71703"/>
    <w:rsid w:val="00D720CF"/>
    <w:rsid w:val="00D72134"/>
    <w:rsid w:val="00D723F6"/>
    <w:rsid w:val="00D72B5B"/>
    <w:rsid w:val="00D73AD9"/>
    <w:rsid w:val="00D73FAB"/>
    <w:rsid w:val="00D741E4"/>
    <w:rsid w:val="00D743D5"/>
    <w:rsid w:val="00D749B1"/>
    <w:rsid w:val="00D74AE2"/>
    <w:rsid w:val="00D74EB0"/>
    <w:rsid w:val="00D750E9"/>
    <w:rsid w:val="00D750F8"/>
    <w:rsid w:val="00D75A81"/>
    <w:rsid w:val="00D762F6"/>
    <w:rsid w:val="00D7638A"/>
    <w:rsid w:val="00D76F04"/>
    <w:rsid w:val="00D76F68"/>
    <w:rsid w:val="00D7719F"/>
    <w:rsid w:val="00D777A3"/>
    <w:rsid w:val="00D777C6"/>
    <w:rsid w:val="00D77951"/>
    <w:rsid w:val="00D77A00"/>
    <w:rsid w:val="00D77B20"/>
    <w:rsid w:val="00D77BBA"/>
    <w:rsid w:val="00D8025B"/>
    <w:rsid w:val="00D802B1"/>
    <w:rsid w:val="00D80A3B"/>
    <w:rsid w:val="00D80B4D"/>
    <w:rsid w:val="00D80B4F"/>
    <w:rsid w:val="00D80C29"/>
    <w:rsid w:val="00D80C4B"/>
    <w:rsid w:val="00D80E70"/>
    <w:rsid w:val="00D814A8"/>
    <w:rsid w:val="00D81844"/>
    <w:rsid w:val="00D81D29"/>
    <w:rsid w:val="00D81F7E"/>
    <w:rsid w:val="00D82105"/>
    <w:rsid w:val="00D822F3"/>
    <w:rsid w:val="00D824D3"/>
    <w:rsid w:val="00D82909"/>
    <w:rsid w:val="00D82A9F"/>
    <w:rsid w:val="00D82B8A"/>
    <w:rsid w:val="00D8302A"/>
    <w:rsid w:val="00D8316D"/>
    <w:rsid w:val="00D83854"/>
    <w:rsid w:val="00D83B51"/>
    <w:rsid w:val="00D84075"/>
    <w:rsid w:val="00D844BD"/>
    <w:rsid w:val="00D8459D"/>
    <w:rsid w:val="00D8463C"/>
    <w:rsid w:val="00D84724"/>
    <w:rsid w:val="00D84845"/>
    <w:rsid w:val="00D848BD"/>
    <w:rsid w:val="00D84D42"/>
    <w:rsid w:val="00D84ECA"/>
    <w:rsid w:val="00D851D2"/>
    <w:rsid w:val="00D8525E"/>
    <w:rsid w:val="00D8577F"/>
    <w:rsid w:val="00D858E3"/>
    <w:rsid w:val="00D85CFF"/>
    <w:rsid w:val="00D861B4"/>
    <w:rsid w:val="00D86764"/>
    <w:rsid w:val="00D869B7"/>
    <w:rsid w:val="00D87217"/>
    <w:rsid w:val="00D878BB"/>
    <w:rsid w:val="00D87A70"/>
    <w:rsid w:val="00D87B69"/>
    <w:rsid w:val="00D87B85"/>
    <w:rsid w:val="00D87DC2"/>
    <w:rsid w:val="00D87F72"/>
    <w:rsid w:val="00D9028A"/>
    <w:rsid w:val="00D9041B"/>
    <w:rsid w:val="00D90577"/>
    <w:rsid w:val="00D90578"/>
    <w:rsid w:val="00D90DBB"/>
    <w:rsid w:val="00D90EFE"/>
    <w:rsid w:val="00D9141D"/>
    <w:rsid w:val="00D917ED"/>
    <w:rsid w:val="00D91AC8"/>
    <w:rsid w:val="00D91B41"/>
    <w:rsid w:val="00D91C4A"/>
    <w:rsid w:val="00D91EEF"/>
    <w:rsid w:val="00D927B7"/>
    <w:rsid w:val="00D929FC"/>
    <w:rsid w:val="00D92C77"/>
    <w:rsid w:val="00D92C98"/>
    <w:rsid w:val="00D92D98"/>
    <w:rsid w:val="00D930EA"/>
    <w:rsid w:val="00D9362B"/>
    <w:rsid w:val="00D937C3"/>
    <w:rsid w:val="00D93AB9"/>
    <w:rsid w:val="00D93E29"/>
    <w:rsid w:val="00D940CC"/>
    <w:rsid w:val="00D94111"/>
    <w:rsid w:val="00D94287"/>
    <w:rsid w:val="00D9439D"/>
    <w:rsid w:val="00D946C9"/>
    <w:rsid w:val="00D94CF3"/>
    <w:rsid w:val="00D94FB3"/>
    <w:rsid w:val="00D955C6"/>
    <w:rsid w:val="00D957BA"/>
    <w:rsid w:val="00D96047"/>
    <w:rsid w:val="00D967A8"/>
    <w:rsid w:val="00D96BAC"/>
    <w:rsid w:val="00D96BCF"/>
    <w:rsid w:val="00D96C94"/>
    <w:rsid w:val="00D96D58"/>
    <w:rsid w:val="00D96FC2"/>
    <w:rsid w:val="00D97114"/>
    <w:rsid w:val="00D972C6"/>
    <w:rsid w:val="00D97375"/>
    <w:rsid w:val="00D9753C"/>
    <w:rsid w:val="00D979F2"/>
    <w:rsid w:val="00DA03AD"/>
    <w:rsid w:val="00DA058E"/>
    <w:rsid w:val="00DA0969"/>
    <w:rsid w:val="00DA09B7"/>
    <w:rsid w:val="00DA0ECC"/>
    <w:rsid w:val="00DA0FFF"/>
    <w:rsid w:val="00DA13B9"/>
    <w:rsid w:val="00DA1508"/>
    <w:rsid w:val="00DA17E6"/>
    <w:rsid w:val="00DA192A"/>
    <w:rsid w:val="00DA1A6B"/>
    <w:rsid w:val="00DA1BCA"/>
    <w:rsid w:val="00DA1E81"/>
    <w:rsid w:val="00DA251D"/>
    <w:rsid w:val="00DA2739"/>
    <w:rsid w:val="00DA27C8"/>
    <w:rsid w:val="00DA293B"/>
    <w:rsid w:val="00DA2C0D"/>
    <w:rsid w:val="00DA30E1"/>
    <w:rsid w:val="00DA3209"/>
    <w:rsid w:val="00DA36CF"/>
    <w:rsid w:val="00DA37D2"/>
    <w:rsid w:val="00DA393F"/>
    <w:rsid w:val="00DA3BFA"/>
    <w:rsid w:val="00DA3D2B"/>
    <w:rsid w:val="00DA41C2"/>
    <w:rsid w:val="00DA49A1"/>
    <w:rsid w:val="00DA4D9A"/>
    <w:rsid w:val="00DA512C"/>
    <w:rsid w:val="00DA548E"/>
    <w:rsid w:val="00DA5855"/>
    <w:rsid w:val="00DA604B"/>
    <w:rsid w:val="00DA6765"/>
    <w:rsid w:val="00DA6C57"/>
    <w:rsid w:val="00DA6D90"/>
    <w:rsid w:val="00DA6EC7"/>
    <w:rsid w:val="00DA6F94"/>
    <w:rsid w:val="00DA6FFC"/>
    <w:rsid w:val="00DA763E"/>
    <w:rsid w:val="00DA76C7"/>
    <w:rsid w:val="00DA7B5C"/>
    <w:rsid w:val="00DA7BC0"/>
    <w:rsid w:val="00DA7C84"/>
    <w:rsid w:val="00DB003C"/>
    <w:rsid w:val="00DB0147"/>
    <w:rsid w:val="00DB0560"/>
    <w:rsid w:val="00DB0B60"/>
    <w:rsid w:val="00DB12C2"/>
    <w:rsid w:val="00DB14B1"/>
    <w:rsid w:val="00DB182A"/>
    <w:rsid w:val="00DB1CD6"/>
    <w:rsid w:val="00DB1CF7"/>
    <w:rsid w:val="00DB1E91"/>
    <w:rsid w:val="00DB1F98"/>
    <w:rsid w:val="00DB2597"/>
    <w:rsid w:val="00DB2C00"/>
    <w:rsid w:val="00DB2E80"/>
    <w:rsid w:val="00DB2F90"/>
    <w:rsid w:val="00DB3573"/>
    <w:rsid w:val="00DB3588"/>
    <w:rsid w:val="00DB382E"/>
    <w:rsid w:val="00DB3891"/>
    <w:rsid w:val="00DB39E2"/>
    <w:rsid w:val="00DB3A6D"/>
    <w:rsid w:val="00DB3A92"/>
    <w:rsid w:val="00DB3FFE"/>
    <w:rsid w:val="00DB4155"/>
    <w:rsid w:val="00DB4169"/>
    <w:rsid w:val="00DB4181"/>
    <w:rsid w:val="00DB43C8"/>
    <w:rsid w:val="00DB4410"/>
    <w:rsid w:val="00DB484B"/>
    <w:rsid w:val="00DB484F"/>
    <w:rsid w:val="00DB495E"/>
    <w:rsid w:val="00DB498D"/>
    <w:rsid w:val="00DB4ABC"/>
    <w:rsid w:val="00DB5117"/>
    <w:rsid w:val="00DB59C4"/>
    <w:rsid w:val="00DB5BAC"/>
    <w:rsid w:val="00DB5C28"/>
    <w:rsid w:val="00DB6031"/>
    <w:rsid w:val="00DB6152"/>
    <w:rsid w:val="00DB6429"/>
    <w:rsid w:val="00DB664A"/>
    <w:rsid w:val="00DB6CD7"/>
    <w:rsid w:val="00DB718C"/>
    <w:rsid w:val="00DB7245"/>
    <w:rsid w:val="00DB7251"/>
    <w:rsid w:val="00DB73A1"/>
    <w:rsid w:val="00DB7463"/>
    <w:rsid w:val="00DB762F"/>
    <w:rsid w:val="00DB7A49"/>
    <w:rsid w:val="00DB7D70"/>
    <w:rsid w:val="00DB7F43"/>
    <w:rsid w:val="00DC06F0"/>
    <w:rsid w:val="00DC10DC"/>
    <w:rsid w:val="00DC135A"/>
    <w:rsid w:val="00DC1482"/>
    <w:rsid w:val="00DC148E"/>
    <w:rsid w:val="00DC14AF"/>
    <w:rsid w:val="00DC1720"/>
    <w:rsid w:val="00DC1B7C"/>
    <w:rsid w:val="00DC254B"/>
    <w:rsid w:val="00DC28C9"/>
    <w:rsid w:val="00DC2BF4"/>
    <w:rsid w:val="00DC2E25"/>
    <w:rsid w:val="00DC3228"/>
    <w:rsid w:val="00DC3392"/>
    <w:rsid w:val="00DC3633"/>
    <w:rsid w:val="00DC3C4C"/>
    <w:rsid w:val="00DC3CA5"/>
    <w:rsid w:val="00DC4036"/>
    <w:rsid w:val="00DC4108"/>
    <w:rsid w:val="00DC457E"/>
    <w:rsid w:val="00DC4669"/>
    <w:rsid w:val="00DC47AD"/>
    <w:rsid w:val="00DC4821"/>
    <w:rsid w:val="00DC4A19"/>
    <w:rsid w:val="00DC4BBD"/>
    <w:rsid w:val="00DC4EC7"/>
    <w:rsid w:val="00DC4EF6"/>
    <w:rsid w:val="00DC4F64"/>
    <w:rsid w:val="00DC50C5"/>
    <w:rsid w:val="00DC517A"/>
    <w:rsid w:val="00DC55CA"/>
    <w:rsid w:val="00DC59FA"/>
    <w:rsid w:val="00DC5AD2"/>
    <w:rsid w:val="00DC6410"/>
    <w:rsid w:val="00DC64A7"/>
    <w:rsid w:val="00DC66A9"/>
    <w:rsid w:val="00DC6D4F"/>
    <w:rsid w:val="00DC7322"/>
    <w:rsid w:val="00DC781F"/>
    <w:rsid w:val="00DC78C2"/>
    <w:rsid w:val="00DC78C3"/>
    <w:rsid w:val="00DC79BC"/>
    <w:rsid w:val="00DC7EE1"/>
    <w:rsid w:val="00DD0406"/>
    <w:rsid w:val="00DD07BF"/>
    <w:rsid w:val="00DD0891"/>
    <w:rsid w:val="00DD08F3"/>
    <w:rsid w:val="00DD0953"/>
    <w:rsid w:val="00DD112B"/>
    <w:rsid w:val="00DD15EA"/>
    <w:rsid w:val="00DD1663"/>
    <w:rsid w:val="00DD1897"/>
    <w:rsid w:val="00DD1A95"/>
    <w:rsid w:val="00DD1E0E"/>
    <w:rsid w:val="00DD1E2C"/>
    <w:rsid w:val="00DD1E32"/>
    <w:rsid w:val="00DD1E43"/>
    <w:rsid w:val="00DD1F09"/>
    <w:rsid w:val="00DD279D"/>
    <w:rsid w:val="00DD2C81"/>
    <w:rsid w:val="00DD2D24"/>
    <w:rsid w:val="00DD2F23"/>
    <w:rsid w:val="00DD313D"/>
    <w:rsid w:val="00DD3D43"/>
    <w:rsid w:val="00DD40E4"/>
    <w:rsid w:val="00DD40EA"/>
    <w:rsid w:val="00DD4311"/>
    <w:rsid w:val="00DD4A8B"/>
    <w:rsid w:val="00DD4DED"/>
    <w:rsid w:val="00DD4E9C"/>
    <w:rsid w:val="00DD4FD9"/>
    <w:rsid w:val="00DD50B5"/>
    <w:rsid w:val="00DD51D9"/>
    <w:rsid w:val="00DD51DF"/>
    <w:rsid w:val="00DD5733"/>
    <w:rsid w:val="00DD57A1"/>
    <w:rsid w:val="00DD57F5"/>
    <w:rsid w:val="00DD5B5C"/>
    <w:rsid w:val="00DD5BB9"/>
    <w:rsid w:val="00DD5E97"/>
    <w:rsid w:val="00DD5F27"/>
    <w:rsid w:val="00DD5FFD"/>
    <w:rsid w:val="00DD61AC"/>
    <w:rsid w:val="00DD6345"/>
    <w:rsid w:val="00DD6CE8"/>
    <w:rsid w:val="00DD736D"/>
    <w:rsid w:val="00DD7512"/>
    <w:rsid w:val="00DD778F"/>
    <w:rsid w:val="00DD7D9D"/>
    <w:rsid w:val="00DE03C0"/>
    <w:rsid w:val="00DE0635"/>
    <w:rsid w:val="00DE09FC"/>
    <w:rsid w:val="00DE1354"/>
    <w:rsid w:val="00DE184F"/>
    <w:rsid w:val="00DE1957"/>
    <w:rsid w:val="00DE1967"/>
    <w:rsid w:val="00DE1F4E"/>
    <w:rsid w:val="00DE226B"/>
    <w:rsid w:val="00DE2496"/>
    <w:rsid w:val="00DE2728"/>
    <w:rsid w:val="00DE2C03"/>
    <w:rsid w:val="00DE39AA"/>
    <w:rsid w:val="00DE3CFD"/>
    <w:rsid w:val="00DE3DD5"/>
    <w:rsid w:val="00DE3E26"/>
    <w:rsid w:val="00DE40D4"/>
    <w:rsid w:val="00DE46C0"/>
    <w:rsid w:val="00DE4AF6"/>
    <w:rsid w:val="00DE4D43"/>
    <w:rsid w:val="00DE4D60"/>
    <w:rsid w:val="00DE4F5F"/>
    <w:rsid w:val="00DE4FE8"/>
    <w:rsid w:val="00DE56AB"/>
    <w:rsid w:val="00DE58E6"/>
    <w:rsid w:val="00DE5B42"/>
    <w:rsid w:val="00DE5E1C"/>
    <w:rsid w:val="00DE5F01"/>
    <w:rsid w:val="00DE5F55"/>
    <w:rsid w:val="00DE669C"/>
    <w:rsid w:val="00DE66EB"/>
    <w:rsid w:val="00DE7099"/>
    <w:rsid w:val="00DF0079"/>
    <w:rsid w:val="00DF0141"/>
    <w:rsid w:val="00DF0B70"/>
    <w:rsid w:val="00DF0D4D"/>
    <w:rsid w:val="00DF0FAA"/>
    <w:rsid w:val="00DF112D"/>
    <w:rsid w:val="00DF135C"/>
    <w:rsid w:val="00DF17F9"/>
    <w:rsid w:val="00DF24EE"/>
    <w:rsid w:val="00DF2A46"/>
    <w:rsid w:val="00DF2A72"/>
    <w:rsid w:val="00DF2B2C"/>
    <w:rsid w:val="00DF2B91"/>
    <w:rsid w:val="00DF336E"/>
    <w:rsid w:val="00DF341B"/>
    <w:rsid w:val="00DF358A"/>
    <w:rsid w:val="00DF378E"/>
    <w:rsid w:val="00DF39E9"/>
    <w:rsid w:val="00DF40EE"/>
    <w:rsid w:val="00DF431B"/>
    <w:rsid w:val="00DF43DC"/>
    <w:rsid w:val="00DF458F"/>
    <w:rsid w:val="00DF462B"/>
    <w:rsid w:val="00DF4894"/>
    <w:rsid w:val="00DF4FD0"/>
    <w:rsid w:val="00DF563C"/>
    <w:rsid w:val="00DF5B06"/>
    <w:rsid w:val="00DF62CC"/>
    <w:rsid w:val="00DF63AA"/>
    <w:rsid w:val="00DF6414"/>
    <w:rsid w:val="00DF6984"/>
    <w:rsid w:val="00DF74D9"/>
    <w:rsid w:val="00DF7572"/>
    <w:rsid w:val="00DF7782"/>
    <w:rsid w:val="00DF782E"/>
    <w:rsid w:val="00E00338"/>
    <w:rsid w:val="00E00674"/>
    <w:rsid w:val="00E02079"/>
    <w:rsid w:val="00E0208B"/>
    <w:rsid w:val="00E029C4"/>
    <w:rsid w:val="00E02B75"/>
    <w:rsid w:val="00E02BEA"/>
    <w:rsid w:val="00E02F9E"/>
    <w:rsid w:val="00E033EA"/>
    <w:rsid w:val="00E0360B"/>
    <w:rsid w:val="00E03A76"/>
    <w:rsid w:val="00E03A96"/>
    <w:rsid w:val="00E04371"/>
    <w:rsid w:val="00E05005"/>
    <w:rsid w:val="00E05367"/>
    <w:rsid w:val="00E055F0"/>
    <w:rsid w:val="00E057B5"/>
    <w:rsid w:val="00E05A5D"/>
    <w:rsid w:val="00E05CB7"/>
    <w:rsid w:val="00E05CDB"/>
    <w:rsid w:val="00E05D56"/>
    <w:rsid w:val="00E0636B"/>
    <w:rsid w:val="00E06455"/>
    <w:rsid w:val="00E06BE1"/>
    <w:rsid w:val="00E0709D"/>
    <w:rsid w:val="00E074E9"/>
    <w:rsid w:val="00E075FE"/>
    <w:rsid w:val="00E0783B"/>
    <w:rsid w:val="00E079B8"/>
    <w:rsid w:val="00E07CE1"/>
    <w:rsid w:val="00E10009"/>
    <w:rsid w:val="00E105A9"/>
    <w:rsid w:val="00E10A51"/>
    <w:rsid w:val="00E10DE6"/>
    <w:rsid w:val="00E110BB"/>
    <w:rsid w:val="00E11259"/>
    <w:rsid w:val="00E11561"/>
    <w:rsid w:val="00E11586"/>
    <w:rsid w:val="00E116C5"/>
    <w:rsid w:val="00E127C3"/>
    <w:rsid w:val="00E12DEF"/>
    <w:rsid w:val="00E12E5B"/>
    <w:rsid w:val="00E1308C"/>
    <w:rsid w:val="00E13E2A"/>
    <w:rsid w:val="00E14AE5"/>
    <w:rsid w:val="00E14D7B"/>
    <w:rsid w:val="00E15056"/>
    <w:rsid w:val="00E15097"/>
    <w:rsid w:val="00E150D1"/>
    <w:rsid w:val="00E1570F"/>
    <w:rsid w:val="00E158A8"/>
    <w:rsid w:val="00E159DD"/>
    <w:rsid w:val="00E15B2C"/>
    <w:rsid w:val="00E15D7E"/>
    <w:rsid w:val="00E15DB1"/>
    <w:rsid w:val="00E164B7"/>
    <w:rsid w:val="00E16794"/>
    <w:rsid w:val="00E16EC5"/>
    <w:rsid w:val="00E174E1"/>
    <w:rsid w:val="00E17552"/>
    <w:rsid w:val="00E17CE1"/>
    <w:rsid w:val="00E17DAB"/>
    <w:rsid w:val="00E201EB"/>
    <w:rsid w:val="00E2024D"/>
    <w:rsid w:val="00E2199F"/>
    <w:rsid w:val="00E21B03"/>
    <w:rsid w:val="00E21C98"/>
    <w:rsid w:val="00E21FF1"/>
    <w:rsid w:val="00E22445"/>
    <w:rsid w:val="00E229D1"/>
    <w:rsid w:val="00E2315A"/>
    <w:rsid w:val="00E231C8"/>
    <w:rsid w:val="00E240E0"/>
    <w:rsid w:val="00E24443"/>
    <w:rsid w:val="00E24704"/>
    <w:rsid w:val="00E24888"/>
    <w:rsid w:val="00E24C7B"/>
    <w:rsid w:val="00E260A3"/>
    <w:rsid w:val="00E26637"/>
    <w:rsid w:val="00E26AEC"/>
    <w:rsid w:val="00E26B86"/>
    <w:rsid w:val="00E26CF1"/>
    <w:rsid w:val="00E26D15"/>
    <w:rsid w:val="00E27BB8"/>
    <w:rsid w:val="00E27C7F"/>
    <w:rsid w:val="00E27DDB"/>
    <w:rsid w:val="00E27E28"/>
    <w:rsid w:val="00E30491"/>
    <w:rsid w:val="00E30535"/>
    <w:rsid w:val="00E30E60"/>
    <w:rsid w:val="00E3110F"/>
    <w:rsid w:val="00E312C2"/>
    <w:rsid w:val="00E3168F"/>
    <w:rsid w:val="00E31702"/>
    <w:rsid w:val="00E31718"/>
    <w:rsid w:val="00E31943"/>
    <w:rsid w:val="00E31B75"/>
    <w:rsid w:val="00E31BB2"/>
    <w:rsid w:val="00E31E88"/>
    <w:rsid w:val="00E32052"/>
    <w:rsid w:val="00E3233C"/>
    <w:rsid w:val="00E3242E"/>
    <w:rsid w:val="00E325D6"/>
    <w:rsid w:val="00E327EC"/>
    <w:rsid w:val="00E32FFD"/>
    <w:rsid w:val="00E330C9"/>
    <w:rsid w:val="00E330CA"/>
    <w:rsid w:val="00E332A6"/>
    <w:rsid w:val="00E3330E"/>
    <w:rsid w:val="00E3351F"/>
    <w:rsid w:val="00E33992"/>
    <w:rsid w:val="00E33DC1"/>
    <w:rsid w:val="00E340EB"/>
    <w:rsid w:val="00E347E3"/>
    <w:rsid w:val="00E34835"/>
    <w:rsid w:val="00E35A6A"/>
    <w:rsid w:val="00E36023"/>
    <w:rsid w:val="00E362E4"/>
    <w:rsid w:val="00E36443"/>
    <w:rsid w:val="00E368A0"/>
    <w:rsid w:val="00E368C7"/>
    <w:rsid w:val="00E36FE0"/>
    <w:rsid w:val="00E37117"/>
    <w:rsid w:val="00E374ED"/>
    <w:rsid w:val="00E37524"/>
    <w:rsid w:val="00E378A4"/>
    <w:rsid w:val="00E37922"/>
    <w:rsid w:val="00E407DA"/>
    <w:rsid w:val="00E40A73"/>
    <w:rsid w:val="00E40DAE"/>
    <w:rsid w:val="00E40F62"/>
    <w:rsid w:val="00E41343"/>
    <w:rsid w:val="00E4168E"/>
    <w:rsid w:val="00E41DA4"/>
    <w:rsid w:val="00E423DD"/>
    <w:rsid w:val="00E42731"/>
    <w:rsid w:val="00E42BDB"/>
    <w:rsid w:val="00E42CC4"/>
    <w:rsid w:val="00E42DC2"/>
    <w:rsid w:val="00E430C9"/>
    <w:rsid w:val="00E431FE"/>
    <w:rsid w:val="00E43249"/>
    <w:rsid w:val="00E436A2"/>
    <w:rsid w:val="00E43B05"/>
    <w:rsid w:val="00E43D39"/>
    <w:rsid w:val="00E440AC"/>
    <w:rsid w:val="00E440DE"/>
    <w:rsid w:val="00E444B3"/>
    <w:rsid w:val="00E444E7"/>
    <w:rsid w:val="00E44802"/>
    <w:rsid w:val="00E44D87"/>
    <w:rsid w:val="00E45430"/>
    <w:rsid w:val="00E4570A"/>
    <w:rsid w:val="00E45821"/>
    <w:rsid w:val="00E458D8"/>
    <w:rsid w:val="00E464A7"/>
    <w:rsid w:val="00E4651F"/>
    <w:rsid w:val="00E46578"/>
    <w:rsid w:val="00E468D6"/>
    <w:rsid w:val="00E46908"/>
    <w:rsid w:val="00E469C0"/>
    <w:rsid w:val="00E47013"/>
    <w:rsid w:val="00E474D4"/>
    <w:rsid w:val="00E476FF"/>
    <w:rsid w:val="00E47993"/>
    <w:rsid w:val="00E47A33"/>
    <w:rsid w:val="00E47B69"/>
    <w:rsid w:val="00E47C07"/>
    <w:rsid w:val="00E47EB2"/>
    <w:rsid w:val="00E50740"/>
    <w:rsid w:val="00E50B52"/>
    <w:rsid w:val="00E51327"/>
    <w:rsid w:val="00E5174A"/>
    <w:rsid w:val="00E518A7"/>
    <w:rsid w:val="00E51C60"/>
    <w:rsid w:val="00E529F5"/>
    <w:rsid w:val="00E52BC4"/>
    <w:rsid w:val="00E52DA8"/>
    <w:rsid w:val="00E53160"/>
    <w:rsid w:val="00E5333F"/>
    <w:rsid w:val="00E53441"/>
    <w:rsid w:val="00E5356B"/>
    <w:rsid w:val="00E535A0"/>
    <w:rsid w:val="00E537C9"/>
    <w:rsid w:val="00E53999"/>
    <w:rsid w:val="00E5399D"/>
    <w:rsid w:val="00E53B07"/>
    <w:rsid w:val="00E53E00"/>
    <w:rsid w:val="00E54152"/>
    <w:rsid w:val="00E541C1"/>
    <w:rsid w:val="00E54221"/>
    <w:rsid w:val="00E5469B"/>
    <w:rsid w:val="00E54B49"/>
    <w:rsid w:val="00E54E08"/>
    <w:rsid w:val="00E5540F"/>
    <w:rsid w:val="00E55650"/>
    <w:rsid w:val="00E556C1"/>
    <w:rsid w:val="00E5650A"/>
    <w:rsid w:val="00E56745"/>
    <w:rsid w:val="00E567DC"/>
    <w:rsid w:val="00E56B30"/>
    <w:rsid w:val="00E56C54"/>
    <w:rsid w:val="00E56D70"/>
    <w:rsid w:val="00E56EE3"/>
    <w:rsid w:val="00E574EC"/>
    <w:rsid w:val="00E57BF6"/>
    <w:rsid w:val="00E57E5E"/>
    <w:rsid w:val="00E57F9C"/>
    <w:rsid w:val="00E606E8"/>
    <w:rsid w:val="00E60AD0"/>
    <w:rsid w:val="00E60BEE"/>
    <w:rsid w:val="00E60EEF"/>
    <w:rsid w:val="00E6124D"/>
    <w:rsid w:val="00E6134E"/>
    <w:rsid w:val="00E6155A"/>
    <w:rsid w:val="00E615F9"/>
    <w:rsid w:val="00E6193C"/>
    <w:rsid w:val="00E61BB5"/>
    <w:rsid w:val="00E61BF9"/>
    <w:rsid w:val="00E62146"/>
    <w:rsid w:val="00E6261A"/>
    <w:rsid w:val="00E62731"/>
    <w:rsid w:val="00E6295F"/>
    <w:rsid w:val="00E62AAA"/>
    <w:rsid w:val="00E62BC2"/>
    <w:rsid w:val="00E62D70"/>
    <w:rsid w:val="00E62FA6"/>
    <w:rsid w:val="00E6315C"/>
    <w:rsid w:val="00E63354"/>
    <w:rsid w:val="00E63467"/>
    <w:rsid w:val="00E637A0"/>
    <w:rsid w:val="00E639A4"/>
    <w:rsid w:val="00E63CB4"/>
    <w:rsid w:val="00E63DAA"/>
    <w:rsid w:val="00E63F30"/>
    <w:rsid w:val="00E64090"/>
    <w:rsid w:val="00E64132"/>
    <w:rsid w:val="00E641E9"/>
    <w:rsid w:val="00E64266"/>
    <w:rsid w:val="00E64A47"/>
    <w:rsid w:val="00E65450"/>
    <w:rsid w:val="00E657C1"/>
    <w:rsid w:val="00E6624C"/>
    <w:rsid w:val="00E664F3"/>
    <w:rsid w:val="00E66545"/>
    <w:rsid w:val="00E668F8"/>
    <w:rsid w:val="00E66A2C"/>
    <w:rsid w:val="00E67056"/>
    <w:rsid w:val="00E670A5"/>
    <w:rsid w:val="00E672BB"/>
    <w:rsid w:val="00E6760D"/>
    <w:rsid w:val="00E6799E"/>
    <w:rsid w:val="00E67B63"/>
    <w:rsid w:val="00E67CC9"/>
    <w:rsid w:val="00E71AAC"/>
    <w:rsid w:val="00E7221D"/>
    <w:rsid w:val="00E722B8"/>
    <w:rsid w:val="00E7241E"/>
    <w:rsid w:val="00E72458"/>
    <w:rsid w:val="00E72CC3"/>
    <w:rsid w:val="00E72DC5"/>
    <w:rsid w:val="00E72E47"/>
    <w:rsid w:val="00E7335D"/>
    <w:rsid w:val="00E7367B"/>
    <w:rsid w:val="00E74398"/>
    <w:rsid w:val="00E74A3B"/>
    <w:rsid w:val="00E75809"/>
    <w:rsid w:val="00E75B6C"/>
    <w:rsid w:val="00E75B77"/>
    <w:rsid w:val="00E75DF4"/>
    <w:rsid w:val="00E75F1C"/>
    <w:rsid w:val="00E7615F"/>
    <w:rsid w:val="00E76722"/>
    <w:rsid w:val="00E76AAD"/>
    <w:rsid w:val="00E76AE0"/>
    <w:rsid w:val="00E76AE9"/>
    <w:rsid w:val="00E76F91"/>
    <w:rsid w:val="00E771BC"/>
    <w:rsid w:val="00E7763A"/>
    <w:rsid w:val="00E77738"/>
    <w:rsid w:val="00E77ACD"/>
    <w:rsid w:val="00E77E48"/>
    <w:rsid w:val="00E77F77"/>
    <w:rsid w:val="00E80138"/>
    <w:rsid w:val="00E80523"/>
    <w:rsid w:val="00E80984"/>
    <w:rsid w:val="00E809B8"/>
    <w:rsid w:val="00E80C90"/>
    <w:rsid w:val="00E80EC7"/>
    <w:rsid w:val="00E8137F"/>
    <w:rsid w:val="00E81633"/>
    <w:rsid w:val="00E816A8"/>
    <w:rsid w:val="00E81A87"/>
    <w:rsid w:val="00E820AC"/>
    <w:rsid w:val="00E82944"/>
    <w:rsid w:val="00E82E3B"/>
    <w:rsid w:val="00E833C1"/>
    <w:rsid w:val="00E834A7"/>
    <w:rsid w:val="00E834DA"/>
    <w:rsid w:val="00E83948"/>
    <w:rsid w:val="00E83B87"/>
    <w:rsid w:val="00E83BE3"/>
    <w:rsid w:val="00E83CF9"/>
    <w:rsid w:val="00E8452F"/>
    <w:rsid w:val="00E846DE"/>
    <w:rsid w:val="00E84EA3"/>
    <w:rsid w:val="00E851EE"/>
    <w:rsid w:val="00E856CF"/>
    <w:rsid w:val="00E858FA"/>
    <w:rsid w:val="00E85AA8"/>
    <w:rsid w:val="00E860AC"/>
    <w:rsid w:val="00E86722"/>
    <w:rsid w:val="00E86938"/>
    <w:rsid w:val="00E86CC3"/>
    <w:rsid w:val="00E878EE"/>
    <w:rsid w:val="00E87960"/>
    <w:rsid w:val="00E87A27"/>
    <w:rsid w:val="00E9016D"/>
    <w:rsid w:val="00E902A6"/>
    <w:rsid w:val="00E9034F"/>
    <w:rsid w:val="00E90368"/>
    <w:rsid w:val="00E90D50"/>
    <w:rsid w:val="00E90E89"/>
    <w:rsid w:val="00E912A2"/>
    <w:rsid w:val="00E918B5"/>
    <w:rsid w:val="00E9242B"/>
    <w:rsid w:val="00E92795"/>
    <w:rsid w:val="00E92974"/>
    <w:rsid w:val="00E92F98"/>
    <w:rsid w:val="00E9331D"/>
    <w:rsid w:val="00E93486"/>
    <w:rsid w:val="00E93893"/>
    <w:rsid w:val="00E93CC0"/>
    <w:rsid w:val="00E93E4D"/>
    <w:rsid w:val="00E94087"/>
    <w:rsid w:val="00E94189"/>
    <w:rsid w:val="00E943BA"/>
    <w:rsid w:val="00E94599"/>
    <w:rsid w:val="00E947F4"/>
    <w:rsid w:val="00E948F1"/>
    <w:rsid w:val="00E94C29"/>
    <w:rsid w:val="00E94F3F"/>
    <w:rsid w:val="00E95140"/>
    <w:rsid w:val="00E95228"/>
    <w:rsid w:val="00E95322"/>
    <w:rsid w:val="00E95490"/>
    <w:rsid w:val="00E954C6"/>
    <w:rsid w:val="00E95AEE"/>
    <w:rsid w:val="00E95D86"/>
    <w:rsid w:val="00E968C1"/>
    <w:rsid w:val="00E96AE4"/>
    <w:rsid w:val="00E96F2B"/>
    <w:rsid w:val="00E97132"/>
    <w:rsid w:val="00E971F6"/>
    <w:rsid w:val="00E97568"/>
    <w:rsid w:val="00E97A30"/>
    <w:rsid w:val="00E97E58"/>
    <w:rsid w:val="00EA01B0"/>
    <w:rsid w:val="00EA0508"/>
    <w:rsid w:val="00EA075A"/>
    <w:rsid w:val="00EA088C"/>
    <w:rsid w:val="00EA09D3"/>
    <w:rsid w:val="00EA09F9"/>
    <w:rsid w:val="00EA0A01"/>
    <w:rsid w:val="00EA0E54"/>
    <w:rsid w:val="00EA0EA0"/>
    <w:rsid w:val="00EA1769"/>
    <w:rsid w:val="00EA1B7A"/>
    <w:rsid w:val="00EA2088"/>
    <w:rsid w:val="00EA238C"/>
    <w:rsid w:val="00EA23F1"/>
    <w:rsid w:val="00EA29FF"/>
    <w:rsid w:val="00EA2D29"/>
    <w:rsid w:val="00EA2E8F"/>
    <w:rsid w:val="00EA2ED8"/>
    <w:rsid w:val="00EA2F4C"/>
    <w:rsid w:val="00EA31AA"/>
    <w:rsid w:val="00EA31D3"/>
    <w:rsid w:val="00EA34B4"/>
    <w:rsid w:val="00EA3613"/>
    <w:rsid w:val="00EA3671"/>
    <w:rsid w:val="00EA39D5"/>
    <w:rsid w:val="00EA3A9A"/>
    <w:rsid w:val="00EA3C71"/>
    <w:rsid w:val="00EA4320"/>
    <w:rsid w:val="00EA466C"/>
    <w:rsid w:val="00EA4798"/>
    <w:rsid w:val="00EA4911"/>
    <w:rsid w:val="00EA4965"/>
    <w:rsid w:val="00EA4ED8"/>
    <w:rsid w:val="00EA4F28"/>
    <w:rsid w:val="00EA4F72"/>
    <w:rsid w:val="00EA5216"/>
    <w:rsid w:val="00EA5243"/>
    <w:rsid w:val="00EA5BFC"/>
    <w:rsid w:val="00EA6D29"/>
    <w:rsid w:val="00EA71F8"/>
    <w:rsid w:val="00EA7672"/>
    <w:rsid w:val="00EA7CB1"/>
    <w:rsid w:val="00EA7D47"/>
    <w:rsid w:val="00EB04E7"/>
    <w:rsid w:val="00EB0DEA"/>
    <w:rsid w:val="00EB106B"/>
    <w:rsid w:val="00EB10F1"/>
    <w:rsid w:val="00EB11BE"/>
    <w:rsid w:val="00EB11E9"/>
    <w:rsid w:val="00EB1B1D"/>
    <w:rsid w:val="00EB1DF7"/>
    <w:rsid w:val="00EB1F63"/>
    <w:rsid w:val="00EB2070"/>
    <w:rsid w:val="00EB21D8"/>
    <w:rsid w:val="00EB26CF"/>
    <w:rsid w:val="00EB279E"/>
    <w:rsid w:val="00EB27BC"/>
    <w:rsid w:val="00EB29DC"/>
    <w:rsid w:val="00EB3125"/>
    <w:rsid w:val="00EB3641"/>
    <w:rsid w:val="00EB388B"/>
    <w:rsid w:val="00EB3D72"/>
    <w:rsid w:val="00EB3E80"/>
    <w:rsid w:val="00EB4345"/>
    <w:rsid w:val="00EB4669"/>
    <w:rsid w:val="00EB5014"/>
    <w:rsid w:val="00EB54E7"/>
    <w:rsid w:val="00EB5887"/>
    <w:rsid w:val="00EB5DCC"/>
    <w:rsid w:val="00EB5E50"/>
    <w:rsid w:val="00EB5EED"/>
    <w:rsid w:val="00EB601E"/>
    <w:rsid w:val="00EB6365"/>
    <w:rsid w:val="00EB676E"/>
    <w:rsid w:val="00EB6A32"/>
    <w:rsid w:val="00EB7028"/>
    <w:rsid w:val="00EB7324"/>
    <w:rsid w:val="00EB7439"/>
    <w:rsid w:val="00EB7742"/>
    <w:rsid w:val="00EB7ABD"/>
    <w:rsid w:val="00EB7F70"/>
    <w:rsid w:val="00EC06E7"/>
    <w:rsid w:val="00EC119E"/>
    <w:rsid w:val="00EC1E90"/>
    <w:rsid w:val="00EC2037"/>
    <w:rsid w:val="00EC2162"/>
    <w:rsid w:val="00EC2405"/>
    <w:rsid w:val="00EC2480"/>
    <w:rsid w:val="00EC33A0"/>
    <w:rsid w:val="00EC3635"/>
    <w:rsid w:val="00EC390E"/>
    <w:rsid w:val="00EC3AED"/>
    <w:rsid w:val="00EC3B1C"/>
    <w:rsid w:val="00EC4102"/>
    <w:rsid w:val="00EC4704"/>
    <w:rsid w:val="00EC4836"/>
    <w:rsid w:val="00EC4BF2"/>
    <w:rsid w:val="00EC4C0A"/>
    <w:rsid w:val="00EC4C8B"/>
    <w:rsid w:val="00EC4FCA"/>
    <w:rsid w:val="00EC5088"/>
    <w:rsid w:val="00EC516C"/>
    <w:rsid w:val="00EC5290"/>
    <w:rsid w:val="00EC54BF"/>
    <w:rsid w:val="00EC580A"/>
    <w:rsid w:val="00EC65E1"/>
    <w:rsid w:val="00EC6BE1"/>
    <w:rsid w:val="00EC6C53"/>
    <w:rsid w:val="00EC6C89"/>
    <w:rsid w:val="00EC6F55"/>
    <w:rsid w:val="00EC73B2"/>
    <w:rsid w:val="00EC756D"/>
    <w:rsid w:val="00EC7E30"/>
    <w:rsid w:val="00EC7F67"/>
    <w:rsid w:val="00ED0246"/>
    <w:rsid w:val="00ED03B6"/>
    <w:rsid w:val="00ED03B8"/>
    <w:rsid w:val="00ED08E2"/>
    <w:rsid w:val="00ED0BF2"/>
    <w:rsid w:val="00ED0EB1"/>
    <w:rsid w:val="00ED1291"/>
    <w:rsid w:val="00ED12A7"/>
    <w:rsid w:val="00ED146F"/>
    <w:rsid w:val="00ED1720"/>
    <w:rsid w:val="00ED1C52"/>
    <w:rsid w:val="00ED1EDB"/>
    <w:rsid w:val="00ED2375"/>
    <w:rsid w:val="00ED2503"/>
    <w:rsid w:val="00ED28C9"/>
    <w:rsid w:val="00ED2DE1"/>
    <w:rsid w:val="00ED3021"/>
    <w:rsid w:val="00ED327D"/>
    <w:rsid w:val="00ED3309"/>
    <w:rsid w:val="00ED37B5"/>
    <w:rsid w:val="00ED4C57"/>
    <w:rsid w:val="00ED5696"/>
    <w:rsid w:val="00ED5B64"/>
    <w:rsid w:val="00ED5D87"/>
    <w:rsid w:val="00ED5DB6"/>
    <w:rsid w:val="00ED5E38"/>
    <w:rsid w:val="00ED633D"/>
    <w:rsid w:val="00ED6742"/>
    <w:rsid w:val="00ED6922"/>
    <w:rsid w:val="00ED6A8C"/>
    <w:rsid w:val="00ED6C7F"/>
    <w:rsid w:val="00ED6E77"/>
    <w:rsid w:val="00ED6ED6"/>
    <w:rsid w:val="00ED6FD6"/>
    <w:rsid w:val="00ED7864"/>
    <w:rsid w:val="00ED7934"/>
    <w:rsid w:val="00ED7A9F"/>
    <w:rsid w:val="00EE01BA"/>
    <w:rsid w:val="00EE022F"/>
    <w:rsid w:val="00EE0ABA"/>
    <w:rsid w:val="00EE0B10"/>
    <w:rsid w:val="00EE1171"/>
    <w:rsid w:val="00EE15C6"/>
    <w:rsid w:val="00EE28C1"/>
    <w:rsid w:val="00EE28EA"/>
    <w:rsid w:val="00EE2C17"/>
    <w:rsid w:val="00EE2D36"/>
    <w:rsid w:val="00EE2D5C"/>
    <w:rsid w:val="00EE2F46"/>
    <w:rsid w:val="00EE31C6"/>
    <w:rsid w:val="00EE327D"/>
    <w:rsid w:val="00EE3677"/>
    <w:rsid w:val="00EE3A75"/>
    <w:rsid w:val="00EE3E4B"/>
    <w:rsid w:val="00EE43CA"/>
    <w:rsid w:val="00EE4490"/>
    <w:rsid w:val="00EE4740"/>
    <w:rsid w:val="00EE4BC0"/>
    <w:rsid w:val="00EE4EEF"/>
    <w:rsid w:val="00EE53AF"/>
    <w:rsid w:val="00EE53CD"/>
    <w:rsid w:val="00EE53D0"/>
    <w:rsid w:val="00EE5627"/>
    <w:rsid w:val="00EE5727"/>
    <w:rsid w:val="00EE580F"/>
    <w:rsid w:val="00EE58AB"/>
    <w:rsid w:val="00EE5BC2"/>
    <w:rsid w:val="00EE5C46"/>
    <w:rsid w:val="00EE5E27"/>
    <w:rsid w:val="00EE6592"/>
    <w:rsid w:val="00EE6832"/>
    <w:rsid w:val="00EE6A98"/>
    <w:rsid w:val="00EE720C"/>
    <w:rsid w:val="00EE7234"/>
    <w:rsid w:val="00EE7510"/>
    <w:rsid w:val="00EE7583"/>
    <w:rsid w:val="00EE7704"/>
    <w:rsid w:val="00EE77D5"/>
    <w:rsid w:val="00EE7F8A"/>
    <w:rsid w:val="00EF0074"/>
    <w:rsid w:val="00EF049C"/>
    <w:rsid w:val="00EF15D4"/>
    <w:rsid w:val="00EF1709"/>
    <w:rsid w:val="00EF1755"/>
    <w:rsid w:val="00EF1A70"/>
    <w:rsid w:val="00EF232E"/>
    <w:rsid w:val="00EF284B"/>
    <w:rsid w:val="00EF2E92"/>
    <w:rsid w:val="00EF31A1"/>
    <w:rsid w:val="00EF37D6"/>
    <w:rsid w:val="00EF3819"/>
    <w:rsid w:val="00EF3B21"/>
    <w:rsid w:val="00EF3D58"/>
    <w:rsid w:val="00EF4109"/>
    <w:rsid w:val="00EF4B01"/>
    <w:rsid w:val="00EF4B88"/>
    <w:rsid w:val="00EF50FB"/>
    <w:rsid w:val="00EF51F8"/>
    <w:rsid w:val="00EF5258"/>
    <w:rsid w:val="00EF53B3"/>
    <w:rsid w:val="00EF53F1"/>
    <w:rsid w:val="00EF542B"/>
    <w:rsid w:val="00EF5431"/>
    <w:rsid w:val="00EF548C"/>
    <w:rsid w:val="00EF54FD"/>
    <w:rsid w:val="00EF56AF"/>
    <w:rsid w:val="00EF64CE"/>
    <w:rsid w:val="00EF6965"/>
    <w:rsid w:val="00EF6AA2"/>
    <w:rsid w:val="00EF6DB4"/>
    <w:rsid w:val="00EF6F20"/>
    <w:rsid w:val="00EF7063"/>
    <w:rsid w:val="00EF7084"/>
    <w:rsid w:val="00EF734E"/>
    <w:rsid w:val="00EF782C"/>
    <w:rsid w:val="00F004C2"/>
    <w:rsid w:val="00F00867"/>
    <w:rsid w:val="00F00880"/>
    <w:rsid w:val="00F00AB7"/>
    <w:rsid w:val="00F01026"/>
    <w:rsid w:val="00F01198"/>
    <w:rsid w:val="00F01283"/>
    <w:rsid w:val="00F015F1"/>
    <w:rsid w:val="00F0162A"/>
    <w:rsid w:val="00F01833"/>
    <w:rsid w:val="00F01AA9"/>
    <w:rsid w:val="00F01D50"/>
    <w:rsid w:val="00F02652"/>
    <w:rsid w:val="00F02F10"/>
    <w:rsid w:val="00F02F20"/>
    <w:rsid w:val="00F03B39"/>
    <w:rsid w:val="00F03B59"/>
    <w:rsid w:val="00F03DBC"/>
    <w:rsid w:val="00F03DBD"/>
    <w:rsid w:val="00F03E03"/>
    <w:rsid w:val="00F03E12"/>
    <w:rsid w:val="00F03FD2"/>
    <w:rsid w:val="00F04052"/>
    <w:rsid w:val="00F049FA"/>
    <w:rsid w:val="00F04C99"/>
    <w:rsid w:val="00F04E41"/>
    <w:rsid w:val="00F04F75"/>
    <w:rsid w:val="00F04FA7"/>
    <w:rsid w:val="00F04FED"/>
    <w:rsid w:val="00F0584B"/>
    <w:rsid w:val="00F05C55"/>
    <w:rsid w:val="00F05DFB"/>
    <w:rsid w:val="00F06202"/>
    <w:rsid w:val="00F0648A"/>
    <w:rsid w:val="00F06517"/>
    <w:rsid w:val="00F065D1"/>
    <w:rsid w:val="00F06673"/>
    <w:rsid w:val="00F06961"/>
    <w:rsid w:val="00F06A1A"/>
    <w:rsid w:val="00F07A0A"/>
    <w:rsid w:val="00F07DAC"/>
    <w:rsid w:val="00F07E37"/>
    <w:rsid w:val="00F1055A"/>
    <w:rsid w:val="00F10587"/>
    <w:rsid w:val="00F1066F"/>
    <w:rsid w:val="00F10D77"/>
    <w:rsid w:val="00F113F4"/>
    <w:rsid w:val="00F11925"/>
    <w:rsid w:val="00F11CD3"/>
    <w:rsid w:val="00F12041"/>
    <w:rsid w:val="00F12360"/>
    <w:rsid w:val="00F1243B"/>
    <w:rsid w:val="00F12572"/>
    <w:rsid w:val="00F12945"/>
    <w:rsid w:val="00F12B0E"/>
    <w:rsid w:val="00F12E06"/>
    <w:rsid w:val="00F1318C"/>
    <w:rsid w:val="00F132C7"/>
    <w:rsid w:val="00F13440"/>
    <w:rsid w:val="00F139E0"/>
    <w:rsid w:val="00F13C41"/>
    <w:rsid w:val="00F140B0"/>
    <w:rsid w:val="00F1415F"/>
    <w:rsid w:val="00F14201"/>
    <w:rsid w:val="00F143B2"/>
    <w:rsid w:val="00F14423"/>
    <w:rsid w:val="00F14500"/>
    <w:rsid w:val="00F149D8"/>
    <w:rsid w:val="00F14B37"/>
    <w:rsid w:val="00F14CB3"/>
    <w:rsid w:val="00F15006"/>
    <w:rsid w:val="00F1508C"/>
    <w:rsid w:val="00F15148"/>
    <w:rsid w:val="00F15180"/>
    <w:rsid w:val="00F154E5"/>
    <w:rsid w:val="00F1578E"/>
    <w:rsid w:val="00F15922"/>
    <w:rsid w:val="00F15D98"/>
    <w:rsid w:val="00F16149"/>
    <w:rsid w:val="00F161F6"/>
    <w:rsid w:val="00F16367"/>
    <w:rsid w:val="00F16457"/>
    <w:rsid w:val="00F16758"/>
    <w:rsid w:val="00F16BD7"/>
    <w:rsid w:val="00F176ED"/>
    <w:rsid w:val="00F17CDC"/>
    <w:rsid w:val="00F20763"/>
    <w:rsid w:val="00F20BA1"/>
    <w:rsid w:val="00F20DE8"/>
    <w:rsid w:val="00F215A2"/>
    <w:rsid w:val="00F21FC7"/>
    <w:rsid w:val="00F227C8"/>
    <w:rsid w:val="00F22CD7"/>
    <w:rsid w:val="00F23637"/>
    <w:rsid w:val="00F239C6"/>
    <w:rsid w:val="00F23CB7"/>
    <w:rsid w:val="00F240D4"/>
    <w:rsid w:val="00F241D7"/>
    <w:rsid w:val="00F242E6"/>
    <w:rsid w:val="00F24372"/>
    <w:rsid w:val="00F245FE"/>
    <w:rsid w:val="00F24B8E"/>
    <w:rsid w:val="00F24E46"/>
    <w:rsid w:val="00F2521D"/>
    <w:rsid w:val="00F25694"/>
    <w:rsid w:val="00F257B5"/>
    <w:rsid w:val="00F2592D"/>
    <w:rsid w:val="00F25B39"/>
    <w:rsid w:val="00F25C0B"/>
    <w:rsid w:val="00F2623E"/>
    <w:rsid w:val="00F268A5"/>
    <w:rsid w:val="00F2693D"/>
    <w:rsid w:val="00F26D71"/>
    <w:rsid w:val="00F2716C"/>
    <w:rsid w:val="00F2720E"/>
    <w:rsid w:val="00F2776D"/>
    <w:rsid w:val="00F27988"/>
    <w:rsid w:val="00F27F85"/>
    <w:rsid w:val="00F27FD4"/>
    <w:rsid w:val="00F2C92B"/>
    <w:rsid w:val="00F3003A"/>
    <w:rsid w:val="00F304CD"/>
    <w:rsid w:val="00F309F8"/>
    <w:rsid w:val="00F30C53"/>
    <w:rsid w:val="00F30CB4"/>
    <w:rsid w:val="00F31DE6"/>
    <w:rsid w:val="00F3231E"/>
    <w:rsid w:val="00F3281A"/>
    <w:rsid w:val="00F32D4D"/>
    <w:rsid w:val="00F331C8"/>
    <w:rsid w:val="00F3382C"/>
    <w:rsid w:val="00F33841"/>
    <w:rsid w:val="00F341A7"/>
    <w:rsid w:val="00F34470"/>
    <w:rsid w:val="00F346E6"/>
    <w:rsid w:val="00F34A87"/>
    <w:rsid w:val="00F34BEA"/>
    <w:rsid w:val="00F34C9E"/>
    <w:rsid w:val="00F34D3A"/>
    <w:rsid w:val="00F34FAE"/>
    <w:rsid w:val="00F356EE"/>
    <w:rsid w:val="00F35A66"/>
    <w:rsid w:val="00F36608"/>
    <w:rsid w:val="00F36777"/>
    <w:rsid w:val="00F36A81"/>
    <w:rsid w:val="00F37530"/>
    <w:rsid w:val="00F378DC"/>
    <w:rsid w:val="00F37B3E"/>
    <w:rsid w:val="00F37B68"/>
    <w:rsid w:val="00F37C72"/>
    <w:rsid w:val="00F37C98"/>
    <w:rsid w:val="00F37DCF"/>
    <w:rsid w:val="00F40307"/>
    <w:rsid w:val="00F40864"/>
    <w:rsid w:val="00F40923"/>
    <w:rsid w:val="00F409DE"/>
    <w:rsid w:val="00F40A3D"/>
    <w:rsid w:val="00F4246D"/>
    <w:rsid w:val="00F4247B"/>
    <w:rsid w:val="00F4265F"/>
    <w:rsid w:val="00F4275D"/>
    <w:rsid w:val="00F4299A"/>
    <w:rsid w:val="00F42E70"/>
    <w:rsid w:val="00F430A4"/>
    <w:rsid w:val="00F435B2"/>
    <w:rsid w:val="00F4361D"/>
    <w:rsid w:val="00F43CB1"/>
    <w:rsid w:val="00F44895"/>
    <w:rsid w:val="00F45069"/>
    <w:rsid w:val="00F45462"/>
    <w:rsid w:val="00F45480"/>
    <w:rsid w:val="00F45732"/>
    <w:rsid w:val="00F46099"/>
    <w:rsid w:val="00F461F8"/>
    <w:rsid w:val="00F4620B"/>
    <w:rsid w:val="00F4625D"/>
    <w:rsid w:val="00F46395"/>
    <w:rsid w:val="00F466DB"/>
    <w:rsid w:val="00F46ADB"/>
    <w:rsid w:val="00F46E2D"/>
    <w:rsid w:val="00F4703E"/>
    <w:rsid w:val="00F47A8F"/>
    <w:rsid w:val="00F5034A"/>
    <w:rsid w:val="00F50585"/>
    <w:rsid w:val="00F506CA"/>
    <w:rsid w:val="00F50CA5"/>
    <w:rsid w:val="00F51180"/>
    <w:rsid w:val="00F51620"/>
    <w:rsid w:val="00F51670"/>
    <w:rsid w:val="00F516E3"/>
    <w:rsid w:val="00F51AEA"/>
    <w:rsid w:val="00F51CAA"/>
    <w:rsid w:val="00F51E05"/>
    <w:rsid w:val="00F52362"/>
    <w:rsid w:val="00F52634"/>
    <w:rsid w:val="00F5293C"/>
    <w:rsid w:val="00F52BAB"/>
    <w:rsid w:val="00F530B0"/>
    <w:rsid w:val="00F53432"/>
    <w:rsid w:val="00F53906"/>
    <w:rsid w:val="00F53977"/>
    <w:rsid w:val="00F53A38"/>
    <w:rsid w:val="00F53CAD"/>
    <w:rsid w:val="00F53FD8"/>
    <w:rsid w:val="00F54308"/>
    <w:rsid w:val="00F54543"/>
    <w:rsid w:val="00F54832"/>
    <w:rsid w:val="00F54848"/>
    <w:rsid w:val="00F5493D"/>
    <w:rsid w:val="00F54A36"/>
    <w:rsid w:val="00F54AB9"/>
    <w:rsid w:val="00F55C3D"/>
    <w:rsid w:val="00F5618F"/>
    <w:rsid w:val="00F56198"/>
    <w:rsid w:val="00F561E2"/>
    <w:rsid w:val="00F56255"/>
    <w:rsid w:val="00F5677D"/>
    <w:rsid w:val="00F56919"/>
    <w:rsid w:val="00F569A0"/>
    <w:rsid w:val="00F569D3"/>
    <w:rsid w:val="00F56A4E"/>
    <w:rsid w:val="00F56BC2"/>
    <w:rsid w:val="00F56C82"/>
    <w:rsid w:val="00F56DB0"/>
    <w:rsid w:val="00F5755B"/>
    <w:rsid w:val="00F57885"/>
    <w:rsid w:val="00F57A7D"/>
    <w:rsid w:val="00F57BE2"/>
    <w:rsid w:val="00F6035C"/>
    <w:rsid w:val="00F6036C"/>
    <w:rsid w:val="00F6039F"/>
    <w:rsid w:val="00F60542"/>
    <w:rsid w:val="00F6070D"/>
    <w:rsid w:val="00F60A35"/>
    <w:rsid w:val="00F60C09"/>
    <w:rsid w:val="00F6102A"/>
    <w:rsid w:val="00F61527"/>
    <w:rsid w:val="00F62255"/>
    <w:rsid w:val="00F628F9"/>
    <w:rsid w:val="00F62DE5"/>
    <w:rsid w:val="00F63105"/>
    <w:rsid w:val="00F632DF"/>
    <w:rsid w:val="00F633BE"/>
    <w:rsid w:val="00F633FF"/>
    <w:rsid w:val="00F63714"/>
    <w:rsid w:val="00F63AAC"/>
    <w:rsid w:val="00F63E27"/>
    <w:rsid w:val="00F63FF8"/>
    <w:rsid w:val="00F645F5"/>
    <w:rsid w:val="00F6467C"/>
    <w:rsid w:val="00F64A2A"/>
    <w:rsid w:val="00F660A4"/>
    <w:rsid w:val="00F66144"/>
    <w:rsid w:val="00F662EF"/>
    <w:rsid w:val="00F6656A"/>
    <w:rsid w:val="00F665B8"/>
    <w:rsid w:val="00F6668F"/>
    <w:rsid w:val="00F666A4"/>
    <w:rsid w:val="00F6713F"/>
    <w:rsid w:val="00F67366"/>
    <w:rsid w:val="00F6759D"/>
    <w:rsid w:val="00F67CED"/>
    <w:rsid w:val="00F67ECC"/>
    <w:rsid w:val="00F7014A"/>
    <w:rsid w:val="00F70C09"/>
    <w:rsid w:val="00F710C4"/>
    <w:rsid w:val="00F7131F"/>
    <w:rsid w:val="00F71561"/>
    <w:rsid w:val="00F71746"/>
    <w:rsid w:val="00F71961"/>
    <w:rsid w:val="00F71A78"/>
    <w:rsid w:val="00F71E34"/>
    <w:rsid w:val="00F720A2"/>
    <w:rsid w:val="00F72408"/>
    <w:rsid w:val="00F72434"/>
    <w:rsid w:val="00F72D11"/>
    <w:rsid w:val="00F72DB4"/>
    <w:rsid w:val="00F731B4"/>
    <w:rsid w:val="00F73B76"/>
    <w:rsid w:val="00F745D6"/>
    <w:rsid w:val="00F74B51"/>
    <w:rsid w:val="00F74B9D"/>
    <w:rsid w:val="00F74E1C"/>
    <w:rsid w:val="00F75057"/>
    <w:rsid w:val="00F75105"/>
    <w:rsid w:val="00F75B96"/>
    <w:rsid w:val="00F760C4"/>
    <w:rsid w:val="00F761BC"/>
    <w:rsid w:val="00F76C44"/>
    <w:rsid w:val="00F7729E"/>
    <w:rsid w:val="00F772D6"/>
    <w:rsid w:val="00F773FA"/>
    <w:rsid w:val="00F77598"/>
    <w:rsid w:val="00F77639"/>
    <w:rsid w:val="00F77B44"/>
    <w:rsid w:val="00F77D3F"/>
    <w:rsid w:val="00F8027C"/>
    <w:rsid w:val="00F806F6"/>
    <w:rsid w:val="00F80A00"/>
    <w:rsid w:val="00F80C2E"/>
    <w:rsid w:val="00F81170"/>
    <w:rsid w:val="00F811B5"/>
    <w:rsid w:val="00F81362"/>
    <w:rsid w:val="00F817E1"/>
    <w:rsid w:val="00F8268C"/>
    <w:rsid w:val="00F826E2"/>
    <w:rsid w:val="00F82C6B"/>
    <w:rsid w:val="00F82D1A"/>
    <w:rsid w:val="00F83247"/>
    <w:rsid w:val="00F8338A"/>
    <w:rsid w:val="00F8354E"/>
    <w:rsid w:val="00F83CDA"/>
    <w:rsid w:val="00F840E1"/>
    <w:rsid w:val="00F842DC"/>
    <w:rsid w:val="00F842E0"/>
    <w:rsid w:val="00F84401"/>
    <w:rsid w:val="00F84456"/>
    <w:rsid w:val="00F845B5"/>
    <w:rsid w:val="00F847ED"/>
    <w:rsid w:val="00F848E7"/>
    <w:rsid w:val="00F84B39"/>
    <w:rsid w:val="00F84EED"/>
    <w:rsid w:val="00F84F0A"/>
    <w:rsid w:val="00F854EE"/>
    <w:rsid w:val="00F85D34"/>
    <w:rsid w:val="00F85E93"/>
    <w:rsid w:val="00F85F8C"/>
    <w:rsid w:val="00F85FC0"/>
    <w:rsid w:val="00F86416"/>
    <w:rsid w:val="00F864B3"/>
    <w:rsid w:val="00F8698A"/>
    <w:rsid w:val="00F86B7E"/>
    <w:rsid w:val="00F872C9"/>
    <w:rsid w:val="00F872D3"/>
    <w:rsid w:val="00F876BC"/>
    <w:rsid w:val="00F878E2"/>
    <w:rsid w:val="00F87DCC"/>
    <w:rsid w:val="00F9020E"/>
    <w:rsid w:val="00F90516"/>
    <w:rsid w:val="00F9058A"/>
    <w:rsid w:val="00F90CCC"/>
    <w:rsid w:val="00F90DFC"/>
    <w:rsid w:val="00F90EC4"/>
    <w:rsid w:val="00F90FD7"/>
    <w:rsid w:val="00F91353"/>
    <w:rsid w:val="00F917CD"/>
    <w:rsid w:val="00F91848"/>
    <w:rsid w:val="00F91D7F"/>
    <w:rsid w:val="00F91F0F"/>
    <w:rsid w:val="00F91F70"/>
    <w:rsid w:val="00F9229B"/>
    <w:rsid w:val="00F93119"/>
    <w:rsid w:val="00F93BF5"/>
    <w:rsid w:val="00F93DC5"/>
    <w:rsid w:val="00F93EE1"/>
    <w:rsid w:val="00F93F4F"/>
    <w:rsid w:val="00F9400F"/>
    <w:rsid w:val="00F946A7"/>
    <w:rsid w:val="00F947A2"/>
    <w:rsid w:val="00F950B1"/>
    <w:rsid w:val="00F95276"/>
    <w:rsid w:val="00F953CE"/>
    <w:rsid w:val="00F96779"/>
    <w:rsid w:val="00F9684A"/>
    <w:rsid w:val="00F9691A"/>
    <w:rsid w:val="00F96976"/>
    <w:rsid w:val="00F96EE2"/>
    <w:rsid w:val="00F96EF1"/>
    <w:rsid w:val="00F970D7"/>
    <w:rsid w:val="00F9728E"/>
    <w:rsid w:val="00F97A7C"/>
    <w:rsid w:val="00F97C5E"/>
    <w:rsid w:val="00F97F27"/>
    <w:rsid w:val="00FA011B"/>
    <w:rsid w:val="00FA02D5"/>
    <w:rsid w:val="00FA042A"/>
    <w:rsid w:val="00FA0825"/>
    <w:rsid w:val="00FA08AD"/>
    <w:rsid w:val="00FA0CDC"/>
    <w:rsid w:val="00FA0D11"/>
    <w:rsid w:val="00FA1242"/>
    <w:rsid w:val="00FA1548"/>
    <w:rsid w:val="00FA1709"/>
    <w:rsid w:val="00FA181A"/>
    <w:rsid w:val="00FA1915"/>
    <w:rsid w:val="00FA19D1"/>
    <w:rsid w:val="00FA1A08"/>
    <w:rsid w:val="00FA225B"/>
    <w:rsid w:val="00FA28BA"/>
    <w:rsid w:val="00FA2F27"/>
    <w:rsid w:val="00FA307B"/>
    <w:rsid w:val="00FA332E"/>
    <w:rsid w:val="00FA33D7"/>
    <w:rsid w:val="00FA3634"/>
    <w:rsid w:val="00FA367C"/>
    <w:rsid w:val="00FA4150"/>
    <w:rsid w:val="00FA48FA"/>
    <w:rsid w:val="00FA4BE4"/>
    <w:rsid w:val="00FA5766"/>
    <w:rsid w:val="00FA5D74"/>
    <w:rsid w:val="00FA6614"/>
    <w:rsid w:val="00FA67CC"/>
    <w:rsid w:val="00FA6E5A"/>
    <w:rsid w:val="00FA6EFC"/>
    <w:rsid w:val="00FA7605"/>
    <w:rsid w:val="00FA7A41"/>
    <w:rsid w:val="00FA7D7D"/>
    <w:rsid w:val="00FA7DF9"/>
    <w:rsid w:val="00FA7E4A"/>
    <w:rsid w:val="00FA7FD1"/>
    <w:rsid w:val="00FB01F9"/>
    <w:rsid w:val="00FB06C0"/>
    <w:rsid w:val="00FB08F2"/>
    <w:rsid w:val="00FB0D91"/>
    <w:rsid w:val="00FB0DCD"/>
    <w:rsid w:val="00FB10A1"/>
    <w:rsid w:val="00FB1970"/>
    <w:rsid w:val="00FB1EE2"/>
    <w:rsid w:val="00FB23B0"/>
    <w:rsid w:val="00FB24CE"/>
    <w:rsid w:val="00FB2C96"/>
    <w:rsid w:val="00FB3197"/>
    <w:rsid w:val="00FB327D"/>
    <w:rsid w:val="00FB3372"/>
    <w:rsid w:val="00FB3726"/>
    <w:rsid w:val="00FB3948"/>
    <w:rsid w:val="00FB3A93"/>
    <w:rsid w:val="00FB3B46"/>
    <w:rsid w:val="00FB41C0"/>
    <w:rsid w:val="00FB46E7"/>
    <w:rsid w:val="00FB46F3"/>
    <w:rsid w:val="00FB4B25"/>
    <w:rsid w:val="00FB55BD"/>
    <w:rsid w:val="00FB5C6E"/>
    <w:rsid w:val="00FB620D"/>
    <w:rsid w:val="00FB6279"/>
    <w:rsid w:val="00FB645C"/>
    <w:rsid w:val="00FB6688"/>
    <w:rsid w:val="00FB678C"/>
    <w:rsid w:val="00FB6AE7"/>
    <w:rsid w:val="00FB6F67"/>
    <w:rsid w:val="00FB7A45"/>
    <w:rsid w:val="00FC03E7"/>
    <w:rsid w:val="00FC0709"/>
    <w:rsid w:val="00FC0AD7"/>
    <w:rsid w:val="00FC0F3D"/>
    <w:rsid w:val="00FC10DE"/>
    <w:rsid w:val="00FC18A0"/>
    <w:rsid w:val="00FC1C1E"/>
    <w:rsid w:val="00FC1C89"/>
    <w:rsid w:val="00FC2725"/>
    <w:rsid w:val="00FC2888"/>
    <w:rsid w:val="00FC2D5F"/>
    <w:rsid w:val="00FC2EF6"/>
    <w:rsid w:val="00FC2F5C"/>
    <w:rsid w:val="00FC33CC"/>
    <w:rsid w:val="00FC352E"/>
    <w:rsid w:val="00FC4B48"/>
    <w:rsid w:val="00FC4F53"/>
    <w:rsid w:val="00FC5207"/>
    <w:rsid w:val="00FC5339"/>
    <w:rsid w:val="00FC54A6"/>
    <w:rsid w:val="00FC5603"/>
    <w:rsid w:val="00FC5699"/>
    <w:rsid w:val="00FC6800"/>
    <w:rsid w:val="00FC6E68"/>
    <w:rsid w:val="00FC73F1"/>
    <w:rsid w:val="00FC7A45"/>
    <w:rsid w:val="00FC7A8D"/>
    <w:rsid w:val="00FD05C2"/>
    <w:rsid w:val="00FD0683"/>
    <w:rsid w:val="00FD09FE"/>
    <w:rsid w:val="00FD0AB9"/>
    <w:rsid w:val="00FD0AEE"/>
    <w:rsid w:val="00FD0B28"/>
    <w:rsid w:val="00FD1016"/>
    <w:rsid w:val="00FD1437"/>
    <w:rsid w:val="00FD17BA"/>
    <w:rsid w:val="00FD1927"/>
    <w:rsid w:val="00FD1CB6"/>
    <w:rsid w:val="00FD1EF3"/>
    <w:rsid w:val="00FD212C"/>
    <w:rsid w:val="00FD2389"/>
    <w:rsid w:val="00FD2B1F"/>
    <w:rsid w:val="00FD2C20"/>
    <w:rsid w:val="00FD2C9D"/>
    <w:rsid w:val="00FD2CE4"/>
    <w:rsid w:val="00FD2F74"/>
    <w:rsid w:val="00FD3010"/>
    <w:rsid w:val="00FD3B94"/>
    <w:rsid w:val="00FD3D78"/>
    <w:rsid w:val="00FD40DD"/>
    <w:rsid w:val="00FD415D"/>
    <w:rsid w:val="00FD437D"/>
    <w:rsid w:val="00FD43B3"/>
    <w:rsid w:val="00FD4FC2"/>
    <w:rsid w:val="00FD5192"/>
    <w:rsid w:val="00FD51CF"/>
    <w:rsid w:val="00FD54B1"/>
    <w:rsid w:val="00FD56FF"/>
    <w:rsid w:val="00FD5A29"/>
    <w:rsid w:val="00FD5CA9"/>
    <w:rsid w:val="00FD6295"/>
    <w:rsid w:val="00FD63DC"/>
    <w:rsid w:val="00FD6763"/>
    <w:rsid w:val="00FD689D"/>
    <w:rsid w:val="00FD6DA5"/>
    <w:rsid w:val="00FD7036"/>
    <w:rsid w:val="00FD7DBA"/>
    <w:rsid w:val="00FD7E57"/>
    <w:rsid w:val="00FE03D6"/>
    <w:rsid w:val="00FE04D0"/>
    <w:rsid w:val="00FE0605"/>
    <w:rsid w:val="00FE09C8"/>
    <w:rsid w:val="00FE0B15"/>
    <w:rsid w:val="00FE0FB8"/>
    <w:rsid w:val="00FE1118"/>
    <w:rsid w:val="00FE1D02"/>
    <w:rsid w:val="00FE2F6A"/>
    <w:rsid w:val="00FE3128"/>
    <w:rsid w:val="00FE3519"/>
    <w:rsid w:val="00FE3844"/>
    <w:rsid w:val="00FE3B4B"/>
    <w:rsid w:val="00FE40E5"/>
    <w:rsid w:val="00FE4274"/>
    <w:rsid w:val="00FE4489"/>
    <w:rsid w:val="00FE4739"/>
    <w:rsid w:val="00FE48FF"/>
    <w:rsid w:val="00FE49BC"/>
    <w:rsid w:val="00FE4DB2"/>
    <w:rsid w:val="00FE51ED"/>
    <w:rsid w:val="00FE52C2"/>
    <w:rsid w:val="00FE52FE"/>
    <w:rsid w:val="00FE5439"/>
    <w:rsid w:val="00FE54C8"/>
    <w:rsid w:val="00FE56E4"/>
    <w:rsid w:val="00FE5AB6"/>
    <w:rsid w:val="00FE61DF"/>
    <w:rsid w:val="00FE6354"/>
    <w:rsid w:val="00FE681D"/>
    <w:rsid w:val="00FE6B91"/>
    <w:rsid w:val="00FE74DF"/>
    <w:rsid w:val="00FE7711"/>
    <w:rsid w:val="00FE7C14"/>
    <w:rsid w:val="00FE7E70"/>
    <w:rsid w:val="00FF0394"/>
    <w:rsid w:val="00FF04BC"/>
    <w:rsid w:val="00FF0DBD"/>
    <w:rsid w:val="00FF11C2"/>
    <w:rsid w:val="00FF19E0"/>
    <w:rsid w:val="00FF2100"/>
    <w:rsid w:val="00FF22AE"/>
    <w:rsid w:val="00FF2529"/>
    <w:rsid w:val="00FF2A1C"/>
    <w:rsid w:val="00FF2EED"/>
    <w:rsid w:val="00FF3616"/>
    <w:rsid w:val="00FF37B2"/>
    <w:rsid w:val="00FF398B"/>
    <w:rsid w:val="00FF3A07"/>
    <w:rsid w:val="00FF3CB1"/>
    <w:rsid w:val="00FF3FEA"/>
    <w:rsid w:val="00FF406A"/>
    <w:rsid w:val="00FF44CC"/>
    <w:rsid w:val="00FF45B6"/>
    <w:rsid w:val="00FF46CE"/>
    <w:rsid w:val="00FF4A3E"/>
    <w:rsid w:val="00FF4C68"/>
    <w:rsid w:val="00FF4ED1"/>
    <w:rsid w:val="00FF50DE"/>
    <w:rsid w:val="00FF5449"/>
    <w:rsid w:val="00FF5622"/>
    <w:rsid w:val="00FF5BC0"/>
    <w:rsid w:val="00FF5C16"/>
    <w:rsid w:val="00FF621A"/>
    <w:rsid w:val="00FF62EF"/>
    <w:rsid w:val="00FF6ACE"/>
    <w:rsid w:val="00FF6C4D"/>
    <w:rsid w:val="00FF6FD9"/>
    <w:rsid w:val="00FF7220"/>
    <w:rsid w:val="00FF730C"/>
    <w:rsid w:val="00FF7728"/>
    <w:rsid w:val="0227CED9"/>
    <w:rsid w:val="0348540A"/>
    <w:rsid w:val="036BFB77"/>
    <w:rsid w:val="043FFF00"/>
    <w:rsid w:val="04CEA288"/>
    <w:rsid w:val="052EA57D"/>
    <w:rsid w:val="05BFBC0E"/>
    <w:rsid w:val="0627D780"/>
    <w:rsid w:val="064BEA6F"/>
    <w:rsid w:val="07519FE9"/>
    <w:rsid w:val="08060079"/>
    <w:rsid w:val="08318D6F"/>
    <w:rsid w:val="08E6E6C5"/>
    <w:rsid w:val="0931DF3F"/>
    <w:rsid w:val="095D6F58"/>
    <w:rsid w:val="0A094DBE"/>
    <w:rsid w:val="0A12FDB9"/>
    <w:rsid w:val="0A67DCC9"/>
    <w:rsid w:val="0C41C6E9"/>
    <w:rsid w:val="0C80E960"/>
    <w:rsid w:val="0C852DE9"/>
    <w:rsid w:val="0CC51C6C"/>
    <w:rsid w:val="0D2B9D95"/>
    <w:rsid w:val="0D56D771"/>
    <w:rsid w:val="0DC8793D"/>
    <w:rsid w:val="0E19CF6B"/>
    <w:rsid w:val="0E33F4BF"/>
    <w:rsid w:val="0E3C9C42"/>
    <w:rsid w:val="0E775874"/>
    <w:rsid w:val="0F80930F"/>
    <w:rsid w:val="0F9DEBFE"/>
    <w:rsid w:val="1131E155"/>
    <w:rsid w:val="118E0FAF"/>
    <w:rsid w:val="11C31C2E"/>
    <w:rsid w:val="11D960A0"/>
    <w:rsid w:val="12D2D174"/>
    <w:rsid w:val="133C4156"/>
    <w:rsid w:val="136340B9"/>
    <w:rsid w:val="14ABAE9D"/>
    <w:rsid w:val="1505B2CD"/>
    <w:rsid w:val="152C01B4"/>
    <w:rsid w:val="1564E594"/>
    <w:rsid w:val="15B8E666"/>
    <w:rsid w:val="16A0CEDB"/>
    <w:rsid w:val="17ABCE01"/>
    <w:rsid w:val="17E9723B"/>
    <w:rsid w:val="19324801"/>
    <w:rsid w:val="19953444"/>
    <w:rsid w:val="19FAE57B"/>
    <w:rsid w:val="1B0B5E9A"/>
    <w:rsid w:val="1B135A7F"/>
    <w:rsid w:val="1B4447D3"/>
    <w:rsid w:val="1B82BAC5"/>
    <w:rsid w:val="1BD54B1F"/>
    <w:rsid w:val="1C738860"/>
    <w:rsid w:val="1C912FFD"/>
    <w:rsid w:val="1D80EBB9"/>
    <w:rsid w:val="202E2567"/>
    <w:rsid w:val="20B869BB"/>
    <w:rsid w:val="246A772E"/>
    <w:rsid w:val="255DC862"/>
    <w:rsid w:val="258ABDA1"/>
    <w:rsid w:val="2595AB77"/>
    <w:rsid w:val="25CCB9AB"/>
    <w:rsid w:val="268391B2"/>
    <w:rsid w:val="29540CF5"/>
    <w:rsid w:val="298295BA"/>
    <w:rsid w:val="2C9008B6"/>
    <w:rsid w:val="2CE6E8CA"/>
    <w:rsid w:val="2D7DDE1B"/>
    <w:rsid w:val="2F626452"/>
    <w:rsid w:val="2FEDD299"/>
    <w:rsid w:val="308179F1"/>
    <w:rsid w:val="318F72B9"/>
    <w:rsid w:val="31F1E8DB"/>
    <w:rsid w:val="3255A4C2"/>
    <w:rsid w:val="32574422"/>
    <w:rsid w:val="3275937A"/>
    <w:rsid w:val="3315A940"/>
    <w:rsid w:val="332BAA83"/>
    <w:rsid w:val="33901B37"/>
    <w:rsid w:val="344ED874"/>
    <w:rsid w:val="3485630F"/>
    <w:rsid w:val="35D242A0"/>
    <w:rsid w:val="35EAE986"/>
    <w:rsid w:val="36ADD602"/>
    <w:rsid w:val="3795DC0E"/>
    <w:rsid w:val="379C6CF2"/>
    <w:rsid w:val="380CE14F"/>
    <w:rsid w:val="38372277"/>
    <w:rsid w:val="3884FB1C"/>
    <w:rsid w:val="38A353B1"/>
    <w:rsid w:val="3A72025C"/>
    <w:rsid w:val="3ACDB0DB"/>
    <w:rsid w:val="3D32DBD5"/>
    <w:rsid w:val="3DC4B36D"/>
    <w:rsid w:val="3DDD8036"/>
    <w:rsid w:val="3EBC783E"/>
    <w:rsid w:val="3EEC05DA"/>
    <w:rsid w:val="3F2C666D"/>
    <w:rsid w:val="3F6480DD"/>
    <w:rsid w:val="3F7D40B1"/>
    <w:rsid w:val="3F8B6DF1"/>
    <w:rsid w:val="40E9AB20"/>
    <w:rsid w:val="40EA3D47"/>
    <w:rsid w:val="410FD439"/>
    <w:rsid w:val="41F772DC"/>
    <w:rsid w:val="423ADB69"/>
    <w:rsid w:val="42405847"/>
    <w:rsid w:val="44D3D791"/>
    <w:rsid w:val="45249F47"/>
    <w:rsid w:val="45FBAECA"/>
    <w:rsid w:val="46066529"/>
    <w:rsid w:val="46552E58"/>
    <w:rsid w:val="46E7CF53"/>
    <w:rsid w:val="47621103"/>
    <w:rsid w:val="4791F1ED"/>
    <w:rsid w:val="47CFC019"/>
    <w:rsid w:val="4876BB51"/>
    <w:rsid w:val="493D1A6B"/>
    <w:rsid w:val="4A42B5A7"/>
    <w:rsid w:val="4B260755"/>
    <w:rsid w:val="4BA9DBF0"/>
    <w:rsid w:val="4BF5075E"/>
    <w:rsid w:val="4C0A775B"/>
    <w:rsid w:val="4C90382E"/>
    <w:rsid w:val="4D470486"/>
    <w:rsid w:val="4D8B6549"/>
    <w:rsid w:val="4D95D5E3"/>
    <w:rsid w:val="4EB99251"/>
    <w:rsid w:val="4FF51103"/>
    <w:rsid w:val="50087FB3"/>
    <w:rsid w:val="506E554D"/>
    <w:rsid w:val="51347E40"/>
    <w:rsid w:val="51CC0076"/>
    <w:rsid w:val="51EFF0BD"/>
    <w:rsid w:val="54669BE8"/>
    <w:rsid w:val="549C1BF3"/>
    <w:rsid w:val="554C6516"/>
    <w:rsid w:val="55923C7B"/>
    <w:rsid w:val="55D4DF6F"/>
    <w:rsid w:val="563AEF30"/>
    <w:rsid w:val="56B6A983"/>
    <w:rsid w:val="56C43838"/>
    <w:rsid w:val="57025B14"/>
    <w:rsid w:val="57242EBA"/>
    <w:rsid w:val="573E8678"/>
    <w:rsid w:val="57763D33"/>
    <w:rsid w:val="5989BC24"/>
    <w:rsid w:val="59D46EA4"/>
    <w:rsid w:val="5ADD7195"/>
    <w:rsid w:val="5AF7FC63"/>
    <w:rsid w:val="5C01463F"/>
    <w:rsid w:val="5C01C763"/>
    <w:rsid w:val="5C663E82"/>
    <w:rsid w:val="5DC9728A"/>
    <w:rsid w:val="5DF9CBF9"/>
    <w:rsid w:val="6067245E"/>
    <w:rsid w:val="6073C5FE"/>
    <w:rsid w:val="609C9FBF"/>
    <w:rsid w:val="60F03472"/>
    <w:rsid w:val="628CDAB6"/>
    <w:rsid w:val="62ADA7A2"/>
    <w:rsid w:val="63400A75"/>
    <w:rsid w:val="634225EA"/>
    <w:rsid w:val="639649ED"/>
    <w:rsid w:val="63E02E51"/>
    <w:rsid w:val="64411F93"/>
    <w:rsid w:val="6499614E"/>
    <w:rsid w:val="64B31ABA"/>
    <w:rsid w:val="64D4DAD0"/>
    <w:rsid w:val="65A4D9F0"/>
    <w:rsid w:val="676CF436"/>
    <w:rsid w:val="67C25FA8"/>
    <w:rsid w:val="6818D021"/>
    <w:rsid w:val="69A2317C"/>
    <w:rsid w:val="6A203F9C"/>
    <w:rsid w:val="6A2D294C"/>
    <w:rsid w:val="6B933575"/>
    <w:rsid w:val="6C22400A"/>
    <w:rsid w:val="6C7F2F6B"/>
    <w:rsid w:val="6D45BDD8"/>
    <w:rsid w:val="6D5CF9A1"/>
    <w:rsid w:val="6EB2E862"/>
    <w:rsid w:val="704436A4"/>
    <w:rsid w:val="71AC1BEA"/>
    <w:rsid w:val="726026D6"/>
    <w:rsid w:val="72DF1F8B"/>
    <w:rsid w:val="73EA28CD"/>
    <w:rsid w:val="741932AB"/>
    <w:rsid w:val="7427FD41"/>
    <w:rsid w:val="745A55DF"/>
    <w:rsid w:val="7607FC3F"/>
    <w:rsid w:val="77BDEF41"/>
    <w:rsid w:val="793893FC"/>
    <w:rsid w:val="7946C021"/>
    <w:rsid w:val="79E49657"/>
    <w:rsid w:val="7A3355ED"/>
    <w:rsid w:val="7A500AFD"/>
    <w:rsid w:val="7B14EBCB"/>
    <w:rsid w:val="7B279009"/>
    <w:rsid w:val="7B961986"/>
    <w:rsid w:val="7C682D6F"/>
    <w:rsid w:val="7D267B33"/>
    <w:rsid w:val="7E8470C9"/>
    <w:rsid w:val="7FEAF5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63"/>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0769C5"/>
    <w:pPr>
      <w:spacing w:before="20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 Antiqua" w:hAnsi="Book Antiqu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Conclusion box,Table Grid nm,HealthConsult,CMA Table Template,PBAC table,HTAtableplain,MSD Table Grid,Dossier table,Summary Table,PHE Table Grid,Lash Style Table,Section 3- footnot"/>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0769C5"/>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CommentaryTableheading">
    <w:name w:val="Commentary Table heading"/>
    <w:basedOn w:val="TableHeading"/>
    <w:link w:val="CommentaryTableheadingChar"/>
    <w:qFormat/>
    <w:rsid w:val="001A35D0"/>
    <w:pPr>
      <w:spacing w:before="40" w:after="40"/>
      <w:ind w:left="57"/>
    </w:pPr>
    <w:rPr>
      <w:rFonts w:eastAsiaTheme="minorEastAsia"/>
      <w:snapToGrid w:val="0"/>
      <w:color w:val="0070C0"/>
      <w:szCs w:val="20"/>
    </w:rPr>
  </w:style>
  <w:style w:type="character" w:customStyle="1" w:styleId="CommentaryTableheadingChar">
    <w:name w:val="Commentary Table heading Char"/>
    <w:basedOn w:val="TableHeadingChar"/>
    <w:link w:val="CommentaryTableheading"/>
    <w:rsid w:val="001A35D0"/>
    <w:rPr>
      <w:rFonts w:ascii="Arial Narrow" w:eastAsiaTheme="minorEastAsia" w:hAnsi="Arial Narrow"/>
      <w:b/>
      <w:snapToGrid w:val="0"/>
      <w:color w:val="0070C0"/>
      <w:sz w:val="20"/>
      <w:szCs w:val="20"/>
    </w:rPr>
  </w:style>
  <w:style w:type="character" w:styleId="UnresolvedMention">
    <w:name w:val="Unresolved Mention"/>
    <w:basedOn w:val="DefaultParagraphFont"/>
    <w:uiPriority w:val="99"/>
    <w:semiHidden/>
    <w:unhideWhenUsed/>
    <w:rsid w:val="00D61A3C"/>
    <w:rPr>
      <w:color w:val="605E5C"/>
      <w:shd w:val="clear" w:color="auto" w:fill="E1DFDD"/>
    </w:rPr>
  </w:style>
  <w:style w:type="character" w:styleId="Mention">
    <w:name w:val="Mention"/>
    <w:basedOn w:val="DefaultParagraphFont"/>
    <w:uiPriority w:val="99"/>
    <w:unhideWhenUsed/>
    <w:rsid w:val="00943CB7"/>
    <w:rPr>
      <w:color w:val="2B579A"/>
      <w:shd w:val="clear" w:color="auto" w:fill="E1DFDD"/>
    </w:rPr>
  </w:style>
  <w:style w:type="paragraph" w:customStyle="1" w:styleId="TableBullet">
    <w:name w:val="TableBullet"/>
    <w:basedOn w:val="TableText1"/>
    <w:rsid w:val="00FC2EF6"/>
    <w:pPr>
      <w:numPr>
        <w:numId w:val="13"/>
      </w:numPr>
      <w:tabs>
        <w:tab w:val="clear" w:pos="360"/>
        <w:tab w:val="left" w:pos="216"/>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FC2EF6"/>
    <w:pPr>
      <w:numPr>
        <w:numId w:val="14"/>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3D76E2"/>
    <w:pPr>
      <w:numPr>
        <w:numId w:val="0"/>
      </w:numPr>
      <w:tabs>
        <w:tab w:val="num" w:pos="1440"/>
      </w:tabs>
      <w:spacing w:before="0" w:after="240"/>
      <w:ind w:left="1440"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3D76E2"/>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3D76E2"/>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3D76E2"/>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FC2EF6"/>
    <w:pPr>
      <w:numPr>
        <w:numId w:val="15"/>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customStyle="1" w:styleId="cf01">
    <w:name w:val="cf01"/>
    <w:basedOn w:val="DefaultParagraphFont"/>
    <w:rsid w:val="00267B52"/>
    <w:rPr>
      <w:rFonts w:ascii="Segoe UI" w:hAnsi="Segoe UI" w:cs="Segoe UI" w:hint="default"/>
      <w:sz w:val="18"/>
      <w:szCs w:val="18"/>
    </w:rPr>
  </w:style>
  <w:style w:type="paragraph" w:styleId="BodyText">
    <w:name w:val="Body Text"/>
    <w:basedOn w:val="Normal"/>
    <w:link w:val="BodyTextChar"/>
    <w:rsid w:val="00A66806"/>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A66806"/>
    <w:rPr>
      <w:rFonts w:ascii="Book Antiqua" w:eastAsia="Times New Roman" w:hAnsi="Book Antiqua" w:cs="Times New Roman"/>
      <w:sz w:val="24"/>
      <w:szCs w:val="20"/>
    </w:rPr>
  </w:style>
  <w:style w:type="paragraph" w:customStyle="1" w:styleId="Default">
    <w:name w:val="Default"/>
    <w:rsid w:val="00A25F7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360556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72172349">
      <w:bodyDiv w:val="1"/>
      <w:marLeft w:val="0"/>
      <w:marRight w:val="0"/>
      <w:marTop w:val="0"/>
      <w:marBottom w:val="0"/>
      <w:divBdr>
        <w:top w:val="none" w:sz="0" w:space="0" w:color="auto"/>
        <w:left w:val="none" w:sz="0" w:space="0" w:color="auto"/>
        <w:bottom w:val="none" w:sz="0" w:space="0" w:color="auto"/>
        <w:right w:val="none" w:sz="0" w:space="0" w:color="auto"/>
      </w:divBdr>
    </w:div>
    <w:div w:id="332992614">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4906182">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8034418">
      <w:bodyDiv w:val="1"/>
      <w:marLeft w:val="0"/>
      <w:marRight w:val="0"/>
      <w:marTop w:val="0"/>
      <w:marBottom w:val="0"/>
      <w:divBdr>
        <w:top w:val="none" w:sz="0" w:space="0" w:color="auto"/>
        <w:left w:val="none" w:sz="0" w:space="0" w:color="auto"/>
        <w:bottom w:val="none" w:sz="0" w:space="0" w:color="auto"/>
        <w:right w:val="none" w:sz="0" w:space="0" w:color="auto"/>
      </w:divBdr>
      <w:divsChild>
        <w:div w:id="2111008084">
          <w:marLeft w:val="979"/>
          <w:marRight w:val="0"/>
          <w:marTop w:val="120"/>
          <w:marBottom w:val="0"/>
          <w:divBdr>
            <w:top w:val="none" w:sz="0" w:space="0" w:color="auto"/>
            <w:left w:val="none" w:sz="0" w:space="0" w:color="auto"/>
            <w:bottom w:val="none" w:sz="0" w:space="0" w:color="auto"/>
            <w:right w:val="none" w:sz="0" w:space="0" w:color="auto"/>
          </w:divBdr>
        </w:div>
      </w:divsChild>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80306481">
      <w:bodyDiv w:val="1"/>
      <w:marLeft w:val="0"/>
      <w:marRight w:val="0"/>
      <w:marTop w:val="0"/>
      <w:marBottom w:val="0"/>
      <w:divBdr>
        <w:top w:val="none" w:sz="0" w:space="0" w:color="auto"/>
        <w:left w:val="none" w:sz="0" w:space="0" w:color="auto"/>
        <w:bottom w:val="none" w:sz="0" w:space="0" w:color="auto"/>
        <w:right w:val="none" w:sz="0" w:space="0" w:color="auto"/>
      </w:divBdr>
    </w:div>
    <w:div w:id="1729106557">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clinicaltrials.gov/study/NCT03507777" TargetMode="External"/><Relationship Id="rId18" Type="http://schemas.openxmlformats.org/officeDocument/2006/relationships/hyperlink" Target="https://clinicaltrials.gov/study/NCT03394079"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sac.gov.au/internet/msac/publishing.nsf/Content/1354.1-public" TargetMode="External"/><Relationship Id="rId17" Type="http://schemas.openxmlformats.org/officeDocument/2006/relationships/hyperlink" Target="https://clinicaltrials.gov/study/NCT03507777" TargetMode="External"/><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inicaltrials.gov/study/NCT03171311" TargetMode="External"/><Relationship Id="rId20" Type="http://schemas.openxmlformats.org/officeDocument/2006/relationships/image" Target="media/image1.png"/><Relationship Id="rId29" Type="http://schemas.openxmlformats.org/officeDocument/2006/relationships/hyperlink" Target="http://www.msac.gov.au/internet/msac/publishing.nsf/Content/1354.1-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ash.edu/medicine/sphpm/vcor/publications" TargetMode="External"/><Relationship Id="rId24" Type="http://schemas.openxmlformats.org/officeDocument/2006/relationships/image" Target="media/image5.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ac.gov.au/internet/msac/publishing.nsf/Content/1354.1-public" TargetMode="External"/><Relationship Id="rId23" Type="http://schemas.openxmlformats.org/officeDocument/2006/relationships/image" Target="media/image4.png"/><Relationship Id="rId28" Type="http://schemas.openxmlformats.org/officeDocument/2006/relationships/hyperlink" Target="http://www.msac.gov.au/internet/msac/publishing.nsf/Content/1354.1-public" TargetMode="External"/><Relationship Id="rId36" Type="http://schemas.openxmlformats.org/officeDocument/2006/relationships/footer" Target="footer3.xml"/><Relationship Id="rId10" Type="http://schemas.openxmlformats.org/officeDocument/2006/relationships/hyperlink" Target="http://www.msac.gov.au/internet/msac/publishing.nsf/Content/1354.1-public" TargetMode="External"/><Relationship Id="rId19" Type="http://schemas.openxmlformats.org/officeDocument/2006/relationships/hyperlink" Target="https://clinicaltrials.gov/study/NCT0338187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internet/msac/publishing.nsf/Content/1354.1-public" TargetMode="External"/><Relationship Id="rId14" Type="http://schemas.openxmlformats.org/officeDocument/2006/relationships/hyperlink" Target="https://academic.oup.com/eurheartj/article/39/35/3281/5001185?login=false" TargetMode="External"/><Relationship Id="rId22" Type="http://schemas.openxmlformats.org/officeDocument/2006/relationships/image" Target="media/image3.png"/><Relationship Id="rId27" Type="http://schemas.openxmlformats.org/officeDocument/2006/relationships/hyperlink" Target="https://www9.health.gov.au/mbs/fullDisplay.cfm?type=item&amp;q=38325&amp;qt=item&amp;criteria=38325%20" TargetMode="External"/><Relationship Id="rId30" Type="http://schemas.openxmlformats.org/officeDocument/2006/relationships/hyperlink" Target="http://msac.gov.au/internet/msac/publishing.nsf/Content/Home-1"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34003686/" TargetMode="External"/><Relationship Id="rId1" Type="http://schemas.openxmlformats.org/officeDocument/2006/relationships/hyperlink" Target="https://pubmed.ncbi.nlm.nih.gov/38401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20935</Words>
  <Characters>119333</Characters>
  <Application>Microsoft Office Word</Application>
  <DocSecurity>2</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139989</CharactersWithSpaces>
  <SharedDoc>false</SharedDoc>
  <HyperlinkBase/>
  <HLinks>
    <vt:vector size="108" baseType="variant">
      <vt:variant>
        <vt:i4>6684716</vt:i4>
      </vt:variant>
      <vt:variant>
        <vt:i4>255</vt:i4>
      </vt:variant>
      <vt:variant>
        <vt:i4>0</vt:i4>
      </vt:variant>
      <vt:variant>
        <vt:i4>5</vt:i4>
      </vt:variant>
      <vt:variant>
        <vt:lpwstr>http://msac.gov.au/internet/msac/publishing.nsf/Content/Home-1</vt:lpwstr>
      </vt:variant>
      <vt:variant>
        <vt:lpwstr/>
      </vt:variant>
      <vt:variant>
        <vt:i4>1048643</vt:i4>
      </vt:variant>
      <vt:variant>
        <vt:i4>252</vt:i4>
      </vt:variant>
      <vt:variant>
        <vt:i4>0</vt:i4>
      </vt:variant>
      <vt:variant>
        <vt:i4>5</vt:i4>
      </vt:variant>
      <vt:variant>
        <vt:lpwstr>http://www.msac.gov.au/internet/msac/publishing.nsf/Content/1354.1-public</vt:lpwstr>
      </vt:variant>
      <vt:variant>
        <vt:lpwstr/>
      </vt:variant>
      <vt:variant>
        <vt:i4>1048643</vt:i4>
      </vt:variant>
      <vt:variant>
        <vt:i4>249</vt:i4>
      </vt:variant>
      <vt:variant>
        <vt:i4>0</vt:i4>
      </vt:variant>
      <vt:variant>
        <vt:i4>5</vt:i4>
      </vt:variant>
      <vt:variant>
        <vt:lpwstr>http://www.msac.gov.au/internet/msac/publishing.nsf/Content/1354.1-public</vt:lpwstr>
      </vt:variant>
      <vt:variant>
        <vt:lpwstr/>
      </vt:variant>
      <vt:variant>
        <vt:i4>3473504</vt:i4>
      </vt:variant>
      <vt:variant>
        <vt:i4>246</vt:i4>
      </vt:variant>
      <vt:variant>
        <vt:i4>0</vt:i4>
      </vt:variant>
      <vt:variant>
        <vt:i4>5</vt:i4>
      </vt:variant>
      <vt:variant>
        <vt:lpwstr>https://www9.health.gov.au/mbs/fullDisplay.cfm?type=item&amp;q=38325&amp;qt=item&amp;criteria=38325%20</vt:lpwstr>
      </vt:variant>
      <vt:variant>
        <vt:lpwstr/>
      </vt:variant>
      <vt:variant>
        <vt:i4>589828</vt:i4>
      </vt:variant>
      <vt:variant>
        <vt:i4>63</vt:i4>
      </vt:variant>
      <vt:variant>
        <vt:i4>0</vt:i4>
      </vt:variant>
      <vt:variant>
        <vt:i4>5</vt:i4>
      </vt:variant>
      <vt:variant>
        <vt:lpwstr>https://clinicaltrials.gov/study/NCT03381872</vt:lpwstr>
      </vt:variant>
      <vt:variant>
        <vt:lpwstr/>
      </vt:variant>
      <vt:variant>
        <vt:i4>720897</vt:i4>
      </vt:variant>
      <vt:variant>
        <vt:i4>54</vt:i4>
      </vt:variant>
      <vt:variant>
        <vt:i4>0</vt:i4>
      </vt:variant>
      <vt:variant>
        <vt:i4>5</vt:i4>
      </vt:variant>
      <vt:variant>
        <vt:lpwstr>https://clinicaltrials.gov/study/NCT03394079</vt:lpwstr>
      </vt:variant>
      <vt:variant>
        <vt:lpwstr/>
      </vt:variant>
      <vt:variant>
        <vt:i4>720900</vt:i4>
      </vt:variant>
      <vt:variant>
        <vt:i4>51</vt:i4>
      </vt:variant>
      <vt:variant>
        <vt:i4>0</vt:i4>
      </vt:variant>
      <vt:variant>
        <vt:i4>5</vt:i4>
      </vt:variant>
      <vt:variant>
        <vt:lpwstr>https://clinicaltrials.gov/study/NCT03507777</vt:lpwstr>
      </vt:variant>
      <vt:variant>
        <vt:lpwstr/>
      </vt:variant>
      <vt:variant>
        <vt:i4>917504</vt:i4>
      </vt:variant>
      <vt:variant>
        <vt:i4>48</vt:i4>
      </vt:variant>
      <vt:variant>
        <vt:i4>0</vt:i4>
      </vt:variant>
      <vt:variant>
        <vt:i4>5</vt:i4>
      </vt:variant>
      <vt:variant>
        <vt:lpwstr>https://clinicaltrials.gov/study/NCT03171311</vt:lpwstr>
      </vt:variant>
      <vt:variant>
        <vt:lpwstr/>
      </vt:variant>
      <vt:variant>
        <vt:i4>1048643</vt:i4>
      </vt:variant>
      <vt:variant>
        <vt:i4>45</vt:i4>
      </vt:variant>
      <vt:variant>
        <vt:i4>0</vt:i4>
      </vt:variant>
      <vt:variant>
        <vt:i4>5</vt:i4>
      </vt:variant>
      <vt:variant>
        <vt:lpwstr>http://www.msac.gov.au/internet/msac/publishing.nsf/Content/1354.1-public</vt:lpwstr>
      </vt:variant>
      <vt:variant>
        <vt:lpwstr/>
      </vt:variant>
      <vt:variant>
        <vt:i4>5374030</vt:i4>
      </vt:variant>
      <vt:variant>
        <vt:i4>36</vt:i4>
      </vt:variant>
      <vt:variant>
        <vt:i4>0</vt:i4>
      </vt:variant>
      <vt:variant>
        <vt:i4>5</vt:i4>
      </vt:variant>
      <vt:variant>
        <vt:lpwstr>https://academic.oup.com/eurheartj/article/39/35/3281/5001185?login=false</vt:lpwstr>
      </vt:variant>
      <vt:variant>
        <vt:lpwstr/>
      </vt:variant>
      <vt:variant>
        <vt:i4>720900</vt:i4>
      </vt:variant>
      <vt:variant>
        <vt:i4>33</vt:i4>
      </vt:variant>
      <vt:variant>
        <vt:i4>0</vt:i4>
      </vt:variant>
      <vt:variant>
        <vt:i4>5</vt:i4>
      </vt:variant>
      <vt:variant>
        <vt:lpwstr>https://clinicaltrials.gov/study/NCT03507777</vt:lpwstr>
      </vt:variant>
      <vt:variant>
        <vt:lpwstr/>
      </vt:variant>
      <vt:variant>
        <vt:i4>1048643</vt:i4>
      </vt:variant>
      <vt:variant>
        <vt:i4>24</vt:i4>
      </vt:variant>
      <vt:variant>
        <vt:i4>0</vt:i4>
      </vt:variant>
      <vt:variant>
        <vt:i4>5</vt:i4>
      </vt:variant>
      <vt:variant>
        <vt:lpwstr>http://www.msac.gov.au/internet/msac/publishing.nsf/Content/1354.1-public</vt:lpwstr>
      </vt:variant>
      <vt:variant>
        <vt:lpwstr/>
      </vt:variant>
      <vt:variant>
        <vt:i4>3539060</vt:i4>
      </vt:variant>
      <vt:variant>
        <vt:i4>15</vt:i4>
      </vt:variant>
      <vt:variant>
        <vt:i4>0</vt:i4>
      </vt:variant>
      <vt:variant>
        <vt:i4>5</vt:i4>
      </vt:variant>
      <vt:variant>
        <vt:lpwstr>https://www.monash.edu/medicine/sphpm/vcor/publications</vt:lpwstr>
      </vt:variant>
      <vt:variant>
        <vt:lpwstr/>
      </vt:variant>
      <vt:variant>
        <vt:i4>1048643</vt:i4>
      </vt:variant>
      <vt:variant>
        <vt:i4>6</vt:i4>
      </vt:variant>
      <vt:variant>
        <vt:i4>0</vt:i4>
      </vt:variant>
      <vt:variant>
        <vt:i4>5</vt:i4>
      </vt:variant>
      <vt:variant>
        <vt:lpwstr>http://www.msac.gov.au/internet/msac/publishing.nsf/Content/1354.1-public</vt:lpwstr>
      </vt:variant>
      <vt:variant>
        <vt:lpwstr/>
      </vt:variant>
      <vt:variant>
        <vt:i4>1048643</vt:i4>
      </vt:variant>
      <vt:variant>
        <vt:i4>3</vt:i4>
      </vt:variant>
      <vt:variant>
        <vt:i4>0</vt:i4>
      </vt:variant>
      <vt:variant>
        <vt:i4>5</vt:i4>
      </vt:variant>
      <vt:variant>
        <vt:lpwstr>http://www.msac.gov.au/internet/msac/publishing.nsf/Content/1354.1-public</vt:lpwstr>
      </vt:variant>
      <vt:variant>
        <vt:lpwstr/>
      </vt:variant>
      <vt:variant>
        <vt:i4>3997744</vt:i4>
      </vt:variant>
      <vt:variant>
        <vt:i4>0</vt:i4>
      </vt:variant>
      <vt:variant>
        <vt:i4>0</vt:i4>
      </vt:variant>
      <vt:variant>
        <vt:i4>5</vt:i4>
      </vt:variant>
      <vt:variant>
        <vt:lpwstr>http://www.msac.gov.au/</vt:lpwstr>
      </vt:variant>
      <vt:variant>
        <vt:lpwstr/>
      </vt:variant>
      <vt:variant>
        <vt:i4>917519</vt:i4>
      </vt:variant>
      <vt:variant>
        <vt:i4>3</vt:i4>
      </vt:variant>
      <vt:variant>
        <vt:i4>0</vt:i4>
      </vt:variant>
      <vt:variant>
        <vt:i4>5</vt:i4>
      </vt:variant>
      <vt:variant>
        <vt:lpwstr>https://pubmed.ncbi.nlm.nih.gov/34003686/</vt:lpwstr>
      </vt:variant>
      <vt:variant>
        <vt:lpwstr/>
      </vt:variant>
      <vt:variant>
        <vt:i4>917509</vt:i4>
      </vt:variant>
      <vt:variant>
        <vt:i4>0</vt:i4>
      </vt:variant>
      <vt:variant>
        <vt:i4>0</vt:i4>
      </vt:variant>
      <vt:variant>
        <vt:i4>5</vt:i4>
      </vt:variant>
      <vt:variant>
        <vt:lpwstr>https://pubmed.ncbi.nlm.nih.gov/38401549/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2024-10-16T21:35:00Z</dcterms:created>
  <dcterms:modified xsi:type="dcterms:W3CDTF">2024-10-16T21:36:00Z</dcterms:modified>
  <cp:category/>
</cp:coreProperties>
</file>