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811E4A" w14:textId="77777777" w:rsidR="00BC1364" w:rsidRPr="00707064" w:rsidRDefault="00C67DD2" w:rsidP="00065623">
      <w:pPr>
        <w:jc w:val="center"/>
        <w:rPr>
          <w:b/>
          <w:i/>
          <w:szCs w:val="24"/>
          <w:highlight w:val="yellow"/>
        </w:rPr>
      </w:pPr>
      <w:bookmarkStart w:id="0" w:name="_GoBack"/>
      <w:bookmarkEnd w:id="0"/>
      <w:r>
        <w:rPr>
          <w:rFonts w:ascii="Arial" w:hAnsi="Arial" w:cs="Arial"/>
          <w:b/>
          <w:noProof/>
          <w:color w:val="000080"/>
          <w:sz w:val="28"/>
          <w:szCs w:val="28"/>
        </w:rPr>
        <w:drawing>
          <wp:inline distT="0" distB="0" distL="0" distR="0" wp14:anchorId="17C78A33" wp14:editId="5D0D96D9">
            <wp:extent cx="2627630" cy="1078865"/>
            <wp:effectExtent l="0" t="0" r="1270" b="6985"/>
            <wp:docPr id="2" name="Picture 2" descr="Logo" title="Medical Services Advisory Committ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27630" cy="1078865"/>
                    </a:xfrm>
                    <a:prstGeom prst="rect">
                      <a:avLst/>
                    </a:prstGeom>
                    <a:noFill/>
                  </pic:spPr>
                </pic:pic>
              </a:graphicData>
            </a:graphic>
          </wp:inline>
        </w:drawing>
      </w:r>
    </w:p>
    <w:p w14:paraId="1DB0550A" w14:textId="77777777" w:rsidR="00BC1364" w:rsidRPr="007B32D1" w:rsidRDefault="00BF479B" w:rsidP="00FC1420">
      <w:pPr>
        <w:spacing w:before="720" w:after="360"/>
        <w:jc w:val="center"/>
        <w:rPr>
          <w:rFonts w:ascii="Arial" w:hAnsi="Arial" w:cs="Arial"/>
          <w:b/>
          <w:bCs/>
          <w:color w:val="000080"/>
          <w:sz w:val="36"/>
          <w:szCs w:val="36"/>
        </w:rPr>
      </w:pPr>
      <w:r>
        <w:rPr>
          <w:rFonts w:ascii="Arial" w:hAnsi="Arial" w:cs="Arial"/>
          <w:b/>
          <w:bCs/>
          <w:color w:val="000080"/>
          <w:sz w:val="36"/>
          <w:szCs w:val="36"/>
        </w:rPr>
        <w:t>Public Summary Document</w:t>
      </w:r>
    </w:p>
    <w:p w14:paraId="39DFC4DD" w14:textId="74AEB22B" w:rsidR="00F25A2E" w:rsidRDefault="00F25A2E" w:rsidP="00F25A2E">
      <w:pPr>
        <w:pStyle w:val="Heading1"/>
      </w:pPr>
      <w:r>
        <w:t>Report to the Medical Services Advisory Committee on utilisation of M</w:t>
      </w:r>
      <w:r w:rsidR="009B724F">
        <w:t xml:space="preserve">edicare </w:t>
      </w:r>
      <w:r>
        <w:t>B</w:t>
      </w:r>
      <w:r w:rsidR="009B724F">
        <w:t xml:space="preserve">enefits </w:t>
      </w:r>
      <w:r>
        <w:t>S</w:t>
      </w:r>
      <w:r w:rsidR="009B724F">
        <w:t>chedule (MBS)</w:t>
      </w:r>
      <w:r>
        <w:t xml:space="preserve"> item 18379 following MSAC Application 1272: Intravesical injection of botulinum toxin type A (Botox</w:t>
      </w:r>
      <w:r w:rsidRPr="00081753">
        <w:rPr>
          <w:vertAlign w:val="superscript"/>
        </w:rPr>
        <w:t>®</w:t>
      </w:r>
      <w:r>
        <w:t>) into the bladder wall for urinary incontinence due to idiopathic overactive bladder (IOAB)</w:t>
      </w:r>
    </w:p>
    <w:p w14:paraId="50BBDDE4" w14:textId="58E7875F" w:rsidR="00BC1364" w:rsidRPr="00D90A38" w:rsidRDefault="002F38AB" w:rsidP="00FC1420">
      <w:pPr>
        <w:spacing w:before="360"/>
        <w:ind w:left="3600" w:hanging="3600"/>
        <w:rPr>
          <w:rFonts w:ascii="Arial" w:hAnsi="Arial" w:cs="Arial"/>
          <w:b/>
          <w:szCs w:val="24"/>
        </w:rPr>
      </w:pPr>
      <w:r>
        <w:rPr>
          <w:rFonts w:ascii="Arial" w:hAnsi="Arial" w:cs="Arial"/>
          <w:b/>
          <w:szCs w:val="24"/>
        </w:rPr>
        <w:t>MBS</w:t>
      </w:r>
      <w:r w:rsidR="003F5DD6">
        <w:rPr>
          <w:rFonts w:ascii="Arial" w:hAnsi="Arial" w:cs="Arial"/>
          <w:b/>
          <w:szCs w:val="24"/>
        </w:rPr>
        <w:t xml:space="preserve"> items considered</w:t>
      </w:r>
      <w:r>
        <w:rPr>
          <w:rFonts w:ascii="Arial" w:hAnsi="Arial" w:cs="Arial"/>
          <w:b/>
          <w:szCs w:val="24"/>
        </w:rPr>
        <w:t>:</w:t>
      </w:r>
      <w:r w:rsidR="00275470">
        <w:rPr>
          <w:rFonts w:ascii="Arial" w:hAnsi="Arial" w:cs="Arial"/>
          <w:b/>
          <w:szCs w:val="24"/>
        </w:rPr>
        <w:tab/>
      </w:r>
      <w:r w:rsidR="00804D1D">
        <w:rPr>
          <w:rFonts w:ascii="Arial" w:hAnsi="Arial" w:cs="Arial"/>
          <w:b/>
          <w:szCs w:val="24"/>
        </w:rPr>
        <w:t>1837</w:t>
      </w:r>
      <w:r w:rsidR="00F25A2E">
        <w:rPr>
          <w:rFonts w:ascii="Arial" w:hAnsi="Arial" w:cs="Arial"/>
          <w:b/>
          <w:szCs w:val="24"/>
        </w:rPr>
        <w:t>9</w:t>
      </w:r>
      <w:r w:rsidR="00804D1D">
        <w:rPr>
          <w:rFonts w:ascii="Arial" w:hAnsi="Arial" w:cs="Arial"/>
          <w:b/>
          <w:szCs w:val="24"/>
        </w:rPr>
        <w:t xml:space="preserve"> and 36851</w:t>
      </w:r>
    </w:p>
    <w:p w14:paraId="6F6DDFED" w14:textId="311FB5FF" w:rsidR="00BC1364" w:rsidRPr="00D90A38" w:rsidRDefault="00BC1364" w:rsidP="00FC1420">
      <w:pPr>
        <w:spacing w:before="360"/>
        <w:ind w:left="3600" w:hanging="3600"/>
        <w:rPr>
          <w:rFonts w:ascii="Arial" w:hAnsi="Arial" w:cs="Arial"/>
          <w:b/>
          <w:szCs w:val="24"/>
        </w:rPr>
      </w:pPr>
      <w:r w:rsidRPr="00D90A38">
        <w:rPr>
          <w:rFonts w:ascii="Arial" w:hAnsi="Arial" w:cs="Arial"/>
          <w:b/>
          <w:szCs w:val="24"/>
        </w:rPr>
        <w:t>Date of MSAC consideration:</w:t>
      </w:r>
      <w:r w:rsidRPr="00D90A38">
        <w:rPr>
          <w:rFonts w:ascii="Arial" w:hAnsi="Arial" w:cs="Arial"/>
          <w:b/>
          <w:szCs w:val="24"/>
        </w:rPr>
        <w:tab/>
      </w:r>
      <w:r w:rsidR="00F25A2E">
        <w:rPr>
          <w:rFonts w:ascii="Arial" w:hAnsi="Arial" w:cs="Arial"/>
          <w:b/>
          <w:szCs w:val="24"/>
        </w:rPr>
        <w:t>July 2017</w:t>
      </w:r>
    </w:p>
    <w:p w14:paraId="46790F2B" w14:textId="2B43E52A" w:rsidR="0041758C" w:rsidRDefault="006A0D97" w:rsidP="0079039C">
      <w:pPr>
        <w:spacing w:before="240"/>
        <w:rPr>
          <w:szCs w:val="24"/>
        </w:rPr>
      </w:pPr>
      <w:r>
        <w:rPr>
          <w:szCs w:val="24"/>
        </w:rPr>
        <w:t xml:space="preserve">Context for </w:t>
      </w:r>
      <w:r w:rsidRPr="00FC1420">
        <w:t>decision</w:t>
      </w:r>
      <w:r>
        <w:rPr>
          <w:szCs w:val="24"/>
        </w:rPr>
        <w:t>: MSAC makes its advice in accordance with its Terms of Reference, see</w:t>
      </w:r>
      <w:r w:rsidR="00E86450">
        <w:rPr>
          <w:szCs w:val="24"/>
        </w:rPr>
        <w:t xml:space="preserve"> the </w:t>
      </w:r>
      <w:hyperlink r:id="rId10" w:history="1">
        <w:r w:rsidR="00E86450">
          <w:rPr>
            <w:rStyle w:val="Hyperlink"/>
            <w:szCs w:val="24"/>
          </w:rPr>
          <w:t>MSAC Website</w:t>
        </w:r>
      </w:hyperlink>
    </w:p>
    <w:p w14:paraId="52C2A008" w14:textId="328F32A8" w:rsidR="003F5DD6" w:rsidRPr="003F5DD6" w:rsidRDefault="003D7F29" w:rsidP="00FC1420">
      <w:pPr>
        <w:pStyle w:val="Heading1"/>
        <w:numPr>
          <w:ilvl w:val="0"/>
          <w:numId w:val="23"/>
        </w:numPr>
        <w:tabs>
          <w:tab w:val="left" w:pos="720"/>
          <w:tab w:val="left" w:pos="1140"/>
        </w:tabs>
        <w:spacing w:before="360"/>
        <w:ind w:hanging="720"/>
      </w:pPr>
      <w:r w:rsidRPr="00D90A38">
        <w:t>Purpose</w:t>
      </w:r>
    </w:p>
    <w:p w14:paraId="6CD02791" w14:textId="6437A836" w:rsidR="003F5DD6" w:rsidRDefault="003F5DD6" w:rsidP="003F5DD6">
      <w:r>
        <w:t xml:space="preserve">The purpose of the report presented to the Medical Services Advisory Committee (MSAC) was to inform MSAC of the real world impacts </w:t>
      </w:r>
      <w:r w:rsidR="00F25A2E">
        <w:t>o</w:t>
      </w:r>
      <w:r w:rsidR="00AA0329">
        <w:t>f</w:t>
      </w:r>
      <w:r w:rsidR="00F25A2E">
        <w:t xml:space="preserve"> the utilisation of MBS item 18379 following MSAC Application 1272. </w:t>
      </w:r>
      <w:r>
        <w:t>MSAC then uses this information to ensure that</w:t>
      </w:r>
      <w:r w:rsidR="00A91AFD">
        <w:t xml:space="preserve"> the new item resulting from this application is being used as intended.</w:t>
      </w:r>
    </w:p>
    <w:p w14:paraId="53627D54" w14:textId="77777777" w:rsidR="003F5DD6" w:rsidRPr="00DB1935" w:rsidRDefault="003F5DD6" w:rsidP="00FC1420">
      <w:pPr>
        <w:spacing w:before="240"/>
      </w:pPr>
      <w:r w:rsidRPr="00341476">
        <w:t xml:space="preserve">The </w:t>
      </w:r>
      <w:r>
        <w:t>report</w:t>
      </w:r>
      <w:r w:rsidRPr="00341476">
        <w:t xml:space="preserve"> is not intended to be a review of the clinical information covered during the application process.</w:t>
      </w:r>
    </w:p>
    <w:p w14:paraId="57895869" w14:textId="51271565" w:rsidR="00E977EE" w:rsidRDefault="00E977EE" w:rsidP="00FC1420">
      <w:pPr>
        <w:pStyle w:val="Heading1"/>
        <w:numPr>
          <w:ilvl w:val="0"/>
          <w:numId w:val="23"/>
        </w:numPr>
        <w:tabs>
          <w:tab w:val="left" w:pos="720"/>
          <w:tab w:val="left" w:pos="1140"/>
        </w:tabs>
        <w:spacing w:before="360"/>
        <w:ind w:hanging="720"/>
      </w:pPr>
      <w:r w:rsidRPr="008D5885">
        <w:t xml:space="preserve">MSAC’s advice </w:t>
      </w:r>
    </w:p>
    <w:p w14:paraId="088DE65A" w14:textId="7E029705" w:rsidR="00B44EDD" w:rsidRPr="004E2F59" w:rsidRDefault="00B44EDD" w:rsidP="00B44EDD">
      <w:r w:rsidRPr="004E2F59">
        <w:t xml:space="preserve">MSAC considered actual utilisation data and compared it with the utilisation predicted prior to implementation of the MBS listing for intravesical injection of botulinum toxin in the bladder wall for urinary incontinence due to </w:t>
      </w:r>
      <w:r w:rsidR="00FF1F99">
        <w:t>IOAB</w:t>
      </w:r>
      <w:r w:rsidRPr="004E2F59">
        <w:t xml:space="preserve"> and recommended no further action.</w:t>
      </w:r>
    </w:p>
    <w:p w14:paraId="084DD51D" w14:textId="470BA549" w:rsidR="00DC3933" w:rsidRDefault="00DC3933" w:rsidP="00FC1420">
      <w:pPr>
        <w:pStyle w:val="Heading1"/>
        <w:numPr>
          <w:ilvl w:val="0"/>
          <w:numId w:val="23"/>
        </w:numPr>
        <w:tabs>
          <w:tab w:val="left" w:pos="720"/>
          <w:tab w:val="left" w:pos="1140"/>
        </w:tabs>
        <w:spacing w:before="360"/>
        <w:ind w:hanging="720"/>
      </w:pPr>
      <w:r w:rsidRPr="00E35CDB">
        <w:t>Summary of consideration and rationale for MSAC’s advice</w:t>
      </w:r>
    </w:p>
    <w:p w14:paraId="78B03C2C" w14:textId="44042EDB" w:rsidR="004403ED" w:rsidRDefault="00291D99" w:rsidP="00291D99">
      <w:pPr>
        <w:sectPr w:rsidR="004403ED" w:rsidSect="009D3B47">
          <w:headerReference w:type="even" r:id="rId11"/>
          <w:headerReference w:type="default" r:id="rId12"/>
          <w:footerReference w:type="even" r:id="rId13"/>
          <w:footerReference w:type="default" r:id="rId14"/>
          <w:headerReference w:type="first" r:id="rId15"/>
          <w:footerReference w:type="first" r:id="rId16"/>
          <w:pgSz w:w="11906" w:h="16838"/>
          <w:pgMar w:top="1134" w:right="1440" w:bottom="426" w:left="1440" w:header="708" w:footer="158" w:gutter="0"/>
          <w:cols w:space="708"/>
          <w:docGrid w:linePitch="360"/>
        </w:sectPr>
      </w:pPr>
      <w:r>
        <w:t>MSAC noted that actual utilisation of the ite</w:t>
      </w:r>
      <w:r w:rsidR="00496322">
        <w:t xml:space="preserve">m number was markedly below that expected </w:t>
      </w:r>
      <w:r w:rsidR="00894144">
        <w:t xml:space="preserve">with just 718 services </w:t>
      </w:r>
      <w:r w:rsidR="00496322">
        <w:t>in</w:t>
      </w:r>
      <w:r>
        <w:t xml:space="preserve"> 2016–17, </w:t>
      </w:r>
      <w:r w:rsidR="00894144">
        <w:t>al</w:t>
      </w:r>
      <w:r>
        <w:t xml:space="preserve">though </w:t>
      </w:r>
      <w:r w:rsidR="00496322">
        <w:t xml:space="preserve">the </w:t>
      </w:r>
      <w:r>
        <w:t>use of the item is continuing to grow. MSAC noted that this procedure is similar to item 18375 (</w:t>
      </w:r>
      <w:r w:rsidR="00894144" w:rsidRPr="005D244F">
        <w:rPr>
          <w:szCs w:val="24"/>
        </w:rPr>
        <w:t xml:space="preserve">treatment of </w:t>
      </w:r>
      <w:r w:rsidR="00894144" w:rsidRPr="005D244F">
        <w:rPr>
          <w:szCs w:val="24"/>
          <w:lang w:eastAsia="en-US"/>
        </w:rPr>
        <w:t>urinary incontinence due to neurogenic detrusor overactivity</w:t>
      </w:r>
      <w:r w:rsidR="007A3CE8">
        <w:rPr>
          <w:szCs w:val="24"/>
          <w:lang w:eastAsia="en-US"/>
        </w:rPr>
        <w:t xml:space="preserve"> (NDO)</w:t>
      </w:r>
      <w:r>
        <w:t xml:space="preserve">), for which the predicted versus actual use was reported at its November 2016 meeting. The actual utilisation for item 18375 was also substantially lower than predicted. MSAC considered that the estimated utilisation </w:t>
      </w:r>
      <w:r w:rsidR="0097201E">
        <w:t>of the service</w:t>
      </w:r>
      <w:r w:rsidR="008F74A0">
        <w:t xml:space="preserve"> (using </w:t>
      </w:r>
      <w:r w:rsidR="004E542B">
        <w:t>an epidemiological approach</w:t>
      </w:r>
      <w:r w:rsidR="008F74A0">
        <w:t>)</w:t>
      </w:r>
      <w:r w:rsidR="004E542B">
        <w:t xml:space="preserve"> </w:t>
      </w:r>
      <w:r>
        <w:t xml:space="preserve">did not reflect actual patient interest in and willingness to undergo this invasive procedure. MSAC recommended that in estimating utilisation for future applications, current utilisation of an unfunded service should be considered and reflected. </w:t>
      </w:r>
    </w:p>
    <w:p w14:paraId="28EC76F3" w14:textId="455EDA06" w:rsidR="00391946" w:rsidRDefault="00291D99" w:rsidP="003C5C54">
      <w:pPr>
        <w:spacing w:before="240" w:after="240"/>
      </w:pPr>
      <w:r>
        <w:lastRenderedPageBreak/>
        <w:t xml:space="preserve">MSAC noted that the low uptake of the service may be due to the </w:t>
      </w:r>
      <w:r w:rsidR="002F7B2B">
        <w:t>Pharmaceutical Benefits Scheme (</w:t>
      </w:r>
      <w:r>
        <w:t>PBS</w:t>
      </w:r>
      <w:r w:rsidR="002F7B2B">
        <w:t>)</w:t>
      </w:r>
      <w:r>
        <w:t xml:space="preserve"> prescribing restrictions and that the recent recommendation </w:t>
      </w:r>
      <w:r w:rsidR="0077188E">
        <w:t xml:space="preserve">by the Pharmaceutical Benefits Advisory Committee (PBAC) </w:t>
      </w:r>
      <w:r>
        <w:t>to allow gynaecologists to prescribe this treatment on the PBS may increase uptake. MSAC noted that there has been movement from the generic item (item 36851) to item 1837</w:t>
      </w:r>
      <w:r w:rsidR="00AA0329">
        <w:t>9</w:t>
      </w:r>
      <w:r>
        <w:t>.</w:t>
      </w:r>
    </w:p>
    <w:p w14:paraId="3A7ED5C4" w14:textId="50758C05" w:rsidR="00391946" w:rsidRDefault="00391946" w:rsidP="003C5C54">
      <w:pPr>
        <w:spacing w:after="240"/>
        <w:rPr>
          <w:lang w:eastAsia="en-US"/>
        </w:rPr>
      </w:pPr>
      <w:r w:rsidRPr="004E2F59">
        <w:t>In considering the data on the fee charged for item 18379 MSAC noted that there was variability</w:t>
      </w:r>
      <w:r w:rsidR="008319FE">
        <w:rPr>
          <w:lang w:eastAsia="en-US"/>
        </w:rPr>
        <w:t xml:space="preserve"> between </w:t>
      </w:r>
      <w:r w:rsidRPr="004E2F59">
        <w:rPr>
          <w:lang w:eastAsia="en-US"/>
        </w:rPr>
        <w:t xml:space="preserve">states in the range of </w:t>
      </w:r>
      <w:r w:rsidR="00206281">
        <w:rPr>
          <w:lang w:eastAsia="en-US"/>
        </w:rPr>
        <w:t>out-of-pocket expenses</w:t>
      </w:r>
      <w:r w:rsidRPr="004E2F59">
        <w:rPr>
          <w:lang w:eastAsia="en-US"/>
        </w:rPr>
        <w:t xml:space="preserve"> and in the rate of inflation of fees charged for the service over the last </w:t>
      </w:r>
      <w:r w:rsidR="00615C1B">
        <w:rPr>
          <w:lang w:eastAsia="en-US"/>
        </w:rPr>
        <w:t>two</w:t>
      </w:r>
      <w:r w:rsidRPr="004E2F59">
        <w:rPr>
          <w:lang w:eastAsia="en-US"/>
        </w:rPr>
        <w:t xml:space="preserve"> years. MSAC noted differences in </w:t>
      </w:r>
      <w:r w:rsidR="0061102A">
        <w:rPr>
          <w:lang w:eastAsia="en-US"/>
        </w:rPr>
        <w:t xml:space="preserve">the average </w:t>
      </w:r>
      <w:r w:rsidR="008319FE">
        <w:rPr>
          <w:lang w:eastAsia="en-US"/>
        </w:rPr>
        <w:t xml:space="preserve">fee charged </w:t>
      </w:r>
      <w:r w:rsidRPr="004E2F59">
        <w:rPr>
          <w:lang w:eastAsia="en-US"/>
        </w:rPr>
        <w:t xml:space="preserve">for this service (approximately $450 in 2015-16) compared </w:t>
      </w:r>
      <w:r w:rsidR="008319FE">
        <w:rPr>
          <w:lang w:eastAsia="en-US"/>
        </w:rPr>
        <w:t xml:space="preserve">to </w:t>
      </w:r>
      <w:r w:rsidRPr="004E2F59">
        <w:rPr>
          <w:lang w:eastAsia="en-US"/>
        </w:rPr>
        <w:t>injection of botulinum toxin in</w:t>
      </w:r>
      <w:r w:rsidR="007A3CE8">
        <w:t xml:space="preserve"> NDO </w:t>
      </w:r>
      <w:r w:rsidR="008319FE">
        <w:rPr>
          <w:lang w:eastAsia="en-US"/>
        </w:rPr>
        <w:t xml:space="preserve">(approximately $400 in </w:t>
      </w:r>
      <w:r w:rsidRPr="004E2F59">
        <w:rPr>
          <w:lang w:eastAsia="en-US"/>
        </w:rPr>
        <w:t xml:space="preserve">2015-16) and for the generic item number (approximately $330 in 2015-16). MSAC recommended that consumers be directed to the Public Summary Documents (PSDs) for predicted versus actual items </w:t>
      </w:r>
      <w:r w:rsidR="003844E8">
        <w:rPr>
          <w:lang w:eastAsia="en-US"/>
        </w:rPr>
        <w:t>to</w:t>
      </w:r>
      <w:r w:rsidRPr="004E2F59">
        <w:rPr>
          <w:lang w:eastAsia="en-US"/>
        </w:rPr>
        <w:t xml:space="preserve"> assist with transparency of out-of-pocket fees charged.</w:t>
      </w:r>
    </w:p>
    <w:p w14:paraId="3CA4F7AC" w14:textId="0314499A" w:rsidR="00B44EDD" w:rsidRDefault="00171C79" w:rsidP="00291D99">
      <w:r>
        <w:t xml:space="preserve">In considering claiming data, </w:t>
      </w:r>
      <w:r w:rsidR="00291D99">
        <w:t xml:space="preserve">MSAC noted that MBS item 18379 was predominantly </w:t>
      </w:r>
      <w:r>
        <w:t>claimed alone. MSAC noted that (as with</w:t>
      </w:r>
      <w:r w:rsidR="00291D99">
        <w:t xml:space="preserve"> item 18375</w:t>
      </w:r>
      <w:r>
        <w:t>)</w:t>
      </w:r>
      <w:r w:rsidR="00291D99">
        <w:t>, in some cases item 18379 was co-claimed with other cystoscopy items, despite cystoscopy being included in the item descriptor. MSAC noted that these co-claiming issues may req</w:t>
      </w:r>
      <w:r w:rsidR="00A64A43">
        <w:t xml:space="preserve">uire review. </w:t>
      </w:r>
      <w:r w:rsidR="00291D99">
        <w:t>MSAC recommended that no further review is required for item 18379.</w:t>
      </w:r>
    </w:p>
    <w:p w14:paraId="08E2832D" w14:textId="24E7A918" w:rsidR="00550354" w:rsidRDefault="003F5DD6" w:rsidP="00FC1420">
      <w:pPr>
        <w:pStyle w:val="Heading1"/>
        <w:numPr>
          <w:ilvl w:val="0"/>
          <w:numId w:val="23"/>
        </w:numPr>
        <w:tabs>
          <w:tab w:val="left" w:pos="720"/>
          <w:tab w:val="left" w:pos="1140"/>
        </w:tabs>
        <w:spacing w:before="360"/>
        <w:ind w:hanging="720"/>
      </w:pPr>
      <w:r>
        <w:t>Methodology</w:t>
      </w:r>
    </w:p>
    <w:p w14:paraId="74CEFE68" w14:textId="51D017C1" w:rsidR="00550354" w:rsidRDefault="001C1BE6" w:rsidP="00550354">
      <w:pPr>
        <w:rPr>
          <w:szCs w:val="24"/>
        </w:rPr>
      </w:pPr>
      <w:r>
        <w:rPr>
          <w:szCs w:val="24"/>
        </w:rPr>
        <w:t xml:space="preserve">An </w:t>
      </w:r>
      <w:r w:rsidRPr="00FC1420">
        <w:t>application</w:t>
      </w:r>
      <w:r>
        <w:rPr>
          <w:szCs w:val="24"/>
        </w:rPr>
        <w:t xml:space="preserve"> is selected for consideration if the resulting new item(s) or item amendment(s) have been on the MBS for approximately 24 months or longer or if there were particular concerns about utilisation such that MSAC requested to consider it earlier. The specific applications for each MSAC meeting are selected by the MSAC Executive which is composed of the Chairs of MSAC and its sub-committees.</w:t>
      </w:r>
    </w:p>
    <w:p w14:paraId="5EF0EBE3" w14:textId="372C1663" w:rsidR="001C1BE6" w:rsidRDefault="001C1BE6" w:rsidP="00FC1420">
      <w:pPr>
        <w:spacing w:before="240"/>
        <w:rPr>
          <w:szCs w:val="24"/>
        </w:rPr>
      </w:pPr>
      <w:r>
        <w:rPr>
          <w:szCs w:val="24"/>
        </w:rPr>
        <w:t xml:space="preserve">A report on the utilisation is developed by the Department of Health (the department) with information on a number of metrics including state variation, patient demographics, services per patient, </w:t>
      </w:r>
      <w:r w:rsidRPr="00FC1420">
        <w:t>practitioner’s</w:t>
      </w:r>
      <w:r>
        <w:rPr>
          <w:szCs w:val="24"/>
        </w:rPr>
        <w:t xml:space="preserve"> providing the service, data on fees and co-claiming of services. The number of metrics included in a report is dependent on the annual service volume for the MBS item(s) under consideration i.e. an item with very low utilisation will have less data to analyse. Where service volumes are too low, information is suppressed to protect patient privacy.</w:t>
      </w:r>
    </w:p>
    <w:p w14:paraId="2DF32FA0" w14:textId="3163B48C" w:rsidR="001C1BE6" w:rsidRDefault="001C1BE6" w:rsidP="00FC1420">
      <w:pPr>
        <w:spacing w:before="240"/>
        <w:rPr>
          <w:szCs w:val="24"/>
        </w:rPr>
      </w:pPr>
      <w:r>
        <w:rPr>
          <w:szCs w:val="24"/>
        </w:rPr>
        <w:t xml:space="preserve">Where possible the report compares data on real world utilisation to the assumptions made during the </w:t>
      </w:r>
      <w:r w:rsidRPr="00FC1420">
        <w:t>MSAC</w:t>
      </w:r>
      <w:r>
        <w:rPr>
          <w:szCs w:val="24"/>
        </w:rPr>
        <w:t xml:space="preserve"> assessment. Most of these assumptions are drawn from the assessment report.</w:t>
      </w:r>
    </w:p>
    <w:p w14:paraId="26E62F08" w14:textId="3E86C2DF" w:rsidR="00B11472" w:rsidRDefault="001C1BE6" w:rsidP="00FC1420">
      <w:pPr>
        <w:spacing w:before="240"/>
        <w:rPr>
          <w:szCs w:val="24"/>
        </w:rPr>
      </w:pPr>
      <w:r>
        <w:rPr>
          <w:szCs w:val="24"/>
        </w:rPr>
        <w:t xml:space="preserve">Relevant </w:t>
      </w:r>
      <w:r w:rsidRPr="00FC1420">
        <w:t>stakeholders</w:t>
      </w:r>
      <w:r>
        <w:rPr>
          <w:szCs w:val="24"/>
        </w:rPr>
        <w:t xml:space="preserve"> are provided an opportunity to comment on the findings in the report before it is presented to the MSAC. It is intended that stakeholders are given at least three weeks to consider the reports</w:t>
      </w:r>
      <w:r w:rsidR="00E86450">
        <w:rPr>
          <w:szCs w:val="24"/>
        </w:rPr>
        <w:t>.</w:t>
      </w:r>
    </w:p>
    <w:p w14:paraId="40C0C81F" w14:textId="52EECD16" w:rsidR="001C1BE6" w:rsidRDefault="001C1BE6" w:rsidP="00FC1420">
      <w:pPr>
        <w:spacing w:before="240"/>
        <w:rPr>
          <w:szCs w:val="24"/>
        </w:rPr>
      </w:pPr>
      <w:r>
        <w:rPr>
          <w:szCs w:val="24"/>
        </w:rPr>
        <w:t xml:space="preserve">The stakeholder version of the report does not contain information </w:t>
      </w:r>
      <w:r w:rsidR="00B11472">
        <w:rPr>
          <w:szCs w:val="24"/>
        </w:rPr>
        <w:t xml:space="preserve">on assumptions from the MSAC consideration </w:t>
      </w:r>
      <w:r w:rsidR="00B11472" w:rsidRPr="00FC1420">
        <w:t>if</w:t>
      </w:r>
      <w:r w:rsidR="00B11472">
        <w:rPr>
          <w:szCs w:val="24"/>
        </w:rPr>
        <w:t xml:space="preserve"> this information is not already publicly available. This is to protect the commercial in confidence of the original applicants. The same principle is applied to this document.</w:t>
      </w:r>
    </w:p>
    <w:p w14:paraId="5FFB5672" w14:textId="453D0EC2" w:rsidR="00B11472" w:rsidRDefault="00B11472" w:rsidP="00FC1420">
      <w:pPr>
        <w:spacing w:before="240"/>
        <w:rPr>
          <w:szCs w:val="24"/>
        </w:rPr>
      </w:pPr>
      <w:r>
        <w:rPr>
          <w:szCs w:val="24"/>
        </w:rPr>
        <w:t xml:space="preserve">Once MSAC has </w:t>
      </w:r>
      <w:r w:rsidRPr="00FC1420">
        <w:t>considered</w:t>
      </w:r>
      <w:r>
        <w:rPr>
          <w:szCs w:val="24"/>
        </w:rPr>
        <w:t xml:space="preserve"> the report</w:t>
      </w:r>
      <w:r w:rsidR="00A91AFD">
        <w:rPr>
          <w:szCs w:val="24"/>
        </w:rPr>
        <w:t xml:space="preserve"> its advice is made available online at </w:t>
      </w:r>
      <w:r w:rsidR="00E86450">
        <w:rPr>
          <w:szCs w:val="24"/>
        </w:rPr>
        <w:t xml:space="preserve">the </w:t>
      </w:r>
      <w:hyperlink r:id="rId17" w:tooltip="Link to Medical Services Advisory Committee website" w:history="1">
        <w:r w:rsidR="00E86450">
          <w:rPr>
            <w:rStyle w:val="Hyperlink"/>
            <w:szCs w:val="24"/>
          </w:rPr>
          <w:t>MSAC Website</w:t>
        </w:r>
      </w:hyperlink>
      <w:r w:rsidR="00A91AFD">
        <w:rPr>
          <w:szCs w:val="24"/>
        </w:rPr>
        <w:t>.</w:t>
      </w:r>
    </w:p>
    <w:p w14:paraId="09E8EE24" w14:textId="3517EF44" w:rsidR="00BC1364" w:rsidRPr="00A91AFD" w:rsidRDefault="003F5DD6" w:rsidP="00FC1420">
      <w:pPr>
        <w:pStyle w:val="Heading1"/>
        <w:numPr>
          <w:ilvl w:val="0"/>
          <w:numId w:val="23"/>
        </w:numPr>
        <w:tabs>
          <w:tab w:val="left" w:pos="720"/>
          <w:tab w:val="left" w:pos="1140"/>
        </w:tabs>
        <w:spacing w:before="360"/>
        <w:ind w:hanging="720"/>
      </w:pPr>
      <w:r>
        <w:lastRenderedPageBreak/>
        <w:t>Results</w:t>
      </w:r>
    </w:p>
    <w:p w14:paraId="759802B8" w14:textId="03C6E5D8" w:rsidR="004E015F" w:rsidRDefault="004E015F" w:rsidP="00FC1420">
      <w:pPr>
        <w:pStyle w:val="Heading2"/>
      </w:pPr>
      <w:r>
        <w:t>Utilisation</w:t>
      </w:r>
    </w:p>
    <w:p w14:paraId="5FECA956" w14:textId="36738AD6" w:rsidR="00A37DC4" w:rsidRPr="00A37DC4" w:rsidRDefault="00B45071" w:rsidP="003C5C54">
      <w:pPr>
        <w:spacing w:after="240"/>
      </w:pPr>
      <w:r>
        <w:t>Utilisation of item 18379 is lower than expected with 309 services in 2014-15 and 718 services in 2015-16</w:t>
      </w:r>
      <w:r w:rsidRPr="00BD75B8">
        <w:t xml:space="preserve">. </w:t>
      </w:r>
      <w:r>
        <w:t>It was expected that there would be a decrease in utilisation of item 36851 due to the restriction for injecting botulinum toxin under this item. There was a 9% decrease in services under item 36851 in 2015-16 from the previous year</w:t>
      </w:r>
      <w:r w:rsidR="000D5081">
        <w:t>.</w:t>
      </w:r>
      <w:r>
        <w:t xml:space="preserve"> Service volumes had been previously increasing by 38% and 10% in 2013-14 and 2014-15, respectively </w:t>
      </w:r>
      <w:r w:rsidR="00EC17E5">
        <w:br/>
      </w:r>
      <w:r>
        <w:t xml:space="preserve">(Table 1). </w:t>
      </w:r>
      <w:r w:rsidR="00A37DC4" w:rsidRPr="00A37DC4">
        <w:t>A month by month comparison of service volumes under item 36851 relative to item 18379 is at Figure 1.</w:t>
      </w:r>
    </w:p>
    <w:p w14:paraId="27E528CD" w14:textId="6B25FC02" w:rsidR="00B45071" w:rsidRPr="00C83F0C" w:rsidRDefault="00B45071" w:rsidP="003C5C54">
      <w:pPr>
        <w:ind w:right="-341"/>
        <w:rPr>
          <w:b/>
          <w:sz w:val="18"/>
          <w:szCs w:val="18"/>
        </w:rPr>
      </w:pPr>
      <w:r w:rsidRPr="00C83F0C">
        <w:rPr>
          <w:b/>
          <w:sz w:val="18"/>
          <w:szCs w:val="18"/>
        </w:rPr>
        <w:t>Table 1: Services, growth and benefits paid for item 18379 between 2014-15 and 2016-17</w:t>
      </w:r>
      <w:r w:rsidR="00260A23" w:rsidRPr="00C83F0C">
        <w:rPr>
          <w:b/>
          <w:sz w:val="18"/>
          <w:szCs w:val="18"/>
        </w:rPr>
        <w:t>;</w:t>
      </w:r>
      <w:r w:rsidRPr="00C83F0C">
        <w:rPr>
          <w:b/>
          <w:sz w:val="18"/>
          <w:szCs w:val="18"/>
        </w:rPr>
        <w:t xml:space="preserve"> and item 36851 between 2011-12 and 2016-17 by date of service</w:t>
      </w:r>
    </w:p>
    <w:tbl>
      <w:tblPr>
        <w:tblStyle w:val="LightList-Accent1"/>
        <w:tblW w:w="7623" w:type="dxa"/>
        <w:tblInd w:w="108" w:type="dxa"/>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able 1 presents data on the number of services and benefits paid in Australia for MBS items 18379 and 36851 from 2011-12 to 2016-17. The 2016-17 financial year only includes data to 28 February 2017. Each financial year of 2011-12, 2012-13, 2013-14, 2014-15, 2015-16 and 2016-17 is presented across columns and each MBS item of 18379 and 36851 is represented across rows. Item 18379 is split into two rows - one for the number of services and one for the amount of benefits in Australian dollars. Item 36851 is split into three rows - one for the number of services, one for the percentage growth  in services, and one for the amount of benefits in Australian dollars."/>
      </w:tblPr>
      <w:tblGrid>
        <w:gridCol w:w="767"/>
        <w:gridCol w:w="1057"/>
        <w:gridCol w:w="932"/>
        <w:gridCol w:w="996"/>
        <w:gridCol w:w="967"/>
        <w:gridCol w:w="970"/>
        <w:gridCol w:w="967"/>
        <w:gridCol w:w="967"/>
      </w:tblGrid>
      <w:tr w:rsidR="00B45071" w:rsidRPr="00B45071" w14:paraId="56DA1C41" w14:textId="77777777" w:rsidTr="007A1930">
        <w:trPr>
          <w:cnfStyle w:val="100000000000" w:firstRow="1" w:lastRow="0" w:firstColumn="0" w:lastColumn="0" w:oddVBand="0" w:evenVBand="0" w:oddHBand="0" w:evenHBand="0" w:firstRowFirstColumn="0" w:firstRowLastColumn="0" w:lastRowFirstColumn="0" w:lastRowLastColumn="0"/>
          <w:trHeight w:val="207"/>
          <w:tblHeader/>
        </w:trPr>
        <w:tc>
          <w:tcPr>
            <w:cnfStyle w:val="001000000000" w:firstRow="0" w:lastRow="0" w:firstColumn="1" w:lastColumn="0" w:oddVBand="0" w:evenVBand="0" w:oddHBand="0" w:evenHBand="0" w:firstRowFirstColumn="0" w:firstRowLastColumn="0" w:lastRowFirstColumn="0" w:lastRowLastColumn="0"/>
            <w:tcW w:w="767" w:type="dxa"/>
            <w:tcBorders>
              <w:top w:val="nil"/>
              <w:left w:val="nil"/>
              <w:bottom w:val="single" w:sz="4" w:space="0" w:color="auto"/>
              <w:right w:val="nil"/>
            </w:tcBorders>
            <w:shd w:val="clear" w:color="auto" w:fill="auto"/>
            <w:hideMark/>
          </w:tcPr>
          <w:p w14:paraId="1D5AFA9F" w14:textId="77777777" w:rsidR="00B45071" w:rsidRPr="00B45071" w:rsidRDefault="00B45071" w:rsidP="00B45071">
            <w:pPr>
              <w:jc w:val="center"/>
              <w:rPr>
                <w:rFonts w:ascii="Arial" w:hAnsi="Arial" w:cs="Arial"/>
                <w:b w:val="0"/>
                <w:bCs w:val="0"/>
                <w:color w:val="FFFFFF"/>
                <w:sz w:val="18"/>
                <w:szCs w:val="18"/>
                <w:lang w:eastAsia="en-US"/>
              </w:rPr>
            </w:pPr>
            <w:r w:rsidRPr="00B45071">
              <w:rPr>
                <w:rFonts w:ascii="Arial" w:hAnsi="Arial" w:cs="Arial"/>
                <w:b w:val="0"/>
                <w:bCs w:val="0"/>
                <w:color w:val="FFFFFF"/>
                <w:sz w:val="18"/>
                <w:szCs w:val="18"/>
                <w:lang w:eastAsia="en-US"/>
              </w:rPr>
              <w:t xml:space="preserve"> </w:t>
            </w:r>
          </w:p>
        </w:tc>
        <w:tc>
          <w:tcPr>
            <w:tcW w:w="1057" w:type="dxa"/>
            <w:tcBorders>
              <w:top w:val="nil"/>
              <w:left w:val="nil"/>
            </w:tcBorders>
            <w:shd w:val="clear" w:color="auto" w:fill="auto"/>
            <w:hideMark/>
          </w:tcPr>
          <w:p w14:paraId="464D5770" w14:textId="77777777" w:rsidR="00B45071" w:rsidRPr="00B45071" w:rsidRDefault="00B45071" w:rsidP="00B45071">
            <w:pPr>
              <w:cnfStyle w:val="100000000000" w:firstRow="1" w:lastRow="0" w:firstColumn="0" w:lastColumn="0" w:oddVBand="0" w:evenVBand="0" w:oddHBand="0" w:evenHBand="0" w:firstRowFirstColumn="0" w:firstRowLastColumn="0" w:lastRowFirstColumn="0" w:lastRowLastColumn="0"/>
              <w:rPr>
                <w:rFonts w:ascii="Arial" w:hAnsi="Arial" w:cs="Arial"/>
                <w:color w:val="000000"/>
                <w:sz w:val="18"/>
                <w:szCs w:val="18"/>
                <w:lang w:eastAsia="en-US"/>
              </w:rPr>
            </w:pPr>
            <w:r w:rsidRPr="00B45071">
              <w:rPr>
                <w:rFonts w:ascii="Arial" w:hAnsi="Arial" w:cs="Arial"/>
                <w:color w:val="000000"/>
                <w:sz w:val="18"/>
                <w:szCs w:val="18"/>
                <w:lang w:eastAsia="en-US"/>
              </w:rPr>
              <w:t> </w:t>
            </w:r>
          </w:p>
        </w:tc>
        <w:tc>
          <w:tcPr>
            <w:tcW w:w="932" w:type="dxa"/>
            <w:tcBorders>
              <w:top w:val="single" w:sz="4" w:space="0" w:color="auto"/>
            </w:tcBorders>
            <w:hideMark/>
          </w:tcPr>
          <w:p w14:paraId="20204DF0" w14:textId="77777777" w:rsidR="00B45071" w:rsidRPr="00B45071" w:rsidRDefault="00B45071" w:rsidP="00B45071">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sz w:val="18"/>
                <w:szCs w:val="18"/>
                <w:lang w:eastAsia="en-US"/>
              </w:rPr>
            </w:pPr>
            <w:r w:rsidRPr="00B45071">
              <w:rPr>
                <w:rFonts w:ascii="Arial" w:hAnsi="Arial" w:cs="Arial"/>
                <w:b w:val="0"/>
                <w:bCs w:val="0"/>
                <w:color w:val="FFFFFF"/>
                <w:sz w:val="18"/>
                <w:szCs w:val="18"/>
                <w:lang w:eastAsia="en-US"/>
              </w:rPr>
              <w:t>2011-12</w:t>
            </w:r>
          </w:p>
        </w:tc>
        <w:tc>
          <w:tcPr>
            <w:tcW w:w="996" w:type="dxa"/>
            <w:tcBorders>
              <w:top w:val="single" w:sz="4" w:space="0" w:color="auto"/>
            </w:tcBorders>
            <w:hideMark/>
          </w:tcPr>
          <w:p w14:paraId="125AB965" w14:textId="77777777" w:rsidR="00B45071" w:rsidRPr="00B45071" w:rsidRDefault="00B45071" w:rsidP="00B45071">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sz w:val="18"/>
                <w:szCs w:val="18"/>
                <w:lang w:eastAsia="en-US"/>
              </w:rPr>
            </w:pPr>
            <w:r w:rsidRPr="00B45071">
              <w:rPr>
                <w:rFonts w:ascii="Arial" w:hAnsi="Arial" w:cs="Arial"/>
                <w:b w:val="0"/>
                <w:bCs w:val="0"/>
                <w:color w:val="FFFFFF"/>
                <w:sz w:val="18"/>
                <w:szCs w:val="18"/>
                <w:lang w:eastAsia="en-US"/>
              </w:rPr>
              <w:t>2012-13</w:t>
            </w:r>
          </w:p>
        </w:tc>
        <w:tc>
          <w:tcPr>
            <w:tcW w:w="967" w:type="dxa"/>
            <w:tcBorders>
              <w:top w:val="single" w:sz="4" w:space="0" w:color="auto"/>
            </w:tcBorders>
            <w:hideMark/>
          </w:tcPr>
          <w:p w14:paraId="3D871CED" w14:textId="77777777" w:rsidR="00B45071" w:rsidRPr="00B45071" w:rsidRDefault="00B45071" w:rsidP="00B45071">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sz w:val="18"/>
                <w:szCs w:val="18"/>
                <w:lang w:eastAsia="en-US"/>
              </w:rPr>
            </w:pPr>
            <w:r w:rsidRPr="00B45071">
              <w:rPr>
                <w:rFonts w:ascii="Arial" w:hAnsi="Arial" w:cs="Arial"/>
                <w:b w:val="0"/>
                <w:bCs w:val="0"/>
                <w:color w:val="FFFFFF"/>
                <w:sz w:val="18"/>
                <w:szCs w:val="18"/>
                <w:lang w:eastAsia="en-US"/>
              </w:rPr>
              <w:t>2013-14</w:t>
            </w:r>
          </w:p>
        </w:tc>
        <w:tc>
          <w:tcPr>
            <w:tcW w:w="970" w:type="dxa"/>
            <w:tcBorders>
              <w:top w:val="single" w:sz="4" w:space="0" w:color="auto"/>
            </w:tcBorders>
            <w:hideMark/>
          </w:tcPr>
          <w:p w14:paraId="036D83A6" w14:textId="3B8CA060" w:rsidR="00B45071" w:rsidRPr="00B45071" w:rsidRDefault="00B45071" w:rsidP="00B45071">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sz w:val="18"/>
                <w:szCs w:val="18"/>
                <w:lang w:eastAsia="en-US"/>
              </w:rPr>
            </w:pPr>
            <w:r w:rsidRPr="00B45071">
              <w:rPr>
                <w:rFonts w:ascii="Arial" w:hAnsi="Arial" w:cs="Arial"/>
                <w:b w:val="0"/>
                <w:bCs w:val="0"/>
                <w:color w:val="FFFFFF"/>
                <w:sz w:val="18"/>
                <w:szCs w:val="18"/>
                <w:lang w:eastAsia="en-US"/>
              </w:rPr>
              <w:t>2014-15</w:t>
            </w:r>
            <w:r>
              <w:rPr>
                <w:rFonts w:ascii="Arial" w:hAnsi="Arial" w:cs="Arial"/>
                <w:b w:val="0"/>
                <w:bCs w:val="0"/>
                <w:color w:val="FFFFFF"/>
                <w:sz w:val="18"/>
                <w:szCs w:val="18"/>
                <w:lang w:eastAsia="en-US"/>
              </w:rPr>
              <w:t>*</w:t>
            </w:r>
            <w:r w:rsidRPr="00B45071">
              <w:rPr>
                <w:rFonts w:ascii="Arial" w:hAnsi="Arial" w:cs="Arial"/>
                <w:b w:val="0"/>
                <w:bCs w:val="0"/>
                <w:color w:val="FFFFFF"/>
                <w:sz w:val="18"/>
                <w:szCs w:val="18"/>
                <w:lang w:eastAsia="en-US"/>
              </w:rPr>
              <w:t xml:space="preserve"> </w:t>
            </w:r>
          </w:p>
        </w:tc>
        <w:tc>
          <w:tcPr>
            <w:tcW w:w="967" w:type="dxa"/>
            <w:tcBorders>
              <w:top w:val="single" w:sz="4" w:space="0" w:color="auto"/>
            </w:tcBorders>
            <w:hideMark/>
          </w:tcPr>
          <w:p w14:paraId="1B6018BA" w14:textId="77777777" w:rsidR="00B45071" w:rsidRPr="00B45071" w:rsidRDefault="00B45071" w:rsidP="00B45071">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sz w:val="18"/>
                <w:szCs w:val="18"/>
                <w:lang w:eastAsia="en-US"/>
              </w:rPr>
            </w:pPr>
            <w:r w:rsidRPr="00B45071">
              <w:rPr>
                <w:rFonts w:ascii="Arial" w:hAnsi="Arial" w:cs="Arial"/>
                <w:b w:val="0"/>
                <w:bCs w:val="0"/>
                <w:color w:val="FFFFFF"/>
                <w:sz w:val="18"/>
                <w:szCs w:val="18"/>
                <w:lang w:eastAsia="en-US"/>
              </w:rPr>
              <w:t>2015-16</w:t>
            </w:r>
          </w:p>
        </w:tc>
        <w:tc>
          <w:tcPr>
            <w:tcW w:w="967" w:type="dxa"/>
            <w:tcBorders>
              <w:top w:val="single" w:sz="4" w:space="0" w:color="auto"/>
            </w:tcBorders>
            <w:hideMark/>
          </w:tcPr>
          <w:p w14:paraId="50A14B7F" w14:textId="77777777" w:rsidR="00B45071" w:rsidRPr="00B45071" w:rsidRDefault="00B45071" w:rsidP="00B45071">
            <w:pPr>
              <w:ind w:left="-101" w:right="-14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sz w:val="18"/>
                <w:szCs w:val="18"/>
                <w:lang w:eastAsia="en-US"/>
              </w:rPr>
            </w:pPr>
            <w:r w:rsidRPr="00B45071">
              <w:rPr>
                <w:rFonts w:ascii="Arial" w:hAnsi="Arial" w:cs="Arial"/>
                <w:b w:val="0"/>
                <w:bCs w:val="0"/>
                <w:color w:val="FFFFFF"/>
                <w:sz w:val="18"/>
                <w:szCs w:val="18"/>
                <w:lang w:eastAsia="en-US"/>
              </w:rPr>
              <w:t>2016-17**</w:t>
            </w:r>
          </w:p>
        </w:tc>
      </w:tr>
      <w:tr w:rsidR="005778F1" w:rsidRPr="00B45071" w14:paraId="175E6CAB" w14:textId="77777777" w:rsidTr="00065629">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67" w:type="dxa"/>
            <w:tcBorders>
              <w:top w:val="single" w:sz="4" w:space="0" w:color="auto"/>
              <w:left w:val="none" w:sz="0" w:space="0" w:color="auto"/>
              <w:bottom w:val="nil"/>
            </w:tcBorders>
            <w:hideMark/>
          </w:tcPr>
          <w:p w14:paraId="087AD0A5" w14:textId="77777777" w:rsidR="005778F1" w:rsidRPr="00B45071" w:rsidRDefault="005778F1" w:rsidP="00B45071">
            <w:pPr>
              <w:jc w:val="right"/>
              <w:rPr>
                <w:rFonts w:ascii="Arial" w:hAnsi="Arial" w:cs="Arial"/>
                <w:b w:val="0"/>
                <w:bCs w:val="0"/>
                <w:color w:val="000000"/>
                <w:sz w:val="18"/>
                <w:szCs w:val="18"/>
                <w:lang w:eastAsia="en-US"/>
              </w:rPr>
            </w:pPr>
            <w:r w:rsidRPr="00B45071">
              <w:rPr>
                <w:rFonts w:ascii="Arial" w:hAnsi="Arial" w:cs="Arial"/>
                <w:b w:val="0"/>
                <w:bCs w:val="0"/>
                <w:color w:val="000000"/>
                <w:sz w:val="18"/>
                <w:szCs w:val="18"/>
                <w:lang w:eastAsia="en-US"/>
              </w:rPr>
              <w:t>18379</w:t>
            </w:r>
          </w:p>
        </w:tc>
        <w:tc>
          <w:tcPr>
            <w:tcW w:w="1057" w:type="dxa"/>
            <w:tcBorders>
              <w:top w:val="none" w:sz="0" w:space="0" w:color="auto"/>
              <w:bottom w:val="none" w:sz="0" w:space="0" w:color="auto"/>
            </w:tcBorders>
            <w:hideMark/>
          </w:tcPr>
          <w:p w14:paraId="6AA2F40D" w14:textId="77777777" w:rsidR="005778F1" w:rsidRPr="00B45071" w:rsidRDefault="005778F1" w:rsidP="00B45071">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lang w:eastAsia="en-US"/>
              </w:rPr>
            </w:pPr>
            <w:r w:rsidRPr="00B45071">
              <w:rPr>
                <w:rFonts w:ascii="Arial" w:hAnsi="Arial" w:cs="Arial"/>
                <w:b/>
                <w:bCs/>
                <w:color w:val="000000"/>
                <w:sz w:val="18"/>
                <w:szCs w:val="18"/>
                <w:lang w:eastAsia="en-US"/>
              </w:rPr>
              <w:t xml:space="preserve">Services </w:t>
            </w:r>
          </w:p>
        </w:tc>
        <w:tc>
          <w:tcPr>
            <w:tcW w:w="932" w:type="dxa"/>
            <w:tcBorders>
              <w:top w:val="none" w:sz="0" w:space="0" w:color="auto"/>
              <w:bottom w:val="none" w:sz="0" w:space="0" w:color="auto"/>
            </w:tcBorders>
            <w:shd w:val="clear" w:color="auto" w:fill="D9D9D9" w:themeFill="background1" w:themeFillShade="D9"/>
            <w:hideMark/>
          </w:tcPr>
          <w:p w14:paraId="087973B6" w14:textId="77777777" w:rsidR="005778F1" w:rsidRPr="00B45071" w:rsidRDefault="005778F1" w:rsidP="00B45071">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lang w:eastAsia="en-US"/>
              </w:rPr>
            </w:pPr>
            <w:r w:rsidRPr="00B45071">
              <w:rPr>
                <w:rFonts w:ascii="Arial" w:hAnsi="Arial" w:cs="Arial"/>
                <w:color w:val="000000"/>
                <w:sz w:val="18"/>
                <w:szCs w:val="18"/>
                <w:lang w:eastAsia="en-US"/>
              </w:rPr>
              <w:t> </w:t>
            </w:r>
          </w:p>
        </w:tc>
        <w:tc>
          <w:tcPr>
            <w:tcW w:w="996" w:type="dxa"/>
            <w:tcBorders>
              <w:top w:val="none" w:sz="0" w:space="0" w:color="auto"/>
              <w:bottom w:val="none" w:sz="0" w:space="0" w:color="auto"/>
            </w:tcBorders>
            <w:shd w:val="clear" w:color="auto" w:fill="D9D9D9" w:themeFill="background1" w:themeFillShade="D9"/>
            <w:hideMark/>
          </w:tcPr>
          <w:p w14:paraId="3658D08E" w14:textId="77777777" w:rsidR="005778F1" w:rsidRPr="00B45071" w:rsidRDefault="005778F1" w:rsidP="00B45071">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lang w:eastAsia="en-US"/>
              </w:rPr>
            </w:pPr>
            <w:r w:rsidRPr="00B45071">
              <w:rPr>
                <w:rFonts w:ascii="Arial" w:hAnsi="Arial" w:cs="Arial"/>
                <w:color w:val="000000"/>
                <w:sz w:val="18"/>
                <w:szCs w:val="18"/>
                <w:lang w:eastAsia="en-US"/>
              </w:rPr>
              <w:t> </w:t>
            </w:r>
          </w:p>
        </w:tc>
        <w:tc>
          <w:tcPr>
            <w:tcW w:w="967" w:type="dxa"/>
            <w:tcBorders>
              <w:top w:val="none" w:sz="0" w:space="0" w:color="auto"/>
              <w:bottom w:val="none" w:sz="0" w:space="0" w:color="auto"/>
            </w:tcBorders>
            <w:shd w:val="clear" w:color="auto" w:fill="D9D9D9" w:themeFill="background1" w:themeFillShade="D9"/>
            <w:hideMark/>
          </w:tcPr>
          <w:p w14:paraId="08459D59" w14:textId="77777777" w:rsidR="005778F1" w:rsidRPr="00B45071" w:rsidRDefault="005778F1" w:rsidP="00B45071">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lang w:eastAsia="en-US"/>
              </w:rPr>
            </w:pPr>
            <w:r w:rsidRPr="00B45071">
              <w:rPr>
                <w:rFonts w:ascii="Arial" w:hAnsi="Arial" w:cs="Arial"/>
                <w:color w:val="000000"/>
                <w:sz w:val="18"/>
                <w:szCs w:val="18"/>
                <w:lang w:eastAsia="en-US"/>
              </w:rPr>
              <w:t> </w:t>
            </w:r>
          </w:p>
        </w:tc>
        <w:tc>
          <w:tcPr>
            <w:tcW w:w="970" w:type="dxa"/>
            <w:tcBorders>
              <w:top w:val="none" w:sz="0" w:space="0" w:color="auto"/>
              <w:bottom w:val="none" w:sz="0" w:space="0" w:color="auto"/>
            </w:tcBorders>
            <w:hideMark/>
          </w:tcPr>
          <w:p w14:paraId="71B216ED" w14:textId="77777777" w:rsidR="005778F1" w:rsidRPr="00B45071" w:rsidRDefault="005778F1" w:rsidP="00B45071">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lang w:eastAsia="en-US"/>
              </w:rPr>
            </w:pPr>
            <w:r w:rsidRPr="00B45071">
              <w:rPr>
                <w:rFonts w:ascii="Arial" w:hAnsi="Arial" w:cs="Arial"/>
                <w:color w:val="000000"/>
                <w:sz w:val="18"/>
                <w:szCs w:val="18"/>
                <w:lang w:eastAsia="en-US"/>
              </w:rPr>
              <w:t>309</w:t>
            </w:r>
          </w:p>
        </w:tc>
        <w:tc>
          <w:tcPr>
            <w:tcW w:w="967" w:type="dxa"/>
            <w:tcBorders>
              <w:top w:val="none" w:sz="0" w:space="0" w:color="auto"/>
              <w:bottom w:val="none" w:sz="0" w:space="0" w:color="auto"/>
            </w:tcBorders>
            <w:hideMark/>
          </w:tcPr>
          <w:p w14:paraId="582679C2" w14:textId="77777777" w:rsidR="005778F1" w:rsidRPr="00B45071" w:rsidRDefault="005778F1" w:rsidP="00B45071">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lang w:eastAsia="en-US"/>
              </w:rPr>
            </w:pPr>
            <w:r w:rsidRPr="00B45071">
              <w:rPr>
                <w:rFonts w:ascii="Arial" w:hAnsi="Arial" w:cs="Arial"/>
                <w:color w:val="000000"/>
                <w:sz w:val="18"/>
                <w:szCs w:val="18"/>
                <w:lang w:eastAsia="en-US"/>
              </w:rPr>
              <w:t>718</w:t>
            </w:r>
          </w:p>
        </w:tc>
        <w:tc>
          <w:tcPr>
            <w:tcW w:w="967" w:type="dxa"/>
            <w:tcBorders>
              <w:top w:val="none" w:sz="0" w:space="0" w:color="auto"/>
              <w:bottom w:val="none" w:sz="0" w:space="0" w:color="auto"/>
              <w:right w:val="none" w:sz="0" w:space="0" w:color="auto"/>
            </w:tcBorders>
            <w:hideMark/>
          </w:tcPr>
          <w:p w14:paraId="5719E476" w14:textId="77777777" w:rsidR="005778F1" w:rsidRPr="00B45071" w:rsidRDefault="005778F1" w:rsidP="00B45071">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lang w:eastAsia="en-US"/>
              </w:rPr>
            </w:pPr>
            <w:r w:rsidRPr="00B45071">
              <w:rPr>
                <w:rFonts w:ascii="Arial" w:hAnsi="Arial" w:cs="Arial"/>
                <w:color w:val="000000"/>
                <w:sz w:val="18"/>
                <w:szCs w:val="18"/>
                <w:lang w:eastAsia="en-US"/>
              </w:rPr>
              <w:t>611</w:t>
            </w:r>
          </w:p>
        </w:tc>
      </w:tr>
      <w:tr w:rsidR="005778F1" w:rsidRPr="00B45071" w14:paraId="0F9A4EED" w14:textId="77777777" w:rsidTr="00065629">
        <w:trPr>
          <w:trHeight w:val="270"/>
        </w:trPr>
        <w:tc>
          <w:tcPr>
            <w:cnfStyle w:val="001000000000" w:firstRow="0" w:lastRow="0" w:firstColumn="1" w:lastColumn="0" w:oddVBand="0" w:evenVBand="0" w:oddHBand="0" w:evenHBand="0" w:firstRowFirstColumn="0" w:firstRowLastColumn="0" w:lastRowFirstColumn="0" w:lastRowLastColumn="0"/>
            <w:tcW w:w="767" w:type="dxa"/>
            <w:tcBorders>
              <w:top w:val="nil"/>
            </w:tcBorders>
            <w:hideMark/>
          </w:tcPr>
          <w:p w14:paraId="789D77A7" w14:textId="77777777" w:rsidR="005778F1" w:rsidRPr="00B45071" w:rsidRDefault="005778F1" w:rsidP="00B45071">
            <w:pPr>
              <w:rPr>
                <w:rFonts w:ascii="Arial" w:hAnsi="Arial" w:cs="Arial"/>
                <w:b w:val="0"/>
                <w:bCs w:val="0"/>
                <w:color w:val="000000"/>
                <w:sz w:val="18"/>
                <w:szCs w:val="18"/>
                <w:lang w:eastAsia="en-US"/>
              </w:rPr>
            </w:pPr>
          </w:p>
        </w:tc>
        <w:tc>
          <w:tcPr>
            <w:tcW w:w="1057" w:type="dxa"/>
            <w:hideMark/>
          </w:tcPr>
          <w:p w14:paraId="4C04301D" w14:textId="77777777" w:rsidR="005778F1" w:rsidRPr="00B45071" w:rsidRDefault="005778F1" w:rsidP="00B45071">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lang w:eastAsia="en-US"/>
              </w:rPr>
            </w:pPr>
            <w:r w:rsidRPr="00B45071">
              <w:rPr>
                <w:rFonts w:ascii="Arial" w:hAnsi="Arial" w:cs="Arial"/>
                <w:b/>
                <w:bCs/>
                <w:color w:val="000000"/>
                <w:sz w:val="18"/>
                <w:szCs w:val="18"/>
                <w:lang w:eastAsia="en-US"/>
              </w:rPr>
              <w:t>Benefits</w:t>
            </w:r>
          </w:p>
        </w:tc>
        <w:tc>
          <w:tcPr>
            <w:tcW w:w="932" w:type="dxa"/>
            <w:shd w:val="clear" w:color="auto" w:fill="D9D9D9" w:themeFill="background1" w:themeFillShade="D9"/>
            <w:hideMark/>
          </w:tcPr>
          <w:p w14:paraId="57B69855" w14:textId="77777777" w:rsidR="005778F1" w:rsidRPr="00B45071" w:rsidRDefault="005778F1" w:rsidP="00B45071">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en-US"/>
              </w:rPr>
            </w:pPr>
            <w:r w:rsidRPr="00B45071">
              <w:rPr>
                <w:rFonts w:ascii="Arial" w:hAnsi="Arial" w:cs="Arial"/>
                <w:color w:val="000000"/>
                <w:sz w:val="18"/>
                <w:szCs w:val="18"/>
                <w:lang w:eastAsia="en-US"/>
              </w:rPr>
              <w:t> </w:t>
            </w:r>
          </w:p>
        </w:tc>
        <w:tc>
          <w:tcPr>
            <w:tcW w:w="996" w:type="dxa"/>
            <w:shd w:val="clear" w:color="auto" w:fill="D9D9D9" w:themeFill="background1" w:themeFillShade="D9"/>
            <w:hideMark/>
          </w:tcPr>
          <w:p w14:paraId="12FEDFE1" w14:textId="77777777" w:rsidR="005778F1" w:rsidRPr="00B45071" w:rsidRDefault="005778F1" w:rsidP="00B45071">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en-US"/>
              </w:rPr>
            </w:pPr>
            <w:r w:rsidRPr="00B45071">
              <w:rPr>
                <w:rFonts w:ascii="Arial" w:hAnsi="Arial" w:cs="Arial"/>
                <w:color w:val="000000"/>
                <w:sz w:val="18"/>
                <w:szCs w:val="18"/>
                <w:lang w:eastAsia="en-US"/>
              </w:rPr>
              <w:t> </w:t>
            </w:r>
          </w:p>
        </w:tc>
        <w:tc>
          <w:tcPr>
            <w:tcW w:w="967" w:type="dxa"/>
            <w:shd w:val="clear" w:color="auto" w:fill="D9D9D9" w:themeFill="background1" w:themeFillShade="D9"/>
            <w:hideMark/>
          </w:tcPr>
          <w:p w14:paraId="56DF7CE6" w14:textId="77777777" w:rsidR="005778F1" w:rsidRPr="00B45071" w:rsidRDefault="005778F1" w:rsidP="00B45071">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en-US"/>
              </w:rPr>
            </w:pPr>
            <w:r w:rsidRPr="00B45071">
              <w:rPr>
                <w:rFonts w:ascii="Arial" w:hAnsi="Arial" w:cs="Arial"/>
                <w:color w:val="000000"/>
                <w:sz w:val="18"/>
                <w:szCs w:val="18"/>
                <w:lang w:eastAsia="en-US"/>
              </w:rPr>
              <w:t> </w:t>
            </w:r>
          </w:p>
        </w:tc>
        <w:tc>
          <w:tcPr>
            <w:tcW w:w="970" w:type="dxa"/>
            <w:hideMark/>
          </w:tcPr>
          <w:p w14:paraId="56C76C4E" w14:textId="77777777" w:rsidR="005778F1" w:rsidRPr="00B45071" w:rsidRDefault="005778F1" w:rsidP="00B45071">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en-US"/>
              </w:rPr>
            </w:pPr>
            <w:r w:rsidRPr="00B45071">
              <w:rPr>
                <w:rFonts w:ascii="Arial" w:hAnsi="Arial" w:cs="Arial"/>
                <w:color w:val="000000"/>
                <w:sz w:val="18"/>
                <w:szCs w:val="18"/>
                <w:lang w:eastAsia="en-US"/>
              </w:rPr>
              <w:t>$53,184</w:t>
            </w:r>
          </w:p>
        </w:tc>
        <w:tc>
          <w:tcPr>
            <w:tcW w:w="967" w:type="dxa"/>
            <w:hideMark/>
          </w:tcPr>
          <w:p w14:paraId="3B92C3A1" w14:textId="77777777" w:rsidR="005778F1" w:rsidRPr="00B45071" w:rsidRDefault="005778F1" w:rsidP="00B45071">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en-US"/>
              </w:rPr>
            </w:pPr>
            <w:r w:rsidRPr="00B45071">
              <w:rPr>
                <w:rFonts w:ascii="Arial" w:hAnsi="Arial" w:cs="Arial"/>
                <w:color w:val="000000"/>
                <w:sz w:val="18"/>
                <w:szCs w:val="18"/>
                <w:lang w:eastAsia="en-US"/>
              </w:rPr>
              <w:t>$123,630</w:t>
            </w:r>
          </w:p>
        </w:tc>
        <w:tc>
          <w:tcPr>
            <w:tcW w:w="967" w:type="dxa"/>
            <w:hideMark/>
          </w:tcPr>
          <w:p w14:paraId="0867C26C" w14:textId="77777777" w:rsidR="005778F1" w:rsidRPr="00B45071" w:rsidRDefault="005778F1" w:rsidP="00B45071">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en-US"/>
              </w:rPr>
            </w:pPr>
            <w:r w:rsidRPr="00B45071">
              <w:rPr>
                <w:rFonts w:ascii="Arial" w:hAnsi="Arial" w:cs="Arial"/>
                <w:color w:val="000000"/>
                <w:sz w:val="18"/>
                <w:szCs w:val="18"/>
                <w:lang w:eastAsia="en-US"/>
              </w:rPr>
              <w:t>$105,272</w:t>
            </w:r>
          </w:p>
        </w:tc>
      </w:tr>
      <w:tr w:rsidR="00B45071" w:rsidRPr="00B45071" w14:paraId="37E0B211" w14:textId="77777777" w:rsidTr="00065629">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767" w:type="dxa"/>
            <w:tcBorders>
              <w:top w:val="none" w:sz="0" w:space="0" w:color="auto"/>
              <w:left w:val="none" w:sz="0" w:space="0" w:color="auto"/>
              <w:bottom w:val="nil"/>
            </w:tcBorders>
            <w:hideMark/>
          </w:tcPr>
          <w:p w14:paraId="2DD29B96" w14:textId="77777777" w:rsidR="00B45071" w:rsidRPr="00B45071" w:rsidRDefault="00B45071" w:rsidP="00B45071">
            <w:pPr>
              <w:jc w:val="right"/>
              <w:rPr>
                <w:rFonts w:ascii="Arial" w:hAnsi="Arial" w:cs="Arial"/>
                <w:b w:val="0"/>
                <w:bCs w:val="0"/>
                <w:color w:val="000000"/>
                <w:sz w:val="18"/>
                <w:szCs w:val="18"/>
                <w:lang w:eastAsia="en-US"/>
              </w:rPr>
            </w:pPr>
            <w:r w:rsidRPr="00B45071">
              <w:rPr>
                <w:rFonts w:ascii="Arial" w:hAnsi="Arial" w:cs="Arial"/>
                <w:b w:val="0"/>
                <w:bCs w:val="0"/>
                <w:color w:val="000000"/>
                <w:sz w:val="18"/>
                <w:szCs w:val="18"/>
                <w:lang w:eastAsia="en-US"/>
              </w:rPr>
              <w:t>36851 </w:t>
            </w:r>
          </w:p>
        </w:tc>
        <w:tc>
          <w:tcPr>
            <w:tcW w:w="1057" w:type="dxa"/>
            <w:tcBorders>
              <w:top w:val="none" w:sz="0" w:space="0" w:color="auto"/>
              <w:bottom w:val="none" w:sz="0" w:space="0" w:color="auto"/>
            </w:tcBorders>
            <w:hideMark/>
          </w:tcPr>
          <w:p w14:paraId="03A799E5" w14:textId="77777777" w:rsidR="00B45071" w:rsidRPr="00B45071" w:rsidRDefault="00B45071" w:rsidP="00B45071">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lang w:eastAsia="en-US"/>
              </w:rPr>
            </w:pPr>
            <w:r w:rsidRPr="00B45071">
              <w:rPr>
                <w:rFonts w:ascii="Arial" w:hAnsi="Arial" w:cs="Arial"/>
                <w:b/>
                <w:bCs/>
                <w:color w:val="000000"/>
                <w:sz w:val="18"/>
                <w:szCs w:val="18"/>
                <w:lang w:eastAsia="en-US"/>
              </w:rPr>
              <w:t>Services</w:t>
            </w:r>
          </w:p>
        </w:tc>
        <w:tc>
          <w:tcPr>
            <w:tcW w:w="932" w:type="dxa"/>
            <w:tcBorders>
              <w:top w:val="none" w:sz="0" w:space="0" w:color="auto"/>
              <w:bottom w:val="none" w:sz="0" w:space="0" w:color="auto"/>
            </w:tcBorders>
            <w:hideMark/>
          </w:tcPr>
          <w:p w14:paraId="4FC795D8" w14:textId="77777777" w:rsidR="00B45071" w:rsidRPr="00B45071" w:rsidRDefault="00B45071" w:rsidP="00B45071">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lang w:eastAsia="en-US"/>
              </w:rPr>
            </w:pPr>
            <w:r w:rsidRPr="00B45071">
              <w:rPr>
                <w:rFonts w:ascii="Arial" w:hAnsi="Arial" w:cs="Arial"/>
                <w:color w:val="000000"/>
                <w:sz w:val="18"/>
                <w:szCs w:val="18"/>
                <w:lang w:eastAsia="en-US"/>
              </w:rPr>
              <w:t>731</w:t>
            </w:r>
          </w:p>
        </w:tc>
        <w:tc>
          <w:tcPr>
            <w:tcW w:w="996" w:type="dxa"/>
            <w:tcBorders>
              <w:top w:val="none" w:sz="0" w:space="0" w:color="auto"/>
              <w:bottom w:val="none" w:sz="0" w:space="0" w:color="auto"/>
            </w:tcBorders>
            <w:hideMark/>
          </w:tcPr>
          <w:p w14:paraId="36CC6D64" w14:textId="77777777" w:rsidR="00B45071" w:rsidRPr="00B45071" w:rsidRDefault="00B45071" w:rsidP="00B45071">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lang w:eastAsia="en-US"/>
              </w:rPr>
            </w:pPr>
            <w:r w:rsidRPr="00B45071">
              <w:rPr>
                <w:rFonts w:ascii="Arial" w:hAnsi="Arial" w:cs="Arial"/>
                <w:color w:val="000000"/>
                <w:sz w:val="18"/>
                <w:szCs w:val="18"/>
                <w:lang w:eastAsia="en-US"/>
              </w:rPr>
              <w:t>876</w:t>
            </w:r>
          </w:p>
        </w:tc>
        <w:tc>
          <w:tcPr>
            <w:tcW w:w="967" w:type="dxa"/>
            <w:tcBorders>
              <w:top w:val="none" w:sz="0" w:space="0" w:color="auto"/>
              <w:bottom w:val="none" w:sz="0" w:space="0" w:color="auto"/>
            </w:tcBorders>
            <w:hideMark/>
          </w:tcPr>
          <w:p w14:paraId="5B8D5AB6" w14:textId="77777777" w:rsidR="00B45071" w:rsidRPr="00B45071" w:rsidRDefault="00B45071" w:rsidP="00B45071">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lang w:eastAsia="en-US"/>
              </w:rPr>
            </w:pPr>
            <w:r w:rsidRPr="00B45071">
              <w:rPr>
                <w:rFonts w:ascii="Arial" w:hAnsi="Arial" w:cs="Arial"/>
                <w:color w:val="000000"/>
                <w:sz w:val="18"/>
                <w:szCs w:val="18"/>
                <w:lang w:eastAsia="en-US"/>
              </w:rPr>
              <w:t>1,207</w:t>
            </w:r>
          </w:p>
        </w:tc>
        <w:tc>
          <w:tcPr>
            <w:tcW w:w="970" w:type="dxa"/>
            <w:tcBorders>
              <w:top w:val="none" w:sz="0" w:space="0" w:color="auto"/>
              <w:bottom w:val="none" w:sz="0" w:space="0" w:color="auto"/>
            </w:tcBorders>
            <w:hideMark/>
          </w:tcPr>
          <w:p w14:paraId="58DDD999" w14:textId="77777777" w:rsidR="00B45071" w:rsidRPr="00B45071" w:rsidRDefault="00B45071" w:rsidP="00B45071">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lang w:eastAsia="en-US"/>
              </w:rPr>
            </w:pPr>
            <w:r w:rsidRPr="00B45071">
              <w:rPr>
                <w:rFonts w:ascii="Arial" w:hAnsi="Arial" w:cs="Arial"/>
                <w:color w:val="000000"/>
                <w:sz w:val="18"/>
                <w:szCs w:val="18"/>
                <w:lang w:eastAsia="en-US"/>
              </w:rPr>
              <w:t>1,323</w:t>
            </w:r>
          </w:p>
        </w:tc>
        <w:tc>
          <w:tcPr>
            <w:tcW w:w="967" w:type="dxa"/>
            <w:tcBorders>
              <w:top w:val="none" w:sz="0" w:space="0" w:color="auto"/>
              <w:bottom w:val="none" w:sz="0" w:space="0" w:color="auto"/>
            </w:tcBorders>
            <w:hideMark/>
          </w:tcPr>
          <w:p w14:paraId="51F1A87C" w14:textId="77777777" w:rsidR="00B45071" w:rsidRPr="00B45071" w:rsidRDefault="00B45071" w:rsidP="00B45071">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lang w:eastAsia="en-US"/>
              </w:rPr>
            </w:pPr>
            <w:r w:rsidRPr="00B45071">
              <w:rPr>
                <w:rFonts w:ascii="Arial" w:hAnsi="Arial" w:cs="Arial"/>
                <w:color w:val="000000"/>
                <w:sz w:val="18"/>
                <w:szCs w:val="18"/>
                <w:lang w:eastAsia="en-US"/>
              </w:rPr>
              <w:t>1,207</w:t>
            </w:r>
          </w:p>
        </w:tc>
        <w:tc>
          <w:tcPr>
            <w:tcW w:w="967" w:type="dxa"/>
            <w:tcBorders>
              <w:top w:val="none" w:sz="0" w:space="0" w:color="auto"/>
              <w:bottom w:val="none" w:sz="0" w:space="0" w:color="auto"/>
              <w:right w:val="none" w:sz="0" w:space="0" w:color="auto"/>
            </w:tcBorders>
            <w:hideMark/>
          </w:tcPr>
          <w:p w14:paraId="3ED97816" w14:textId="77777777" w:rsidR="00B45071" w:rsidRPr="00B45071" w:rsidRDefault="00B45071" w:rsidP="00B45071">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lang w:eastAsia="en-US"/>
              </w:rPr>
            </w:pPr>
            <w:r w:rsidRPr="00B45071">
              <w:rPr>
                <w:rFonts w:ascii="Arial" w:hAnsi="Arial" w:cs="Arial"/>
                <w:color w:val="000000"/>
                <w:sz w:val="18"/>
                <w:szCs w:val="18"/>
                <w:lang w:eastAsia="en-US"/>
              </w:rPr>
              <w:t>695</w:t>
            </w:r>
          </w:p>
        </w:tc>
      </w:tr>
      <w:tr w:rsidR="00B45071" w:rsidRPr="00B45071" w14:paraId="5EAC170A" w14:textId="77777777" w:rsidTr="00065629">
        <w:trPr>
          <w:trHeight w:val="255"/>
        </w:trPr>
        <w:tc>
          <w:tcPr>
            <w:cnfStyle w:val="001000000000" w:firstRow="0" w:lastRow="0" w:firstColumn="1" w:lastColumn="0" w:oddVBand="0" w:evenVBand="0" w:oddHBand="0" w:evenHBand="0" w:firstRowFirstColumn="0" w:firstRowLastColumn="0" w:lastRowFirstColumn="0" w:lastRowLastColumn="0"/>
            <w:tcW w:w="767" w:type="dxa"/>
            <w:tcBorders>
              <w:top w:val="nil"/>
              <w:bottom w:val="nil"/>
            </w:tcBorders>
            <w:hideMark/>
          </w:tcPr>
          <w:p w14:paraId="421C1A5B" w14:textId="77777777" w:rsidR="00B45071" w:rsidRPr="00B45071" w:rsidRDefault="00B45071" w:rsidP="00B45071">
            <w:pPr>
              <w:jc w:val="right"/>
              <w:rPr>
                <w:rFonts w:ascii="Arial" w:hAnsi="Arial" w:cs="Arial"/>
                <w:b w:val="0"/>
                <w:bCs w:val="0"/>
                <w:color w:val="000000"/>
                <w:sz w:val="18"/>
                <w:szCs w:val="18"/>
                <w:lang w:eastAsia="en-US"/>
              </w:rPr>
            </w:pPr>
          </w:p>
        </w:tc>
        <w:tc>
          <w:tcPr>
            <w:tcW w:w="1057" w:type="dxa"/>
            <w:hideMark/>
          </w:tcPr>
          <w:p w14:paraId="4B2BE947" w14:textId="77777777" w:rsidR="00B45071" w:rsidRPr="00B45071" w:rsidRDefault="00B45071" w:rsidP="00B45071">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lang w:eastAsia="en-US"/>
              </w:rPr>
            </w:pPr>
            <w:r w:rsidRPr="00B45071">
              <w:rPr>
                <w:rFonts w:ascii="Arial" w:hAnsi="Arial" w:cs="Arial"/>
                <w:b/>
                <w:bCs/>
                <w:color w:val="000000"/>
                <w:sz w:val="18"/>
                <w:szCs w:val="18"/>
                <w:lang w:eastAsia="en-US"/>
              </w:rPr>
              <w:t>Growth</w:t>
            </w:r>
          </w:p>
        </w:tc>
        <w:tc>
          <w:tcPr>
            <w:tcW w:w="932" w:type="dxa"/>
            <w:shd w:val="clear" w:color="auto" w:fill="D9D9D9" w:themeFill="background1" w:themeFillShade="D9"/>
            <w:hideMark/>
          </w:tcPr>
          <w:p w14:paraId="6EA128EC" w14:textId="77777777" w:rsidR="00B45071" w:rsidRPr="00B45071" w:rsidRDefault="00B45071" w:rsidP="00B45071">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en-US"/>
              </w:rPr>
            </w:pPr>
          </w:p>
        </w:tc>
        <w:tc>
          <w:tcPr>
            <w:tcW w:w="996" w:type="dxa"/>
            <w:hideMark/>
          </w:tcPr>
          <w:p w14:paraId="37ABE7A9" w14:textId="77777777" w:rsidR="00B45071" w:rsidRPr="00B45071" w:rsidRDefault="00B45071" w:rsidP="00B45071">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en-US"/>
              </w:rPr>
            </w:pPr>
            <w:r w:rsidRPr="00B45071">
              <w:rPr>
                <w:rFonts w:ascii="Arial" w:hAnsi="Arial" w:cs="Arial"/>
                <w:color w:val="000000"/>
                <w:sz w:val="18"/>
                <w:szCs w:val="18"/>
                <w:lang w:eastAsia="en-US"/>
              </w:rPr>
              <w:t>20%</w:t>
            </w:r>
          </w:p>
        </w:tc>
        <w:tc>
          <w:tcPr>
            <w:tcW w:w="967" w:type="dxa"/>
            <w:hideMark/>
          </w:tcPr>
          <w:p w14:paraId="58E316E2" w14:textId="77777777" w:rsidR="00B45071" w:rsidRPr="00B45071" w:rsidRDefault="00B45071" w:rsidP="00B45071">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en-US"/>
              </w:rPr>
            </w:pPr>
            <w:r w:rsidRPr="00B45071">
              <w:rPr>
                <w:rFonts w:ascii="Arial" w:hAnsi="Arial" w:cs="Arial"/>
                <w:color w:val="000000"/>
                <w:sz w:val="18"/>
                <w:szCs w:val="18"/>
                <w:lang w:eastAsia="en-US"/>
              </w:rPr>
              <w:t>38%</w:t>
            </w:r>
          </w:p>
        </w:tc>
        <w:tc>
          <w:tcPr>
            <w:tcW w:w="970" w:type="dxa"/>
            <w:hideMark/>
          </w:tcPr>
          <w:p w14:paraId="1AF1C9CD" w14:textId="77777777" w:rsidR="00B45071" w:rsidRPr="00B45071" w:rsidRDefault="00B45071" w:rsidP="00B45071">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en-US"/>
              </w:rPr>
            </w:pPr>
            <w:r w:rsidRPr="00B45071">
              <w:rPr>
                <w:rFonts w:ascii="Arial" w:hAnsi="Arial" w:cs="Arial"/>
                <w:color w:val="000000"/>
                <w:sz w:val="18"/>
                <w:szCs w:val="18"/>
                <w:lang w:eastAsia="en-US"/>
              </w:rPr>
              <w:t>10%</w:t>
            </w:r>
          </w:p>
        </w:tc>
        <w:tc>
          <w:tcPr>
            <w:tcW w:w="967" w:type="dxa"/>
            <w:hideMark/>
          </w:tcPr>
          <w:p w14:paraId="48D76DF3" w14:textId="77777777" w:rsidR="00B45071" w:rsidRPr="00B45071" w:rsidRDefault="00B45071" w:rsidP="00B45071">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en-US"/>
              </w:rPr>
            </w:pPr>
            <w:r w:rsidRPr="00B45071">
              <w:rPr>
                <w:rFonts w:ascii="Arial" w:hAnsi="Arial" w:cs="Arial"/>
                <w:color w:val="000000"/>
                <w:sz w:val="18"/>
                <w:szCs w:val="18"/>
                <w:lang w:eastAsia="en-US"/>
              </w:rPr>
              <w:t>-9%</w:t>
            </w:r>
          </w:p>
        </w:tc>
        <w:tc>
          <w:tcPr>
            <w:tcW w:w="967" w:type="dxa"/>
            <w:shd w:val="clear" w:color="auto" w:fill="D9D9D9" w:themeFill="background1" w:themeFillShade="D9"/>
            <w:hideMark/>
          </w:tcPr>
          <w:p w14:paraId="0BA1F120" w14:textId="77777777" w:rsidR="00B45071" w:rsidRPr="00B45071" w:rsidRDefault="00B45071" w:rsidP="00B45071">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en-US"/>
              </w:rPr>
            </w:pPr>
            <w:r w:rsidRPr="00B45071">
              <w:rPr>
                <w:rFonts w:ascii="Arial" w:hAnsi="Arial" w:cs="Arial"/>
                <w:color w:val="000000"/>
                <w:sz w:val="18"/>
                <w:szCs w:val="18"/>
                <w:lang w:eastAsia="en-US"/>
              </w:rPr>
              <w:t> </w:t>
            </w:r>
          </w:p>
        </w:tc>
      </w:tr>
      <w:tr w:rsidR="00B45071" w:rsidRPr="00B45071" w14:paraId="538EB4AC" w14:textId="77777777" w:rsidTr="00065629">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767" w:type="dxa"/>
            <w:tcBorders>
              <w:top w:val="nil"/>
              <w:left w:val="none" w:sz="0" w:space="0" w:color="auto"/>
              <w:bottom w:val="none" w:sz="0" w:space="0" w:color="auto"/>
            </w:tcBorders>
            <w:hideMark/>
          </w:tcPr>
          <w:p w14:paraId="0AFCC03D" w14:textId="77777777" w:rsidR="00B45071" w:rsidRPr="00B45071" w:rsidRDefault="00B45071" w:rsidP="00B45071">
            <w:pPr>
              <w:jc w:val="right"/>
              <w:rPr>
                <w:rFonts w:ascii="Arial" w:hAnsi="Arial" w:cs="Arial"/>
                <w:b w:val="0"/>
                <w:bCs w:val="0"/>
                <w:color w:val="000000"/>
                <w:sz w:val="18"/>
                <w:szCs w:val="18"/>
                <w:lang w:eastAsia="en-US"/>
              </w:rPr>
            </w:pPr>
          </w:p>
        </w:tc>
        <w:tc>
          <w:tcPr>
            <w:tcW w:w="1057" w:type="dxa"/>
            <w:tcBorders>
              <w:top w:val="none" w:sz="0" w:space="0" w:color="auto"/>
              <w:bottom w:val="none" w:sz="0" w:space="0" w:color="auto"/>
            </w:tcBorders>
            <w:hideMark/>
          </w:tcPr>
          <w:p w14:paraId="1D67A354" w14:textId="77777777" w:rsidR="00B45071" w:rsidRPr="00B45071" w:rsidRDefault="00B45071" w:rsidP="00B45071">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lang w:eastAsia="en-US"/>
              </w:rPr>
            </w:pPr>
            <w:r w:rsidRPr="00B45071">
              <w:rPr>
                <w:rFonts w:ascii="Arial" w:hAnsi="Arial" w:cs="Arial"/>
                <w:b/>
                <w:bCs/>
                <w:color w:val="000000"/>
                <w:sz w:val="18"/>
                <w:szCs w:val="18"/>
                <w:lang w:eastAsia="en-US"/>
              </w:rPr>
              <w:t>Benefits</w:t>
            </w:r>
          </w:p>
        </w:tc>
        <w:tc>
          <w:tcPr>
            <w:tcW w:w="932" w:type="dxa"/>
            <w:tcBorders>
              <w:top w:val="none" w:sz="0" w:space="0" w:color="auto"/>
              <w:bottom w:val="none" w:sz="0" w:space="0" w:color="auto"/>
            </w:tcBorders>
            <w:hideMark/>
          </w:tcPr>
          <w:p w14:paraId="2BF185B7" w14:textId="77777777" w:rsidR="00B45071" w:rsidRPr="00B45071" w:rsidRDefault="00B45071" w:rsidP="00B45071">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lang w:eastAsia="en-US"/>
              </w:rPr>
            </w:pPr>
            <w:r w:rsidRPr="00B45071">
              <w:rPr>
                <w:rFonts w:ascii="Arial" w:hAnsi="Arial" w:cs="Arial"/>
                <w:color w:val="000000"/>
                <w:sz w:val="18"/>
                <w:szCs w:val="18"/>
                <w:lang w:eastAsia="en-US"/>
              </w:rPr>
              <w:t>$94,112</w:t>
            </w:r>
          </w:p>
        </w:tc>
        <w:tc>
          <w:tcPr>
            <w:tcW w:w="996" w:type="dxa"/>
            <w:tcBorders>
              <w:top w:val="none" w:sz="0" w:space="0" w:color="auto"/>
              <w:bottom w:val="none" w:sz="0" w:space="0" w:color="auto"/>
            </w:tcBorders>
            <w:hideMark/>
          </w:tcPr>
          <w:p w14:paraId="6BA379CC" w14:textId="77777777" w:rsidR="00B45071" w:rsidRPr="00B45071" w:rsidRDefault="00B45071" w:rsidP="00B45071">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lang w:eastAsia="en-US"/>
              </w:rPr>
            </w:pPr>
            <w:r w:rsidRPr="00B45071">
              <w:rPr>
                <w:rFonts w:ascii="Arial" w:hAnsi="Arial" w:cs="Arial"/>
                <w:color w:val="000000"/>
                <w:sz w:val="18"/>
                <w:szCs w:val="18"/>
                <w:lang w:eastAsia="en-US"/>
              </w:rPr>
              <w:t>$120,190</w:t>
            </w:r>
          </w:p>
        </w:tc>
        <w:tc>
          <w:tcPr>
            <w:tcW w:w="967" w:type="dxa"/>
            <w:tcBorders>
              <w:top w:val="none" w:sz="0" w:space="0" w:color="auto"/>
              <w:bottom w:val="none" w:sz="0" w:space="0" w:color="auto"/>
            </w:tcBorders>
            <w:hideMark/>
          </w:tcPr>
          <w:p w14:paraId="79846969" w14:textId="77777777" w:rsidR="00B45071" w:rsidRPr="00B45071" w:rsidRDefault="00B45071" w:rsidP="00B45071">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lang w:eastAsia="en-US"/>
              </w:rPr>
            </w:pPr>
            <w:r w:rsidRPr="00B45071">
              <w:rPr>
                <w:rFonts w:ascii="Arial" w:hAnsi="Arial" w:cs="Arial"/>
                <w:color w:val="000000"/>
                <w:sz w:val="18"/>
                <w:szCs w:val="18"/>
                <w:lang w:eastAsia="en-US"/>
              </w:rPr>
              <w:t>$167,401</w:t>
            </w:r>
          </w:p>
        </w:tc>
        <w:tc>
          <w:tcPr>
            <w:tcW w:w="970" w:type="dxa"/>
            <w:tcBorders>
              <w:top w:val="none" w:sz="0" w:space="0" w:color="auto"/>
              <w:bottom w:val="none" w:sz="0" w:space="0" w:color="auto"/>
            </w:tcBorders>
            <w:hideMark/>
          </w:tcPr>
          <w:p w14:paraId="67CCED55" w14:textId="77777777" w:rsidR="00B45071" w:rsidRPr="00B45071" w:rsidRDefault="00B45071" w:rsidP="00B45071">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lang w:eastAsia="en-US"/>
              </w:rPr>
            </w:pPr>
            <w:r w:rsidRPr="00B45071">
              <w:rPr>
                <w:rFonts w:ascii="Arial" w:hAnsi="Arial" w:cs="Arial"/>
                <w:color w:val="000000"/>
                <w:sz w:val="18"/>
                <w:szCs w:val="18"/>
                <w:lang w:eastAsia="en-US"/>
              </w:rPr>
              <w:t>$185,504</w:t>
            </w:r>
          </w:p>
        </w:tc>
        <w:tc>
          <w:tcPr>
            <w:tcW w:w="967" w:type="dxa"/>
            <w:tcBorders>
              <w:top w:val="none" w:sz="0" w:space="0" w:color="auto"/>
              <w:bottom w:val="none" w:sz="0" w:space="0" w:color="auto"/>
            </w:tcBorders>
            <w:hideMark/>
          </w:tcPr>
          <w:p w14:paraId="3BB9D063" w14:textId="77777777" w:rsidR="00B45071" w:rsidRPr="00B45071" w:rsidRDefault="00B45071" w:rsidP="00B45071">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lang w:eastAsia="en-US"/>
              </w:rPr>
            </w:pPr>
            <w:r w:rsidRPr="00B45071">
              <w:rPr>
                <w:rFonts w:ascii="Arial" w:hAnsi="Arial" w:cs="Arial"/>
                <w:color w:val="000000"/>
                <w:sz w:val="18"/>
                <w:szCs w:val="18"/>
                <w:lang w:eastAsia="en-US"/>
              </w:rPr>
              <w:t>$153,154</w:t>
            </w:r>
          </w:p>
        </w:tc>
        <w:tc>
          <w:tcPr>
            <w:tcW w:w="967" w:type="dxa"/>
            <w:tcBorders>
              <w:top w:val="none" w:sz="0" w:space="0" w:color="auto"/>
              <w:bottom w:val="none" w:sz="0" w:space="0" w:color="auto"/>
              <w:right w:val="none" w:sz="0" w:space="0" w:color="auto"/>
            </w:tcBorders>
            <w:hideMark/>
          </w:tcPr>
          <w:p w14:paraId="627C3F21" w14:textId="77777777" w:rsidR="00B45071" w:rsidRPr="00B45071" w:rsidRDefault="00B45071" w:rsidP="00B45071">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lang w:eastAsia="en-US"/>
              </w:rPr>
            </w:pPr>
            <w:r w:rsidRPr="00B45071">
              <w:rPr>
                <w:rFonts w:ascii="Arial" w:hAnsi="Arial" w:cs="Arial"/>
                <w:color w:val="000000"/>
                <w:sz w:val="18"/>
                <w:szCs w:val="18"/>
                <w:lang w:eastAsia="en-US"/>
              </w:rPr>
              <w:t>$84,864</w:t>
            </w:r>
          </w:p>
        </w:tc>
      </w:tr>
    </w:tbl>
    <w:p w14:paraId="24B6029A" w14:textId="0747C6DF" w:rsidR="00B45071" w:rsidRPr="00B45071" w:rsidRDefault="00B45071" w:rsidP="00B45071">
      <w:pPr>
        <w:rPr>
          <w:bCs/>
          <w:sz w:val="18"/>
          <w:szCs w:val="18"/>
          <w:lang w:eastAsia="en-US"/>
        </w:rPr>
      </w:pPr>
      <w:r w:rsidRPr="00B45071">
        <w:rPr>
          <w:bCs/>
          <w:sz w:val="18"/>
          <w:szCs w:val="18"/>
          <w:lang w:eastAsia="en-US"/>
        </w:rPr>
        <w:t xml:space="preserve">Source: Medicare Statistics </w:t>
      </w:r>
      <w:r>
        <w:rPr>
          <w:bCs/>
          <w:sz w:val="18"/>
          <w:szCs w:val="18"/>
          <w:lang w:eastAsia="en-US"/>
        </w:rPr>
        <w:t xml:space="preserve">database </w:t>
      </w:r>
      <w:r w:rsidRPr="00B45071">
        <w:rPr>
          <w:bCs/>
          <w:sz w:val="18"/>
          <w:szCs w:val="18"/>
          <w:lang w:eastAsia="en-US"/>
        </w:rPr>
        <w:t>(</w:t>
      </w:r>
      <w:proofErr w:type="spellStart"/>
      <w:r w:rsidRPr="00B45071">
        <w:rPr>
          <w:bCs/>
          <w:sz w:val="18"/>
          <w:szCs w:val="18"/>
          <w:lang w:eastAsia="en-US"/>
        </w:rPr>
        <w:t>Cognos</w:t>
      </w:r>
      <w:proofErr w:type="spellEnd"/>
      <w:r w:rsidRPr="00B45071">
        <w:rPr>
          <w:bCs/>
          <w:sz w:val="18"/>
          <w:szCs w:val="18"/>
          <w:lang w:eastAsia="en-US"/>
        </w:rPr>
        <w:t xml:space="preserve">) - 19 April 2017 </w:t>
      </w:r>
    </w:p>
    <w:p w14:paraId="758E98CC" w14:textId="77777777" w:rsidR="00B45071" w:rsidRPr="00B45071" w:rsidRDefault="00B45071" w:rsidP="00B45071">
      <w:pPr>
        <w:rPr>
          <w:sz w:val="18"/>
          <w:szCs w:val="18"/>
          <w:lang w:eastAsia="en-US"/>
        </w:rPr>
      </w:pPr>
      <w:r w:rsidRPr="00B45071">
        <w:rPr>
          <w:sz w:val="18"/>
          <w:szCs w:val="18"/>
          <w:lang w:eastAsia="en-US"/>
        </w:rPr>
        <w:t>*Listing effective from 1 November 2014</w:t>
      </w:r>
    </w:p>
    <w:p w14:paraId="4BC84324" w14:textId="39C7B4B5" w:rsidR="00A96797" w:rsidRPr="003C5C54" w:rsidRDefault="00B45071" w:rsidP="003C5C54">
      <w:pPr>
        <w:spacing w:after="200"/>
        <w:rPr>
          <w:sz w:val="18"/>
          <w:szCs w:val="18"/>
          <w:lang w:eastAsia="en-US"/>
        </w:rPr>
      </w:pPr>
      <w:r w:rsidRPr="00B45071">
        <w:rPr>
          <w:sz w:val="18"/>
          <w:szCs w:val="18"/>
          <w:lang w:eastAsia="en-US"/>
        </w:rPr>
        <w:t xml:space="preserve">**2016-17 financial </w:t>
      </w:r>
      <w:proofErr w:type="gramStart"/>
      <w:r w:rsidRPr="00B45071">
        <w:rPr>
          <w:sz w:val="18"/>
          <w:szCs w:val="18"/>
          <w:lang w:eastAsia="en-US"/>
        </w:rPr>
        <w:t>year</w:t>
      </w:r>
      <w:proofErr w:type="gramEnd"/>
      <w:r w:rsidRPr="00B45071">
        <w:rPr>
          <w:sz w:val="18"/>
          <w:szCs w:val="18"/>
          <w:lang w:eastAsia="en-US"/>
        </w:rPr>
        <w:t xml:space="preserve"> includes data to 28 February 2017</w:t>
      </w:r>
    </w:p>
    <w:p w14:paraId="3FD7B936" w14:textId="77777777" w:rsidR="001862DF" w:rsidRDefault="00A37DC4" w:rsidP="001862DF">
      <w:pPr>
        <w:keepNext/>
      </w:pPr>
      <w:r>
        <w:rPr>
          <w:noProof/>
        </w:rPr>
        <w:drawing>
          <wp:inline distT="0" distB="0" distL="0" distR="0" wp14:anchorId="45E190E0" wp14:editId="797FAABA">
            <wp:extent cx="4960189" cy="2751827"/>
            <wp:effectExtent l="0" t="0" r="0" b="0"/>
            <wp:docPr id="4" name="Picture 4" descr="Requested Medicare Items processed from June 2013 to June 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quested Medicare Items processed from June 2013 to June 201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996728" cy="2772098"/>
                    </a:xfrm>
                    <a:prstGeom prst="rect">
                      <a:avLst/>
                    </a:prstGeom>
                    <a:noFill/>
                    <a:ln>
                      <a:noFill/>
                    </a:ln>
                  </pic:spPr>
                </pic:pic>
              </a:graphicData>
            </a:graphic>
          </wp:inline>
        </w:drawing>
      </w:r>
    </w:p>
    <w:p w14:paraId="189501BC" w14:textId="77777777" w:rsidR="00A37DC4" w:rsidRPr="00B9218B" w:rsidRDefault="00A37DC4" w:rsidP="00B9218B">
      <w:pPr>
        <w:pStyle w:val="Heading3"/>
        <w:spacing w:before="0"/>
      </w:pPr>
      <w:r w:rsidRPr="00B9218B">
        <w:t xml:space="preserve">Figure 1: Month by month comparison of service volumes for items 36851 and 18379 </w:t>
      </w:r>
    </w:p>
    <w:p w14:paraId="277041CB" w14:textId="77777777" w:rsidR="00A37DC4" w:rsidRPr="004313A8" w:rsidRDefault="00A37DC4" w:rsidP="00A37DC4">
      <w:pPr>
        <w:spacing w:after="200"/>
        <w:rPr>
          <w:bCs/>
          <w:sz w:val="20"/>
          <w:lang w:eastAsia="en-US"/>
        </w:rPr>
      </w:pPr>
      <w:r w:rsidRPr="004313A8">
        <w:rPr>
          <w:bCs/>
          <w:sz w:val="20"/>
          <w:lang w:eastAsia="en-US"/>
        </w:rPr>
        <w:t>Source: Medicare Statistics Online</w:t>
      </w:r>
    </w:p>
    <w:p w14:paraId="3C98A518" w14:textId="40566645" w:rsidR="004E015F" w:rsidRDefault="004E015F" w:rsidP="00AA446B">
      <w:pPr>
        <w:pStyle w:val="Heading2"/>
        <w:spacing w:before="240"/>
      </w:pPr>
      <w:r>
        <w:t>Patient breakdown</w:t>
      </w:r>
    </w:p>
    <w:p w14:paraId="57A810B3" w14:textId="4F7BC60A" w:rsidR="00AA446B" w:rsidRDefault="00940F54" w:rsidP="003C5C54">
      <w:pPr>
        <w:rPr>
          <w:szCs w:val="24"/>
          <w:lang w:eastAsia="en-US"/>
        </w:rPr>
      </w:pPr>
      <w:r>
        <w:t xml:space="preserve">There were 635 patients who claimed item 18379 in 2015-16.  Of these, 534 were new patients and 101 were continuing from the previous financial year. </w:t>
      </w:r>
      <w:r w:rsidRPr="00940F54">
        <w:rPr>
          <w:szCs w:val="24"/>
          <w:lang w:eastAsia="en-US"/>
        </w:rPr>
        <w:t xml:space="preserve">Continuing patients received an average of 1.28 services under item 18379 in 2015-16 (Table </w:t>
      </w:r>
      <w:r>
        <w:rPr>
          <w:szCs w:val="24"/>
          <w:lang w:eastAsia="en-US"/>
        </w:rPr>
        <w:t>2</w:t>
      </w:r>
      <w:r w:rsidR="000D5081">
        <w:rPr>
          <w:szCs w:val="24"/>
          <w:lang w:eastAsia="en-US"/>
        </w:rPr>
        <w:t xml:space="preserve">). </w:t>
      </w:r>
      <w:r w:rsidRPr="00940F54">
        <w:rPr>
          <w:szCs w:val="24"/>
          <w:lang w:eastAsia="en-US"/>
        </w:rPr>
        <w:t xml:space="preserve">In </w:t>
      </w:r>
      <w:r w:rsidRPr="00940F54">
        <w:rPr>
          <w:szCs w:val="24"/>
          <w:lang w:eastAsia="en-US"/>
        </w:rPr>
        <w:br/>
        <w:t xml:space="preserve">2015-16, 12% of patients received two or more services under item 18379 (Table </w:t>
      </w:r>
      <w:r>
        <w:rPr>
          <w:szCs w:val="24"/>
          <w:lang w:eastAsia="en-US"/>
        </w:rPr>
        <w:t>3</w:t>
      </w:r>
      <w:r w:rsidR="003C5C54">
        <w:rPr>
          <w:szCs w:val="24"/>
          <w:lang w:eastAsia="en-US"/>
        </w:rPr>
        <w:t xml:space="preserve">). </w:t>
      </w:r>
      <w:r w:rsidRPr="00940F54">
        <w:rPr>
          <w:szCs w:val="24"/>
          <w:lang w:eastAsia="en-US"/>
        </w:rPr>
        <w:t xml:space="preserve">About 7% of patients have received 3 or more services since the listing of the item (Table </w:t>
      </w:r>
      <w:r>
        <w:rPr>
          <w:szCs w:val="24"/>
          <w:lang w:eastAsia="en-US"/>
        </w:rPr>
        <w:t>4</w:t>
      </w:r>
      <w:r w:rsidRPr="00940F54">
        <w:rPr>
          <w:szCs w:val="24"/>
          <w:lang w:eastAsia="en-US"/>
        </w:rPr>
        <w:t>).</w:t>
      </w:r>
    </w:p>
    <w:p w14:paraId="3EEA4A23" w14:textId="77777777" w:rsidR="00512FC6" w:rsidRDefault="00940F54" w:rsidP="003C5C54">
      <w:pPr>
        <w:spacing w:before="240"/>
        <w:rPr>
          <w:szCs w:val="24"/>
          <w:lang w:eastAsia="en-US"/>
        </w:rPr>
        <w:sectPr w:rsidR="00512FC6" w:rsidSect="009D3B47">
          <w:pgSz w:w="11906" w:h="16838"/>
          <w:pgMar w:top="1134" w:right="1440" w:bottom="426" w:left="1440" w:header="708" w:footer="158" w:gutter="0"/>
          <w:cols w:space="708"/>
          <w:docGrid w:linePitch="360"/>
        </w:sectPr>
      </w:pPr>
      <w:r w:rsidRPr="00940F54">
        <w:rPr>
          <w:szCs w:val="24"/>
          <w:lang w:eastAsia="en-US"/>
        </w:rPr>
        <w:t>The service is predominantly claimed by females aged 55-84</w:t>
      </w:r>
      <w:r w:rsidR="000D5081">
        <w:rPr>
          <w:szCs w:val="24"/>
          <w:lang w:eastAsia="en-US"/>
        </w:rPr>
        <w:t xml:space="preserve">. </w:t>
      </w:r>
      <w:r w:rsidRPr="00940F54">
        <w:rPr>
          <w:szCs w:val="24"/>
          <w:lang w:eastAsia="en-US"/>
        </w:rPr>
        <w:t xml:space="preserve">About 16 services in 2015-16 were provided to adults aged 24 or below (Figure </w:t>
      </w:r>
      <w:r>
        <w:rPr>
          <w:szCs w:val="24"/>
          <w:lang w:eastAsia="en-US"/>
        </w:rPr>
        <w:t>2</w:t>
      </w:r>
      <w:r w:rsidRPr="00940F54">
        <w:rPr>
          <w:szCs w:val="24"/>
          <w:lang w:eastAsia="en-US"/>
        </w:rPr>
        <w:t>).</w:t>
      </w:r>
    </w:p>
    <w:p w14:paraId="2B813319" w14:textId="11E43C7A" w:rsidR="00940F54" w:rsidRPr="00B9218B" w:rsidRDefault="00940F54" w:rsidP="00B9218B">
      <w:pPr>
        <w:pStyle w:val="Heading3"/>
        <w:spacing w:before="0"/>
      </w:pPr>
      <w:r w:rsidRPr="00B9218B">
        <w:lastRenderedPageBreak/>
        <w:t>Table 2: Number of new and continuing patients who received MBS item 18379 by financial year</w:t>
      </w:r>
    </w:p>
    <w:tbl>
      <w:tblPr>
        <w:tblStyle w:val="LightList-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able 2 presents the number of new and continuing patients who received MBS item 18379 by financial year from 2014-15 to 2016-17. The 2016-17 financial year only includes data to 31 December 2016. Each row shows financial years. There are six columns, which are split into: 1) Financial year, 2) the number of new patients, 3) the number of services for new patients, 4) the number of continuing patients, 5) the number of services for continuing patients, 6) the average number of services per continuing patient."/>
      </w:tblPr>
      <w:tblGrid>
        <w:gridCol w:w="2116"/>
        <w:gridCol w:w="917"/>
        <w:gridCol w:w="957"/>
        <w:gridCol w:w="1166"/>
        <w:gridCol w:w="1166"/>
        <w:gridCol w:w="1584"/>
      </w:tblGrid>
      <w:tr w:rsidR="00940F54" w:rsidRPr="00940F54" w14:paraId="295A814F" w14:textId="77777777" w:rsidTr="000C7515">
        <w:trPr>
          <w:cnfStyle w:val="100000000000" w:firstRow="1" w:lastRow="0" w:firstColumn="0" w:lastColumn="0" w:oddVBand="0" w:evenVBand="0" w:oddHBand="0" w:evenHBand="0" w:firstRowFirstColumn="0" w:firstRowLastColumn="0" w:lastRowFirstColumn="0" w:lastRowLastColumn="0"/>
          <w:trHeight w:val="240"/>
          <w:tblHeader/>
        </w:trPr>
        <w:tc>
          <w:tcPr>
            <w:cnfStyle w:val="001000000000" w:firstRow="0" w:lastRow="0" w:firstColumn="1" w:lastColumn="0" w:oddVBand="0" w:evenVBand="0" w:oddHBand="0" w:evenHBand="0" w:firstRowFirstColumn="0" w:firstRowLastColumn="0" w:lastRowFirstColumn="0" w:lastRowLastColumn="0"/>
            <w:tcW w:w="2116" w:type="dxa"/>
            <w:hideMark/>
          </w:tcPr>
          <w:p w14:paraId="337D5664" w14:textId="1F3F1BE8" w:rsidR="00940F54" w:rsidRPr="00A266CF" w:rsidRDefault="00065629" w:rsidP="00940F54">
            <w:pPr>
              <w:jc w:val="center"/>
              <w:rPr>
                <w:rFonts w:ascii="Arial" w:hAnsi="Arial" w:cs="Arial"/>
                <w:b w:val="0"/>
                <w:bCs w:val="0"/>
                <w:sz w:val="18"/>
                <w:szCs w:val="18"/>
                <w:lang w:eastAsia="en-US"/>
              </w:rPr>
            </w:pPr>
            <w:r>
              <w:rPr>
                <w:rFonts w:ascii="Arial" w:hAnsi="Arial" w:cs="Arial"/>
                <w:sz w:val="18"/>
                <w:szCs w:val="18"/>
                <w:lang w:eastAsia="en-US"/>
              </w:rPr>
              <w:t xml:space="preserve">Financial </w:t>
            </w:r>
            <w:r w:rsidR="00940F54" w:rsidRPr="00A266CF">
              <w:rPr>
                <w:rFonts w:ascii="Arial" w:hAnsi="Arial" w:cs="Arial"/>
                <w:sz w:val="18"/>
                <w:szCs w:val="18"/>
                <w:lang w:eastAsia="en-US"/>
              </w:rPr>
              <w:t>Year</w:t>
            </w:r>
          </w:p>
        </w:tc>
        <w:tc>
          <w:tcPr>
            <w:tcW w:w="917" w:type="dxa"/>
            <w:hideMark/>
          </w:tcPr>
          <w:p w14:paraId="6A67F824" w14:textId="36A30EC9" w:rsidR="00940F54" w:rsidRPr="00A266CF" w:rsidRDefault="00A266CF" w:rsidP="00940F54">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lang w:eastAsia="en-US"/>
              </w:rPr>
            </w:pPr>
            <w:r>
              <w:rPr>
                <w:rFonts w:ascii="Arial" w:hAnsi="Arial" w:cs="Arial"/>
                <w:b w:val="0"/>
                <w:bCs w:val="0"/>
                <w:sz w:val="18"/>
                <w:szCs w:val="18"/>
                <w:lang w:eastAsia="en-US"/>
              </w:rPr>
              <w:t xml:space="preserve">New </w:t>
            </w:r>
            <w:r w:rsidR="00940F54" w:rsidRPr="00A266CF">
              <w:rPr>
                <w:rFonts w:ascii="Arial" w:hAnsi="Arial" w:cs="Arial"/>
                <w:b w:val="0"/>
                <w:bCs w:val="0"/>
                <w:sz w:val="18"/>
                <w:szCs w:val="18"/>
                <w:lang w:eastAsia="en-US"/>
              </w:rPr>
              <w:t>Patients</w:t>
            </w:r>
          </w:p>
        </w:tc>
        <w:tc>
          <w:tcPr>
            <w:tcW w:w="957" w:type="dxa"/>
            <w:hideMark/>
          </w:tcPr>
          <w:p w14:paraId="31A777A9" w14:textId="287B0AF7" w:rsidR="00940F54" w:rsidRPr="00A266CF" w:rsidRDefault="00A266CF" w:rsidP="00940F54">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lang w:eastAsia="en-US"/>
              </w:rPr>
            </w:pPr>
            <w:r>
              <w:rPr>
                <w:rFonts w:ascii="Arial" w:hAnsi="Arial" w:cs="Arial"/>
                <w:b w:val="0"/>
                <w:bCs w:val="0"/>
                <w:sz w:val="18"/>
                <w:szCs w:val="18"/>
                <w:lang w:eastAsia="en-US"/>
              </w:rPr>
              <w:t xml:space="preserve">New </w:t>
            </w:r>
            <w:r w:rsidR="00940F54" w:rsidRPr="00A266CF">
              <w:rPr>
                <w:rFonts w:ascii="Arial" w:hAnsi="Arial" w:cs="Arial"/>
                <w:b w:val="0"/>
                <w:bCs w:val="0"/>
                <w:sz w:val="18"/>
                <w:szCs w:val="18"/>
                <w:lang w:eastAsia="en-US"/>
              </w:rPr>
              <w:t>Services</w:t>
            </w:r>
          </w:p>
        </w:tc>
        <w:tc>
          <w:tcPr>
            <w:tcW w:w="1166" w:type="dxa"/>
            <w:hideMark/>
          </w:tcPr>
          <w:p w14:paraId="00A66E88" w14:textId="13606652" w:rsidR="00940F54" w:rsidRPr="00A266CF" w:rsidRDefault="00A266CF" w:rsidP="00940F54">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lang w:eastAsia="en-US"/>
              </w:rPr>
            </w:pPr>
            <w:r>
              <w:rPr>
                <w:rFonts w:ascii="Arial" w:hAnsi="Arial" w:cs="Arial"/>
                <w:b w:val="0"/>
                <w:bCs w:val="0"/>
                <w:sz w:val="18"/>
                <w:szCs w:val="18"/>
                <w:lang w:eastAsia="en-US"/>
              </w:rPr>
              <w:t xml:space="preserve">Continuing </w:t>
            </w:r>
            <w:r w:rsidR="00940F54" w:rsidRPr="00A266CF">
              <w:rPr>
                <w:rFonts w:ascii="Arial" w:hAnsi="Arial" w:cs="Arial"/>
                <w:b w:val="0"/>
                <w:bCs w:val="0"/>
                <w:sz w:val="18"/>
                <w:szCs w:val="18"/>
                <w:lang w:eastAsia="en-US"/>
              </w:rPr>
              <w:t>Patients</w:t>
            </w:r>
          </w:p>
        </w:tc>
        <w:tc>
          <w:tcPr>
            <w:tcW w:w="1166" w:type="dxa"/>
            <w:hideMark/>
          </w:tcPr>
          <w:p w14:paraId="0BEB0C9C" w14:textId="409A351F" w:rsidR="00940F54" w:rsidRPr="00A266CF" w:rsidRDefault="00A266CF" w:rsidP="00940F54">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lang w:eastAsia="en-US"/>
              </w:rPr>
            </w:pPr>
            <w:r>
              <w:rPr>
                <w:rFonts w:ascii="Arial" w:hAnsi="Arial" w:cs="Arial"/>
                <w:b w:val="0"/>
                <w:bCs w:val="0"/>
                <w:sz w:val="18"/>
                <w:szCs w:val="18"/>
                <w:lang w:eastAsia="en-US"/>
              </w:rPr>
              <w:t>Continuing</w:t>
            </w:r>
            <w:r w:rsidRPr="00A266CF">
              <w:rPr>
                <w:rFonts w:ascii="Arial" w:hAnsi="Arial" w:cs="Arial"/>
                <w:b w:val="0"/>
                <w:bCs w:val="0"/>
                <w:sz w:val="18"/>
                <w:szCs w:val="18"/>
                <w:lang w:eastAsia="en-US"/>
              </w:rPr>
              <w:t xml:space="preserve"> </w:t>
            </w:r>
            <w:r w:rsidR="00940F54" w:rsidRPr="00A266CF">
              <w:rPr>
                <w:rFonts w:ascii="Arial" w:hAnsi="Arial" w:cs="Arial"/>
                <w:b w:val="0"/>
                <w:bCs w:val="0"/>
                <w:sz w:val="18"/>
                <w:szCs w:val="18"/>
                <w:lang w:eastAsia="en-US"/>
              </w:rPr>
              <w:t>Services</w:t>
            </w:r>
          </w:p>
        </w:tc>
        <w:tc>
          <w:tcPr>
            <w:tcW w:w="1584" w:type="dxa"/>
            <w:hideMark/>
          </w:tcPr>
          <w:p w14:paraId="534F6ECD" w14:textId="631E5F69" w:rsidR="00940F54" w:rsidRPr="00A266CF" w:rsidRDefault="00940F54" w:rsidP="00940F54">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sz w:val="18"/>
                <w:szCs w:val="18"/>
                <w:lang w:eastAsia="en-US"/>
              </w:rPr>
            </w:pPr>
            <w:r w:rsidRPr="00A266CF">
              <w:rPr>
                <w:rFonts w:ascii="Arial" w:hAnsi="Arial" w:cs="Arial"/>
                <w:b w:val="0"/>
                <w:bCs w:val="0"/>
                <w:sz w:val="18"/>
                <w:szCs w:val="18"/>
                <w:lang w:eastAsia="en-US"/>
              </w:rPr>
              <w:t>Services per Patient</w:t>
            </w:r>
            <w:r w:rsidR="00065629">
              <w:rPr>
                <w:rFonts w:ascii="Arial" w:hAnsi="Arial" w:cs="Arial"/>
                <w:b w:val="0"/>
                <w:bCs w:val="0"/>
                <w:sz w:val="18"/>
                <w:szCs w:val="18"/>
                <w:lang w:eastAsia="en-US"/>
              </w:rPr>
              <w:t xml:space="preserve"> (Continuing)</w:t>
            </w:r>
          </w:p>
        </w:tc>
      </w:tr>
      <w:tr w:rsidR="00940F54" w:rsidRPr="00940F54" w14:paraId="39BEC3BC" w14:textId="77777777" w:rsidTr="00065629">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2116" w:type="dxa"/>
            <w:noWrap/>
            <w:hideMark/>
          </w:tcPr>
          <w:p w14:paraId="101F72DE" w14:textId="77777777" w:rsidR="00940F54" w:rsidRPr="00940F54" w:rsidRDefault="00940F54" w:rsidP="00940F54">
            <w:pPr>
              <w:rPr>
                <w:rFonts w:ascii="Arial" w:hAnsi="Arial" w:cs="Arial"/>
                <w:color w:val="000000"/>
                <w:sz w:val="18"/>
                <w:szCs w:val="18"/>
                <w:lang w:eastAsia="en-US"/>
              </w:rPr>
            </w:pPr>
            <w:r w:rsidRPr="00940F54">
              <w:rPr>
                <w:rFonts w:ascii="Arial" w:hAnsi="Arial" w:cs="Arial"/>
                <w:color w:val="000000"/>
                <w:sz w:val="18"/>
                <w:szCs w:val="18"/>
                <w:lang w:eastAsia="en-US"/>
              </w:rPr>
              <w:t>2014-15</w:t>
            </w:r>
          </w:p>
        </w:tc>
        <w:tc>
          <w:tcPr>
            <w:tcW w:w="917" w:type="dxa"/>
            <w:noWrap/>
            <w:hideMark/>
          </w:tcPr>
          <w:p w14:paraId="218666D9" w14:textId="77777777" w:rsidR="00940F54" w:rsidRPr="00940F54" w:rsidRDefault="00940F54" w:rsidP="00940F5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lang w:eastAsia="en-US"/>
              </w:rPr>
            </w:pPr>
            <w:r w:rsidRPr="00940F54">
              <w:rPr>
                <w:rFonts w:ascii="Arial" w:hAnsi="Arial" w:cs="Arial"/>
                <w:color w:val="000000"/>
                <w:sz w:val="18"/>
                <w:szCs w:val="18"/>
                <w:lang w:eastAsia="en-US"/>
              </w:rPr>
              <w:t xml:space="preserve">293 </w:t>
            </w:r>
          </w:p>
        </w:tc>
        <w:tc>
          <w:tcPr>
            <w:tcW w:w="957" w:type="dxa"/>
            <w:noWrap/>
            <w:hideMark/>
          </w:tcPr>
          <w:p w14:paraId="3C244F26" w14:textId="77777777" w:rsidR="00940F54" w:rsidRPr="00940F54" w:rsidRDefault="00940F54" w:rsidP="00940F5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lang w:eastAsia="en-US"/>
              </w:rPr>
            </w:pPr>
            <w:r w:rsidRPr="00940F54">
              <w:rPr>
                <w:rFonts w:ascii="Arial" w:hAnsi="Arial" w:cs="Arial"/>
                <w:color w:val="000000"/>
                <w:sz w:val="18"/>
                <w:szCs w:val="18"/>
                <w:lang w:eastAsia="en-US"/>
              </w:rPr>
              <w:t xml:space="preserve">309 </w:t>
            </w:r>
          </w:p>
        </w:tc>
        <w:tc>
          <w:tcPr>
            <w:tcW w:w="1166" w:type="dxa"/>
            <w:noWrap/>
            <w:hideMark/>
          </w:tcPr>
          <w:p w14:paraId="57FD471C" w14:textId="77777777" w:rsidR="00940F54" w:rsidRPr="00940F54" w:rsidRDefault="00940F54" w:rsidP="00940F5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lang w:eastAsia="en-US"/>
              </w:rPr>
            </w:pPr>
            <w:r w:rsidRPr="00940F54">
              <w:rPr>
                <w:rFonts w:ascii="Arial" w:hAnsi="Arial" w:cs="Arial"/>
                <w:color w:val="000000"/>
                <w:sz w:val="18"/>
                <w:szCs w:val="18"/>
                <w:lang w:eastAsia="en-US"/>
              </w:rPr>
              <w:t>-</w:t>
            </w:r>
          </w:p>
        </w:tc>
        <w:tc>
          <w:tcPr>
            <w:tcW w:w="1166" w:type="dxa"/>
            <w:noWrap/>
            <w:hideMark/>
          </w:tcPr>
          <w:p w14:paraId="2A9DE300" w14:textId="77777777" w:rsidR="00940F54" w:rsidRPr="00940F54" w:rsidRDefault="00940F54" w:rsidP="00940F5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lang w:eastAsia="en-US"/>
              </w:rPr>
            </w:pPr>
            <w:r w:rsidRPr="00940F54">
              <w:rPr>
                <w:rFonts w:ascii="Arial" w:hAnsi="Arial" w:cs="Arial"/>
                <w:color w:val="000000"/>
                <w:sz w:val="18"/>
                <w:szCs w:val="18"/>
                <w:lang w:eastAsia="en-US"/>
              </w:rPr>
              <w:t>-</w:t>
            </w:r>
          </w:p>
        </w:tc>
        <w:tc>
          <w:tcPr>
            <w:tcW w:w="1584" w:type="dxa"/>
            <w:noWrap/>
            <w:hideMark/>
          </w:tcPr>
          <w:p w14:paraId="061A4B13" w14:textId="77777777" w:rsidR="00940F54" w:rsidRPr="00940F54" w:rsidRDefault="00940F54" w:rsidP="00940F5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lang w:eastAsia="en-US"/>
              </w:rPr>
            </w:pPr>
            <w:r w:rsidRPr="00940F54">
              <w:rPr>
                <w:rFonts w:ascii="Arial" w:hAnsi="Arial" w:cs="Arial"/>
                <w:color w:val="000000"/>
                <w:sz w:val="18"/>
                <w:szCs w:val="18"/>
                <w:lang w:eastAsia="en-US"/>
              </w:rPr>
              <w:t>-</w:t>
            </w:r>
          </w:p>
        </w:tc>
      </w:tr>
      <w:tr w:rsidR="00940F54" w:rsidRPr="00940F54" w14:paraId="489AE548" w14:textId="77777777" w:rsidTr="00065629">
        <w:trPr>
          <w:trHeight w:val="240"/>
        </w:trPr>
        <w:tc>
          <w:tcPr>
            <w:cnfStyle w:val="001000000000" w:firstRow="0" w:lastRow="0" w:firstColumn="1" w:lastColumn="0" w:oddVBand="0" w:evenVBand="0" w:oddHBand="0" w:evenHBand="0" w:firstRowFirstColumn="0" w:firstRowLastColumn="0" w:lastRowFirstColumn="0" w:lastRowLastColumn="0"/>
            <w:tcW w:w="2116" w:type="dxa"/>
            <w:noWrap/>
            <w:hideMark/>
          </w:tcPr>
          <w:p w14:paraId="6667E719" w14:textId="77777777" w:rsidR="00940F54" w:rsidRPr="00940F54" w:rsidRDefault="00940F54" w:rsidP="00940F54">
            <w:pPr>
              <w:rPr>
                <w:rFonts w:ascii="Arial" w:hAnsi="Arial" w:cs="Arial"/>
                <w:color w:val="000000"/>
                <w:sz w:val="18"/>
                <w:szCs w:val="18"/>
                <w:lang w:eastAsia="en-US"/>
              </w:rPr>
            </w:pPr>
            <w:r w:rsidRPr="00940F54">
              <w:rPr>
                <w:rFonts w:ascii="Arial" w:hAnsi="Arial" w:cs="Arial"/>
                <w:color w:val="000000"/>
                <w:sz w:val="18"/>
                <w:szCs w:val="18"/>
                <w:lang w:eastAsia="en-US"/>
              </w:rPr>
              <w:t>2015-16</w:t>
            </w:r>
          </w:p>
        </w:tc>
        <w:tc>
          <w:tcPr>
            <w:tcW w:w="917" w:type="dxa"/>
            <w:noWrap/>
            <w:hideMark/>
          </w:tcPr>
          <w:p w14:paraId="3B19A830" w14:textId="77777777" w:rsidR="00940F54" w:rsidRPr="00940F54" w:rsidRDefault="00940F54" w:rsidP="00940F5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en-US"/>
              </w:rPr>
            </w:pPr>
            <w:r w:rsidRPr="00940F54">
              <w:rPr>
                <w:rFonts w:ascii="Arial" w:hAnsi="Arial" w:cs="Arial"/>
                <w:color w:val="000000"/>
                <w:sz w:val="18"/>
                <w:szCs w:val="18"/>
                <w:lang w:eastAsia="en-US"/>
              </w:rPr>
              <w:t xml:space="preserve">534 </w:t>
            </w:r>
          </w:p>
        </w:tc>
        <w:tc>
          <w:tcPr>
            <w:tcW w:w="957" w:type="dxa"/>
            <w:noWrap/>
            <w:hideMark/>
          </w:tcPr>
          <w:p w14:paraId="625607D0" w14:textId="77777777" w:rsidR="00940F54" w:rsidRPr="00940F54" w:rsidRDefault="00940F54" w:rsidP="00940F5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en-US"/>
              </w:rPr>
            </w:pPr>
            <w:r w:rsidRPr="00940F54">
              <w:rPr>
                <w:rFonts w:ascii="Arial" w:hAnsi="Arial" w:cs="Arial"/>
                <w:color w:val="000000"/>
                <w:sz w:val="18"/>
                <w:szCs w:val="18"/>
                <w:lang w:eastAsia="en-US"/>
              </w:rPr>
              <w:t xml:space="preserve">589 </w:t>
            </w:r>
          </w:p>
        </w:tc>
        <w:tc>
          <w:tcPr>
            <w:tcW w:w="1166" w:type="dxa"/>
            <w:noWrap/>
            <w:hideMark/>
          </w:tcPr>
          <w:p w14:paraId="19769041" w14:textId="77777777" w:rsidR="00940F54" w:rsidRPr="00940F54" w:rsidRDefault="00940F54" w:rsidP="00940F5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en-US"/>
              </w:rPr>
            </w:pPr>
            <w:r w:rsidRPr="00940F54">
              <w:rPr>
                <w:rFonts w:ascii="Arial" w:hAnsi="Arial" w:cs="Arial"/>
                <w:color w:val="000000"/>
                <w:sz w:val="18"/>
                <w:szCs w:val="18"/>
                <w:lang w:eastAsia="en-US"/>
              </w:rPr>
              <w:t xml:space="preserve">101 </w:t>
            </w:r>
          </w:p>
        </w:tc>
        <w:tc>
          <w:tcPr>
            <w:tcW w:w="1166" w:type="dxa"/>
            <w:noWrap/>
            <w:hideMark/>
          </w:tcPr>
          <w:p w14:paraId="7488D158" w14:textId="77777777" w:rsidR="00940F54" w:rsidRPr="00940F54" w:rsidRDefault="00940F54" w:rsidP="00940F5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en-US"/>
              </w:rPr>
            </w:pPr>
            <w:r w:rsidRPr="00940F54">
              <w:rPr>
                <w:rFonts w:ascii="Arial" w:hAnsi="Arial" w:cs="Arial"/>
                <w:color w:val="000000"/>
                <w:sz w:val="18"/>
                <w:szCs w:val="18"/>
                <w:lang w:eastAsia="en-US"/>
              </w:rPr>
              <w:t xml:space="preserve">129 </w:t>
            </w:r>
          </w:p>
        </w:tc>
        <w:tc>
          <w:tcPr>
            <w:tcW w:w="1584" w:type="dxa"/>
            <w:noWrap/>
            <w:hideMark/>
          </w:tcPr>
          <w:p w14:paraId="3FD424F7" w14:textId="77777777" w:rsidR="00940F54" w:rsidRPr="00940F54" w:rsidRDefault="00940F54" w:rsidP="00940F5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en-US"/>
              </w:rPr>
            </w:pPr>
            <w:r w:rsidRPr="00940F54">
              <w:rPr>
                <w:rFonts w:ascii="Arial" w:hAnsi="Arial" w:cs="Arial"/>
                <w:color w:val="000000"/>
                <w:sz w:val="18"/>
                <w:szCs w:val="18"/>
                <w:lang w:eastAsia="en-US"/>
              </w:rPr>
              <w:t xml:space="preserve">1.28 </w:t>
            </w:r>
          </w:p>
        </w:tc>
      </w:tr>
      <w:tr w:rsidR="00940F54" w:rsidRPr="00940F54" w14:paraId="3AC81C5D" w14:textId="77777777" w:rsidTr="00065629">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2116" w:type="dxa"/>
            <w:noWrap/>
            <w:hideMark/>
          </w:tcPr>
          <w:p w14:paraId="795AD4EB" w14:textId="77777777" w:rsidR="00940F54" w:rsidRPr="00940F54" w:rsidRDefault="00940F54" w:rsidP="00940F54">
            <w:pPr>
              <w:rPr>
                <w:rFonts w:ascii="Arial" w:hAnsi="Arial" w:cs="Arial"/>
                <w:color w:val="000000"/>
                <w:sz w:val="18"/>
                <w:szCs w:val="18"/>
                <w:lang w:eastAsia="en-US"/>
              </w:rPr>
            </w:pPr>
            <w:r w:rsidRPr="00940F54">
              <w:rPr>
                <w:rFonts w:ascii="Arial" w:hAnsi="Arial" w:cs="Arial"/>
                <w:color w:val="000000"/>
                <w:sz w:val="18"/>
                <w:szCs w:val="18"/>
                <w:lang w:eastAsia="en-US"/>
              </w:rPr>
              <w:t>2016-17 (to 31 Dec 16)</w:t>
            </w:r>
          </w:p>
        </w:tc>
        <w:tc>
          <w:tcPr>
            <w:tcW w:w="917" w:type="dxa"/>
            <w:noWrap/>
            <w:hideMark/>
          </w:tcPr>
          <w:p w14:paraId="2CA72C70" w14:textId="77777777" w:rsidR="00940F54" w:rsidRPr="00940F54" w:rsidRDefault="00940F54" w:rsidP="00940F5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lang w:eastAsia="en-US"/>
              </w:rPr>
            </w:pPr>
            <w:r w:rsidRPr="00940F54">
              <w:rPr>
                <w:rFonts w:ascii="Arial" w:hAnsi="Arial" w:cs="Arial"/>
                <w:color w:val="000000"/>
                <w:sz w:val="18"/>
                <w:szCs w:val="18"/>
                <w:lang w:eastAsia="en-US"/>
              </w:rPr>
              <w:t xml:space="preserve">330 </w:t>
            </w:r>
          </w:p>
        </w:tc>
        <w:tc>
          <w:tcPr>
            <w:tcW w:w="957" w:type="dxa"/>
            <w:noWrap/>
            <w:hideMark/>
          </w:tcPr>
          <w:p w14:paraId="2460A246" w14:textId="77777777" w:rsidR="00940F54" w:rsidRPr="00940F54" w:rsidRDefault="00940F54" w:rsidP="00940F5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lang w:eastAsia="en-US"/>
              </w:rPr>
            </w:pPr>
            <w:r w:rsidRPr="00940F54">
              <w:rPr>
                <w:rFonts w:ascii="Arial" w:hAnsi="Arial" w:cs="Arial"/>
                <w:color w:val="000000"/>
                <w:sz w:val="18"/>
                <w:szCs w:val="18"/>
                <w:lang w:eastAsia="en-US"/>
              </w:rPr>
              <w:t xml:space="preserve">342 </w:t>
            </w:r>
          </w:p>
        </w:tc>
        <w:tc>
          <w:tcPr>
            <w:tcW w:w="1166" w:type="dxa"/>
            <w:noWrap/>
            <w:hideMark/>
          </w:tcPr>
          <w:p w14:paraId="2A3E2C40" w14:textId="77777777" w:rsidR="00940F54" w:rsidRPr="00940F54" w:rsidRDefault="00940F54" w:rsidP="00940F5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lang w:eastAsia="en-US"/>
              </w:rPr>
            </w:pPr>
            <w:r w:rsidRPr="00940F54">
              <w:rPr>
                <w:rFonts w:ascii="Arial" w:hAnsi="Arial" w:cs="Arial"/>
                <w:color w:val="000000"/>
                <w:sz w:val="18"/>
                <w:szCs w:val="18"/>
                <w:lang w:eastAsia="en-US"/>
              </w:rPr>
              <w:t xml:space="preserve">191 </w:t>
            </w:r>
          </w:p>
        </w:tc>
        <w:tc>
          <w:tcPr>
            <w:tcW w:w="1166" w:type="dxa"/>
            <w:noWrap/>
            <w:hideMark/>
          </w:tcPr>
          <w:p w14:paraId="2E345E68" w14:textId="77777777" w:rsidR="00940F54" w:rsidRPr="00940F54" w:rsidRDefault="00940F54" w:rsidP="00940F5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lang w:eastAsia="en-US"/>
              </w:rPr>
            </w:pPr>
            <w:r w:rsidRPr="00940F54">
              <w:rPr>
                <w:rFonts w:ascii="Arial" w:hAnsi="Arial" w:cs="Arial"/>
                <w:color w:val="000000"/>
                <w:sz w:val="18"/>
                <w:szCs w:val="18"/>
                <w:lang w:eastAsia="en-US"/>
              </w:rPr>
              <w:t xml:space="preserve">200 </w:t>
            </w:r>
          </w:p>
        </w:tc>
        <w:tc>
          <w:tcPr>
            <w:tcW w:w="1584" w:type="dxa"/>
            <w:noWrap/>
            <w:hideMark/>
          </w:tcPr>
          <w:p w14:paraId="2A167660" w14:textId="77777777" w:rsidR="00940F54" w:rsidRPr="00940F54" w:rsidRDefault="00940F54" w:rsidP="00940F5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lang w:eastAsia="en-US"/>
              </w:rPr>
            </w:pPr>
            <w:r w:rsidRPr="00940F54">
              <w:rPr>
                <w:rFonts w:ascii="Arial" w:hAnsi="Arial" w:cs="Arial"/>
                <w:color w:val="000000"/>
                <w:sz w:val="18"/>
                <w:szCs w:val="18"/>
                <w:lang w:eastAsia="en-US"/>
              </w:rPr>
              <w:t xml:space="preserve">1.05 </w:t>
            </w:r>
          </w:p>
        </w:tc>
      </w:tr>
    </w:tbl>
    <w:p w14:paraId="3440BB27" w14:textId="5C4A35F0" w:rsidR="00940F54" w:rsidRPr="00B9218B" w:rsidRDefault="00940F54" w:rsidP="003C5C54">
      <w:pPr>
        <w:pStyle w:val="Heading3"/>
      </w:pPr>
      <w:r w:rsidRPr="00B9218B">
        <w:t>Table 3: Number of services per patient in 2014-15 and 2015-16</w:t>
      </w:r>
    </w:p>
    <w:tbl>
      <w:tblPr>
        <w:tblStyle w:val="LightList-Accent1"/>
        <w:tblW w:w="4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able 3 presents the number of services of MBS item 18379 per patient in the 2014-15 and 2015-16 financial years. Each row contains the financial year, and there are four columns: 1) Financial year, 2) services, 3) number of patients, 4) percentage of patients."/>
      </w:tblPr>
      <w:tblGrid>
        <w:gridCol w:w="1371"/>
        <w:gridCol w:w="960"/>
        <w:gridCol w:w="960"/>
        <w:gridCol w:w="1187"/>
      </w:tblGrid>
      <w:tr w:rsidR="00940F54" w:rsidRPr="00940F54" w14:paraId="0A71B3BB" w14:textId="77777777" w:rsidTr="000C7515">
        <w:trPr>
          <w:cnfStyle w:val="100000000000" w:firstRow="1" w:lastRow="0" w:firstColumn="0" w:lastColumn="0" w:oddVBand="0" w:evenVBand="0" w:oddHBand="0" w:evenHBand="0" w:firstRowFirstColumn="0" w:firstRowLastColumn="0" w:lastRowFirstColumn="0" w:lastRowLastColumn="0"/>
          <w:trHeight w:val="305"/>
          <w:tblHeader/>
        </w:trPr>
        <w:tc>
          <w:tcPr>
            <w:cnfStyle w:val="001000000000" w:firstRow="0" w:lastRow="0" w:firstColumn="1" w:lastColumn="0" w:oddVBand="0" w:evenVBand="0" w:oddHBand="0" w:evenHBand="0" w:firstRowFirstColumn="0" w:firstRowLastColumn="0" w:lastRowFirstColumn="0" w:lastRowLastColumn="0"/>
            <w:tcW w:w="1371" w:type="dxa"/>
            <w:hideMark/>
          </w:tcPr>
          <w:p w14:paraId="32589DA3" w14:textId="77777777" w:rsidR="00940F54" w:rsidRPr="00940F54" w:rsidRDefault="00940F54" w:rsidP="00940F54">
            <w:pPr>
              <w:jc w:val="center"/>
              <w:rPr>
                <w:rFonts w:ascii="Arial" w:hAnsi="Arial" w:cs="Arial"/>
                <w:b w:val="0"/>
                <w:bCs w:val="0"/>
                <w:color w:val="FFFFFF"/>
                <w:sz w:val="18"/>
                <w:szCs w:val="18"/>
                <w:lang w:eastAsia="en-US"/>
              </w:rPr>
            </w:pPr>
            <w:r w:rsidRPr="00065629">
              <w:rPr>
                <w:rFonts w:ascii="Arial" w:hAnsi="Arial" w:cs="Arial"/>
                <w:sz w:val="18"/>
                <w:szCs w:val="18"/>
                <w:lang w:eastAsia="en-US"/>
              </w:rPr>
              <w:t>Financial</w:t>
            </w:r>
          </w:p>
        </w:tc>
        <w:tc>
          <w:tcPr>
            <w:tcW w:w="960" w:type="dxa"/>
            <w:hideMark/>
          </w:tcPr>
          <w:p w14:paraId="0CA44139" w14:textId="77777777" w:rsidR="00940F54" w:rsidRPr="00940F54" w:rsidRDefault="00940F54" w:rsidP="00940F54">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sz w:val="18"/>
                <w:szCs w:val="18"/>
                <w:lang w:eastAsia="en-US"/>
              </w:rPr>
            </w:pPr>
            <w:r w:rsidRPr="00940F54">
              <w:rPr>
                <w:rFonts w:ascii="Arial" w:hAnsi="Arial" w:cs="Arial"/>
                <w:color w:val="FFFFFF"/>
                <w:sz w:val="18"/>
                <w:szCs w:val="18"/>
                <w:lang w:eastAsia="en-US"/>
              </w:rPr>
              <w:t>Services</w:t>
            </w:r>
          </w:p>
        </w:tc>
        <w:tc>
          <w:tcPr>
            <w:tcW w:w="960" w:type="dxa"/>
            <w:hideMark/>
          </w:tcPr>
          <w:p w14:paraId="1466D45E" w14:textId="77777777" w:rsidR="00940F54" w:rsidRPr="00940F54" w:rsidRDefault="00940F54" w:rsidP="00940F54">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sz w:val="18"/>
                <w:szCs w:val="18"/>
                <w:lang w:eastAsia="en-US"/>
              </w:rPr>
            </w:pPr>
            <w:r w:rsidRPr="00940F54">
              <w:rPr>
                <w:rFonts w:ascii="Arial" w:hAnsi="Arial" w:cs="Arial"/>
                <w:color w:val="FFFFFF"/>
                <w:sz w:val="18"/>
                <w:szCs w:val="18"/>
                <w:lang w:eastAsia="en-US"/>
              </w:rPr>
              <w:t>Count</w:t>
            </w:r>
          </w:p>
        </w:tc>
        <w:tc>
          <w:tcPr>
            <w:tcW w:w="1079" w:type="dxa"/>
            <w:hideMark/>
          </w:tcPr>
          <w:p w14:paraId="47EDD784" w14:textId="77777777" w:rsidR="00940F54" w:rsidRPr="00940F54" w:rsidRDefault="00940F54" w:rsidP="00940F54">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sz w:val="18"/>
                <w:szCs w:val="18"/>
                <w:lang w:eastAsia="en-US"/>
              </w:rPr>
            </w:pPr>
            <w:r w:rsidRPr="00940F54">
              <w:rPr>
                <w:rFonts w:ascii="Arial" w:hAnsi="Arial" w:cs="Arial"/>
                <w:color w:val="FFFFFF"/>
                <w:sz w:val="18"/>
                <w:szCs w:val="18"/>
                <w:lang w:eastAsia="en-US"/>
              </w:rPr>
              <w:t>Percentage</w:t>
            </w:r>
          </w:p>
        </w:tc>
      </w:tr>
      <w:tr w:rsidR="00940F54" w:rsidRPr="00940F54" w14:paraId="33F13143" w14:textId="77777777" w:rsidTr="00065629">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1371" w:type="dxa"/>
            <w:tcBorders>
              <w:top w:val="none" w:sz="0" w:space="0" w:color="auto"/>
              <w:left w:val="none" w:sz="0" w:space="0" w:color="auto"/>
              <w:bottom w:val="nil"/>
            </w:tcBorders>
            <w:noWrap/>
            <w:hideMark/>
          </w:tcPr>
          <w:p w14:paraId="4708B911" w14:textId="77777777" w:rsidR="00940F54" w:rsidRPr="00940F54" w:rsidRDefault="00940F54" w:rsidP="00940F54">
            <w:pPr>
              <w:rPr>
                <w:rFonts w:ascii="Arial" w:hAnsi="Arial" w:cs="Arial"/>
                <w:color w:val="000000"/>
                <w:sz w:val="18"/>
                <w:szCs w:val="18"/>
                <w:lang w:eastAsia="en-US"/>
              </w:rPr>
            </w:pPr>
            <w:r w:rsidRPr="00940F54">
              <w:rPr>
                <w:rFonts w:ascii="Arial" w:hAnsi="Arial" w:cs="Arial"/>
                <w:color w:val="000000"/>
                <w:sz w:val="18"/>
                <w:szCs w:val="18"/>
                <w:lang w:eastAsia="en-US"/>
              </w:rPr>
              <w:t>2014-15</w:t>
            </w:r>
          </w:p>
        </w:tc>
        <w:tc>
          <w:tcPr>
            <w:tcW w:w="960" w:type="dxa"/>
            <w:tcBorders>
              <w:top w:val="none" w:sz="0" w:space="0" w:color="auto"/>
              <w:bottom w:val="none" w:sz="0" w:space="0" w:color="auto"/>
            </w:tcBorders>
            <w:noWrap/>
            <w:hideMark/>
          </w:tcPr>
          <w:p w14:paraId="34B09A7E" w14:textId="77777777" w:rsidR="00940F54" w:rsidRPr="00940F54" w:rsidRDefault="00940F54" w:rsidP="00940F5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lang w:eastAsia="en-US"/>
              </w:rPr>
            </w:pPr>
            <w:r w:rsidRPr="00940F54">
              <w:rPr>
                <w:rFonts w:ascii="Arial" w:hAnsi="Arial" w:cs="Arial"/>
                <w:color w:val="000000"/>
                <w:sz w:val="18"/>
                <w:szCs w:val="18"/>
                <w:lang w:eastAsia="en-US"/>
              </w:rPr>
              <w:t>1</w:t>
            </w:r>
          </w:p>
        </w:tc>
        <w:tc>
          <w:tcPr>
            <w:tcW w:w="960" w:type="dxa"/>
            <w:tcBorders>
              <w:top w:val="none" w:sz="0" w:space="0" w:color="auto"/>
              <w:bottom w:val="none" w:sz="0" w:space="0" w:color="auto"/>
            </w:tcBorders>
            <w:noWrap/>
            <w:hideMark/>
          </w:tcPr>
          <w:p w14:paraId="76239B07" w14:textId="77777777" w:rsidR="00940F54" w:rsidRPr="00940F54" w:rsidRDefault="00940F54" w:rsidP="00940F5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lang w:eastAsia="en-US"/>
              </w:rPr>
            </w:pPr>
            <w:r w:rsidRPr="00940F54">
              <w:rPr>
                <w:rFonts w:ascii="Arial" w:hAnsi="Arial" w:cs="Arial"/>
                <w:color w:val="000000"/>
                <w:sz w:val="18"/>
                <w:szCs w:val="18"/>
                <w:lang w:eastAsia="en-US"/>
              </w:rPr>
              <w:t>277</w:t>
            </w:r>
          </w:p>
        </w:tc>
        <w:tc>
          <w:tcPr>
            <w:tcW w:w="1079" w:type="dxa"/>
            <w:tcBorders>
              <w:top w:val="none" w:sz="0" w:space="0" w:color="auto"/>
              <w:bottom w:val="none" w:sz="0" w:space="0" w:color="auto"/>
              <w:right w:val="none" w:sz="0" w:space="0" w:color="auto"/>
            </w:tcBorders>
            <w:noWrap/>
            <w:hideMark/>
          </w:tcPr>
          <w:p w14:paraId="4EFF51C7" w14:textId="77777777" w:rsidR="00940F54" w:rsidRPr="00940F54" w:rsidRDefault="00940F54" w:rsidP="00940F5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lang w:eastAsia="en-US"/>
              </w:rPr>
            </w:pPr>
            <w:r w:rsidRPr="00940F54">
              <w:rPr>
                <w:rFonts w:ascii="Arial" w:hAnsi="Arial" w:cs="Arial"/>
                <w:color w:val="000000"/>
                <w:sz w:val="18"/>
                <w:szCs w:val="18"/>
                <w:lang w:eastAsia="en-US"/>
              </w:rPr>
              <w:t>95%</w:t>
            </w:r>
          </w:p>
        </w:tc>
      </w:tr>
      <w:tr w:rsidR="00940F54" w:rsidRPr="00940F54" w14:paraId="49C1595B" w14:textId="77777777" w:rsidTr="00065629">
        <w:trPr>
          <w:trHeight w:val="238"/>
        </w:trPr>
        <w:tc>
          <w:tcPr>
            <w:cnfStyle w:val="001000000000" w:firstRow="0" w:lastRow="0" w:firstColumn="1" w:lastColumn="0" w:oddVBand="0" w:evenVBand="0" w:oddHBand="0" w:evenHBand="0" w:firstRowFirstColumn="0" w:firstRowLastColumn="0" w:lastRowFirstColumn="0" w:lastRowLastColumn="0"/>
            <w:tcW w:w="1371" w:type="dxa"/>
            <w:tcBorders>
              <w:top w:val="nil"/>
            </w:tcBorders>
            <w:hideMark/>
          </w:tcPr>
          <w:p w14:paraId="46FB9561" w14:textId="45E5E7D3" w:rsidR="00940F54" w:rsidRPr="00940F54" w:rsidRDefault="00940F54" w:rsidP="00940F54">
            <w:pPr>
              <w:rPr>
                <w:rFonts w:ascii="Arial" w:hAnsi="Arial" w:cs="Arial"/>
                <w:color w:val="000000"/>
                <w:sz w:val="18"/>
                <w:szCs w:val="18"/>
                <w:lang w:eastAsia="en-US"/>
              </w:rPr>
            </w:pPr>
          </w:p>
        </w:tc>
        <w:tc>
          <w:tcPr>
            <w:tcW w:w="960" w:type="dxa"/>
            <w:noWrap/>
            <w:hideMark/>
          </w:tcPr>
          <w:p w14:paraId="3C9E935D" w14:textId="77777777" w:rsidR="00940F54" w:rsidRPr="00940F54" w:rsidRDefault="00940F54" w:rsidP="00940F5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en-US"/>
              </w:rPr>
            </w:pPr>
            <w:r w:rsidRPr="00940F54">
              <w:rPr>
                <w:rFonts w:ascii="Arial" w:hAnsi="Arial" w:cs="Arial"/>
                <w:color w:val="000000"/>
                <w:sz w:val="18"/>
                <w:szCs w:val="18"/>
                <w:lang w:eastAsia="en-US"/>
              </w:rPr>
              <w:t>2</w:t>
            </w:r>
          </w:p>
        </w:tc>
        <w:tc>
          <w:tcPr>
            <w:tcW w:w="960" w:type="dxa"/>
            <w:noWrap/>
            <w:hideMark/>
          </w:tcPr>
          <w:p w14:paraId="2A882A8E" w14:textId="77777777" w:rsidR="00940F54" w:rsidRPr="00940F54" w:rsidRDefault="00940F54" w:rsidP="00940F5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en-US"/>
              </w:rPr>
            </w:pPr>
            <w:r w:rsidRPr="00940F54">
              <w:rPr>
                <w:rFonts w:ascii="Arial" w:hAnsi="Arial" w:cs="Arial"/>
                <w:color w:val="000000"/>
                <w:sz w:val="18"/>
                <w:szCs w:val="18"/>
                <w:lang w:eastAsia="en-US"/>
              </w:rPr>
              <w:t>16</w:t>
            </w:r>
          </w:p>
        </w:tc>
        <w:tc>
          <w:tcPr>
            <w:tcW w:w="1079" w:type="dxa"/>
            <w:noWrap/>
            <w:hideMark/>
          </w:tcPr>
          <w:p w14:paraId="44D56646" w14:textId="77777777" w:rsidR="00940F54" w:rsidRPr="00940F54" w:rsidRDefault="00940F54" w:rsidP="00940F5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en-US"/>
              </w:rPr>
            </w:pPr>
            <w:r w:rsidRPr="00940F54">
              <w:rPr>
                <w:rFonts w:ascii="Arial" w:hAnsi="Arial" w:cs="Arial"/>
                <w:color w:val="000000"/>
                <w:sz w:val="18"/>
                <w:szCs w:val="18"/>
                <w:lang w:eastAsia="en-US"/>
              </w:rPr>
              <w:t>5%</w:t>
            </w:r>
          </w:p>
        </w:tc>
      </w:tr>
      <w:tr w:rsidR="00940F54" w:rsidRPr="00940F54" w14:paraId="0E2AB3A2" w14:textId="77777777" w:rsidTr="00065629">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1371" w:type="dxa"/>
            <w:tcBorders>
              <w:top w:val="none" w:sz="0" w:space="0" w:color="auto"/>
              <w:left w:val="none" w:sz="0" w:space="0" w:color="auto"/>
              <w:bottom w:val="nil"/>
            </w:tcBorders>
            <w:noWrap/>
            <w:hideMark/>
          </w:tcPr>
          <w:p w14:paraId="198DCE4E" w14:textId="77777777" w:rsidR="00940F54" w:rsidRPr="00940F54" w:rsidRDefault="00940F54" w:rsidP="00940F54">
            <w:pPr>
              <w:rPr>
                <w:rFonts w:ascii="Arial" w:hAnsi="Arial" w:cs="Arial"/>
                <w:color w:val="000000"/>
                <w:sz w:val="18"/>
                <w:szCs w:val="18"/>
                <w:lang w:eastAsia="en-US"/>
              </w:rPr>
            </w:pPr>
            <w:r w:rsidRPr="00940F54">
              <w:rPr>
                <w:rFonts w:ascii="Arial" w:hAnsi="Arial" w:cs="Arial"/>
                <w:color w:val="000000"/>
                <w:sz w:val="18"/>
                <w:szCs w:val="18"/>
                <w:lang w:eastAsia="en-US"/>
              </w:rPr>
              <w:t>2015-16</w:t>
            </w:r>
          </w:p>
        </w:tc>
        <w:tc>
          <w:tcPr>
            <w:tcW w:w="960" w:type="dxa"/>
            <w:tcBorders>
              <w:top w:val="none" w:sz="0" w:space="0" w:color="auto"/>
              <w:bottom w:val="none" w:sz="0" w:space="0" w:color="auto"/>
            </w:tcBorders>
            <w:noWrap/>
            <w:hideMark/>
          </w:tcPr>
          <w:p w14:paraId="70303C6E" w14:textId="77777777" w:rsidR="00940F54" w:rsidRPr="00940F54" w:rsidRDefault="00940F54" w:rsidP="00940F5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lang w:eastAsia="en-US"/>
              </w:rPr>
            </w:pPr>
            <w:r w:rsidRPr="00940F54">
              <w:rPr>
                <w:rFonts w:ascii="Arial" w:hAnsi="Arial" w:cs="Arial"/>
                <w:color w:val="000000"/>
                <w:sz w:val="18"/>
                <w:szCs w:val="18"/>
                <w:lang w:eastAsia="en-US"/>
              </w:rPr>
              <w:t>1</w:t>
            </w:r>
          </w:p>
        </w:tc>
        <w:tc>
          <w:tcPr>
            <w:tcW w:w="960" w:type="dxa"/>
            <w:tcBorders>
              <w:top w:val="none" w:sz="0" w:space="0" w:color="auto"/>
              <w:bottom w:val="none" w:sz="0" w:space="0" w:color="auto"/>
            </w:tcBorders>
            <w:noWrap/>
            <w:hideMark/>
          </w:tcPr>
          <w:p w14:paraId="058B4DB6" w14:textId="77777777" w:rsidR="00940F54" w:rsidRPr="00940F54" w:rsidRDefault="00940F54" w:rsidP="00940F5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lang w:eastAsia="en-US"/>
              </w:rPr>
            </w:pPr>
            <w:r w:rsidRPr="00940F54">
              <w:rPr>
                <w:rFonts w:ascii="Arial" w:hAnsi="Arial" w:cs="Arial"/>
                <w:color w:val="000000"/>
                <w:sz w:val="18"/>
                <w:szCs w:val="18"/>
                <w:lang w:eastAsia="en-US"/>
              </w:rPr>
              <w:t>558</w:t>
            </w:r>
          </w:p>
        </w:tc>
        <w:tc>
          <w:tcPr>
            <w:tcW w:w="1079" w:type="dxa"/>
            <w:tcBorders>
              <w:top w:val="none" w:sz="0" w:space="0" w:color="auto"/>
              <w:bottom w:val="none" w:sz="0" w:space="0" w:color="auto"/>
              <w:right w:val="none" w:sz="0" w:space="0" w:color="auto"/>
            </w:tcBorders>
            <w:noWrap/>
            <w:hideMark/>
          </w:tcPr>
          <w:p w14:paraId="4C30FB6F" w14:textId="77777777" w:rsidR="00940F54" w:rsidRPr="00940F54" w:rsidRDefault="00940F54" w:rsidP="00940F5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lang w:eastAsia="en-US"/>
              </w:rPr>
            </w:pPr>
            <w:r w:rsidRPr="00940F54">
              <w:rPr>
                <w:rFonts w:ascii="Arial" w:hAnsi="Arial" w:cs="Arial"/>
                <w:color w:val="000000"/>
                <w:sz w:val="18"/>
                <w:szCs w:val="18"/>
                <w:lang w:eastAsia="en-US"/>
              </w:rPr>
              <w:t>88%</w:t>
            </w:r>
          </w:p>
        </w:tc>
      </w:tr>
      <w:tr w:rsidR="00940F54" w:rsidRPr="00940F54" w14:paraId="463ECB51" w14:textId="77777777" w:rsidTr="00065629">
        <w:trPr>
          <w:trHeight w:val="238"/>
        </w:trPr>
        <w:tc>
          <w:tcPr>
            <w:cnfStyle w:val="001000000000" w:firstRow="0" w:lastRow="0" w:firstColumn="1" w:lastColumn="0" w:oddVBand="0" w:evenVBand="0" w:oddHBand="0" w:evenHBand="0" w:firstRowFirstColumn="0" w:firstRowLastColumn="0" w:lastRowFirstColumn="0" w:lastRowLastColumn="0"/>
            <w:tcW w:w="1371" w:type="dxa"/>
            <w:tcBorders>
              <w:top w:val="nil"/>
              <w:bottom w:val="nil"/>
            </w:tcBorders>
            <w:hideMark/>
          </w:tcPr>
          <w:p w14:paraId="173A0D52" w14:textId="77777777" w:rsidR="00940F54" w:rsidRPr="00940F54" w:rsidRDefault="00940F54" w:rsidP="00940F54">
            <w:pPr>
              <w:rPr>
                <w:rFonts w:ascii="Arial" w:hAnsi="Arial" w:cs="Arial"/>
                <w:color w:val="000000"/>
                <w:sz w:val="18"/>
                <w:szCs w:val="18"/>
                <w:lang w:eastAsia="en-US"/>
              </w:rPr>
            </w:pPr>
          </w:p>
        </w:tc>
        <w:tc>
          <w:tcPr>
            <w:tcW w:w="960" w:type="dxa"/>
            <w:noWrap/>
            <w:hideMark/>
          </w:tcPr>
          <w:p w14:paraId="291DB07F" w14:textId="77777777" w:rsidR="00940F54" w:rsidRPr="00940F54" w:rsidRDefault="00940F54" w:rsidP="00940F5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en-US"/>
              </w:rPr>
            </w:pPr>
            <w:r w:rsidRPr="00940F54">
              <w:rPr>
                <w:rFonts w:ascii="Arial" w:hAnsi="Arial" w:cs="Arial"/>
                <w:color w:val="000000"/>
                <w:sz w:val="18"/>
                <w:szCs w:val="18"/>
                <w:lang w:eastAsia="en-US"/>
              </w:rPr>
              <w:t>2</w:t>
            </w:r>
          </w:p>
        </w:tc>
        <w:tc>
          <w:tcPr>
            <w:tcW w:w="960" w:type="dxa"/>
            <w:noWrap/>
            <w:hideMark/>
          </w:tcPr>
          <w:p w14:paraId="7308CA55" w14:textId="77777777" w:rsidR="00940F54" w:rsidRPr="00940F54" w:rsidRDefault="00940F54" w:rsidP="00940F5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en-US"/>
              </w:rPr>
            </w:pPr>
            <w:r w:rsidRPr="00940F54">
              <w:rPr>
                <w:rFonts w:ascii="Arial" w:hAnsi="Arial" w:cs="Arial"/>
                <w:color w:val="000000"/>
                <w:sz w:val="18"/>
                <w:szCs w:val="18"/>
                <w:lang w:eastAsia="en-US"/>
              </w:rPr>
              <w:t>71</w:t>
            </w:r>
          </w:p>
        </w:tc>
        <w:tc>
          <w:tcPr>
            <w:tcW w:w="1079" w:type="dxa"/>
            <w:noWrap/>
            <w:hideMark/>
          </w:tcPr>
          <w:p w14:paraId="334702AF" w14:textId="77777777" w:rsidR="00940F54" w:rsidRPr="00940F54" w:rsidRDefault="00940F54" w:rsidP="00940F5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en-US"/>
              </w:rPr>
            </w:pPr>
            <w:r w:rsidRPr="00940F54">
              <w:rPr>
                <w:rFonts w:ascii="Arial" w:hAnsi="Arial" w:cs="Arial"/>
                <w:color w:val="000000"/>
                <w:sz w:val="18"/>
                <w:szCs w:val="18"/>
                <w:lang w:eastAsia="en-US"/>
              </w:rPr>
              <w:t>11%</w:t>
            </w:r>
          </w:p>
        </w:tc>
      </w:tr>
      <w:tr w:rsidR="00940F54" w:rsidRPr="00940F54" w14:paraId="0F7D10A7" w14:textId="77777777" w:rsidTr="00065629">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1371" w:type="dxa"/>
            <w:tcBorders>
              <w:top w:val="nil"/>
              <w:left w:val="none" w:sz="0" w:space="0" w:color="auto"/>
              <w:bottom w:val="none" w:sz="0" w:space="0" w:color="auto"/>
            </w:tcBorders>
            <w:hideMark/>
          </w:tcPr>
          <w:p w14:paraId="720AB0CC" w14:textId="77777777" w:rsidR="00940F54" w:rsidRPr="00940F54" w:rsidRDefault="00940F54" w:rsidP="00940F54">
            <w:pPr>
              <w:rPr>
                <w:rFonts w:ascii="Arial" w:hAnsi="Arial" w:cs="Arial"/>
                <w:color w:val="000000"/>
                <w:sz w:val="18"/>
                <w:szCs w:val="18"/>
                <w:lang w:eastAsia="en-US"/>
              </w:rPr>
            </w:pPr>
          </w:p>
        </w:tc>
        <w:tc>
          <w:tcPr>
            <w:tcW w:w="960" w:type="dxa"/>
            <w:tcBorders>
              <w:top w:val="none" w:sz="0" w:space="0" w:color="auto"/>
              <w:bottom w:val="none" w:sz="0" w:space="0" w:color="auto"/>
            </w:tcBorders>
            <w:noWrap/>
            <w:hideMark/>
          </w:tcPr>
          <w:p w14:paraId="1F2D822A" w14:textId="77777777" w:rsidR="00940F54" w:rsidRPr="00940F54" w:rsidRDefault="00940F54" w:rsidP="00940F5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lang w:eastAsia="en-US"/>
              </w:rPr>
            </w:pPr>
            <w:r w:rsidRPr="00940F54">
              <w:rPr>
                <w:rFonts w:ascii="Arial" w:hAnsi="Arial" w:cs="Arial"/>
                <w:color w:val="000000"/>
                <w:sz w:val="18"/>
                <w:szCs w:val="18"/>
                <w:lang w:eastAsia="en-US"/>
              </w:rPr>
              <w:t>3</w:t>
            </w:r>
          </w:p>
        </w:tc>
        <w:tc>
          <w:tcPr>
            <w:tcW w:w="960" w:type="dxa"/>
            <w:tcBorders>
              <w:top w:val="none" w:sz="0" w:space="0" w:color="auto"/>
              <w:bottom w:val="none" w:sz="0" w:space="0" w:color="auto"/>
            </w:tcBorders>
            <w:noWrap/>
            <w:hideMark/>
          </w:tcPr>
          <w:p w14:paraId="2FE74912" w14:textId="77777777" w:rsidR="00940F54" w:rsidRPr="00940F54" w:rsidRDefault="00940F54" w:rsidP="00940F5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lang w:eastAsia="en-US"/>
              </w:rPr>
            </w:pPr>
            <w:r w:rsidRPr="00940F54">
              <w:rPr>
                <w:rFonts w:ascii="Arial" w:hAnsi="Arial" w:cs="Arial"/>
                <w:color w:val="000000"/>
                <w:sz w:val="18"/>
                <w:szCs w:val="18"/>
                <w:lang w:eastAsia="en-US"/>
              </w:rPr>
              <w:t>6</w:t>
            </w:r>
          </w:p>
        </w:tc>
        <w:tc>
          <w:tcPr>
            <w:tcW w:w="1079" w:type="dxa"/>
            <w:tcBorders>
              <w:top w:val="none" w:sz="0" w:space="0" w:color="auto"/>
              <w:bottom w:val="none" w:sz="0" w:space="0" w:color="auto"/>
              <w:right w:val="none" w:sz="0" w:space="0" w:color="auto"/>
            </w:tcBorders>
            <w:noWrap/>
            <w:hideMark/>
          </w:tcPr>
          <w:p w14:paraId="56EAF9C6" w14:textId="77777777" w:rsidR="00940F54" w:rsidRPr="00940F54" w:rsidRDefault="00940F54" w:rsidP="00940F5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lang w:eastAsia="en-US"/>
              </w:rPr>
            </w:pPr>
            <w:r w:rsidRPr="00940F54">
              <w:rPr>
                <w:rFonts w:ascii="Arial" w:hAnsi="Arial" w:cs="Arial"/>
                <w:color w:val="000000"/>
                <w:sz w:val="18"/>
                <w:szCs w:val="18"/>
                <w:lang w:eastAsia="en-US"/>
              </w:rPr>
              <w:t>1%</w:t>
            </w:r>
          </w:p>
        </w:tc>
      </w:tr>
    </w:tbl>
    <w:p w14:paraId="7E64AA9F" w14:textId="07DAC9B3" w:rsidR="00940F54" w:rsidRPr="00B9218B" w:rsidRDefault="00940F54" w:rsidP="003C5C54">
      <w:pPr>
        <w:pStyle w:val="Heading3"/>
      </w:pPr>
      <w:r w:rsidRPr="00B9218B">
        <w:t>Table 4: Number of services per patient since service listed 1 November 2014 to 31 December 2016</w:t>
      </w:r>
    </w:p>
    <w:tbl>
      <w:tblPr>
        <w:tblStyle w:val="LightList-Accent1"/>
        <w:tblW w:w="4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able 4 presents the number of services per patient since MBS item 18379 was listed from 1 November 2014 to 31 December 2016. There are three columns: 1) Number of services per patient, 2) Number of patients, 3) Percentage of patients. The rows are broken down according to the number of services, from 1 through to four-plus."/>
      </w:tblPr>
      <w:tblGrid>
        <w:gridCol w:w="1360"/>
        <w:gridCol w:w="1360"/>
        <w:gridCol w:w="1360"/>
      </w:tblGrid>
      <w:tr w:rsidR="00940F54" w:rsidRPr="00940F54" w14:paraId="62CEA274" w14:textId="77777777" w:rsidTr="000C7515">
        <w:trPr>
          <w:cnfStyle w:val="100000000000" w:firstRow="1" w:lastRow="0" w:firstColumn="0" w:lastColumn="0" w:oddVBand="0" w:evenVBand="0" w:oddHBand="0" w:evenHBand="0" w:firstRowFirstColumn="0" w:firstRowLastColumn="0" w:lastRowFirstColumn="0" w:lastRowLastColumn="0"/>
          <w:trHeight w:val="240"/>
          <w:tblHeader/>
        </w:trPr>
        <w:tc>
          <w:tcPr>
            <w:cnfStyle w:val="001000000000" w:firstRow="0" w:lastRow="0" w:firstColumn="1" w:lastColumn="0" w:oddVBand="0" w:evenVBand="0" w:oddHBand="0" w:evenHBand="0" w:firstRowFirstColumn="0" w:firstRowLastColumn="0" w:lastRowFirstColumn="0" w:lastRowLastColumn="0"/>
            <w:tcW w:w="1360" w:type="dxa"/>
            <w:hideMark/>
          </w:tcPr>
          <w:p w14:paraId="76F284A7" w14:textId="77777777" w:rsidR="00940F54" w:rsidRPr="00940F54" w:rsidRDefault="00940F54" w:rsidP="00940F54">
            <w:pPr>
              <w:jc w:val="center"/>
              <w:rPr>
                <w:rFonts w:ascii="Arial" w:hAnsi="Arial" w:cs="Arial"/>
                <w:b w:val="0"/>
                <w:bCs w:val="0"/>
                <w:color w:val="FFFFFF"/>
                <w:sz w:val="18"/>
                <w:szCs w:val="18"/>
                <w:lang w:eastAsia="en-US"/>
              </w:rPr>
            </w:pPr>
            <w:r w:rsidRPr="00940F54">
              <w:rPr>
                <w:rFonts w:ascii="Arial" w:hAnsi="Arial" w:cs="Arial"/>
                <w:color w:val="FFFFFF"/>
                <w:sz w:val="18"/>
                <w:szCs w:val="18"/>
                <w:lang w:eastAsia="en-US"/>
              </w:rPr>
              <w:t>Services per Patient</w:t>
            </w:r>
          </w:p>
        </w:tc>
        <w:tc>
          <w:tcPr>
            <w:tcW w:w="1360" w:type="dxa"/>
            <w:hideMark/>
          </w:tcPr>
          <w:p w14:paraId="50D7F447" w14:textId="77777777" w:rsidR="00940F54" w:rsidRPr="00940F54" w:rsidRDefault="00940F54" w:rsidP="00940F54">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sz w:val="18"/>
                <w:szCs w:val="18"/>
                <w:lang w:eastAsia="en-US"/>
              </w:rPr>
            </w:pPr>
            <w:r w:rsidRPr="00940F54">
              <w:rPr>
                <w:rFonts w:ascii="Arial" w:hAnsi="Arial" w:cs="Arial"/>
                <w:color w:val="FFFFFF"/>
                <w:sz w:val="18"/>
                <w:szCs w:val="18"/>
                <w:lang w:eastAsia="en-US"/>
              </w:rPr>
              <w:t>Count</w:t>
            </w:r>
          </w:p>
        </w:tc>
        <w:tc>
          <w:tcPr>
            <w:tcW w:w="1360" w:type="dxa"/>
            <w:hideMark/>
          </w:tcPr>
          <w:p w14:paraId="07C31A25" w14:textId="77777777" w:rsidR="00940F54" w:rsidRPr="00940F54" w:rsidRDefault="00940F54" w:rsidP="00940F54">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sz w:val="18"/>
                <w:szCs w:val="18"/>
                <w:lang w:eastAsia="en-US"/>
              </w:rPr>
            </w:pPr>
            <w:r w:rsidRPr="00940F54">
              <w:rPr>
                <w:rFonts w:ascii="Arial" w:hAnsi="Arial" w:cs="Arial"/>
                <w:color w:val="FFFFFF"/>
                <w:sz w:val="18"/>
                <w:szCs w:val="18"/>
                <w:lang w:eastAsia="en-US"/>
              </w:rPr>
              <w:t>Percentage</w:t>
            </w:r>
          </w:p>
        </w:tc>
      </w:tr>
      <w:tr w:rsidR="00940F54" w:rsidRPr="00940F54" w14:paraId="0FDEED6A" w14:textId="77777777" w:rsidTr="00A266CF">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1360" w:type="dxa"/>
            <w:tcBorders>
              <w:top w:val="none" w:sz="0" w:space="0" w:color="auto"/>
              <w:left w:val="none" w:sz="0" w:space="0" w:color="auto"/>
              <w:bottom w:val="none" w:sz="0" w:space="0" w:color="auto"/>
            </w:tcBorders>
            <w:noWrap/>
            <w:hideMark/>
          </w:tcPr>
          <w:p w14:paraId="2C3B3201" w14:textId="77777777" w:rsidR="00940F54" w:rsidRPr="00940F54" w:rsidRDefault="00940F54" w:rsidP="00940F54">
            <w:pPr>
              <w:rPr>
                <w:rFonts w:ascii="Arial" w:hAnsi="Arial" w:cs="Arial"/>
                <w:color w:val="000000"/>
                <w:sz w:val="18"/>
                <w:szCs w:val="18"/>
                <w:lang w:eastAsia="en-US"/>
              </w:rPr>
            </w:pPr>
            <w:r w:rsidRPr="00940F54">
              <w:rPr>
                <w:rFonts w:ascii="Arial" w:hAnsi="Arial" w:cs="Arial"/>
                <w:color w:val="000000"/>
                <w:sz w:val="18"/>
                <w:szCs w:val="18"/>
                <w:lang w:eastAsia="en-US"/>
              </w:rPr>
              <w:t>1</w:t>
            </w:r>
          </w:p>
        </w:tc>
        <w:tc>
          <w:tcPr>
            <w:tcW w:w="1360" w:type="dxa"/>
            <w:tcBorders>
              <w:top w:val="none" w:sz="0" w:space="0" w:color="auto"/>
              <w:bottom w:val="none" w:sz="0" w:space="0" w:color="auto"/>
            </w:tcBorders>
            <w:noWrap/>
            <w:hideMark/>
          </w:tcPr>
          <w:p w14:paraId="75FA1F7C" w14:textId="77777777" w:rsidR="00940F54" w:rsidRPr="00940F54" w:rsidRDefault="00940F54" w:rsidP="00940F5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lang w:eastAsia="en-US"/>
              </w:rPr>
            </w:pPr>
            <w:r w:rsidRPr="00940F54">
              <w:rPr>
                <w:rFonts w:ascii="Arial" w:hAnsi="Arial" w:cs="Arial"/>
                <w:color w:val="000000"/>
                <w:sz w:val="18"/>
                <w:szCs w:val="18"/>
                <w:lang w:eastAsia="en-US"/>
              </w:rPr>
              <w:t>859</w:t>
            </w:r>
          </w:p>
        </w:tc>
        <w:tc>
          <w:tcPr>
            <w:tcW w:w="1360" w:type="dxa"/>
            <w:tcBorders>
              <w:top w:val="none" w:sz="0" w:space="0" w:color="auto"/>
              <w:bottom w:val="none" w:sz="0" w:space="0" w:color="auto"/>
              <w:right w:val="none" w:sz="0" w:space="0" w:color="auto"/>
            </w:tcBorders>
            <w:noWrap/>
            <w:hideMark/>
          </w:tcPr>
          <w:p w14:paraId="1796D10F" w14:textId="77777777" w:rsidR="00940F54" w:rsidRPr="00940F54" w:rsidRDefault="00940F54" w:rsidP="00940F5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lang w:eastAsia="en-US"/>
              </w:rPr>
            </w:pPr>
            <w:r w:rsidRPr="00940F54">
              <w:rPr>
                <w:rFonts w:ascii="Arial" w:hAnsi="Arial" w:cs="Arial"/>
                <w:color w:val="000000"/>
                <w:sz w:val="18"/>
                <w:szCs w:val="18"/>
                <w:lang w:eastAsia="en-US"/>
              </w:rPr>
              <w:t>74%</w:t>
            </w:r>
          </w:p>
        </w:tc>
      </w:tr>
      <w:tr w:rsidR="00940F54" w:rsidRPr="00940F54" w14:paraId="169BC87B" w14:textId="77777777" w:rsidTr="00A266CF">
        <w:trPr>
          <w:trHeight w:val="240"/>
        </w:trPr>
        <w:tc>
          <w:tcPr>
            <w:cnfStyle w:val="001000000000" w:firstRow="0" w:lastRow="0" w:firstColumn="1" w:lastColumn="0" w:oddVBand="0" w:evenVBand="0" w:oddHBand="0" w:evenHBand="0" w:firstRowFirstColumn="0" w:firstRowLastColumn="0" w:lastRowFirstColumn="0" w:lastRowLastColumn="0"/>
            <w:tcW w:w="1360" w:type="dxa"/>
            <w:noWrap/>
            <w:hideMark/>
          </w:tcPr>
          <w:p w14:paraId="7646C17D" w14:textId="77777777" w:rsidR="00940F54" w:rsidRPr="00940F54" w:rsidRDefault="00940F54" w:rsidP="00940F54">
            <w:pPr>
              <w:rPr>
                <w:rFonts w:ascii="Arial" w:hAnsi="Arial" w:cs="Arial"/>
                <w:color w:val="000000"/>
                <w:sz w:val="18"/>
                <w:szCs w:val="18"/>
                <w:lang w:eastAsia="en-US"/>
              </w:rPr>
            </w:pPr>
            <w:r w:rsidRPr="00940F54">
              <w:rPr>
                <w:rFonts w:ascii="Arial" w:hAnsi="Arial" w:cs="Arial"/>
                <w:color w:val="000000"/>
                <w:sz w:val="18"/>
                <w:szCs w:val="18"/>
                <w:lang w:eastAsia="en-US"/>
              </w:rPr>
              <w:t>2</w:t>
            </w:r>
          </w:p>
        </w:tc>
        <w:tc>
          <w:tcPr>
            <w:tcW w:w="1360" w:type="dxa"/>
            <w:noWrap/>
            <w:hideMark/>
          </w:tcPr>
          <w:p w14:paraId="1379CB47" w14:textId="77777777" w:rsidR="00940F54" w:rsidRPr="00940F54" w:rsidRDefault="00940F54" w:rsidP="00940F5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en-US"/>
              </w:rPr>
            </w:pPr>
            <w:r w:rsidRPr="00940F54">
              <w:rPr>
                <w:rFonts w:ascii="Arial" w:hAnsi="Arial" w:cs="Arial"/>
                <w:color w:val="000000"/>
                <w:sz w:val="18"/>
                <w:szCs w:val="18"/>
                <w:lang w:eastAsia="en-US"/>
              </w:rPr>
              <w:t>214</w:t>
            </w:r>
          </w:p>
        </w:tc>
        <w:tc>
          <w:tcPr>
            <w:tcW w:w="1360" w:type="dxa"/>
            <w:noWrap/>
            <w:hideMark/>
          </w:tcPr>
          <w:p w14:paraId="427827CD" w14:textId="77777777" w:rsidR="00940F54" w:rsidRPr="00940F54" w:rsidRDefault="00940F54" w:rsidP="00940F5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en-US"/>
              </w:rPr>
            </w:pPr>
            <w:r w:rsidRPr="00940F54">
              <w:rPr>
                <w:rFonts w:ascii="Arial" w:hAnsi="Arial" w:cs="Arial"/>
                <w:color w:val="000000"/>
                <w:sz w:val="18"/>
                <w:szCs w:val="18"/>
                <w:lang w:eastAsia="en-US"/>
              </w:rPr>
              <w:t>18%</w:t>
            </w:r>
          </w:p>
        </w:tc>
      </w:tr>
      <w:tr w:rsidR="00940F54" w:rsidRPr="00940F54" w14:paraId="6C4266FD" w14:textId="77777777" w:rsidTr="00A266CF">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1360" w:type="dxa"/>
            <w:tcBorders>
              <w:top w:val="none" w:sz="0" w:space="0" w:color="auto"/>
              <w:left w:val="none" w:sz="0" w:space="0" w:color="auto"/>
              <w:bottom w:val="none" w:sz="0" w:space="0" w:color="auto"/>
            </w:tcBorders>
            <w:noWrap/>
            <w:hideMark/>
          </w:tcPr>
          <w:p w14:paraId="7166C476" w14:textId="77777777" w:rsidR="00940F54" w:rsidRPr="00940F54" w:rsidRDefault="00940F54" w:rsidP="00940F54">
            <w:pPr>
              <w:rPr>
                <w:rFonts w:ascii="Arial" w:hAnsi="Arial" w:cs="Arial"/>
                <w:color w:val="000000"/>
                <w:sz w:val="18"/>
                <w:szCs w:val="18"/>
                <w:lang w:eastAsia="en-US"/>
              </w:rPr>
            </w:pPr>
            <w:r w:rsidRPr="00940F54">
              <w:rPr>
                <w:rFonts w:ascii="Arial" w:hAnsi="Arial" w:cs="Arial"/>
                <w:color w:val="000000"/>
                <w:sz w:val="18"/>
                <w:szCs w:val="18"/>
                <w:lang w:eastAsia="en-US"/>
              </w:rPr>
              <w:t>3</w:t>
            </w:r>
          </w:p>
        </w:tc>
        <w:tc>
          <w:tcPr>
            <w:tcW w:w="1360" w:type="dxa"/>
            <w:tcBorders>
              <w:top w:val="none" w:sz="0" w:space="0" w:color="auto"/>
              <w:bottom w:val="none" w:sz="0" w:space="0" w:color="auto"/>
            </w:tcBorders>
            <w:noWrap/>
            <w:hideMark/>
          </w:tcPr>
          <w:p w14:paraId="0E8BE266" w14:textId="77777777" w:rsidR="00940F54" w:rsidRPr="00940F54" w:rsidRDefault="00940F54" w:rsidP="00940F5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lang w:eastAsia="en-US"/>
              </w:rPr>
            </w:pPr>
            <w:r w:rsidRPr="00940F54">
              <w:rPr>
                <w:rFonts w:ascii="Arial" w:hAnsi="Arial" w:cs="Arial"/>
                <w:color w:val="000000"/>
                <w:sz w:val="18"/>
                <w:szCs w:val="18"/>
                <w:lang w:eastAsia="en-US"/>
              </w:rPr>
              <w:t>62</w:t>
            </w:r>
          </w:p>
        </w:tc>
        <w:tc>
          <w:tcPr>
            <w:tcW w:w="1360" w:type="dxa"/>
            <w:tcBorders>
              <w:top w:val="none" w:sz="0" w:space="0" w:color="auto"/>
              <w:bottom w:val="none" w:sz="0" w:space="0" w:color="auto"/>
              <w:right w:val="none" w:sz="0" w:space="0" w:color="auto"/>
            </w:tcBorders>
            <w:noWrap/>
            <w:hideMark/>
          </w:tcPr>
          <w:p w14:paraId="27791C60" w14:textId="77777777" w:rsidR="00940F54" w:rsidRPr="00940F54" w:rsidRDefault="00940F54" w:rsidP="00940F5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lang w:eastAsia="en-US"/>
              </w:rPr>
            </w:pPr>
            <w:r w:rsidRPr="00940F54">
              <w:rPr>
                <w:rFonts w:ascii="Arial" w:hAnsi="Arial" w:cs="Arial"/>
                <w:color w:val="000000"/>
                <w:sz w:val="18"/>
                <w:szCs w:val="18"/>
                <w:lang w:eastAsia="en-US"/>
              </w:rPr>
              <w:t>5%</w:t>
            </w:r>
          </w:p>
        </w:tc>
      </w:tr>
      <w:tr w:rsidR="00940F54" w:rsidRPr="00940F54" w14:paraId="2AE07D81" w14:textId="77777777" w:rsidTr="00A266CF">
        <w:trPr>
          <w:trHeight w:val="240"/>
        </w:trPr>
        <w:tc>
          <w:tcPr>
            <w:cnfStyle w:val="001000000000" w:firstRow="0" w:lastRow="0" w:firstColumn="1" w:lastColumn="0" w:oddVBand="0" w:evenVBand="0" w:oddHBand="0" w:evenHBand="0" w:firstRowFirstColumn="0" w:firstRowLastColumn="0" w:lastRowFirstColumn="0" w:lastRowLastColumn="0"/>
            <w:tcW w:w="1360" w:type="dxa"/>
            <w:noWrap/>
            <w:hideMark/>
          </w:tcPr>
          <w:p w14:paraId="4A75E920" w14:textId="77777777" w:rsidR="00940F54" w:rsidRPr="00940F54" w:rsidRDefault="00940F54" w:rsidP="00940F54">
            <w:pPr>
              <w:rPr>
                <w:rFonts w:ascii="Arial" w:hAnsi="Arial" w:cs="Arial"/>
                <w:color w:val="000000"/>
                <w:sz w:val="18"/>
                <w:szCs w:val="18"/>
                <w:lang w:eastAsia="en-US"/>
              </w:rPr>
            </w:pPr>
            <w:r w:rsidRPr="00940F54">
              <w:rPr>
                <w:rFonts w:ascii="Arial" w:hAnsi="Arial" w:cs="Arial"/>
                <w:color w:val="000000"/>
                <w:sz w:val="18"/>
                <w:szCs w:val="18"/>
                <w:lang w:eastAsia="en-US"/>
              </w:rPr>
              <w:t>4+</w:t>
            </w:r>
          </w:p>
        </w:tc>
        <w:tc>
          <w:tcPr>
            <w:tcW w:w="1360" w:type="dxa"/>
            <w:noWrap/>
            <w:hideMark/>
          </w:tcPr>
          <w:p w14:paraId="287D5C26" w14:textId="77777777" w:rsidR="00940F54" w:rsidRPr="00940F54" w:rsidRDefault="00940F54" w:rsidP="00940F5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en-US"/>
              </w:rPr>
            </w:pPr>
            <w:r w:rsidRPr="00940F54">
              <w:rPr>
                <w:rFonts w:ascii="Arial" w:hAnsi="Arial" w:cs="Arial"/>
                <w:color w:val="000000"/>
                <w:sz w:val="18"/>
                <w:szCs w:val="18"/>
                <w:lang w:eastAsia="en-US"/>
              </w:rPr>
              <w:t>22</w:t>
            </w:r>
          </w:p>
        </w:tc>
        <w:tc>
          <w:tcPr>
            <w:tcW w:w="1360" w:type="dxa"/>
            <w:noWrap/>
            <w:hideMark/>
          </w:tcPr>
          <w:p w14:paraId="6C44EA61" w14:textId="77777777" w:rsidR="00940F54" w:rsidRPr="00940F54" w:rsidRDefault="00940F54" w:rsidP="00940F5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en-US"/>
              </w:rPr>
            </w:pPr>
            <w:r w:rsidRPr="00940F54">
              <w:rPr>
                <w:rFonts w:ascii="Arial" w:hAnsi="Arial" w:cs="Arial"/>
                <w:color w:val="000000"/>
                <w:sz w:val="18"/>
                <w:szCs w:val="18"/>
                <w:lang w:eastAsia="en-US"/>
              </w:rPr>
              <w:t>2%</w:t>
            </w:r>
          </w:p>
        </w:tc>
      </w:tr>
    </w:tbl>
    <w:p w14:paraId="013B97DB" w14:textId="2899805D" w:rsidR="00940F54" w:rsidRPr="00940F54" w:rsidRDefault="00940F54" w:rsidP="00940F54">
      <w:pPr>
        <w:spacing w:after="120"/>
        <w:rPr>
          <w:bCs/>
          <w:sz w:val="18"/>
          <w:szCs w:val="18"/>
          <w:lang w:eastAsia="en-US"/>
        </w:rPr>
      </w:pPr>
      <w:r w:rsidRPr="00940F54">
        <w:rPr>
          <w:bCs/>
          <w:sz w:val="18"/>
          <w:szCs w:val="18"/>
          <w:lang w:eastAsia="en-US"/>
        </w:rPr>
        <w:t>Source for tables 4-6: Department of Health</w:t>
      </w:r>
    </w:p>
    <w:p w14:paraId="487621EE" w14:textId="77777777" w:rsidR="00A37DC4" w:rsidRPr="00351691" w:rsidRDefault="00A37DC4" w:rsidP="00E70533">
      <w:pPr>
        <w:rPr>
          <w:sz w:val="4"/>
        </w:rPr>
      </w:pPr>
    </w:p>
    <w:p w14:paraId="051AD2C3" w14:textId="77777777" w:rsidR="00940F54" w:rsidRPr="007F17C7" w:rsidRDefault="00940F54" w:rsidP="00940F54">
      <w:pPr>
        <w:rPr>
          <w:rFonts w:asciiTheme="minorHAnsi" w:hAnsiTheme="minorHAnsi"/>
          <w:b/>
        </w:rPr>
      </w:pPr>
      <w:r w:rsidRPr="007F17C7">
        <w:rPr>
          <w:rFonts w:asciiTheme="minorHAnsi" w:hAnsiTheme="minorHAnsi"/>
          <w:b/>
        </w:rPr>
        <w:t>a)</w:t>
      </w:r>
    </w:p>
    <w:p w14:paraId="724FA510" w14:textId="77E3F8EF" w:rsidR="00940F54" w:rsidRDefault="00940F54" w:rsidP="00E70533">
      <w:r>
        <w:rPr>
          <w:noProof/>
        </w:rPr>
        <w:drawing>
          <wp:inline distT="0" distB="0" distL="0" distR="0" wp14:anchorId="7FD1DF6F" wp14:editId="3BFD85FF">
            <wp:extent cx="5272421" cy="2352675"/>
            <wp:effectExtent l="0" t="0" r="4445" b="0"/>
            <wp:docPr id="5" name="Picture 5" descr="Medicare Item 18379 processed from July 2014 to June 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icare Item 18379 processed from July 2014 to June 201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274310" cy="2353518"/>
                    </a:xfrm>
                    <a:prstGeom prst="rect">
                      <a:avLst/>
                    </a:prstGeom>
                    <a:noFill/>
                    <a:ln>
                      <a:noFill/>
                    </a:ln>
                  </pic:spPr>
                </pic:pic>
              </a:graphicData>
            </a:graphic>
          </wp:inline>
        </w:drawing>
      </w:r>
    </w:p>
    <w:p w14:paraId="39788326" w14:textId="77777777" w:rsidR="00940F54" w:rsidRPr="007F17C7" w:rsidRDefault="00940F54" w:rsidP="00940F54">
      <w:pPr>
        <w:rPr>
          <w:rFonts w:asciiTheme="minorHAnsi" w:hAnsiTheme="minorHAnsi"/>
          <w:b/>
        </w:rPr>
      </w:pPr>
      <w:r w:rsidRPr="007F17C7">
        <w:rPr>
          <w:rFonts w:asciiTheme="minorHAnsi" w:hAnsiTheme="minorHAnsi"/>
          <w:b/>
        </w:rPr>
        <w:t>b)</w:t>
      </w:r>
    </w:p>
    <w:p w14:paraId="2E6CC505" w14:textId="1DF28ED3" w:rsidR="00940F54" w:rsidRDefault="00940F54" w:rsidP="00E70533">
      <w:r>
        <w:rPr>
          <w:noProof/>
        </w:rPr>
        <w:drawing>
          <wp:inline distT="0" distB="0" distL="0" distR="0" wp14:anchorId="7D5DE80D" wp14:editId="4BC84B03">
            <wp:extent cx="5273938" cy="2333625"/>
            <wp:effectExtent l="0" t="0" r="3175" b="0"/>
            <wp:docPr id="6" name="Picture 6" descr="Medicare Item 18379 processed from July 2015 to June 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icare Item 18379 processed from July 2015 to June 201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274310" cy="2333790"/>
                    </a:xfrm>
                    <a:prstGeom prst="rect">
                      <a:avLst/>
                    </a:prstGeom>
                    <a:noFill/>
                    <a:ln>
                      <a:noFill/>
                    </a:ln>
                  </pic:spPr>
                </pic:pic>
              </a:graphicData>
            </a:graphic>
          </wp:inline>
        </w:drawing>
      </w:r>
    </w:p>
    <w:p w14:paraId="49712C89" w14:textId="77777777" w:rsidR="000C5151" w:rsidRDefault="000C5151" w:rsidP="00E70533">
      <w:pPr>
        <w:rPr>
          <w:rFonts w:asciiTheme="minorHAnsi" w:hAnsiTheme="minorHAnsi"/>
          <w:b/>
        </w:rPr>
        <w:sectPr w:rsidR="000C5151" w:rsidSect="009D3B47">
          <w:pgSz w:w="11906" w:h="16838"/>
          <w:pgMar w:top="1134" w:right="1440" w:bottom="426" w:left="1440" w:header="708" w:footer="158" w:gutter="0"/>
          <w:cols w:space="708"/>
          <w:docGrid w:linePitch="360"/>
        </w:sectPr>
      </w:pPr>
    </w:p>
    <w:p w14:paraId="1DCF26E9" w14:textId="1B0DF01A" w:rsidR="00940F54" w:rsidRDefault="00940F54" w:rsidP="00E70533">
      <w:r w:rsidRPr="007F17C7">
        <w:rPr>
          <w:rFonts w:asciiTheme="minorHAnsi" w:hAnsiTheme="minorHAnsi"/>
          <w:b/>
        </w:rPr>
        <w:lastRenderedPageBreak/>
        <w:t>c)</w:t>
      </w:r>
    </w:p>
    <w:p w14:paraId="4192643F" w14:textId="29720ED7" w:rsidR="00940F54" w:rsidRDefault="00940F54" w:rsidP="00E70533">
      <w:r>
        <w:rPr>
          <w:noProof/>
        </w:rPr>
        <w:drawing>
          <wp:inline distT="0" distB="0" distL="0" distR="0" wp14:anchorId="17B00E9F" wp14:editId="4F9928CF">
            <wp:extent cx="5267324" cy="2419350"/>
            <wp:effectExtent l="0" t="0" r="0" b="0"/>
            <wp:docPr id="11" name="Picture 11" descr="Medicare Item 18379 processed from July 2016 to March 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edicare Item 18379 processed from July 2016 to March 201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274310" cy="2422559"/>
                    </a:xfrm>
                    <a:prstGeom prst="rect">
                      <a:avLst/>
                    </a:prstGeom>
                    <a:noFill/>
                    <a:ln>
                      <a:noFill/>
                    </a:ln>
                  </pic:spPr>
                </pic:pic>
              </a:graphicData>
            </a:graphic>
          </wp:inline>
        </w:drawing>
      </w:r>
    </w:p>
    <w:p w14:paraId="4DF9B95D" w14:textId="1CFCAB87" w:rsidR="00940F54" w:rsidRPr="00B9218B" w:rsidRDefault="00940F54" w:rsidP="00B9218B">
      <w:pPr>
        <w:pStyle w:val="Heading3"/>
        <w:spacing w:before="0"/>
        <w:rPr>
          <w:sz w:val="20"/>
        </w:rPr>
      </w:pPr>
      <w:r w:rsidRPr="00B9218B">
        <w:rPr>
          <w:sz w:val="20"/>
        </w:rPr>
        <w:t xml:space="preserve">Figure </w:t>
      </w:r>
      <w:r w:rsidR="002D678D" w:rsidRPr="00B9218B">
        <w:rPr>
          <w:sz w:val="20"/>
        </w:rPr>
        <w:t>2</w:t>
      </w:r>
      <w:r w:rsidRPr="00B9218B">
        <w:rPr>
          <w:sz w:val="20"/>
        </w:rPr>
        <w:t>: Demographic profile for MBS item 18379 for 2014-15 (a), 2015-16 (b) and 2016-17 (c)</w:t>
      </w:r>
    </w:p>
    <w:p w14:paraId="0048F8EF" w14:textId="77777777" w:rsidR="00940F54" w:rsidRPr="004313A8" w:rsidRDefault="00940F54" w:rsidP="00940F54">
      <w:pPr>
        <w:rPr>
          <w:sz w:val="20"/>
        </w:rPr>
      </w:pPr>
      <w:r w:rsidRPr="004313A8">
        <w:rPr>
          <w:sz w:val="20"/>
        </w:rPr>
        <w:t xml:space="preserve">Source: Medicare Statistics Online </w:t>
      </w:r>
    </w:p>
    <w:p w14:paraId="0931C6C7" w14:textId="77777777" w:rsidR="00C10880" w:rsidRDefault="00C10880" w:rsidP="00AA446B">
      <w:pPr>
        <w:pStyle w:val="Heading2"/>
        <w:spacing w:before="240"/>
      </w:pPr>
      <w:r>
        <w:t>Practitioner breakdown</w:t>
      </w:r>
    </w:p>
    <w:p w14:paraId="75E90814" w14:textId="0175E63C" w:rsidR="00275470" w:rsidRDefault="00C10880" w:rsidP="003C5C54">
      <w:pPr>
        <w:spacing w:after="240"/>
        <w:rPr>
          <w:szCs w:val="24"/>
          <w:lang w:eastAsia="en-US"/>
        </w:rPr>
      </w:pPr>
      <w:r w:rsidRPr="00C10880">
        <w:rPr>
          <w:szCs w:val="24"/>
          <w:lang w:eastAsia="en-US"/>
        </w:rPr>
        <w:t>There has been a gradual increase in the number of practitioners providing services under item 18379</w:t>
      </w:r>
      <w:r>
        <w:rPr>
          <w:szCs w:val="24"/>
          <w:lang w:eastAsia="en-US"/>
        </w:rPr>
        <w:t xml:space="preserve">. </w:t>
      </w:r>
      <w:r w:rsidRPr="00C10880">
        <w:rPr>
          <w:szCs w:val="24"/>
          <w:lang w:eastAsia="en-US"/>
        </w:rPr>
        <w:t xml:space="preserve">There were 59 practitioners in 2015-16, increasing to 70 practitioners in 2016-17 (Table </w:t>
      </w:r>
      <w:r>
        <w:rPr>
          <w:szCs w:val="24"/>
          <w:lang w:eastAsia="en-US"/>
        </w:rPr>
        <w:t>5</w:t>
      </w:r>
      <w:r w:rsidRPr="00C10880">
        <w:rPr>
          <w:szCs w:val="24"/>
          <w:lang w:eastAsia="en-US"/>
        </w:rPr>
        <w:t xml:space="preserve">). About 25% of practitioners have provided close to 80% of all services (Table </w:t>
      </w:r>
      <w:r>
        <w:rPr>
          <w:szCs w:val="24"/>
          <w:lang w:eastAsia="en-US"/>
        </w:rPr>
        <w:t>6</w:t>
      </w:r>
      <w:r w:rsidRPr="00C10880">
        <w:rPr>
          <w:szCs w:val="24"/>
          <w:lang w:eastAsia="en-US"/>
        </w:rPr>
        <w:t xml:space="preserve">).  Close to 90% of services were provided by urology specialists (Table </w:t>
      </w:r>
      <w:r w:rsidR="001E556E">
        <w:rPr>
          <w:szCs w:val="24"/>
          <w:lang w:eastAsia="en-US"/>
        </w:rPr>
        <w:t>7</w:t>
      </w:r>
      <w:r w:rsidR="00275470">
        <w:rPr>
          <w:szCs w:val="24"/>
          <w:lang w:eastAsia="en-US"/>
        </w:rPr>
        <w:t>).</w:t>
      </w:r>
    </w:p>
    <w:p w14:paraId="3B9BF48A" w14:textId="08CB87AB" w:rsidR="00C10880" w:rsidRPr="00C10880" w:rsidRDefault="00C10880" w:rsidP="003C5C54">
      <w:pPr>
        <w:spacing w:after="240"/>
        <w:rPr>
          <w:szCs w:val="24"/>
          <w:lang w:eastAsia="en-US"/>
        </w:rPr>
      </w:pPr>
      <w:r w:rsidRPr="00C10880">
        <w:rPr>
          <w:szCs w:val="24"/>
          <w:lang w:eastAsia="en-US"/>
        </w:rPr>
        <w:t>While the item is restricted to urologists and urogynaecologists only, data indicates some services were being provided by specialists in obstetrics and gynaecology</w:t>
      </w:r>
      <w:r w:rsidR="000D5081">
        <w:rPr>
          <w:szCs w:val="24"/>
          <w:lang w:eastAsia="en-US"/>
        </w:rPr>
        <w:t xml:space="preserve">. </w:t>
      </w:r>
      <w:r w:rsidRPr="00C10880">
        <w:rPr>
          <w:szCs w:val="24"/>
          <w:lang w:eastAsia="en-US"/>
        </w:rPr>
        <w:t>However, given the data is based on provider billing behaviour (i.e. derived specialty as opposed to registered specialty), it is likely that these services were provided by urologists or urogynaecologists, but not classified as such in the data.</w:t>
      </w:r>
    </w:p>
    <w:p w14:paraId="69012646" w14:textId="32AD9190" w:rsidR="00C10880" w:rsidRPr="00B9218B" w:rsidRDefault="00C10880" w:rsidP="00B9218B">
      <w:pPr>
        <w:pStyle w:val="Heading3"/>
        <w:spacing w:before="0"/>
      </w:pPr>
      <w:r w:rsidRPr="00B9218B">
        <w:t>Table 5: Number of practitioners providing services under item 18379 in 2014-15 to 2016-17</w:t>
      </w:r>
    </w:p>
    <w:tbl>
      <w:tblPr>
        <w:tblStyle w:val="LightList-Accent1"/>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Table 5 presents the number of practitioners providing services under MBS item 18379 in the 2014-15, 2015-16 and 2016-17 financial years. The 2016-17 financial year only includes data to 31 December 2016. Each row contains the financial year, and there are four columns: 1) Financial year, 2) number of practitioners, 3) number of services, 4) average number of services per practitioner."/>
      </w:tblPr>
      <w:tblGrid>
        <w:gridCol w:w="2127"/>
        <w:gridCol w:w="1417"/>
        <w:gridCol w:w="1134"/>
        <w:gridCol w:w="1134"/>
      </w:tblGrid>
      <w:tr w:rsidR="00C10880" w:rsidRPr="00C10880" w14:paraId="7BE51386" w14:textId="77777777" w:rsidTr="000C7515">
        <w:trPr>
          <w:cnfStyle w:val="100000000000" w:firstRow="1" w:lastRow="0" w:firstColumn="0" w:lastColumn="0" w:oddVBand="0" w:evenVBand="0" w:oddHBand="0" w:evenHBand="0" w:firstRowFirstColumn="0" w:firstRowLastColumn="0" w:lastRowFirstColumn="0" w:lastRowLastColumn="0"/>
          <w:trHeight w:val="325"/>
          <w:tblHeader/>
        </w:trPr>
        <w:tc>
          <w:tcPr>
            <w:cnfStyle w:val="001000000000" w:firstRow="0" w:lastRow="0" w:firstColumn="1" w:lastColumn="0" w:oddVBand="0" w:evenVBand="0" w:oddHBand="0" w:evenHBand="0" w:firstRowFirstColumn="0" w:firstRowLastColumn="0" w:lastRowFirstColumn="0" w:lastRowLastColumn="0"/>
            <w:tcW w:w="2127" w:type="dxa"/>
          </w:tcPr>
          <w:p w14:paraId="6C264AF5" w14:textId="77777777" w:rsidR="00C10880" w:rsidRPr="00C10880" w:rsidRDefault="00C10880" w:rsidP="00C10880">
            <w:pPr>
              <w:jc w:val="center"/>
              <w:rPr>
                <w:rFonts w:ascii="Arial" w:hAnsi="Arial" w:cs="Arial"/>
                <w:b w:val="0"/>
                <w:bCs w:val="0"/>
                <w:color w:val="FFFFFF"/>
                <w:sz w:val="18"/>
                <w:szCs w:val="18"/>
                <w:lang w:eastAsia="en-US"/>
              </w:rPr>
            </w:pPr>
            <w:r w:rsidRPr="00C10880">
              <w:rPr>
                <w:rFonts w:ascii="Arial" w:hAnsi="Arial" w:cs="Arial"/>
                <w:b w:val="0"/>
                <w:bCs w:val="0"/>
                <w:color w:val="FFFFFF"/>
                <w:sz w:val="18"/>
                <w:szCs w:val="18"/>
                <w:lang w:eastAsia="en-US"/>
              </w:rPr>
              <w:t>Financial year</w:t>
            </w:r>
          </w:p>
        </w:tc>
        <w:tc>
          <w:tcPr>
            <w:tcW w:w="1417" w:type="dxa"/>
          </w:tcPr>
          <w:p w14:paraId="141678B1" w14:textId="77777777" w:rsidR="00C10880" w:rsidRPr="00C10880" w:rsidRDefault="00C10880" w:rsidP="00C10880">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sz w:val="18"/>
                <w:szCs w:val="18"/>
                <w:lang w:eastAsia="en-US"/>
              </w:rPr>
            </w:pPr>
            <w:r w:rsidRPr="00C10880">
              <w:rPr>
                <w:rFonts w:ascii="Arial" w:hAnsi="Arial" w:cs="Arial"/>
                <w:b w:val="0"/>
                <w:bCs w:val="0"/>
                <w:color w:val="FFFFFF"/>
                <w:sz w:val="18"/>
                <w:szCs w:val="18"/>
                <w:lang w:eastAsia="en-US"/>
              </w:rPr>
              <w:t>Practitioners</w:t>
            </w:r>
          </w:p>
        </w:tc>
        <w:tc>
          <w:tcPr>
            <w:tcW w:w="1134" w:type="dxa"/>
          </w:tcPr>
          <w:p w14:paraId="3D20D021" w14:textId="77777777" w:rsidR="00C10880" w:rsidRPr="00C10880" w:rsidRDefault="00C10880" w:rsidP="00C10880">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sz w:val="18"/>
                <w:szCs w:val="18"/>
                <w:lang w:eastAsia="en-US"/>
              </w:rPr>
            </w:pPr>
            <w:r w:rsidRPr="00C10880">
              <w:rPr>
                <w:rFonts w:ascii="Arial" w:hAnsi="Arial" w:cs="Arial"/>
                <w:b w:val="0"/>
                <w:bCs w:val="0"/>
                <w:color w:val="FFFFFF"/>
                <w:sz w:val="18"/>
                <w:szCs w:val="18"/>
                <w:lang w:eastAsia="en-US"/>
              </w:rPr>
              <w:t>Services</w:t>
            </w:r>
          </w:p>
        </w:tc>
        <w:tc>
          <w:tcPr>
            <w:tcW w:w="1134" w:type="dxa"/>
          </w:tcPr>
          <w:p w14:paraId="2EDD53D0" w14:textId="77777777" w:rsidR="00C10880" w:rsidRPr="00C10880" w:rsidRDefault="00C10880" w:rsidP="00C10880">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sz w:val="18"/>
                <w:szCs w:val="18"/>
                <w:lang w:eastAsia="en-US"/>
              </w:rPr>
            </w:pPr>
            <w:r w:rsidRPr="00C10880">
              <w:rPr>
                <w:rFonts w:ascii="Arial" w:hAnsi="Arial" w:cs="Arial"/>
                <w:b w:val="0"/>
                <w:bCs w:val="0"/>
                <w:color w:val="FFFFFF"/>
                <w:sz w:val="18"/>
                <w:szCs w:val="18"/>
                <w:lang w:eastAsia="en-US"/>
              </w:rPr>
              <w:t>Average</w:t>
            </w:r>
          </w:p>
        </w:tc>
      </w:tr>
      <w:tr w:rsidR="00C10880" w:rsidRPr="00C10880" w14:paraId="4D84EF7F" w14:textId="77777777" w:rsidTr="0016330C">
        <w:trPr>
          <w:cnfStyle w:val="000000100000" w:firstRow="0" w:lastRow="0" w:firstColumn="0" w:lastColumn="0" w:oddVBand="0" w:evenVBand="0" w:oddHBand="1" w:evenHBand="0" w:firstRowFirstColumn="0" w:firstRowLastColumn="0" w:lastRowFirstColumn="0" w:lastRowLastColumn="0"/>
          <w:trHeight w:val="193"/>
        </w:trPr>
        <w:tc>
          <w:tcPr>
            <w:cnfStyle w:val="001000000000" w:firstRow="0" w:lastRow="0" w:firstColumn="1" w:lastColumn="0" w:oddVBand="0" w:evenVBand="0" w:oddHBand="0" w:evenHBand="0" w:firstRowFirstColumn="0" w:firstRowLastColumn="0" w:lastRowFirstColumn="0" w:lastRowLastColumn="0"/>
            <w:tcW w:w="2127" w:type="dxa"/>
            <w:tcBorders>
              <w:top w:val="none" w:sz="0" w:space="0" w:color="auto"/>
              <w:left w:val="none" w:sz="0" w:space="0" w:color="auto"/>
              <w:bottom w:val="none" w:sz="0" w:space="0" w:color="auto"/>
            </w:tcBorders>
          </w:tcPr>
          <w:p w14:paraId="1E2AE807" w14:textId="77777777" w:rsidR="00C10880" w:rsidRPr="00C10880" w:rsidRDefault="00C10880" w:rsidP="009D3B47">
            <w:pPr>
              <w:rPr>
                <w:rFonts w:ascii="Arial" w:hAnsi="Arial" w:cs="Arial"/>
                <w:bCs w:val="0"/>
                <w:color w:val="000000"/>
                <w:sz w:val="18"/>
                <w:szCs w:val="18"/>
                <w:lang w:eastAsia="en-US"/>
              </w:rPr>
            </w:pPr>
            <w:r w:rsidRPr="00C10880">
              <w:rPr>
                <w:rFonts w:ascii="Arial" w:hAnsi="Arial" w:cs="Arial"/>
                <w:bCs w:val="0"/>
                <w:color w:val="000000"/>
                <w:sz w:val="18"/>
                <w:szCs w:val="18"/>
                <w:lang w:eastAsia="en-US"/>
              </w:rPr>
              <w:t>2014-15</w:t>
            </w:r>
          </w:p>
        </w:tc>
        <w:tc>
          <w:tcPr>
            <w:tcW w:w="1417" w:type="dxa"/>
            <w:tcBorders>
              <w:top w:val="none" w:sz="0" w:space="0" w:color="auto"/>
              <w:bottom w:val="none" w:sz="0" w:space="0" w:color="auto"/>
            </w:tcBorders>
          </w:tcPr>
          <w:p w14:paraId="6F14210B" w14:textId="77777777" w:rsidR="00C10880" w:rsidRPr="00C10880" w:rsidRDefault="00C10880" w:rsidP="00C1088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lang w:eastAsia="en-US"/>
              </w:rPr>
            </w:pPr>
            <w:r w:rsidRPr="00C10880">
              <w:rPr>
                <w:rFonts w:ascii="Arial" w:hAnsi="Arial" w:cs="Arial"/>
                <w:color w:val="000000"/>
                <w:sz w:val="18"/>
                <w:szCs w:val="18"/>
                <w:lang w:eastAsia="en-US"/>
              </w:rPr>
              <w:t>40</w:t>
            </w:r>
          </w:p>
        </w:tc>
        <w:tc>
          <w:tcPr>
            <w:tcW w:w="1134" w:type="dxa"/>
            <w:tcBorders>
              <w:top w:val="none" w:sz="0" w:space="0" w:color="auto"/>
              <w:bottom w:val="none" w:sz="0" w:space="0" w:color="auto"/>
            </w:tcBorders>
          </w:tcPr>
          <w:p w14:paraId="72448E4A" w14:textId="77777777" w:rsidR="00C10880" w:rsidRPr="00C10880" w:rsidRDefault="00C10880" w:rsidP="00C1088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lang w:eastAsia="en-US"/>
              </w:rPr>
            </w:pPr>
            <w:r w:rsidRPr="00C10880">
              <w:rPr>
                <w:rFonts w:ascii="Arial" w:hAnsi="Arial" w:cs="Arial"/>
                <w:color w:val="000000"/>
                <w:sz w:val="18"/>
                <w:szCs w:val="18"/>
                <w:lang w:eastAsia="en-US"/>
              </w:rPr>
              <w:t xml:space="preserve">309 </w:t>
            </w:r>
          </w:p>
        </w:tc>
        <w:tc>
          <w:tcPr>
            <w:tcW w:w="1134" w:type="dxa"/>
            <w:tcBorders>
              <w:top w:val="none" w:sz="0" w:space="0" w:color="auto"/>
              <w:bottom w:val="none" w:sz="0" w:space="0" w:color="auto"/>
              <w:right w:val="none" w:sz="0" w:space="0" w:color="auto"/>
            </w:tcBorders>
          </w:tcPr>
          <w:p w14:paraId="4B13B148" w14:textId="77777777" w:rsidR="00C10880" w:rsidRPr="00C10880" w:rsidRDefault="00C10880" w:rsidP="00C1088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lang w:eastAsia="en-US"/>
              </w:rPr>
            </w:pPr>
            <w:r w:rsidRPr="00C10880">
              <w:rPr>
                <w:rFonts w:ascii="Arial" w:hAnsi="Arial" w:cs="Arial"/>
                <w:color w:val="000000"/>
                <w:sz w:val="18"/>
                <w:szCs w:val="18"/>
                <w:lang w:eastAsia="en-US"/>
              </w:rPr>
              <w:t xml:space="preserve">7.7 </w:t>
            </w:r>
          </w:p>
        </w:tc>
      </w:tr>
      <w:tr w:rsidR="00C10880" w:rsidRPr="00C10880" w14:paraId="150584D8" w14:textId="77777777" w:rsidTr="0016330C">
        <w:trPr>
          <w:trHeight w:val="193"/>
        </w:trPr>
        <w:tc>
          <w:tcPr>
            <w:cnfStyle w:val="001000000000" w:firstRow="0" w:lastRow="0" w:firstColumn="1" w:lastColumn="0" w:oddVBand="0" w:evenVBand="0" w:oddHBand="0" w:evenHBand="0" w:firstRowFirstColumn="0" w:firstRowLastColumn="0" w:lastRowFirstColumn="0" w:lastRowLastColumn="0"/>
            <w:tcW w:w="2127" w:type="dxa"/>
          </w:tcPr>
          <w:p w14:paraId="7FE4BAE4" w14:textId="77777777" w:rsidR="00C10880" w:rsidRPr="00C10880" w:rsidRDefault="00C10880" w:rsidP="009D3B47">
            <w:pPr>
              <w:rPr>
                <w:rFonts w:ascii="Arial" w:hAnsi="Arial" w:cs="Arial"/>
                <w:bCs w:val="0"/>
                <w:color w:val="000000"/>
                <w:sz w:val="18"/>
                <w:szCs w:val="18"/>
                <w:lang w:eastAsia="en-US"/>
              </w:rPr>
            </w:pPr>
            <w:r w:rsidRPr="00C10880">
              <w:rPr>
                <w:rFonts w:ascii="Arial" w:hAnsi="Arial" w:cs="Arial"/>
                <w:bCs w:val="0"/>
                <w:color w:val="000000"/>
                <w:sz w:val="18"/>
                <w:szCs w:val="18"/>
                <w:lang w:eastAsia="en-US"/>
              </w:rPr>
              <w:t>2015-16</w:t>
            </w:r>
          </w:p>
        </w:tc>
        <w:tc>
          <w:tcPr>
            <w:tcW w:w="1417" w:type="dxa"/>
          </w:tcPr>
          <w:p w14:paraId="04E2C248" w14:textId="77777777" w:rsidR="00C10880" w:rsidRPr="00C10880" w:rsidRDefault="00C10880" w:rsidP="00C1088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highlight w:val="yellow"/>
                <w:lang w:eastAsia="en-US"/>
              </w:rPr>
            </w:pPr>
            <w:r w:rsidRPr="00C10880">
              <w:rPr>
                <w:rFonts w:ascii="Arial" w:hAnsi="Arial" w:cs="Arial"/>
                <w:color w:val="000000"/>
                <w:sz w:val="18"/>
                <w:szCs w:val="18"/>
                <w:lang w:eastAsia="en-US"/>
              </w:rPr>
              <w:t>59</w:t>
            </w:r>
          </w:p>
        </w:tc>
        <w:tc>
          <w:tcPr>
            <w:tcW w:w="1134" w:type="dxa"/>
          </w:tcPr>
          <w:p w14:paraId="0A43E49B" w14:textId="77777777" w:rsidR="00C10880" w:rsidRPr="00C10880" w:rsidRDefault="00C10880" w:rsidP="00C1088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en-US"/>
              </w:rPr>
            </w:pPr>
            <w:r w:rsidRPr="00C10880">
              <w:rPr>
                <w:rFonts w:ascii="Arial" w:hAnsi="Arial" w:cs="Arial"/>
                <w:color w:val="000000"/>
                <w:sz w:val="18"/>
                <w:szCs w:val="18"/>
                <w:lang w:eastAsia="en-US"/>
              </w:rPr>
              <w:t xml:space="preserve">718 </w:t>
            </w:r>
          </w:p>
        </w:tc>
        <w:tc>
          <w:tcPr>
            <w:tcW w:w="1134" w:type="dxa"/>
          </w:tcPr>
          <w:p w14:paraId="69A5B45F" w14:textId="77777777" w:rsidR="00C10880" w:rsidRPr="00C10880" w:rsidRDefault="00C10880" w:rsidP="00C1088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en-US"/>
              </w:rPr>
            </w:pPr>
            <w:r w:rsidRPr="00C10880">
              <w:rPr>
                <w:rFonts w:ascii="Arial" w:hAnsi="Arial" w:cs="Arial"/>
                <w:color w:val="000000"/>
                <w:sz w:val="18"/>
                <w:szCs w:val="18"/>
                <w:lang w:eastAsia="en-US"/>
              </w:rPr>
              <w:t xml:space="preserve">12.2 </w:t>
            </w:r>
          </w:p>
        </w:tc>
      </w:tr>
      <w:tr w:rsidR="00C10880" w:rsidRPr="00C10880" w14:paraId="7460E939" w14:textId="77777777" w:rsidTr="0016330C">
        <w:trPr>
          <w:cnfStyle w:val="000000100000" w:firstRow="0" w:lastRow="0" w:firstColumn="0" w:lastColumn="0" w:oddVBand="0" w:evenVBand="0" w:oddHBand="1" w:evenHBand="0" w:firstRowFirstColumn="0" w:firstRowLastColumn="0" w:lastRowFirstColumn="0" w:lastRowLastColumn="0"/>
          <w:trHeight w:val="193"/>
        </w:trPr>
        <w:tc>
          <w:tcPr>
            <w:cnfStyle w:val="001000000000" w:firstRow="0" w:lastRow="0" w:firstColumn="1" w:lastColumn="0" w:oddVBand="0" w:evenVBand="0" w:oddHBand="0" w:evenHBand="0" w:firstRowFirstColumn="0" w:firstRowLastColumn="0" w:lastRowFirstColumn="0" w:lastRowLastColumn="0"/>
            <w:tcW w:w="2127" w:type="dxa"/>
            <w:tcBorders>
              <w:top w:val="none" w:sz="0" w:space="0" w:color="auto"/>
              <w:left w:val="none" w:sz="0" w:space="0" w:color="auto"/>
              <w:bottom w:val="none" w:sz="0" w:space="0" w:color="auto"/>
            </w:tcBorders>
          </w:tcPr>
          <w:p w14:paraId="0FC60E44" w14:textId="77777777" w:rsidR="00C10880" w:rsidRPr="00C10880" w:rsidRDefault="00C10880" w:rsidP="009D3B47">
            <w:pPr>
              <w:ind w:right="-108"/>
              <w:rPr>
                <w:rFonts w:ascii="Arial" w:hAnsi="Arial" w:cs="Arial"/>
                <w:bCs w:val="0"/>
                <w:color w:val="000000"/>
                <w:sz w:val="18"/>
                <w:szCs w:val="18"/>
                <w:lang w:eastAsia="en-US"/>
              </w:rPr>
            </w:pPr>
            <w:r w:rsidRPr="00C10880">
              <w:rPr>
                <w:rFonts w:ascii="Arial" w:hAnsi="Arial" w:cs="Arial"/>
                <w:bCs w:val="0"/>
                <w:color w:val="000000"/>
                <w:sz w:val="18"/>
                <w:szCs w:val="18"/>
                <w:lang w:eastAsia="en-US"/>
              </w:rPr>
              <w:t>2016-17 (to 31 Dec 16)</w:t>
            </w:r>
          </w:p>
        </w:tc>
        <w:tc>
          <w:tcPr>
            <w:tcW w:w="1417" w:type="dxa"/>
            <w:tcBorders>
              <w:top w:val="none" w:sz="0" w:space="0" w:color="auto"/>
              <w:bottom w:val="none" w:sz="0" w:space="0" w:color="auto"/>
            </w:tcBorders>
          </w:tcPr>
          <w:p w14:paraId="3C1DF83B" w14:textId="77777777" w:rsidR="00C10880" w:rsidRPr="00C10880" w:rsidRDefault="00C10880" w:rsidP="00C1088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lang w:eastAsia="en-US"/>
              </w:rPr>
            </w:pPr>
            <w:r w:rsidRPr="00C10880">
              <w:rPr>
                <w:rFonts w:ascii="Arial" w:hAnsi="Arial" w:cs="Arial"/>
                <w:color w:val="000000"/>
                <w:sz w:val="18"/>
                <w:szCs w:val="18"/>
                <w:lang w:eastAsia="en-US"/>
              </w:rPr>
              <w:t>70</w:t>
            </w:r>
          </w:p>
        </w:tc>
        <w:tc>
          <w:tcPr>
            <w:tcW w:w="1134" w:type="dxa"/>
            <w:tcBorders>
              <w:top w:val="none" w:sz="0" w:space="0" w:color="auto"/>
              <w:bottom w:val="none" w:sz="0" w:space="0" w:color="auto"/>
            </w:tcBorders>
          </w:tcPr>
          <w:p w14:paraId="64C8CBBE" w14:textId="77777777" w:rsidR="00C10880" w:rsidRPr="00C10880" w:rsidRDefault="00C10880" w:rsidP="00C1088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lang w:eastAsia="en-US"/>
              </w:rPr>
            </w:pPr>
            <w:r w:rsidRPr="00C10880">
              <w:rPr>
                <w:rFonts w:ascii="Arial" w:hAnsi="Arial" w:cs="Arial"/>
                <w:color w:val="000000"/>
                <w:sz w:val="18"/>
                <w:szCs w:val="18"/>
                <w:lang w:eastAsia="en-US"/>
              </w:rPr>
              <w:t xml:space="preserve">542 </w:t>
            </w:r>
          </w:p>
        </w:tc>
        <w:tc>
          <w:tcPr>
            <w:tcW w:w="1134" w:type="dxa"/>
            <w:tcBorders>
              <w:top w:val="none" w:sz="0" w:space="0" w:color="auto"/>
              <w:bottom w:val="none" w:sz="0" w:space="0" w:color="auto"/>
              <w:right w:val="none" w:sz="0" w:space="0" w:color="auto"/>
            </w:tcBorders>
          </w:tcPr>
          <w:p w14:paraId="063D2FD6" w14:textId="77777777" w:rsidR="00C10880" w:rsidRPr="00C10880" w:rsidRDefault="00C10880" w:rsidP="00C1088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lang w:eastAsia="en-US"/>
              </w:rPr>
            </w:pPr>
            <w:r w:rsidRPr="00C10880">
              <w:rPr>
                <w:rFonts w:ascii="Arial" w:hAnsi="Arial" w:cs="Arial"/>
                <w:color w:val="000000"/>
                <w:sz w:val="18"/>
                <w:szCs w:val="18"/>
                <w:lang w:eastAsia="en-US"/>
              </w:rPr>
              <w:t xml:space="preserve">7.7 </w:t>
            </w:r>
          </w:p>
        </w:tc>
      </w:tr>
      <w:tr w:rsidR="00C10880" w:rsidRPr="00C10880" w14:paraId="1DD6E4D1" w14:textId="77777777" w:rsidTr="0016330C">
        <w:trPr>
          <w:trHeight w:val="193"/>
        </w:trPr>
        <w:tc>
          <w:tcPr>
            <w:cnfStyle w:val="001000000000" w:firstRow="0" w:lastRow="0" w:firstColumn="1" w:lastColumn="0" w:oddVBand="0" w:evenVBand="0" w:oddHBand="0" w:evenHBand="0" w:firstRowFirstColumn="0" w:firstRowLastColumn="0" w:lastRowFirstColumn="0" w:lastRowLastColumn="0"/>
            <w:tcW w:w="2127" w:type="dxa"/>
          </w:tcPr>
          <w:p w14:paraId="44E030A9" w14:textId="77777777" w:rsidR="00C10880" w:rsidRPr="00C10880" w:rsidRDefault="00C10880" w:rsidP="009D3B47">
            <w:pPr>
              <w:rPr>
                <w:rFonts w:ascii="Arial" w:hAnsi="Arial" w:cs="Arial"/>
                <w:bCs w:val="0"/>
                <w:color w:val="000000"/>
                <w:sz w:val="18"/>
                <w:szCs w:val="18"/>
                <w:lang w:eastAsia="en-US"/>
              </w:rPr>
            </w:pPr>
            <w:r w:rsidRPr="00C10880">
              <w:rPr>
                <w:rFonts w:ascii="Arial" w:hAnsi="Arial" w:cs="Arial"/>
                <w:bCs w:val="0"/>
                <w:color w:val="000000"/>
                <w:sz w:val="18"/>
                <w:szCs w:val="18"/>
                <w:lang w:eastAsia="en-US"/>
              </w:rPr>
              <w:t>All Years</w:t>
            </w:r>
          </w:p>
        </w:tc>
        <w:tc>
          <w:tcPr>
            <w:tcW w:w="1417" w:type="dxa"/>
          </w:tcPr>
          <w:p w14:paraId="67B78E19" w14:textId="77777777" w:rsidR="00C10880" w:rsidRPr="00C10880" w:rsidRDefault="00C10880" w:rsidP="00C1088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en-US"/>
              </w:rPr>
            </w:pPr>
            <w:r w:rsidRPr="00C10880">
              <w:rPr>
                <w:rFonts w:ascii="Arial" w:hAnsi="Arial" w:cs="Arial"/>
                <w:color w:val="000000"/>
                <w:sz w:val="18"/>
                <w:szCs w:val="18"/>
                <w:lang w:eastAsia="en-US"/>
              </w:rPr>
              <w:t>89</w:t>
            </w:r>
          </w:p>
        </w:tc>
        <w:tc>
          <w:tcPr>
            <w:tcW w:w="1134" w:type="dxa"/>
          </w:tcPr>
          <w:p w14:paraId="07D33299" w14:textId="77777777" w:rsidR="00C10880" w:rsidRPr="00C10880" w:rsidRDefault="00C10880" w:rsidP="00C1088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en-US"/>
              </w:rPr>
            </w:pPr>
            <w:r w:rsidRPr="00C10880">
              <w:rPr>
                <w:rFonts w:ascii="Arial" w:hAnsi="Arial" w:cs="Arial"/>
                <w:color w:val="000000"/>
                <w:sz w:val="18"/>
                <w:szCs w:val="18"/>
                <w:lang w:eastAsia="en-US"/>
              </w:rPr>
              <w:t xml:space="preserve">1,569 </w:t>
            </w:r>
          </w:p>
        </w:tc>
        <w:tc>
          <w:tcPr>
            <w:tcW w:w="1134" w:type="dxa"/>
          </w:tcPr>
          <w:p w14:paraId="4C48BF12" w14:textId="77777777" w:rsidR="00C10880" w:rsidRPr="00C10880" w:rsidRDefault="00C10880" w:rsidP="00C1088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en-US"/>
              </w:rPr>
            </w:pPr>
            <w:r w:rsidRPr="00C10880">
              <w:rPr>
                <w:rFonts w:ascii="Arial" w:hAnsi="Arial" w:cs="Arial"/>
                <w:color w:val="000000"/>
                <w:sz w:val="18"/>
                <w:szCs w:val="18"/>
                <w:lang w:eastAsia="en-US"/>
              </w:rPr>
              <w:t xml:space="preserve">17.6 </w:t>
            </w:r>
          </w:p>
        </w:tc>
      </w:tr>
    </w:tbl>
    <w:p w14:paraId="33E7CA74" w14:textId="03929D26" w:rsidR="00C10880" w:rsidRPr="00C83F0C" w:rsidRDefault="00C10880" w:rsidP="003C5C54">
      <w:pPr>
        <w:spacing w:before="240"/>
        <w:rPr>
          <w:b/>
          <w:sz w:val="18"/>
          <w:szCs w:val="18"/>
        </w:rPr>
      </w:pPr>
      <w:r w:rsidRPr="00C83F0C">
        <w:rPr>
          <w:b/>
          <w:sz w:val="18"/>
          <w:szCs w:val="18"/>
        </w:rPr>
        <w:t xml:space="preserve">Table 6: Cumulative percentage of medical practitioners providing item 18379 and how </w:t>
      </w:r>
      <w:r w:rsidR="001D7AED" w:rsidRPr="00C83F0C">
        <w:rPr>
          <w:b/>
          <w:sz w:val="18"/>
          <w:szCs w:val="18"/>
        </w:rPr>
        <w:t xml:space="preserve">many services each </w:t>
      </w:r>
      <w:r w:rsidRPr="00C83F0C">
        <w:rPr>
          <w:b/>
          <w:sz w:val="18"/>
          <w:szCs w:val="18"/>
        </w:rPr>
        <w:t>percentile accounts for in 2014-15 to 2016-17</w:t>
      </w:r>
    </w:p>
    <w:tbl>
      <w:tblPr>
        <w:tblStyle w:val="LightList-Accent1"/>
        <w:tblW w:w="56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able 6 presents the cumulative percentage of medical practitioners providing item 18379 and how many services each percentile accounts for in 2014-15, 2015-16 and 2016-17. The 2016-17 financial year only includes data to 31 December 2016. The financial years are split into each column and the cumulative percentage of medical practitioners is split into forteen rows - one row each for 10, 20, 25, 30, 40, 50, 60, 70, 75, 80, 90 and 99%."/>
      </w:tblPr>
      <w:tblGrid>
        <w:gridCol w:w="1433"/>
        <w:gridCol w:w="992"/>
        <w:gridCol w:w="965"/>
        <w:gridCol w:w="1161"/>
        <w:gridCol w:w="1134"/>
      </w:tblGrid>
      <w:tr w:rsidR="00C10880" w:rsidRPr="00C10880" w14:paraId="18BF96F0" w14:textId="77777777" w:rsidTr="000C7515">
        <w:trPr>
          <w:cnfStyle w:val="100000000000" w:firstRow="1" w:lastRow="0" w:firstColumn="0" w:lastColumn="0" w:oddVBand="0" w:evenVBand="0" w:oddHBand="0" w:evenHBand="0" w:firstRowFirstColumn="0" w:firstRowLastColumn="0" w:lastRowFirstColumn="0" w:lastRowLastColumn="0"/>
          <w:trHeight w:val="675"/>
          <w:tblHeader/>
        </w:trPr>
        <w:tc>
          <w:tcPr>
            <w:cnfStyle w:val="001000000000" w:firstRow="0" w:lastRow="0" w:firstColumn="1" w:lastColumn="0" w:oddVBand="0" w:evenVBand="0" w:oddHBand="0" w:evenHBand="0" w:firstRowFirstColumn="0" w:firstRowLastColumn="0" w:lastRowFirstColumn="0" w:lastRowLastColumn="0"/>
            <w:tcW w:w="1433" w:type="dxa"/>
            <w:hideMark/>
          </w:tcPr>
          <w:p w14:paraId="5E4E83E7" w14:textId="77777777" w:rsidR="00C10880" w:rsidRPr="00C10880" w:rsidRDefault="00C10880" w:rsidP="00C10880">
            <w:pPr>
              <w:jc w:val="center"/>
              <w:rPr>
                <w:rFonts w:ascii="Arial" w:hAnsi="Arial" w:cs="Arial"/>
                <w:b w:val="0"/>
                <w:bCs w:val="0"/>
                <w:color w:val="FFFFFF"/>
                <w:sz w:val="18"/>
                <w:szCs w:val="18"/>
                <w:lang w:eastAsia="en-US"/>
              </w:rPr>
            </w:pPr>
            <w:r w:rsidRPr="00C10880">
              <w:rPr>
                <w:rFonts w:ascii="Arial" w:hAnsi="Arial" w:cs="Arial"/>
                <w:b w:val="0"/>
                <w:bCs w:val="0"/>
                <w:color w:val="FFFFFF"/>
                <w:sz w:val="18"/>
                <w:szCs w:val="18"/>
                <w:lang w:eastAsia="en-US"/>
              </w:rPr>
              <w:t>Provider Cumulative %</w:t>
            </w:r>
          </w:p>
        </w:tc>
        <w:tc>
          <w:tcPr>
            <w:tcW w:w="992" w:type="dxa"/>
            <w:hideMark/>
          </w:tcPr>
          <w:p w14:paraId="052724DD" w14:textId="77777777" w:rsidR="00C10880" w:rsidRPr="00C10880" w:rsidRDefault="00C10880" w:rsidP="00C10880">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sz w:val="18"/>
                <w:szCs w:val="18"/>
                <w:lang w:eastAsia="en-US"/>
              </w:rPr>
            </w:pPr>
            <w:r w:rsidRPr="00C10880">
              <w:rPr>
                <w:rFonts w:ascii="Arial" w:hAnsi="Arial" w:cs="Arial"/>
                <w:b w:val="0"/>
                <w:bCs w:val="0"/>
                <w:color w:val="FFFFFF"/>
                <w:sz w:val="18"/>
                <w:szCs w:val="18"/>
                <w:lang w:eastAsia="en-US"/>
              </w:rPr>
              <w:t>2014-15</w:t>
            </w:r>
          </w:p>
        </w:tc>
        <w:tc>
          <w:tcPr>
            <w:tcW w:w="965" w:type="dxa"/>
            <w:hideMark/>
          </w:tcPr>
          <w:p w14:paraId="49BDF3FF" w14:textId="77777777" w:rsidR="00C10880" w:rsidRPr="00C10880" w:rsidRDefault="00C10880" w:rsidP="00C10880">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sz w:val="18"/>
                <w:szCs w:val="18"/>
                <w:lang w:eastAsia="en-US"/>
              </w:rPr>
            </w:pPr>
            <w:r w:rsidRPr="00C10880">
              <w:rPr>
                <w:rFonts w:ascii="Arial" w:hAnsi="Arial" w:cs="Arial"/>
                <w:b w:val="0"/>
                <w:bCs w:val="0"/>
                <w:color w:val="FFFFFF"/>
                <w:sz w:val="18"/>
                <w:szCs w:val="18"/>
                <w:lang w:eastAsia="en-US"/>
              </w:rPr>
              <w:t>2015-16</w:t>
            </w:r>
          </w:p>
        </w:tc>
        <w:tc>
          <w:tcPr>
            <w:tcW w:w="1161" w:type="dxa"/>
            <w:hideMark/>
          </w:tcPr>
          <w:p w14:paraId="174662F1" w14:textId="77777777" w:rsidR="00C10880" w:rsidRPr="00C10880" w:rsidRDefault="00C10880" w:rsidP="00C10880">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sz w:val="18"/>
                <w:szCs w:val="18"/>
                <w:lang w:eastAsia="en-US"/>
              </w:rPr>
            </w:pPr>
            <w:r w:rsidRPr="00C10880">
              <w:rPr>
                <w:rFonts w:ascii="Arial" w:hAnsi="Arial" w:cs="Arial"/>
                <w:b w:val="0"/>
                <w:bCs w:val="0"/>
                <w:color w:val="FFFFFF"/>
                <w:sz w:val="18"/>
                <w:szCs w:val="18"/>
                <w:lang w:eastAsia="en-US"/>
              </w:rPr>
              <w:t>2016-17 (to 31 Dec 16)</w:t>
            </w:r>
          </w:p>
        </w:tc>
        <w:tc>
          <w:tcPr>
            <w:tcW w:w="1134" w:type="dxa"/>
            <w:hideMark/>
          </w:tcPr>
          <w:p w14:paraId="024E8136" w14:textId="77777777" w:rsidR="00C10880" w:rsidRPr="00C10880" w:rsidRDefault="00C10880" w:rsidP="00C10880">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sz w:val="18"/>
                <w:szCs w:val="18"/>
                <w:lang w:eastAsia="en-US"/>
              </w:rPr>
            </w:pPr>
            <w:r w:rsidRPr="00C10880">
              <w:rPr>
                <w:rFonts w:ascii="Arial" w:hAnsi="Arial" w:cs="Arial"/>
                <w:b w:val="0"/>
                <w:bCs w:val="0"/>
                <w:color w:val="FFFFFF"/>
                <w:sz w:val="18"/>
                <w:szCs w:val="18"/>
                <w:lang w:eastAsia="en-US"/>
              </w:rPr>
              <w:t>All Years</w:t>
            </w:r>
          </w:p>
        </w:tc>
      </w:tr>
      <w:tr w:rsidR="00C10880" w:rsidRPr="00C10880" w14:paraId="565BC122" w14:textId="77777777" w:rsidTr="0016330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33" w:type="dxa"/>
            <w:tcBorders>
              <w:top w:val="none" w:sz="0" w:space="0" w:color="auto"/>
              <w:left w:val="none" w:sz="0" w:space="0" w:color="auto"/>
              <w:bottom w:val="none" w:sz="0" w:space="0" w:color="auto"/>
            </w:tcBorders>
            <w:noWrap/>
            <w:hideMark/>
          </w:tcPr>
          <w:p w14:paraId="4CF45745" w14:textId="77777777" w:rsidR="00C10880" w:rsidRPr="00C10880" w:rsidRDefault="00C10880" w:rsidP="00C10880">
            <w:pPr>
              <w:jc w:val="right"/>
              <w:rPr>
                <w:rFonts w:ascii="Arial" w:hAnsi="Arial" w:cs="Arial"/>
                <w:color w:val="000000"/>
                <w:sz w:val="18"/>
                <w:szCs w:val="18"/>
                <w:lang w:eastAsia="en-US"/>
              </w:rPr>
            </w:pPr>
            <w:r w:rsidRPr="00C10880">
              <w:rPr>
                <w:rFonts w:ascii="Arial" w:hAnsi="Arial" w:cs="Arial"/>
                <w:color w:val="000000"/>
                <w:sz w:val="18"/>
                <w:szCs w:val="18"/>
                <w:lang w:eastAsia="en-US"/>
              </w:rPr>
              <w:t>10%</w:t>
            </w:r>
          </w:p>
        </w:tc>
        <w:tc>
          <w:tcPr>
            <w:tcW w:w="992" w:type="dxa"/>
            <w:tcBorders>
              <w:top w:val="none" w:sz="0" w:space="0" w:color="auto"/>
              <w:bottom w:val="none" w:sz="0" w:space="0" w:color="auto"/>
            </w:tcBorders>
            <w:noWrap/>
            <w:hideMark/>
          </w:tcPr>
          <w:p w14:paraId="54C4C22A" w14:textId="77777777" w:rsidR="00C10880" w:rsidRPr="00C10880" w:rsidRDefault="00C10880" w:rsidP="00C1088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lang w:eastAsia="en-US"/>
              </w:rPr>
            </w:pPr>
            <w:r w:rsidRPr="00C10880">
              <w:rPr>
                <w:rFonts w:ascii="Arial" w:hAnsi="Arial" w:cs="Arial"/>
                <w:color w:val="000000"/>
                <w:sz w:val="18"/>
                <w:szCs w:val="18"/>
                <w:lang w:eastAsia="en-US"/>
              </w:rPr>
              <w:t xml:space="preserve">45.3 </w:t>
            </w:r>
          </w:p>
        </w:tc>
        <w:tc>
          <w:tcPr>
            <w:tcW w:w="965" w:type="dxa"/>
            <w:tcBorders>
              <w:top w:val="none" w:sz="0" w:space="0" w:color="auto"/>
              <w:bottom w:val="none" w:sz="0" w:space="0" w:color="auto"/>
            </w:tcBorders>
            <w:noWrap/>
            <w:hideMark/>
          </w:tcPr>
          <w:p w14:paraId="1B59A5C5" w14:textId="77777777" w:rsidR="00C10880" w:rsidRPr="00C10880" w:rsidRDefault="00C10880" w:rsidP="00C1088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lang w:eastAsia="en-US"/>
              </w:rPr>
            </w:pPr>
            <w:r w:rsidRPr="00C10880">
              <w:rPr>
                <w:rFonts w:ascii="Arial" w:hAnsi="Arial" w:cs="Arial"/>
                <w:color w:val="000000"/>
                <w:sz w:val="18"/>
                <w:szCs w:val="18"/>
                <w:lang w:eastAsia="en-US"/>
              </w:rPr>
              <w:t xml:space="preserve">46.9 </w:t>
            </w:r>
          </w:p>
        </w:tc>
        <w:tc>
          <w:tcPr>
            <w:tcW w:w="1161" w:type="dxa"/>
            <w:tcBorders>
              <w:top w:val="none" w:sz="0" w:space="0" w:color="auto"/>
              <w:bottom w:val="none" w:sz="0" w:space="0" w:color="auto"/>
            </w:tcBorders>
            <w:noWrap/>
            <w:hideMark/>
          </w:tcPr>
          <w:p w14:paraId="5939283E" w14:textId="77777777" w:rsidR="00C10880" w:rsidRPr="00C10880" w:rsidRDefault="00C10880" w:rsidP="00C1088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lang w:eastAsia="en-US"/>
              </w:rPr>
            </w:pPr>
            <w:r w:rsidRPr="00C10880">
              <w:rPr>
                <w:rFonts w:ascii="Arial" w:hAnsi="Arial" w:cs="Arial"/>
                <w:color w:val="000000"/>
                <w:sz w:val="18"/>
                <w:szCs w:val="18"/>
                <w:lang w:eastAsia="en-US"/>
              </w:rPr>
              <w:t xml:space="preserve">45.0 </w:t>
            </w:r>
          </w:p>
        </w:tc>
        <w:tc>
          <w:tcPr>
            <w:tcW w:w="1134" w:type="dxa"/>
            <w:tcBorders>
              <w:top w:val="none" w:sz="0" w:space="0" w:color="auto"/>
              <w:bottom w:val="none" w:sz="0" w:space="0" w:color="auto"/>
              <w:right w:val="none" w:sz="0" w:space="0" w:color="auto"/>
            </w:tcBorders>
            <w:noWrap/>
            <w:hideMark/>
          </w:tcPr>
          <w:p w14:paraId="00C9BCC7" w14:textId="77777777" w:rsidR="00C10880" w:rsidRPr="00C10880" w:rsidRDefault="00C10880" w:rsidP="00C1088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lang w:eastAsia="en-US"/>
              </w:rPr>
            </w:pPr>
            <w:r w:rsidRPr="00C10880">
              <w:rPr>
                <w:rFonts w:ascii="Arial" w:hAnsi="Arial" w:cs="Arial"/>
                <w:color w:val="000000"/>
                <w:sz w:val="18"/>
                <w:szCs w:val="18"/>
                <w:lang w:eastAsia="en-US"/>
              </w:rPr>
              <w:t xml:space="preserve">53.3 </w:t>
            </w:r>
          </w:p>
        </w:tc>
      </w:tr>
      <w:tr w:rsidR="00C10880" w:rsidRPr="00C10880" w14:paraId="66B5A9A6" w14:textId="77777777" w:rsidTr="0016330C">
        <w:trPr>
          <w:trHeight w:val="300"/>
        </w:trPr>
        <w:tc>
          <w:tcPr>
            <w:cnfStyle w:val="001000000000" w:firstRow="0" w:lastRow="0" w:firstColumn="1" w:lastColumn="0" w:oddVBand="0" w:evenVBand="0" w:oddHBand="0" w:evenHBand="0" w:firstRowFirstColumn="0" w:firstRowLastColumn="0" w:lastRowFirstColumn="0" w:lastRowLastColumn="0"/>
            <w:tcW w:w="1433" w:type="dxa"/>
            <w:noWrap/>
            <w:hideMark/>
          </w:tcPr>
          <w:p w14:paraId="190D20F4" w14:textId="77777777" w:rsidR="00C10880" w:rsidRPr="00C10880" w:rsidRDefault="00C10880" w:rsidP="00C10880">
            <w:pPr>
              <w:jc w:val="right"/>
              <w:rPr>
                <w:rFonts w:ascii="Arial" w:hAnsi="Arial" w:cs="Arial"/>
                <w:color w:val="000000"/>
                <w:sz w:val="18"/>
                <w:szCs w:val="18"/>
                <w:lang w:eastAsia="en-US"/>
              </w:rPr>
            </w:pPr>
            <w:r w:rsidRPr="00C10880">
              <w:rPr>
                <w:rFonts w:ascii="Arial" w:hAnsi="Arial" w:cs="Arial"/>
                <w:color w:val="000000"/>
                <w:sz w:val="18"/>
                <w:szCs w:val="18"/>
                <w:lang w:eastAsia="en-US"/>
              </w:rPr>
              <w:t>20%</w:t>
            </w:r>
          </w:p>
        </w:tc>
        <w:tc>
          <w:tcPr>
            <w:tcW w:w="992" w:type="dxa"/>
            <w:noWrap/>
            <w:hideMark/>
          </w:tcPr>
          <w:p w14:paraId="27B5E94A" w14:textId="77777777" w:rsidR="00C10880" w:rsidRPr="00C10880" w:rsidRDefault="00C10880" w:rsidP="00C1088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en-US"/>
              </w:rPr>
            </w:pPr>
            <w:r w:rsidRPr="00C10880">
              <w:rPr>
                <w:rFonts w:ascii="Arial" w:hAnsi="Arial" w:cs="Arial"/>
                <w:color w:val="000000"/>
                <w:sz w:val="18"/>
                <w:szCs w:val="18"/>
                <w:lang w:eastAsia="en-US"/>
              </w:rPr>
              <w:t xml:space="preserve">63.4 </w:t>
            </w:r>
          </w:p>
        </w:tc>
        <w:tc>
          <w:tcPr>
            <w:tcW w:w="965" w:type="dxa"/>
            <w:noWrap/>
            <w:hideMark/>
          </w:tcPr>
          <w:p w14:paraId="08C37BA7" w14:textId="77777777" w:rsidR="00C10880" w:rsidRPr="00C10880" w:rsidRDefault="00C10880" w:rsidP="00C1088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en-US"/>
              </w:rPr>
            </w:pPr>
            <w:r w:rsidRPr="00C10880">
              <w:rPr>
                <w:rFonts w:ascii="Arial" w:hAnsi="Arial" w:cs="Arial"/>
                <w:color w:val="000000"/>
                <w:sz w:val="18"/>
                <w:szCs w:val="18"/>
                <w:lang w:eastAsia="en-US"/>
              </w:rPr>
              <w:t xml:space="preserve">65.7 </w:t>
            </w:r>
          </w:p>
        </w:tc>
        <w:tc>
          <w:tcPr>
            <w:tcW w:w="1161" w:type="dxa"/>
            <w:noWrap/>
            <w:hideMark/>
          </w:tcPr>
          <w:p w14:paraId="4E6B58E2" w14:textId="77777777" w:rsidR="00C10880" w:rsidRPr="00C10880" w:rsidRDefault="00C10880" w:rsidP="00C1088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en-US"/>
              </w:rPr>
            </w:pPr>
            <w:r w:rsidRPr="00C10880">
              <w:rPr>
                <w:rFonts w:ascii="Arial" w:hAnsi="Arial" w:cs="Arial"/>
                <w:color w:val="000000"/>
                <w:sz w:val="18"/>
                <w:szCs w:val="18"/>
                <w:lang w:eastAsia="en-US"/>
              </w:rPr>
              <w:t xml:space="preserve">60.7 </w:t>
            </w:r>
          </w:p>
        </w:tc>
        <w:tc>
          <w:tcPr>
            <w:tcW w:w="1134" w:type="dxa"/>
            <w:noWrap/>
            <w:hideMark/>
          </w:tcPr>
          <w:p w14:paraId="073DBE2E" w14:textId="77777777" w:rsidR="00C10880" w:rsidRPr="00C10880" w:rsidRDefault="00C10880" w:rsidP="00C1088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en-US"/>
              </w:rPr>
            </w:pPr>
            <w:r w:rsidRPr="00C10880">
              <w:rPr>
                <w:rFonts w:ascii="Arial" w:hAnsi="Arial" w:cs="Arial"/>
                <w:color w:val="000000"/>
                <w:sz w:val="18"/>
                <w:szCs w:val="18"/>
                <w:lang w:eastAsia="en-US"/>
              </w:rPr>
              <w:t xml:space="preserve">71.9 </w:t>
            </w:r>
          </w:p>
        </w:tc>
      </w:tr>
      <w:tr w:rsidR="00C10880" w:rsidRPr="00C10880" w14:paraId="30B3BC75" w14:textId="77777777" w:rsidTr="0016330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33" w:type="dxa"/>
            <w:tcBorders>
              <w:top w:val="none" w:sz="0" w:space="0" w:color="auto"/>
              <w:left w:val="none" w:sz="0" w:space="0" w:color="auto"/>
              <w:bottom w:val="none" w:sz="0" w:space="0" w:color="auto"/>
            </w:tcBorders>
            <w:noWrap/>
            <w:hideMark/>
          </w:tcPr>
          <w:p w14:paraId="623A3552" w14:textId="77777777" w:rsidR="00C10880" w:rsidRPr="00C10880" w:rsidRDefault="00C10880" w:rsidP="00C10880">
            <w:pPr>
              <w:jc w:val="right"/>
              <w:rPr>
                <w:rFonts w:ascii="Arial" w:hAnsi="Arial" w:cs="Arial"/>
                <w:color w:val="000000"/>
                <w:sz w:val="18"/>
                <w:szCs w:val="18"/>
                <w:lang w:eastAsia="en-US"/>
              </w:rPr>
            </w:pPr>
            <w:r w:rsidRPr="00C10880">
              <w:rPr>
                <w:rFonts w:ascii="Arial" w:hAnsi="Arial" w:cs="Arial"/>
                <w:color w:val="000000"/>
                <w:sz w:val="18"/>
                <w:szCs w:val="18"/>
                <w:lang w:eastAsia="en-US"/>
              </w:rPr>
              <w:t>25%</w:t>
            </w:r>
          </w:p>
        </w:tc>
        <w:tc>
          <w:tcPr>
            <w:tcW w:w="992" w:type="dxa"/>
            <w:tcBorders>
              <w:top w:val="none" w:sz="0" w:space="0" w:color="auto"/>
              <w:bottom w:val="none" w:sz="0" w:space="0" w:color="auto"/>
            </w:tcBorders>
            <w:noWrap/>
            <w:hideMark/>
          </w:tcPr>
          <w:p w14:paraId="6E1C79D5" w14:textId="77777777" w:rsidR="00C10880" w:rsidRPr="00C10880" w:rsidRDefault="00C10880" w:rsidP="00C1088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lang w:eastAsia="en-US"/>
              </w:rPr>
            </w:pPr>
            <w:r w:rsidRPr="00C10880">
              <w:rPr>
                <w:rFonts w:ascii="Arial" w:hAnsi="Arial" w:cs="Arial"/>
                <w:color w:val="000000"/>
                <w:sz w:val="18"/>
                <w:szCs w:val="18"/>
                <w:lang w:eastAsia="en-US"/>
              </w:rPr>
              <w:t xml:space="preserve">70.6 </w:t>
            </w:r>
          </w:p>
        </w:tc>
        <w:tc>
          <w:tcPr>
            <w:tcW w:w="965" w:type="dxa"/>
            <w:tcBorders>
              <w:top w:val="none" w:sz="0" w:space="0" w:color="auto"/>
              <w:bottom w:val="none" w:sz="0" w:space="0" w:color="auto"/>
            </w:tcBorders>
            <w:noWrap/>
            <w:hideMark/>
          </w:tcPr>
          <w:p w14:paraId="557AC18F" w14:textId="77777777" w:rsidR="00C10880" w:rsidRPr="00C10880" w:rsidRDefault="00C10880" w:rsidP="00C1088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lang w:eastAsia="en-US"/>
              </w:rPr>
            </w:pPr>
            <w:r w:rsidRPr="00C10880">
              <w:rPr>
                <w:rFonts w:ascii="Arial" w:hAnsi="Arial" w:cs="Arial"/>
                <w:color w:val="000000"/>
                <w:sz w:val="18"/>
                <w:szCs w:val="18"/>
                <w:lang w:eastAsia="en-US"/>
              </w:rPr>
              <w:t xml:space="preserve">72.0 </w:t>
            </w:r>
          </w:p>
        </w:tc>
        <w:tc>
          <w:tcPr>
            <w:tcW w:w="1161" w:type="dxa"/>
            <w:tcBorders>
              <w:top w:val="none" w:sz="0" w:space="0" w:color="auto"/>
              <w:bottom w:val="none" w:sz="0" w:space="0" w:color="auto"/>
            </w:tcBorders>
            <w:noWrap/>
            <w:hideMark/>
          </w:tcPr>
          <w:p w14:paraId="61607B6A" w14:textId="77777777" w:rsidR="00C10880" w:rsidRPr="00C10880" w:rsidRDefault="00C10880" w:rsidP="00C1088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lang w:eastAsia="en-US"/>
              </w:rPr>
            </w:pPr>
            <w:r w:rsidRPr="00C10880">
              <w:rPr>
                <w:rFonts w:ascii="Arial" w:hAnsi="Arial" w:cs="Arial"/>
                <w:color w:val="000000"/>
                <w:sz w:val="18"/>
                <w:szCs w:val="18"/>
                <w:lang w:eastAsia="en-US"/>
              </w:rPr>
              <w:t xml:space="preserve">66.9 </w:t>
            </w:r>
          </w:p>
        </w:tc>
        <w:tc>
          <w:tcPr>
            <w:tcW w:w="1134" w:type="dxa"/>
            <w:tcBorders>
              <w:top w:val="none" w:sz="0" w:space="0" w:color="auto"/>
              <w:bottom w:val="none" w:sz="0" w:space="0" w:color="auto"/>
              <w:right w:val="none" w:sz="0" w:space="0" w:color="auto"/>
            </w:tcBorders>
            <w:noWrap/>
            <w:hideMark/>
          </w:tcPr>
          <w:p w14:paraId="4D6B83FF" w14:textId="77777777" w:rsidR="00C10880" w:rsidRPr="00C10880" w:rsidRDefault="00C10880" w:rsidP="00C1088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lang w:eastAsia="en-US"/>
              </w:rPr>
            </w:pPr>
            <w:r w:rsidRPr="00C10880">
              <w:rPr>
                <w:rFonts w:ascii="Arial" w:hAnsi="Arial" w:cs="Arial"/>
                <w:color w:val="000000"/>
                <w:sz w:val="18"/>
                <w:szCs w:val="18"/>
                <w:lang w:eastAsia="en-US"/>
              </w:rPr>
              <w:t xml:space="preserve">78.7 </w:t>
            </w:r>
          </w:p>
        </w:tc>
      </w:tr>
      <w:tr w:rsidR="00C10880" w:rsidRPr="00C10880" w14:paraId="41D20A1D" w14:textId="77777777" w:rsidTr="0016330C">
        <w:trPr>
          <w:trHeight w:val="300"/>
        </w:trPr>
        <w:tc>
          <w:tcPr>
            <w:cnfStyle w:val="001000000000" w:firstRow="0" w:lastRow="0" w:firstColumn="1" w:lastColumn="0" w:oddVBand="0" w:evenVBand="0" w:oddHBand="0" w:evenHBand="0" w:firstRowFirstColumn="0" w:firstRowLastColumn="0" w:lastRowFirstColumn="0" w:lastRowLastColumn="0"/>
            <w:tcW w:w="1433" w:type="dxa"/>
            <w:noWrap/>
            <w:hideMark/>
          </w:tcPr>
          <w:p w14:paraId="7A51A0C7" w14:textId="77777777" w:rsidR="00C10880" w:rsidRPr="00C10880" w:rsidRDefault="00C10880" w:rsidP="00C10880">
            <w:pPr>
              <w:jc w:val="right"/>
              <w:rPr>
                <w:rFonts w:ascii="Arial" w:hAnsi="Arial" w:cs="Arial"/>
                <w:color w:val="000000"/>
                <w:sz w:val="18"/>
                <w:szCs w:val="18"/>
                <w:lang w:eastAsia="en-US"/>
              </w:rPr>
            </w:pPr>
            <w:r w:rsidRPr="00C10880">
              <w:rPr>
                <w:rFonts w:ascii="Arial" w:hAnsi="Arial" w:cs="Arial"/>
                <w:color w:val="000000"/>
                <w:sz w:val="18"/>
                <w:szCs w:val="18"/>
                <w:lang w:eastAsia="en-US"/>
              </w:rPr>
              <w:t>30%</w:t>
            </w:r>
          </w:p>
        </w:tc>
        <w:tc>
          <w:tcPr>
            <w:tcW w:w="992" w:type="dxa"/>
            <w:noWrap/>
            <w:hideMark/>
          </w:tcPr>
          <w:p w14:paraId="2891EF0D" w14:textId="77777777" w:rsidR="00C10880" w:rsidRPr="00C10880" w:rsidRDefault="00C10880" w:rsidP="00C1088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en-US"/>
              </w:rPr>
            </w:pPr>
            <w:r w:rsidRPr="00C10880">
              <w:rPr>
                <w:rFonts w:ascii="Arial" w:hAnsi="Arial" w:cs="Arial"/>
                <w:color w:val="000000"/>
                <w:sz w:val="18"/>
                <w:szCs w:val="18"/>
                <w:lang w:eastAsia="en-US"/>
              </w:rPr>
              <w:t xml:space="preserve">76.1 </w:t>
            </w:r>
          </w:p>
        </w:tc>
        <w:tc>
          <w:tcPr>
            <w:tcW w:w="965" w:type="dxa"/>
            <w:noWrap/>
            <w:hideMark/>
          </w:tcPr>
          <w:p w14:paraId="018C89D6" w14:textId="77777777" w:rsidR="00C10880" w:rsidRPr="00C10880" w:rsidRDefault="00C10880" w:rsidP="00C1088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en-US"/>
              </w:rPr>
            </w:pPr>
            <w:r w:rsidRPr="00C10880">
              <w:rPr>
                <w:rFonts w:ascii="Arial" w:hAnsi="Arial" w:cs="Arial"/>
                <w:color w:val="000000"/>
                <w:sz w:val="18"/>
                <w:szCs w:val="18"/>
                <w:lang w:eastAsia="en-US"/>
              </w:rPr>
              <w:t xml:space="preserve">77.8 </w:t>
            </w:r>
          </w:p>
        </w:tc>
        <w:tc>
          <w:tcPr>
            <w:tcW w:w="1161" w:type="dxa"/>
            <w:noWrap/>
            <w:hideMark/>
          </w:tcPr>
          <w:p w14:paraId="07908E7E" w14:textId="77777777" w:rsidR="00C10880" w:rsidRPr="00C10880" w:rsidRDefault="00C10880" w:rsidP="00C1088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en-US"/>
              </w:rPr>
            </w:pPr>
            <w:r w:rsidRPr="00C10880">
              <w:rPr>
                <w:rFonts w:ascii="Arial" w:hAnsi="Arial" w:cs="Arial"/>
                <w:color w:val="000000"/>
                <w:sz w:val="18"/>
                <w:szCs w:val="18"/>
                <w:lang w:eastAsia="en-US"/>
              </w:rPr>
              <w:t xml:space="preserve">72.1 </w:t>
            </w:r>
          </w:p>
        </w:tc>
        <w:tc>
          <w:tcPr>
            <w:tcW w:w="1134" w:type="dxa"/>
            <w:noWrap/>
            <w:hideMark/>
          </w:tcPr>
          <w:p w14:paraId="4FB730A5" w14:textId="77777777" w:rsidR="00C10880" w:rsidRPr="00C10880" w:rsidRDefault="00C10880" w:rsidP="00C1088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en-US"/>
              </w:rPr>
            </w:pPr>
            <w:r w:rsidRPr="00C10880">
              <w:rPr>
                <w:rFonts w:ascii="Arial" w:hAnsi="Arial" w:cs="Arial"/>
                <w:color w:val="000000"/>
                <w:sz w:val="18"/>
                <w:szCs w:val="18"/>
                <w:lang w:eastAsia="en-US"/>
              </w:rPr>
              <w:t xml:space="preserve">84.4 </w:t>
            </w:r>
          </w:p>
        </w:tc>
      </w:tr>
      <w:tr w:rsidR="00C10880" w:rsidRPr="00C10880" w14:paraId="57DC755B" w14:textId="77777777" w:rsidTr="0016330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33" w:type="dxa"/>
            <w:tcBorders>
              <w:top w:val="none" w:sz="0" w:space="0" w:color="auto"/>
              <w:left w:val="none" w:sz="0" w:space="0" w:color="auto"/>
              <w:bottom w:val="none" w:sz="0" w:space="0" w:color="auto"/>
            </w:tcBorders>
            <w:noWrap/>
            <w:hideMark/>
          </w:tcPr>
          <w:p w14:paraId="31DAC670" w14:textId="77777777" w:rsidR="00C10880" w:rsidRPr="00C10880" w:rsidRDefault="00C10880" w:rsidP="00C10880">
            <w:pPr>
              <w:jc w:val="right"/>
              <w:rPr>
                <w:rFonts w:ascii="Arial" w:hAnsi="Arial" w:cs="Arial"/>
                <w:color w:val="000000"/>
                <w:sz w:val="18"/>
                <w:szCs w:val="18"/>
                <w:lang w:eastAsia="en-US"/>
              </w:rPr>
            </w:pPr>
            <w:r w:rsidRPr="00C10880">
              <w:rPr>
                <w:rFonts w:ascii="Arial" w:hAnsi="Arial" w:cs="Arial"/>
                <w:color w:val="000000"/>
                <w:sz w:val="18"/>
                <w:szCs w:val="18"/>
                <w:lang w:eastAsia="en-US"/>
              </w:rPr>
              <w:t>40%</w:t>
            </w:r>
          </w:p>
        </w:tc>
        <w:tc>
          <w:tcPr>
            <w:tcW w:w="992" w:type="dxa"/>
            <w:tcBorders>
              <w:top w:val="none" w:sz="0" w:space="0" w:color="auto"/>
              <w:bottom w:val="none" w:sz="0" w:space="0" w:color="auto"/>
            </w:tcBorders>
            <w:noWrap/>
            <w:hideMark/>
          </w:tcPr>
          <w:p w14:paraId="30FB909A" w14:textId="77777777" w:rsidR="00C10880" w:rsidRPr="00C10880" w:rsidRDefault="00C10880" w:rsidP="00C1088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lang w:eastAsia="en-US"/>
              </w:rPr>
            </w:pPr>
            <w:r w:rsidRPr="00C10880">
              <w:rPr>
                <w:rFonts w:ascii="Arial" w:hAnsi="Arial" w:cs="Arial"/>
                <w:color w:val="000000"/>
                <w:sz w:val="18"/>
                <w:szCs w:val="18"/>
                <w:lang w:eastAsia="en-US"/>
              </w:rPr>
              <w:t xml:space="preserve">83.8 </w:t>
            </w:r>
          </w:p>
        </w:tc>
        <w:tc>
          <w:tcPr>
            <w:tcW w:w="965" w:type="dxa"/>
            <w:tcBorders>
              <w:top w:val="none" w:sz="0" w:space="0" w:color="auto"/>
              <w:bottom w:val="none" w:sz="0" w:space="0" w:color="auto"/>
            </w:tcBorders>
            <w:noWrap/>
            <w:hideMark/>
          </w:tcPr>
          <w:p w14:paraId="3DE73C96" w14:textId="77777777" w:rsidR="00C10880" w:rsidRPr="00C10880" w:rsidRDefault="00C10880" w:rsidP="00C1088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lang w:eastAsia="en-US"/>
              </w:rPr>
            </w:pPr>
            <w:r w:rsidRPr="00C10880">
              <w:rPr>
                <w:rFonts w:ascii="Arial" w:hAnsi="Arial" w:cs="Arial"/>
                <w:color w:val="000000"/>
                <w:sz w:val="18"/>
                <w:szCs w:val="18"/>
                <w:lang w:eastAsia="en-US"/>
              </w:rPr>
              <w:t xml:space="preserve">86.1 </w:t>
            </w:r>
          </w:p>
        </w:tc>
        <w:tc>
          <w:tcPr>
            <w:tcW w:w="1161" w:type="dxa"/>
            <w:tcBorders>
              <w:top w:val="none" w:sz="0" w:space="0" w:color="auto"/>
              <w:bottom w:val="none" w:sz="0" w:space="0" w:color="auto"/>
            </w:tcBorders>
            <w:noWrap/>
            <w:hideMark/>
          </w:tcPr>
          <w:p w14:paraId="6B0C1BC2" w14:textId="77777777" w:rsidR="00C10880" w:rsidRPr="00C10880" w:rsidRDefault="00C10880" w:rsidP="00C1088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lang w:eastAsia="en-US"/>
              </w:rPr>
            </w:pPr>
            <w:r w:rsidRPr="00C10880">
              <w:rPr>
                <w:rFonts w:ascii="Arial" w:hAnsi="Arial" w:cs="Arial"/>
                <w:color w:val="000000"/>
                <w:sz w:val="18"/>
                <w:szCs w:val="18"/>
                <w:lang w:eastAsia="en-US"/>
              </w:rPr>
              <w:t xml:space="preserve">81.4 </w:t>
            </w:r>
          </w:p>
        </w:tc>
        <w:tc>
          <w:tcPr>
            <w:tcW w:w="1134" w:type="dxa"/>
            <w:tcBorders>
              <w:top w:val="none" w:sz="0" w:space="0" w:color="auto"/>
              <w:bottom w:val="none" w:sz="0" w:space="0" w:color="auto"/>
              <w:right w:val="none" w:sz="0" w:space="0" w:color="auto"/>
            </w:tcBorders>
            <w:noWrap/>
            <w:hideMark/>
          </w:tcPr>
          <w:p w14:paraId="4A91D670" w14:textId="77777777" w:rsidR="00C10880" w:rsidRPr="00C10880" w:rsidRDefault="00C10880" w:rsidP="00C1088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lang w:eastAsia="en-US"/>
              </w:rPr>
            </w:pPr>
            <w:r w:rsidRPr="00C10880">
              <w:rPr>
                <w:rFonts w:ascii="Arial" w:hAnsi="Arial" w:cs="Arial"/>
                <w:color w:val="000000"/>
                <w:sz w:val="18"/>
                <w:szCs w:val="18"/>
                <w:lang w:eastAsia="en-US"/>
              </w:rPr>
              <w:t xml:space="preserve">91.0 </w:t>
            </w:r>
          </w:p>
        </w:tc>
      </w:tr>
      <w:tr w:rsidR="00C10880" w:rsidRPr="00C10880" w14:paraId="3171D05F" w14:textId="77777777" w:rsidTr="0016330C">
        <w:trPr>
          <w:trHeight w:val="300"/>
        </w:trPr>
        <w:tc>
          <w:tcPr>
            <w:cnfStyle w:val="001000000000" w:firstRow="0" w:lastRow="0" w:firstColumn="1" w:lastColumn="0" w:oddVBand="0" w:evenVBand="0" w:oddHBand="0" w:evenHBand="0" w:firstRowFirstColumn="0" w:firstRowLastColumn="0" w:lastRowFirstColumn="0" w:lastRowLastColumn="0"/>
            <w:tcW w:w="1433" w:type="dxa"/>
            <w:noWrap/>
            <w:hideMark/>
          </w:tcPr>
          <w:p w14:paraId="3F8F08C3" w14:textId="77777777" w:rsidR="00C10880" w:rsidRPr="00C10880" w:rsidRDefault="00C10880" w:rsidP="00C10880">
            <w:pPr>
              <w:jc w:val="right"/>
              <w:rPr>
                <w:rFonts w:ascii="Arial" w:hAnsi="Arial" w:cs="Arial"/>
                <w:color w:val="000000"/>
                <w:sz w:val="18"/>
                <w:szCs w:val="18"/>
                <w:lang w:eastAsia="en-US"/>
              </w:rPr>
            </w:pPr>
            <w:r w:rsidRPr="00C10880">
              <w:rPr>
                <w:rFonts w:ascii="Arial" w:hAnsi="Arial" w:cs="Arial"/>
                <w:color w:val="000000"/>
                <w:sz w:val="18"/>
                <w:szCs w:val="18"/>
                <w:lang w:eastAsia="en-US"/>
              </w:rPr>
              <w:t>50%</w:t>
            </w:r>
          </w:p>
        </w:tc>
        <w:tc>
          <w:tcPr>
            <w:tcW w:w="992" w:type="dxa"/>
            <w:noWrap/>
            <w:hideMark/>
          </w:tcPr>
          <w:p w14:paraId="6D4FFF79" w14:textId="77777777" w:rsidR="00C10880" w:rsidRPr="00C10880" w:rsidRDefault="00C10880" w:rsidP="00C1088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en-US"/>
              </w:rPr>
            </w:pPr>
            <w:r w:rsidRPr="00C10880">
              <w:rPr>
                <w:rFonts w:ascii="Arial" w:hAnsi="Arial" w:cs="Arial"/>
                <w:color w:val="000000"/>
                <w:sz w:val="18"/>
                <w:szCs w:val="18"/>
                <w:lang w:eastAsia="en-US"/>
              </w:rPr>
              <w:t xml:space="preserve">89.6 </w:t>
            </w:r>
          </w:p>
        </w:tc>
        <w:tc>
          <w:tcPr>
            <w:tcW w:w="965" w:type="dxa"/>
            <w:noWrap/>
            <w:hideMark/>
          </w:tcPr>
          <w:p w14:paraId="3108AE9B" w14:textId="77777777" w:rsidR="00C10880" w:rsidRPr="00C10880" w:rsidRDefault="00C10880" w:rsidP="00C1088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en-US"/>
              </w:rPr>
            </w:pPr>
            <w:r w:rsidRPr="00C10880">
              <w:rPr>
                <w:rFonts w:ascii="Arial" w:hAnsi="Arial" w:cs="Arial"/>
                <w:color w:val="000000"/>
                <w:sz w:val="18"/>
                <w:szCs w:val="18"/>
                <w:lang w:eastAsia="en-US"/>
              </w:rPr>
              <w:t xml:space="preserve">92.4 </w:t>
            </w:r>
          </w:p>
        </w:tc>
        <w:tc>
          <w:tcPr>
            <w:tcW w:w="1161" w:type="dxa"/>
            <w:noWrap/>
            <w:hideMark/>
          </w:tcPr>
          <w:p w14:paraId="351F4E7F" w14:textId="77777777" w:rsidR="00C10880" w:rsidRPr="00C10880" w:rsidRDefault="00C10880" w:rsidP="00C1088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en-US"/>
              </w:rPr>
            </w:pPr>
            <w:r w:rsidRPr="00C10880">
              <w:rPr>
                <w:rFonts w:ascii="Arial" w:hAnsi="Arial" w:cs="Arial"/>
                <w:color w:val="000000"/>
                <w:sz w:val="18"/>
                <w:szCs w:val="18"/>
                <w:lang w:eastAsia="en-US"/>
              </w:rPr>
              <w:t xml:space="preserve">88.4 </w:t>
            </w:r>
          </w:p>
        </w:tc>
        <w:tc>
          <w:tcPr>
            <w:tcW w:w="1134" w:type="dxa"/>
            <w:noWrap/>
            <w:hideMark/>
          </w:tcPr>
          <w:p w14:paraId="0D131DFB" w14:textId="77777777" w:rsidR="00C10880" w:rsidRPr="00C10880" w:rsidRDefault="00C10880" w:rsidP="00C1088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en-US"/>
              </w:rPr>
            </w:pPr>
            <w:r w:rsidRPr="00C10880">
              <w:rPr>
                <w:rFonts w:ascii="Arial" w:hAnsi="Arial" w:cs="Arial"/>
                <w:color w:val="000000"/>
                <w:sz w:val="18"/>
                <w:szCs w:val="18"/>
                <w:lang w:eastAsia="en-US"/>
              </w:rPr>
              <w:t xml:space="preserve">94.6 </w:t>
            </w:r>
          </w:p>
        </w:tc>
      </w:tr>
      <w:tr w:rsidR="00C10880" w:rsidRPr="00C10880" w14:paraId="152020A4" w14:textId="77777777" w:rsidTr="0016330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33" w:type="dxa"/>
            <w:tcBorders>
              <w:top w:val="none" w:sz="0" w:space="0" w:color="auto"/>
              <w:left w:val="none" w:sz="0" w:space="0" w:color="auto"/>
              <w:bottom w:val="none" w:sz="0" w:space="0" w:color="auto"/>
            </w:tcBorders>
            <w:noWrap/>
            <w:hideMark/>
          </w:tcPr>
          <w:p w14:paraId="76538A1A" w14:textId="77777777" w:rsidR="00C10880" w:rsidRPr="00C10880" w:rsidRDefault="00C10880" w:rsidP="00C10880">
            <w:pPr>
              <w:jc w:val="right"/>
              <w:rPr>
                <w:rFonts w:ascii="Arial" w:hAnsi="Arial" w:cs="Arial"/>
                <w:color w:val="000000"/>
                <w:sz w:val="18"/>
                <w:szCs w:val="18"/>
                <w:lang w:eastAsia="en-US"/>
              </w:rPr>
            </w:pPr>
            <w:r w:rsidRPr="00C10880">
              <w:rPr>
                <w:rFonts w:ascii="Arial" w:hAnsi="Arial" w:cs="Arial"/>
                <w:color w:val="000000"/>
                <w:sz w:val="18"/>
                <w:szCs w:val="18"/>
                <w:lang w:eastAsia="en-US"/>
              </w:rPr>
              <w:t>60%</w:t>
            </w:r>
          </w:p>
        </w:tc>
        <w:tc>
          <w:tcPr>
            <w:tcW w:w="992" w:type="dxa"/>
            <w:tcBorders>
              <w:top w:val="none" w:sz="0" w:space="0" w:color="auto"/>
              <w:bottom w:val="none" w:sz="0" w:space="0" w:color="auto"/>
            </w:tcBorders>
            <w:noWrap/>
            <w:hideMark/>
          </w:tcPr>
          <w:p w14:paraId="7DE5ED1F" w14:textId="77777777" w:rsidR="00C10880" w:rsidRPr="00C10880" w:rsidRDefault="00C10880" w:rsidP="00C1088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lang w:eastAsia="en-US"/>
              </w:rPr>
            </w:pPr>
            <w:r w:rsidRPr="00C10880">
              <w:rPr>
                <w:rFonts w:ascii="Arial" w:hAnsi="Arial" w:cs="Arial"/>
                <w:color w:val="000000"/>
                <w:sz w:val="18"/>
                <w:szCs w:val="18"/>
                <w:lang w:eastAsia="en-US"/>
              </w:rPr>
              <w:t xml:space="preserve">93.5 </w:t>
            </w:r>
          </w:p>
        </w:tc>
        <w:tc>
          <w:tcPr>
            <w:tcW w:w="965" w:type="dxa"/>
            <w:tcBorders>
              <w:top w:val="none" w:sz="0" w:space="0" w:color="auto"/>
              <w:bottom w:val="none" w:sz="0" w:space="0" w:color="auto"/>
            </w:tcBorders>
            <w:noWrap/>
            <w:hideMark/>
          </w:tcPr>
          <w:p w14:paraId="78C6AAD4" w14:textId="77777777" w:rsidR="00C10880" w:rsidRPr="00C10880" w:rsidRDefault="00C10880" w:rsidP="00C1088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lang w:eastAsia="en-US"/>
              </w:rPr>
            </w:pPr>
            <w:r w:rsidRPr="00C10880">
              <w:rPr>
                <w:rFonts w:ascii="Arial" w:hAnsi="Arial" w:cs="Arial"/>
                <w:color w:val="000000"/>
                <w:sz w:val="18"/>
                <w:szCs w:val="18"/>
                <w:lang w:eastAsia="en-US"/>
              </w:rPr>
              <w:t xml:space="preserve">95.3 </w:t>
            </w:r>
          </w:p>
        </w:tc>
        <w:tc>
          <w:tcPr>
            <w:tcW w:w="1161" w:type="dxa"/>
            <w:tcBorders>
              <w:top w:val="none" w:sz="0" w:space="0" w:color="auto"/>
              <w:bottom w:val="none" w:sz="0" w:space="0" w:color="auto"/>
            </w:tcBorders>
            <w:noWrap/>
            <w:hideMark/>
          </w:tcPr>
          <w:p w14:paraId="78948EDC" w14:textId="77777777" w:rsidR="00C10880" w:rsidRPr="00C10880" w:rsidRDefault="00C10880" w:rsidP="00C1088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lang w:eastAsia="en-US"/>
              </w:rPr>
            </w:pPr>
            <w:r w:rsidRPr="00C10880">
              <w:rPr>
                <w:rFonts w:ascii="Arial" w:hAnsi="Arial" w:cs="Arial"/>
                <w:color w:val="000000"/>
                <w:sz w:val="18"/>
                <w:szCs w:val="18"/>
                <w:lang w:eastAsia="en-US"/>
              </w:rPr>
              <w:t xml:space="preserve">92.3 </w:t>
            </w:r>
          </w:p>
        </w:tc>
        <w:tc>
          <w:tcPr>
            <w:tcW w:w="1134" w:type="dxa"/>
            <w:tcBorders>
              <w:top w:val="none" w:sz="0" w:space="0" w:color="auto"/>
              <w:bottom w:val="none" w:sz="0" w:space="0" w:color="auto"/>
              <w:right w:val="none" w:sz="0" w:space="0" w:color="auto"/>
            </w:tcBorders>
            <w:noWrap/>
            <w:hideMark/>
          </w:tcPr>
          <w:p w14:paraId="763973E5" w14:textId="77777777" w:rsidR="00C10880" w:rsidRPr="00C10880" w:rsidRDefault="00C10880" w:rsidP="00C1088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lang w:eastAsia="en-US"/>
              </w:rPr>
            </w:pPr>
            <w:r w:rsidRPr="00C10880">
              <w:rPr>
                <w:rFonts w:ascii="Arial" w:hAnsi="Arial" w:cs="Arial"/>
                <w:color w:val="000000"/>
                <w:sz w:val="18"/>
                <w:szCs w:val="18"/>
                <w:lang w:eastAsia="en-US"/>
              </w:rPr>
              <w:t xml:space="preserve">96.6 </w:t>
            </w:r>
          </w:p>
        </w:tc>
      </w:tr>
      <w:tr w:rsidR="00C10880" w:rsidRPr="00C10880" w14:paraId="23916503" w14:textId="77777777" w:rsidTr="0016330C">
        <w:trPr>
          <w:trHeight w:val="300"/>
        </w:trPr>
        <w:tc>
          <w:tcPr>
            <w:cnfStyle w:val="001000000000" w:firstRow="0" w:lastRow="0" w:firstColumn="1" w:lastColumn="0" w:oddVBand="0" w:evenVBand="0" w:oddHBand="0" w:evenHBand="0" w:firstRowFirstColumn="0" w:firstRowLastColumn="0" w:lastRowFirstColumn="0" w:lastRowLastColumn="0"/>
            <w:tcW w:w="1433" w:type="dxa"/>
            <w:noWrap/>
            <w:hideMark/>
          </w:tcPr>
          <w:p w14:paraId="0C90DE37" w14:textId="77777777" w:rsidR="00C10880" w:rsidRPr="00C10880" w:rsidRDefault="00C10880" w:rsidP="00C10880">
            <w:pPr>
              <w:jc w:val="right"/>
              <w:rPr>
                <w:rFonts w:ascii="Arial" w:hAnsi="Arial" w:cs="Arial"/>
                <w:color w:val="000000"/>
                <w:sz w:val="18"/>
                <w:szCs w:val="18"/>
                <w:lang w:eastAsia="en-US"/>
              </w:rPr>
            </w:pPr>
            <w:r w:rsidRPr="00C10880">
              <w:rPr>
                <w:rFonts w:ascii="Arial" w:hAnsi="Arial" w:cs="Arial"/>
                <w:color w:val="000000"/>
                <w:sz w:val="18"/>
                <w:szCs w:val="18"/>
                <w:lang w:eastAsia="en-US"/>
              </w:rPr>
              <w:t>70%</w:t>
            </w:r>
          </w:p>
        </w:tc>
        <w:tc>
          <w:tcPr>
            <w:tcW w:w="992" w:type="dxa"/>
            <w:noWrap/>
            <w:hideMark/>
          </w:tcPr>
          <w:p w14:paraId="2CA9A505" w14:textId="77777777" w:rsidR="00C10880" w:rsidRPr="00C10880" w:rsidRDefault="00C10880" w:rsidP="00C1088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en-US"/>
              </w:rPr>
            </w:pPr>
            <w:r w:rsidRPr="00C10880">
              <w:rPr>
                <w:rFonts w:ascii="Arial" w:hAnsi="Arial" w:cs="Arial"/>
                <w:color w:val="000000"/>
                <w:sz w:val="18"/>
                <w:szCs w:val="18"/>
                <w:lang w:eastAsia="en-US"/>
              </w:rPr>
              <w:t xml:space="preserve">96.1 </w:t>
            </w:r>
          </w:p>
        </w:tc>
        <w:tc>
          <w:tcPr>
            <w:tcW w:w="965" w:type="dxa"/>
            <w:noWrap/>
            <w:hideMark/>
          </w:tcPr>
          <w:p w14:paraId="032C7DC6" w14:textId="77777777" w:rsidR="00C10880" w:rsidRPr="00C10880" w:rsidRDefault="00C10880" w:rsidP="00C1088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en-US"/>
              </w:rPr>
            </w:pPr>
            <w:r w:rsidRPr="00C10880">
              <w:rPr>
                <w:rFonts w:ascii="Arial" w:hAnsi="Arial" w:cs="Arial"/>
                <w:color w:val="000000"/>
                <w:sz w:val="18"/>
                <w:szCs w:val="18"/>
                <w:lang w:eastAsia="en-US"/>
              </w:rPr>
              <w:t xml:space="preserve">97.2 </w:t>
            </w:r>
          </w:p>
        </w:tc>
        <w:tc>
          <w:tcPr>
            <w:tcW w:w="1161" w:type="dxa"/>
            <w:noWrap/>
            <w:hideMark/>
          </w:tcPr>
          <w:p w14:paraId="5CE1B6F2" w14:textId="77777777" w:rsidR="00C10880" w:rsidRPr="00C10880" w:rsidRDefault="00C10880" w:rsidP="00C1088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en-US"/>
              </w:rPr>
            </w:pPr>
            <w:r w:rsidRPr="00C10880">
              <w:rPr>
                <w:rFonts w:ascii="Arial" w:hAnsi="Arial" w:cs="Arial"/>
                <w:color w:val="000000"/>
                <w:sz w:val="18"/>
                <w:szCs w:val="18"/>
                <w:lang w:eastAsia="en-US"/>
              </w:rPr>
              <w:t xml:space="preserve">94.8 </w:t>
            </w:r>
          </w:p>
        </w:tc>
        <w:tc>
          <w:tcPr>
            <w:tcW w:w="1134" w:type="dxa"/>
            <w:noWrap/>
            <w:hideMark/>
          </w:tcPr>
          <w:p w14:paraId="5A344D96" w14:textId="77777777" w:rsidR="00C10880" w:rsidRPr="00C10880" w:rsidRDefault="00C10880" w:rsidP="00C1088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en-US"/>
              </w:rPr>
            </w:pPr>
            <w:r w:rsidRPr="00C10880">
              <w:rPr>
                <w:rFonts w:ascii="Arial" w:hAnsi="Arial" w:cs="Arial"/>
                <w:color w:val="000000"/>
                <w:sz w:val="18"/>
                <w:szCs w:val="18"/>
                <w:lang w:eastAsia="en-US"/>
              </w:rPr>
              <w:t xml:space="preserve">97.8 </w:t>
            </w:r>
          </w:p>
        </w:tc>
      </w:tr>
      <w:tr w:rsidR="00C10880" w:rsidRPr="00C10880" w14:paraId="0A9ED65C" w14:textId="77777777" w:rsidTr="0016330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33" w:type="dxa"/>
            <w:tcBorders>
              <w:top w:val="none" w:sz="0" w:space="0" w:color="auto"/>
              <w:left w:val="none" w:sz="0" w:space="0" w:color="auto"/>
              <w:bottom w:val="none" w:sz="0" w:space="0" w:color="auto"/>
            </w:tcBorders>
            <w:noWrap/>
            <w:hideMark/>
          </w:tcPr>
          <w:p w14:paraId="1BDCDEB0" w14:textId="77777777" w:rsidR="00C10880" w:rsidRPr="00C10880" w:rsidRDefault="00C10880" w:rsidP="00C10880">
            <w:pPr>
              <w:jc w:val="right"/>
              <w:rPr>
                <w:rFonts w:ascii="Arial" w:hAnsi="Arial" w:cs="Arial"/>
                <w:color w:val="000000"/>
                <w:sz w:val="18"/>
                <w:szCs w:val="18"/>
                <w:lang w:eastAsia="en-US"/>
              </w:rPr>
            </w:pPr>
            <w:r w:rsidRPr="00C10880">
              <w:rPr>
                <w:rFonts w:ascii="Arial" w:hAnsi="Arial" w:cs="Arial"/>
                <w:color w:val="000000"/>
                <w:sz w:val="18"/>
                <w:szCs w:val="18"/>
                <w:lang w:eastAsia="en-US"/>
              </w:rPr>
              <w:t>75%</w:t>
            </w:r>
          </w:p>
        </w:tc>
        <w:tc>
          <w:tcPr>
            <w:tcW w:w="992" w:type="dxa"/>
            <w:tcBorders>
              <w:top w:val="none" w:sz="0" w:space="0" w:color="auto"/>
              <w:bottom w:val="none" w:sz="0" w:space="0" w:color="auto"/>
            </w:tcBorders>
            <w:noWrap/>
            <w:hideMark/>
          </w:tcPr>
          <w:p w14:paraId="0357BB11" w14:textId="77777777" w:rsidR="00C10880" w:rsidRPr="00C10880" w:rsidRDefault="00C10880" w:rsidP="00C1088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lang w:eastAsia="en-US"/>
              </w:rPr>
            </w:pPr>
            <w:r w:rsidRPr="00C10880">
              <w:rPr>
                <w:rFonts w:ascii="Arial" w:hAnsi="Arial" w:cs="Arial"/>
                <w:color w:val="000000"/>
                <w:sz w:val="18"/>
                <w:szCs w:val="18"/>
                <w:lang w:eastAsia="en-US"/>
              </w:rPr>
              <w:t xml:space="preserve">96.8 </w:t>
            </w:r>
          </w:p>
        </w:tc>
        <w:tc>
          <w:tcPr>
            <w:tcW w:w="965" w:type="dxa"/>
            <w:tcBorders>
              <w:top w:val="none" w:sz="0" w:space="0" w:color="auto"/>
              <w:bottom w:val="none" w:sz="0" w:space="0" w:color="auto"/>
            </w:tcBorders>
            <w:noWrap/>
            <w:hideMark/>
          </w:tcPr>
          <w:p w14:paraId="57B02655" w14:textId="77777777" w:rsidR="00C10880" w:rsidRPr="00C10880" w:rsidRDefault="00C10880" w:rsidP="00C1088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lang w:eastAsia="en-US"/>
              </w:rPr>
            </w:pPr>
            <w:r w:rsidRPr="00C10880">
              <w:rPr>
                <w:rFonts w:ascii="Arial" w:hAnsi="Arial" w:cs="Arial"/>
                <w:color w:val="000000"/>
                <w:sz w:val="18"/>
                <w:szCs w:val="18"/>
                <w:lang w:eastAsia="en-US"/>
              </w:rPr>
              <w:t xml:space="preserve">97.9 </w:t>
            </w:r>
          </w:p>
        </w:tc>
        <w:tc>
          <w:tcPr>
            <w:tcW w:w="1161" w:type="dxa"/>
            <w:tcBorders>
              <w:top w:val="none" w:sz="0" w:space="0" w:color="auto"/>
              <w:bottom w:val="none" w:sz="0" w:space="0" w:color="auto"/>
            </w:tcBorders>
            <w:noWrap/>
            <w:hideMark/>
          </w:tcPr>
          <w:p w14:paraId="1BBB7CB3" w14:textId="77777777" w:rsidR="00C10880" w:rsidRPr="00C10880" w:rsidRDefault="00C10880" w:rsidP="00C1088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lang w:eastAsia="en-US"/>
              </w:rPr>
            </w:pPr>
            <w:r w:rsidRPr="00C10880">
              <w:rPr>
                <w:rFonts w:ascii="Arial" w:hAnsi="Arial" w:cs="Arial"/>
                <w:color w:val="000000"/>
                <w:sz w:val="18"/>
                <w:szCs w:val="18"/>
                <w:lang w:eastAsia="en-US"/>
              </w:rPr>
              <w:t xml:space="preserve">96.1 </w:t>
            </w:r>
          </w:p>
        </w:tc>
        <w:tc>
          <w:tcPr>
            <w:tcW w:w="1134" w:type="dxa"/>
            <w:tcBorders>
              <w:top w:val="none" w:sz="0" w:space="0" w:color="auto"/>
              <w:bottom w:val="none" w:sz="0" w:space="0" w:color="auto"/>
              <w:right w:val="none" w:sz="0" w:space="0" w:color="auto"/>
            </w:tcBorders>
            <w:noWrap/>
            <w:hideMark/>
          </w:tcPr>
          <w:p w14:paraId="02AB8F23" w14:textId="77777777" w:rsidR="00C10880" w:rsidRPr="00C10880" w:rsidRDefault="00C10880" w:rsidP="00C1088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lang w:eastAsia="en-US"/>
              </w:rPr>
            </w:pPr>
            <w:r w:rsidRPr="00C10880">
              <w:rPr>
                <w:rFonts w:ascii="Arial" w:hAnsi="Arial" w:cs="Arial"/>
                <w:color w:val="000000"/>
                <w:sz w:val="18"/>
                <w:szCs w:val="18"/>
                <w:lang w:eastAsia="en-US"/>
              </w:rPr>
              <w:t xml:space="preserve">98.4 </w:t>
            </w:r>
          </w:p>
        </w:tc>
      </w:tr>
      <w:tr w:rsidR="00C10880" w:rsidRPr="00C10880" w14:paraId="5BCE940B" w14:textId="77777777" w:rsidTr="0016330C">
        <w:trPr>
          <w:trHeight w:val="300"/>
        </w:trPr>
        <w:tc>
          <w:tcPr>
            <w:cnfStyle w:val="001000000000" w:firstRow="0" w:lastRow="0" w:firstColumn="1" w:lastColumn="0" w:oddVBand="0" w:evenVBand="0" w:oddHBand="0" w:evenHBand="0" w:firstRowFirstColumn="0" w:firstRowLastColumn="0" w:lastRowFirstColumn="0" w:lastRowLastColumn="0"/>
            <w:tcW w:w="1433" w:type="dxa"/>
            <w:noWrap/>
            <w:hideMark/>
          </w:tcPr>
          <w:p w14:paraId="0A923416" w14:textId="77777777" w:rsidR="00C10880" w:rsidRPr="00C10880" w:rsidRDefault="00C10880" w:rsidP="00C10880">
            <w:pPr>
              <w:jc w:val="right"/>
              <w:rPr>
                <w:rFonts w:ascii="Arial" w:hAnsi="Arial" w:cs="Arial"/>
                <w:color w:val="000000"/>
                <w:sz w:val="18"/>
                <w:szCs w:val="18"/>
                <w:lang w:eastAsia="en-US"/>
              </w:rPr>
            </w:pPr>
            <w:r w:rsidRPr="00C10880">
              <w:rPr>
                <w:rFonts w:ascii="Arial" w:hAnsi="Arial" w:cs="Arial"/>
                <w:color w:val="000000"/>
                <w:sz w:val="18"/>
                <w:szCs w:val="18"/>
                <w:lang w:eastAsia="en-US"/>
              </w:rPr>
              <w:t>80%</w:t>
            </w:r>
          </w:p>
        </w:tc>
        <w:tc>
          <w:tcPr>
            <w:tcW w:w="992" w:type="dxa"/>
            <w:noWrap/>
            <w:hideMark/>
          </w:tcPr>
          <w:p w14:paraId="25E4DDFE" w14:textId="77777777" w:rsidR="00C10880" w:rsidRPr="00C10880" w:rsidRDefault="00C10880" w:rsidP="00C1088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en-US"/>
              </w:rPr>
            </w:pPr>
            <w:r w:rsidRPr="00C10880">
              <w:rPr>
                <w:rFonts w:ascii="Arial" w:hAnsi="Arial" w:cs="Arial"/>
                <w:color w:val="000000"/>
                <w:sz w:val="18"/>
                <w:szCs w:val="18"/>
                <w:lang w:eastAsia="en-US"/>
              </w:rPr>
              <w:t xml:space="preserve">97.4 </w:t>
            </w:r>
          </w:p>
        </w:tc>
        <w:tc>
          <w:tcPr>
            <w:tcW w:w="965" w:type="dxa"/>
            <w:noWrap/>
            <w:hideMark/>
          </w:tcPr>
          <w:p w14:paraId="582511B9" w14:textId="77777777" w:rsidR="00C10880" w:rsidRPr="00C10880" w:rsidRDefault="00C10880" w:rsidP="00C1088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en-US"/>
              </w:rPr>
            </w:pPr>
            <w:r w:rsidRPr="00C10880">
              <w:rPr>
                <w:rFonts w:ascii="Arial" w:hAnsi="Arial" w:cs="Arial"/>
                <w:color w:val="000000"/>
                <w:sz w:val="18"/>
                <w:szCs w:val="18"/>
                <w:lang w:eastAsia="en-US"/>
              </w:rPr>
              <w:t xml:space="preserve">98.4 </w:t>
            </w:r>
          </w:p>
        </w:tc>
        <w:tc>
          <w:tcPr>
            <w:tcW w:w="1161" w:type="dxa"/>
            <w:noWrap/>
            <w:hideMark/>
          </w:tcPr>
          <w:p w14:paraId="2125BED9" w14:textId="77777777" w:rsidR="00C10880" w:rsidRPr="00C10880" w:rsidRDefault="00C10880" w:rsidP="00C1088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en-US"/>
              </w:rPr>
            </w:pPr>
            <w:r w:rsidRPr="00C10880">
              <w:rPr>
                <w:rFonts w:ascii="Arial" w:hAnsi="Arial" w:cs="Arial"/>
                <w:color w:val="000000"/>
                <w:sz w:val="18"/>
                <w:szCs w:val="18"/>
                <w:lang w:eastAsia="en-US"/>
              </w:rPr>
              <w:t xml:space="preserve">97.4 </w:t>
            </w:r>
          </w:p>
        </w:tc>
        <w:tc>
          <w:tcPr>
            <w:tcW w:w="1134" w:type="dxa"/>
            <w:noWrap/>
            <w:hideMark/>
          </w:tcPr>
          <w:p w14:paraId="4017601A" w14:textId="77777777" w:rsidR="00C10880" w:rsidRPr="00C10880" w:rsidRDefault="00C10880" w:rsidP="00C1088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en-US"/>
              </w:rPr>
            </w:pPr>
            <w:r w:rsidRPr="00C10880">
              <w:rPr>
                <w:rFonts w:ascii="Arial" w:hAnsi="Arial" w:cs="Arial"/>
                <w:color w:val="000000"/>
                <w:sz w:val="18"/>
                <w:szCs w:val="18"/>
                <w:lang w:eastAsia="en-US"/>
              </w:rPr>
              <w:t xml:space="preserve">98.9 </w:t>
            </w:r>
          </w:p>
        </w:tc>
      </w:tr>
      <w:tr w:rsidR="00C10880" w:rsidRPr="00C10880" w14:paraId="53304F34" w14:textId="77777777" w:rsidTr="0016330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33" w:type="dxa"/>
            <w:tcBorders>
              <w:top w:val="none" w:sz="0" w:space="0" w:color="auto"/>
              <w:left w:val="none" w:sz="0" w:space="0" w:color="auto"/>
              <w:bottom w:val="none" w:sz="0" w:space="0" w:color="auto"/>
            </w:tcBorders>
            <w:noWrap/>
            <w:hideMark/>
          </w:tcPr>
          <w:p w14:paraId="1F125898" w14:textId="77777777" w:rsidR="00C10880" w:rsidRPr="00C10880" w:rsidRDefault="00C10880" w:rsidP="00C10880">
            <w:pPr>
              <w:jc w:val="right"/>
              <w:rPr>
                <w:rFonts w:ascii="Arial" w:hAnsi="Arial" w:cs="Arial"/>
                <w:color w:val="000000"/>
                <w:sz w:val="18"/>
                <w:szCs w:val="18"/>
                <w:lang w:eastAsia="en-US"/>
              </w:rPr>
            </w:pPr>
            <w:r w:rsidRPr="00C10880">
              <w:rPr>
                <w:rFonts w:ascii="Arial" w:hAnsi="Arial" w:cs="Arial"/>
                <w:color w:val="000000"/>
                <w:sz w:val="18"/>
                <w:szCs w:val="18"/>
                <w:lang w:eastAsia="en-US"/>
              </w:rPr>
              <w:t>90%</w:t>
            </w:r>
          </w:p>
        </w:tc>
        <w:tc>
          <w:tcPr>
            <w:tcW w:w="992" w:type="dxa"/>
            <w:tcBorders>
              <w:top w:val="none" w:sz="0" w:space="0" w:color="auto"/>
              <w:bottom w:val="none" w:sz="0" w:space="0" w:color="auto"/>
            </w:tcBorders>
            <w:noWrap/>
            <w:hideMark/>
          </w:tcPr>
          <w:p w14:paraId="1DDD7698" w14:textId="77777777" w:rsidR="00C10880" w:rsidRPr="00C10880" w:rsidRDefault="00C10880" w:rsidP="00C1088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lang w:eastAsia="en-US"/>
              </w:rPr>
            </w:pPr>
            <w:r w:rsidRPr="00C10880">
              <w:rPr>
                <w:rFonts w:ascii="Arial" w:hAnsi="Arial" w:cs="Arial"/>
                <w:color w:val="000000"/>
                <w:sz w:val="18"/>
                <w:szCs w:val="18"/>
                <w:lang w:eastAsia="en-US"/>
              </w:rPr>
              <w:t xml:space="preserve">98.7 </w:t>
            </w:r>
          </w:p>
        </w:tc>
        <w:tc>
          <w:tcPr>
            <w:tcW w:w="965" w:type="dxa"/>
            <w:tcBorders>
              <w:top w:val="none" w:sz="0" w:space="0" w:color="auto"/>
              <w:bottom w:val="none" w:sz="0" w:space="0" w:color="auto"/>
            </w:tcBorders>
            <w:noWrap/>
            <w:hideMark/>
          </w:tcPr>
          <w:p w14:paraId="541B619C" w14:textId="77777777" w:rsidR="00C10880" w:rsidRPr="00C10880" w:rsidRDefault="00C10880" w:rsidP="00C1088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lang w:eastAsia="en-US"/>
              </w:rPr>
            </w:pPr>
            <w:r w:rsidRPr="00C10880">
              <w:rPr>
                <w:rFonts w:ascii="Arial" w:hAnsi="Arial" w:cs="Arial"/>
                <w:color w:val="000000"/>
                <w:sz w:val="18"/>
                <w:szCs w:val="18"/>
                <w:lang w:eastAsia="en-US"/>
              </w:rPr>
              <w:t xml:space="preserve">99.2 </w:t>
            </w:r>
          </w:p>
        </w:tc>
        <w:tc>
          <w:tcPr>
            <w:tcW w:w="1161" w:type="dxa"/>
            <w:tcBorders>
              <w:top w:val="none" w:sz="0" w:space="0" w:color="auto"/>
              <w:bottom w:val="none" w:sz="0" w:space="0" w:color="auto"/>
            </w:tcBorders>
            <w:noWrap/>
            <w:hideMark/>
          </w:tcPr>
          <w:p w14:paraId="397C86F2" w14:textId="77777777" w:rsidR="00C10880" w:rsidRPr="00C10880" w:rsidRDefault="00C10880" w:rsidP="00C1088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lang w:eastAsia="en-US"/>
              </w:rPr>
            </w:pPr>
            <w:r w:rsidRPr="00C10880">
              <w:rPr>
                <w:rFonts w:ascii="Arial" w:hAnsi="Arial" w:cs="Arial"/>
                <w:color w:val="000000"/>
                <w:sz w:val="18"/>
                <w:szCs w:val="18"/>
                <w:lang w:eastAsia="en-US"/>
              </w:rPr>
              <w:t xml:space="preserve">98.7 </w:t>
            </w:r>
          </w:p>
        </w:tc>
        <w:tc>
          <w:tcPr>
            <w:tcW w:w="1134" w:type="dxa"/>
            <w:tcBorders>
              <w:top w:val="none" w:sz="0" w:space="0" w:color="auto"/>
              <w:bottom w:val="none" w:sz="0" w:space="0" w:color="auto"/>
              <w:right w:val="none" w:sz="0" w:space="0" w:color="auto"/>
            </w:tcBorders>
            <w:noWrap/>
            <w:hideMark/>
          </w:tcPr>
          <w:p w14:paraId="7951D39E" w14:textId="77777777" w:rsidR="00C10880" w:rsidRPr="00C10880" w:rsidRDefault="00C10880" w:rsidP="00C1088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lang w:eastAsia="en-US"/>
              </w:rPr>
            </w:pPr>
            <w:r w:rsidRPr="00C10880">
              <w:rPr>
                <w:rFonts w:ascii="Arial" w:hAnsi="Arial" w:cs="Arial"/>
                <w:color w:val="000000"/>
                <w:sz w:val="18"/>
                <w:szCs w:val="18"/>
                <w:lang w:eastAsia="en-US"/>
              </w:rPr>
              <w:t xml:space="preserve">99.4 </w:t>
            </w:r>
          </w:p>
        </w:tc>
      </w:tr>
      <w:tr w:rsidR="00C10880" w:rsidRPr="00C10880" w14:paraId="226F87DE" w14:textId="77777777" w:rsidTr="0016330C">
        <w:trPr>
          <w:trHeight w:val="300"/>
        </w:trPr>
        <w:tc>
          <w:tcPr>
            <w:cnfStyle w:val="001000000000" w:firstRow="0" w:lastRow="0" w:firstColumn="1" w:lastColumn="0" w:oddVBand="0" w:evenVBand="0" w:oddHBand="0" w:evenHBand="0" w:firstRowFirstColumn="0" w:firstRowLastColumn="0" w:lastRowFirstColumn="0" w:lastRowLastColumn="0"/>
            <w:tcW w:w="1433" w:type="dxa"/>
            <w:noWrap/>
            <w:hideMark/>
          </w:tcPr>
          <w:p w14:paraId="6FFB11EE" w14:textId="77777777" w:rsidR="00C10880" w:rsidRPr="00C10880" w:rsidRDefault="00C10880" w:rsidP="00C10880">
            <w:pPr>
              <w:jc w:val="right"/>
              <w:rPr>
                <w:rFonts w:ascii="Arial" w:hAnsi="Arial" w:cs="Arial"/>
                <w:color w:val="000000"/>
                <w:sz w:val="18"/>
                <w:szCs w:val="18"/>
                <w:lang w:eastAsia="en-US"/>
              </w:rPr>
            </w:pPr>
            <w:r w:rsidRPr="00C10880">
              <w:rPr>
                <w:rFonts w:ascii="Arial" w:hAnsi="Arial" w:cs="Arial"/>
                <w:color w:val="000000"/>
                <w:sz w:val="18"/>
                <w:szCs w:val="18"/>
                <w:lang w:eastAsia="en-US"/>
              </w:rPr>
              <w:t>99%</w:t>
            </w:r>
          </w:p>
        </w:tc>
        <w:tc>
          <w:tcPr>
            <w:tcW w:w="992" w:type="dxa"/>
            <w:noWrap/>
            <w:hideMark/>
          </w:tcPr>
          <w:p w14:paraId="0DEBCC21" w14:textId="77777777" w:rsidR="00C10880" w:rsidRPr="00C10880" w:rsidRDefault="00C10880" w:rsidP="00C1088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en-US"/>
              </w:rPr>
            </w:pPr>
            <w:r w:rsidRPr="00C10880">
              <w:rPr>
                <w:rFonts w:ascii="Arial" w:hAnsi="Arial" w:cs="Arial"/>
                <w:color w:val="000000"/>
                <w:sz w:val="18"/>
                <w:szCs w:val="18"/>
                <w:lang w:eastAsia="en-US"/>
              </w:rPr>
              <w:t xml:space="preserve">99.9 </w:t>
            </w:r>
          </w:p>
        </w:tc>
        <w:tc>
          <w:tcPr>
            <w:tcW w:w="965" w:type="dxa"/>
            <w:noWrap/>
            <w:hideMark/>
          </w:tcPr>
          <w:p w14:paraId="2A02BA6C" w14:textId="77777777" w:rsidR="00C10880" w:rsidRPr="00C10880" w:rsidRDefault="00C10880" w:rsidP="00C1088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en-US"/>
              </w:rPr>
            </w:pPr>
            <w:r w:rsidRPr="00C10880">
              <w:rPr>
                <w:rFonts w:ascii="Arial" w:hAnsi="Arial" w:cs="Arial"/>
                <w:color w:val="000000"/>
                <w:sz w:val="18"/>
                <w:szCs w:val="18"/>
                <w:lang w:eastAsia="en-US"/>
              </w:rPr>
              <w:t xml:space="preserve">99.9 </w:t>
            </w:r>
          </w:p>
        </w:tc>
        <w:tc>
          <w:tcPr>
            <w:tcW w:w="1161" w:type="dxa"/>
            <w:noWrap/>
            <w:hideMark/>
          </w:tcPr>
          <w:p w14:paraId="45B6900F" w14:textId="77777777" w:rsidR="00C10880" w:rsidRPr="00C10880" w:rsidRDefault="00C10880" w:rsidP="00C1088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en-US"/>
              </w:rPr>
            </w:pPr>
            <w:r w:rsidRPr="00C10880">
              <w:rPr>
                <w:rFonts w:ascii="Arial" w:hAnsi="Arial" w:cs="Arial"/>
                <w:color w:val="000000"/>
                <w:sz w:val="18"/>
                <w:szCs w:val="18"/>
                <w:lang w:eastAsia="en-US"/>
              </w:rPr>
              <w:t xml:space="preserve">99.9 </w:t>
            </w:r>
          </w:p>
        </w:tc>
        <w:tc>
          <w:tcPr>
            <w:tcW w:w="1134" w:type="dxa"/>
            <w:noWrap/>
            <w:hideMark/>
          </w:tcPr>
          <w:p w14:paraId="07C16C97" w14:textId="77777777" w:rsidR="00C10880" w:rsidRPr="00C10880" w:rsidRDefault="00C10880" w:rsidP="00C1088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en-US"/>
              </w:rPr>
            </w:pPr>
            <w:r w:rsidRPr="00C10880">
              <w:rPr>
                <w:rFonts w:ascii="Arial" w:hAnsi="Arial" w:cs="Arial"/>
                <w:color w:val="000000"/>
                <w:sz w:val="18"/>
                <w:szCs w:val="18"/>
                <w:lang w:eastAsia="en-US"/>
              </w:rPr>
              <w:t xml:space="preserve">99.9 </w:t>
            </w:r>
          </w:p>
        </w:tc>
      </w:tr>
    </w:tbl>
    <w:p w14:paraId="287D0E59" w14:textId="1E87B045" w:rsidR="00C10880" w:rsidRPr="00C83F0C" w:rsidRDefault="00C10880" w:rsidP="003C5C54">
      <w:pPr>
        <w:keepNext/>
        <w:keepLines/>
        <w:rPr>
          <w:b/>
          <w:sz w:val="18"/>
          <w:szCs w:val="18"/>
        </w:rPr>
      </w:pPr>
      <w:r w:rsidRPr="00C83F0C">
        <w:rPr>
          <w:b/>
          <w:sz w:val="18"/>
          <w:szCs w:val="18"/>
        </w:rPr>
        <w:lastRenderedPageBreak/>
        <w:t>Table 7: Number of services by provider specialty under item 18379 between 2014-15 and 2016-17 (to 31 Dec 16)</w:t>
      </w:r>
    </w:p>
    <w:tbl>
      <w:tblPr>
        <w:tblStyle w:val="LightList-Accent1"/>
        <w:tblW w:w="60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able 7 presents the practitioner specialities for service providers of MBS item 18379 from 2014-15 to 2016-17. The 2016-17 financial year only includes data to 31 December 2016.  There are three columns: 1) Provider specialty, 2) number of services, 3) percentage of services. The practitioner speciality is separated by rows, with separate rows for urology, obstetrics and gynaecology and urogynaecology. "/>
      </w:tblPr>
      <w:tblGrid>
        <w:gridCol w:w="3600"/>
        <w:gridCol w:w="1235"/>
        <w:gridCol w:w="1235"/>
      </w:tblGrid>
      <w:tr w:rsidR="00C10880" w:rsidRPr="00C10880" w14:paraId="4035EB11" w14:textId="77777777" w:rsidTr="000C7515">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3600" w:type="dxa"/>
            <w:noWrap/>
            <w:hideMark/>
          </w:tcPr>
          <w:p w14:paraId="609C4665" w14:textId="77777777" w:rsidR="00C10880" w:rsidRPr="00C10880" w:rsidRDefault="00C10880" w:rsidP="003C5C54">
            <w:pPr>
              <w:keepNext/>
              <w:keepLines/>
              <w:jc w:val="center"/>
              <w:rPr>
                <w:rFonts w:ascii="Arial" w:hAnsi="Arial" w:cs="Arial"/>
                <w:b w:val="0"/>
                <w:bCs w:val="0"/>
                <w:color w:val="FFFFFF"/>
                <w:sz w:val="18"/>
                <w:szCs w:val="18"/>
                <w:lang w:eastAsia="en-US"/>
              </w:rPr>
            </w:pPr>
            <w:r w:rsidRPr="00C10880">
              <w:rPr>
                <w:rFonts w:ascii="Arial" w:hAnsi="Arial" w:cs="Arial"/>
                <w:b w:val="0"/>
                <w:bCs w:val="0"/>
                <w:color w:val="FFFFFF"/>
                <w:sz w:val="18"/>
                <w:szCs w:val="18"/>
                <w:lang w:eastAsia="en-US"/>
              </w:rPr>
              <w:t>Derived Major Specialty</w:t>
            </w:r>
          </w:p>
        </w:tc>
        <w:tc>
          <w:tcPr>
            <w:tcW w:w="1235" w:type="dxa"/>
            <w:hideMark/>
          </w:tcPr>
          <w:p w14:paraId="66457744" w14:textId="77777777" w:rsidR="00C10880" w:rsidRPr="00C10880" w:rsidRDefault="00C10880" w:rsidP="003C5C54">
            <w:pPr>
              <w:keepNext/>
              <w:keepLines/>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sz w:val="18"/>
                <w:szCs w:val="18"/>
                <w:lang w:eastAsia="en-US"/>
              </w:rPr>
            </w:pPr>
            <w:r w:rsidRPr="00C10880">
              <w:rPr>
                <w:rFonts w:ascii="Arial" w:hAnsi="Arial" w:cs="Arial"/>
                <w:b w:val="0"/>
                <w:bCs w:val="0"/>
                <w:color w:val="FFFFFF"/>
                <w:sz w:val="18"/>
                <w:szCs w:val="18"/>
                <w:lang w:eastAsia="en-US"/>
              </w:rPr>
              <w:t>Number of services</w:t>
            </w:r>
          </w:p>
        </w:tc>
        <w:tc>
          <w:tcPr>
            <w:tcW w:w="1235" w:type="dxa"/>
          </w:tcPr>
          <w:p w14:paraId="11FD5F19" w14:textId="77777777" w:rsidR="00C10880" w:rsidRPr="00C10880" w:rsidRDefault="00C10880" w:rsidP="003C5C54">
            <w:pPr>
              <w:keepNext/>
              <w:keepLines/>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sz w:val="18"/>
                <w:szCs w:val="18"/>
                <w:lang w:eastAsia="en-US"/>
              </w:rPr>
            </w:pPr>
            <w:r w:rsidRPr="00C10880">
              <w:rPr>
                <w:rFonts w:ascii="Arial" w:hAnsi="Arial" w:cs="Arial"/>
                <w:b w:val="0"/>
                <w:bCs w:val="0"/>
                <w:color w:val="FFFFFF"/>
                <w:sz w:val="18"/>
                <w:szCs w:val="18"/>
                <w:lang w:eastAsia="en-US"/>
              </w:rPr>
              <w:t>Percentage</w:t>
            </w:r>
          </w:p>
        </w:tc>
      </w:tr>
      <w:tr w:rsidR="00C10880" w:rsidRPr="00C10880" w14:paraId="039B69A9" w14:textId="77777777" w:rsidTr="0016330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00" w:type="dxa"/>
            <w:tcBorders>
              <w:top w:val="none" w:sz="0" w:space="0" w:color="auto"/>
              <w:left w:val="none" w:sz="0" w:space="0" w:color="auto"/>
              <w:bottom w:val="none" w:sz="0" w:space="0" w:color="auto"/>
            </w:tcBorders>
            <w:noWrap/>
            <w:hideMark/>
          </w:tcPr>
          <w:p w14:paraId="6F87D2B9" w14:textId="77777777" w:rsidR="00C10880" w:rsidRPr="00C10880" w:rsidRDefault="00C10880" w:rsidP="003C5C54">
            <w:pPr>
              <w:keepNext/>
              <w:keepLines/>
              <w:rPr>
                <w:rFonts w:ascii="Arial" w:hAnsi="Arial" w:cs="Arial"/>
                <w:color w:val="000000"/>
                <w:sz w:val="18"/>
                <w:szCs w:val="18"/>
                <w:lang w:eastAsia="en-US"/>
              </w:rPr>
            </w:pPr>
            <w:r w:rsidRPr="00C10880">
              <w:rPr>
                <w:rFonts w:ascii="Arial" w:hAnsi="Arial" w:cs="Arial"/>
                <w:color w:val="000000"/>
                <w:sz w:val="18"/>
                <w:szCs w:val="18"/>
                <w:lang w:eastAsia="en-US"/>
              </w:rPr>
              <w:t>Specialist - Surgery - Urology</w:t>
            </w:r>
          </w:p>
        </w:tc>
        <w:tc>
          <w:tcPr>
            <w:tcW w:w="1235" w:type="dxa"/>
            <w:tcBorders>
              <w:top w:val="none" w:sz="0" w:space="0" w:color="auto"/>
              <w:bottom w:val="none" w:sz="0" w:space="0" w:color="auto"/>
            </w:tcBorders>
            <w:noWrap/>
            <w:hideMark/>
          </w:tcPr>
          <w:p w14:paraId="48AC0475" w14:textId="77777777" w:rsidR="00C10880" w:rsidRPr="00C10880" w:rsidRDefault="00C10880" w:rsidP="003C5C54">
            <w:pPr>
              <w:keepNext/>
              <w:keepLines/>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lang w:eastAsia="en-US"/>
              </w:rPr>
            </w:pPr>
            <w:r w:rsidRPr="00C10880">
              <w:rPr>
                <w:rFonts w:ascii="Arial" w:hAnsi="Arial" w:cs="Arial"/>
                <w:color w:val="000000"/>
                <w:sz w:val="18"/>
                <w:szCs w:val="18"/>
                <w:lang w:eastAsia="en-US"/>
              </w:rPr>
              <w:t>1,374</w:t>
            </w:r>
          </w:p>
        </w:tc>
        <w:tc>
          <w:tcPr>
            <w:tcW w:w="1235" w:type="dxa"/>
            <w:tcBorders>
              <w:top w:val="none" w:sz="0" w:space="0" w:color="auto"/>
              <w:bottom w:val="none" w:sz="0" w:space="0" w:color="auto"/>
              <w:right w:val="none" w:sz="0" w:space="0" w:color="auto"/>
            </w:tcBorders>
          </w:tcPr>
          <w:p w14:paraId="0A33E316" w14:textId="77777777" w:rsidR="00C10880" w:rsidRPr="00C10880" w:rsidRDefault="00C10880" w:rsidP="003C5C54">
            <w:pPr>
              <w:keepNext/>
              <w:keepLines/>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lang w:eastAsia="en-US"/>
              </w:rPr>
            </w:pPr>
            <w:r w:rsidRPr="00C10880">
              <w:rPr>
                <w:rFonts w:ascii="Arial" w:hAnsi="Arial" w:cs="Arial"/>
                <w:color w:val="000000"/>
                <w:sz w:val="18"/>
                <w:szCs w:val="18"/>
                <w:lang w:eastAsia="en-US"/>
              </w:rPr>
              <w:t>88%</w:t>
            </w:r>
          </w:p>
        </w:tc>
      </w:tr>
      <w:tr w:rsidR="00C10880" w:rsidRPr="00C10880" w14:paraId="7C7A7291" w14:textId="77777777" w:rsidTr="0016330C">
        <w:trPr>
          <w:trHeight w:val="300"/>
        </w:trPr>
        <w:tc>
          <w:tcPr>
            <w:cnfStyle w:val="001000000000" w:firstRow="0" w:lastRow="0" w:firstColumn="1" w:lastColumn="0" w:oddVBand="0" w:evenVBand="0" w:oddHBand="0" w:evenHBand="0" w:firstRowFirstColumn="0" w:firstRowLastColumn="0" w:lastRowFirstColumn="0" w:lastRowLastColumn="0"/>
            <w:tcW w:w="3600" w:type="dxa"/>
            <w:noWrap/>
            <w:hideMark/>
          </w:tcPr>
          <w:p w14:paraId="7C312161" w14:textId="77777777" w:rsidR="00C10880" w:rsidRPr="00C10880" w:rsidRDefault="00C10880" w:rsidP="003C5C54">
            <w:pPr>
              <w:keepNext/>
              <w:keepLines/>
              <w:rPr>
                <w:rFonts w:ascii="Arial" w:hAnsi="Arial" w:cs="Arial"/>
                <w:color w:val="000000"/>
                <w:sz w:val="18"/>
                <w:szCs w:val="18"/>
                <w:lang w:eastAsia="en-US"/>
              </w:rPr>
            </w:pPr>
            <w:r w:rsidRPr="00C10880">
              <w:rPr>
                <w:rFonts w:ascii="Arial" w:hAnsi="Arial" w:cs="Arial"/>
                <w:color w:val="000000"/>
                <w:sz w:val="18"/>
                <w:szCs w:val="18"/>
                <w:lang w:eastAsia="en-US"/>
              </w:rPr>
              <w:t>Specialist - Obstetrics and Gynaecology</w:t>
            </w:r>
          </w:p>
        </w:tc>
        <w:tc>
          <w:tcPr>
            <w:tcW w:w="1235" w:type="dxa"/>
            <w:noWrap/>
            <w:hideMark/>
          </w:tcPr>
          <w:p w14:paraId="03DA6DCB" w14:textId="77777777" w:rsidR="00C10880" w:rsidRPr="00C10880" w:rsidRDefault="00C10880" w:rsidP="003C5C54">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en-US"/>
              </w:rPr>
            </w:pPr>
            <w:r w:rsidRPr="00C10880">
              <w:rPr>
                <w:rFonts w:ascii="Arial" w:hAnsi="Arial" w:cs="Arial"/>
                <w:color w:val="000000"/>
                <w:sz w:val="18"/>
                <w:szCs w:val="18"/>
                <w:lang w:eastAsia="en-US"/>
              </w:rPr>
              <w:t>103</w:t>
            </w:r>
          </w:p>
        </w:tc>
        <w:tc>
          <w:tcPr>
            <w:tcW w:w="1235" w:type="dxa"/>
          </w:tcPr>
          <w:p w14:paraId="6DB2B945" w14:textId="77777777" w:rsidR="00C10880" w:rsidRPr="00C10880" w:rsidRDefault="00C10880" w:rsidP="003C5C54">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en-US"/>
              </w:rPr>
            </w:pPr>
            <w:r w:rsidRPr="00C10880">
              <w:rPr>
                <w:rFonts w:ascii="Arial" w:hAnsi="Arial" w:cs="Arial"/>
                <w:color w:val="000000"/>
                <w:sz w:val="18"/>
                <w:szCs w:val="18"/>
                <w:lang w:eastAsia="en-US"/>
              </w:rPr>
              <w:t>7%</w:t>
            </w:r>
          </w:p>
        </w:tc>
      </w:tr>
      <w:tr w:rsidR="00C10880" w:rsidRPr="00C10880" w14:paraId="3EB67BD2" w14:textId="77777777" w:rsidTr="0016330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00" w:type="dxa"/>
            <w:tcBorders>
              <w:top w:val="none" w:sz="0" w:space="0" w:color="auto"/>
              <w:left w:val="none" w:sz="0" w:space="0" w:color="auto"/>
              <w:bottom w:val="none" w:sz="0" w:space="0" w:color="auto"/>
            </w:tcBorders>
            <w:noWrap/>
            <w:hideMark/>
          </w:tcPr>
          <w:p w14:paraId="008A111A" w14:textId="77777777" w:rsidR="00C10880" w:rsidRPr="00C10880" w:rsidRDefault="00C10880" w:rsidP="003C5C54">
            <w:pPr>
              <w:keepNext/>
              <w:keepLines/>
              <w:rPr>
                <w:rFonts w:ascii="Arial" w:hAnsi="Arial" w:cs="Arial"/>
                <w:color w:val="000000"/>
                <w:sz w:val="18"/>
                <w:szCs w:val="18"/>
                <w:lang w:eastAsia="en-US"/>
              </w:rPr>
            </w:pPr>
            <w:r w:rsidRPr="00C10880">
              <w:rPr>
                <w:rFonts w:ascii="Arial" w:hAnsi="Arial" w:cs="Arial"/>
                <w:color w:val="000000"/>
                <w:sz w:val="18"/>
                <w:szCs w:val="18"/>
                <w:lang w:eastAsia="en-US"/>
              </w:rPr>
              <w:t xml:space="preserve">Specialist - </w:t>
            </w:r>
            <w:proofErr w:type="spellStart"/>
            <w:r w:rsidRPr="00C10880">
              <w:rPr>
                <w:rFonts w:ascii="Arial" w:hAnsi="Arial" w:cs="Arial"/>
                <w:color w:val="000000"/>
                <w:sz w:val="18"/>
                <w:szCs w:val="18"/>
                <w:lang w:eastAsia="en-US"/>
              </w:rPr>
              <w:t>Urogynaecology</w:t>
            </w:r>
            <w:proofErr w:type="spellEnd"/>
          </w:p>
        </w:tc>
        <w:tc>
          <w:tcPr>
            <w:tcW w:w="1235" w:type="dxa"/>
            <w:tcBorders>
              <w:top w:val="none" w:sz="0" w:space="0" w:color="auto"/>
              <w:bottom w:val="none" w:sz="0" w:space="0" w:color="auto"/>
            </w:tcBorders>
            <w:noWrap/>
            <w:hideMark/>
          </w:tcPr>
          <w:p w14:paraId="4BBEBFA0" w14:textId="77777777" w:rsidR="00C10880" w:rsidRPr="00C10880" w:rsidRDefault="00C10880" w:rsidP="003C5C54">
            <w:pPr>
              <w:keepNext/>
              <w:keepLines/>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lang w:eastAsia="en-US"/>
              </w:rPr>
            </w:pPr>
            <w:r w:rsidRPr="00C10880">
              <w:rPr>
                <w:rFonts w:ascii="Arial" w:hAnsi="Arial" w:cs="Arial"/>
                <w:color w:val="000000"/>
                <w:sz w:val="18"/>
                <w:szCs w:val="18"/>
                <w:lang w:eastAsia="en-US"/>
              </w:rPr>
              <w:t>92</w:t>
            </w:r>
          </w:p>
        </w:tc>
        <w:tc>
          <w:tcPr>
            <w:tcW w:w="1235" w:type="dxa"/>
            <w:tcBorders>
              <w:top w:val="none" w:sz="0" w:space="0" w:color="auto"/>
              <w:bottom w:val="none" w:sz="0" w:space="0" w:color="auto"/>
              <w:right w:val="none" w:sz="0" w:space="0" w:color="auto"/>
            </w:tcBorders>
          </w:tcPr>
          <w:p w14:paraId="6FCA4B45" w14:textId="77777777" w:rsidR="00C10880" w:rsidRPr="00C10880" w:rsidRDefault="00C10880" w:rsidP="003C5C54">
            <w:pPr>
              <w:keepNext/>
              <w:keepLines/>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lang w:eastAsia="en-US"/>
              </w:rPr>
            </w:pPr>
            <w:r w:rsidRPr="00C10880">
              <w:rPr>
                <w:rFonts w:ascii="Arial" w:hAnsi="Arial" w:cs="Arial"/>
                <w:color w:val="000000"/>
                <w:sz w:val="18"/>
                <w:szCs w:val="18"/>
                <w:lang w:eastAsia="en-US"/>
              </w:rPr>
              <w:t>6%</w:t>
            </w:r>
          </w:p>
        </w:tc>
      </w:tr>
    </w:tbl>
    <w:p w14:paraId="282D7499" w14:textId="300BAEB2" w:rsidR="00275470" w:rsidRDefault="007F631E" w:rsidP="003C5C54">
      <w:pPr>
        <w:keepNext/>
        <w:keepLines/>
        <w:rPr>
          <w:bCs/>
          <w:sz w:val="18"/>
          <w:szCs w:val="18"/>
          <w:lang w:eastAsia="en-US"/>
        </w:rPr>
      </w:pPr>
      <w:r w:rsidRPr="00C10880">
        <w:rPr>
          <w:bCs/>
          <w:sz w:val="18"/>
          <w:szCs w:val="18"/>
          <w:lang w:eastAsia="en-US"/>
        </w:rPr>
        <w:t xml:space="preserve">Source for tables </w:t>
      </w:r>
      <w:r>
        <w:rPr>
          <w:bCs/>
          <w:sz w:val="18"/>
          <w:szCs w:val="18"/>
          <w:lang w:eastAsia="en-US"/>
        </w:rPr>
        <w:t>5</w:t>
      </w:r>
      <w:r w:rsidRPr="00C10880">
        <w:rPr>
          <w:bCs/>
          <w:sz w:val="18"/>
          <w:szCs w:val="18"/>
          <w:lang w:eastAsia="en-US"/>
        </w:rPr>
        <w:t>-</w:t>
      </w:r>
      <w:r>
        <w:rPr>
          <w:bCs/>
          <w:sz w:val="18"/>
          <w:szCs w:val="18"/>
          <w:lang w:eastAsia="en-US"/>
        </w:rPr>
        <w:t>7: Department of Health</w:t>
      </w:r>
      <w:bookmarkStart w:id="1" w:name="_Toc482025735"/>
    </w:p>
    <w:p w14:paraId="15C5BCF8" w14:textId="77777777" w:rsidR="00500F8B" w:rsidRPr="00862D1A" w:rsidRDefault="00500F8B" w:rsidP="00AA446B">
      <w:pPr>
        <w:pStyle w:val="Heading2"/>
        <w:spacing w:before="240"/>
      </w:pPr>
      <w:r w:rsidRPr="00862D1A">
        <w:t>Co-claiming</w:t>
      </w:r>
      <w:bookmarkEnd w:id="1"/>
      <w:r w:rsidRPr="00862D1A">
        <w:t xml:space="preserve"> </w:t>
      </w:r>
    </w:p>
    <w:p w14:paraId="3D0341BA" w14:textId="72C97ED7" w:rsidR="00500F8B" w:rsidRPr="00500F8B" w:rsidRDefault="00500F8B" w:rsidP="003C5C54">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after="240"/>
        <w:rPr>
          <w:szCs w:val="24"/>
          <w:lang w:eastAsia="en-US"/>
        </w:rPr>
      </w:pPr>
      <w:r w:rsidRPr="00500F8B">
        <w:rPr>
          <w:szCs w:val="24"/>
          <w:lang w:eastAsia="en-US"/>
        </w:rPr>
        <w:t>In the majority of cases (about 80% of episodes), item 18379 was not claimed with another item (Tables 10-12). Similar to the finding in the predicted vs actual report for item 18375, the most common co-claimed items were those for cystoscopy (including items 36827, 36840 and 36812)</w:t>
      </w:r>
      <w:r w:rsidR="00450C04">
        <w:rPr>
          <w:szCs w:val="24"/>
          <w:lang w:eastAsia="en-US"/>
        </w:rPr>
        <w:t xml:space="preserve">. </w:t>
      </w:r>
      <w:r w:rsidRPr="00500F8B">
        <w:rPr>
          <w:szCs w:val="24"/>
          <w:lang w:eastAsia="en-US"/>
        </w:rPr>
        <w:t>The co-claiming of item 36812 may be inappropriate given the descriptor of this item specifies “not being a service associated with any other urological endoscopic procedure on the lower urinary tract except a service to which item 37327 applies”.</w:t>
      </w:r>
    </w:p>
    <w:p w14:paraId="50565DEC" w14:textId="385AFDED" w:rsidR="00500F8B" w:rsidRPr="00500F8B" w:rsidRDefault="00500F8B" w:rsidP="003C5C54">
      <w:pPr>
        <w:spacing w:after="240"/>
        <w:rPr>
          <w:szCs w:val="24"/>
          <w:lang w:eastAsia="en-US"/>
        </w:rPr>
      </w:pPr>
      <w:r w:rsidRPr="00500F8B">
        <w:rPr>
          <w:szCs w:val="24"/>
          <w:lang w:eastAsia="en-US"/>
        </w:rPr>
        <w:t xml:space="preserve">While the injection service provided under item 18379 already includes cystoscopy, the cystoscopy items being co-claimed appear to relate to the provision of other services such as diathermy, biopsy or </w:t>
      </w:r>
      <w:proofErr w:type="spellStart"/>
      <w:r w:rsidRPr="00500F8B">
        <w:rPr>
          <w:szCs w:val="24"/>
          <w:lang w:eastAsia="en-US"/>
        </w:rPr>
        <w:t>hydrodilatation</w:t>
      </w:r>
      <w:proofErr w:type="spellEnd"/>
      <w:r w:rsidR="00450C04">
        <w:rPr>
          <w:szCs w:val="24"/>
          <w:lang w:eastAsia="en-US"/>
        </w:rPr>
        <w:t xml:space="preserve">. </w:t>
      </w:r>
      <w:r w:rsidRPr="00500F8B">
        <w:rPr>
          <w:szCs w:val="24"/>
          <w:lang w:eastAsia="en-US"/>
        </w:rPr>
        <w:t>The service was also co-claimed with specialist consultation items 104, 105 and item 11900 (urine flow study). The claiming of these items on the same occasion of service is specifically prohibited in the descriptor of item 18379.</w:t>
      </w:r>
    </w:p>
    <w:p w14:paraId="5D711743" w14:textId="76540535" w:rsidR="00500F8B" w:rsidRPr="003C5C54" w:rsidRDefault="00500F8B" w:rsidP="003C5C54">
      <w:pPr>
        <w:spacing w:after="240"/>
        <w:rPr>
          <w:szCs w:val="24"/>
          <w:lang w:eastAsia="en-US"/>
        </w:rPr>
      </w:pPr>
      <w:r w:rsidRPr="00500F8B">
        <w:rPr>
          <w:szCs w:val="24"/>
          <w:lang w:eastAsia="en-US"/>
        </w:rPr>
        <w:t>Given the claiming restriction in place, there were no occasions in which item 36851 for cystoscopy with injection into the bladder wall was co-claimed with item 18379.</w:t>
      </w:r>
    </w:p>
    <w:p w14:paraId="569651C3" w14:textId="6E0929A6" w:rsidR="00500F8B" w:rsidRPr="00B9218B" w:rsidRDefault="00500F8B" w:rsidP="00B9218B">
      <w:pPr>
        <w:pStyle w:val="Heading3"/>
        <w:spacing w:before="0"/>
      </w:pPr>
      <w:r w:rsidRPr="00B9218B">
        <w:t xml:space="preserve">Table 8: Top 10 instances of co-claiming with MBS item 18379 in 2014-15 </w:t>
      </w:r>
    </w:p>
    <w:tbl>
      <w:tblPr>
        <w:tblStyle w:val="LightList-Accent1"/>
        <w:tblW w:w="91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able 8 presents the top ten instances of co-claiming with MBS item 18379 in the 2014-15 financial year. The table is split into eight columns, 1) ranking number from 1 to 10, 2) MBS items, 3) Episodes, 4) Number of services, 5) Schedule Fee for combination, 6) Number of providers, 7) Number of patients, 8) Percentage of episodes. Rows are split by ranking number, which presents the largest number of episodes as one and the smallest number of episodes as ten. 'NP' means that for that cell, the data is not printed."/>
      </w:tblPr>
      <w:tblGrid>
        <w:gridCol w:w="567"/>
        <w:gridCol w:w="2314"/>
        <w:gridCol w:w="1017"/>
        <w:gridCol w:w="960"/>
        <w:gridCol w:w="1286"/>
        <w:gridCol w:w="1037"/>
        <w:gridCol w:w="960"/>
        <w:gridCol w:w="997"/>
      </w:tblGrid>
      <w:tr w:rsidR="00500F8B" w:rsidRPr="00500F8B" w14:paraId="3F66941D" w14:textId="77777777" w:rsidTr="000C7515">
        <w:trPr>
          <w:cnfStyle w:val="100000000000" w:firstRow="1" w:lastRow="0" w:firstColumn="0" w:lastColumn="0" w:oddVBand="0" w:evenVBand="0" w:oddHBand="0" w:evenHBand="0" w:firstRowFirstColumn="0" w:firstRowLastColumn="0" w:lastRowFirstColumn="0" w:lastRowLastColumn="0"/>
          <w:trHeight w:val="512"/>
          <w:tblHeader/>
        </w:trPr>
        <w:tc>
          <w:tcPr>
            <w:cnfStyle w:val="001000000000" w:firstRow="0" w:lastRow="0" w:firstColumn="1" w:lastColumn="0" w:oddVBand="0" w:evenVBand="0" w:oddHBand="0" w:evenHBand="0" w:firstRowFirstColumn="0" w:firstRowLastColumn="0" w:lastRowFirstColumn="0" w:lastRowLastColumn="0"/>
            <w:tcW w:w="567" w:type="dxa"/>
            <w:hideMark/>
          </w:tcPr>
          <w:p w14:paraId="5FCB794F" w14:textId="77777777" w:rsidR="00500F8B" w:rsidRPr="00500F8B" w:rsidRDefault="00500F8B" w:rsidP="00500F8B">
            <w:pPr>
              <w:jc w:val="center"/>
              <w:rPr>
                <w:rFonts w:ascii="Arial" w:hAnsi="Arial" w:cs="Arial"/>
                <w:b w:val="0"/>
                <w:bCs w:val="0"/>
                <w:color w:val="FFFFFF"/>
                <w:sz w:val="18"/>
                <w:szCs w:val="18"/>
                <w:lang w:eastAsia="en-US"/>
              </w:rPr>
            </w:pPr>
            <w:r w:rsidRPr="00500F8B">
              <w:rPr>
                <w:rFonts w:ascii="Arial" w:hAnsi="Arial" w:cs="Arial"/>
                <w:b w:val="0"/>
                <w:bCs w:val="0"/>
                <w:color w:val="FFFFFF"/>
                <w:sz w:val="18"/>
                <w:szCs w:val="18"/>
                <w:lang w:eastAsia="en-US"/>
              </w:rPr>
              <w:t>#</w:t>
            </w:r>
          </w:p>
        </w:tc>
        <w:tc>
          <w:tcPr>
            <w:tcW w:w="2314" w:type="dxa"/>
            <w:hideMark/>
          </w:tcPr>
          <w:p w14:paraId="1BF9B2E1" w14:textId="77777777" w:rsidR="00500F8B" w:rsidRPr="00500F8B" w:rsidRDefault="00500F8B" w:rsidP="00500F8B">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sz w:val="18"/>
                <w:szCs w:val="18"/>
                <w:lang w:eastAsia="en-US"/>
              </w:rPr>
            </w:pPr>
            <w:r w:rsidRPr="00500F8B">
              <w:rPr>
                <w:rFonts w:ascii="Arial" w:hAnsi="Arial" w:cs="Arial"/>
                <w:b w:val="0"/>
                <w:bCs w:val="0"/>
                <w:color w:val="FFFFFF"/>
                <w:sz w:val="18"/>
                <w:szCs w:val="18"/>
                <w:lang w:eastAsia="en-US"/>
              </w:rPr>
              <w:t>Items</w:t>
            </w:r>
          </w:p>
        </w:tc>
        <w:tc>
          <w:tcPr>
            <w:tcW w:w="1017" w:type="dxa"/>
            <w:hideMark/>
          </w:tcPr>
          <w:p w14:paraId="555019C9" w14:textId="77777777" w:rsidR="00500F8B" w:rsidRPr="00500F8B" w:rsidRDefault="00500F8B" w:rsidP="00500F8B">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sz w:val="18"/>
                <w:szCs w:val="18"/>
                <w:lang w:eastAsia="en-US"/>
              </w:rPr>
            </w:pPr>
            <w:r w:rsidRPr="00500F8B">
              <w:rPr>
                <w:rFonts w:ascii="Arial" w:hAnsi="Arial" w:cs="Arial"/>
                <w:b w:val="0"/>
                <w:bCs w:val="0"/>
                <w:color w:val="FFFFFF"/>
                <w:sz w:val="18"/>
                <w:szCs w:val="18"/>
                <w:lang w:eastAsia="en-US"/>
              </w:rPr>
              <w:t>Episodes</w:t>
            </w:r>
          </w:p>
        </w:tc>
        <w:tc>
          <w:tcPr>
            <w:tcW w:w="960" w:type="dxa"/>
            <w:hideMark/>
          </w:tcPr>
          <w:p w14:paraId="7CFA08C3" w14:textId="77777777" w:rsidR="00500F8B" w:rsidRPr="00500F8B" w:rsidRDefault="00500F8B" w:rsidP="00500F8B">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sz w:val="18"/>
                <w:szCs w:val="18"/>
                <w:lang w:eastAsia="en-US"/>
              </w:rPr>
            </w:pPr>
            <w:r w:rsidRPr="00500F8B">
              <w:rPr>
                <w:rFonts w:ascii="Arial" w:hAnsi="Arial" w:cs="Arial"/>
                <w:b w:val="0"/>
                <w:bCs w:val="0"/>
                <w:color w:val="FFFFFF"/>
                <w:sz w:val="18"/>
                <w:szCs w:val="18"/>
                <w:lang w:eastAsia="en-US"/>
              </w:rPr>
              <w:t>Services</w:t>
            </w:r>
          </w:p>
        </w:tc>
        <w:tc>
          <w:tcPr>
            <w:tcW w:w="1286" w:type="dxa"/>
            <w:hideMark/>
          </w:tcPr>
          <w:p w14:paraId="1F2F0B64" w14:textId="77777777" w:rsidR="00500F8B" w:rsidRPr="00500F8B" w:rsidRDefault="00500F8B" w:rsidP="00500F8B">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sz w:val="18"/>
                <w:szCs w:val="18"/>
                <w:lang w:eastAsia="en-US"/>
              </w:rPr>
            </w:pPr>
            <w:r w:rsidRPr="00500F8B">
              <w:rPr>
                <w:rFonts w:ascii="Arial" w:hAnsi="Arial" w:cs="Arial"/>
                <w:b w:val="0"/>
                <w:bCs w:val="0"/>
                <w:color w:val="FFFFFF"/>
                <w:sz w:val="18"/>
                <w:szCs w:val="18"/>
                <w:lang w:eastAsia="en-US"/>
              </w:rPr>
              <w:t>Schedule Fee for combination</w:t>
            </w:r>
          </w:p>
        </w:tc>
        <w:tc>
          <w:tcPr>
            <w:tcW w:w="1037" w:type="dxa"/>
            <w:hideMark/>
          </w:tcPr>
          <w:p w14:paraId="6AD4BA0A" w14:textId="77777777" w:rsidR="00500F8B" w:rsidRPr="00500F8B" w:rsidRDefault="00500F8B" w:rsidP="00500F8B">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sz w:val="18"/>
                <w:szCs w:val="18"/>
                <w:lang w:eastAsia="en-US"/>
              </w:rPr>
            </w:pPr>
            <w:r w:rsidRPr="00500F8B">
              <w:rPr>
                <w:rFonts w:ascii="Arial" w:hAnsi="Arial" w:cs="Arial"/>
                <w:b w:val="0"/>
                <w:bCs w:val="0"/>
                <w:color w:val="FFFFFF"/>
                <w:sz w:val="18"/>
                <w:szCs w:val="18"/>
                <w:lang w:eastAsia="en-US"/>
              </w:rPr>
              <w:t>Number of providers</w:t>
            </w:r>
          </w:p>
        </w:tc>
        <w:tc>
          <w:tcPr>
            <w:tcW w:w="960" w:type="dxa"/>
            <w:hideMark/>
          </w:tcPr>
          <w:p w14:paraId="7DF2131B" w14:textId="77777777" w:rsidR="00500F8B" w:rsidRPr="00500F8B" w:rsidRDefault="00500F8B" w:rsidP="00500F8B">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sz w:val="18"/>
                <w:szCs w:val="18"/>
                <w:lang w:eastAsia="en-US"/>
              </w:rPr>
            </w:pPr>
            <w:r w:rsidRPr="00500F8B">
              <w:rPr>
                <w:rFonts w:ascii="Arial" w:hAnsi="Arial" w:cs="Arial"/>
                <w:b w:val="0"/>
                <w:bCs w:val="0"/>
                <w:color w:val="FFFFFF"/>
                <w:sz w:val="18"/>
                <w:szCs w:val="18"/>
                <w:lang w:eastAsia="en-US"/>
              </w:rPr>
              <w:t>Number of patients</w:t>
            </w:r>
          </w:p>
        </w:tc>
        <w:tc>
          <w:tcPr>
            <w:tcW w:w="997" w:type="dxa"/>
            <w:hideMark/>
          </w:tcPr>
          <w:p w14:paraId="4AD3EE37" w14:textId="77777777" w:rsidR="00500F8B" w:rsidRPr="00500F8B" w:rsidRDefault="00500F8B" w:rsidP="00500F8B">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sz w:val="18"/>
                <w:szCs w:val="18"/>
                <w:lang w:eastAsia="en-US"/>
              </w:rPr>
            </w:pPr>
            <w:r w:rsidRPr="00500F8B">
              <w:rPr>
                <w:rFonts w:ascii="Arial" w:hAnsi="Arial" w:cs="Arial"/>
                <w:b w:val="0"/>
                <w:bCs w:val="0"/>
                <w:color w:val="FFFFFF"/>
                <w:sz w:val="18"/>
                <w:szCs w:val="18"/>
                <w:lang w:eastAsia="en-US"/>
              </w:rPr>
              <w:t>% of episodes</w:t>
            </w:r>
          </w:p>
        </w:tc>
      </w:tr>
      <w:tr w:rsidR="00500F8B" w:rsidRPr="00500F8B" w14:paraId="778F8A65" w14:textId="77777777" w:rsidTr="0016330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7" w:type="dxa"/>
            <w:tcBorders>
              <w:top w:val="none" w:sz="0" w:space="0" w:color="auto"/>
              <w:left w:val="none" w:sz="0" w:space="0" w:color="auto"/>
              <w:bottom w:val="none" w:sz="0" w:space="0" w:color="auto"/>
            </w:tcBorders>
            <w:noWrap/>
            <w:hideMark/>
          </w:tcPr>
          <w:p w14:paraId="5D4CF819" w14:textId="77777777" w:rsidR="00500F8B" w:rsidRPr="00500F8B" w:rsidRDefault="00500F8B" w:rsidP="00500F8B">
            <w:pPr>
              <w:rPr>
                <w:rFonts w:ascii="Arial" w:hAnsi="Arial" w:cs="Arial"/>
                <w:color w:val="000000"/>
                <w:sz w:val="18"/>
                <w:szCs w:val="18"/>
                <w:lang w:eastAsia="en-US"/>
              </w:rPr>
            </w:pPr>
            <w:r w:rsidRPr="00500F8B">
              <w:rPr>
                <w:rFonts w:ascii="Arial" w:hAnsi="Arial" w:cs="Arial"/>
                <w:color w:val="000000"/>
                <w:sz w:val="18"/>
                <w:szCs w:val="18"/>
                <w:lang w:eastAsia="en-US"/>
              </w:rPr>
              <w:t>1</w:t>
            </w:r>
          </w:p>
        </w:tc>
        <w:tc>
          <w:tcPr>
            <w:tcW w:w="2314" w:type="dxa"/>
            <w:tcBorders>
              <w:top w:val="none" w:sz="0" w:space="0" w:color="auto"/>
              <w:bottom w:val="none" w:sz="0" w:space="0" w:color="auto"/>
            </w:tcBorders>
            <w:noWrap/>
            <w:hideMark/>
          </w:tcPr>
          <w:p w14:paraId="6CD6AF92" w14:textId="77777777" w:rsidR="00500F8B" w:rsidRPr="00500F8B" w:rsidRDefault="00500F8B" w:rsidP="00500F8B">
            <w:pPr>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18"/>
                <w:szCs w:val="18"/>
                <w:lang w:eastAsia="en-US"/>
              </w:rPr>
            </w:pPr>
            <w:r w:rsidRPr="00500F8B">
              <w:rPr>
                <w:rFonts w:ascii="Arial" w:hAnsi="Arial" w:cs="Arial"/>
                <w:b/>
                <w:color w:val="000000"/>
                <w:sz w:val="18"/>
                <w:szCs w:val="18"/>
                <w:lang w:eastAsia="en-US"/>
              </w:rPr>
              <w:t>18379</w:t>
            </w:r>
          </w:p>
        </w:tc>
        <w:tc>
          <w:tcPr>
            <w:tcW w:w="1017" w:type="dxa"/>
            <w:tcBorders>
              <w:top w:val="none" w:sz="0" w:space="0" w:color="auto"/>
              <w:bottom w:val="none" w:sz="0" w:space="0" w:color="auto"/>
            </w:tcBorders>
            <w:noWrap/>
            <w:hideMark/>
          </w:tcPr>
          <w:p w14:paraId="031A61BD" w14:textId="77777777" w:rsidR="00500F8B" w:rsidRPr="00500F8B" w:rsidRDefault="00500F8B" w:rsidP="00500F8B">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lang w:eastAsia="en-US"/>
              </w:rPr>
            </w:pPr>
            <w:r w:rsidRPr="00500F8B">
              <w:rPr>
                <w:rFonts w:ascii="Arial" w:hAnsi="Arial" w:cs="Arial"/>
                <w:color w:val="000000"/>
                <w:sz w:val="18"/>
                <w:szCs w:val="18"/>
                <w:lang w:eastAsia="en-US"/>
              </w:rPr>
              <w:t xml:space="preserve">248 </w:t>
            </w:r>
          </w:p>
        </w:tc>
        <w:tc>
          <w:tcPr>
            <w:tcW w:w="960" w:type="dxa"/>
            <w:tcBorders>
              <w:top w:val="none" w:sz="0" w:space="0" w:color="auto"/>
              <w:bottom w:val="none" w:sz="0" w:space="0" w:color="auto"/>
            </w:tcBorders>
            <w:noWrap/>
            <w:hideMark/>
          </w:tcPr>
          <w:p w14:paraId="26244024" w14:textId="77777777" w:rsidR="00500F8B" w:rsidRPr="00500F8B" w:rsidRDefault="00500F8B" w:rsidP="00500F8B">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lang w:eastAsia="en-US"/>
              </w:rPr>
            </w:pPr>
            <w:r w:rsidRPr="00500F8B">
              <w:rPr>
                <w:rFonts w:ascii="Arial" w:hAnsi="Arial" w:cs="Arial"/>
                <w:color w:val="000000"/>
                <w:sz w:val="18"/>
                <w:szCs w:val="18"/>
                <w:lang w:eastAsia="en-US"/>
              </w:rPr>
              <w:t xml:space="preserve">248 </w:t>
            </w:r>
          </w:p>
        </w:tc>
        <w:tc>
          <w:tcPr>
            <w:tcW w:w="1286" w:type="dxa"/>
            <w:tcBorders>
              <w:top w:val="none" w:sz="0" w:space="0" w:color="auto"/>
              <w:bottom w:val="none" w:sz="0" w:space="0" w:color="auto"/>
            </w:tcBorders>
            <w:noWrap/>
            <w:hideMark/>
          </w:tcPr>
          <w:p w14:paraId="57BD6C90" w14:textId="77777777" w:rsidR="00500F8B" w:rsidRPr="00500F8B" w:rsidRDefault="00500F8B" w:rsidP="00500F8B">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lang w:eastAsia="en-US"/>
              </w:rPr>
            </w:pPr>
            <w:r w:rsidRPr="00500F8B">
              <w:rPr>
                <w:rFonts w:ascii="Arial" w:hAnsi="Arial" w:cs="Arial"/>
                <w:color w:val="000000"/>
                <w:sz w:val="18"/>
                <w:szCs w:val="18"/>
                <w:lang w:eastAsia="en-US"/>
              </w:rPr>
              <w:t xml:space="preserve">$57,003 </w:t>
            </w:r>
          </w:p>
        </w:tc>
        <w:tc>
          <w:tcPr>
            <w:tcW w:w="1037" w:type="dxa"/>
            <w:tcBorders>
              <w:top w:val="none" w:sz="0" w:space="0" w:color="auto"/>
              <w:bottom w:val="none" w:sz="0" w:space="0" w:color="auto"/>
            </w:tcBorders>
            <w:noWrap/>
            <w:hideMark/>
          </w:tcPr>
          <w:p w14:paraId="18FAA5BC" w14:textId="77777777" w:rsidR="00500F8B" w:rsidRPr="00500F8B" w:rsidRDefault="00500F8B" w:rsidP="00500F8B">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lang w:eastAsia="en-US"/>
              </w:rPr>
            </w:pPr>
            <w:r w:rsidRPr="00500F8B">
              <w:rPr>
                <w:rFonts w:ascii="Arial" w:hAnsi="Arial" w:cs="Arial"/>
                <w:color w:val="000000"/>
                <w:sz w:val="18"/>
                <w:szCs w:val="18"/>
                <w:lang w:eastAsia="en-US"/>
              </w:rPr>
              <w:t xml:space="preserve">35 </w:t>
            </w:r>
          </w:p>
        </w:tc>
        <w:tc>
          <w:tcPr>
            <w:tcW w:w="960" w:type="dxa"/>
            <w:tcBorders>
              <w:top w:val="none" w:sz="0" w:space="0" w:color="auto"/>
              <w:bottom w:val="none" w:sz="0" w:space="0" w:color="auto"/>
            </w:tcBorders>
            <w:noWrap/>
            <w:hideMark/>
          </w:tcPr>
          <w:p w14:paraId="62B4D378" w14:textId="77777777" w:rsidR="00500F8B" w:rsidRPr="00500F8B" w:rsidRDefault="00500F8B" w:rsidP="00500F8B">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lang w:eastAsia="en-US"/>
              </w:rPr>
            </w:pPr>
            <w:r w:rsidRPr="00500F8B">
              <w:rPr>
                <w:rFonts w:ascii="Arial" w:hAnsi="Arial" w:cs="Arial"/>
                <w:color w:val="000000"/>
                <w:sz w:val="18"/>
                <w:szCs w:val="18"/>
                <w:lang w:eastAsia="en-US"/>
              </w:rPr>
              <w:t xml:space="preserve">233 </w:t>
            </w:r>
          </w:p>
        </w:tc>
        <w:tc>
          <w:tcPr>
            <w:tcW w:w="997" w:type="dxa"/>
            <w:tcBorders>
              <w:top w:val="none" w:sz="0" w:space="0" w:color="auto"/>
              <w:bottom w:val="none" w:sz="0" w:space="0" w:color="auto"/>
              <w:right w:val="none" w:sz="0" w:space="0" w:color="auto"/>
            </w:tcBorders>
            <w:noWrap/>
            <w:hideMark/>
          </w:tcPr>
          <w:p w14:paraId="4E2188F2" w14:textId="77777777" w:rsidR="00500F8B" w:rsidRPr="00500F8B" w:rsidRDefault="00500F8B" w:rsidP="00500F8B">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lang w:eastAsia="en-US"/>
              </w:rPr>
            </w:pPr>
            <w:r w:rsidRPr="00500F8B">
              <w:rPr>
                <w:rFonts w:ascii="Arial" w:hAnsi="Arial" w:cs="Arial"/>
                <w:color w:val="000000"/>
                <w:sz w:val="18"/>
                <w:szCs w:val="18"/>
                <w:lang w:eastAsia="en-US"/>
              </w:rPr>
              <w:t xml:space="preserve">80.26% </w:t>
            </w:r>
          </w:p>
        </w:tc>
      </w:tr>
      <w:tr w:rsidR="00500F8B" w:rsidRPr="00500F8B" w14:paraId="7EE3C163" w14:textId="77777777" w:rsidTr="0016330C">
        <w:trPr>
          <w:trHeight w:val="300"/>
        </w:trPr>
        <w:tc>
          <w:tcPr>
            <w:cnfStyle w:val="001000000000" w:firstRow="0" w:lastRow="0" w:firstColumn="1" w:lastColumn="0" w:oddVBand="0" w:evenVBand="0" w:oddHBand="0" w:evenHBand="0" w:firstRowFirstColumn="0" w:firstRowLastColumn="0" w:lastRowFirstColumn="0" w:lastRowLastColumn="0"/>
            <w:tcW w:w="567" w:type="dxa"/>
            <w:noWrap/>
          </w:tcPr>
          <w:p w14:paraId="58BD46C4" w14:textId="77777777" w:rsidR="00500F8B" w:rsidRPr="00500F8B" w:rsidRDefault="00500F8B" w:rsidP="00500F8B">
            <w:pPr>
              <w:rPr>
                <w:rFonts w:ascii="Arial" w:hAnsi="Arial" w:cs="Arial"/>
                <w:color w:val="000000"/>
                <w:sz w:val="18"/>
                <w:szCs w:val="18"/>
                <w:lang w:eastAsia="en-US"/>
              </w:rPr>
            </w:pPr>
            <w:r w:rsidRPr="00500F8B">
              <w:rPr>
                <w:rFonts w:ascii="Arial" w:hAnsi="Arial" w:cs="Arial"/>
                <w:color w:val="000000"/>
                <w:sz w:val="18"/>
                <w:szCs w:val="18"/>
                <w:lang w:eastAsia="en-US"/>
              </w:rPr>
              <w:t>2</w:t>
            </w:r>
          </w:p>
        </w:tc>
        <w:tc>
          <w:tcPr>
            <w:tcW w:w="2314" w:type="dxa"/>
            <w:noWrap/>
            <w:hideMark/>
          </w:tcPr>
          <w:p w14:paraId="7050B3A1" w14:textId="77777777" w:rsidR="00500F8B" w:rsidRPr="00500F8B" w:rsidRDefault="00500F8B" w:rsidP="00500F8B">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en-US"/>
              </w:rPr>
            </w:pPr>
            <w:r w:rsidRPr="00500F8B">
              <w:rPr>
                <w:rFonts w:ascii="Arial" w:hAnsi="Arial" w:cs="Arial"/>
                <w:b/>
                <w:color w:val="000000"/>
                <w:sz w:val="18"/>
                <w:szCs w:val="18"/>
                <w:lang w:eastAsia="en-US"/>
              </w:rPr>
              <w:t>18379</w:t>
            </w:r>
            <w:r w:rsidRPr="00500F8B">
              <w:rPr>
                <w:rFonts w:ascii="Arial" w:hAnsi="Arial" w:cs="Arial"/>
                <w:color w:val="000000"/>
                <w:sz w:val="18"/>
                <w:szCs w:val="18"/>
                <w:lang w:eastAsia="en-US"/>
              </w:rPr>
              <w:t>, 105</w:t>
            </w:r>
          </w:p>
        </w:tc>
        <w:tc>
          <w:tcPr>
            <w:tcW w:w="1017" w:type="dxa"/>
            <w:noWrap/>
            <w:hideMark/>
          </w:tcPr>
          <w:p w14:paraId="63080CF0" w14:textId="77777777" w:rsidR="00500F8B" w:rsidRPr="00500F8B" w:rsidRDefault="00500F8B" w:rsidP="00500F8B">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en-US"/>
              </w:rPr>
            </w:pPr>
            <w:r w:rsidRPr="00500F8B">
              <w:rPr>
                <w:rFonts w:ascii="Arial" w:hAnsi="Arial" w:cs="Arial"/>
                <w:color w:val="000000"/>
                <w:sz w:val="18"/>
                <w:szCs w:val="18"/>
                <w:lang w:eastAsia="en-US"/>
              </w:rPr>
              <w:t xml:space="preserve">12 </w:t>
            </w:r>
          </w:p>
        </w:tc>
        <w:tc>
          <w:tcPr>
            <w:tcW w:w="960" w:type="dxa"/>
            <w:noWrap/>
            <w:hideMark/>
          </w:tcPr>
          <w:p w14:paraId="46E55124" w14:textId="77777777" w:rsidR="00500F8B" w:rsidRPr="00500F8B" w:rsidRDefault="00500F8B" w:rsidP="00500F8B">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en-US"/>
              </w:rPr>
            </w:pPr>
            <w:r w:rsidRPr="00500F8B">
              <w:rPr>
                <w:rFonts w:ascii="Arial" w:hAnsi="Arial" w:cs="Arial"/>
                <w:color w:val="000000"/>
                <w:sz w:val="18"/>
                <w:szCs w:val="18"/>
                <w:lang w:eastAsia="en-US"/>
              </w:rPr>
              <w:t xml:space="preserve">24 </w:t>
            </w:r>
          </w:p>
        </w:tc>
        <w:tc>
          <w:tcPr>
            <w:tcW w:w="1286" w:type="dxa"/>
            <w:noWrap/>
            <w:hideMark/>
          </w:tcPr>
          <w:p w14:paraId="6666B8E1" w14:textId="77777777" w:rsidR="00500F8B" w:rsidRPr="00500F8B" w:rsidRDefault="00500F8B" w:rsidP="00500F8B">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en-US"/>
              </w:rPr>
            </w:pPr>
            <w:r w:rsidRPr="00500F8B">
              <w:rPr>
                <w:rFonts w:ascii="Arial" w:hAnsi="Arial" w:cs="Arial"/>
                <w:color w:val="000000"/>
                <w:sz w:val="18"/>
                <w:szCs w:val="18"/>
                <w:lang w:eastAsia="en-US"/>
              </w:rPr>
              <w:t xml:space="preserve">$3,274 </w:t>
            </w:r>
          </w:p>
        </w:tc>
        <w:tc>
          <w:tcPr>
            <w:tcW w:w="1037" w:type="dxa"/>
            <w:noWrap/>
            <w:hideMark/>
          </w:tcPr>
          <w:p w14:paraId="0DCF71AC" w14:textId="77777777" w:rsidR="00500F8B" w:rsidRPr="00500F8B" w:rsidRDefault="00500F8B" w:rsidP="00500F8B">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en-US"/>
              </w:rPr>
            </w:pPr>
            <w:r w:rsidRPr="00500F8B">
              <w:rPr>
                <w:rFonts w:ascii="Arial" w:hAnsi="Arial" w:cs="Arial"/>
                <w:color w:val="000000"/>
                <w:sz w:val="18"/>
                <w:szCs w:val="18"/>
                <w:lang w:eastAsia="en-US"/>
              </w:rPr>
              <w:t xml:space="preserve">np </w:t>
            </w:r>
          </w:p>
        </w:tc>
        <w:tc>
          <w:tcPr>
            <w:tcW w:w="960" w:type="dxa"/>
            <w:noWrap/>
            <w:hideMark/>
          </w:tcPr>
          <w:p w14:paraId="6A489678" w14:textId="77777777" w:rsidR="00500F8B" w:rsidRPr="00500F8B" w:rsidRDefault="00500F8B" w:rsidP="00500F8B">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en-US"/>
              </w:rPr>
            </w:pPr>
            <w:r w:rsidRPr="00500F8B">
              <w:rPr>
                <w:rFonts w:ascii="Arial" w:hAnsi="Arial" w:cs="Arial"/>
                <w:color w:val="000000"/>
                <w:sz w:val="18"/>
                <w:szCs w:val="18"/>
                <w:lang w:eastAsia="en-US"/>
              </w:rPr>
              <w:t xml:space="preserve">12 </w:t>
            </w:r>
          </w:p>
        </w:tc>
        <w:tc>
          <w:tcPr>
            <w:tcW w:w="997" w:type="dxa"/>
            <w:noWrap/>
            <w:hideMark/>
          </w:tcPr>
          <w:p w14:paraId="7DC16244" w14:textId="77777777" w:rsidR="00500F8B" w:rsidRPr="00500F8B" w:rsidRDefault="00500F8B" w:rsidP="00500F8B">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en-US"/>
              </w:rPr>
            </w:pPr>
            <w:r w:rsidRPr="00500F8B">
              <w:rPr>
                <w:rFonts w:ascii="Arial" w:hAnsi="Arial" w:cs="Arial"/>
                <w:color w:val="000000"/>
                <w:sz w:val="18"/>
                <w:szCs w:val="18"/>
                <w:lang w:eastAsia="en-US"/>
              </w:rPr>
              <w:t xml:space="preserve">3.88% </w:t>
            </w:r>
          </w:p>
        </w:tc>
      </w:tr>
      <w:tr w:rsidR="00500F8B" w:rsidRPr="00500F8B" w14:paraId="4571A0C8" w14:textId="77777777" w:rsidTr="0016330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7" w:type="dxa"/>
            <w:tcBorders>
              <w:top w:val="none" w:sz="0" w:space="0" w:color="auto"/>
              <w:left w:val="none" w:sz="0" w:space="0" w:color="auto"/>
              <w:bottom w:val="none" w:sz="0" w:space="0" w:color="auto"/>
            </w:tcBorders>
            <w:noWrap/>
          </w:tcPr>
          <w:p w14:paraId="027EE862" w14:textId="77777777" w:rsidR="00500F8B" w:rsidRPr="00500F8B" w:rsidRDefault="00500F8B" w:rsidP="00500F8B">
            <w:pPr>
              <w:rPr>
                <w:rFonts w:ascii="Arial" w:hAnsi="Arial" w:cs="Arial"/>
                <w:color w:val="000000"/>
                <w:sz w:val="18"/>
                <w:szCs w:val="18"/>
                <w:lang w:eastAsia="en-US"/>
              </w:rPr>
            </w:pPr>
            <w:r w:rsidRPr="00500F8B">
              <w:rPr>
                <w:rFonts w:ascii="Arial" w:hAnsi="Arial" w:cs="Arial"/>
                <w:color w:val="000000"/>
                <w:sz w:val="18"/>
                <w:szCs w:val="18"/>
                <w:lang w:eastAsia="en-US"/>
              </w:rPr>
              <w:t>3</w:t>
            </w:r>
          </w:p>
        </w:tc>
        <w:tc>
          <w:tcPr>
            <w:tcW w:w="2314" w:type="dxa"/>
            <w:tcBorders>
              <w:top w:val="none" w:sz="0" w:space="0" w:color="auto"/>
              <w:bottom w:val="none" w:sz="0" w:space="0" w:color="auto"/>
            </w:tcBorders>
            <w:noWrap/>
            <w:hideMark/>
          </w:tcPr>
          <w:p w14:paraId="59A59CFD" w14:textId="77777777" w:rsidR="00500F8B" w:rsidRPr="00500F8B" w:rsidRDefault="00500F8B" w:rsidP="00500F8B">
            <w:pPr>
              <w:ind w:right="-62"/>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lang w:eastAsia="en-US"/>
              </w:rPr>
            </w:pPr>
            <w:r w:rsidRPr="00500F8B">
              <w:rPr>
                <w:rFonts w:ascii="Arial" w:hAnsi="Arial" w:cs="Arial"/>
                <w:b/>
                <w:color w:val="000000"/>
                <w:sz w:val="18"/>
                <w:szCs w:val="18"/>
                <w:lang w:eastAsia="en-US"/>
              </w:rPr>
              <w:t>18379</w:t>
            </w:r>
            <w:r w:rsidRPr="00500F8B">
              <w:rPr>
                <w:rFonts w:ascii="Arial" w:hAnsi="Arial" w:cs="Arial"/>
                <w:color w:val="000000"/>
                <w:sz w:val="18"/>
                <w:szCs w:val="18"/>
                <w:lang w:eastAsia="en-US"/>
              </w:rPr>
              <w:t>, 105, 11900, 55068</w:t>
            </w:r>
          </w:p>
        </w:tc>
        <w:tc>
          <w:tcPr>
            <w:tcW w:w="1017" w:type="dxa"/>
            <w:tcBorders>
              <w:top w:val="none" w:sz="0" w:space="0" w:color="auto"/>
              <w:bottom w:val="none" w:sz="0" w:space="0" w:color="auto"/>
            </w:tcBorders>
            <w:noWrap/>
            <w:hideMark/>
          </w:tcPr>
          <w:p w14:paraId="41848841" w14:textId="77777777" w:rsidR="00500F8B" w:rsidRPr="00500F8B" w:rsidRDefault="00500F8B" w:rsidP="00500F8B">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lang w:eastAsia="en-US"/>
              </w:rPr>
            </w:pPr>
            <w:r w:rsidRPr="00500F8B">
              <w:rPr>
                <w:rFonts w:ascii="Arial" w:hAnsi="Arial" w:cs="Arial"/>
                <w:color w:val="000000"/>
                <w:sz w:val="18"/>
                <w:szCs w:val="18"/>
                <w:lang w:eastAsia="en-US"/>
              </w:rPr>
              <w:t xml:space="preserve">11 </w:t>
            </w:r>
          </w:p>
        </w:tc>
        <w:tc>
          <w:tcPr>
            <w:tcW w:w="960" w:type="dxa"/>
            <w:tcBorders>
              <w:top w:val="none" w:sz="0" w:space="0" w:color="auto"/>
              <w:bottom w:val="none" w:sz="0" w:space="0" w:color="auto"/>
            </w:tcBorders>
            <w:noWrap/>
            <w:hideMark/>
          </w:tcPr>
          <w:p w14:paraId="146BF723" w14:textId="77777777" w:rsidR="00500F8B" w:rsidRPr="00500F8B" w:rsidRDefault="00500F8B" w:rsidP="00500F8B">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lang w:eastAsia="en-US"/>
              </w:rPr>
            </w:pPr>
            <w:r w:rsidRPr="00500F8B">
              <w:rPr>
                <w:rFonts w:ascii="Arial" w:hAnsi="Arial" w:cs="Arial"/>
                <w:color w:val="000000"/>
                <w:sz w:val="18"/>
                <w:szCs w:val="18"/>
                <w:lang w:eastAsia="en-US"/>
              </w:rPr>
              <w:t xml:space="preserve">44 </w:t>
            </w:r>
          </w:p>
        </w:tc>
        <w:tc>
          <w:tcPr>
            <w:tcW w:w="1286" w:type="dxa"/>
            <w:tcBorders>
              <w:top w:val="none" w:sz="0" w:space="0" w:color="auto"/>
              <w:bottom w:val="none" w:sz="0" w:space="0" w:color="auto"/>
            </w:tcBorders>
            <w:noWrap/>
            <w:hideMark/>
          </w:tcPr>
          <w:p w14:paraId="0CF4C52C" w14:textId="77777777" w:rsidR="00500F8B" w:rsidRPr="00500F8B" w:rsidRDefault="00500F8B" w:rsidP="00500F8B">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lang w:eastAsia="en-US"/>
              </w:rPr>
            </w:pPr>
            <w:r w:rsidRPr="00500F8B">
              <w:rPr>
                <w:rFonts w:ascii="Arial" w:hAnsi="Arial" w:cs="Arial"/>
                <w:color w:val="000000"/>
                <w:sz w:val="18"/>
                <w:szCs w:val="18"/>
                <w:lang w:eastAsia="en-US"/>
              </w:rPr>
              <w:t xml:space="preserve">$3,689 </w:t>
            </w:r>
          </w:p>
        </w:tc>
        <w:tc>
          <w:tcPr>
            <w:tcW w:w="1037" w:type="dxa"/>
            <w:tcBorders>
              <w:top w:val="none" w:sz="0" w:space="0" w:color="auto"/>
              <w:bottom w:val="none" w:sz="0" w:space="0" w:color="auto"/>
            </w:tcBorders>
            <w:noWrap/>
            <w:hideMark/>
          </w:tcPr>
          <w:p w14:paraId="253CD917" w14:textId="77777777" w:rsidR="00500F8B" w:rsidRPr="00500F8B" w:rsidRDefault="00500F8B" w:rsidP="00500F8B">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lang w:eastAsia="en-US"/>
              </w:rPr>
            </w:pPr>
            <w:r w:rsidRPr="00500F8B">
              <w:rPr>
                <w:rFonts w:ascii="Arial" w:hAnsi="Arial" w:cs="Arial"/>
                <w:color w:val="000000"/>
                <w:sz w:val="18"/>
                <w:szCs w:val="18"/>
                <w:lang w:eastAsia="en-US"/>
              </w:rPr>
              <w:t xml:space="preserve">np </w:t>
            </w:r>
          </w:p>
        </w:tc>
        <w:tc>
          <w:tcPr>
            <w:tcW w:w="960" w:type="dxa"/>
            <w:tcBorders>
              <w:top w:val="none" w:sz="0" w:space="0" w:color="auto"/>
              <w:bottom w:val="none" w:sz="0" w:space="0" w:color="auto"/>
            </w:tcBorders>
            <w:noWrap/>
            <w:hideMark/>
          </w:tcPr>
          <w:p w14:paraId="2A61125C" w14:textId="77777777" w:rsidR="00500F8B" w:rsidRPr="00500F8B" w:rsidRDefault="00500F8B" w:rsidP="00500F8B">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lang w:eastAsia="en-US"/>
              </w:rPr>
            </w:pPr>
            <w:r w:rsidRPr="00500F8B">
              <w:rPr>
                <w:rFonts w:ascii="Arial" w:hAnsi="Arial" w:cs="Arial"/>
                <w:color w:val="000000"/>
                <w:sz w:val="18"/>
                <w:szCs w:val="18"/>
                <w:lang w:eastAsia="en-US"/>
              </w:rPr>
              <w:t xml:space="preserve">11 </w:t>
            </w:r>
          </w:p>
        </w:tc>
        <w:tc>
          <w:tcPr>
            <w:tcW w:w="997" w:type="dxa"/>
            <w:tcBorders>
              <w:top w:val="none" w:sz="0" w:space="0" w:color="auto"/>
              <w:bottom w:val="none" w:sz="0" w:space="0" w:color="auto"/>
              <w:right w:val="none" w:sz="0" w:space="0" w:color="auto"/>
            </w:tcBorders>
            <w:noWrap/>
            <w:hideMark/>
          </w:tcPr>
          <w:p w14:paraId="690A2671" w14:textId="77777777" w:rsidR="00500F8B" w:rsidRPr="00500F8B" w:rsidRDefault="00500F8B" w:rsidP="00500F8B">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lang w:eastAsia="en-US"/>
              </w:rPr>
            </w:pPr>
            <w:r w:rsidRPr="00500F8B">
              <w:rPr>
                <w:rFonts w:ascii="Arial" w:hAnsi="Arial" w:cs="Arial"/>
                <w:color w:val="000000"/>
                <w:sz w:val="18"/>
                <w:szCs w:val="18"/>
                <w:lang w:eastAsia="en-US"/>
              </w:rPr>
              <w:t xml:space="preserve">3.56% </w:t>
            </w:r>
          </w:p>
        </w:tc>
      </w:tr>
      <w:tr w:rsidR="00500F8B" w:rsidRPr="00500F8B" w14:paraId="704DD0C1" w14:textId="77777777" w:rsidTr="0016330C">
        <w:trPr>
          <w:trHeight w:val="300"/>
        </w:trPr>
        <w:tc>
          <w:tcPr>
            <w:cnfStyle w:val="001000000000" w:firstRow="0" w:lastRow="0" w:firstColumn="1" w:lastColumn="0" w:oddVBand="0" w:evenVBand="0" w:oddHBand="0" w:evenHBand="0" w:firstRowFirstColumn="0" w:firstRowLastColumn="0" w:lastRowFirstColumn="0" w:lastRowLastColumn="0"/>
            <w:tcW w:w="567" w:type="dxa"/>
            <w:noWrap/>
          </w:tcPr>
          <w:p w14:paraId="3331E96E" w14:textId="77777777" w:rsidR="00500F8B" w:rsidRPr="00500F8B" w:rsidRDefault="00500F8B" w:rsidP="00500F8B">
            <w:pPr>
              <w:rPr>
                <w:rFonts w:ascii="Arial" w:hAnsi="Arial" w:cs="Arial"/>
                <w:color w:val="000000"/>
                <w:sz w:val="18"/>
                <w:szCs w:val="18"/>
                <w:lang w:eastAsia="en-US"/>
              </w:rPr>
            </w:pPr>
            <w:r w:rsidRPr="00500F8B">
              <w:rPr>
                <w:rFonts w:ascii="Arial" w:hAnsi="Arial" w:cs="Arial"/>
                <w:color w:val="000000"/>
                <w:sz w:val="18"/>
                <w:szCs w:val="18"/>
                <w:lang w:eastAsia="en-US"/>
              </w:rPr>
              <w:t>4</w:t>
            </w:r>
          </w:p>
        </w:tc>
        <w:tc>
          <w:tcPr>
            <w:tcW w:w="2314" w:type="dxa"/>
            <w:noWrap/>
            <w:hideMark/>
          </w:tcPr>
          <w:p w14:paraId="1CD4F376" w14:textId="77777777" w:rsidR="00500F8B" w:rsidRPr="00500F8B" w:rsidRDefault="00500F8B" w:rsidP="00500F8B">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en-US"/>
              </w:rPr>
            </w:pPr>
            <w:r w:rsidRPr="00500F8B">
              <w:rPr>
                <w:rFonts w:ascii="Arial" w:hAnsi="Arial" w:cs="Arial"/>
                <w:b/>
                <w:color w:val="000000"/>
                <w:sz w:val="18"/>
                <w:szCs w:val="18"/>
                <w:lang w:eastAsia="en-US"/>
              </w:rPr>
              <w:t>18379</w:t>
            </w:r>
            <w:r w:rsidRPr="00500F8B">
              <w:rPr>
                <w:rFonts w:ascii="Arial" w:hAnsi="Arial" w:cs="Arial"/>
                <w:color w:val="000000"/>
                <w:sz w:val="18"/>
                <w:szCs w:val="18"/>
                <w:lang w:eastAsia="en-US"/>
              </w:rPr>
              <w:t>, 36827</w:t>
            </w:r>
          </w:p>
        </w:tc>
        <w:tc>
          <w:tcPr>
            <w:tcW w:w="1017" w:type="dxa"/>
            <w:noWrap/>
            <w:hideMark/>
          </w:tcPr>
          <w:p w14:paraId="308CA8D2" w14:textId="77777777" w:rsidR="00500F8B" w:rsidRPr="00500F8B" w:rsidRDefault="00500F8B" w:rsidP="00500F8B">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en-US"/>
              </w:rPr>
            </w:pPr>
            <w:r w:rsidRPr="00500F8B">
              <w:rPr>
                <w:rFonts w:ascii="Arial" w:hAnsi="Arial" w:cs="Arial"/>
                <w:color w:val="000000"/>
                <w:sz w:val="18"/>
                <w:szCs w:val="18"/>
                <w:lang w:eastAsia="en-US"/>
              </w:rPr>
              <w:t xml:space="preserve">np </w:t>
            </w:r>
          </w:p>
        </w:tc>
        <w:tc>
          <w:tcPr>
            <w:tcW w:w="960" w:type="dxa"/>
            <w:noWrap/>
            <w:hideMark/>
          </w:tcPr>
          <w:p w14:paraId="1F35478C" w14:textId="77777777" w:rsidR="00500F8B" w:rsidRPr="00500F8B" w:rsidRDefault="00500F8B" w:rsidP="00500F8B">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en-US"/>
              </w:rPr>
            </w:pPr>
            <w:r w:rsidRPr="00500F8B">
              <w:rPr>
                <w:rFonts w:ascii="Arial" w:hAnsi="Arial" w:cs="Arial"/>
                <w:color w:val="000000"/>
                <w:sz w:val="18"/>
                <w:szCs w:val="18"/>
                <w:lang w:eastAsia="en-US"/>
              </w:rPr>
              <w:t xml:space="preserve">12 </w:t>
            </w:r>
          </w:p>
        </w:tc>
        <w:tc>
          <w:tcPr>
            <w:tcW w:w="1286" w:type="dxa"/>
            <w:noWrap/>
            <w:hideMark/>
          </w:tcPr>
          <w:p w14:paraId="5A0695BB" w14:textId="77777777" w:rsidR="00500F8B" w:rsidRPr="00500F8B" w:rsidRDefault="00500F8B" w:rsidP="00500F8B">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en-US"/>
              </w:rPr>
            </w:pPr>
            <w:r w:rsidRPr="00500F8B">
              <w:rPr>
                <w:rFonts w:ascii="Arial" w:hAnsi="Arial" w:cs="Arial"/>
                <w:color w:val="000000"/>
                <w:sz w:val="18"/>
                <w:szCs w:val="18"/>
                <w:lang w:eastAsia="en-US"/>
              </w:rPr>
              <w:t xml:space="preserve">$2,758 </w:t>
            </w:r>
          </w:p>
        </w:tc>
        <w:tc>
          <w:tcPr>
            <w:tcW w:w="1037" w:type="dxa"/>
            <w:noWrap/>
            <w:hideMark/>
          </w:tcPr>
          <w:p w14:paraId="49AB18E6" w14:textId="77777777" w:rsidR="00500F8B" w:rsidRPr="00500F8B" w:rsidRDefault="00500F8B" w:rsidP="00500F8B">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en-US"/>
              </w:rPr>
            </w:pPr>
            <w:r w:rsidRPr="00500F8B">
              <w:rPr>
                <w:rFonts w:ascii="Arial" w:hAnsi="Arial" w:cs="Arial"/>
                <w:color w:val="000000"/>
                <w:sz w:val="18"/>
                <w:szCs w:val="18"/>
                <w:lang w:eastAsia="en-US"/>
              </w:rPr>
              <w:t xml:space="preserve">np </w:t>
            </w:r>
          </w:p>
        </w:tc>
        <w:tc>
          <w:tcPr>
            <w:tcW w:w="960" w:type="dxa"/>
            <w:noWrap/>
            <w:hideMark/>
          </w:tcPr>
          <w:p w14:paraId="43E713F5" w14:textId="77777777" w:rsidR="00500F8B" w:rsidRPr="00500F8B" w:rsidRDefault="00500F8B" w:rsidP="00500F8B">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en-US"/>
              </w:rPr>
            </w:pPr>
            <w:r w:rsidRPr="00500F8B">
              <w:rPr>
                <w:rFonts w:ascii="Arial" w:hAnsi="Arial" w:cs="Arial"/>
                <w:color w:val="000000"/>
                <w:sz w:val="18"/>
                <w:szCs w:val="18"/>
                <w:lang w:eastAsia="en-US"/>
              </w:rPr>
              <w:t xml:space="preserve">np </w:t>
            </w:r>
          </w:p>
        </w:tc>
        <w:tc>
          <w:tcPr>
            <w:tcW w:w="997" w:type="dxa"/>
            <w:noWrap/>
            <w:hideMark/>
          </w:tcPr>
          <w:p w14:paraId="12F58722" w14:textId="77777777" w:rsidR="00500F8B" w:rsidRPr="00500F8B" w:rsidRDefault="00500F8B" w:rsidP="00500F8B">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en-US"/>
              </w:rPr>
            </w:pPr>
            <w:r w:rsidRPr="00500F8B">
              <w:rPr>
                <w:rFonts w:ascii="Arial" w:hAnsi="Arial" w:cs="Arial"/>
                <w:color w:val="000000"/>
                <w:sz w:val="18"/>
                <w:szCs w:val="18"/>
                <w:lang w:eastAsia="en-US"/>
              </w:rPr>
              <w:t xml:space="preserve">1.94% </w:t>
            </w:r>
          </w:p>
        </w:tc>
      </w:tr>
      <w:tr w:rsidR="00500F8B" w:rsidRPr="00500F8B" w14:paraId="2A451B0B" w14:textId="77777777" w:rsidTr="0016330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7" w:type="dxa"/>
            <w:tcBorders>
              <w:top w:val="none" w:sz="0" w:space="0" w:color="auto"/>
              <w:left w:val="none" w:sz="0" w:space="0" w:color="auto"/>
              <w:bottom w:val="none" w:sz="0" w:space="0" w:color="auto"/>
            </w:tcBorders>
            <w:noWrap/>
          </w:tcPr>
          <w:p w14:paraId="744E7F29" w14:textId="77777777" w:rsidR="00500F8B" w:rsidRPr="00500F8B" w:rsidRDefault="00500F8B" w:rsidP="00500F8B">
            <w:pPr>
              <w:rPr>
                <w:rFonts w:ascii="Arial" w:hAnsi="Arial" w:cs="Arial"/>
                <w:color w:val="000000"/>
                <w:sz w:val="18"/>
                <w:szCs w:val="18"/>
                <w:lang w:eastAsia="en-US"/>
              </w:rPr>
            </w:pPr>
            <w:r w:rsidRPr="00500F8B">
              <w:rPr>
                <w:rFonts w:ascii="Arial" w:hAnsi="Arial" w:cs="Arial"/>
                <w:color w:val="000000"/>
                <w:sz w:val="18"/>
                <w:szCs w:val="18"/>
                <w:lang w:eastAsia="en-US"/>
              </w:rPr>
              <w:t>5</w:t>
            </w:r>
          </w:p>
        </w:tc>
        <w:tc>
          <w:tcPr>
            <w:tcW w:w="2314" w:type="dxa"/>
            <w:tcBorders>
              <w:top w:val="none" w:sz="0" w:space="0" w:color="auto"/>
              <w:bottom w:val="none" w:sz="0" w:space="0" w:color="auto"/>
            </w:tcBorders>
            <w:noWrap/>
            <w:hideMark/>
          </w:tcPr>
          <w:p w14:paraId="02713C43" w14:textId="77777777" w:rsidR="00500F8B" w:rsidRPr="00500F8B" w:rsidRDefault="00500F8B" w:rsidP="00500F8B">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lang w:eastAsia="en-US"/>
              </w:rPr>
            </w:pPr>
            <w:r w:rsidRPr="00500F8B">
              <w:rPr>
                <w:rFonts w:ascii="Arial" w:hAnsi="Arial" w:cs="Arial"/>
                <w:b/>
                <w:color w:val="000000"/>
                <w:sz w:val="18"/>
                <w:szCs w:val="18"/>
                <w:lang w:eastAsia="en-US"/>
              </w:rPr>
              <w:t>18379</w:t>
            </w:r>
            <w:r w:rsidRPr="00500F8B">
              <w:rPr>
                <w:rFonts w:ascii="Arial" w:hAnsi="Arial" w:cs="Arial"/>
                <w:color w:val="000000"/>
                <w:sz w:val="18"/>
                <w:szCs w:val="18"/>
                <w:lang w:eastAsia="en-US"/>
              </w:rPr>
              <w:t>, 36812</w:t>
            </w:r>
          </w:p>
        </w:tc>
        <w:tc>
          <w:tcPr>
            <w:tcW w:w="1017" w:type="dxa"/>
            <w:tcBorders>
              <w:top w:val="none" w:sz="0" w:space="0" w:color="auto"/>
              <w:bottom w:val="none" w:sz="0" w:space="0" w:color="auto"/>
            </w:tcBorders>
            <w:noWrap/>
            <w:hideMark/>
          </w:tcPr>
          <w:p w14:paraId="4D218D43" w14:textId="77777777" w:rsidR="00500F8B" w:rsidRPr="00500F8B" w:rsidRDefault="00500F8B" w:rsidP="00500F8B">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lang w:eastAsia="en-US"/>
              </w:rPr>
            </w:pPr>
            <w:r w:rsidRPr="00500F8B">
              <w:rPr>
                <w:rFonts w:ascii="Arial" w:hAnsi="Arial" w:cs="Arial"/>
                <w:color w:val="000000"/>
                <w:sz w:val="18"/>
                <w:szCs w:val="18"/>
                <w:lang w:eastAsia="en-US"/>
              </w:rPr>
              <w:t xml:space="preserve">np </w:t>
            </w:r>
          </w:p>
        </w:tc>
        <w:tc>
          <w:tcPr>
            <w:tcW w:w="960" w:type="dxa"/>
            <w:tcBorders>
              <w:top w:val="none" w:sz="0" w:space="0" w:color="auto"/>
              <w:bottom w:val="none" w:sz="0" w:space="0" w:color="auto"/>
            </w:tcBorders>
            <w:noWrap/>
            <w:hideMark/>
          </w:tcPr>
          <w:p w14:paraId="1B3522A7" w14:textId="77777777" w:rsidR="00500F8B" w:rsidRPr="00500F8B" w:rsidRDefault="00500F8B" w:rsidP="00500F8B">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lang w:eastAsia="en-US"/>
              </w:rPr>
            </w:pPr>
            <w:r w:rsidRPr="00500F8B">
              <w:rPr>
                <w:rFonts w:ascii="Arial" w:hAnsi="Arial" w:cs="Arial"/>
                <w:color w:val="000000"/>
                <w:sz w:val="18"/>
                <w:szCs w:val="18"/>
                <w:lang w:eastAsia="en-US"/>
              </w:rPr>
              <w:t xml:space="preserve">np </w:t>
            </w:r>
          </w:p>
        </w:tc>
        <w:tc>
          <w:tcPr>
            <w:tcW w:w="1286" w:type="dxa"/>
            <w:tcBorders>
              <w:top w:val="none" w:sz="0" w:space="0" w:color="auto"/>
              <w:bottom w:val="none" w:sz="0" w:space="0" w:color="auto"/>
            </w:tcBorders>
            <w:noWrap/>
            <w:hideMark/>
          </w:tcPr>
          <w:p w14:paraId="607F2CF1" w14:textId="77777777" w:rsidR="00500F8B" w:rsidRPr="00500F8B" w:rsidRDefault="00500F8B" w:rsidP="00500F8B">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lang w:eastAsia="en-US"/>
              </w:rPr>
            </w:pPr>
            <w:r w:rsidRPr="00500F8B">
              <w:rPr>
                <w:rFonts w:ascii="Arial" w:hAnsi="Arial" w:cs="Arial"/>
                <w:color w:val="000000"/>
                <w:sz w:val="18"/>
                <w:szCs w:val="18"/>
                <w:lang w:eastAsia="en-US"/>
              </w:rPr>
              <w:t xml:space="preserve">$1,190 </w:t>
            </w:r>
          </w:p>
        </w:tc>
        <w:tc>
          <w:tcPr>
            <w:tcW w:w="1037" w:type="dxa"/>
            <w:tcBorders>
              <w:top w:val="none" w:sz="0" w:space="0" w:color="auto"/>
              <w:bottom w:val="none" w:sz="0" w:space="0" w:color="auto"/>
            </w:tcBorders>
            <w:noWrap/>
            <w:hideMark/>
          </w:tcPr>
          <w:p w14:paraId="09EC164F" w14:textId="77777777" w:rsidR="00500F8B" w:rsidRPr="00500F8B" w:rsidRDefault="00500F8B" w:rsidP="00500F8B">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lang w:eastAsia="en-US"/>
              </w:rPr>
            </w:pPr>
            <w:r w:rsidRPr="00500F8B">
              <w:rPr>
                <w:rFonts w:ascii="Arial" w:hAnsi="Arial" w:cs="Arial"/>
                <w:color w:val="000000"/>
                <w:sz w:val="18"/>
                <w:szCs w:val="18"/>
                <w:lang w:eastAsia="en-US"/>
              </w:rPr>
              <w:t xml:space="preserve">np </w:t>
            </w:r>
          </w:p>
        </w:tc>
        <w:tc>
          <w:tcPr>
            <w:tcW w:w="960" w:type="dxa"/>
            <w:tcBorders>
              <w:top w:val="none" w:sz="0" w:space="0" w:color="auto"/>
              <w:bottom w:val="none" w:sz="0" w:space="0" w:color="auto"/>
            </w:tcBorders>
            <w:noWrap/>
            <w:hideMark/>
          </w:tcPr>
          <w:p w14:paraId="412098BC" w14:textId="77777777" w:rsidR="00500F8B" w:rsidRPr="00500F8B" w:rsidRDefault="00500F8B" w:rsidP="00500F8B">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lang w:eastAsia="en-US"/>
              </w:rPr>
            </w:pPr>
            <w:r w:rsidRPr="00500F8B">
              <w:rPr>
                <w:rFonts w:ascii="Arial" w:hAnsi="Arial" w:cs="Arial"/>
                <w:color w:val="000000"/>
                <w:sz w:val="18"/>
                <w:szCs w:val="18"/>
                <w:lang w:eastAsia="en-US"/>
              </w:rPr>
              <w:t xml:space="preserve">np </w:t>
            </w:r>
          </w:p>
        </w:tc>
        <w:tc>
          <w:tcPr>
            <w:tcW w:w="997" w:type="dxa"/>
            <w:tcBorders>
              <w:top w:val="none" w:sz="0" w:space="0" w:color="auto"/>
              <w:bottom w:val="none" w:sz="0" w:space="0" w:color="auto"/>
              <w:right w:val="none" w:sz="0" w:space="0" w:color="auto"/>
            </w:tcBorders>
            <w:noWrap/>
            <w:hideMark/>
          </w:tcPr>
          <w:p w14:paraId="1A903B71" w14:textId="77777777" w:rsidR="00500F8B" w:rsidRPr="00500F8B" w:rsidRDefault="00500F8B" w:rsidP="00500F8B">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lang w:eastAsia="en-US"/>
              </w:rPr>
            </w:pPr>
            <w:r w:rsidRPr="00500F8B">
              <w:rPr>
                <w:rFonts w:ascii="Arial" w:hAnsi="Arial" w:cs="Arial"/>
                <w:color w:val="000000"/>
                <w:sz w:val="18"/>
                <w:szCs w:val="18"/>
                <w:lang w:eastAsia="en-US"/>
              </w:rPr>
              <w:t xml:space="preserve">0.97% </w:t>
            </w:r>
          </w:p>
        </w:tc>
      </w:tr>
      <w:tr w:rsidR="00500F8B" w:rsidRPr="00500F8B" w14:paraId="5BBDBEE0" w14:textId="77777777" w:rsidTr="0016330C">
        <w:trPr>
          <w:trHeight w:val="300"/>
        </w:trPr>
        <w:tc>
          <w:tcPr>
            <w:cnfStyle w:val="001000000000" w:firstRow="0" w:lastRow="0" w:firstColumn="1" w:lastColumn="0" w:oddVBand="0" w:evenVBand="0" w:oddHBand="0" w:evenHBand="0" w:firstRowFirstColumn="0" w:firstRowLastColumn="0" w:lastRowFirstColumn="0" w:lastRowLastColumn="0"/>
            <w:tcW w:w="567" w:type="dxa"/>
            <w:noWrap/>
          </w:tcPr>
          <w:p w14:paraId="382B494B" w14:textId="77777777" w:rsidR="00500F8B" w:rsidRPr="00500F8B" w:rsidRDefault="00500F8B" w:rsidP="00500F8B">
            <w:pPr>
              <w:rPr>
                <w:rFonts w:ascii="Arial" w:hAnsi="Arial" w:cs="Arial"/>
                <w:color w:val="000000"/>
                <w:sz w:val="18"/>
                <w:szCs w:val="18"/>
                <w:lang w:eastAsia="en-US"/>
              </w:rPr>
            </w:pPr>
            <w:r w:rsidRPr="00500F8B">
              <w:rPr>
                <w:rFonts w:ascii="Arial" w:hAnsi="Arial" w:cs="Arial"/>
                <w:color w:val="000000"/>
                <w:sz w:val="18"/>
                <w:szCs w:val="18"/>
                <w:lang w:eastAsia="en-US"/>
              </w:rPr>
              <w:t>6</w:t>
            </w:r>
          </w:p>
        </w:tc>
        <w:tc>
          <w:tcPr>
            <w:tcW w:w="2314" w:type="dxa"/>
            <w:noWrap/>
            <w:hideMark/>
          </w:tcPr>
          <w:p w14:paraId="6FA782FB" w14:textId="77777777" w:rsidR="00500F8B" w:rsidRPr="00500F8B" w:rsidRDefault="00500F8B" w:rsidP="00500F8B">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en-US"/>
              </w:rPr>
            </w:pPr>
            <w:r w:rsidRPr="00500F8B">
              <w:rPr>
                <w:rFonts w:ascii="Arial" w:hAnsi="Arial" w:cs="Arial"/>
                <w:b/>
                <w:color w:val="000000"/>
                <w:sz w:val="18"/>
                <w:szCs w:val="18"/>
                <w:lang w:eastAsia="en-US"/>
              </w:rPr>
              <w:t>18379</w:t>
            </w:r>
            <w:r w:rsidRPr="00500F8B">
              <w:rPr>
                <w:rFonts w:ascii="Arial" w:hAnsi="Arial" w:cs="Arial"/>
                <w:color w:val="000000"/>
                <w:sz w:val="18"/>
                <w:szCs w:val="18"/>
                <w:lang w:eastAsia="en-US"/>
              </w:rPr>
              <w:t>, 36840</w:t>
            </w:r>
          </w:p>
        </w:tc>
        <w:tc>
          <w:tcPr>
            <w:tcW w:w="1017" w:type="dxa"/>
            <w:noWrap/>
            <w:hideMark/>
          </w:tcPr>
          <w:p w14:paraId="0858D4FE" w14:textId="77777777" w:rsidR="00500F8B" w:rsidRPr="00500F8B" w:rsidRDefault="00500F8B" w:rsidP="00500F8B">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en-US"/>
              </w:rPr>
            </w:pPr>
            <w:r w:rsidRPr="00500F8B">
              <w:rPr>
                <w:rFonts w:ascii="Arial" w:hAnsi="Arial" w:cs="Arial"/>
                <w:color w:val="000000"/>
                <w:sz w:val="18"/>
                <w:szCs w:val="18"/>
                <w:lang w:eastAsia="en-US"/>
              </w:rPr>
              <w:t xml:space="preserve">np </w:t>
            </w:r>
          </w:p>
        </w:tc>
        <w:tc>
          <w:tcPr>
            <w:tcW w:w="960" w:type="dxa"/>
            <w:noWrap/>
            <w:hideMark/>
          </w:tcPr>
          <w:p w14:paraId="52EFC6D9" w14:textId="77777777" w:rsidR="00500F8B" w:rsidRPr="00500F8B" w:rsidRDefault="00500F8B" w:rsidP="00500F8B">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en-US"/>
              </w:rPr>
            </w:pPr>
            <w:r w:rsidRPr="00500F8B">
              <w:rPr>
                <w:rFonts w:ascii="Arial" w:hAnsi="Arial" w:cs="Arial"/>
                <w:color w:val="000000"/>
                <w:sz w:val="18"/>
                <w:szCs w:val="18"/>
                <w:lang w:eastAsia="en-US"/>
              </w:rPr>
              <w:t xml:space="preserve">np </w:t>
            </w:r>
          </w:p>
        </w:tc>
        <w:tc>
          <w:tcPr>
            <w:tcW w:w="1286" w:type="dxa"/>
            <w:noWrap/>
            <w:hideMark/>
          </w:tcPr>
          <w:p w14:paraId="53AC63F9" w14:textId="77777777" w:rsidR="00500F8B" w:rsidRPr="00500F8B" w:rsidRDefault="00500F8B" w:rsidP="00500F8B">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en-US"/>
              </w:rPr>
            </w:pPr>
            <w:r w:rsidRPr="00500F8B">
              <w:rPr>
                <w:rFonts w:ascii="Arial" w:hAnsi="Arial" w:cs="Arial"/>
                <w:color w:val="000000"/>
                <w:sz w:val="18"/>
                <w:szCs w:val="18"/>
                <w:lang w:eastAsia="en-US"/>
              </w:rPr>
              <w:t xml:space="preserve">$1,659 </w:t>
            </w:r>
          </w:p>
        </w:tc>
        <w:tc>
          <w:tcPr>
            <w:tcW w:w="1037" w:type="dxa"/>
            <w:noWrap/>
            <w:hideMark/>
          </w:tcPr>
          <w:p w14:paraId="17842BF0" w14:textId="77777777" w:rsidR="00500F8B" w:rsidRPr="00500F8B" w:rsidRDefault="00500F8B" w:rsidP="00500F8B">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en-US"/>
              </w:rPr>
            </w:pPr>
            <w:r w:rsidRPr="00500F8B">
              <w:rPr>
                <w:rFonts w:ascii="Arial" w:hAnsi="Arial" w:cs="Arial"/>
                <w:color w:val="000000"/>
                <w:sz w:val="18"/>
                <w:szCs w:val="18"/>
                <w:lang w:eastAsia="en-US"/>
              </w:rPr>
              <w:t xml:space="preserve">np </w:t>
            </w:r>
          </w:p>
        </w:tc>
        <w:tc>
          <w:tcPr>
            <w:tcW w:w="960" w:type="dxa"/>
            <w:noWrap/>
            <w:hideMark/>
          </w:tcPr>
          <w:p w14:paraId="44965FEB" w14:textId="77777777" w:rsidR="00500F8B" w:rsidRPr="00500F8B" w:rsidRDefault="00500F8B" w:rsidP="00500F8B">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en-US"/>
              </w:rPr>
            </w:pPr>
            <w:r w:rsidRPr="00500F8B">
              <w:rPr>
                <w:rFonts w:ascii="Arial" w:hAnsi="Arial" w:cs="Arial"/>
                <w:color w:val="000000"/>
                <w:sz w:val="18"/>
                <w:szCs w:val="18"/>
                <w:lang w:eastAsia="en-US"/>
              </w:rPr>
              <w:t xml:space="preserve">np </w:t>
            </w:r>
          </w:p>
        </w:tc>
        <w:tc>
          <w:tcPr>
            <w:tcW w:w="997" w:type="dxa"/>
            <w:noWrap/>
            <w:hideMark/>
          </w:tcPr>
          <w:p w14:paraId="57EA8A05" w14:textId="77777777" w:rsidR="00500F8B" w:rsidRPr="00500F8B" w:rsidRDefault="00500F8B" w:rsidP="00500F8B">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en-US"/>
              </w:rPr>
            </w:pPr>
            <w:r w:rsidRPr="00500F8B">
              <w:rPr>
                <w:rFonts w:ascii="Arial" w:hAnsi="Arial" w:cs="Arial"/>
                <w:color w:val="000000"/>
                <w:sz w:val="18"/>
                <w:szCs w:val="18"/>
                <w:lang w:eastAsia="en-US"/>
              </w:rPr>
              <w:t xml:space="preserve">0.97% </w:t>
            </w:r>
          </w:p>
        </w:tc>
      </w:tr>
      <w:tr w:rsidR="00500F8B" w:rsidRPr="00500F8B" w14:paraId="2D7CA0B2" w14:textId="77777777" w:rsidTr="0016330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7" w:type="dxa"/>
            <w:tcBorders>
              <w:top w:val="none" w:sz="0" w:space="0" w:color="auto"/>
              <w:left w:val="none" w:sz="0" w:space="0" w:color="auto"/>
              <w:bottom w:val="none" w:sz="0" w:space="0" w:color="auto"/>
            </w:tcBorders>
            <w:noWrap/>
          </w:tcPr>
          <w:p w14:paraId="19508825" w14:textId="77777777" w:rsidR="00500F8B" w:rsidRPr="00500F8B" w:rsidRDefault="00500F8B" w:rsidP="00500F8B">
            <w:pPr>
              <w:rPr>
                <w:rFonts w:ascii="Arial" w:hAnsi="Arial" w:cs="Arial"/>
                <w:color w:val="000000"/>
                <w:sz w:val="18"/>
                <w:szCs w:val="18"/>
                <w:lang w:eastAsia="en-US"/>
              </w:rPr>
            </w:pPr>
            <w:r w:rsidRPr="00500F8B">
              <w:rPr>
                <w:rFonts w:ascii="Arial" w:hAnsi="Arial" w:cs="Arial"/>
                <w:color w:val="000000"/>
                <w:sz w:val="18"/>
                <w:szCs w:val="18"/>
                <w:lang w:eastAsia="en-US"/>
              </w:rPr>
              <w:t>7</w:t>
            </w:r>
          </w:p>
        </w:tc>
        <w:tc>
          <w:tcPr>
            <w:tcW w:w="2314" w:type="dxa"/>
            <w:tcBorders>
              <w:top w:val="none" w:sz="0" w:space="0" w:color="auto"/>
              <w:bottom w:val="none" w:sz="0" w:space="0" w:color="auto"/>
            </w:tcBorders>
            <w:noWrap/>
            <w:hideMark/>
          </w:tcPr>
          <w:p w14:paraId="4183B514" w14:textId="77777777" w:rsidR="00500F8B" w:rsidRPr="00500F8B" w:rsidRDefault="00500F8B" w:rsidP="00500F8B">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lang w:eastAsia="en-US"/>
              </w:rPr>
            </w:pPr>
            <w:r w:rsidRPr="00500F8B">
              <w:rPr>
                <w:rFonts w:ascii="Arial" w:hAnsi="Arial" w:cs="Arial"/>
                <w:b/>
                <w:color w:val="000000"/>
                <w:sz w:val="18"/>
                <w:szCs w:val="18"/>
                <w:lang w:eastAsia="en-US"/>
              </w:rPr>
              <w:t>18379</w:t>
            </w:r>
            <w:r w:rsidRPr="00500F8B">
              <w:rPr>
                <w:rFonts w:ascii="Arial" w:hAnsi="Arial" w:cs="Arial"/>
                <w:color w:val="000000"/>
                <w:sz w:val="18"/>
                <w:szCs w:val="18"/>
                <w:lang w:eastAsia="en-US"/>
              </w:rPr>
              <w:t>, 36845</w:t>
            </w:r>
          </w:p>
        </w:tc>
        <w:tc>
          <w:tcPr>
            <w:tcW w:w="1017" w:type="dxa"/>
            <w:tcBorders>
              <w:top w:val="none" w:sz="0" w:space="0" w:color="auto"/>
              <w:bottom w:val="none" w:sz="0" w:space="0" w:color="auto"/>
            </w:tcBorders>
            <w:noWrap/>
            <w:hideMark/>
          </w:tcPr>
          <w:p w14:paraId="74C69E99" w14:textId="77777777" w:rsidR="00500F8B" w:rsidRPr="00500F8B" w:rsidRDefault="00500F8B" w:rsidP="00500F8B">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lang w:eastAsia="en-US"/>
              </w:rPr>
            </w:pPr>
            <w:r w:rsidRPr="00500F8B">
              <w:rPr>
                <w:rFonts w:ascii="Arial" w:hAnsi="Arial" w:cs="Arial"/>
                <w:color w:val="000000"/>
                <w:sz w:val="18"/>
                <w:szCs w:val="18"/>
                <w:lang w:eastAsia="en-US"/>
              </w:rPr>
              <w:t xml:space="preserve">np </w:t>
            </w:r>
          </w:p>
        </w:tc>
        <w:tc>
          <w:tcPr>
            <w:tcW w:w="960" w:type="dxa"/>
            <w:tcBorders>
              <w:top w:val="none" w:sz="0" w:space="0" w:color="auto"/>
              <w:bottom w:val="none" w:sz="0" w:space="0" w:color="auto"/>
            </w:tcBorders>
            <w:noWrap/>
            <w:hideMark/>
          </w:tcPr>
          <w:p w14:paraId="02BF47BA" w14:textId="77777777" w:rsidR="00500F8B" w:rsidRPr="00500F8B" w:rsidRDefault="00500F8B" w:rsidP="00500F8B">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lang w:eastAsia="en-US"/>
              </w:rPr>
            </w:pPr>
            <w:r w:rsidRPr="00500F8B">
              <w:rPr>
                <w:rFonts w:ascii="Arial" w:hAnsi="Arial" w:cs="Arial"/>
                <w:color w:val="000000"/>
                <w:sz w:val="18"/>
                <w:szCs w:val="18"/>
                <w:lang w:eastAsia="en-US"/>
              </w:rPr>
              <w:t xml:space="preserve">np </w:t>
            </w:r>
          </w:p>
        </w:tc>
        <w:tc>
          <w:tcPr>
            <w:tcW w:w="1286" w:type="dxa"/>
            <w:tcBorders>
              <w:top w:val="none" w:sz="0" w:space="0" w:color="auto"/>
              <w:bottom w:val="none" w:sz="0" w:space="0" w:color="auto"/>
            </w:tcBorders>
            <w:noWrap/>
            <w:hideMark/>
          </w:tcPr>
          <w:p w14:paraId="7F2F4C82" w14:textId="77777777" w:rsidR="00500F8B" w:rsidRPr="00500F8B" w:rsidRDefault="00500F8B" w:rsidP="00500F8B">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lang w:eastAsia="en-US"/>
              </w:rPr>
            </w:pPr>
            <w:r w:rsidRPr="00500F8B">
              <w:rPr>
                <w:rFonts w:ascii="Arial" w:hAnsi="Arial" w:cs="Arial"/>
                <w:color w:val="000000"/>
                <w:sz w:val="18"/>
                <w:szCs w:val="18"/>
                <w:lang w:eastAsia="en-US"/>
              </w:rPr>
              <w:t xml:space="preserve">$2,764 </w:t>
            </w:r>
          </w:p>
        </w:tc>
        <w:tc>
          <w:tcPr>
            <w:tcW w:w="1037" w:type="dxa"/>
            <w:tcBorders>
              <w:top w:val="none" w:sz="0" w:space="0" w:color="auto"/>
              <w:bottom w:val="none" w:sz="0" w:space="0" w:color="auto"/>
            </w:tcBorders>
            <w:noWrap/>
            <w:hideMark/>
          </w:tcPr>
          <w:p w14:paraId="5497224B" w14:textId="77777777" w:rsidR="00500F8B" w:rsidRPr="00500F8B" w:rsidRDefault="00500F8B" w:rsidP="00500F8B">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lang w:eastAsia="en-US"/>
              </w:rPr>
            </w:pPr>
            <w:r w:rsidRPr="00500F8B">
              <w:rPr>
                <w:rFonts w:ascii="Arial" w:hAnsi="Arial" w:cs="Arial"/>
                <w:color w:val="000000"/>
                <w:sz w:val="18"/>
                <w:szCs w:val="18"/>
                <w:lang w:eastAsia="en-US"/>
              </w:rPr>
              <w:t xml:space="preserve">np </w:t>
            </w:r>
          </w:p>
        </w:tc>
        <w:tc>
          <w:tcPr>
            <w:tcW w:w="960" w:type="dxa"/>
            <w:tcBorders>
              <w:top w:val="none" w:sz="0" w:space="0" w:color="auto"/>
              <w:bottom w:val="none" w:sz="0" w:space="0" w:color="auto"/>
            </w:tcBorders>
            <w:noWrap/>
            <w:hideMark/>
          </w:tcPr>
          <w:p w14:paraId="450B8CCF" w14:textId="77777777" w:rsidR="00500F8B" w:rsidRPr="00500F8B" w:rsidRDefault="00500F8B" w:rsidP="00500F8B">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lang w:eastAsia="en-US"/>
              </w:rPr>
            </w:pPr>
            <w:r w:rsidRPr="00500F8B">
              <w:rPr>
                <w:rFonts w:ascii="Arial" w:hAnsi="Arial" w:cs="Arial"/>
                <w:color w:val="000000"/>
                <w:sz w:val="18"/>
                <w:szCs w:val="18"/>
                <w:lang w:eastAsia="en-US"/>
              </w:rPr>
              <w:t xml:space="preserve">np </w:t>
            </w:r>
          </w:p>
        </w:tc>
        <w:tc>
          <w:tcPr>
            <w:tcW w:w="997" w:type="dxa"/>
            <w:tcBorders>
              <w:top w:val="none" w:sz="0" w:space="0" w:color="auto"/>
              <w:bottom w:val="none" w:sz="0" w:space="0" w:color="auto"/>
              <w:right w:val="none" w:sz="0" w:space="0" w:color="auto"/>
            </w:tcBorders>
            <w:noWrap/>
            <w:hideMark/>
          </w:tcPr>
          <w:p w14:paraId="6725BAD0" w14:textId="77777777" w:rsidR="00500F8B" w:rsidRPr="00500F8B" w:rsidRDefault="00500F8B" w:rsidP="00500F8B">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lang w:eastAsia="en-US"/>
              </w:rPr>
            </w:pPr>
            <w:r w:rsidRPr="00500F8B">
              <w:rPr>
                <w:rFonts w:ascii="Arial" w:hAnsi="Arial" w:cs="Arial"/>
                <w:color w:val="000000"/>
                <w:sz w:val="18"/>
                <w:szCs w:val="18"/>
                <w:lang w:eastAsia="en-US"/>
              </w:rPr>
              <w:t xml:space="preserve">0.97% </w:t>
            </w:r>
          </w:p>
        </w:tc>
      </w:tr>
      <w:tr w:rsidR="00500F8B" w:rsidRPr="00500F8B" w14:paraId="39FD74EC" w14:textId="77777777" w:rsidTr="0016330C">
        <w:trPr>
          <w:trHeight w:val="300"/>
        </w:trPr>
        <w:tc>
          <w:tcPr>
            <w:cnfStyle w:val="001000000000" w:firstRow="0" w:lastRow="0" w:firstColumn="1" w:lastColumn="0" w:oddVBand="0" w:evenVBand="0" w:oddHBand="0" w:evenHBand="0" w:firstRowFirstColumn="0" w:firstRowLastColumn="0" w:lastRowFirstColumn="0" w:lastRowLastColumn="0"/>
            <w:tcW w:w="567" w:type="dxa"/>
            <w:noWrap/>
          </w:tcPr>
          <w:p w14:paraId="212D8C0E" w14:textId="77777777" w:rsidR="00500F8B" w:rsidRPr="00500F8B" w:rsidRDefault="00500F8B" w:rsidP="00500F8B">
            <w:pPr>
              <w:rPr>
                <w:rFonts w:ascii="Arial" w:hAnsi="Arial" w:cs="Arial"/>
                <w:color w:val="000000"/>
                <w:sz w:val="18"/>
                <w:szCs w:val="18"/>
                <w:lang w:eastAsia="en-US"/>
              </w:rPr>
            </w:pPr>
            <w:r w:rsidRPr="00500F8B">
              <w:rPr>
                <w:rFonts w:ascii="Arial" w:hAnsi="Arial" w:cs="Arial"/>
                <w:color w:val="000000"/>
                <w:sz w:val="18"/>
                <w:szCs w:val="18"/>
                <w:lang w:eastAsia="en-US"/>
              </w:rPr>
              <w:t>8</w:t>
            </w:r>
          </w:p>
        </w:tc>
        <w:tc>
          <w:tcPr>
            <w:tcW w:w="2314" w:type="dxa"/>
            <w:noWrap/>
            <w:hideMark/>
          </w:tcPr>
          <w:p w14:paraId="6B62C22F" w14:textId="77777777" w:rsidR="00500F8B" w:rsidRPr="00500F8B" w:rsidRDefault="00500F8B" w:rsidP="00500F8B">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en-US"/>
              </w:rPr>
            </w:pPr>
            <w:r w:rsidRPr="00500F8B">
              <w:rPr>
                <w:rFonts w:ascii="Arial" w:hAnsi="Arial" w:cs="Arial"/>
                <w:b/>
                <w:color w:val="000000"/>
                <w:sz w:val="18"/>
                <w:szCs w:val="18"/>
                <w:lang w:eastAsia="en-US"/>
              </w:rPr>
              <w:t>18379</w:t>
            </w:r>
            <w:r w:rsidRPr="00500F8B">
              <w:rPr>
                <w:rFonts w:ascii="Arial" w:hAnsi="Arial" w:cs="Arial"/>
                <w:color w:val="000000"/>
                <w:sz w:val="18"/>
                <w:szCs w:val="18"/>
                <w:lang w:eastAsia="en-US"/>
              </w:rPr>
              <w:t>, 104,11917</w:t>
            </w:r>
          </w:p>
        </w:tc>
        <w:tc>
          <w:tcPr>
            <w:tcW w:w="1017" w:type="dxa"/>
            <w:noWrap/>
            <w:hideMark/>
          </w:tcPr>
          <w:p w14:paraId="46C081C1" w14:textId="77777777" w:rsidR="00500F8B" w:rsidRPr="00500F8B" w:rsidRDefault="00500F8B" w:rsidP="00500F8B">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en-US"/>
              </w:rPr>
            </w:pPr>
            <w:r w:rsidRPr="00500F8B">
              <w:rPr>
                <w:rFonts w:ascii="Arial" w:hAnsi="Arial" w:cs="Arial"/>
                <w:color w:val="000000"/>
                <w:sz w:val="18"/>
                <w:szCs w:val="18"/>
                <w:lang w:eastAsia="en-US"/>
              </w:rPr>
              <w:t xml:space="preserve">np </w:t>
            </w:r>
          </w:p>
        </w:tc>
        <w:tc>
          <w:tcPr>
            <w:tcW w:w="960" w:type="dxa"/>
            <w:noWrap/>
            <w:hideMark/>
          </w:tcPr>
          <w:p w14:paraId="623EAC8B" w14:textId="77777777" w:rsidR="00500F8B" w:rsidRPr="00500F8B" w:rsidRDefault="00500F8B" w:rsidP="00500F8B">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en-US"/>
              </w:rPr>
            </w:pPr>
            <w:r w:rsidRPr="00500F8B">
              <w:rPr>
                <w:rFonts w:ascii="Arial" w:hAnsi="Arial" w:cs="Arial"/>
                <w:color w:val="000000"/>
                <w:sz w:val="18"/>
                <w:szCs w:val="18"/>
                <w:lang w:eastAsia="en-US"/>
              </w:rPr>
              <w:t xml:space="preserve">np </w:t>
            </w:r>
          </w:p>
        </w:tc>
        <w:tc>
          <w:tcPr>
            <w:tcW w:w="1286" w:type="dxa"/>
            <w:noWrap/>
            <w:hideMark/>
          </w:tcPr>
          <w:p w14:paraId="196E2BC3" w14:textId="77777777" w:rsidR="00500F8B" w:rsidRPr="00500F8B" w:rsidRDefault="00500F8B" w:rsidP="00500F8B">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en-US"/>
              </w:rPr>
            </w:pPr>
            <w:r w:rsidRPr="00500F8B">
              <w:rPr>
                <w:rFonts w:ascii="Arial" w:hAnsi="Arial" w:cs="Arial"/>
                <w:color w:val="000000"/>
                <w:sz w:val="18"/>
                <w:szCs w:val="18"/>
                <w:lang w:eastAsia="en-US"/>
              </w:rPr>
              <w:t xml:space="preserve">$1,488 </w:t>
            </w:r>
          </w:p>
        </w:tc>
        <w:tc>
          <w:tcPr>
            <w:tcW w:w="1037" w:type="dxa"/>
            <w:noWrap/>
            <w:hideMark/>
          </w:tcPr>
          <w:p w14:paraId="32919475" w14:textId="77777777" w:rsidR="00500F8B" w:rsidRPr="00500F8B" w:rsidRDefault="00500F8B" w:rsidP="00500F8B">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en-US"/>
              </w:rPr>
            </w:pPr>
            <w:r w:rsidRPr="00500F8B">
              <w:rPr>
                <w:rFonts w:ascii="Arial" w:hAnsi="Arial" w:cs="Arial"/>
                <w:color w:val="000000"/>
                <w:sz w:val="18"/>
                <w:szCs w:val="18"/>
                <w:lang w:eastAsia="en-US"/>
              </w:rPr>
              <w:t xml:space="preserve">np </w:t>
            </w:r>
          </w:p>
        </w:tc>
        <w:tc>
          <w:tcPr>
            <w:tcW w:w="960" w:type="dxa"/>
            <w:noWrap/>
            <w:hideMark/>
          </w:tcPr>
          <w:p w14:paraId="15F92453" w14:textId="77777777" w:rsidR="00500F8B" w:rsidRPr="00500F8B" w:rsidRDefault="00500F8B" w:rsidP="00500F8B">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en-US"/>
              </w:rPr>
            </w:pPr>
            <w:r w:rsidRPr="00500F8B">
              <w:rPr>
                <w:rFonts w:ascii="Arial" w:hAnsi="Arial" w:cs="Arial"/>
                <w:color w:val="000000"/>
                <w:sz w:val="18"/>
                <w:szCs w:val="18"/>
                <w:lang w:eastAsia="en-US"/>
              </w:rPr>
              <w:t xml:space="preserve">np </w:t>
            </w:r>
          </w:p>
        </w:tc>
        <w:tc>
          <w:tcPr>
            <w:tcW w:w="997" w:type="dxa"/>
            <w:noWrap/>
            <w:hideMark/>
          </w:tcPr>
          <w:p w14:paraId="11F33323" w14:textId="77777777" w:rsidR="00500F8B" w:rsidRPr="00500F8B" w:rsidRDefault="00500F8B" w:rsidP="00500F8B">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en-US"/>
              </w:rPr>
            </w:pPr>
            <w:r w:rsidRPr="00500F8B">
              <w:rPr>
                <w:rFonts w:ascii="Arial" w:hAnsi="Arial" w:cs="Arial"/>
                <w:color w:val="000000"/>
                <w:sz w:val="18"/>
                <w:szCs w:val="18"/>
                <w:lang w:eastAsia="en-US"/>
              </w:rPr>
              <w:t xml:space="preserve">0.65% </w:t>
            </w:r>
          </w:p>
        </w:tc>
      </w:tr>
      <w:tr w:rsidR="00500F8B" w:rsidRPr="00500F8B" w14:paraId="05C21282" w14:textId="77777777" w:rsidTr="0016330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7" w:type="dxa"/>
            <w:tcBorders>
              <w:top w:val="none" w:sz="0" w:space="0" w:color="auto"/>
              <w:left w:val="none" w:sz="0" w:space="0" w:color="auto"/>
              <w:bottom w:val="none" w:sz="0" w:space="0" w:color="auto"/>
            </w:tcBorders>
            <w:noWrap/>
          </w:tcPr>
          <w:p w14:paraId="4B7B45D8" w14:textId="77777777" w:rsidR="00500F8B" w:rsidRPr="00500F8B" w:rsidRDefault="00500F8B" w:rsidP="00500F8B">
            <w:pPr>
              <w:rPr>
                <w:rFonts w:ascii="Arial" w:hAnsi="Arial" w:cs="Arial"/>
                <w:color w:val="000000"/>
                <w:sz w:val="18"/>
                <w:szCs w:val="18"/>
                <w:lang w:eastAsia="en-US"/>
              </w:rPr>
            </w:pPr>
            <w:r w:rsidRPr="00500F8B">
              <w:rPr>
                <w:rFonts w:ascii="Arial" w:hAnsi="Arial" w:cs="Arial"/>
                <w:color w:val="000000"/>
                <w:sz w:val="18"/>
                <w:szCs w:val="18"/>
                <w:lang w:eastAsia="en-US"/>
              </w:rPr>
              <w:t>9</w:t>
            </w:r>
          </w:p>
        </w:tc>
        <w:tc>
          <w:tcPr>
            <w:tcW w:w="2314" w:type="dxa"/>
            <w:tcBorders>
              <w:top w:val="none" w:sz="0" w:space="0" w:color="auto"/>
              <w:bottom w:val="none" w:sz="0" w:space="0" w:color="auto"/>
            </w:tcBorders>
            <w:noWrap/>
            <w:hideMark/>
          </w:tcPr>
          <w:p w14:paraId="53334D94" w14:textId="77777777" w:rsidR="00500F8B" w:rsidRPr="00500F8B" w:rsidRDefault="00500F8B" w:rsidP="00500F8B">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lang w:eastAsia="en-US"/>
              </w:rPr>
            </w:pPr>
            <w:r w:rsidRPr="00500F8B">
              <w:rPr>
                <w:rFonts w:ascii="Arial" w:hAnsi="Arial" w:cs="Arial"/>
                <w:b/>
                <w:color w:val="000000"/>
                <w:sz w:val="18"/>
                <w:szCs w:val="18"/>
                <w:lang w:eastAsia="en-US"/>
              </w:rPr>
              <w:t>18379</w:t>
            </w:r>
            <w:r w:rsidRPr="00500F8B">
              <w:rPr>
                <w:rFonts w:ascii="Arial" w:hAnsi="Arial" w:cs="Arial"/>
                <w:color w:val="000000"/>
                <w:sz w:val="18"/>
                <w:szCs w:val="18"/>
                <w:lang w:eastAsia="en-US"/>
              </w:rPr>
              <w:t>, 105,11917</w:t>
            </w:r>
          </w:p>
        </w:tc>
        <w:tc>
          <w:tcPr>
            <w:tcW w:w="1017" w:type="dxa"/>
            <w:tcBorders>
              <w:top w:val="none" w:sz="0" w:space="0" w:color="auto"/>
              <w:bottom w:val="none" w:sz="0" w:space="0" w:color="auto"/>
            </w:tcBorders>
            <w:noWrap/>
            <w:hideMark/>
          </w:tcPr>
          <w:p w14:paraId="723405FF" w14:textId="77777777" w:rsidR="00500F8B" w:rsidRPr="00500F8B" w:rsidRDefault="00500F8B" w:rsidP="00500F8B">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lang w:eastAsia="en-US"/>
              </w:rPr>
            </w:pPr>
            <w:r w:rsidRPr="00500F8B">
              <w:rPr>
                <w:rFonts w:ascii="Arial" w:hAnsi="Arial" w:cs="Arial"/>
                <w:color w:val="000000"/>
                <w:sz w:val="18"/>
                <w:szCs w:val="18"/>
                <w:lang w:eastAsia="en-US"/>
              </w:rPr>
              <w:t xml:space="preserve">np </w:t>
            </w:r>
          </w:p>
        </w:tc>
        <w:tc>
          <w:tcPr>
            <w:tcW w:w="960" w:type="dxa"/>
            <w:tcBorders>
              <w:top w:val="none" w:sz="0" w:space="0" w:color="auto"/>
              <w:bottom w:val="none" w:sz="0" w:space="0" w:color="auto"/>
            </w:tcBorders>
            <w:noWrap/>
            <w:hideMark/>
          </w:tcPr>
          <w:p w14:paraId="50D702AB" w14:textId="77777777" w:rsidR="00500F8B" w:rsidRPr="00500F8B" w:rsidRDefault="00500F8B" w:rsidP="00500F8B">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lang w:eastAsia="en-US"/>
              </w:rPr>
            </w:pPr>
            <w:r w:rsidRPr="00500F8B">
              <w:rPr>
                <w:rFonts w:ascii="Arial" w:hAnsi="Arial" w:cs="Arial"/>
                <w:color w:val="000000"/>
                <w:sz w:val="18"/>
                <w:szCs w:val="18"/>
                <w:lang w:eastAsia="en-US"/>
              </w:rPr>
              <w:t xml:space="preserve">np </w:t>
            </w:r>
          </w:p>
        </w:tc>
        <w:tc>
          <w:tcPr>
            <w:tcW w:w="1286" w:type="dxa"/>
            <w:tcBorders>
              <w:top w:val="none" w:sz="0" w:space="0" w:color="auto"/>
              <w:bottom w:val="none" w:sz="0" w:space="0" w:color="auto"/>
            </w:tcBorders>
            <w:noWrap/>
            <w:hideMark/>
          </w:tcPr>
          <w:p w14:paraId="638E3DB3" w14:textId="77777777" w:rsidR="00500F8B" w:rsidRPr="00500F8B" w:rsidRDefault="00500F8B" w:rsidP="00500F8B">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lang w:eastAsia="en-US"/>
              </w:rPr>
            </w:pPr>
            <w:r w:rsidRPr="00500F8B">
              <w:rPr>
                <w:rFonts w:ascii="Arial" w:hAnsi="Arial" w:cs="Arial"/>
                <w:color w:val="000000"/>
                <w:sz w:val="18"/>
                <w:szCs w:val="18"/>
                <w:lang w:eastAsia="en-US"/>
              </w:rPr>
              <w:t xml:space="preserve">$1,402 </w:t>
            </w:r>
          </w:p>
        </w:tc>
        <w:tc>
          <w:tcPr>
            <w:tcW w:w="1037" w:type="dxa"/>
            <w:tcBorders>
              <w:top w:val="none" w:sz="0" w:space="0" w:color="auto"/>
              <w:bottom w:val="none" w:sz="0" w:space="0" w:color="auto"/>
            </w:tcBorders>
            <w:noWrap/>
            <w:hideMark/>
          </w:tcPr>
          <w:p w14:paraId="62E1E53A" w14:textId="77777777" w:rsidR="00500F8B" w:rsidRPr="00500F8B" w:rsidRDefault="00500F8B" w:rsidP="00500F8B">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lang w:eastAsia="en-US"/>
              </w:rPr>
            </w:pPr>
            <w:r w:rsidRPr="00500F8B">
              <w:rPr>
                <w:rFonts w:ascii="Arial" w:hAnsi="Arial" w:cs="Arial"/>
                <w:color w:val="000000"/>
                <w:sz w:val="18"/>
                <w:szCs w:val="18"/>
                <w:lang w:eastAsia="en-US"/>
              </w:rPr>
              <w:t xml:space="preserve">np </w:t>
            </w:r>
          </w:p>
        </w:tc>
        <w:tc>
          <w:tcPr>
            <w:tcW w:w="960" w:type="dxa"/>
            <w:tcBorders>
              <w:top w:val="none" w:sz="0" w:space="0" w:color="auto"/>
              <w:bottom w:val="none" w:sz="0" w:space="0" w:color="auto"/>
            </w:tcBorders>
            <w:noWrap/>
            <w:hideMark/>
          </w:tcPr>
          <w:p w14:paraId="0F23BCD0" w14:textId="77777777" w:rsidR="00500F8B" w:rsidRPr="00500F8B" w:rsidRDefault="00500F8B" w:rsidP="00500F8B">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lang w:eastAsia="en-US"/>
              </w:rPr>
            </w:pPr>
            <w:r w:rsidRPr="00500F8B">
              <w:rPr>
                <w:rFonts w:ascii="Arial" w:hAnsi="Arial" w:cs="Arial"/>
                <w:color w:val="000000"/>
                <w:sz w:val="18"/>
                <w:szCs w:val="18"/>
                <w:lang w:eastAsia="en-US"/>
              </w:rPr>
              <w:t xml:space="preserve">np </w:t>
            </w:r>
          </w:p>
        </w:tc>
        <w:tc>
          <w:tcPr>
            <w:tcW w:w="997" w:type="dxa"/>
            <w:tcBorders>
              <w:top w:val="none" w:sz="0" w:space="0" w:color="auto"/>
              <w:bottom w:val="none" w:sz="0" w:space="0" w:color="auto"/>
              <w:right w:val="none" w:sz="0" w:space="0" w:color="auto"/>
            </w:tcBorders>
            <w:noWrap/>
            <w:hideMark/>
          </w:tcPr>
          <w:p w14:paraId="690F29C3" w14:textId="77777777" w:rsidR="00500F8B" w:rsidRPr="00500F8B" w:rsidRDefault="00500F8B" w:rsidP="00500F8B">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lang w:eastAsia="en-US"/>
              </w:rPr>
            </w:pPr>
            <w:r w:rsidRPr="00500F8B">
              <w:rPr>
                <w:rFonts w:ascii="Arial" w:hAnsi="Arial" w:cs="Arial"/>
                <w:color w:val="000000"/>
                <w:sz w:val="18"/>
                <w:szCs w:val="18"/>
                <w:lang w:eastAsia="en-US"/>
              </w:rPr>
              <w:t xml:space="preserve">0.65% </w:t>
            </w:r>
          </w:p>
        </w:tc>
      </w:tr>
      <w:tr w:rsidR="00500F8B" w:rsidRPr="00500F8B" w14:paraId="6F083050" w14:textId="77777777" w:rsidTr="0016330C">
        <w:trPr>
          <w:trHeight w:val="300"/>
        </w:trPr>
        <w:tc>
          <w:tcPr>
            <w:cnfStyle w:val="001000000000" w:firstRow="0" w:lastRow="0" w:firstColumn="1" w:lastColumn="0" w:oddVBand="0" w:evenVBand="0" w:oddHBand="0" w:evenHBand="0" w:firstRowFirstColumn="0" w:firstRowLastColumn="0" w:lastRowFirstColumn="0" w:lastRowLastColumn="0"/>
            <w:tcW w:w="567" w:type="dxa"/>
            <w:noWrap/>
          </w:tcPr>
          <w:p w14:paraId="014CB197" w14:textId="77777777" w:rsidR="00500F8B" w:rsidRPr="00500F8B" w:rsidRDefault="00500F8B" w:rsidP="00500F8B">
            <w:pPr>
              <w:rPr>
                <w:rFonts w:ascii="Arial" w:hAnsi="Arial" w:cs="Arial"/>
                <w:color w:val="000000"/>
                <w:sz w:val="18"/>
                <w:szCs w:val="18"/>
                <w:lang w:eastAsia="en-US"/>
              </w:rPr>
            </w:pPr>
            <w:r w:rsidRPr="00500F8B">
              <w:rPr>
                <w:rFonts w:ascii="Arial" w:hAnsi="Arial" w:cs="Arial"/>
                <w:color w:val="000000"/>
                <w:sz w:val="18"/>
                <w:szCs w:val="18"/>
                <w:lang w:eastAsia="en-US"/>
              </w:rPr>
              <w:t>10</w:t>
            </w:r>
          </w:p>
        </w:tc>
        <w:tc>
          <w:tcPr>
            <w:tcW w:w="2314" w:type="dxa"/>
            <w:noWrap/>
            <w:hideMark/>
          </w:tcPr>
          <w:p w14:paraId="76458F58" w14:textId="77777777" w:rsidR="00500F8B" w:rsidRPr="00500F8B" w:rsidRDefault="00500F8B" w:rsidP="00500F8B">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en-US"/>
              </w:rPr>
            </w:pPr>
            <w:r w:rsidRPr="00500F8B">
              <w:rPr>
                <w:rFonts w:ascii="Arial" w:hAnsi="Arial" w:cs="Arial"/>
                <w:b/>
                <w:color w:val="000000"/>
                <w:sz w:val="18"/>
                <w:szCs w:val="18"/>
                <w:lang w:eastAsia="en-US"/>
              </w:rPr>
              <w:t>18379</w:t>
            </w:r>
            <w:r w:rsidRPr="00500F8B">
              <w:rPr>
                <w:rFonts w:ascii="Arial" w:hAnsi="Arial" w:cs="Arial"/>
                <w:color w:val="000000"/>
                <w:sz w:val="18"/>
                <w:szCs w:val="18"/>
                <w:lang w:eastAsia="en-US"/>
              </w:rPr>
              <w:t>, 36667, 36668</w:t>
            </w:r>
          </w:p>
        </w:tc>
        <w:tc>
          <w:tcPr>
            <w:tcW w:w="1017" w:type="dxa"/>
            <w:noWrap/>
            <w:hideMark/>
          </w:tcPr>
          <w:p w14:paraId="65992A97" w14:textId="77777777" w:rsidR="00500F8B" w:rsidRPr="00500F8B" w:rsidRDefault="00500F8B" w:rsidP="00500F8B">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en-US"/>
              </w:rPr>
            </w:pPr>
            <w:r w:rsidRPr="00500F8B">
              <w:rPr>
                <w:rFonts w:ascii="Arial" w:hAnsi="Arial" w:cs="Arial"/>
                <w:color w:val="000000"/>
                <w:sz w:val="18"/>
                <w:szCs w:val="18"/>
                <w:lang w:eastAsia="en-US"/>
              </w:rPr>
              <w:t xml:space="preserve">np </w:t>
            </w:r>
          </w:p>
        </w:tc>
        <w:tc>
          <w:tcPr>
            <w:tcW w:w="960" w:type="dxa"/>
            <w:noWrap/>
            <w:hideMark/>
          </w:tcPr>
          <w:p w14:paraId="4003BF64" w14:textId="77777777" w:rsidR="00500F8B" w:rsidRPr="00500F8B" w:rsidRDefault="00500F8B" w:rsidP="00500F8B">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en-US"/>
              </w:rPr>
            </w:pPr>
            <w:r w:rsidRPr="00500F8B">
              <w:rPr>
                <w:rFonts w:ascii="Arial" w:hAnsi="Arial" w:cs="Arial"/>
                <w:color w:val="000000"/>
                <w:sz w:val="18"/>
                <w:szCs w:val="18"/>
                <w:lang w:eastAsia="en-US"/>
              </w:rPr>
              <w:t xml:space="preserve">np </w:t>
            </w:r>
          </w:p>
        </w:tc>
        <w:tc>
          <w:tcPr>
            <w:tcW w:w="1286" w:type="dxa"/>
            <w:noWrap/>
            <w:hideMark/>
          </w:tcPr>
          <w:p w14:paraId="6AD245AE" w14:textId="77777777" w:rsidR="00500F8B" w:rsidRPr="00500F8B" w:rsidRDefault="00500F8B" w:rsidP="00500F8B">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en-US"/>
              </w:rPr>
            </w:pPr>
            <w:r w:rsidRPr="00500F8B">
              <w:rPr>
                <w:rFonts w:ascii="Arial" w:hAnsi="Arial" w:cs="Arial"/>
                <w:color w:val="000000"/>
                <w:sz w:val="18"/>
                <w:szCs w:val="18"/>
                <w:lang w:eastAsia="en-US"/>
              </w:rPr>
              <w:t xml:space="preserve">$929 </w:t>
            </w:r>
          </w:p>
        </w:tc>
        <w:tc>
          <w:tcPr>
            <w:tcW w:w="1037" w:type="dxa"/>
            <w:noWrap/>
            <w:hideMark/>
          </w:tcPr>
          <w:p w14:paraId="1FC802B3" w14:textId="77777777" w:rsidR="00500F8B" w:rsidRPr="00500F8B" w:rsidRDefault="00500F8B" w:rsidP="00500F8B">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en-US"/>
              </w:rPr>
            </w:pPr>
            <w:r w:rsidRPr="00500F8B">
              <w:rPr>
                <w:rFonts w:ascii="Arial" w:hAnsi="Arial" w:cs="Arial"/>
                <w:color w:val="000000"/>
                <w:sz w:val="18"/>
                <w:szCs w:val="18"/>
                <w:lang w:eastAsia="en-US"/>
              </w:rPr>
              <w:t xml:space="preserve">np </w:t>
            </w:r>
          </w:p>
        </w:tc>
        <w:tc>
          <w:tcPr>
            <w:tcW w:w="960" w:type="dxa"/>
            <w:noWrap/>
            <w:hideMark/>
          </w:tcPr>
          <w:p w14:paraId="571C4273" w14:textId="77777777" w:rsidR="00500F8B" w:rsidRPr="00500F8B" w:rsidRDefault="00500F8B" w:rsidP="00500F8B">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en-US"/>
              </w:rPr>
            </w:pPr>
            <w:r w:rsidRPr="00500F8B">
              <w:rPr>
                <w:rFonts w:ascii="Arial" w:hAnsi="Arial" w:cs="Arial"/>
                <w:color w:val="000000"/>
                <w:sz w:val="18"/>
                <w:szCs w:val="18"/>
                <w:lang w:eastAsia="en-US"/>
              </w:rPr>
              <w:t xml:space="preserve">np </w:t>
            </w:r>
          </w:p>
        </w:tc>
        <w:tc>
          <w:tcPr>
            <w:tcW w:w="997" w:type="dxa"/>
            <w:noWrap/>
            <w:hideMark/>
          </w:tcPr>
          <w:p w14:paraId="722E232B" w14:textId="77777777" w:rsidR="00500F8B" w:rsidRPr="00500F8B" w:rsidRDefault="00500F8B" w:rsidP="00500F8B">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en-US"/>
              </w:rPr>
            </w:pPr>
            <w:r w:rsidRPr="00500F8B">
              <w:rPr>
                <w:rFonts w:ascii="Arial" w:hAnsi="Arial" w:cs="Arial"/>
                <w:color w:val="000000"/>
                <w:sz w:val="18"/>
                <w:szCs w:val="18"/>
                <w:lang w:eastAsia="en-US"/>
              </w:rPr>
              <w:t xml:space="preserve">0.65% </w:t>
            </w:r>
          </w:p>
        </w:tc>
      </w:tr>
    </w:tbl>
    <w:p w14:paraId="233C7DC3" w14:textId="55A488E4" w:rsidR="00500F8B" w:rsidRPr="00B9218B" w:rsidRDefault="00500F8B" w:rsidP="003C5C54">
      <w:pPr>
        <w:pStyle w:val="Heading3"/>
      </w:pPr>
      <w:r w:rsidRPr="00B9218B">
        <w:t xml:space="preserve">Table 9: Top 10 instances of co-claiming with MBS item 18379 in 2015-16 </w:t>
      </w:r>
    </w:p>
    <w:tbl>
      <w:tblPr>
        <w:tblStyle w:val="LightList-Accent1"/>
        <w:tblW w:w="91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able 9 presents the top ten instances of co-claiming with MBS item 18379 in the 2015-16 financial year. The table is split into eight columns, 1) ranking number from 1 to 10, 2) MBS items, 3) Episodes, 4) Number of services, 5) Schedule Fee for combination, 6) Number of providers, 7) Number of patients, 8) Percentage of episodes. Rows are split by ranking number, which presents the largest number of episodes as one and the smallest number of episodes as ten. 'NP' means that for that cell, the data is not printed."/>
      </w:tblPr>
      <w:tblGrid>
        <w:gridCol w:w="567"/>
        <w:gridCol w:w="2314"/>
        <w:gridCol w:w="1017"/>
        <w:gridCol w:w="960"/>
        <w:gridCol w:w="1286"/>
        <w:gridCol w:w="1037"/>
        <w:gridCol w:w="960"/>
        <w:gridCol w:w="997"/>
      </w:tblGrid>
      <w:tr w:rsidR="00500F8B" w:rsidRPr="00500F8B" w14:paraId="69C50370" w14:textId="77777777" w:rsidTr="000C7515">
        <w:trPr>
          <w:cnfStyle w:val="100000000000" w:firstRow="1" w:lastRow="0" w:firstColumn="0" w:lastColumn="0" w:oddVBand="0" w:evenVBand="0" w:oddHBand="0" w:evenHBand="0" w:firstRowFirstColumn="0" w:firstRowLastColumn="0" w:lastRowFirstColumn="0" w:lastRowLastColumn="0"/>
          <w:trHeight w:val="471"/>
          <w:tblHeader/>
        </w:trPr>
        <w:tc>
          <w:tcPr>
            <w:cnfStyle w:val="001000000000" w:firstRow="0" w:lastRow="0" w:firstColumn="1" w:lastColumn="0" w:oddVBand="0" w:evenVBand="0" w:oddHBand="0" w:evenHBand="0" w:firstRowFirstColumn="0" w:firstRowLastColumn="0" w:lastRowFirstColumn="0" w:lastRowLastColumn="0"/>
            <w:tcW w:w="567" w:type="dxa"/>
            <w:hideMark/>
          </w:tcPr>
          <w:p w14:paraId="62B162F3" w14:textId="77777777" w:rsidR="00500F8B" w:rsidRPr="00500F8B" w:rsidRDefault="00500F8B" w:rsidP="00500F8B">
            <w:pPr>
              <w:jc w:val="center"/>
              <w:rPr>
                <w:rFonts w:ascii="Arial" w:hAnsi="Arial" w:cs="Arial"/>
                <w:b w:val="0"/>
                <w:bCs w:val="0"/>
                <w:color w:val="FFFFFF"/>
                <w:sz w:val="18"/>
                <w:szCs w:val="18"/>
                <w:lang w:eastAsia="en-US"/>
              </w:rPr>
            </w:pPr>
            <w:r w:rsidRPr="00500F8B">
              <w:rPr>
                <w:rFonts w:ascii="Arial" w:hAnsi="Arial" w:cs="Arial"/>
                <w:b w:val="0"/>
                <w:bCs w:val="0"/>
                <w:color w:val="FFFFFF"/>
                <w:sz w:val="18"/>
                <w:szCs w:val="18"/>
                <w:lang w:eastAsia="en-US"/>
              </w:rPr>
              <w:t>#</w:t>
            </w:r>
          </w:p>
        </w:tc>
        <w:tc>
          <w:tcPr>
            <w:tcW w:w="2314" w:type="dxa"/>
            <w:hideMark/>
          </w:tcPr>
          <w:p w14:paraId="4A2DFE8F" w14:textId="77777777" w:rsidR="00500F8B" w:rsidRPr="00500F8B" w:rsidRDefault="00500F8B" w:rsidP="00500F8B">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sz w:val="18"/>
                <w:szCs w:val="18"/>
                <w:lang w:eastAsia="en-US"/>
              </w:rPr>
            </w:pPr>
            <w:r w:rsidRPr="00500F8B">
              <w:rPr>
                <w:rFonts w:ascii="Arial" w:hAnsi="Arial" w:cs="Arial"/>
                <w:b w:val="0"/>
                <w:bCs w:val="0"/>
                <w:color w:val="FFFFFF"/>
                <w:sz w:val="18"/>
                <w:szCs w:val="18"/>
                <w:lang w:eastAsia="en-US"/>
              </w:rPr>
              <w:t>Items</w:t>
            </w:r>
          </w:p>
        </w:tc>
        <w:tc>
          <w:tcPr>
            <w:tcW w:w="1017" w:type="dxa"/>
            <w:hideMark/>
          </w:tcPr>
          <w:p w14:paraId="618B9E92" w14:textId="77777777" w:rsidR="00500F8B" w:rsidRPr="00500F8B" w:rsidRDefault="00500F8B" w:rsidP="00500F8B">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sz w:val="18"/>
                <w:szCs w:val="18"/>
                <w:lang w:eastAsia="en-US"/>
              </w:rPr>
            </w:pPr>
            <w:r w:rsidRPr="00500F8B">
              <w:rPr>
                <w:rFonts w:ascii="Arial" w:hAnsi="Arial" w:cs="Arial"/>
                <w:b w:val="0"/>
                <w:bCs w:val="0"/>
                <w:color w:val="FFFFFF"/>
                <w:sz w:val="18"/>
                <w:szCs w:val="18"/>
                <w:lang w:eastAsia="en-US"/>
              </w:rPr>
              <w:t>Episodes</w:t>
            </w:r>
          </w:p>
        </w:tc>
        <w:tc>
          <w:tcPr>
            <w:tcW w:w="960" w:type="dxa"/>
            <w:hideMark/>
          </w:tcPr>
          <w:p w14:paraId="444F3316" w14:textId="77777777" w:rsidR="00500F8B" w:rsidRPr="00500F8B" w:rsidRDefault="00500F8B" w:rsidP="00500F8B">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sz w:val="18"/>
                <w:szCs w:val="18"/>
                <w:lang w:eastAsia="en-US"/>
              </w:rPr>
            </w:pPr>
            <w:r w:rsidRPr="00500F8B">
              <w:rPr>
                <w:rFonts w:ascii="Arial" w:hAnsi="Arial" w:cs="Arial"/>
                <w:b w:val="0"/>
                <w:bCs w:val="0"/>
                <w:color w:val="FFFFFF"/>
                <w:sz w:val="18"/>
                <w:szCs w:val="18"/>
                <w:lang w:eastAsia="en-US"/>
              </w:rPr>
              <w:t>Services</w:t>
            </w:r>
          </w:p>
        </w:tc>
        <w:tc>
          <w:tcPr>
            <w:tcW w:w="1286" w:type="dxa"/>
            <w:hideMark/>
          </w:tcPr>
          <w:p w14:paraId="2D67A9FC" w14:textId="77777777" w:rsidR="00500F8B" w:rsidRPr="00500F8B" w:rsidRDefault="00500F8B" w:rsidP="00500F8B">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sz w:val="18"/>
                <w:szCs w:val="18"/>
                <w:lang w:eastAsia="en-US"/>
              </w:rPr>
            </w:pPr>
            <w:r w:rsidRPr="00500F8B">
              <w:rPr>
                <w:rFonts w:ascii="Arial" w:hAnsi="Arial" w:cs="Arial"/>
                <w:b w:val="0"/>
                <w:bCs w:val="0"/>
                <w:color w:val="FFFFFF"/>
                <w:sz w:val="18"/>
                <w:szCs w:val="18"/>
                <w:lang w:eastAsia="en-US"/>
              </w:rPr>
              <w:t>Schedule Fee for combination</w:t>
            </w:r>
          </w:p>
        </w:tc>
        <w:tc>
          <w:tcPr>
            <w:tcW w:w="1037" w:type="dxa"/>
            <w:hideMark/>
          </w:tcPr>
          <w:p w14:paraId="7CF0FDF6" w14:textId="77777777" w:rsidR="00500F8B" w:rsidRPr="00500F8B" w:rsidRDefault="00500F8B" w:rsidP="00500F8B">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sz w:val="18"/>
                <w:szCs w:val="18"/>
                <w:lang w:eastAsia="en-US"/>
              </w:rPr>
            </w:pPr>
            <w:r w:rsidRPr="00500F8B">
              <w:rPr>
                <w:rFonts w:ascii="Arial" w:hAnsi="Arial" w:cs="Arial"/>
                <w:b w:val="0"/>
                <w:bCs w:val="0"/>
                <w:color w:val="FFFFFF"/>
                <w:sz w:val="18"/>
                <w:szCs w:val="18"/>
                <w:lang w:eastAsia="en-US"/>
              </w:rPr>
              <w:t>Number of providers</w:t>
            </w:r>
          </w:p>
        </w:tc>
        <w:tc>
          <w:tcPr>
            <w:tcW w:w="960" w:type="dxa"/>
            <w:hideMark/>
          </w:tcPr>
          <w:p w14:paraId="444BC944" w14:textId="77777777" w:rsidR="00500F8B" w:rsidRPr="00500F8B" w:rsidRDefault="00500F8B" w:rsidP="00500F8B">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sz w:val="18"/>
                <w:szCs w:val="18"/>
                <w:lang w:eastAsia="en-US"/>
              </w:rPr>
            </w:pPr>
            <w:r w:rsidRPr="00500F8B">
              <w:rPr>
                <w:rFonts w:ascii="Arial" w:hAnsi="Arial" w:cs="Arial"/>
                <w:b w:val="0"/>
                <w:bCs w:val="0"/>
                <w:color w:val="FFFFFF"/>
                <w:sz w:val="18"/>
                <w:szCs w:val="18"/>
                <w:lang w:eastAsia="en-US"/>
              </w:rPr>
              <w:t>Number of patients</w:t>
            </w:r>
          </w:p>
        </w:tc>
        <w:tc>
          <w:tcPr>
            <w:tcW w:w="997" w:type="dxa"/>
            <w:hideMark/>
          </w:tcPr>
          <w:p w14:paraId="2A751C22" w14:textId="77777777" w:rsidR="00500F8B" w:rsidRPr="00500F8B" w:rsidRDefault="00500F8B" w:rsidP="00500F8B">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sz w:val="18"/>
                <w:szCs w:val="18"/>
                <w:lang w:eastAsia="en-US"/>
              </w:rPr>
            </w:pPr>
            <w:r w:rsidRPr="00500F8B">
              <w:rPr>
                <w:rFonts w:ascii="Arial" w:hAnsi="Arial" w:cs="Arial"/>
                <w:b w:val="0"/>
                <w:bCs w:val="0"/>
                <w:color w:val="FFFFFF"/>
                <w:sz w:val="18"/>
                <w:szCs w:val="18"/>
                <w:lang w:eastAsia="en-US"/>
              </w:rPr>
              <w:t>% of episodes</w:t>
            </w:r>
          </w:p>
        </w:tc>
      </w:tr>
      <w:tr w:rsidR="00500F8B" w:rsidRPr="00500F8B" w14:paraId="66492020" w14:textId="77777777" w:rsidTr="0016330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7" w:type="dxa"/>
            <w:tcBorders>
              <w:top w:val="none" w:sz="0" w:space="0" w:color="auto"/>
              <w:left w:val="none" w:sz="0" w:space="0" w:color="auto"/>
              <w:bottom w:val="none" w:sz="0" w:space="0" w:color="auto"/>
            </w:tcBorders>
            <w:noWrap/>
          </w:tcPr>
          <w:p w14:paraId="4621DDA4" w14:textId="77777777" w:rsidR="00500F8B" w:rsidRPr="00500F8B" w:rsidRDefault="00500F8B" w:rsidP="00500F8B">
            <w:pPr>
              <w:rPr>
                <w:rFonts w:ascii="Arial" w:hAnsi="Arial" w:cs="Arial"/>
                <w:color w:val="000000"/>
                <w:sz w:val="18"/>
                <w:szCs w:val="18"/>
                <w:lang w:eastAsia="en-US"/>
              </w:rPr>
            </w:pPr>
            <w:r w:rsidRPr="00500F8B">
              <w:rPr>
                <w:rFonts w:ascii="Arial" w:hAnsi="Arial" w:cs="Arial"/>
                <w:color w:val="000000"/>
                <w:sz w:val="18"/>
                <w:szCs w:val="18"/>
                <w:lang w:eastAsia="en-US"/>
              </w:rPr>
              <w:t>1</w:t>
            </w:r>
          </w:p>
        </w:tc>
        <w:tc>
          <w:tcPr>
            <w:tcW w:w="2314" w:type="dxa"/>
            <w:tcBorders>
              <w:top w:val="none" w:sz="0" w:space="0" w:color="auto"/>
              <w:bottom w:val="none" w:sz="0" w:space="0" w:color="auto"/>
            </w:tcBorders>
            <w:noWrap/>
          </w:tcPr>
          <w:p w14:paraId="1C40C362" w14:textId="77777777" w:rsidR="00500F8B" w:rsidRPr="00500F8B" w:rsidRDefault="00500F8B" w:rsidP="00500F8B">
            <w:pPr>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18"/>
                <w:szCs w:val="18"/>
                <w:lang w:eastAsia="en-US"/>
              </w:rPr>
            </w:pPr>
            <w:r w:rsidRPr="00500F8B">
              <w:rPr>
                <w:rFonts w:ascii="Arial" w:hAnsi="Arial" w:cs="Arial"/>
                <w:b/>
                <w:color w:val="000000"/>
                <w:sz w:val="18"/>
                <w:szCs w:val="18"/>
                <w:lang w:eastAsia="en-US"/>
              </w:rPr>
              <w:t>18379</w:t>
            </w:r>
          </w:p>
        </w:tc>
        <w:tc>
          <w:tcPr>
            <w:tcW w:w="1017" w:type="dxa"/>
            <w:tcBorders>
              <w:top w:val="none" w:sz="0" w:space="0" w:color="auto"/>
              <w:bottom w:val="none" w:sz="0" w:space="0" w:color="auto"/>
            </w:tcBorders>
            <w:noWrap/>
          </w:tcPr>
          <w:p w14:paraId="7B94422B" w14:textId="77777777" w:rsidR="00500F8B" w:rsidRPr="00500F8B" w:rsidRDefault="00500F8B" w:rsidP="00500F8B">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lang w:eastAsia="en-US"/>
              </w:rPr>
            </w:pPr>
            <w:r w:rsidRPr="00500F8B">
              <w:rPr>
                <w:rFonts w:ascii="Arial" w:hAnsi="Arial" w:cs="Arial"/>
                <w:color w:val="000000"/>
                <w:sz w:val="18"/>
                <w:szCs w:val="18"/>
                <w:lang w:eastAsia="en-US"/>
              </w:rPr>
              <w:t xml:space="preserve">579 </w:t>
            </w:r>
          </w:p>
        </w:tc>
        <w:tc>
          <w:tcPr>
            <w:tcW w:w="960" w:type="dxa"/>
            <w:tcBorders>
              <w:top w:val="none" w:sz="0" w:space="0" w:color="auto"/>
              <w:bottom w:val="none" w:sz="0" w:space="0" w:color="auto"/>
            </w:tcBorders>
            <w:noWrap/>
          </w:tcPr>
          <w:p w14:paraId="01BB54F9" w14:textId="77777777" w:rsidR="00500F8B" w:rsidRPr="00500F8B" w:rsidRDefault="00500F8B" w:rsidP="00500F8B">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lang w:eastAsia="en-US"/>
              </w:rPr>
            </w:pPr>
            <w:r w:rsidRPr="00500F8B">
              <w:rPr>
                <w:rFonts w:ascii="Arial" w:hAnsi="Arial" w:cs="Arial"/>
                <w:color w:val="000000"/>
                <w:sz w:val="18"/>
                <w:szCs w:val="18"/>
                <w:lang w:eastAsia="en-US"/>
              </w:rPr>
              <w:t xml:space="preserve">580 </w:t>
            </w:r>
          </w:p>
        </w:tc>
        <w:tc>
          <w:tcPr>
            <w:tcW w:w="1286" w:type="dxa"/>
            <w:tcBorders>
              <w:top w:val="none" w:sz="0" w:space="0" w:color="auto"/>
              <w:bottom w:val="none" w:sz="0" w:space="0" w:color="auto"/>
            </w:tcBorders>
            <w:noWrap/>
          </w:tcPr>
          <w:p w14:paraId="0AB796C6" w14:textId="77777777" w:rsidR="00500F8B" w:rsidRPr="00500F8B" w:rsidRDefault="00500F8B" w:rsidP="00500F8B">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lang w:eastAsia="en-US"/>
              </w:rPr>
            </w:pPr>
            <w:r w:rsidRPr="00500F8B">
              <w:rPr>
                <w:rFonts w:ascii="Arial" w:hAnsi="Arial" w:cs="Arial"/>
                <w:color w:val="000000"/>
                <w:sz w:val="18"/>
                <w:szCs w:val="18"/>
                <w:lang w:eastAsia="en-US"/>
              </w:rPr>
              <w:t xml:space="preserve">$133,313 </w:t>
            </w:r>
          </w:p>
        </w:tc>
        <w:tc>
          <w:tcPr>
            <w:tcW w:w="1037" w:type="dxa"/>
            <w:tcBorders>
              <w:top w:val="none" w:sz="0" w:space="0" w:color="auto"/>
              <w:bottom w:val="none" w:sz="0" w:space="0" w:color="auto"/>
            </w:tcBorders>
            <w:noWrap/>
          </w:tcPr>
          <w:p w14:paraId="401FD3E4" w14:textId="77777777" w:rsidR="00500F8B" w:rsidRPr="00500F8B" w:rsidRDefault="00500F8B" w:rsidP="00500F8B">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lang w:eastAsia="en-US"/>
              </w:rPr>
            </w:pPr>
            <w:r w:rsidRPr="00500F8B">
              <w:rPr>
                <w:rFonts w:ascii="Arial" w:hAnsi="Arial" w:cs="Arial"/>
                <w:color w:val="000000"/>
                <w:sz w:val="18"/>
                <w:szCs w:val="18"/>
                <w:lang w:eastAsia="en-US"/>
              </w:rPr>
              <w:t xml:space="preserve">47 </w:t>
            </w:r>
          </w:p>
        </w:tc>
        <w:tc>
          <w:tcPr>
            <w:tcW w:w="960" w:type="dxa"/>
            <w:tcBorders>
              <w:top w:val="none" w:sz="0" w:space="0" w:color="auto"/>
              <w:bottom w:val="none" w:sz="0" w:space="0" w:color="auto"/>
            </w:tcBorders>
            <w:noWrap/>
          </w:tcPr>
          <w:p w14:paraId="2010B7E0" w14:textId="77777777" w:rsidR="00500F8B" w:rsidRPr="00500F8B" w:rsidRDefault="00500F8B" w:rsidP="00500F8B">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lang w:eastAsia="en-US"/>
              </w:rPr>
            </w:pPr>
            <w:r w:rsidRPr="00500F8B">
              <w:rPr>
                <w:rFonts w:ascii="Arial" w:hAnsi="Arial" w:cs="Arial"/>
                <w:color w:val="000000"/>
                <w:sz w:val="18"/>
                <w:szCs w:val="18"/>
                <w:lang w:eastAsia="en-US"/>
              </w:rPr>
              <w:t xml:space="preserve">518 </w:t>
            </w:r>
          </w:p>
        </w:tc>
        <w:tc>
          <w:tcPr>
            <w:tcW w:w="997" w:type="dxa"/>
            <w:tcBorders>
              <w:top w:val="none" w:sz="0" w:space="0" w:color="auto"/>
              <w:bottom w:val="none" w:sz="0" w:space="0" w:color="auto"/>
              <w:right w:val="none" w:sz="0" w:space="0" w:color="auto"/>
            </w:tcBorders>
            <w:noWrap/>
          </w:tcPr>
          <w:p w14:paraId="3C6ABFB4" w14:textId="77777777" w:rsidR="00500F8B" w:rsidRPr="00500F8B" w:rsidRDefault="00500F8B" w:rsidP="00500F8B">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lang w:eastAsia="en-US"/>
              </w:rPr>
            </w:pPr>
            <w:r w:rsidRPr="00500F8B">
              <w:rPr>
                <w:rFonts w:ascii="Arial" w:hAnsi="Arial" w:cs="Arial"/>
                <w:color w:val="000000"/>
                <w:sz w:val="18"/>
                <w:szCs w:val="18"/>
                <w:lang w:eastAsia="en-US"/>
              </w:rPr>
              <w:t xml:space="preserve">80.87% </w:t>
            </w:r>
          </w:p>
        </w:tc>
      </w:tr>
      <w:tr w:rsidR="00500F8B" w:rsidRPr="00500F8B" w14:paraId="699142B3" w14:textId="77777777" w:rsidTr="0016330C">
        <w:trPr>
          <w:trHeight w:val="300"/>
        </w:trPr>
        <w:tc>
          <w:tcPr>
            <w:cnfStyle w:val="001000000000" w:firstRow="0" w:lastRow="0" w:firstColumn="1" w:lastColumn="0" w:oddVBand="0" w:evenVBand="0" w:oddHBand="0" w:evenHBand="0" w:firstRowFirstColumn="0" w:firstRowLastColumn="0" w:lastRowFirstColumn="0" w:lastRowLastColumn="0"/>
            <w:tcW w:w="567" w:type="dxa"/>
            <w:noWrap/>
          </w:tcPr>
          <w:p w14:paraId="1E624D42" w14:textId="77777777" w:rsidR="00500F8B" w:rsidRPr="00500F8B" w:rsidRDefault="00500F8B" w:rsidP="00500F8B">
            <w:pPr>
              <w:rPr>
                <w:rFonts w:ascii="Arial" w:hAnsi="Arial" w:cs="Arial"/>
                <w:color w:val="000000"/>
                <w:sz w:val="18"/>
                <w:szCs w:val="18"/>
                <w:lang w:eastAsia="en-US"/>
              </w:rPr>
            </w:pPr>
            <w:r w:rsidRPr="00500F8B">
              <w:rPr>
                <w:rFonts w:ascii="Arial" w:hAnsi="Arial" w:cs="Arial"/>
                <w:color w:val="000000"/>
                <w:sz w:val="18"/>
                <w:szCs w:val="18"/>
                <w:lang w:eastAsia="en-US"/>
              </w:rPr>
              <w:t>2</w:t>
            </w:r>
          </w:p>
        </w:tc>
        <w:tc>
          <w:tcPr>
            <w:tcW w:w="2314" w:type="dxa"/>
            <w:noWrap/>
          </w:tcPr>
          <w:p w14:paraId="3C3AAA74" w14:textId="77777777" w:rsidR="00500F8B" w:rsidRPr="00500F8B" w:rsidRDefault="00500F8B" w:rsidP="00500F8B">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en-US"/>
              </w:rPr>
            </w:pPr>
            <w:r w:rsidRPr="00500F8B">
              <w:rPr>
                <w:rFonts w:ascii="Arial" w:hAnsi="Arial" w:cs="Arial"/>
                <w:b/>
                <w:color w:val="000000"/>
                <w:sz w:val="18"/>
                <w:szCs w:val="18"/>
                <w:lang w:eastAsia="en-US"/>
              </w:rPr>
              <w:t>18379</w:t>
            </w:r>
            <w:r w:rsidRPr="00500F8B">
              <w:rPr>
                <w:rFonts w:ascii="Arial" w:hAnsi="Arial" w:cs="Arial"/>
                <w:color w:val="000000"/>
                <w:sz w:val="18"/>
                <w:szCs w:val="18"/>
                <w:lang w:eastAsia="en-US"/>
              </w:rPr>
              <w:t>, 36827</w:t>
            </w:r>
          </w:p>
        </w:tc>
        <w:tc>
          <w:tcPr>
            <w:tcW w:w="1017" w:type="dxa"/>
            <w:noWrap/>
          </w:tcPr>
          <w:p w14:paraId="31A9F6F0" w14:textId="77777777" w:rsidR="00500F8B" w:rsidRPr="00500F8B" w:rsidRDefault="00500F8B" w:rsidP="00500F8B">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en-US"/>
              </w:rPr>
            </w:pPr>
            <w:r w:rsidRPr="00500F8B">
              <w:rPr>
                <w:rFonts w:ascii="Arial" w:hAnsi="Arial" w:cs="Arial"/>
                <w:color w:val="000000"/>
                <w:sz w:val="18"/>
                <w:szCs w:val="18"/>
                <w:lang w:eastAsia="en-US"/>
              </w:rPr>
              <w:t xml:space="preserve">20 </w:t>
            </w:r>
          </w:p>
        </w:tc>
        <w:tc>
          <w:tcPr>
            <w:tcW w:w="960" w:type="dxa"/>
            <w:noWrap/>
          </w:tcPr>
          <w:p w14:paraId="60732403" w14:textId="77777777" w:rsidR="00500F8B" w:rsidRPr="00500F8B" w:rsidRDefault="00500F8B" w:rsidP="00500F8B">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en-US"/>
              </w:rPr>
            </w:pPr>
            <w:r w:rsidRPr="00500F8B">
              <w:rPr>
                <w:rFonts w:ascii="Arial" w:hAnsi="Arial" w:cs="Arial"/>
                <w:color w:val="000000"/>
                <w:sz w:val="18"/>
                <w:szCs w:val="18"/>
                <w:lang w:eastAsia="en-US"/>
              </w:rPr>
              <w:t xml:space="preserve">40 </w:t>
            </w:r>
          </w:p>
        </w:tc>
        <w:tc>
          <w:tcPr>
            <w:tcW w:w="1286" w:type="dxa"/>
            <w:noWrap/>
          </w:tcPr>
          <w:p w14:paraId="3C39643A" w14:textId="77777777" w:rsidR="00500F8B" w:rsidRPr="00500F8B" w:rsidRDefault="00500F8B" w:rsidP="00500F8B">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en-US"/>
              </w:rPr>
            </w:pPr>
            <w:r w:rsidRPr="00500F8B">
              <w:rPr>
                <w:rFonts w:ascii="Arial" w:hAnsi="Arial" w:cs="Arial"/>
                <w:color w:val="000000"/>
                <w:sz w:val="18"/>
                <w:szCs w:val="18"/>
                <w:lang w:eastAsia="en-US"/>
              </w:rPr>
              <w:t xml:space="preserve">$9,194 </w:t>
            </w:r>
          </w:p>
        </w:tc>
        <w:tc>
          <w:tcPr>
            <w:tcW w:w="1037" w:type="dxa"/>
            <w:noWrap/>
          </w:tcPr>
          <w:p w14:paraId="00C6D672" w14:textId="77777777" w:rsidR="00500F8B" w:rsidRPr="00500F8B" w:rsidRDefault="00500F8B" w:rsidP="00500F8B">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en-US"/>
              </w:rPr>
            </w:pPr>
            <w:r w:rsidRPr="00500F8B">
              <w:rPr>
                <w:rFonts w:ascii="Arial" w:hAnsi="Arial" w:cs="Arial"/>
                <w:color w:val="000000"/>
                <w:sz w:val="18"/>
                <w:szCs w:val="18"/>
                <w:lang w:eastAsia="en-US"/>
              </w:rPr>
              <w:t xml:space="preserve">np </w:t>
            </w:r>
          </w:p>
        </w:tc>
        <w:tc>
          <w:tcPr>
            <w:tcW w:w="960" w:type="dxa"/>
            <w:noWrap/>
          </w:tcPr>
          <w:p w14:paraId="671D90EE" w14:textId="77777777" w:rsidR="00500F8B" w:rsidRPr="00500F8B" w:rsidRDefault="00500F8B" w:rsidP="00500F8B">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en-US"/>
              </w:rPr>
            </w:pPr>
            <w:r w:rsidRPr="00500F8B">
              <w:rPr>
                <w:rFonts w:ascii="Arial" w:hAnsi="Arial" w:cs="Arial"/>
                <w:color w:val="000000"/>
                <w:sz w:val="18"/>
                <w:szCs w:val="18"/>
                <w:lang w:eastAsia="en-US"/>
              </w:rPr>
              <w:t xml:space="preserve">18 </w:t>
            </w:r>
          </w:p>
        </w:tc>
        <w:tc>
          <w:tcPr>
            <w:tcW w:w="997" w:type="dxa"/>
            <w:noWrap/>
          </w:tcPr>
          <w:p w14:paraId="744DD92B" w14:textId="77777777" w:rsidR="00500F8B" w:rsidRPr="00500F8B" w:rsidRDefault="00500F8B" w:rsidP="00500F8B">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en-US"/>
              </w:rPr>
            </w:pPr>
            <w:r w:rsidRPr="00500F8B">
              <w:rPr>
                <w:rFonts w:ascii="Arial" w:hAnsi="Arial" w:cs="Arial"/>
                <w:color w:val="000000"/>
                <w:sz w:val="18"/>
                <w:szCs w:val="18"/>
                <w:lang w:eastAsia="en-US"/>
              </w:rPr>
              <w:t xml:space="preserve">2.79% </w:t>
            </w:r>
          </w:p>
        </w:tc>
      </w:tr>
      <w:tr w:rsidR="00500F8B" w:rsidRPr="00500F8B" w14:paraId="6C335A7B" w14:textId="77777777" w:rsidTr="0016330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7" w:type="dxa"/>
            <w:tcBorders>
              <w:top w:val="none" w:sz="0" w:space="0" w:color="auto"/>
              <w:left w:val="none" w:sz="0" w:space="0" w:color="auto"/>
              <w:bottom w:val="none" w:sz="0" w:space="0" w:color="auto"/>
            </w:tcBorders>
            <w:noWrap/>
          </w:tcPr>
          <w:p w14:paraId="04B8C571" w14:textId="77777777" w:rsidR="00500F8B" w:rsidRPr="00500F8B" w:rsidRDefault="00500F8B" w:rsidP="00500F8B">
            <w:pPr>
              <w:rPr>
                <w:rFonts w:ascii="Arial" w:hAnsi="Arial" w:cs="Arial"/>
                <w:color w:val="000000"/>
                <w:sz w:val="18"/>
                <w:szCs w:val="18"/>
                <w:lang w:eastAsia="en-US"/>
              </w:rPr>
            </w:pPr>
            <w:r w:rsidRPr="00500F8B">
              <w:rPr>
                <w:rFonts w:ascii="Arial" w:hAnsi="Arial" w:cs="Arial"/>
                <w:color w:val="000000"/>
                <w:sz w:val="18"/>
                <w:szCs w:val="18"/>
                <w:lang w:eastAsia="en-US"/>
              </w:rPr>
              <w:t>3</w:t>
            </w:r>
          </w:p>
        </w:tc>
        <w:tc>
          <w:tcPr>
            <w:tcW w:w="2314" w:type="dxa"/>
            <w:tcBorders>
              <w:top w:val="none" w:sz="0" w:space="0" w:color="auto"/>
              <w:bottom w:val="none" w:sz="0" w:space="0" w:color="auto"/>
            </w:tcBorders>
            <w:noWrap/>
          </w:tcPr>
          <w:p w14:paraId="3F7B2F8E" w14:textId="77777777" w:rsidR="00500F8B" w:rsidRPr="00500F8B" w:rsidRDefault="00500F8B" w:rsidP="00500F8B">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lang w:eastAsia="en-US"/>
              </w:rPr>
            </w:pPr>
            <w:r w:rsidRPr="00500F8B">
              <w:rPr>
                <w:rFonts w:ascii="Arial" w:hAnsi="Arial" w:cs="Arial"/>
                <w:b/>
                <w:color w:val="000000"/>
                <w:sz w:val="18"/>
                <w:szCs w:val="18"/>
                <w:lang w:eastAsia="en-US"/>
              </w:rPr>
              <w:t>18379</w:t>
            </w:r>
            <w:r w:rsidRPr="00500F8B">
              <w:rPr>
                <w:rFonts w:ascii="Arial" w:hAnsi="Arial" w:cs="Arial"/>
                <w:color w:val="000000"/>
                <w:sz w:val="18"/>
                <w:szCs w:val="18"/>
                <w:lang w:eastAsia="en-US"/>
              </w:rPr>
              <w:t>, 36840</w:t>
            </w:r>
          </w:p>
        </w:tc>
        <w:tc>
          <w:tcPr>
            <w:tcW w:w="1017" w:type="dxa"/>
            <w:tcBorders>
              <w:top w:val="none" w:sz="0" w:space="0" w:color="auto"/>
              <w:bottom w:val="none" w:sz="0" w:space="0" w:color="auto"/>
            </w:tcBorders>
            <w:noWrap/>
          </w:tcPr>
          <w:p w14:paraId="73DC3A91" w14:textId="77777777" w:rsidR="00500F8B" w:rsidRPr="00500F8B" w:rsidRDefault="00500F8B" w:rsidP="00500F8B">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lang w:eastAsia="en-US"/>
              </w:rPr>
            </w:pPr>
            <w:r w:rsidRPr="00500F8B">
              <w:rPr>
                <w:rFonts w:ascii="Arial" w:hAnsi="Arial" w:cs="Arial"/>
                <w:color w:val="000000"/>
                <w:sz w:val="18"/>
                <w:szCs w:val="18"/>
                <w:lang w:eastAsia="en-US"/>
              </w:rPr>
              <w:t xml:space="preserve">18 </w:t>
            </w:r>
          </w:p>
        </w:tc>
        <w:tc>
          <w:tcPr>
            <w:tcW w:w="960" w:type="dxa"/>
            <w:tcBorders>
              <w:top w:val="none" w:sz="0" w:space="0" w:color="auto"/>
              <w:bottom w:val="none" w:sz="0" w:space="0" w:color="auto"/>
            </w:tcBorders>
            <w:noWrap/>
          </w:tcPr>
          <w:p w14:paraId="62BFC0AA" w14:textId="77777777" w:rsidR="00500F8B" w:rsidRPr="00500F8B" w:rsidRDefault="00500F8B" w:rsidP="00500F8B">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lang w:eastAsia="en-US"/>
              </w:rPr>
            </w:pPr>
            <w:r w:rsidRPr="00500F8B">
              <w:rPr>
                <w:rFonts w:ascii="Arial" w:hAnsi="Arial" w:cs="Arial"/>
                <w:color w:val="000000"/>
                <w:sz w:val="18"/>
                <w:szCs w:val="18"/>
                <w:lang w:eastAsia="en-US"/>
              </w:rPr>
              <w:t xml:space="preserve">36 </w:t>
            </w:r>
          </w:p>
        </w:tc>
        <w:tc>
          <w:tcPr>
            <w:tcW w:w="1286" w:type="dxa"/>
            <w:tcBorders>
              <w:top w:val="none" w:sz="0" w:space="0" w:color="auto"/>
              <w:bottom w:val="none" w:sz="0" w:space="0" w:color="auto"/>
            </w:tcBorders>
            <w:noWrap/>
          </w:tcPr>
          <w:p w14:paraId="714F1A7D" w14:textId="77777777" w:rsidR="00500F8B" w:rsidRPr="00500F8B" w:rsidRDefault="00500F8B" w:rsidP="00500F8B">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lang w:eastAsia="en-US"/>
              </w:rPr>
            </w:pPr>
            <w:r w:rsidRPr="00500F8B">
              <w:rPr>
                <w:rFonts w:ascii="Arial" w:hAnsi="Arial" w:cs="Arial"/>
                <w:color w:val="000000"/>
                <w:sz w:val="18"/>
                <w:szCs w:val="18"/>
                <w:lang w:eastAsia="en-US"/>
              </w:rPr>
              <w:t xml:space="preserve">$9,955 </w:t>
            </w:r>
          </w:p>
        </w:tc>
        <w:tc>
          <w:tcPr>
            <w:tcW w:w="1037" w:type="dxa"/>
            <w:tcBorders>
              <w:top w:val="none" w:sz="0" w:space="0" w:color="auto"/>
              <w:bottom w:val="none" w:sz="0" w:space="0" w:color="auto"/>
            </w:tcBorders>
            <w:noWrap/>
          </w:tcPr>
          <w:p w14:paraId="02B81A5C" w14:textId="77777777" w:rsidR="00500F8B" w:rsidRPr="00500F8B" w:rsidRDefault="00500F8B" w:rsidP="00500F8B">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lang w:eastAsia="en-US"/>
              </w:rPr>
            </w:pPr>
            <w:r w:rsidRPr="00500F8B">
              <w:rPr>
                <w:rFonts w:ascii="Arial" w:hAnsi="Arial" w:cs="Arial"/>
                <w:color w:val="000000"/>
                <w:sz w:val="18"/>
                <w:szCs w:val="18"/>
                <w:lang w:eastAsia="en-US"/>
              </w:rPr>
              <w:t xml:space="preserve">np </w:t>
            </w:r>
          </w:p>
        </w:tc>
        <w:tc>
          <w:tcPr>
            <w:tcW w:w="960" w:type="dxa"/>
            <w:tcBorders>
              <w:top w:val="none" w:sz="0" w:space="0" w:color="auto"/>
              <w:bottom w:val="none" w:sz="0" w:space="0" w:color="auto"/>
            </w:tcBorders>
            <w:noWrap/>
          </w:tcPr>
          <w:p w14:paraId="6BD7F2F1" w14:textId="77777777" w:rsidR="00500F8B" w:rsidRPr="00500F8B" w:rsidRDefault="00500F8B" w:rsidP="00500F8B">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lang w:eastAsia="en-US"/>
              </w:rPr>
            </w:pPr>
            <w:r w:rsidRPr="00500F8B">
              <w:rPr>
                <w:rFonts w:ascii="Arial" w:hAnsi="Arial" w:cs="Arial"/>
                <w:color w:val="000000"/>
                <w:sz w:val="18"/>
                <w:szCs w:val="18"/>
                <w:lang w:eastAsia="en-US"/>
              </w:rPr>
              <w:t xml:space="preserve">18 </w:t>
            </w:r>
          </w:p>
        </w:tc>
        <w:tc>
          <w:tcPr>
            <w:tcW w:w="997" w:type="dxa"/>
            <w:tcBorders>
              <w:top w:val="none" w:sz="0" w:space="0" w:color="auto"/>
              <w:bottom w:val="none" w:sz="0" w:space="0" w:color="auto"/>
              <w:right w:val="none" w:sz="0" w:space="0" w:color="auto"/>
            </w:tcBorders>
            <w:noWrap/>
          </w:tcPr>
          <w:p w14:paraId="568FF83F" w14:textId="77777777" w:rsidR="00500F8B" w:rsidRPr="00500F8B" w:rsidRDefault="00500F8B" w:rsidP="00500F8B">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lang w:eastAsia="en-US"/>
              </w:rPr>
            </w:pPr>
            <w:r w:rsidRPr="00500F8B">
              <w:rPr>
                <w:rFonts w:ascii="Arial" w:hAnsi="Arial" w:cs="Arial"/>
                <w:color w:val="000000"/>
                <w:sz w:val="18"/>
                <w:szCs w:val="18"/>
                <w:lang w:eastAsia="en-US"/>
              </w:rPr>
              <w:t xml:space="preserve">2.51% </w:t>
            </w:r>
          </w:p>
        </w:tc>
      </w:tr>
      <w:tr w:rsidR="00500F8B" w:rsidRPr="00500F8B" w14:paraId="3F268718" w14:textId="77777777" w:rsidTr="0016330C">
        <w:trPr>
          <w:trHeight w:val="300"/>
        </w:trPr>
        <w:tc>
          <w:tcPr>
            <w:cnfStyle w:val="001000000000" w:firstRow="0" w:lastRow="0" w:firstColumn="1" w:lastColumn="0" w:oddVBand="0" w:evenVBand="0" w:oddHBand="0" w:evenHBand="0" w:firstRowFirstColumn="0" w:firstRowLastColumn="0" w:lastRowFirstColumn="0" w:lastRowLastColumn="0"/>
            <w:tcW w:w="567" w:type="dxa"/>
            <w:noWrap/>
          </w:tcPr>
          <w:p w14:paraId="09231979" w14:textId="77777777" w:rsidR="00500F8B" w:rsidRPr="00500F8B" w:rsidRDefault="00500F8B" w:rsidP="00500F8B">
            <w:pPr>
              <w:rPr>
                <w:rFonts w:ascii="Arial" w:hAnsi="Arial" w:cs="Arial"/>
                <w:color w:val="000000"/>
                <w:sz w:val="18"/>
                <w:szCs w:val="18"/>
                <w:lang w:eastAsia="en-US"/>
              </w:rPr>
            </w:pPr>
            <w:r w:rsidRPr="00500F8B">
              <w:rPr>
                <w:rFonts w:ascii="Arial" w:hAnsi="Arial" w:cs="Arial"/>
                <w:color w:val="000000"/>
                <w:sz w:val="18"/>
                <w:szCs w:val="18"/>
                <w:lang w:eastAsia="en-US"/>
              </w:rPr>
              <w:t>4</w:t>
            </w:r>
          </w:p>
        </w:tc>
        <w:tc>
          <w:tcPr>
            <w:tcW w:w="2314" w:type="dxa"/>
            <w:noWrap/>
          </w:tcPr>
          <w:p w14:paraId="2294E2F1" w14:textId="77777777" w:rsidR="00500F8B" w:rsidRPr="00500F8B" w:rsidRDefault="00500F8B" w:rsidP="00500F8B">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en-US"/>
              </w:rPr>
            </w:pPr>
            <w:r w:rsidRPr="00500F8B">
              <w:rPr>
                <w:rFonts w:ascii="Arial" w:hAnsi="Arial" w:cs="Arial"/>
                <w:b/>
                <w:color w:val="000000"/>
                <w:sz w:val="18"/>
                <w:szCs w:val="18"/>
                <w:lang w:eastAsia="en-US"/>
              </w:rPr>
              <w:t>18379</w:t>
            </w:r>
            <w:r w:rsidRPr="00500F8B">
              <w:rPr>
                <w:rFonts w:ascii="Arial" w:hAnsi="Arial" w:cs="Arial"/>
                <w:color w:val="000000"/>
                <w:sz w:val="18"/>
                <w:szCs w:val="18"/>
                <w:lang w:eastAsia="en-US"/>
              </w:rPr>
              <w:t>, 36812</w:t>
            </w:r>
          </w:p>
        </w:tc>
        <w:tc>
          <w:tcPr>
            <w:tcW w:w="1017" w:type="dxa"/>
            <w:noWrap/>
          </w:tcPr>
          <w:p w14:paraId="44D302EE" w14:textId="77777777" w:rsidR="00500F8B" w:rsidRPr="00500F8B" w:rsidRDefault="00500F8B" w:rsidP="00500F8B">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en-US"/>
              </w:rPr>
            </w:pPr>
            <w:r w:rsidRPr="00500F8B">
              <w:rPr>
                <w:rFonts w:ascii="Arial" w:hAnsi="Arial" w:cs="Arial"/>
                <w:color w:val="000000"/>
                <w:sz w:val="18"/>
                <w:szCs w:val="18"/>
                <w:lang w:eastAsia="en-US"/>
              </w:rPr>
              <w:t xml:space="preserve">13 </w:t>
            </w:r>
          </w:p>
        </w:tc>
        <w:tc>
          <w:tcPr>
            <w:tcW w:w="960" w:type="dxa"/>
            <w:noWrap/>
          </w:tcPr>
          <w:p w14:paraId="6E2433F5" w14:textId="77777777" w:rsidR="00500F8B" w:rsidRPr="00500F8B" w:rsidRDefault="00500F8B" w:rsidP="00500F8B">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en-US"/>
              </w:rPr>
            </w:pPr>
            <w:r w:rsidRPr="00500F8B">
              <w:rPr>
                <w:rFonts w:ascii="Arial" w:hAnsi="Arial" w:cs="Arial"/>
                <w:color w:val="000000"/>
                <w:sz w:val="18"/>
                <w:szCs w:val="18"/>
                <w:lang w:eastAsia="en-US"/>
              </w:rPr>
              <w:t xml:space="preserve">26 </w:t>
            </w:r>
          </w:p>
        </w:tc>
        <w:tc>
          <w:tcPr>
            <w:tcW w:w="1286" w:type="dxa"/>
            <w:noWrap/>
          </w:tcPr>
          <w:p w14:paraId="7DEA337D" w14:textId="77777777" w:rsidR="00500F8B" w:rsidRPr="00500F8B" w:rsidRDefault="00500F8B" w:rsidP="00500F8B">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en-US"/>
              </w:rPr>
            </w:pPr>
            <w:r w:rsidRPr="00500F8B">
              <w:rPr>
                <w:rFonts w:ascii="Arial" w:hAnsi="Arial" w:cs="Arial"/>
                <w:color w:val="000000"/>
                <w:sz w:val="18"/>
                <w:szCs w:val="18"/>
                <w:lang w:eastAsia="en-US"/>
              </w:rPr>
              <w:t xml:space="preserve">$5,155 </w:t>
            </w:r>
          </w:p>
        </w:tc>
        <w:tc>
          <w:tcPr>
            <w:tcW w:w="1037" w:type="dxa"/>
            <w:noWrap/>
          </w:tcPr>
          <w:p w14:paraId="1CC63B6C" w14:textId="77777777" w:rsidR="00500F8B" w:rsidRPr="00500F8B" w:rsidRDefault="00500F8B" w:rsidP="00500F8B">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en-US"/>
              </w:rPr>
            </w:pPr>
            <w:r w:rsidRPr="00500F8B">
              <w:rPr>
                <w:rFonts w:ascii="Arial" w:hAnsi="Arial" w:cs="Arial"/>
                <w:color w:val="000000"/>
                <w:sz w:val="18"/>
                <w:szCs w:val="18"/>
                <w:lang w:eastAsia="en-US"/>
              </w:rPr>
              <w:t xml:space="preserve">np </w:t>
            </w:r>
          </w:p>
        </w:tc>
        <w:tc>
          <w:tcPr>
            <w:tcW w:w="960" w:type="dxa"/>
            <w:noWrap/>
          </w:tcPr>
          <w:p w14:paraId="7BE25F32" w14:textId="77777777" w:rsidR="00500F8B" w:rsidRPr="00500F8B" w:rsidRDefault="00500F8B" w:rsidP="00500F8B">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en-US"/>
              </w:rPr>
            </w:pPr>
            <w:r w:rsidRPr="00500F8B">
              <w:rPr>
                <w:rFonts w:ascii="Arial" w:hAnsi="Arial" w:cs="Arial"/>
                <w:color w:val="000000"/>
                <w:sz w:val="18"/>
                <w:szCs w:val="18"/>
                <w:lang w:eastAsia="en-US"/>
              </w:rPr>
              <w:t xml:space="preserve">11 </w:t>
            </w:r>
          </w:p>
        </w:tc>
        <w:tc>
          <w:tcPr>
            <w:tcW w:w="997" w:type="dxa"/>
            <w:noWrap/>
          </w:tcPr>
          <w:p w14:paraId="366AED83" w14:textId="77777777" w:rsidR="00500F8B" w:rsidRPr="00500F8B" w:rsidRDefault="00500F8B" w:rsidP="00500F8B">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en-US"/>
              </w:rPr>
            </w:pPr>
            <w:r w:rsidRPr="00500F8B">
              <w:rPr>
                <w:rFonts w:ascii="Arial" w:hAnsi="Arial" w:cs="Arial"/>
                <w:color w:val="000000"/>
                <w:sz w:val="18"/>
                <w:szCs w:val="18"/>
                <w:lang w:eastAsia="en-US"/>
              </w:rPr>
              <w:t xml:space="preserve">1.82% </w:t>
            </w:r>
          </w:p>
        </w:tc>
      </w:tr>
      <w:tr w:rsidR="00500F8B" w:rsidRPr="00500F8B" w14:paraId="2E7BF1C4" w14:textId="77777777" w:rsidTr="0016330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7" w:type="dxa"/>
            <w:tcBorders>
              <w:top w:val="none" w:sz="0" w:space="0" w:color="auto"/>
              <w:left w:val="none" w:sz="0" w:space="0" w:color="auto"/>
              <w:bottom w:val="none" w:sz="0" w:space="0" w:color="auto"/>
            </w:tcBorders>
            <w:noWrap/>
          </w:tcPr>
          <w:p w14:paraId="441968A7" w14:textId="77777777" w:rsidR="00500F8B" w:rsidRPr="00500F8B" w:rsidRDefault="00500F8B" w:rsidP="00500F8B">
            <w:pPr>
              <w:rPr>
                <w:rFonts w:ascii="Arial" w:hAnsi="Arial" w:cs="Arial"/>
                <w:color w:val="000000"/>
                <w:sz w:val="18"/>
                <w:szCs w:val="18"/>
                <w:lang w:eastAsia="en-US"/>
              </w:rPr>
            </w:pPr>
            <w:r w:rsidRPr="00500F8B">
              <w:rPr>
                <w:rFonts w:ascii="Arial" w:hAnsi="Arial" w:cs="Arial"/>
                <w:color w:val="000000"/>
                <w:sz w:val="18"/>
                <w:szCs w:val="18"/>
                <w:lang w:eastAsia="en-US"/>
              </w:rPr>
              <w:t>5</w:t>
            </w:r>
          </w:p>
        </w:tc>
        <w:tc>
          <w:tcPr>
            <w:tcW w:w="2314" w:type="dxa"/>
            <w:tcBorders>
              <w:top w:val="none" w:sz="0" w:space="0" w:color="auto"/>
              <w:bottom w:val="none" w:sz="0" w:space="0" w:color="auto"/>
            </w:tcBorders>
            <w:noWrap/>
          </w:tcPr>
          <w:p w14:paraId="1DD0ACB5" w14:textId="77777777" w:rsidR="00500F8B" w:rsidRPr="00500F8B" w:rsidRDefault="00500F8B" w:rsidP="00500F8B">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lang w:eastAsia="en-US"/>
              </w:rPr>
            </w:pPr>
            <w:r w:rsidRPr="00500F8B">
              <w:rPr>
                <w:rFonts w:ascii="Arial" w:hAnsi="Arial" w:cs="Arial"/>
                <w:b/>
                <w:color w:val="000000"/>
                <w:sz w:val="18"/>
                <w:szCs w:val="18"/>
                <w:lang w:eastAsia="en-US"/>
              </w:rPr>
              <w:t>18379</w:t>
            </w:r>
            <w:r w:rsidRPr="00500F8B">
              <w:rPr>
                <w:rFonts w:ascii="Arial" w:hAnsi="Arial" w:cs="Arial"/>
                <w:color w:val="000000"/>
                <w:sz w:val="18"/>
                <w:szCs w:val="18"/>
                <w:lang w:eastAsia="en-US"/>
              </w:rPr>
              <w:t>, 36836</w:t>
            </w:r>
          </w:p>
        </w:tc>
        <w:tc>
          <w:tcPr>
            <w:tcW w:w="1017" w:type="dxa"/>
            <w:tcBorders>
              <w:top w:val="none" w:sz="0" w:space="0" w:color="auto"/>
              <w:bottom w:val="none" w:sz="0" w:space="0" w:color="auto"/>
            </w:tcBorders>
            <w:noWrap/>
          </w:tcPr>
          <w:p w14:paraId="697E4DA7" w14:textId="77777777" w:rsidR="00500F8B" w:rsidRPr="00500F8B" w:rsidRDefault="00500F8B" w:rsidP="00500F8B">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lang w:eastAsia="en-US"/>
              </w:rPr>
            </w:pPr>
            <w:r w:rsidRPr="00500F8B">
              <w:rPr>
                <w:rFonts w:ascii="Arial" w:hAnsi="Arial" w:cs="Arial"/>
                <w:color w:val="000000"/>
                <w:sz w:val="18"/>
                <w:szCs w:val="18"/>
                <w:lang w:eastAsia="en-US"/>
              </w:rPr>
              <w:t xml:space="preserve">np </w:t>
            </w:r>
          </w:p>
        </w:tc>
        <w:tc>
          <w:tcPr>
            <w:tcW w:w="960" w:type="dxa"/>
            <w:tcBorders>
              <w:top w:val="none" w:sz="0" w:space="0" w:color="auto"/>
              <w:bottom w:val="none" w:sz="0" w:space="0" w:color="auto"/>
            </w:tcBorders>
            <w:noWrap/>
          </w:tcPr>
          <w:p w14:paraId="2D75FED3" w14:textId="77777777" w:rsidR="00500F8B" w:rsidRPr="00500F8B" w:rsidRDefault="00500F8B" w:rsidP="00500F8B">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lang w:eastAsia="en-US"/>
              </w:rPr>
            </w:pPr>
            <w:r w:rsidRPr="00500F8B">
              <w:rPr>
                <w:rFonts w:ascii="Arial" w:hAnsi="Arial" w:cs="Arial"/>
                <w:color w:val="000000"/>
                <w:sz w:val="18"/>
                <w:szCs w:val="18"/>
                <w:lang w:eastAsia="en-US"/>
              </w:rPr>
              <w:t xml:space="preserve">14 </w:t>
            </w:r>
          </w:p>
        </w:tc>
        <w:tc>
          <w:tcPr>
            <w:tcW w:w="1286" w:type="dxa"/>
            <w:tcBorders>
              <w:top w:val="none" w:sz="0" w:space="0" w:color="auto"/>
              <w:bottom w:val="none" w:sz="0" w:space="0" w:color="auto"/>
            </w:tcBorders>
            <w:noWrap/>
          </w:tcPr>
          <w:p w14:paraId="22BDA17F" w14:textId="77777777" w:rsidR="00500F8B" w:rsidRPr="00500F8B" w:rsidRDefault="00500F8B" w:rsidP="00500F8B">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lang w:eastAsia="en-US"/>
              </w:rPr>
            </w:pPr>
            <w:r w:rsidRPr="00500F8B">
              <w:rPr>
                <w:rFonts w:ascii="Arial" w:hAnsi="Arial" w:cs="Arial"/>
                <w:color w:val="000000"/>
                <w:sz w:val="18"/>
                <w:szCs w:val="18"/>
                <w:lang w:eastAsia="en-US"/>
              </w:rPr>
              <w:t xml:space="preserve">$3,218 </w:t>
            </w:r>
          </w:p>
        </w:tc>
        <w:tc>
          <w:tcPr>
            <w:tcW w:w="1037" w:type="dxa"/>
            <w:tcBorders>
              <w:top w:val="none" w:sz="0" w:space="0" w:color="auto"/>
              <w:bottom w:val="none" w:sz="0" w:space="0" w:color="auto"/>
            </w:tcBorders>
            <w:noWrap/>
          </w:tcPr>
          <w:p w14:paraId="5FE94B7E" w14:textId="77777777" w:rsidR="00500F8B" w:rsidRPr="00500F8B" w:rsidRDefault="00500F8B" w:rsidP="00500F8B">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lang w:eastAsia="en-US"/>
              </w:rPr>
            </w:pPr>
            <w:r w:rsidRPr="00500F8B">
              <w:rPr>
                <w:rFonts w:ascii="Arial" w:hAnsi="Arial" w:cs="Arial"/>
                <w:color w:val="000000"/>
                <w:sz w:val="18"/>
                <w:szCs w:val="18"/>
                <w:lang w:eastAsia="en-US"/>
              </w:rPr>
              <w:t xml:space="preserve">np </w:t>
            </w:r>
          </w:p>
        </w:tc>
        <w:tc>
          <w:tcPr>
            <w:tcW w:w="960" w:type="dxa"/>
            <w:tcBorders>
              <w:top w:val="none" w:sz="0" w:space="0" w:color="auto"/>
              <w:bottom w:val="none" w:sz="0" w:space="0" w:color="auto"/>
            </w:tcBorders>
            <w:noWrap/>
          </w:tcPr>
          <w:p w14:paraId="1402101F" w14:textId="77777777" w:rsidR="00500F8B" w:rsidRPr="00500F8B" w:rsidRDefault="00500F8B" w:rsidP="00500F8B">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lang w:eastAsia="en-US"/>
              </w:rPr>
            </w:pPr>
            <w:r w:rsidRPr="00500F8B">
              <w:rPr>
                <w:rFonts w:ascii="Arial" w:hAnsi="Arial" w:cs="Arial"/>
                <w:color w:val="000000"/>
                <w:sz w:val="18"/>
                <w:szCs w:val="18"/>
                <w:lang w:eastAsia="en-US"/>
              </w:rPr>
              <w:t xml:space="preserve">np </w:t>
            </w:r>
          </w:p>
        </w:tc>
        <w:tc>
          <w:tcPr>
            <w:tcW w:w="997" w:type="dxa"/>
            <w:tcBorders>
              <w:top w:val="none" w:sz="0" w:space="0" w:color="auto"/>
              <w:bottom w:val="none" w:sz="0" w:space="0" w:color="auto"/>
              <w:right w:val="none" w:sz="0" w:space="0" w:color="auto"/>
            </w:tcBorders>
            <w:noWrap/>
          </w:tcPr>
          <w:p w14:paraId="2E312598" w14:textId="77777777" w:rsidR="00500F8B" w:rsidRPr="00500F8B" w:rsidRDefault="00500F8B" w:rsidP="00500F8B">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lang w:eastAsia="en-US"/>
              </w:rPr>
            </w:pPr>
            <w:r w:rsidRPr="00500F8B">
              <w:rPr>
                <w:rFonts w:ascii="Arial" w:hAnsi="Arial" w:cs="Arial"/>
                <w:color w:val="000000"/>
                <w:sz w:val="18"/>
                <w:szCs w:val="18"/>
                <w:lang w:eastAsia="en-US"/>
              </w:rPr>
              <w:t xml:space="preserve">0.98% </w:t>
            </w:r>
          </w:p>
        </w:tc>
      </w:tr>
      <w:tr w:rsidR="00500F8B" w:rsidRPr="00500F8B" w14:paraId="5543CD19" w14:textId="77777777" w:rsidTr="0016330C">
        <w:trPr>
          <w:trHeight w:val="300"/>
        </w:trPr>
        <w:tc>
          <w:tcPr>
            <w:cnfStyle w:val="001000000000" w:firstRow="0" w:lastRow="0" w:firstColumn="1" w:lastColumn="0" w:oddVBand="0" w:evenVBand="0" w:oddHBand="0" w:evenHBand="0" w:firstRowFirstColumn="0" w:firstRowLastColumn="0" w:lastRowFirstColumn="0" w:lastRowLastColumn="0"/>
            <w:tcW w:w="567" w:type="dxa"/>
            <w:noWrap/>
          </w:tcPr>
          <w:p w14:paraId="63F6B2DC" w14:textId="77777777" w:rsidR="00500F8B" w:rsidRPr="00500F8B" w:rsidRDefault="00500F8B" w:rsidP="00500F8B">
            <w:pPr>
              <w:rPr>
                <w:rFonts w:ascii="Arial" w:hAnsi="Arial" w:cs="Arial"/>
                <w:color w:val="000000"/>
                <w:sz w:val="18"/>
                <w:szCs w:val="18"/>
                <w:lang w:eastAsia="en-US"/>
              </w:rPr>
            </w:pPr>
            <w:r w:rsidRPr="00500F8B">
              <w:rPr>
                <w:rFonts w:ascii="Arial" w:hAnsi="Arial" w:cs="Arial"/>
                <w:color w:val="000000"/>
                <w:sz w:val="18"/>
                <w:szCs w:val="18"/>
                <w:lang w:eastAsia="en-US"/>
              </w:rPr>
              <w:t>6</w:t>
            </w:r>
          </w:p>
        </w:tc>
        <w:tc>
          <w:tcPr>
            <w:tcW w:w="2314" w:type="dxa"/>
            <w:noWrap/>
          </w:tcPr>
          <w:p w14:paraId="0A3886C7" w14:textId="77777777" w:rsidR="00500F8B" w:rsidRPr="00500F8B" w:rsidRDefault="00500F8B" w:rsidP="00500F8B">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en-US"/>
              </w:rPr>
            </w:pPr>
            <w:r w:rsidRPr="00500F8B">
              <w:rPr>
                <w:rFonts w:ascii="Arial" w:hAnsi="Arial" w:cs="Arial"/>
                <w:b/>
                <w:color w:val="000000"/>
                <w:sz w:val="18"/>
                <w:szCs w:val="18"/>
                <w:lang w:eastAsia="en-US"/>
              </w:rPr>
              <w:t>18379</w:t>
            </w:r>
            <w:r w:rsidRPr="00500F8B">
              <w:rPr>
                <w:rFonts w:ascii="Arial" w:hAnsi="Arial" w:cs="Arial"/>
                <w:color w:val="000000"/>
                <w:sz w:val="18"/>
                <w:szCs w:val="18"/>
                <w:lang w:eastAsia="en-US"/>
              </w:rPr>
              <w:t>, 36667, 36668</w:t>
            </w:r>
          </w:p>
        </w:tc>
        <w:tc>
          <w:tcPr>
            <w:tcW w:w="1017" w:type="dxa"/>
            <w:noWrap/>
          </w:tcPr>
          <w:p w14:paraId="35974680" w14:textId="77777777" w:rsidR="00500F8B" w:rsidRPr="00500F8B" w:rsidRDefault="00500F8B" w:rsidP="00500F8B">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en-US"/>
              </w:rPr>
            </w:pPr>
            <w:r w:rsidRPr="00500F8B">
              <w:rPr>
                <w:rFonts w:ascii="Arial" w:hAnsi="Arial" w:cs="Arial"/>
                <w:color w:val="000000"/>
                <w:sz w:val="18"/>
                <w:szCs w:val="18"/>
                <w:lang w:eastAsia="en-US"/>
              </w:rPr>
              <w:t xml:space="preserve">np </w:t>
            </w:r>
          </w:p>
        </w:tc>
        <w:tc>
          <w:tcPr>
            <w:tcW w:w="960" w:type="dxa"/>
            <w:noWrap/>
          </w:tcPr>
          <w:p w14:paraId="07787DE9" w14:textId="77777777" w:rsidR="00500F8B" w:rsidRPr="00500F8B" w:rsidRDefault="00500F8B" w:rsidP="00500F8B">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en-US"/>
              </w:rPr>
            </w:pPr>
            <w:r w:rsidRPr="00500F8B">
              <w:rPr>
                <w:rFonts w:ascii="Arial" w:hAnsi="Arial" w:cs="Arial"/>
                <w:color w:val="000000"/>
                <w:sz w:val="18"/>
                <w:szCs w:val="18"/>
                <w:lang w:eastAsia="en-US"/>
              </w:rPr>
              <w:t xml:space="preserve">18 </w:t>
            </w:r>
          </w:p>
        </w:tc>
        <w:tc>
          <w:tcPr>
            <w:tcW w:w="1286" w:type="dxa"/>
            <w:noWrap/>
          </w:tcPr>
          <w:p w14:paraId="34830C37" w14:textId="77777777" w:rsidR="00500F8B" w:rsidRPr="00500F8B" w:rsidRDefault="00500F8B" w:rsidP="00500F8B">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en-US"/>
              </w:rPr>
            </w:pPr>
            <w:r w:rsidRPr="00500F8B">
              <w:rPr>
                <w:rFonts w:ascii="Arial" w:hAnsi="Arial" w:cs="Arial"/>
                <w:color w:val="000000"/>
                <w:sz w:val="18"/>
                <w:szCs w:val="18"/>
                <w:lang w:eastAsia="en-US"/>
              </w:rPr>
              <w:t xml:space="preserve">$2,786 </w:t>
            </w:r>
          </w:p>
        </w:tc>
        <w:tc>
          <w:tcPr>
            <w:tcW w:w="1037" w:type="dxa"/>
            <w:noWrap/>
          </w:tcPr>
          <w:p w14:paraId="22787924" w14:textId="77777777" w:rsidR="00500F8B" w:rsidRPr="00500F8B" w:rsidRDefault="00500F8B" w:rsidP="00500F8B">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en-US"/>
              </w:rPr>
            </w:pPr>
            <w:r w:rsidRPr="00500F8B">
              <w:rPr>
                <w:rFonts w:ascii="Arial" w:hAnsi="Arial" w:cs="Arial"/>
                <w:color w:val="000000"/>
                <w:sz w:val="18"/>
                <w:szCs w:val="18"/>
                <w:lang w:eastAsia="en-US"/>
              </w:rPr>
              <w:t xml:space="preserve">np </w:t>
            </w:r>
          </w:p>
        </w:tc>
        <w:tc>
          <w:tcPr>
            <w:tcW w:w="960" w:type="dxa"/>
            <w:noWrap/>
          </w:tcPr>
          <w:p w14:paraId="02CC27C8" w14:textId="77777777" w:rsidR="00500F8B" w:rsidRPr="00500F8B" w:rsidRDefault="00500F8B" w:rsidP="00500F8B">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en-US"/>
              </w:rPr>
            </w:pPr>
            <w:r w:rsidRPr="00500F8B">
              <w:rPr>
                <w:rFonts w:ascii="Arial" w:hAnsi="Arial" w:cs="Arial"/>
                <w:color w:val="000000"/>
                <w:sz w:val="18"/>
                <w:szCs w:val="18"/>
                <w:lang w:eastAsia="en-US"/>
              </w:rPr>
              <w:t xml:space="preserve">np </w:t>
            </w:r>
          </w:p>
        </w:tc>
        <w:tc>
          <w:tcPr>
            <w:tcW w:w="997" w:type="dxa"/>
            <w:noWrap/>
          </w:tcPr>
          <w:p w14:paraId="6D1EE4FE" w14:textId="77777777" w:rsidR="00500F8B" w:rsidRPr="00500F8B" w:rsidRDefault="00500F8B" w:rsidP="00500F8B">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en-US"/>
              </w:rPr>
            </w:pPr>
            <w:r w:rsidRPr="00500F8B">
              <w:rPr>
                <w:rFonts w:ascii="Arial" w:hAnsi="Arial" w:cs="Arial"/>
                <w:color w:val="000000"/>
                <w:sz w:val="18"/>
                <w:szCs w:val="18"/>
                <w:lang w:eastAsia="en-US"/>
              </w:rPr>
              <w:t xml:space="preserve">0.84% </w:t>
            </w:r>
          </w:p>
        </w:tc>
      </w:tr>
      <w:tr w:rsidR="00500F8B" w:rsidRPr="00500F8B" w14:paraId="7A31B3D9" w14:textId="77777777" w:rsidTr="0016330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7" w:type="dxa"/>
            <w:tcBorders>
              <w:top w:val="none" w:sz="0" w:space="0" w:color="auto"/>
              <w:left w:val="none" w:sz="0" w:space="0" w:color="auto"/>
              <w:bottom w:val="none" w:sz="0" w:space="0" w:color="auto"/>
            </w:tcBorders>
            <w:noWrap/>
          </w:tcPr>
          <w:p w14:paraId="25202D59" w14:textId="77777777" w:rsidR="00500F8B" w:rsidRPr="00500F8B" w:rsidRDefault="00500F8B" w:rsidP="00500F8B">
            <w:pPr>
              <w:rPr>
                <w:rFonts w:ascii="Arial" w:hAnsi="Arial" w:cs="Arial"/>
                <w:color w:val="000000"/>
                <w:sz w:val="18"/>
                <w:szCs w:val="18"/>
                <w:lang w:eastAsia="en-US"/>
              </w:rPr>
            </w:pPr>
            <w:r w:rsidRPr="00500F8B">
              <w:rPr>
                <w:rFonts w:ascii="Arial" w:hAnsi="Arial" w:cs="Arial"/>
                <w:color w:val="000000"/>
                <w:sz w:val="18"/>
                <w:szCs w:val="18"/>
                <w:lang w:eastAsia="en-US"/>
              </w:rPr>
              <w:t>7</w:t>
            </w:r>
          </w:p>
        </w:tc>
        <w:tc>
          <w:tcPr>
            <w:tcW w:w="2314" w:type="dxa"/>
            <w:tcBorders>
              <w:top w:val="none" w:sz="0" w:space="0" w:color="auto"/>
              <w:bottom w:val="none" w:sz="0" w:space="0" w:color="auto"/>
            </w:tcBorders>
            <w:noWrap/>
          </w:tcPr>
          <w:p w14:paraId="5E786D12" w14:textId="77777777" w:rsidR="00500F8B" w:rsidRPr="00500F8B" w:rsidRDefault="00500F8B" w:rsidP="00500F8B">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lang w:eastAsia="en-US"/>
              </w:rPr>
            </w:pPr>
            <w:r w:rsidRPr="00500F8B">
              <w:rPr>
                <w:rFonts w:ascii="Arial" w:hAnsi="Arial" w:cs="Arial"/>
                <w:b/>
                <w:color w:val="000000"/>
                <w:sz w:val="18"/>
                <w:szCs w:val="18"/>
                <w:lang w:eastAsia="en-US"/>
              </w:rPr>
              <w:t>18379</w:t>
            </w:r>
            <w:r w:rsidRPr="00500F8B">
              <w:rPr>
                <w:rFonts w:ascii="Arial" w:hAnsi="Arial" w:cs="Arial"/>
                <w:color w:val="000000"/>
                <w:sz w:val="18"/>
                <w:szCs w:val="18"/>
                <w:lang w:eastAsia="en-US"/>
              </w:rPr>
              <w:t>, 105</w:t>
            </w:r>
          </w:p>
        </w:tc>
        <w:tc>
          <w:tcPr>
            <w:tcW w:w="1017" w:type="dxa"/>
            <w:tcBorders>
              <w:top w:val="none" w:sz="0" w:space="0" w:color="auto"/>
              <w:bottom w:val="none" w:sz="0" w:space="0" w:color="auto"/>
            </w:tcBorders>
            <w:noWrap/>
          </w:tcPr>
          <w:p w14:paraId="4CFD3F27" w14:textId="77777777" w:rsidR="00500F8B" w:rsidRPr="00500F8B" w:rsidRDefault="00500F8B" w:rsidP="00500F8B">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lang w:eastAsia="en-US"/>
              </w:rPr>
            </w:pPr>
            <w:r w:rsidRPr="00500F8B">
              <w:rPr>
                <w:rFonts w:ascii="Arial" w:hAnsi="Arial" w:cs="Arial"/>
                <w:color w:val="000000"/>
                <w:sz w:val="18"/>
                <w:szCs w:val="18"/>
                <w:lang w:eastAsia="en-US"/>
              </w:rPr>
              <w:t xml:space="preserve">np </w:t>
            </w:r>
          </w:p>
        </w:tc>
        <w:tc>
          <w:tcPr>
            <w:tcW w:w="960" w:type="dxa"/>
            <w:tcBorders>
              <w:top w:val="none" w:sz="0" w:space="0" w:color="auto"/>
              <w:bottom w:val="none" w:sz="0" w:space="0" w:color="auto"/>
            </w:tcBorders>
            <w:noWrap/>
          </w:tcPr>
          <w:p w14:paraId="2A6C9F6C" w14:textId="77777777" w:rsidR="00500F8B" w:rsidRPr="00500F8B" w:rsidRDefault="00500F8B" w:rsidP="00500F8B">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lang w:eastAsia="en-US"/>
              </w:rPr>
            </w:pPr>
            <w:r w:rsidRPr="00500F8B">
              <w:rPr>
                <w:rFonts w:ascii="Arial" w:hAnsi="Arial" w:cs="Arial"/>
                <w:color w:val="000000"/>
                <w:sz w:val="18"/>
                <w:szCs w:val="18"/>
                <w:lang w:eastAsia="en-US"/>
              </w:rPr>
              <w:t xml:space="preserve">np </w:t>
            </w:r>
          </w:p>
        </w:tc>
        <w:tc>
          <w:tcPr>
            <w:tcW w:w="1286" w:type="dxa"/>
            <w:tcBorders>
              <w:top w:val="none" w:sz="0" w:space="0" w:color="auto"/>
              <w:bottom w:val="none" w:sz="0" w:space="0" w:color="auto"/>
            </w:tcBorders>
            <w:noWrap/>
          </w:tcPr>
          <w:p w14:paraId="242CCD6D" w14:textId="77777777" w:rsidR="00500F8B" w:rsidRPr="00500F8B" w:rsidRDefault="00500F8B" w:rsidP="00500F8B">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lang w:eastAsia="en-US"/>
              </w:rPr>
            </w:pPr>
            <w:r w:rsidRPr="00500F8B">
              <w:rPr>
                <w:rFonts w:ascii="Arial" w:hAnsi="Arial" w:cs="Arial"/>
                <w:color w:val="000000"/>
                <w:sz w:val="18"/>
                <w:szCs w:val="18"/>
                <w:lang w:eastAsia="en-US"/>
              </w:rPr>
              <w:t xml:space="preserve">$1,321 </w:t>
            </w:r>
          </w:p>
        </w:tc>
        <w:tc>
          <w:tcPr>
            <w:tcW w:w="1037" w:type="dxa"/>
            <w:tcBorders>
              <w:top w:val="none" w:sz="0" w:space="0" w:color="auto"/>
              <w:bottom w:val="none" w:sz="0" w:space="0" w:color="auto"/>
            </w:tcBorders>
            <w:noWrap/>
          </w:tcPr>
          <w:p w14:paraId="65D1843F" w14:textId="77777777" w:rsidR="00500F8B" w:rsidRPr="00500F8B" w:rsidRDefault="00500F8B" w:rsidP="00500F8B">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lang w:eastAsia="en-US"/>
              </w:rPr>
            </w:pPr>
            <w:r w:rsidRPr="00500F8B">
              <w:rPr>
                <w:rFonts w:ascii="Arial" w:hAnsi="Arial" w:cs="Arial"/>
                <w:color w:val="000000"/>
                <w:sz w:val="18"/>
                <w:szCs w:val="18"/>
                <w:lang w:eastAsia="en-US"/>
              </w:rPr>
              <w:t xml:space="preserve">np </w:t>
            </w:r>
          </w:p>
        </w:tc>
        <w:tc>
          <w:tcPr>
            <w:tcW w:w="960" w:type="dxa"/>
            <w:tcBorders>
              <w:top w:val="none" w:sz="0" w:space="0" w:color="auto"/>
              <w:bottom w:val="none" w:sz="0" w:space="0" w:color="auto"/>
            </w:tcBorders>
            <w:noWrap/>
          </w:tcPr>
          <w:p w14:paraId="31CB40D3" w14:textId="77777777" w:rsidR="00500F8B" w:rsidRPr="00500F8B" w:rsidRDefault="00500F8B" w:rsidP="00500F8B">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lang w:eastAsia="en-US"/>
              </w:rPr>
            </w:pPr>
            <w:r w:rsidRPr="00500F8B">
              <w:rPr>
                <w:rFonts w:ascii="Arial" w:hAnsi="Arial" w:cs="Arial"/>
                <w:color w:val="000000"/>
                <w:sz w:val="18"/>
                <w:szCs w:val="18"/>
                <w:lang w:eastAsia="en-US"/>
              </w:rPr>
              <w:t xml:space="preserve">np </w:t>
            </w:r>
          </w:p>
        </w:tc>
        <w:tc>
          <w:tcPr>
            <w:tcW w:w="997" w:type="dxa"/>
            <w:tcBorders>
              <w:top w:val="none" w:sz="0" w:space="0" w:color="auto"/>
              <w:bottom w:val="none" w:sz="0" w:space="0" w:color="auto"/>
              <w:right w:val="none" w:sz="0" w:space="0" w:color="auto"/>
            </w:tcBorders>
            <w:noWrap/>
          </w:tcPr>
          <w:p w14:paraId="5D82B39F" w14:textId="77777777" w:rsidR="00500F8B" w:rsidRPr="00500F8B" w:rsidRDefault="00500F8B" w:rsidP="00500F8B">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lang w:eastAsia="en-US"/>
              </w:rPr>
            </w:pPr>
            <w:r w:rsidRPr="00500F8B">
              <w:rPr>
                <w:rFonts w:ascii="Arial" w:hAnsi="Arial" w:cs="Arial"/>
                <w:color w:val="000000"/>
                <w:sz w:val="18"/>
                <w:szCs w:val="18"/>
                <w:lang w:eastAsia="en-US"/>
              </w:rPr>
              <w:t xml:space="preserve">0.56% </w:t>
            </w:r>
          </w:p>
        </w:tc>
      </w:tr>
      <w:tr w:rsidR="00500F8B" w:rsidRPr="00500F8B" w14:paraId="6E631E0C" w14:textId="77777777" w:rsidTr="0016330C">
        <w:trPr>
          <w:trHeight w:val="300"/>
        </w:trPr>
        <w:tc>
          <w:tcPr>
            <w:cnfStyle w:val="001000000000" w:firstRow="0" w:lastRow="0" w:firstColumn="1" w:lastColumn="0" w:oddVBand="0" w:evenVBand="0" w:oddHBand="0" w:evenHBand="0" w:firstRowFirstColumn="0" w:firstRowLastColumn="0" w:lastRowFirstColumn="0" w:lastRowLastColumn="0"/>
            <w:tcW w:w="567" w:type="dxa"/>
            <w:noWrap/>
          </w:tcPr>
          <w:p w14:paraId="5FCD8AE9" w14:textId="77777777" w:rsidR="00500F8B" w:rsidRPr="00500F8B" w:rsidRDefault="00500F8B" w:rsidP="00500F8B">
            <w:pPr>
              <w:rPr>
                <w:rFonts w:ascii="Arial" w:hAnsi="Arial" w:cs="Arial"/>
                <w:color w:val="000000"/>
                <w:sz w:val="18"/>
                <w:szCs w:val="18"/>
                <w:lang w:eastAsia="en-US"/>
              </w:rPr>
            </w:pPr>
            <w:r w:rsidRPr="00500F8B">
              <w:rPr>
                <w:rFonts w:ascii="Arial" w:hAnsi="Arial" w:cs="Arial"/>
                <w:color w:val="000000"/>
                <w:sz w:val="18"/>
                <w:szCs w:val="18"/>
                <w:lang w:eastAsia="en-US"/>
              </w:rPr>
              <w:t>8</w:t>
            </w:r>
          </w:p>
        </w:tc>
        <w:tc>
          <w:tcPr>
            <w:tcW w:w="2314" w:type="dxa"/>
            <w:noWrap/>
          </w:tcPr>
          <w:p w14:paraId="6B56E8E1" w14:textId="77777777" w:rsidR="00500F8B" w:rsidRPr="00500F8B" w:rsidRDefault="00500F8B" w:rsidP="00500F8B">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en-US"/>
              </w:rPr>
            </w:pPr>
            <w:r w:rsidRPr="00500F8B">
              <w:rPr>
                <w:rFonts w:ascii="Arial" w:hAnsi="Arial" w:cs="Arial"/>
                <w:b/>
                <w:color w:val="000000"/>
                <w:sz w:val="18"/>
                <w:szCs w:val="18"/>
                <w:lang w:eastAsia="en-US"/>
              </w:rPr>
              <w:t>18379</w:t>
            </w:r>
            <w:r w:rsidRPr="00500F8B">
              <w:rPr>
                <w:rFonts w:ascii="Arial" w:hAnsi="Arial" w:cs="Arial"/>
                <w:color w:val="000000"/>
                <w:sz w:val="18"/>
                <w:szCs w:val="18"/>
                <w:lang w:eastAsia="en-US"/>
              </w:rPr>
              <w:t>, 36854</w:t>
            </w:r>
          </w:p>
        </w:tc>
        <w:tc>
          <w:tcPr>
            <w:tcW w:w="1017" w:type="dxa"/>
            <w:noWrap/>
          </w:tcPr>
          <w:p w14:paraId="0030F096" w14:textId="77777777" w:rsidR="00500F8B" w:rsidRPr="00500F8B" w:rsidRDefault="00500F8B" w:rsidP="00500F8B">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en-US"/>
              </w:rPr>
            </w:pPr>
            <w:r w:rsidRPr="00500F8B">
              <w:rPr>
                <w:rFonts w:ascii="Arial" w:hAnsi="Arial" w:cs="Arial"/>
                <w:color w:val="000000"/>
                <w:sz w:val="18"/>
                <w:szCs w:val="18"/>
                <w:lang w:eastAsia="en-US"/>
              </w:rPr>
              <w:t xml:space="preserve">np </w:t>
            </w:r>
          </w:p>
        </w:tc>
        <w:tc>
          <w:tcPr>
            <w:tcW w:w="960" w:type="dxa"/>
            <w:noWrap/>
          </w:tcPr>
          <w:p w14:paraId="708A4CBB" w14:textId="77777777" w:rsidR="00500F8B" w:rsidRPr="00500F8B" w:rsidRDefault="00500F8B" w:rsidP="00500F8B">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en-US"/>
              </w:rPr>
            </w:pPr>
            <w:r w:rsidRPr="00500F8B">
              <w:rPr>
                <w:rFonts w:ascii="Arial" w:hAnsi="Arial" w:cs="Arial"/>
                <w:color w:val="000000"/>
                <w:sz w:val="18"/>
                <w:szCs w:val="18"/>
                <w:lang w:eastAsia="en-US"/>
              </w:rPr>
              <w:t xml:space="preserve">np </w:t>
            </w:r>
          </w:p>
        </w:tc>
        <w:tc>
          <w:tcPr>
            <w:tcW w:w="1286" w:type="dxa"/>
            <w:noWrap/>
          </w:tcPr>
          <w:p w14:paraId="04AEA284" w14:textId="77777777" w:rsidR="00500F8B" w:rsidRPr="00500F8B" w:rsidRDefault="00500F8B" w:rsidP="00500F8B">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en-US"/>
              </w:rPr>
            </w:pPr>
            <w:r w:rsidRPr="00500F8B">
              <w:rPr>
                <w:rFonts w:ascii="Arial" w:hAnsi="Arial" w:cs="Arial"/>
                <w:color w:val="000000"/>
                <w:sz w:val="18"/>
                <w:szCs w:val="18"/>
                <w:lang w:eastAsia="en-US"/>
              </w:rPr>
              <w:t xml:space="preserve">$2,785 </w:t>
            </w:r>
          </w:p>
        </w:tc>
        <w:tc>
          <w:tcPr>
            <w:tcW w:w="1037" w:type="dxa"/>
            <w:noWrap/>
          </w:tcPr>
          <w:p w14:paraId="3A9D5820" w14:textId="77777777" w:rsidR="00500F8B" w:rsidRPr="00500F8B" w:rsidRDefault="00500F8B" w:rsidP="00500F8B">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en-US"/>
              </w:rPr>
            </w:pPr>
            <w:r w:rsidRPr="00500F8B">
              <w:rPr>
                <w:rFonts w:ascii="Arial" w:hAnsi="Arial" w:cs="Arial"/>
                <w:color w:val="000000"/>
                <w:sz w:val="18"/>
                <w:szCs w:val="18"/>
                <w:lang w:eastAsia="en-US"/>
              </w:rPr>
              <w:t xml:space="preserve">np </w:t>
            </w:r>
          </w:p>
        </w:tc>
        <w:tc>
          <w:tcPr>
            <w:tcW w:w="960" w:type="dxa"/>
            <w:noWrap/>
          </w:tcPr>
          <w:p w14:paraId="414AA9FA" w14:textId="77777777" w:rsidR="00500F8B" w:rsidRPr="00500F8B" w:rsidRDefault="00500F8B" w:rsidP="00500F8B">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en-US"/>
              </w:rPr>
            </w:pPr>
            <w:r w:rsidRPr="00500F8B">
              <w:rPr>
                <w:rFonts w:ascii="Arial" w:hAnsi="Arial" w:cs="Arial"/>
                <w:color w:val="000000"/>
                <w:sz w:val="18"/>
                <w:szCs w:val="18"/>
                <w:lang w:eastAsia="en-US"/>
              </w:rPr>
              <w:t xml:space="preserve">np </w:t>
            </w:r>
          </w:p>
        </w:tc>
        <w:tc>
          <w:tcPr>
            <w:tcW w:w="997" w:type="dxa"/>
            <w:noWrap/>
          </w:tcPr>
          <w:p w14:paraId="6867BA4E" w14:textId="77777777" w:rsidR="00500F8B" w:rsidRPr="00500F8B" w:rsidRDefault="00500F8B" w:rsidP="00500F8B">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en-US"/>
              </w:rPr>
            </w:pPr>
            <w:r w:rsidRPr="00500F8B">
              <w:rPr>
                <w:rFonts w:ascii="Arial" w:hAnsi="Arial" w:cs="Arial"/>
                <w:color w:val="000000"/>
                <w:sz w:val="18"/>
                <w:szCs w:val="18"/>
                <w:lang w:eastAsia="en-US"/>
              </w:rPr>
              <w:t xml:space="preserve">0.56% </w:t>
            </w:r>
          </w:p>
        </w:tc>
      </w:tr>
      <w:tr w:rsidR="00500F8B" w:rsidRPr="00500F8B" w14:paraId="1088339D" w14:textId="77777777" w:rsidTr="0016330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7" w:type="dxa"/>
            <w:tcBorders>
              <w:top w:val="none" w:sz="0" w:space="0" w:color="auto"/>
              <w:left w:val="none" w:sz="0" w:space="0" w:color="auto"/>
              <w:bottom w:val="none" w:sz="0" w:space="0" w:color="auto"/>
            </w:tcBorders>
            <w:noWrap/>
          </w:tcPr>
          <w:p w14:paraId="6B8498C9" w14:textId="77777777" w:rsidR="00500F8B" w:rsidRPr="00500F8B" w:rsidRDefault="00500F8B" w:rsidP="00500F8B">
            <w:pPr>
              <w:rPr>
                <w:rFonts w:ascii="Arial" w:hAnsi="Arial" w:cs="Arial"/>
                <w:color w:val="000000"/>
                <w:sz w:val="18"/>
                <w:szCs w:val="18"/>
                <w:lang w:eastAsia="en-US"/>
              </w:rPr>
            </w:pPr>
            <w:r w:rsidRPr="00500F8B">
              <w:rPr>
                <w:rFonts w:ascii="Arial" w:hAnsi="Arial" w:cs="Arial"/>
                <w:color w:val="000000"/>
                <w:sz w:val="18"/>
                <w:szCs w:val="18"/>
                <w:lang w:eastAsia="en-US"/>
              </w:rPr>
              <w:t>9</w:t>
            </w:r>
          </w:p>
        </w:tc>
        <w:tc>
          <w:tcPr>
            <w:tcW w:w="2314" w:type="dxa"/>
            <w:tcBorders>
              <w:top w:val="none" w:sz="0" w:space="0" w:color="auto"/>
              <w:bottom w:val="none" w:sz="0" w:space="0" w:color="auto"/>
            </w:tcBorders>
            <w:noWrap/>
          </w:tcPr>
          <w:p w14:paraId="58E63C8C" w14:textId="77777777" w:rsidR="00500F8B" w:rsidRPr="00500F8B" w:rsidRDefault="00500F8B" w:rsidP="00500F8B">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lang w:eastAsia="en-US"/>
              </w:rPr>
            </w:pPr>
            <w:r w:rsidRPr="00500F8B">
              <w:rPr>
                <w:rFonts w:ascii="Arial" w:hAnsi="Arial" w:cs="Arial"/>
                <w:b/>
                <w:color w:val="000000"/>
                <w:sz w:val="18"/>
                <w:szCs w:val="18"/>
                <w:lang w:eastAsia="en-US"/>
              </w:rPr>
              <w:t>18379</w:t>
            </w:r>
            <w:r w:rsidRPr="00500F8B">
              <w:rPr>
                <w:rFonts w:ascii="Arial" w:hAnsi="Arial" w:cs="Arial"/>
                <w:color w:val="000000"/>
                <w:sz w:val="18"/>
                <w:szCs w:val="18"/>
                <w:lang w:eastAsia="en-US"/>
              </w:rPr>
              <w:t>, 37011</w:t>
            </w:r>
          </w:p>
        </w:tc>
        <w:tc>
          <w:tcPr>
            <w:tcW w:w="1017" w:type="dxa"/>
            <w:tcBorders>
              <w:top w:val="none" w:sz="0" w:space="0" w:color="auto"/>
              <w:bottom w:val="none" w:sz="0" w:space="0" w:color="auto"/>
            </w:tcBorders>
            <w:noWrap/>
          </w:tcPr>
          <w:p w14:paraId="13ADA57F" w14:textId="77777777" w:rsidR="00500F8B" w:rsidRPr="00500F8B" w:rsidRDefault="00500F8B" w:rsidP="00500F8B">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lang w:eastAsia="en-US"/>
              </w:rPr>
            </w:pPr>
            <w:r w:rsidRPr="00500F8B">
              <w:rPr>
                <w:rFonts w:ascii="Arial" w:hAnsi="Arial" w:cs="Arial"/>
                <w:color w:val="000000"/>
                <w:sz w:val="18"/>
                <w:szCs w:val="18"/>
                <w:lang w:eastAsia="en-US"/>
              </w:rPr>
              <w:t xml:space="preserve">np </w:t>
            </w:r>
          </w:p>
        </w:tc>
        <w:tc>
          <w:tcPr>
            <w:tcW w:w="960" w:type="dxa"/>
            <w:tcBorders>
              <w:top w:val="none" w:sz="0" w:space="0" w:color="auto"/>
              <w:bottom w:val="none" w:sz="0" w:space="0" w:color="auto"/>
            </w:tcBorders>
            <w:noWrap/>
          </w:tcPr>
          <w:p w14:paraId="07B2BC6D" w14:textId="77777777" w:rsidR="00500F8B" w:rsidRPr="00500F8B" w:rsidRDefault="00500F8B" w:rsidP="00500F8B">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lang w:eastAsia="en-US"/>
              </w:rPr>
            </w:pPr>
            <w:r w:rsidRPr="00500F8B">
              <w:rPr>
                <w:rFonts w:ascii="Arial" w:hAnsi="Arial" w:cs="Arial"/>
                <w:color w:val="000000"/>
                <w:sz w:val="18"/>
                <w:szCs w:val="18"/>
                <w:lang w:eastAsia="en-US"/>
              </w:rPr>
              <w:t xml:space="preserve">np </w:t>
            </w:r>
          </w:p>
        </w:tc>
        <w:tc>
          <w:tcPr>
            <w:tcW w:w="1286" w:type="dxa"/>
            <w:tcBorders>
              <w:top w:val="none" w:sz="0" w:space="0" w:color="auto"/>
              <w:bottom w:val="none" w:sz="0" w:space="0" w:color="auto"/>
            </w:tcBorders>
            <w:noWrap/>
          </w:tcPr>
          <w:p w14:paraId="6EF3596B" w14:textId="77777777" w:rsidR="00500F8B" w:rsidRPr="00500F8B" w:rsidRDefault="00500F8B" w:rsidP="00500F8B">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lang w:eastAsia="en-US"/>
              </w:rPr>
            </w:pPr>
            <w:r w:rsidRPr="00500F8B">
              <w:rPr>
                <w:rFonts w:ascii="Arial" w:hAnsi="Arial" w:cs="Arial"/>
                <w:color w:val="000000"/>
                <w:sz w:val="18"/>
                <w:szCs w:val="18"/>
                <w:lang w:eastAsia="en-US"/>
              </w:rPr>
              <w:t xml:space="preserve">$1,293 </w:t>
            </w:r>
          </w:p>
        </w:tc>
        <w:tc>
          <w:tcPr>
            <w:tcW w:w="1037" w:type="dxa"/>
            <w:tcBorders>
              <w:top w:val="none" w:sz="0" w:space="0" w:color="auto"/>
              <w:bottom w:val="none" w:sz="0" w:space="0" w:color="auto"/>
            </w:tcBorders>
            <w:noWrap/>
          </w:tcPr>
          <w:p w14:paraId="08BA4414" w14:textId="77777777" w:rsidR="00500F8B" w:rsidRPr="00500F8B" w:rsidRDefault="00500F8B" w:rsidP="00500F8B">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lang w:eastAsia="en-US"/>
              </w:rPr>
            </w:pPr>
            <w:r w:rsidRPr="00500F8B">
              <w:rPr>
                <w:rFonts w:ascii="Arial" w:hAnsi="Arial" w:cs="Arial"/>
                <w:color w:val="000000"/>
                <w:sz w:val="18"/>
                <w:szCs w:val="18"/>
                <w:lang w:eastAsia="en-US"/>
              </w:rPr>
              <w:t xml:space="preserve">np </w:t>
            </w:r>
          </w:p>
        </w:tc>
        <w:tc>
          <w:tcPr>
            <w:tcW w:w="960" w:type="dxa"/>
            <w:tcBorders>
              <w:top w:val="none" w:sz="0" w:space="0" w:color="auto"/>
              <w:bottom w:val="none" w:sz="0" w:space="0" w:color="auto"/>
            </w:tcBorders>
            <w:noWrap/>
          </w:tcPr>
          <w:p w14:paraId="6CD25D73" w14:textId="77777777" w:rsidR="00500F8B" w:rsidRPr="00500F8B" w:rsidRDefault="00500F8B" w:rsidP="00500F8B">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lang w:eastAsia="en-US"/>
              </w:rPr>
            </w:pPr>
            <w:r w:rsidRPr="00500F8B">
              <w:rPr>
                <w:rFonts w:ascii="Arial" w:hAnsi="Arial" w:cs="Arial"/>
                <w:color w:val="000000"/>
                <w:sz w:val="18"/>
                <w:szCs w:val="18"/>
                <w:lang w:eastAsia="en-US"/>
              </w:rPr>
              <w:t xml:space="preserve">np </w:t>
            </w:r>
          </w:p>
        </w:tc>
        <w:tc>
          <w:tcPr>
            <w:tcW w:w="997" w:type="dxa"/>
            <w:tcBorders>
              <w:top w:val="none" w:sz="0" w:space="0" w:color="auto"/>
              <w:bottom w:val="none" w:sz="0" w:space="0" w:color="auto"/>
              <w:right w:val="none" w:sz="0" w:space="0" w:color="auto"/>
            </w:tcBorders>
            <w:noWrap/>
          </w:tcPr>
          <w:p w14:paraId="5D57E8BB" w14:textId="77777777" w:rsidR="00500F8B" w:rsidRPr="00500F8B" w:rsidRDefault="00500F8B" w:rsidP="00500F8B">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lang w:eastAsia="en-US"/>
              </w:rPr>
            </w:pPr>
            <w:r w:rsidRPr="00500F8B">
              <w:rPr>
                <w:rFonts w:ascii="Arial" w:hAnsi="Arial" w:cs="Arial"/>
                <w:color w:val="000000"/>
                <w:sz w:val="18"/>
                <w:szCs w:val="18"/>
                <w:lang w:eastAsia="en-US"/>
              </w:rPr>
              <w:t xml:space="preserve">0.56% </w:t>
            </w:r>
          </w:p>
        </w:tc>
      </w:tr>
      <w:tr w:rsidR="00500F8B" w:rsidRPr="00500F8B" w14:paraId="59E18378" w14:textId="77777777" w:rsidTr="0016330C">
        <w:trPr>
          <w:trHeight w:val="300"/>
        </w:trPr>
        <w:tc>
          <w:tcPr>
            <w:cnfStyle w:val="001000000000" w:firstRow="0" w:lastRow="0" w:firstColumn="1" w:lastColumn="0" w:oddVBand="0" w:evenVBand="0" w:oddHBand="0" w:evenHBand="0" w:firstRowFirstColumn="0" w:firstRowLastColumn="0" w:lastRowFirstColumn="0" w:lastRowLastColumn="0"/>
            <w:tcW w:w="567" w:type="dxa"/>
            <w:noWrap/>
          </w:tcPr>
          <w:p w14:paraId="5430D42B" w14:textId="77777777" w:rsidR="00500F8B" w:rsidRPr="00500F8B" w:rsidRDefault="00500F8B" w:rsidP="00500F8B">
            <w:pPr>
              <w:rPr>
                <w:rFonts w:ascii="Arial" w:hAnsi="Arial" w:cs="Arial"/>
                <w:color w:val="000000"/>
                <w:sz w:val="18"/>
                <w:szCs w:val="18"/>
                <w:lang w:eastAsia="en-US"/>
              </w:rPr>
            </w:pPr>
            <w:r w:rsidRPr="00500F8B">
              <w:rPr>
                <w:rFonts w:ascii="Arial" w:hAnsi="Arial" w:cs="Arial"/>
                <w:color w:val="000000"/>
                <w:sz w:val="18"/>
                <w:szCs w:val="18"/>
                <w:lang w:eastAsia="en-US"/>
              </w:rPr>
              <w:t>10</w:t>
            </w:r>
          </w:p>
        </w:tc>
        <w:tc>
          <w:tcPr>
            <w:tcW w:w="2314" w:type="dxa"/>
            <w:noWrap/>
          </w:tcPr>
          <w:p w14:paraId="7048500F" w14:textId="77777777" w:rsidR="00500F8B" w:rsidRPr="00500F8B" w:rsidRDefault="00500F8B" w:rsidP="00500F8B">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en-US"/>
              </w:rPr>
            </w:pPr>
            <w:r w:rsidRPr="00500F8B">
              <w:rPr>
                <w:rFonts w:ascii="Arial" w:hAnsi="Arial" w:cs="Arial"/>
                <w:b/>
                <w:color w:val="000000"/>
                <w:sz w:val="18"/>
                <w:szCs w:val="18"/>
                <w:lang w:eastAsia="en-US"/>
              </w:rPr>
              <w:t>18379</w:t>
            </w:r>
            <w:r w:rsidRPr="00500F8B">
              <w:rPr>
                <w:rFonts w:ascii="Arial" w:hAnsi="Arial" w:cs="Arial"/>
                <w:color w:val="000000"/>
                <w:sz w:val="18"/>
                <w:szCs w:val="18"/>
                <w:lang w:eastAsia="en-US"/>
              </w:rPr>
              <w:t>, 36827, 36840</w:t>
            </w:r>
          </w:p>
        </w:tc>
        <w:tc>
          <w:tcPr>
            <w:tcW w:w="1017" w:type="dxa"/>
            <w:noWrap/>
          </w:tcPr>
          <w:p w14:paraId="21343282" w14:textId="77777777" w:rsidR="00500F8B" w:rsidRPr="00500F8B" w:rsidRDefault="00500F8B" w:rsidP="00500F8B">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en-US"/>
              </w:rPr>
            </w:pPr>
            <w:r w:rsidRPr="00500F8B">
              <w:rPr>
                <w:rFonts w:ascii="Arial" w:hAnsi="Arial" w:cs="Arial"/>
                <w:color w:val="000000"/>
                <w:sz w:val="18"/>
                <w:szCs w:val="18"/>
                <w:lang w:eastAsia="en-US"/>
              </w:rPr>
              <w:t xml:space="preserve">np </w:t>
            </w:r>
          </w:p>
        </w:tc>
        <w:tc>
          <w:tcPr>
            <w:tcW w:w="960" w:type="dxa"/>
            <w:noWrap/>
          </w:tcPr>
          <w:p w14:paraId="6A825DA5" w14:textId="77777777" w:rsidR="00500F8B" w:rsidRPr="00500F8B" w:rsidRDefault="00500F8B" w:rsidP="00500F8B">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en-US"/>
              </w:rPr>
            </w:pPr>
            <w:r w:rsidRPr="00500F8B">
              <w:rPr>
                <w:rFonts w:ascii="Arial" w:hAnsi="Arial" w:cs="Arial"/>
                <w:color w:val="000000"/>
                <w:sz w:val="18"/>
                <w:szCs w:val="18"/>
                <w:lang w:eastAsia="en-US"/>
              </w:rPr>
              <w:t xml:space="preserve">np </w:t>
            </w:r>
          </w:p>
        </w:tc>
        <w:tc>
          <w:tcPr>
            <w:tcW w:w="1286" w:type="dxa"/>
            <w:noWrap/>
          </w:tcPr>
          <w:p w14:paraId="264F7A87" w14:textId="77777777" w:rsidR="00500F8B" w:rsidRPr="00500F8B" w:rsidRDefault="00500F8B" w:rsidP="00500F8B">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en-US"/>
              </w:rPr>
            </w:pPr>
            <w:r w:rsidRPr="00500F8B">
              <w:rPr>
                <w:rFonts w:ascii="Arial" w:hAnsi="Arial" w:cs="Arial"/>
                <w:color w:val="000000"/>
                <w:sz w:val="18"/>
                <w:szCs w:val="18"/>
                <w:lang w:eastAsia="en-US"/>
              </w:rPr>
              <w:t xml:space="preserve">$2,004 </w:t>
            </w:r>
          </w:p>
        </w:tc>
        <w:tc>
          <w:tcPr>
            <w:tcW w:w="1037" w:type="dxa"/>
            <w:noWrap/>
          </w:tcPr>
          <w:p w14:paraId="521C62FC" w14:textId="77777777" w:rsidR="00500F8B" w:rsidRPr="00500F8B" w:rsidRDefault="00500F8B" w:rsidP="00500F8B">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en-US"/>
              </w:rPr>
            </w:pPr>
            <w:r w:rsidRPr="00500F8B">
              <w:rPr>
                <w:rFonts w:ascii="Arial" w:hAnsi="Arial" w:cs="Arial"/>
                <w:color w:val="000000"/>
                <w:sz w:val="18"/>
                <w:szCs w:val="18"/>
                <w:lang w:eastAsia="en-US"/>
              </w:rPr>
              <w:t xml:space="preserve">np </w:t>
            </w:r>
          </w:p>
        </w:tc>
        <w:tc>
          <w:tcPr>
            <w:tcW w:w="960" w:type="dxa"/>
            <w:noWrap/>
          </w:tcPr>
          <w:p w14:paraId="260E4480" w14:textId="77777777" w:rsidR="00500F8B" w:rsidRPr="00500F8B" w:rsidRDefault="00500F8B" w:rsidP="00500F8B">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en-US"/>
              </w:rPr>
            </w:pPr>
            <w:r w:rsidRPr="00500F8B">
              <w:rPr>
                <w:rFonts w:ascii="Arial" w:hAnsi="Arial" w:cs="Arial"/>
                <w:color w:val="000000"/>
                <w:sz w:val="18"/>
                <w:szCs w:val="18"/>
                <w:lang w:eastAsia="en-US"/>
              </w:rPr>
              <w:t xml:space="preserve">np </w:t>
            </w:r>
          </w:p>
        </w:tc>
        <w:tc>
          <w:tcPr>
            <w:tcW w:w="997" w:type="dxa"/>
            <w:noWrap/>
          </w:tcPr>
          <w:p w14:paraId="0C66AC02" w14:textId="77777777" w:rsidR="00500F8B" w:rsidRPr="00500F8B" w:rsidRDefault="00500F8B" w:rsidP="00500F8B">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en-US"/>
              </w:rPr>
            </w:pPr>
            <w:r w:rsidRPr="00500F8B">
              <w:rPr>
                <w:rFonts w:ascii="Arial" w:hAnsi="Arial" w:cs="Arial"/>
                <w:color w:val="000000"/>
                <w:sz w:val="18"/>
                <w:szCs w:val="18"/>
                <w:lang w:eastAsia="en-US"/>
              </w:rPr>
              <w:t xml:space="preserve">0.42% </w:t>
            </w:r>
          </w:p>
        </w:tc>
      </w:tr>
    </w:tbl>
    <w:p w14:paraId="580B9518" w14:textId="251BE5C7" w:rsidR="00500F8B" w:rsidRPr="00B9218B" w:rsidRDefault="00500F8B" w:rsidP="00B9218B">
      <w:pPr>
        <w:pStyle w:val="Heading3"/>
        <w:spacing w:before="0"/>
      </w:pPr>
      <w:r w:rsidRPr="00B9218B">
        <w:lastRenderedPageBreak/>
        <w:t>Table 10: Top 10 instances of co-claiming with MBS item 18379 in 2016-17 (to 31 Dec 16)</w:t>
      </w:r>
    </w:p>
    <w:tbl>
      <w:tblPr>
        <w:tblStyle w:val="LightList-Accent1"/>
        <w:tblW w:w="91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able 10 presents the top ten instances of co-claiming with MBS item 18379 in the 2016-17 financial year to 31 December 2016. The table is split into eight columns, 1) ranking number from 1 to 10, 2) MBS items, 3) Episodes, 4) Number of services, 5) Schedule Fee for combination, 6) Number of providers, 7) Number of patients, 8) Percentage of episodes. Rows are split by ranking number, which presents the largest number of episodes as one and the smallest number of episodes as ten. 'NP' means that for that cell, the data is not printed."/>
      </w:tblPr>
      <w:tblGrid>
        <w:gridCol w:w="567"/>
        <w:gridCol w:w="2314"/>
        <w:gridCol w:w="1017"/>
        <w:gridCol w:w="960"/>
        <w:gridCol w:w="1286"/>
        <w:gridCol w:w="1037"/>
        <w:gridCol w:w="960"/>
        <w:gridCol w:w="997"/>
      </w:tblGrid>
      <w:tr w:rsidR="00500F8B" w:rsidRPr="00500F8B" w14:paraId="65A55283" w14:textId="77777777" w:rsidTr="000C7515">
        <w:trPr>
          <w:cnfStyle w:val="100000000000" w:firstRow="1" w:lastRow="0" w:firstColumn="0" w:lastColumn="0" w:oddVBand="0" w:evenVBand="0" w:oddHBand="0" w:evenHBand="0" w:firstRowFirstColumn="0" w:firstRowLastColumn="0" w:lastRowFirstColumn="0" w:lastRowLastColumn="0"/>
          <w:trHeight w:val="786"/>
          <w:tblHeader/>
        </w:trPr>
        <w:tc>
          <w:tcPr>
            <w:cnfStyle w:val="001000000000" w:firstRow="0" w:lastRow="0" w:firstColumn="1" w:lastColumn="0" w:oddVBand="0" w:evenVBand="0" w:oddHBand="0" w:evenHBand="0" w:firstRowFirstColumn="0" w:firstRowLastColumn="0" w:lastRowFirstColumn="0" w:lastRowLastColumn="0"/>
            <w:tcW w:w="567" w:type="dxa"/>
          </w:tcPr>
          <w:p w14:paraId="4F63AC49" w14:textId="77777777" w:rsidR="00500F8B" w:rsidRPr="00500F8B" w:rsidRDefault="00500F8B" w:rsidP="00500F8B">
            <w:pPr>
              <w:jc w:val="center"/>
              <w:rPr>
                <w:rFonts w:ascii="Arial" w:hAnsi="Arial" w:cs="Arial"/>
                <w:b w:val="0"/>
                <w:bCs w:val="0"/>
                <w:color w:val="FFFFFF"/>
                <w:sz w:val="18"/>
                <w:szCs w:val="18"/>
                <w:lang w:eastAsia="en-US"/>
              </w:rPr>
            </w:pPr>
            <w:r w:rsidRPr="00500F8B">
              <w:rPr>
                <w:rFonts w:ascii="Arial" w:hAnsi="Arial" w:cs="Arial"/>
                <w:b w:val="0"/>
                <w:bCs w:val="0"/>
                <w:color w:val="FFFFFF"/>
                <w:sz w:val="18"/>
                <w:szCs w:val="18"/>
                <w:lang w:eastAsia="en-US"/>
              </w:rPr>
              <w:t>#</w:t>
            </w:r>
          </w:p>
        </w:tc>
        <w:tc>
          <w:tcPr>
            <w:tcW w:w="2314" w:type="dxa"/>
          </w:tcPr>
          <w:p w14:paraId="3DD53BF2" w14:textId="77777777" w:rsidR="00500F8B" w:rsidRPr="00500F8B" w:rsidRDefault="00500F8B" w:rsidP="00500F8B">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sz w:val="18"/>
                <w:szCs w:val="18"/>
                <w:lang w:eastAsia="en-US"/>
              </w:rPr>
            </w:pPr>
            <w:r w:rsidRPr="00500F8B">
              <w:rPr>
                <w:rFonts w:ascii="Arial" w:hAnsi="Arial" w:cs="Arial"/>
                <w:b w:val="0"/>
                <w:bCs w:val="0"/>
                <w:color w:val="FFFFFF"/>
                <w:sz w:val="18"/>
                <w:szCs w:val="18"/>
                <w:lang w:eastAsia="en-US"/>
              </w:rPr>
              <w:t>Items</w:t>
            </w:r>
          </w:p>
        </w:tc>
        <w:tc>
          <w:tcPr>
            <w:tcW w:w="1017" w:type="dxa"/>
          </w:tcPr>
          <w:p w14:paraId="38697B12" w14:textId="77777777" w:rsidR="00500F8B" w:rsidRPr="00500F8B" w:rsidRDefault="00500F8B" w:rsidP="00500F8B">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sz w:val="18"/>
                <w:szCs w:val="18"/>
                <w:lang w:eastAsia="en-US"/>
              </w:rPr>
            </w:pPr>
            <w:r w:rsidRPr="00500F8B">
              <w:rPr>
                <w:rFonts w:ascii="Arial" w:hAnsi="Arial" w:cs="Arial"/>
                <w:b w:val="0"/>
                <w:bCs w:val="0"/>
                <w:color w:val="FFFFFF"/>
                <w:sz w:val="18"/>
                <w:szCs w:val="18"/>
                <w:lang w:eastAsia="en-US"/>
              </w:rPr>
              <w:t>Episodes</w:t>
            </w:r>
          </w:p>
        </w:tc>
        <w:tc>
          <w:tcPr>
            <w:tcW w:w="960" w:type="dxa"/>
          </w:tcPr>
          <w:p w14:paraId="41A3384E" w14:textId="77777777" w:rsidR="00500F8B" w:rsidRPr="00500F8B" w:rsidRDefault="00500F8B" w:rsidP="00500F8B">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sz w:val="18"/>
                <w:szCs w:val="18"/>
                <w:lang w:eastAsia="en-US"/>
              </w:rPr>
            </w:pPr>
            <w:r w:rsidRPr="00500F8B">
              <w:rPr>
                <w:rFonts w:ascii="Arial" w:hAnsi="Arial" w:cs="Arial"/>
                <w:b w:val="0"/>
                <w:bCs w:val="0"/>
                <w:color w:val="FFFFFF"/>
                <w:sz w:val="18"/>
                <w:szCs w:val="18"/>
                <w:lang w:eastAsia="en-US"/>
              </w:rPr>
              <w:t>Services</w:t>
            </w:r>
          </w:p>
        </w:tc>
        <w:tc>
          <w:tcPr>
            <w:tcW w:w="1286" w:type="dxa"/>
          </w:tcPr>
          <w:p w14:paraId="2DB3EF37" w14:textId="77777777" w:rsidR="00500F8B" w:rsidRPr="00500F8B" w:rsidRDefault="00500F8B" w:rsidP="00500F8B">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sz w:val="18"/>
                <w:szCs w:val="18"/>
                <w:lang w:eastAsia="en-US"/>
              </w:rPr>
            </w:pPr>
            <w:r w:rsidRPr="00500F8B">
              <w:rPr>
                <w:rFonts w:ascii="Arial" w:hAnsi="Arial" w:cs="Arial"/>
                <w:b w:val="0"/>
                <w:bCs w:val="0"/>
                <w:color w:val="FFFFFF"/>
                <w:sz w:val="18"/>
                <w:szCs w:val="18"/>
                <w:lang w:eastAsia="en-US"/>
              </w:rPr>
              <w:t>Schedule Fee for combination</w:t>
            </w:r>
          </w:p>
        </w:tc>
        <w:tc>
          <w:tcPr>
            <w:tcW w:w="1037" w:type="dxa"/>
          </w:tcPr>
          <w:p w14:paraId="6AECD384" w14:textId="77777777" w:rsidR="00500F8B" w:rsidRPr="00500F8B" w:rsidRDefault="00500F8B" w:rsidP="00500F8B">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sz w:val="18"/>
                <w:szCs w:val="18"/>
                <w:lang w:eastAsia="en-US"/>
              </w:rPr>
            </w:pPr>
            <w:r w:rsidRPr="00500F8B">
              <w:rPr>
                <w:rFonts w:ascii="Arial" w:hAnsi="Arial" w:cs="Arial"/>
                <w:b w:val="0"/>
                <w:bCs w:val="0"/>
                <w:color w:val="FFFFFF"/>
                <w:sz w:val="18"/>
                <w:szCs w:val="18"/>
                <w:lang w:eastAsia="en-US"/>
              </w:rPr>
              <w:t>Number of providers</w:t>
            </w:r>
          </w:p>
        </w:tc>
        <w:tc>
          <w:tcPr>
            <w:tcW w:w="960" w:type="dxa"/>
          </w:tcPr>
          <w:p w14:paraId="1A7B542F" w14:textId="77777777" w:rsidR="00500F8B" w:rsidRPr="00500F8B" w:rsidRDefault="00500F8B" w:rsidP="00500F8B">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sz w:val="18"/>
                <w:szCs w:val="18"/>
                <w:lang w:eastAsia="en-US"/>
              </w:rPr>
            </w:pPr>
            <w:r w:rsidRPr="00500F8B">
              <w:rPr>
                <w:rFonts w:ascii="Arial" w:hAnsi="Arial" w:cs="Arial"/>
                <w:b w:val="0"/>
                <w:bCs w:val="0"/>
                <w:color w:val="FFFFFF"/>
                <w:sz w:val="18"/>
                <w:szCs w:val="18"/>
                <w:lang w:eastAsia="en-US"/>
              </w:rPr>
              <w:t>Number of patients</w:t>
            </w:r>
          </w:p>
        </w:tc>
        <w:tc>
          <w:tcPr>
            <w:tcW w:w="997" w:type="dxa"/>
          </w:tcPr>
          <w:p w14:paraId="085951D7" w14:textId="77777777" w:rsidR="00500F8B" w:rsidRPr="00500F8B" w:rsidRDefault="00500F8B" w:rsidP="00500F8B">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sz w:val="18"/>
                <w:szCs w:val="18"/>
                <w:lang w:eastAsia="en-US"/>
              </w:rPr>
            </w:pPr>
            <w:r w:rsidRPr="00500F8B">
              <w:rPr>
                <w:rFonts w:ascii="Arial" w:hAnsi="Arial" w:cs="Arial"/>
                <w:b w:val="0"/>
                <w:bCs w:val="0"/>
                <w:color w:val="FFFFFF"/>
                <w:sz w:val="18"/>
                <w:szCs w:val="18"/>
                <w:lang w:eastAsia="en-US"/>
              </w:rPr>
              <w:t>% of episodes</w:t>
            </w:r>
          </w:p>
        </w:tc>
      </w:tr>
      <w:tr w:rsidR="00500F8B" w:rsidRPr="00500F8B" w14:paraId="0F0E5AED" w14:textId="77777777" w:rsidTr="0016330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7" w:type="dxa"/>
            <w:tcBorders>
              <w:top w:val="none" w:sz="0" w:space="0" w:color="auto"/>
              <w:left w:val="none" w:sz="0" w:space="0" w:color="auto"/>
              <w:bottom w:val="none" w:sz="0" w:space="0" w:color="auto"/>
            </w:tcBorders>
            <w:noWrap/>
          </w:tcPr>
          <w:p w14:paraId="125B4847" w14:textId="77777777" w:rsidR="00500F8B" w:rsidRPr="00500F8B" w:rsidRDefault="00500F8B" w:rsidP="00500F8B">
            <w:pPr>
              <w:rPr>
                <w:rFonts w:ascii="Arial" w:hAnsi="Arial" w:cs="Arial"/>
                <w:color w:val="000000"/>
                <w:sz w:val="18"/>
                <w:szCs w:val="18"/>
                <w:lang w:eastAsia="en-US"/>
              </w:rPr>
            </w:pPr>
            <w:r w:rsidRPr="00500F8B">
              <w:rPr>
                <w:rFonts w:ascii="Arial" w:hAnsi="Arial" w:cs="Arial"/>
                <w:color w:val="000000"/>
                <w:sz w:val="18"/>
                <w:szCs w:val="18"/>
                <w:lang w:eastAsia="en-US"/>
              </w:rPr>
              <w:t>1</w:t>
            </w:r>
          </w:p>
        </w:tc>
        <w:tc>
          <w:tcPr>
            <w:tcW w:w="2314" w:type="dxa"/>
            <w:tcBorders>
              <w:top w:val="none" w:sz="0" w:space="0" w:color="auto"/>
              <w:bottom w:val="none" w:sz="0" w:space="0" w:color="auto"/>
            </w:tcBorders>
            <w:noWrap/>
          </w:tcPr>
          <w:p w14:paraId="52F099B8" w14:textId="77777777" w:rsidR="00500F8B" w:rsidRPr="00500F8B" w:rsidRDefault="00500F8B" w:rsidP="00500F8B">
            <w:pPr>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18"/>
                <w:szCs w:val="18"/>
                <w:lang w:eastAsia="en-US"/>
              </w:rPr>
            </w:pPr>
            <w:r w:rsidRPr="00500F8B">
              <w:rPr>
                <w:rFonts w:ascii="Arial" w:hAnsi="Arial" w:cs="Arial"/>
                <w:b/>
                <w:color w:val="000000"/>
                <w:sz w:val="18"/>
                <w:szCs w:val="18"/>
                <w:lang w:eastAsia="en-US"/>
              </w:rPr>
              <w:t>18379</w:t>
            </w:r>
          </w:p>
        </w:tc>
        <w:tc>
          <w:tcPr>
            <w:tcW w:w="1017" w:type="dxa"/>
            <w:tcBorders>
              <w:top w:val="none" w:sz="0" w:space="0" w:color="auto"/>
              <w:bottom w:val="none" w:sz="0" w:space="0" w:color="auto"/>
            </w:tcBorders>
            <w:noWrap/>
          </w:tcPr>
          <w:p w14:paraId="7345FE15" w14:textId="77777777" w:rsidR="00500F8B" w:rsidRPr="00500F8B" w:rsidRDefault="00500F8B" w:rsidP="00500F8B">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lang w:eastAsia="en-US"/>
              </w:rPr>
            </w:pPr>
            <w:r w:rsidRPr="00500F8B">
              <w:rPr>
                <w:rFonts w:ascii="Arial" w:hAnsi="Arial" w:cs="Arial"/>
                <w:color w:val="000000"/>
                <w:sz w:val="18"/>
                <w:szCs w:val="18"/>
                <w:lang w:eastAsia="en-US"/>
              </w:rPr>
              <w:t xml:space="preserve">437 </w:t>
            </w:r>
          </w:p>
        </w:tc>
        <w:tc>
          <w:tcPr>
            <w:tcW w:w="960" w:type="dxa"/>
            <w:tcBorders>
              <w:top w:val="none" w:sz="0" w:space="0" w:color="auto"/>
              <w:bottom w:val="none" w:sz="0" w:space="0" w:color="auto"/>
            </w:tcBorders>
            <w:noWrap/>
          </w:tcPr>
          <w:p w14:paraId="5F316E74" w14:textId="77777777" w:rsidR="00500F8B" w:rsidRPr="00500F8B" w:rsidRDefault="00500F8B" w:rsidP="00500F8B">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lang w:eastAsia="en-US"/>
              </w:rPr>
            </w:pPr>
            <w:r w:rsidRPr="00500F8B">
              <w:rPr>
                <w:rFonts w:ascii="Arial" w:hAnsi="Arial" w:cs="Arial"/>
                <w:color w:val="000000"/>
                <w:sz w:val="18"/>
                <w:szCs w:val="18"/>
                <w:lang w:eastAsia="en-US"/>
              </w:rPr>
              <w:t xml:space="preserve">437 </w:t>
            </w:r>
          </w:p>
        </w:tc>
        <w:tc>
          <w:tcPr>
            <w:tcW w:w="1286" w:type="dxa"/>
            <w:tcBorders>
              <w:top w:val="none" w:sz="0" w:space="0" w:color="auto"/>
              <w:bottom w:val="none" w:sz="0" w:space="0" w:color="auto"/>
            </w:tcBorders>
            <w:noWrap/>
          </w:tcPr>
          <w:p w14:paraId="06673787" w14:textId="77777777" w:rsidR="00500F8B" w:rsidRPr="00500F8B" w:rsidRDefault="00500F8B" w:rsidP="00500F8B">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lang w:eastAsia="en-US"/>
              </w:rPr>
            </w:pPr>
            <w:r w:rsidRPr="00500F8B">
              <w:rPr>
                <w:rFonts w:ascii="Arial" w:hAnsi="Arial" w:cs="Arial"/>
                <w:color w:val="000000"/>
                <w:sz w:val="18"/>
                <w:szCs w:val="18"/>
                <w:lang w:eastAsia="en-US"/>
              </w:rPr>
              <w:t xml:space="preserve">$100,444 </w:t>
            </w:r>
          </w:p>
        </w:tc>
        <w:tc>
          <w:tcPr>
            <w:tcW w:w="1037" w:type="dxa"/>
            <w:tcBorders>
              <w:top w:val="none" w:sz="0" w:space="0" w:color="auto"/>
              <w:bottom w:val="none" w:sz="0" w:space="0" w:color="auto"/>
            </w:tcBorders>
            <w:noWrap/>
          </w:tcPr>
          <w:p w14:paraId="40C9F249" w14:textId="77777777" w:rsidR="00500F8B" w:rsidRPr="00500F8B" w:rsidRDefault="00500F8B" w:rsidP="00500F8B">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lang w:eastAsia="en-US"/>
              </w:rPr>
            </w:pPr>
            <w:r w:rsidRPr="00500F8B">
              <w:rPr>
                <w:rFonts w:ascii="Arial" w:hAnsi="Arial" w:cs="Arial"/>
                <w:color w:val="000000"/>
                <w:sz w:val="18"/>
                <w:szCs w:val="18"/>
                <w:lang w:eastAsia="en-US"/>
              </w:rPr>
              <w:t xml:space="preserve">59 </w:t>
            </w:r>
          </w:p>
        </w:tc>
        <w:tc>
          <w:tcPr>
            <w:tcW w:w="960" w:type="dxa"/>
            <w:tcBorders>
              <w:top w:val="none" w:sz="0" w:space="0" w:color="auto"/>
              <w:bottom w:val="none" w:sz="0" w:space="0" w:color="auto"/>
            </w:tcBorders>
            <w:noWrap/>
          </w:tcPr>
          <w:p w14:paraId="1E60B5DC" w14:textId="77777777" w:rsidR="00500F8B" w:rsidRPr="00500F8B" w:rsidRDefault="00500F8B" w:rsidP="00500F8B">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lang w:eastAsia="en-US"/>
              </w:rPr>
            </w:pPr>
            <w:r w:rsidRPr="00500F8B">
              <w:rPr>
                <w:rFonts w:ascii="Arial" w:hAnsi="Arial" w:cs="Arial"/>
                <w:color w:val="000000"/>
                <w:sz w:val="18"/>
                <w:szCs w:val="18"/>
                <w:lang w:eastAsia="en-US"/>
              </w:rPr>
              <w:t xml:space="preserve">425 </w:t>
            </w:r>
          </w:p>
        </w:tc>
        <w:tc>
          <w:tcPr>
            <w:tcW w:w="997" w:type="dxa"/>
            <w:tcBorders>
              <w:top w:val="none" w:sz="0" w:space="0" w:color="auto"/>
              <w:bottom w:val="none" w:sz="0" w:space="0" w:color="auto"/>
              <w:right w:val="none" w:sz="0" w:space="0" w:color="auto"/>
            </w:tcBorders>
            <w:noWrap/>
          </w:tcPr>
          <w:p w14:paraId="7F2D7C81" w14:textId="77777777" w:rsidR="00500F8B" w:rsidRPr="00500F8B" w:rsidRDefault="00500F8B" w:rsidP="00500F8B">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lang w:eastAsia="en-US"/>
              </w:rPr>
            </w:pPr>
            <w:r w:rsidRPr="00500F8B">
              <w:rPr>
                <w:rFonts w:ascii="Arial" w:hAnsi="Arial" w:cs="Arial"/>
                <w:color w:val="000000"/>
                <w:sz w:val="18"/>
                <w:szCs w:val="18"/>
                <w:lang w:eastAsia="en-US"/>
              </w:rPr>
              <w:t xml:space="preserve">80.63% </w:t>
            </w:r>
          </w:p>
        </w:tc>
      </w:tr>
      <w:tr w:rsidR="00500F8B" w:rsidRPr="00500F8B" w14:paraId="6F3638CA" w14:textId="77777777" w:rsidTr="0016330C">
        <w:trPr>
          <w:trHeight w:val="300"/>
        </w:trPr>
        <w:tc>
          <w:tcPr>
            <w:cnfStyle w:val="001000000000" w:firstRow="0" w:lastRow="0" w:firstColumn="1" w:lastColumn="0" w:oddVBand="0" w:evenVBand="0" w:oddHBand="0" w:evenHBand="0" w:firstRowFirstColumn="0" w:firstRowLastColumn="0" w:lastRowFirstColumn="0" w:lastRowLastColumn="0"/>
            <w:tcW w:w="567" w:type="dxa"/>
            <w:noWrap/>
          </w:tcPr>
          <w:p w14:paraId="34C2E587" w14:textId="77777777" w:rsidR="00500F8B" w:rsidRPr="00500F8B" w:rsidRDefault="00500F8B" w:rsidP="00500F8B">
            <w:pPr>
              <w:rPr>
                <w:rFonts w:ascii="Arial" w:hAnsi="Arial" w:cs="Arial"/>
                <w:color w:val="000000"/>
                <w:sz w:val="18"/>
                <w:szCs w:val="18"/>
                <w:lang w:eastAsia="en-US"/>
              </w:rPr>
            </w:pPr>
            <w:r w:rsidRPr="00500F8B">
              <w:rPr>
                <w:rFonts w:ascii="Arial" w:hAnsi="Arial" w:cs="Arial"/>
                <w:color w:val="000000"/>
                <w:sz w:val="18"/>
                <w:szCs w:val="18"/>
                <w:lang w:eastAsia="en-US"/>
              </w:rPr>
              <w:t>2</w:t>
            </w:r>
          </w:p>
        </w:tc>
        <w:tc>
          <w:tcPr>
            <w:tcW w:w="2314" w:type="dxa"/>
            <w:noWrap/>
          </w:tcPr>
          <w:p w14:paraId="33EC450F" w14:textId="77777777" w:rsidR="00500F8B" w:rsidRPr="00500F8B" w:rsidRDefault="00500F8B" w:rsidP="00500F8B">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en-US"/>
              </w:rPr>
            </w:pPr>
            <w:r w:rsidRPr="00500F8B">
              <w:rPr>
                <w:rFonts w:ascii="Arial" w:hAnsi="Arial" w:cs="Arial"/>
                <w:b/>
                <w:color w:val="000000"/>
                <w:sz w:val="18"/>
                <w:szCs w:val="18"/>
                <w:lang w:eastAsia="en-US"/>
              </w:rPr>
              <w:t>18379</w:t>
            </w:r>
            <w:r w:rsidRPr="00500F8B">
              <w:rPr>
                <w:rFonts w:ascii="Arial" w:hAnsi="Arial" w:cs="Arial"/>
                <w:color w:val="000000"/>
                <w:sz w:val="18"/>
                <w:szCs w:val="18"/>
                <w:lang w:eastAsia="en-US"/>
              </w:rPr>
              <w:t>, 36827</w:t>
            </w:r>
          </w:p>
        </w:tc>
        <w:tc>
          <w:tcPr>
            <w:tcW w:w="1017" w:type="dxa"/>
            <w:noWrap/>
          </w:tcPr>
          <w:p w14:paraId="0A222233" w14:textId="77777777" w:rsidR="00500F8B" w:rsidRPr="00500F8B" w:rsidRDefault="00500F8B" w:rsidP="00500F8B">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en-US"/>
              </w:rPr>
            </w:pPr>
            <w:r w:rsidRPr="00500F8B">
              <w:rPr>
                <w:rFonts w:ascii="Arial" w:hAnsi="Arial" w:cs="Arial"/>
                <w:color w:val="000000"/>
                <w:sz w:val="18"/>
                <w:szCs w:val="18"/>
                <w:lang w:eastAsia="en-US"/>
              </w:rPr>
              <w:t xml:space="preserve">30 </w:t>
            </w:r>
          </w:p>
        </w:tc>
        <w:tc>
          <w:tcPr>
            <w:tcW w:w="960" w:type="dxa"/>
            <w:noWrap/>
          </w:tcPr>
          <w:p w14:paraId="5A86B885" w14:textId="77777777" w:rsidR="00500F8B" w:rsidRPr="00500F8B" w:rsidRDefault="00500F8B" w:rsidP="00500F8B">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en-US"/>
              </w:rPr>
            </w:pPr>
            <w:r w:rsidRPr="00500F8B">
              <w:rPr>
                <w:rFonts w:ascii="Arial" w:hAnsi="Arial" w:cs="Arial"/>
                <w:color w:val="000000"/>
                <w:sz w:val="18"/>
                <w:szCs w:val="18"/>
                <w:lang w:eastAsia="en-US"/>
              </w:rPr>
              <w:t xml:space="preserve">60 </w:t>
            </w:r>
          </w:p>
        </w:tc>
        <w:tc>
          <w:tcPr>
            <w:tcW w:w="1286" w:type="dxa"/>
            <w:noWrap/>
          </w:tcPr>
          <w:p w14:paraId="7D61B6C8" w14:textId="77777777" w:rsidR="00500F8B" w:rsidRPr="00500F8B" w:rsidRDefault="00500F8B" w:rsidP="00500F8B">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en-US"/>
              </w:rPr>
            </w:pPr>
            <w:r w:rsidRPr="00500F8B">
              <w:rPr>
                <w:rFonts w:ascii="Arial" w:hAnsi="Arial" w:cs="Arial"/>
                <w:color w:val="000000"/>
                <w:sz w:val="18"/>
                <w:szCs w:val="18"/>
                <w:lang w:eastAsia="en-US"/>
              </w:rPr>
              <w:t xml:space="preserve">$13,791 </w:t>
            </w:r>
          </w:p>
        </w:tc>
        <w:tc>
          <w:tcPr>
            <w:tcW w:w="1037" w:type="dxa"/>
            <w:noWrap/>
          </w:tcPr>
          <w:p w14:paraId="28AE0926" w14:textId="77777777" w:rsidR="00500F8B" w:rsidRPr="00500F8B" w:rsidRDefault="00500F8B" w:rsidP="00500F8B">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en-US"/>
              </w:rPr>
            </w:pPr>
            <w:r w:rsidRPr="00500F8B">
              <w:rPr>
                <w:rFonts w:ascii="Arial" w:hAnsi="Arial" w:cs="Arial"/>
                <w:color w:val="000000"/>
                <w:sz w:val="18"/>
                <w:szCs w:val="18"/>
                <w:lang w:eastAsia="en-US"/>
              </w:rPr>
              <w:t xml:space="preserve">np </w:t>
            </w:r>
          </w:p>
        </w:tc>
        <w:tc>
          <w:tcPr>
            <w:tcW w:w="960" w:type="dxa"/>
            <w:noWrap/>
          </w:tcPr>
          <w:p w14:paraId="37A1BF43" w14:textId="77777777" w:rsidR="00500F8B" w:rsidRPr="00500F8B" w:rsidRDefault="00500F8B" w:rsidP="00500F8B">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en-US"/>
              </w:rPr>
            </w:pPr>
            <w:r w:rsidRPr="00500F8B">
              <w:rPr>
                <w:rFonts w:ascii="Arial" w:hAnsi="Arial" w:cs="Arial"/>
                <w:color w:val="000000"/>
                <w:sz w:val="18"/>
                <w:szCs w:val="18"/>
                <w:lang w:eastAsia="en-US"/>
              </w:rPr>
              <w:t xml:space="preserve">27 </w:t>
            </w:r>
          </w:p>
        </w:tc>
        <w:tc>
          <w:tcPr>
            <w:tcW w:w="997" w:type="dxa"/>
            <w:noWrap/>
          </w:tcPr>
          <w:p w14:paraId="5333399E" w14:textId="77777777" w:rsidR="00500F8B" w:rsidRPr="00500F8B" w:rsidRDefault="00500F8B" w:rsidP="00500F8B">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en-US"/>
              </w:rPr>
            </w:pPr>
            <w:r w:rsidRPr="00500F8B">
              <w:rPr>
                <w:rFonts w:ascii="Arial" w:hAnsi="Arial" w:cs="Arial"/>
                <w:color w:val="000000"/>
                <w:sz w:val="18"/>
                <w:szCs w:val="18"/>
                <w:lang w:eastAsia="en-US"/>
              </w:rPr>
              <w:t xml:space="preserve">5.54% </w:t>
            </w:r>
          </w:p>
        </w:tc>
      </w:tr>
      <w:tr w:rsidR="00500F8B" w:rsidRPr="00500F8B" w14:paraId="173E3898" w14:textId="77777777" w:rsidTr="0016330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7" w:type="dxa"/>
            <w:tcBorders>
              <w:top w:val="none" w:sz="0" w:space="0" w:color="auto"/>
              <w:left w:val="none" w:sz="0" w:space="0" w:color="auto"/>
              <w:bottom w:val="none" w:sz="0" w:space="0" w:color="auto"/>
            </w:tcBorders>
            <w:noWrap/>
          </w:tcPr>
          <w:p w14:paraId="0E2D87C9" w14:textId="77777777" w:rsidR="00500F8B" w:rsidRPr="00500F8B" w:rsidRDefault="00500F8B" w:rsidP="00500F8B">
            <w:pPr>
              <w:rPr>
                <w:rFonts w:ascii="Arial" w:hAnsi="Arial" w:cs="Arial"/>
                <w:color w:val="000000"/>
                <w:sz w:val="18"/>
                <w:szCs w:val="18"/>
                <w:lang w:eastAsia="en-US"/>
              </w:rPr>
            </w:pPr>
            <w:r w:rsidRPr="00500F8B">
              <w:rPr>
                <w:rFonts w:ascii="Arial" w:hAnsi="Arial" w:cs="Arial"/>
                <w:color w:val="000000"/>
                <w:sz w:val="18"/>
                <w:szCs w:val="18"/>
                <w:lang w:eastAsia="en-US"/>
              </w:rPr>
              <w:t>3</w:t>
            </w:r>
          </w:p>
        </w:tc>
        <w:tc>
          <w:tcPr>
            <w:tcW w:w="2314" w:type="dxa"/>
            <w:tcBorders>
              <w:top w:val="none" w:sz="0" w:space="0" w:color="auto"/>
              <w:bottom w:val="none" w:sz="0" w:space="0" w:color="auto"/>
            </w:tcBorders>
            <w:noWrap/>
          </w:tcPr>
          <w:p w14:paraId="03BEDACD" w14:textId="77777777" w:rsidR="00500F8B" w:rsidRPr="00500F8B" w:rsidRDefault="00500F8B" w:rsidP="00500F8B">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lang w:eastAsia="en-US"/>
              </w:rPr>
            </w:pPr>
            <w:r w:rsidRPr="00500F8B">
              <w:rPr>
                <w:rFonts w:ascii="Arial" w:hAnsi="Arial" w:cs="Arial"/>
                <w:b/>
                <w:color w:val="000000"/>
                <w:sz w:val="18"/>
                <w:szCs w:val="18"/>
                <w:lang w:eastAsia="en-US"/>
              </w:rPr>
              <w:t>18379</w:t>
            </w:r>
            <w:r w:rsidRPr="00500F8B">
              <w:rPr>
                <w:rFonts w:ascii="Arial" w:hAnsi="Arial" w:cs="Arial"/>
                <w:color w:val="000000"/>
                <w:sz w:val="18"/>
                <w:szCs w:val="18"/>
                <w:lang w:eastAsia="en-US"/>
              </w:rPr>
              <w:t>, 36812</w:t>
            </w:r>
          </w:p>
        </w:tc>
        <w:tc>
          <w:tcPr>
            <w:tcW w:w="1017" w:type="dxa"/>
            <w:tcBorders>
              <w:top w:val="none" w:sz="0" w:space="0" w:color="auto"/>
              <w:bottom w:val="none" w:sz="0" w:space="0" w:color="auto"/>
            </w:tcBorders>
            <w:noWrap/>
          </w:tcPr>
          <w:p w14:paraId="4BDCA777" w14:textId="77777777" w:rsidR="00500F8B" w:rsidRPr="00500F8B" w:rsidRDefault="00500F8B" w:rsidP="00500F8B">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lang w:eastAsia="en-US"/>
              </w:rPr>
            </w:pPr>
            <w:r w:rsidRPr="00500F8B">
              <w:rPr>
                <w:rFonts w:ascii="Arial" w:hAnsi="Arial" w:cs="Arial"/>
                <w:color w:val="000000"/>
                <w:sz w:val="18"/>
                <w:szCs w:val="18"/>
                <w:lang w:eastAsia="en-US"/>
              </w:rPr>
              <w:t xml:space="preserve">12 </w:t>
            </w:r>
          </w:p>
        </w:tc>
        <w:tc>
          <w:tcPr>
            <w:tcW w:w="960" w:type="dxa"/>
            <w:tcBorders>
              <w:top w:val="none" w:sz="0" w:space="0" w:color="auto"/>
              <w:bottom w:val="none" w:sz="0" w:space="0" w:color="auto"/>
            </w:tcBorders>
            <w:noWrap/>
          </w:tcPr>
          <w:p w14:paraId="6B115486" w14:textId="77777777" w:rsidR="00500F8B" w:rsidRPr="00500F8B" w:rsidRDefault="00500F8B" w:rsidP="00500F8B">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lang w:eastAsia="en-US"/>
              </w:rPr>
            </w:pPr>
            <w:r w:rsidRPr="00500F8B">
              <w:rPr>
                <w:rFonts w:ascii="Arial" w:hAnsi="Arial" w:cs="Arial"/>
                <w:color w:val="000000"/>
                <w:sz w:val="18"/>
                <w:szCs w:val="18"/>
                <w:lang w:eastAsia="en-US"/>
              </w:rPr>
              <w:t xml:space="preserve">24 </w:t>
            </w:r>
          </w:p>
        </w:tc>
        <w:tc>
          <w:tcPr>
            <w:tcW w:w="1286" w:type="dxa"/>
            <w:tcBorders>
              <w:top w:val="none" w:sz="0" w:space="0" w:color="auto"/>
              <w:bottom w:val="none" w:sz="0" w:space="0" w:color="auto"/>
            </w:tcBorders>
            <w:noWrap/>
          </w:tcPr>
          <w:p w14:paraId="12E47FC9" w14:textId="77777777" w:rsidR="00500F8B" w:rsidRPr="00500F8B" w:rsidRDefault="00500F8B" w:rsidP="00500F8B">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lang w:eastAsia="en-US"/>
              </w:rPr>
            </w:pPr>
            <w:r w:rsidRPr="00500F8B">
              <w:rPr>
                <w:rFonts w:ascii="Arial" w:hAnsi="Arial" w:cs="Arial"/>
                <w:color w:val="000000"/>
                <w:sz w:val="18"/>
                <w:szCs w:val="18"/>
                <w:lang w:eastAsia="en-US"/>
              </w:rPr>
              <w:t xml:space="preserve">$4,759 </w:t>
            </w:r>
          </w:p>
        </w:tc>
        <w:tc>
          <w:tcPr>
            <w:tcW w:w="1037" w:type="dxa"/>
            <w:tcBorders>
              <w:top w:val="none" w:sz="0" w:space="0" w:color="auto"/>
              <w:bottom w:val="none" w:sz="0" w:space="0" w:color="auto"/>
            </w:tcBorders>
            <w:noWrap/>
          </w:tcPr>
          <w:p w14:paraId="6306F319" w14:textId="77777777" w:rsidR="00500F8B" w:rsidRPr="00500F8B" w:rsidRDefault="00500F8B" w:rsidP="00500F8B">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lang w:eastAsia="en-US"/>
              </w:rPr>
            </w:pPr>
            <w:r w:rsidRPr="00500F8B">
              <w:rPr>
                <w:rFonts w:ascii="Arial" w:hAnsi="Arial" w:cs="Arial"/>
                <w:color w:val="000000"/>
                <w:sz w:val="18"/>
                <w:szCs w:val="18"/>
                <w:lang w:eastAsia="en-US"/>
              </w:rPr>
              <w:t xml:space="preserve">np </w:t>
            </w:r>
          </w:p>
        </w:tc>
        <w:tc>
          <w:tcPr>
            <w:tcW w:w="960" w:type="dxa"/>
            <w:tcBorders>
              <w:top w:val="none" w:sz="0" w:space="0" w:color="auto"/>
              <w:bottom w:val="none" w:sz="0" w:space="0" w:color="auto"/>
            </w:tcBorders>
            <w:noWrap/>
          </w:tcPr>
          <w:p w14:paraId="1CA8DEF3" w14:textId="77777777" w:rsidR="00500F8B" w:rsidRPr="00500F8B" w:rsidRDefault="00500F8B" w:rsidP="00500F8B">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lang w:eastAsia="en-US"/>
              </w:rPr>
            </w:pPr>
            <w:r w:rsidRPr="00500F8B">
              <w:rPr>
                <w:rFonts w:ascii="Arial" w:hAnsi="Arial" w:cs="Arial"/>
                <w:color w:val="000000"/>
                <w:sz w:val="18"/>
                <w:szCs w:val="18"/>
                <w:lang w:eastAsia="en-US"/>
              </w:rPr>
              <w:t xml:space="preserve">12 </w:t>
            </w:r>
          </w:p>
        </w:tc>
        <w:tc>
          <w:tcPr>
            <w:tcW w:w="997" w:type="dxa"/>
            <w:tcBorders>
              <w:top w:val="none" w:sz="0" w:space="0" w:color="auto"/>
              <w:bottom w:val="none" w:sz="0" w:space="0" w:color="auto"/>
              <w:right w:val="none" w:sz="0" w:space="0" w:color="auto"/>
            </w:tcBorders>
            <w:noWrap/>
          </w:tcPr>
          <w:p w14:paraId="157DD417" w14:textId="77777777" w:rsidR="00500F8B" w:rsidRPr="00500F8B" w:rsidRDefault="00500F8B" w:rsidP="00500F8B">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lang w:eastAsia="en-US"/>
              </w:rPr>
            </w:pPr>
            <w:r w:rsidRPr="00500F8B">
              <w:rPr>
                <w:rFonts w:ascii="Arial" w:hAnsi="Arial" w:cs="Arial"/>
                <w:color w:val="000000"/>
                <w:sz w:val="18"/>
                <w:szCs w:val="18"/>
                <w:lang w:eastAsia="en-US"/>
              </w:rPr>
              <w:t xml:space="preserve">2.21% </w:t>
            </w:r>
          </w:p>
        </w:tc>
      </w:tr>
      <w:tr w:rsidR="00500F8B" w:rsidRPr="00500F8B" w14:paraId="215A9356" w14:textId="77777777" w:rsidTr="0016330C">
        <w:trPr>
          <w:trHeight w:val="300"/>
        </w:trPr>
        <w:tc>
          <w:tcPr>
            <w:cnfStyle w:val="001000000000" w:firstRow="0" w:lastRow="0" w:firstColumn="1" w:lastColumn="0" w:oddVBand="0" w:evenVBand="0" w:oddHBand="0" w:evenHBand="0" w:firstRowFirstColumn="0" w:firstRowLastColumn="0" w:lastRowFirstColumn="0" w:lastRowLastColumn="0"/>
            <w:tcW w:w="567" w:type="dxa"/>
            <w:noWrap/>
          </w:tcPr>
          <w:p w14:paraId="490DE893" w14:textId="77777777" w:rsidR="00500F8B" w:rsidRPr="00500F8B" w:rsidRDefault="00500F8B" w:rsidP="00500F8B">
            <w:pPr>
              <w:rPr>
                <w:rFonts w:ascii="Arial" w:hAnsi="Arial" w:cs="Arial"/>
                <w:color w:val="000000"/>
                <w:sz w:val="18"/>
                <w:szCs w:val="18"/>
                <w:lang w:eastAsia="en-US"/>
              </w:rPr>
            </w:pPr>
            <w:r w:rsidRPr="00500F8B">
              <w:rPr>
                <w:rFonts w:ascii="Arial" w:hAnsi="Arial" w:cs="Arial"/>
                <w:color w:val="000000"/>
                <w:sz w:val="18"/>
                <w:szCs w:val="18"/>
                <w:lang w:eastAsia="en-US"/>
              </w:rPr>
              <w:t>4</w:t>
            </w:r>
          </w:p>
        </w:tc>
        <w:tc>
          <w:tcPr>
            <w:tcW w:w="2314" w:type="dxa"/>
            <w:noWrap/>
          </w:tcPr>
          <w:p w14:paraId="35A02293" w14:textId="77777777" w:rsidR="00500F8B" w:rsidRPr="00500F8B" w:rsidRDefault="00500F8B" w:rsidP="00500F8B">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en-US"/>
              </w:rPr>
            </w:pPr>
            <w:r w:rsidRPr="00500F8B">
              <w:rPr>
                <w:rFonts w:ascii="Arial" w:hAnsi="Arial" w:cs="Arial"/>
                <w:b/>
                <w:color w:val="000000"/>
                <w:sz w:val="18"/>
                <w:szCs w:val="18"/>
                <w:lang w:eastAsia="en-US"/>
              </w:rPr>
              <w:t>18379</w:t>
            </w:r>
            <w:r w:rsidRPr="00500F8B">
              <w:rPr>
                <w:rFonts w:ascii="Arial" w:hAnsi="Arial" w:cs="Arial"/>
                <w:color w:val="000000"/>
                <w:sz w:val="18"/>
                <w:szCs w:val="18"/>
                <w:lang w:eastAsia="en-US"/>
              </w:rPr>
              <w:t>, 36840</w:t>
            </w:r>
          </w:p>
        </w:tc>
        <w:tc>
          <w:tcPr>
            <w:tcW w:w="1017" w:type="dxa"/>
            <w:noWrap/>
          </w:tcPr>
          <w:p w14:paraId="5B5B2CB4" w14:textId="77777777" w:rsidR="00500F8B" w:rsidRPr="00500F8B" w:rsidRDefault="00500F8B" w:rsidP="00500F8B">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en-US"/>
              </w:rPr>
            </w:pPr>
            <w:r w:rsidRPr="00500F8B">
              <w:rPr>
                <w:rFonts w:ascii="Arial" w:hAnsi="Arial" w:cs="Arial"/>
                <w:color w:val="000000"/>
                <w:sz w:val="18"/>
                <w:szCs w:val="18"/>
                <w:lang w:eastAsia="en-US"/>
              </w:rPr>
              <w:t xml:space="preserve">11 </w:t>
            </w:r>
          </w:p>
        </w:tc>
        <w:tc>
          <w:tcPr>
            <w:tcW w:w="960" w:type="dxa"/>
            <w:noWrap/>
          </w:tcPr>
          <w:p w14:paraId="53CEE449" w14:textId="77777777" w:rsidR="00500F8B" w:rsidRPr="00500F8B" w:rsidRDefault="00500F8B" w:rsidP="00500F8B">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en-US"/>
              </w:rPr>
            </w:pPr>
            <w:r w:rsidRPr="00500F8B">
              <w:rPr>
                <w:rFonts w:ascii="Arial" w:hAnsi="Arial" w:cs="Arial"/>
                <w:color w:val="000000"/>
                <w:sz w:val="18"/>
                <w:szCs w:val="18"/>
                <w:lang w:eastAsia="en-US"/>
              </w:rPr>
              <w:t xml:space="preserve">22 </w:t>
            </w:r>
          </w:p>
        </w:tc>
        <w:tc>
          <w:tcPr>
            <w:tcW w:w="1286" w:type="dxa"/>
            <w:noWrap/>
          </w:tcPr>
          <w:p w14:paraId="431897C4" w14:textId="77777777" w:rsidR="00500F8B" w:rsidRPr="00500F8B" w:rsidRDefault="00500F8B" w:rsidP="00500F8B">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en-US"/>
              </w:rPr>
            </w:pPr>
            <w:r w:rsidRPr="00500F8B">
              <w:rPr>
                <w:rFonts w:ascii="Arial" w:hAnsi="Arial" w:cs="Arial"/>
                <w:color w:val="000000"/>
                <w:sz w:val="18"/>
                <w:szCs w:val="18"/>
                <w:lang w:eastAsia="en-US"/>
              </w:rPr>
              <w:t xml:space="preserve">$6,084 </w:t>
            </w:r>
          </w:p>
        </w:tc>
        <w:tc>
          <w:tcPr>
            <w:tcW w:w="1037" w:type="dxa"/>
            <w:noWrap/>
          </w:tcPr>
          <w:p w14:paraId="21830C7A" w14:textId="77777777" w:rsidR="00500F8B" w:rsidRPr="00500F8B" w:rsidRDefault="00500F8B" w:rsidP="00500F8B">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en-US"/>
              </w:rPr>
            </w:pPr>
            <w:r w:rsidRPr="00500F8B">
              <w:rPr>
                <w:rFonts w:ascii="Arial" w:hAnsi="Arial" w:cs="Arial"/>
                <w:color w:val="000000"/>
                <w:sz w:val="18"/>
                <w:szCs w:val="18"/>
                <w:lang w:eastAsia="en-US"/>
              </w:rPr>
              <w:t xml:space="preserve">np </w:t>
            </w:r>
          </w:p>
        </w:tc>
        <w:tc>
          <w:tcPr>
            <w:tcW w:w="960" w:type="dxa"/>
            <w:noWrap/>
          </w:tcPr>
          <w:p w14:paraId="3B8268BB" w14:textId="77777777" w:rsidR="00500F8B" w:rsidRPr="00500F8B" w:rsidRDefault="00500F8B" w:rsidP="00500F8B">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en-US"/>
              </w:rPr>
            </w:pPr>
            <w:r w:rsidRPr="00500F8B">
              <w:rPr>
                <w:rFonts w:ascii="Arial" w:hAnsi="Arial" w:cs="Arial"/>
                <w:color w:val="000000"/>
                <w:sz w:val="18"/>
                <w:szCs w:val="18"/>
                <w:lang w:eastAsia="en-US"/>
              </w:rPr>
              <w:t xml:space="preserve">11 </w:t>
            </w:r>
          </w:p>
        </w:tc>
        <w:tc>
          <w:tcPr>
            <w:tcW w:w="997" w:type="dxa"/>
            <w:noWrap/>
          </w:tcPr>
          <w:p w14:paraId="14F8A18E" w14:textId="77777777" w:rsidR="00500F8B" w:rsidRPr="00500F8B" w:rsidRDefault="00500F8B" w:rsidP="00500F8B">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en-US"/>
              </w:rPr>
            </w:pPr>
            <w:r w:rsidRPr="00500F8B">
              <w:rPr>
                <w:rFonts w:ascii="Arial" w:hAnsi="Arial" w:cs="Arial"/>
                <w:color w:val="000000"/>
                <w:sz w:val="18"/>
                <w:szCs w:val="18"/>
                <w:lang w:eastAsia="en-US"/>
              </w:rPr>
              <w:t xml:space="preserve">2.03% </w:t>
            </w:r>
          </w:p>
        </w:tc>
      </w:tr>
      <w:tr w:rsidR="00500F8B" w:rsidRPr="00500F8B" w14:paraId="2AE27CDB" w14:textId="77777777" w:rsidTr="0016330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7" w:type="dxa"/>
            <w:tcBorders>
              <w:top w:val="none" w:sz="0" w:space="0" w:color="auto"/>
              <w:left w:val="none" w:sz="0" w:space="0" w:color="auto"/>
              <w:bottom w:val="none" w:sz="0" w:space="0" w:color="auto"/>
            </w:tcBorders>
            <w:noWrap/>
          </w:tcPr>
          <w:p w14:paraId="2AD32069" w14:textId="77777777" w:rsidR="00500F8B" w:rsidRPr="00500F8B" w:rsidRDefault="00500F8B" w:rsidP="00500F8B">
            <w:pPr>
              <w:rPr>
                <w:rFonts w:ascii="Arial" w:hAnsi="Arial" w:cs="Arial"/>
                <w:color w:val="000000"/>
                <w:sz w:val="18"/>
                <w:szCs w:val="18"/>
                <w:lang w:eastAsia="en-US"/>
              </w:rPr>
            </w:pPr>
            <w:r w:rsidRPr="00500F8B">
              <w:rPr>
                <w:rFonts w:ascii="Arial" w:hAnsi="Arial" w:cs="Arial"/>
                <w:color w:val="000000"/>
                <w:sz w:val="18"/>
                <w:szCs w:val="18"/>
                <w:lang w:eastAsia="en-US"/>
              </w:rPr>
              <w:t>5</w:t>
            </w:r>
          </w:p>
        </w:tc>
        <w:tc>
          <w:tcPr>
            <w:tcW w:w="2314" w:type="dxa"/>
            <w:tcBorders>
              <w:top w:val="none" w:sz="0" w:space="0" w:color="auto"/>
              <w:bottom w:val="none" w:sz="0" w:space="0" w:color="auto"/>
            </w:tcBorders>
            <w:noWrap/>
          </w:tcPr>
          <w:p w14:paraId="008F31A4" w14:textId="77777777" w:rsidR="00500F8B" w:rsidRPr="00500F8B" w:rsidRDefault="00500F8B" w:rsidP="00500F8B">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lang w:eastAsia="en-US"/>
              </w:rPr>
            </w:pPr>
            <w:r w:rsidRPr="00500F8B">
              <w:rPr>
                <w:rFonts w:ascii="Arial" w:hAnsi="Arial" w:cs="Arial"/>
                <w:b/>
                <w:color w:val="000000"/>
                <w:sz w:val="18"/>
                <w:szCs w:val="18"/>
                <w:lang w:eastAsia="en-US"/>
              </w:rPr>
              <w:t>18379</w:t>
            </w:r>
            <w:r w:rsidRPr="00500F8B">
              <w:rPr>
                <w:rFonts w:ascii="Arial" w:hAnsi="Arial" w:cs="Arial"/>
                <w:color w:val="000000"/>
                <w:sz w:val="18"/>
                <w:szCs w:val="18"/>
                <w:lang w:eastAsia="en-US"/>
              </w:rPr>
              <w:t>, 37011</w:t>
            </w:r>
          </w:p>
        </w:tc>
        <w:tc>
          <w:tcPr>
            <w:tcW w:w="1017" w:type="dxa"/>
            <w:tcBorders>
              <w:top w:val="none" w:sz="0" w:space="0" w:color="auto"/>
              <w:bottom w:val="none" w:sz="0" w:space="0" w:color="auto"/>
            </w:tcBorders>
            <w:noWrap/>
          </w:tcPr>
          <w:p w14:paraId="10701DB9" w14:textId="77777777" w:rsidR="00500F8B" w:rsidRPr="00500F8B" w:rsidRDefault="00500F8B" w:rsidP="00500F8B">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lang w:eastAsia="en-US"/>
              </w:rPr>
            </w:pPr>
            <w:r w:rsidRPr="00500F8B">
              <w:rPr>
                <w:rFonts w:ascii="Arial" w:hAnsi="Arial" w:cs="Arial"/>
                <w:color w:val="000000"/>
                <w:sz w:val="18"/>
                <w:szCs w:val="18"/>
                <w:lang w:eastAsia="en-US"/>
              </w:rPr>
              <w:t xml:space="preserve">np </w:t>
            </w:r>
          </w:p>
        </w:tc>
        <w:tc>
          <w:tcPr>
            <w:tcW w:w="960" w:type="dxa"/>
            <w:tcBorders>
              <w:top w:val="none" w:sz="0" w:space="0" w:color="auto"/>
              <w:bottom w:val="none" w:sz="0" w:space="0" w:color="auto"/>
            </w:tcBorders>
            <w:noWrap/>
          </w:tcPr>
          <w:p w14:paraId="3830FE14" w14:textId="77777777" w:rsidR="00500F8B" w:rsidRPr="00500F8B" w:rsidRDefault="00500F8B" w:rsidP="00500F8B">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lang w:eastAsia="en-US"/>
              </w:rPr>
            </w:pPr>
            <w:r w:rsidRPr="00500F8B">
              <w:rPr>
                <w:rFonts w:ascii="Arial" w:hAnsi="Arial" w:cs="Arial"/>
                <w:color w:val="000000"/>
                <w:sz w:val="18"/>
                <w:szCs w:val="18"/>
                <w:lang w:eastAsia="en-US"/>
              </w:rPr>
              <w:t xml:space="preserve">12 </w:t>
            </w:r>
          </w:p>
        </w:tc>
        <w:tc>
          <w:tcPr>
            <w:tcW w:w="1286" w:type="dxa"/>
            <w:tcBorders>
              <w:top w:val="none" w:sz="0" w:space="0" w:color="auto"/>
              <w:bottom w:val="none" w:sz="0" w:space="0" w:color="auto"/>
            </w:tcBorders>
            <w:noWrap/>
          </w:tcPr>
          <w:p w14:paraId="4A900943" w14:textId="77777777" w:rsidR="00500F8B" w:rsidRPr="00500F8B" w:rsidRDefault="00500F8B" w:rsidP="00500F8B">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lang w:eastAsia="en-US"/>
              </w:rPr>
            </w:pPr>
            <w:r w:rsidRPr="00500F8B">
              <w:rPr>
                <w:rFonts w:ascii="Arial" w:hAnsi="Arial" w:cs="Arial"/>
                <w:color w:val="000000"/>
                <w:sz w:val="18"/>
                <w:szCs w:val="18"/>
                <w:lang w:eastAsia="en-US"/>
              </w:rPr>
              <w:t xml:space="preserve">$1,939 </w:t>
            </w:r>
          </w:p>
        </w:tc>
        <w:tc>
          <w:tcPr>
            <w:tcW w:w="1037" w:type="dxa"/>
            <w:tcBorders>
              <w:top w:val="none" w:sz="0" w:space="0" w:color="auto"/>
              <w:bottom w:val="none" w:sz="0" w:space="0" w:color="auto"/>
            </w:tcBorders>
            <w:noWrap/>
          </w:tcPr>
          <w:p w14:paraId="12C03638" w14:textId="77777777" w:rsidR="00500F8B" w:rsidRPr="00500F8B" w:rsidRDefault="00500F8B" w:rsidP="00500F8B">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lang w:eastAsia="en-US"/>
              </w:rPr>
            </w:pPr>
            <w:r w:rsidRPr="00500F8B">
              <w:rPr>
                <w:rFonts w:ascii="Arial" w:hAnsi="Arial" w:cs="Arial"/>
                <w:color w:val="000000"/>
                <w:sz w:val="18"/>
                <w:szCs w:val="18"/>
                <w:lang w:eastAsia="en-US"/>
              </w:rPr>
              <w:t xml:space="preserve">np </w:t>
            </w:r>
          </w:p>
        </w:tc>
        <w:tc>
          <w:tcPr>
            <w:tcW w:w="960" w:type="dxa"/>
            <w:tcBorders>
              <w:top w:val="none" w:sz="0" w:space="0" w:color="auto"/>
              <w:bottom w:val="none" w:sz="0" w:space="0" w:color="auto"/>
            </w:tcBorders>
            <w:noWrap/>
          </w:tcPr>
          <w:p w14:paraId="72ECC4E1" w14:textId="77777777" w:rsidR="00500F8B" w:rsidRPr="00500F8B" w:rsidRDefault="00500F8B" w:rsidP="00500F8B">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lang w:eastAsia="en-US"/>
              </w:rPr>
            </w:pPr>
            <w:r w:rsidRPr="00500F8B">
              <w:rPr>
                <w:rFonts w:ascii="Arial" w:hAnsi="Arial" w:cs="Arial"/>
                <w:color w:val="000000"/>
                <w:sz w:val="18"/>
                <w:szCs w:val="18"/>
                <w:lang w:eastAsia="en-US"/>
              </w:rPr>
              <w:t xml:space="preserve">np </w:t>
            </w:r>
          </w:p>
        </w:tc>
        <w:tc>
          <w:tcPr>
            <w:tcW w:w="997" w:type="dxa"/>
            <w:tcBorders>
              <w:top w:val="none" w:sz="0" w:space="0" w:color="auto"/>
              <w:bottom w:val="none" w:sz="0" w:space="0" w:color="auto"/>
              <w:right w:val="none" w:sz="0" w:space="0" w:color="auto"/>
            </w:tcBorders>
            <w:noWrap/>
          </w:tcPr>
          <w:p w14:paraId="0049D0F8" w14:textId="77777777" w:rsidR="00500F8B" w:rsidRPr="00500F8B" w:rsidRDefault="00500F8B" w:rsidP="00500F8B">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lang w:eastAsia="en-US"/>
              </w:rPr>
            </w:pPr>
            <w:r w:rsidRPr="00500F8B">
              <w:rPr>
                <w:rFonts w:ascii="Arial" w:hAnsi="Arial" w:cs="Arial"/>
                <w:color w:val="000000"/>
                <w:sz w:val="18"/>
                <w:szCs w:val="18"/>
                <w:lang w:eastAsia="en-US"/>
              </w:rPr>
              <w:t xml:space="preserve">1.11% </w:t>
            </w:r>
          </w:p>
        </w:tc>
      </w:tr>
      <w:tr w:rsidR="00500F8B" w:rsidRPr="00500F8B" w14:paraId="536B272F" w14:textId="77777777" w:rsidTr="0016330C">
        <w:trPr>
          <w:trHeight w:val="300"/>
        </w:trPr>
        <w:tc>
          <w:tcPr>
            <w:cnfStyle w:val="001000000000" w:firstRow="0" w:lastRow="0" w:firstColumn="1" w:lastColumn="0" w:oddVBand="0" w:evenVBand="0" w:oddHBand="0" w:evenHBand="0" w:firstRowFirstColumn="0" w:firstRowLastColumn="0" w:lastRowFirstColumn="0" w:lastRowLastColumn="0"/>
            <w:tcW w:w="567" w:type="dxa"/>
            <w:noWrap/>
          </w:tcPr>
          <w:p w14:paraId="4DDCB154" w14:textId="77777777" w:rsidR="00500F8B" w:rsidRPr="00500F8B" w:rsidRDefault="00500F8B" w:rsidP="00500F8B">
            <w:pPr>
              <w:rPr>
                <w:rFonts w:ascii="Arial" w:hAnsi="Arial" w:cs="Arial"/>
                <w:color w:val="000000"/>
                <w:sz w:val="18"/>
                <w:szCs w:val="18"/>
                <w:lang w:eastAsia="en-US"/>
              </w:rPr>
            </w:pPr>
            <w:r w:rsidRPr="00500F8B">
              <w:rPr>
                <w:rFonts w:ascii="Arial" w:hAnsi="Arial" w:cs="Arial"/>
                <w:color w:val="000000"/>
                <w:sz w:val="18"/>
                <w:szCs w:val="18"/>
                <w:lang w:eastAsia="en-US"/>
              </w:rPr>
              <w:t>6</w:t>
            </w:r>
          </w:p>
        </w:tc>
        <w:tc>
          <w:tcPr>
            <w:tcW w:w="2314" w:type="dxa"/>
            <w:noWrap/>
          </w:tcPr>
          <w:p w14:paraId="268BCE97" w14:textId="77777777" w:rsidR="00500F8B" w:rsidRPr="00500F8B" w:rsidRDefault="00500F8B" w:rsidP="00500F8B">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en-US"/>
              </w:rPr>
            </w:pPr>
            <w:r w:rsidRPr="00500F8B">
              <w:rPr>
                <w:rFonts w:ascii="Arial" w:hAnsi="Arial" w:cs="Arial"/>
                <w:b/>
                <w:color w:val="000000"/>
                <w:sz w:val="18"/>
                <w:szCs w:val="18"/>
                <w:lang w:eastAsia="en-US"/>
              </w:rPr>
              <w:t>18379</w:t>
            </w:r>
            <w:r w:rsidRPr="00500F8B">
              <w:rPr>
                <w:rFonts w:ascii="Arial" w:hAnsi="Arial" w:cs="Arial"/>
                <w:color w:val="000000"/>
                <w:sz w:val="18"/>
                <w:szCs w:val="18"/>
                <w:lang w:eastAsia="en-US"/>
              </w:rPr>
              <w:t>, 105</w:t>
            </w:r>
          </w:p>
        </w:tc>
        <w:tc>
          <w:tcPr>
            <w:tcW w:w="1017" w:type="dxa"/>
            <w:noWrap/>
          </w:tcPr>
          <w:p w14:paraId="5C813FFC" w14:textId="77777777" w:rsidR="00500F8B" w:rsidRPr="00500F8B" w:rsidRDefault="00500F8B" w:rsidP="00500F8B">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en-US"/>
              </w:rPr>
            </w:pPr>
            <w:r w:rsidRPr="00500F8B">
              <w:rPr>
                <w:rFonts w:ascii="Arial" w:hAnsi="Arial" w:cs="Arial"/>
                <w:color w:val="000000"/>
                <w:sz w:val="18"/>
                <w:szCs w:val="18"/>
                <w:lang w:eastAsia="en-US"/>
              </w:rPr>
              <w:t xml:space="preserve">np </w:t>
            </w:r>
          </w:p>
        </w:tc>
        <w:tc>
          <w:tcPr>
            <w:tcW w:w="960" w:type="dxa"/>
            <w:noWrap/>
          </w:tcPr>
          <w:p w14:paraId="65808B2C" w14:textId="77777777" w:rsidR="00500F8B" w:rsidRPr="00500F8B" w:rsidRDefault="00500F8B" w:rsidP="00500F8B">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en-US"/>
              </w:rPr>
            </w:pPr>
            <w:r w:rsidRPr="00500F8B">
              <w:rPr>
                <w:rFonts w:ascii="Arial" w:hAnsi="Arial" w:cs="Arial"/>
                <w:color w:val="000000"/>
                <w:sz w:val="18"/>
                <w:szCs w:val="18"/>
                <w:lang w:eastAsia="en-US"/>
              </w:rPr>
              <w:t xml:space="preserve">np </w:t>
            </w:r>
          </w:p>
        </w:tc>
        <w:tc>
          <w:tcPr>
            <w:tcW w:w="1286" w:type="dxa"/>
            <w:noWrap/>
          </w:tcPr>
          <w:p w14:paraId="0F681504" w14:textId="77777777" w:rsidR="00500F8B" w:rsidRPr="00500F8B" w:rsidRDefault="00500F8B" w:rsidP="00500F8B">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en-US"/>
              </w:rPr>
            </w:pPr>
            <w:r w:rsidRPr="00500F8B">
              <w:rPr>
                <w:rFonts w:ascii="Arial" w:hAnsi="Arial" w:cs="Arial"/>
                <w:color w:val="000000"/>
                <w:sz w:val="18"/>
                <w:szCs w:val="18"/>
                <w:lang w:eastAsia="en-US"/>
              </w:rPr>
              <w:t xml:space="preserve">$1,091 </w:t>
            </w:r>
          </w:p>
        </w:tc>
        <w:tc>
          <w:tcPr>
            <w:tcW w:w="1037" w:type="dxa"/>
            <w:noWrap/>
          </w:tcPr>
          <w:p w14:paraId="26FB01DD" w14:textId="77777777" w:rsidR="00500F8B" w:rsidRPr="00500F8B" w:rsidRDefault="00500F8B" w:rsidP="00500F8B">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en-US"/>
              </w:rPr>
            </w:pPr>
            <w:r w:rsidRPr="00500F8B">
              <w:rPr>
                <w:rFonts w:ascii="Arial" w:hAnsi="Arial" w:cs="Arial"/>
                <w:color w:val="000000"/>
                <w:sz w:val="18"/>
                <w:szCs w:val="18"/>
                <w:lang w:eastAsia="en-US"/>
              </w:rPr>
              <w:t xml:space="preserve">np </w:t>
            </w:r>
          </w:p>
        </w:tc>
        <w:tc>
          <w:tcPr>
            <w:tcW w:w="960" w:type="dxa"/>
            <w:noWrap/>
          </w:tcPr>
          <w:p w14:paraId="068332BC" w14:textId="77777777" w:rsidR="00500F8B" w:rsidRPr="00500F8B" w:rsidRDefault="00500F8B" w:rsidP="00500F8B">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en-US"/>
              </w:rPr>
            </w:pPr>
            <w:r w:rsidRPr="00500F8B">
              <w:rPr>
                <w:rFonts w:ascii="Arial" w:hAnsi="Arial" w:cs="Arial"/>
                <w:color w:val="000000"/>
                <w:sz w:val="18"/>
                <w:szCs w:val="18"/>
                <w:lang w:eastAsia="en-US"/>
              </w:rPr>
              <w:t xml:space="preserve">np </w:t>
            </w:r>
          </w:p>
        </w:tc>
        <w:tc>
          <w:tcPr>
            <w:tcW w:w="997" w:type="dxa"/>
            <w:noWrap/>
          </w:tcPr>
          <w:p w14:paraId="723E19A8" w14:textId="77777777" w:rsidR="00500F8B" w:rsidRPr="00500F8B" w:rsidRDefault="00500F8B" w:rsidP="00500F8B">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en-US"/>
              </w:rPr>
            </w:pPr>
            <w:r w:rsidRPr="00500F8B">
              <w:rPr>
                <w:rFonts w:ascii="Arial" w:hAnsi="Arial" w:cs="Arial"/>
                <w:color w:val="000000"/>
                <w:sz w:val="18"/>
                <w:szCs w:val="18"/>
                <w:lang w:eastAsia="en-US"/>
              </w:rPr>
              <w:t xml:space="preserve">0.74% </w:t>
            </w:r>
          </w:p>
        </w:tc>
      </w:tr>
      <w:tr w:rsidR="00500F8B" w:rsidRPr="00500F8B" w14:paraId="6971F459" w14:textId="77777777" w:rsidTr="0016330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7" w:type="dxa"/>
            <w:tcBorders>
              <w:top w:val="none" w:sz="0" w:space="0" w:color="auto"/>
              <w:left w:val="none" w:sz="0" w:space="0" w:color="auto"/>
              <w:bottom w:val="none" w:sz="0" w:space="0" w:color="auto"/>
            </w:tcBorders>
            <w:noWrap/>
          </w:tcPr>
          <w:p w14:paraId="50CB1828" w14:textId="77777777" w:rsidR="00500F8B" w:rsidRPr="00500F8B" w:rsidRDefault="00500F8B" w:rsidP="00500F8B">
            <w:pPr>
              <w:rPr>
                <w:rFonts w:ascii="Arial" w:hAnsi="Arial" w:cs="Arial"/>
                <w:color w:val="000000"/>
                <w:sz w:val="18"/>
                <w:szCs w:val="18"/>
                <w:lang w:eastAsia="en-US"/>
              </w:rPr>
            </w:pPr>
            <w:r w:rsidRPr="00500F8B">
              <w:rPr>
                <w:rFonts w:ascii="Arial" w:hAnsi="Arial" w:cs="Arial"/>
                <w:color w:val="000000"/>
                <w:sz w:val="18"/>
                <w:szCs w:val="18"/>
                <w:lang w:eastAsia="en-US"/>
              </w:rPr>
              <w:t>7</w:t>
            </w:r>
          </w:p>
        </w:tc>
        <w:tc>
          <w:tcPr>
            <w:tcW w:w="2314" w:type="dxa"/>
            <w:tcBorders>
              <w:top w:val="none" w:sz="0" w:space="0" w:color="auto"/>
              <w:bottom w:val="none" w:sz="0" w:space="0" w:color="auto"/>
            </w:tcBorders>
            <w:noWrap/>
          </w:tcPr>
          <w:p w14:paraId="1A6A8775" w14:textId="77777777" w:rsidR="00500F8B" w:rsidRPr="00500F8B" w:rsidRDefault="00500F8B" w:rsidP="00500F8B">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lang w:eastAsia="en-US"/>
              </w:rPr>
            </w:pPr>
            <w:r w:rsidRPr="00500F8B">
              <w:rPr>
                <w:rFonts w:ascii="Arial" w:hAnsi="Arial" w:cs="Arial"/>
                <w:b/>
                <w:color w:val="000000"/>
                <w:sz w:val="18"/>
                <w:szCs w:val="18"/>
                <w:lang w:eastAsia="en-US"/>
              </w:rPr>
              <w:t>18379</w:t>
            </w:r>
            <w:r w:rsidRPr="00500F8B">
              <w:rPr>
                <w:rFonts w:ascii="Arial" w:hAnsi="Arial" w:cs="Arial"/>
                <w:color w:val="000000"/>
                <w:sz w:val="18"/>
                <w:szCs w:val="18"/>
                <w:lang w:eastAsia="en-US"/>
              </w:rPr>
              <w:t>, 36667</w:t>
            </w:r>
          </w:p>
        </w:tc>
        <w:tc>
          <w:tcPr>
            <w:tcW w:w="1017" w:type="dxa"/>
            <w:tcBorders>
              <w:top w:val="none" w:sz="0" w:space="0" w:color="auto"/>
              <w:bottom w:val="none" w:sz="0" w:space="0" w:color="auto"/>
            </w:tcBorders>
            <w:noWrap/>
          </w:tcPr>
          <w:p w14:paraId="03DB4D94" w14:textId="77777777" w:rsidR="00500F8B" w:rsidRPr="00500F8B" w:rsidRDefault="00500F8B" w:rsidP="00500F8B">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lang w:eastAsia="en-US"/>
              </w:rPr>
            </w:pPr>
            <w:r w:rsidRPr="00500F8B">
              <w:rPr>
                <w:rFonts w:ascii="Arial" w:hAnsi="Arial" w:cs="Arial"/>
                <w:color w:val="000000"/>
                <w:sz w:val="18"/>
                <w:szCs w:val="18"/>
                <w:lang w:eastAsia="en-US"/>
              </w:rPr>
              <w:t xml:space="preserve">np </w:t>
            </w:r>
          </w:p>
        </w:tc>
        <w:tc>
          <w:tcPr>
            <w:tcW w:w="960" w:type="dxa"/>
            <w:tcBorders>
              <w:top w:val="none" w:sz="0" w:space="0" w:color="auto"/>
              <w:bottom w:val="none" w:sz="0" w:space="0" w:color="auto"/>
            </w:tcBorders>
            <w:noWrap/>
          </w:tcPr>
          <w:p w14:paraId="0F3BD17A" w14:textId="77777777" w:rsidR="00500F8B" w:rsidRPr="00500F8B" w:rsidRDefault="00500F8B" w:rsidP="00500F8B">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lang w:eastAsia="en-US"/>
              </w:rPr>
            </w:pPr>
            <w:r w:rsidRPr="00500F8B">
              <w:rPr>
                <w:rFonts w:ascii="Arial" w:hAnsi="Arial" w:cs="Arial"/>
                <w:color w:val="000000"/>
                <w:sz w:val="18"/>
                <w:szCs w:val="18"/>
                <w:lang w:eastAsia="en-US"/>
              </w:rPr>
              <w:t xml:space="preserve">np </w:t>
            </w:r>
          </w:p>
        </w:tc>
        <w:tc>
          <w:tcPr>
            <w:tcW w:w="1286" w:type="dxa"/>
            <w:tcBorders>
              <w:top w:val="none" w:sz="0" w:space="0" w:color="auto"/>
              <w:bottom w:val="none" w:sz="0" w:space="0" w:color="auto"/>
            </w:tcBorders>
            <w:noWrap/>
          </w:tcPr>
          <w:p w14:paraId="04DFFD55" w14:textId="77777777" w:rsidR="00500F8B" w:rsidRPr="00500F8B" w:rsidRDefault="00500F8B" w:rsidP="00500F8B">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lang w:eastAsia="en-US"/>
              </w:rPr>
            </w:pPr>
            <w:r w:rsidRPr="00500F8B">
              <w:rPr>
                <w:rFonts w:ascii="Arial" w:hAnsi="Arial" w:cs="Arial"/>
                <w:color w:val="000000"/>
                <w:sz w:val="18"/>
                <w:szCs w:val="18"/>
                <w:lang w:eastAsia="en-US"/>
              </w:rPr>
              <w:t xml:space="preserve">$1,545 </w:t>
            </w:r>
          </w:p>
        </w:tc>
        <w:tc>
          <w:tcPr>
            <w:tcW w:w="1037" w:type="dxa"/>
            <w:tcBorders>
              <w:top w:val="none" w:sz="0" w:space="0" w:color="auto"/>
              <w:bottom w:val="none" w:sz="0" w:space="0" w:color="auto"/>
            </w:tcBorders>
            <w:noWrap/>
          </w:tcPr>
          <w:p w14:paraId="20064859" w14:textId="77777777" w:rsidR="00500F8B" w:rsidRPr="00500F8B" w:rsidRDefault="00500F8B" w:rsidP="00500F8B">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lang w:eastAsia="en-US"/>
              </w:rPr>
            </w:pPr>
            <w:r w:rsidRPr="00500F8B">
              <w:rPr>
                <w:rFonts w:ascii="Arial" w:hAnsi="Arial" w:cs="Arial"/>
                <w:color w:val="000000"/>
                <w:sz w:val="18"/>
                <w:szCs w:val="18"/>
                <w:lang w:eastAsia="en-US"/>
              </w:rPr>
              <w:t xml:space="preserve">np </w:t>
            </w:r>
          </w:p>
        </w:tc>
        <w:tc>
          <w:tcPr>
            <w:tcW w:w="960" w:type="dxa"/>
            <w:tcBorders>
              <w:top w:val="none" w:sz="0" w:space="0" w:color="auto"/>
              <w:bottom w:val="none" w:sz="0" w:space="0" w:color="auto"/>
            </w:tcBorders>
            <w:noWrap/>
          </w:tcPr>
          <w:p w14:paraId="2C124717" w14:textId="77777777" w:rsidR="00500F8B" w:rsidRPr="00500F8B" w:rsidRDefault="00500F8B" w:rsidP="00500F8B">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lang w:eastAsia="en-US"/>
              </w:rPr>
            </w:pPr>
            <w:r w:rsidRPr="00500F8B">
              <w:rPr>
                <w:rFonts w:ascii="Arial" w:hAnsi="Arial" w:cs="Arial"/>
                <w:color w:val="000000"/>
                <w:sz w:val="18"/>
                <w:szCs w:val="18"/>
                <w:lang w:eastAsia="en-US"/>
              </w:rPr>
              <w:t xml:space="preserve">np </w:t>
            </w:r>
          </w:p>
        </w:tc>
        <w:tc>
          <w:tcPr>
            <w:tcW w:w="997" w:type="dxa"/>
            <w:tcBorders>
              <w:top w:val="none" w:sz="0" w:space="0" w:color="auto"/>
              <w:bottom w:val="none" w:sz="0" w:space="0" w:color="auto"/>
              <w:right w:val="none" w:sz="0" w:space="0" w:color="auto"/>
            </w:tcBorders>
            <w:noWrap/>
          </w:tcPr>
          <w:p w14:paraId="543DFF24" w14:textId="77777777" w:rsidR="00500F8B" w:rsidRPr="00500F8B" w:rsidRDefault="00500F8B" w:rsidP="00500F8B">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lang w:eastAsia="en-US"/>
              </w:rPr>
            </w:pPr>
            <w:r w:rsidRPr="00500F8B">
              <w:rPr>
                <w:rFonts w:ascii="Arial" w:hAnsi="Arial" w:cs="Arial"/>
                <w:color w:val="000000"/>
                <w:sz w:val="18"/>
                <w:szCs w:val="18"/>
                <w:lang w:eastAsia="en-US"/>
              </w:rPr>
              <w:t xml:space="preserve">0.74% </w:t>
            </w:r>
          </w:p>
        </w:tc>
      </w:tr>
      <w:tr w:rsidR="00500F8B" w:rsidRPr="00500F8B" w14:paraId="366CA960" w14:textId="77777777" w:rsidTr="0016330C">
        <w:trPr>
          <w:trHeight w:val="300"/>
        </w:trPr>
        <w:tc>
          <w:tcPr>
            <w:cnfStyle w:val="001000000000" w:firstRow="0" w:lastRow="0" w:firstColumn="1" w:lastColumn="0" w:oddVBand="0" w:evenVBand="0" w:oddHBand="0" w:evenHBand="0" w:firstRowFirstColumn="0" w:firstRowLastColumn="0" w:lastRowFirstColumn="0" w:lastRowLastColumn="0"/>
            <w:tcW w:w="567" w:type="dxa"/>
            <w:noWrap/>
          </w:tcPr>
          <w:p w14:paraId="53B7E63A" w14:textId="77777777" w:rsidR="00500F8B" w:rsidRPr="00500F8B" w:rsidRDefault="00500F8B" w:rsidP="00500F8B">
            <w:pPr>
              <w:rPr>
                <w:rFonts w:ascii="Arial" w:hAnsi="Arial" w:cs="Arial"/>
                <w:color w:val="000000"/>
                <w:sz w:val="18"/>
                <w:szCs w:val="18"/>
                <w:lang w:eastAsia="en-US"/>
              </w:rPr>
            </w:pPr>
            <w:r w:rsidRPr="00500F8B">
              <w:rPr>
                <w:rFonts w:ascii="Arial" w:hAnsi="Arial" w:cs="Arial"/>
                <w:color w:val="000000"/>
                <w:sz w:val="18"/>
                <w:szCs w:val="18"/>
                <w:lang w:eastAsia="en-US"/>
              </w:rPr>
              <w:t>8</w:t>
            </w:r>
          </w:p>
        </w:tc>
        <w:tc>
          <w:tcPr>
            <w:tcW w:w="2314" w:type="dxa"/>
            <w:noWrap/>
          </w:tcPr>
          <w:p w14:paraId="51082E7D" w14:textId="77777777" w:rsidR="00500F8B" w:rsidRPr="00500F8B" w:rsidRDefault="00500F8B" w:rsidP="00500F8B">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en-US"/>
              </w:rPr>
            </w:pPr>
            <w:r w:rsidRPr="00500F8B">
              <w:rPr>
                <w:rFonts w:ascii="Arial" w:hAnsi="Arial" w:cs="Arial"/>
                <w:b/>
                <w:color w:val="000000"/>
                <w:sz w:val="18"/>
                <w:szCs w:val="18"/>
                <w:lang w:eastAsia="en-US"/>
              </w:rPr>
              <w:t>18379</w:t>
            </w:r>
            <w:r w:rsidRPr="00500F8B">
              <w:rPr>
                <w:rFonts w:ascii="Arial" w:hAnsi="Arial" w:cs="Arial"/>
                <w:color w:val="000000"/>
                <w:sz w:val="18"/>
                <w:szCs w:val="18"/>
                <w:lang w:eastAsia="en-US"/>
              </w:rPr>
              <w:t>, 105, 36840</w:t>
            </w:r>
          </w:p>
        </w:tc>
        <w:tc>
          <w:tcPr>
            <w:tcW w:w="1017" w:type="dxa"/>
            <w:noWrap/>
          </w:tcPr>
          <w:p w14:paraId="41EC4F12" w14:textId="77777777" w:rsidR="00500F8B" w:rsidRPr="00500F8B" w:rsidRDefault="00500F8B" w:rsidP="00500F8B">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en-US"/>
              </w:rPr>
            </w:pPr>
            <w:r w:rsidRPr="00500F8B">
              <w:rPr>
                <w:rFonts w:ascii="Arial" w:hAnsi="Arial" w:cs="Arial"/>
                <w:color w:val="000000"/>
                <w:sz w:val="18"/>
                <w:szCs w:val="18"/>
                <w:lang w:eastAsia="en-US"/>
              </w:rPr>
              <w:t xml:space="preserve">np </w:t>
            </w:r>
          </w:p>
        </w:tc>
        <w:tc>
          <w:tcPr>
            <w:tcW w:w="960" w:type="dxa"/>
            <w:noWrap/>
          </w:tcPr>
          <w:p w14:paraId="21A24154" w14:textId="77777777" w:rsidR="00500F8B" w:rsidRPr="00500F8B" w:rsidRDefault="00500F8B" w:rsidP="00500F8B">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en-US"/>
              </w:rPr>
            </w:pPr>
            <w:r w:rsidRPr="00500F8B">
              <w:rPr>
                <w:rFonts w:ascii="Arial" w:hAnsi="Arial" w:cs="Arial"/>
                <w:color w:val="000000"/>
                <w:sz w:val="18"/>
                <w:szCs w:val="18"/>
                <w:lang w:eastAsia="en-US"/>
              </w:rPr>
              <w:t xml:space="preserve">np </w:t>
            </w:r>
          </w:p>
        </w:tc>
        <w:tc>
          <w:tcPr>
            <w:tcW w:w="1286" w:type="dxa"/>
            <w:noWrap/>
          </w:tcPr>
          <w:p w14:paraId="68B0FA8C" w14:textId="77777777" w:rsidR="00500F8B" w:rsidRPr="00500F8B" w:rsidRDefault="00500F8B" w:rsidP="00500F8B">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en-US"/>
              </w:rPr>
            </w:pPr>
            <w:r w:rsidRPr="00500F8B">
              <w:rPr>
                <w:rFonts w:ascii="Arial" w:hAnsi="Arial" w:cs="Arial"/>
                <w:color w:val="000000"/>
                <w:sz w:val="18"/>
                <w:szCs w:val="18"/>
                <w:lang w:eastAsia="en-US"/>
              </w:rPr>
              <w:t xml:space="preserve">$1,788 </w:t>
            </w:r>
          </w:p>
        </w:tc>
        <w:tc>
          <w:tcPr>
            <w:tcW w:w="1037" w:type="dxa"/>
            <w:noWrap/>
          </w:tcPr>
          <w:p w14:paraId="6888AE30" w14:textId="77777777" w:rsidR="00500F8B" w:rsidRPr="00500F8B" w:rsidRDefault="00500F8B" w:rsidP="00500F8B">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en-US"/>
              </w:rPr>
            </w:pPr>
            <w:r w:rsidRPr="00500F8B">
              <w:rPr>
                <w:rFonts w:ascii="Arial" w:hAnsi="Arial" w:cs="Arial"/>
                <w:color w:val="000000"/>
                <w:sz w:val="18"/>
                <w:szCs w:val="18"/>
                <w:lang w:eastAsia="en-US"/>
              </w:rPr>
              <w:t xml:space="preserve">np </w:t>
            </w:r>
          </w:p>
        </w:tc>
        <w:tc>
          <w:tcPr>
            <w:tcW w:w="960" w:type="dxa"/>
            <w:noWrap/>
          </w:tcPr>
          <w:p w14:paraId="5E8F65C4" w14:textId="77777777" w:rsidR="00500F8B" w:rsidRPr="00500F8B" w:rsidRDefault="00500F8B" w:rsidP="00500F8B">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en-US"/>
              </w:rPr>
            </w:pPr>
            <w:r w:rsidRPr="00500F8B">
              <w:rPr>
                <w:rFonts w:ascii="Arial" w:hAnsi="Arial" w:cs="Arial"/>
                <w:color w:val="000000"/>
                <w:sz w:val="18"/>
                <w:szCs w:val="18"/>
                <w:lang w:eastAsia="en-US"/>
              </w:rPr>
              <w:t xml:space="preserve">np </w:t>
            </w:r>
          </w:p>
        </w:tc>
        <w:tc>
          <w:tcPr>
            <w:tcW w:w="997" w:type="dxa"/>
            <w:noWrap/>
          </w:tcPr>
          <w:p w14:paraId="3E3FF37C" w14:textId="77777777" w:rsidR="00500F8B" w:rsidRPr="00500F8B" w:rsidRDefault="00500F8B" w:rsidP="00500F8B">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en-US"/>
              </w:rPr>
            </w:pPr>
            <w:r w:rsidRPr="00500F8B">
              <w:rPr>
                <w:rFonts w:ascii="Arial" w:hAnsi="Arial" w:cs="Arial"/>
                <w:color w:val="000000"/>
                <w:sz w:val="18"/>
                <w:szCs w:val="18"/>
                <w:lang w:eastAsia="en-US"/>
              </w:rPr>
              <w:t xml:space="preserve">0.55% </w:t>
            </w:r>
          </w:p>
        </w:tc>
      </w:tr>
      <w:tr w:rsidR="00500F8B" w:rsidRPr="00500F8B" w14:paraId="35E9AC46" w14:textId="77777777" w:rsidTr="0016330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7" w:type="dxa"/>
            <w:tcBorders>
              <w:top w:val="none" w:sz="0" w:space="0" w:color="auto"/>
              <w:left w:val="none" w:sz="0" w:space="0" w:color="auto"/>
              <w:bottom w:val="none" w:sz="0" w:space="0" w:color="auto"/>
            </w:tcBorders>
            <w:noWrap/>
          </w:tcPr>
          <w:p w14:paraId="01AA8CBD" w14:textId="77777777" w:rsidR="00500F8B" w:rsidRPr="00500F8B" w:rsidRDefault="00500F8B" w:rsidP="00500F8B">
            <w:pPr>
              <w:rPr>
                <w:rFonts w:ascii="Arial" w:hAnsi="Arial" w:cs="Arial"/>
                <w:color w:val="000000"/>
                <w:sz w:val="18"/>
                <w:szCs w:val="18"/>
                <w:lang w:eastAsia="en-US"/>
              </w:rPr>
            </w:pPr>
            <w:r w:rsidRPr="00500F8B">
              <w:rPr>
                <w:rFonts w:ascii="Arial" w:hAnsi="Arial" w:cs="Arial"/>
                <w:color w:val="000000"/>
                <w:sz w:val="18"/>
                <w:szCs w:val="18"/>
                <w:lang w:eastAsia="en-US"/>
              </w:rPr>
              <w:t>9</w:t>
            </w:r>
          </w:p>
        </w:tc>
        <w:tc>
          <w:tcPr>
            <w:tcW w:w="2314" w:type="dxa"/>
            <w:tcBorders>
              <w:top w:val="none" w:sz="0" w:space="0" w:color="auto"/>
              <w:bottom w:val="none" w:sz="0" w:space="0" w:color="auto"/>
            </w:tcBorders>
            <w:noWrap/>
          </w:tcPr>
          <w:p w14:paraId="06E5DF5E" w14:textId="77777777" w:rsidR="00500F8B" w:rsidRPr="00500F8B" w:rsidRDefault="00500F8B" w:rsidP="00500F8B">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lang w:eastAsia="en-US"/>
              </w:rPr>
            </w:pPr>
            <w:r w:rsidRPr="00500F8B">
              <w:rPr>
                <w:rFonts w:ascii="Arial" w:hAnsi="Arial" w:cs="Arial"/>
                <w:b/>
                <w:color w:val="000000"/>
                <w:sz w:val="18"/>
                <w:szCs w:val="18"/>
                <w:lang w:eastAsia="en-US"/>
              </w:rPr>
              <w:t>18379</w:t>
            </w:r>
            <w:r w:rsidRPr="00500F8B">
              <w:rPr>
                <w:rFonts w:ascii="Arial" w:hAnsi="Arial" w:cs="Arial"/>
                <w:color w:val="000000"/>
                <w:sz w:val="18"/>
                <w:szCs w:val="18"/>
                <w:lang w:eastAsia="en-US"/>
              </w:rPr>
              <w:t>, 18264, 36827</w:t>
            </w:r>
          </w:p>
        </w:tc>
        <w:tc>
          <w:tcPr>
            <w:tcW w:w="1017" w:type="dxa"/>
            <w:tcBorders>
              <w:top w:val="none" w:sz="0" w:space="0" w:color="auto"/>
              <w:bottom w:val="none" w:sz="0" w:space="0" w:color="auto"/>
            </w:tcBorders>
            <w:noWrap/>
          </w:tcPr>
          <w:p w14:paraId="3BB6CF2D" w14:textId="77777777" w:rsidR="00500F8B" w:rsidRPr="00500F8B" w:rsidRDefault="00500F8B" w:rsidP="00500F8B">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lang w:eastAsia="en-US"/>
              </w:rPr>
            </w:pPr>
            <w:r w:rsidRPr="00500F8B">
              <w:rPr>
                <w:rFonts w:ascii="Arial" w:hAnsi="Arial" w:cs="Arial"/>
                <w:color w:val="000000"/>
                <w:sz w:val="18"/>
                <w:szCs w:val="18"/>
                <w:lang w:eastAsia="en-US"/>
              </w:rPr>
              <w:t xml:space="preserve">np </w:t>
            </w:r>
          </w:p>
        </w:tc>
        <w:tc>
          <w:tcPr>
            <w:tcW w:w="960" w:type="dxa"/>
            <w:tcBorders>
              <w:top w:val="none" w:sz="0" w:space="0" w:color="auto"/>
              <w:bottom w:val="none" w:sz="0" w:space="0" w:color="auto"/>
            </w:tcBorders>
            <w:noWrap/>
          </w:tcPr>
          <w:p w14:paraId="6F36BA64" w14:textId="77777777" w:rsidR="00500F8B" w:rsidRPr="00500F8B" w:rsidRDefault="00500F8B" w:rsidP="00500F8B">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lang w:eastAsia="en-US"/>
              </w:rPr>
            </w:pPr>
            <w:r w:rsidRPr="00500F8B">
              <w:rPr>
                <w:rFonts w:ascii="Arial" w:hAnsi="Arial" w:cs="Arial"/>
                <w:color w:val="000000"/>
                <w:sz w:val="18"/>
                <w:szCs w:val="18"/>
                <w:lang w:eastAsia="en-US"/>
              </w:rPr>
              <w:t xml:space="preserve">np </w:t>
            </w:r>
          </w:p>
        </w:tc>
        <w:tc>
          <w:tcPr>
            <w:tcW w:w="1286" w:type="dxa"/>
            <w:tcBorders>
              <w:top w:val="none" w:sz="0" w:space="0" w:color="auto"/>
              <w:bottom w:val="none" w:sz="0" w:space="0" w:color="auto"/>
            </w:tcBorders>
            <w:noWrap/>
          </w:tcPr>
          <w:p w14:paraId="21998312" w14:textId="77777777" w:rsidR="00500F8B" w:rsidRPr="00500F8B" w:rsidRDefault="00500F8B" w:rsidP="00500F8B">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lang w:eastAsia="en-US"/>
              </w:rPr>
            </w:pPr>
            <w:r w:rsidRPr="00500F8B">
              <w:rPr>
                <w:rFonts w:ascii="Arial" w:hAnsi="Arial" w:cs="Arial"/>
                <w:color w:val="000000"/>
                <w:sz w:val="18"/>
                <w:szCs w:val="18"/>
                <w:lang w:eastAsia="en-US"/>
              </w:rPr>
              <w:t xml:space="preserve">$1,323 </w:t>
            </w:r>
          </w:p>
        </w:tc>
        <w:tc>
          <w:tcPr>
            <w:tcW w:w="1037" w:type="dxa"/>
            <w:tcBorders>
              <w:top w:val="none" w:sz="0" w:space="0" w:color="auto"/>
              <w:bottom w:val="none" w:sz="0" w:space="0" w:color="auto"/>
            </w:tcBorders>
            <w:noWrap/>
          </w:tcPr>
          <w:p w14:paraId="1945FCDE" w14:textId="77777777" w:rsidR="00500F8B" w:rsidRPr="00500F8B" w:rsidRDefault="00500F8B" w:rsidP="00500F8B">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lang w:eastAsia="en-US"/>
              </w:rPr>
            </w:pPr>
            <w:r w:rsidRPr="00500F8B">
              <w:rPr>
                <w:rFonts w:ascii="Arial" w:hAnsi="Arial" w:cs="Arial"/>
                <w:color w:val="000000"/>
                <w:sz w:val="18"/>
                <w:szCs w:val="18"/>
                <w:lang w:eastAsia="en-US"/>
              </w:rPr>
              <w:t xml:space="preserve">np </w:t>
            </w:r>
          </w:p>
        </w:tc>
        <w:tc>
          <w:tcPr>
            <w:tcW w:w="960" w:type="dxa"/>
            <w:tcBorders>
              <w:top w:val="none" w:sz="0" w:space="0" w:color="auto"/>
              <w:bottom w:val="none" w:sz="0" w:space="0" w:color="auto"/>
            </w:tcBorders>
            <w:noWrap/>
          </w:tcPr>
          <w:p w14:paraId="2D029463" w14:textId="77777777" w:rsidR="00500F8B" w:rsidRPr="00500F8B" w:rsidRDefault="00500F8B" w:rsidP="00500F8B">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lang w:eastAsia="en-US"/>
              </w:rPr>
            </w:pPr>
            <w:r w:rsidRPr="00500F8B">
              <w:rPr>
                <w:rFonts w:ascii="Arial" w:hAnsi="Arial" w:cs="Arial"/>
                <w:color w:val="000000"/>
                <w:sz w:val="18"/>
                <w:szCs w:val="18"/>
                <w:lang w:eastAsia="en-US"/>
              </w:rPr>
              <w:t xml:space="preserve">np </w:t>
            </w:r>
          </w:p>
        </w:tc>
        <w:tc>
          <w:tcPr>
            <w:tcW w:w="997" w:type="dxa"/>
            <w:tcBorders>
              <w:top w:val="none" w:sz="0" w:space="0" w:color="auto"/>
              <w:bottom w:val="none" w:sz="0" w:space="0" w:color="auto"/>
              <w:right w:val="none" w:sz="0" w:space="0" w:color="auto"/>
            </w:tcBorders>
            <w:noWrap/>
          </w:tcPr>
          <w:p w14:paraId="5703553B" w14:textId="77777777" w:rsidR="00500F8B" w:rsidRPr="00500F8B" w:rsidRDefault="00500F8B" w:rsidP="00500F8B">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lang w:eastAsia="en-US"/>
              </w:rPr>
            </w:pPr>
            <w:r w:rsidRPr="00500F8B">
              <w:rPr>
                <w:rFonts w:ascii="Arial" w:hAnsi="Arial" w:cs="Arial"/>
                <w:color w:val="000000"/>
                <w:sz w:val="18"/>
                <w:szCs w:val="18"/>
                <w:lang w:eastAsia="en-US"/>
              </w:rPr>
              <w:t xml:space="preserve">0.37% </w:t>
            </w:r>
          </w:p>
        </w:tc>
      </w:tr>
      <w:tr w:rsidR="00500F8B" w:rsidRPr="00500F8B" w14:paraId="5E7479D2" w14:textId="77777777" w:rsidTr="0016330C">
        <w:trPr>
          <w:trHeight w:val="300"/>
        </w:trPr>
        <w:tc>
          <w:tcPr>
            <w:cnfStyle w:val="001000000000" w:firstRow="0" w:lastRow="0" w:firstColumn="1" w:lastColumn="0" w:oddVBand="0" w:evenVBand="0" w:oddHBand="0" w:evenHBand="0" w:firstRowFirstColumn="0" w:firstRowLastColumn="0" w:lastRowFirstColumn="0" w:lastRowLastColumn="0"/>
            <w:tcW w:w="567" w:type="dxa"/>
            <w:noWrap/>
          </w:tcPr>
          <w:p w14:paraId="6082CC39" w14:textId="77777777" w:rsidR="00500F8B" w:rsidRPr="00500F8B" w:rsidRDefault="00500F8B" w:rsidP="00500F8B">
            <w:pPr>
              <w:rPr>
                <w:rFonts w:ascii="Arial" w:hAnsi="Arial" w:cs="Arial"/>
                <w:color w:val="000000"/>
                <w:sz w:val="18"/>
                <w:szCs w:val="18"/>
                <w:lang w:eastAsia="en-US"/>
              </w:rPr>
            </w:pPr>
            <w:r w:rsidRPr="00500F8B">
              <w:rPr>
                <w:rFonts w:ascii="Arial" w:hAnsi="Arial" w:cs="Arial"/>
                <w:color w:val="000000"/>
                <w:sz w:val="18"/>
                <w:szCs w:val="18"/>
                <w:lang w:eastAsia="en-US"/>
              </w:rPr>
              <w:t>10</w:t>
            </w:r>
          </w:p>
        </w:tc>
        <w:tc>
          <w:tcPr>
            <w:tcW w:w="2314" w:type="dxa"/>
            <w:noWrap/>
          </w:tcPr>
          <w:p w14:paraId="14E19BE6" w14:textId="77777777" w:rsidR="00500F8B" w:rsidRPr="00500F8B" w:rsidRDefault="00500F8B" w:rsidP="00500F8B">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en-US"/>
              </w:rPr>
            </w:pPr>
            <w:r w:rsidRPr="00500F8B">
              <w:rPr>
                <w:rFonts w:ascii="Arial" w:hAnsi="Arial" w:cs="Arial"/>
                <w:b/>
                <w:color w:val="000000"/>
                <w:sz w:val="18"/>
                <w:szCs w:val="18"/>
                <w:lang w:eastAsia="en-US"/>
              </w:rPr>
              <w:t>18379</w:t>
            </w:r>
            <w:r w:rsidRPr="00500F8B">
              <w:rPr>
                <w:rFonts w:ascii="Arial" w:hAnsi="Arial" w:cs="Arial"/>
                <w:color w:val="000000"/>
                <w:sz w:val="18"/>
                <w:szCs w:val="18"/>
                <w:lang w:eastAsia="en-US"/>
              </w:rPr>
              <w:t>, 35571</w:t>
            </w:r>
          </w:p>
        </w:tc>
        <w:tc>
          <w:tcPr>
            <w:tcW w:w="1017" w:type="dxa"/>
            <w:noWrap/>
          </w:tcPr>
          <w:p w14:paraId="2E267D54" w14:textId="77777777" w:rsidR="00500F8B" w:rsidRPr="00500F8B" w:rsidRDefault="00500F8B" w:rsidP="00500F8B">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en-US"/>
              </w:rPr>
            </w:pPr>
            <w:r w:rsidRPr="00500F8B">
              <w:rPr>
                <w:rFonts w:ascii="Arial" w:hAnsi="Arial" w:cs="Arial"/>
                <w:color w:val="000000"/>
                <w:sz w:val="18"/>
                <w:szCs w:val="18"/>
                <w:lang w:eastAsia="en-US"/>
              </w:rPr>
              <w:t xml:space="preserve">np </w:t>
            </w:r>
          </w:p>
        </w:tc>
        <w:tc>
          <w:tcPr>
            <w:tcW w:w="960" w:type="dxa"/>
            <w:noWrap/>
          </w:tcPr>
          <w:p w14:paraId="15A2D0E4" w14:textId="77777777" w:rsidR="00500F8B" w:rsidRPr="00500F8B" w:rsidRDefault="00500F8B" w:rsidP="00500F8B">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en-US"/>
              </w:rPr>
            </w:pPr>
            <w:r w:rsidRPr="00500F8B">
              <w:rPr>
                <w:rFonts w:ascii="Arial" w:hAnsi="Arial" w:cs="Arial"/>
                <w:color w:val="000000"/>
                <w:sz w:val="18"/>
                <w:szCs w:val="18"/>
                <w:lang w:eastAsia="en-US"/>
              </w:rPr>
              <w:t xml:space="preserve">np </w:t>
            </w:r>
          </w:p>
        </w:tc>
        <w:tc>
          <w:tcPr>
            <w:tcW w:w="1286" w:type="dxa"/>
            <w:noWrap/>
          </w:tcPr>
          <w:p w14:paraId="22347859" w14:textId="77777777" w:rsidR="00500F8B" w:rsidRPr="00500F8B" w:rsidRDefault="00500F8B" w:rsidP="00500F8B">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en-US"/>
              </w:rPr>
            </w:pPr>
            <w:r w:rsidRPr="00500F8B">
              <w:rPr>
                <w:rFonts w:ascii="Arial" w:hAnsi="Arial" w:cs="Arial"/>
                <w:color w:val="000000"/>
                <w:sz w:val="18"/>
                <w:szCs w:val="18"/>
                <w:lang w:eastAsia="en-US"/>
              </w:rPr>
              <w:t xml:space="preserve">$1,567 </w:t>
            </w:r>
          </w:p>
        </w:tc>
        <w:tc>
          <w:tcPr>
            <w:tcW w:w="1037" w:type="dxa"/>
            <w:noWrap/>
          </w:tcPr>
          <w:p w14:paraId="51F9A6AD" w14:textId="77777777" w:rsidR="00500F8B" w:rsidRPr="00500F8B" w:rsidRDefault="00500F8B" w:rsidP="00500F8B">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en-US"/>
              </w:rPr>
            </w:pPr>
            <w:r w:rsidRPr="00500F8B">
              <w:rPr>
                <w:rFonts w:ascii="Arial" w:hAnsi="Arial" w:cs="Arial"/>
                <w:color w:val="000000"/>
                <w:sz w:val="18"/>
                <w:szCs w:val="18"/>
                <w:lang w:eastAsia="en-US"/>
              </w:rPr>
              <w:t xml:space="preserve">np </w:t>
            </w:r>
          </w:p>
        </w:tc>
        <w:tc>
          <w:tcPr>
            <w:tcW w:w="960" w:type="dxa"/>
            <w:noWrap/>
          </w:tcPr>
          <w:p w14:paraId="717C2B76" w14:textId="77777777" w:rsidR="00500F8B" w:rsidRPr="00500F8B" w:rsidRDefault="00500F8B" w:rsidP="00500F8B">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en-US"/>
              </w:rPr>
            </w:pPr>
            <w:r w:rsidRPr="00500F8B">
              <w:rPr>
                <w:rFonts w:ascii="Arial" w:hAnsi="Arial" w:cs="Arial"/>
                <w:color w:val="000000"/>
                <w:sz w:val="18"/>
                <w:szCs w:val="18"/>
                <w:lang w:eastAsia="en-US"/>
              </w:rPr>
              <w:t xml:space="preserve">np </w:t>
            </w:r>
          </w:p>
        </w:tc>
        <w:tc>
          <w:tcPr>
            <w:tcW w:w="997" w:type="dxa"/>
            <w:noWrap/>
          </w:tcPr>
          <w:p w14:paraId="439C4E4B" w14:textId="77777777" w:rsidR="00500F8B" w:rsidRPr="00500F8B" w:rsidRDefault="00500F8B" w:rsidP="00500F8B">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en-US"/>
              </w:rPr>
            </w:pPr>
            <w:r w:rsidRPr="00500F8B">
              <w:rPr>
                <w:rFonts w:ascii="Arial" w:hAnsi="Arial" w:cs="Arial"/>
                <w:color w:val="000000"/>
                <w:sz w:val="18"/>
                <w:szCs w:val="18"/>
                <w:lang w:eastAsia="en-US"/>
              </w:rPr>
              <w:t xml:space="preserve">0.37% </w:t>
            </w:r>
          </w:p>
        </w:tc>
      </w:tr>
    </w:tbl>
    <w:p w14:paraId="357260AE" w14:textId="03B49C3B" w:rsidR="00500F8B" w:rsidRPr="00500F8B" w:rsidRDefault="00500F8B" w:rsidP="00500F8B">
      <w:pPr>
        <w:rPr>
          <w:bCs/>
          <w:sz w:val="18"/>
          <w:szCs w:val="18"/>
          <w:lang w:eastAsia="en-US"/>
        </w:rPr>
      </w:pPr>
      <w:r w:rsidRPr="00500F8B">
        <w:rPr>
          <w:bCs/>
          <w:sz w:val="18"/>
          <w:szCs w:val="18"/>
          <w:lang w:eastAsia="en-US"/>
        </w:rPr>
        <w:t xml:space="preserve">Source for Tables </w:t>
      </w:r>
      <w:r>
        <w:rPr>
          <w:bCs/>
          <w:sz w:val="18"/>
          <w:szCs w:val="18"/>
          <w:lang w:eastAsia="en-US"/>
        </w:rPr>
        <w:t>8</w:t>
      </w:r>
      <w:r w:rsidRPr="00500F8B">
        <w:rPr>
          <w:bCs/>
          <w:sz w:val="18"/>
          <w:szCs w:val="18"/>
          <w:lang w:eastAsia="en-US"/>
        </w:rPr>
        <w:t>-1</w:t>
      </w:r>
      <w:r>
        <w:rPr>
          <w:bCs/>
          <w:sz w:val="18"/>
          <w:szCs w:val="18"/>
          <w:lang w:eastAsia="en-US"/>
        </w:rPr>
        <w:t>0: Department of Health</w:t>
      </w:r>
    </w:p>
    <w:p w14:paraId="7FF3C28E" w14:textId="77777777" w:rsidR="00500F8B" w:rsidRPr="00500F8B" w:rsidRDefault="00500F8B" w:rsidP="00500F8B">
      <w:pPr>
        <w:rPr>
          <w:color w:val="000000"/>
          <w:sz w:val="18"/>
          <w:szCs w:val="24"/>
          <w:lang w:eastAsia="en-US"/>
        </w:rPr>
      </w:pPr>
      <w:r w:rsidRPr="00500F8B">
        <w:rPr>
          <w:color w:val="000000"/>
          <w:sz w:val="18"/>
          <w:szCs w:val="24"/>
          <w:lang w:eastAsia="en-US"/>
        </w:rPr>
        <w:t>NP = not printed</w:t>
      </w:r>
    </w:p>
    <w:p w14:paraId="42A4BC07" w14:textId="045A6BD3" w:rsidR="00A91AFD" w:rsidRDefault="004E015F" w:rsidP="00AA446B">
      <w:pPr>
        <w:pStyle w:val="Heading2"/>
        <w:spacing w:before="240"/>
      </w:pPr>
      <w:r>
        <w:t>Data on fee charged</w:t>
      </w:r>
    </w:p>
    <w:p w14:paraId="33BEF88C" w14:textId="2B88F7E0" w:rsidR="00CC663B" w:rsidRPr="003C5C54" w:rsidRDefault="00CC663B" w:rsidP="003C5C54">
      <w:pPr>
        <w:spacing w:after="240"/>
        <w:ind w:right="-199"/>
        <w:rPr>
          <w:color w:val="000000"/>
          <w:szCs w:val="24"/>
          <w:lang w:eastAsia="en-US"/>
        </w:rPr>
      </w:pPr>
      <w:r w:rsidRPr="00CC663B">
        <w:rPr>
          <w:color w:val="000000"/>
          <w:szCs w:val="24"/>
          <w:lang w:eastAsia="en-US"/>
        </w:rPr>
        <w:t xml:space="preserve">The average fee charged for item 18379 has increased from $431 in 2014-15 to $472 in </w:t>
      </w:r>
      <w:r w:rsidR="00636453">
        <w:rPr>
          <w:color w:val="000000"/>
          <w:szCs w:val="24"/>
          <w:lang w:eastAsia="en-US"/>
        </w:rPr>
        <w:br/>
      </w:r>
      <w:r w:rsidRPr="00CC663B">
        <w:rPr>
          <w:color w:val="000000"/>
          <w:szCs w:val="24"/>
          <w:lang w:eastAsia="en-US"/>
        </w:rPr>
        <w:t xml:space="preserve">2016-17 (Table </w:t>
      </w:r>
      <w:r>
        <w:rPr>
          <w:color w:val="000000"/>
          <w:szCs w:val="24"/>
          <w:lang w:eastAsia="en-US"/>
        </w:rPr>
        <w:t>11</w:t>
      </w:r>
      <w:r w:rsidRPr="00CC663B">
        <w:rPr>
          <w:color w:val="000000"/>
          <w:szCs w:val="24"/>
          <w:lang w:eastAsia="en-US"/>
        </w:rPr>
        <w:t>)</w:t>
      </w:r>
      <w:r w:rsidR="00450C04">
        <w:rPr>
          <w:color w:val="000000"/>
          <w:szCs w:val="24"/>
          <w:lang w:eastAsia="en-US"/>
        </w:rPr>
        <w:t>.</w:t>
      </w:r>
      <w:r w:rsidRPr="00CC663B">
        <w:rPr>
          <w:color w:val="000000"/>
          <w:szCs w:val="24"/>
          <w:lang w:eastAsia="en-US"/>
        </w:rPr>
        <w:t xml:space="preserve"> This is likely related to the 95</w:t>
      </w:r>
      <w:r w:rsidRPr="00CC663B">
        <w:rPr>
          <w:color w:val="000000"/>
          <w:szCs w:val="24"/>
          <w:vertAlign w:val="superscript"/>
          <w:lang w:eastAsia="en-US"/>
        </w:rPr>
        <w:t>th</w:t>
      </w:r>
      <w:r w:rsidRPr="00CC663B">
        <w:rPr>
          <w:color w:val="000000"/>
          <w:szCs w:val="24"/>
          <w:lang w:eastAsia="en-US"/>
        </w:rPr>
        <w:t xml:space="preserve"> percentile fee charged in NSW which </w:t>
      </w:r>
      <w:r w:rsidR="00636453">
        <w:rPr>
          <w:color w:val="000000"/>
          <w:szCs w:val="24"/>
          <w:lang w:eastAsia="en-US"/>
        </w:rPr>
        <w:br/>
      </w:r>
      <w:r w:rsidRPr="00CC663B">
        <w:rPr>
          <w:color w:val="000000"/>
          <w:szCs w:val="24"/>
          <w:lang w:eastAsia="en-US"/>
        </w:rPr>
        <w:t>was $1,000 in 2015-16 and 2016-17. The 95</w:t>
      </w:r>
      <w:r w:rsidRPr="00CC663B">
        <w:rPr>
          <w:color w:val="000000"/>
          <w:szCs w:val="24"/>
          <w:vertAlign w:val="superscript"/>
          <w:lang w:eastAsia="en-US"/>
        </w:rPr>
        <w:t>th</w:t>
      </w:r>
      <w:r w:rsidRPr="00CC663B">
        <w:rPr>
          <w:color w:val="000000"/>
          <w:szCs w:val="24"/>
          <w:lang w:eastAsia="en-US"/>
        </w:rPr>
        <w:t xml:space="preserve"> percentile fee charged in New South Wales is significantly higher than other states whic</w:t>
      </w:r>
      <w:r w:rsidR="00450C04">
        <w:rPr>
          <w:color w:val="000000"/>
          <w:szCs w:val="24"/>
          <w:lang w:eastAsia="en-US"/>
        </w:rPr>
        <w:t xml:space="preserve">h ranged from $600 to $658. </w:t>
      </w:r>
      <w:r w:rsidRPr="00CC663B">
        <w:rPr>
          <w:color w:val="000000"/>
          <w:szCs w:val="24"/>
          <w:lang w:eastAsia="en-US"/>
        </w:rPr>
        <w:t>Services were not bulk billed in most states, although there was a 47% bulk billing rate in NSW in 2014-15, which decreased to 1.5% in 2015-16 and 2% in 2016-17</w:t>
      </w:r>
      <w:r w:rsidR="00450C04">
        <w:rPr>
          <w:color w:val="000000"/>
          <w:szCs w:val="24"/>
          <w:lang w:eastAsia="en-US"/>
        </w:rPr>
        <w:t>.</w:t>
      </w:r>
      <w:r w:rsidRPr="00CC663B">
        <w:rPr>
          <w:color w:val="000000"/>
          <w:szCs w:val="24"/>
          <w:lang w:eastAsia="en-US"/>
        </w:rPr>
        <w:t xml:space="preserve"> Services billed to items 18375 and 36851 also have a very low bulk billing rate (less than 1%).</w:t>
      </w:r>
    </w:p>
    <w:p w14:paraId="5671FA9E" w14:textId="278810CF" w:rsidR="00AA446B" w:rsidRPr="003C5C54" w:rsidRDefault="00CC663B" w:rsidP="003C5C54">
      <w:pPr>
        <w:spacing w:after="240"/>
        <w:rPr>
          <w:color w:val="000000"/>
          <w:szCs w:val="24"/>
          <w:lang w:eastAsia="en-US"/>
        </w:rPr>
      </w:pPr>
      <w:r w:rsidRPr="00CC663B">
        <w:rPr>
          <w:color w:val="000000"/>
          <w:szCs w:val="24"/>
          <w:lang w:eastAsia="en-US"/>
        </w:rPr>
        <w:t>In 2015-16, the average fee charged for items 18375 and 36851 was about $400 and $330, respectively, comparatively lower compared to item 18379.</w:t>
      </w:r>
    </w:p>
    <w:p w14:paraId="223C11DC" w14:textId="442F55F4" w:rsidR="00CC663B" w:rsidRPr="00C83F0C" w:rsidRDefault="00CC663B" w:rsidP="00C83F0C">
      <w:pPr>
        <w:rPr>
          <w:rFonts w:eastAsiaTheme="majorEastAsia" w:cstheme="majorBidi"/>
          <w:b/>
          <w:bCs/>
          <w:sz w:val="18"/>
        </w:rPr>
      </w:pPr>
      <w:r w:rsidRPr="00C83F0C">
        <w:rPr>
          <w:rFonts w:eastAsiaTheme="majorEastAsia" w:cstheme="majorBidi"/>
          <w:b/>
          <w:bCs/>
          <w:sz w:val="18"/>
        </w:rPr>
        <w:t>Table 11: Statistics on fees charged for MBS item 18379 for 2014-15 to 2016-17 by date of service</w:t>
      </w:r>
      <w:r w:rsidR="002757DD" w:rsidRPr="00C83F0C">
        <w:rPr>
          <w:rFonts w:eastAsiaTheme="majorEastAsia" w:cstheme="majorBidi"/>
          <w:b/>
          <w:bCs/>
          <w:sz w:val="18"/>
        </w:rPr>
        <w:t xml:space="preserve"> (provider State/Territory)</w:t>
      </w:r>
    </w:p>
    <w:tbl>
      <w:tblPr>
        <w:tblStyle w:val="LightList-Accent1"/>
        <w:tblW w:w="9355" w:type="dxa"/>
        <w:tblInd w:w="108" w:type="dxa"/>
        <w:tblBorders>
          <w:top w:val="none" w:sz="0" w:space="0" w:color="auto"/>
          <w:left w:val="none" w:sz="0"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Table 11 presents statistics on fees charged for MBS item 18379 from 2014-15 to 2016-17 by date of service. The 2016-17 financial year only includes data to 31 December 2016. Columns are split by state or territory. There are six rows for each financial year of 2014-15, 2015-16 and 2016-17: 1) Average fee charged, 2) Standard deviation, 3) Median fee charged, 4) 75th percentile, 5) 95th percentile, 6) Bulk-billing rate. 'NP' means that for that cell, the data is not printed."/>
      </w:tblPr>
      <w:tblGrid>
        <w:gridCol w:w="709"/>
        <w:gridCol w:w="1254"/>
        <w:gridCol w:w="1017"/>
        <w:gridCol w:w="867"/>
        <w:gridCol w:w="867"/>
        <w:gridCol w:w="867"/>
        <w:gridCol w:w="867"/>
        <w:gridCol w:w="640"/>
        <w:gridCol w:w="566"/>
        <w:gridCol w:w="709"/>
        <w:gridCol w:w="992"/>
      </w:tblGrid>
      <w:tr w:rsidR="0010796F" w:rsidRPr="00FD21A0" w14:paraId="7C2B4031" w14:textId="77777777" w:rsidTr="002757DD">
        <w:trPr>
          <w:cnfStyle w:val="100000000000" w:firstRow="1" w:lastRow="0" w:firstColumn="0" w:lastColumn="0" w:oddVBand="0" w:evenVBand="0" w:oddHBand="0" w:evenHBand="0" w:firstRowFirstColumn="0" w:firstRowLastColumn="0" w:lastRowFirstColumn="0" w:lastRowLastColumn="0"/>
          <w:trHeight w:val="268"/>
          <w:tblHeader/>
        </w:trPr>
        <w:tc>
          <w:tcPr>
            <w:cnfStyle w:val="001000000000" w:firstRow="0" w:lastRow="0" w:firstColumn="1" w:lastColumn="0" w:oddVBand="0" w:evenVBand="0" w:oddHBand="0" w:evenHBand="0" w:firstRowFirstColumn="0" w:firstRowLastColumn="0" w:lastRowFirstColumn="0" w:lastRowLastColumn="0"/>
            <w:tcW w:w="709" w:type="dxa"/>
            <w:tcBorders>
              <w:top w:val="nil"/>
              <w:left w:val="nil"/>
              <w:bottom w:val="single" w:sz="4" w:space="0" w:color="auto"/>
              <w:right w:val="nil"/>
            </w:tcBorders>
            <w:shd w:val="clear" w:color="auto" w:fill="auto"/>
            <w:hideMark/>
          </w:tcPr>
          <w:p w14:paraId="254B0B33" w14:textId="77777777" w:rsidR="0010796F" w:rsidRPr="0016330C" w:rsidRDefault="0010796F" w:rsidP="00450C04">
            <w:pPr>
              <w:rPr>
                <w:rFonts w:ascii="Arial" w:hAnsi="Arial" w:cs="Arial"/>
                <w:b w:val="0"/>
                <w:bCs w:val="0"/>
                <w:sz w:val="18"/>
                <w:szCs w:val="18"/>
              </w:rPr>
            </w:pPr>
          </w:p>
        </w:tc>
        <w:tc>
          <w:tcPr>
            <w:tcW w:w="1254" w:type="dxa"/>
            <w:tcBorders>
              <w:top w:val="nil"/>
              <w:left w:val="nil"/>
              <w:bottom w:val="single" w:sz="4" w:space="0" w:color="auto"/>
            </w:tcBorders>
            <w:shd w:val="clear" w:color="auto" w:fill="auto"/>
          </w:tcPr>
          <w:p w14:paraId="24A801FB" w14:textId="232D8B70" w:rsidR="0010796F" w:rsidRPr="0016330C" w:rsidRDefault="0010796F" w:rsidP="00450C04">
            <w:pPr>
              <w:cnfStyle w:val="100000000000" w:firstRow="1" w:lastRow="0" w:firstColumn="0" w:lastColumn="0" w:oddVBand="0" w:evenVBand="0" w:oddHBand="0" w:evenHBand="0" w:firstRowFirstColumn="0" w:firstRowLastColumn="0" w:lastRowFirstColumn="0" w:lastRowLastColumn="0"/>
              <w:rPr>
                <w:rFonts w:ascii="Arial" w:hAnsi="Arial" w:cs="Arial"/>
                <w:color w:val="auto"/>
                <w:sz w:val="18"/>
                <w:szCs w:val="18"/>
              </w:rPr>
            </w:pPr>
          </w:p>
        </w:tc>
        <w:tc>
          <w:tcPr>
            <w:tcW w:w="1017" w:type="dxa"/>
            <w:tcBorders>
              <w:top w:val="single" w:sz="4" w:space="0" w:color="auto"/>
              <w:bottom w:val="single" w:sz="4" w:space="0" w:color="auto"/>
            </w:tcBorders>
            <w:hideMark/>
          </w:tcPr>
          <w:p w14:paraId="5C60CBA1" w14:textId="77777777" w:rsidR="0010796F" w:rsidRPr="000C7515" w:rsidRDefault="0010796F" w:rsidP="00450C04">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rPr>
            </w:pPr>
            <w:r w:rsidRPr="000C7515">
              <w:rPr>
                <w:rFonts w:ascii="Arial" w:hAnsi="Arial" w:cs="Arial"/>
                <w:b w:val="0"/>
                <w:bCs w:val="0"/>
                <w:sz w:val="18"/>
                <w:szCs w:val="18"/>
              </w:rPr>
              <w:t>NSW</w:t>
            </w:r>
          </w:p>
        </w:tc>
        <w:tc>
          <w:tcPr>
            <w:tcW w:w="867" w:type="dxa"/>
            <w:tcBorders>
              <w:top w:val="single" w:sz="4" w:space="0" w:color="auto"/>
              <w:bottom w:val="single" w:sz="4" w:space="0" w:color="auto"/>
            </w:tcBorders>
            <w:hideMark/>
          </w:tcPr>
          <w:p w14:paraId="0870CA57" w14:textId="77777777" w:rsidR="0010796F" w:rsidRPr="000C7515" w:rsidRDefault="0010796F" w:rsidP="00450C04">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rPr>
            </w:pPr>
            <w:r w:rsidRPr="000C7515">
              <w:rPr>
                <w:rFonts w:ascii="Arial" w:hAnsi="Arial" w:cs="Arial"/>
                <w:b w:val="0"/>
                <w:bCs w:val="0"/>
                <w:sz w:val="18"/>
                <w:szCs w:val="18"/>
              </w:rPr>
              <w:t>Vic</w:t>
            </w:r>
          </w:p>
        </w:tc>
        <w:tc>
          <w:tcPr>
            <w:tcW w:w="867" w:type="dxa"/>
            <w:tcBorders>
              <w:top w:val="single" w:sz="4" w:space="0" w:color="auto"/>
              <w:bottom w:val="single" w:sz="4" w:space="0" w:color="auto"/>
            </w:tcBorders>
            <w:hideMark/>
          </w:tcPr>
          <w:p w14:paraId="6A0F1FD4" w14:textId="77777777" w:rsidR="0010796F" w:rsidRPr="000C7515" w:rsidRDefault="0010796F" w:rsidP="00450C04">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rPr>
            </w:pPr>
            <w:r w:rsidRPr="000C7515">
              <w:rPr>
                <w:rFonts w:ascii="Arial" w:hAnsi="Arial" w:cs="Arial"/>
                <w:b w:val="0"/>
                <w:bCs w:val="0"/>
                <w:sz w:val="18"/>
                <w:szCs w:val="18"/>
              </w:rPr>
              <w:t>Qld</w:t>
            </w:r>
          </w:p>
        </w:tc>
        <w:tc>
          <w:tcPr>
            <w:tcW w:w="867" w:type="dxa"/>
            <w:tcBorders>
              <w:top w:val="single" w:sz="4" w:space="0" w:color="auto"/>
              <w:bottom w:val="single" w:sz="4" w:space="0" w:color="auto"/>
            </w:tcBorders>
            <w:hideMark/>
          </w:tcPr>
          <w:p w14:paraId="6144F901" w14:textId="77777777" w:rsidR="0010796F" w:rsidRPr="000C7515" w:rsidRDefault="0010796F" w:rsidP="00450C04">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rPr>
            </w:pPr>
            <w:r w:rsidRPr="000C7515">
              <w:rPr>
                <w:rFonts w:ascii="Arial" w:hAnsi="Arial" w:cs="Arial"/>
                <w:b w:val="0"/>
                <w:bCs w:val="0"/>
                <w:sz w:val="18"/>
                <w:szCs w:val="18"/>
              </w:rPr>
              <w:t>SA</w:t>
            </w:r>
          </w:p>
        </w:tc>
        <w:tc>
          <w:tcPr>
            <w:tcW w:w="867" w:type="dxa"/>
            <w:tcBorders>
              <w:top w:val="single" w:sz="4" w:space="0" w:color="auto"/>
              <w:bottom w:val="single" w:sz="4" w:space="0" w:color="auto"/>
            </w:tcBorders>
            <w:hideMark/>
          </w:tcPr>
          <w:p w14:paraId="2E119845" w14:textId="77777777" w:rsidR="0010796F" w:rsidRPr="000C7515" w:rsidRDefault="0010796F" w:rsidP="00450C04">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rPr>
            </w:pPr>
            <w:r w:rsidRPr="000C7515">
              <w:rPr>
                <w:rFonts w:ascii="Arial" w:hAnsi="Arial" w:cs="Arial"/>
                <w:b w:val="0"/>
                <w:bCs w:val="0"/>
                <w:sz w:val="18"/>
                <w:szCs w:val="18"/>
              </w:rPr>
              <w:t>WA</w:t>
            </w:r>
          </w:p>
        </w:tc>
        <w:tc>
          <w:tcPr>
            <w:tcW w:w="640" w:type="dxa"/>
            <w:tcBorders>
              <w:top w:val="single" w:sz="4" w:space="0" w:color="auto"/>
              <w:bottom w:val="single" w:sz="4" w:space="0" w:color="auto"/>
            </w:tcBorders>
            <w:hideMark/>
          </w:tcPr>
          <w:p w14:paraId="740B6109" w14:textId="77777777" w:rsidR="0010796F" w:rsidRPr="000C7515" w:rsidRDefault="0010796F" w:rsidP="00450C04">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rPr>
            </w:pPr>
            <w:r w:rsidRPr="000C7515">
              <w:rPr>
                <w:rFonts w:ascii="Arial" w:hAnsi="Arial" w:cs="Arial"/>
                <w:b w:val="0"/>
                <w:bCs w:val="0"/>
                <w:sz w:val="18"/>
                <w:szCs w:val="18"/>
              </w:rPr>
              <w:t>TAS</w:t>
            </w:r>
          </w:p>
        </w:tc>
        <w:tc>
          <w:tcPr>
            <w:tcW w:w="566" w:type="dxa"/>
            <w:tcBorders>
              <w:top w:val="single" w:sz="4" w:space="0" w:color="auto"/>
              <w:bottom w:val="single" w:sz="4" w:space="0" w:color="auto"/>
            </w:tcBorders>
            <w:hideMark/>
          </w:tcPr>
          <w:p w14:paraId="73968B88" w14:textId="77777777" w:rsidR="0010796F" w:rsidRPr="000C7515" w:rsidRDefault="0010796F" w:rsidP="00450C04">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rPr>
            </w:pPr>
            <w:r w:rsidRPr="000C7515">
              <w:rPr>
                <w:rFonts w:ascii="Arial" w:hAnsi="Arial" w:cs="Arial"/>
                <w:b w:val="0"/>
                <w:bCs w:val="0"/>
                <w:sz w:val="18"/>
                <w:szCs w:val="18"/>
              </w:rPr>
              <w:t>NT</w:t>
            </w:r>
          </w:p>
        </w:tc>
        <w:tc>
          <w:tcPr>
            <w:tcW w:w="709" w:type="dxa"/>
            <w:tcBorders>
              <w:top w:val="single" w:sz="4" w:space="0" w:color="auto"/>
              <w:bottom w:val="single" w:sz="4" w:space="0" w:color="auto"/>
            </w:tcBorders>
            <w:hideMark/>
          </w:tcPr>
          <w:p w14:paraId="7173C495" w14:textId="77777777" w:rsidR="0010796F" w:rsidRPr="000C7515" w:rsidRDefault="0010796F" w:rsidP="00450C04">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rPr>
            </w:pPr>
            <w:r w:rsidRPr="000C7515">
              <w:rPr>
                <w:rFonts w:ascii="Arial" w:hAnsi="Arial" w:cs="Arial"/>
                <w:b w:val="0"/>
                <w:bCs w:val="0"/>
                <w:sz w:val="18"/>
                <w:szCs w:val="18"/>
              </w:rPr>
              <w:t>ACT</w:t>
            </w:r>
          </w:p>
        </w:tc>
        <w:tc>
          <w:tcPr>
            <w:tcW w:w="992" w:type="dxa"/>
            <w:tcBorders>
              <w:top w:val="single" w:sz="4" w:space="0" w:color="auto"/>
              <w:bottom w:val="single" w:sz="4" w:space="0" w:color="auto"/>
            </w:tcBorders>
            <w:hideMark/>
          </w:tcPr>
          <w:p w14:paraId="014982CA" w14:textId="77777777" w:rsidR="0010796F" w:rsidRPr="000C7515" w:rsidRDefault="0010796F" w:rsidP="00450C04">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rPr>
            </w:pPr>
            <w:r w:rsidRPr="000C7515">
              <w:rPr>
                <w:rFonts w:ascii="Arial" w:hAnsi="Arial" w:cs="Arial"/>
                <w:b w:val="0"/>
                <w:bCs w:val="0"/>
                <w:sz w:val="18"/>
                <w:szCs w:val="18"/>
              </w:rPr>
              <w:t>AUS</w:t>
            </w:r>
          </w:p>
        </w:tc>
      </w:tr>
      <w:tr w:rsidR="00F95EC4" w:rsidRPr="00FD21A0" w14:paraId="206BF9CC" w14:textId="77777777" w:rsidTr="0010796F">
        <w:trPr>
          <w:cnfStyle w:val="000000100000" w:firstRow="0" w:lastRow="0" w:firstColumn="0" w:lastColumn="0" w:oddVBand="0" w:evenVBand="0" w:oddHBand="1" w:evenHBand="0" w:firstRowFirstColumn="0" w:firstRowLastColumn="0" w:lastRowFirstColumn="0" w:lastRowLastColumn="0"/>
          <w:trHeight w:val="427"/>
        </w:trPr>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auto"/>
              <w:left w:val="single" w:sz="4" w:space="0" w:color="auto"/>
              <w:bottom w:val="nil"/>
            </w:tcBorders>
            <w:hideMark/>
          </w:tcPr>
          <w:p w14:paraId="224A9C94" w14:textId="77777777" w:rsidR="00F95EC4" w:rsidRPr="00FD21A0" w:rsidRDefault="00F95EC4" w:rsidP="00450C04">
            <w:pPr>
              <w:rPr>
                <w:rFonts w:ascii="Arial" w:hAnsi="Arial" w:cs="Arial"/>
                <w:b w:val="0"/>
                <w:bCs w:val="0"/>
                <w:sz w:val="18"/>
                <w:szCs w:val="18"/>
              </w:rPr>
            </w:pPr>
            <w:r w:rsidRPr="00FD21A0">
              <w:rPr>
                <w:rFonts w:ascii="Arial" w:hAnsi="Arial" w:cs="Arial"/>
                <w:b w:val="0"/>
                <w:bCs w:val="0"/>
                <w:sz w:val="18"/>
                <w:szCs w:val="18"/>
              </w:rPr>
              <w:t>2014-15</w:t>
            </w:r>
          </w:p>
        </w:tc>
        <w:tc>
          <w:tcPr>
            <w:tcW w:w="1254" w:type="dxa"/>
            <w:tcBorders>
              <w:top w:val="single" w:sz="4" w:space="0" w:color="auto"/>
              <w:bottom w:val="single" w:sz="4" w:space="0" w:color="auto"/>
            </w:tcBorders>
            <w:hideMark/>
          </w:tcPr>
          <w:p w14:paraId="236593B0" w14:textId="77777777" w:rsidR="00F95EC4" w:rsidRPr="00FD21A0" w:rsidRDefault="00F95EC4" w:rsidP="00450C04">
            <w:pP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FD21A0">
              <w:rPr>
                <w:rFonts w:ascii="Arial" w:hAnsi="Arial" w:cs="Arial"/>
                <w:b/>
                <w:bCs/>
                <w:sz w:val="18"/>
                <w:szCs w:val="18"/>
              </w:rPr>
              <w:t xml:space="preserve">Average Fee Charged </w:t>
            </w:r>
          </w:p>
        </w:tc>
        <w:tc>
          <w:tcPr>
            <w:tcW w:w="1017" w:type="dxa"/>
            <w:tcBorders>
              <w:top w:val="single" w:sz="4" w:space="0" w:color="auto"/>
              <w:bottom w:val="single" w:sz="4" w:space="0" w:color="auto"/>
            </w:tcBorders>
            <w:noWrap/>
            <w:hideMark/>
          </w:tcPr>
          <w:p w14:paraId="0ADF8A14" w14:textId="77777777" w:rsidR="00F95EC4" w:rsidRPr="00FD21A0" w:rsidRDefault="00F95EC4" w:rsidP="00450C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FD21A0">
              <w:rPr>
                <w:rFonts w:ascii="Arial" w:hAnsi="Arial" w:cs="Arial"/>
                <w:color w:val="000000"/>
                <w:sz w:val="18"/>
                <w:szCs w:val="18"/>
              </w:rPr>
              <w:t xml:space="preserve">$349.36 </w:t>
            </w:r>
          </w:p>
        </w:tc>
        <w:tc>
          <w:tcPr>
            <w:tcW w:w="867" w:type="dxa"/>
            <w:tcBorders>
              <w:top w:val="single" w:sz="4" w:space="0" w:color="auto"/>
              <w:bottom w:val="single" w:sz="4" w:space="0" w:color="auto"/>
            </w:tcBorders>
            <w:noWrap/>
            <w:hideMark/>
          </w:tcPr>
          <w:p w14:paraId="3CC0CB27" w14:textId="77777777" w:rsidR="00F95EC4" w:rsidRPr="00FD21A0" w:rsidRDefault="00F95EC4" w:rsidP="00450C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FD21A0">
              <w:rPr>
                <w:rFonts w:ascii="Arial" w:hAnsi="Arial" w:cs="Arial"/>
                <w:color w:val="000000"/>
                <w:sz w:val="18"/>
                <w:szCs w:val="18"/>
              </w:rPr>
              <w:t xml:space="preserve">$405.42 </w:t>
            </w:r>
          </w:p>
        </w:tc>
        <w:tc>
          <w:tcPr>
            <w:tcW w:w="867" w:type="dxa"/>
            <w:tcBorders>
              <w:top w:val="single" w:sz="4" w:space="0" w:color="auto"/>
              <w:bottom w:val="single" w:sz="4" w:space="0" w:color="auto"/>
            </w:tcBorders>
            <w:noWrap/>
            <w:hideMark/>
          </w:tcPr>
          <w:p w14:paraId="4B3E5F40" w14:textId="77777777" w:rsidR="00F95EC4" w:rsidRPr="00FD21A0" w:rsidRDefault="00F95EC4" w:rsidP="00450C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FD21A0">
              <w:rPr>
                <w:rFonts w:ascii="Arial" w:hAnsi="Arial" w:cs="Arial"/>
                <w:color w:val="000000"/>
                <w:sz w:val="18"/>
                <w:szCs w:val="18"/>
              </w:rPr>
              <w:t xml:space="preserve">$413.03 </w:t>
            </w:r>
          </w:p>
        </w:tc>
        <w:tc>
          <w:tcPr>
            <w:tcW w:w="867" w:type="dxa"/>
            <w:tcBorders>
              <w:top w:val="single" w:sz="4" w:space="0" w:color="auto"/>
              <w:bottom w:val="single" w:sz="4" w:space="0" w:color="auto"/>
            </w:tcBorders>
            <w:noWrap/>
            <w:hideMark/>
          </w:tcPr>
          <w:p w14:paraId="32D8EA0D" w14:textId="77777777" w:rsidR="00F95EC4" w:rsidRPr="00FD21A0" w:rsidRDefault="00F95EC4" w:rsidP="00450C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FD21A0">
              <w:rPr>
                <w:rFonts w:ascii="Arial" w:hAnsi="Arial" w:cs="Arial"/>
                <w:color w:val="000000"/>
                <w:sz w:val="18"/>
                <w:szCs w:val="18"/>
              </w:rPr>
              <w:t xml:space="preserve">$516.71 </w:t>
            </w:r>
          </w:p>
        </w:tc>
        <w:tc>
          <w:tcPr>
            <w:tcW w:w="867" w:type="dxa"/>
            <w:tcBorders>
              <w:top w:val="single" w:sz="4" w:space="0" w:color="auto"/>
              <w:bottom w:val="single" w:sz="4" w:space="0" w:color="auto"/>
            </w:tcBorders>
            <w:noWrap/>
            <w:hideMark/>
          </w:tcPr>
          <w:p w14:paraId="4697B95B" w14:textId="77777777" w:rsidR="00F95EC4" w:rsidRPr="00FD21A0" w:rsidRDefault="00F95EC4" w:rsidP="00450C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FD21A0">
              <w:rPr>
                <w:rFonts w:ascii="Arial" w:hAnsi="Arial" w:cs="Arial"/>
                <w:color w:val="000000"/>
                <w:sz w:val="18"/>
                <w:szCs w:val="18"/>
              </w:rPr>
              <w:t xml:space="preserve">$244.64 </w:t>
            </w:r>
          </w:p>
        </w:tc>
        <w:tc>
          <w:tcPr>
            <w:tcW w:w="640" w:type="dxa"/>
            <w:tcBorders>
              <w:top w:val="single" w:sz="4" w:space="0" w:color="auto"/>
              <w:bottom w:val="single" w:sz="4" w:space="0" w:color="auto"/>
            </w:tcBorders>
            <w:noWrap/>
            <w:hideMark/>
          </w:tcPr>
          <w:p w14:paraId="45AEC095" w14:textId="77777777" w:rsidR="00F95EC4" w:rsidRPr="00FD21A0" w:rsidRDefault="00F95EC4" w:rsidP="00450C0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FD21A0">
              <w:rPr>
                <w:rFonts w:ascii="Arial" w:hAnsi="Arial" w:cs="Arial"/>
                <w:color w:val="000000"/>
                <w:sz w:val="18"/>
                <w:szCs w:val="18"/>
              </w:rPr>
              <w:t>np</w:t>
            </w:r>
          </w:p>
        </w:tc>
        <w:tc>
          <w:tcPr>
            <w:tcW w:w="566" w:type="dxa"/>
            <w:tcBorders>
              <w:top w:val="single" w:sz="4" w:space="0" w:color="auto"/>
              <w:bottom w:val="single" w:sz="4" w:space="0" w:color="auto"/>
            </w:tcBorders>
            <w:noWrap/>
            <w:hideMark/>
          </w:tcPr>
          <w:p w14:paraId="5C1EFCE1" w14:textId="77777777" w:rsidR="00F95EC4" w:rsidRPr="00FD21A0" w:rsidRDefault="00F95EC4" w:rsidP="00450C0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FD21A0">
              <w:rPr>
                <w:rFonts w:ascii="Arial" w:hAnsi="Arial" w:cs="Arial"/>
                <w:color w:val="000000"/>
                <w:sz w:val="18"/>
                <w:szCs w:val="18"/>
              </w:rPr>
              <w:t>np</w:t>
            </w:r>
          </w:p>
        </w:tc>
        <w:tc>
          <w:tcPr>
            <w:tcW w:w="709" w:type="dxa"/>
            <w:tcBorders>
              <w:top w:val="single" w:sz="4" w:space="0" w:color="auto"/>
              <w:bottom w:val="single" w:sz="4" w:space="0" w:color="auto"/>
            </w:tcBorders>
            <w:noWrap/>
            <w:hideMark/>
          </w:tcPr>
          <w:p w14:paraId="2BD81B08" w14:textId="77777777" w:rsidR="00F95EC4" w:rsidRPr="00FD21A0" w:rsidRDefault="00F95EC4" w:rsidP="00450C0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FD21A0">
              <w:rPr>
                <w:rFonts w:ascii="Arial" w:hAnsi="Arial" w:cs="Arial"/>
                <w:color w:val="000000"/>
                <w:sz w:val="18"/>
                <w:szCs w:val="18"/>
              </w:rPr>
              <w:t>np</w:t>
            </w:r>
          </w:p>
        </w:tc>
        <w:tc>
          <w:tcPr>
            <w:tcW w:w="992" w:type="dxa"/>
            <w:tcBorders>
              <w:top w:val="single" w:sz="4" w:space="0" w:color="auto"/>
              <w:bottom w:val="single" w:sz="4" w:space="0" w:color="auto"/>
              <w:right w:val="single" w:sz="4" w:space="0" w:color="auto"/>
            </w:tcBorders>
            <w:noWrap/>
            <w:hideMark/>
          </w:tcPr>
          <w:p w14:paraId="1C91CCD6" w14:textId="77777777" w:rsidR="00F95EC4" w:rsidRPr="00FD21A0" w:rsidRDefault="00F95EC4" w:rsidP="00450C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FD21A0">
              <w:rPr>
                <w:rFonts w:ascii="Arial" w:hAnsi="Arial" w:cs="Arial"/>
                <w:color w:val="000000"/>
                <w:sz w:val="18"/>
                <w:szCs w:val="18"/>
              </w:rPr>
              <w:t xml:space="preserve">$430.51 </w:t>
            </w:r>
          </w:p>
        </w:tc>
      </w:tr>
      <w:tr w:rsidR="00F95EC4" w:rsidRPr="00FD21A0" w14:paraId="0C8E3D30" w14:textId="77777777" w:rsidTr="0010796F">
        <w:trPr>
          <w:trHeight w:val="365"/>
        </w:trPr>
        <w:tc>
          <w:tcPr>
            <w:cnfStyle w:val="001000000000" w:firstRow="0" w:lastRow="0" w:firstColumn="1" w:lastColumn="0" w:oddVBand="0" w:evenVBand="0" w:oddHBand="0" w:evenHBand="0" w:firstRowFirstColumn="0" w:firstRowLastColumn="0" w:lastRowFirstColumn="0" w:lastRowLastColumn="0"/>
            <w:tcW w:w="709" w:type="dxa"/>
            <w:tcBorders>
              <w:top w:val="nil"/>
              <w:left w:val="single" w:sz="4" w:space="0" w:color="auto"/>
              <w:bottom w:val="nil"/>
            </w:tcBorders>
            <w:hideMark/>
          </w:tcPr>
          <w:p w14:paraId="695AC898" w14:textId="77777777" w:rsidR="00F95EC4" w:rsidRPr="00FD21A0" w:rsidRDefault="00F95EC4" w:rsidP="00450C04">
            <w:pPr>
              <w:rPr>
                <w:rFonts w:ascii="Arial" w:hAnsi="Arial" w:cs="Arial"/>
                <w:b w:val="0"/>
                <w:bCs w:val="0"/>
                <w:sz w:val="18"/>
                <w:szCs w:val="18"/>
              </w:rPr>
            </w:pPr>
          </w:p>
        </w:tc>
        <w:tc>
          <w:tcPr>
            <w:tcW w:w="1254" w:type="dxa"/>
            <w:tcBorders>
              <w:top w:val="single" w:sz="4" w:space="0" w:color="auto"/>
            </w:tcBorders>
            <w:hideMark/>
          </w:tcPr>
          <w:p w14:paraId="5ACE65FB" w14:textId="77777777" w:rsidR="00F95EC4" w:rsidRPr="00FD21A0" w:rsidRDefault="00F95EC4" w:rsidP="00450C04">
            <w:pP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FD21A0">
              <w:rPr>
                <w:rFonts w:ascii="Arial" w:hAnsi="Arial" w:cs="Arial"/>
                <w:b/>
                <w:bCs/>
                <w:sz w:val="18"/>
                <w:szCs w:val="18"/>
              </w:rPr>
              <w:t>Standard</w:t>
            </w:r>
            <w:r w:rsidRPr="00FD21A0">
              <w:rPr>
                <w:rFonts w:ascii="Arial" w:hAnsi="Arial" w:cs="Arial"/>
                <w:b/>
                <w:bCs/>
                <w:sz w:val="18"/>
                <w:szCs w:val="18"/>
              </w:rPr>
              <w:br/>
              <w:t>Deviation</w:t>
            </w:r>
          </w:p>
        </w:tc>
        <w:tc>
          <w:tcPr>
            <w:tcW w:w="1017" w:type="dxa"/>
            <w:tcBorders>
              <w:top w:val="single" w:sz="4" w:space="0" w:color="auto"/>
            </w:tcBorders>
            <w:noWrap/>
            <w:hideMark/>
          </w:tcPr>
          <w:p w14:paraId="3B2B2434" w14:textId="77777777" w:rsidR="00F95EC4" w:rsidRPr="00FD21A0" w:rsidRDefault="00F95EC4" w:rsidP="00450C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FD21A0">
              <w:rPr>
                <w:rFonts w:ascii="Arial" w:hAnsi="Arial" w:cs="Arial"/>
                <w:color w:val="000000"/>
                <w:sz w:val="18"/>
                <w:szCs w:val="18"/>
              </w:rPr>
              <w:t xml:space="preserve">$88.05 </w:t>
            </w:r>
          </w:p>
        </w:tc>
        <w:tc>
          <w:tcPr>
            <w:tcW w:w="867" w:type="dxa"/>
            <w:tcBorders>
              <w:top w:val="single" w:sz="4" w:space="0" w:color="auto"/>
            </w:tcBorders>
            <w:noWrap/>
            <w:hideMark/>
          </w:tcPr>
          <w:p w14:paraId="0118A674" w14:textId="77777777" w:rsidR="00F95EC4" w:rsidRPr="00FD21A0" w:rsidRDefault="00F95EC4" w:rsidP="00450C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FD21A0">
              <w:rPr>
                <w:rFonts w:ascii="Arial" w:hAnsi="Arial" w:cs="Arial"/>
                <w:color w:val="000000"/>
                <w:sz w:val="18"/>
                <w:szCs w:val="18"/>
              </w:rPr>
              <w:t xml:space="preserve">$93.33 </w:t>
            </w:r>
          </w:p>
        </w:tc>
        <w:tc>
          <w:tcPr>
            <w:tcW w:w="867" w:type="dxa"/>
            <w:tcBorders>
              <w:top w:val="single" w:sz="4" w:space="0" w:color="auto"/>
            </w:tcBorders>
            <w:noWrap/>
            <w:hideMark/>
          </w:tcPr>
          <w:p w14:paraId="29B64F2A" w14:textId="77777777" w:rsidR="00F95EC4" w:rsidRPr="00FD21A0" w:rsidRDefault="00F95EC4" w:rsidP="00450C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FD21A0">
              <w:rPr>
                <w:rFonts w:ascii="Arial" w:hAnsi="Arial" w:cs="Arial"/>
                <w:color w:val="000000"/>
                <w:sz w:val="18"/>
                <w:szCs w:val="18"/>
              </w:rPr>
              <w:t xml:space="preserve">$122.24 </w:t>
            </w:r>
          </w:p>
        </w:tc>
        <w:tc>
          <w:tcPr>
            <w:tcW w:w="867" w:type="dxa"/>
            <w:tcBorders>
              <w:top w:val="single" w:sz="4" w:space="0" w:color="auto"/>
            </w:tcBorders>
            <w:noWrap/>
            <w:hideMark/>
          </w:tcPr>
          <w:p w14:paraId="5207B960" w14:textId="77777777" w:rsidR="00F95EC4" w:rsidRPr="00FD21A0" w:rsidRDefault="00F95EC4" w:rsidP="00450C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FD21A0">
              <w:rPr>
                <w:rFonts w:ascii="Arial" w:hAnsi="Arial" w:cs="Arial"/>
                <w:color w:val="000000"/>
                <w:sz w:val="18"/>
                <w:szCs w:val="18"/>
              </w:rPr>
              <w:t xml:space="preserve">$152.96 </w:t>
            </w:r>
          </w:p>
        </w:tc>
        <w:tc>
          <w:tcPr>
            <w:tcW w:w="867" w:type="dxa"/>
            <w:tcBorders>
              <w:top w:val="single" w:sz="4" w:space="0" w:color="auto"/>
            </w:tcBorders>
            <w:noWrap/>
            <w:hideMark/>
          </w:tcPr>
          <w:p w14:paraId="0D5F8948" w14:textId="77777777" w:rsidR="00F95EC4" w:rsidRPr="00FD21A0" w:rsidRDefault="00F95EC4" w:rsidP="00450C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FD21A0">
              <w:rPr>
                <w:rFonts w:ascii="Arial" w:hAnsi="Arial" w:cs="Arial"/>
                <w:color w:val="000000"/>
                <w:sz w:val="18"/>
                <w:szCs w:val="18"/>
              </w:rPr>
              <w:t xml:space="preserve">$25.25 </w:t>
            </w:r>
          </w:p>
        </w:tc>
        <w:tc>
          <w:tcPr>
            <w:tcW w:w="640" w:type="dxa"/>
            <w:tcBorders>
              <w:top w:val="single" w:sz="4" w:space="0" w:color="auto"/>
            </w:tcBorders>
            <w:noWrap/>
            <w:hideMark/>
          </w:tcPr>
          <w:p w14:paraId="25225285" w14:textId="77777777" w:rsidR="00F95EC4" w:rsidRPr="00FD21A0" w:rsidRDefault="00F95EC4" w:rsidP="00450C0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FD21A0">
              <w:rPr>
                <w:rFonts w:ascii="Arial" w:hAnsi="Arial" w:cs="Arial"/>
                <w:color w:val="000000"/>
                <w:sz w:val="18"/>
                <w:szCs w:val="18"/>
              </w:rPr>
              <w:t>np</w:t>
            </w:r>
          </w:p>
        </w:tc>
        <w:tc>
          <w:tcPr>
            <w:tcW w:w="566" w:type="dxa"/>
            <w:tcBorders>
              <w:top w:val="single" w:sz="4" w:space="0" w:color="auto"/>
            </w:tcBorders>
            <w:noWrap/>
            <w:hideMark/>
          </w:tcPr>
          <w:p w14:paraId="30C4771C" w14:textId="77777777" w:rsidR="00F95EC4" w:rsidRPr="00FD21A0" w:rsidRDefault="00F95EC4" w:rsidP="00450C0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FD21A0">
              <w:rPr>
                <w:rFonts w:ascii="Arial" w:hAnsi="Arial" w:cs="Arial"/>
                <w:color w:val="000000"/>
                <w:sz w:val="18"/>
                <w:szCs w:val="18"/>
              </w:rPr>
              <w:t>np</w:t>
            </w:r>
          </w:p>
        </w:tc>
        <w:tc>
          <w:tcPr>
            <w:tcW w:w="709" w:type="dxa"/>
            <w:tcBorders>
              <w:top w:val="single" w:sz="4" w:space="0" w:color="auto"/>
            </w:tcBorders>
            <w:noWrap/>
            <w:hideMark/>
          </w:tcPr>
          <w:p w14:paraId="7C1A28E3" w14:textId="77777777" w:rsidR="00F95EC4" w:rsidRPr="00FD21A0" w:rsidRDefault="00F95EC4" w:rsidP="00450C0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FD21A0">
              <w:rPr>
                <w:rFonts w:ascii="Arial" w:hAnsi="Arial" w:cs="Arial"/>
                <w:color w:val="000000"/>
                <w:sz w:val="18"/>
                <w:szCs w:val="18"/>
              </w:rPr>
              <w:t>np</w:t>
            </w:r>
          </w:p>
        </w:tc>
        <w:tc>
          <w:tcPr>
            <w:tcW w:w="992" w:type="dxa"/>
            <w:tcBorders>
              <w:top w:val="single" w:sz="4" w:space="0" w:color="auto"/>
            </w:tcBorders>
            <w:noWrap/>
            <w:hideMark/>
          </w:tcPr>
          <w:p w14:paraId="129F83C1" w14:textId="77777777" w:rsidR="00F95EC4" w:rsidRPr="00FD21A0" w:rsidRDefault="00F95EC4" w:rsidP="00450C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FD21A0">
              <w:rPr>
                <w:rFonts w:ascii="Arial" w:hAnsi="Arial" w:cs="Arial"/>
                <w:color w:val="000000"/>
                <w:sz w:val="18"/>
                <w:szCs w:val="18"/>
              </w:rPr>
              <w:t xml:space="preserve">$133.64 </w:t>
            </w:r>
          </w:p>
        </w:tc>
      </w:tr>
      <w:tr w:rsidR="00F95EC4" w:rsidRPr="00FD21A0" w14:paraId="41E009EC" w14:textId="77777777" w:rsidTr="00F95EC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709" w:type="dxa"/>
            <w:tcBorders>
              <w:top w:val="nil"/>
              <w:left w:val="single" w:sz="4" w:space="0" w:color="auto"/>
              <w:bottom w:val="nil"/>
            </w:tcBorders>
            <w:hideMark/>
          </w:tcPr>
          <w:p w14:paraId="47CE0525" w14:textId="77777777" w:rsidR="00F95EC4" w:rsidRPr="00FD21A0" w:rsidRDefault="00F95EC4" w:rsidP="00450C04">
            <w:pPr>
              <w:rPr>
                <w:rFonts w:ascii="Arial" w:hAnsi="Arial" w:cs="Arial"/>
                <w:b w:val="0"/>
                <w:bCs w:val="0"/>
                <w:sz w:val="18"/>
                <w:szCs w:val="18"/>
              </w:rPr>
            </w:pPr>
          </w:p>
        </w:tc>
        <w:tc>
          <w:tcPr>
            <w:tcW w:w="1254" w:type="dxa"/>
            <w:tcBorders>
              <w:top w:val="single" w:sz="4" w:space="0" w:color="auto"/>
              <w:bottom w:val="single" w:sz="4" w:space="0" w:color="auto"/>
            </w:tcBorders>
            <w:hideMark/>
          </w:tcPr>
          <w:p w14:paraId="45A84AD0" w14:textId="77777777" w:rsidR="00F95EC4" w:rsidRPr="00FD21A0" w:rsidRDefault="00F95EC4" w:rsidP="00450C04">
            <w:pP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FD21A0">
              <w:rPr>
                <w:rFonts w:ascii="Arial" w:hAnsi="Arial" w:cs="Arial"/>
                <w:b/>
                <w:bCs/>
                <w:sz w:val="18"/>
                <w:szCs w:val="18"/>
              </w:rPr>
              <w:t>Median</w:t>
            </w:r>
          </w:p>
        </w:tc>
        <w:tc>
          <w:tcPr>
            <w:tcW w:w="1017" w:type="dxa"/>
            <w:tcBorders>
              <w:top w:val="single" w:sz="4" w:space="0" w:color="auto"/>
              <w:bottom w:val="single" w:sz="4" w:space="0" w:color="auto"/>
            </w:tcBorders>
            <w:noWrap/>
            <w:hideMark/>
          </w:tcPr>
          <w:p w14:paraId="644AD664" w14:textId="77777777" w:rsidR="00F95EC4" w:rsidRPr="00FD21A0" w:rsidRDefault="00F95EC4" w:rsidP="00450C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FD21A0">
              <w:rPr>
                <w:rFonts w:ascii="Arial" w:hAnsi="Arial" w:cs="Arial"/>
                <w:color w:val="000000"/>
                <w:sz w:val="18"/>
                <w:szCs w:val="18"/>
              </w:rPr>
              <w:t xml:space="preserve">$361.85 </w:t>
            </w:r>
          </w:p>
        </w:tc>
        <w:tc>
          <w:tcPr>
            <w:tcW w:w="867" w:type="dxa"/>
            <w:tcBorders>
              <w:top w:val="single" w:sz="4" w:space="0" w:color="auto"/>
              <w:bottom w:val="single" w:sz="4" w:space="0" w:color="auto"/>
            </w:tcBorders>
            <w:noWrap/>
            <w:hideMark/>
          </w:tcPr>
          <w:p w14:paraId="260FA973" w14:textId="77777777" w:rsidR="00F95EC4" w:rsidRPr="00FD21A0" w:rsidRDefault="00F95EC4" w:rsidP="00450C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FD21A0">
              <w:rPr>
                <w:rFonts w:ascii="Arial" w:hAnsi="Arial" w:cs="Arial"/>
                <w:color w:val="000000"/>
                <w:sz w:val="18"/>
                <w:szCs w:val="18"/>
              </w:rPr>
              <w:t xml:space="preserve">$383.20 </w:t>
            </w:r>
          </w:p>
        </w:tc>
        <w:tc>
          <w:tcPr>
            <w:tcW w:w="867" w:type="dxa"/>
            <w:tcBorders>
              <w:top w:val="single" w:sz="4" w:space="0" w:color="auto"/>
              <w:bottom w:val="single" w:sz="4" w:space="0" w:color="auto"/>
            </w:tcBorders>
            <w:noWrap/>
            <w:hideMark/>
          </w:tcPr>
          <w:p w14:paraId="41E46291" w14:textId="77777777" w:rsidR="00F95EC4" w:rsidRPr="00FD21A0" w:rsidRDefault="00F95EC4" w:rsidP="00450C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FD21A0">
              <w:rPr>
                <w:rFonts w:ascii="Arial" w:hAnsi="Arial" w:cs="Arial"/>
                <w:color w:val="000000"/>
                <w:sz w:val="18"/>
                <w:szCs w:val="18"/>
              </w:rPr>
              <w:t xml:space="preserve">$360.70 </w:t>
            </w:r>
          </w:p>
        </w:tc>
        <w:tc>
          <w:tcPr>
            <w:tcW w:w="867" w:type="dxa"/>
            <w:tcBorders>
              <w:top w:val="single" w:sz="4" w:space="0" w:color="auto"/>
              <w:bottom w:val="single" w:sz="4" w:space="0" w:color="auto"/>
            </w:tcBorders>
            <w:noWrap/>
            <w:hideMark/>
          </w:tcPr>
          <w:p w14:paraId="71A61A95" w14:textId="77777777" w:rsidR="00F95EC4" w:rsidRPr="00FD21A0" w:rsidRDefault="00F95EC4" w:rsidP="00450C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FD21A0">
              <w:rPr>
                <w:rFonts w:ascii="Arial" w:hAnsi="Arial" w:cs="Arial"/>
                <w:color w:val="000000"/>
                <w:sz w:val="18"/>
                <w:szCs w:val="18"/>
              </w:rPr>
              <w:t xml:space="preserve">$607.00 </w:t>
            </w:r>
          </w:p>
        </w:tc>
        <w:tc>
          <w:tcPr>
            <w:tcW w:w="867" w:type="dxa"/>
            <w:tcBorders>
              <w:top w:val="single" w:sz="4" w:space="0" w:color="auto"/>
              <w:bottom w:val="single" w:sz="4" w:space="0" w:color="auto"/>
            </w:tcBorders>
            <w:noWrap/>
            <w:hideMark/>
          </w:tcPr>
          <w:p w14:paraId="0C56B207" w14:textId="77777777" w:rsidR="00F95EC4" w:rsidRPr="00FD21A0" w:rsidRDefault="00F95EC4" w:rsidP="00450C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FD21A0">
              <w:rPr>
                <w:rFonts w:ascii="Arial" w:hAnsi="Arial" w:cs="Arial"/>
                <w:color w:val="000000"/>
                <w:sz w:val="18"/>
                <w:szCs w:val="18"/>
              </w:rPr>
              <w:t>n/a (4)</w:t>
            </w:r>
          </w:p>
        </w:tc>
        <w:tc>
          <w:tcPr>
            <w:tcW w:w="640" w:type="dxa"/>
            <w:tcBorders>
              <w:top w:val="single" w:sz="4" w:space="0" w:color="auto"/>
              <w:bottom w:val="single" w:sz="4" w:space="0" w:color="auto"/>
            </w:tcBorders>
            <w:noWrap/>
            <w:hideMark/>
          </w:tcPr>
          <w:p w14:paraId="74F87F98" w14:textId="77777777" w:rsidR="00F95EC4" w:rsidRPr="00FD21A0" w:rsidRDefault="00F95EC4" w:rsidP="00450C0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FD21A0">
              <w:rPr>
                <w:rFonts w:ascii="Arial" w:hAnsi="Arial" w:cs="Arial"/>
                <w:color w:val="000000"/>
                <w:sz w:val="18"/>
                <w:szCs w:val="18"/>
              </w:rPr>
              <w:t>np</w:t>
            </w:r>
          </w:p>
        </w:tc>
        <w:tc>
          <w:tcPr>
            <w:tcW w:w="566" w:type="dxa"/>
            <w:tcBorders>
              <w:top w:val="single" w:sz="4" w:space="0" w:color="auto"/>
              <w:bottom w:val="single" w:sz="4" w:space="0" w:color="auto"/>
            </w:tcBorders>
            <w:noWrap/>
            <w:hideMark/>
          </w:tcPr>
          <w:p w14:paraId="7C43EE3D" w14:textId="77777777" w:rsidR="00F95EC4" w:rsidRPr="00FD21A0" w:rsidRDefault="00F95EC4" w:rsidP="00450C0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FD21A0">
              <w:rPr>
                <w:rFonts w:ascii="Arial" w:hAnsi="Arial" w:cs="Arial"/>
                <w:color w:val="000000"/>
                <w:sz w:val="18"/>
                <w:szCs w:val="18"/>
              </w:rPr>
              <w:t>np</w:t>
            </w:r>
          </w:p>
        </w:tc>
        <w:tc>
          <w:tcPr>
            <w:tcW w:w="709" w:type="dxa"/>
            <w:tcBorders>
              <w:top w:val="single" w:sz="4" w:space="0" w:color="auto"/>
              <w:bottom w:val="single" w:sz="4" w:space="0" w:color="auto"/>
            </w:tcBorders>
            <w:noWrap/>
            <w:hideMark/>
          </w:tcPr>
          <w:p w14:paraId="55179C4F" w14:textId="77777777" w:rsidR="00F95EC4" w:rsidRPr="00FD21A0" w:rsidRDefault="00F95EC4" w:rsidP="00450C0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FD21A0">
              <w:rPr>
                <w:rFonts w:ascii="Arial" w:hAnsi="Arial" w:cs="Arial"/>
                <w:color w:val="000000"/>
                <w:sz w:val="18"/>
                <w:szCs w:val="18"/>
              </w:rPr>
              <w:t>np</w:t>
            </w:r>
          </w:p>
        </w:tc>
        <w:tc>
          <w:tcPr>
            <w:tcW w:w="992" w:type="dxa"/>
            <w:tcBorders>
              <w:top w:val="single" w:sz="4" w:space="0" w:color="auto"/>
              <w:bottom w:val="single" w:sz="4" w:space="0" w:color="auto"/>
              <w:right w:val="single" w:sz="4" w:space="0" w:color="auto"/>
            </w:tcBorders>
            <w:noWrap/>
            <w:hideMark/>
          </w:tcPr>
          <w:p w14:paraId="05D4702C" w14:textId="77777777" w:rsidR="00F95EC4" w:rsidRPr="00FD21A0" w:rsidRDefault="00F95EC4" w:rsidP="00450C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FD21A0">
              <w:rPr>
                <w:rFonts w:ascii="Arial" w:hAnsi="Arial" w:cs="Arial"/>
                <w:color w:val="000000"/>
                <w:sz w:val="18"/>
                <w:szCs w:val="18"/>
              </w:rPr>
              <w:t xml:space="preserve">$383.20 </w:t>
            </w:r>
          </w:p>
        </w:tc>
      </w:tr>
      <w:tr w:rsidR="00F95EC4" w:rsidRPr="00FD21A0" w14:paraId="53050A03" w14:textId="77777777" w:rsidTr="0010796F">
        <w:trPr>
          <w:trHeight w:val="248"/>
        </w:trPr>
        <w:tc>
          <w:tcPr>
            <w:cnfStyle w:val="001000000000" w:firstRow="0" w:lastRow="0" w:firstColumn="1" w:lastColumn="0" w:oddVBand="0" w:evenVBand="0" w:oddHBand="0" w:evenHBand="0" w:firstRowFirstColumn="0" w:firstRowLastColumn="0" w:lastRowFirstColumn="0" w:lastRowLastColumn="0"/>
            <w:tcW w:w="709" w:type="dxa"/>
            <w:tcBorders>
              <w:top w:val="nil"/>
              <w:left w:val="single" w:sz="4" w:space="0" w:color="auto"/>
              <w:bottom w:val="nil"/>
            </w:tcBorders>
            <w:hideMark/>
          </w:tcPr>
          <w:p w14:paraId="4AE97694" w14:textId="77777777" w:rsidR="00F95EC4" w:rsidRPr="00FD21A0" w:rsidRDefault="00F95EC4" w:rsidP="00450C04">
            <w:pPr>
              <w:rPr>
                <w:rFonts w:ascii="Arial" w:hAnsi="Arial" w:cs="Arial"/>
                <w:b w:val="0"/>
                <w:bCs w:val="0"/>
                <w:sz w:val="18"/>
                <w:szCs w:val="18"/>
              </w:rPr>
            </w:pPr>
          </w:p>
        </w:tc>
        <w:tc>
          <w:tcPr>
            <w:tcW w:w="1254" w:type="dxa"/>
            <w:tcBorders>
              <w:top w:val="single" w:sz="4" w:space="0" w:color="auto"/>
            </w:tcBorders>
            <w:hideMark/>
          </w:tcPr>
          <w:p w14:paraId="7976EF6B" w14:textId="77777777" w:rsidR="00F95EC4" w:rsidRPr="00FD21A0" w:rsidRDefault="00F95EC4" w:rsidP="00450C04">
            <w:pP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FD21A0">
              <w:rPr>
                <w:rFonts w:ascii="Arial" w:hAnsi="Arial" w:cs="Arial"/>
                <w:b/>
                <w:bCs/>
                <w:sz w:val="18"/>
                <w:szCs w:val="18"/>
              </w:rPr>
              <w:t>75th Percentile</w:t>
            </w:r>
          </w:p>
        </w:tc>
        <w:tc>
          <w:tcPr>
            <w:tcW w:w="1017" w:type="dxa"/>
            <w:tcBorders>
              <w:top w:val="single" w:sz="4" w:space="0" w:color="auto"/>
            </w:tcBorders>
            <w:noWrap/>
            <w:hideMark/>
          </w:tcPr>
          <w:p w14:paraId="62CBCC09" w14:textId="77777777" w:rsidR="00F95EC4" w:rsidRPr="00FD21A0" w:rsidRDefault="00F95EC4" w:rsidP="00450C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FD21A0">
              <w:rPr>
                <w:rFonts w:ascii="Arial" w:hAnsi="Arial" w:cs="Arial"/>
                <w:color w:val="000000"/>
                <w:sz w:val="18"/>
                <w:szCs w:val="18"/>
              </w:rPr>
              <w:t xml:space="preserve">$383.20 </w:t>
            </w:r>
          </w:p>
        </w:tc>
        <w:tc>
          <w:tcPr>
            <w:tcW w:w="867" w:type="dxa"/>
            <w:tcBorders>
              <w:top w:val="single" w:sz="4" w:space="0" w:color="auto"/>
            </w:tcBorders>
            <w:noWrap/>
            <w:hideMark/>
          </w:tcPr>
          <w:p w14:paraId="3F5F7253" w14:textId="77777777" w:rsidR="00F95EC4" w:rsidRPr="00FD21A0" w:rsidRDefault="00F95EC4" w:rsidP="00450C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FD21A0">
              <w:rPr>
                <w:rFonts w:ascii="Arial" w:hAnsi="Arial" w:cs="Arial"/>
                <w:color w:val="000000"/>
                <w:sz w:val="18"/>
                <w:szCs w:val="18"/>
              </w:rPr>
              <w:t xml:space="preserve">$486.00 </w:t>
            </w:r>
          </w:p>
        </w:tc>
        <w:tc>
          <w:tcPr>
            <w:tcW w:w="867" w:type="dxa"/>
            <w:tcBorders>
              <w:top w:val="single" w:sz="4" w:space="0" w:color="auto"/>
            </w:tcBorders>
            <w:noWrap/>
            <w:hideMark/>
          </w:tcPr>
          <w:p w14:paraId="4BB1BA0F" w14:textId="77777777" w:rsidR="00F95EC4" w:rsidRPr="00FD21A0" w:rsidRDefault="00F95EC4" w:rsidP="00450C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FD21A0">
              <w:rPr>
                <w:rFonts w:ascii="Arial" w:hAnsi="Arial" w:cs="Arial"/>
                <w:color w:val="000000"/>
                <w:sz w:val="18"/>
                <w:szCs w:val="18"/>
              </w:rPr>
              <w:t xml:space="preserve">$483.00 </w:t>
            </w:r>
          </w:p>
        </w:tc>
        <w:tc>
          <w:tcPr>
            <w:tcW w:w="867" w:type="dxa"/>
            <w:tcBorders>
              <w:top w:val="single" w:sz="4" w:space="0" w:color="auto"/>
            </w:tcBorders>
            <w:noWrap/>
            <w:hideMark/>
          </w:tcPr>
          <w:p w14:paraId="7C3BBE77" w14:textId="77777777" w:rsidR="00F95EC4" w:rsidRPr="00FD21A0" w:rsidRDefault="00F95EC4" w:rsidP="00450C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FD21A0">
              <w:rPr>
                <w:rFonts w:ascii="Arial" w:hAnsi="Arial" w:cs="Arial"/>
                <w:color w:val="000000"/>
                <w:sz w:val="18"/>
                <w:szCs w:val="18"/>
              </w:rPr>
              <w:t xml:space="preserve">$655.90 </w:t>
            </w:r>
          </w:p>
        </w:tc>
        <w:tc>
          <w:tcPr>
            <w:tcW w:w="867" w:type="dxa"/>
            <w:tcBorders>
              <w:top w:val="single" w:sz="4" w:space="0" w:color="auto"/>
            </w:tcBorders>
            <w:noWrap/>
            <w:hideMark/>
          </w:tcPr>
          <w:p w14:paraId="1B06E673" w14:textId="77777777" w:rsidR="00F95EC4" w:rsidRPr="00FD21A0" w:rsidRDefault="00F95EC4" w:rsidP="00450C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FD21A0">
              <w:rPr>
                <w:rFonts w:ascii="Arial" w:hAnsi="Arial" w:cs="Arial"/>
                <w:color w:val="000000"/>
                <w:sz w:val="18"/>
                <w:szCs w:val="18"/>
              </w:rPr>
              <w:t>n/a (4)</w:t>
            </w:r>
          </w:p>
        </w:tc>
        <w:tc>
          <w:tcPr>
            <w:tcW w:w="640" w:type="dxa"/>
            <w:tcBorders>
              <w:top w:val="single" w:sz="4" w:space="0" w:color="auto"/>
            </w:tcBorders>
            <w:noWrap/>
            <w:hideMark/>
          </w:tcPr>
          <w:p w14:paraId="72C38FFB" w14:textId="77777777" w:rsidR="00F95EC4" w:rsidRPr="00FD21A0" w:rsidRDefault="00F95EC4" w:rsidP="00450C0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FD21A0">
              <w:rPr>
                <w:rFonts w:ascii="Arial" w:hAnsi="Arial" w:cs="Arial"/>
                <w:color w:val="000000"/>
                <w:sz w:val="18"/>
                <w:szCs w:val="18"/>
              </w:rPr>
              <w:t>np</w:t>
            </w:r>
          </w:p>
        </w:tc>
        <w:tc>
          <w:tcPr>
            <w:tcW w:w="566" w:type="dxa"/>
            <w:tcBorders>
              <w:top w:val="single" w:sz="4" w:space="0" w:color="auto"/>
            </w:tcBorders>
            <w:noWrap/>
            <w:hideMark/>
          </w:tcPr>
          <w:p w14:paraId="537797F4" w14:textId="77777777" w:rsidR="00F95EC4" w:rsidRPr="00FD21A0" w:rsidRDefault="00F95EC4" w:rsidP="00450C0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FD21A0">
              <w:rPr>
                <w:rFonts w:ascii="Arial" w:hAnsi="Arial" w:cs="Arial"/>
                <w:color w:val="000000"/>
                <w:sz w:val="18"/>
                <w:szCs w:val="18"/>
              </w:rPr>
              <w:t>np</w:t>
            </w:r>
          </w:p>
        </w:tc>
        <w:tc>
          <w:tcPr>
            <w:tcW w:w="709" w:type="dxa"/>
            <w:tcBorders>
              <w:top w:val="single" w:sz="4" w:space="0" w:color="auto"/>
            </w:tcBorders>
            <w:noWrap/>
            <w:hideMark/>
          </w:tcPr>
          <w:p w14:paraId="2E0D4A94" w14:textId="77777777" w:rsidR="00F95EC4" w:rsidRPr="00FD21A0" w:rsidRDefault="00F95EC4" w:rsidP="00450C0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FD21A0">
              <w:rPr>
                <w:rFonts w:ascii="Arial" w:hAnsi="Arial" w:cs="Arial"/>
                <w:color w:val="000000"/>
                <w:sz w:val="18"/>
                <w:szCs w:val="18"/>
              </w:rPr>
              <w:t>np</w:t>
            </w:r>
          </w:p>
        </w:tc>
        <w:tc>
          <w:tcPr>
            <w:tcW w:w="992" w:type="dxa"/>
            <w:tcBorders>
              <w:top w:val="single" w:sz="4" w:space="0" w:color="auto"/>
            </w:tcBorders>
            <w:noWrap/>
            <w:hideMark/>
          </w:tcPr>
          <w:p w14:paraId="4EF2C890" w14:textId="77777777" w:rsidR="00F95EC4" w:rsidRPr="00FD21A0" w:rsidRDefault="00F95EC4" w:rsidP="00450C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FD21A0">
              <w:rPr>
                <w:rFonts w:ascii="Arial" w:hAnsi="Arial" w:cs="Arial"/>
                <w:color w:val="000000"/>
                <w:sz w:val="18"/>
                <w:szCs w:val="18"/>
              </w:rPr>
              <w:t xml:space="preserve">$535.00 </w:t>
            </w:r>
          </w:p>
        </w:tc>
      </w:tr>
      <w:tr w:rsidR="00F95EC4" w:rsidRPr="00FD21A0" w14:paraId="60CB4042" w14:textId="77777777" w:rsidTr="0010796F">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709" w:type="dxa"/>
            <w:tcBorders>
              <w:top w:val="nil"/>
              <w:left w:val="single" w:sz="4" w:space="0" w:color="auto"/>
              <w:bottom w:val="nil"/>
            </w:tcBorders>
            <w:hideMark/>
          </w:tcPr>
          <w:p w14:paraId="035DFCCB" w14:textId="77777777" w:rsidR="00F95EC4" w:rsidRPr="00FD21A0" w:rsidRDefault="00F95EC4" w:rsidP="00450C04">
            <w:pPr>
              <w:rPr>
                <w:rFonts w:ascii="Arial" w:hAnsi="Arial" w:cs="Arial"/>
                <w:b w:val="0"/>
                <w:bCs w:val="0"/>
                <w:sz w:val="18"/>
                <w:szCs w:val="18"/>
              </w:rPr>
            </w:pPr>
          </w:p>
        </w:tc>
        <w:tc>
          <w:tcPr>
            <w:tcW w:w="1254" w:type="dxa"/>
            <w:tcBorders>
              <w:top w:val="single" w:sz="4" w:space="0" w:color="auto"/>
              <w:bottom w:val="single" w:sz="4" w:space="0" w:color="auto"/>
            </w:tcBorders>
            <w:hideMark/>
          </w:tcPr>
          <w:p w14:paraId="47B7BA35" w14:textId="77777777" w:rsidR="00F95EC4" w:rsidRPr="00FD21A0" w:rsidRDefault="00F95EC4" w:rsidP="00450C04">
            <w:pP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FD21A0">
              <w:rPr>
                <w:rFonts w:ascii="Arial" w:hAnsi="Arial" w:cs="Arial"/>
                <w:b/>
                <w:bCs/>
                <w:sz w:val="18"/>
                <w:szCs w:val="18"/>
              </w:rPr>
              <w:t>95th Percentile</w:t>
            </w:r>
            <w:r w:rsidRPr="00FD21A0">
              <w:rPr>
                <w:rStyle w:val="FootnoteReference"/>
                <w:rFonts w:ascii="Arial" w:hAnsi="Arial" w:cs="Arial"/>
                <w:b/>
                <w:bCs/>
                <w:sz w:val="18"/>
                <w:szCs w:val="18"/>
              </w:rPr>
              <w:footnoteReference w:id="1"/>
            </w:r>
          </w:p>
        </w:tc>
        <w:tc>
          <w:tcPr>
            <w:tcW w:w="1017" w:type="dxa"/>
            <w:tcBorders>
              <w:top w:val="single" w:sz="4" w:space="0" w:color="auto"/>
              <w:bottom w:val="single" w:sz="4" w:space="0" w:color="auto"/>
            </w:tcBorders>
            <w:noWrap/>
            <w:hideMark/>
          </w:tcPr>
          <w:p w14:paraId="6E6F6183" w14:textId="77777777" w:rsidR="00F95EC4" w:rsidRPr="00FD21A0" w:rsidRDefault="00F95EC4" w:rsidP="00450C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FD21A0">
              <w:rPr>
                <w:rFonts w:ascii="Arial" w:hAnsi="Arial" w:cs="Arial"/>
                <w:color w:val="000000"/>
                <w:sz w:val="18"/>
                <w:szCs w:val="18"/>
              </w:rPr>
              <w:t xml:space="preserve">$535.00 </w:t>
            </w:r>
          </w:p>
        </w:tc>
        <w:tc>
          <w:tcPr>
            <w:tcW w:w="867" w:type="dxa"/>
            <w:tcBorders>
              <w:top w:val="single" w:sz="4" w:space="0" w:color="auto"/>
              <w:bottom w:val="single" w:sz="4" w:space="0" w:color="auto"/>
            </w:tcBorders>
            <w:noWrap/>
            <w:hideMark/>
          </w:tcPr>
          <w:p w14:paraId="41FCCBC3" w14:textId="77777777" w:rsidR="00F95EC4" w:rsidRPr="00FD21A0" w:rsidRDefault="00F95EC4" w:rsidP="00450C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FD21A0">
              <w:rPr>
                <w:rFonts w:ascii="Arial" w:hAnsi="Arial" w:cs="Arial"/>
                <w:color w:val="000000"/>
                <w:sz w:val="18"/>
                <w:szCs w:val="18"/>
              </w:rPr>
              <w:t xml:space="preserve">$600.00 </w:t>
            </w:r>
          </w:p>
        </w:tc>
        <w:tc>
          <w:tcPr>
            <w:tcW w:w="867" w:type="dxa"/>
            <w:tcBorders>
              <w:top w:val="single" w:sz="4" w:space="0" w:color="auto"/>
              <w:bottom w:val="single" w:sz="4" w:space="0" w:color="auto"/>
            </w:tcBorders>
            <w:noWrap/>
            <w:hideMark/>
          </w:tcPr>
          <w:p w14:paraId="1A21C458" w14:textId="77777777" w:rsidR="00F95EC4" w:rsidRPr="00FD21A0" w:rsidRDefault="00F95EC4" w:rsidP="00450C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FD21A0">
              <w:rPr>
                <w:rFonts w:ascii="Arial" w:hAnsi="Arial" w:cs="Arial"/>
                <w:color w:val="000000"/>
                <w:sz w:val="18"/>
                <w:szCs w:val="18"/>
              </w:rPr>
              <w:t xml:space="preserve">$622.00 </w:t>
            </w:r>
          </w:p>
        </w:tc>
        <w:tc>
          <w:tcPr>
            <w:tcW w:w="867" w:type="dxa"/>
            <w:tcBorders>
              <w:top w:val="single" w:sz="4" w:space="0" w:color="auto"/>
              <w:bottom w:val="single" w:sz="4" w:space="0" w:color="auto"/>
            </w:tcBorders>
            <w:noWrap/>
            <w:hideMark/>
          </w:tcPr>
          <w:p w14:paraId="1C7628E8" w14:textId="77777777" w:rsidR="00F95EC4" w:rsidRPr="00FD21A0" w:rsidRDefault="00F95EC4" w:rsidP="00450C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FD21A0">
              <w:rPr>
                <w:rFonts w:ascii="Arial" w:hAnsi="Arial" w:cs="Arial"/>
                <w:color w:val="000000"/>
                <w:sz w:val="18"/>
                <w:szCs w:val="18"/>
              </w:rPr>
              <w:t xml:space="preserve">$655.90 </w:t>
            </w:r>
          </w:p>
        </w:tc>
        <w:tc>
          <w:tcPr>
            <w:tcW w:w="867" w:type="dxa"/>
            <w:tcBorders>
              <w:top w:val="single" w:sz="4" w:space="0" w:color="auto"/>
              <w:bottom w:val="single" w:sz="4" w:space="0" w:color="auto"/>
            </w:tcBorders>
            <w:noWrap/>
            <w:hideMark/>
          </w:tcPr>
          <w:p w14:paraId="7C0C03F3" w14:textId="77777777" w:rsidR="00F95EC4" w:rsidRPr="00FD21A0" w:rsidRDefault="00F95EC4" w:rsidP="00450C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FD21A0">
              <w:rPr>
                <w:rFonts w:ascii="Arial" w:hAnsi="Arial" w:cs="Arial"/>
                <w:color w:val="000000"/>
                <w:sz w:val="18"/>
                <w:szCs w:val="18"/>
              </w:rPr>
              <w:t>n/a (4)</w:t>
            </w:r>
          </w:p>
        </w:tc>
        <w:tc>
          <w:tcPr>
            <w:tcW w:w="640" w:type="dxa"/>
            <w:tcBorders>
              <w:top w:val="single" w:sz="4" w:space="0" w:color="auto"/>
              <w:bottom w:val="single" w:sz="4" w:space="0" w:color="auto"/>
            </w:tcBorders>
            <w:noWrap/>
            <w:hideMark/>
          </w:tcPr>
          <w:p w14:paraId="74007FE7" w14:textId="77777777" w:rsidR="00F95EC4" w:rsidRPr="00FD21A0" w:rsidRDefault="00F95EC4" w:rsidP="00450C0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FD21A0">
              <w:rPr>
                <w:rFonts w:ascii="Arial" w:hAnsi="Arial" w:cs="Arial"/>
                <w:color w:val="000000"/>
                <w:sz w:val="18"/>
                <w:szCs w:val="18"/>
              </w:rPr>
              <w:t>np</w:t>
            </w:r>
          </w:p>
        </w:tc>
        <w:tc>
          <w:tcPr>
            <w:tcW w:w="566" w:type="dxa"/>
            <w:tcBorders>
              <w:top w:val="single" w:sz="4" w:space="0" w:color="auto"/>
              <w:bottom w:val="single" w:sz="4" w:space="0" w:color="auto"/>
            </w:tcBorders>
            <w:noWrap/>
            <w:hideMark/>
          </w:tcPr>
          <w:p w14:paraId="5237C012" w14:textId="77777777" w:rsidR="00F95EC4" w:rsidRPr="00FD21A0" w:rsidRDefault="00F95EC4" w:rsidP="00450C0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FD21A0">
              <w:rPr>
                <w:rFonts w:ascii="Arial" w:hAnsi="Arial" w:cs="Arial"/>
                <w:color w:val="000000"/>
                <w:sz w:val="18"/>
                <w:szCs w:val="18"/>
              </w:rPr>
              <w:t>np</w:t>
            </w:r>
          </w:p>
        </w:tc>
        <w:tc>
          <w:tcPr>
            <w:tcW w:w="709" w:type="dxa"/>
            <w:tcBorders>
              <w:top w:val="single" w:sz="4" w:space="0" w:color="auto"/>
              <w:bottom w:val="single" w:sz="4" w:space="0" w:color="auto"/>
            </w:tcBorders>
            <w:noWrap/>
            <w:hideMark/>
          </w:tcPr>
          <w:p w14:paraId="3FD055D2" w14:textId="77777777" w:rsidR="00F95EC4" w:rsidRPr="00FD21A0" w:rsidRDefault="00F95EC4" w:rsidP="00450C0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FD21A0">
              <w:rPr>
                <w:rFonts w:ascii="Arial" w:hAnsi="Arial" w:cs="Arial"/>
                <w:color w:val="000000"/>
                <w:sz w:val="18"/>
                <w:szCs w:val="18"/>
              </w:rPr>
              <w:t>np</w:t>
            </w:r>
          </w:p>
        </w:tc>
        <w:tc>
          <w:tcPr>
            <w:tcW w:w="992" w:type="dxa"/>
            <w:tcBorders>
              <w:top w:val="single" w:sz="4" w:space="0" w:color="auto"/>
              <w:bottom w:val="single" w:sz="4" w:space="0" w:color="auto"/>
              <w:right w:val="single" w:sz="4" w:space="0" w:color="auto"/>
            </w:tcBorders>
            <w:noWrap/>
            <w:hideMark/>
          </w:tcPr>
          <w:p w14:paraId="3679269E" w14:textId="77777777" w:rsidR="00F95EC4" w:rsidRPr="00FD21A0" w:rsidRDefault="00F95EC4" w:rsidP="00450C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FD21A0">
              <w:rPr>
                <w:rFonts w:ascii="Arial" w:hAnsi="Arial" w:cs="Arial"/>
                <w:color w:val="000000"/>
                <w:sz w:val="18"/>
                <w:szCs w:val="18"/>
              </w:rPr>
              <w:t xml:space="preserve">$655.90 </w:t>
            </w:r>
          </w:p>
        </w:tc>
      </w:tr>
      <w:tr w:rsidR="00F95EC4" w:rsidRPr="00FD21A0" w14:paraId="7F5CC14A" w14:textId="77777777" w:rsidTr="0010796F">
        <w:trPr>
          <w:trHeight w:val="245"/>
        </w:trPr>
        <w:tc>
          <w:tcPr>
            <w:cnfStyle w:val="001000000000" w:firstRow="0" w:lastRow="0" w:firstColumn="1" w:lastColumn="0" w:oddVBand="0" w:evenVBand="0" w:oddHBand="0" w:evenHBand="0" w:firstRowFirstColumn="0" w:firstRowLastColumn="0" w:lastRowFirstColumn="0" w:lastRowLastColumn="0"/>
            <w:tcW w:w="709" w:type="dxa"/>
            <w:tcBorders>
              <w:top w:val="nil"/>
              <w:left w:val="single" w:sz="4" w:space="0" w:color="auto"/>
            </w:tcBorders>
            <w:hideMark/>
          </w:tcPr>
          <w:p w14:paraId="706CFB0A" w14:textId="77777777" w:rsidR="00F95EC4" w:rsidRPr="00FD21A0" w:rsidRDefault="00F95EC4" w:rsidP="00450C04">
            <w:pPr>
              <w:rPr>
                <w:rFonts w:ascii="Arial" w:hAnsi="Arial" w:cs="Arial"/>
                <w:b w:val="0"/>
                <w:bCs w:val="0"/>
                <w:sz w:val="18"/>
                <w:szCs w:val="18"/>
              </w:rPr>
            </w:pPr>
          </w:p>
        </w:tc>
        <w:tc>
          <w:tcPr>
            <w:tcW w:w="1254" w:type="dxa"/>
            <w:tcBorders>
              <w:top w:val="single" w:sz="4" w:space="0" w:color="auto"/>
            </w:tcBorders>
            <w:hideMark/>
          </w:tcPr>
          <w:p w14:paraId="1FE7B163" w14:textId="77777777" w:rsidR="00F95EC4" w:rsidRPr="00FD21A0" w:rsidRDefault="00F95EC4" w:rsidP="00450C04">
            <w:pP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FD21A0">
              <w:rPr>
                <w:rFonts w:ascii="Arial" w:hAnsi="Arial" w:cs="Arial"/>
                <w:b/>
                <w:bCs/>
                <w:sz w:val="18"/>
                <w:szCs w:val="18"/>
              </w:rPr>
              <w:t>Bulk Billed</w:t>
            </w:r>
            <w:r w:rsidRPr="00FD21A0">
              <w:rPr>
                <w:rFonts w:ascii="Arial" w:hAnsi="Arial" w:cs="Arial"/>
                <w:b/>
                <w:bCs/>
                <w:sz w:val="18"/>
                <w:szCs w:val="18"/>
              </w:rPr>
              <w:br/>
              <w:t>Rate</w:t>
            </w:r>
          </w:p>
        </w:tc>
        <w:tc>
          <w:tcPr>
            <w:tcW w:w="1017" w:type="dxa"/>
            <w:tcBorders>
              <w:top w:val="single" w:sz="4" w:space="0" w:color="auto"/>
            </w:tcBorders>
            <w:noWrap/>
            <w:hideMark/>
          </w:tcPr>
          <w:p w14:paraId="168CD518" w14:textId="77777777" w:rsidR="00F95EC4" w:rsidRPr="00FD21A0" w:rsidRDefault="00F95EC4" w:rsidP="00450C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FD21A0">
              <w:rPr>
                <w:rFonts w:ascii="Arial" w:hAnsi="Arial" w:cs="Arial"/>
                <w:color w:val="000000"/>
                <w:sz w:val="18"/>
                <w:szCs w:val="18"/>
              </w:rPr>
              <w:t xml:space="preserve">46.9% </w:t>
            </w:r>
          </w:p>
        </w:tc>
        <w:tc>
          <w:tcPr>
            <w:tcW w:w="867" w:type="dxa"/>
            <w:tcBorders>
              <w:top w:val="single" w:sz="4" w:space="0" w:color="auto"/>
            </w:tcBorders>
            <w:noWrap/>
            <w:hideMark/>
          </w:tcPr>
          <w:p w14:paraId="33D7C10D" w14:textId="77777777" w:rsidR="00F95EC4" w:rsidRPr="00FD21A0" w:rsidRDefault="00F95EC4" w:rsidP="00450C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FD21A0">
              <w:rPr>
                <w:rFonts w:ascii="Arial" w:hAnsi="Arial" w:cs="Arial"/>
                <w:color w:val="000000"/>
                <w:sz w:val="18"/>
                <w:szCs w:val="18"/>
              </w:rPr>
              <w:t>-</w:t>
            </w:r>
          </w:p>
        </w:tc>
        <w:tc>
          <w:tcPr>
            <w:tcW w:w="867" w:type="dxa"/>
            <w:tcBorders>
              <w:top w:val="single" w:sz="4" w:space="0" w:color="auto"/>
            </w:tcBorders>
            <w:noWrap/>
            <w:hideMark/>
          </w:tcPr>
          <w:p w14:paraId="7715E690" w14:textId="77777777" w:rsidR="00F95EC4" w:rsidRPr="00FD21A0" w:rsidRDefault="00F95EC4" w:rsidP="00450C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FD21A0">
              <w:rPr>
                <w:rFonts w:ascii="Arial" w:hAnsi="Arial" w:cs="Arial"/>
                <w:color w:val="000000"/>
                <w:sz w:val="18"/>
                <w:szCs w:val="18"/>
              </w:rPr>
              <w:t>-</w:t>
            </w:r>
          </w:p>
        </w:tc>
        <w:tc>
          <w:tcPr>
            <w:tcW w:w="867" w:type="dxa"/>
            <w:tcBorders>
              <w:top w:val="single" w:sz="4" w:space="0" w:color="auto"/>
            </w:tcBorders>
            <w:noWrap/>
            <w:hideMark/>
          </w:tcPr>
          <w:p w14:paraId="1E3B1029" w14:textId="77777777" w:rsidR="00F95EC4" w:rsidRPr="00FD21A0" w:rsidRDefault="00F95EC4" w:rsidP="00450C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FD21A0">
              <w:rPr>
                <w:rFonts w:ascii="Arial" w:hAnsi="Arial" w:cs="Arial"/>
                <w:color w:val="000000"/>
                <w:sz w:val="18"/>
                <w:szCs w:val="18"/>
              </w:rPr>
              <w:t>-</w:t>
            </w:r>
          </w:p>
        </w:tc>
        <w:tc>
          <w:tcPr>
            <w:tcW w:w="867" w:type="dxa"/>
            <w:tcBorders>
              <w:top w:val="single" w:sz="4" w:space="0" w:color="auto"/>
            </w:tcBorders>
            <w:noWrap/>
            <w:hideMark/>
          </w:tcPr>
          <w:p w14:paraId="5AE7B34F" w14:textId="77777777" w:rsidR="00F95EC4" w:rsidRPr="00FD21A0" w:rsidRDefault="00F95EC4" w:rsidP="00450C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FD21A0">
              <w:rPr>
                <w:rFonts w:ascii="Arial" w:hAnsi="Arial" w:cs="Arial"/>
                <w:color w:val="000000"/>
                <w:sz w:val="18"/>
                <w:szCs w:val="18"/>
              </w:rPr>
              <w:t>-</w:t>
            </w:r>
          </w:p>
        </w:tc>
        <w:tc>
          <w:tcPr>
            <w:tcW w:w="640" w:type="dxa"/>
            <w:tcBorders>
              <w:top w:val="single" w:sz="4" w:space="0" w:color="auto"/>
            </w:tcBorders>
            <w:noWrap/>
            <w:hideMark/>
          </w:tcPr>
          <w:p w14:paraId="05D6C34E" w14:textId="77777777" w:rsidR="00F95EC4" w:rsidRPr="00FD21A0" w:rsidRDefault="00F95EC4" w:rsidP="00450C0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FD21A0">
              <w:rPr>
                <w:rFonts w:ascii="Arial" w:hAnsi="Arial" w:cs="Arial"/>
                <w:color w:val="000000"/>
                <w:sz w:val="18"/>
                <w:szCs w:val="18"/>
              </w:rPr>
              <w:t>np</w:t>
            </w:r>
          </w:p>
        </w:tc>
        <w:tc>
          <w:tcPr>
            <w:tcW w:w="566" w:type="dxa"/>
            <w:tcBorders>
              <w:top w:val="single" w:sz="4" w:space="0" w:color="auto"/>
            </w:tcBorders>
            <w:noWrap/>
            <w:hideMark/>
          </w:tcPr>
          <w:p w14:paraId="1B0F4681" w14:textId="77777777" w:rsidR="00F95EC4" w:rsidRPr="00FD21A0" w:rsidRDefault="00F95EC4" w:rsidP="00450C0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FD21A0">
              <w:rPr>
                <w:rFonts w:ascii="Arial" w:hAnsi="Arial" w:cs="Arial"/>
                <w:color w:val="000000"/>
                <w:sz w:val="18"/>
                <w:szCs w:val="18"/>
              </w:rPr>
              <w:t>np</w:t>
            </w:r>
          </w:p>
        </w:tc>
        <w:tc>
          <w:tcPr>
            <w:tcW w:w="709" w:type="dxa"/>
            <w:tcBorders>
              <w:top w:val="single" w:sz="4" w:space="0" w:color="auto"/>
            </w:tcBorders>
            <w:noWrap/>
            <w:hideMark/>
          </w:tcPr>
          <w:p w14:paraId="34107B10" w14:textId="77777777" w:rsidR="00F95EC4" w:rsidRPr="00FD21A0" w:rsidRDefault="00F95EC4" w:rsidP="00450C0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FD21A0">
              <w:rPr>
                <w:rFonts w:ascii="Arial" w:hAnsi="Arial" w:cs="Arial"/>
                <w:color w:val="000000"/>
                <w:sz w:val="18"/>
                <w:szCs w:val="18"/>
              </w:rPr>
              <w:t>np</w:t>
            </w:r>
          </w:p>
        </w:tc>
        <w:tc>
          <w:tcPr>
            <w:tcW w:w="992" w:type="dxa"/>
            <w:tcBorders>
              <w:top w:val="single" w:sz="4" w:space="0" w:color="auto"/>
            </w:tcBorders>
            <w:noWrap/>
            <w:hideMark/>
          </w:tcPr>
          <w:p w14:paraId="774DD120" w14:textId="77777777" w:rsidR="00F95EC4" w:rsidRPr="00FD21A0" w:rsidRDefault="00F95EC4" w:rsidP="00450C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FD21A0">
              <w:rPr>
                <w:rFonts w:ascii="Arial" w:hAnsi="Arial" w:cs="Arial"/>
                <w:color w:val="000000"/>
                <w:sz w:val="18"/>
                <w:szCs w:val="18"/>
              </w:rPr>
              <w:t xml:space="preserve">9.7% </w:t>
            </w:r>
          </w:p>
        </w:tc>
      </w:tr>
      <w:tr w:rsidR="00CC663B" w:rsidRPr="00FD21A0" w14:paraId="1DA72189" w14:textId="77777777" w:rsidTr="00F95EC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auto"/>
              <w:left w:val="single" w:sz="4" w:space="0" w:color="auto"/>
              <w:bottom w:val="nil"/>
            </w:tcBorders>
            <w:hideMark/>
          </w:tcPr>
          <w:p w14:paraId="24704013" w14:textId="77777777" w:rsidR="00CC663B" w:rsidRPr="00FD21A0" w:rsidRDefault="00CC663B" w:rsidP="00450C04">
            <w:pPr>
              <w:rPr>
                <w:rFonts w:ascii="Arial" w:hAnsi="Arial" w:cs="Arial"/>
                <w:b w:val="0"/>
                <w:bCs w:val="0"/>
                <w:sz w:val="18"/>
                <w:szCs w:val="18"/>
              </w:rPr>
            </w:pPr>
            <w:r w:rsidRPr="00FD21A0">
              <w:rPr>
                <w:rFonts w:ascii="Arial" w:hAnsi="Arial" w:cs="Arial"/>
                <w:b w:val="0"/>
                <w:bCs w:val="0"/>
                <w:sz w:val="18"/>
                <w:szCs w:val="18"/>
              </w:rPr>
              <w:t>2015-16</w:t>
            </w:r>
          </w:p>
        </w:tc>
        <w:tc>
          <w:tcPr>
            <w:tcW w:w="1254" w:type="dxa"/>
            <w:tcBorders>
              <w:top w:val="single" w:sz="4" w:space="0" w:color="auto"/>
              <w:bottom w:val="none" w:sz="0" w:space="0" w:color="auto"/>
            </w:tcBorders>
            <w:hideMark/>
          </w:tcPr>
          <w:p w14:paraId="0156ED0D" w14:textId="77777777" w:rsidR="00CC663B" w:rsidRPr="00FD21A0" w:rsidRDefault="00CC663B" w:rsidP="00450C04">
            <w:pP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FD21A0">
              <w:rPr>
                <w:rFonts w:ascii="Arial" w:hAnsi="Arial" w:cs="Arial"/>
                <w:b/>
                <w:bCs/>
                <w:sz w:val="18"/>
                <w:szCs w:val="18"/>
              </w:rPr>
              <w:t xml:space="preserve">Average Fee Charged </w:t>
            </w:r>
          </w:p>
        </w:tc>
        <w:tc>
          <w:tcPr>
            <w:tcW w:w="1017" w:type="dxa"/>
            <w:tcBorders>
              <w:top w:val="single" w:sz="4" w:space="0" w:color="auto"/>
              <w:bottom w:val="none" w:sz="0" w:space="0" w:color="auto"/>
            </w:tcBorders>
            <w:noWrap/>
            <w:hideMark/>
          </w:tcPr>
          <w:p w14:paraId="7ED0BE85" w14:textId="77777777" w:rsidR="00CC663B" w:rsidRPr="00FD21A0" w:rsidRDefault="00CC663B" w:rsidP="00450C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FD21A0">
              <w:rPr>
                <w:rFonts w:ascii="Arial" w:hAnsi="Arial" w:cs="Arial"/>
                <w:color w:val="000000"/>
                <w:sz w:val="18"/>
                <w:szCs w:val="18"/>
              </w:rPr>
              <w:t xml:space="preserve">$452.74 </w:t>
            </w:r>
          </w:p>
        </w:tc>
        <w:tc>
          <w:tcPr>
            <w:tcW w:w="867" w:type="dxa"/>
            <w:tcBorders>
              <w:top w:val="single" w:sz="4" w:space="0" w:color="auto"/>
              <w:bottom w:val="none" w:sz="0" w:space="0" w:color="auto"/>
            </w:tcBorders>
            <w:noWrap/>
            <w:hideMark/>
          </w:tcPr>
          <w:p w14:paraId="2929FA5E" w14:textId="77777777" w:rsidR="00CC663B" w:rsidRPr="00FD21A0" w:rsidRDefault="00CC663B" w:rsidP="00450C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FD21A0">
              <w:rPr>
                <w:rFonts w:ascii="Arial" w:hAnsi="Arial" w:cs="Arial"/>
                <w:color w:val="000000"/>
                <w:sz w:val="18"/>
                <w:szCs w:val="18"/>
              </w:rPr>
              <w:t xml:space="preserve">$401.95 </w:t>
            </w:r>
          </w:p>
        </w:tc>
        <w:tc>
          <w:tcPr>
            <w:tcW w:w="867" w:type="dxa"/>
            <w:tcBorders>
              <w:top w:val="single" w:sz="4" w:space="0" w:color="auto"/>
              <w:bottom w:val="none" w:sz="0" w:space="0" w:color="auto"/>
            </w:tcBorders>
            <w:noWrap/>
            <w:hideMark/>
          </w:tcPr>
          <w:p w14:paraId="4A76A55D" w14:textId="77777777" w:rsidR="00CC663B" w:rsidRPr="00FD21A0" w:rsidRDefault="00CC663B" w:rsidP="00450C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FD21A0">
              <w:rPr>
                <w:rFonts w:ascii="Arial" w:hAnsi="Arial" w:cs="Arial"/>
                <w:color w:val="000000"/>
                <w:sz w:val="18"/>
                <w:szCs w:val="18"/>
              </w:rPr>
              <w:t xml:space="preserve">$399.95 </w:t>
            </w:r>
          </w:p>
        </w:tc>
        <w:tc>
          <w:tcPr>
            <w:tcW w:w="867" w:type="dxa"/>
            <w:tcBorders>
              <w:top w:val="single" w:sz="4" w:space="0" w:color="auto"/>
              <w:bottom w:val="none" w:sz="0" w:space="0" w:color="auto"/>
            </w:tcBorders>
            <w:noWrap/>
            <w:hideMark/>
          </w:tcPr>
          <w:p w14:paraId="44B2C9FC" w14:textId="77777777" w:rsidR="00CC663B" w:rsidRPr="00FD21A0" w:rsidRDefault="00CC663B" w:rsidP="00450C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FD21A0">
              <w:rPr>
                <w:rFonts w:ascii="Arial" w:hAnsi="Arial" w:cs="Arial"/>
                <w:color w:val="000000"/>
                <w:sz w:val="18"/>
                <w:szCs w:val="18"/>
              </w:rPr>
              <w:t xml:space="preserve">$586.57 </w:t>
            </w:r>
          </w:p>
        </w:tc>
        <w:tc>
          <w:tcPr>
            <w:tcW w:w="867" w:type="dxa"/>
            <w:tcBorders>
              <w:top w:val="single" w:sz="4" w:space="0" w:color="auto"/>
              <w:bottom w:val="none" w:sz="0" w:space="0" w:color="auto"/>
            </w:tcBorders>
            <w:noWrap/>
            <w:hideMark/>
          </w:tcPr>
          <w:p w14:paraId="19FBA34A" w14:textId="77777777" w:rsidR="00CC663B" w:rsidRPr="00FD21A0" w:rsidRDefault="00CC663B" w:rsidP="00450C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FD21A0">
              <w:rPr>
                <w:rFonts w:ascii="Arial" w:hAnsi="Arial" w:cs="Arial"/>
                <w:color w:val="000000"/>
                <w:sz w:val="18"/>
                <w:szCs w:val="18"/>
              </w:rPr>
              <w:t xml:space="preserve">$401.42 </w:t>
            </w:r>
          </w:p>
        </w:tc>
        <w:tc>
          <w:tcPr>
            <w:tcW w:w="640" w:type="dxa"/>
            <w:tcBorders>
              <w:top w:val="single" w:sz="4" w:space="0" w:color="auto"/>
              <w:bottom w:val="none" w:sz="0" w:space="0" w:color="auto"/>
            </w:tcBorders>
            <w:noWrap/>
            <w:hideMark/>
          </w:tcPr>
          <w:p w14:paraId="65B40015" w14:textId="77777777" w:rsidR="00CC663B" w:rsidRPr="00FD21A0" w:rsidRDefault="00CC663B" w:rsidP="00450C0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FD21A0">
              <w:rPr>
                <w:rFonts w:ascii="Arial" w:hAnsi="Arial" w:cs="Arial"/>
                <w:color w:val="000000"/>
                <w:sz w:val="18"/>
                <w:szCs w:val="18"/>
              </w:rPr>
              <w:t>np</w:t>
            </w:r>
          </w:p>
        </w:tc>
        <w:tc>
          <w:tcPr>
            <w:tcW w:w="566" w:type="dxa"/>
            <w:tcBorders>
              <w:top w:val="single" w:sz="4" w:space="0" w:color="auto"/>
              <w:bottom w:val="none" w:sz="0" w:space="0" w:color="auto"/>
            </w:tcBorders>
            <w:noWrap/>
            <w:hideMark/>
          </w:tcPr>
          <w:p w14:paraId="45741A4B" w14:textId="77777777" w:rsidR="00CC663B" w:rsidRPr="00FD21A0" w:rsidRDefault="00CC663B" w:rsidP="00450C0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FD21A0">
              <w:rPr>
                <w:rFonts w:ascii="Arial" w:hAnsi="Arial" w:cs="Arial"/>
                <w:color w:val="000000"/>
                <w:sz w:val="18"/>
                <w:szCs w:val="18"/>
              </w:rPr>
              <w:t>np</w:t>
            </w:r>
          </w:p>
        </w:tc>
        <w:tc>
          <w:tcPr>
            <w:tcW w:w="709" w:type="dxa"/>
            <w:tcBorders>
              <w:top w:val="single" w:sz="4" w:space="0" w:color="auto"/>
              <w:bottom w:val="none" w:sz="0" w:space="0" w:color="auto"/>
            </w:tcBorders>
            <w:noWrap/>
            <w:hideMark/>
          </w:tcPr>
          <w:p w14:paraId="122181F8" w14:textId="77777777" w:rsidR="00CC663B" w:rsidRPr="00FD21A0" w:rsidRDefault="00CC663B" w:rsidP="00450C0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FD21A0">
              <w:rPr>
                <w:rFonts w:ascii="Arial" w:hAnsi="Arial" w:cs="Arial"/>
                <w:color w:val="000000"/>
                <w:sz w:val="18"/>
                <w:szCs w:val="18"/>
              </w:rPr>
              <w:t>np</w:t>
            </w:r>
          </w:p>
        </w:tc>
        <w:tc>
          <w:tcPr>
            <w:tcW w:w="992" w:type="dxa"/>
            <w:tcBorders>
              <w:top w:val="single" w:sz="4" w:space="0" w:color="auto"/>
              <w:bottom w:val="none" w:sz="0" w:space="0" w:color="auto"/>
              <w:right w:val="none" w:sz="0" w:space="0" w:color="auto"/>
            </w:tcBorders>
            <w:noWrap/>
            <w:hideMark/>
          </w:tcPr>
          <w:p w14:paraId="2A83CEF4" w14:textId="77777777" w:rsidR="00CC663B" w:rsidRPr="00FD21A0" w:rsidRDefault="00CC663B" w:rsidP="00450C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FD21A0">
              <w:rPr>
                <w:rFonts w:ascii="Arial" w:hAnsi="Arial" w:cs="Arial"/>
                <w:color w:val="000000"/>
                <w:sz w:val="18"/>
                <w:szCs w:val="18"/>
              </w:rPr>
              <w:t xml:space="preserve">$449.44 </w:t>
            </w:r>
          </w:p>
        </w:tc>
      </w:tr>
      <w:tr w:rsidR="00CC663B" w:rsidRPr="00FD21A0" w14:paraId="43715876" w14:textId="77777777" w:rsidTr="00F95EC4">
        <w:trPr>
          <w:trHeight w:val="255"/>
        </w:trPr>
        <w:tc>
          <w:tcPr>
            <w:cnfStyle w:val="001000000000" w:firstRow="0" w:lastRow="0" w:firstColumn="1" w:lastColumn="0" w:oddVBand="0" w:evenVBand="0" w:oddHBand="0" w:evenHBand="0" w:firstRowFirstColumn="0" w:firstRowLastColumn="0" w:lastRowFirstColumn="0" w:lastRowLastColumn="0"/>
            <w:tcW w:w="709" w:type="dxa"/>
            <w:tcBorders>
              <w:top w:val="nil"/>
              <w:left w:val="single" w:sz="4" w:space="0" w:color="auto"/>
              <w:bottom w:val="nil"/>
            </w:tcBorders>
            <w:hideMark/>
          </w:tcPr>
          <w:p w14:paraId="2FBE55C5" w14:textId="77777777" w:rsidR="00CC663B" w:rsidRPr="00FD21A0" w:rsidRDefault="00CC663B" w:rsidP="00450C04">
            <w:pPr>
              <w:rPr>
                <w:rFonts w:ascii="Arial" w:hAnsi="Arial" w:cs="Arial"/>
                <w:b w:val="0"/>
                <w:bCs w:val="0"/>
                <w:sz w:val="18"/>
                <w:szCs w:val="18"/>
              </w:rPr>
            </w:pPr>
          </w:p>
        </w:tc>
        <w:tc>
          <w:tcPr>
            <w:tcW w:w="1254" w:type="dxa"/>
            <w:tcBorders>
              <w:top w:val="single" w:sz="4" w:space="0" w:color="auto"/>
            </w:tcBorders>
            <w:hideMark/>
          </w:tcPr>
          <w:p w14:paraId="33ED279B" w14:textId="77777777" w:rsidR="00CC663B" w:rsidRPr="00FD21A0" w:rsidRDefault="00CC663B" w:rsidP="00450C04">
            <w:pP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FD21A0">
              <w:rPr>
                <w:rFonts w:ascii="Arial" w:hAnsi="Arial" w:cs="Arial"/>
                <w:b/>
                <w:bCs/>
                <w:sz w:val="18"/>
                <w:szCs w:val="18"/>
              </w:rPr>
              <w:t>Standard</w:t>
            </w:r>
            <w:r w:rsidRPr="00FD21A0">
              <w:rPr>
                <w:rFonts w:ascii="Arial" w:hAnsi="Arial" w:cs="Arial"/>
                <w:b/>
                <w:bCs/>
                <w:sz w:val="18"/>
                <w:szCs w:val="18"/>
              </w:rPr>
              <w:br/>
              <w:t>Deviation</w:t>
            </w:r>
          </w:p>
        </w:tc>
        <w:tc>
          <w:tcPr>
            <w:tcW w:w="1017" w:type="dxa"/>
            <w:tcBorders>
              <w:top w:val="single" w:sz="4" w:space="0" w:color="auto"/>
            </w:tcBorders>
            <w:noWrap/>
            <w:hideMark/>
          </w:tcPr>
          <w:p w14:paraId="2C153243" w14:textId="77777777" w:rsidR="00CC663B" w:rsidRPr="00FD21A0" w:rsidRDefault="00CC663B" w:rsidP="00450C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FD21A0">
              <w:rPr>
                <w:rFonts w:ascii="Arial" w:hAnsi="Arial" w:cs="Arial"/>
                <w:color w:val="000000"/>
                <w:sz w:val="18"/>
                <w:szCs w:val="18"/>
              </w:rPr>
              <w:t xml:space="preserve">$229.37 </w:t>
            </w:r>
          </w:p>
        </w:tc>
        <w:tc>
          <w:tcPr>
            <w:tcW w:w="867" w:type="dxa"/>
            <w:tcBorders>
              <w:top w:val="single" w:sz="4" w:space="0" w:color="auto"/>
            </w:tcBorders>
            <w:noWrap/>
            <w:hideMark/>
          </w:tcPr>
          <w:p w14:paraId="4435FCB8" w14:textId="77777777" w:rsidR="00CC663B" w:rsidRPr="00FD21A0" w:rsidRDefault="00CC663B" w:rsidP="00450C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FD21A0">
              <w:rPr>
                <w:rFonts w:ascii="Arial" w:hAnsi="Arial" w:cs="Arial"/>
                <w:color w:val="000000"/>
                <w:sz w:val="18"/>
                <w:szCs w:val="18"/>
              </w:rPr>
              <w:t xml:space="preserve">$96.44 </w:t>
            </w:r>
          </w:p>
        </w:tc>
        <w:tc>
          <w:tcPr>
            <w:tcW w:w="867" w:type="dxa"/>
            <w:tcBorders>
              <w:top w:val="single" w:sz="4" w:space="0" w:color="auto"/>
            </w:tcBorders>
            <w:noWrap/>
            <w:hideMark/>
          </w:tcPr>
          <w:p w14:paraId="662D0A84" w14:textId="77777777" w:rsidR="00CC663B" w:rsidRPr="00FD21A0" w:rsidRDefault="00CC663B" w:rsidP="00450C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FD21A0">
              <w:rPr>
                <w:rFonts w:ascii="Arial" w:hAnsi="Arial" w:cs="Arial"/>
                <w:color w:val="000000"/>
                <w:sz w:val="18"/>
                <w:szCs w:val="18"/>
              </w:rPr>
              <w:t xml:space="preserve">$95.96 </w:t>
            </w:r>
          </w:p>
        </w:tc>
        <w:tc>
          <w:tcPr>
            <w:tcW w:w="867" w:type="dxa"/>
            <w:tcBorders>
              <w:top w:val="single" w:sz="4" w:space="0" w:color="auto"/>
            </w:tcBorders>
            <w:noWrap/>
            <w:hideMark/>
          </w:tcPr>
          <w:p w14:paraId="68F94477" w14:textId="77777777" w:rsidR="00CC663B" w:rsidRPr="00FD21A0" w:rsidRDefault="00CC663B" w:rsidP="00450C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FD21A0">
              <w:rPr>
                <w:rFonts w:ascii="Arial" w:hAnsi="Arial" w:cs="Arial"/>
                <w:color w:val="000000"/>
                <w:sz w:val="18"/>
                <w:szCs w:val="18"/>
              </w:rPr>
              <w:t xml:space="preserve">$108.61 </w:t>
            </w:r>
          </w:p>
        </w:tc>
        <w:tc>
          <w:tcPr>
            <w:tcW w:w="867" w:type="dxa"/>
            <w:tcBorders>
              <w:top w:val="single" w:sz="4" w:space="0" w:color="auto"/>
            </w:tcBorders>
            <w:noWrap/>
            <w:hideMark/>
          </w:tcPr>
          <w:p w14:paraId="3DC47341" w14:textId="77777777" w:rsidR="00CC663B" w:rsidRPr="00FD21A0" w:rsidRDefault="00CC663B" w:rsidP="00450C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FD21A0">
              <w:rPr>
                <w:rFonts w:ascii="Arial" w:hAnsi="Arial" w:cs="Arial"/>
                <w:color w:val="000000"/>
                <w:sz w:val="18"/>
                <w:szCs w:val="18"/>
              </w:rPr>
              <w:t xml:space="preserve">$166.16 </w:t>
            </w:r>
          </w:p>
        </w:tc>
        <w:tc>
          <w:tcPr>
            <w:tcW w:w="640" w:type="dxa"/>
            <w:tcBorders>
              <w:top w:val="single" w:sz="4" w:space="0" w:color="auto"/>
            </w:tcBorders>
            <w:noWrap/>
            <w:hideMark/>
          </w:tcPr>
          <w:p w14:paraId="34865F47" w14:textId="77777777" w:rsidR="00CC663B" w:rsidRPr="00FD21A0" w:rsidRDefault="00CC663B" w:rsidP="00450C0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FD21A0">
              <w:rPr>
                <w:rFonts w:ascii="Arial" w:hAnsi="Arial" w:cs="Arial"/>
                <w:color w:val="000000"/>
                <w:sz w:val="18"/>
                <w:szCs w:val="18"/>
              </w:rPr>
              <w:t>np</w:t>
            </w:r>
          </w:p>
        </w:tc>
        <w:tc>
          <w:tcPr>
            <w:tcW w:w="566" w:type="dxa"/>
            <w:tcBorders>
              <w:top w:val="single" w:sz="4" w:space="0" w:color="auto"/>
            </w:tcBorders>
            <w:noWrap/>
            <w:hideMark/>
          </w:tcPr>
          <w:p w14:paraId="2201F864" w14:textId="77777777" w:rsidR="00CC663B" w:rsidRPr="00FD21A0" w:rsidRDefault="00CC663B" w:rsidP="00450C0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FD21A0">
              <w:rPr>
                <w:rFonts w:ascii="Arial" w:hAnsi="Arial" w:cs="Arial"/>
                <w:color w:val="000000"/>
                <w:sz w:val="18"/>
                <w:szCs w:val="18"/>
              </w:rPr>
              <w:t>np</w:t>
            </w:r>
          </w:p>
        </w:tc>
        <w:tc>
          <w:tcPr>
            <w:tcW w:w="709" w:type="dxa"/>
            <w:tcBorders>
              <w:top w:val="single" w:sz="4" w:space="0" w:color="auto"/>
            </w:tcBorders>
            <w:noWrap/>
            <w:hideMark/>
          </w:tcPr>
          <w:p w14:paraId="40A2E6C0" w14:textId="77777777" w:rsidR="00CC663B" w:rsidRPr="00FD21A0" w:rsidRDefault="00CC663B" w:rsidP="00450C0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FD21A0">
              <w:rPr>
                <w:rFonts w:ascii="Arial" w:hAnsi="Arial" w:cs="Arial"/>
                <w:color w:val="000000"/>
                <w:sz w:val="18"/>
                <w:szCs w:val="18"/>
              </w:rPr>
              <w:t>np</w:t>
            </w:r>
          </w:p>
        </w:tc>
        <w:tc>
          <w:tcPr>
            <w:tcW w:w="992" w:type="dxa"/>
            <w:tcBorders>
              <w:top w:val="single" w:sz="4" w:space="0" w:color="auto"/>
            </w:tcBorders>
            <w:noWrap/>
            <w:hideMark/>
          </w:tcPr>
          <w:p w14:paraId="447B2619" w14:textId="77777777" w:rsidR="00CC663B" w:rsidRPr="00FD21A0" w:rsidRDefault="00CC663B" w:rsidP="00450C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FD21A0">
              <w:rPr>
                <w:rFonts w:ascii="Arial" w:hAnsi="Arial" w:cs="Arial"/>
                <w:color w:val="000000"/>
                <w:sz w:val="18"/>
                <w:szCs w:val="18"/>
              </w:rPr>
              <w:t xml:space="preserve">$154.78 </w:t>
            </w:r>
          </w:p>
        </w:tc>
      </w:tr>
      <w:tr w:rsidR="00CC663B" w:rsidRPr="00FD21A0" w14:paraId="11A036CE" w14:textId="77777777" w:rsidTr="00F95EC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709" w:type="dxa"/>
            <w:tcBorders>
              <w:top w:val="nil"/>
              <w:left w:val="single" w:sz="4" w:space="0" w:color="auto"/>
              <w:bottom w:val="nil"/>
            </w:tcBorders>
            <w:hideMark/>
          </w:tcPr>
          <w:p w14:paraId="6E5B765D" w14:textId="77777777" w:rsidR="00CC663B" w:rsidRPr="00FD21A0" w:rsidRDefault="00CC663B" w:rsidP="00450C04">
            <w:pPr>
              <w:rPr>
                <w:rFonts w:ascii="Arial" w:hAnsi="Arial" w:cs="Arial"/>
                <w:b w:val="0"/>
                <w:bCs w:val="0"/>
                <w:sz w:val="18"/>
                <w:szCs w:val="18"/>
              </w:rPr>
            </w:pPr>
          </w:p>
        </w:tc>
        <w:tc>
          <w:tcPr>
            <w:tcW w:w="1254" w:type="dxa"/>
            <w:tcBorders>
              <w:top w:val="single" w:sz="4" w:space="0" w:color="auto"/>
              <w:bottom w:val="none" w:sz="0" w:space="0" w:color="auto"/>
            </w:tcBorders>
            <w:hideMark/>
          </w:tcPr>
          <w:p w14:paraId="45D8C346" w14:textId="77777777" w:rsidR="00CC663B" w:rsidRPr="00FD21A0" w:rsidRDefault="00CC663B" w:rsidP="00450C04">
            <w:pP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FD21A0">
              <w:rPr>
                <w:rFonts w:ascii="Arial" w:hAnsi="Arial" w:cs="Arial"/>
                <w:b/>
                <w:bCs/>
                <w:sz w:val="18"/>
                <w:szCs w:val="18"/>
              </w:rPr>
              <w:t>Median</w:t>
            </w:r>
          </w:p>
        </w:tc>
        <w:tc>
          <w:tcPr>
            <w:tcW w:w="1017" w:type="dxa"/>
            <w:tcBorders>
              <w:top w:val="single" w:sz="4" w:space="0" w:color="auto"/>
              <w:bottom w:val="none" w:sz="0" w:space="0" w:color="auto"/>
            </w:tcBorders>
            <w:noWrap/>
            <w:hideMark/>
          </w:tcPr>
          <w:p w14:paraId="27C82714" w14:textId="77777777" w:rsidR="00CC663B" w:rsidRPr="00FD21A0" w:rsidRDefault="00CC663B" w:rsidP="00450C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FD21A0">
              <w:rPr>
                <w:rFonts w:ascii="Arial" w:hAnsi="Arial" w:cs="Arial"/>
                <w:color w:val="000000"/>
                <w:sz w:val="18"/>
                <w:szCs w:val="18"/>
              </w:rPr>
              <w:t xml:space="preserve">$365.30 </w:t>
            </w:r>
          </w:p>
        </w:tc>
        <w:tc>
          <w:tcPr>
            <w:tcW w:w="867" w:type="dxa"/>
            <w:tcBorders>
              <w:top w:val="single" w:sz="4" w:space="0" w:color="auto"/>
              <w:bottom w:val="none" w:sz="0" w:space="0" w:color="auto"/>
            </w:tcBorders>
            <w:noWrap/>
            <w:hideMark/>
          </w:tcPr>
          <w:p w14:paraId="448FEB27" w14:textId="77777777" w:rsidR="00CC663B" w:rsidRPr="00FD21A0" w:rsidRDefault="00CC663B" w:rsidP="00450C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FD21A0">
              <w:rPr>
                <w:rFonts w:ascii="Arial" w:hAnsi="Arial" w:cs="Arial"/>
                <w:color w:val="000000"/>
                <w:sz w:val="18"/>
                <w:szCs w:val="18"/>
              </w:rPr>
              <w:t xml:space="preserve">$386.16 </w:t>
            </w:r>
          </w:p>
        </w:tc>
        <w:tc>
          <w:tcPr>
            <w:tcW w:w="867" w:type="dxa"/>
            <w:tcBorders>
              <w:top w:val="single" w:sz="4" w:space="0" w:color="auto"/>
              <w:bottom w:val="none" w:sz="0" w:space="0" w:color="auto"/>
            </w:tcBorders>
            <w:noWrap/>
            <w:hideMark/>
          </w:tcPr>
          <w:p w14:paraId="603D1C8B" w14:textId="77777777" w:rsidR="00CC663B" w:rsidRPr="00FD21A0" w:rsidRDefault="00CC663B" w:rsidP="00450C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FD21A0">
              <w:rPr>
                <w:rFonts w:ascii="Arial" w:hAnsi="Arial" w:cs="Arial"/>
                <w:color w:val="000000"/>
                <w:sz w:val="18"/>
                <w:szCs w:val="18"/>
              </w:rPr>
              <w:t xml:space="preserve">$363.90 </w:t>
            </w:r>
          </w:p>
        </w:tc>
        <w:tc>
          <w:tcPr>
            <w:tcW w:w="867" w:type="dxa"/>
            <w:tcBorders>
              <w:top w:val="single" w:sz="4" w:space="0" w:color="auto"/>
              <w:bottom w:val="none" w:sz="0" w:space="0" w:color="auto"/>
            </w:tcBorders>
            <w:noWrap/>
            <w:hideMark/>
          </w:tcPr>
          <w:p w14:paraId="237CF77C" w14:textId="77777777" w:rsidR="00CC663B" w:rsidRPr="00FD21A0" w:rsidRDefault="00CC663B" w:rsidP="00450C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FD21A0">
              <w:rPr>
                <w:rFonts w:ascii="Arial" w:hAnsi="Arial" w:cs="Arial"/>
                <w:color w:val="000000"/>
                <w:sz w:val="18"/>
                <w:szCs w:val="18"/>
              </w:rPr>
              <w:t xml:space="preserve">$623.60 </w:t>
            </w:r>
          </w:p>
        </w:tc>
        <w:tc>
          <w:tcPr>
            <w:tcW w:w="867" w:type="dxa"/>
            <w:tcBorders>
              <w:top w:val="single" w:sz="4" w:space="0" w:color="auto"/>
              <w:bottom w:val="none" w:sz="0" w:space="0" w:color="auto"/>
            </w:tcBorders>
            <w:noWrap/>
            <w:hideMark/>
          </w:tcPr>
          <w:p w14:paraId="0C2F149C" w14:textId="77777777" w:rsidR="00CC663B" w:rsidRPr="00FD21A0" w:rsidRDefault="00CC663B" w:rsidP="00450C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FD21A0">
              <w:rPr>
                <w:rFonts w:ascii="Arial" w:hAnsi="Arial" w:cs="Arial"/>
                <w:color w:val="000000"/>
                <w:sz w:val="18"/>
                <w:szCs w:val="18"/>
              </w:rPr>
              <w:t xml:space="preserve">$346.08 </w:t>
            </w:r>
          </w:p>
        </w:tc>
        <w:tc>
          <w:tcPr>
            <w:tcW w:w="640" w:type="dxa"/>
            <w:tcBorders>
              <w:top w:val="single" w:sz="4" w:space="0" w:color="auto"/>
              <w:bottom w:val="none" w:sz="0" w:space="0" w:color="auto"/>
            </w:tcBorders>
            <w:noWrap/>
            <w:hideMark/>
          </w:tcPr>
          <w:p w14:paraId="05365FDF" w14:textId="77777777" w:rsidR="00CC663B" w:rsidRPr="00FD21A0" w:rsidRDefault="00CC663B" w:rsidP="00450C0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FD21A0">
              <w:rPr>
                <w:rFonts w:ascii="Arial" w:hAnsi="Arial" w:cs="Arial"/>
                <w:color w:val="000000"/>
                <w:sz w:val="18"/>
                <w:szCs w:val="18"/>
              </w:rPr>
              <w:t>np</w:t>
            </w:r>
          </w:p>
        </w:tc>
        <w:tc>
          <w:tcPr>
            <w:tcW w:w="566" w:type="dxa"/>
            <w:tcBorders>
              <w:top w:val="single" w:sz="4" w:space="0" w:color="auto"/>
              <w:bottom w:val="none" w:sz="0" w:space="0" w:color="auto"/>
            </w:tcBorders>
            <w:noWrap/>
            <w:hideMark/>
          </w:tcPr>
          <w:p w14:paraId="12088E29" w14:textId="77777777" w:rsidR="00CC663B" w:rsidRPr="00FD21A0" w:rsidRDefault="00CC663B" w:rsidP="00450C0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FD21A0">
              <w:rPr>
                <w:rFonts w:ascii="Arial" w:hAnsi="Arial" w:cs="Arial"/>
                <w:color w:val="000000"/>
                <w:sz w:val="18"/>
                <w:szCs w:val="18"/>
              </w:rPr>
              <w:t>np</w:t>
            </w:r>
          </w:p>
        </w:tc>
        <w:tc>
          <w:tcPr>
            <w:tcW w:w="709" w:type="dxa"/>
            <w:tcBorders>
              <w:top w:val="single" w:sz="4" w:space="0" w:color="auto"/>
              <w:bottom w:val="none" w:sz="0" w:space="0" w:color="auto"/>
            </w:tcBorders>
            <w:noWrap/>
            <w:hideMark/>
          </w:tcPr>
          <w:p w14:paraId="6D426B72" w14:textId="77777777" w:rsidR="00CC663B" w:rsidRPr="00FD21A0" w:rsidRDefault="00CC663B" w:rsidP="00450C0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FD21A0">
              <w:rPr>
                <w:rFonts w:ascii="Arial" w:hAnsi="Arial" w:cs="Arial"/>
                <w:color w:val="000000"/>
                <w:sz w:val="18"/>
                <w:szCs w:val="18"/>
              </w:rPr>
              <w:t>np</w:t>
            </w:r>
          </w:p>
        </w:tc>
        <w:tc>
          <w:tcPr>
            <w:tcW w:w="992" w:type="dxa"/>
            <w:tcBorders>
              <w:top w:val="single" w:sz="4" w:space="0" w:color="auto"/>
              <w:bottom w:val="none" w:sz="0" w:space="0" w:color="auto"/>
              <w:right w:val="none" w:sz="0" w:space="0" w:color="auto"/>
            </w:tcBorders>
            <w:noWrap/>
            <w:hideMark/>
          </w:tcPr>
          <w:p w14:paraId="2820E93B" w14:textId="77777777" w:rsidR="00CC663B" w:rsidRPr="00FD21A0" w:rsidRDefault="00CC663B" w:rsidP="00450C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FD21A0">
              <w:rPr>
                <w:rFonts w:ascii="Arial" w:hAnsi="Arial" w:cs="Arial"/>
                <w:color w:val="000000"/>
                <w:sz w:val="18"/>
                <w:szCs w:val="18"/>
              </w:rPr>
              <w:t xml:space="preserve">$407.90 </w:t>
            </w:r>
          </w:p>
        </w:tc>
      </w:tr>
      <w:tr w:rsidR="00CC663B" w:rsidRPr="00FD21A0" w14:paraId="2CC52BBE" w14:textId="77777777" w:rsidTr="00F95EC4">
        <w:trPr>
          <w:trHeight w:val="255"/>
        </w:trPr>
        <w:tc>
          <w:tcPr>
            <w:cnfStyle w:val="001000000000" w:firstRow="0" w:lastRow="0" w:firstColumn="1" w:lastColumn="0" w:oddVBand="0" w:evenVBand="0" w:oddHBand="0" w:evenHBand="0" w:firstRowFirstColumn="0" w:firstRowLastColumn="0" w:lastRowFirstColumn="0" w:lastRowLastColumn="0"/>
            <w:tcW w:w="709" w:type="dxa"/>
            <w:tcBorders>
              <w:top w:val="nil"/>
              <w:left w:val="single" w:sz="4" w:space="0" w:color="auto"/>
              <w:bottom w:val="nil"/>
            </w:tcBorders>
            <w:hideMark/>
          </w:tcPr>
          <w:p w14:paraId="4A63436B" w14:textId="77777777" w:rsidR="00CC663B" w:rsidRPr="00FD21A0" w:rsidRDefault="00CC663B" w:rsidP="00450C04">
            <w:pPr>
              <w:rPr>
                <w:rFonts w:ascii="Arial" w:hAnsi="Arial" w:cs="Arial"/>
                <w:b w:val="0"/>
                <w:bCs w:val="0"/>
                <w:sz w:val="18"/>
                <w:szCs w:val="18"/>
              </w:rPr>
            </w:pPr>
          </w:p>
        </w:tc>
        <w:tc>
          <w:tcPr>
            <w:tcW w:w="1254" w:type="dxa"/>
            <w:tcBorders>
              <w:top w:val="single" w:sz="4" w:space="0" w:color="auto"/>
            </w:tcBorders>
            <w:hideMark/>
          </w:tcPr>
          <w:p w14:paraId="5D1E3DC1" w14:textId="77777777" w:rsidR="00CC663B" w:rsidRPr="00FD21A0" w:rsidRDefault="00CC663B" w:rsidP="00450C04">
            <w:pP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FD21A0">
              <w:rPr>
                <w:rFonts w:ascii="Arial" w:hAnsi="Arial" w:cs="Arial"/>
                <w:b/>
                <w:bCs/>
                <w:sz w:val="18"/>
                <w:szCs w:val="18"/>
              </w:rPr>
              <w:t>75th Percentile</w:t>
            </w:r>
          </w:p>
        </w:tc>
        <w:tc>
          <w:tcPr>
            <w:tcW w:w="1017" w:type="dxa"/>
            <w:tcBorders>
              <w:top w:val="single" w:sz="4" w:space="0" w:color="auto"/>
            </w:tcBorders>
            <w:noWrap/>
            <w:hideMark/>
          </w:tcPr>
          <w:p w14:paraId="6C3405CE" w14:textId="77777777" w:rsidR="00CC663B" w:rsidRPr="00FD21A0" w:rsidRDefault="00CC663B" w:rsidP="00450C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FD21A0">
              <w:rPr>
                <w:rFonts w:ascii="Arial" w:hAnsi="Arial" w:cs="Arial"/>
                <w:color w:val="000000"/>
                <w:sz w:val="18"/>
                <w:szCs w:val="18"/>
              </w:rPr>
              <w:t xml:space="preserve">$535.00 </w:t>
            </w:r>
          </w:p>
        </w:tc>
        <w:tc>
          <w:tcPr>
            <w:tcW w:w="867" w:type="dxa"/>
            <w:tcBorders>
              <w:top w:val="single" w:sz="4" w:space="0" w:color="auto"/>
            </w:tcBorders>
            <w:noWrap/>
            <w:hideMark/>
          </w:tcPr>
          <w:p w14:paraId="22CF90DF" w14:textId="77777777" w:rsidR="00CC663B" w:rsidRPr="00FD21A0" w:rsidRDefault="00CC663B" w:rsidP="00450C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FD21A0">
              <w:rPr>
                <w:rFonts w:ascii="Arial" w:hAnsi="Arial" w:cs="Arial"/>
                <w:color w:val="000000"/>
                <w:sz w:val="18"/>
                <w:szCs w:val="18"/>
              </w:rPr>
              <w:t xml:space="preserve">$409.75 </w:t>
            </w:r>
          </w:p>
        </w:tc>
        <w:tc>
          <w:tcPr>
            <w:tcW w:w="867" w:type="dxa"/>
            <w:tcBorders>
              <w:top w:val="single" w:sz="4" w:space="0" w:color="auto"/>
            </w:tcBorders>
            <w:noWrap/>
            <w:hideMark/>
          </w:tcPr>
          <w:p w14:paraId="0FF5772F" w14:textId="77777777" w:rsidR="00CC663B" w:rsidRPr="00FD21A0" w:rsidRDefault="00CC663B" w:rsidP="00450C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FD21A0">
              <w:rPr>
                <w:rFonts w:ascii="Arial" w:hAnsi="Arial" w:cs="Arial"/>
                <w:color w:val="000000"/>
                <w:sz w:val="18"/>
                <w:szCs w:val="18"/>
              </w:rPr>
              <w:t xml:space="preserve">$383.15 </w:t>
            </w:r>
          </w:p>
        </w:tc>
        <w:tc>
          <w:tcPr>
            <w:tcW w:w="867" w:type="dxa"/>
            <w:tcBorders>
              <w:top w:val="single" w:sz="4" w:space="0" w:color="auto"/>
            </w:tcBorders>
            <w:noWrap/>
            <w:hideMark/>
          </w:tcPr>
          <w:p w14:paraId="56E9F414" w14:textId="77777777" w:rsidR="00CC663B" w:rsidRPr="00FD21A0" w:rsidRDefault="00CC663B" w:rsidP="00450C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FD21A0">
              <w:rPr>
                <w:rFonts w:ascii="Arial" w:hAnsi="Arial" w:cs="Arial"/>
                <w:color w:val="000000"/>
                <w:sz w:val="18"/>
                <w:szCs w:val="18"/>
              </w:rPr>
              <w:t xml:space="preserve">$657.90 </w:t>
            </w:r>
          </w:p>
        </w:tc>
        <w:tc>
          <w:tcPr>
            <w:tcW w:w="867" w:type="dxa"/>
            <w:tcBorders>
              <w:top w:val="single" w:sz="4" w:space="0" w:color="auto"/>
            </w:tcBorders>
            <w:noWrap/>
            <w:hideMark/>
          </w:tcPr>
          <w:p w14:paraId="68459155" w14:textId="77777777" w:rsidR="00CC663B" w:rsidRPr="00FD21A0" w:rsidRDefault="00CC663B" w:rsidP="00450C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FD21A0">
              <w:rPr>
                <w:rFonts w:ascii="Arial" w:hAnsi="Arial" w:cs="Arial"/>
                <w:color w:val="000000"/>
                <w:sz w:val="18"/>
                <w:szCs w:val="18"/>
              </w:rPr>
              <w:t xml:space="preserve">$535.00 </w:t>
            </w:r>
          </w:p>
        </w:tc>
        <w:tc>
          <w:tcPr>
            <w:tcW w:w="640" w:type="dxa"/>
            <w:tcBorders>
              <w:top w:val="single" w:sz="4" w:space="0" w:color="auto"/>
            </w:tcBorders>
            <w:noWrap/>
            <w:hideMark/>
          </w:tcPr>
          <w:p w14:paraId="4FE56390" w14:textId="77777777" w:rsidR="00CC663B" w:rsidRPr="00FD21A0" w:rsidRDefault="00CC663B" w:rsidP="00450C0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FD21A0">
              <w:rPr>
                <w:rFonts w:ascii="Arial" w:hAnsi="Arial" w:cs="Arial"/>
                <w:color w:val="000000"/>
                <w:sz w:val="18"/>
                <w:szCs w:val="18"/>
              </w:rPr>
              <w:t>np</w:t>
            </w:r>
          </w:p>
        </w:tc>
        <w:tc>
          <w:tcPr>
            <w:tcW w:w="566" w:type="dxa"/>
            <w:tcBorders>
              <w:top w:val="single" w:sz="4" w:space="0" w:color="auto"/>
            </w:tcBorders>
            <w:noWrap/>
            <w:hideMark/>
          </w:tcPr>
          <w:p w14:paraId="2E29648E" w14:textId="77777777" w:rsidR="00CC663B" w:rsidRPr="00FD21A0" w:rsidRDefault="00CC663B" w:rsidP="00450C0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FD21A0">
              <w:rPr>
                <w:rFonts w:ascii="Arial" w:hAnsi="Arial" w:cs="Arial"/>
                <w:color w:val="000000"/>
                <w:sz w:val="18"/>
                <w:szCs w:val="18"/>
              </w:rPr>
              <w:t>np</w:t>
            </w:r>
          </w:p>
        </w:tc>
        <w:tc>
          <w:tcPr>
            <w:tcW w:w="709" w:type="dxa"/>
            <w:tcBorders>
              <w:top w:val="single" w:sz="4" w:space="0" w:color="auto"/>
            </w:tcBorders>
            <w:noWrap/>
            <w:hideMark/>
          </w:tcPr>
          <w:p w14:paraId="05035BE1" w14:textId="77777777" w:rsidR="00CC663B" w:rsidRPr="00FD21A0" w:rsidRDefault="00CC663B" w:rsidP="00450C0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FD21A0">
              <w:rPr>
                <w:rFonts w:ascii="Arial" w:hAnsi="Arial" w:cs="Arial"/>
                <w:color w:val="000000"/>
                <w:sz w:val="18"/>
                <w:szCs w:val="18"/>
              </w:rPr>
              <w:t>np</w:t>
            </w:r>
          </w:p>
        </w:tc>
        <w:tc>
          <w:tcPr>
            <w:tcW w:w="992" w:type="dxa"/>
            <w:tcBorders>
              <w:top w:val="single" w:sz="4" w:space="0" w:color="auto"/>
            </w:tcBorders>
            <w:noWrap/>
            <w:hideMark/>
          </w:tcPr>
          <w:p w14:paraId="6CE8745E" w14:textId="77777777" w:rsidR="00CC663B" w:rsidRPr="00FD21A0" w:rsidRDefault="00CC663B" w:rsidP="00450C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FD21A0">
              <w:rPr>
                <w:rFonts w:ascii="Arial" w:hAnsi="Arial" w:cs="Arial"/>
                <w:color w:val="000000"/>
                <w:sz w:val="18"/>
                <w:szCs w:val="18"/>
              </w:rPr>
              <w:t xml:space="preserve">$545.00 </w:t>
            </w:r>
          </w:p>
        </w:tc>
      </w:tr>
      <w:tr w:rsidR="00CC663B" w:rsidRPr="00FD21A0" w14:paraId="49E8747F" w14:textId="77777777" w:rsidTr="00F95EC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709" w:type="dxa"/>
            <w:tcBorders>
              <w:top w:val="nil"/>
              <w:left w:val="single" w:sz="4" w:space="0" w:color="auto"/>
              <w:bottom w:val="nil"/>
            </w:tcBorders>
            <w:hideMark/>
          </w:tcPr>
          <w:p w14:paraId="232BD996" w14:textId="77777777" w:rsidR="00CC663B" w:rsidRPr="00FD21A0" w:rsidRDefault="00CC663B" w:rsidP="00450C04">
            <w:pPr>
              <w:rPr>
                <w:rFonts w:ascii="Arial" w:hAnsi="Arial" w:cs="Arial"/>
                <w:b w:val="0"/>
                <w:bCs w:val="0"/>
                <w:sz w:val="18"/>
                <w:szCs w:val="18"/>
              </w:rPr>
            </w:pPr>
          </w:p>
        </w:tc>
        <w:tc>
          <w:tcPr>
            <w:tcW w:w="1254" w:type="dxa"/>
            <w:tcBorders>
              <w:top w:val="single" w:sz="4" w:space="0" w:color="auto"/>
              <w:bottom w:val="none" w:sz="0" w:space="0" w:color="auto"/>
            </w:tcBorders>
            <w:hideMark/>
          </w:tcPr>
          <w:p w14:paraId="644726DB" w14:textId="77777777" w:rsidR="00CC663B" w:rsidRPr="00FD21A0" w:rsidRDefault="00CC663B" w:rsidP="00450C04">
            <w:pP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FD21A0">
              <w:rPr>
                <w:rFonts w:ascii="Arial" w:hAnsi="Arial" w:cs="Arial"/>
                <w:b/>
                <w:bCs/>
                <w:sz w:val="18"/>
                <w:szCs w:val="18"/>
              </w:rPr>
              <w:t>95th Percentile</w:t>
            </w:r>
          </w:p>
        </w:tc>
        <w:tc>
          <w:tcPr>
            <w:tcW w:w="1017" w:type="dxa"/>
            <w:tcBorders>
              <w:top w:val="single" w:sz="4" w:space="0" w:color="auto"/>
              <w:bottom w:val="none" w:sz="0" w:space="0" w:color="auto"/>
            </w:tcBorders>
            <w:noWrap/>
            <w:hideMark/>
          </w:tcPr>
          <w:p w14:paraId="18AA97D2" w14:textId="77777777" w:rsidR="00CC663B" w:rsidRPr="00FD21A0" w:rsidRDefault="00CC663B" w:rsidP="00450C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FD21A0">
              <w:rPr>
                <w:rFonts w:ascii="Arial" w:hAnsi="Arial" w:cs="Arial"/>
                <w:color w:val="000000"/>
                <w:sz w:val="18"/>
                <w:szCs w:val="18"/>
              </w:rPr>
              <w:t xml:space="preserve">$1,000.00 </w:t>
            </w:r>
          </w:p>
        </w:tc>
        <w:tc>
          <w:tcPr>
            <w:tcW w:w="867" w:type="dxa"/>
            <w:tcBorders>
              <w:top w:val="single" w:sz="4" w:space="0" w:color="auto"/>
              <w:bottom w:val="none" w:sz="0" w:space="0" w:color="auto"/>
            </w:tcBorders>
            <w:noWrap/>
            <w:hideMark/>
          </w:tcPr>
          <w:p w14:paraId="638F1B38" w14:textId="77777777" w:rsidR="00CC663B" w:rsidRPr="00FD21A0" w:rsidRDefault="00CC663B" w:rsidP="00450C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FD21A0">
              <w:rPr>
                <w:rFonts w:ascii="Arial" w:hAnsi="Arial" w:cs="Arial"/>
                <w:color w:val="000000"/>
                <w:sz w:val="18"/>
                <w:szCs w:val="18"/>
              </w:rPr>
              <w:t xml:space="preserve">$600.00 </w:t>
            </w:r>
          </w:p>
        </w:tc>
        <w:tc>
          <w:tcPr>
            <w:tcW w:w="867" w:type="dxa"/>
            <w:tcBorders>
              <w:top w:val="single" w:sz="4" w:space="0" w:color="auto"/>
              <w:bottom w:val="none" w:sz="0" w:space="0" w:color="auto"/>
            </w:tcBorders>
            <w:noWrap/>
            <w:hideMark/>
          </w:tcPr>
          <w:p w14:paraId="04141B93" w14:textId="77777777" w:rsidR="00CC663B" w:rsidRPr="00FD21A0" w:rsidRDefault="00CC663B" w:rsidP="00450C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FD21A0">
              <w:rPr>
                <w:rFonts w:ascii="Arial" w:hAnsi="Arial" w:cs="Arial"/>
                <w:color w:val="000000"/>
                <w:sz w:val="18"/>
                <w:szCs w:val="18"/>
              </w:rPr>
              <w:t xml:space="preserve">$650.00 </w:t>
            </w:r>
          </w:p>
        </w:tc>
        <w:tc>
          <w:tcPr>
            <w:tcW w:w="867" w:type="dxa"/>
            <w:tcBorders>
              <w:top w:val="single" w:sz="4" w:space="0" w:color="auto"/>
              <w:bottom w:val="none" w:sz="0" w:space="0" w:color="auto"/>
            </w:tcBorders>
            <w:noWrap/>
            <w:hideMark/>
          </w:tcPr>
          <w:p w14:paraId="12727CEB" w14:textId="77777777" w:rsidR="00CC663B" w:rsidRPr="00FD21A0" w:rsidRDefault="00CC663B" w:rsidP="00450C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FD21A0">
              <w:rPr>
                <w:rFonts w:ascii="Arial" w:hAnsi="Arial" w:cs="Arial"/>
                <w:color w:val="000000"/>
                <w:sz w:val="18"/>
                <w:szCs w:val="18"/>
              </w:rPr>
              <w:t xml:space="preserve">$657.90 </w:t>
            </w:r>
          </w:p>
        </w:tc>
        <w:tc>
          <w:tcPr>
            <w:tcW w:w="867" w:type="dxa"/>
            <w:tcBorders>
              <w:top w:val="single" w:sz="4" w:space="0" w:color="auto"/>
              <w:bottom w:val="none" w:sz="0" w:space="0" w:color="auto"/>
            </w:tcBorders>
            <w:noWrap/>
            <w:hideMark/>
          </w:tcPr>
          <w:p w14:paraId="4D2F04C8" w14:textId="77777777" w:rsidR="00CC663B" w:rsidRPr="00FD21A0" w:rsidRDefault="00CC663B" w:rsidP="00450C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FD21A0">
              <w:rPr>
                <w:rFonts w:ascii="Arial" w:hAnsi="Arial" w:cs="Arial"/>
                <w:color w:val="000000"/>
                <w:sz w:val="18"/>
                <w:szCs w:val="18"/>
              </w:rPr>
              <w:t xml:space="preserve">$650.00 </w:t>
            </w:r>
          </w:p>
        </w:tc>
        <w:tc>
          <w:tcPr>
            <w:tcW w:w="640" w:type="dxa"/>
            <w:tcBorders>
              <w:top w:val="single" w:sz="4" w:space="0" w:color="auto"/>
              <w:bottom w:val="none" w:sz="0" w:space="0" w:color="auto"/>
            </w:tcBorders>
            <w:noWrap/>
            <w:hideMark/>
          </w:tcPr>
          <w:p w14:paraId="1FD75C74" w14:textId="77777777" w:rsidR="00CC663B" w:rsidRPr="00FD21A0" w:rsidRDefault="00CC663B" w:rsidP="00450C0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FD21A0">
              <w:rPr>
                <w:rFonts w:ascii="Arial" w:hAnsi="Arial" w:cs="Arial"/>
                <w:color w:val="000000"/>
                <w:sz w:val="18"/>
                <w:szCs w:val="18"/>
              </w:rPr>
              <w:t>np</w:t>
            </w:r>
          </w:p>
        </w:tc>
        <w:tc>
          <w:tcPr>
            <w:tcW w:w="566" w:type="dxa"/>
            <w:tcBorders>
              <w:top w:val="single" w:sz="4" w:space="0" w:color="auto"/>
              <w:bottom w:val="none" w:sz="0" w:space="0" w:color="auto"/>
            </w:tcBorders>
            <w:noWrap/>
            <w:hideMark/>
          </w:tcPr>
          <w:p w14:paraId="240281EB" w14:textId="77777777" w:rsidR="00CC663B" w:rsidRPr="00FD21A0" w:rsidRDefault="00CC663B" w:rsidP="00450C0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FD21A0">
              <w:rPr>
                <w:rFonts w:ascii="Arial" w:hAnsi="Arial" w:cs="Arial"/>
                <w:color w:val="000000"/>
                <w:sz w:val="18"/>
                <w:szCs w:val="18"/>
              </w:rPr>
              <w:t>np</w:t>
            </w:r>
          </w:p>
        </w:tc>
        <w:tc>
          <w:tcPr>
            <w:tcW w:w="709" w:type="dxa"/>
            <w:tcBorders>
              <w:top w:val="single" w:sz="4" w:space="0" w:color="auto"/>
              <w:bottom w:val="none" w:sz="0" w:space="0" w:color="auto"/>
            </w:tcBorders>
            <w:noWrap/>
            <w:hideMark/>
          </w:tcPr>
          <w:p w14:paraId="0F3EDB8E" w14:textId="77777777" w:rsidR="00CC663B" w:rsidRPr="00FD21A0" w:rsidRDefault="00CC663B" w:rsidP="00450C0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FD21A0">
              <w:rPr>
                <w:rFonts w:ascii="Arial" w:hAnsi="Arial" w:cs="Arial"/>
                <w:color w:val="000000"/>
                <w:sz w:val="18"/>
                <w:szCs w:val="18"/>
              </w:rPr>
              <w:t>np</w:t>
            </w:r>
          </w:p>
        </w:tc>
        <w:tc>
          <w:tcPr>
            <w:tcW w:w="992" w:type="dxa"/>
            <w:tcBorders>
              <w:top w:val="single" w:sz="4" w:space="0" w:color="auto"/>
              <w:bottom w:val="none" w:sz="0" w:space="0" w:color="auto"/>
              <w:right w:val="none" w:sz="0" w:space="0" w:color="auto"/>
            </w:tcBorders>
            <w:noWrap/>
            <w:hideMark/>
          </w:tcPr>
          <w:p w14:paraId="79799F7D" w14:textId="77777777" w:rsidR="00CC663B" w:rsidRPr="00FD21A0" w:rsidRDefault="00CC663B" w:rsidP="00450C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FD21A0">
              <w:rPr>
                <w:rFonts w:ascii="Arial" w:hAnsi="Arial" w:cs="Arial"/>
                <w:color w:val="000000"/>
                <w:sz w:val="18"/>
                <w:szCs w:val="18"/>
              </w:rPr>
              <w:t xml:space="preserve">$657.90 </w:t>
            </w:r>
          </w:p>
        </w:tc>
      </w:tr>
      <w:tr w:rsidR="00CC663B" w:rsidRPr="00FD21A0" w14:paraId="7D48D1A1" w14:textId="77777777" w:rsidTr="002757DD">
        <w:trPr>
          <w:trHeight w:val="255"/>
        </w:trPr>
        <w:tc>
          <w:tcPr>
            <w:cnfStyle w:val="001000000000" w:firstRow="0" w:lastRow="0" w:firstColumn="1" w:lastColumn="0" w:oddVBand="0" w:evenVBand="0" w:oddHBand="0" w:evenHBand="0" w:firstRowFirstColumn="0" w:firstRowLastColumn="0" w:lastRowFirstColumn="0" w:lastRowLastColumn="0"/>
            <w:tcW w:w="709" w:type="dxa"/>
            <w:tcBorders>
              <w:top w:val="nil"/>
              <w:bottom w:val="single" w:sz="4" w:space="0" w:color="auto"/>
            </w:tcBorders>
            <w:hideMark/>
          </w:tcPr>
          <w:p w14:paraId="75CA102A" w14:textId="77777777" w:rsidR="00CC663B" w:rsidRPr="00FD21A0" w:rsidRDefault="00CC663B" w:rsidP="00450C04">
            <w:pPr>
              <w:rPr>
                <w:rFonts w:ascii="Arial" w:hAnsi="Arial" w:cs="Arial"/>
                <w:b w:val="0"/>
                <w:bCs w:val="0"/>
                <w:sz w:val="18"/>
                <w:szCs w:val="18"/>
              </w:rPr>
            </w:pPr>
          </w:p>
        </w:tc>
        <w:tc>
          <w:tcPr>
            <w:tcW w:w="1254" w:type="dxa"/>
            <w:tcBorders>
              <w:bottom w:val="single" w:sz="4" w:space="0" w:color="auto"/>
            </w:tcBorders>
            <w:hideMark/>
          </w:tcPr>
          <w:p w14:paraId="63DB07E7" w14:textId="77777777" w:rsidR="00CC663B" w:rsidRPr="00FD21A0" w:rsidRDefault="00CC663B" w:rsidP="00450C04">
            <w:pP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FD21A0">
              <w:rPr>
                <w:rFonts w:ascii="Arial" w:hAnsi="Arial" w:cs="Arial"/>
                <w:b/>
                <w:bCs/>
                <w:sz w:val="18"/>
                <w:szCs w:val="18"/>
              </w:rPr>
              <w:t>Bulk Billed</w:t>
            </w:r>
            <w:r w:rsidRPr="00FD21A0">
              <w:rPr>
                <w:rFonts w:ascii="Arial" w:hAnsi="Arial" w:cs="Arial"/>
                <w:b/>
                <w:bCs/>
                <w:sz w:val="18"/>
                <w:szCs w:val="18"/>
              </w:rPr>
              <w:br/>
              <w:t>Rate</w:t>
            </w:r>
          </w:p>
        </w:tc>
        <w:tc>
          <w:tcPr>
            <w:tcW w:w="1017" w:type="dxa"/>
            <w:tcBorders>
              <w:bottom w:val="single" w:sz="4" w:space="0" w:color="auto"/>
            </w:tcBorders>
            <w:noWrap/>
            <w:hideMark/>
          </w:tcPr>
          <w:p w14:paraId="64CB114B" w14:textId="77777777" w:rsidR="00CC663B" w:rsidRPr="00FD21A0" w:rsidRDefault="00CC663B" w:rsidP="00450C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FD21A0">
              <w:rPr>
                <w:rFonts w:ascii="Arial" w:hAnsi="Arial" w:cs="Arial"/>
                <w:color w:val="000000"/>
                <w:sz w:val="18"/>
                <w:szCs w:val="18"/>
              </w:rPr>
              <w:t xml:space="preserve">1.5% </w:t>
            </w:r>
          </w:p>
        </w:tc>
        <w:tc>
          <w:tcPr>
            <w:tcW w:w="867" w:type="dxa"/>
            <w:tcBorders>
              <w:bottom w:val="single" w:sz="4" w:space="0" w:color="auto"/>
            </w:tcBorders>
            <w:noWrap/>
            <w:hideMark/>
          </w:tcPr>
          <w:p w14:paraId="5D63450F" w14:textId="77777777" w:rsidR="00CC663B" w:rsidRPr="00FD21A0" w:rsidRDefault="00CC663B" w:rsidP="00450C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FD21A0">
              <w:rPr>
                <w:rFonts w:ascii="Arial" w:hAnsi="Arial" w:cs="Arial"/>
                <w:color w:val="000000"/>
                <w:sz w:val="18"/>
                <w:szCs w:val="18"/>
              </w:rPr>
              <w:t xml:space="preserve">0.6% </w:t>
            </w:r>
          </w:p>
        </w:tc>
        <w:tc>
          <w:tcPr>
            <w:tcW w:w="867" w:type="dxa"/>
            <w:tcBorders>
              <w:bottom w:val="single" w:sz="4" w:space="0" w:color="auto"/>
            </w:tcBorders>
            <w:noWrap/>
            <w:hideMark/>
          </w:tcPr>
          <w:p w14:paraId="445D2FFC" w14:textId="77777777" w:rsidR="00CC663B" w:rsidRPr="00FD21A0" w:rsidRDefault="00CC663B" w:rsidP="00450C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FD21A0">
              <w:rPr>
                <w:rFonts w:ascii="Arial" w:hAnsi="Arial" w:cs="Arial"/>
                <w:color w:val="000000"/>
                <w:sz w:val="18"/>
                <w:szCs w:val="18"/>
              </w:rPr>
              <w:t>-</w:t>
            </w:r>
          </w:p>
        </w:tc>
        <w:tc>
          <w:tcPr>
            <w:tcW w:w="867" w:type="dxa"/>
            <w:tcBorders>
              <w:bottom w:val="single" w:sz="4" w:space="0" w:color="auto"/>
            </w:tcBorders>
            <w:noWrap/>
            <w:hideMark/>
          </w:tcPr>
          <w:p w14:paraId="4606A0BA" w14:textId="77777777" w:rsidR="00CC663B" w:rsidRPr="00FD21A0" w:rsidRDefault="00CC663B" w:rsidP="00450C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FD21A0">
              <w:rPr>
                <w:rFonts w:ascii="Arial" w:hAnsi="Arial" w:cs="Arial"/>
                <w:color w:val="000000"/>
                <w:sz w:val="18"/>
                <w:szCs w:val="18"/>
              </w:rPr>
              <w:t>-</w:t>
            </w:r>
          </w:p>
        </w:tc>
        <w:tc>
          <w:tcPr>
            <w:tcW w:w="867" w:type="dxa"/>
            <w:tcBorders>
              <w:bottom w:val="single" w:sz="4" w:space="0" w:color="auto"/>
            </w:tcBorders>
            <w:noWrap/>
            <w:hideMark/>
          </w:tcPr>
          <w:p w14:paraId="0750D2AB" w14:textId="77777777" w:rsidR="00CC663B" w:rsidRPr="00FD21A0" w:rsidRDefault="00CC663B" w:rsidP="00450C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FD21A0">
              <w:rPr>
                <w:rFonts w:ascii="Arial" w:hAnsi="Arial" w:cs="Arial"/>
                <w:color w:val="000000"/>
                <w:sz w:val="18"/>
                <w:szCs w:val="18"/>
              </w:rPr>
              <w:t>-</w:t>
            </w:r>
          </w:p>
        </w:tc>
        <w:tc>
          <w:tcPr>
            <w:tcW w:w="640" w:type="dxa"/>
            <w:tcBorders>
              <w:bottom w:val="single" w:sz="4" w:space="0" w:color="auto"/>
            </w:tcBorders>
            <w:noWrap/>
            <w:hideMark/>
          </w:tcPr>
          <w:p w14:paraId="42AEAE75" w14:textId="77777777" w:rsidR="00CC663B" w:rsidRPr="00FD21A0" w:rsidRDefault="00CC663B" w:rsidP="00450C0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FD21A0">
              <w:rPr>
                <w:rFonts w:ascii="Arial" w:hAnsi="Arial" w:cs="Arial"/>
                <w:color w:val="000000"/>
                <w:sz w:val="18"/>
                <w:szCs w:val="18"/>
              </w:rPr>
              <w:t>np</w:t>
            </w:r>
          </w:p>
        </w:tc>
        <w:tc>
          <w:tcPr>
            <w:tcW w:w="566" w:type="dxa"/>
            <w:tcBorders>
              <w:bottom w:val="single" w:sz="4" w:space="0" w:color="auto"/>
            </w:tcBorders>
            <w:noWrap/>
            <w:hideMark/>
          </w:tcPr>
          <w:p w14:paraId="42678B28" w14:textId="77777777" w:rsidR="00CC663B" w:rsidRPr="00FD21A0" w:rsidRDefault="00CC663B" w:rsidP="00450C0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FD21A0">
              <w:rPr>
                <w:rFonts w:ascii="Arial" w:hAnsi="Arial" w:cs="Arial"/>
                <w:color w:val="000000"/>
                <w:sz w:val="18"/>
                <w:szCs w:val="18"/>
              </w:rPr>
              <w:t>np</w:t>
            </w:r>
          </w:p>
        </w:tc>
        <w:tc>
          <w:tcPr>
            <w:tcW w:w="709" w:type="dxa"/>
            <w:tcBorders>
              <w:bottom w:val="single" w:sz="4" w:space="0" w:color="auto"/>
            </w:tcBorders>
            <w:noWrap/>
            <w:hideMark/>
          </w:tcPr>
          <w:p w14:paraId="19525068" w14:textId="77777777" w:rsidR="00CC663B" w:rsidRPr="00FD21A0" w:rsidRDefault="00CC663B" w:rsidP="00450C0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FD21A0">
              <w:rPr>
                <w:rFonts w:ascii="Arial" w:hAnsi="Arial" w:cs="Arial"/>
                <w:color w:val="000000"/>
                <w:sz w:val="18"/>
                <w:szCs w:val="18"/>
              </w:rPr>
              <w:t>np</w:t>
            </w:r>
          </w:p>
        </w:tc>
        <w:tc>
          <w:tcPr>
            <w:tcW w:w="992" w:type="dxa"/>
            <w:tcBorders>
              <w:bottom w:val="single" w:sz="4" w:space="0" w:color="auto"/>
            </w:tcBorders>
            <w:noWrap/>
            <w:hideMark/>
          </w:tcPr>
          <w:p w14:paraId="05E35537" w14:textId="77777777" w:rsidR="00CC663B" w:rsidRPr="00FD21A0" w:rsidRDefault="00CC663B" w:rsidP="00450C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FD21A0">
              <w:rPr>
                <w:rFonts w:ascii="Arial" w:hAnsi="Arial" w:cs="Arial"/>
                <w:color w:val="000000"/>
                <w:sz w:val="18"/>
                <w:szCs w:val="18"/>
              </w:rPr>
              <w:t xml:space="preserve">0.6% </w:t>
            </w:r>
          </w:p>
        </w:tc>
      </w:tr>
      <w:tr w:rsidR="00CC663B" w:rsidRPr="00FD21A0" w14:paraId="68B0B463" w14:textId="77777777" w:rsidTr="002757DD">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auto"/>
              <w:left w:val="single" w:sz="4" w:space="0" w:color="auto"/>
              <w:bottom w:val="nil"/>
            </w:tcBorders>
            <w:hideMark/>
          </w:tcPr>
          <w:p w14:paraId="6D9F0599" w14:textId="2F65279E" w:rsidR="00CC663B" w:rsidRPr="00FD21A0" w:rsidRDefault="0070660D" w:rsidP="00450C04">
            <w:pPr>
              <w:ind w:left="-108" w:right="-107"/>
              <w:rPr>
                <w:rFonts w:ascii="Arial" w:hAnsi="Arial" w:cs="Arial"/>
                <w:b w:val="0"/>
                <w:bCs w:val="0"/>
                <w:sz w:val="18"/>
                <w:szCs w:val="18"/>
              </w:rPr>
            </w:pPr>
            <w:r>
              <w:rPr>
                <w:rFonts w:ascii="Arial" w:hAnsi="Arial" w:cs="Arial"/>
                <w:b w:val="0"/>
                <w:bCs w:val="0"/>
                <w:sz w:val="18"/>
                <w:szCs w:val="18"/>
              </w:rPr>
              <w:t xml:space="preserve"> 2016-</w:t>
            </w:r>
            <w:r w:rsidR="00CC663B" w:rsidRPr="00FD21A0">
              <w:rPr>
                <w:rFonts w:ascii="Arial" w:hAnsi="Arial" w:cs="Arial"/>
                <w:b w:val="0"/>
                <w:bCs w:val="0"/>
                <w:sz w:val="18"/>
                <w:szCs w:val="18"/>
              </w:rPr>
              <w:lastRenderedPageBreak/>
              <w:t xml:space="preserve">17 </w:t>
            </w:r>
          </w:p>
          <w:p w14:paraId="7B2F2D99" w14:textId="2ABAE018" w:rsidR="00CC663B" w:rsidRPr="00FD21A0" w:rsidRDefault="00CC663B" w:rsidP="006B1519">
            <w:pPr>
              <w:ind w:left="-108" w:right="-107"/>
              <w:rPr>
                <w:rFonts w:ascii="Arial" w:hAnsi="Arial" w:cs="Arial"/>
                <w:b w:val="0"/>
                <w:bCs w:val="0"/>
                <w:sz w:val="18"/>
                <w:szCs w:val="18"/>
              </w:rPr>
            </w:pPr>
            <w:r w:rsidRPr="00FD21A0">
              <w:rPr>
                <w:rFonts w:ascii="Arial" w:hAnsi="Arial" w:cs="Arial"/>
                <w:b w:val="0"/>
                <w:bCs w:val="0"/>
                <w:sz w:val="18"/>
                <w:szCs w:val="18"/>
              </w:rPr>
              <w:t xml:space="preserve"> (to 31</w:t>
            </w:r>
            <w:r w:rsidR="006B1519">
              <w:rPr>
                <w:rFonts w:ascii="Arial" w:hAnsi="Arial" w:cs="Arial"/>
                <w:b w:val="0"/>
                <w:bCs w:val="0"/>
                <w:sz w:val="18"/>
                <w:szCs w:val="18"/>
              </w:rPr>
              <w:t xml:space="preserve"> </w:t>
            </w:r>
            <w:r w:rsidRPr="00FD21A0">
              <w:rPr>
                <w:rFonts w:ascii="Arial" w:hAnsi="Arial" w:cs="Arial"/>
                <w:b w:val="0"/>
                <w:bCs w:val="0"/>
                <w:sz w:val="18"/>
                <w:szCs w:val="18"/>
              </w:rPr>
              <w:t>Dec 16)</w:t>
            </w:r>
          </w:p>
        </w:tc>
        <w:tc>
          <w:tcPr>
            <w:tcW w:w="1254" w:type="dxa"/>
            <w:tcBorders>
              <w:top w:val="single" w:sz="4" w:space="0" w:color="auto"/>
              <w:bottom w:val="none" w:sz="0" w:space="0" w:color="auto"/>
              <w:right w:val="single" w:sz="4" w:space="0" w:color="auto"/>
            </w:tcBorders>
            <w:hideMark/>
          </w:tcPr>
          <w:p w14:paraId="5BF53BEB" w14:textId="77777777" w:rsidR="00CC663B" w:rsidRPr="00FD21A0" w:rsidRDefault="00CC663B" w:rsidP="00450C04">
            <w:pP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FD21A0">
              <w:rPr>
                <w:rFonts w:ascii="Arial" w:hAnsi="Arial" w:cs="Arial"/>
                <w:b/>
                <w:bCs/>
                <w:sz w:val="18"/>
                <w:szCs w:val="18"/>
              </w:rPr>
              <w:lastRenderedPageBreak/>
              <w:t xml:space="preserve">Average </w:t>
            </w:r>
            <w:r w:rsidRPr="00FD21A0">
              <w:rPr>
                <w:rFonts w:ascii="Arial" w:hAnsi="Arial" w:cs="Arial"/>
                <w:b/>
                <w:bCs/>
                <w:sz w:val="18"/>
                <w:szCs w:val="18"/>
              </w:rPr>
              <w:lastRenderedPageBreak/>
              <w:t xml:space="preserve">Fee Charged </w:t>
            </w:r>
          </w:p>
        </w:tc>
        <w:tc>
          <w:tcPr>
            <w:tcW w:w="1017" w:type="dxa"/>
            <w:tcBorders>
              <w:top w:val="single" w:sz="4" w:space="0" w:color="auto"/>
              <w:left w:val="single" w:sz="4" w:space="0" w:color="auto"/>
              <w:bottom w:val="single" w:sz="4" w:space="0" w:color="auto"/>
              <w:right w:val="single" w:sz="4" w:space="0" w:color="auto"/>
            </w:tcBorders>
            <w:noWrap/>
            <w:hideMark/>
          </w:tcPr>
          <w:p w14:paraId="6A089171" w14:textId="77777777" w:rsidR="00CC663B" w:rsidRPr="00FD21A0" w:rsidRDefault="00CC663B" w:rsidP="00450C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FD21A0">
              <w:rPr>
                <w:rFonts w:ascii="Arial" w:hAnsi="Arial" w:cs="Arial"/>
                <w:color w:val="000000"/>
                <w:sz w:val="18"/>
                <w:szCs w:val="18"/>
              </w:rPr>
              <w:lastRenderedPageBreak/>
              <w:t xml:space="preserve">$494.38 </w:t>
            </w:r>
          </w:p>
        </w:tc>
        <w:tc>
          <w:tcPr>
            <w:tcW w:w="867" w:type="dxa"/>
            <w:tcBorders>
              <w:top w:val="single" w:sz="4" w:space="0" w:color="auto"/>
              <w:left w:val="single" w:sz="4" w:space="0" w:color="auto"/>
              <w:bottom w:val="single" w:sz="4" w:space="0" w:color="auto"/>
              <w:right w:val="single" w:sz="4" w:space="0" w:color="auto"/>
            </w:tcBorders>
            <w:noWrap/>
            <w:hideMark/>
          </w:tcPr>
          <w:p w14:paraId="65C08B8B" w14:textId="77777777" w:rsidR="00CC663B" w:rsidRPr="00FD21A0" w:rsidRDefault="00CC663B" w:rsidP="00450C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FD21A0">
              <w:rPr>
                <w:rFonts w:ascii="Arial" w:hAnsi="Arial" w:cs="Arial"/>
                <w:color w:val="000000"/>
                <w:sz w:val="18"/>
                <w:szCs w:val="18"/>
              </w:rPr>
              <w:t xml:space="preserve">$407.33 </w:t>
            </w:r>
          </w:p>
        </w:tc>
        <w:tc>
          <w:tcPr>
            <w:tcW w:w="867" w:type="dxa"/>
            <w:tcBorders>
              <w:top w:val="single" w:sz="4" w:space="0" w:color="auto"/>
              <w:left w:val="single" w:sz="4" w:space="0" w:color="auto"/>
              <w:bottom w:val="single" w:sz="4" w:space="0" w:color="auto"/>
              <w:right w:val="single" w:sz="4" w:space="0" w:color="auto"/>
            </w:tcBorders>
            <w:noWrap/>
            <w:hideMark/>
          </w:tcPr>
          <w:p w14:paraId="26B63820" w14:textId="77777777" w:rsidR="00CC663B" w:rsidRPr="00FD21A0" w:rsidRDefault="00CC663B" w:rsidP="00450C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FD21A0">
              <w:rPr>
                <w:rFonts w:ascii="Arial" w:hAnsi="Arial" w:cs="Arial"/>
                <w:color w:val="000000"/>
                <w:sz w:val="18"/>
                <w:szCs w:val="18"/>
              </w:rPr>
              <w:t xml:space="preserve">$453.94 </w:t>
            </w:r>
          </w:p>
        </w:tc>
        <w:tc>
          <w:tcPr>
            <w:tcW w:w="867" w:type="dxa"/>
            <w:tcBorders>
              <w:top w:val="single" w:sz="4" w:space="0" w:color="auto"/>
              <w:left w:val="single" w:sz="4" w:space="0" w:color="auto"/>
              <w:bottom w:val="single" w:sz="4" w:space="0" w:color="auto"/>
              <w:right w:val="single" w:sz="4" w:space="0" w:color="auto"/>
            </w:tcBorders>
            <w:noWrap/>
            <w:hideMark/>
          </w:tcPr>
          <w:p w14:paraId="3793FB4B" w14:textId="77777777" w:rsidR="00CC663B" w:rsidRPr="00FD21A0" w:rsidRDefault="00CC663B" w:rsidP="00450C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FD21A0">
              <w:rPr>
                <w:rFonts w:ascii="Arial" w:hAnsi="Arial" w:cs="Arial"/>
                <w:color w:val="000000"/>
                <w:sz w:val="18"/>
                <w:szCs w:val="18"/>
              </w:rPr>
              <w:t xml:space="preserve">$595.11 </w:t>
            </w:r>
          </w:p>
        </w:tc>
        <w:tc>
          <w:tcPr>
            <w:tcW w:w="867" w:type="dxa"/>
            <w:tcBorders>
              <w:top w:val="single" w:sz="4" w:space="0" w:color="auto"/>
              <w:left w:val="single" w:sz="4" w:space="0" w:color="auto"/>
              <w:bottom w:val="single" w:sz="4" w:space="0" w:color="auto"/>
              <w:right w:val="single" w:sz="4" w:space="0" w:color="auto"/>
            </w:tcBorders>
            <w:noWrap/>
            <w:hideMark/>
          </w:tcPr>
          <w:p w14:paraId="431C33A7" w14:textId="77777777" w:rsidR="00CC663B" w:rsidRPr="00FD21A0" w:rsidRDefault="00CC663B" w:rsidP="00450C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FD21A0">
              <w:rPr>
                <w:rFonts w:ascii="Arial" w:hAnsi="Arial" w:cs="Arial"/>
                <w:color w:val="000000"/>
                <w:sz w:val="18"/>
                <w:szCs w:val="18"/>
              </w:rPr>
              <w:t xml:space="preserve">$505.42 </w:t>
            </w:r>
          </w:p>
        </w:tc>
        <w:tc>
          <w:tcPr>
            <w:tcW w:w="640" w:type="dxa"/>
            <w:tcBorders>
              <w:top w:val="single" w:sz="4" w:space="0" w:color="auto"/>
              <w:left w:val="single" w:sz="4" w:space="0" w:color="auto"/>
              <w:bottom w:val="single" w:sz="4" w:space="0" w:color="auto"/>
              <w:right w:val="single" w:sz="4" w:space="0" w:color="auto"/>
            </w:tcBorders>
            <w:noWrap/>
            <w:hideMark/>
          </w:tcPr>
          <w:p w14:paraId="2BF66B7B" w14:textId="77777777" w:rsidR="00CC663B" w:rsidRPr="00FD21A0" w:rsidRDefault="00CC663B" w:rsidP="00450C0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FD21A0">
              <w:rPr>
                <w:rFonts w:ascii="Arial" w:hAnsi="Arial" w:cs="Arial"/>
                <w:color w:val="000000"/>
                <w:sz w:val="18"/>
                <w:szCs w:val="18"/>
              </w:rPr>
              <w:t>np</w:t>
            </w:r>
          </w:p>
        </w:tc>
        <w:tc>
          <w:tcPr>
            <w:tcW w:w="566" w:type="dxa"/>
            <w:tcBorders>
              <w:top w:val="single" w:sz="4" w:space="0" w:color="auto"/>
              <w:left w:val="single" w:sz="4" w:space="0" w:color="auto"/>
              <w:bottom w:val="single" w:sz="4" w:space="0" w:color="auto"/>
              <w:right w:val="single" w:sz="4" w:space="0" w:color="auto"/>
            </w:tcBorders>
            <w:noWrap/>
            <w:hideMark/>
          </w:tcPr>
          <w:p w14:paraId="2786110C" w14:textId="77777777" w:rsidR="00CC663B" w:rsidRPr="00FD21A0" w:rsidRDefault="00CC663B" w:rsidP="00450C0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FD21A0">
              <w:rPr>
                <w:rFonts w:ascii="Arial" w:hAnsi="Arial" w:cs="Arial"/>
                <w:color w:val="000000"/>
                <w:sz w:val="18"/>
                <w:szCs w:val="18"/>
              </w:rPr>
              <w:t>np</w:t>
            </w:r>
          </w:p>
        </w:tc>
        <w:tc>
          <w:tcPr>
            <w:tcW w:w="709" w:type="dxa"/>
            <w:tcBorders>
              <w:top w:val="single" w:sz="4" w:space="0" w:color="auto"/>
              <w:left w:val="single" w:sz="4" w:space="0" w:color="auto"/>
              <w:bottom w:val="single" w:sz="4" w:space="0" w:color="auto"/>
              <w:right w:val="single" w:sz="4" w:space="0" w:color="auto"/>
            </w:tcBorders>
            <w:noWrap/>
            <w:hideMark/>
          </w:tcPr>
          <w:p w14:paraId="5D48B826" w14:textId="77777777" w:rsidR="00CC663B" w:rsidRPr="00FD21A0" w:rsidRDefault="00CC663B" w:rsidP="00450C0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FD21A0">
              <w:rPr>
                <w:rFonts w:ascii="Arial" w:hAnsi="Arial" w:cs="Arial"/>
                <w:color w:val="000000"/>
                <w:sz w:val="18"/>
                <w:szCs w:val="18"/>
              </w:rPr>
              <w:t>np</w:t>
            </w:r>
          </w:p>
        </w:tc>
        <w:tc>
          <w:tcPr>
            <w:tcW w:w="992" w:type="dxa"/>
            <w:tcBorders>
              <w:top w:val="single" w:sz="4" w:space="0" w:color="auto"/>
              <w:left w:val="single" w:sz="4" w:space="0" w:color="auto"/>
              <w:bottom w:val="single" w:sz="4" w:space="0" w:color="auto"/>
              <w:right w:val="single" w:sz="4" w:space="0" w:color="auto"/>
            </w:tcBorders>
            <w:noWrap/>
            <w:hideMark/>
          </w:tcPr>
          <w:p w14:paraId="49CD6BE3" w14:textId="77777777" w:rsidR="00CC663B" w:rsidRPr="00FD21A0" w:rsidRDefault="00CC663B" w:rsidP="00450C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FD21A0">
              <w:rPr>
                <w:rFonts w:ascii="Arial" w:hAnsi="Arial" w:cs="Arial"/>
                <w:color w:val="000000"/>
                <w:sz w:val="18"/>
                <w:szCs w:val="18"/>
              </w:rPr>
              <w:t xml:space="preserve">$472.13 </w:t>
            </w:r>
          </w:p>
        </w:tc>
      </w:tr>
      <w:tr w:rsidR="00CC663B" w:rsidRPr="00FD21A0" w14:paraId="6AD80E0B" w14:textId="77777777" w:rsidTr="002757DD">
        <w:trPr>
          <w:trHeight w:val="255"/>
        </w:trPr>
        <w:tc>
          <w:tcPr>
            <w:cnfStyle w:val="001000000000" w:firstRow="0" w:lastRow="0" w:firstColumn="1" w:lastColumn="0" w:oddVBand="0" w:evenVBand="0" w:oddHBand="0" w:evenHBand="0" w:firstRowFirstColumn="0" w:firstRowLastColumn="0" w:lastRowFirstColumn="0" w:lastRowLastColumn="0"/>
            <w:tcW w:w="709" w:type="dxa"/>
            <w:tcBorders>
              <w:top w:val="nil"/>
              <w:left w:val="single" w:sz="4" w:space="0" w:color="auto"/>
              <w:bottom w:val="nil"/>
            </w:tcBorders>
            <w:hideMark/>
          </w:tcPr>
          <w:p w14:paraId="5E051A65" w14:textId="77777777" w:rsidR="00CC663B" w:rsidRPr="00FD21A0" w:rsidRDefault="00CC663B" w:rsidP="00450C04">
            <w:pPr>
              <w:rPr>
                <w:rFonts w:ascii="Arial" w:hAnsi="Arial" w:cs="Arial"/>
                <w:b w:val="0"/>
                <w:bCs w:val="0"/>
                <w:sz w:val="18"/>
                <w:szCs w:val="18"/>
              </w:rPr>
            </w:pPr>
          </w:p>
        </w:tc>
        <w:tc>
          <w:tcPr>
            <w:tcW w:w="1254" w:type="dxa"/>
            <w:tcBorders>
              <w:top w:val="single" w:sz="4" w:space="0" w:color="auto"/>
            </w:tcBorders>
            <w:hideMark/>
          </w:tcPr>
          <w:p w14:paraId="04D28C22" w14:textId="77777777" w:rsidR="00CC663B" w:rsidRPr="00FD21A0" w:rsidRDefault="00CC663B" w:rsidP="00450C04">
            <w:pP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FD21A0">
              <w:rPr>
                <w:rFonts w:ascii="Arial" w:hAnsi="Arial" w:cs="Arial"/>
                <w:b/>
                <w:bCs/>
                <w:sz w:val="18"/>
                <w:szCs w:val="18"/>
              </w:rPr>
              <w:t>Standard</w:t>
            </w:r>
            <w:r w:rsidRPr="00FD21A0">
              <w:rPr>
                <w:rFonts w:ascii="Arial" w:hAnsi="Arial" w:cs="Arial"/>
                <w:b/>
                <w:bCs/>
                <w:sz w:val="18"/>
                <w:szCs w:val="18"/>
              </w:rPr>
              <w:br/>
              <w:t>Deviation</w:t>
            </w:r>
          </w:p>
        </w:tc>
        <w:tc>
          <w:tcPr>
            <w:tcW w:w="1017" w:type="dxa"/>
            <w:tcBorders>
              <w:top w:val="single" w:sz="4" w:space="0" w:color="auto"/>
            </w:tcBorders>
            <w:noWrap/>
            <w:hideMark/>
          </w:tcPr>
          <w:p w14:paraId="1C5695FF" w14:textId="77777777" w:rsidR="00CC663B" w:rsidRPr="00FD21A0" w:rsidRDefault="00CC663B" w:rsidP="00450C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FD21A0">
              <w:rPr>
                <w:rFonts w:ascii="Arial" w:hAnsi="Arial" w:cs="Arial"/>
                <w:color w:val="000000"/>
                <w:sz w:val="18"/>
                <w:szCs w:val="18"/>
              </w:rPr>
              <w:t xml:space="preserve">$247.20 </w:t>
            </w:r>
          </w:p>
        </w:tc>
        <w:tc>
          <w:tcPr>
            <w:tcW w:w="867" w:type="dxa"/>
            <w:tcBorders>
              <w:top w:val="single" w:sz="4" w:space="0" w:color="auto"/>
            </w:tcBorders>
            <w:noWrap/>
            <w:hideMark/>
          </w:tcPr>
          <w:p w14:paraId="40C52078" w14:textId="77777777" w:rsidR="00CC663B" w:rsidRPr="00FD21A0" w:rsidRDefault="00CC663B" w:rsidP="00450C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FD21A0">
              <w:rPr>
                <w:rFonts w:ascii="Arial" w:hAnsi="Arial" w:cs="Arial"/>
                <w:color w:val="000000"/>
                <w:sz w:val="18"/>
                <w:szCs w:val="18"/>
              </w:rPr>
              <w:t xml:space="preserve">$95.35 </w:t>
            </w:r>
          </w:p>
        </w:tc>
        <w:tc>
          <w:tcPr>
            <w:tcW w:w="867" w:type="dxa"/>
            <w:tcBorders>
              <w:top w:val="single" w:sz="4" w:space="0" w:color="auto"/>
            </w:tcBorders>
            <w:noWrap/>
            <w:hideMark/>
          </w:tcPr>
          <w:p w14:paraId="657B6459" w14:textId="77777777" w:rsidR="00CC663B" w:rsidRPr="00FD21A0" w:rsidRDefault="00CC663B" w:rsidP="00450C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FD21A0">
              <w:rPr>
                <w:rFonts w:ascii="Arial" w:hAnsi="Arial" w:cs="Arial"/>
                <w:color w:val="000000"/>
                <w:sz w:val="18"/>
                <w:szCs w:val="18"/>
              </w:rPr>
              <w:t xml:space="preserve">$134.40 </w:t>
            </w:r>
          </w:p>
        </w:tc>
        <w:tc>
          <w:tcPr>
            <w:tcW w:w="867" w:type="dxa"/>
            <w:tcBorders>
              <w:top w:val="single" w:sz="4" w:space="0" w:color="auto"/>
            </w:tcBorders>
            <w:noWrap/>
            <w:hideMark/>
          </w:tcPr>
          <w:p w14:paraId="49C5927B" w14:textId="77777777" w:rsidR="00CC663B" w:rsidRPr="00FD21A0" w:rsidRDefault="00CC663B" w:rsidP="00450C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FD21A0">
              <w:rPr>
                <w:rFonts w:ascii="Arial" w:hAnsi="Arial" w:cs="Arial"/>
                <w:color w:val="000000"/>
                <w:sz w:val="18"/>
                <w:szCs w:val="18"/>
              </w:rPr>
              <w:t xml:space="preserve">$101.14 </w:t>
            </w:r>
          </w:p>
        </w:tc>
        <w:tc>
          <w:tcPr>
            <w:tcW w:w="867" w:type="dxa"/>
            <w:tcBorders>
              <w:top w:val="single" w:sz="4" w:space="0" w:color="auto"/>
            </w:tcBorders>
            <w:noWrap/>
            <w:hideMark/>
          </w:tcPr>
          <w:p w14:paraId="3B9164F5" w14:textId="77777777" w:rsidR="00CC663B" w:rsidRPr="00FD21A0" w:rsidRDefault="00CC663B" w:rsidP="00450C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FD21A0">
              <w:rPr>
                <w:rFonts w:ascii="Arial" w:hAnsi="Arial" w:cs="Arial"/>
                <w:color w:val="000000"/>
                <w:sz w:val="18"/>
                <w:szCs w:val="18"/>
              </w:rPr>
              <w:t xml:space="preserve">$189.86 </w:t>
            </w:r>
          </w:p>
        </w:tc>
        <w:tc>
          <w:tcPr>
            <w:tcW w:w="640" w:type="dxa"/>
            <w:tcBorders>
              <w:top w:val="single" w:sz="4" w:space="0" w:color="auto"/>
            </w:tcBorders>
            <w:noWrap/>
            <w:hideMark/>
          </w:tcPr>
          <w:p w14:paraId="53DAD089" w14:textId="77777777" w:rsidR="00CC663B" w:rsidRPr="00FD21A0" w:rsidRDefault="00CC663B" w:rsidP="00450C0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FD21A0">
              <w:rPr>
                <w:rFonts w:ascii="Arial" w:hAnsi="Arial" w:cs="Arial"/>
                <w:color w:val="000000"/>
                <w:sz w:val="18"/>
                <w:szCs w:val="18"/>
              </w:rPr>
              <w:t>np</w:t>
            </w:r>
          </w:p>
        </w:tc>
        <w:tc>
          <w:tcPr>
            <w:tcW w:w="566" w:type="dxa"/>
            <w:tcBorders>
              <w:top w:val="single" w:sz="4" w:space="0" w:color="auto"/>
            </w:tcBorders>
            <w:noWrap/>
            <w:hideMark/>
          </w:tcPr>
          <w:p w14:paraId="0C7F0731" w14:textId="77777777" w:rsidR="00CC663B" w:rsidRPr="00FD21A0" w:rsidRDefault="00CC663B" w:rsidP="00450C0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FD21A0">
              <w:rPr>
                <w:rFonts w:ascii="Arial" w:hAnsi="Arial" w:cs="Arial"/>
                <w:color w:val="000000"/>
                <w:sz w:val="18"/>
                <w:szCs w:val="18"/>
              </w:rPr>
              <w:t>np</w:t>
            </w:r>
          </w:p>
        </w:tc>
        <w:tc>
          <w:tcPr>
            <w:tcW w:w="709" w:type="dxa"/>
            <w:tcBorders>
              <w:top w:val="single" w:sz="4" w:space="0" w:color="auto"/>
            </w:tcBorders>
            <w:noWrap/>
            <w:hideMark/>
          </w:tcPr>
          <w:p w14:paraId="00439A1A" w14:textId="77777777" w:rsidR="00CC663B" w:rsidRPr="00FD21A0" w:rsidRDefault="00CC663B" w:rsidP="00450C0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FD21A0">
              <w:rPr>
                <w:rFonts w:ascii="Arial" w:hAnsi="Arial" w:cs="Arial"/>
                <w:color w:val="000000"/>
                <w:sz w:val="18"/>
                <w:szCs w:val="18"/>
              </w:rPr>
              <w:t>np</w:t>
            </w:r>
          </w:p>
        </w:tc>
        <w:tc>
          <w:tcPr>
            <w:tcW w:w="992" w:type="dxa"/>
            <w:tcBorders>
              <w:top w:val="single" w:sz="4" w:space="0" w:color="auto"/>
            </w:tcBorders>
            <w:noWrap/>
            <w:hideMark/>
          </w:tcPr>
          <w:p w14:paraId="3C7B8CDF" w14:textId="77777777" w:rsidR="00CC663B" w:rsidRPr="00FD21A0" w:rsidRDefault="00CC663B" w:rsidP="00450C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FD21A0">
              <w:rPr>
                <w:rFonts w:ascii="Arial" w:hAnsi="Arial" w:cs="Arial"/>
                <w:color w:val="000000"/>
                <w:sz w:val="18"/>
                <w:szCs w:val="18"/>
              </w:rPr>
              <w:t xml:space="preserve">$164.76 </w:t>
            </w:r>
          </w:p>
        </w:tc>
      </w:tr>
      <w:tr w:rsidR="00CC663B" w:rsidRPr="00FD21A0" w14:paraId="4B63D081" w14:textId="77777777" w:rsidTr="00F95EC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709" w:type="dxa"/>
            <w:tcBorders>
              <w:top w:val="nil"/>
              <w:left w:val="single" w:sz="4" w:space="0" w:color="auto"/>
              <w:bottom w:val="nil"/>
            </w:tcBorders>
            <w:hideMark/>
          </w:tcPr>
          <w:p w14:paraId="7D9FABB6" w14:textId="77777777" w:rsidR="00CC663B" w:rsidRPr="00FD21A0" w:rsidRDefault="00CC663B" w:rsidP="00450C04">
            <w:pPr>
              <w:rPr>
                <w:rFonts w:ascii="Arial" w:hAnsi="Arial" w:cs="Arial"/>
                <w:b w:val="0"/>
                <w:bCs w:val="0"/>
                <w:sz w:val="18"/>
                <w:szCs w:val="18"/>
              </w:rPr>
            </w:pPr>
          </w:p>
        </w:tc>
        <w:tc>
          <w:tcPr>
            <w:tcW w:w="1254" w:type="dxa"/>
            <w:tcBorders>
              <w:top w:val="single" w:sz="4" w:space="0" w:color="auto"/>
              <w:bottom w:val="none" w:sz="0" w:space="0" w:color="auto"/>
            </w:tcBorders>
            <w:hideMark/>
          </w:tcPr>
          <w:p w14:paraId="718B5EB9" w14:textId="77777777" w:rsidR="00CC663B" w:rsidRPr="00FD21A0" w:rsidRDefault="00CC663B" w:rsidP="00450C04">
            <w:pP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FD21A0">
              <w:rPr>
                <w:rFonts w:ascii="Arial" w:hAnsi="Arial" w:cs="Arial"/>
                <w:b/>
                <w:bCs/>
                <w:sz w:val="18"/>
                <w:szCs w:val="18"/>
              </w:rPr>
              <w:t>Median</w:t>
            </w:r>
          </w:p>
        </w:tc>
        <w:tc>
          <w:tcPr>
            <w:tcW w:w="1017" w:type="dxa"/>
            <w:tcBorders>
              <w:top w:val="single" w:sz="4" w:space="0" w:color="auto"/>
              <w:bottom w:val="none" w:sz="0" w:space="0" w:color="auto"/>
            </w:tcBorders>
            <w:noWrap/>
            <w:hideMark/>
          </w:tcPr>
          <w:p w14:paraId="0ABDD7EC" w14:textId="77777777" w:rsidR="00CC663B" w:rsidRPr="00FD21A0" w:rsidRDefault="00CC663B" w:rsidP="00450C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FD21A0">
              <w:rPr>
                <w:rFonts w:ascii="Arial" w:hAnsi="Arial" w:cs="Arial"/>
                <w:color w:val="000000"/>
                <w:sz w:val="18"/>
                <w:szCs w:val="18"/>
              </w:rPr>
              <w:t xml:space="preserve">$365.30 </w:t>
            </w:r>
          </w:p>
        </w:tc>
        <w:tc>
          <w:tcPr>
            <w:tcW w:w="867" w:type="dxa"/>
            <w:tcBorders>
              <w:top w:val="single" w:sz="4" w:space="0" w:color="auto"/>
              <w:bottom w:val="none" w:sz="0" w:space="0" w:color="auto"/>
            </w:tcBorders>
            <w:noWrap/>
            <w:hideMark/>
          </w:tcPr>
          <w:p w14:paraId="30111DD3" w14:textId="77777777" w:rsidR="00CC663B" w:rsidRPr="00FD21A0" w:rsidRDefault="00CC663B" w:rsidP="00450C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FD21A0">
              <w:rPr>
                <w:rFonts w:ascii="Arial" w:hAnsi="Arial" w:cs="Arial"/>
                <w:color w:val="000000"/>
                <w:sz w:val="18"/>
                <w:szCs w:val="18"/>
              </w:rPr>
              <w:t xml:space="preserve">$383.20 </w:t>
            </w:r>
          </w:p>
        </w:tc>
        <w:tc>
          <w:tcPr>
            <w:tcW w:w="867" w:type="dxa"/>
            <w:tcBorders>
              <w:top w:val="single" w:sz="4" w:space="0" w:color="auto"/>
              <w:bottom w:val="none" w:sz="0" w:space="0" w:color="auto"/>
            </w:tcBorders>
            <w:noWrap/>
            <w:hideMark/>
          </w:tcPr>
          <w:p w14:paraId="1BB1FE1F" w14:textId="77777777" w:rsidR="00CC663B" w:rsidRPr="00FD21A0" w:rsidRDefault="00CC663B" w:rsidP="00450C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FD21A0">
              <w:rPr>
                <w:rFonts w:ascii="Arial" w:hAnsi="Arial" w:cs="Arial"/>
                <w:color w:val="000000"/>
                <w:sz w:val="18"/>
                <w:szCs w:val="18"/>
              </w:rPr>
              <w:t xml:space="preserve">$383.15 </w:t>
            </w:r>
          </w:p>
        </w:tc>
        <w:tc>
          <w:tcPr>
            <w:tcW w:w="867" w:type="dxa"/>
            <w:tcBorders>
              <w:top w:val="single" w:sz="4" w:space="0" w:color="auto"/>
              <w:bottom w:val="none" w:sz="0" w:space="0" w:color="auto"/>
            </w:tcBorders>
            <w:noWrap/>
            <w:hideMark/>
          </w:tcPr>
          <w:p w14:paraId="166EB645" w14:textId="77777777" w:rsidR="00CC663B" w:rsidRPr="00FD21A0" w:rsidRDefault="00CC663B" w:rsidP="00450C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FD21A0">
              <w:rPr>
                <w:rFonts w:ascii="Arial" w:hAnsi="Arial" w:cs="Arial"/>
                <w:color w:val="000000"/>
                <w:sz w:val="18"/>
                <w:szCs w:val="18"/>
              </w:rPr>
              <w:t xml:space="preserve">$613.00 </w:t>
            </w:r>
          </w:p>
        </w:tc>
        <w:tc>
          <w:tcPr>
            <w:tcW w:w="867" w:type="dxa"/>
            <w:tcBorders>
              <w:top w:val="single" w:sz="4" w:space="0" w:color="auto"/>
              <w:bottom w:val="none" w:sz="0" w:space="0" w:color="auto"/>
            </w:tcBorders>
            <w:noWrap/>
            <w:hideMark/>
          </w:tcPr>
          <w:p w14:paraId="305321BA" w14:textId="77777777" w:rsidR="00CC663B" w:rsidRPr="00FD21A0" w:rsidRDefault="00CC663B" w:rsidP="00450C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FD21A0">
              <w:rPr>
                <w:rFonts w:ascii="Arial" w:hAnsi="Arial" w:cs="Arial"/>
                <w:color w:val="000000"/>
                <w:sz w:val="18"/>
                <w:szCs w:val="18"/>
              </w:rPr>
              <w:t xml:space="preserve">$650.00 </w:t>
            </w:r>
          </w:p>
        </w:tc>
        <w:tc>
          <w:tcPr>
            <w:tcW w:w="640" w:type="dxa"/>
            <w:tcBorders>
              <w:top w:val="single" w:sz="4" w:space="0" w:color="auto"/>
              <w:bottom w:val="none" w:sz="0" w:space="0" w:color="auto"/>
            </w:tcBorders>
            <w:noWrap/>
            <w:hideMark/>
          </w:tcPr>
          <w:p w14:paraId="004199F1" w14:textId="77777777" w:rsidR="00CC663B" w:rsidRPr="00FD21A0" w:rsidRDefault="00CC663B" w:rsidP="00450C0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FD21A0">
              <w:rPr>
                <w:rFonts w:ascii="Arial" w:hAnsi="Arial" w:cs="Arial"/>
                <w:color w:val="000000"/>
                <w:sz w:val="18"/>
                <w:szCs w:val="18"/>
              </w:rPr>
              <w:t>np</w:t>
            </w:r>
          </w:p>
        </w:tc>
        <w:tc>
          <w:tcPr>
            <w:tcW w:w="566" w:type="dxa"/>
            <w:tcBorders>
              <w:top w:val="single" w:sz="4" w:space="0" w:color="auto"/>
              <w:bottom w:val="none" w:sz="0" w:space="0" w:color="auto"/>
            </w:tcBorders>
            <w:noWrap/>
            <w:hideMark/>
          </w:tcPr>
          <w:p w14:paraId="6FBB5CF5" w14:textId="77777777" w:rsidR="00CC663B" w:rsidRPr="00FD21A0" w:rsidRDefault="00CC663B" w:rsidP="00450C0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FD21A0">
              <w:rPr>
                <w:rFonts w:ascii="Arial" w:hAnsi="Arial" w:cs="Arial"/>
                <w:color w:val="000000"/>
                <w:sz w:val="18"/>
                <w:szCs w:val="18"/>
              </w:rPr>
              <w:t>np</w:t>
            </w:r>
          </w:p>
        </w:tc>
        <w:tc>
          <w:tcPr>
            <w:tcW w:w="709" w:type="dxa"/>
            <w:tcBorders>
              <w:top w:val="single" w:sz="4" w:space="0" w:color="auto"/>
              <w:bottom w:val="none" w:sz="0" w:space="0" w:color="auto"/>
            </w:tcBorders>
            <w:noWrap/>
            <w:hideMark/>
          </w:tcPr>
          <w:p w14:paraId="01EA1BDE" w14:textId="77777777" w:rsidR="00CC663B" w:rsidRPr="00FD21A0" w:rsidRDefault="00CC663B" w:rsidP="00450C0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FD21A0">
              <w:rPr>
                <w:rFonts w:ascii="Arial" w:hAnsi="Arial" w:cs="Arial"/>
                <w:color w:val="000000"/>
                <w:sz w:val="18"/>
                <w:szCs w:val="18"/>
              </w:rPr>
              <w:t>np</w:t>
            </w:r>
          </w:p>
        </w:tc>
        <w:tc>
          <w:tcPr>
            <w:tcW w:w="992" w:type="dxa"/>
            <w:tcBorders>
              <w:top w:val="single" w:sz="4" w:space="0" w:color="auto"/>
              <w:bottom w:val="none" w:sz="0" w:space="0" w:color="auto"/>
              <w:right w:val="none" w:sz="0" w:space="0" w:color="auto"/>
            </w:tcBorders>
            <w:noWrap/>
            <w:hideMark/>
          </w:tcPr>
          <w:p w14:paraId="0D3BD4EA" w14:textId="77777777" w:rsidR="00CC663B" w:rsidRPr="00FD21A0" w:rsidRDefault="00CC663B" w:rsidP="00450C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FD21A0">
              <w:rPr>
                <w:rFonts w:ascii="Arial" w:hAnsi="Arial" w:cs="Arial"/>
                <w:color w:val="000000"/>
                <w:sz w:val="18"/>
                <w:szCs w:val="18"/>
              </w:rPr>
              <w:t xml:space="preserve">$409.75 </w:t>
            </w:r>
          </w:p>
        </w:tc>
      </w:tr>
      <w:tr w:rsidR="00CC663B" w:rsidRPr="00FD21A0" w14:paraId="0075C3D4" w14:textId="77777777" w:rsidTr="00F95EC4">
        <w:trPr>
          <w:trHeight w:val="255"/>
        </w:trPr>
        <w:tc>
          <w:tcPr>
            <w:cnfStyle w:val="001000000000" w:firstRow="0" w:lastRow="0" w:firstColumn="1" w:lastColumn="0" w:oddVBand="0" w:evenVBand="0" w:oddHBand="0" w:evenHBand="0" w:firstRowFirstColumn="0" w:firstRowLastColumn="0" w:lastRowFirstColumn="0" w:lastRowLastColumn="0"/>
            <w:tcW w:w="709" w:type="dxa"/>
            <w:tcBorders>
              <w:top w:val="nil"/>
              <w:left w:val="single" w:sz="4" w:space="0" w:color="auto"/>
              <w:bottom w:val="nil"/>
            </w:tcBorders>
            <w:hideMark/>
          </w:tcPr>
          <w:p w14:paraId="4F42B7E0" w14:textId="77777777" w:rsidR="00CC663B" w:rsidRPr="00FD21A0" w:rsidRDefault="00CC663B" w:rsidP="00450C04">
            <w:pPr>
              <w:rPr>
                <w:rFonts w:ascii="Arial" w:hAnsi="Arial" w:cs="Arial"/>
                <w:b w:val="0"/>
                <w:bCs w:val="0"/>
                <w:sz w:val="18"/>
                <w:szCs w:val="18"/>
              </w:rPr>
            </w:pPr>
          </w:p>
        </w:tc>
        <w:tc>
          <w:tcPr>
            <w:tcW w:w="1254" w:type="dxa"/>
            <w:tcBorders>
              <w:top w:val="single" w:sz="4" w:space="0" w:color="auto"/>
            </w:tcBorders>
            <w:hideMark/>
          </w:tcPr>
          <w:p w14:paraId="4D94E0D2" w14:textId="77777777" w:rsidR="00CC663B" w:rsidRPr="00FD21A0" w:rsidRDefault="00CC663B" w:rsidP="00450C04">
            <w:pP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FD21A0">
              <w:rPr>
                <w:rFonts w:ascii="Arial" w:hAnsi="Arial" w:cs="Arial"/>
                <w:b/>
                <w:bCs/>
                <w:sz w:val="18"/>
                <w:szCs w:val="18"/>
              </w:rPr>
              <w:t>75th Percentile</w:t>
            </w:r>
          </w:p>
        </w:tc>
        <w:tc>
          <w:tcPr>
            <w:tcW w:w="1017" w:type="dxa"/>
            <w:tcBorders>
              <w:top w:val="single" w:sz="4" w:space="0" w:color="auto"/>
            </w:tcBorders>
            <w:noWrap/>
            <w:hideMark/>
          </w:tcPr>
          <w:p w14:paraId="6381A6F6" w14:textId="77777777" w:rsidR="00CC663B" w:rsidRPr="00FD21A0" w:rsidRDefault="00CC663B" w:rsidP="00450C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FD21A0">
              <w:rPr>
                <w:rFonts w:ascii="Arial" w:hAnsi="Arial" w:cs="Arial"/>
                <w:color w:val="000000"/>
                <w:sz w:val="18"/>
                <w:szCs w:val="18"/>
              </w:rPr>
              <w:t xml:space="preserve">$545.00 </w:t>
            </w:r>
          </w:p>
        </w:tc>
        <w:tc>
          <w:tcPr>
            <w:tcW w:w="867" w:type="dxa"/>
            <w:tcBorders>
              <w:top w:val="single" w:sz="4" w:space="0" w:color="auto"/>
            </w:tcBorders>
            <w:noWrap/>
            <w:hideMark/>
          </w:tcPr>
          <w:p w14:paraId="7FEF20ED" w14:textId="77777777" w:rsidR="00CC663B" w:rsidRPr="00FD21A0" w:rsidRDefault="00CC663B" w:rsidP="00450C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FD21A0">
              <w:rPr>
                <w:rFonts w:ascii="Arial" w:hAnsi="Arial" w:cs="Arial"/>
                <w:color w:val="000000"/>
                <w:sz w:val="18"/>
                <w:szCs w:val="18"/>
              </w:rPr>
              <w:t xml:space="preserve">$409.75 </w:t>
            </w:r>
          </w:p>
        </w:tc>
        <w:tc>
          <w:tcPr>
            <w:tcW w:w="867" w:type="dxa"/>
            <w:tcBorders>
              <w:top w:val="single" w:sz="4" w:space="0" w:color="auto"/>
            </w:tcBorders>
            <w:noWrap/>
            <w:hideMark/>
          </w:tcPr>
          <w:p w14:paraId="13CF2414" w14:textId="77777777" w:rsidR="00CC663B" w:rsidRPr="00FD21A0" w:rsidRDefault="00CC663B" w:rsidP="00450C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FD21A0">
              <w:rPr>
                <w:rFonts w:ascii="Arial" w:hAnsi="Arial" w:cs="Arial"/>
                <w:color w:val="000000"/>
                <w:sz w:val="18"/>
                <w:szCs w:val="18"/>
              </w:rPr>
              <w:t xml:space="preserve">$545.00 </w:t>
            </w:r>
          </w:p>
        </w:tc>
        <w:tc>
          <w:tcPr>
            <w:tcW w:w="867" w:type="dxa"/>
            <w:tcBorders>
              <w:top w:val="single" w:sz="4" w:space="0" w:color="auto"/>
            </w:tcBorders>
            <w:noWrap/>
            <w:hideMark/>
          </w:tcPr>
          <w:p w14:paraId="0CA7D009" w14:textId="77777777" w:rsidR="00CC663B" w:rsidRPr="00FD21A0" w:rsidRDefault="00CC663B" w:rsidP="00450C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FD21A0">
              <w:rPr>
                <w:rFonts w:ascii="Arial" w:hAnsi="Arial" w:cs="Arial"/>
                <w:color w:val="000000"/>
                <w:sz w:val="18"/>
                <w:szCs w:val="18"/>
              </w:rPr>
              <w:t xml:space="preserve">$657.90 </w:t>
            </w:r>
          </w:p>
        </w:tc>
        <w:tc>
          <w:tcPr>
            <w:tcW w:w="867" w:type="dxa"/>
            <w:tcBorders>
              <w:top w:val="single" w:sz="4" w:space="0" w:color="auto"/>
            </w:tcBorders>
            <w:noWrap/>
            <w:hideMark/>
          </w:tcPr>
          <w:p w14:paraId="1CE4A8A9" w14:textId="77777777" w:rsidR="00CC663B" w:rsidRPr="00FD21A0" w:rsidRDefault="00CC663B" w:rsidP="00450C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FD21A0">
              <w:rPr>
                <w:rFonts w:ascii="Arial" w:hAnsi="Arial" w:cs="Arial"/>
                <w:color w:val="000000"/>
                <w:sz w:val="18"/>
                <w:szCs w:val="18"/>
              </w:rPr>
              <w:t xml:space="preserve">$650.00 </w:t>
            </w:r>
          </w:p>
        </w:tc>
        <w:tc>
          <w:tcPr>
            <w:tcW w:w="640" w:type="dxa"/>
            <w:tcBorders>
              <w:top w:val="single" w:sz="4" w:space="0" w:color="auto"/>
            </w:tcBorders>
            <w:noWrap/>
            <w:hideMark/>
          </w:tcPr>
          <w:p w14:paraId="0B272880" w14:textId="77777777" w:rsidR="00CC663B" w:rsidRPr="00FD21A0" w:rsidRDefault="00CC663B" w:rsidP="00450C0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FD21A0">
              <w:rPr>
                <w:rFonts w:ascii="Arial" w:hAnsi="Arial" w:cs="Arial"/>
                <w:color w:val="000000"/>
                <w:sz w:val="18"/>
                <w:szCs w:val="18"/>
              </w:rPr>
              <w:t>np</w:t>
            </w:r>
          </w:p>
        </w:tc>
        <w:tc>
          <w:tcPr>
            <w:tcW w:w="566" w:type="dxa"/>
            <w:tcBorders>
              <w:top w:val="single" w:sz="4" w:space="0" w:color="auto"/>
            </w:tcBorders>
            <w:noWrap/>
            <w:hideMark/>
          </w:tcPr>
          <w:p w14:paraId="78496673" w14:textId="77777777" w:rsidR="00CC663B" w:rsidRPr="00FD21A0" w:rsidRDefault="00CC663B" w:rsidP="00450C0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FD21A0">
              <w:rPr>
                <w:rFonts w:ascii="Arial" w:hAnsi="Arial" w:cs="Arial"/>
                <w:color w:val="000000"/>
                <w:sz w:val="18"/>
                <w:szCs w:val="18"/>
              </w:rPr>
              <w:t>np</w:t>
            </w:r>
          </w:p>
        </w:tc>
        <w:tc>
          <w:tcPr>
            <w:tcW w:w="709" w:type="dxa"/>
            <w:tcBorders>
              <w:top w:val="single" w:sz="4" w:space="0" w:color="auto"/>
            </w:tcBorders>
            <w:noWrap/>
            <w:hideMark/>
          </w:tcPr>
          <w:p w14:paraId="32EC5392" w14:textId="77777777" w:rsidR="00CC663B" w:rsidRPr="00FD21A0" w:rsidRDefault="00CC663B" w:rsidP="00450C0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FD21A0">
              <w:rPr>
                <w:rFonts w:ascii="Arial" w:hAnsi="Arial" w:cs="Arial"/>
                <w:color w:val="000000"/>
                <w:sz w:val="18"/>
                <w:szCs w:val="18"/>
              </w:rPr>
              <w:t>np</w:t>
            </w:r>
          </w:p>
        </w:tc>
        <w:tc>
          <w:tcPr>
            <w:tcW w:w="992" w:type="dxa"/>
            <w:tcBorders>
              <w:top w:val="single" w:sz="4" w:space="0" w:color="auto"/>
            </w:tcBorders>
            <w:noWrap/>
            <w:hideMark/>
          </w:tcPr>
          <w:p w14:paraId="2F4EE361" w14:textId="77777777" w:rsidR="00CC663B" w:rsidRPr="00FD21A0" w:rsidRDefault="00CC663B" w:rsidP="00450C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FD21A0">
              <w:rPr>
                <w:rFonts w:ascii="Arial" w:hAnsi="Arial" w:cs="Arial"/>
                <w:color w:val="000000"/>
                <w:sz w:val="18"/>
                <w:szCs w:val="18"/>
              </w:rPr>
              <w:t xml:space="preserve">$600.00 </w:t>
            </w:r>
          </w:p>
        </w:tc>
      </w:tr>
      <w:tr w:rsidR="00CC663B" w:rsidRPr="00FD21A0" w14:paraId="3CB37349" w14:textId="77777777" w:rsidTr="00F95EC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709" w:type="dxa"/>
            <w:tcBorders>
              <w:top w:val="nil"/>
              <w:left w:val="single" w:sz="4" w:space="0" w:color="auto"/>
              <w:bottom w:val="nil"/>
            </w:tcBorders>
            <w:hideMark/>
          </w:tcPr>
          <w:p w14:paraId="40E64959" w14:textId="77777777" w:rsidR="00CC663B" w:rsidRPr="00FD21A0" w:rsidRDefault="00CC663B" w:rsidP="00450C04">
            <w:pPr>
              <w:rPr>
                <w:rFonts w:ascii="Arial" w:hAnsi="Arial" w:cs="Arial"/>
                <w:b w:val="0"/>
                <w:bCs w:val="0"/>
                <w:sz w:val="18"/>
                <w:szCs w:val="18"/>
              </w:rPr>
            </w:pPr>
          </w:p>
        </w:tc>
        <w:tc>
          <w:tcPr>
            <w:tcW w:w="1254" w:type="dxa"/>
            <w:tcBorders>
              <w:top w:val="single" w:sz="4" w:space="0" w:color="auto"/>
              <w:bottom w:val="none" w:sz="0" w:space="0" w:color="auto"/>
            </w:tcBorders>
            <w:hideMark/>
          </w:tcPr>
          <w:p w14:paraId="5D98B10D" w14:textId="77777777" w:rsidR="00CC663B" w:rsidRPr="00FD21A0" w:rsidRDefault="00CC663B" w:rsidP="00450C04">
            <w:pP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FD21A0">
              <w:rPr>
                <w:rFonts w:ascii="Arial" w:hAnsi="Arial" w:cs="Arial"/>
                <w:b/>
                <w:bCs/>
                <w:sz w:val="18"/>
                <w:szCs w:val="18"/>
              </w:rPr>
              <w:t>95th Percentile</w:t>
            </w:r>
          </w:p>
        </w:tc>
        <w:tc>
          <w:tcPr>
            <w:tcW w:w="1017" w:type="dxa"/>
            <w:tcBorders>
              <w:top w:val="single" w:sz="4" w:space="0" w:color="auto"/>
              <w:bottom w:val="none" w:sz="0" w:space="0" w:color="auto"/>
            </w:tcBorders>
            <w:noWrap/>
            <w:hideMark/>
          </w:tcPr>
          <w:p w14:paraId="45CD1D3C" w14:textId="77777777" w:rsidR="00CC663B" w:rsidRPr="00FD21A0" w:rsidRDefault="00CC663B" w:rsidP="00450C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FD21A0">
              <w:rPr>
                <w:rFonts w:ascii="Arial" w:hAnsi="Arial" w:cs="Arial"/>
                <w:color w:val="000000"/>
                <w:sz w:val="18"/>
                <w:szCs w:val="18"/>
              </w:rPr>
              <w:t xml:space="preserve">$1,100.00 </w:t>
            </w:r>
          </w:p>
        </w:tc>
        <w:tc>
          <w:tcPr>
            <w:tcW w:w="867" w:type="dxa"/>
            <w:tcBorders>
              <w:top w:val="single" w:sz="4" w:space="0" w:color="auto"/>
              <w:bottom w:val="none" w:sz="0" w:space="0" w:color="auto"/>
            </w:tcBorders>
            <w:noWrap/>
            <w:hideMark/>
          </w:tcPr>
          <w:p w14:paraId="68E754A5" w14:textId="77777777" w:rsidR="00CC663B" w:rsidRPr="00FD21A0" w:rsidRDefault="00CC663B" w:rsidP="00450C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FD21A0">
              <w:rPr>
                <w:rFonts w:ascii="Arial" w:hAnsi="Arial" w:cs="Arial"/>
                <w:color w:val="000000"/>
                <w:sz w:val="18"/>
                <w:szCs w:val="18"/>
              </w:rPr>
              <w:t xml:space="preserve">$600.00 </w:t>
            </w:r>
          </w:p>
        </w:tc>
        <w:tc>
          <w:tcPr>
            <w:tcW w:w="867" w:type="dxa"/>
            <w:tcBorders>
              <w:top w:val="single" w:sz="4" w:space="0" w:color="auto"/>
              <w:bottom w:val="none" w:sz="0" w:space="0" w:color="auto"/>
            </w:tcBorders>
            <w:noWrap/>
            <w:hideMark/>
          </w:tcPr>
          <w:p w14:paraId="0DA73395" w14:textId="77777777" w:rsidR="00CC663B" w:rsidRPr="00FD21A0" w:rsidRDefault="00CC663B" w:rsidP="00450C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FD21A0">
              <w:rPr>
                <w:rFonts w:ascii="Arial" w:hAnsi="Arial" w:cs="Arial"/>
                <w:color w:val="000000"/>
                <w:sz w:val="18"/>
                <w:szCs w:val="18"/>
              </w:rPr>
              <w:t xml:space="preserve">$650.00 </w:t>
            </w:r>
          </w:p>
        </w:tc>
        <w:tc>
          <w:tcPr>
            <w:tcW w:w="867" w:type="dxa"/>
            <w:tcBorders>
              <w:top w:val="single" w:sz="4" w:space="0" w:color="auto"/>
              <w:bottom w:val="none" w:sz="0" w:space="0" w:color="auto"/>
            </w:tcBorders>
            <w:noWrap/>
            <w:hideMark/>
          </w:tcPr>
          <w:p w14:paraId="62729559" w14:textId="77777777" w:rsidR="00CC663B" w:rsidRPr="00FD21A0" w:rsidRDefault="00CC663B" w:rsidP="00450C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FD21A0">
              <w:rPr>
                <w:rFonts w:ascii="Arial" w:hAnsi="Arial" w:cs="Arial"/>
                <w:color w:val="000000"/>
                <w:sz w:val="18"/>
                <w:szCs w:val="18"/>
              </w:rPr>
              <w:t xml:space="preserve">$657.90 </w:t>
            </w:r>
          </w:p>
        </w:tc>
        <w:tc>
          <w:tcPr>
            <w:tcW w:w="867" w:type="dxa"/>
            <w:tcBorders>
              <w:top w:val="single" w:sz="4" w:space="0" w:color="auto"/>
              <w:bottom w:val="none" w:sz="0" w:space="0" w:color="auto"/>
            </w:tcBorders>
            <w:noWrap/>
            <w:hideMark/>
          </w:tcPr>
          <w:p w14:paraId="60D85657" w14:textId="77777777" w:rsidR="00CC663B" w:rsidRPr="00FD21A0" w:rsidRDefault="00CC663B" w:rsidP="00450C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FD21A0">
              <w:rPr>
                <w:rFonts w:ascii="Arial" w:hAnsi="Arial" w:cs="Arial"/>
                <w:color w:val="000000"/>
                <w:sz w:val="18"/>
                <w:szCs w:val="18"/>
              </w:rPr>
              <w:t xml:space="preserve">$650.00 </w:t>
            </w:r>
          </w:p>
        </w:tc>
        <w:tc>
          <w:tcPr>
            <w:tcW w:w="640" w:type="dxa"/>
            <w:tcBorders>
              <w:top w:val="single" w:sz="4" w:space="0" w:color="auto"/>
              <w:bottom w:val="none" w:sz="0" w:space="0" w:color="auto"/>
            </w:tcBorders>
            <w:noWrap/>
            <w:hideMark/>
          </w:tcPr>
          <w:p w14:paraId="66752DBB" w14:textId="77777777" w:rsidR="00CC663B" w:rsidRPr="00FD21A0" w:rsidRDefault="00CC663B" w:rsidP="00450C0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FD21A0">
              <w:rPr>
                <w:rFonts w:ascii="Arial" w:hAnsi="Arial" w:cs="Arial"/>
                <w:color w:val="000000"/>
                <w:sz w:val="18"/>
                <w:szCs w:val="18"/>
              </w:rPr>
              <w:t>np</w:t>
            </w:r>
          </w:p>
        </w:tc>
        <w:tc>
          <w:tcPr>
            <w:tcW w:w="566" w:type="dxa"/>
            <w:tcBorders>
              <w:top w:val="single" w:sz="4" w:space="0" w:color="auto"/>
              <w:bottom w:val="none" w:sz="0" w:space="0" w:color="auto"/>
            </w:tcBorders>
            <w:noWrap/>
            <w:hideMark/>
          </w:tcPr>
          <w:p w14:paraId="38684EE1" w14:textId="77777777" w:rsidR="00CC663B" w:rsidRPr="00FD21A0" w:rsidRDefault="00CC663B" w:rsidP="00450C0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FD21A0">
              <w:rPr>
                <w:rFonts w:ascii="Arial" w:hAnsi="Arial" w:cs="Arial"/>
                <w:color w:val="000000"/>
                <w:sz w:val="18"/>
                <w:szCs w:val="18"/>
              </w:rPr>
              <w:t>np</w:t>
            </w:r>
          </w:p>
        </w:tc>
        <w:tc>
          <w:tcPr>
            <w:tcW w:w="709" w:type="dxa"/>
            <w:tcBorders>
              <w:top w:val="single" w:sz="4" w:space="0" w:color="auto"/>
              <w:bottom w:val="none" w:sz="0" w:space="0" w:color="auto"/>
            </w:tcBorders>
            <w:noWrap/>
            <w:hideMark/>
          </w:tcPr>
          <w:p w14:paraId="14A6CF74" w14:textId="77777777" w:rsidR="00CC663B" w:rsidRPr="00FD21A0" w:rsidRDefault="00CC663B" w:rsidP="00450C0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FD21A0">
              <w:rPr>
                <w:rFonts w:ascii="Arial" w:hAnsi="Arial" w:cs="Arial"/>
                <w:color w:val="000000"/>
                <w:sz w:val="18"/>
                <w:szCs w:val="18"/>
              </w:rPr>
              <w:t>np</w:t>
            </w:r>
          </w:p>
        </w:tc>
        <w:tc>
          <w:tcPr>
            <w:tcW w:w="992" w:type="dxa"/>
            <w:tcBorders>
              <w:top w:val="single" w:sz="4" w:space="0" w:color="auto"/>
              <w:bottom w:val="none" w:sz="0" w:space="0" w:color="auto"/>
              <w:right w:val="none" w:sz="0" w:space="0" w:color="auto"/>
            </w:tcBorders>
            <w:noWrap/>
            <w:hideMark/>
          </w:tcPr>
          <w:p w14:paraId="5E715414" w14:textId="77777777" w:rsidR="00CC663B" w:rsidRPr="00FD21A0" w:rsidRDefault="00CC663B" w:rsidP="00450C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FD21A0">
              <w:rPr>
                <w:rFonts w:ascii="Arial" w:hAnsi="Arial" w:cs="Arial"/>
                <w:color w:val="000000"/>
                <w:sz w:val="18"/>
                <w:szCs w:val="18"/>
              </w:rPr>
              <w:t xml:space="preserve">$657.90 </w:t>
            </w:r>
          </w:p>
        </w:tc>
      </w:tr>
      <w:tr w:rsidR="00CC663B" w:rsidRPr="00FD21A0" w14:paraId="661A98EA" w14:textId="77777777" w:rsidTr="00F95EC4">
        <w:trPr>
          <w:trHeight w:val="255"/>
        </w:trPr>
        <w:tc>
          <w:tcPr>
            <w:cnfStyle w:val="001000000000" w:firstRow="0" w:lastRow="0" w:firstColumn="1" w:lastColumn="0" w:oddVBand="0" w:evenVBand="0" w:oddHBand="0" w:evenHBand="0" w:firstRowFirstColumn="0" w:firstRowLastColumn="0" w:lastRowFirstColumn="0" w:lastRowLastColumn="0"/>
            <w:tcW w:w="709" w:type="dxa"/>
            <w:tcBorders>
              <w:top w:val="nil"/>
              <w:left w:val="single" w:sz="4" w:space="0" w:color="auto"/>
            </w:tcBorders>
            <w:hideMark/>
          </w:tcPr>
          <w:p w14:paraId="4B5A8033" w14:textId="77777777" w:rsidR="00CC663B" w:rsidRPr="00FD21A0" w:rsidRDefault="00CC663B" w:rsidP="00450C04">
            <w:pPr>
              <w:rPr>
                <w:rFonts w:ascii="Arial" w:hAnsi="Arial" w:cs="Arial"/>
                <w:b w:val="0"/>
                <w:bCs w:val="0"/>
                <w:sz w:val="18"/>
                <w:szCs w:val="18"/>
              </w:rPr>
            </w:pPr>
          </w:p>
        </w:tc>
        <w:tc>
          <w:tcPr>
            <w:tcW w:w="1254" w:type="dxa"/>
            <w:tcBorders>
              <w:top w:val="single" w:sz="4" w:space="0" w:color="auto"/>
            </w:tcBorders>
            <w:hideMark/>
          </w:tcPr>
          <w:p w14:paraId="69F505B5" w14:textId="77777777" w:rsidR="00CC663B" w:rsidRPr="00FD21A0" w:rsidRDefault="00CC663B" w:rsidP="00450C04">
            <w:pP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FD21A0">
              <w:rPr>
                <w:rFonts w:ascii="Arial" w:hAnsi="Arial" w:cs="Arial"/>
                <w:b/>
                <w:bCs/>
                <w:sz w:val="18"/>
                <w:szCs w:val="18"/>
              </w:rPr>
              <w:t>Bulk Billed</w:t>
            </w:r>
            <w:r w:rsidRPr="00FD21A0">
              <w:rPr>
                <w:rFonts w:ascii="Arial" w:hAnsi="Arial" w:cs="Arial"/>
                <w:b/>
                <w:bCs/>
                <w:sz w:val="18"/>
                <w:szCs w:val="18"/>
              </w:rPr>
              <w:br/>
              <w:t>Rate</w:t>
            </w:r>
          </w:p>
        </w:tc>
        <w:tc>
          <w:tcPr>
            <w:tcW w:w="1017" w:type="dxa"/>
            <w:tcBorders>
              <w:top w:val="single" w:sz="4" w:space="0" w:color="auto"/>
            </w:tcBorders>
            <w:noWrap/>
            <w:hideMark/>
          </w:tcPr>
          <w:p w14:paraId="77E8E125" w14:textId="77777777" w:rsidR="00CC663B" w:rsidRPr="00FD21A0" w:rsidRDefault="00CC663B" w:rsidP="00450C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FD21A0">
              <w:rPr>
                <w:rFonts w:ascii="Arial" w:hAnsi="Arial" w:cs="Arial"/>
                <w:color w:val="000000"/>
                <w:sz w:val="18"/>
                <w:szCs w:val="18"/>
              </w:rPr>
              <w:t xml:space="preserve">2.0% </w:t>
            </w:r>
          </w:p>
        </w:tc>
        <w:tc>
          <w:tcPr>
            <w:tcW w:w="867" w:type="dxa"/>
            <w:tcBorders>
              <w:top w:val="single" w:sz="4" w:space="0" w:color="auto"/>
            </w:tcBorders>
            <w:noWrap/>
            <w:hideMark/>
          </w:tcPr>
          <w:p w14:paraId="3C1233F7" w14:textId="77777777" w:rsidR="00CC663B" w:rsidRPr="00FD21A0" w:rsidRDefault="00CC663B" w:rsidP="00450C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FD21A0">
              <w:rPr>
                <w:rFonts w:ascii="Arial" w:hAnsi="Arial" w:cs="Arial"/>
                <w:color w:val="000000"/>
                <w:sz w:val="18"/>
                <w:szCs w:val="18"/>
              </w:rPr>
              <w:t>-</w:t>
            </w:r>
          </w:p>
        </w:tc>
        <w:tc>
          <w:tcPr>
            <w:tcW w:w="867" w:type="dxa"/>
            <w:tcBorders>
              <w:top w:val="single" w:sz="4" w:space="0" w:color="auto"/>
            </w:tcBorders>
            <w:noWrap/>
            <w:hideMark/>
          </w:tcPr>
          <w:p w14:paraId="21605762" w14:textId="77777777" w:rsidR="00CC663B" w:rsidRPr="00FD21A0" w:rsidRDefault="00CC663B" w:rsidP="00450C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FD21A0">
              <w:rPr>
                <w:rFonts w:ascii="Arial" w:hAnsi="Arial" w:cs="Arial"/>
                <w:color w:val="000000"/>
                <w:sz w:val="18"/>
                <w:szCs w:val="18"/>
              </w:rPr>
              <w:t>-</w:t>
            </w:r>
          </w:p>
        </w:tc>
        <w:tc>
          <w:tcPr>
            <w:tcW w:w="867" w:type="dxa"/>
            <w:tcBorders>
              <w:top w:val="single" w:sz="4" w:space="0" w:color="auto"/>
            </w:tcBorders>
            <w:noWrap/>
            <w:hideMark/>
          </w:tcPr>
          <w:p w14:paraId="08051D7A" w14:textId="77777777" w:rsidR="00CC663B" w:rsidRPr="00FD21A0" w:rsidRDefault="00CC663B" w:rsidP="00450C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FD21A0">
              <w:rPr>
                <w:rFonts w:ascii="Arial" w:hAnsi="Arial" w:cs="Arial"/>
                <w:color w:val="000000"/>
                <w:sz w:val="18"/>
                <w:szCs w:val="18"/>
              </w:rPr>
              <w:t>-</w:t>
            </w:r>
          </w:p>
        </w:tc>
        <w:tc>
          <w:tcPr>
            <w:tcW w:w="867" w:type="dxa"/>
            <w:tcBorders>
              <w:top w:val="single" w:sz="4" w:space="0" w:color="auto"/>
            </w:tcBorders>
            <w:noWrap/>
            <w:hideMark/>
          </w:tcPr>
          <w:p w14:paraId="474880C0" w14:textId="77777777" w:rsidR="00CC663B" w:rsidRPr="00FD21A0" w:rsidRDefault="00CC663B" w:rsidP="00450C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FD21A0">
              <w:rPr>
                <w:rFonts w:ascii="Arial" w:hAnsi="Arial" w:cs="Arial"/>
                <w:color w:val="000000"/>
                <w:sz w:val="18"/>
                <w:szCs w:val="18"/>
              </w:rPr>
              <w:t>-</w:t>
            </w:r>
          </w:p>
        </w:tc>
        <w:tc>
          <w:tcPr>
            <w:tcW w:w="640" w:type="dxa"/>
            <w:tcBorders>
              <w:top w:val="single" w:sz="4" w:space="0" w:color="auto"/>
            </w:tcBorders>
            <w:noWrap/>
            <w:hideMark/>
          </w:tcPr>
          <w:p w14:paraId="43801EC4" w14:textId="77777777" w:rsidR="00CC663B" w:rsidRPr="00FD21A0" w:rsidRDefault="00CC663B" w:rsidP="00450C0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FD21A0">
              <w:rPr>
                <w:rFonts w:ascii="Arial" w:hAnsi="Arial" w:cs="Arial"/>
                <w:color w:val="000000"/>
                <w:sz w:val="18"/>
                <w:szCs w:val="18"/>
              </w:rPr>
              <w:t>np</w:t>
            </w:r>
          </w:p>
        </w:tc>
        <w:tc>
          <w:tcPr>
            <w:tcW w:w="566" w:type="dxa"/>
            <w:tcBorders>
              <w:top w:val="single" w:sz="4" w:space="0" w:color="auto"/>
            </w:tcBorders>
            <w:noWrap/>
            <w:hideMark/>
          </w:tcPr>
          <w:p w14:paraId="252916F4" w14:textId="77777777" w:rsidR="00CC663B" w:rsidRPr="00FD21A0" w:rsidRDefault="00CC663B" w:rsidP="00450C0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FD21A0">
              <w:rPr>
                <w:rFonts w:ascii="Arial" w:hAnsi="Arial" w:cs="Arial"/>
                <w:color w:val="000000"/>
                <w:sz w:val="18"/>
                <w:szCs w:val="18"/>
              </w:rPr>
              <w:t>np</w:t>
            </w:r>
          </w:p>
        </w:tc>
        <w:tc>
          <w:tcPr>
            <w:tcW w:w="709" w:type="dxa"/>
            <w:tcBorders>
              <w:top w:val="single" w:sz="4" w:space="0" w:color="auto"/>
            </w:tcBorders>
            <w:noWrap/>
            <w:hideMark/>
          </w:tcPr>
          <w:p w14:paraId="346248A3" w14:textId="77777777" w:rsidR="00CC663B" w:rsidRPr="00FD21A0" w:rsidRDefault="00CC663B" w:rsidP="00450C0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FD21A0">
              <w:rPr>
                <w:rFonts w:ascii="Arial" w:hAnsi="Arial" w:cs="Arial"/>
                <w:color w:val="000000"/>
                <w:sz w:val="18"/>
                <w:szCs w:val="18"/>
              </w:rPr>
              <w:t>np</w:t>
            </w:r>
          </w:p>
        </w:tc>
        <w:tc>
          <w:tcPr>
            <w:tcW w:w="992" w:type="dxa"/>
            <w:tcBorders>
              <w:top w:val="single" w:sz="4" w:space="0" w:color="auto"/>
            </w:tcBorders>
            <w:noWrap/>
            <w:hideMark/>
          </w:tcPr>
          <w:p w14:paraId="39895F52" w14:textId="77777777" w:rsidR="00CC663B" w:rsidRPr="00FD21A0" w:rsidRDefault="00CC663B" w:rsidP="00450C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FD21A0">
              <w:rPr>
                <w:rFonts w:ascii="Arial" w:hAnsi="Arial" w:cs="Arial"/>
                <w:color w:val="000000"/>
                <w:sz w:val="18"/>
                <w:szCs w:val="18"/>
              </w:rPr>
              <w:t xml:space="preserve">0.4% </w:t>
            </w:r>
          </w:p>
        </w:tc>
      </w:tr>
    </w:tbl>
    <w:p w14:paraId="256937D4" w14:textId="003DF261" w:rsidR="00CC663B" w:rsidRPr="00B9218B" w:rsidRDefault="000E630F" w:rsidP="00B9218B">
      <w:pPr>
        <w:rPr>
          <w:bCs/>
          <w:sz w:val="18"/>
          <w:szCs w:val="18"/>
          <w:lang w:eastAsia="en-US"/>
        </w:rPr>
      </w:pPr>
      <w:r w:rsidRPr="00B9218B">
        <w:rPr>
          <w:bCs/>
          <w:sz w:val="18"/>
          <w:szCs w:val="18"/>
          <w:lang w:eastAsia="en-US"/>
        </w:rPr>
        <w:t>Source: Department of Health</w:t>
      </w:r>
    </w:p>
    <w:p w14:paraId="508F8C4B" w14:textId="77777777" w:rsidR="00CC663B" w:rsidRPr="00F040A9" w:rsidRDefault="00CC663B" w:rsidP="00CC663B">
      <w:pPr>
        <w:rPr>
          <w:color w:val="000000" w:themeColor="text1"/>
          <w:sz w:val="18"/>
        </w:rPr>
      </w:pPr>
      <w:r w:rsidRPr="00F040A9">
        <w:rPr>
          <w:color w:val="000000" w:themeColor="text1"/>
          <w:sz w:val="18"/>
        </w:rPr>
        <w:t>NP = not printed</w:t>
      </w:r>
    </w:p>
    <w:p w14:paraId="7BB63DAF" w14:textId="3C04382D" w:rsidR="00BC1364" w:rsidRPr="00D90A38" w:rsidRDefault="00A91AFD" w:rsidP="00FC1420">
      <w:pPr>
        <w:pStyle w:val="Heading1"/>
        <w:numPr>
          <w:ilvl w:val="0"/>
          <w:numId w:val="23"/>
        </w:numPr>
        <w:tabs>
          <w:tab w:val="left" w:pos="720"/>
          <w:tab w:val="left" w:pos="1140"/>
        </w:tabs>
        <w:spacing w:before="360"/>
        <w:ind w:hanging="720"/>
      </w:pPr>
      <w:r>
        <w:t>Background</w:t>
      </w:r>
    </w:p>
    <w:p w14:paraId="4BDF58F9" w14:textId="7FDC581D" w:rsidR="00C0633C" w:rsidRDefault="00C0633C" w:rsidP="003C5C54">
      <w:pPr>
        <w:spacing w:after="240"/>
      </w:pPr>
      <w:r>
        <w:t>In May 2013, a minor submission requesting MBS listing of the procedure to inject Botox for the treatment of urinary incontinence due to IOAB was received f</w:t>
      </w:r>
      <w:r w:rsidR="00450C04">
        <w:t>rom Allergan Australia Pty Ltd.</w:t>
      </w:r>
      <w:r>
        <w:t xml:space="preserve"> The application was co-dependent on an application to </w:t>
      </w:r>
      <w:r w:rsidR="0077188E">
        <w:t xml:space="preserve">PBAC </w:t>
      </w:r>
      <w:r>
        <w:t xml:space="preserve">for </w:t>
      </w:r>
      <w:r w:rsidR="002F7B2B">
        <w:t>PBS</w:t>
      </w:r>
      <w:r>
        <w:t xml:space="preserve"> listing of the medicine component of the service.</w:t>
      </w:r>
    </w:p>
    <w:p w14:paraId="0F96501E" w14:textId="6C86A130" w:rsidR="00C0633C" w:rsidRDefault="00C0633C" w:rsidP="003C5C54">
      <w:pPr>
        <w:spacing w:after="240"/>
      </w:pPr>
      <w:r>
        <w:t>MSAC’s role was to consider the wording of the MBS item descriptor, the MBS fee and the financial implications of publicly fu</w:t>
      </w:r>
      <w:r w:rsidR="00450C04">
        <w:t xml:space="preserve">nding the injection procedure. </w:t>
      </w:r>
      <w:r>
        <w:t xml:space="preserve">PBAC assessed the efficacy, cost-effectiveness and safety of Botox for IOAB. </w:t>
      </w:r>
    </w:p>
    <w:p w14:paraId="646DC7F3" w14:textId="7ABC0465" w:rsidR="00C0633C" w:rsidRDefault="00C0633C" w:rsidP="003C5C54">
      <w:pPr>
        <w:spacing w:after="240"/>
      </w:pPr>
      <w:r>
        <w:t>On 28 November 2013, MSAC supported the listing of a new MBS item for intravesical injection of Botox into the bladder wall for urinary incontinence</w:t>
      </w:r>
      <w:r w:rsidR="00450C04">
        <w:t xml:space="preserve"> due to IOAB (now item 18379). </w:t>
      </w:r>
      <w:r>
        <w:t>The descriptor and timing of implementation of the service reflecte</w:t>
      </w:r>
      <w:r w:rsidR="00450C04">
        <w:t xml:space="preserve">d the recommendations of PBAC. </w:t>
      </w:r>
      <w:r>
        <w:t>MBS and PBS listin</w:t>
      </w:r>
      <w:r w:rsidR="00450C04">
        <w:t xml:space="preserve">g occurred on 1 November 2014. </w:t>
      </w:r>
      <w:r>
        <w:t xml:space="preserve">In line with the PBS listing, the MBS service was restricted to specialists in urology and </w:t>
      </w:r>
      <w:proofErr w:type="spellStart"/>
      <w:r>
        <w:t>urogynaecology</w:t>
      </w:r>
      <w:proofErr w:type="spellEnd"/>
      <w:r>
        <w:t xml:space="preserve">. </w:t>
      </w:r>
    </w:p>
    <w:p w14:paraId="2E1981D1" w14:textId="288E634F" w:rsidR="00C0633C" w:rsidRDefault="00C0633C" w:rsidP="003C5C54">
      <w:pPr>
        <w:spacing w:after="240"/>
      </w:pPr>
      <w:r>
        <w:t>The MSAC Public Summary Document notes that utilisation was estimated using an epidemiological approach with 10,000 – 50,000 patients expected to ini</w:t>
      </w:r>
      <w:r w:rsidR="00450C04">
        <w:t xml:space="preserve">tiate treatment during year 1. </w:t>
      </w:r>
      <w:r>
        <w:t>However, MSAC also noted that this estimate may be well beyond current capacity of the limited number of specialists and hospita</w:t>
      </w:r>
      <w:r w:rsidR="00450C04">
        <w:t xml:space="preserve">ls able to render the service. </w:t>
      </w:r>
      <w:r>
        <w:t>In addition, the estimates do not account for the split of services provided to private patients rendered in private or public hospitals (eligible for MBS funding) and public patients in public hospitals (not eligible for MBS funding).</w:t>
      </w:r>
    </w:p>
    <w:p w14:paraId="4D933C1C" w14:textId="7A60AD16" w:rsidR="00C0633C" w:rsidRDefault="00C0633C" w:rsidP="003C5C54">
      <w:pPr>
        <w:spacing w:after="240"/>
      </w:pPr>
      <w:r>
        <w:t xml:space="preserve">The procedure is similar to injection Botox for urinary incontinence due to </w:t>
      </w:r>
      <w:r w:rsidR="00B63184">
        <w:t>NDO</w:t>
      </w:r>
      <w:r w:rsidR="00450C04">
        <w:t xml:space="preserve"> - Application 1221. </w:t>
      </w:r>
      <w:r>
        <w:t>This service was MBS listed under item 18375 on 1 October 2013, following a positive recommendation by MSAC in April 2013.</w:t>
      </w:r>
    </w:p>
    <w:p w14:paraId="69DC4F8E" w14:textId="5E2DDAFE" w:rsidR="000821D1" w:rsidRDefault="00C0633C" w:rsidP="003C5C54">
      <w:pPr>
        <w:spacing w:after="240"/>
      </w:pPr>
      <w:r>
        <w:t xml:space="preserve">Injecting Botox into the bladder wall was not formally approved for funding via the MBS </w:t>
      </w:r>
      <w:r w:rsidR="00450C04">
        <w:t>prior to consideration by MSAC.</w:t>
      </w:r>
      <w:r>
        <w:t xml:space="preserve"> However, expert opinion was that the service was being performed under MBS item 36851 (cystoscopy with injection into the bladder wall) and that patients were paying for the drug</w:t>
      </w:r>
      <w:r w:rsidR="00450C04">
        <w:t xml:space="preserve"> in the absence of PBS subsidy.</w:t>
      </w:r>
      <w:r>
        <w:t xml:space="preserve"> Item 36851 was not originally listed for such use; it was mainly intended for bulking age</w:t>
      </w:r>
      <w:r w:rsidR="00450C04">
        <w:t>nt injections into the bladder.</w:t>
      </w:r>
      <w:r>
        <w:t xml:space="preserve"> Therefore, item 36851 was amended to restrict its billing for the injection of Botox following the </w:t>
      </w:r>
      <w:r w:rsidR="00450C04">
        <w:t xml:space="preserve">listing items 18375 and 18379. </w:t>
      </w:r>
      <w:r>
        <w:t>The same MBS fee applies to 36851, 18375 and 18379.</w:t>
      </w:r>
    </w:p>
    <w:p w14:paraId="3189AE9C" w14:textId="712C258D" w:rsidR="00C0633C" w:rsidRDefault="00C0633C" w:rsidP="00C0633C">
      <w:r>
        <w:t>In March 2017, PBAC recommended expanding the PBS listing for IOAB to also allow gynaecolog</w:t>
      </w:r>
      <w:r w:rsidR="00450C04">
        <w:t xml:space="preserve">ists to provide the treatment. </w:t>
      </w:r>
      <w:r w:rsidR="000821D1">
        <w:t>T</w:t>
      </w:r>
      <w:r>
        <w:t>he</w:t>
      </w:r>
      <w:r w:rsidR="000821D1">
        <w:t xml:space="preserve"> </w:t>
      </w:r>
      <w:r>
        <w:t xml:space="preserve">MBS </w:t>
      </w:r>
      <w:r w:rsidR="00584336">
        <w:t xml:space="preserve">and PBS </w:t>
      </w:r>
      <w:r w:rsidR="000821D1">
        <w:t>restrictions were</w:t>
      </w:r>
      <w:r>
        <w:t xml:space="preserve"> </w:t>
      </w:r>
      <w:r w:rsidR="00584336">
        <w:t xml:space="preserve">revised to </w:t>
      </w:r>
      <w:r w:rsidR="000821D1">
        <w:t>reflect this recommendation on 1 July 2017</w:t>
      </w:r>
      <w:r>
        <w:t>.</w:t>
      </w:r>
    </w:p>
    <w:p w14:paraId="766FAB28" w14:textId="5375FE3D" w:rsidR="00DE60F6" w:rsidRDefault="00E60FC1" w:rsidP="00FC1420">
      <w:pPr>
        <w:pStyle w:val="Heading1"/>
        <w:numPr>
          <w:ilvl w:val="0"/>
          <w:numId w:val="23"/>
        </w:numPr>
        <w:tabs>
          <w:tab w:val="left" w:pos="720"/>
          <w:tab w:val="left" w:pos="1140"/>
        </w:tabs>
        <w:spacing w:before="360"/>
        <w:ind w:hanging="720"/>
      </w:pPr>
      <w:r>
        <w:lastRenderedPageBreak/>
        <w:t>Item descriptor</w:t>
      </w:r>
    </w:p>
    <w:tbl>
      <w:tblPr>
        <w:tblStyle w:val="Summarybox1"/>
        <w:tblW w:w="9072" w:type="dxa"/>
        <w:tblInd w:w="108" w:type="dxa"/>
        <w:tblLook w:val="04A0" w:firstRow="1" w:lastRow="0" w:firstColumn="1" w:lastColumn="0" w:noHBand="0" w:noVBand="1"/>
        <w:tblDescription w:val="This table contains the item descriptor for MBS items 18379 and 36851. The table is split into two columns: 1) item number, 2) item descriptor text and fee information. There are two rows: 1) item descriptor for 18379, 2) item descriptor for 36851."/>
      </w:tblPr>
      <w:tblGrid>
        <w:gridCol w:w="1137"/>
        <w:gridCol w:w="7935"/>
      </w:tblGrid>
      <w:tr w:rsidR="00C0633C" w:rsidRPr="00C0633C" w14:paraId="591C1E76" w14:textId="77777777" w:rsidTr="00681754">
        <w:trPr>
          <w:tblHeader/>
        </w:trPr>
        <w:tc>
          <w:tcPr>
            <w:tcW w:w="1137" w:type="dxa"/>
            <w:vAlign w:val="bottom"/>
          </w:tcPr>
          <w:p w14:paraId="35C16AE7" w14:textId="3B662CD2" w:rsidR="00C0633C" w:rsidRPr="00C0633C" w:rsidRDefault="00C0633C" w:rsidP="006B1519">
            <w:pPr>
              <w:rPr>
                <w:szCs w:val="24"/>
                <w:lang w:eastAsia="en-US"/>
              </w:rPr>
            </w:pPr>
            <w:r w:rsidRPr="00C0633C">
              <w:rPr>
                <w:szCs w:val="24"/>
                <w:lang w:eastAsia="en-US"/>
              </w:rPr>
              <w:t>18379</w:t>
            </w:r>
          </w:p>
        </w:tc>
        <w:tc>
          <w:tcPr>
            <w:tcW w:w="7935" w:type="dxa"/>
            <w:shd w:val="clear" w:color="auto" w:fill="auto"/>
          </w:tcPr>
          <w:p w14:paraId="582F030C" w14:textId="77777777" w:rsidR="00C0633C" w:rsidRPr="00C0633C" w:rsidRDefault="00C0633C" w:rsidP="00C0633C">
            <w:pPr>
              <w:rPr>
                <w:color w:val="222222"/>
                <w:szCs w:val="24"/>
                <w:shd w:val="clear" w:color="auto" w:fill="FBFBFB"/>
                <w:lang w:eastAsia="en-US"/>
              </w:rPr>
            </w:pPr>
            <w:r w:rsidRPr="00C0633C">
              <w:rPr>
                <w:color w:val="222222"/>
                <w:szCs w:val="24"/>
                <w:shd w:val="clear" w:color="auto" w:fill="FBFBFB"/>
                <w:lang w:eastAsia="en-US"/>
              </w:rPr>
              <w:t xml:space="preserve">Botulinum Toxin Type A Purified Neurotoxin Complex (Botox), intravesical injection of, with cystoscopy, for the treatment of urinary incontinence, including all such injections on any one day, if: </w:t>
            </w:r>
          </w:p>
          <w:p w14:paraId="1E94C91D" w14:textId="77777777" w:rsidR="00C0633C" w:rsidRPr="00C0633C" w:rsidRDefault="00C0633C" w:rsidP="00C0633C">
            <w:pPr>
              <w:rPr>
                <w:color w:val="222222"/>
                <w:sz w:val="12"/>
                <w:szCs w:val="12"/>
                <w:shd w:val="clear" w:color="auto" w:fill="FBFBFB"/>
                <w:lang w:eastAsia="en-US"/>
              </w:rPr>
            </w:pPr>
          </w:p>
          <w:p w14:paraId="4CF42AA3" w14:textId="34DC12CB" w:rsidR="00C0633C" w:rsidRPr="00C0633C" w:rsidRDefault="00DD31A3" w:rsidP="00C0633C">
            <w:pPr>
              <w:rPr>
                <w:color w:val="222222"/>
                <w:szCs w:val="24"/>
                <w:shd w:val="clear" w:color="auto" w:fill="FBFBFB"/>
                <w:lang w:eastAsia="en-US"/>
              </w:rPr>
            </w:pPr>
            <w:r>
              <w:rPr>
                <w:color w:val="222222"/>
                <w:szCs w:val="24"/>
                <w:shd w:val="clear" w:color="auto" w:fill="FBFBFB"/>
                <w:lang w:eastAsia="en-US"/>
              </w:rPr>
              <w:t xml:space="preserve">(a) </w:t>
            </w:r>
            <w:r w:rsidR="00C0633C" w:rsidRPr="00C0633C">
              <w:rPr>
                <w:color w:val="222222"/>
                <w:szCs w:val="24"/>
                <w:shd w:val="clear" w:color="auto" w:fill="FBFBFB"/>
                <w:lang w:eastAsia="en-US"/>
              </w:rPr>
              <w:t xml:space="preserve">the urinary incontinence is due to idiopathic overactive bladder in a patient: and </w:t>
            </w:r>
          </w:p>
          <w:p w14:paraId="4E148588" w14:textId="5CB1A4DB" w:rsidR="00C0633C" w:rsidRPr="00C0633C" w:rsidRDefault="00DD31A3" w:rsidP="00C0633C">
            <w:pPr>
              <w:rPr>
                <w:color w:val="222222"/>
                <w:szCs w:val="24"/>
                <w:shd w:val="clear" w:color="auto" w:fill="FBFBFB"/>
                <w:lang w:eastAsia="en-US"/>
              </w:rPr>
            </w:pPr>
            <w:r>
              <w:rPr>
                <w:color w:val="222222"/>
                <w:szCs w:val="24"/>
                <w:shd w:val="clear" w:color="auto" w:fill="FBFBFB"/>
                <w:lang w:eastAsia="en-US"/>
              </w:rPr>
              <w:t xml:space="preserve">(b) </w:t>
            </w:r>
            <w:r w:rsidR="00C0633C" w:rsidRPr="00C0633C">
              <w:rPr>
                <w:color w:val="222222"/>
                <w:szCs w:val="24"/>
                <w:shd w:val="clear" w:color="auto" w:fill="FBFBFB"/>
                <w:lang w:eastAsia="en-US"/>
              </w:rPr>
              <w:t xml:space="preserve">the patient is at least 18 years of age; and </w:t>
            </w:r>
          </w:p>
          <w:p w14:paraId="045395D7" w14:textId="547DB72B" w:rsidR="00C0633C" w:rsidRPr="00C0633C" w:rsidRDefault="00DD31A3" w:rsidP="00C0633C">
            <w:pPr>
              <w:rPr>
                <w:color w:val="222222"/>
                <w:szCs w:val="24"/>
                <w:shd w:val="clear" w:color="auto" w:fill="FBFBFB"/>
                <w:lang w:eastAsia="en-US"/>
              </w:rPr>
            </w:pPr>
            <w:r>
              <w:rPr>
                <w:color w:val="222222"/>
                <w:szCs w:val="24"/>
                <w:shd w:val="clear" w:color="auto" w:fill="FBFBFB"/>
                <w:lang w:eastAsia="en-US"/>
              </w:rPr>
              <w:t xml:space="preserve">(c) </w:t>
            </w:r>
            <w:r w:rsidR="00C0633C" w:rsidRPr="00C0633C">
              <w:rPr>
                <w:color w:val="222222"/>
                <w:szCs w:val="24"/>
                <w:shd w:val="clear" w:color="auto" w:fill="FBFBFB"/>
                <w:lang w:eastAsia="en-US"/>
              </w:rPr>
              <w:t xml:space="preserve">the patient has urinary incontinence that is inadequately controlled by at least 2 alternative anti- cholinergic agents, as manifested by having experienced at least 14 episodes of urinary incontinence per week before commencement of treatment with botulinum toxin; and </w:t>
            </w:r>
          </w:p>
          <w:p w14:paraId="15A80E02" w14:textId="3308ACCA" w:rsidR="00C0633C" w:rsidRPr="00C0633C" w:rsidRDefault="00DD31A3" w:rsidP="00C0633C">
            <w:pPr>
              <w:rPr>
                <w:color w:val="222222"/>
                <w:szCs w:val="24"/>
                <w:shd w:val="clear" w:color="auto" w:fill="FBFBFB"/>
                <w:lang w:eastAsia="en-US"/>
              </w:rPr>
            </w:pPr>
            <w:r>
              <w:rPr>
                <w:color w:val="222222"/>
                <w:szCs w:val="24"/>
                <w:shd w:val="clear" w:color="auto" w:fill="FBFBFB"/>
                <w:lang w:eastAsia="en-US"/>
              </w:rPr>
              <w:t xml:space="preserve">(d)  </w:t>
            </w:r>
            <w:r w:rsidR="00C0633C" w:rsidRPr="00C0633C">
              <w:rPr>
                <w:color w:val="222222"/>
                <w:szCs w:val="24"/>
                <w:shd w:val="clear" w:color="auto" w:fill="FBFBFB"/>
                <w:lang w:eastAsia="en-US"/>
              </w:rPr>
              <w:t xml:space="preserve">the patient is willing and able to self-catheterise; and </w:t>
            </w:r>
          </w:p>
          <w:p w14:paraId="6B2E1F57" w14:textId="2393F151" w:rsidR="00C0633C" w:rsidRPr="00C0633C" w:rsidRDefault="00DD31A3" w:rsidP="00C0633C">
            <w:pPr>
              <w:rPr>
                <w:color w:val="222222"/>
                <w:szCs w:val="24"/>
                <w:shd w:val="clear" w:color="auto" w:fill="FBFBFB"/>
                <w:lang w:eastAsia="en-US"/>
              </w:rPr>
            </w:pPr>
            <w:r>
              <w:rPr>
                <w:color w:val="222222"/>
                <w:szCs w:val="24"/>
                <w:shd w:val="clear" w:color="auto" w:fill="FBFBFB"/>
                <w:lang w:eastAsia="en-US"/>
              </w:rPr>
              <w:t xml:space="preserve">(e) </w:t>
            </w:r>
            <w:r w:rsidR="00C0633C" w:rsidRPr="00C0633C">
              <w:rPr>
                <w:color w:val="222222"/>
                <w:szCs w:val="24"/>
                <w:shd w:val="clear" w:color="auto" w:fill="FBFBFB"/>
                <w:lang w:eastAsia="en-US"/>
              </w:rPr>
              <w:t xml:space="preserve">treatment is not provided on the same occasion as a service mentioned in item 104, 105, 110, 116, 119, 11900 or 11919 </w:t>
            </w:r>
          </w:p>
          <w:p w14:paraId="63754AC8" w14:textId="77777777" w:rsidR="00C0633C" w:rsidRPr="00C0633C" w:rsidRDefault="00C0633C" w:rsidP="00C0633C">
            <w:pPr>
              <w:rPr>
                <w:color w:val="222222"/>
                <w:szCs w:val="24"/>
                <w:shd w:val="clear" w:color="auto" w:fill="FBFBFB"/>
                <w:lang w:eastAsia="en-US"/>
              </w:rPr>
            </w:pPr>
          </w:p>
          <w:p w14:paraId="25C2D65D" w14:textId="77777777" w:rsidR="00C0633C" w:rsidRPr="00C0633C" w:rsidRDefault="00C0633C" w:rsidP="00C0633C">
            <w:pPr>
              <w:rPr>
                <w:color w:val="222222"/>
                <w:szCs w:val="24"/>
                <w:shd w:val="clear" w:color="auto" w:fill="FBFBFB"/>
                <w:lang w:eastAsia="en-US"/>
              </w:rPr>
            </w:pPr>
            <w:r w:rsidRPr="00C0633C">
              <w:rPr>
                <w:color w:val="222222"/>
                <w:szCs w:val="24"/>
                <w:shd w:val="clear" w:color="auto" w:fill="FBFBFB"/>
                <w:lang w:eastAsia="en-US"/>
              </w:rPr>
              <w:t xml:space="preserve">For each patient-applicable not more than once except if the patient achieves at least a 50% reduction in urinary incontinence episodes from baseline at any time during the period of 6 to 12 weeks after first treatment </w:t>
            </w:r>
          </w:p>
          <w:p w14:paraId="3EA6835B" w14:textId="77777777" w:rsidR="00C0633C" w:rsidRPr="00C0633C" w:rsidRDefault="00C0633C" w:rsidP="00C0633C">
            <w:pPr>
              <w:rPr>
                <w:color w:val="222222"/>
                <w:sz w:val="12"/>
                <w:szCs w:val="12"/>
                <w:shd w:val="clear" w:color="auto" w:fill="FBFBFB"/>
                <w:lang w:eastAsia="en-US"/>
              </w:rPr>
            </w:pPr>
          </w:p>
          <w:p w14:paraId="1509FE2C" w14:textId="77777777" w:rsidR="00C0633C" w:rsidRPr="00C0633C" w:rsidRDefault="00C0633C" w:rsidP="00C0633C">
            <w:pPr>
              <w:rPr>
                <w:color w:val="222222"/>
                <w:szCs w:val="24"/>
                <w:shd w:val="clear" w:color="auto" w:fill="FBFBFB"/>
                <w:lang w:eastAsia="en-US"/>
              </w:rPr>
            </w:pPr>
            <w:r w:rsidRPr="00C0633C">
              <w:rPr>
                <w:color w:val="222222"/>
                <w:szCs w:val="24"/>
                <w:shd w:val="clear" w:color="auto" w:fill="FBFBFB"/>
                <w:lang w:eastAsia="en-US"/>
              </w:rPr>
              <w:t xml:space="preserve">(Anaes.) </w:t>
            </w:r>
          </w:p>
          <w:p w14:paraId="3B6895BB" w14:textId="77777777" w:rsidR="00C0633C" w:rsidRPr="00C0633C" w:rsidRDefault="00C0633C" w:rsidP="00C0633C">
            <w:pPr>
              <w:rPr>
                <w:color w:val="222222"/>
                <w:sz w:val="12"/>
                <w:szCs w:val="12"/>
                <w:shd w:val="clear" w:color="auto" w:fill="FBFBFB"/>
                <w:lang w:eastAsia="en-US"/>
              </w:rPr>
            </w:pPr>
          </w:p>
          <w:p w14:paraId="110A744B" w14:textId="2DD3BEDD" w:rsidR="00C0633C" w:rsidRPr="00C0633C" w:rsidRDefault="00C0633C" w:rsidP="00C0633C">
            <w:pPr>
              <w:rPr>
                <w:sz w:val="12"/>
                <w:szCs w:val="12"/>
                <w:lang w:eastAsia="en-US"/>
              </w:rPr>
            </w:pPr>
            <w:r w:rsidRPr="00C0633C">
              <w:rPr>
                <w:b/>
                <w:color w:val="222222"/>
                <w:szCs w:val="24"/>
                <w:shd w:val="clear" w:color="auto" w:fill="FBFBFB"/>
                <w:lang w:eastAsia="en-US"/>
              </w:rPr>
              <w:t>Fee</w:t>
            </w:r>
            <w:r w:rsidRPr="00C0633C">
              <w:rPr>
                <w:color w:val="222222"/>
                <w:szCs w:val="24"/>
                <w:shd w:val="clear" w:color="auto" w:fill="FBFBFB"/>
                <w:lang w:eastAsia="en-US"/>
              </w:rPr>
              <w:t xml:space="preserve">: $229.85 </w:t>
            </w:r>
            <w:r w:rsidRPr="00C0633C">
              <w:rPr>
                <w:b/>
                <w:color w:val="222222"/>
                <w:szCs w:val="24"/>
                <w:shd w:val="clear" w:color="auto" w:fill="FBFBFB"/>
                <w:lang w:eastAsia="en-US"/>
              </w:rPr>
              <w:t>Benefit</w:t>
            </w:r>
            <w:r w:rsidRPr="00C0633C">
              <w:rPr>
                <w:color w:val="222222"/>
                <w:szCs w:val="24"/>
                <w:shd w:val="clear" w:color="auto" w:fill="FBFBFB"/>
                <w:lang w:eastAsia="en-US"/>
              </w:rPr>
              <w:t>: 75% = $172.40</w:t>
            </w:r>
          </w:p>
        </w:tc>
      </w:tr>
      <w:tr w:rsidR="003907AC" w:rsidRPr="00C0633C" w14:paraId="783BD45B" w14:textId="77777777" w:rsidTr="006B1519">
        <w:tc>
          <w:tcPr>
            <w:tcW w:w="1137" w:type="dxa"/>
            <w:vAlign w:val="bottom"/>
          </w:tcPr>
          <w:p w14:paraId="3D6BAE5D" w14:textId="3EAD3660" w:rsidR="003907AC" w:rsidRDefault="003907AC" w:rsidP="006B1519">
            <w:pPr>
              <w:rPr>
                <w:szCs w:val="24"/>
                <w:lang w:eastAsia="en-US"/>
              </w:rPr>
            </w:pPr>
            <w:r w:rsidRPr="00C0633C">
              <w:rPr>
                <w:szCs w:val="24"/>
                <w:lang w:eastAsia="en-US"/>
              </w:rPr>
              <w:t>36851</w:t>
            </w:r>
          </w:p>
        </w:tc>
        <w:tc>
          <w:tcPr>
            <w:tcW w:w="7935" w:type="dxa"/>
            <w:shd w:val="clear" w:color="auto" w:fill="auto"/>
          </w:tcPr>
          <w:p w14:paraId="79578230" w14:textId="77777777" w:rsidR="003907AC" w:rsidRPr="00C0633C" w:rsidRDefault="003907AC" w:rsidP="003907AC">
            <w:pPr>
              <w:jc w:val="both"/>
              <w:rPr>
                <w:color w:val="000000"/>
                <w:szCs w:val="24"/>
                <w:lang w:eastAsia="en-US"/>
              </w:rPr>
            </w:pPr>
            <w:r w:rsidRPr="00C0633C">
              <w:rPr>
                <w:color w:val="000000"/>
                <w:szCs w:val="24"/>
                <w:lang w:eastAsia="en-US"/>
              </w:rPr>
              <w:t>Cystoscopy, with injection into bladder wall, other than a service associated with a service to which item 18375 or 18379 applies (H) (Anaes.)</w:t>
            </w:r>
          </w:p>
          <w:p w14:paraId="2D2A7109" w14:textId="77777777" w:rsidR="003907AC" w:rsidRPr="00C0633C" w:rsidRDefault="003907AC" w:rsidP="003907AC">
            <w:pPr>
              <w:autoSpaceDE w:val="0"/>
              <w:autoSpaceDN w:val="0"/>
              <w:adjustRightInd w:val="0"/>
              <w:jc w:val="both"/>
              <w:rPr>
                <w:b/>
                <w:sz w:val="12"/>
                <w:szCs w:val="12"/>
                <w:lang w:eastAsia="en-US"/>
              </w:rPr>
            </w:pPr>
          </w:p>
          <w:p w14:paraId="670CFC66" w14:textId="503F3B03" w:rsidR="003907AC" w:rsidRPr="00C0633C" w:rsidRDefault="003907AC" w:rsidP="003907AC">
            <w:pPr>
              <w:rPr>
                <w:color w:val="222222"/>
                <w:szCs w:val="24"/>
                <w:shd w:val="clear" w:color="auto" w:fill="FBFBFB"/>
                <w:lang w:eastAsia="en-US"/>
              </w:rPr>
            </w:pPr>
            <w:r w:rsidRPr="00C0633C">
              <w:rPr>
                <w:b/>
                <w:szCs w:val="24"/>
                <w:lang w:eastAsia="en-US"/>
              </w:rPr>
              <w:t xml:space="preserve">Fee: </w:t>
            </w:r>
            <w:r w:rsidRPr="00C0633C">
              <w:rPr>
                <w:szCs w:val="24"/>
                <w:lang w:eastAsia="en-US"/>
              </w:rPr>
              <w:t>$229.85</w:t>
            </w:r>
            <w:r w:rsidRPr="00C0633C">
              <w:rPr>
                <w:szCs w:val="24"/>
                <w:lang w:eastAsia="en-US"/>
              </w:rPr>
              <w:tab/>
            </w:r>
            <w:r w:rsidRPr="00C0633C">
              <w:rPr>
                <w:b/>
                <w:szCs w:val="24"/>
                <w:lang w:eastAsia="en-US"/>
              </w:rPr>
              <w:t xml:space="preserve">Benefit: </w:t>
            </w:r>
            <w:r w:rsidRPr="00C0633C">
              <w:rPr>
                <w:szCs w:val="24"/>
                <w:lang w:eastAsia="en-US"/>
              </w:rPr>
              <w:t>75% = $172.40</w:t>
            </w:r>
          </w:p>
        </w:tc>
      </w:tr>
    </w:tbl>
    <w:p w14:paraId="06F15D02" w14:textId="77777777" w:rsidR="00BC1364" w:rsidRDefault="00271F18" w:rsidP="00FC1420">
      <w:pPr>
        <w:pStyle w:val="Heading1"/>
        <w:numPr>
          <w:ilvl w:val="0"/>
          <w:numId w:val="23"/>
        </w:numPr>
        <w:tabs>
          <w:tab w:val="left" w:pos="720"/>
          <w:tab w:val="left" w:pos="1140"/>
        </w:tabs>
        <w:spacing w:before="360"/>
        <w:ind w:hanging="720"/>
      </w:pPr>
      <w:r>
        <w:t>Further information on MSAC</w:t>
      </w:r>
    </w:p>
    <w:p w14:paraId="64D3433E" w14:textId="27432090" w:rsidR="00BC1364" w:rsidRPr="00DD2858" w:rsidRDefault="00271F18" w:rsidP="00DD2858">
      <w:pPr>
        <w:rPr>
          <w:szCs w:val="24"/>
        </w:rPr>
      </w:pPr>
      <w:r>
        <w:rPr>
          <w:szCs w:val="24"/>
        </w:rPr>
        <w:t xml:space="preserve">MSAC Terms of Reference and other </w:t>
      </w:r>
      <w:r w:rsidR="00BC1364" w:rsidRPr="00DD2858">
        <w:rPr>
          <w:szCs w:val="24"/>
        </w:rPr>
        <w:t xml:space="preserve">information </w:t>
      </w:r>
      <w:r w:rsidRPr="00DD2858">
        <w:rPr>
          <w:szCs w:val="24"/>
        </w:rPr>
        <w:t>are</w:t>
      </w:r>
      <w:r w:rsidR="00BC1364" w:rsidRPr="00DD2858">
        <w:rPr>
          <w:szCs w:val="24"/>
        </w:rPr>
        <w:t xml:space="preserve"> a</w:t>
      </w:r>
      <w:r w:rsidR="00E86450">
        <w:rPr>
          <w:szCs w:val="24"/>
        </w:rPr>
        <w:t xml:space="preserve">vailable on the </w:t>
      </w:r>
      <w:hyperlink r:id="rId22" w:tooltip="This is a link to the MSAC website" w:history="1">
        <w:r w:rsidR="00E86450">
          <w:rPr>
            <w:rStyle w:val="Hyperlink"/>
            <w:color w:val="auto"/>
            <w:szCs w:val="24"/>
          </w:rPr>
          <w:t>MSAC Website</w:t>
        </w:r>
      </w:hyperlink>
      <w:r w:rsidR="00BC1364" w:rsidRPr="00DD2858">
        <w:rPr>
          <w:szCs w:val="24"/>
        </w:rPr>
        <w:t>.</w:t>
      </w:r>
    </w:p>
    <w:sectPr w:rsidR="00BC1364" w:rsidRPr="00DD2858" w:rsidSect="009D3B47">
      <w:pgSz w:w="11906" w:h="16838"/>
      <w:pgMar w:top="1134" w:right="1440" w:bottom="426" w:left="1440" w:header="708" w:footer="15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C205491" w15:done="0"/>
  <w15:commentEx w15:paraId="3F5903D6" w15:done="0"/>
  <w15:commentEx w15:paraId="54F4F55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CCF8C7" w14:textId="77777777" w:rsidR="00A266CF" w:rsidRDefault="00A266CF" w:rsidP="00065623">
      <w:r>
        <w:separator/>
      </w:r>
    </w:p>
  </w:endnote>
  <w:endnote w:type="continuationSeparator" w:id="0">
    <w:p w14:paraId="1B4C6799" w14:textId="77777777" w:rsidR="00A266CF" w:rsidRDefault="00A266CF" w:rsidP="00065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4C4081" w14:textId="77777777" w:rsidR="00A266CF" w:rsidRDefault="00A266C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02180"/>
      <w:docPartObj>
        <w:docPartGallery w:val="Page Numbers (Bottom of Page)"/>
        <w:docPartUnique/>
      </w:docPartObj>
    </w:sdtPr>
    <w:sdtEndPr>
      <w:rPr>
        <w:noProof/>
      </w:rPr>
    </w:sdtEndPr>
    <w:sdtContent>
      <w:p w14:paraId="378C3EDD" w14:textId="77777777" w:rsidR="00A266CF" w:rsidRDefault="00A266CF" w:rsidP="008F72AA">
        <w:pPr>
          <w:pStyle w:val="Footer"/>
          <w:spacing w:after="240"/>
          <w:jc w:val="right"/>
        </w:pPr>
        <w:r>
          <w:fldChar w:fldCharType="begin"/>
        </w:r>
        <w:r>
          <w:instrText xml:space="preserve"> PAGE   \* MERGEFORMAT </w:instrText>
        </w:r>
        <w:r>
          <w:fldChar w:fldCharType="separate"/>
        </w:r>
        <w:r w:rsidR="00242527">
          <w:rPr>
            <w:noProof/>
          </w:rPr>
          <w:t>1</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F9C2B8" w14:textId="77777777" w:rsidR="00A266CF" w:rsidRDefault="00A266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DD19EE" w14:textId="77777777" w:rsidR="00A266CF" w:rsidRDefault="00A266CF" w:rsidP="00065623">
      <w:r>
        <w:separator/>
      </w:r>
    </w:p>
  </w:footnote>
  <w:footnote w:type="continuationSeparator" w:id="0">
    <w:p w14:paraId="11D9B699" w14:textId="77777777" w:rsidR="00A266CF" w:rsidRDefault="00A266CF" w:rsidP="00065623">
      <w:r>
        <w:continuationSeparator/>
      </w:r>
    </w:p>
  </w:footnote>
  <w:footnote w:id="1">
    <w:p w14:paraId="2E05EFA4" w14:textId="77777777" w:rsidR="00F95EC4" w:rsidRDefault="00F95EC4" w:rsidP="00CC663B">
      <w:pPr>
        <w:pStyle w:val="FootnoteText"/>
      </w:pPr>
      <w:r>
        <w:rPr>
          <w:rStyle w:val="FootnoteReference"/>
        </w:rPr>
        <w:footnoteRef/>
      </w:r>
      <w:r>
        <w:t xml:space="preserve"> The 95</w:t>
      </w:r>
      <w:r w:rsidRPr="007D0C48">
        <w:rPr>
          <w:vertAlign w:val="superscript"/>
        </w:rPr>
        <w:t>th</w:t>
      </w:r>
      <w:r>
        <w:t xml:space="preserve"> percentile fee charged represents that 95% of the time the fee is below this amount but in 5% of cases, the fee is higher than this.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E90F50" w14:textId="77777777" w:rsidR="00A266CF" w:rsidRDefault="00A266C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B1092B" w14:textId="77777777" w:rsidR="00A266CF" w:rsidRDefault="00A266C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E2170B" w14:textId="77777777" w:rsidR="00A266CF" w:rsidRDefault="00A266C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11A6F"/>
    <w:multiLevelType w:val="hybridMultilevel"/>
    <w:tmpl w:val="92F2F7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BBA1F10"/>
    <w:multiLevelType w:val="hybridMultilevel"/>
    <w:tmpl w:val="C144EA82"/>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E48004C"/>
    <w:multiLevelType w:val="hybridMultilevel"/>
    <w:tmpl w:val="28FE052A"/>
    <w:lvl w:ilvl="0" w:tplc="DBFA83DC">
      <w:start w:val="1"/>
      <w:numFmt w:val="bullet"/>
      <w:lvlText w:val=""/>
      <w:lvlJc w:val="left"/>
      <w:pPr>
        <w:tabs>
          <w:tab w:val="num" w:pos="1080"/>
        </w:tabs>
        <w:ind w:left="1080" w:hanging="360"/>
      </w:pPr>
      <w:rPr>
        <w:rFonts w:ascii="Symbol" w:hAnsi="Symbol" w:hint="default"/>
        <w:color w:val="auto"/>
        <w:sz w:val="22"/>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0FC65D09"/>
    <w:multiLevelType w:val="hybridMultilevel"/>
    <w:tmpl w:val="BA7EFDD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0066A5B"/>
    <w:multiLevelType w:val="hybridMultilevel"/>
    <w:tmpl w:val="4D2C1A20"/>
    <w:lvl w:ilvl="0" w:tplc="0C09000F">
      <w:start w:val="8"/>
      <w:numFmt w:val="decimal"/>
      <w:lvlText w:val="%1."/>
      <w:lvlJc w:val="left"/>
      <w:pPr>
        <w:ind w:left="720" w:hanging="360"/>
      </w:pPr>
      <w:rPr>
        <w:rFonts w:cs="Times New Roman" w:hint="default"/>
      </w:rPr>
    </w:lvl>
    <w:lvl w:ilvl="1" w:tplc="90407CA0">
      <w:numFmt w:val="bullet"/>
      <w:lvlText w:val="•"/>
      <w:lvlJc w:val="left"/>
      <w:pPr>
        <w:ind w:left="1440" w:hanging="360"/>
      </w:pPr>
      <w:rPr>
        <w:rFonts w:ascii="Times New Roman" w:eastAsia="Times New Roman" w:hAnsi="Times New Roman" w:hint="default"/>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5">
    <w:nsid w:val="15EE0FF9"/>
    <w:multiLevelType w:val="hybridMultilevel"/>
    <w:tmpl w:val="0B4A6024"/>
    <w:lvl w:ilvl="0" w:tplc="FA588B4C">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877B70"/>
    <w:multiLevelType w:val="hybridMultilevel"/>
    <w:tmpl w:val="A2CC10FA"/>
    <w:lvl w:ilvl="0" w:tplc="521C5038">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AEA2809"/>
    <w:multiLevelType w:val="hybridMultilevel"/>
    <w:tmpl w:val="F2F2E38C"/>
    <w:lvl w:ilvl="0" w:tplc="FB06DE06">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1BFF3A35"/>
    <w:multiLevelType w:val="hybridMultilevel"/>
    <w:tmpl w:val="7DBE4F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1EC4707D"/>
    <w:multiLevelType w:val="hybridMultilevel"/>
    <w:tmpl w:val="8E7C9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31A5EBA"/>
    <w:multiLevelType w:val="hybridMultilevel"/>
    <w:tmpl w:val="85DA64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5AE421E"/>
    <w:multiLevelType w:val="hybridMultilevel"/>
    <w:tmpl w:val="0630CA5C"/>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07A7D18"/>
    <w:multiLevelType w:val="hybridMultilevel"/>
    <w:tmpl w:val="008659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nsid w:val="37B54856"/>
    <w:multiLevelType w:val="hybridMultilevel"/>
    <w:tmpl w:val="C25AA6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8F83C5D"/>
    <w:multiLevelType w:val="multilevel"/>
    <w:tmpl w:val="8E82874E"/>
    <w:lvl w:ilvl="0">
      <w:start w:val="1"/>
      <w:numFmt w:val="bullet"/>
      <w:pStyle w:val="ListBullet1"/>
      <w:lvlText w:val=""/>
      <w:lvlJc w:val="left"/>
      <w:pPr>
        <w:ind w:left="360" w:hanging="360"/>
      </w:pPr>
      <w:rPr>
        <w:rFonts w:ascii="Wingdings 3" w:hAnsi="Wingdings 3" w:hint="default"/>
        <w:b/>
        <w:i w:val="0"/>
        <w:color w:val="401E6C"/>
        <w:spacing w:val="0"/>
        <w:w w:val="100"/>
        <w:position w:val="3"/>
        <w:sz w:val="16"/>
      </w:rPr>
    </w:lvl>
    <w:lvl w:ilvl="1">
      <w:start w:val="1"/>
      <w:numFmt w:val="bullet"/>
      <w:lvlText w:val="–"/>
      <w:lvlJc w:val="left"/>
      <w:pPr>
        <w:tabs>
          <w:tab w:val="num" w:pos="714"/>
        </w:tabs>
        <w:ind w:left="714" w:hanging="357"/>
      </w:pPr>
      <w:rPr>
        <w:rFonts w:ascii="Times New Roman" w:hAnsi="Times New Roman" w:cs="Times New Roman" w:hint="default"/>
        <w:b w:val="0"/>
        <w:i w:val="0"/>
        <w:color w:val="00326C"/>
        <w:position w:val="2"/>
        <w:sz w:val="19"/>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3CC52461"/>
    <w:multiLevelType w:val="hybridMultilevel"/>
    <w:tmpl w:val="A2147C00"/>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ED53CA7"/>
    <w:multiLevelType w:val="hybridMultilevel"/>
    <w:tmpl w:val="3EB897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41535386"/>
    <w:multiLevelType w:val="multilevel"/>
    <w:tmpl w:val="D3EC8D5C"/>
    <w:styleLink w:val="TableListNumbers"/>
    <w:lvl w:ilvl="0">
      <w:start w:val="1"/>
      <w:numFmt w:val="lowerRoman"/>
      <w:pStyle w:val="TableListNumber"/>
      <w:lvlText w:val="(%1)"/>
      <w:lvlJc w:val="left"/>
      <w:pPr>
        <w:tabs>
          <w:tab w:val="num" w:pos="170"/>
        </w:tabs>
        <w:ind w:left="170" w:hanging="170"/>
      </w:pPr>
      <w:rPr>
        <w:rFonts w:hint="default"/>
      </w:rPr>
    </w:lvl>
    <w:lvl w:ilvl="1">
      <w:start w:val="1"/>
      <w:numFmt w:val="lowerLetter"/>
      <w:pStyle w:val="TableListNumber2"/>
      <w:lvlText w:val="%2)"/>
      <w:lvlJc w:val="left"/>
      <w:pPr>
        <w:tabs>
          <w:tab w:val="num" w:pos="340"/>
        </w:tabs>
        <w:ind w:left="340" w:hanging="17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nsid w:val="420612FA"/>
    <w:multiLevelType w:val="hybridMultilevel"/>
    <w:tmpl w:val="827AF080"/>
    <w:lvl w:ilvl="0" w:tplc="FA588B4C">
      <w:start w:val="1"/>
      <w:numFmt w:val="bullet"/>
      <w:lvlText w:val=""/>
      <w:lvlJc w:val="left"/>
      <w:pPr>
        <w:ind w:left="360" w:hanging="360"/>
      </w:pPr>
      <w:rPr>
        <w:rFonts w:ascii="Symbol" w:hAnsi="Symbol" w:hint="default"/>
        <w:color w:val="auto"/>
      </w:rPr>
    </w:lvl>
    <w:lvl w:ilvl="1" w:tplc="0C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49D6B50"/>
    <w:multiLevelType w:val="hybridMultilevel"/>
    <w:tmpl w:val="5126B828"/>
    <w:lvl w:ilvl="0" w:tplc="FA588B4C">
      <w:start w:val="1"/>
      <w:numFmt w:val="bullet"/>
      <w:lvlText w:val=""/>
      <w:lvlJc w:val="left"/>
      <w:pPr>
        <w:ind w:left="360" w:hanging="360"/>
      </w:pPr>
      <w:rPr>
        <w:rFonts w:ascii="Symbol" w:hAnsi="Symbol" w:hint="default"/>
        <w:color w:val="auto"/>
      </w:rPr>
    </w:lvl>
    <w:lvl w:ilvl="1" w:tplc="0C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64A3E7B"/>
    <w:multiLevelType w:val="hybridMultilevel"/>
    <w:tmpl w:val="130896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7123FED"/>
    <w:multiLevelType w:val="hybridMultilevel"/>
    <w:tmpl w:val="6F300BE4"/>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nsid w:val="49300A29"/>
    <w:multiLevelType w:val="hybridMultilevel"/>
    <w:tmpl w:val="022EEF64"/>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F941558"/>
    <w:multiLevelType w:val="hybridMultilevel"/>
    <w:tmpl w:val="E99CCDC8"/>
    <w:lvl w:ilvl="0" w:tplc="186429E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31768B9"/>
    <w:multiLevelType w:val="hybridMultilevel"/>
    <w:tmpl w:val="B92A3038"/>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nsid w:val="542E221A"/>
    <w:multiLevelType w:val="multilevel"/>
    <w:tmpl w:val="567ADE74"/>
    <w:styleLink w:val="TableListBullets"/>
    <w:lvl w:ilvl="0">
      <w:start w:val="1"/>
      <w:numFmt w:val="bullet"/>
      <w:pStyle w:val="TableListBullet"/>
      <w:lvlText w:val="■"/>
      <w:lvlJc w:val="left"/>
      <w:pPr>
        <w:tabs>
          <w:tab w:val="num" w:pos="170"/>
        </w:tabs>
        <w:ind w:left="170" w:hanging="170"/>
      </w:pPr>
      <w:rPr>
        <w:rFonts w:ascii="Franklin Gothic Book" w:hAnsi="Franklin Gothic Book"/>
        <w:color w:val="8064A2" w:themeColor="accent4"/>
        <w:spacing w:val="0"/>
        <w:w w:val="100"/>
        <w:position w:val="3"/>
        <w:sz w:val="12"/>
      </w:rPr>
    </w:lvl>
    <w:lvl w:ilvl="1">
      <w:start w:val="1"/>
      <w:numFmt w:val="bullet"/>
      <w:pStyle w:val="TableListBullet2"/>
      <w:lvlText w:val="–"/>
      <w:lvlJc w:val="left"/>
      <w:pPr>
        <w:tabs>
          <w:tab w:val="num" w:pos="340"/>
        </w:tabs>
        <w:ind w:left="340" w:hanging="170"/>
      </w:pPr>
      <w:rPr>
        <w:rFonts w:ascii="Arial" w:hAnsi="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nsid w:val="56473681"/>
    <w:multiLevelType w:val="hybridMultilevel"/>
    <w:tmpl w:val="40C4F14E"/>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6787896"/>
    <w:multiLevelType w:val="multilevel"/>
    <w:tmpl w:val="567ADE74"/>
    <w:numStyleLink w:val="TableListBullets"/>
  </w:abstractNum>
  <w:abstractNum w:abstractNumId="28">
    <w:nsid w:val="59DE62CB"/>
    <w:multiLevelType w:val="hybridMultilevel"/>
    <w:tmpl w:val="BA98FA6A"/>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D666045"/>
    <w:multiLevelType w:val="hybridMultilevel"/>
    <w:tmpl w:val="22B0351A"/>
    <w:lvl w:ilvl="0" w:tplc="0409000F">
      <w:start w:val="9"/>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nsid w:val="5F6E3F10"/>
    <w:multiLevelType w:val="hybridMultilevel"/>
    <w:tmpl w:val="AAFE4FC2"/>
    <w:lvl w:ilvl="0" w:tplc="DBFA83DC">
      <w:start w:val="1"/>
      <w:numFmt w:val="bullet"/>
      <w:lvlText w:val=""/>
      <w:lvlJc w:val="left"/>
      <w:pPr>
        <w:tabs>
          <w:tab w:val="num" w:pos="360"/>
        </w:tabs>
        <w:ind w:left="360" w:hanging="360"/>
      </w:pPr>
      <w:rPr>
        <w:rFonts w:ascii="Symbol" w:hAnsi="Symbol" w:hint="default"/>
        <w:color w:val="auto"/>
        <w:sz w:val="22"/>
      </w:rPr>
    </w:lvl>
    <w:lvl w:ilvl="1" w:tplc="04090019">
      <w:start w:val="1"/>
      <w:numFmt w:val="lowerLetter"/>
      <w:lvlText w:val="%2."/>
      <w:lvlJc w:val="left"/>
      <w:pPr>
        <w:tabs>
          <w:tab w:val="num" w:pos="1080"/>
        </w:tabs>
        <w:ind w:left="1080" w:hanging="360"/>
      </w:pPr>
      <w:rPr>
        <w:rFonts w:cs="Times New Roman"/>
      </w:rPr>
    </w:lvl>
    <w:lvl w:ilvl="2" w:tplc="DBFA83DC">
      <w:start w:val="1"/>
      <w:numFmt w:val="bullet"/>
      <w:lvlText w:val=""/>
      <w:lvlJc w:val="left"/>
      <w:pPr>
        <w:tabs>
          <w:tab w:val="num" w:pos="360"/>
        </w:tabs>
        <w:ind w:left="360" w:hanging="360"/>
      </w:pPr>
      <w:rPr>
        <w:rFonts w:ascii="Symbol" w:hAnsi="Symbol" w:hint="default"/>
        <w:color w:val="auto"/>
        <w:sz w:val="22"/>
      </w:rPr>
    </w:lvl>
    <w:lvl w:ilvl="3" w:tplc="DBFA83DC">
      <w:start w:val="1"/>
      <w:numFmt w:val="bullet"/>
      <w:lvlText w:val=""/>
      <w:lvlJc w:val="left"/>
      <w:pPr>
        <w:tabs>
          <w:tab w:val="num" w:pos="360"/>
        </w:tabs>
        <w:ind w:left="360" w:hanging="360"/>
      </w:pPr>
      <w:rPr>
        <w:rFonts w:ascii="Symbol" w:hAnsi="Symbol" w:hint="default"/>
        <w:color w:val="auto"/>
        <w:sz w:val="22"/>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1">
    <w:nsid w:val="63FD3542"/>
    <w:multiLevelType w:val="hybridMultilevel"/>
    <w:tmpl w:val="EC925B1C"/>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45853F9"/>
    <w:multiLevelType w:val="hybridMultilevel"/>
    <w:tmpl w:val="286866AA"/>
    <w:lvl w:ilvl="0" w:tplc="FB06DE06">
      <w:start w:val="3"/>
      <w:numFmt w:val="decimal"/>
      <w:lvlText w:val="%1."/>
      <w:lvlJc w:val="left"/>
      <w:pPr>
        <w:tabs>
          <w:tab w:val="num" w:pos="1080"/>
        </w:tabs>
        <w:ind w:left="1080" w:hanging="720"/>
      </w:pPr>
      <w:rPr>
        <w:rFonts w:cs="Times New Roman" w:hint="default"/>
      </w:rPr>
    </w:lvl>
    <w:lvl w:ilvl="1" w:tplc="72A82EDE">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nsid w:val="668C5138"/>
    <w:multiLevelType w:val="hybridMultilevel"/>
    <w:tmpl w:val="17102830"/>
    <w:lvl w:ilvl="0" w:tplc="BBBEF836">
      <w:start w:val="1"/>
      <w:numFmt w:val="bullet"/>
      <w:lvlText w:val=""/>
      <w:lvlJc w:val="left"/>
      <w:pPr>
        <w:tabs>
          <w:tab w:val="num" w:pos="360"/>
        </w:tabs>
        <w:ind w:left="360" w:hanging="360"/>
      </w:pPr>
      <w:rPr>
        <w:rFonts w:ascii="Symbol" w:hAnsi="Symbol" w:hint="default"/>
        <w:color w:val="auto"/>
      </w:rPr>
    </w:lvl>
    <w:lvl w:ilvl="1" w:tplc="72A82EDE">
      <w:start w:val="1"/>
      <w:numFmt w:val="bullet"/>
      <w:lvlText w:val=""/>
      <w:lvlJc w:val="left"/>
      <w:pPr>
        <w:tabs>
          <w:tab w:val="num" w:pos="1080"/>
        </w:tabs>
        <w:ind w:left="1080" w:hanging="360"/>
      </w:pPr>
      <w:rPr>
        <w:rFonts w:ascii="Symbol" w:hAnsi="Symbol" w:hint="default"/>
        <w:color w:val="auto"/>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4">
    <w:nsid w:val="673F3A13"/>
    <w:multiLevelType w:val="hybridMultilevel"/>
    <w:tmpl w:val="64300DA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5">
    <w:nsid w:val="6A797C3B"/>
    <w:multiLevelType w:val="hybridMultilevel"/>
    <w:tmpl w:val="7928835A"/>
    <w:lvl w:ilvl="0" w:tplc="BBBEF83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B097700"/>
    <w:multiLevelType w:val="hybridMultilevel"/>
    <w:tmpl w:val="06822932"/>
    <w:lvl w:ilvl="0" w:tplc="FA588B4C">
      <w:start w:val="1"/>
      <w:numFmt w:val="bullet"/>
      <w:lvlText w:val=""/>
      <w:lvlJc w:val="left"/>
      <w:pPr>
        <w:ind w:left="360" w:hanging="360"/>
      </w:pPr>
      <w:rPr>
        <w:rFonts w:ascii="Symbol" w:hAnsi="Symbol" w:hint="default"/>
        <w:color w:val="auto"/>
      </w:rPr>
    </w:lvl>
    <w:lvl w:ilvl="1" w:tplc="0C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E143F8A"/>
    <w:multiLevelType w:val="hybridMultilevel"/>
    <w:tmpl w:val="9AF2BD2E"/>
    <w:lvl w:ilvl="0" w:tplc="69B0DAB4">
      <w:start w:val="1"/>
      <w:numFmt w:val="bullet"/>
      <w:lvlText w:val=""/>
      <w:lvlJc w:val="left"/>
      <w:pPr>
        <w:tabs>
          <w:tab w:val="num" w:pos="1080"/>
        </w:tabs>
        <w:ind w:left="1080" w:hanging="360"/>
      </w:pPr>
      <w:rPr>
        <w:rFonts w:ascii="Symbol" w:hAnsi="Symbol" w:hint="default"/>
        <w:color w:val="auto"/>
        <w:sz w:val="22"/>
      </w:rPr>
    </w:lvl>
    <w:lvl w:ilvl="1" w:tplc="69B0DAB4">
      <w:start w:val="1"/>
      <w:numFmt w:val="bullet"/>
      <w:lvlText w:val=""/>
      <w:lvlJc w:val="left"/>
      <w:pPr>
        <w:tabs>
          <w:tab w:val="num" w:pos="1800"/>
        </w:tabs>
        <w:ind w:left="1800" w:hanging="360"/>
      </w:pPr>
      <w:rPr>
        <w:rFonts w:ascii="Symbol" w:hAnsi="Symbol" w:hint="default"/>
        <w:color w:val="auto"/>
        <w:sz w:val="22"/>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8">
    <w:nsid w:val="6FBA0B51"/>
    <w:multiLevelType w:val="hybridMultilevel"/>
    <w:tmpl w:val="0A8267A2"/>
    <w:lvl w:ilvl="0" w:tplc="0C090001">
      <w:start w:val="1"/>
      <w:numFmt w:val="bullet"/>
      <w:lvlText w:val=""/>
      <w:lvlJc w:val="left"/>
      <w:pPr>
        <w:tabs>
          <w:tab w:val="num" w:pos="1080"/>
        </w:tabs>
        <w:ind w:left="1080" w:hanging="720"/>
      </w:pPr>
      <w:rPr>
        <w:rFonts w:ascii="Symbol" w:hAnsi="Symbol" w:hint="default"/>
      </w:rPr>
    </w:lvl>
    <w:lvl w:ilvl="1" w:tplc="72A82EDE">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18120EA"/>
    <w:multiLevelType w:val="multilevel"/>
    <w:tmpl w:val="CB3EC8D0"/>
    <w:styleLink w:val="ListBullets"/>
    <w:lvl w:ilvl="0">
      <w:start w:val="1"/>
      <w:numFmt w:val="bullet"/>
      <w:pStyle w:val="ListBullet"/>
      <w:lvlText w:val="■"/>
      <w:lvlJc w:val="left"/>
      <w:pPr>
        <w:tabs>
          <w:tab w:val="num" w:pos="284"/>
        </w:tabs>
        <w:ind w:left="284" w:hanging="284"/>
      </w:pPr>
      <w:rPr>
        <w:rFonts w:ascii="Franklin Gothic Demi" w:hAnsi="Franklin Gothic Demi" w:hint="default"/>
        <w:color w:val="8064A2" w:themeColor="accent4"/>
        <w:position w:val="3"/>
        <w:sz w:val="16"/>
      </w:rPr>
    </w:lvl>
    <w:lvl w:ilvl="1">
      <w:start w:val="1"/>
      <w:numFmt w:val="bullet"/>
      <w:pStyle w:val="ListBullet2"/>
      <w:lvlText w:val="–"/>
      <w:lvlJc w:val="left"/>
      <w:pPr>
        <w:tabs>
          <w:tab w:val="num" w:pos="567"/>
        </w:tabs>
        <w:ind w:left="567" w:hanging="283"/>
      </w:pPr>
      <w:rPr>
        <w:rFonts w:hint="default"/>
      </w:rPr>
    </w:lvl>
    <w:lvl w:ilvl="2">
      <w:start w:val="1"/>
      <w:numFmt w:val="bullet"/>
      <w:pStyle w:val="ListBullet3"/>
      <w:lvlText w:val="…"/>
      <w:lvlJc w:val="left"/>
      <w:pPr>
        <w:tabs>
          <w:tab w:val="num" w:pos="907"/>
        </w:tabs>
        <w:ind w:left="907" w:hanging="340"/>
      </w:pPr>
      <w:rPr>
        <w:rFonts w:ascii="Calisto MT" w:hAnsi="Calisto MT" w:hint="default"/>
        <w:color w:val="8064A2" w:themeColor="accent4"/>
        <w:position w:val="3"/>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nsid w:val="7AD63964"/>
    <w:multiLevelType w:val="hybridMultilevel"/>
    <w:tmpl w:val="FF3C5F34"/>
    <w:lvl w:ilvl="0" w:tplc="FA588B4C">
      <w:start w:val="1"/>
      <w:numFmt w:val="bullet"/>
      <w:lvlText w:val=""/>
      <w:lvlJc w:val="left"/>
      <w:pPr>
        <w:ind w:left="360" w:hanging="360"/>
      </w:pPr>
      <w:rPr>
        <w:rFonts w:ascii="Symbol" w:hAnsi="Symbol" w:hint="default"/>
        <w:color w:val="auto"/>
      </w:rPr>
    </w:lvl>
    <w:lvl w:ilvl="1" w:tplc="0C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C3A0DF8"/>
    <w:multiLevelType w:val="multilevel"/>
    <w:tmpl w:val="E6863C72"/>
    <w:lvl w:ilvl="0">
      <w:start w:val="1"/>
      <w:numFmt w:val="none"/>
      <w:lvlRestart w:val="0"/>
      <w:suff w:val="nothing"/>
      <w:lvlText w:val="%1"/>
      <w:lvlJc w:val="left"/>
      <w:pPr>
        <w:ind w:left="0" w:firstLine="0"/>
      </w:pPr>
      <w:rPr>
        <w:rFonts w:ascii="Calibri" w:hAnsi="Calibri" w:cs="Garamond" w:hint="default"/>
        <w:b/>
        <w:i w:val="0"/>
        <w:color w:val="9BBB59" w:themeColor="accent3"/>
        <w:position w:val="4"/>
      </w:rPr>
    </w:lvl>
    <w:lvl w:ilvl="1">
      <w:start w:val="1"/>
      <w:numFmt w:val="lowerLetter"/>
      <w:lvlText w:val="%1%2"/>
      <w:lvlJc w:val="left"/>
      <w:pPr>
        <w:tabs>
          <w:tab w:val="num" w:pos="170"/>
        </w:tabs>
        <w:ind w:left="170" w:hanging="170"/>
      </w:pPr>
      <w:rPr>
        <w:rFonts w:hint="default"/>
        <w:b/>
        <w:i w:val="0"/>
        <w:color w:val="9BBB59" w:themeColor="accent3"/>
        <w:position w:val="4"/>
      </w:rPr>
    </w:lvl>
    <w:lvl w:ilvl="2">
      <w:start w:val="1"/>
      <w:numFmt w:val="none"/>
      <w:lvlRestart w:val="0"/>
      <w:suff w:val="nothing"/>
      <w:lvlText w:val="%1"/>
      <w:lvlJc w:val="left"/>
      <w:pPr>
        <w:ind w:left="1224" w:hanging="504"/>
      </w:pPr>
      <w:rPr>
        <w:rFonts w:hint="default"/>
      </w:rPr>
    </w:lvl>
    <w:lvl w:ilvl="3">
      <w:start w:val="1"/>
      <w:numFmt w:val="none"/>
      <w:lvlRestart w:val="0"/>
      <w:suff w:val="nothing"/>
      <w:lvlText w:val="%1"/>
      <w:lvlJc w:val="left"/>
      <w:pPr>
        <w:ind w:left="1728" w:hanging="648"/>
      </w:pPr>
      <w:rPr>
        <w:rFonts w:hint="default"/>
      </w:rPr>
    </w:lvl>
    <w:lvl w:ilvl="4">
      <w:start w:val="1"/>
      <w:numFmt w:val="none"/>
      <w:lvlRestart w:val="0"/>
      <w:suff w:val="nothing"/>
      <w:lvlText w:val="%1"/>
      <w:lvlJc w:val="left"/>
      <w:pPr>
        <w:ind w:left="2232" w:hanging="792"/>
      </w:pPr>
      <w:rPr>
        <w:rFonts w:hint="default"/>
      </w:rPr>
    </w:lvl>
    <w:lvl w:ilvl="5">
      <w:start w:val="1"/>
      <w:numFmt w:val="none"/>
      <w:lvlRestart w:val="0"/>
      <w:suff w:val="nothing"/>
      <w:lvlText w:val="%1"/>
      <w:lvlJc w:val="left"/>
      <w:pPr>
        <w:ind w:left="2736" w:hanging="936"/>
      </w:pPr>
      <w:rPr>
        <w:rFonts w:hint="default"/>
      </w:rPr>
    </w:lvl>
    <w:lvl w:ilvl="6">
      <w:start w:val="1"/>
      <w:numFmt w:val="none"/>
      <w:lvlRestart w:val="0"/>
      <w:suff w:val="nothing"/>
      <w:lvlText w:val="%1"/>
      <w:lvlJc w:val="left"/>
      <w:pPr>
        <w:ind w:left="3240" w:hanging="1080"/>
      </w:pPr>
      <w:rPr>
        <w:rFonts w:hint="default"/>
      </w:rPr>
    </w:lvl>
    <w:lvl w:ilvl="7">
      <w:start w:val="1"/>
      <w:numFmt w:val="none"/>
      <w:lvlRestart w:val="0"/>
      <w:suff w:val="nothing"/>
      <w:lvlText w:val="%1"/>
      <w:lvlJc w:val="left"/>
      <w:pPr>
        <w:ind w:left="3744" w:hanging="1224"/>
      </w:pPr>
      <w:rPr>
        <w:rFonts w:hint="default"/>
      </w:rPr>
    </w:lvl>
    <w:lvl w:ilvl="8">
      <w:start w:val="1"/>
      <w:numFmt w:val="none"/>
      <w:lvlRestart w:val="0"/>
      <w:suff w:val="nothing"/>
      <w:lvlText w:val="%1"/>
      <w:lvlJc w:val="left"/>
      <w:pPr>
        <w:ind w:left="4320" w:hanging="1440"/>
      </w:pPr>
      <w:rPr>
        <w:rFonts w:hint="default"/>
      </w:rPr>
    </w:lvl>
  </w:abstractNum>
  <w:abstractNum w:abstractNumId="42">
    <w:nsid w:val="7EBC358B"/>
    <w:multiLevelType w:val="hybridMultilevel"/>
    <w:tmpl w:val="C9322508"/>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24"/>
  </w:num>
  <w:num w:numId="3">
    <w:abstractNumId w:val="2"/>
  </w:num>
  <w:num w:numId="4">
    <w:abstractNumId w:val="28"/>
  </w:num>
  <w:num w:numId="5">
    <w:abstractNumId w:val="15"/>
  </w:num>
  <w:num w:numId="6">
    <w:abstractNumId w:val="26"/>
  </w:num>
  <w:num w:numId="7">
    <w:abstractNumId w:val="31"/>
  </w:num>
  <w:num w:numId="8">
    <w:abstractNumId w:val="21"/>
  </w:num>
  <w:num w:numId="9">
    <w:abstractNumId w:val="42"/>
  </w:num>
  <w:num w:numId="10">
    <w:abstractNumId w:val="1"/>
  </w:num>
  <w:num w:numId="11">
    <w:abstractNumId w:val="30"/>
  </w:num>
  <w:num w:numId="12">
    <w:abstractNumId w:val="32"/>
  </w:num>
  <w:num w:numId="13">
    <w:abstractNumId w:val="7"/>
  </w:num>
  <w:num w:numId="14">
    <w:abstractNumId w:val="37"/>
  </w:num>
  <w:num w:numId="15">
    <w:abstractNumId w:val="29"/>
  </w:num>
  <w:num w:numId="16">
    <w:abstractNumId w:val="33"/>
  </w:num>
  <w:num w:numId="17">
    <w:abstractNumId w:val="22"/>
  </w:num>
  <w:num w:numId="18">
    <w:abstractNumId w:val="23"/>
  </w:num>
  <w:num w:numId="19">
    <w:abstractNumId w:val="35"/>
  </w:num>
  <w:num w:numId="20">
    <w:abstractNumId w:val="34"/>
  </w:num>
  <w:num w:numId="21">
    <w:abstractNumId w:val="4"/>
  </w:num>
  <w:num w:numId="22">
    <w:abstractNumId w:val="13"/>
  </w:num>
  <w:num w:numId="23">
    <w:abstractNumId w:val="3"/>
  </w:num>
  <w:num w:numId="24">
    <w:abstractNumId w:val="12"/>
  </w:num>
  <w:num w:numId="25">
    <w:abstractNumId w:val="9"/>
  </w:num>
  <w:num w:numId="26">
    <w:abstractNumId w:val="0"/>
  </w:num>
  <w:num w:numId="27">
    <w:abstractNumId w:val="41"/>
  </w:num>
  <w:num w:numId="2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8"/>
  </w:num>
  <w:num w:numId="30">
    <w:abstractNumId w:val="17"/>
  </w:num>
  <w:num w:numId="31">
    <w:abstractNumId w:val="25"/>
  </w:num>
  <w:num w:numId="32">
    <w:abstractNumId w:val="27"/>
  </w:num>
  <w:num w:numId="33">
    <w:abstractNumId w:val="39"/>
  </w:num>
  <w:num w:numId="34">
    <w:abstractNumId w:val="5"/>
  </w:num>
  <w:num w:numId="35">
    <w:abstractNumId w:val="18"/>
  </w:num>
  <w:num w:numId="36">
    <w:abstractNumId w:val="19"/>
  </w:num>
  <w:num w:numId="37">
    <w:abstractNumId w:val="36"/>
  </w:num>
  <w:num w:numId="38">
    <w:abstractNumId w:val="40"/>
  </w:num>
  <w:num w:numId="39">
    <w:abstractNumId w:val="16"/>
  </w:num>
  <w:num w:numId="40">
    <w:abstractNumId w:val="10"/>
  </w:num>
  <w:num w:numId="41">
    <w:abstractNumId w:val="20"/>
  </w:num>
  <w:num w:numId="42">
    <w:abstractNumId w:val="8"/>
  </w:num>
  <w:num w:numId="43">
    <w:abstractNumId w:val="14"/>
  </w:num>
  <w:num w:numId="44">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obyn Ward">
    <w15:presenceInfo w15:providerId="Windows Live" w15:userId="2f8c0452c87ad3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623"/>
    <w:rsid w:val="0000226A"/>
    <w:rsid w:val="00007251"/>
    <w:rsid w:val="00011200"/>
    <w:rsid w:val="00011A36"/>
    <w:rsid w:val="0003739B"/>
    <w:rsid w:val="00041E4A"/>
    <w:rsid w:val="00042B2F"/>
    <w:rsid w:val="00042F11"/>
    <w:rsid w:val="00047606"/>
    <w:rsid w:val="00065623"/>
    <w:rsid w:val="00065629"/>
    <w:rsid w:val="000756B9"/>
    <w:rsid w:val="00081753"/>
    <w:rsid w:val="000821D1"/>
    <w:rsid w:val="00096B67"/>
    <w:rsid w:val="00096DAF"/>
    <w:rsid w:val="000A11F9"/>
    <w:rsid w:val="000A51E4"/>
    <w:rsid w:val="000A5B70"/>
    <w:rsid w:val="000A6F24"/>
    <w:rsid w:val="000B6956"/>
    <w:rsid w:val="000C2F47"/>
    <w:rsid w:val="000C4BBA"/>
    <w:rsid w:val="000C5151"/>
    <w:rsid w:val="000C6379"/>
    <w:rsid w:val="000C6B40"/>
    <w:rsid w:val="000C7515"/>
    <w:rsid w:val="000D5081"/>
    <w:rsid w:val="000D6C00"/>
    <w:rsid w:val="000E3B33"/>
    <w:rsid w:val="000E4E04"/>
    <w:rsid w:val="000E630F"/>
    <w:rsid w:val="000E6A41"/>
    <w:rsid w:val="000F14B4"/>
    <w:rsid w:val="000F391E"/>
    <w:rsid w:val="000F600C"/>
    <w:rsid w:val="000F75DF"/>
    <w:rsid w:val="0010796F"/>
    <w:rsid w:val="00115C4F"/>
    <w:rsid w:val="001328FA"/>
    <w:rsid w:val="00140FCF"/>
    <w:rsid w:val="00143F88"/>
    <w:rsid w:val="00147AAF"/>
    <w:rsid w:val="001552C0"/>
    <w:rsid w:val="0016330C"/>
    <w:rsid w:val="001640B1"/>
    <w:rsid w:val="001650E0"/>
    <w:rsid w:val="0016792F"/>
    <w:rsid w:val="00171C79"/>
    <w:rsid w:val="00173B7A"/>
    <w:rsid w:val="00182148"/>
    <w:rsid w:val="0018435E"/>
    <w:rsid w:val="001862DF"/>
    <w:rsid w:val="00192D65"/>
    <w:rsid w:val="001B2F35"/>
    <w:rsid w:val="001C1BE6"/>
    <w:rsid w:val="001C3C6D"/>
    <w:rsid w:val="001D3B3F"/>
    <w:rsid w:val="001D726F"/>
    <w:rsid w:val="001D7AED"/>
    <w:rsid w:val="001E556E"/>
    <w:rsid w:val="002041A1"/>
    <w:rsid w:val="002054F0"/>
    <w:rsid w:val="00206281"/>
    <w:rsid w:val="00213FAD"/>
    <w:rsid w:val="002178CE"/>
    <w:rsid w:val="00230604"/>
    <w:rsid w:val="00230D6B"/>
    <w:rsid w:val="00232068"/>
    <w:rsid w:val="002330F2"/>
    <w:rsid w:val="0023433F"/>
    <w:rsid w:val="00242527"/>
    <w:rsid w:val="00243D9E"/>
    <w:rsid w:val="00253B66"/>
    <w:rsid w:val="00260A23"/>
    <w:rsid w:val="00261DF1"/>
    <w:rsid w:val="00271F18"/>
    <w:rsid w:val="00275470"/>
    <w:rsid w:val="002757DD"/>
    <w:rsid w:val="00282779"/>
    <w:rsid w:val="0028334D"/>
    <w:rsid w:val="00291D99"/>
    <w:rsid w:val="002B2F99"/>
    <w:rsid w:val="002B7FFA"/>
    <w:rsid w:val="002C2135"/>
    <w:rsid w:val="002C2BCF"/>
    <w:rsid w:val="002D568B"/>
    <w:rsid w:val="002D678D"/>
    <w:rsid w:val="002E4AF9"/>
    <w:rsid w:val="002F279D"/>
    <w:rsid w:val="002F38AB"/>
    <w:rsid w:val="002F43B8"/>
    <w:rsid w:val="002F7B2B"/>
    <w:rsid w:val="00320D06"/>
    <w:rsid w:val="00336856"/>
    <w:rsid w:val="0034554D"/>
    <w:rsid w:val="00351691"/>
    <w:rsid w:val="00352224"/>
    <w:rsid w:val="003671E6"/>
    <w:rsid w:val="00376575"/>
    <w:rsid w:val="00384272"/>
    <w:rsid w:val="003844E8"/>
    <w:rsid w:val="00386D67"/>
    <w:rsid w:val="003907AC"/>
    <w:rsid w:val="00391946"/>
    <w:rsid w:val="003941BE"/>
    <w:rsid w:val="003945B8"/>
    <w:rsid w:val="00396DD9"/>
    <w:rsid w:val="003C2E12"/>
    <w:rsid w:val="003C5C54"/>
    <w:rsid w:val="003D7F29"/>
    <w:rsid w:val="003E360A"/>
    <w:rsid w:val="003F36DA"/>
    <w:rsid w:val="003F5DD6"/>
    <w:rsid w:val="00402FA7"/>
    <w:rsid w:val="00405A6B"/>
    <w:rsid w:val="00407B1F"/>
    <w:rsid w:val="00414C57"/>
    <w:rsid w:val="0041758C"/>
    <w:rsid w:val="00420DE9"/>
    <w:rsid w:val="004217CC"/>
    <w:rsid w:val="004313A8"/>
    <w:rsid w:val="004372A7"/>
    <w:rsid w:val="004403ED"/>
    <w:rsid w:val="00442254"/>
    <w:rsid w:val="00450C04"/>
    <w:rsid w:val="004539DE"/>
    <w:rsid w:val="0045582A"/>
    <w:rsid w:val="00455E04"/>
    <w:rsid w:val="00471DF6"/>
    <w:rsid w:val="00474C7C"/>
    <w:rsid w:val="00496322"/>
    <w:rsid w:val="004A2CF1"/>
    <w:rsid w:val="004B2B03"/>
    <w:rsid w:val="004C3035"/>
    <w:rsid w:val="004C307F"/>
    <w:rsid w:val="004D6EC0"/>
    <w:rsid w:val="004E015F"/>
    <w:rsid w:val="004E4BA8"/>
    <w:rsid w:val="004E542B"/>
    <w:rsid w:val="004F340F"/>
    <w:rsid w:val="004F39E0"/>
    <w:rsid w:val="004F7476"/>
    <w:rsid w:val="004F7B7C"/>
    <w:rsid w:val="00500F8B"/>
    <w:rsid w:val="00512FC6"/>
    <w:rsid w:val="0052243D"/>
    <w:rsid w:val="00531C81"/>
    <w:rsid w:val="00532435"/>
    <w:rsid w:val="0053288F"/>
    <w:rsid w:val="00540DF3"/>
    <w:rsid w:val="00547371"/>
    <w:rsid w:val="00550354"/>
    <w:rsid w:val="00552BFC"/>
    <w:rsid w:val="00564662"/>
    <w:rsid w:val="00571236"/>
    <w:rsid w:val="005778F1"/>
    <w:rsid w:val="005840D3"/>
    <w:rsid w:val="0058426A"/>
    <w:rsid w:val="00584336"/>
    <w:rsid w:val="005953A1"/>
    <w:rsid w:val="005A5929"/>
    <w:rsid w:val="005A7AAB"/>
    <w:rsid w:val="005B52E3"/>
    <w:rsid w:val="005D0332"/>
    <w:rsid w:val="005D0D8C"/>
    <w:rsid w:val="005D244F"/>
    <w:rsid w:val="005E416C"/>
    <w:rsid w:val="0061102A"/>
    <w:rsid w:val="00613AC3"/>
    <w:rsid w:val="00615C1B"/>
    <w:rsid w:val="006263B1"/>
    <w:rsid w:val="00636453"/>
    <w:rsid w:val="006368B9"/>
    <w:rsid w:val="00650089"/>
    <w:rsid w:val="00671CB6"/>
    <w:rsid w:val="006776AE"/>
    <w:rsid w:val="00681754"/>
    <w:rsid w:val="006A0D97"/>
    <w:rsid w:val="006B1519"/>
    <w:rsid w:val="006B1F86"/>
    <w:rsid w:val="006C0A91"/>
    <w:rsid w:val="006C32A3"/>
    <w:rsid w:val="006D28A4"/>
    <w:rsid w:val="006F0CF3"/>
    <w:rsid w:val="007054BB"/>
    <w:rsid w:val="0070660D"/>
    <w:rsid w:val="00707064"/>
    <w:rsid w:val="00722938"/>
    <w:rsid w:val="00730683"/>
    <w:rsid w:val="00732856"/>
    <w:rsid w:val="007341C8"/>
    <w:rsid w:val="007462A3"/>
    <w:rsid w:val="0075261F"/>
    <w:rsid w:val="0075468E"/>
    <w:rsid w:val="007656A8"/>
    <w:rsid w:val="00765E44"/>
    <w:rsid w:val="007665D8"/>
    <w:rsid w:val="00766E36"/>
    <w:rsid w:val="0077188E"/>
    <w:rsid w:val="007722BF"/>
    <w:rsid w:val="007765F4"/>
    <w:rsid w:val="00776633"/>
    <w:rsid w:val="00784D53"/>
    <w:rsid w:val="0079039C"/>
    <w:rsid w:val="007933D0"/>
    <w:rsid w:val="00796478"/>
    <w:rsid w:val="00797797"/>
    <w:rsid w:val="007A1930"/>
    <w:rsid w:val="007A215B"/>
    <w:rsid w:val="007A3CE8"/>
    <w:rsid w:val="007A63C9"/>
    <w:rsid w:val="007B32D1"/>
    <w:rsid w:val="007B7095"/>
    <w:rsid w:val="007D24E1"/>
    <w:rsid w:val="007D3762"/>
    <w:rsid w:val="007F4CE9"/>
    <w:rsid w:val="007F4E20"/>
    <w:rsid w:val="007F631E"/>
    <w:rsid w:val="007F66B0"/>
    <w:rsid w:val="007F7BFF"/>
    <w:rsid w:val="00804D1D"/>
    <w:rsid w:val="0081369F"/>
    <w:rsid w:val="008156EC"/>
    <w:rsid w:val="00822C7E"/>
    <w:rsid w:val="00823C8D"/>
    <w:rsid w:val="0082678C"/>
    <w:rsid w:val="008319FE"/>
    <w:rsid w:val="00833EA2"/>
    <w:rsid w:val="00847060"/>
    <w:rsid w:val="00856A33"/>
    <w:rsid w:val="00860499"/>
    <w:rsid w:val="00862D1A"/>
    <w:rsid w:val="008645AF"/>
    <w:rsid w:val="00875B33"/>
    <w:rsid w:val="008761CF"/>
    <w:rsid w:val="00892620"/>
    <w:rsid w:val="00894144"/>
    <w:rsid w:val="008C7D37"/>
    <w:rsid w:val="008D5885"/>
    <w:rsid w:val="008E4FE5"/>
    <w:rsid w:val="008E52A5"/>
    <w:rsid w:val="008F2753"/>
    <w:rsid w:val="008F72AA"/>
    <w:rsid w:val="008F74A0"/>
    <w:rsid w:val="009058F6"/>
    <w:rsid w:val="00916EBC"/>
    <w:rsid w:val="00923FA2"/>
    <w:rsid w:val="00940F54"/>
    <w:rsid w:val="009461B5"/>
    <w:rsid w:val="0096060D"/>
    <w:rsid w:val="0097201E"/>
    <w:rsid w:val="00974A50"/>
    <w:rsid w:val="0097585A"/>
    <w:rsid w:val="00976694"/>
    <w:rsid w:val="009924B0"/>
    <w:rsid w:val="009942C9"/>
    <w:rsid w:val="009B35C4"/>
    <w:rsid w:val="009B724F"/>
    <w:rsid w:val="009C630A"/>
    <w:rsid w:val="009D3B47"/>
    <w:rsid w:val="009D5A48"/>
    <w:rsid w:val="009E0D98"/>
    <w:rsid w:val="009F28F0"/>
    <w:rsid w:val="009F4192"/>
    <w:rsid w:val="00A068A1"/>
    <w:rsid w:val="00A1207D"/>
    <w:rsid w:val="00A12FD8"/>
    <w:rsid w:val="00A15C96"/>
    <w:rsid w:val="00A266CF"/>
    <w:rsid w:val="00A346FC"/>
    <w:rsid w:val="00A34BD7"/>
    <w:rsid w:val="00A37DC4"/>
    <w:rsid w:val="00A44FBD"/>
    <w:rsid w:val="00A60423"/>
    <w:rsid w:val="00A64A43"/>
    <w:rsid w:val="00A710A2"/>
    <w:rsid w:val="00A74D4C"/>
    <w:rsid w:val="00A800D6"/>
    <w:rsid w:val="00A84F93"/>
    <w:rsid w:val="00A91AFD"/>
    <w:rsid w:val="00A96797"/>
    <w:rsid w:val="00AA0329"/>
    <w:rsid w:val="00AA446B"/>
    <w:rsid w:val="00AA5785"/>
    <w:rsid w:val="00AB1AC5"/>
    <w:rsid w:val="00AB3BFC"/>
    <w:rsid w:val="00AC2907"/>
    <w:rsid w:val="00AC4F2E"/>
    <w:rsid w:val="00AC58CB"/>
    <w:rsid w:val="00AC6433"/>
    <w:rsid w:val="00AC657D"/>
    <w:rsid w:val="00AD0C37"/>
    <w:rsid w:val="00AD385F"/>
    <w:rsid w:val="00AE131A"/>
    <w:rsid w:val="00AE6E2A"/>
    <w:rsid w:val="00B11472"/>
    <w:rsid w:val="00B13240"/>
    <w:rsid w:val="00B16BD9"/>
    <w:rsid w:val="00B30E56"/>
    <w:rsid w:val="00B31E9C"/>
    <w:rsid w:val="00B35595"/>
    <w:rsid w:val="00B37344"/>
    <w:rsid w:val="00B44EDD"/>
    <w:rsid w:val="00B45071"/>
    <w:rsid w:val="00B51C6D"/>
    <w:rsid w:val="00B54861"/>
    <w:rsid w:val="00B55B8A"/>
    <w:rsid w:val="00B6149B"/>
    <w:rsid w:val="00B63184"/>
    <w:rsid w:val="00B738EB"/>
    <w:rsid w:val="00B86D64"/>
    <w:rsid w:val="00B87E74"/>
    <w:rsid w:val="00B9099B"/>
    <w:rsid w:val="00B915E6"/>
    <w:rsid w:val="00B91882"/>
    <w:rsid w:val="00B9218B"/>
    <w:rsid w:val="00BA4AC5"/>
    <w:rsid w:val="00BA5780"/>
    <w:rsid w:val="00BB19D5"/>
    <w:rsid w:val="00BC1364"/>
    <w:rsid w:val="00BC7DE9"/>
    <w:rsid w:val="00BF253B"/>
    <w:rsid w:val="00BF479B"/>
    <w:rsid w:val="00C00794"/>
    <w:rsid w:val="00C02577"/>
    <w:rsid w:val="00C0633C"/>
    <w:rsid w:val="00C10880"/>
    <w:rsid w:val="00C14480"/>
    <w:rsid w:val="00C204FB"/>
    <w:rsid w:val="00C20BEE"/>
    <w:rsid w:val="00C2158D"/>
    <w:rsid w:val="00C238C8"/>
    <w:rsid w:val="00C65C25"/>
    <w:rsid w:val="00C67DD2"/>
    <w:rsid w:val="00C725CB"/>
    <w:rsid w:val="00C76F5C"/>
    <w:rsid w:val="00C83F0C"/>
    <w:rsid w:val="00C851AE"/>
    <w:rsid w:val="00C90F65"/>
    <w:rsid w:val="00C96BAD"/>
    <w:rsid w:val="00CA2AE3"/>
    <w:rsid w:val="00CA6944"/>
    <w:rsid w:val="00CB0F8E"/>
    <w:rsid w:val="00CB2942"/>
    <w:rsid w:val="00CB2BB8"/>
    <w:rsid w:val="00CB7E7D"/>
    <w:rsid w:val="00CC2911"/>
    <w:rsid w:val="00CC663B"/>
    <w:rsid w:val="00CE3261"/>
    <w:rsid w:val="00CF0C6D"/>
    <w:rsid w:val="00CF7307"/>
    <w:rsid w:val="00CF7C68"/>
    <w:rsid w:val="00D01A07"/>
    <w:rsid w:val="00D070B4"/>
    <w:rsid w:val="00D07239"/>
    <w:rsid w:val="00D124FA"/>
    <w:rsid w:val="00D14EAB"/>
    <w:rsid w:val="00D154DA"/>
    <w:rsid w:val="00D20B37"/>
    <w:rsid w:val="00D26292"/>
    <w:rsid w:val="00D340DE"/>
    <w:rsid w:val="00D55723"/>
    <w:rsid w:val="00D629DE"/>
    <w:rsid w:val="00D62FAD"/>
    <w:rsid w:val="00D656FE"/>
    <w:rsid w:val="00D70450"/>
    <w:rsid w:val="00D72833"/>
    <w:rsid w:val="00D74C68"/>
    <w:rsid w:val="00D83BFD"/>
    <w:rsid w:val="00D90A38"/>
    <w:rsid w:val="00DA0515"/>
    <w:rsid w:val="00DA171E"/>
    <w:rsid w:val="00DA558E"/>
    <w:rsid w:val="00DA56AA"/>
    <w:rsid w:val="00DA5F7B"/>
    <w:rsid w:val="00DB5833"/>
    <w:rsid w:val="00DB66AD"/>
    <w:rsid w:val="00DC3933"/>
    <w:rsid w:val="00DC6537"/>
    <w:rsid w:val="00DD2858"/>
    <w:rsid w:val="00DD31A3"/>
    <w:rsid w:val="00DE21B8"/>
    <w:rsid w:val="00DE60F6"/>
    <w:rsid w:val="00E03E33"/>
    <w:rsid w:val="00E0440C"/>
    <w:rsid w:val="00E23A30"/>
    <w:rsid w:val="00E3642A"/>
    <w:rsid w:val="00E415C4"/>
    <w:rsid w:val="00E50016"/>
    <w:rsid w:val="00E50EAA"/>
    <w:rsid w:val="00E523B1"/>
    <w:rsid w:val="00E55FB6"/>
    <w:rsid w:val="00E60FC1"/>
    <w:rsid w:val="00E63D0B"/>
    <w:rsid w:val="00E640A9"/>
    <w:rsid w:val="00E656D6"/>
    <w:rsid w:val="00E678F0"/>
    <w:rsid w:val="00E70533"/>
    <w:rsid w:val="00E75C69"/>
    <w:rsid w:val="00E86450"/>
    <w:rsid w:val="00E93E4B"/>
    <w:rsid w:val="00E94CFD"/>
    <w:rsid w:val="00E977EE"/>
    <w:rsid w:val="00EA67A2"/>
    <w:rsid w:val="00EB6B6F"/>
    <w:rsid w:val="00EC17E5"/>
    <w:rsid w:val="00EC4F98"/>
    <w:rsid w:val="00ED3D0C"/>
    <w:rsid w:val="00ED556D"/>
    <w:rsid w:val="00EF2364"/>
    <w:rsid w:val="00EF60DD"/>
    <w:rsid w:val="00F03659"/>
    <w:rsid w:val="00F06FF9"/>
    <w:rsid w:val="00F12F02"/>
    <w:rsid w:val="00F21117"/>
    <w:rsid w:val="00F25A2E"/>
    <w:rsid w:val="00F269F3"/>
    <w:rsid w:val="00F32E0D"/>
    <w:rsid w:val="00F35134"/>
    <w:rsid w:val="00F375CA"/>
    <w:rsid w:val="00F41812"/>
    <w:rsid w:val="00F479DE"/>
    <w:rsid w:val="00F523B5"/>
    <w:rsid w:val="00F637F5"/>
    <w:rsid w:val="00F73333"/>
    <w:rsid w:val="00F85270"/>
    <w:rsid w:val="00F93545"/>
    <w:rsid w:val="00F95D8F"/>
    <w:rsid w:val="00F95EC4"/>
    <w:rsid w:val="00F97063"/>
    <w:rsid w:val="00FA360B"/>
    <w:rsid w:val="00FA5AC7"/>
    <w:rsid w:val="00FA61A9"/>
    <w:rsid w:val="00FB0D81"/>
    <w:rsid w:val="00FB350A"/>
    <w:rsid w:val="00FC1420"/>
    <w:rsid w:val="00FE1007"/>
    <w:rsid w:val="00FE731D"/>
    <w:rsid w:val="00FF1F99"/>
    <w:rsid w:val="00FF3B0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14:docId w14:val="2961C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List Bullet" w:uiPriority="2" w:qFormat="1"/>
    <w:lsdException w:name="List Bullet 2" w:uiPriority="2"/>
    <w:lsdException w:name="List Bullet 3" w:uiPriority="2"/>
    <w:lsdException w:name="Title" w:locked="1" w:semiHidden="0" w:uiPriority="0" w:unhideWhenUsed="0" w:qFormat="1"/>
    <w:lsdException w:name="Default Paragraph Font" w:locked="1" w:semiHidden="0" w:uiPriority="0" w:unhideWhenUsed="0"/>
    <w:lsdException w:name="Body Text" w:uiPriority="2" w:qFormat="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623"/>
    <w:rPr>
      <w:rFonts w:eastAsia="Times New Roman"/>
      <w:sz w:val="24"/>
      <w:szCs w:val="20"/>
    </w:rPr>
  </w:style>
  <w:style w:type="paragraph" w:styleId="Heading1">
    <w:name w:val="heading 1"/>
    <w:basedOn w:val="Normal"/>
    <w:next w:val="Normal"/>
    <w:link w:val="Heading1Char"/>
    <w:uiPriority w:val="99"/>
    <w:qFormat/>
    <w:rsid w:val="008D5885"/>
    <w:pPr>
      <w:keepNext/>
      <w:keepLines/>
      <w:outlineLvl w:val="0"/>
    </w:pPr>
    <w:rPr>
      <w:rFonts w:ascii="Arial" w:hAnsi="Arial"/>
      <w:b/>
      <w:bCs/>
      <w:szCs w:val="28"/>
    </w:rPr>
  </w:style>
  <w:style w:type="paragraph" w:styleId="Heading2">
    <w:name w:val="heading 2"/>
    <w:basedOn w:val="Normal"/>
    <w:next w:val="Normal"/>
    <w:link w:val="Heading2Char"/>
    <w:unhideWhenUsed/>
    <w:qFormat/>
    <w:locked/>
    <w:rsid w:val="004E015F"/>
    <w:pPr>
      <w:keepNext/>
      <w:keepLines/>
      <w:spacing w:before="200"/>
      <w:outlineLvl w:val="1"/>
    </w:pPr>
    <w:rPr>
      <w:rFonts w:asciiTheme="majorHAnsi" w:eastAsiaTheme="majorEastAsia" w:hAnsiTheme="majorHAnsi" w:cstheme="majorBidi"/>
      <w:b/>
      <w:bCs/>
      <w:szCs w:val="26"/>
    </w:rPr>
  </w:style>
  <w:style w:type="paragraph" w:styleId="Heading3">
    <w:name w:val="heading 3"/>
    <w:basedOn w:val="Normal"/>
    <w:next w:val="Normal"/>
    <w:link w:val="Heading3Char"/>
    <w:unhideWhenUsed/>
    <w:qFormat/>
    <w:locked/>
    <w:rsid w:val="00FC1420"/>
    <w:pPr>
      <w:keepNext/>
      <w:keepLines/>
      <w:spacing w:before="200"/>
      <w:outlineLvl w:val="2"/>
    </w:pPr>
    <w:rPr>
      <w:rFonts w:eastAsiaTheme="majorEastAsia" w:cstheme="majorBidi"/>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D5885"/>
    <w:rPr>
      <w:rFonts w:ascii="Arial" w:eastAsia="Times New Roman" w:hAnsi="Arial"/>
      <w:b/>
      <w:bCs/>
      <w:sz w:val="24"/>
      <w:szCs w:val="28"/>
    </w:rPr>
  </w:style>
  <w:style w:type="character" w:styleId="Hyperlink">
    <w:name w:val="Hyperlink"/>
    <w:basedOn w:val="DefaultParagraphFont"/>
    <w:uiPriority w:val="99"/>
    <w:rsid w:val="00065623"/>
    <w:rPr>
      <w:rFonts w:cs="Times New Roman"/>
      <w:color w:val="0000FF"/>
      <w:u w:val="single"/>
    </w:rPr>
  </w:style>
  <w:style w:type="paragraph" w:styleId="FootnoteText">
    <w:name w:val="footnote text"/>
    <w:basedOn w:val="Normal"/>
    <w:link w:val="FootnoteTextChar"/>
    <w:rsid w:val="00065623"/>
    <w:rPr>
      <w:sz w:val="20"/>
    </w:rPr>
  </w:style>
  <w:style w:type="character" w:customStyle="1" w:styleId="FootnoteTextChar">
    <w:name w:val="Footnote Text Char"/>
    <w:basedOn w:val="DefaultParagraphFont"/>
    <w:link w:val="FootnoteText"/>
    <w:locked/>
    <w:rsid w:val="00065623"/>
    <w:rPr>
      <w:rFonts w:eastAsia="Times New Roman" w:cs="Times New Roman"/>
      <w:sz w:val="20"/>
      <w:szCs w:val="20"/>
      <w:lang w:eastAsia="en-AU"/>
    </w:rPr>
  </w:style>
  <w:style w:type="character" w:styleId="FootnoteReference">
    <w:name w:val="footnote reference"/>
    <w:basedOn w:val="DefaultParagraphFont"/>
    <w:rsid w:val="00065623"/>
    <w:rPr>
      <w:rFonts w:cs="Times New Roman"/>
      <w:vertAlign w:val="superscript"/>
    </w:rPr>
  </w:style>
  <w:style w:type="paragraph" w:styleId="ListParagraph">
    <w:name w:val="List Paragraph"/>
    <w:basedOn w:val="Normal"/>
    <w:link w:val="ListParagraphChar"/>
    <w:uiPriority w:val="34"/>
    <w:qFormat/>
    <w:rsid w:val="00065623"/>
    <w:pPr>
      <w:ind w:left="720"/>
      <w:contextualSpacing/>
    </w:pPr>
  </w:style>
  <w:style w:type="paragraph" w:styleId="BalloonText">
    <w:name w:val="Balloon Text"/>
    <w:basedOn w:val="Normal"/>
    <w:link w:val="BalloonTextChar"/>
    <w:uiPriority w:val="99"/>
    <w:semiHidden/>
    <w:rsid w:val="000656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5623"/>
    <w:rPr>
      <w:rFonts w:ascii="Tahoma" w:hAnsi="Tahoma" w:cs="Tahoma"/>
      <w:sz w:val="16"/>
      <w:szCs w:val="16"/>
      <w:lang w:eastAsia="en-AU"/>
    </w:rPr>
  </w:style>
  <w:style w:type="paragraph" w:styleId="Header">
    <w:name w:val="header"/>
    <w:basedOn w:val="Normal"/>
    <w:link w:val="HeaderChar"/>
    <w:uiPriority w:val="99"/>
    <w:rsid w:val="00707064"/>
    <w:pPr>
      <w:tabs>
        <w:tab w:val="center" w:pos="4513"/>
        <w:tab w:val="right" w:pos="9026"/>
      </w:tabs>
    </w:pPr>
  </w:style>
  <w:style w:type="character" w:customStyle="1" w:styleId="HeaderChar">
    <w:name w:val="Header Char"/>
    <w:basedOn w:val="DefaultParagraphFont"/>
    <w:link w:val="Header"/>
    <w:uiPriority w:val="99"/>
    <w:locked/>
    <w:rsid w:val="00707064"/>
    <w:rPr>
      <w:rFonts w:eastAsia="Times New Roman" w:cs="Times New Roman"/>
      <w:sz w:val="20"/>
      <w:szCs w:val="20"/>
      <w:lang w:eastAsia="en-AU"/>
    </w:rPr>
  </w:style>
  <w:style w:type="paragraph" w:styleId="Footer">
    <w:name w:val="footer"/>
    <w:basedOn w:val="Normal"/>
    <w:link w:val="FooterChar"/>
    <w:uiPriority w:val="99"/>
    <w:rsid w:val="00707064"/>
    <w:pPr>
      <w:tabs>
        <w:tab w:val="center" w:pos="4513"/>
        <w:tab w:val="right" w:pos="9026"/>
      </w:tabs>
    </w:pPr>
  </w:style>
  <w:style w:type="character" w:customStyle="1" w:styleId="FooterChar">
    <w:name w:val="Footer Char"/>
    <w:basedOn w:val="DefaultParagraphFont"/>
    <w:link w:val="Footer"/>
    <w:uiPriority w:val="99"/>
    <w:locked/>
    <w:rsid w:val="00707064"/>
    <w:rPr>
      <w:rFonts w:eastAsia="Times New Roman" w:cs="Times New Roman"/>
      <w:sz w:val="20"/>
      <w:szCs w:val="20"/>
      <w:lang w:eastAsia="en-AU"/>
    </w:rPr>
  </w:style>
  <w:style w:type="character" w:styleId="CommentReference">
    <w:name w:val="annotation reference"/>
    <w:basedOn w:val="DefaultParagraphFont"/>
    <w:uiPriority w:val="99"/>
    <w:semiHidden/>
    <w:rsid w:val="00974A50"/>
    <w:rPr>
      <w:rFonts w:cs="Times New Roman"/>
      <w:sz w:val="16"/>
      <w:szCs w:val="16"/>
    </w:rPr>
  </w:style>
  <w:style w:type="paragraph" w:styleId="CommentText">
    <w:name w:val="annotation text"/>
    <w:basedOn w:val="Normal"/>
    <w:link w:val="CommentTextChar"/>
    <w:uiPriority w:val="99"/>
    <w:semiHidden/>
    <w:rsid w:val="00974A50"/>
    <w:rPr>
      <w:sz w:val="20"/>
    </w:rPr>
  </w:style>
  <w:style w:type="character" w:customStyle="1" w:styleId="CommentTextChar">
    <w:name w:val="Comment Text Char"/>
    <w:basedOn w:val="DefaultParagraphFont"/>
    <w:link w:val="CommentText"/>
    <w:uiPriority w:val="99"/>
    <w:semiHidden/>
    <w:locked/>
    <w:rsid w:val="00974A50"/>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974A50"/>
    <w:rPr>
      <w:b/>
      <w:bCs/>
    </w:rPr>
  </w:style>
  <w:style w:type="character" w:customStyle="1" w:styleId="CommentSubjectChar">
    <w:name w:val="Comment Subject Char"/>
    <w:basedOn w:val="CommentTextChar"/>
    <w:link w:val="CommentSubject"/>
    <w:uiPriority w:val="99"/>
    <w:semiHidden/>
    <w:locked/>
    <w:rsid w:val="00974A50"/>
    <w:rPr>
      <w:rFonts w:eastAsia="Times New Roman" w:cs="Times New Roman"/>
      <w:b/>
      <w:bCs/>
      <w:sz w:val="20"/>
      <w:szCs w:val="20"/>
      <w:lang w:eastAsia="en-AU"/>
    </w:rPr>
  </w:style>
  <w:style w:type="paragraph" w:customStyle="1" w:styleId="Default">
    <w:name w:val="Default"/>
    <w:rsid w:val="00E50016"/>
    <w:pPr>
      <w:autoSpaceDE w:val="0"/>
      <w:autoSpaceDN w:val="0"/>
      <w:adjustRightInd w:val="0"/>
    </w:pPr>
    <w:rPr>
      <w:color w:val="000000"/>
      <w:sz w:val="24"/>
      <w:szCs w:val="24"/>
      <w:lang w:eastAsia="en-US"/>
    </w:rPr>
  </w:style>
  <w:style w:type="character" w:customStyle="1" w:styleId="Heading2Char">
    <w:name w:val="Heading 2 Char"/>
    <w:basedOn w:val="DefaultParagraphFont"/>
    <w:link w:val="Heading2"/>
    <w:rsid w:val="004E015F"/>
    <w:rPr>
      <w:rFonts w:asciiTheme="majorHAnsi" w:eastAsiaTheme="majorEastAsia" w:hAnsiTheme="majorHAnsi" w:cstheme="majorBidi"/>
      <w:b/>
      <w:bCs/>
      <w:sz w:val="24"/>
      <w:szCs w:val="26"/>
    </w:rPr>
  </w:style>
  <w:style w:type="paragraph" w:customStyle="1" w:styleId="TableDataEntries">
    <w:name w:val="Table Data Entries"/>
    <w:basedOn w:val="Normal"/>
    <w:uiPriority w:val="11"/>
    <w:rsid w:val="00DB66AD"/>
    <w:pPr>
      <w:keepLines/>
      <w:spacing w:before="40" w:after="40" w:line="200" w:lineRule="atLeast"/>
      <w:jc w:val="right"/>
    </w:pPr>
    <w:rPr>
      <w:rFonts w:ascii="Franklin Gothic Book" w:hAnsi="Franklin Gothic Book"/>
      <w:sz w:val="16"/>
      <w:szCs w:val="18"/>
      <w:lang w:eastAsia="en-US"/>
    </w:rPr>
  </w:style>
  <w:style w:type="paragraph" w:customStyle="1" w:styleId="TableDataColumnHeading">
    <w:name w:val="Table Data Column Heading"/>
    <w:basedOn w:val="TableDataEntries"/>
    <w:uiPriority w:val="11"/>
    <w:rsid w:val="00DB66AD"/>
    <w:pPr>
      <w:keepNext/>
      <w:spacing w:before="80" w:after="80"/>
    </w:pPr>
    <w:rPr>
      <w:rFonts w:ascii="Franklin Gothic Demi" w:hAnsi="Franklin Gothic Demi"/>
      <w:color w:val="FFFFFF"/>
    </w:rPr>
  </w:style>
  <w:style w:type="paragraph" w:customStyle="1" w:styleId="TableUnit">
    <w:name w:val="Table Unit"/>
    <w:basedOn w:val="TableDataColumnHeading"/>
    <w:next w:val="TableDataEntries"/>
    <w:uiPriority w:val="11"/>
    <w:rsid w:val="00DB66AD"/>
    <w:rPr>
      <w:rFonts w:ascii="Franklin Gothic Book" w:hAnsi="Franklin Gothic Book"/>
      <w:color w:val="auto"/>
      <w:szCs w:val="17"/>
    </w:rPr>
  </w:style>
  <w:style w:type="paragraph" w:customStyle="1" w:styleId="ChartText">
    <w:name w:val="Chart Text"/>
    <w:basedOn w:val="Normal"/>
    <w:link w:val="ChartTextChar"/>
    <w:uiPriority w:val="23"/>
    <w:rsid w:val="000B6956"/>
    <w:pPr>
      <w:keepLines/>
      <w:spacing w:after="80" w:line="200" w:lineRule="atLeast"/>
    </w:pPr>
    <w:rPr>
      <w:rFonts w:ascii="Franklin Gothic Medium" w:hAnsi="Franklin Gothic Medium"/>
      <w:sz w:val="16"/>
      <w:szCs w:val="18"/>
      <w:lang w:eastAsia="en-US"/>
    </w:rPr>
  </w:style>
  <w:style w:type="character" w:customStyle="1" w:styleId="ChartTextChar">
    <w:name w:val="Chart Text Char"/>
    <w:link w:val="ChartText"/>
    <w:uiPriority w:val="23"/>
    <w:rsid w:val="000B6956"/>
    <w:rPr>
      <w:rFonts w:ascii="Franklin Gothic Medium" w:eastAsia="Times New Roman" w:hAnsi="Franklin Gothic Medium"/>
      <w:sz w:val="16"/>
      <w:szCs w:val="18"/>
      <w:lang w:eastAsia="en-US"/>
    </w:rPr>
  </w:style>
  <w:style w:type="paragraph" w:styleId="Caption">
    <w:name w:val="caption"/>
    <w:aliases w:val="Bayer Caption,IB Caption,Medical Caption,CSR Caption,Table and Figure Name,Table and Figure name,Caption Char2 Char,Caption Char Char Char2,Caption Char1 Char Char Char1,Caption Char2 Char Char Char1 Char1,Caption Char1 Char Char"/>
    <w:basedOn w:val="Normal"/>
    <w:next w:val="Normal"/>
    <w:link w:val="CaptionChar"/>
    <w:unhideWhenUsed/>
    <w:qFormat/>
    <w:locked/>
    <w:rsid w:val="00BB19D5"/>
    <w:pPr>
      <w:keepNext/>
      <w:jc w:val="both"/>
      <w:outlineLvl w:val="4"/>
    </w:pPr>
    <w:rPr>
      <w:rFonts w:ascii="Arial Narrow" w:hAnsi="Arial Narrow" w:cs="Arial"/>
      <w:b/>
      <w:bCs/>
      <w:iCs/>
      <w:sz w:val="20"/>
      <w:lang w:eastAsia="en-US"/>
    </w:rPr>
  </w:style>
  <w:style w:type="character" w:customStyle="1" w:styleId="CaptionChar">
    <w:name w:val="Caption Char"/>
    <w:aliases w:val="Bayer Caption Char,IB Caption Char,Medical Caption Char,CSR Caption Char,Table and Figure Name Char,Table and Figure name Char,Caption Char2 Char Char,Caption Char Char Char2 Char,Caption Char1 Char Char Char1 Char"/>
    <w:basedOn w:val="DefaultParagraphFont"/>
    <w:link w:val="Caption"/>
    <w:rsid w:val="00BB19D5"/>
    <w:rPr>
      <w:rFonts w:ascii="Arial Narrow" w:eastAsia="Times New Roman" w:hAnsi="Arial Narrow" w:cs="Arial"/>
      <w:b/>
      <w:bCs/>
      <w:iCs/>
      <w:sz w:val="20"/>
      <w:szCs w:val="20"/>
      <w:lang w:eastAsia="en-US"/>
    </w:rPr>
  </w:style>
  <w:style w:type="paragraph" w:styleId="BodyText">
    <w:name w:val="Body Text"/>
    <w:basedOn w:val="Normal"/>
    <w:link w:val="BodyTextChar"/>
    <w:uiPriority w:val="2"/>
    <w:qFormat/>
    <w:rsid w:val="00BB19D5"/>
    <w:pPr>
      <w:spacing w:before="140" w:line="280" w:lineRule="atLeast"/>
    </w:pPr>
    <w:rPr>
      <w:rFonts w:asciiTheme="minorHAnsi" w:hAnsiTheme="minorHAnsi"/>
      <w:sz w:val="21"/>
      <w:szCs w:val="21"/>
    </w:rPr>
  </w:style>
  <w:style w:type="character" w:customStyle="1" w:styleId="BodyTextChar">
    <w:name w:val="Body Text Char"/>
    <w:basedOn w:val="DefaultParagraphFont"/>
    <w:link w:val="BodyText"/>
    <w:uiPriority w:val="2"/>
    <w:rsid w:val="00BB19D5"/>
    <w:rPr>
      <w:rFonts w:asciiTheme="minorHAnsi" w:eastAsia="Times New Roman" w:hAnsiTheme="minorHAnsi"/>
      <w:sz w:val="21"/>
      <w:szCs w:val="21"/>
    </w:rPr>
  </w:style>
  <w:style w:type="paragraph" w:customStyle="1" w:styleId="TableTextEntries">
    <w:name w:val="Table Text Entries"/>
    <w:basedOn w:val="BodyText"/>
    <w:uiPriority w:val="13"/>
    <w:rsid w:val="00BB19D5"/>
    <w:pPr>
      <w:keepLines/>
      <w:spacing w:before="80" w:after="80" w:line="200" w:lineRule="atLeast"/>
    </w:pPr>
    <w:rPr>
      <w:rFonts w:ascii="Franklin Gothic Book" w:hAnsi="Franklin Gothic Book"/>
      <w:sz w:val="16"/>
      <w:szCs w:val="18"/>
      <w:lang w:eastAsia="en-US"/>
    </w:rPr>
  </w:style>
  <w:style w:type="character" w:customStyle="1" w:styleId="NoteLabel">
    <w:name w:val="Note Label"/>
    <w:uiPriority w:val="15"/>
    <w:rsid w:val="00BB19D5"/>
    <w:rPr>
      <w:rFonts w:ascii="Franklin Gothic Demi" w:hAnsi="Franklin Gothic Demi"/>
      <w:b w:val="0"/>
      <w:i w:val="0"/>
      <w:color w:val="8064A2" w:themeColor="accent4"/>
      <w:position w:val="4"/>
      <w:sz w:val="14"/>
      <w:szCs w:val="16"/>
    </w:rPr>
  </w:style>
  <w:style w:type="paragraph" w:customStyle="1" w:styleId="TableText">
    <w:name w:val="TableText"/>
    <w:basedOn w:val="Normal"/>
    <w:link w:val="TableTextChar"/>
    <w:rsid w:val="00BB19D5"/>
    <w:pPr>
      <w:keepNext/>
      <w:spacing w:before="20" w:after="20"/>
    </w:pPr>
    <w:rPr>
      <w:rFonts w:ascii="Arial Narrow" w:hAnsi="Arial Narrow"/>
      <w:color w:val="000000"/>
      <w:sz w:val="20"/>
      <w:szCs w:val="21"/>
    </w:rPr>
  </w:style>
  <w:style w:type="character" w:customStyle="1" w:styleId="TableTextChar">
    <w:name w:val="TableText Char"/>
    <w:link w:val="TableText"/>
    <w:rsid w:val="00BB19D5"/>
    <w:rPr>
      <w:rFonts w:ascii="Arial Narrow" w:eastAsia="Times New Roman" w:hAnsi="Arial Narrow"/>
      <w:color w:val="000000"/>
      <w:sz w:val="20"/>
      <w:szCs w:val="21"/>
    </w:rPr>
  </w:style>
  <w:style w:type="paragraph" w:customStyle="1" w:styleId="Source">
    <w:name w:val="Source"/>
    <w:basedOn w:val="Normal"/>
    <w:next w:val="BodyText"/>
    <w:link w:val="SourceChar"/>
    <w:uiPriority w:val="16"/>
    <w:rsid w:val="00BB19D5"/>
    <w:pPr>
      <w:keepLines/>
      <w:spacing w:before="40" w:after="60" w:line="180" w:lineRule="atLeast"/>
    </w:pPr>
    <w:rPr>
      <w:rFonts w:ascii="Franklin Gothic Book" w:hAnsi="Franklin Gothic Book"/>
      <w:sz w:val="14"/>
      <w:szCs w:val="16"/>
      <w:lang w:eastAsia="en-US"/>
    </w:rPr>
  </w:style>
  <w:style w:type="character" w:customStyle="1" w:styleId="SourceChar">
    <w:name w:val="Source Char"/>
    <w:basedOn w:val="DefaultParagraphFont"/>
    <w:link w:val="Source"/>
    <w:uiPriority w:val="16"/>
    <w:locked/>
    <w:rsid w:val="00BB19D5"/>
    <w:rPr>
      <w:rFonts w:ascii="Franklin Gothic Book" w:eastAsia="Times New Roman" w:hAnsi="Franklin Gothic Book"/>
      <w:sz w:val="14"/>
      <w:szCs w:val="16"/>
      <w:lang w:eastAsia="en-US"/>
    </w:rPr>
  </w:style>
  <w:style w:type="paragraph" w:customStyle="1" w:styleId="Note">
    <w:name w:val="Note"/>
    <w:basedOn w:val="TableTextEntries"/>
    <w:next w:val="Source"/>
    <w:link w:val="NoteCharChar"/>
    <w:uiPriority w:val="15"/>
    <w:rsid w:val="00BB19D5"/>
    <w:pPr>
      <w:spacing w:before="40" w:after="0" w:line="180" w:lineRule="atLeast"/>
    </w:pPr>
    <w:rPr>
      <w:sz w:val="14"/>
      <w:szCs w:val="16"/>
    </w:rPr>
  </w:style>
  <w:style w:type="character" w:customStyle="1" w:styleId="NoteCharChar">
    <w:name w:val="Note Char Char"/>
    <w:link w:val="Note"/>
    <w:uiPriority w:val="15"/>
    <w:rsid w:val="00BB19D5"/>
    <w:rPr>
      <w:rFonts w:ascii="Franklin Gothic Book" w:eastAsia="Times New Roman" w:hAnsi="Franklin Gothic Book"/>
      <w:sz w:val="14"/>
      <w:szCs w:val="16"/>
      <w:lang w:eastAsia="en-US"/>
    </w:rPr>
  </w:style>
  <w:style w:type="paragraph" w:customStyle="1" w:styleId="TableFigNotes0">
    <w:name w:val="TableFigNotes+0"/>
    <w:basedOn w:val="Normal"/>
    <w:rsid w:val="00BB19D5"/>
    <w:pPr>
      <w:keepNext/>
      <w:keepLines/>
      <w:ind w:left="720"/>
    </w:pPr>
    <w:rPr>
      <w:rFonts w:ascii="Arial Narrow" w:hAnsi="Arial Narrow"/>
      <w:color w:val="000000"/>
      <w:sz w:val="18"/>
      <w:szCs w:val="18"/>
    </w:rPr>
  </w:style>
  <w:style w:type="numbering" w:customStyle="1" w:styleId="ListBullets">
    <w:name w:val="ListBullets"/>
    <w:uiPriority w:val="99"/>
    <w:rsid w:val="00BB19D5"/>
    <w:pPr>
      <w:numPr>
        <w:numId w:val="33"/>
      </w:numPr>
    </w:pPr>
  </w:style>
  <w:style w:type="paragraph" w:styleId="ListBullet3">
    <w:name w:val="List Bullet 3"/>
    <w:basedOn w:val="ListBullet2"/>
    <w:uiPriority w:val="2"/>
    <w:rsid w:val="00BB19D5"/>
    <w:pPr>
      <w:numPr>
        <w:ilvl w:val="2"/>
      </w:numPr>
      <w:tabs>
        <w:tab w:val="clear" w:pos="907"/>
        <w:tab w:val="num" w:pos="2160"/>
      </w:tabs>
      <w:ind w:left="2160" w:hanging="360"/>
    </w:pPr>
  </w:style>
  <w:style w:type="paragraph" w:styleId="ListBullet">
    <w:name w:val="List Bullet"/>
    <w:basedOn w:val="BodyText"/>
    <w:link w:val="ListBulletChar"/>
    <w:uiPriority w:val="2"/>
    <w:qFormat/>
    <w:rsid w:val="00BB19D5"/>
    <w:pPr>
      <w:numPr>
        <w:numId w:val="33"/>
      </w:numPr>
      <w:spacing w:before="70"/>
    </w:pPr>
  </w:style>
  <w:style w:type="paragraph" w:styleId="ListBullet2">
    <w:name w:val="List Bullet 2"/>
    <w:basedOn w:val="ListBullet"/>
    <w:uiPriority w:val="2"/>
    <w:rsid w:val="00BB19D5"/>
    <w:pPr>
      <w:numPr>
        <w:ilvl w:val="1"/>
      </w:numPr>
      <w:tabs>
        <w:tab w:val="clear" w:pos="567"/>
        <w:tab w:val="num" w:pos="1440"/>
      </w:tabs>
      <w:spacing w:before="40"/>
      <w:ind w:left="568" w:hanging="284"/>
    </w:pPr>
  </w:style>
  <w:style w:type="paragraph" w:customStyle="1" w:styleId="TableTextColumnHeading">
    <w:name w:val="Table Text Column Heading"/>
    <w:basedOn w:val="TableDataColumnHeading"/>
    <w:uiPriority w:val="13"/>
    <w:rsid w:val="00BB19D5"/>
    <w:pPr>
      <w:jc w:val="left"/>
    </w:pPr>
  </w:style>
  <w:style w:type="paragraph" w:customStyle="1" w:styleId="TableListBullet">
    <w:name w:val="Table List Bullet"/>
    <w:basedOn w:val="TableTextEntries"/>
    <w:uiPriority w:val="14"/>
    <w:rsid w:val="00BB19D5"/>
    <w:pPr>
      <w:numPr>
        <w:numId w:val="32"/>
      </w:numPr>
      <w:spacing w:line="210" w:lineRule="atLeast"/>
    </w:pPr>
    <w:rPr>
      <w:szCs w:val="19"/>
    </w:rPr>
  </w:style>
  <w:style w:type="paragraph" w:customStyle="1" w:styleId="TableListBullet2">
    <w:name w:val="Table List Bullet 2"/>
    <w:basedOn w:val="TableListBullet"/>
    <w:uiPriority w:val="14"/>
    <w:rsid w:val="00BB19D5"/>
    <w:pPr>
      <w:numPr>
        <w:ilvl w:val="1"/>
      </w:numPr>
    </w:pPr>
  </w:style>
  <w:style w:type="paragraph" w:customStyle="1" w:styleId="TableListNumber">
    <w:name w:val="Table List Number"/>
    <w:basedOn w:val="TableTextEntries"/>
    <w:uiPriority w:val="14"/>
    <w:rsid w:val="00BB19D5"/>
    <w:pPr>
      <w:numPr>
        <w:numId w:val="30"/>
      </w:numPr>
      <w:spacing w:before="40" w:after="40"/>
    </w:pPr>
    <w:rPr>
      <w:szCs w:val="19"/>
    </w:rPr>
  </w:style>
  <w:style w:type="paragraph" w:customStyle="1" w:styleId="TableListNumber2">
    <w:name w:val="Table List Number 2"/>
    <w:basedOn w:val="TableListNumber"/>
    <w:uiPriority w:val="14"/>
    <w:rsid w:val="00BB19D5"/>
    <w:pPr>
      <w:numPr>
        <w:ilvl w:val="1"/>
      </w:numPr>
    </w:pPr>
  </w:style>
  <w:style w:type="numbering" w:customStyle="1" w:styleId="TableListBullets">
    <w:name w:val="TableListBullets"/>
    <w:uiPriority w:val="99"/>
    <w:rsid w:val="00BB19D5"/>
    <w:pPr>
      <w:numPr>
        <w:numId w:val="31"/>
      </w:numPr>
    </w:pPr>
  </w:style>
  <w:style w:type="numbering" w:customStyle="1" w:styleId="TableListNumbers">
    <w:name w:val="TableListNumbers"/>
    <w:uiPriority w:val="99"/>
    <w:rsid w:val="00BB19D5"/>
    <w:pPr>
      <w:numPr>
        <w:numId w:val="30"/>
      </w:numPr>
    </w:pPr>
  </w:style>
  <w:style w:type="character" w:customStyle="1" w:styleId="ListBulletChar">
    <w:name w:val="List Bullet Char"/>
    <w:link w:val="ListBullet"/>
    <w:uiPriority w:val="2"/>
    <w:locked/>
    <w:rsid w:val="00BB19D5"/>
    <w:rPr>
      <w:rFonts w:asciiTheme="minorHAnsi" w:eastAsia="Times New Roman" w:hAnsiTheme="minorHAnsi"/>
      <w:sz w:val="21"/>
      <w:szCs w:val="21"/>
    </w:rPr>
  </w:style>
  <w:style w:type="table" w:styleId="TableGrid">
    <w:name w:val="Table Grid"/>
    <w:basedOn w:val="TableNormal"/>
    <w:locked/>
    <w:rsid w:val="000E3B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D14EAB"/>
    <w:rPr>
      <w:rFonts w:eastAsia="Times New Roman"/>
      <w:sz w:val="24"/>
      <w:szCs w:val="20"/>
    </w:rPr>
  </w:style>
  <w:style w:type="paragraph" w:styleId="EndnoteText">
    <w:name w:val="endnote text"/>
    <w:basedOn w:val="Normal"/>
    <w:link w:val="EndnoteTextChar"/>
    <w:uiPriority w:val="99"/>
    <w:semiHidden/>
    <w:unhideWhenUsed/>
    <w:rsid w:val="00471DF6"/>
    <w:rPr>
      <w:sz w:val="20"/>
    </w:rPr>
  </w:style>
  <w:style w:type="character" w:customStyle="1" w:styleId="EndnoteTextChar">
    <w:name w:val="Endnote Text Char"/>
    <w:basedOn w:val="DefaultParagraphFont"/>
    <w:link w:val="EndnoteText"/>
    <w:uiPriority w:val="99"/>
    <w:semiHidden/>
    <w:rsid w:val="00471DF6"/>
    <w:rPr>
      <w:rFonts w:eastAsia="Times New Roman"/>
      <w:sz w:val="20"/>
      <w:szCs w:val="20"/>
    </w:rPr>
  </w:style>
  <w:style w:type="character" w:styleId="EndnoteReference">
    <w:name w:val="endnote reference"/>
    <w:basedOn w:val="DefaultParagraphFont"/>
    <w:uiPriority w:val="99"/>
    <w:semiHidden/>
    <w:unhideWhenUsed/>
    <w:rsid w:val="00471DF6"/>
    <w:rPr>
      <w:vertAlign w:val="superscript"/>
    </w:rPr>
  </w:style>
  <w:style w:type="paragraph" w:styleId="Title">
    <w:name w:val="Title"/>
    <w:basedOn w:val="Normal"/>
    <w:next w:val="Normal"/>
    <w:link w:val="TitleChar"/>
    <w:qFormat/>
    <w:locked/>
    <w:rsid w:val="003F5DD6"/>
    <w:pPr>
      <w:pBdr>
        <w:bottom w:val="single" w:sz="8" w:space="4" w:color="4F81BD" w:themeColor="accent1"/>
      </w:pBdr>
      <w:spacing w:after="300"/>
      <w:contextualSpacing/>
      <w:jc w:val="center"/>
    </w:pPr>
    <w:rPr>
      <w:rFonts w:ascii="Arial" w:eastAsiaTheme="majorEastAsia" w:hAnsi="Arial" w:cstheme="majorBidi"/>
      <w:b/>
      <w:kern w:val="28"/>
      <w:sz w:val="32"/>
      <w:szCs w:val="52"/>
      <w:lang w:eastAsia="en-US"/>
    </w:rPr>
  </w:style>
  <w:style w:type="character" w:customStyle="1" w:styleId="TitleChar">
    <w:name w:val="Title Char"/>
    <w:basedOn w:val="DefaultParagraphFont"/>
    <w:link w:val="Title"/>
    <w:rsid w:val="003F5DD6"/>
    <w:rPr>
      <w:rFonts w:ascii="Arial" w:eastAsiaTheme="majorEastAsia" w:hAnsi="Arial" w:cstheme="majorBidi"/>
      <w:b/>
      <w:kern w:val="28"/>
      <w:sz w:val="32"/>
      <w:szCs w:val="52"/>
      <w:lang w:eastAsia="en-US"/>
    </w:rPr>
  </w:style>
  <w:style w:type="character" w:styleId="IntenseReference">
    <w:name w:val="Intense Reference"/>
    <w:basedOn w:val="DefaultParagraphFont"/>
    <w:uiPriority w:val="32"/>
    <w:qFormat/>
    <w:rsid w:val="003F5DD6"/>
    <w:rPr>
      <w:b/>
      <w:bCs/>
      <w:i/>
      <w:smallCaps/>
      <w:color w:val="C0504D" w:themeColor="accent2"/>
      <w:spacing w:val="5"/>
      <w:u w:val="none"/>
    </w:rPr>
  </w:style>
  <w:style w:type="character" w:customStyle="1" w:styleId="textitem">
    <w:name w:val="textitem"/>
    <w:basedOn w:val="DefaultParagraphFont"/>
    <w:rsid w:val="004E015F"/>
  </w:style>
  <w:style w:type="character" w:styleId="Strong">
    <w:name w:val="Strong"/>
    <w:basedOn w:val="DefaultParagraphFont"/>
    <w:qFormat/>
    <w:locked/>
    <w:rsid w:val="00041E4A"/>
    <w:rPr>
      <w:b/>
      <w:bCs/>
    </w:rPr>
  </w:style>
  <w:style w:type="character" w:customStyle="1" w:styleId="Heading3Char">
    <w:name w:val="Heading 3 Char"/>
    <w:basedOn w:val="DefaultParagraphFont"/>
    <w:link w:val="Heading3"/>
    <w:rsid w:val="00FC1420"/>
    <w:rPr>
      <w:rFonts w:eastAsiaTheme="majorEastAsia" w:cstheme="majorBidi"/>
      <w:b/>
      <w:bCs/>
      <w:sz w:val="18"/>
      <w:szCs w:val="20"/>
    </w:rPr>
  </w:style>
  <w:style w:type="paragraph" w:customStyle="1" w:styleId="ListBullet1">
    <w:name w:val="List Bullet1"/>
    <w:basedOn w:val="Normal"/>
    <w:uiPriority w:val="5"/>
    <w:qFormat/>
    <w:rsid w:val="005D244F"/>
    <w:pPr>
      <w:numPr>
        <w:numId w:val="43"/>
      </w:numPr>
      <w:shd w:val="clear" w:color="auto" w:fill="FFFFFF" w:themeFill="background1"/>
      <w:spacing w:before="120" w:after="120" w:line="260" w:lineRule="exact"/>
      <w:contextualSpacing/>
    </w:pPr>
    <w:rPr>
      <w:rFonts w:ascii="Arial" w:hAnsi="Arial" w:cs="Arial"/>
      <w:sz w:val="20"/>
      <w:szCs w:val="24"/>
    </w:rPr>
  </w:style>
  <w:style w:type="character" w:styleId="FollowedHyperlink">
    <w:name w:val="FollowedHyperlink"/>
    <w:basedOn w:val="DefaultParagraphFont"/>
    <w:uiPriority w:val="99"/>
    <w:semiHidden/>
    <w:unhideWhenUsed/>
    <w:rsid w:val="0016792F"/>
    <w:rPr>
      <w:color w:val="800080" w:themeColor="followedHyperlink"/>
      <w:u w:val="single"/>
    </w:rPr>
  </w:style>
  <w:style w:type="table" w:customStyle="1" w:styleId="Summarybox1">
    <w:name w:val="Summary box1"/>
    <w:basedOn w:val="TableNormal"/>
    <w:next w:val="TableGrid"/>
    <w:uiPriority w:val="59"/>
    <w:rsid w:val="00C0633C"/>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ummarybox2">
    <w:name w:val="Summary box2"/>
    <w:basedOn w:val="TableNormal"/>
    <w:next w:val="TableGrid"/>
    <w:uiPriority w:val="59"/>
    <w:rsid w:val="00C0633C"/>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2">
    <w:name w:val="Light Shading Accent 2"/>
    <w:basedOn w:val="TableNormal"/>
    <w:uiPriority w:val="60"/>
    <w:rsid w:val="00A266CF"/>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List-Accent1">
    <w:name w:val="Light List Accent 1"/>
    <w:basedOn w:val="TableNormal"/>
    <w:uiPriority w:val="61"/>
    <w:rsid w:val="00A266CF"/>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List Bullet" w:uiPriority="2" w:qFormat="1"/>
    <w:lsdException w:name="List Bullet 2" w:uiPriority="2"/>
    <w:lsdException w:name="List Bullet 3" w:uiPriority="2"/>
    <w:lsdException w:name="Title" w:locked="1" w:semiHidden="0" w:uiPriority="0" w:unhideWhenUsed="0" w:qFormat="1"/>
    <w:lsdException w:name="Default Paragraph Font" w:locked="1" w:semiHidden="0" w:uiPriority="0" w:unhideWhenUsed="0"/>
    <w:lsdException w:name="Body Text" w:uiPriority="2" w:qFormat="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623"/>
    <w:rPr>
      <w:rFonts w:eastAsia="Times New Roman"/>
      <w:sz w:val="24"/>
      <w:szCs w:val="20"/>
    </w:rPr>
  </w:style>
  <w:style w:type="paragraph" w:styleId="Heading1">
    <w:name w:val="heading 1"/>
    <w:basedOn w:val="Normal"/>
    <w:next w:val="Normal"/>
    <w:link w:val="Heading1Char"/>
    <w:uiPriority w:val="99"/>
    <w:qFormat/>
    <w:rsid w:val="008D5885"/>
    <w:pPr>
      <w:keepNext/>
      <w:keepLines/>
      <w:outlineLvl w:val="0"/>
    </w:pPr>
    <w:rPr>
      <w:rFonts w:ascii="Arial" w:hAnsi="Arial"/>
      <w:b/>
      <w:bCs/>
      <w:szCs w:val="28"/>
    </w:rPr>
  </w:style>
  <w:style w:type="paragraph" w:styleId="Heading2">
    <w:name w:val="heading 2"/>
    <w:basedOn w:val="Normal"/>
    <w:next w:val="Normal"/>
    <w:link w:val="Heading2Char"/>
    <w:unhideWhenUsed/>
    <w:qFormat/>
    <w:locked/>
    <w:rsid w:val="004E015F"/>
    <w:pPr>
      <w:keepNext/>
      <w:keepLines/>
      <w:spacing w:before="200"/>
      <w:outlineLvl w:val="1"/>
    </w:pPr>
    <w:rPr>
      <w:rFonts w:asciiTheme="majorHAnsi" w:eastAsiaTheme="majorEastAsia" w:hAnsiTheme="majorHAnsi" w:cstheme="majorBidi"/>
      <w:b/>
      <w:bCs/>
      <w:szCs w:val="26"/>
    </w:rPr>
  </w:style>
  <w:style w:type="paragraph" w:styleId="Heading3">
    <w:name w:val="heading 3"/>
    <w:basedOn w:val="Normal"/>
    <w:next w:val="Normal"/>
    <w:link w:val="Heading3Char"/>
    <w:unhideWhenUsed/>
    <w:qFormat/>
    <w:locked/>
    <w:rsid w:val="00FC1420"/>
    <w:pPr>
      <w:keepNext/>
      <w:keepLines/>
      <w:spacing w:before="200"/>
      <w:outlineLvl w:val="2"/>
    </w:pPr>
    <w:rPr>
      <w:rFonts w:eastAsiaTheme="majorEastAsia" w:cstheme="majorBidi"/>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D5885"/>
    <w:rPr>
      <w:rFonts w:ascii="Arial" w:eastAsia="Times New Roman" w:hAnsi="Arial"/>
      <w:b/>
      <w:bCs/>
      <w:sz w:val="24"/>
      <w:szCs w:val="28"/>
    </w:rPr>
  </w:style>
  <w:style w:type="character" w:styleId="Hyperlink">
    <w:name w:val="Hyperlink"/>
    <w:basedOn w:val="DefaultParagraphFont"/>
    <w:uiPriority w:val="99"/>
    <w:rsid w:val="00065623"/>
    <w:rPr>
      <w:rFonts w:cs="Times New Roman"/>
      <w:color w:val="0000FF"/>
      <w:u w:val="single"/>
    </w:rPr>
  </w:style>
  <w:style w:type="paragraph" w:styleId="FootnoteText">
    <w:name w:val="footnote text"/>
    <w:basedOn w:val="Normal"/>
    <w:link w:val="FootnoteTextChar"/>
    <w:rsid w:val="00065623"/>
    <w:rPr>
      <w:sz w:val="20"/>
    </w:rPr>
  </w:style>
  <w:style w:type="character" w:customStyle="1" w:styleId="FootnoteTextChar">
    <w:name w:val="Footnote Text Char"/>
    <w:basedOn w:val="DefaultParagraphFont"/>
    <w:link w:val="FootnoteText"/>
    <w:locked/>
    <w:rsid w:val="00065623"/>
    <w:rPr>
      <w:rFonts w:eastAsia="Times New Roman" w:cs="Times New Roman"/>
      <w:sz w:val="20"/>
      <w:szCs w:val="20"/>
      <w:lang w:eastAsia="en-AU"/>
    </w:rPr>
  </w:style>
  <w:style w:type="character" w:styleId="FootnoteReference">
    <w:name w:val="footnote reference"/>
    <w:basedOn w:val="DefaultParagraphFont"/>
    <w:rsid w:val="00065623"/>
    <w:rPr>
      <w:rFonts w:cs="Times New Roman"/>
      <w:vertAlign w:val="superscript"/>
    </w:rPr>
  </w:style>
  <w:style w:type="paragraph" w:styleId="ListParagraph">
    <w:name w:val="List Paragraph"/>
    <w:basedOn w:val="Normal"/>
    <w:link w:val="ListParagraphChar"/>
    <w:uiPriority w:val="34"/>
    <w:qFormat/>
    <w:rsid w:val="00065623"/>
    <w:pPr>
      <w:ind w:left="720"/>
      <w:contextualSpacing/>
    </w:pPr>
  </w:style>
  <w:style w:type="paragraph" w:styleId="BalloonText">
    <w:name w:val="Balloon Text"/>
    <w:basedOn w:val="Normal"/>
    <w:link w:val="BalloonTextChar"/>
    <w:uiPriority w:val="99"/>
    <w:semiHidden/>
    <w:rsid w:val="000656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5623"/>
    <w:rPr>
      <w:rFonts w:ascii="Tahoma" w:hAnsi="Tahoma" w:cs="Tahoma"/>
      <w:sz w:val="16"/>
      <w:szCs w:val="16"/>
      <w:lang w:eastAsia="en-AU"/>
    </w:rPr>
  </w:style>
  <w:style w:type="paragraph" w:styleId="Header">
    <w:name w:val="header"/>
    <w:basedOn w:val="Normal"/>
    <w:link w:val="HeaderChar"/>
    <w:uiPriority w:val="99"/>
    <w:rsid w:val="00707064"/>
    <w:pPr>
      <w:tabs>
        <w:tab w:val="center" w:pos="4513"/>
        <w:tab w:val="right" w:pos="9026"/>
      </w:tabs>
    </w:pPr>
  </w:style>
  <w:style w:type="character" w:customStyle="1" w:styleId="HeaderChar">
    <w:name w:val="Header Char"/>
    <w:basedOn w:val="DefaultParagraphFont"/>
    <w:link w:val="Header"/>
    <w:uiPriority w:val="99"/>
    <w:locked/>
    <w:rsid w:val="00707064"/>
    <w:rPr>
      <w:rFonts w:eastAsia="Times New Roman" w:cs="Times New Roman"/>
      <w:sz w:val="20"/>
      <w:szCs w:val="20"/>
      <w:lang w:eastAsia="en-AU"/>
    </w:rPr>
  </w:style>
  <w:style w:type="paragraph" w:styleId="Footer">
    <w:name w:val="footer"/>
    <w:basedOn w:val="Normal"/>
    <w:link w:val="FooterChar"/>
    <w:uiPriority w:val="99"/>
    <w:rsid w:val="00707064"/>
    <w:pPr>
      <w:tabs>
        <w:tab w:val="center" w:pos="4513"/>
        <w:tab w:val="right" w:pos="9026"/>
      </w:tabs>
    </w:pPr>
  </w:style>
  <w:style w:type="character" w:customStyle="1" w:styleId="FooterChar">
    <w:name w:val="Footer Char"/>
    <w:basedOn w:val="DefaultParagraphFont"/>
    <w:link w:val="Footer"/>
    <w:uiPriority w:val="99"/>
    <w:locked/>
    <w:rsid w:val="00707064"/>
    <w:rPr>
      <w:rFonts w:eastAsia="Times New Roman" w:cs="Times New Roman"/>
      <w:sz w:val="20"/>
      <w:szCs w:val="20"/>
      <w:lang w:eastAsia="en-AU"/>
    </w:rPr>
  </w:style>
  <w:style w:type="character" w:styleId="CommentReference">
    <w:name w:val="annotation reference"/>
    <w:basedOn w:val="DefaultParagraphFont"/>
    <w:uiPriority w:val="99"/>
    <w:semiHidden/>
    <w:rsid w:val="00974A50"/>
    <w:rPr>
      <w:rFonts w:cs="Times New Roman"/>
      <w:sz w:val="16"/>
      <w:szCs w:val="16"/>
    </w:rPr>
  </w:style>
  <w:style w:type="paragraph" w:styleId="CommentText">
    <w:name w:val="annotation text"/>
    <w:basedOn w:val="Normal"/>
    <w:link w:val="CommentTextChar"/>
    <w:uiPriority w:val="99"/>
    <w:semiHidden/>
    <w:rsid w:val="00974A50"/>
    <w:rPr>
      <w:sz w:val="20"/>
    </w:rPr>
  </w:style>
  <w:style w:type="character" w:customStyle="1" w:styleId="CommentTextChar">
    <w:name w:val="Comment Text Char"/>
    <w:basedOn w:val="DefaultParagraphFont"/>
    <w:link w:val="CommentText"/>
    <w:uiPriority w:val="99"/>
    <w:semiHidden/>
    <w:locked/>
    <w:rsid w:val="00974A50"/>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974A50"/>
    <w:rPr>
      <w:b/>
      <w:bCs/>
    </w:rPr>
  </w:style>
  <w:style w:type="character" w:customStyle="1" w:styleId="CommentSubjectChar">
    <w:name w:val="Comment Subject Char"/>
    <w:basedOn w:val="CommentTextChar"/>
    <w:link w:val="CommentSubject"/>
    <w:uiPriority w:val="99"/>
    <w:semiHidden/>
    <w:locked/>
    <w:rsid w:val="00974A50"/>
    <w:rPr>
      <w:rFonts w:eastAsia="Times New Roman" w:cs="Times New Roman"/>
      <w:b/>
      <w:bCs/>
      <w:sz w:val="20"/>
      <w:szCs w:val="20"/>
      <w:lang w:eastAsia="en-AU"/>
    </w:rPr>
  </w:style>
  <w:style w:type="paragraph" w:customStyle="1" w:styleId="Default">
    <w:name w:val="Default"/>
    <w:rsid w:val="00E50016"/>
    <w:pPr>
      <w:autoSpaceDE w:val="0"/>
      <w:autoSpaceDN w:val="0"/>
      <w:adjustRightInd w:val="0"/>
    </w:pPr>
    <w:rPr>
      <w:color w:val="000000"/>
      <w:sz w:val="24"/>
      <w:szCs w:val="24"/>
      <w:lang w:eastAsia="en-US"/>
    </w:rPr>
  </w:style>
  <w:style w:type="character" w:customStyle="1" w:styleId="Heading2Char">
    <w:name w:val="Heading 2 Char"/>
    <w:basedOn w:val="DefaultParagraphFont"/>
    <w:link w:val="Heading2"/>
    <w:rsid w:val="004E015F"/>
    <w:rPr>
      <w:rFonts w:asciiTheme="majorHAnsi" w:eastAsiaTheme="majorEastAsia" w:hAnsiTheme="majorHAnsi" w:cstheme="majorBidi"/>
      <w:b/>
      <w:bCs/>
      <w:sz w:val="24"/>
      <w:szCs w:val="26"/>
    </w:rPr>
  </w:style>
  <w:style w:type="paragraph" w:customStyle="1" w:styleId="TableDataEntries">
    <w:name w:val="Table Data Entries"/>
    <w:basedOn w:val="Normal"/>
    <w:uiPriority w:val="11"/>
    <w:rsid w:val="00DB66AD"/>
    <w:pPr>
      <w:keepLines/>
      <w:spacing w:before="40" w:after="40" w:line="200" w:lineRule="atLeast"/>
      <w:jc w:val="right"/>
    </w:pPr>
    <w:rPr>
      <w:rFonts w:ascii="Franklin Gothic Book" w:hAnsi="Franklin Gothic Book"/>
      <w:sz w:val="16"/>
      <w:szCs w:val="18"/>
      <w:lang w:eastAsia="en-US"/>
    </w:rPr>
  </w:style>
  <w:style w:type="paragraph" w:customStyle="1" w:styleId="TableDataColumnHeading">
    <w:name w:val="Table Data Column Heading"/>
    <w:basedOn w:val="TableDataEntries"/>
    <w:uiPriority w:val="11"/>
    <w:rsid w:val="00DB66AD"/>
    <w:pPr>
      <w:keepNext/>
      <w:spacing w:before="80" w:after="80"/>
    </w:pPr>
    <w:rPr>
      <w:rFonts w:ascii="Franklin Gothic Demi" w:hAnsi="Franklin Gothic Demi"/>
      <w:color w:val="FFFFFF"/>
    </w:rPr>
  </w:style>
  <w:style w:type="paragraph" w:customStyle="1" w:styleId="TableUnit">
    <w:name w:val="Table Unit"/>
    <w:basedOn w:val="TableDataColumnHeading"/>
    <w:next w:val="TableDataEntries"/>
    <w:uiPriority w:val="11"/>
    <w:rsid w:val="00DB66AD"/>
    <w:rPr>
      <w:rFonts w:ascii="Franklin Gothic Book" w:hAnsi="Franklin Gothic Book"/>
      <w:color w:val="auto"/>
      <w:szCs w:val="17"/>
    </w:rPr>
  </w:style>
  <w:style w:type="paragraph" w:customStyle="1" w:styleId="ChartText">
    <w:name w:val="Chart Text"/>
    <w:basedOn w:val="Normal"/>
    <w:link w:val="ChartTextChar"/>
    <w:uiPriority w:val="23"/>
    <w:rsid w:val="000B6956"/>
    <w:pPr>
      <w:keepLines/>
      <w:spacing w:after="80" w:line="200" w:lineRule="atLeast"/>
    </w:pPr>
    <w:rPr>
      <w:rFonts w:ascii="Franklin Gothic Medium" w:hAnsi="Franklin Gothic Medium"/>
      <w:sz w:val="16"/>
      <w:szCs w:val="18"/>
      <w:lang w:eastAsia="en-US"/>
    </w:rPr>
  </w:style>
  <w:style w:type="character" w:customStyle="1" w:styleId="ChartTextChar">
    <w:name w:val="Chart Text Char"/>
    <w:link w:val="ChartText"/>
    <w:uiPriority w:val="23"/>
    <w:rsid w:val="000B6956"/>
    <w:rPr>
      <w:rFonts w:ascii="Franklin Gothic Medium" w:eastAsia="Times New Roman" w:hAnsi="Franklin Gothic Medium"/>
      <w:sz w:val="16"/>
      <w:szCs w:val="18"/>
      <w:lang w:eastAsia="en-US"/>
    </w:rPr>
  </w:style>
  <w:style w:type="paragraph" w:styleId="Caption">
    <w:name w:val="caption"/>
    <w:aliases w:val="Bayer Caption,IB Caption,Medical Caption,CSR Caption,Table and Figure Name,Table and Figure name,Caption Char2 Char,Caption Char Char Char2,Caption Char1 Char Char Char1,Caption Char2 Char Char Char1 Char1,Caption Char1 Char Char"/>
    <w:basedOn w:val="Normal"/>
    <w:next w:val="Normal"/>
    <w:link w:val="CaptionChar"/>
    <w:unhideWhenUsed/>
    <w:qFormat/>
    <w:locked/>
    <w:rsid w:val="00BB19D5"/>
    <w:pPr>
      <w:keepNext/>
      <w:jc w:val="both"/>
      <w:outlineLvl w:val="4"/>
    </w:pPr>
    <w:rPr>
      <w:rFonts w:ascii="Arial Narrow" w:hAnsi="Arial Narrow" w:cs="Arial"/>
      <w:b/>
      <w:bCs/>
      <w:iCs/>
      <w:sz w:val="20"/>
      <w:lang w:eastAsia="en-US"/>
    </w:rPr>
  </w:style>
  <w:style w:type="character" w:customStyle="1" w:styleId="CaptionChar">
    <w:name w:val="Caption Char"/>
    <w:aliases w:val="Bayer Caption Char,IB Caption Char,Medical Caption Char,CSR Caption Char,Table and Figure Name Char,Table and Figure name Char,Caption Char2 Char Char,Caption Char Char Char2 Char,Caption Char1 Char Char Char1 Char"/>
    <w:basedOn w:val="DefaultParagraphFont"/>
    <w:link w:val="Caption"/>
    <w:rsid w:val="00BB19D5"/>
    <w:rPr>
      <w:rFonts w:ascii="Arial Narrow" w:eastAsia="Times New Roman" w:hAnsi="Arial Narrow" w:cs="Arial"/>
      <w:b/>
      <w:bCs/>
      <w:iCs/>
      <w:sz w:val="20"/>
      <w:szCs w:val="20"/>
      <w:lang w:eastAsia="en-US"/>
    </w:rPr>
  </w:style>
  <w:style w:type="paragraph" w:styleId="BodyText">
    <w:name w:val="Body Text"/>
    <w:basedOn w:val="Normal"/>
    <w:link w:val="BodyTextChar"/>
    <w:uiPriority w:val="2"/>
    <w:qFormat/>
    <w:rsid w:val="00BB19D5"/>
    <w:pPr>
      <w:spacing w:before="140" w:line="280" w:lineRule="atLeast"/>
    </w:pPr>
    <w:rPr>
      <w:rFonts w:asciiTheme="minorHAnsi" w:hAnsiTheme="minorHAnsi"/>
      <w:sz w:val="21"/>
      <w:szCs w:val="21"/>
    </w:rPr>
  </w:style>
  <w:style w:type="character" w:customStyle="1" w:styleId="BodyTextChar">
    <w:name w:val="Body Text Char"/>
    <w:basedOn w:val="DefaultParagraphFont"/>
    <w:link w:val="BodyText"/>
    <w:uiPriority w:val="2"/>
    <w:rsid w:val="00BB19D5"/>
    <w:rPr>
      <w:rFonts w:asciiTheme="minorHAnsi" w:eastAsia="Times New Roman" w:hAnsiTheme="minorHAnsi"/>
      <w:sz w:val="21"/>
      <w:szCs w:val="21"/>
    </w:rPr>
  </w:style>
  <w:style w:type="paragraph" w:customStyle="1" w:styleId="TableTextEntries">
    <w:name w:val="Table Text Entries"/>
    <w:basedOn w:val="BodyText"/>
    <w:uiPriority w:val="13"/>
    <w:rsid w:val="00BB19D5"/>
    <w:pPr>
      <w:keepLines/>
      <w:spacing w:before="80" w:after="80" w:line="200" w:lineRule="atLeast"/>
    </w:pPr>
    <w:rPr>
      <w:rFonts w:ascii="Franklin Gothic Book" w:hAnsi="Franklin Gothic Book"/>
      <w:sz w:val="16"/>
      <w:szCs w:val="18"/>
      <w:lang w:eastAsia="en-US"/>
    </w:rPr>
  </w:style>
  <w:style w:type="character" w:customStyle="1" w:styleId="NoteLabel">
    <w:name w:val="Note Label"/>
    <w:uiPriority w:val="15"/>
    <w:rsid w:val="00BB19D5"/>
    <w:rPr>
      <w:rFonts w:ascii="Franklin Gothic Demi" w:hAnsi="Franklin Gothic Demi"/>
      <w:b w:val="0"/>
      <w:i w:val="0"/>
      <w:color w:val="8064A2" w:themeColor="accent4"/>
      <w:position w:val="4"/>
      <w:sz w:val="14"/>
      <w:szCs w:val="16"/>
    </w:rPr>
  </w:style>
  <w:style w:type="paragraph" w:customStyle="1" w:styleId="TableText">
    <w:name w:val="TableText"/>
    <w:basedOn w:val="Normal"/>
    <w:link w:val="TableTextChar"/>
    <w:rsid w:val="00BB19D5"/>
    <w:pPr>
      <w:keepNext/>
      <w:spacing w:before="20" w:after="20"/>
    </w:pPr>
    <w:rPr>
      <w:rFonts w:ascii="Arial Narrow" w:hAnsi="Arial Narrow"/>
      <w:color w:val="000000"/>
      <w:sz w:val="20"/>
      <w:szCs w:val="21"/>
    </w:rPr>
  </w:style>
  <w:style w:type="character" w:customStyle="1" w:styleId="TableTextChar">
    <w:name w:val="TableText Char"/>
    <w:link w:val="TableText"/>
    <w:rsid w:val="00BB19D5"/>
    <w:rPr>
      <w:rFonts w:ascii="Arial Narrow" w:eastAsia="Times New Roman" w:hAnsi="Arial Narrow"/>
      <w:color w:val="000000"/>
      <w:sz w:val="20"/>
      <w:szCs w:val="21"/>
    </w:rPr>
  </w:style>
  <w:style w:type="paragraph" w:customStyle="1" w:styleId="Source">
    <w:name w:val="Source"/>
    <w:basedOn w:val="Normal"/>
    <w:next w:val="BodyText"/>
    <w:link w:val="SourceChar"/>
    <w:uiPriority w:val="16"/>
    <w:rsid w:val="00BB19D5"/>
    <w:pPr>
      <w:keepLines/>
      <w:spacing w:before="40" w:after="60" w:line="180" w:lineRule="atLeast"/>
    </w:pPr>
    <w:rPr>
      <w:rFonts w:ascii="Franklin Gothic Book" w:hAnsi="Franklin Gothic Book"/>
      <w:sz w:val="14"/>
      <w:szCs w:val="16"/>
      <w:lang w:eastAsia="en-US"/>
    </w:rPr>
  </w:style>
  <w:style w:type="character" w:customStyle="1" w:styleId="SourceChar">
    <w:name w:val="Source Char"/>
    <w:basedOn w:val="DefaultParagraphFont"/>
    <w:link w:val="Source"/>
    <w:uiPriority w:val="16"/>
    <w:locked/>
    <w:rsid w:val="00BB19D5"/>
    <w:rPr>
      <w:rFonts w:ascii="Franklin Gothic Book" w:eastAsia="Times New Roman" w:hAnsi="Franklin Gothic Book"/>
      <w:sz w:val="14"/>
      <w:szCs w:val="16"/>
      <w:lang w:eastAsia="en-US"/>
    </w:rPr>
  </w:style>
  <w:style w:type="paragraph" w:customStyle="1" w:styleId="Note">
    <w:name w:val="Note"/>
    <w:basedOn w:val="TableTextEntries"/>
    <w:next w:val="Source"/>
    <w:link w:val="NoteCharChar"/>
    <w:uiPriority w:val="15"/>
    <w:rsid w:val="00BB19D5"/>
    <w:pPr>
      <w:spacing w:before="40" w:after="0" w:line="180" w:lineRule="atLeast"/>
    </w:pPr>
    <w:rPr>
      <w:sz w:val="14"/>
      <w:szCs w:val="16"/>
    </w:rPr>
  </w:style>
  <w:style w:type="character" w:customStyle="1" w:styleId="NoteCharChar">
    <w:name w:val="Note Char Char"/>
    <w:link w:val="Note"/>
    <w:uiPriority w:val="15"/>
    <w:rsid w:val="00BB19D5"/>
    <w:rPr>
      <w:rFonts w:ascii="Franklin Gothic Book" w:eastAsia="Times New Roman" w:hAnsi="Franklin Gothic Book"/>
      <w:sz w:val="14"/>
      <w:szCs w:val="16"/>
      <w:lang w:eastAsia="en-US"/>
    </w:rPr>
  </w:style>
  <w:style w:type="paragraph" w:customStyle="1" w:styleId="TableFigNotes0">
    <w:name w:val="TableFigNotes+0"/>
    <w:basedOn w:val="Normal"/>
    <w:rsid w:val="00BB19D5"/>
    <w:pPr>
      <w:keepNext/>
      <w:keepLines/>
      <w:ind w:left="720"/>
    </w:pPr>
    <w:rPr>
      <w:rFonts w:ascii="Arial Narrow" w:hAnsi="Arial Narrow"/>
      <w:color w:val="000000"/>
      <w:sz w:val="18"/>
      <w:szCs w:val="18"/>
    </w:rPr>
  </w:style>
  <w:style w:type="numbering" w:customStyle="1" w:styleId="ListBullets">
    <w:name w:val="ListBullets"/>
    <w:uiPriority w:val="99"/>
    <w:rsid w:val="00BB19D5"/>
    <w:pPr>
      <w:numPr>
        <w:numId w:val="33"/>
      </w:numPr>
    </w:pPr>
  </w:style>
  <w:style w:type="paragraph" w:styleId="ListBullet3">
    <w:name w:val="List Bullet 3"/>
    <w:basedOn w:val="ListBullet2"/>
    <w:uiPriority w:val="2"/>
    <w:rsid w:val="00BB19D5"/>
    <w:pPr>
      <w:numPr>
        <w:ilvl w:val="2"/>
      </w:numPr>
      <w:tabs>
        <w:tab w:val="clear" w:pos="907"/>
        <w:tab w:val="num" w:pos="2160"/>
      </w:tabs>
      <w:ind w:left="2160" w:hanging="360"/>
    </w:pPr>
  </w:style>
  <w:style w:type="paragraph" w:styleId="ListBullet">
    <w:name w:val="List Bullet"/>
    <w:basedOn w:val="BodyText"/>
    <w:link w:val="ListBulletChar"/>
    <w:uiPriority w:val="2"/>
    <w:qFormat/>
    <w:rsid w:val="00BB19D5"/>
    <w:pPr>
      <w:numPr>
        <w:numId w:val="33"/>
      </w:numPr>
      <w:spacing w:before="70"/>
    </w:pPr>
  </w:style>
  <w:style w:type="paragraph" w:styleId="ListBullet2">
    <w:name w:val="List Bullet 2"/>
    <w:basedOn w:val="ListBullet"/>
    <w:uiPriority w:val="2"/>
    <w:rsid w:val="00BB19D5"/>
    <w:pPr>
      <w:numPr>
        <w:ilvl w:val="1"/>
      </w:numPr>
      <w:tabs>
        <w:tab w:val="clear" w:pos="567"/>
        <w:tab w:val="num" w:pos="1440"/>
      </w:tabs>
      <w:spacing w:before="40"/>
      <w:ind w:left="568" w:hanging="284"/>
    </w:pPr>
  </w:style>
  <w:style w:type="paragraph" w:customStyle="1" w:styleId="TableTextColumnHeading">
    <w:name w:val="Table Text Column Heading"/>
    <w:basedOn w:val="TableDataColumnHeading"/>
    <w:uiPriority w:val="13"/>
    <w:rsid w:val="00BB19D5"/>
    <w:pPr>
      <w:jc w:val="left"/>
    </w:pPr>
  </w:style>
  <w:style w:type="paragraph" w:customStyle="1" w:styleId="TableListBullet">
    <w:name w:val="Table List Bullet"/>
    <w:basedOn w:val="TableTextEntries"/>
    <w:uiPriority w:val="14"/>
    <w:rsid w:val="00BB19D5"/>
    <w:pPr>
      <w:numPr>
        <w:numId w:val="32"/>
      </w:numPr>
      <w:spacing w:line="210" w:lineRule="atLeast"/>
    </w:pPr>
    <w:rPr>
      <w:szCs w:val="19"/>
    </w:rPr>
  </w:style>
  <w:style w:type="paragraph" w:customStyle="1" w:styleId="TableListBullet2">
    <w:name w:val="Table List Bullet 2"/>
    <w:basedOn w:val="TableListBullet"/>
    <w:uiPriority w:val="14"/>
    <w:rsid w:val="00BB19D5"/>
    <w:pPr>
      <w:numPr>
        <w:ilvl w:val="1"/>
      </w:numPr>
    </w:pPr>
  </w:style>
  <w:style w:type="paragraph" w:customStyle="1" w:styleId="TableListNumber">
    <w:name w:val="Table List Number"/>
    <w:basedOn w:val="TableTextEntries"/>
    <w:uiPriority w:val="14"/>
    <w:rsid w:val="00BB19D5"/>
    <w:pPr>
      <w:numPr>
        <w:numId w:val="30"/>
      </w:numPr>
      <w:spacing w:before="40" w:after="40"/>
    </w:pPr>
    <w:rPr>
      <w:szCs w:val="19"/>
    </w:rPr>
  </w:style>
  <w:style w:type="paragraph" w:customStyle="1" w:styleId="TableListNumber2">
    <w:name w:val="Table List Number 2"/>
    <w:basedOn w:val="TableListNumber"/>
    <w:uiPriority w:val="14"/>
    <w:rsid w:val="00BB19D5"/>
    <w:pPr>
      <w:numPr>
        <w:ilvl w:val="1"/>
      </w:numPr>
    </w:pPr>
  </w:style>
  <w:style w:type="numbering" w:customStyle="1" w:styleId="TableListBullets">
    <w:name w:val="TableListBullets"/>
    <w:uiPriority w:val="99"/>
    <w:rsid w:val="00BB19D5"/>
    <w:pPr>
      <w:numPr>
        <w:numId w:val="31"/>
      </w:numPr>
    </w:pPr>
  </w:style>
  <w:style w:type="numbering" w:customStyle="1" w:styleId="TableListNumbers">
    <w:name w:val="TableListNumbers"/>
    <w:uiPriority w:val="99"/>
    <w:rsid w:val="00BB19D5"/>
    <w:pPr>
      <w:numPr>
        <w:numId w:val="30"/>
      </w:numPr>
    </w:pPr>
  </w:style>
  <w:style w:type="character" w:customStyle="1" w:styleId="ListBulletChar">
    <w:name w:val="List Bullet Char"/>
    <w:link w:val="ListBullet"/>
    <w:uiPriority w:val="2"/>
    <w:locked/>
    <w:rsid w:val="00BB19D5"/>
    <w:rPr>
      <w:rFonts w:asciiTheme="minorHAnsi" w:eastAsia="Times New Roman" w:hAnsiTheme="minorHAnsi"/>
      <w:sz w:val="21"/>
      <w:szCs w:val="21"/>
    </w:rPr>
  </w:style>
  <w:style w:type="table" w:styleId="TableGrid">
    <w:name w:val="Table Grid"/>
    <w:basedOn w:val="TableNormal"/>
    <w:locked/>
    <w:rsid w:val="000E3B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D14EAB"/>
    <w:rPr>
      <w:rFonts w:eastAsia="Times New Roman"/>
      <w:sz w:val="24"/>
      <w:szCs w:val="20"/>
    </w:rPr>
  </w:style>
  <w:style w:type="paragraph" w:styleId="EndnoteText">
    <w:name w:val="endnote text"/>
    <w:basedOn w:val="Normal"/>
    <w:link w:val="EndnoteTextChar"/>
    <w:uiPriority w:val="99"/>
    <w:semiHidden/>
    <w:unhideWhenUsed/>
    <w:rsid w:val="00471DF6"/>
    <w:rPr>
      <w:sz w:val="20"/>
    </w:rPr>
  </w:style>
  <w:style w:type="character" w:customStyle="1" w:styleId="EndnoteTextChar">
    <w:name w:val="Endnote Text Char"/>
    <w:basedOn w:val="DefaultParagraphFont"/>
    <w:link w:val="EndnoteText"/>
    <w:uiPriority w:val="99"/>
    <w:semiHidden/>
    <w:rsid w:val="00471DF6"/>
    <w:rPr>
      <w:rFonts w:eastAsia="Times New Roman"/>
      <w:sz w:val="20"/>
      <w:szCs w:val="20"/>
    </w:rPr>
  </w:style>
  <w:style w:type="character" w:styleId="EndnoteReference">
    <w:name w:val="endnote reference"/>
    <w:basedOn w:val="DefaultParagraphFont"/>
    <w:uiPriority w:val="99"/>
    <w:semiHidden/>
    <w:unhideWhenUsed/>
    <w:rsid w:val="00471DF6"/>
    <w:rPr>
      <w:vertAlign w:val="superscript"/>
    </w:rPr>
  </w:style>
  <w:style w:type="paragraph" w:styleId="Title">
    <w:name w:val="Title"/>
    <w:basedOn w:val="Normal"/>
    <w:next w:val="Normal"/>
    <w:link w:val="TitleChar"/>
    <w:qFormat/>
    <w:locked/>
    <w:rsid w:val="003F5DD6"/>
    <w:pPr>
      <w:pBdr>
        <w:bottom w:val="single" w:sz="8" w:space="4" w:color="4F81BD" w:themeColor="accent1"/>
      </w:pBdr>
      <w:spacing w:after="300"/>
      <w:contextualSpacing/>
      <w:jc w:val="center"/>
    </w:pPr>
    <w:rPr>
      <w:rFonts w:ascii="Arial" w:eastAsiaTheme="majorEastAsia" w:hAnsi="Arial" w:cstheme="majorBidi"/>
      <w:b/>
      <w:kern w:val="28"/>
      <w:sz w:val="32"/>
      <w:szCs w:val="52"/>
      <w:lang w:eastAsia="en-US"/>
    </w:rPr>
  </w:style>
  <w:style w:type="character" w:customStyle="1" w:styleId="TitleChar">
    <w:name w:val="Title Char"/>
    <w:basedOn w:val="DefaultParagraphFont"/>
    <w:link w:val="Title"/>
    <w:rsid w:val="003F5DD6"/>
    <w:rPr>
      <w:rFonts w:ascii="Arial" w:eastAsiaTheme="majorEastAsia" w:hAnsi="Arial" w:cstheme="majorBidi"/>
      <w:b/>
      <w:kern w:val="28"/>
      <w:sz w:val="32"/>
      <w:szCs w:val="52"/>
      <w:lang w:eastAsia="en-US"/>
    </w:rPr>
  </w:style>
  <w:style w:type="character" w:styleId="IntenseReference">
    <w:name w:val="Intense Reference"/>
    <w:basedOn w:val="DefaultParagraphFont"/>
    <w:uiPriority w:val="32"/>
    <w:qFormat/>
    <w:rsid w:val="003F5DD6"/>
    <w:rPr>
      <w:b/>
      <w:bCs/>
      <w:i/>
      <w:smallCaps/>
      <w:color w:val="C0504D" w:themeColor="accent2"/>
      <w:spacing w:val="5"/>
      <w:u w:val="none"/>
    </w:rPr>
  </w:style>
  <w:style w:type="character" w:customStyle="1" w:styleId="textitem">
    <w:name w:val="textitem"/>
    <w:basedOn w:val="DefaultParagraphFont"/>
    <w:rsid w:val="004E015F"/>
  </w:style>
  <w:style w:type="character" w:styleId="Strong">
    <w:name w:val="Strong"/>
    <w:basedOn w:val="DefaultParagraphFont"/>
    <w:qFormat/>
    <w:locked/>
    <w:rsid w:val="00041E4A"/>
    <w:rPr>
      <w:b/>
      <w:bCs/>
    </w:rPr>
  </w:style>
  <w:style w:type="character" w:customStyle="1" w:styleId="Heading3Char">
    <w:name w:val="Heading 3 Char"/>
    <w:basedOn w:val="DefaultParagraphFont"/>
    <w:link w:val="Heading3"/>
    <w:rsid w:val="00FC1420"/>
    <w:rPr>
      <w:rFonts w:eastAsiaTheme="majorEastAsia" w:cstheme="majorBidi"/>
      <w:b/>
      <w:bCs/>
      <w:sz w:val="18"/>
      <w:szCs w:val="20"/>
    </w:rPr>
  </w:style>
  <w:style w:type="paragraph" w:customStyle="1" w:styleId="ListBullet1">
    <w:name w:val="List Bullet1"/>
    <w:basedOn w:val="Normal"/>
    <w:uiPriority w:val="5"/>
    <w:qFormat/>
    <w:rsid w:val="005D244F"/>
    <w:pPr>
      <w:numPr>
        <w:numId w:val="43"/>
      </w:numPr>
      <w:shd w:val="clear" w:color="auto" w:fill="FFFFFF" w:themeFill="background1"/>
      <w:spacing w:before="120" w:after="120" w:line="260" w:lineRule="exact"/>
      <w:contextualSpacing/>
    </w:pPr>
    <w:rPr>
      <w:rFonts w:ascii="Arial" w:hAnsi="Arial" w:cs="Arial"/>
      <w:sz w:val="20"/>
      <w:szCs w:val="24"/>
    </w:rPr>
  </w:style>
  <w:style w:type="character" w:styleId="FollowedHyperlink">
    <w:name w:val="FollowedHyperlink"/>
    <w:basedOn w:val="DefaultParagraphFont"/>
    <w:uiPriority w:val="99"/>
    <w:semiHidden/>
    <w:unhideWhenUsed/>
    <w:rsid w:val="0016792F"/>
    <w:rPr>
      <w:color w:val="800080" w:themeColor="followedHyperlink"/>
      <w:u w:val="single"/>
    </w:rPr>
  </w:style>
  <w:style w:type="table" w:customStyle="1" w:styleId="Summarybox1">
    <w:name w:val="Summary box1"/>
    <w:basedOn w:val="TableNormal"/>
    <w:next w:val="TableGrid"/>
    <w:uiPriority w:val="59"/>
    <w:rsid w:val="00C0633C"/>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ummarybox2">
    <w:name w:val="Summary box2"/>
    <w:basedOn w:val="TableNormal"/>
    <w:next w:val="TableGrid"/>
    <w:uiPriority w:val="59"/>
    <w:rsid w:val="00C0633C"/>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2">
    <w:name w:val="Light Shading Accent 2"/>
    <w:basedOn w:val="TableNormal"/>
    <w:uiPriority w:val="60"/>
    <w:rsid w:val="00A266CF"/>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List-Accent1">
    <w:name w:val="Light List Accent 1"/>
    <w:basedOn w:val="TableNormal"/>
    <w:uiPriority w:val="61"/>
    <w:rsid w:val="00A266CF"/>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7353721">
      <w:bodyDiv w:val="1"/>
      <w:marLeft w:val="0"/>
      <w:marRight w:val="0"/>
      <w:marTop w:val="0"/>
      <w:marBottom w:val="0"/>
      <w:divBdr>
        <w:top w:val="none" w:sz="0" w:space="0" w:color="auto"/>
        <w:left w:val="none" w:sz="0" w:space="0" w:color="auto"/>
        <w:bottom w:val="none" w:sz="0" w:space="0" w:color="auto"/>
        <w:right w:val="none" w:sz="0" w:space="0" w:color="auto"/>
      </w:divBdr>
    </w:div>
    <w:div w:id="13522953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image" Target="media/image2.gif"/><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image" Target="media/image5.gif"/><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www.msac.gov.au/" TargetMode="External"/><Relationship Id="rId25"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4.gi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hyperlink" Target="http://www.msac.gov.au" TargetMode="External"/><Relationship Id="rId19" Type="http://schemas.openxmlformats.org/officeDocument/2006/relationships/image" Target="media/image3.gi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hyperlink" Target="http://www.msac.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D563A3-BA2E-4EDF-8133-CF1114378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3167</Words>
  <Characters>16631</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1272 - PvA PSD - July 2017</dc:title>
  <dc:creator/>
  <cp:lastModifiedBy/>
  <cp:revision>1</cp:revision>
  <dcterms:created xsi:type="dcterms:W3CDTF">2018-03-22T08:12:00Z</dcterms:created>
  <dcterms:modified xsi:type="dcterms:W3CDTF">2018-04-11T23:22:00Z</dcterms:modified>
</cp:coreProperties>
</file>