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1B" w:rsidRPr="00E72AEA" w:rsidRDefault="0076401B">
      <w:bookmarkStart w:id="0" w:name="_Toc279153756"/>
      <w:bookmarkStart w:id="1" w:name="_GoBack"/>
      <w:bookmarkEnd w:id="1"/>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76401B" w:rsidRPr="00E72AEA">
        <w:tc>
          <w:tcPr>
            <w:tcW w:w="5000" w:type="pct"/>
          </w:tcPr>
          <w:p w:rsidR="0076401B" w:rsidRPr="00E72AEA" w:rsidRDefault="0076401B">
            <w:pPr>
              <w:pStyle w:val="NoSpacing"/>
              <w:rPr>
                <w:rFonts w:ascii="Tahoma" w:hAnsi="Tahoma" w:cs="Tahoma"/>
                <w:sz w:val="44"/>
                <w:szCs w:val="44"/>
                <w:lang w:val="en-AU"/>
              </w:rPr>
            </w:pPr>
            <w:r w:rsidRPr="00E72AEA">
              <w:rPr>
                <w:rFonts w:ascii="Tahoma" w:hAnsi="Tahoma" w:cs="Tahoma"/>
                <w:sz w:val="44"/>
                <w:szCs w:val="44"/>
                <w:lang w:val="en-AU"/>
              </w:rPr>
              <w:t>12</w:t>
            </w:r>
            <w:r w:rsidR="003B5F94" w:rsidRPr="00E72AEA">
              <w:rPr>
                <w:rFonts w:ascii="Tahoma" w:hAnsi="Tahoma" w:cs="Tahoma"/>
                <w:sz w:val="44"/>
                <w:szCs w:val="44"/>
                <w:lang w:val="en-AU"/>
              </w:rPr>
              <w:t>72</w:t>
            </w:r>
          </w:p>
          <w:p w:rsidR="0076401B" w:rsidRPr="00E72AEA" w:rsidRDefault="0076401B">
            <w:pPr>
              <w:pStyle w:val="NoSpacing"/>
              <w:rPr>
                <w:rFonts w:ascii="Tahoma" w:hAnsi="Tahoma" w:cs="Tahoma"/>
                <w:sz w:val="44"/>
                <w:szCs w:val="44"/>
                <w:lang w:val="en-AU"/>
              </w:rPr>
            </w:pPr>
          </w:p>
          <w:p w:rsidR="0076401B" w:rsidRPr="00E72AEA" w:rsidRDefault="00F448E8">
            <w:pPr>
              <w:pStyle w:val="NoSpacing"/>
              <w:rPr>
                <w:rFonts w:ascii="Tahoma" w:hAnsi="Tahoma" w:cs="Tahoma"/>
                <w:sz w:val="44"/>
                <w:szCs w:val="44"/>
                <w:lang w:val="en-AU"/>
              </w:rPr>
            </w:pPr>
            <w:r>
              <w:rPr>
                <w:rFonts w:ascii="Tahoma" w:hAnsi="Tahoma" w:cs="Tahoma"/>
                <w:sz w:val="44"/>
                <w:szCs w:val="44"/>
                <w:lang w:val="en-AU"/>
              </w:rPr>
              <w:t>Final</w:t>
            </w:r>
            <w:r w:rsidR="005E349B" w:rsidRPr="00E72AEA">
              <w:rPr>
                <w:rFonts w:ascii="Tahoma" w:hAnsi="Tahoma" w:cs="Tahoma"/>
                <w:sz w:val="44"/>
                <w:szCs w:val="44"/>
                <w:lang w:val="en-AU"/>
              </w:rPr>
              <w:t xml:space="preserve"> </w:t>
            </w:r>
            <w:r w:rsidR="0076401B" w:rsidRPr="00E72AEA">
              <w:rPr>
                <w:rFonts w:ascii="Tahoma" w:hAnsi="Tahoma" w:cs="Tahoma"/>
                <w:sz w:val="44"/>
                <w:szCs w:val="44"/>
                <w:lang w:val="en-AU"/>
              </w:rPr>
              <w:t xml:space="preserve">Decision Analytic Protocol (DAP) to guide the assessment of </w:t>
            </w:r>
            <w:r w:rsidR="00CC0BDE">
              <w:rPr>
                <w:rFonts w:ascii="Tahoma" w:hAnsi="Tahoma" w:cs="Tahoma"/>
                <w:sz w:val="44"/>
                <w:szCs w:val="44"/>
                <w:lang w:val="en-AU"/>
              </w:rPr>
              <w:t>intravesical</w:t>
            </w:r>
            <w:r w:rsidR="0076401B" w:rsidRPr="00E72AEA">
              <w:rPr>
                <w:rFonts w:ascii="Tahoma" w:hAnsi="Tahoma" w:cs="Tahoma"/>
                <w:sz w:val="44"/>
                <w:szCs w:val="44"/>
                <w:lang w:val="en-AU"/>
              </w:rPr>
              <w:t xml:space="preserve"> injection of </w:t>
            </w:r>
            <w:r w:rsidR="0076401B" w:rsidRPr="003F698D">
              <w:rPr>
                <w:rFonts w:ascii="Tahoma" w:hAnsi="Tahoma" w:cs="Tahoma"/>
                <w:sz w:val="44"/>
                <w:szCs w:val="44"/>
                <w:lang w:val="en-AU"/>
              </w:rPr>
              <w:t>BOTOX®</w:t>
            </w:r>
            <w:r w:rsidR="0076401B" w:rsidRPr="00E72AEA">
              <w:rPr>
                <w:rFonts w:ascii="Tahoma" w:hAnsi="Tahoma" w:cs="Tahoma"/>
                <w:sz w:val="44"/>
                <w:szCs w:val="44"/>
                <w:lang w:val="en-AU"/>
              </w:rPr>
              <w:t xml:space="preserve"> (botulinum toxin) for the treatment of urinary incontinence due to </w:t>
            </w:r>
            <w:r w:rsidR="006225D8" w:rsidRPr="00E72AEA">
              <w:rPr>
                <w:rFonts w:ascii="Tahoma" w:hAnsi="Tahoma" w:cs="Tahoma"/>
                <w:sz w:val="44"/>
                <w:szCs w:val="44"/>
                <w:lang w:val="en-AU"/>
              </w:rPr>
              <w:t>idiopathic detrusor overactivity (IDO)</w:t>
            </w:r>
          </w:p>
          <w:p w:rsidR="0076401B" w:rsidRPr="00E72AEA" w:rsidRDefault="0076401B">
            <w:pPr>
              <w:pStyle w:val="NoSpacing"/>
              <w:rPr>
                <w:rFonts w:ascii="Tahoma" w:hAnsi="Tahoma" w:cs="Tahoma"/>
                <w:sz w:val="44"/>
                <w:szCs w:val="44"/>
                <w:lang w:val="en-AU"/>
              </w:rPr>
            </w:pPr>
          </w:p>
          <w:p w:rsidR="0076401B" w:rsidRPr="00E72AEA" w:rsidRDefault="0076401B">
            <w:pPr>
              <w:pStyle w:val="NoSpacing"/>
              <w:rPr>
                <w:rFonts w:ascii="Tahoma" w:hAnsi="Tahoma" w:cs="Tahoma"/>
                <w:sz w:val="48"/>
                <w:szCs w:val="48"/>
                <w:lang w:val="en-AU"/>
              </w:rPr>
            </w:pPr>
          </w:p>
        </w:tc>
      </w:tr>
      <w:tr w:rsidR="0076401B" w:rsidRPr="00E72AEA">
        <w:tc>
          <w:tcPr>
            <w:tcW w:w="5000" w:type="pct"/>
          </w:tcPr>
          <w:p w:rsidR="0076401B" w:rsidRPr="00E72AEA" w:rsidRDefault="009B3EA6" w:rsidP="00702B58">
            <w:pPr>
              <w:pStyle w:val="NoSpacing"/>
              <w:rPr>
                <w:rFonts w:ascii="Tahoma" w:hAnsi="Tahoma" w:cs="Tahoma"/>
                <w:sz w:val="32"/>
                <w:szCs w:val="32"/>
                <w:lang w:val="en-AU"/>
              </w:rPr>
            </w:pPr>
            <w:r>
              <w:rPr>
                <w:rFonts w:ascii="Tahoma" w:hAnsi="Tahoma" w:cs="Tahoma"/>
                <w:sz w:val="32"/>
                <w:szCs w:val="32"/>
                <w:lang w:val="en-AU"/>
              </w:rPr>
              <w:t>February</w:t>
            </w:r>
            <w:r w:rsidR="00F448E8">
              <w:rPr>
                <w:rFonts w:ascii="Tahoma" w:hAnsi="Tahoma" w:cs="Tahoma"/>
                <w:sz w:val="32"/>
                <w:szCs w:val="32"/>
                <w:lang w:val="en-AU"/>
              </w:rPr>
              <w:t xml:space="preserve"> 2013</w:t>
            </w:r>
          </w:p>
        </w:tc>
      </w:tr>
    </w:tbl>
    <w:p w:rsidR="0076401B" w:rsidRPr="00E72AEA" w:rsidRDefault="0076401B"/>
    <w:p w:rsidR="0076401B" w:rsidRPr="00E72AEA" w:rsidRDefault="0076401B" w:rsidP="003B469E">
      <w:pPr>
        <w:pStyle w:val="TOCHeading0"/>
      </w:pPr>
      <w:r w:rsidRPr="00E72AEA">
        <w:br w:type="page"/>
      </w:r>
      <w:r w:rsidRPr="00E72AEA">
        <w:lastRenderedPageBreak/>
        <w:t>Table of Contents</w:t>
      </w:r>
    </w:p>
    <w:p w:rsidR="008411A0" w:rsidRDefault="0076401B">
      <w:pPr>
        <w:pStyle w:val="TOC1"/>
        <w:rPr>
          <w:rFonts w:ascii="Calibri" w:eastAsia="Times New Roman" w:hAnsi="Calibri" w:cs="Times New Roman"/>
          <w:b w:val="0"/>
          <w:bCs w:val="0"/>
          <w:sz w:val="22"/>
          <w:szCs w:val="22"/>
          <w:lang w:eastAsia="en-AU"/>
        </w:rPr>
      </w:pPr>
      <w:r w:rsidRPr="00E72AEA">
        <w:fldChar w:fldCharType="begin"/>
      </w:r>
      <w:r w:rsidRPr="00E72AEA">
        <w:instrText xml:space="preserve"> TOC \o "1-3" \h \z \u </w:instrText>
      </w:r>
      <w:r w:rsidRPr="00E72AEA">
        <w:fldChar w:fldCharType="separate"/>
      </w:r>
      <w:hyperlink w:anchor="_Toc347304392" w:history="1">
        <w:r w:rsidR="008411A0" w:rsidRPr="007D7EE0">
          <w:rPr>
            <w:rStyle w:val="Hyperlink"/>
          </w:rPr>
          <w:t>MSAC and PASC</w:t>
        </w:r>
        <w:r w:rsidR="008411A0">
          <w:rPr>
            <w:webHidden/>
          </w:rPr>
          <w:tab/>
        </w:r>
        <w:r w:rsidR="008411A0">
          <w:rPr>
            <w:webHidden/>
          </w:rPr>
          <w:fldChar w:fldCharType="begin"/>
        </w:r>
        <w:r w:rsidR="008411A0">
          <w:rPr>
            <w:webHidden/>
          </w:rPr>
          <w:instrText xml:space="preserve"> PAGEREF _Toc347304392 \h </w:instrText>
        </w:r>
        <w:r w:rsidR="008411A0">
          <w:rPr>
            <w:webHidden/>
          </w:rPr>
        </w:r>
        <w:r w:rsidR="008411A0">
          <w:rPr>
            <w:webHidden/>
          </w:rPr>
          <w:fldChar w:fldCharType="separate"/>
        </w:r>
        <w:r w:rsidR="00F13D3A">
          <w:rPr>
            <w:webHidden/>
          </w:rPr>
          <w:t>3</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393" w:history="1">
        <w:r w:rsidR="008411A0" w:rsidRPr="007D7EE0">
          <w:rPr>
            <w:rStyle w:val="Hyperlink"/>
            <w:lang w:val="en-AU"/>
          </w:rPr>
          <w:t>Purpose of this document</w:t>
        </w:r>
        <w:r w:rsidR="008411A0">
          <w:rPr>
            <w:webHidden/>
          </w:rPr>
          <w:tab/>
        </w:r>
        <w:r w:rsidR="008411A0">
          <w:rPr>
            <w:webHidden/>
          </w:rPr>
          <w:fldChar w:fldCharType="begin"/>
        </w:r>
        <w:r w:rsidR="008411A0">
          <w:rPr>
            <w:webHidden/>
          </w:rPr>
          <w:instrText xml:space="preserve"> PAGEREF _Toc347304393 \h </w:instrText>
        </w:r>
        <w:r w:rsidR="008411A0">
          <w:rPr>
            <w:webHidden/>
          </w:rPr>
        </w:r>
        <w:r w:rsidR="008411A0">
          <w:rPr>
            <w:webHidden/>
          </w:rPr>
          <w:fldChar w:fldCharType="separate"/>
        </w:r>
        <w:r w:rsidR="00F13D3A">
          <w:rPr>
            <w:webHidden/>
          </w:rPr>
          <w:t>3</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394" w:history="1">
        <w:r w:rsidR="008411A0" w:rsidRPr="007D7EE0">
          <w:rPr>
            <w:rStyle w:val="Hyperlink"/>
          </w:rPr>
          <w:t>Purpose of application</w:t>
        </w:r>
        <w:r w:rsidR="008411A0">
          <w:rPr>
            <w:webHidden/>
          </w:rPr>
          <w:tab/>
        </w:r>
        <w:r w:rsidR="008411A0">
          <w:rPr>
            <w:webHidden/>
          </w:rPr>
          <w:fldChar w:fldCharType="begin"/>
        </w:r>
        <w:r w:rsidR="008411A0">
          <w:rPr>
            <w:webHidden/>
          </w:rPr>
          <w:instrText xml:space="preserve"> PAGEREF _Toc347304394 \h </w:instrText>
        </w:r>
        <w:r w:rsidR="008411A0">
          <w:rPr>
            <w:webHidden/>
          </w:rPr>
        </w:r>
        <w:r w:rsidR="008411A0">
          <w:rPr>
            <w:webHidden/>
          </w:rPr>
          <w:fldChar w:fldCharType="separate"/>
        </w:r>
        <w:r w:rsidR="00F13D3A">
          <w:rPr>
            <w:webHidden/>
          </w:rPr>
          <w:t>4</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395" w:history="1">
        <w:r w:rsidR="008411A0" w:rsidRPr="007D7EE0">
          <w:rPr>
            <w:rStyle w:val="Hyperlink"/>
            <w:lang w:eastAsia="en-US"/>
          </w:rPr>
          <w:t>Intervention</w:t>
        </w:r>
        <w:r w:rsidR="008411A0">
          <w:rPr>
            <w:webHidden/>
          </w:rPr>
          <w:tab/>
        </w:r>
        <w:r w:rsidR="008411A0">
          <w:rPr>
            <w:webHidden/>
          </w:rPr>
          <w:fldChar w:fldCharType="begin"/>
        </w:r>
        <w:r w:rsidR="008411A0">
          <w:rPr>
            <w:webHidden/>
          </w:rPr>
          <w:instrText xml:space="preserve"> PAGEREF _Toc347304395 \h </w:instrText>
        </w:r>
        <w:r w:rsidR="008411A0">
          <w:rPr>
            <w:webHidden/>
          </w:rPr>
        </w:r>
        <w:r w:rsidR="008411A0">
          <w:rPr>
            <w:webHidden/>
          </w:rPr>
          <w:fldChar w:fldCharType="separate"/>
        </w:r>
        <w:r w:rsidR="00F13D3A">
          <w:rPr>
            <w:webHidden/>
          </w:rPr>
          <w:t>4</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396" w:history="1">
        <w:r w:rsidR="008411A0" w:rsidRPr="007D7EE0">
          <w:rPr>
            <w:rStyle w:val="Hyperlink"/>
            <w:lang w:val="en-AU"/>
          </w:rPr>
          <w:t>Description</w:t>
        </w:r>
        <w:r w:rsidR="008411A0">
          <w:rPr>
            <w:webHidden/>
          </w:rPr>
          <w:tab/>
        </w:r>
        <w:r w:rsidR="008411A0">
          <w:rPr>
            <w:webHidden/>
          </w:rPr>
          <w:fldChar w:fldCharType="begin"/>
        </w:r>
        <w:r w:rsidR="008411A0">
          <w:rPr>
            <w:webHidden/>
          </w:rPr>
          <w:instrText xml:space="preserve"> PAGEREF _Toc347304396 \h </w:instrText>
        </w:r>
        <w:r w:rsidR="008411A0">
          <w:rPr>
            <w:webHidden/>
          </w:rPr>
        </w:r>
        <w:r w:rsidR="008411A0">
          <w:rPr>
            <w:webHidden/>
          </w:rPr>
          <w:fldChar w:fldCharType="separate"/>
        </w:r>
        <w:r w:rsidR="00F13D3A">
          <w:rPr>
            <w:webHidden/>
          </w:rPr>
          <w:t>4</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397" w:history="1">
        <w:r w:rsidR="008411A0" w:rsidRPr="007D7EE0">
          <w:rPr>
            <w:rStyle w:val="Hyperlink"/>
            <w:lang w:val="en-AU"/>
          </w:rPr>
          <w:t>Administration, dose, frequency of administration, duration of treatment</w:t>
        </w:r>
        <w:r w:rsidR="008411A0">
          <w:rPr>
            <w:webHidden/>
          </w:rPr>
          <w:tab/>
        </w:r>
        <w:r w:rsidR="008411A0">
          <w:rPr>
            <w:webHidden/>
          </w:rPr>
          <w:fldChar w:fldCharType="begin"/>
        </w:r>
        <w:r w:rsidR="008411A0">
          <w:rPr>
            <w:webHidden/>
          </w:rPr>
          <w:instrText xml:space="preserve"> PAGEREF _Toc347304397 \h </w:instrText>
        </w:r>
        <w:r w:rsidR="008411A0">
          <w:rPr>
            <w:webHidden/>
          </w:rPr>
        </w:r>
        <w:r w:rsidR="008411A0">
          <w:rPr>
            <w:webHidden/>
          </w:rPr>
          <w:fldChar w:fldCharType="separate"/>
        </w:r>
        <w:r w:rsidR="00F13D3A">
          <w:rPr>
            <w:webHidden/>
          </w:rPr>
          <w:t>5</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398" w:history="1">
        <w:r w:rsidR="008411A0" w:rsidRPr="007D7EE0">
          <w:rPr>
            <w:rStyle w:val="Hyperlink"/>
            <w:lang w:val="en-AU"/>
          </w:rPr>
          <w:t>Co-administered interventions</w:t>
        </w:r>
        <w:r w:rsidR="008411A0">
          <w:rPr>
            <w:webHidden/>
          </w:rPr>
          <w:tab/>
        </w:r>
        <w:r w:rsidR="008411A0">
          <w:rPr>
            <w:webHidden/>
          </w:rPr>
          <w:fldChar w:fldCharType="begin"/>
        </w:r>
        <w:r w:rsidR="008411A0">
          <w:rPr>
            <w:webHidden/>
          </w:rPr>
          <w:instrText xml:space="preserve"> PAGEREF _Toc347304398 \h </w:instrText>
        </w:r>
        <w:r w:rsidR="008411A0">
          <w:rPr>
            <w:webHidden/>
          </w:rPr>
        </w:r>
        <w:r w:rsidR="008411A0">
          <w:rPr>
            <w:webHidden/>
          </w:rPr>
          <w:fldChar w:fldCharType="separate"/>
        </w:r>
        <w:r w:rsidR="00F13D3A">
          <w:rPr>
            <w:webHidden/>
          </w:rPr>
          <w:t>6</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399" w:history="1">
        <w:r w:rsidR="008411A0" w:rsidRPr="007D7EE0">
          <w:rPr>
            <w:rStyle w:val="Hyperlink"/>
          </w:rPr>
          <w:t>Background</w:t>
        </w:r>
        <w:r w:rsidR="008411A0">
          <w:rPr>
            <w:webHidden/>
          </w:rPr>
          <w:tab/>
        </w:r>
        <w:r w:rsidR="008411A0">
          <w:rPr>
            <w:webHidden/>
          </w:rPr>
          <w:fldChar w:fldCharType="begin"/>
        </w:r>
        <w:r w:rsidR="008411A0">
          <w:rPr>
            <w:webHidden/>
          </w:rPr>
          <w:instrText xml:space="preserve"> PAGEREF _Toc347304399 \h </w:instrText>
        </w:r>
        <w:r w:rsidR="008411A0">
          <w:rPr>
            <w:webHidden/>
          </w:rPr>
        </w:r>
        <w:r w:rsidR="008411A0">
          <w:rPr>
            <w:webHidden/>
          </w:rPr>
          <w:fldChar w:fldCharType="separate"/>
        </w:r>
        <w:r w:rsidR="00F13D3A">
          <w:rPr>
            <w:webHidden/>
          </w:rPr>
          <w:t>7</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400" w:history="1">
        <w:r w:rsidR="008411A0" w:rsidRPr="007D7EE0">
          <w:rPr>
            <w:rStyle w:val="Hyperlink"/>
            <w:lang w:val="en-AU"/>
          </w:rPr>
          <w:t>Current arrangements for public reimbursement</w:t>
        </w:r>
        <w:r w:rsidR="008411A0">
          <w:rPr>
            <w:webHidden/>
          </w:rPr>
          <w:tab/>
        </w:r>
        <w:r w:rsidR="008411A0">
          <w:rPr>
            <w:webHidden/>
          </w:rPr>
          <w:fldChar w:fldCharType="begin"/>
        </w:r>
        <w:r w:rsidR="008411A0">
          <w:rPr>
            <w:webHidden/>
          </w:rPr>
          <w:instrText xml:space="preserve"> PAGEREF _Toc347304400 \h </w:instrText>
        </w:r>
        <w:r w:rsidR="008411A0">
          <w:rPr>
            <w:webHidden/>
          </w:rPr>
        </w:r>
        <w:r w:rsidR="008411A0">
          <w:rPr>
            <w:webHidden/>
          </w:rPr>
          <w:fldChar w:fldCharType="separate"/>
        </w:r>
        <w:r w:rsidR="00F13D3A">
          <w:rPr>
            <w:webHidden/>
          </w:rPr>
          <w:t>7</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401" w:history="1">
        <w:r w:rsidR="008411A0" w:rsidRPr="007D7EE0">
          <w:rPr>
            <w:rStyle w:val="Hyperlink"/>
            <w:lang w:val="en-AU"/>
          </w:rPr>
          <w:t>Regulatory status</w:t>
        </w:r>
        <w:r w:rsidR="008411A0">
          <w:rPr>
            <w:webHidden/>
          </w:rPr>
          <w:tab/>
        </w:r>
        <w:r w:rsidR="008411A0">
          <w:rPr>
            <w:webHidden/>
          </w:rPr>
          <w:fldChar w:fldCharType="begin"/>
        </w:r>
        <w:r w:rsidR="008411A0">
          <w:rPr>
            <w:webHidden/>
          </w:rPr>
          <w:instrText xml:space="preserve"> PAGEREF _Toc347304401 \h </w:instrText>
        </w:r>
        <w:r w:rsidR="008411A0">
          <w:rPr>
            <w:webHidden/>
          </w:rPr>
        </w:r>
        <w:r w:rsidR="008411A0">
          <w:rPr>
            <w:webHidden/>
          </w:rPr>
          <w:fldChar w:fldCharType="separate"/>
        </w:r>
        <w:r w:rsidR="00F13D3A">
          <w:rPr>
            <w:webHidden/>
          </w:rPr>
          <w:t>8</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402" w:history="1">
        <w:r w:rsidR="008411A0" w:rsidRPr="007D7EE0">
          <w:rPr>
            <w:rStyle w:val="Hyperlink"/>
          </w:rPr>
          <w:t>Patient population</w:t>
        </w:r>
        <w:r w:rsidR="008411A0">
          <w:rPr>
            <w:webHidden/>
          </w:rPr>
          <w:tab/>
        </w:r>
        <w:r w:rsidR="008411A0">
          <w:rPr>
            <w:webHidden/>
          </w:rPr>
          <w:fldChar w:fldCharType="begin"/>
        </w:r>
        <w:r w:rsidR="008411A0">
          <w:rPr>
            <w:webHidden/>
          </w:rPr>
          <w:instrText xml:space="preserve"> PAGEREF _Toc347304402 \h </w:instrText>
        </w:r>
        <w:r w:rsidR="008411A0">
          <w:rPr>
            <w:webHidden/>
          </w:rPr>
        </w:r>
        <w:r w:rsidR="008411A0">
          <w:rPr>
            <w:webHidden/>
          </w:rPr>
          <w:fldChar w:fldCharType="separate"/>
        </w:r>
        <w:r w:rsidR="00F13D3A">
          <w:rPr>
            <w:webHidden/>
          </w:rPr>
          <w:t>9</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403" w:history="1">
        <w:r w:rsidR="008411A0" w:rsidRPr="007D7EE0">
          <w:rPr>
            <w:rStyle w:val="Hyperlink"/>
            <w:lang w:val="en-AU"/>
          </w:rPr>
          <w:t>Proposed MBS listing</w:t>
        </w:r>
        <w:r w:rsidR="008411A0">
          <w:rPr>
            <w:webHidden/>
          </w:rPr>
          <w:tab/>
        </w:r>
        <w:r w:rsidR="008411A0">
          <w:rPr>
            <w:webHidden/>
          </w:rPr>
          <w:fldChar w:fldCharType="begin"/>
        </w:r>
        <w:r w:rsidR="008411A0">
          <w:rPr>
            <w:webHidden/>
          </w:rPr>
          <w:instrText xml:space="preserve"> PAGEREF _Toc347304403 \h </w:instrText>
        </w:r>
        <w:r w:rsidR="008411A0">
          <w:rPr>
            <w:webHidden/>
          </w:rPr>
        </w:r>
        <w:r w:rsidR="008411A0">
          <w:rPr>
            <w:webHidden/>
          </w:rPr>
          <w:fldChar w:fldCharType="separate"/>
        </w:r>
        <w:r w:rsidR="00F13D3A">
          <w:rPr>
            <w:webHidden/>
          </w:rPr>
          <w:t>9</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404" w:history="1">
        <w:r w:rsidR="008411A0" w:rsidRPr="007D7EE0">
          <w:rPr>
            <w:rStyle w:val="Hyperlink"/>
            <w:lang w:val="en-AU"/>
          </w:rPr>
          <w:t>Clinical place for proposed intervention</w:t>
        </w:r>
        <w:r w:rsidR="008411A0">
          <w:rPr>
            <w:webHidden/>
          </w:rPr>
          <w:tab/>
        </w:r>
        <w:r w:rsidR="008411A0">
          <w:rPr>
            <w:webHidden/>
          </w:rPr>
          <w:fldChar w:fldCharType="begin"/>
        </w:r>
        <w:r w:rsidR="008411A0">
          <w:rPr>
            <w:webHidden/>
          </w:rPr>
          <w:instrText xml:space="preserve"> PAGEREF _Toc347304404 \h </w:instrText>
        </w:r>
        <w:r w:rsidR="008411A0">
          <w:rPr>
            <w:webHidden/>
          </w:rPr>
        </w:r>
        <w:r w:rsidR="008411A0">
          <w:rPr>
            <w:webHidden/>
          </w:rPr>
          <w:fldChar w:fldCharType="separate"/>
        </w:r>
        <w:r w:rsidR="00F13D3A">
          <w:rPr>
            <w:webHidden/>
          </w:rPr>
          <w:t>10</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405" w:history="1">
        <w:r w:rsidR="008411A0" w:rsidRPr="007D7EE0">
          <w:rPr>
            <w:rStyle w:val="Hyperlink"/>
          </w:rPr>
          <w:t>Comparator</w:t>
        </w:r>
        <w:r w:rsidR="008411A0">
          <w:rPr>
            <w:webHidden/>
          </w:rPr>
          <w:tab/>
        </w:r>
        <w:r w:rsidR="008411A0">
          <w:rPr>
            <w:webHidden/>
          </w:rPr>
          <w:fldChar w:fldCharType="begin"/>
        </w:r>
        <w:r w:rsidR="008411A0">
          <w:rPr>
            <w:webHidden/>
          </w:rPr>
          <w:instrText xml:space="preserve"> PAGEREF _Toc347304405 \h </w:instrText>
        </w:r>
        <w:r w:rsidR="008411A0">
          <w:rPr>
            <w:webHidden/>
          </w:rPr>
        </w:r>
        <w:r w:rsidR="008411A0">
          <w:rPr>
            <w:webHidden/>
          </w:rPr>
          <w:fldChar w:fldCharType="separate"/>
        </w:r>
        <w:r w:rsidR="00F13D3A">
          <w:rPr>
            <w:webHidden/>
          </w:rPr>
          <w:t>12</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406" w:history="1">
        <w:r w:rsidR="008411A0" w:rsidRPr="007D7EE0">
          <w:rPr>
            <w:rStyle w:val="Hyperlink"/>
          </w:rPr>
          <w:t>Clinical claim</w:t>
        </w:r>
        <w:r w:rsidR="008411A0">
          <w:rPr>
            <w:webHidden/>
          </w:rPr>
          <w:tab/>
        </w:r>
        <w:r w:rsidR="008411A0">
          <w:rPr>
            <w:webHidden/>
          </w:rPr>
          <w:fldChar w:fldCharType="begin"/>
        </w:r>
        <w:r w:rsidR="008411A0">
          <w:rPr>
            <w:webHidden/>
          </w:rPr>
          <w:instrText xml:space="preserve"> PAGEREF _Toc347304406 \h </w:instrText>
        </w:r>
        <w:r w:rsidR="008411A0">
          <w:rPr>
            <w:webHidden/>
          </w:rPr>
        </w:r>
        <w:r w:rsidR="008411A0">
          <w:rPr>
            <w:webHidden/>
          </w:rPr>
          <w:fldChar w:fldCharType="separate"/>
        </w:r>
        <w:r w:rsidR="00F13D3A">
          <w:rPr>
            <w:webHidden/>
          </w:rPr>
          <w:t>12</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407" w:history="1">
        <w:r w:rsidR="008411A0" w:rsidRPr="007D7EE0">
          <w:rPr>
            <w:rStyle w:val="Hyperlink"/>
          </w:rPr>
          <w:t>Outcomes and health care resources affected by introduction of proposed intervention</w:t>
        </w:r>
        <w:r w:rsidR="008411A0">
          <w:rPr>
            <w:webHidden/>
          </w:rPr>
          <w:tab/>
        </w:r>
        <w:r w:rsidR="008411A0">
          <w:rPr>
            <w:webHidden/>
          </w:rPr>
          <w:fldChar w:fldCharType="begin"/>
        </w:r>
        <w:r w:rsidR="008411A0">
          <w:rPr>
            <w:webHidden/>
          </w:rPr>
          <w:instrText xml:space="preserve"> PAGEREF _Toc347304407 \h </w:instrText>
        </w:r>
        <w:r w:rsidR="008411A0">
          <w:rPr>
            <w:webHidden/>
          </w:rPr>
        </w:r>
        <w:r w:rsidR="008411A0">
          <w:rPr>
            <w:webHidden/>
          </w:rPr>
          <w:fldChar w:fldCharType="separate"/>
        </w:r>
        <w:r w:rsidR="00F13D3A">
          <w:rPr>
            <w:webHidden/>
          </w:rPr>
          <w:t>13</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408" w:history="1">
        <w:r w:rsidR="008411A0" w:rsidRPr="007D7EE0">
          <w:rPr>
            <w:rStyle w:val="Hyperlink"/>
            <w:lang w:val="en-AU"/>
          </w:rPr>
          <w:t>Outcomes</w:t>
        </w:r>
        <w:r w:rsidR="008411A0">
          <w:rPr>
            <w:webHidden/>
          </w:rPr>
          <w:tab/>
        </w:r>
        <w:r w:rsidR="008411A0">
          <w:rPr>
            <w:webHidden/>
          </w:rPr>
          <w:fldChar w:fldCharType="begin"/>
        </w:r>
        <w:r w:rsidR="008411A0">
          <w:rPr>
            <w:webHidden/>
          </w:rPr>
          <w:instrText xml:space="preserve"> PAGEREF _Toc347304408 \h </w:instrText>
        </w:r>
        <w:r w:rsidR="008411A0">
          <w:rPr>
            <w:webHidden/>
          </w:rPr>
        </w:r>
        <w:r w:rsidR="008411A0">
          <w:rPr>
            <w:webHidden/>
          </w:rPr>
          <w:fldChar w:fldCharType="separate"/>
        </w:r>
        <w:r w:rsidR="00F13D3A">
          <w:rPr>
            <w:webHidden/>
          </w:rPr>
          <w:t>13</w:t>
        </w:r>
        <w:r w:rsidR="008411A0">
          <w:rPr>
            <w:webHidden/>
          </w:rPr>
          <w:fldChar w:fldCharType="end"/>
        </w:r>
      </w:hyperlink>
    </w:p>
    <w:p w:rsidR="008411A0" w:rsidRDefault="009772C4">
      <w:pPr>
        <w:pStyle w:val="TOC2"/>
        <w:rPr>
          <w:rFonts w:ascii="Calibri" w:eastAsia="Times New Roman" w:hAnsi="Calibri" w:cs="Times New Roman"/>
          <w:sz w:val="22"/>
          <w:szCs w:val="22"/>
          <w:lang w:val="en-AU" w:eastAsia="en-AU"/>
        </w:rPr>
      </w:pPr>
      <w:hyperlink w:anchor="_Toc347304409" w:history="1">
        <w:r w:rsidR="008411A0" w:rsidRPr="007D7EE0">
          <w:rPr>
            <w:rStyle w:val="Hyperlink"/>
          </w:rPr>
          <w:t>Health care resources</w:t>
        </w:r>
        <w:r w:rsidR="008411A0">
          <w:rPr>
            <w:webHidden/>
          </w:rPr>
          <w:tab/>
        </w:r>
        <w:r w:rsidR="008411A0">
          <w:rPr>
            <w:webHidden/>
          </w:rPr>
          <w:fldChar w:fldCharType="begin"/>
        </w:r>
        <w:r w:rsidR="008411A0">
          <w:rPr>
            <w:webHidden/>
          </w:rPr>
          <w:instrText xml:space="preserve"> PAGEREF _Toc347304409 \h </w:instrText>
        </w:r>
        <w:r w:rsidR="008411A0">
          <w:rPr>
            <w:webHidden/>
          </w:rPr>
        </w:r>
        <w:r w:rsidR="008411A0">
          <w:rPr>
            <w:webHidden/>
          </w:rPr>
          <w:fldChar w:fldCharType="separate"/>
        </w:r>
        <w:r w:rsidR="00F13D3A">
          <w:rPr>
            <w:webHidden/>
          </w:rPr>
          <w:t>13</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410" w:history="1">
        <w:r w:rsidR="008411A0" w:rsidRPr="007D7EE0">
          <w:rPr>
            <w:rStyle w:val="Hyperlink"/>
          </w:rPr>
          <w:t>Proposed structure of economic evaluation (decision-analytic)</w:t>
        </w:r>
        <w:r w:rsidR="008411A0">
          <w:rPr>
            <w:webHidden/>
          </w:rPr>
          <w:tab/>
        </w:r>
        <w:r w:rsidR="008411A0">
          <w:rPr>
            <w:webHidden/>
          </w:rPr>
          <w:fldChar w:fldCharType="begin"/>
        </w:r>
        <w:r w:rsidR="008411A0">
          <w:rPr>
            <w:webHidden/>
          </w:rPr>
          <w:instrText xml:space="preserve"> PAGEREF _Toc347304410 \h </w:instrText>
        </w:r>
        <w:r w:rsidR="008411A0">
          <w:rPr>
            <w:webHidden/>
          </w:rPr>
        </w:r>
        <w:r w:rsidR="008411A0">
          <w:rPr>
            <w:webHidden/>
          </w:rPr>
          <w:fldChar w:fldCharType="separate"/>
        </w:r>
        <w:r w:rsidR="00F13D3A">
          <w:rPr>
            <w:webHidden/>
          </w:rPr>
          <w:t>15</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411" w:history="1">
        <w:r w:rsidR="008411A0" w:rsidRPr="007D7EE0">
          <w:rPr>
            <w:rStyle w:val="Hyperlink"/>
          </w:rPr>
          <w:t>Appendix 1: BOTOX uses currently reimbursed by the MBS</w:t>
        </w:r>
        <w:r w:rsidR="008411A0">
          <w:rPr>
            <w:webHidden/>
          </w:rPr>
          <w:tab/>
        </w:r>
        <w:r w:rsidR="008411A0">
          <w:rPr>
            <w:webHidden/>
          </w:rPr>
          <w:fldChar w:fldCharType="begin"/>
        </w:r>
        <w:r w:rsidR="008411A0">
          <w:rPr>
            <w:webHidden/>
          </w:rPr>
          <w:instrText xml:space="preserve"> PAGEREF _Toc347304411 \h </w:instrText>
        </w:r>
        <w:r w:rsidR="008411A0">
          <w:rPr>
            <w:webHidden/>
          </w:rPr>
        </w:r>
        <w:r w:rsidR="008411A0">
          <w:rPr>
            <w:webHidden/>
          </w:rPr>
          <w:fldChar w:fldCharType="separate"/>
        </w:r>
        <w:r w:rsidR="00F13D3A">
          <w:rPr>
            <w:webHidden/>
          </w:rPr>
          <w:t>16</w:t>
        </w:r>
        <w:r w:rsidR="008411A0">
          <w:rPr>
            <w:webHidden/>
          </w:rPr>
          <w:fldChar w:fldCharType="end"/>
        </w:r>
      </w:hyperlink>
    </w:p>
    <w:p w:rsidR="008411A0" w:rsidRDefault="009772C4">
      <w:pPr>
        <w:pStyle w:val="TOC1"/>
        <w:rPr>
          <w:rFonts w:ascii="Calibri" w:eastAsia="Times New Roman" w:hAnsi="Calibri" w:cs="Times New Roman"/>
          <w:b w:val="0"/>
          <w:bCs w:val="0"/>
          <w:sz w:val="22"/>
          <w:szCs w:val="22"/>
          <w:lang w:eastAsia="en-AU"/>
        </w:rPr>
      </w:pPr>
      <w:hyperlink w:anchor="_Toc347304412" w:history="1">
        <w:r w:rsidR="008411A0" w:rsidRPr="007D7EE0">
          <w:rPr>
            <w:rStyle w:val="Hyperlink"/>
          </w:rPr>
          <w:t>Bibliography</w:t>
        </w:r>
        <w:r w:rsidR="008411A0">
          <w:rPr>
            <w:webHidden/>
          </w:rPr>
          <w:tab/>
        </w:r>
        <w:r w:rsidR="008411A0">
          <w:rPr>
            <w:webHidden/>
          </w:rPr>
          <w:fldChar w:fldCharType="begin"/>
        </w:r>
        <w:r w:rsidR="008411A0">
          <w:rPr>
            <w:webHidden/>
          </w:rPr>
          <w:instrText xml:space="preserve"> PAGEREF _Toc347304412 \h </w:instrText>
        </w:r>
        <w:r w:rsidR="008411A0">
          <w:rPr>
            <w:webHidden/>
          </w:rPr>
        </w:r>
        <w:r w:rsidR="008411A0">
          <w:rPr>
            <w:webHidden/>
          </w:rPr>
          <w:fldChar w:fldCharType="separate"/>
        </w:r>
        <w:r w:rsidR="00F13D3A">
          <w:rPr>
            <w:webHidden/>
          </w:rPr>
          <w:t>19</w:t>
        </w:r>
        <w:r w:rsidR="008411A0">
          <w:rPr>
            <w:webHidden/>
          </w:rPr>
          <w:fldChar w:fldCharType="end"/>
        </w:r>
      </w:hyperlink>
    </w:p>
    <w:p w:rsidR="0076401B" w:rsidRPr="00E72AEA" w:rsidRDefault="0076401B">
      <w:r w:rsidRPr="00E72AEA">
        <w:fldChar w:fldCharType="end"/>
      </w:r>
    </w:p>
    <w:p w:rsidR="0076401B" w:rsidRPr="00E72AEA" w:rsidRDefault="00612AA5" w:rsidP="008411A0">
      <w:pPr>
        <w:pStyle w:val="Heading1"/>
      </w:pPr>
      <w:r w:rsidRPr="00E72AEA">
        <w:br w:type="page"/>
      </w:r>
      <w:bookmarkStart w:id="2" w:name="_Toc347304392"/>
      <w:bookmarkEnd w:id="0"/>
      <w:r w:rsidR="0076401B" w:rsidRPr="00E72AEA">
        <w:lastRenderedPageBreak/>
        <w:t>MSAC and PASC</w:t>
      </w:r>
      <w:bookmarkEnd w:id="2"/>
    </w:p>
    <w:p w:rsidR="0076401B" w:rsidRPr="00E72AEA" w:rsidRDefault="0076401B">
      <w:r w:rsidRPr="00E72AEA">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76401B" w:rsidRPr="00E72AEA" w:rsidRDefault="0076401B">
      <w:r w:rsidRPr="00E72AEA">
        <w:t>The Protocol Advisory Sub-Committee (PASC) is a standing sub-committee of MSAC. Its primary objective is the determination of protocols to guide clinical and economic assessments of medical interventions proposed for public funding.</w:t>
      </w:r>
    </w:p>
    <w:p w:rsidR="0076401B" w:rsidRPr="00E72AEA" w:rsidRDefault="0076401B">
      <w:pPr>
        <w:pStyle w:val="Heading2"/>
        <w:rPr>
          <w:lang w:val="en-AU"/>
        </w:rPr>
      </w:pPr>
      <w:bookmarkStart w:id="3" w:name="_Toc347304393"/>
      <w:r w:rsidRPr="00E72AEA">
        <w:rPr>
          <w:lang w:val="en-AU"/>
        </w:rPr>
        <w:t>Purpose of this document</w:t>
      </w:r>
      <w:bookmarkEnd w:id="3"/>
    </w:p>
    <w:p w:rsidR="0076401B" w:rsidRPr="00E72AEA" w:rsidRDefault="0076401B">
      <w:r w:rsidRPr="00E72AEA">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p>
    <w:p w:rsidR="0076401B" w:rsidRPr="00E72AEA" w:rsidRDefault="0076401B">
      <w:r w:rsidRPr="00E72AEA">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76401B" w:rsidRPr="00E72AEA" w:rsidRDefault="0076401B">
      <w:pPr>
        <w:pStyle w:val="ListParagraph"/>
      </w:pPr>
      <w:r w:rsidRPr="00E72AEA">
        <w:rPr>
          <w:b/>
          <w:bCs/>
          <w:u w:val="single"/>
        </w:rPr>
        <w:t>P</w:t>
      </w:r>
      <w:r w:rsidRPr="00E72AEA">
        <w:t>atients – specification of the characteristics of the patients in whom the intervention is to be considered for use;</w:t>
      </w:r>
    </w:p>
    <w:p w:rsidR="0076401B" w:rsidRPr="00E72AEA" w:rsidRDefault="0076401B">
      <w:pPr>
        <w:pStyle w:val="ListParagraph"/>
      </w:pPr>
      <w:r w:rsidRPr="00E72AEA">
        <w:rPr>
          <w:b/>
          <w:bCs/>
          <w:u w:val="single"/>
        </w:rPr>
        <w:t>I</w:t>
      </w:r>
      <w:r w:rsidRPr="00E72AEA">
        <w:t>ntervention – specification of the proposed intervention</w:t>
      </w:r>
    </w:p>
    <w:p w:rsidR="0076401B" w:rsidRPr="00E72AEA" w:rsidRDefault="0076401B">
      <w:pPr>
        <w:pStyle w:val="ListParagraph"/>
      </w:pPr>
      <w:r w:rsidRPr="00E72AEA">
        <w:rPr>
          <w:b/>
          <w:bCs/>
          <w:u w:val="single"/>
        </w:rPr>
        <w:t>C</w:t>
      </w:r>
      <w:r w:rsidRPr="00E72AEA">
        <w:t>omparator – specification of the therapy most likely to be replaced by the proposed intervention</w:t>
      </w:r>
    </w:p>
    <w:p w:rsidR="0076401B" w:rsidRPr="00E72AEA" w:rsidRDefault="0076401B">
      <w:pPr>
        <w:pStyle w:val="ListParagraph"/>
      </w:pPr>
      <w:r w:rsidRPr="00E72AEA">
        <w:rPr>
          <w:b/>
          <w:bCs/>
          <w:u w:val="single"/>
        </w:rPr>
        <w:t>O</w:t>
      </w:r>
      <w:r w:rsidRPr="00E72AEA">
        <w:t>utcomes – specification of the health outcomes and the healthcare resources likely to be affected by the introduction of the proposed intervention</w:t>
      </w:r>
    </w:p>
    <w:p w:rsidR="0076401B" w:rsidRPr="00E72AEA" w:rsidRDefault="0076401B">
      <w:pPr>
        <w:pStyle w:val="Heading1"/>
      </w:pPr>
      <w:r w:rsidRPr="00E72AEA">
        <w:br w:type="page"/>
      </w:r>
      <w:bookmarkStart w:id="4" w:name="_Toc347304394"/>
      <w:r w:rsidRPr="00E72AEA">
        <w:lastRenderedPageBreak/>
        <w:t>Purpose of application</w:t>
      </w:r>
      <w:bookmarkEnd w:id="4"/>
    </w:p>
    <w:p w:rsidR="0076401B" w:rsidRPr="00E72AEA" w:rsidRDefault="0076401B">
      <w:r w:rsidRPr="00E72AEA">
        <w:t>A</w:t>
      </w:r>
      <w:r w:rsidR="00FD264E">
        <w:t>n</w:t>
      </w:r>
      <w:r w:rsidRPr="00E72AEA">
        <w:t xml:space="preserve"> application requesting MBS listing of </w:t>
      </w:r>
      <w:r w:rsidR="004B3E21" w:rsidRPr="004B3E21">
        <w:t>intravesical</w:t>
      </w:r>
      <w:r w:rsidR="00EE0266">
        <w:rPr>
          <w:rStyle w:val="FootnoteReference"/>
        </w:rPr>
        <w:footnoteReference w:id="1"/>
      </w:r>
      <w:r w:rsidR="004B3E21" w:rsidRPr="004B3E21">
        <w:t xml:space="preserve"> </w:t>
      </w:r>
      <w:r w:rsidRPr="00E72AEA">
        <w:t>injection of BOTOX</w:t>
      </w:r>
      <w:r w:rsidRPr="00E72AEA">
        <w:rPr>
          <w:vertAlign w:val="superscript"/>
        </w:rPr>
        <w:t>®</w:t>
      </w:r>
      <w:r w:rsidRPr="00E72AEA">
        <w:t xml:space="preserve"> </w:t>
      </w:r>
      <w:r w:rsidR="00EB0946" w:rsidRPr="00E72AEA">
        <w:rPr>
          <w:rFonts w:eastAsia="Times New Roman"/>
          <w:lang w:eastAsia="en-US"/>
        </w:rPr>
        <w:t xml:space="preserve">(botulinum toxin) </w:t>
      </w:r>
      <w:r w:rsidRPr="00E72AEA">
        <w:t>for the treatment of urinary incontinence due to</w:t>
      </w:r>
      <w:r w:rsidR="006D536F" w:rsidRPr="006D536F">
        <w:rPr>
          <w:sz w:val="18"/>
          <w:szCs w:val="18"/>
        </w:rPr>
        <w:t xml:space="preserve"> </w:t>
      </w:r>
      <w:r w:rsidR="006D536F" w:rsidRPr="000E4F7D">
        <w:rPr>
          <w:szCs w:val="18"/>
        </w:rPr>
        <w:t>idiopathic overactive bladder (IOAB)</w:t>
      </w:r>
      <w:r w:rsidR="00EE0266">
        <w:rPr>
          <w:rStyle w:val="FootnoteReference"/>
          <w:rFonts w:eastAsia="Times New Roman"/>
          <w:lang w:eastAsia="en-US"/>
        </w:rPr>
        <w:footnoteReference w:id="2"/>
      </w:r>
      <w:r w:rsidR="00702B58" w:rsidRPr="00E72AEA">
        <w:t xml:space="preserve"> </w:t>
      </w:r>
      <w:r w:rsidRPr="00E72AEA">
        <w:t xml:space="preserve">was received from Allergan Australia Pty Ltd by the Department of Health and Ageing in </w:t>
      </w:r>
      <w:r w:rsidR="003A7B6D" w:rsidRPr="00E72AEA">
        <w:t>May 2012</w:t>
      </w:r>
      <w:r w:rsidRPr="00E72AEA">
        <w:t>.</w:t>
      </w:r>
    </w:p>
    <w:p w:rsidR="0048193F" w:rsidRPr="00E72AEA" w:rsidRDefault="0048193F">
      <w:r w:rsidRPr="00E72AEA">
        <w:t xml:space="preserve">This is distinct from the previous </w:t>
      </w:r>
      <w:r w:rsidR="0024169E" w:rsidRPr="00E72AEA">
        <w:t>MSAC submission</w:t>
      </w:r>
      <w:r w:rsidRPr="00E72AEA">
        <w:t xml:space="preserve"> (Application 1221), which</w:t>
      </w:r>
      <w:r w:rsidR="004B2AB5">
        <w:t>,</w:t>
      </w:r>
      <w:r w:rsidRPr="00E72AEA">
        <w:t xml:space="preserve"> as noted by PASC, is specifically for </w:t>
      </w:r>
      <w:r w:rsidR="00702B58" w:rsidRPr="00E72AEA">
        <w:t xml:space="preserve">urinary incontinence due to </w:t>
      </w:r>
      <w:r w:rsidRPr="00E72AEA">
        <w:t>neurogenic detrusor overactivity (NDO). The MSAC submission for Application 1221 was submitted on 14</w:t>
      </w:r>
      <w:r w:rsidRPr="00E72AEA">
        <w:rPr>
          <w:vertAlign w:val="superscript"/>
        </w:rPr>
        <w:t>th</w:t>
      </w:r>
      <w:r w:rsidRPr="00E72AEA">
        <w:t xml:space="preserve"> June 2012 and is co-dependent to a PBAC submission </w:t>
      </w:r>
      <w:r w:rsidR="00EB0946" w:rsidRPr="00E72AEA">
        <w:t xml:space="preserve">for BOTOX® </w:t>
      </w:r>
      <w:r w:rsidR="009158A4">
        <w:t xml:space="preserve">(which </w:t>
      </w:r>
      <w:r w:rsidR="00AC1DD2">
        <w:t xml:space="preserve">was </w:t>
      </w:r>
      <w:r w:rsidRPr="00E72AEA">
        <w:t xml:space="preserve">considered at </w:t>
      </w:r>
      <w:r w:rsidR="00EB0946" w:rsidRPr="00E72AEA">
        <w:t xml:space="preserve">the </w:t>
      </w:r>
      <w:r w:rsidR="00F04CB7">
        <w:t xml:space="preserve">July </w:t>
      </w:r>
      <w:r w:rsidRPr="00E72AEA">
        <w:t>201</w:t>
      </w:r>
      <w:r w:rsidR="00F556D5">
        <w:t>2</w:t>
      </w:r>
      <w:r w:rsidRPr="00E72AEA">
        <w:t xml:space="preserve"> PBAC meeting</w:t>
      </w:r>
      <w:r w:rsidR="009158A4">
        <w:t>)</w:t>
      </w:r>
      <w:r w:rsidRPr="00E72AEA">
        <w:t>.</w:t>
      </w:r>
    </w:p>
    <w:p w:rsidR="00F55F6D" w:rsidRDefault="003A7B6D" w:rsidP="00FC7BC6">
      <w:pPr>
        <w:rPr>
          <w:rFonts w:eastAsia="Times New Roman"/>
          <w:lang w:eastAsia="en-US"/>
        </w:rPr>
      </w:pPr>
      <w:r w:rsidRPr="00E72AEA">
        <w:t>In accordance with instr</w:t>
      </w:r>
      <w:r w:rsidR="004D74E7">
        <w:t xml:space="preserve">uctions from MSAC, Allergan </w:t>
      </w:r>
      <w:r w:rsidRPr="00E72AEA">
        <w:t xml:space="preserve">adapted the Final DAP </w:t>
      </w:r>
      <w:r w:rsidR="0048193F" w:rsidRPr="00E72AEA">
        <w:t>from MSAC A</w:t>
      </w:r>
      <w:r w:rsidRPr="00E72AEA">
        <w:t xml:space="preserve">pplication 1221 (transurethral injection of BOTOX® for the treatment of incontinence due to </w:t>
      </w:r>
      <w:r w:rsidR="0048193F" w:rsidRPr="00E72AEA">
        <w:t>NDO</w:t>
      </w:r>
      <w:r w:rsidR="00EB0946" w:rsidRPr="00E72AEA">
        <w:t>, May 2012</w:t>
      </w:r>
      <w:r w:rsidR="007F70F9" w:rsidRPr="00E72AEA">
        <w:t>)</w:t>
      </w:r>
      <w:r w:rsidR="004D74E7">
        <w:t xml:space="preserve"> to produce DAP 1272 to guide the assessment of the </w:t>
      </w:r>
      <w:r w:rsidR="0076401B" w:rsidRPr="00E72AEA">
        <w:t xml:space="preserve">safety, effectiveness and cost-effectiveness of </w:t>
      </w:r>
      <w:r w:rsidR="004B3E21" w:rsidRPr="004B3E21">
        <w:t xml:space="preserve">intravesical </w:t>
      </w:r>
      <w:r w:rsidR="0076401B" w:rsidRPr="00E72AEA">
        <w:rPr>
          <w:rFonts w:eastAsia="Times New Roman"/>
          <w:lang w:eastAsia="en-US"/>
        </w:rPr>
        <w:t xml:space="preserve">injection of BOTOX® for the treatment of urinary incontinence due to </w:t>
      </w:r>
      <w:r w:rsidR="0089508F" w:rsidRPr="00E72AEA">
        <w:rPr>
          <w:rFonts w:eastAsia="Times New Roman"/>
          <w:lang w:eastAsia="en-US"/>
        </w:rPr>
        <w:t>IDO</w:t>
      </w:r>
      <w:r w:rsidR="004D74E7">
        <w:rPr>
          <w:rFonts w:eastAsia="Times New Roman"/>
          <w:lang w:eastAsia="en-US"/>
        </w:rPr>
        <w:t xml:space="preserve"> (</w:t>
      </w:r>
      <w:r w:rsidR="0076401B" w:rsidRPr="00E72AEA">
        <w:rPr>
          <w:rFonts w:eastAsia="Times New Roman"/>
          <w:lang w:eastAsia="en-US"/>
        </w:rPr>
        <w:t>in order to inform MSAC’s decision-making</w:t>
      </w:r>
      <w:r w:rsidR="004D74E7">
        <w:rPr>
          <w:rFonts w:eastAsia="Times New Roman"/>
          <w:lang w:eastAsia="en-US"/>
        </w:rPr>
        <w:t xml:space="preserve"> regarding public funding of this</w:t>
      </w:r>
      <w:r w:rsidR="0076401B" w:rsidRPr="00E72AEA">
        <w:rPr>
          <w:rFonts w:eastAsia="Times New Roman"/>
          <w:lang w:eastAsia="en-US"/>
        </w:rPr>
        <w:t xml:space="preserve"> intervention</w:t>
      </w:r>
      <w:r w:rsidR="004D74E7">
        <w:rPr>
          <w:rFonts w:eastAsia="Times New Roman"/>
          <w:lang w:eastAsia="en-US"/>
        </w:rPr>
        <w:t>)</w:t>
      </w:r>
      <w:r w:rsidR="0076401B" w:rsidRPr="00E72AEA">
        <w:rPr>
          <w:rFonts w:eastAsia="Times New Roman"/>
          <w:lang w:eastAsia="en-US"/>
        </w:rPr>
        <w:t>.</w:t>
      </w:r>
    </w:p>
    <w:p w:rsidR="004D74E7" w:rsidRDefault="004D74E7" w:rsidP="00FC7BC6">
      <w:pPr>
        <w:rPr>
          <w:rFonts w:eastAsia="Times New Roman"/>
          <w:lang w:eastAsia="en-US"/>
        </w:rPr>
      </w:pPr>
      <w:r>
        <w:rPr>
          <w:rFonts w:eastAsia="Times New Roman"/>
          <w:lang w:eastAsia="en-US"/>
        </w:rPr>
        <w:t>In November 2012, MSAC considered Application 1221 (urinary incontinence due to NDO) and agreed</w:t>
      </w:r>
      <w:r w:rsidR="00927634">
        <w:rPr>
          <w:rFonts w:eastAsia="Times New Roman"/>
          <w:lang w:eastAsia="en-US"/>
        </w:rPr>
        <w:t xml:space="preserve"> on</w:t>
      </w:r>
      <w:r>
        <w:rPr>
          <w:rFonts w:eastAsia="Times New Roman"/>
          <w:lang w:eastAsia="en-US"/>
        </w:rPr>
        <w:t xml:space="preserve"> the provision of information to the Pharmaceutical Benefits Advisory Committee (PBAC)</w:t>
      </w:r>
      <w:r w:rsidR="006E03AE">
        <w:rPr>
          <w:rFonts w:eastAsia="Times New Roman"/>
          <w:lang w:eastAsia="en-US"/>
        </w:rPr>
        <w:t xml:space="preserve"> regarding:</w:t>
      </w:r>
    </w:p>
    <w:p w:rsidR="006E03AE" w:rsidRDefault="00927634" w:rsidP="002348F1">
      <w:pPr>
        <w:numPr>
          <w:ilvl w:val="0"/>
          <w:numId w:val="31"/>
        </w:numPr>
        <w:spacing w:after="0"/>
        <w:ind w:left="1077"/>
        <w:rPr>
          <w:rFonts w:eastAsia="Times New Roman"/>
          <w:lang w:eastAsia="en-US"/>
        </w:rPr>
      </w:pPr>
      <w:r>
        <w:rPr>
          <w:rFonts w:eastAsia="Times New Roman"/>
          <w:lang w:eastAsia="en-US"/>
        </w:rPr>
        <w:t>the MBS item descriptor</w:t>
      </w:r>
      <w:r w:rsidR="006E03AE">
        <w:rPr>
          <w:rFonts w:eastAsia="Times New Roman"/>
          <w:lang w:eastAsia="en-US"/>
        </w:rPr>
        <w:t>;</w:t>
      </w:r>
    </w:p>
    <w:p w:rsidR="006E03AE" w:rsidRDefault="006E295F" w:rsidP="002348F1">
      <w:pPr>
        <w:numPr>
          <w:ilvl w:val="0"/>
          <w:numId w:val="31"/>
        </w:numPr>
        <w:spacing w:after="0"/>
        <w:ind w:left="1077"/>
        <w:rPr>
          <w:rFonts w:eastAsia="Times New Roman"/>
          <w:lang w:eastAsia="en-US"/>
        </w:rPr>
      </w:pPr>
      <w:r>
        <w:rPr>
          <w:rFonts w:eastAsia="Times New Roman"/>
          <w:lang w:eastAsia="en-US"/>
        </w:rPr>
        <w:t xml:space="preserve">the </w:t>
      </w:r>
      <w:r w:rsidR="00927634" w:rsidRPr="00927634">
        <w:rPr>
          <w:rFonts w:eastAsia="Times New Roman"/>
          <w:lang w:eastAsia="en-US"/>
        </w:rPr>
        <w:t>recommended MBS fee for the service</w:t>
      </w:r>
      <w:r w:rsidR="006E03AE">
        <w:rPr>
          <w:rFonts w:eastAsia="Times New Roman"/>
          <w:lang w:eastAsia="en-US"/>
        </w:rPr>
        <w:t>;</w:t>
      </w:r>
    </w:p>
    <w:p w:rsidR="006E03AE" w:rsidRDefault="006E295F" w:rsidP="002348F1">
      <w:pPr>
        <w:numPr>
          <w:ilvl w:val="0"/>
          <w:numId w:val="31"/>
        </w:numPr>
        <w:spacing w:after="0"/>
        <w:ind w:left="1077"/>
        <w:rPr>
          <w:rFonts w:eastAsia="Times New Roman"/>
          <w:lang w:eastAsia="en-US"/>
        </w:rPr>
      </w:pPr>
      <w:r>
        <w:rPr>
          <w:rFonts w:eastAsia="Times New Roman"/>
          <w:lang w:eastAsia="en-US"/>
        </w:rPr>
        <w:t>p</w:t>
      </w:r>
      <w:r w:rsidR="006E03AE">
        <w:rPr>
          <w:rFonts w:eastAsia="Times New Roman"/>
          <w:lang w:eastAsia="en-US"/>
        </w:rPr>
        <w:t>atient out-of-pocket costs; and</w:t>
      </w:r>
    </w:p>
    <w:p w:rsidR="006E03AE" w:rsidRDefault="006E03AE" w:rsidP="002348F1">
      <w:pPr>
        <w:numPr>
          <w:ilvl w:val="0"/>
          <w:numId w:val="31"/>
        </w:numPr>
        <w:spacing w:after="120"/>
        <w:ind w:left="1077"/>
        <w:rPr>
          <w:rFonts w:eastAsia="Times New Roman"/>
          <w:lang w:eastAsia="en-US"/>
        </w:rPr>
      </w:pPr>
      <w:r w:rsidRPr="006E03AE">
        <w:rPr>
          <w:rFonts w:eastAsia="Times New Roman"/>
          <w:lang w:eastAsia="en-US"/>
        </w:rPr>
        <w:t>Extended Medicare Safety Net risk.</w:t>
      </w:r>
    </w:p>
    <w:p w:rsidR="00D82BE3" w:rsidRPr="006E03AE" w:rsidRDefault="006E03AE" w:rsidP="00D5475A">
      <w:pPr>
        <w:spacing w:after="0"/>
        <w:rPr>
          <w:rFonts w:eastAsia="Times New Roman"/>
          <w:lang w:eastAsia="en-US"/>
        </w:rPr>
      </w:pPr>
      <w:r>
        <w:rPr>
          <w:rFonts w:eastAsia="Times New Roman"/>
          <w:lang w:eastAsia="en-US"/>
        </w:rPr>
        <w:t xml:space="preserve">MSAC has suspended its final decision on </w:t>
      </w:r>
      <w:r w:rsidR="002348F1">
        <w:rPr>
          <w:rFonts w:eastAsia="Times New Roman"/>
          <w:lang w:eastAsia="en-US"/>
        </w:rPr>
        <w:t xml:space="preserve">public funding for </w:t>
      </w:r>
      <w:r>
        <w:rPr>
          <w:rFonts w:eastAsia="Times New Roman"/>
          <w:lang w:eastAsia="en-US"/>
        </w:rPr>
        <w:t xml:space="preserve">the MBS service, pending PBAC’s decision on funding (and associated restrictions) </w:t>
      </w:r>
      <w:r w:rsidR="002348F1">
        <w:rPr>
          <w:rFonts w:eastAsia="Times New Roman"/>
          <w:lang w:eastAsia="en-US"/>
        </w:rPr>
        <w:t>for</w:t>
      </w:r>
      <w:r>
        <w:rPr>
          <w:rFonts w:eastAsia="Times New Roman"/>
          <w:lang w:eastAsia="en-US"/>
        </w:rPr>
        <w:t xml:space="preserve"> </w:t>
      </w:r>
      <w:r w:rsidRPr="006E03AE">
        <w:rPr>
          <w:rFonts w:eastAsia="Times New Roman"/>
          <w:lang w:eastAsia="en-US"/>
        </w:rPr>
        <w:t>BOTOX® for the treatment of incontinence due to NDO</w:t>
      </w:r>
      <w:r>
        <w:rPr>
          <w:rFonts w:eastAsia="Times New Roman"/>
          <w:lang w:eastAsia="en-US"/>
        </w:rPr>
        <w:t>.</w:t>
      </w:r>
      <w:r w:rsidR="004B3E21" w:rsidRPr="006E03AE">
        <w:rPr>
          <w:rFonts w:eastAsia="Times New Roman"/>
          <w:lang w:eastAsia="en-US"/>
        </w:rPr>
        <w:t xml:space="preserve"> </w:t>
      </w:r>
    </w:p>
    <w:p w:rsidR="00D5475A" w:rsidRPr="00D5475A" w:rsidRDefault="00D5475A" w:rsidP="00D5475A">
      <w:pPr>
        <w:pStyle w:val="Heading1"/>
        <w:spacing w:before="0" w:after="0" w:line="240" w:lineRule="auto"/>
        <w:rPr>
          <w:sz w:val="20"/>
          <w:szCs w:val="20"/>
          <w:lang w:val="en-AU" w:eastAsia="en-US"/>
        </w:rPr>
      </w:pPr>
      <w:bookmarkStart w:id="5" w:name="_Toc347304395"/>
    </w:p>
    <w:p w:rsidR="00612AA5" w:rsidRDefault="00612AA5" w:rsidP="00D5475A">
      <w:pPr>
        <w:pStyle w:val="Heading1"/>
        <w:spacing w:before="0" w:after="0" w:line="240" w:lineRule="auto"/>
        <w:rPr>
          <w:lang w:val="en-AU" w:eastAsia="en-US"/>
        </w:rPr>
      </w:pPr>
      <w:r w:rsidRPr="00E72AEA">
        <w:rPr>
          <w:lang w:eastAsia="en-US"/>
        </w:rPr>
        <w:t>Intervention</w:t>
      </w:r>
      <w:bookmarkEnd w:id="5"/>
    </w:p>
    <w:p w:rsidR="00D5475A" w:rsidRPr="00D5475A" w:rsidRDefault="00D5475A" w:rsidP="00D5475A">
      <w:pPr>
        <w:spacing w:after="0"/>
        <w:rPr>
          <w:sz w:val="16"/>
          <w:szCs w:val="16"/>
          <w:lang w:eastAsia="en-US"/>
        </w:rPr>
      </w:pPr>
    </w:p>
    <w:p w:rsidR="0076401B" w:rsidRPr="00E72AEA" w:rsidRDefault="0076401B" w:rsidP="00D5475A">
      <w:pPr>
        <w:pStyle w:val="Heading2"/>
        <w:spacing w:before="0" w:after="0" w:line="240" w:lineRule="auto"/>
        <w:rPr>
          <w:lang w:val="en-AU"/>
        </w:rPr>
      </w:pPr>
      <w:bookmarkStart w:id="6" w:name="_Toc347304396"/>
      <w:r w:rsidRPr="00E72AEA">
        <w:rPr>
          <w:lang w:val="en-AU"/>
        </w:rPr>
        <w:t>Description</w:t>
      </w:r>
      <w:bookmarkEnd w:id="6"/>
    </w:p>
    <w:p w:rsidR="003B4F1A" w:rsidRPr="00E72AEA" w:rsidRDefault="0076401B">
      <w:pPr>
        <w:tabs>
          <w:tab w:val="left" w:pos="0"/>
          <w:tab w:val="left" w:pos="540"/>
        </w:tabs>
        <w:ind w:right="58"/>
        <w:rPr>
          <w:color w:val="000000"/>
        </w:rPr>
      </w:pPr>
      <w:r w:rsidRPr="00E72AEA">
        <w:rPr>
          <w:color w:val="000000"/>
        </w:rPr>
        <w:t xml:space="preserve">There is no consensus on either the definition of urinary incontinence or the measurement of the severity of urinary incontinence. Consequently, the reported rates of urinary incontinence in Australia vary. AIHW, for example, estimated in 2006 that 545,000 of the Australian adult population experience severe incontinence, 723,100 Australians experience moderate urinary incontinence and </w:t>
      </w:r>
      <w:r w:rsidRPr="00E72AEA">
        <w:rPr>
          <w:color w:val="000000"/>
        </w:rPr>
        <w:lastRenderedPageBreak/>
        <w:t>2,877,500 Australians experience slight urinary incontinence (AIHW, 2006).</w:t>
      </w:r>
      <w:r w:rsidR="005837BB" w:rsidRPr="00E72AEA">
        <w:rPr>
          <w:color w:val="000000"/>
        </w:rPr>
        <w:t xml:space="preserve"> </w:t>
      </w:r>
      <w:r w:rsidRPr="00E72AEA">
        <w:rPr>
          <w:color w:val="000000"/>
        </w:rPr>
        <w:t xml:space="preserve">These population prevalence rates, however, do not differentiate by type of incontinence: stress incontinence (typically occurring during activities such as coughing, laughing, sneezing or exercise), </w:t>
      </w:r>
      <w:r w:rsidR="00830745" w:rsidRPr="00E72AEA">
        <w:rPr>
          <w:color w:val="000000"/>
        </w:rPr>
        <w:t xml:space="preserve">overactive bladder or </w:t>
      </w:r>
      <w:r w:rsidRPr="00E72AEA">
        <w:rPr>
          <w:color w:val="000000"/>
        </w:rPr>
        <w:t>urge incontinence (result of bladder spasms or contractions)</w:t>
      </w:r>
      <w:r w:rsidR="00830745" w:rsidRPr="00E72AEA">
        <w:rPr>
          <w:color w:val="000000"/>
        </w:rPr>
        <w:t>, and</w:t>
      </w:r>
      <w:r w:rsidRPr="00E72AEA">
        <w:rPr>
          <w:color w:val="000000"/>
        </w:rPr>
        <w:t xml:space="preserve"> obstruction incontinence (typically due to benign prostatic hyperplasia, bladder stones, bladder or pelvic tumours, urethral stricture, etc). </w:t>
      </w:r>
    </w:p>
    <w:p w:rsidR="00F54FF1" w:rsidRPr="00E72AEA" w:rsidRDefault="00B24731">
      <w:pPr>
        <w:autoSpaceDE w:val="0"/>
        <w:autoSpaceDN w:val="0"/>
        <w:adjustRightInd w:val="0"/>
      </w:pPr>
      <w:r w:rsidRPr="00E72AEA">
        <w:t>Overactive bladder (</w:t>
      </w:r>
      <w:r w:rsidR="003B4F1A" w:rsidRPr="00E72AEA">
        <w:t>OAB</w:t>
      </w:r>
      <w:r w:rsidRPr="00E72AEA">
        <w:t>)</w:t>
      </w:r>
      <w:r w:rsidR="003B5F94" w:rsidRPr="00E72AEA">
        <w:t xml:space="preserve"> </w:t>
      </w:r>
      <w:r w:rsidR="00CC0BDE">
        <w:t xml:space="preserve">is a clinical syndrome comprising urinary urgency, frequency of voiding with or without nocturia and with or without urinary urge incontinence. It </w:t>
      </w:r>
      <w:r w:rsidR="003B5F94" w:rsidRPr="00E72AEA">
        <w:t>is caused by a dysfunction in the coordinated mechanisms that provide controlled storage and voiding of urin</w:t>
      </w:r>
      <w:r w:rsidR="00150E6F">
        <w:t>e. This can lead to sudden urge</w:t>
      </w:r>
      <w:r w:rsidR="00C92A69">
        <w:t>ncy</w:t>
      </w:r>
      <w:r w:rsidR="003B5F94" w:rsidRPr="00E72AEA">
        <w:t xml:space="preserve"> to urinate, which may be difficult to suppress, </w:t>
      </w:r>
      <w:r w:rsidR="00150E6F">
        <w:t xml:space="preserve">and sometimes leads </w:t>
      </w:r>
      <w:r w:rsidR="003B5F94" w:rsidRPr="00E72AEA">
        <w:t xml:space="preserve">to the involuntary loss of urine (incontinence). Bladder overactivity is also associated with increased pressure within the bladder, which can </w:t>
      </w:r>
      <w:r w:rsidR="00C65555">
        <w:t>infrequen</w:t>
      </w:r>
      <w:r w:rsidR="00EF0921">
        <w:t>tly</w:t>
      </w:r>
      <w:r w:rsidR="00C65555">
        <w:t xml:space="preserve"> </w:t>
      </w:r>
      <w:r w:rsidR="003B5F94" w:rsidRPr="00E72AEA">
        <w:t xml:space="preserve">lead to upper urinary tract complications and renal damage. </w:t>
      </w:r>
      <w:r w:rsidRPr="00E72AEA">
        <w:t>However,</w:t>
      </w:r>
      <w:r w:rsidR="00D6431B">
        <w:t xml:space="preserve"> OAB, even if</w:t>
      </w:r>
      <w:r w:rsidRPr="00E72AEA">
        <w:t xml:space="preserve"> </w:t>
      </w:r>
      <w:r w:rsidR="0076789D">
        <w:t xml:space="preserve">idiopathic </w:t>
      </w:r>
      <w:r w:rsidRPr="00E72AEA">
        <w:t>OAB</w:t>
      </w:r>
      <w:r w:rsidR="00D6431B">
        <w:t>,</w:t>
      </w:r>
      <w:r w:rsidRPr="00E72AEA">
        <w:t xml:space="preserve"> </w:t>
      </w:r>
      <w:r w:rsidR="0076789D">
        <w:t xml:space="preserve">(IOAB) </w:t>
      </w:r>
      <w:r w:rsidRPr="00E72AEA">
        <w:t>is not identical to IDO; the latter requires confirmation</w:t>
      </w:r>
      <w:r w:rsidR="002D338A">
        <w:t xml:space="preserve"> by urodynamic studies</w:t>
      </w:r>
      <w:r w:rsidRPr="00E72AEA">
        <w:t xml:space="preserve"> that the symptoms are a result of the activity of an overactive detrusor. </w:t>
      </w:r>
      <w:r w:rsidR="0054035E" w:rsidRPr="00E72AEA">
        <w:t xml:space="preserve">In patients with </w:t>
      </w:r>
      <w:r w:rsidR="00F54FF1" w:rsidRPr="00E72AEA">
        <w:t>OAB</w:t>
      </w:r>
      <w:r w:rsidR="0054035E" w:rsidRPr="00E72AEA">
        <w:t xml:space="preserve"> due to </w:t>
      </w:r>
      <w:r w:rsidR="00F54FF1" w:rsidRPr="00E72AEA">
        <w:t>IDO</w:t>
      </w:r>
      <w:r w:rsidR="0054035E" w:rsidRPr="00E72AEA">
        <w:t xml:space="preserve">, the cause of </w:t>
      </w:r>
      <w:r w:rsidR="00726750" w:rsidRPr="00E72AEA">
        <w:t xml:space="preserve">the </w:t>
      </w:r>
      <w:r w:rsidR="0054035E" w:rsidRPr="00E72AEA">
        <w:t>bladder dysfunction</w:t>
      </w:r>
      <w:r w:rsidR="00726750" w:rsidRPr="00E72AEA">
        <w:t xml:space="preserve"> itself</w:t>
      </w:r>
      <w:r w:rsidR="0054035E" w:rsidRPr="00E72AEA">
        <w:t xml:space="preserve"> is unknown (unlike in patients with </w:t>
      </w:r>
      <w:r w:rsidR="00F54FF1" w:rsidRPr="00E72AEA">
        <w:t>OAB</w:t>
      </w:r>
      <w:r w:rsidR="0054035E" w:rsidRPr="00E72AEA">
        <w:t xml:space="preserve"> due to </w:t>
      </w:r>
      <w:r w:rsidR="00F54FF1" w:rsidRPr="00E72AEA">
        <w:t>NDO</w:t>
      </w:r>
      <w:r w:rsidR="0054035E" w:rsidRPr="00E72AEA">
        <w:t>, where the cause is the underlying neurological condition). The goal of the treatment is to improve patients’ quality of life</w:t>
      </w:r>
      <w:r w:rsidR="00CC0BDE">
        <w:t xml:space="preserve"> by restoring continence</w:t>
      </w:r>
      <w:r w:rsidR="0054035E" w:rsidRPr="00E72AEA">
        <w:t xml:space="preserve">, as well as </w:t>
      </w:r>
      <w:r w:rsidR="007858C1">
        <w:t xml:space="preserve">to </w:t>
      </w:r>
      <w:r w:rsidR="0054035E" w:rsidRPr="00E72AEA">
        <w:t xml:space="preserve">maintain normal pressure within the bladder </w:t>
      </w:r>
      <w:r w:rsidR="00CC0BDE">
        <w:t>during storage</w:t>
      </w:r>
      <w:r w:rsidR="0054035E" w:rsidRPr="00E72AEA">
        <w:t xml:space="preserve">. </w:t>
      </w:r>
    </w:p>
    <w:p w:rsidR="007472E4" w:rsidRDefault="0076401B">
      <w:pPr>
        <w:autoSpaceDE w:val="0"/>
        <w:autoSpaceDN w:val="0"/>
        <w:adjustRightInd w:val="0"/>
        <w:rPr>
          <w:color w:val="000000"/>
        </w:rPr>
      </w:pPr>
      <w:r w:rsidRPr="00E72AEA">
        <w:rPr>
          <w:color w:val="000000"/>
        </w:rPr>
        <w:t>Botulinum toxin (BOTOX</w:t>
      </w:r>
      <w:r w:rsidRPr="00E72AEA">
        <w:rPr>
          <w:vertAlign w:val="superscript"/>
        </w:rPr>
        <w:t>®</w:t>
      </w:r>
      <w:r w:rsidRPr="00E72AEA">
        <w:rPr>
          <w:color w:val="000000"/>
        </w:rPr>
        <w:t>) is produced by the gram-positive anaerobic bacterium Clostridium</w:t>
      </w:r>
      <w:r w:rsidR="00C65555">
        <w:rPr>
          <w:color w:val="000000"/>
        </w:rPr>
        <w:t xml:space="preserve"> botulinum</w:t>
      </w:r>
      <w:r w:rsidRPr="00E72AEA">
        <w:rPr>
          <w:color w:val="000000"/>
        </w:rPr>
        <w:t>; it is among the most potent biologic neurotoxins.  BOTOX</w:t>
      </w:r>
      <w:r w:rsidRPr="00E72AEA">
        <w:rPr>
          <w:vertAlign w:val="superscript"/>
        </w:rPr>
        <w:t>®</w:t>
      </w:r>
      <w:r w:rsidRPr="00E72AEA">
        <w:rPr>
          <w:color w:val="000000"/>
        </w:rPr>
        <w:t>’s primary mechanism of action is inhibition of acetylcholine release at the presynaptic cholinergic junction. This results in a reduction of type Ia/II intrafusal muscle fibre afferent conduction, affecting the spinal stretch reflex and decreasing muscle tone and contractility without affecting muscle strength. BOTOX</w:t>
      </w:r>
      <w:r w:rsidRPr="00E72AEA">
        <w:rPr>
          <w:vertAlign w:val="superscript"/>
        </w:rPr>
        <w:t>®</w:t>
      </w:r>
      <w:r w:rsidRPr="00E72AEA">
        <w:rPr>
          <w:color w:val="000000"/>
        </w:rPr>
        <w:t xml:space="preserve"> is thought to have a direct effect on detrusor motor innervations, as well as on intrinsic bladder reflexes (Smaldone et al, 2010). BOTOX</w:t>
      </w:r>
      <w:r w:rsidRPr="00E72AEA">
        <w:rPr>
          <w:vertAlign w:val="superscript"/>
        </w:rPr>
        <w:t>®</w:t>
      </w:r>
      <w:r w:rsidRPr="00E72AEA">
        <w:rPr>
          <w:color w:val="000000"/>
        </w:rPr>
        <w:t xml:space="preserve"> also affects the transmission of afferent stimuli and reduces the appreciation of urge</w:t>
      </w:r>
      <w:r w:rsidR="00A3192E">
        <w:rPr>
          <w:color w:val="000000"/>
        </w:rPr>
        <w:t>ncy</w:t>
      </w:r>
      <w:r w:rsidRPr="00E72AEA">
        <w:rPr>
          <w:color w:val="000000"/>
        </w:rPr>
        <w:t xml:space="preserve">. Consequently, the </w:t>
      </w:r>
      <w:r w:rsidR="00876C97">
        <w:rPr>
          <w:color w:val="000000"/>
        </w:rPr>
        <w:t>clinical exp</w:t>
      </w:r>
      <w:r w:rsidRPr="00E72AEA">
        <w:rPr>
          <w:color w:val="000000"/>
        </w:rPr>
        <w:t>erts estimate that</w:t>
      </w:r>
      <w:r w:rsidR="007472E4">
        <w:rPr>
          <w:color w:val="000000"/>
        </w:rPr>
        <w:t xml:space="preserve"> approximately 10-20% of </w:t>
      </w:r>
      <w:r w:rsidR="00E8744A">
        <w:rPr>
          <w:color w:val="000000"/>
        </w:rPr>
        <w:t xml:space="preserve">IDO </w:t>
      </w:r>
      <w:r w:rsidR="007472E4">
        <w:rPr>
          <w:color w:val="000000"/>
        </w:rPr>
        <w:t>patients will require self-catheterisation in the first 6 months post-</w:t>
      </w:r>
      <w:r w:rsidR="00E8744A">
        <w:rPr>
          <w:color w:val="000000"/>
        </w:rPr>
        <w:t>injection</w:t>
      </w:r>
      <w:r w:rsidR="003D1E74">
        <w:rPr>
          <w:color w:val="000000"/>
        </w:rPr>
        <w:t xml:space="preserve">. </w:t>
      </w:r>
      <w:r w:rsidR="007472E4">
        <w:rPr>
          <w:color w:val="000000"/>
        </w:rPr>
        <w:t>At baseline, less than 2% of IDO patients self-catheterise</w:t>
      </w:r>
      <w:r w:rsidR="0039370F">
        <w:rPr>
          <w:color w:val="000000"/>
        </w:rPr>
        <w:t>.</w:t>
      </w:r>
      <w:r w:rsidR="007472E4">
        <w:rPr>
          <w:color w:val="000000"/>
        </w:rPr>
        <w:t xml:space="preserve"> </w:t>
      </w:r>
    </w:p>
    <w:p w:rsidR="0076401B" w:rsidRPr="00E72AEA" w:rsidRDefault="0076401B">
      <w:pPr>
        <w:autoSpaceDE w:val="0"/>
        <w:autoSpaceDN w:val="0"/>
        <w:adjustRightInd w:val="0"/>
      </w:pPr>
      <w:r w:rsidRPr="00E72AEA">
        <w:t xml:space="preserve">The </w:t>
      </w:r>
      <w:r w:rsidR="00710FC1" w:rsidRPr="004B3E21">
        <w:t xml:space="preserve">intravesical </w:t>
      </w:r>
      <w:r w:rsidRPr="00E72AEA">
        <w:t xml:space="preserve">injection of </w:t>
      </w:r>
      <w:r w:rsidRPr="00E72AEA">
        <w:rPr>
          <w:color w:val="000000"/>
        </w:rPr>
        <w:t>BOTOX</w:t>
      </w:r>
      <w:r w:rsidRPr="00E72AEA">
        <w:rPr>
          <w:vertAlign w:val="superscript"/>
        </w:rPr>
        <w:t>®</w:t>
      </w:r>
      <w:r w:rsidRPr="00E72AEA">
        <w:t xml:space="preserve"> for the treatment of urinary incontinence due to </w:t>
      </w:r>
      <w:r w:rsidR="00702B58" w:rsidRPr="00E72AEA">
        <w:t>IDO</w:t>
      </w:r>
      <w:r w:rsidR="004A20D0" w:rsidRPr="00E72AEA">
        <w:t xml:space="preserve"> </w:t>
      </w:r>
      <w:r w:rsidR="00263A45">
        <w:t xml:space="preserve">may be </w:t>
      </w:r>
      <w:r w:rsidRPr="00E72AEA">
        <w:t xml:space="preserve">performed </w:t>
      </w:r>
      <w:r w:rsidR="00A914AC">
        <w:t xml:space="preserve">with local anaesthetic (with or without sedation) or </w:t>
      </w:r>
      <w:r w:rsidRPr="00E72AEA">
        <w:t xml:space="preserve">under general anaesthesia. BOTOX® is injected into multiple sites in the muscular layer of the bladder wall. </w:t>
      </w:r>
    </w:p>
    <w:p w:rsidR="0076401B" w:rsidRPr="00E72AEA" w:rsidRDefault="0076401B" w:rsidP="00914B66">
      <w:pPr>
        <w:pStyle w:val="Heading2"/>
        <w:spacing w:line="240" w:lineRule="auto"/>
        <w:rPr>
          <w:lang w:val="en-AU"/>
        </w:rPr>
      </w:pPr>
      <w:bookmarkStart w:id="7" w:name="_Toc347304397"/>
      <w:r w:rsidRPr="00E72AEA">
        <w:rPr>
          <w:lang w:val="en-AU"/>
        </w:rPr>
        <w:t>Administration, dose, frequency of administration, duration of treatment</w:t>
      </w:r>
      <w:bookmarkEnd w:id="7"/>
    </w:p>
    <w:p w:rsidR="00E8744A" w:rsidRDefault="0076401B" w:rsidP="009E30D4">
      <w:r w:rsidRPr="00E72AEA">
        <w:t xml:space="preserve">The patient </w:t>
      </w:r>
      <w:r w:rsidR="00A914AC">
        <w:t xml:space="preserve">may be given local anaesthetic with or without sedation, or </w:t>
      </w:r>
      <w:r w:rsidRPr="00E72AEA">
        <w:t>general anaesthesia</w:t>
      </w:r>
      <w:r w:rsidR="00806CF0">
        <w:t>,</w:t>
      </w:r>
      <w:r w:rsidRPr="00E72AEA">
        <w:t xml:space="preserve"> prior to the procedure. A rigid or flexible cystoscope is inserted through the urethra and into the bladder to allow visualisation of the bladder wall. </w:t>
      </w:r>
      <w:r w:rsidR="00F04CB7">
        <w:t>100 U</w:t>
      </w:r>
      <w:r w:rsidR="00463AEC">
        <w:rPr>
          <w:rStyle w:val="FootnoteReference"/>
        </w:rPr>
        <w:footnoteReference w:id="3"/>
      </w:r>
      <w:r w:rsidR="00F04CB7">
        <w:t xml:space="preserve"> of </w:t>
      </w:r>
      <w:r w:rsidRPr="009E15BB">
        <w:t>BOTOX® is</w:t>
      </w:r>
      <w:r w:rsidRPr="00E72AEA">
        <w:t xml:space="preserve"> injected into the inner muscular layer of </w:t>
      </w:r>
      <w:r w:rsidRPr="00E72AEA">
        <w:lastRenderedPageBreak/>
        <w:t xml:space="preserve">the bladder wall (detrusor). The needle is inserted approximately 2 mm into the detrusor, and </w:t>
      </w:r>
      <w:r w:rsidR="004A20D0" w:rsidRPr="00E72AEA">
        <w:t xml:space="preserve">20 </w:t>
      </w:r>
      <w:r w:rsidRPr="00E72AEA">
        <w:t xml:space="preserve">injections are spaced approximately 1 cm apart. Clinical improvement generally occurs within 2 weeks. </w:t>
      </w:r>
    </w:p>
    <w:p w:rsidR="009E30D4" w:rsidRPr="00E72AEA" w:rsidRDefault="00C251E3" w:rsidP="009E30D4">
      <w:r w:rsidRPr="00E72AEA">
        <w:t>T</w:t>
      </w:r>
      <w:r w:rsidR="0076401B" w:rsidRPr="00E72AEA">
        <w:t xml:space="preserve">he effect of </w:t>
      </w:r>
      <w:r w:rsidR="0076401B" w:rsidRPr="00E72AEA">
        <w:rPr>
          <w:color w:val="000000"/>
        </w:rPr>
        <w:t>BOTOX</w:t>
      </w:r>
      <w:r w:rsidR="0076401B" w:rsidRPr="00E72AEA">
        <w:rPr>
          <w:vertAlign w:val="superscript"/>
        </w:rPr>
        <w:t xml:space="preserve">® </w:t>
      </w:r>
      <w:r w:rsidR="0076401B" w:rsidRPr="00E72AEA">
        <w:t>wears off over time</w:t>
      </w:r>
      <w:r w:rsidR="00E8744A">
        <w:t>;</w:t>
      </w:r>
      <w:r w:rsidR="0076401B" w:rsidRPr="00E72AEA">
        <w:t xml:space="preserve"> </w:t>
      </w:r>
      <w:r w:rsidRPr="00E72AEA">
        <w:t xml:space="preserve">in the </w:t>
      </w:r>
      <w:r w:rsidR="00852B39" w:rsidRPr="00E72AEA">
        <w:t xml:space="preserve">two </w:t>
      </w:r>
      <w:r w:rsidRPr="00E72AEA">
        <w:t xml:space="preserve">Phase III </w:t>
      </w:r>
      <w:r w:rsidR="00852B39" w:rsidRPr="00E72AEA">
        <w:t xml:space="preserve">pivotal </w:t>
      </w:r>
      <w:r w:rsidRPr="00E72AEA">
        <w:t>trials, the median time</w:t>
      </w:r>
      <w:r w:rsidR="00D82BE3">
        <w:t xml:space="preserve"> to retreatment was 24.1 weeks (approximately 6 months). The applicant proposes that </w:t>
      </w:r>
      <w:r w:rsidR="009E30D4" w:rsidRPr="00E72AEA">
        <w:t xml:space="preserve">a more </w:t>
      </w:r>
      <w:r w:rsidR="00D82BE3">
        <w:t>accurate</w:t>
      </w:r>
      <w:r w:rsidR="00D82BE3" w:rsidRPr="00E72AEA">
        <w:t xml:space="preserve"> </w:t>
      </w:r>
      <w:r w:rsidR="009E30D4" w:rsidRPr="00E72AEA">
        <w:t xml:space="preserve">estimation of duration of treatment effect will be obtained from </w:t>
      </w:r>
      <w:r w:rsidR="00D36F12" w:rsidRPr="00E72AEA">
        <w:t>an</w:t>
      </w:r>
      <w:r w:rsidR="009E30D4" w:rsidRPr="00E72AEA">
        <w:t xml:space="preserve"> integrated analysis of the two Phase III pivotal studies and the long-term extension study</w:t>
      </w:r>
      <w:r w:rsidR="00D82BE3">
        <w:t>, which will be</w:t>
      </w:r>
      <w:r w:rsidR="009E30D4" w:rsidRPr="00E72AEA">
        <w:t xml:space="preserve"> presented in the MSAC submission for this MBS listing application.</w:t>
      </w:r>
    </w:p>
    <w:p w:rsidR="0076401B" w:rsidRPr="00E72AEA" w:rsidRDefault="0076401B" w:rsidP="00113672">
      <w:pPr>
        <w:keepNext/>
      </w:pPr>
      <w:r w:rsidRPr="00E72AEA">
        <w:t>Delivery could be restricted to certain specialties, including urologists and potentially also gynaecologists or subspecialties of gynaecology (e.g. urogynaecologists).</w:t>
      </w:r>
      <w:r w:rsidR="000D52F9" w:rsidRPr="00E72AEA">
        <w:rPr>
          <w:rStyle w:val="FootnoteReference"/>
        </w:rPr>
        <w:footnoteReference w:id="4"/>
      </w:r>
      <w:r w:rsidRPr="00E72AEA">
        <w:t xml:space="preserve"> The procedure is </w:t>
      </w:r>
      <w:r w:rsidR="00113672" w:rsidRPr="00113672">
        <w:t>performed in</w:t>
      </w:r>
      <w:r w:rsidR="00405F1D">
        <w:t xml:space="preserve"> a theatre or procedure room on </w:t>
      </w:r>
      <w:r w:rsidR="00D82BE3">
        <w:t xml:space="preserve">a 100% in-hospital basis </w:t>
      </w:r>
      <w:r w:rsidR="00341F7B">
        <w:t>–</w:t>
      </w:r>
      <w:r w:rsidR="00113672" w:rsidRPr="00113672">
        <w:t xml:space="preserve"> generally on patients </w:t>
      </w:r>
      <w:r w:rsidRPr="00113672">
        <w:t>who are day-admitted (occasionally</w:t>
      </w:r>
      <w:r w:rsidR="00113672">
        <w:t>, patients are</w:t>
      </w:r>
      <w:r w:rsidRPr="00113672">
        <w:t xml:space="preserve"> overnight-admitted </w:t>
      </w:r>
      <w:r w:rsidR="00113672">
        <w:t>if</w:t>
      </w:r>
      <w:r w:rsidRPr="00113672">
        <w:t xml:space="preserve"> there are significant co-morbidities).</w:t>
      </w:r>
      <w:r w:rsidR="001650AD">
        <w:t xml:space="preserve"> As the service is provided only to admitted in-hospital patients, PASC determined that Extended Medicare Safety Net (EMSN) risk is negligible. (Other attendance items that may be performed in connection with this service have EMSN caps.) </w:t>
      </w:r>
    </w:p>
    <w:p w:rsidR="0076401B" w:rsidRPr="00E72AEA" w:rsidRDefault="0076401B">
      <w:pPr>
        <w:pStyle w:val="Heading2"/>
        <w:rPr>
          <w:lang w:val="en-AU"/>
        </w:rPr>
      </w:pPr>
      <w:bookmarkStart w:id="8" w:name="_Toc347304398"/>
      <w:r w:rsidRPr="00E72AEA">
        <w:rPr>
          <w:lang w:val="en-AU"/>
        </w:rPr>
        <w:t>Co-administered interventions</w:t>
      </w:r>
      <w:bookmarkEnd w:id="8"/>
    </w:p>
    <w:p w:rsidR="0076401B" w:rsidRPr="00E72AEA" w:rsidRDefault="0076401B">
      <w:r w:rsidRPr="00E72AEA">
        <w:t>Urodynamic studies</w:t>
      </w:r>
      <w:r w:rsidR="00D82BE3">
        <w:t xml:space="preserve"> (MBS item 11919)</w:t>
      </w:r>
      <w:r w:rsidRPr="00E72AEA">
        <w:t xml:space="preserve"> are a standard part of patient assessment</w:t>
      </w:r>
      <w:r w:rsidR="00546949">
        <w:t xml:space="preserve">. They are </w:t>
      </w:r>
      <w:r w:rsidR="00856298">
        <w:t>typically performed when the patient first presents for initial treatment</w:t>
      </w:r>
      <w:r w:rsidR="00D82BE3">
        <w:t>, in order to diagnose detrusor involvement.</w:t>
      </w:r>
      <w:r w:rsidR="00546949">
        <w:t xml:space="preserve"> </w:t>
      </w:r>
      <w:r w:rsidR="00D82BE3">
        <w:t>R</w:t>
      </w:r>
      <w:r w:rsidR="00856298">
        <w:t>epeat urodynamic studies would not be required at the time the patient</w:t>
      </w:r>
      <w:r w:rsidR="002146E4">
        <w:t xml:space="preserve"> would</w:t>
      </w:r>
      <w:r w:rsidR="00856298">
        <w:t xml:space="preserve"> become eligible for BOTOX</w:t>
      </w:r>
      <w:r w:rsidR="00856298" w:rsidRPr="00E72AEA">
        <w:t>®</w:t>
      </w:r>
      <w:r w:rsidR="00856298">
        <w:t xml:space="preserve"> injections</w:t>
      </w:r>
      <w:r w:rsidRPr="00E72AEA">
        <w:t xml:space="preserve">. According to </w:t>
      </w:r>
      <w:r w:rsidR="002B0998">
        <w:t xml:space="preserve">a </w:t>
      </w:r>
      <w:r w:rsidR="00876C97">
        <w:t>clinical e</w:t>
      </w:r>
      <w:r w:rsidR="00952118" w:rsidRPr="00E72AEA">
        <w:t>xpert</w:t>
      </w:r>
      <w:r w:rsidRPr="00E72AEA">
        <w:t xml:space="preserve">, a urodynamic study assesses the function of the lower urinary tract, and involves a measurement of: the urinary flow (including the measurement of the urine flow rate, voided volume, and voiding pattern), bladder and perineal ultrasound </w:t>
      </w:r>
      <w:r w:rsidR="003F4306">
        <w:t xml:space="preserve">or fluoroscopy </w:t>
      </w:r>
      <w:r w:rsidRPr="00E72AEA">
        <w:t xml:space="preserve">(assesses residual urinary volume and urethral mobility), cystometry (assesses bladder filling, storage and pressures) and stress testing (to diagnose </w:t>
      </w:r>
      <w:r w:rsidR="003F4306">
        <w:t xml:space="preserve">urodynamic stress incontinence) and a pressure-flow study to assess emptying. </w:t>
      </w:r>
    </w:p>
    <w:p w:rsidR="0076401B" w:rsidRDefault="0076401B">
      <w:r w:rsidRPr="00E72AEA">
        <w:t>The additional health care resources required on the same day as the injection may include: hospital admission costs, anaesthesia cost, intravenous antibiotics, needle cost (</w:t>
      </w:r>
      <w:r w:rsidR="00851F3A">
        <w:t>Williams needle for rigid cystoscope and flexible needle if flexible cystoscope is used</w:t>
      </w:r>
      <w:r w:rsidR="00791F58">
        <w:rPr>
          <w:rStyle w:val="FootnoteReference"/>
        </w:rPr>
        <w:footnoteReference w:id="5"/>
      </w:r>
      <w:r w:rsidR="003D1E74">
        <w:t>), and BOTOX® cost.</w:t>
      </w:r>
      <w:r w:rsidR="00463AEC">
        <w:rPr>
          <w:rStyle w:val="FootnoteReference"/>
        </w:rPr>
        <w:footnoteReference w:id="6"/>
      </w:r>
      <w:r w:rsidR="003D1E74">
        <w:t xml:space="preserve"> </w:t>
      </w:r>
      <w:r w:rsidR="00BB3174">
        <w:t xml:space="preserve"> </w:t>
      </w:r>
      <w:r w:rsidRPr="00E72AEA">
        <w:t>With the exception of the B</w:t>
      </w:r>
      <w:r w:rsidR="00947C05">
        <w:t>OTOX® cost, these resources would</w:t>
      </w:r>
      <w:r w:rsidRPr="00E72AEA">
        <w:t xml:space="preserve"> </w:t>
      </w:r>
      <w:r w:rsidR="00947C05">
        <w:t xml:space="preserve">also </w:t>
      </w:r>
      <w:r w:rsidRPr="00E72AEA">
        <w:t>be incurred on the day of sacral nerve stimulation</w:t>
      </w:r>
      <w:r w:rsidR="00947C05">
        <w:t>.</w:t>
      </w:r>
      <w:r w:rsidRPr="00E72AEA">
        <w:t xml:space="preserve"> </w:t>
      </w:r>
    </w:p>
    <w:p w:rsidR="00127E75" w:rsidRDefault="0076401B" w:rsidP="00127E75">
      <w:pPr>
        <w:spacing w:after="0"/>
      </w:pPr>
      <w:r w:rsidRPr="00E72AEA">
        <w:lastRenderedPageBreak/>
        <w:t>Pa</w:t>
      </w:r>
      <w:r w:rsidR="00846380">
        <w:t xml:space="preserve">tients being considered for </w:t>
      </w:r>
      <w:r w:rsidRPr="00E72AEA">
        <w:rPr>
          <w:color w:val="000000"/>
        </w:rPr>
        <w:t>BOTOX</w:t>
      </w:r>
      <w:r w:rsidRPr="00E72AEA">
        <w:rPr>
          <w:vertAlign w:val="superscript"/>
        </w:rPr>
        <w:t xml:space="preserve">® </w:t>
      </w:r>
      <w:r w:rsidRPr="00E72AEA">
        <w:t xml:space="preserve">injections will have failed or will be intolerant to anticholinergic therapy and/or smooth muscle relaxants. However, some patients may remain on these therapies during treatment with </w:t>
      </w:r>
      <w:r w:rsidRPr="00E72AEA">
        <w:rPr>
          <w:color w:val="000000"/>
        </w:rPr>
        <w:t>BOTOX</w:t>
      </w:r>
      <w:r w:rsidRPr="00E72AEA">
        <w:rPr>
          <w:vertAlign w:val="superscript"/>
        </w:rPr>
        <w:t>®</w:t>
      </w:r>
      <w:r w:rsidRPr="00E72AEA">
        <w:t>.</w:t>
      </w:r>
    </w:p>
    <w:p w:rsidR="0076401B" w:rsidRPr="007B3CEC" w:rsidRDefault="0076401B" w:rsidP="00127E75">
      <w:pPr>
        <w:spacing w:after="0"/>
        <w:rPr>
          <w:sz w:val="16"/>
          <w:szCs w:val="16"/>
        </w:rPr>
      </w:pPr>
      <w:r w:rsidRPr="00127E75">
        <w:rPr>
          <w:sz w:val="16"/>
          <w:szCs w:val="16"/>
        </w:rPr>
        <w:t xml:space="preserve"> </w:t>
      </w:r>
    </w:p>
    <w:p w:rsidR="00127E75" w:rsidRDefault="0076401B" w:rsidP="00127E75">
      <w:pPr>
        <w:spacing w:after="0"/>
      </w:pPr>
      <w:r w:rsidRPr="00E72AEA">
        <w:t>Anticholinergic drugs currently in use include: oxybutynin (PBS item number</w:t>
      </w:r>
      <w:r w:rsidR="00240FC4">
        <w:t xml:space="preserve"> 8039D</w:t>
      </w:r>
      <w:r w:rsidRPr="00E72AEA">
        <w:t xml:space="preserve">), propantheline (PBS item number 1953T), imipramine (PBS item number </w:t>
      </w:r>
      <w:hyperlink r:id="rId9" w:tooltip="2420j" w:history="1">
        <w:r w:rsidRPr="00E72AEA">
          <w:t>2420J</w:t>
        </w:r>
      </w:hyperlink>
      <w:r w:rsidRPr="00E72AEA">
        <w:t xml:space="preserve">), tolterodine (not PBS-listed), darifenacin (not PBS-listed), solifenacin (not PBS-listed), extended-release patch version of oxybutynin (PBS item number 9454N) and extended release version of tolterodine (not PBS-listed). Oxybutynin is the most widely used anticholinergic, although propantheline is an older drug still </w:t>
      </w:r>
      <w:r w:rsidR="00834FBF">
        <w:t>sometimes</w:t>
      </w:r>
      <w:r w:rsidRPr="00E72AEA">
        <w:t xml:space="preserve"> used in Australia (Kuteesa and Moore, 2006).</w:t>
      </w:r>
    </w:p>
    <w:p w:rsidR="0076401B" w:rsidRPr="00127E75" w:rsidRDefault="0076401B" w:rsidP="00127E75">
      <w:pPr>
        <w:spacing w:after="0"/>
        <w:rPr>
          <w:sz w:val="16"/>
          <w:szCs w:val="16"/>
        </w:rPr>
      </w:pPr>
      <w:r w:rsidRPr="00127E75">
        <w:rPr>
          <w:sz w:val="16"/>
          <w:szCs w:val="16"/>
        </w:rPr>
        <w:t xml:space="preserve"> </w:t>
      </w:r>
    </w:p>
    <w:p w:rsidR="0031627E" w:rsidRDefault="0076401B" w:rsidP="00127E75">
      <w:pPr>
        <w:spacing w:after="0"/>
      </w:pPr>
      <w:r w:rsidRPr="00E72AEA">
        <w:t xml:space="preserve">According to </w:t>
      </w:r>
      <w:r w:rsidR="00925712">
        <w:t>a</w:t>
      </w:r>
      <w:r w:rsidRPr="00E72AEA">
        <w:t xml:space="preserve"> </w:t>
      </w:r>
      <w:r w:rsidR="00876C97">
        <w:t>clinical e</w:t>
      </w:r>
      <w:r w:rsidR="00952118" w:rsidRPr="00E72AEA">
        <w:t>xpert</w:t>
      </w:r>
      <w:r w:rsidRPr="00E72AEA">
        <w:t xml:space="preserve">, the smooth muscle relaxant currently in use is oxybutynin (PBS item number 8039D). </w:t>
      </w:r>
    </w:p>
    <w:p w:rsidR="0031627E" w:rsidRPr="00127E75" w:rsidRDefault="0031627E" w:rsidP="00127E75">
      <w:pPr>
        <w:spacing w:after="0"/>
        <w:rPr>
          <w:sz w:val="16"/>
          <w:szCs w:val="16"/>
        </w:rPr>
      </w:pPr>
    </w:p>
    <w:p w:rsidR="0076401B" w:rsidRPr="00E72AEA" w:rsidRDefault="005174E7" w:rsidP="00127E75">
      <w:pPr>
        <w:spacing w:after="0"/>
      </w:pPr>
      <w:r>
        <w:t xml:space="preserve">Clinical </w:t>
      </w:r>
      <w:r w:rsidR="00876C97">
        <w:t>e</w:t>
      </w:r>
      <w:r>
        <w:t>xperts advise that</w:t>
      </w:r>
      <w:r w:rsidR="00925712">
        <w:t>,</w:t>
      </w:r>
      <w:r>
        <w:t xml:space="preserve"> i</w:t>
      </w:r>
      <w:r w:rsidR="0031627E">
        <w:t>n current practice, the patient would</w:t>
      </w:r>
      <w:r w:rsidR="00CA0C1A">
        <w:t xml:space="preserve"> typically</w:t>
      </w:r>
      <w:r w:rsidR="0031627E">
        <w:t xml:space="preserve"> start therapy with oxybut</w:t>
      </w:r>
      <w:r w:rsidR="00403215">
        <w:t>y</w:t>
      </w:r>
      <w:r w:rsidR="0031627E">
        <w:t>nin. Subsequently, either oxytrol patches, or solifenacin, or darifenacin</w:t>
      </w:r>
      <w:r w:rsidR="00CA2EE5">
        <w:t>,</w:t>
      </w:r>
      <w:r w:rsidR="0031627E">
        <w:t xml:space="preserve"> or tolterodine would be tried. </w:t>
      </w:r>
      <w:r w:rsidR="007D238A">
        <w:t xml:space="preserve">Propantheline </w:t>
      </w:r>
      <w:r w:rsidR="0031627E">
        <w:t xml:space="preserve">is seldom used in current practice, on account of its side effects. </w:t>
      </w:r>
      <w:r w:rsidR="007D238A">
        <w:t xml:space="preserve">Any of the anti-muscarinics can be augmented in effect by tricyclics antidepressants such as imipramine. </w:t>
      </w:r>
    </w:p>
    <w:p w:rsidR="00D5475A" w:rsidRPr="00D5475A" w:rsidRDefault="00D5475A" w:rsidP="00D5475A">
      <w:pPr>
        <w:pStyle w:val="Heading1"/>
        <w:spacing w:before="0" w:after="0"/>
        <w:rPr>
          <w:sz w:val="16"/>
          <w:szCs w:val="16"/>
          <w:lang w:val="en-AU"/>
        </w:rPr>
      </w:pPr>
      <w:bookmarkStart w:id="9" w:name="_Toc347304399"/>
    </w:p>
    <w:p w:rsidR="0076401B" w:rsidRPr="00E72AEA" w:rsidRDefault="0076401B" w:rsidP="007B3CEC">
      <w:pPr>
        <w:pStyle w:val="Heading1"/>
        <w:spacing w:before="0" w:after="80"/>
      </w:pPr>
      <w:r w:rsidRPr="00E72AEA">
        <w:t>Background</w:t>
      </w:r>
      <w:bookmarkEnd w:id="9"/>
    </w:p>
    <w:p w:rsidR="0076401B" w:rsidRDefault="0076401B" w:rsidP="007B3CEC">
      <w:pPr>
        <w:pStyle w:val="Heading2"/>
        <w:spacing w:before="0" w:after="80"/>
        <w:rPr>
          <w:lang w:val="en-AU"/>
        </w:rPr>
      </w:pPr>
      <w:bookmarkStart w:id="10" w:name="_Toc347304400"/>
      <w:r w:rsidRPr="00E72AEA">
        <w:rPr>
          <w:lang w:val="en-AU"/>
        </w:rPr>
        <w:t>Current arrangements for public reimbursement</w:t>
      </w:r>
      <w:bookmarkEnd w:id="10"/>
    </w:p>
    <w:p w:rsidR="0076401B" w:rsidRPr="00E72AEA" w:rsidRDefault="0076401B">
      <w:r w:rsidRPr="00E72AEA">
        <w:t>BOTOX® injection for overactivity incontinence is currently available to patients visiting an urologist or urogynaecologist through patient self-pay (for drug costs), and, less frequently, through private hospital funding or private h</w:t>
      </w:r>
      <w:r w:rsidR="00CB1792">
        <w:t xml:space="preserve">ealth insurance. </w:t>
      </w:r>
      <w:r w:rsidR="00A17FD1" w:rsidRPr="00E72AEA">
        <w:t xml:space="preserve">Co-dependent with the </w:t>
      </w:r>
      <w:r w:rsidR="00F62B04">
        <w:t>current</w:t>
      </w:r>
      <w:r w:rsidR="00D03488">
        <w:t xml:space="preserve"> </w:t>
      </w:r>
      <w:r w:rsidR="00A17FD1" w:rsidRPr="00E72AEA">
        <w:t xml:space="preserve">MSAC </w:t>
      </w:r>
      <w:r w:rsidR="00F62B04">
        <w:t>application</w:t>
      </w:r>
      <w:r w:rsidR="00A17FD1" w:rsidRPr="00E72AEA">
        <w:t xml:space="preserve">, </w:t>
      </w:r>
      <w:r w:rsidRPr="00E72AEA">
        <w:t xml:space="preserve">Allergan </w:t>
      </w:r>
      <w:r w:rsidR="00A17FD1" w:rsidRPr="00E72AEA">
        <w:t>will be seeking PBS</w:t>
      </w:r>
      <w:r w:rsidRPr="00E72AEA">
        <w:t xml:space="preserve"> funding of BOTOX® for the treatment of urinary incontinence</w:t>
      </w:r>
      <w:r w:rsidR="00A17FD1" w:rsidRPr="00E72AEA">
        <w:t xml:space="preserve"> </w:t>
      </w:r>
      <w:r w:rsidR="00A27AF7">
        <w:t xml:space="preserve">due to </w:t>
      </w:r>
      <w:r w:rsidR="00EC31AF">
        <w:t>idiopathic overactive bladder (</w:t>
      </w:r>
      <w:r w:rsidR="001C466B">
        <w:t>I</w:t>
      </w:r>
      <w:r w:rsidR="00A27AF7">
        <w:t>OAB</w:t>
      </w:r>
      <w:r w:rsidR="00EC31AF">
        <w:t>)</w:t>
      </w:r>
      <w:r w:rsidR="00A27AF7">
        <w:t xml:space="preserve">, </w:t>
      </w:r>
      <w:r w:rsidRPr="00E72AEA">
        <w:t>through Section 100 of the PBS.</w:t>
      </w:r>
    </w:p>
    <w:p w:rsidR="0076401B" w:rsidRPr="00E72AEA" w:rsidRDefault="0076401B">
      <w:r w:rsidRPr="00834FBF">
        <w:t xml:space="preserve">The injection of </w:t>
      </w:r>
      <w:r w:rsidRPr="00834FBF">
        <w:rPr>
          <w:color w:val="000000"/>
        </w:rPr>
        <w:t>BOTOX</w:t>
      </w:r>
      <w:r w:rsidRPr="00834FBF">
        <w:rPr>
          <w:vertAlign w:val="superscript"/>
        </w:rPr>
        <w:t>®</w:t>
      </w:r>
      <w:r w:rsidRPr="00834FBF">
        <w:t xml:space="preserve"> into the bladder is currently being claimed using MBS item</w:t>
      </w:r>
      <w:r w:rsidR="00C12645">
        <w:t>s</w:t>
      </w:r>
      <w:r w:rsidRPr="00834FBF">
        <w:t xml:space="preserve"> 36851</w:t>
      </w:r>
      <w:r w:rsidR="000156B9">
        <w:t xml:space="preserve"> </w:t>
      </w:r>
      <w:r w:rsidR="00C12645">
        <w:t>(predominantly) or 37339 (infrequently).</w:t>
      </w:r>
      <w:r w:rsidR="003D1E74">
        <w:t xml:space="preserve"> </w:t>
      </w:r>
      <w:r w:rsidR="00927A11">
        <w:t>C</w:t>
      </w:r>
      <w:r w:rsidR="00C12645">
        <w:t xml:space="preserve">linical </w:t>
      </w:r>
      <w:r w:rsidR="00876C97">
        <w:t>e</w:t>
      </w:r>
      <w:r w:rsidR="00C12645">
        <w:t>xperts indicated</w:t>
      </w:r>
      <w:r w:rsidRPr="00E72AEA">
        <w:t xml:space="preserve"> that item 37339 is unlikely to be used for </w:t>
      </w:r>
      <w:r w:rsidRPr="00E72AEA">
        <w:rPr>
          <w:color w:val="000000"/>
        </w:rPr>
        <w:t>BOTOX</w:t>
      </w:r>
      <w:r w:rsidRPr="00E72AEA">
        <w:rPr>
          <w:vertAlign w:val="superscript"/>
        </w:rPr>
        <w:t xml:space="preserve">® </w:t>
      </w:r>
      <w:r w:rsidRPr="00E72AEA">
        <w:t>injections, as it is predominantly used for injections of collagen</w:t>
      </w:r>
      <w:r w:rsidR="00E36583">
        <w:t>,</w:t>
      </w:r>
      <w:r w:rsidRPr="00E72AEA">
        <w:t xml:space="preserve"> macroplastique</w:t>
      </w:r>
      <w:r w:rsidR="00E36583">
        <w:t xml:space="preserve"> or deflux</w:t>
      </w:r>
      <w:r w:rsidR="003D1E74">
        <w:t xml:space="preserve"> into the urethral wall</w:t>
      </w:r>
      <w:r w:rsidR="00215F23">
        <w:t>.</w:t>
      </w:r>
      <w:r w:rsidRPr="00E72AEA">
        <w:t xml:space="preserve"> </w:t>
      </w:r>
    </w:p>
    <w:p w:rsidR="00941D45" w:rsidRDefault="0076401B">
      <w:r w:rsidRPr="00E72AEA">
        <w:t xml:space="preserve">The number of claims processed per calendar year </w:t>
      </w:r>
      <w:r w:rsidR="008F6EED">
        <w:t>under</w:t>
      </w:r>
      <w:r w:rsidRPr="00E72AEA">
        <w:t xml:space="preserve"> item 36851 has increased from </w:t>
      </w:r>
      <w:r w:rsidR="00C6527B">
        <w:t>fewer</w:t>
      </w:r>
      <w:r w:rsidRPr="00E72AEA">
        <w:t xml:space="preserve"> than 100 in 2000</w:t>
      </w:r>
      <w:r w:rsidR="00E474A9" w:rsidRPr="00E72AEA">
        <w:t>/</w:t>
      </w:r>
      <w:r w:rsidRPr="00E72AEA">
        <w:t>2001, to</w:t>
      </w:r>
      <w:r w:rsidR="00E474A9" w:rsidRPr="00E72AEA">
        <w:t xml:space="preserve"> 661 in 2010/2011</w:t>
      </w:r>
      <w:r w:rsidRPr="00E72AEA">
        <w:t>, whereas th</w:t>
      </w:r>
      <w:r w:rsidR="008F6EED">
        <w:t>e numbers of claims under</w:t>
      </w:r>
      <w:r w:rsidRPr="00E72AEA">
        <w:t xml:space="preserve"> item 37339 has fluctuated but remained fairly constant over time (537 claims were processed in 2000/2001 and 564 were processed in 2010/11). It is not possible to differentiate the proportion of claims under item</w:t>
      </w:r>
      <w:r w:rsidR="00B66A1C">
        <w:t>s</w:t>
      </w:r>
      <w:r w:rsidRPr="00E72AEA">
        <w:t xml:space="preserve"> 36851 </w:t>
      </w:r>
      <w:r w:rsidR="00B66A1C">
        <w:t xml:space="preserve">(or 37339) </w:t>
      </w:r>
      <w:r w:rsidRPr="00E72AEA">
        <w:t xml:space="preserve">that </w:t>
      </w:r>
      <w:r w:rsidR="002E1D0D">
        <w:t xml:space="preserve">would </w:t>
      </w:r>
      <w:r w:rsidRPr="00E72AEA">
        <w:t xml:space="preserve">be attributed to botulinum toxin.  Although data on items 36851 </w:t>
      </w:r>
      <w:r w:rsidR="00B66A1C">
        <w:t xml:space="preserve">(and 37339) </w:t>
      </w:r>
      <w:r w:rsidRPr="00E72AEA">
        <w:t>may provide some guidance, it is important to note that the data would be masked by appropriate usage for the purpose originally approved for</w:t>
      </w:r>
      <w:r w:rsidR="00B66A1C">
        <w:t xml:space="preserve"> each </w:t>
      </w:r>
      <w:r w:rsidRPr="00E72AEA">
        <w:t xml:space="preserve">item.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9242"/>
      </w:tblGrid>
      <w:tr w:rsidR="0076401B" w:rsidRPr="00E72AEA">
        <w:tc>
          <w:tcPr>
            <w:tcW w:w="9242" w:type="dxa"/>
            <w:tcBorders>
              <w:top w:val="single" w:sz="4" w:space="0" w:color="auto"/>
            </w:tcBorders>
          </w:tcPr>
          <w:p w:rsidR="0076401B" w:rsidRPr="00DA6ACA" w:rsidRDefault="0076401B">
            <w:pPr>
              <w:tabs>
                <w:tab w:val="left" w:pos="2835"/>
              </w:tabs>
              <w:autoSpaceDE w:val="0"/>
              <w:autoSpaceDN w:val="0"/>
              <w:adjustRightInd w:val="0"/>
              <w:spacing w:before="40" w:after="0" w:line="240" w:lineRule="auto"/>
              <w:jc w:val="left"/>
              <w:rPr>
                <w:rFonts w:eastAsia="Times New Roman"/>
                <w:u w:val="single"/>
                <w:lang w:eastAsia="en-US"/>
              </w:rPr>
            </w:pPr>
            <w:r w:rsidRPr="00DA6ACA">
              <w:rPr>
                <w:rFonts w:eastAsia="Times New Roman"/>
                <w:u w:val="single"/>
                <w:lang w:eastAsia="en-US"/>
              </w:rPr>
              <w:t>MBS 36851</w:t>
            </w:r>
          </w:p>
          <w:p w:rsidR="0076401B" w:rsidRPr="00DA6ACA" w:rsidRDefault="0076401B">
            <w:pPr>
              <w:tabs>
                <w:tab w:val="left" w:pos="2835"/>
              </w:tabs>
              <w:autoSpaceDE w:val="0"/>
              <w:autoSpaceDN w:val="0"/>
              <w:adjustRightInd w:val="0"/>
              <w:spacing w:before="40" w:after="0" w:line="240" w:lineRule="auto"/>
              <w:jc w:val="left"/>
              <w:rPr>
                <w:rFonts w:eastAsia="Times New Roman"/>
                <w:lang w:eastAsia="en-US"/>
              </w:rPr>
            </w:pPr>
            <w:r w:rsidRPr="00DA6ACA">
              <w:rPr>
                <w:rFonts w:eastAsia="Times New Roman"/>
                <w:lang w:eastAsia="en-US"/>
              </w:rPr>
              <w:t xml:space="preserve">CYSTOSCOPY, with injection into bladder wall </w:t>
            </w:r>
          </w:p>
          <w:p w:rsidR="0076401B" w:rsidRPr="00DA6ACA" w:rsidRDefault="0076401B">
            <w:pPr>
              <w:tabs>
                <w:tab w:val="left" w:pos="2835"/>
              </w:tabs>
              <w:autoSpaceDE w:val="0"/>
              <w:autoSpaceDN w:val="0"/>
              <w:adjustRightInd w:val="0"/>
              <w:spacing w:before="40" w:after="0" w:line="240" w:lineRule="auto"/>
              <w:jc w:val="left"/>
              <w:rPr>
                <w:rFonts w:eastAsia="Times New Roman"/>
                <w:lang w:eastAsia="en-US"/>
              </w:rPr>
            </w:pPr>
            <w:r w:rsidRPr="00DA6ACA">
              <w:rPr>
                <w:rFonts w:eastAsia="Times New Roman"/>
                <w:lang w:eastAsia="en-US"/>
              </w:rPr>
              <w:t>(Anaes.)</w:t>
            </w:r>
          </w:p>
          <w:p w:rsidR="0076401B" w:rsidRPr="00DA6ACA" w:rsidRDefault="0076401B" w:rsidP="00DA6ACA">
            <w:pPr>
              <w:tabs>
                <w:tab w:val="left" w:pos="2835"/>
              </w:tabs>
              <w:spacing w:before="40" w:after="0" w:line="240" w:lineRule="auto"/>
            </w:pPr>
            <w:r w:rsidRPr="00DA6ACA">
              <w:rPr>
                <w:rFonts w:eastAsia="Times New Roman"/>
                <w:lang w:eastAsia="en-US"/>
              </w:rPr>
              <w:t>Fee: $22</w:t>
            </w:r>
            <w:r w:rsidR="00DA6ACA" w:rsidRPr="00DA6ACA">
              <w:rPr>
                <w:rFonts w:eastAsia="Times New Roman"/>
                <w:lang w:eastAsia="en-US"/>
              </w:rPr>
              <w:t>9.8</w:t>
            </w:r>
            <w:r w:rsidRPr="00DA6ACA">
              <w:rPr>
                <w:rFonts w:eastAsia="Times New Roman"/>
                <w:lang w:eastAsia="en-US"/>
              </w:rPr>
              <w:t>5</w:t>
            </w:r>
          </w:p>
        </w:tc>
      </w:tr>
      <w:tr w:rsidR="0076401B" w:rsidRPr="00E72AEA">
        <w:tc>
          <w:tcPr>
            <w:tcW w:w="9242" w:type="dxa"/>
            <w:tcBorders>
              <w:bottom w:val="single" w:sz="4" w:space="0" w:color="auto"/>
            </w:tcBorders>
          </w:tcPr>
          <w:p w:rsidR="00BD3AF7" w:rsidRDefault="00BD3AF7">
            <w:pPr>
              <w:tabs>
                <w:tab w:val="left" w:pos="2835"/>
              </w:tabs>
              <w:autoSpaceDE w:val="0"/>
              <w:autoSpaceDN w:val="0"/>
              <w:adjustRightInd w:val="0"/>
              <w:spacing w:before="40" w:after="0" w:line="240" w:lineRule="auto"/>
              <w:jc w:val="left"/>
              <w:rPr>
                <w:rFonts w:eastAsia="Times New Roman"/>
                <w:u w:val="single"/>
                <w:lang w:eastAsia="en-US"/>
              </w:rPr>
            </w:pPr>
          </w:p>
          <w:p w:rsidR="0076401B" w:rsidRPr="00DA6ACA" w:rsidRDefault="0076401B">
            <w:pPr>
              <w:tabs>
                <w:tab w:val="left" w:pos="2835"/>
              </w:tabs>
              <w:autoSpaceDE w:val="0"/>
              <w:autoSpaceDN w:val="0"/>
              <w:adjustRightInd w:val="0"/>
              <w:spacing w:before="40" w:after="0" w:line="240" w:lineRule="auto"/>
              <w:jc w:val="left"/>
              <w:rPr>
                <w:rFonts w:eastAsia="Times New Roman"/>
                <w:u w:val="single"/>
                <w:lang w:eastAsia="en-US"/>
              </w:rPr>
            </w:pPr>
            <w:r w:rsidRPr="00DA6ACA">
              <w:rPr>
                <w:rFonts w:eastAsia="Times New Roman"/>
                <w:u w:val="single"/>
                <w:lang w:eastAsia="en-US"/>
              </w:rPr>
              <w:t>MBS 37339</w:t>
            </w:r>
          </w:p>
          <w:p w:rsidR="0076401B" w:rsidRPr="00DA6ACA" w:rsidRDefault="0076401B">
            <w:pPr>
              <w:tabs>
                <w:tab w:val="left" w:pos="2835"/>
              </w:tabs>
              <w:autoSpaceDE w:val="0"/>
              <w:autoSpaceDN w:val="0"/>
              <w:adjustRightInd w:val="0"/>
              <w:spacing w:before="40" w:after="0" w:line="240" w:lineRule="auto"/>
              <w:jc w:val="left"/>
              <w:rPr>
                <w:rFonts w:eastAsia="Times New Roman"/>
                <w:lang w:eastAsia="en-US"/>
              </w:rPr>
            </w:pPr>
            <w:r w:rsidRPr="00DA6ACA">
              <w:rPr>
                <w:rFonts w:eastAsia="Times New Roman"/>
                <w:lang w:eastAsia="en-US"/>
              </w:rPr>
              <w:t xml:space="preserve">PERIURETHRAL OR TRANSURETHRAL INJECTION of materials for the treatment of urinary incontinence, including cystoscopy and urethroscopy </w:t>
            </w:r>
          </w:p>
          <w:p w:rsidR="0076401B" w:rsidRPr="00DA6ACA" w:rsidRDefault="0076401B">
            <w:pPr>
              <w:tabs>
                <w:tab w:val="left" w:pos="2835"/>
              </w:tabs>
              <w:autoSpaceDE w:val="0"/>
              <w:autoSpaceDN w:val="0"/>
              <w:adjustRightInd w:val="0"/>
              <w:spacing w:before="40" w:after="0" w:line="240" w:lineRule="auto"/>
              <w:jc w:val="left"/>
              <w:rPr>
                <w:rFonts w:eastAsia="Times New Roman"/>
                <w:lang w:eastAsia="en-US"/>
              </w:rPr>
            </w:pPr>
            <w:r w:rsidRPr="00DA6ACA">
              <w:rPr>
                <w:rFonts w:eastAsia="Times New Roman"/>
                <w:lang w:eastAsia="en-US"/>
              </w:rPr>
              <w:t>(Anaes.)</w:t>
            </w:r>
          </w:p>
          <w:p w:rsidR="0076401B" w:rsidRPr="00DA6ACA" w:rsidRDefault="0076401B" w:rsidP="00DA6ACA">
            <w:pPr>
              <w:tabs>
                <w:tab w:val="left" w:pos="2835"/>
              </w:tabs>
              <w:spacing w:before="40" w:after="0" w:line="240" w:lineRule="auto"/>
            </w:pPr>
            <w:r w:rsidRPr="00DA6ACA">
              <w:rPr>
                <w:rFonts w:eastAsia="Times New Roman"/>
                <w:lang w:eastAsia="en-US"/>
              </w:rPr>
              <w:t>Fee: $23</w:t>
            </w:r>
            <w:r w:rsidR="00DA6ACA" w:rsidRPr="00DA6ACA">
              <w:rPr>
                <w:rFonts w:eastAsia="Times New Roman"/>
                <w:lang w:eastAsia="en-US"/>
              </w:rPr>
              <w:t>9</w:t>
            </w:r>
            <w:r w:rsidRPr="00DA6ACA">
              <w:rPr>
                <w:rFonts w:eastAsia="Times New Roman"/>
                <w:lang w:eastAsia="en-US"/>
              </w:rPr>
              <w:t>.</w:t>
            </w:r>
            <w:r w:rsidR="00DA6ACA" w:rsidRPr="00DA6ACA">
              <w:rPr>
                <w:rFonts w:eastAsia="Times New Roman"/>
                <w:lang w:eastAsia="en-US"/>
              </w:rPr>
              <w:t>85</w:t>
            </w:r>
          </w:p>
        </w:tc>
      </w:tr>
    </w:tbl>
    <w:p w:rsidR="0076401B" w:rsidRPr="00E72AEA" w:rsidRDefault="0076401B">
      <w:pPr>
        <w:pStyle w:val="Heading2"/>
        <w:rPr>
          <w:lang w:val="en-AU"/>
        </w:rPr>
      </w:pPr>
      <w:bookmarkStart w:id="11" w:name="_Toc347304401"/>
      <w:r w:rsidRPr="00E72AEA">
        <w:rPr>
          <w:lang w:val="en-AU"/>
        </w:rPr>
        <w:t>Regulatory status</w:t>
      </w:r>
      <w:bookmarkEnd w:id="11"/>
    </w:p>
    <w:p w:rsidR="008C3914" w:rsidRDefault="0076401B" w:rsidP="008C3914">
      <w:pPr>
        <w:autoSpaceDE w:val="0"/>
        <w:autoSpaceDN w:val="0"/>
        <w:adjustRightInd w:val="0"/>
      </w:pPr>
      <w:r w:rsidRPr="00E72AEA">
        <w:t>BOTOX® (a trademark of Allergan) is currently TGA-registered for a number of indications</w:t>
      </w:r>
      <w:r w:rsidR="00D52D3C">
        <w:t xml:space="preserve"> under </w:t>
      </w:r>
      <w:r w:rsidRPr="00E72AEA">
        <w:t xml:space="preserve">TGA entries 172264 and 67311. </w:t>
      </w:r>
      <w:r w:rsidR="008C3914">
        <w:t xml:space="preserve">The applicant informs that TGA </w:t>
      </w:r>
      <w:r w:rsidR="00C65968">
        <w:t>assessment</w:t>
      </w:r>
      <w:r w:rsidR="008C3914">
        <w:t xml:space="preserve"> of BOTOX</w:t>
      </w:r>
      <w:r w:rsidR="008C3914">
        <w:rPr>
          <w:vertAlign w:val="superscript"/>
        </w:rPr>
        <w:t>®</w:t>
      </w:r>
      <w:r w:rsidR="008C3914">
        <w:t xml:space="preserve"> for the indication of </w:t>
      </w:r>
      <w:r w:rsidR="008C3914" w:rsidRPr="00E62706">
        <w:t>OAB</w:t>
      </w:r>
      <w:r w:rsidR="008C3914">
        <w:t xml:space="preserve"> is underway </w:t>
      </w:r>
      <w:r w:rsidR="00C65968" w:rsidRPr="00C65968">
        <w:t>(i.e. the indication is not limited to IDO)</w:t>
      </w:r>
      <w:r w:rsidR="00C65968">
        <w:t>. T</w:t>
      </w:r>
      <w:r w:rsidR="008C3914">
        <w:t>he complete TGA submission was lodged in early July 2012.</w:t>
      </w:r>
      <w:r w:rsidR="00DA6ACA">
        <w:rPr>
          <w:rStyle w:val="FootnoteReference"/>
        </w:rPr>
        <w:footnoteReference w:id="7"/>
      </w:r>
      <w:r w:rsidR="008C3914">
        <w:t xml:space="preserve">  </w:t>
      </w:r>
    </w:p>
    <w:p w:rsidR="0076401B" w:rsidRPr="00E72AEA" w:rsidRDefault="0076401B">
      <w:r w:rsidRPr="00E72AEA">
        <w:t xml:space="preserve">The </w:t>
      </w:r>
      <w:r w:rsidR="003D646F">
        <w:t xml:space="preserve">currently </w:t>
      </w:r>
      <w:r w:rsidRPr="00E72AEA">
        <w:t>approved indications (under entries</w:t>
      </w:r>
      <w:r w:rsidR="008E067C" w:rsidRPr="00E72AEA">
        <w:t xml:space="preserve"> 172264 and 67311</w:t>
      </w:r>
      <w:r w:rsidRPr="00E72AEA">
        <w:t xml:space="preserve">) include: </w:t>
      </w:r>
    </w:p>
    <w:p w:rsidR="00E474A9" w:rsidRPr="00E72AEA" w:rsidRDefault="00265068" w:rsidP="009158A4">
      <w:pPr>
        <w:pStyle w:val="ListParagraph"/>
        <w:numPr>
          <w:ilvl w:val="0"/>
          <w:numId w:val="7"/>
        </w:numPr>
        <w:spacing w:after="0"/>
        <w:ind w:left="714" w:hanging="357"/>
      </w:pPr>
      <w:r>
        <w:t>T</w:t>
      </w:r>
      <w:r w:rsidR="00E474A9" w:rsidRPr="00E72AEA">
        <w:t>reatment of urinary incontinence due to neurogenic detrusor overactivity resulting from a defined neurological illness (such as spinal cord injury or multiple sclerosis) and not controlled adequately by anticholinergic agents.</w:t>
      </w:r>
      <w:r w:rsidR="00E474A9" w:rsidRPr="00E72AEA">
        <w:rPr>
          <w:rStyle w:val="FootnoteReference"/>
        </w:rPr>
        <w:t xml:space="preserve"> </w:t>
      </w:r>
      <w:r w:rsidR="00E474A9" w:rsidRPr="00E72AEA">
        <w:t>This does not include idiopathic overactive bladder.</w:t>
      </w:r>
    </w:p>
    <w:p w:rsidR="0076401B" w:rsidRPr="00E72AEA" w:rsidRDefault="00265068" w:rsidP="009158A4">
      <w:pPr>
        <w:pStyle w:val="ListParagraph"/>
        <w:numPr>
          <w:ilvl w:val="0"/>
          <w:numId w:val="7"/>
        </w:numPr>
        <w:spacing w:after="0"/>
        <w:ind w:left="714" w:hanging="357"/>
      </w:pPr>
      <w:r>
        <w:t>P</w:t>
      </w:r>
      <w:r w:rsidR="0076401B" w:rsidRPr="00E72AEA">
        <w:t>rophylaxis of headaches in adults with chronic migraine (headache on at least 15 days per month of which at least 8 days are with migraine);</w:t>
      </w:r>
    </w:p>
    <w:p w:rsidR="0076401B" w:rsidRPr="00E72AEA" w:rsidRDefault="0076401B" w:rsidP="009158A4">
      <w:pPr>
        <w:pStyle w:val="ListParagraph"/>
        <w:numPr>
          <w:ilvl w:val="0"/>
          <w:numId w:val="7"/>
        </w:numPr>
        <w:spacing w:after="0"/>
        <w:ind w:left="714" w:hanging="357"/>
      </w:pPr>
      <w:r w:rsidRPr="00E72AEA">
        <w:t>Treatment of strabismus in children and adults;</w:t>
      </w:r>
    </w:p>
    <w:p w:rsidR="0076401B" w:rsidRPr="00E72AEA" w:rsidRDefault="0076401B" w:rsidP="009158A4">
      <w:pPr>
        <w:pStyle w:val="ListParagraph"/>
        <w:numPr>
          <w:ilvl w:val="0"/>
          <w:numId w:val="7"/>
        </w:numPr>
        <w:spacing w:after="0"/>
        <w:ind w:left="714" w:hanging="357"/>
      </w:pPr>
      <w:r w:rsidRPr="00E72AEA">
        <w:t>Treatment of blepharospasm associated with dystonia, including benign blepharospasm and VII nerve disorders (specifically hemifacial spasm) in patients twelve years and over;</w:t>
      </w:r>
    </w:p>
    <w:p w:rsidR="0076401B" w:rsidRPr="00E72AEA" w:rsidRDefault="0076401B" w:rsidP="009158A4">
      <w:pPr>
        <w:pStyle w:val="ListParagraph"/>
        <w:numPr>
          <w:ilvl w:val="0"/>
          <w:numId w:val="7"/>
        </w:numPr>
        <w:spacing w:after="0"/>
        <w:ind w:left="714" w:hanging="357"/>
      </w:pPr>
      <w:r w:rsidRPr="00E72AEA">
        <w:t>Treatment of cervical dystonia (spasmodic torticollis);</w:t>
      </w:r>
    </w:p>
    <w:p w:rsidR="0076401B" w:rsidRPr="00E72AEA" w:rsidRDefault="0076401B" w:rsidP="009158A4">
      <w:pPr>
        <w:pStyle w:val="ListParagraph"/>
        <w:numPr>
          <w:ilvl w:val="0"/>
          <w:numId w:val="7"/>
        </w:numPr>
        <w:spacing w:after="0"/>
        <w:ind w:left="714" w:hanging="357"/>
      </w:pPr>
      <w:r w:rsidRPr="00E72AEA">
        <w:t>Treatment of focal spasticity of the upper and lower limbs, including dynamic equinus foot deformity, due to juvenile cerebral palsy in patients two years of age and older;</w:t>
      </w:r>
    </w:p>
    <w:p w:rsidR="0076401B" w:rsidRPr="00E72AEA" w:rsidRDefault="0076401B" w:rsidP="009158A4">
      <w:pPr>
        <w:pStyle w:val="ListParagraph"/>
        <w:numPr>
          <w:ilvl w:val="0"/>
          <w:numId w:val="7"/>
        </w:numPr>
        <w:autoSpaceDE w:val="0"/>
        <w:autoSpaceDN w:val="0"/>
        <w:adjustRightInd w:val="0"/>
        <w:spacing w:after="0"/>
        <w:ind w:left="714" w:hanging="357"/>
        <w:jc w:val="left"/>
        <w:rPr>
          <w:rFonts w:eastAsia="Times New Roman"/>
          <w:lang w:eastAsia="en-US"/>
        </w:rPr>
      </w:pPr>
      <w:r w:rsidRPr="00E72AEA">
        <w:t xml:space="preserve">Treatment of severe primary hyperhidrosis of the axillae; </w:t>
      </w:r>
    </w:p>
    <w:p w:rsidR="0076401B" w:rsidRPr="00E72AEA" w:rsidRDefault="0076401B" w:rsidP="009158A4">
      <w:pPr>
        <w:pStyle w:val="ListParagraph"/>
        <w:numPr>
          <w:ilvl w:val="0"/>
          <w:numId w:val="7"/>
        </w:numPr>
        <w:autoSpaceDE w:val="0"/>
        <w:autoSpaceDN w:val="0"/>
        <w:adjustRightInd w:val="0"/>
        <w:spacing w:after="0"/>
        <w:ind w:left="714" w:hanging="357"/>
        <w:jc w:val="left"/>
        <w:rPr>
          <w:rFonts w:eastAsia="Times New Roman"/>
          <w:lang w:eastAsia="en-US"/>
        </w:rPr>
      </w:pPr>
      <w:r w:rsidRPr="00E72AEA">
        <w:rPr>
          <w:rFonts w:eastAsia="Times New Roman"/>
          <w:lang w:eastAsia="en-US"/>
        </w:rPr>
        <w:t>Treatment of focal spasticity in adults;</w:t>
      </w:r>
    </w:p>
    <w:p w:rsidR="0076401B" w:rsidRPr="00E72AEA" w:rsidRDefault="0076401B" w:rsidP="009158A4">
      <w:pPr>
        <w:pStyle w:val="ListParagraph"/>
        <w:numPr>
          <w:ilvl w:val="0"/>
          <w:numId w:val="7"/>
        </w:numPr>
        <w:spacing w:after="0"/>
        <w:ind w:left="714" w:hanging="357"/>
      </w:pPr>
      <w:r w:rsidRPr="00E72AEA">
        <w:t>Treatment of spasmodic dysphonia.</w:t>
      </w:r>
    </w:p>
    <w:p w:rsidR="009158A4" w:rsidRDefault="009158A4" w:rsidP="009158A4">
      <w:pPr>
        <w:spacing w:after="0"/>
      </w:pPr>
    </w:p>
    <w:p w:rsidR="0076401B" w:rsidRDefault="0076401B" w:rsidP="00941D45">
      <w:pPr>
        <w:spacing w:after="120"/>
      </w:pPr>
      <w:r w:rsidRPr="00E72AEA">
        <w:t xml:space="preserve">BOTOX (Botulinum Toxin Type A) Purified Neurotoxin Complex is indicated for the following cosmetic indications: </w:t>
      </w:r>
    </w:p>
    <w:p w:rsidR="0076401B" w:rsidRPr="00E72AEA" w:rsidRDefault="0076401B" w:rsidP="00941D45">
      <w:pPr>
        <w:pStyle w:val="ListParagraph"/>
        <w:numPr>
          <w:ilvl w:val="0"/>
          <w:numId w:val="8"/>
        </w:numPr>
        <w:spacing w:after="120"/>
      </w:pPr>
      <w:r w:rsidRPr="00E72AEA">
        <w:t>Temporary improvement in the appearance of upper facial rhytides (glabellar lines, crows’ feet and forehead lines) in adults.</w:t>
      </w:r>
    </w:p>
    <w:p w:rsidR="0076401B" w:rsidRPr="00E72AEA" w:rsidRDefault="0076401B">
      <w:r w:rsidRPr="00E72AEA">
        <w:t>An alternative clos</w:t>
      </w:r>
      <w:r w:rsidR="000131DA">
        <w:t>tridium botulinum type A toxin (Dysport)</w:t>
      </w:r>
      <w:r w:rsidRPr="00E72AEA">
        <w:t xml:space="preserve"> is also TGA-registered for a more limited list of indications. Under TGA entries 74124 and 170651</w:t>
      </w:r>
      <w:r w:rsidR="00D52D3C">
        <w:t>,</w:t>
      </w:r>
      <w:r w:rsidRPr="00E72AEA">
        <w:t xml:space="preserve"> Dysport is specified for the treatment of: </w:t>
      </w:r>
    </w:p>
    <w:p w:rsidR="0076401B" w:rsidRPr="00E72AEA" w:rsidRDefault="002404D2" w:rsidP="009158A4">
      <w:pPr>
        <w:pStyle w:val="ListParagraph"/>
        <w:numPr>
          <w:ilvl w:val="0"/>
          <w:numId w:val="8"/>
        </w:numPr>
        <w:spacing w:after="0"/>
        <w:ind w:left="714" w:hanging="357"/>
      </w:pPr>
      <w:r>
        <w:t>S</w:t>
      </w:r>
      <w:r w:rsidR="0076401B" w:rsidRPr="00E72AEA">
        <w:t xml:space="preserve">pasticity of the upper limb in adults following a stroke; </w:t>
      </w:r>
    </w:p>
    <w:p w:rsidR="0076401B" w:rsidRPr="00E72AEA" w:rsidRDefault="002404D2" w:rsidP="009158A4">
      <w:pPr>
        <w:pStyle w:val="ListParagraph"/>
        <w:numPr>
          <w:ilvl w:val="0"/>
          <w:numId w:val="8"/>
        </w:numPr>
        <w:spacing w:after="0"/>
        <w:ind w:left="714" w:hanging="357"/>
      </w:pPr>
      <w:r>
        <w:t>S</w:t>
      </w:r>
      <w:r w:rsidR="0076401B" w:rsidRPr="00E72AEA">
        <w:t xml:space="preserve">pasmodic torticollis in adults; </w:t>
      </w:r>
    </w:p>
    <w:p w:rsidR="0076401B" w:rsidRPr="00E72AEA" w:rsidRDefault="002404D2" w:rsidP="009158A4">
      <w:pPr>
        <w:pStyle w:val="ListParagraph"/>
        <w:numPr>
          <w:ilvl w:val="0"/>
          <w:numId w:val="8"/>
        </w:numPr>
        <w:spacing w:after="0"/>
        <w:ind w:left="714" w:hanging="357"/>
      </w:pPr>
      <w:r>
        <w:t>D</w:t>
      </w:r>
      <w:r w:rsidR="0076401B" w:rsidRPr="00E72AEA">
        <w:t xml:space="preserve">ynamic equinus foot deformity due to spasticity in ambulant paediatric cerebral palsy patients, two years of age or older; </w:t>
      </w:r>
    </w:p>
    <w:p w:rsidR="0076401B" w:rsidRPr="00E72AEA" w:rsidRDefault="002404D2" w:rsidP="009158A4">
      <w:pPr>
        <w:pStyle w:val="ListParagraph"/>
        <w:numPr>
          <w:ilvl w:val="0"/>
          <w:numId w:val="8"/>
        </w:numPr>
        <w:spacing w:after="0"/>
        <w:ind w:left="714" w:hanging="357"/>
      </w:pPr>
      <w:r>
        <w:lastRenderedPageBreak/>
        <w:t>B</w:t>
      </w:r>
      <w:r w:rsidR="0076401B" w:rsidRPr="00E72AEA">
        <w:t xml:space="preserve">lepharospasm in adults; </w:t>
      </w:r>
    </w:p>
    <w:p w:rsidR="0076401B" w:rsidRPr="00E72AEA" w:rsidRDefault="002404D2" w:rsidP="009158A4">
      <w:pPr>
        <w:pStyle w:val="ListParagraph"/>
        <w:numPr>
          <w:ilvl w:val="0"/>
          <w:numId w:val="8"/>
        </w:numPr>
        <w:spacing w:after="0"/>
        <w:ind w:left="714" w:hanging="357"/>
      </w:pPr>
      <w:r>
        <w:t>H</w:t>
      </w:r>
      <w:r w:rsidR="0076401B" w:rsidRPr="00E72AEA">
        <w:t xml:space="preserve">emifacial spasm in adults; </w:t>
      </w:r>
    </w:p>
    <w:p w:rsidR="0076401B" w:rsidRPr="00E72AEA" w:rsidRDefault="002404D2" w:rsidP="009158A4">
      <w:pPr>
        <w:pStyle w:val="ListParagraph"/>
        <w:numPr>
          <w:ilvl w:val="0"/>
          <w:numId w:val="8"/>
        </w:numPr>
        <w:spacing w:after="0"/>
        <w:ind w:left="714" w:hanging="357"/>
      </w:pPr>
      <w:r>
        <w:t>M</w:t>
      </w:r>
      <w:r w:rsidR="0076401B" w:rsidRPr="00E72AEA">
        <w:t>oderate to severe glabellar lines in adults.</w:t>
      </w:r>
    </w:p>
    <w:p w:rsidR="009158A4" w:rsidRDefault="009158A4" w:rsidP="009158A4">
      <w:pPr>
        <w:pStyle w:val="ListParagraph"/>
        <w:spacing w:after="0"/>
        <w:ind w:left="0"/>
      </w:pPr>
    </w:p>
    <w:p w:rsidR="008E7CFC" w:rsidRPr="00E72AEA" w:rsidRDefault="00830745" w:rsidP="00FC4ABC">
      <w:pPr>
        <w:pStyle w:val="ListParagraph"/>
        <w:spacing w:after="0"/>
        <w:ind w:left="0"/>
      </w:pPr>
      <w:r w:rsidRPr="00E72AEA">
        <w:t>As noted by TGA</w:t>
      </w:r>
      <w:r w:rsidR="008E7CFC" w:rsidRPr="00E72AEA">
        <w:t>, there is a lack of intercha</w:t>
      </w:r>
      <w:r w:rsidR="008770E9">
        <w:t>nge</w:t>
      </w:r>
      <w:r w:rsidR="008E7CFC" w:rsidRPr="00E72AEA">
        <w:t>ability between botulinum toxin products due to the lack of a standardised international unit. As such, BOTOX® is not therapeutically equivalent to any other botulinum toxin type A preparations.</w:t>
      </w:r>
    </w:p>
    <w:p w:rsidR="0076401B" w:rsidRPr="00E72AEA" w:rsidRDefault="0076401B">
      <w:pPr>
        <w:pStyle w:val="Heading1"/>
      </w:pPr>
      <w:bookmarkStart w:id="12" w:name="_Toc347304402"/>
      <w:r w:rsidRPr="00E72AEA">
        <w:t>Patient population</w:t>
      </w:r>
      <w:bookmarkEnd w:id="12"/>
    </w:p>
    <w:p w:rsidR="0076401B" w:rsidRDefault="004A45C4">
      <w:r>
        <w:t xml:space="preserve">The </w:t>
      </w:r>
      <w:r w:rsidR="00AF605B">
        <w:t>applicant</w:t>
      </w:r>
      <w:r w:rsidR="00265068">
        <w:t xml:space="preserve"> is seeking MBS and PBS funding for patients with urinary incontinence due to </w:t>
      </w:r>
      <w:r w:rsidR="00FC4ABC">
        <w:t>idiopathic overactive bladder (</w:t>
      </w:r>
      <w:r w:rsidR="00265068">
        <w:t>IOAB</w:t>
      </w:r>
      <w:r w:rsidR="00B559D6">
        <w:t xml:space="preserve">) - </w:t>
      </w:r>
      <w:r w:rsidR="00FC4ABC">
        <w:t xml:space="preserve">which </w:t>
      </w:r>
      <w:r w:rsidR="00265068">
        <w:t xml:space="preserve">is a broader population than </w:t>
      </w:r>
      <w:r w:rsidR="00FC4ABC">
        <w:t>idiopathic detrusor overactivity (</w:t>
      </w:r>
      <w:r w:rsidR="00B559D6">
        <w:t>IDO) -</w:t>
      </w:r>
      <w:r w:rsidR="00265068">
        <w:t xml:space="preserve"> </w:t>
      </w:r>
      <w:r w:rsidR="00FC4ABC">
        <w:t xml:space="preserve">in patients </w:t>
      </w:r>
      <w:r w:rsidR="00265068">
        <w:t>who</w:t>
      </w:r>
      <w:r w:rsidR="00265068" w:rsidRPr="00265068">
        <w:t xml:space="preserve"> have failed or are contraindicated for first-line conservative therapy, including anti-cholinergic medications. (Patients must be willing and able to self-catheterise.)</w:t>
      </w:r>
      <w:r w:rsidR="00B32239">
        <w:t xml:space="preserve"> </w:t>
      </w:r>
      <w:r w:rsidR="00265068">
        <w:t>The patient population associated with</w:t>
      </w:r>
      <w:r w:rsidR="00B32239">
        <w:t xml:space="preserve"> MBS funding would</w:t>
      </w:r>
      <w:r w:rsidR="00265068">
        <w:t xml:space="preserve"> be aligned with </w:t>
      </w:r>
      <w:r w:rsidR="00B32239">
        <w:t xml:space="preserve">any </w:t>
      </w:r>
      <w:r w:rsidR="00265068">
        <w:t>PBAC</w:t>
      </w:r>
      <w:r w:rsidR="00B32239">
        <w:t>-recommended</w:t>
      </w:r>
      <w:r w:rsidR="00265068">
        <w:t xml:space="preserve"> PBS listing.</w:t>
      </w:r>
      <w:r w:rsidR="0076401B" w:rsidRPr="00E72AEA">
        <w:t xml:space="preserve"> </w:t>
      </w:r>
    </w:p>
    <w:p w:rsidR="008857FD" w:rsidRDefault="008857FD" w:rsidP="008857FD">
      <w:r w:rsidRPr="008857FD">
        <w:t xml:space="preserve">Although the population to be eligible for </w:t>
      </w:r>
      <w:r>
        <w:t>PBS</w:t>
      </w:r>
      <w:r w:rsidRPr="008857FD">
        <w:t xml:space="preserve"> subsidy of botulinum toxin is a matter for PBAC, PASC noted that</w:t>
      </w:r>
      <w:r w:rsidR="00B32239">
        <w:t>:</w:t>
      </w:r>
    </w:p>
    <w:p w:rsidR="008857FD" w:rsidRDefault="00B32239" w:rsidP="00B32239">
      <w:pPr>
        <w:numPr>
          <w:ilvl w:val="0"/>
          <w:numId w:val="34"/>
        </w:numPr>
      </w:pPr>
      <w:r>
        <w:t xml:space="preserve">Expert </w:t>
      </w:r>
      <w:r w:rsidR="008857FD" w:rsidRPr="008857FD">
        <w:t xml:space="preserve">clinical opinion is that botulinum toxin is only beneficial for patients </w:t>
      </w:r>
      <w:r>
        <w:t xml:space="preserve">with </w:t>
      </w:r>
      <w:r w:rsidR="008857FD" w:rsidRPr="008857FD">
        <w:t>urinary incontinence due to</w:t>
      </w:r>
      <w:r>
        <w:t xml:space="preserve"> IDO</w:t>
      </w:r>
      <w:r w:rsidR="008857FD" w:rsidRPr="008857FD">
        <w:t xml:space="preserve">.  This is because the mechanism of action of botulinum toxin is mediated through its </w:t>
      </w:r>
      <w:r>
        <w:t xml:space="preserve">effect on the detrusor muscle. </w:t>
      </w:r>
      <w:r w:rsidR="008857FD" w:rsidRPr="008857FD">
        <w:t xml:space="preserve">Effectiveness of botulinum toxin is less biologically plausible for patients who have the broader indication of urinary incontinence due to </w:t>
      </w:r>
      <w:r>
        <w:t>IOAB</w:t>
      </w:r>
      <w:r w:rsidR="008857FD" w:rsidRPr="008857FD">
        <w:t xml:space="preserve">, without detrusor involvement. </w:t>
      </w:r>
      <w:r>
        <w:t>I</w:t>
      </w:r>
      <w:r w:rsidR="000E4F7D">
        <w:t>OAB patients may n</w:t>
      </w:r>
      <w:r w:rsidR="008857FD" w:rsidRPr="008857FD">
        <w:t xml:space="preserve">ot benefit </w:t>
      </w:r>
      <w:r w:rsidR="000E4F7D">
        <w:t xml:space="preserve">from botulinum toxin treatment and </w:t>
      </w:r>
      <w:r w:rsidR="008857FD" w:rsidRPr="008857FD">
        <w:t xml:space="preserve">the service may be unsustainable on the MBS, given the large population of people with </w:t>
      </w:r>
      <w:r>
        <w:t>I</w:t>
      </w:r>
      <w:r w:rsidR="008857FD" w:rsidRPr="008857FD">
        <w:t>OAB.  IDO requires urodynamic confirmation (MBS item 11919) that the patient’s symptoms are a result of the activity of an overactive detrusor.</w:t>
      </w:r>
    </w:p>
    <w:p w:rsidR="008857FD" w:rsidRPr="008857FD" w:rsidRDefault="00B32239" w:rsidP="002C0395">
      <w:pPr>
        <w:numPr>
          <w:ilvl w:val="0"/>
          <w:numId w:val="34"/>
        </w:numPr>
      </w:pPr>
      <w:r>
        <w:t xml:space="preserve">There are </w:t>
      </w:r>
      <w:r w:rsidR="008857FD" w:rsidRPr="008857FD">
        <w:t>many reasons for (and different severities of) urinary incontinence</w:t>
      </w:r>
      <w:r>
        <w:t>,</w:t>
      </w:r>
      <w:r w:rsidR="008857FD" w:rsidRPr="008857FD">
        <w:t xml:space="preserve"> and caution is needed when recommen</w:t>
      </w:r>
      <w:r>
        <w:t>ding botulinum toxin for</w:t>
      </w:r>
      <w:r w:rsidR="008857FD" w:rsidRPr="008857FD">
        <w:t xml:space="preserve"> people under the age o</w:t>
      </w:r>
      <w:r>
        <w:t xml:space="preserve">f 18. Botulinum toxin </w:t>
      </w:r>
      <w:r w:rsidR="008857FD" w:rsidRPr="008857FD">
        <w:t>would not be appropriate for many of these patients</w:t>
      </w:r>
      <w:r>
        <w:t xml:space="preserve">. Patients under </w:t>
      </w:r>
      <w:r w:rsidR="008857FD" w:rsidRPr="008857FD">
        <w:t>18 who may benefit from botulinum toxin would most likely fall wit</w:t>
      </w:r>
      <w:r>
        <w:t>hin the eligible population of A</w:t>
      </w:r>
      <w:r w:rsidR="008857FD" w:rsidRPr="008857FD">
        <w:t>pplication 1221 (NDO).</w:t>
      </w:r>
      <w:r w:rsidR="002C0395" w:rsidRPr="008857FD">
        <w:t xml:space="preserve"> </w:t>
      </w:r>
      <w:r w:rsidR="008857FD" w:rsidRPr="008857FD">
        <w:t>For these reasons, PASC recommends that, in the context of the propos</w:t>
      </w:r>
      <w:r>
        <w:t xml:space="preserve">ed PBAC submission, PBAC </w:t>
      </w:r>
      <w:r w:rsidR="008857FD" w:rsidRPr="008857FD">
        <w:t xml:space="preserve">consider restricting the use of botulinum toxin to IDO (as demonstrated by a urodynamic study), and to adults 18 years of age </w:t>
      </w:r>
      <w:r w:rsidR="00FC4ABC">
        <w:t>and</w:t>
      </w:r>
      <w:r w:rsidR="008857FD" w:rsidRPr="008857FD">
        <w:t xml:space="preserve"> older. PASC upheld the previous recommendation that administration of the drug (for IDO and NDO) should be restricted to patients who are willing and able to self-catheterise.</w:t>
      </w:r>
    </w:p>
    <w:p w:rsidR="0076401B" w:rsidRPr="00E72AEA" w:rsidRDefault="0076401B">
      <w:pPr>
        <w:pStyle w:val="Heading2"/>
        <w:rPr>
          <w:lang w:val="en-AU"/>
        </w:rPr>
      </w:pPr>
      <w:bookmarkStart w:id="13" w:name="_Toc347304403"/>
      <w:r w:rsidRPr="00E72AEA">
        <w:rPr>
          <w:lang w:val="en-AU"/>
        </w:rPr>
        <w:t>Proposed MBS listing</w:t>
      </w:r>
      <w:bookmarkEnd w:id="13"/>
    </w:p>
    <w:p w:rsidR="0076401B" w:rsidRPr="00E72AEA" w:rsidRDefault="006651F9" w:rsidP="00CA2EE5">
      <w:pPr>
        <w:tabs>
          <w:tab w:val="left" w:pos="0"/>
          <w:tab w:val="left" w:pos="540"/>
        </w:tabs>
        <w:spacing w:after="120"/>
        <w:ind w:right="58"/>
        <w:rPr>
          <w:b/>
          <w:bCs/>
        </w:rPr>
      </w:pPr>
      <w:bookmarkStart w:id="14" w:name="_Ref283284346"/>
      <w:r>
        <w:t>I</w:t>
      </w:r>
      <w:r w:rsidR="00CA7DBE" w:rsidRPr="00E72AEA">
        <w:t xml:space="preserve">n accordance with the fee proposed in the </w:t>
      </w:r>
      <w:r w:rsidR="00852B39" w:rsidRPr="00E72AEA">
        <w:t xml:space="preserve">MSAC submission for the injection of BOTOX® for </w:t>
      </w:r>
      <w:r w:rsidR="00A81987" w:rsidRPr="00E72AEA">
        <w:t xml:space="preserve">urinary incontinence due to </w:t>
      </w:r>
      <w:r w:rsidR="00852B39" w:rsidRPr="00E72AEA">
        <w:t>NDO (Application 1221)</w:t>
      </w:r>
      <w:r>
        <w:t>, MSAC has advised a fee of $229.85</w:t>
      </w:r>
      <w:r w:rsidR="00852B39" w:rsidRPr="00E72AEA">
        <w:t xml:space="preserve">. </w:t>
      </w:r>
      <w:r w:rsidR="00A81987" w:rsidRPr="00E72AEA">
        <w:t>The rationale for th</w:t>
      </w:r>
      <w:r w:rsidR="00D52D3C">
        <w:t>is</w:t>
      </w:r>
      <w:r w:rsidR="00A81987" w:rsidRPr="00E72AEA">
        <w:t xml:space="preserve"> is that the duration and complexity o</w:t>
      </w:r>
      <w:r w:rsidR="00660A41">
        <w:t xml:space="preserve">f the injection for NDO and </w:t>
      </w:r>
      <w:r w:rsidR="00A81987" w:rsidRPr="00E72AEA">
        <w:t xml:space="preserve">IDO </w:t>
      </w:r>
      <w:r w:rsidR="00AB1323">
        <w:t xml:space="preserve">(or IOAB) </w:t>
      </w:r>
      <w:r w:rsidR="00A81987" w:rsidRPr="00E72AEA">
        <w:t>are comparable.</w:t>
      </w:r>
      <w:r w:rsidR="00852B39" w:rsidRPr="00E72AEA" w:rsidDel="00852B39">
        <w:t xml:space="preserve"> </w:t>
      </w:r>
      <w:r w:rsidR="0076401B" w:rsidRPr="00E72AEA">
        <w:t>The injection of BOTOX® is currently reimbursed on the MBS for a range of TGA-appr</w:t>
      </w:r>
      <w:r w:rsidR="0076401B" w:rsidRPr="00682DB6">
        <w:t>oved indications, as listed in Appendix 1</w:t>
      </w:r>
      <w:r w:rsidR="00356C0C" w:rsidRPr="00682DB6">
        <w:t>. T</w:t>
      </w:r>
      <w:r w:rsidR="0076401B" w:rsidRPr="00682DB6">
        <w:t xml:space="preserve">he </w:t>
      </w:r>
      <w:r w:rsidR="00660A41">
        <w:t xml:space="preserve">MBS </w:t>
      </w:r>
      <w:r w:rsidR="0076401B" w:rsidRPr="00682DB6">
        <w:t>fees for these items range from</w:t>
      </w:r>
      <w:r w:rsidR="00976340" w:rsidRPr="00682DB6">
        <w:rPr>
          <w:rFonts w:eastAsia="Times New Roman"/>
          <w:lang w:eastAsia="en-US"/>
        </w:rPr>
        <w:t xml:space="preserve"> $4</w:t>
      </w:r>
      <w:r w:rsidR="00682DB6" w:rsidRPr="00682DB6">
        <w:rPr>
          <w:rFonts w:eastAsia="Times New Roman"/>
          <w:lang w:eastAsia="en-US"/>
        </w:rPr>
        <w:t>5</w:t>
      </w:r>
      <w:r w:rsidR="00976340" w:rsidRPr="00682DB6">
        <w:rPr>
          <w:rFonts w:eastAsia="Times New Roman"/>
          <w:lang w:eastAsia="en-US"/>
        </w:rPr>
        <w:t>.</w:t>
      </w:r>
      <w:r w:rsidR="00682DB6" w:rsidRPr="00682DB6">
        <w:rPr>
          <w:rFonts w:eastAsia="Times New Roman"/>
          <w:lang w:eastAsia="en-US"/>
        </w:rPr>
        <w:t>05</w:t>
      </w:r>
      <w:r w:rsidR="00976340" w:rsidRPr="00682DB6">
        <w:rPr>
          <w:rFonts w:eastAsia="Times New Roman"/>
          <w:lang w:eastAsia="en-US"/>
        </w:rPr>
        <w:t xml:space="preserve"> to </w:t>
      </w:r>
      <w:r w:rsidR="00FB7546" w:rsidRPr="00682DB6">
        <w:rPr>
          <w:rFonts w:eastAsia="Times New Roman"/>
          <w:lang w:eastAsia="en-US"/>
        </w:rPr>
        <w:lastRenderedPageBreak/>
        <w:t>$26</w:t>
      </w:r>
      <w:r w:rsidR="00682DB6" w:rsidRPr="00682DB6">
        <w:rPr>
          <w:rFonts w:eastAsia="Times New Roman"/>
          <w:lang w:eastAsia="en-US"/>
        </w:rPr>
        <w:t>7</w:t>
      </w:r>
      <w:r w:rsidR="00FB7546" w:rsidRPr="00682DB6">
        <w:rPr>
          <w:rFonts w:eastAsia="Times New Roman"/>
          <w:lang w:eastAsia="en-US"/>
        </w:rPr>
        <w:t>.05</w:t>
      </w:r>
      <w:r w:rsidR="00356C0C" w:rsidRPr="00682DB6">
        <w:rPr>
          <w:rFonts w:eastAsia="Times New Roman"/>
          <w:lang w:eastAsia="en-US"/>
        </w:rPr>
        <w:t>; t</w:t>
      </w:r>
      <w:r w:rsidR="0076401B" w:rsidRPr="00682DB6">
        <w:t xml:space="preserve">he </w:t>
      </w:r>
      <w:r w:rsidR="00660A41">
        <w:t xml:space="preserve">MBS </w:t>
      </w:r>
      <w:r w:rsidR="0076401B" w:rsidRPr="00682DB6">
        <w:t>fees for the</w:t>
      </w:r>
      <w:r w:rsidR="00660A41">
        <w:t xml:space="preserve"> two existing </w:t>
      </w:r>
      <w:r w:rsidR="0076401B" w:rsidRPr="00682DB6">
        <w:t>items</w:t>
      </w:r>
      <w:r w:rsidR="003423BD" w:rsidRPr="00682DB6">
        <w:t xml:space="preserve"> for transurethral injection</w:t>
      </w:r>
      <w:r w:rsidR="0076401B" w:rsidRPr="00682DB6">
        <w:t xml:space="preserve"> (item</w:t>
      </w:r>
      <w:r w:rsidR="00660A41">
        <w:t>s</w:t>
      </w:r>
      <w:r w:rsidR="0076401B" w:rsidRPr="00682DB6">
        <w:t xml:space="preserve"> 36851 and 3733</w:t>
      </w:r>
      <w:r w:rsidR="0076401B" w:rsidRPr="00E72AEA">
        <w:t>9) are within this range (</w:t>
      </w:r>
      <w:r w:rsidR="0076401B" w:rsidRPr="00E72AEA">
        <w:rPr>
          <w:rFonts w:eastAsia="Times New Roman"/>
          <w:lang w:eastAsia="en-US"/>
        </w:rPr>
        <w:t>$</w:t>
      </w:r>
      <w:r w:rsidR="00976340" w:rsidRPr="00E72AEA">
        <w:rPr>
          <w:rFonts w:eastAsia="Times New Roman"/>
          <w:lang w:eastAsia="en-US"/>
        </w:rPr>
        <w:t>22</w:t>
      </w:r>
      <w:r w:rsidR="00682DB6">
        <w:rPr>
          <w:rFonts w:eastAsia="Times New Roman"/>
          <w:lang w:eastAsia="en-US"/>
        </w:rPr>
        <w:t>9.85</w:t>
      </w:r>
      <w:r w:rsidR="00976340" w:rsidRPr="00E72AEA">
        <w:rPr>
          <w:rFonts w:eastAsia="Times New Roman"/>
          <w:lang w:eastAsia="en-US"/>
        </w:rPr>
        <w:t xml:space="preserve"> and $2</w:t>
      </w:r>
      <w:r w:rsidR="00682DB6">
        <w:rPr>
          <w:rFonts w:eastAsia="Times New Roman"/>
          <w:lang w:eastAsia="en-US"/>
        </w:rPr>
        <w:t>39.85</w:t>
      </w:r>
      <w:r w:rsidR="000156B9">
        <w:rPr>
          <w:rFonts w:eastAsia="Times New Roman"/>
          <w:lang w:eastAsia="en-US"/>
        </w:rPr>
        <w:t>, respectively</w:t>
      </w:r>
      <w:r w:rsidR="0076401B" w:rsidRPr="00E72AEA">
        <w:rPr>
          <w:rFonts w:eastAsia="Times New Roman"/>
          <w:lang w:eastAsia="en-US"/>
        </w:rPr>
        <w:t>)</w:t>
      </w:r>
      <w:r w:rsidR="0076401B" w:rsidRPr="00E72AEA">
        <w:t>.</w:t>
      </w:r>
      <w:r w:rsidR="00CA2EE5">
        <w:t xml:space="preserve"> </w:t>
      </w:r>
    </w:p>
    <w:p w:rsidR="0076401B" w:rsidRPr="00E72AEA" w:rsidRDefault="0076401B">
      <w:pPr>
        <w:pStyle w:val="Caption"/>
        <w:rPr>
          <w:lang w:val="en-AU"/>
        </w:rPr>
      </w:pPr>
      <w:r w:rsidRPr="00E72AEA">
        <w:rPr>
          <w:lang w:val="en-AU"/>
        </w:rPr>
        <w:t xml:space="preserve">Table </w:t>
      </w:r>
      <w:r w:rsidRPr="00E72AEA">
        <w:rPr>
          <w:lang w:val="en-AU"/>
        </w:rPr>
        <w:fldChar w:fldCharType="begin"/>
      </w:r>
      <w:r w:rsidRPr="00E72AEA">
        <w:rPr>
          <w:lang w:val="en-AU"/>
        </w:rPr>
        <w:instrText xml:space="preserve"> SEQ Table \* ARABIC </w:instrText>
      </w:r>
      <w:r w:rsidRPr="00E72AEA">
        <w:rPr>
          <w:lang w:val="en-AU"/>
        </w:rPr>
        <w:fldChar w:fldCharType="separate"/>
      </w:r>
      <w:r w:rsidR="00F13D3A">
        <w:rPr>
          <w:noProof/>
          <w:lang w:val="en-AU"/>
        </w:rPr>
        <w:t>1</w:t>
      </w:r>
      <w:r w:rsidRPr="00E72AEA">
        <w:rPr>
          <w:lang w:val="en-AU"/>
        </w:rPr>
        <w:fldChar w:fldCharType="end"/>
      </w:r>
      <w:bookmarkEnd w:id="14"/>
      <w:r w:rsidRPr="00E72AEA">
        <w:rPr>
          <w:lang w:val="en-AU"/>
        </w:rPr>
        <w:t>:</w:t>
      </w:r>
      <w:r w:rsidRPr="00E72AEA">
        <w:rPr>
          <w:lang w:val="en-AU"/>
        </w:rPr>
        <w:tab/>
        <w:t xml:space="preserve">Proposed MBS item descriptor for </w:t>
      </w:r>
      <w:r w:rsidR="00710FC1" w:rsidRPr="004B3E21">
        <w:t xml:space="preserve">intravesical </w:t>
      </w:r>
      <w:r w:rsidRPr="00E72AEA">
        <w:rPr>
          <w:lang w:val="en-AU"/>
        </w:rPr>
        <w:t xml:space="preserve">injection of BOTOX ® (botulinum toxin) for the treatment of urinary incontinence due to </w:t>
      </w:r>
      <w:r w:rsidR="00702B58" w:rsidRPr="00E72AEA">
        <w:rPr>
          <w:lang w:val="en-AU"/>
        </w:rPr>
        <w:t>IDO</w:t>
      </w:r>
      <w:r w:rsidRPr="00E72AEA">
        <w:rPr>
          <w:lang w:val="en-AU"/>
        </w:rPr>
        <w:t>.</w:t>
      </w:r>
    </w:p>
    <w:p w:rsidR="0076401B" w:rsidRPr="00FC4ABC" w:rsidRDefault="0076401B">
      <w:pPr>
        <w:pStyle w:val="Caption"/>
        <w:rPr>
          <w:sz w:val="16"/>
          <w:szCs w:val="16"/>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6401B" w:rsidRPr="00E72AEA">
        <w:tc>
          <w:tcPr>
            <w:tcW w:w="9134" w:type="dxa"/>
          </w:tcPr>
          <w:p w:rsidR="0076401B" w:rsidRPr="00E72AEA" w:rsidRDefault="0076401B">
            <w:pPr>
              <w:keepNext/>
              <w:spacing w:after="0" w:line="240" w:lineRule="auto"/>
              <w:rPr>
                <w:rFonts w:ascii="Arial" w:hAnsi="Arial" w:cs="Arial"/>
                <w:lang w:eastAsia="ja-JP"/>
              </w:rPr>
            </w:pPr>
            <w:r w:rsidRPr="00E72AEA">
              <w:rPr>
                <w:rFonts w:ascii="Arial" w:hAnsi="Arial" w:cs="Arial"/>
                <w:lang w:eastAsia="ja-JP"/>
              </w:rPr>
              <w:t>MBS [</w:t>
            </w:r>
            <w:r w:rsidRPr="00E72AEA">
              <w:rPr>
                <w:rFonts w:ascii="Arial" w:hAnsi="Arial" w:cs="Arial"/>
                <w:i/>
                <w:iCs/>
                <w:lang w:eastAsia="ja-JP"/>
              </w:rPr>
              <w:t>item number to be assigned by the Department if listed on the MBS</w:t>
            </w:r>
            <w:r w:rsidRPr="00E72AEA">
              <w:rPr>
                <w:rFonts w:ascii="Arial" w:hAnsi="Arial" w:cs="Arial"/>
                <w:lang w:eastAsia="ja-JP"/>
              </w:rPr>
              <w:t>]</w:t>
            </w:r>
            <w:r w:rsidR="00AB1323">
              <w:rPr>
                <w:rFonts w:ascii="Arial" w:hAnsi="Arial" w:cs="Arial"/>
                <w:lang w:eastAsia="ja-JP"/>
              </w:rPr>
              <w:t>*</w:t>
            </w:r>
            <w:r w:rsidRPr="00E72AEA">
              <w:rPr>
                <w:rFonts w:ascii="Arial" w:hAnsi="Arial" w:cs="Arial"/>
                <w:lang w:eastAsia="ja-JP"/>
              </w:rPr>
              <w:t xml:space="preserve"> </w:t>
            </w:r>
          </w:p>
          <w:p w:rsidR="00D80E46" w:rsidRPr="00E72AEA" w:rsidRDefault="00D80E46">
            <w:pPr>
              <w:keepNext/>
              <w:spacing w:after="0" w:line="240" w:lineRule="auto"/>
              <w:rPr>
                <w:rFonts w:ascii="Arial" w:hAnsi="Arial" w:cs="Arial"/>
                <w:lang w:eastAsia="ja-JP"/>
              </w:rPr>
            </w:pPr>
          </w:p>
          <w:p w:rsidR="00440C8F" w:rsidRPr="00E72AEA" w:rsidRDefault="0076401B">
            <w:pPr>
              <w:keepNext/>
              <w:spacing w:after="0" w:line="240" w:lineRule="auto"/>
              <w:rPr>
                <w:rFonts w:ascii="Arial" w:hAnsi="Arial" w:cs="Arial"/>
                <w:lang w:eastAsia="ja-JP"/>
              </w:rPr>
            </w:pPr>
            <w:r w:rsidRPr="00E72AEA">
              <w:rPr>
                <w:rFonts w:ascii="Arial" w:hAnsi="Arial" w:cs="Arial"/>
                <w:lang w:eastAsia="ja-JP"/>
              </w:rPr>
              <w:t xml:space="preserve">BOTULINUM TOXIN (Botox), </w:t>
            </w:r>
            <w:r w:rsidR="00710FC1" w:rsidRPr="004B3E21">
              <w:t xml:space="preserve">intravesical </w:t>
            </w:r>
            <w:r w:rsidRPr="00E72AEA">
              <w:rPr>
                <w:rFonts w:ascii="Arial" w:hAnsi="Arial" w:cs="Arial"/>
                <w:lang w:eastAsia="ja-JP"/>
              </w:rPr>
              <w:t xml:space="preserve">injection of, for the treatment of urinary incontinence due to </w:t>
            </w:r>
            <w:r w:rsidR="00F05B25" w:rsidRPr="00E72AEA">
              <w:rPr>
                <w:rFonts w:ascii="Arial" w:hAnsi="Arial" w:cs="Arial"/>
                <w:lang w:eastAsia="ja-JP"/>
              </w:rPr>
              <w:t>idiopathic</w:t>
            </w:r>
            <w:r w:rsidR="008B2A26" w:rsidRPr="00E72AEA">
              <w:rPr>
                <w:rFonts w:ascii="Arial" w:hAnsi="Arial" w:cs="Arial"/>
                <w:lang w:eastAsia="ja-JP"/>
              </w:rPr>
              <w:t xml:space="preserve"> detrusor overactivity</w:t>
            </w:r>
            <w:r w:rsidR="00AB1323">
              <w:rPr>
                <w:rFonts w:ascii="Arial" w:hAnsi="Arial" w:cs="Arial"/>
                <w:lang w:eastAsia="ja-JP"/>
              </w:rPr>
              <w:t xml:space="preserve"> (or idiopathic overactive bladder)</w:t>
            </w:r>
            <w:r w:rsidRPr="00E72AEA">
              <w:rPr>
                <w:rFonts w:ascii="Arial" w:hAnsi="Arial" w:cs="Arial"/>
                <w:lang w:eastAsia="ja-JP"/>
              </w:rPr>
              <w:t>, including cystoscopy and all injections in one day</w:t>
            </w:r>
            <w:r w:rsidR="00A74F59">
              <w:rPr>
                <w:rFonts w:ascii="Arial" w:hAnsi="Arial" w:cs="Arial"/>
                <w:lang w:eastAsia="ja-JP"/>
              </w:rPr>
              <w:t xml:space="preserve">, </w:t>
            </w:r>
            <w:r w:rsidR="00130936">
              <w:rPr>
                <w:rFonts w:ascii="Arial" w:hAnsi="Arial" w:cs="Arial"/>
                <w:lang w:eastAsia="ja-JP"/>
              </w:rPr>
              <w:t>in</w:t>
            </w:r>
            <w:r w:rsidR="00F05B25" w:rsidRPr="00E72AEA">
              <w:rPr>
                <w:rFonts w:ascii="Arial" w:hAnsi="Arial" w:cs="Arial"/>
                <w:lang w:eastAsia="ja-JP"/>
              </w:rPr>
              <w:t xml:space="preserve"> </w:t>
            </w:r>
            <w:r w:rsidR="00130936">
              <w:rPr>
                <w:rFonts w:ascii="Arial" w:hAnsi="Arial" w:cs="Arial"/>
                <w:lang w:eastAsia="ja-JP"/>
              </w:rPr>
              <w:t>p</w:t>
            </w:r>
            <w:r w:rsidR="008847AC">
              <w:rPr>
                <w:rFonts w:ascii="Arial" w:hAnsi="Arial" w:cs="Arial"/>
                <w:lang w:eastAsia="ja-JP"/>
              </w:rPr>
              <w:t xml:space="preserve">atients aged 18 years or older </w:t>
            </w:r>
            <w:r w:rsidR="00130936">
              <w:rPr>
                <w:rFonts w:ascii="Arial" w:hAnsi="Arial" w:cs="Arial"/>
                <w:lang w:eastAsia="ja-JP"/>
              </w:rPr>
              <w:t>who</w:t>
            </w:r>
            <w:r w:rsidR="00F05B25" w:rsidRPr="00E72AEA">
              <w:rPr>
                <w:rFonts w:ascii="Arial" w:hAnsi="Arial" w:cs="Arial"/>
                <w:lang w:eastAsia="ja-JP"/>
              </w:rPr>
              <w:t xml:space="preserve"> </w:t>
            </w:r>
            <w:r w:rsidR="00F05B25" w:rsidRPr="00E72AEA">
              <w:t xml:space="preserve">have failed or </w:t>
            </w:r>
            <w:r w:rsidR="00130936">
              <w:t>are</w:t>
            </w:r>
            <w:r w:rsidR="00A74F59">
              <w:t xml:space="preserve"> </w:t>
            </w:r>
            <w:r w:rsidR="00F05B25" w:rsidRPr="00E72AEA">
              <w:t>contraindicated for first-line conservative therapy, including anti-cholinergic medications</w:t>
            </w:r>
            <w:r w:rsidR="00130936">
              <w:t>, with</w:t>
            </w:r>
            <w:r w:rsidR="00A74F59">
              <w:t xml:space="preserve"> </w:t>
            </w:r>
            <w:r w:rsidR="00130936">
              <w:rPr>
                <w:rFonts w:ascii="Arial" w:hAnsi="Arial" w:cs="Arial"/>
                <w:lang w:eastAsia="ja-JP"/>
              </w:rPr>
              <w:t>i</w:t>
            </w:r>
            <w:r w:rsidR="00F05B25" w:rsidRPr="00E72AEA">
              <w:rPr>
                <w:rFonts w:ascii="Arial" w:hAnsi="Arial" w:cs="Arial"/>
                <w:lang w:eastAsia="ja-JP"/>
              </w:rPr>
              <w:t>nje</w:t>
            </w:r>
            <w:r w:rsidR="00E71DAB">
              <w:rPr>
                <w:rFonts w:ascii="Arial" w:hAnsi="Arial" w:cs="Arial"/>
                <w:lang w:eastAsia="ja-JP"/>
              </w:rPr>
              <w:t xml:space="preserve">ctions only </w:t>
            </w:r>
            <w:r w:rsidR="00F05B25" w:rsidRPr="00E72AEA">
              <w:rPr>
                <w:rFonts w:ascii="Arial" w:hAnsi="Arial" w:cs="Arial"/>
                <w:lang w:eastAsia="ja-JP"/>
              </w:rPr>
              <w:t xml:space="preserve">performed on patients </w:t>
            </w:r>
            <w:r w:rsidR="00E71DAB">
              <w:rPr>
                <w:rFonts w:ascii="Arial" w:hAnsi="Arial" w:cs="Arial"/>
                <w:lang w:eastAsia="ja-JP"/>
              </w:rPr>
              <w:t xml:space="preserve">with prior confirmation of detrusor involvement (demonstrated by urodynamic studies), and who are </w:t>
            </w:r>
            <w:r w:rsidR="00F05B25" w:rsidRPr="00E72AEA">
              <w:rPr>
                <w:rFonts w:ascii="Arial" w:hAnsi="Arial" w:cs="Arial"/>
                <w:lang w:eastAsia="ja-JP"/>
              </w:rPr>
              <w:t>willing and able to self-catheterise</w:t>
            </w:r>
            <w:r w:rsidR="00745D1B">
              <w:rPr>
                <w:rFonts w:ascii="Arial" w:hAnsi="Arial" w:cs="Arial"/>
                <w:lang w:eastAsia="ja-JP"/>
              </w:rPr>
              <w:t>.</w:t>
            </w:r>
            <w:r w:rsidR="002C0395" w:rsidRPr="00E72AEA">
              <w:rPr>
                <w:rFonts w:ascii="Arial" w:hAnsi="Arial" w:cs="Arial"/>
                <w:lang w:eastAsia="ja-JP"/>
              </w:rPr>
              <w:t xml:space="preserve"> </w:t>
            </w:r>
          </w:p>
          <w:p w:rsidR="0076401B" w:rsidRPr="00E72AEA" w:rsidRDefault="0076401B">
            <w:pPr>
              <w:keepNext/>
              <w:spacing w:after="0" w:line="240" w:lineRule="auto"/>
              <w:rPr>
                <w:rFonts w:ascii="Arial" w:hAnsi="Arial" w:cs="Arial"/>
                <w:lang w:eastAsia="ja-JP"/>
              </w:rPr>
            </w:pPr>
            <w:r w:rsidRPr="00E72AEA">
              <w:rPr>
                <w:rFonts w:ascii="Arial" w:hAnsi="Arial" w:cs="Arial"/>
                <w:lang w:eastAsia="ja-JP"/>
              </w:rPr>
              <w:t>(Anaes.)</w:t>
            </w:r>
          </w:p>
          <w:p w:rsidR="00030904" w:rsidRDefault="0076401B" w:rsidP="00030904">
            <w:pPr>
              <w:autoSpaceDE w:val="0"/>
              <w:autoSpaceDN w:val="0"/>
              <w:adjustRightInd w:val="0"/>
              <w:spacing w:after="0" w:line="240" w:lineRule="auto"/>
              <w:jc w:val="left"/>
              <w:rPr>
                <w:rFonts w:ascii="Arial" w:hAnsi="Arial" w:cs="Arial"/>
                <w:lang w:eastAsia="ja-JP"/>
              </w:rPr>
            </w:pPr>
            <w:r w:rsidRPr="00E72AEA">
              <w:rPr>
                <w:rFonts w:eastAsia="Times New Roman"/>
                <w:i/>
                <w:iCs/>
                <w:sz w:val="18"/>
                <w:szCs w:val="18"/>
                <w:lang w:eastAsia="en-US"/>
              </w:rPr>
              <w:t>(See para T11.1 of explanatory notes to this Category)</w:t>
            </w:r>
            <w:r w:rsidR="00030904">
              <w:rPr>
                <w:rFonts w:eastAsia="Times New Roman"/>
                <w:i/>
                <w:iCs/>
                <w:sz w:val="18"/>
                <w:szCs w:val="18"/>
                <w:lang w:eastAsia="en-US"/>
              </w:rPr>
              <w:t xml:space="preserve"> </w:t>
            </w:r>
            <w:r w:rsidRPr="00030904">
              <w:rPr>
                <w:rStyle w:val="FootnoteReference"/>
                <w:rFonts w:eastAsia="Times New Roman"/>
                <w:iCs/>
                <w:sz w:val="18"/>
                <w:szCs w:val="18"/>
                <w:lang w:eastAsia="en-US"/>
              </w:rPr>
              <w:footnoteReference w:id="8"/>
            </w:r>
            <w:r w:rsidR="00030904" w:rsidRPr="00030904">
              <w:rPr>
                <w:rFonts w:ascii="Arial" w:hAnsi="Arial" w:cs="Arial"/>
                <w:lang w:eastAsia="ja-JP"/>
              </w:rPr>
              <w:t xml:space="preserve"> </w:t>
            </w:r>
          </w:p>
          <w:p w:rsidR="00E426D4" w:rsidRDefault="00E426D4" w:rsidP="00030904">
            <w:pPr>
              <w:autoSpaceDE w:val="0"/>
              <w:autoSpaceDN w:val="0"/>
              <w:adjustRightInd w:val="0"/>
              <w:spacing w:after="0" w:line="240" w:lineRule="auto"/>
              <w:jc w:val="left"/>
              <w:rPr>
                <w:rFonts w:ascii="Arial" w:hAnsi="Arial" w:cs="Arial"/>
                <w:lang w:eastAsia="ja-JP"/>
              </w:rPr>
            </w:pPr>
          </w:p>
          <w:p w:rsidR="0076401B" w:rsidRPr="00030904" w:rsidRDefault="00FB1642" w:rsidP="002C0395">
            <w:pPr>
              <w:autoSpaceDE w:val="0"/>
              <w:autoSpaceDN w:val="0"/>
              <w:adjustRightInd w:val="0"/>
              <w:spacing w:after="0" w:line="240" w:lineRule="auto"/>
              <w:jc w:val="left"/>
              <w:rPr>
                <w:rFonts w:eastAsia="Times New Roman"/>
                <w:i/>
                <w:iCs/>
                <w:sz w:val="18"/>
                <w:szCs w:val="18"/>
                <w:lang w:eastAsia="en-US"/>
              </w:rPr>
            </w:pPr>
            <w:r>
              <w:rPr>
                <w:rFonts w:ascii="Arial" w:hAnsi="Arial" w:cs="Arial"/>
                <w:lang w:eastAsia="ja-JP"/>
              </w:rPr>
              <w:t>MBS F</w:t>
            </w:r>
            <w:r w:rsidR="0076401B" w:rsidRPr="00E72AEA">
              <w:rPr>
                <w:rFonts w:ascii="Arial" w:hAnsi="Arial" w:cs="Arial"/>
                <w:lang w:eastAsia="ja-JP"/>
              </w:rPr>
              <w:t xml:space="preserve">ee: </w:t>
            </w:r>
            <w:r w:rsidR="0027480E">
              <w:rPr>
                <w:rFonts w:ascii="Arial" w:hAnsi="Arial" w:cs="Arial"/>
                <w:lang w:eastAsia="ja-JP"/>
              </w:rPr>
              <w:t>$229.85</w:t>
            </w:r>
            <w:r w:rsidR="002C0395">
              <w:rPr>
                <w:rFonts w:ascii="Arial" w:hAnsi="Arial" w:cs="Arial"/>
                <w:lang w:eastAsia="ja-JP"/>
              </w:rPr>
              <w:t xml:space="preserve"> </w:t>
            </w:r>
            <w:r w:rsidR="0027480E">
              <w:rPr>
                <w:rFonts w:ascii="Arial" w:hAnsi="Arial" w:cs="Arial"/>
                <w:lang w:eastAsia="ja-JP"/>
              </w:rPr>
              <w:t xml:space="preserve">Benefit: 75% = </w:t>
            </w:r>
            <w:r>
              <w:rPr>
                <w:rFonts w:ascii="Arial" w:hAnsi="Arial" w:cs="Arial"/>
                <w:lang w:eastAsia="ja-JP"/>
              </w:rPr>
              <w:t>$</w:t>
            </w:r>
            <w:r w:rsidR="004D251D">
              <w:rPr>
                <w:rFonts w:ascii="Arial" w:hAnsi="Arial" w:cs="Arial"/>
                <w:lang w:eastAsia="ja-JP"/>
              </w:rPr>
              <w:t>172.40</w:t>
            </w:r>
            <w:r w:rsidR="0027480E">
              <w:rPr>
                <w:rFonts w:ascii="Arial" w:hAnsi="Arial" w:cs="Arial"/>
                <w:lang w:eastAsia="ja-JP"/>
              </w:rPr>
              <w:t xml:space="preserve"> </w:t>
            </w:r>
          </w:p>
        </w:tc>
      </w:tr>
    </w:tbl>
    <w:p w:rsidR="0076401B" w:rsidRPr="00E72AEA" w:rsidRDefault="00AB1323">
      <w:r>
        <w:t>*Age restrictions will be inserted into the descriptor if PBAC limits the drug</w:t>
      </w:r>
      <w:r w:rsidR="00030904">
        <w:t xml:space="preserve"> for this indication</w:t>
      </w:r>
      <w:r>
        <w:t xml:space="preserve"> to adults</w:t>
      </w:r>
    </w:p>
    <w:p w:rsidR="0076401B" w:rsidRPr="00E72AEA" w:rsidRDefault="0076401B">
      <w:r w:rsidRPr="00E72AEA">
        <w:t xml:space="preserve">This item will be located within Group T11 of the MBS, which lists all of the </w:t>
      </w:r>
      <w:r w:rsidR="00064BD7" w:rsidRPr="00E72AEA">
        <w:t>BOTOX®</w:t>
      </w:r>
      <w:r w:rsidRPr="00E72AEA">
        <w:t xml:space="preserve"> item numbers. The supply of BOTOX® for these items is made under section 100 of the </w:t>
      </w:r>
      <w:r w:rsidRPr="00E72AEA">
        <w:rPr>
          <w:i/>
          <w:iCs/>
          <w:lang w:eastAsia="ja-JP"/>
        </w:rPr>
        <w:t xml:space="preserve">National Health Act 1953. </w:t>
      </w:r>
    </w:p>
    <w:p w:rsidR="00D80E46" w:rsidRPr="00E72AEA" w:rsidRDefault="008805A2" w:rsidP="00D80E46">
      <w:r w:rsidRPr="00E72AEA">
        <w:t xml:space="preserve">At </w:t>
      </w:r>
      <w:r w:rsidR="00C65968">
        <w:t xml:space="preserve">the </w:t>
      </w:r>
      <w:r w:rsidRPr="00E72AEA">
        <w:t>present time, i</w:t>
      </w:r>
      <w:r w:rsidR="00D80E46" w:rsidRPr="00E72AEA">
        <w:t xml:space="preserve">t is not possible to comment on the consistency of the proposed MBS descriptor with the </w:t>
      </w:r>
      <w:r w:rsidR="00064BD7">
        <w:t>approved</w:t>
      </w:r>
      <w:r w:rsidR="00D80E46" w:rsidRPr="00E72AEA">
        <w:t xml:space="preserve"> TGA indication, as this indication currently lacks TGA approval. The </w:t>
      </w:r>
      <w:r w:rsidR="00C65968">
        <w:t>a</w:t>
      </w:r>
      <w:r w:rsidR="00D80E46" w:rsidRPr="00E72AEA">
        <w:t xml:space="preserve">pplicant </w:t>
      </w:r>
      <w:r w:rsidR="008847AC">
        <w:t>has notified MSAC</w:t>
      </w:r>
      <w:r w:rsidR="008847AC" w:rsidRPr="00E72AEA">
        <w:t xml:space="preserve"> </w:t>
      </w:r>
      <w:r w:rsidR="00C65968">
        <w:t xml:space="preserve">that </w:t>
      </w:r>
      <w:r w:rsidR="006E26F8">
        <w:t>a</w:t>
      </w:r>
      <w:r w:rsidR="000156B9">
        <w:t>n application was submitted to TGA in early July 2012.</w:t>
      </w:r>
      <w:r w:rsidR="005925FA">
        <w:t xml:space="preserve"> </w:t>
      </w:r>
    </w:p>
    <w:p w:rsidR="0076401B" w:rsidRPr="00E72AEA" w:rsidRDefault="0076401B">
      <w:pPr>
        <w:pStyle w:val="Heading2"/>
        <w:rPr>
          <w:lang w:val="en-AU"/>
        </w:rPr>
      </w:pPr>
      <w:bookmarkStart w:id="15" w:name="_Toc347304404"/>
      <w:r w:rsidRPr="00E72AEA">
        <w:rPr>
          <w:lang w:val="en-AU"/>
        </w:rPr>
        <w:t>Clinical place for proposed intervention</w:t>
      </w:r>
      <w:bookmarkEnd w:id="15"/>
    </w:p>
    <w:p w:rsidR="0076401B" w:rsidRPr="00E72AEA" w:rsidRDefault="0076401B">
      <w:r w:rsidRPr="00E72AEA">
        <w:t xml:space="preserve">A wide range of conservative therapies are currently available for patients with urinary incontinence due to </w:t>
      </w:r>
      <w:r w:rsidR="00702B58" w:rsidRPr="00E72AEA">
        <w:t>IDO</w:t>
      </w:r>
      <w:r w:rsidR="00AB1323">
        <w:t xml:space="preserve"> (and IOAB)</w:t>
      </w:r>
      <w:r w:rsidRPr="00E72AEA">
        <w:t>. These include: drug therapies, behavioural therapies and interventional therapies. Drug therap</w:t>
      </w:r>
      <w:r w:rsidR="00064BD7">
        <w:t>ies</w:t>
      </w:r>
      <w:r w:rsidRPr="00E72AEA">
        <w:t xml:space="preserve"> may involve anticholinergics and/or smooth muscle relaxants, as described previously. Behavioural therapies can involve diet modifications, bladder training and/or rehabilitation of pelvic muscle. Interventional therapies can include external electrical stimulation (MSAC, 2008)</w:t>
      </w:r>
      <w:r w:rsidR="004B591B">
        <w:t>, as well as Trans-cutaneous Electrical Nerve Stimulation (TENS) and Posterior Tibial N</w:t>
      </w:r>
      <w:r w:rsidR="00876C97">
        <w:t>erve Stimulation/SANS therapy (clinical e</w:t>
      </w:r>
      <w:r w:rsidR="004B591B">
        <w:t xml:space="preserve">xpert advice). </w:t>
      </w:r>
      <w:r w:rsidRPr="00E72AEA">
        <w:t xml:space="preserve"> </w:t>
      </w:r>
    </w:p>
    <w:p w:rsidR="0076401B" w:rsidRPr="00E72AEA" w:rsidRDefault="0076401B" w:rsidP="00F023DF">
      <w:r w:rsidRPr="00E72AEA">
        <w:t xml:space="preserve">However, </w:t>
      </w:r>
      <w:r w:rsidR="00DD706C" w:rsidRPr="00064BD7">
        <w:t>between 25-40% of</w:t>
      </w:r>
      <w:r w:rsidR="00DD706C" w:rsidRPr="00E72AEA">
        <w:t xml:space="preserve"> patients </w:t>
      </w:r>
      <w:r w:rsidR="00F023DF" w:rsidRPr="00E72AEA">
        <w:t>with detrusor overactivity (both idiopathic and neurogenic) fail to improve or insufficiently improve with conservative treatment options (Nitti, 2006)</w:t>
      </w:r>
      <w:r w:rsidR="00064BD7">
        <w:t>.</w:t>
      </w:r>
      <w:r w:rsidR="00641516">
        <w:t xml:space="preserve"> </w:t>
      </w:r>
      <w:r w:rsidR="00707187">
        <w:t xml:space="preserve"> </w:t>
      </w:r>
      <w:r w:rsidR="00064BD7">
        <w:t>A</w:t>
      </w:r>
      <w:r w:rsidR="00641516">
        <w:t xml:space="preserve">mong Australian female IDO patients, </w:t>
      </w:r>
      <w:r w:rsidR="00064BD7">
        <w:t xml:space="preserve">at baseline, only half were categorised as having responded to anti-cholinergics; </w:t>
      </w:r>
      <w:r w:rsidR="00641516">
        <w:t xml:space="preserve">at follow-up of 8 years, the response rate was 35% (Morris et al, 2007). </w:t>
      </w:r>
      <w:r w:rsidRPr="00E72AEA">
        <w:t xml:space="preserve">After the patients have exhausted conservative treatment options they may therefore become candidates for sacral nerve stimulation or best supportive care. </w:t>
      </w:r>
    </w:p>
    <w:p w:rsidR="0076401B" w:rsidRDefault="0076401B" w:rsidP="00127E75">
      <w:pPr>
        <w:autoSpaceDE w:val="0"/>
        <w:autoSpaceDN w:val="0"/>
        <w:adjustRightInd w:val="0"/>
        <w:spacing w:after="0"/>
      </w:pPr>
      <w:r w:rsidRPr="00E72AEA">
        <w:t xml:space="preserve">Sacral nerve stimulation involves the application of electrical stimulation to the sacral nerve via a fully implantable system. The procedure is carried out in two phases, allowing for a minimally invasive screening test before proceeding to permanent generator implant if the screening test indicates the </w:t>
      </w:r>
      <w:r w:rsidRPr="00E72AEA">
        <w:lastRenderedPageBreak/>
        <w:t>viability of the treatment in the individual patient (MSAC, 2008).</w:t>
      </w:r>
      <w:r w:rsidR="00AD6794">
        <w:t xml:space="preserve"> </w:t>
      </w:r>
      <w:r w:rsidR="00AD6794" w:rsidRPr="00AD6794">
        <w:t xml:space="preserve">PASC considered SNS to be more invasive because a device has to be surgically implanted. This is consistent with previous </w:t>
      </w:r>
      <w:r w:rsidR="00AD6794">
        <w:t>considerations of both MSAC (A</w:t>
      </w:r>
      <w:r w:rsidR="00AD6794" w:rsidRPr="00AD6794">
        <w:t>pplication 1115,</w:t>
      </w:r>
      <w:r w:rsidR="00AD6794">
        <w:t xml:space="preserve"> November 2008) and PBAC (A</w:t>
      </w:r>
      <w:r w:rsidR="00AD6794" w:rsidRPr="00AD6794">
        <w:t>pplication 1221, July 2012).</w:t>
      </w:r>
    </w:p>
    <w:p w:rsidR="00127E75" w:rsidRPr="001441C9" w:rsidRDefault="00127E75" w:rsidP="00127E75">
      <w:pPr>
        <w:autoSpaceDE w:val="0"/>
        <w:autoSpaceDN w:val="0"/>
        <w:adjustRightInd w:val="0"/>
        <w:spacing w:after="0"/>
        <w:rPr>
          <w:sz w:val="16"/>
          <w:szCs w:val="16"/>
        </w:rPr>
      </w:pPr>
    </w:p>
    <w:p w:rsidR="00127E75" w:rsidRDefault="0076401B" w:rsidP="00127E75">
      <w:pPr>
        <w:autoSpaceDE w:val="0"/>
        <w:autoSpaceDN w:val="0"/>
        <w:adjustRightInd w:val="0"/>
        <w:spacing w:after="0"/>
      </w:pPr>
      <w:r w:rsidRPr="00E72AEA">
        <w:t>Best supportive care includes drug therapies, behavioural therapies and interventional therapies, as described above.</w:t>
      </w:r>
    </w:p>
    <w:p w:rsidR="0076401B" w:rsidRPr="001441C9" w:rsidRDefault="0076401B" w:rsidP="00127E75">
      <w:pPr>
        <w:autoSpaceDE w:val="0"/>
        <w:autoSpaceDN w:val="0"/>
        <w:adjustRightInd w:val="0"/>
        <w:spacing w:after="0"/>
        <w:rPr>
          <w:sz w:val="16"/>
          <w:szCs w:val="16"/>
        </w:rPr>
      </w:pPr>
      <w:r w:rsidRPr="001441C9">
        <w:rPr>
          <w:sz w:val="16"/>
          <w:szCs w:val="16"/>
        </w:rPr>
        <w:t xml:space="preserve"> </w:t>
      </w:r>
    </w:p>
    <w:p w:rsidR="0076401B" w:rsidRPr="00E72AEA" w:rsidRDefault="0076401B" w:rsidP="00127E75">
      <w:pPr>
        <w:spacing w:after="0"/>
        <w:rPr>
          <w:u w:val="single"/>
        </w:rPr>
      </w:pPr>
      <w:r w:rsidRPr="00E72AEA">
        <w:rPr>
          <w:u w:val="single"/>
        </w:rPr>
        <w:t>Current clinical management algorithm</w:t>
      </w:r>
    </w:p>
    <w:p w:rsidR="0076401B" w:rsidRDefault="0076401B" w:rsidP="00127E75">
      <w:pPr>
        <w:spacing w:after="0"/>
      </w:pPr>
      <w:r w:rsidRPr="00E72AEA">
        <w:t>Th</w:t>
      </w:r>
      <w:r w:rsidR="00140C53">
        <w:t>e</w:t>
      </w:r>
      <w:r w:rsidRPr="00E72AEA">
        <w:t xml:space="preserve"> treatment pathway</w:t>
      </w:r>
      <w:r w:rsidR="00161A8F">
        <w:t xml:space="preserve"> presented</w:t>
      </w:r>
      <w:r w:rsidR="00206135">
        <w:t xml:space="preserve"> here</w:t>
      </w:r>
      <w:r w:rsidR="00161A8F">
        <w:t xml:space="preserve"> </w:t>
      </w:r>
      <w:r w:rsidRPr="00E72AEA">
        <w:t xml:space="preserve">is based on the one developed in MSAC’s review of </w:t>
      </w:r>
      <w:r w:rsidR="00952118" w:rsidRPr="00E72AEA">
        <w:t xml:space="preserve">Sacral Nerve Stimulation </w:t>
      </w:r>
      <w:r w:rsidRPr="00E72AEA">
        <w:t>for urinary indications (MSAC</w:t>
      </w:r>
      <w:r w:rsidR="00546B1F">
        <w:t xml:space="preserve"> A</w:t>
      </w:r>
      <w:r w:rsidR="00CA7DBE" w:rsidRPr="00E72AEA">
        <w:t>pplication 1115</w:t>
      </w:r>
      <w:r w:rsidRPr="00E72AEA">
        <w:t>, 2008).</w:t>
      </w:r>
      <w:r w:rsidRPr="00E72AEA">
        <w:rPr>
          <w:rStyle w:val="FootnoteReference"/>
        </w:rPr>
        <w:footnoteReference w:id="9"/>
      </w:r>
      <w:r w:rsidRPr="00E72AEA">
        <w:t xml:space="preserve"> </w:t>
      </w:r>
    </w:p>
    <w:p w:rsidR="00127E75" w:rsidRPr="00C90927" w:rsidRDefault="00127E75" w:rsidP="000F54B1">
      <w:pPr>
        <w:jc w:val="center"/>
        <w:rPr>
          <w:b/>
          <w:bCs/>
          <w:sz w:val="4"/>
          <w:szCs w:val="4"/>
        </w:rPr>
      </w:pPr>
    </w:p>
    <w:p w:rsidR="0076401B" w:rsidRPr="00E72AEA" w:rsidRDefault="0076401B" w:rsidP="000F54B1">
      <w:pPr>
        <w:jc w:val="center"/>
        <w:rPr>
          <w:b/>
          <w:bCs/>
        </w:rPr>
      </w:pPr>
      <w:r w:rsidRPr="00E72AEA">
        <w:rPr>
          <w:b/>
          <w:bCs/>
        </w:rPr>
        <w:t>Figure 1: Clinical management algorithm without the proposed intervention:</w:t>
      </w:r>
    </w:p>
    <w:p w:rsidR="001C6BCD" w:rsidRDefault="002C0395" w:rsidP="000F54B1">
      <w:pPr>
        <w:jc w:val="center"/>
      </w:pPr>
      <w:r>
        <w:rPr>
          <w:noProof/>
          <w:lang w:eastAsia="en-AU"/>
        </w:rPr>
        <w:drawing>
          <wp:inline distT="0" distB="0" distL="0" distR="0">
            <wp:extent cx="4080510" cy="3329940"/>
            <wp:effectExtent l="0" t="0" r="0" b="3810"/>
            <wp:docPr id="1" name="Picture 2" descr="Figure 1: Clinical management algorithm without the proposed intervention:" title="Figure 1: Clinical management algorithm without the propose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1572" t="32330" r="31409" b="30075"/>
                    <a:stretch>
                      <a:fillRect/>
                    </a:stretch>
                  </pic:blipFill>
                  <pic:spPr bwMode="auto">
                    <a:xfrm>
                      <a:off x="0" y="0"/>
                      <a:ext cx="4080510" cy="3329940"/>
                    </a:xfrm>
                    <a:prstGeom prst="rect">
                      <a:avLst/>
                    </a:prstGeom>
                    <a:noFill/>
                    <a:ln>
                      <a:noFill/>
                    </a:ln>
                  </pic:spPr>
                </pic:pic>
              </a:graphicData>
            </a:graphic>
          </wp:inline>
        </w:drawing>
      </w:r>
    </w:p>
    <w:p w:rsidR="001441C9" w:rsidRPr="001441C9" w:rsidRDefault="001441C9">
      <w:pPr>
        <w:rPr>
          <w:sz w:val="4"/>
          <w:szCs w:val="4"/>
          <w:u w:val="single"/>
        </w:rPr>
      </w:pPr>
    </w:p>
    <w:p w:rsidR="0076401B" w:rsidRPr="00E72AEA" w:rsidRDefault="0076401B">
      <w:r w:rsidRPr="00E72AEA">
        <w:rPr>
          <w:u w:val="single"/>
        </w:rPr>
        <w:t>Clinical management algorithm with the proposed intervention</w:t>
      </w:r>
    </w:p>
    <w:p w:rsidR="0076401B" w:rsidRPr="00E72AEA" w:rsidRDefault="0076401B" w:rsidP="00EE5643">
      <w:r w:rsidRPr="00E72AEA">
        <w:t xml:space="preserve">As noted above, the first line conservative therapies for patients with urinary incontinence due to </w:t>
      </w:r>
      <w:r w:rsidR="00702B58" w:rsidRPr="00E72AEA">
        <w:t>IDO</w:t>
      </w:r>
      <w:r w:rsidRPr="00E72AEA">
        <w:t xml:space="preserve"> have </w:t>
      </w:r>
      <w:r w:rsidR="00EE5643">
        <w:t xml:space="preserve">high </w:t>
      </w:r>
      <w:r w:rsidRPr="00E72AEA">
        <w:t xml:space="preserve">failure rates. </w:t>
      </w:r>
      <w:r w:rsidRPr="00E72AEA">
        <w:rPr>
          <w:color w:val="000000"/>
        </w:rPr>
        <w:t>BOTOX</w:t>
      </w:r>
      <w:r w:rsidRPr="00E72AEA">
        <w:rPr>
          <w:vertAlign w:val="superscript"/>
        </w:rPr>
        <w:t>®</w:t>
      </w:r>
      <w:r w:rsidRPr="00E72AEA">
        <w:t xml:space="preserve"> therapy is therefore proposed as a second-line approach</w:t>
      </w:r>
      <w:r w:rsidR="00952118" w:rsidRPr="00E72AEA">
        <w:t xml:space="preserve">, as </w:t>
      </w:r>
      <w:r w:rsidRPr="00E72AEA">
        <w:rPr>
          <w:color w:val="000000"/>
        </w:rPr>
        <w:t>BOTOX</w:t>
      </w:r>
      <w:r w:rsidRPr="00E72AEA">
        <w:rPr>
          <w:vertAlign w:val="superscript"/>
        </w:rPr>
        <w:t>®</w:t>
      </w:r>
      <w:r w:rsidRPr="00E72AEA">
        <w:t xml:space="preserve"> is </w:t>
      </w:r>
      <w:r w:rsidR="00952118" w:rsidRPr="00E72AEA">
        <w:t xml:space="preserve">thought to be </w:t>
      </w:r>
      <w:r w:rsidRPr="00E72AEA">
        <w:t>more invasive than the first-line conservative approaches, but less invasive than SNS (which requires implantation of a system that delivers the electrical stimulation to the sacral nerve).</w:t>
      </w:r>
      <w:r w:rsidR="00876C97">
        <w:t xml:space="preserve"> Clinical e</w:t>
      </w:r>
      <w:r w:rsidR="00EE5643">
        <w:t>xperts advise that</w:t>
      </w:r>
      <w:r w:rsidR="00876C97">
        <w:t>,</w:t>
      </w:r>
      <w:r w:rsidR="00EE5643">
        <w:t xml:space="preserve"> in I</w:t>
      </w:r>
      <w:r w:rsidR="00876C97">
        <w:t xml:space="preserve">DO patients for </w:t>
      </w:r>
      <w:r w:rsidR="00EE5643">
        <w:t>whom BOTOX</w:t>
      </w:r>
      <w:r w:rsidR="00EE5643" w:rsidRPr="00E72AEA">
        <w:rPr>
          <w:vertAlign w:val="superscript"/>
        </w:rPr>
        <w:t>®</w:t>
      </w:r>
      <w:r w:rsidR="00EE5643">
        <w:t xml:space="preserve"> injections are effective, the use of anti-cholinergics is </w:t>
      </w:r>
      <w:r w:rsidR="00495298">
        <w:t xml:space="preserve">generally </w:t>
      </w:r>
      <w:r w:rsidR="00EE5643">
        <w:t>stopped</w:t>
      </w:r>
      <w:r w:rsidR="00495298">
        <w:t xml:space="preserve"> once the BOTOX</w:t>
      </w:r>
      <w:r w:rsidR="00495298" w:rsidRPr="00E72AEA">
        <w:rPr>
          <w:vertAlign w:val="superscript"/>
        </w:rPr>
        <w:t>®</w:t>
      </w:r>
      <w:r w:rsidR="00495298">
        <w:t xml:space="preserve"> begins to work (7-10 days after the procedure)</w:t>
      </w:r>
      <w:r w:rsidR="00EE5643">
        <w:t xml:space="preserve">; </w:t>
      </w:r>
      <w:r w:rsidR="00495298">
        <w:t xml:space="preserve">as </w:t>
      </w:r>
      <w:r w:rsidR="00EE5643">
        <w:t>BOTOX</w:t>
      </w:r>
      <w:r w:rsidR="00EE5643" w:rsidRPr="00E72AEA">
        <w:rPr>
          <w:vertAlign w:val="superscript"/>
        </w:rPr>
        <w:t>®</w:t>
      </w:r>
      <w:r w:rsidR="00495298">
        <w:t xml:space="preserve">’s effectiveness wanes, </w:t>
      </w:r>
      <w:r w:rsidR="00EE5643">
        <w:t>the use of anti-cholinergics may be reviewed.</w:t>
      </w:r>
      <w:r w:rsidR="00495298">
        <w:t xml:space="preserve"> </w:t>
      </w:r>
    </w:p>
    <w:p w:rsidR="0076401B" w:rsidRPr="00E72AEA" w:rsidRDefault="0076401B">
      <w:r w:rsidRPr="00E72AEA">
        <w:rPr>
          <w:color w:val="000000"/>
        </w:rPr>
        <w:lastRenderedPageBreak/>
        <w:t>BOTOX</w:t>
      </w:r>
      <w:r w:rsidRPr="00E72AEA">
        <w:rPr>
          <w:vertAlign w:val="superscript"/>
        </w:rPr>
        <w:t>®</w:t>
      </w:r>
      <w:r w:rsidRPr="00E72AEA">
        <w:t xml:space="preserve"> is ‘reversible’ in the sense that the patient may elect not to undergo a reinjection at the en</w:t>
      </w:r>
      <w:r w:rsidR="003D1E74">
        <w:t>d of the effectiveness period. The</w:t>
      </w:r>
      <w:r w:rsidRPr="00E72AEA">
        <w:t xml:space="preserve"> requirement for re</w:t>
      </w:r>
      <w:r w:rsidR="004A2037" w:rsidRPr="00E72AEA">
        <w:t>-</w:t>
      </w:r>
      <w:r w:rsidRPr="00E72AEA">
        <w:t>injection</w:t>
      </w:r>
      <w:r w:rsidR="00D833A7" w:rsidRPr="00E72AEA">
        <w:t>s</w:t>
      </w:r>
      <w:r w:rsidRPr="00E72AEA">
        <w:t xml:space="preserve"> will have cost-effectiveness implications</w:t>
      </w:r>
      <w:r w:rsidR="00BC640E">
        <w:t>.</w:t>
      </w:r>
      <w:r w:rsidR="000B3EF1" w:rsidRPr="00E72AEA">
        <w:t xml:space="preserve"> The </w:t>
      </w:r>
      <w:r w:rsidR="004B2AB5">
        <w:t>a</w:t>
      </w:r>
      <w:r w:rsidR="000B3EF1" w:rsidRPr="00E72AEA">
        <w:t xml:space="preserve">pplicant notes that this </w:t>
      </w:r>
      <w:r w:rsidR="00B079BD" w:rsidRPr="00E72AEA">
        <w:t xml:space="preserve">issue </w:t>
      </w:r>
      <w:r w:rsidR="000B3EF1" w:rsidRPr="00E72AEA">
        <w:t xml:space="preserve">will be assessed in the economic evaluation section of the PBAC submission. However, insofar as the </w:t>
      </w:r>
      <w:r w:rsidR="000B3EF1" w:rsidRPr="00E72AEA">
        <w:rPr>
          <w:i/>
        </w:rPr>
        <w:t>re-injections themselves</w:t>
      </w:r>
      <w:r w:rsidR="000B3EF1" w:rsidRPr="00E72AEA">
        <w:t xml:space="preserve"> fall under MSAC</w:t>
      </w:r>
      <w:r w:rsidR="00B079BD" w:rsidRPr="00E72AEA">
        <w:t>’s</w:t>
      </w:r>
      <w:r w:rsidR="000B3EF1" w:rsidRPr="00E72AEA">
        <w:t xml:space="preserve"> remit, </w:t>
      </w:r>
      <w:r w:rsidR="00B079BD" w:rsidRPr="00E72AEA">
        <w:t xml:space="preserve">the issue of repeat injections </w:t>
      </w:r>
      <w:r w:rsidR="003D1E74">
        <w:t>would</w:t>
      </w:r>
      <w:r w:rsidR="000B3EF1" w:rsidRPr="00E72AEA">
        <w:t xml:space="preserve"> be considered by MSAC, as well. </w:t>
      </w:r>
    </w:p>
    <w:p w:rsidR="0076401B" w:rsidRDefault="0076401B">
      <w:pPr>
        <w:autoSpaceDE w:val="0"/>
        <w:autoSpaceDN w:val="0"/>
        <w:adjustRightInd w:val="0"/>
        <w:spacing w:after="0"/>
      </w:pPr>
      <w:r w:rsidRPr="00E72AEA">
        <w:t xml:space="preserve">If the </w:t>
      </w:r>
      <w:r w:rsidRPr="00E72AEA">
        <w:rPr>
          <w:color w:val="000000"/>
        </w:rPr>
        <w:t>BOTOX</w:t>
      </w:r>
      <w:r w:rsidRPr="00E72AEA">
        <w:rPr>
          <w:vertAlign w:val="superscript"/>
        </w:rPr>
        <w:t>®</w:t>
      </w:r>
      <w:r w:rsidRPr="00E72AEA">
        <w:t xml:space="preserve"> therapy fails, the previously described </w:t>
      </w:r>
      <w:r w:rsidR="00952118" w:rsidRPr="00E72AEA">
        <w:t>Sacral Nerve Stimulation</w:t>
      </w:r>
      <w:r w:rsidR="00045419" w:rsidRPr="00E72AEA">
        <w:t xml:space="preserve"> </w:t>
      </w:r>
      <w:r w:rsidRPr="00E72AEA">
        <w:t xml:space="preserve">or (return to) best supportive care are possible treatment options. </w:t>
      </w:r>
    </w:p>
    <w:p w:rsidR="00DA6ACA" w:rsidRDefault="00DA6ACA">
      <w:pPr>
        <w:autoSpaceDE w:val="0"/>
        <w:autoSpaceDN w:val="0"/>
        <w:adjustRightInd w:val="0"/>
        <w:spacing w:after="0"/>
      </w:pPr>
    </w:p>
    <w:p w:rsidR="0076401B" w:rsidRPr="00E72AEA" w:rsidRDefault="0076401B" w:rsidP="000F54B1">
      <w:pPr>
        <w:autoSpaceDE w:val="0"/>
        <w:autoSpaceDN w:val="0"/>
        <w:adjustRightInd w:val="0"/>
        <w:spacing w:after="0"/>
        <w:jc w:val="center"/>
        <w:rPr>
          <w:b/>
          <w:bCs/>
        </w:rPr>
      </w:pPr>
      <w:r w:rsidRPr="00E72AEA">
        <w:rPr>
          <w:b/>
          <w:bCs/>
        </w:rPr>
        <w:t>Figure 2: Clinical management algorithm with the proposed intervention:</w:t>
      </w:r>
    </w:p>
    <w:p w:rsidR="0076401B" w:rsidRPr="00E72AEA" w:rsidRDefault="0076401B">
      <w:pPr>
        <w:spacing w:after="0" w:line="240" w:lineRule="auto"/>
        <w:rPr>
          <w:b/>
          <w:bCs/>
        </w:rPr>
      </w:pPr>
    </w:p>
    <w:p w:rsidR="001C6BCD" w:rsidRDefault="002C0395" w:rsidP="000F54B1">
      <w:pPr>
        <w:spacing w:after="0" w:line="240" w:lineRule="auto"/>
        <w:jc w:val="center"/>
      </w:pPr>
      <w:r>
        <w:rPr>
          <w:noProof/>
          <w:lang w:eastAsia="en-AU"/>
        </w:rPr>
        <w:drawing>
          <wp:inline distT="0" distB="0" distL="0" distR="0">
            <wp:extent cx="4227195" cy="3450590"/>
            <wp:effectExtent l="0" t="0" r="1905" b="0"/>
            <wp:docPr id="2" name="Picture 7" descr="Figure 2: Clinical management algorithm with the proposed intervention:" title="Figure 2: Clinical management algorithm with the propose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28410" t="32330" r="28549" b="24060"/>
                    <a:stretch>
                      <a:fillRect/>
                    </a:stretch>
                  </pic:blipFill>
                  <pic:spPr bwMode="auto">
                    <a:xfrm>
                      <a:off x="0" y="0"/>
                      <a:ext cx="4227195" cy="3450590"/>
                    </a:xfrm>
                    <a:prstGeom prst="rect">
                      <a:avLst/>
                    </a:prstGeom>
                    <a:noFill/>
                    <a:ln>
                      <a:noFill/>
                    </a:ln>
                  </pic:spPr>
                </pic:pic>
              </a:graphicData>
            </a:graphic>
          </wp:inline>
        </w:drawing>
      </w:r>
    </w:p>
    <w:p w:rsidR="0076401B" w:rsidRDefault="0076401B">
      <w:pPr>
        <w:spacing w:after="0"/>
      </w:pPr>
    </w:p>
    <w:p w:rsidR="0076401B" w:rsidRPr="00E72AEA" w:rsidRDefault="0076401B">
      <w:pPr>
        <w:pStyle w:val="Heading1"/>
        <w:spacing w:before="0"/>
      </w:pPr>
      <w:bookmarkStart w:id="16" w:name="_Toc347304405"/>
      <w:r w:rsidRPr="00E72AEA">
        <w:t>Comparator</w:t>
      </w:r>
      <w:bookmarkEnd w:id="16"/>
    </w:p>
    <w:p w:rsidR="00671AD5" w:rsidRPr="00D6431B" w:rsidRDefault="00E11790" w:rsidP="00210AEE">
      <w:pPr>
        <w:rPr>
          <w:szCs w:val="22"/>
        </w:rPr>
      </w:pPr>
      <w:r>
        <w:t>The applicant</w:t>
      </w:r>
      <w:r w:rsidR="00FB3131">
        <w:t xml:space="preserve"> (Allergan)</w:t>
      </w:r>
      <w:r>
        <w:t xml:space="preserve"> proposed </w:t>
      </w:r>
      <w:r w:rsidR="00671AD5">
        <w:t>that best supportive care</w:t>
      </w:r>
      <w:r w:rsidR="00C806A5">
        <w:t xml:space="preserve"> (BSC)</w:t>
      </w:r>
      <w:r w:rsidR="00671AD5">
        <w:t xml:space="preserve"> may be the appropriate comparator</w:t>
      </w:r>
      <w:r w:rsidR="00FB3131">
        <w:t xml:space="preserve"> for the purpose</w:t>
      </w:r>
      <w:r>
        <w:t xml:space="preserve"> of this application. </w:t>
      </w:r>
      <w:r w:rsidR="00FB3131">
        <w:t xml:space="preserve"> </w:t>
      </w:r>
      <w:r>
        <w:t>PASC agreed that BSC should be the comparator.</w:t>
      </w:r>
      <w:r w:rsidR="00FB3131">
        <w:t xml:space="preserve">  PASC agreed that existing MBS item 36851 was the most appropriate benchmark to help MSAC set the MBS fee for</w:t>
      </w:r>
      <w:r w:rsidR="00E1694D">
        <w:t xml:space="preserve"> </w:t>
      </w:r>
      <w:r w:rsidR="00D7227C">
        <w:t xml:space="preserve">the </w:t>
      </w:r>
      <w:r w:rsidR="00E1694D">
        <w:t>treatment of</w:t>
      </w:r>
      <w:r w:rsidR="00FB3131">
        <w:t xml:space="preserve"> </w:t>
      </w:r>
      <w:r w:rsidR="00E1694D">
        <w:t>urinary incontinence due to</w:t>
      </w:r>
      <w:r w:rsidR="0096020F">
        <w:t xml:space="preserve"> </w:t>
      </w:r>
      <w:r w:rsidR="00E1694D" w:rsidRPr="00D6431B">
        <w:t>IDO</w:t>
      </w:r>
      <w:r w:rsidR="006D536F" w:rsidRPr="00D6431B">
        <w:t xml:space="preserve"> </w:t>
      </w:r>
      <w:r w:rsidR="006D536F" w:rsidRPr="00D6431B">
        <w:rPr>
          <w:szCs w:val="22"/>
        </w:rPr>
        <w:t>(or IOAB</w:t>
      </w:r>
      <w:r w:rsidR="00D6431B" w:rsidRPr="00D6431B">
        <w:rPr>
          <w:szCs w:val="22"/>
        </w:rPr>
        <w:t xml:space="preserve"> </w:t>
      </w:r>
      <w:r w:rsidR="00D6431B" w:rsidRPr="000E4F7D">
        <w:rPr>
          <w:szCs w:val="22"/>
        </w:rPr>
        <w:t>if PBAC agrees PBS funding for this indication</w:t>
      </w:r>
      <w:r w:rsidR="006D536F" w:rsidRPr="00D6431B">
        <w:rPr>
          <w:szCs w:val="22"/>
        </w:rPr>
        <w:t>)</w:t>
      </w:r>
      <w:r w:rsidR="00E1694D" w:rsidRPr="00D6431B">
        <w:rPr>
          <w:szCs w:val="22"/>
        </w:rPr>
        <w:t>.</w:t>
      </w:r>
    </w:p>
    <w:p w:rsidR="0076401B" w:rsidRPr="00E72AEA" w:rsidRDefault="0076401B" w:rsidP="00C806A5">
      <w:pPr>
        <w:pStyle w:val="Heading1"/>
        <w:spacing w:after="0"/>
      </w:pPr>
      <w:bookmarkStart w:id="17" w:name="_Toc347304406"/>
      <w:r w:rsidRPr="00E72AEA">
        <w:t>Clinical claim</w:t>
      </w:r>
      <w:bookmarkEnd w:id="17"/>
    </w:p>
    <w:p w:rsidR="0076401B" w:rsidRDefault="00FB3131">
      <w:r>
        <w:t xml:space="preserve">Allergan </w:t>
      </w:r>
      <w:r w:rsidR="0076401B" w:rsidRPr="00E72AEA">
        <w:t xml:space="preserve">requested that the comparative safety and effectiveness of </w:t>
      </w:r>
      <w:r w:rsidR="0076401B" w:rsidRPr="00E72AEA">
        <w:rPr>
          <w:color w:val="000000"/>
        </w:rPr>
        <w:t>BOTOX</w:t>
      </w:r>
      <w:r w:rsidR="0076401B" w:rsidRPr="00E72AEA">
        <w:rPr>
          <w:vertAlign w:val="superscript"/>
        </w:rPr>
        <w:t>®</w:t>
      </w:r>
      <w:r w:rsidR="0076401B" w:rsidRPr="00E72AEA">
        <w:t xml:space="preserve"> treatment for urinary incontinence </w:t>
      </w:r>
      <w:r w:rsidR="00D6431B">
        <w:t xml:space="preserve">for this application </w:t>
      </w:r>
      <w:r w:rsidR="0076401B" w:rsidRPr="00E72AEA">
        <w:t xml:space="preserve">be assessed by PBAC. </w:t>
      </w:r>
      <w:r w:rsidR="0096020F">
        <w:t xml:space="preserve"> Allergan </w:t>
      </w:r>
      <w:r w:rsidR="0076401B" w:rsidRPr="00E72AEA">
        <w:t>also requested that economic evaluation be carried out by PBAC.</w:t>
      </w:r>
      <w:r w:rsidR="004B7B84">
        <w:t xml:space="preserve">  </w:t>
      </w:r>
      <w:r w:rsidR="00110E33">
        <w:t xml:space="preserve">In </w:t>
      </w:r>
      <w:r w:rsidR="004B7B84">
        <w:t>November 2012</w:t>
      </w:r>
      <w:r w:rsidR="00110E33">
        <w:t>,</w:t>
      </w:r>
      <w:r w:rsidR="004B7B84">
        <w:t xml:space="preserve"> MSAC provided advice on</w:t>
      </w:r>
      <w:r w:rsidR="00110E33">
        <w:t xml:space="preserve"> costs associated with similar A</w:t>
      </w:r>
      <w:r w:rsidR="004B7B84">
        <w:t xml:space="preserve">pplication 1221 (NDO) to </w:t>
      </w:r>
      <w:r w:rsidR="003D5466">
        <w:t>enable PBAC to consider PBS funding for the treatment of urinary incontinence due to NDO.</w:t>
      </w:r>
      <w:r w:rsidR="0076401B" w:rsidRPr="00E72AEA">
        <w:t xml:space="preserve"> </w:t>
      </w:r>
    </w:p>
    <w:p w:rsidR="00CC38F9" w:rsidRDefault="00CC38F9">
      <w:r>
        <w:lastRenderedPageBreak/>
        <w:t xml:space="preserve">PASC agreed that the submission to PBAC should consider the overall comparative safety, effectiveness and cost-effectiveness of the proposed service, </w:t>
      </w:r>
      <w:r w:rsidRPr="00792B7D">
        <w:t>whilst the MSAC assessment will be limited to the wording of the MBS item descriptor (to align with PBS restrictions)</w:t>
      </w:r>
      <w:r w:rsidR="00110E33">
        <w:t>, the MBS fee</w:t>
      </w:r>
      <w:r w:rsidRPr="00792B7D">
        <w:t xml:space="preserve"> </w:t>
      </w:r>
      <w:r w:rsidR="00110E33">
        <w:t>and the financial implications for</w:t>
      </w:r>
      <w:r w:rsidRPr="00792B7D">
        <w:t xml:space="preserve"> the MBS </w:t>
      </w:r>
      <w:r w:rsidR="00110E33">
        <w:t>for</w:t>
      </w:r>
      <w:r w:rsidRPr="00792B7D">
        <w:t xml:space="preserve"> listing the proposed service.</w:t>
      </w:r>
      <w:r>
        <w:t xml:space="preserve"> </w:t>
      </w:r>
    </w:p>
    <w:p w:rsidR="0076401B" w:rsidRDefault="00CC38F9" w:rsidP="00CC38F9">
      <w:r>
        <w:t xml:space="preserve">As the economic evaluation </w:t>
      </w:r>
      <w:r w:rsidR="005B697B">
        <w:t xml:space="preserve">of </w:t>
      </w:r>
      <w:r w:rsidR="0076401B" w:rsidRPr="00E72AEA">
        <w:t>BOTOX® treatment w</w:t>
      </w:r>
      <w:r w:rsidR="005B697B">
        <w:t>ill</w:t>
      </w:r>
      <w:r w:rsidR="0076401B" w:rsidRPr="00E72AEA">
        <w:t xml:space="preserve"> be carried out by PBAC</w:t>
      </w:r>
      <w:r>
        <w:t xml:space="preserve">, </w:t>
      </w:r>
      <w:r w:rsidR="0076401B" w:rsidRPr="00E72AEA">
        <w:t>Table 2</w:t>
      </w:r>
      <w:r w:rsidR="005B697B">
        <w:t xml:space="preserve"> (‘</w:t>
      </w:r>
      <w:r w:rsidR="006651F9">
        <w:t>Classification of an intervention for determination of economic evaluation to be presented</w:t>
      </w:r>
      <w:r w:rsidR="005B697B">
        <w:t>’</w:t>
      </w:r>
      <w:r w:rsidR="006651F9">
        <w:t>)</w:t>
      </w:r>
      <w:r w:rsidR="0076401B" w:rsidRPr="00E72AEA">
        <w:t xml:space="preserve"> was not completed for this application. </w:t>
      </w:r>
    </w:p>
    <w:p w:rsidR="0076401B" w:rsidRPr="00E72AEA" w:rsidRDefault="0076401B" w:rsidP="009158A4">
      <w:pPr>
        <w:pStyle w:val="Heading1"/>
        <w:spacing w:line="240" w:lineRule="auto"/>
      </w:pPr>
      <w:bookmarkStart w:id="18" w:name="_Toc347304407"/>
      <w:r w:rsidRPr="00E72AEA">
        <w:t>Outcomes and health care resources affected by introduction of proposed intervention</w:t>
      </w:r>
      <w:bookmarkEnd w:id="18"/>
    </w:p>
    <w:p w:rsidR="0076401B" w:rsidRPr="00E72AEA" w:rsidRDefault="0076401B">
      <w:pPr>
        <w:pStyle w:val="Heading2"/>
        <w:rPr>
          <w:lang w:val="en-AU"/>
        </w:rPr>
      </w:pPr>
      <w:bookmarkStart w:id="19" w:name="_Toc347304408"/>
      <w:r w:rsidRPr="00E72AEA">
        <w:rPr>
          <w:lang w:val="en-AU"/>
        </w:rPr>
        <w:t>Outcomes</w:t>
      </w:r>
      <w:bookmarkEnd w:id="19"/>
    </w:p>
    <w:p w:rsidR="0076401B" w:rsidRPr="00E72AEA" w:rsidRDefault="0076401B">
      <w:pPr>
        <w:rPr>
          <w:lang w:eastAsia="ja-JP"/>
        </w:rPr>
      </w:pPr>
      <w:r w:rsidRPr="00E72AEA">
        <w:rPr>
          <w:lang w:eastAsia="ja-JP"/>
        </w:rPr>
        <w:t>This assessment will consider:</w:t>
      </w:r>
    </w:p>
    <w:p w:rsidR="00792B7D" w:rsidRDefault="00792B7D" w:rsidP="00F76AFF">
      <w:pPr>
        <w:pStyle w:val="ListParagraph"/>
        <w:numPr>
          <w:ilvl w:val="0"/>
          <w:numId w:val="9"/>
        </w:numPr>
        <w:spacing w:after="0"/>
        <w:rPr>
          <w:lang w:eastAsia="ja-JP"/>
        </w:rPr>
      </w:pPr>
      <w:r>
        <w:rPr>
          <w:lang w:eastAsia="ja-JP"/>
        </w:rPr>
        <w:t>Wording of the MBS item descri</w:t>
      </w:r>
      <w:r w:rsidR="000E4F33">
        <w:rPr>
          <w:lang w:eastAsia="ja-JP"/>
        </w:rPr>
        <w:t xml:space="preserve">ptor (which will align with </w:t>
      </w:r>
      <w:r>
        <w:rPr>
          <w:lang w:eastAsia="ja-JP"/>
        </w:rPr>
        <w:t>PBS restrictions)</w:t>
      </w:r>
      <w:r w:rsidR="00511FDC">
        <w:rPr>
          <w:lang w:eastAsia="ja-JP"/>
        </w:rPr>
        <w:t xml:space="preserve"> and associated MBS fee</w:t>
      </w:r>
      <w:r w:rsidR="000E4F33">
        <w:rPr>
          <w:lang w:eastAsia="ja-JP"/>
        </w:rPr>
        <w:t>; and</w:t>
      </w:r>
    </w:p>
    <w:p w:rsidR="006651F9" w:rsidRDefault="006651F9" w:rsidP="006651F9">
      <w:pPr>
        <w:pStyle w:val="ListParagraph"/>
        <w:spacing w:after="0"/>
        <w:rPr>
          <w:lang w:eastAsia="ja-JP"/>
        </w:rPr>
      </w:pPr>
    </w:p>
    <w:p w:rsidR="00792B7D" w:rsidRDefault="00210AEE" w:rsidP="00792B7D">
      <w:pPr>
        <w:pStyle w:val="ListParagraph"/>
        <w:numPr>
          <w:ilvl w:val="0"/>
          <w:numId w:val="9"/>
        </w:numPr>
        <w:spacing w:after="0"/>
        <w:rPr>
          <w:lang w:eastAsia="ja-JP"/>
        </w:rPr>
      </w:pPr>
      <w:r w:rsidRPr="00E72AEA">
        <w:rPr>
          <w:lang w:eastAsia="ja-JP"/>
        </w:rPr>
        <w:t xml:space="preserve">Financial impact to </w:t>
      </w:r>
      <w:r w:rsidR="00511FDC">
        <w:rPr>
          <w:lang w:eastAsia="ja-JP"/>
        </w:rPr>
        <w:t xml:space="preserve">the </w:t>
      </w:r>
      <w:r w:rsidRPr="00E72AEA">
        <w:rPr>
          <w:lang w:eastAsia="ja-JP"/>
        </w:rPr>
        <w:t>MBS</w:t>
      </w:r>
      <w:r w:rsidR="00511FDC">
        <w:rPr>
          <w:lang w:eastAsia="ja-JP"/>
        </w:rPr>
        <w:t xml:space="preserve"> and patients</w:t>
      </w:r>
      <w:r w:rsidRPr="00E72AEA">
        <w:rPr>
          <w:lang w:eastAsia="ja-JP"/>
        </w:rPr>
        <w:t xml:space="preserve">: </w:t>
      </w:r>
      <w:r w:rsidR="0076401B" w:rsidRPr="00E72AEA">
        <w:rPr>
          <w:lang w:eastAsia="ja-JP"/>
        </w:rPr>
        <w:t>Consequences of adding the MBS item (any potential changes in utilisation rates resulting from this addition</w:t>
      </w:r>
      <w:r w:rsidR="00391737">
        <w:rPr>
          <w:lang w:eastAsia="ja-JP"/>
        </w:rPr>
        <w:t xml:space="preserve">; the </w:t>
      </w:r>
      <w:r w:rsidR="0095765B">
        <w:rPr>
          <w:lang w:eastAsia="ja-JP"/>
        </w:rPr>
        <w:t>billing of anaesthetic items on the same occasion of service; professional attendance items to assess, reassess and treat urinary tract infections and urinary retention – not on the same occasion of service</w:t>
      </w:r>
      <w:r w:rsidR="00DD19D7">
        <w:rPr>
          <w:lang w:eastAsia="ja-JP"/>
        </w:rPr>
        <w:t>; Extended Medicare Safety Net risk and patient out-of-pocket costs</w:t>
      </w:r>
      <w:r w:rsidR="0076401B" w:rsidRPr="00E72AEA">
        <w:rPr>
          <w:lang w:eastAsia="ja-JP"/>
        </w:rPr>
        <w:t>)</w:t>
      </w:r>
      <w:r w:rsidR="000E4F33">
        <w:rPr>
          <w:lang w:eastAsia="ja-JP"/>
        </w:rPr>
        <w:t>.</w:t>
      </w:r>
      <w:r w:rsidR="0076401B" w:rsidRPr="00E72AEA">
        <w:rPr>
          <w:lang w:eastAsia="ja-JP"/>
        </w:rPr>
        <w:t xml:space="preserve"> </w:t>
      </w:r>
    </w:p>
    <w:p w:rsidR="0076401B" w:rsidRPr="00E72AEA" w:rsidRDefault="0076401B" w:rsidP="00F76AFF">
      <w:pPr>
        <w:pStyle w:val="Heading2"/>
      </w:pPr>
      <w:bookmarkStart w:id="20" w:name="_Toc347304409"/>
      <w:r w:rsidRPr="00E72AEA">
        <w:t>Health care resources</w:t>
      </w:r>
      <w:bookmarkEnd w:id="20"/>
    </w:p>
    <w:p w:rsidR="0076401B" w:rsidRPr="00E72AEA" w:rsidRDefault="0076401B">
      <w:pPr>
        <w:pStyle w:val="Caption"/>
        <w:rPr>
          <w:lang w:val="en-AU"/>
        </w:rPr>
      </w:pPr>
      <w:bookmarkStart w:id="21" w:name="_Ref283143211"/>
      <w:bookmarkStart w:id="22" w:name="_Ref283143206"/>
      <w:r w:rsidRPr="00E72AEA">
        <w:rPr>
          <w:lang w:val="en-AU"/>
        </w:rPr>
        <w:t xml:space="preserve">Table </w:t>
      </w:r>
      <w:r w:rsidRPr="00E72AEA">
        <w:rPr>
          <w:lang w:val="en-AU"/>
        </w:rPr>
        <w:fldChar w:fldCharType="begin"/>
      </w:r>
      <w:r w:rsidRPr="00E72AEA">
        <w:rPr>
          <w:lang w:val="en-AU"/>
        </w:rPr>
        <w:instrText xml:space="preserve"> SEQ Table \* ARABIC </w:instrText>
      </w:r>
      <w:r w:rsidRPr="00E72AEA">
        <w:rPr>
          <w:lang w:val="en-AU"/>
        </w:rPr>
        <w:fldChar w:fldCharType="separate"/>
      </w:r>
      <w:r w:rsidR="00F13D3A">
        <w:rPr>
          <w:noProof/>
          <w:lang w:val="en-AU"/>
        </w:rPr>
        <w:t>2</w:t>
      </w:r>
      <w:r w:rsidRPr="00E72AEA">
        <w:rPr>
          <w:lang w:val="en-AU"/>
        </w:rPr>
        <w:fldChar w:fldCharType="end"/>
      </w:r>
      <w:bookmarkEnd w:id="21"/>
      <w:r w:rsidRPr="00E72AEA">
        <w:rPr>
          <w:lang w:val="en-AU"/>
        </w:rPr>
        <w:t>:</w:t>
      </w:r>
      <w:r w:rsidRPr="00E72AEA">
        <w:rPr>
          <w:lang w:val="en-AU"/>
        </w:rPr>
        <w:tab/>
        <w:t>List of resources to be considered in the economic analysis</w:t>
      </w:r>
      <w:bookmarkEnd w:id="22"/>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26"/>
        <w:gridCol w:w="19"/>
        <w:gridCol w:w="1223"/>
        <w:gridCol w:w="680"/>
        <w:gridCol w:w="853"/>
        <w:gridCol w:w="1406"/>
        <w:gridCol w:w="17"/>
        <w:gridCol w:w="893"/>
        <w:gridCol w:w="21"/>
        <w:gridCol w:w="478"/>
        <w:gridCol w:w="549"/>
        <w:gridCol w:w="557"/>
        <w:gridCol w:w="551"/>
        <w:gridCol w:w="852"/>
      </w:tblGrid>
      <w:tr w:rsidR="0076401B" w:rsidRPr="00E72AEA" w:rsidTr="00D52E6B">
        <w:trPr>
          <w:tblHeader/>
        </w:trPr>
        <w:tc>
          <w:tcPr>
            <w:tcW w:w="749" w:type="pct"/>
            <w:vMerge w:val="restart"/>
          </w:tcPr>
          <w:p w:rsidR="0076401B" w:rsidRPr="00E72AEA" w:rsidRDefault="0076401B">
            <w:pPr>
              <w:keepNext/>
              <w:spacing w:after="0" w:line="240" w:lineRule="auto"/>
              <w:rPr>
                <w:rFonts w:ascii="Arial Narrow" w:hAnsi="Arial Narrow" w:cs="Arial Narrow"/>
                <w:b/>
                <w:bCs/>
                <w:sz w:val="18"/>
                <w:szCs w:val="18"/>
              </w:rPr>
            </w:pPr>
          </w:p>
        </w:tc>
        <w:tc>
          <w:tcPr>
            <w:tcW w:w="652" w:type="pct"/>
            <w:gridSpan w:val="2"/>
            <w:vMerge w:val="restar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Provider of resource</w:t>
            </w:r>
          </w:p>
        </w:tc>
        <w:tc>
          <w:tcPr>
            <w:tcW w:w="357" w:type="pct"/>
            <w:vMerge w:val="restar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Setting in which resource is provided</w:t>
            </w:r>
          </w:p>
        </w:tc>
        <w:tc>
          <w:tcPr>
            <w:tcW w:w="448" w:type="pct"/>
            <w:vMerge w:val="restar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Proportion of patients receiving resource</w:t>
            </w:r>
          </w:p>
        </w:tc>
        <w:tc>
          <w:tcPr>
            <w:tcW w:w="747" w:type="pct"/>
            <w:gridSpan w:val="2"/>
            <w:vMerge w:val="restar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Number of units of resource per relevant time horizon per patient receiving resource</w:t>
            </w:r>
          </w:p>
        </w:tc>
        <w:tc>
          <w:tcPr>
            <w:tcW w:w="2048" w:type="pct"/>
            <w:gridSpan w:val="7"/>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Disaggregated unit cost</w:t>
            </w:r>
          </w:p>
        </w:tc>
      </w:tr>
      <w:tr w:rsidR="0076401B" w:rsidRPr="00E72AEA" w:rsidTr="001C4FF0">
        <w:trPr>
          <w:tblHeader/>
        </w:trPr>
        <w:tc>
          <w:tcPr>
            <w:tcW w:w="749" w:type="pct"/>
            <w:vMerge/>
          </w:tcPr>
          <w:p w:rsidR="0076401B" w:rsidRPr="00E72AEA" w:rsidRDefault="0076401B">
            <w:pPr>
              <w:keepNext/>
              <w:spacing w:after="0" w:line="240" w:lineRule="auto"/>
              <w:rPr>
                <w:rFonts w:ascii="Arial Narrow" w:hAnsi="Arial Narrow" w:cs="Arial Narrow"/>
                <w:sz w:val="18"/>
                <w:szCs w:val="18"/>
              </w:rPr>
            </w:pPr>
          </w:p>
        </w:tc>
        <w:tc>
          <w:tcPr>
            <w:tcW w:w="652" w:type="pct"/>
            <w:gridSpan w:val="2"/>
            <w:vMerge/>
          </w:tcPr>
          <w:p w:rsidR="0076401B" w:rsidRPr="00E72AEA" w:rsidRDefault="0076401B">
            <w:pPr>
              <w:keepNext/>
              <w:spacing w:after="0" w:line="240" w:lineRule="auto"/>
              <w:jc w:val="center"/>
              <w:rPr>
                <w:rFonts w:ascii="Arial Narrow" w:hAnsi="Arial Narrow" w:cs="Arial Narrow"/>
                <w:sz w:val="18"/>
                <w:szCs w:val="18"/>
              </w:rPr>
            </w:pPr>
          </w:p>
        </w:tc>
        <w:tc>
          <w:tcPr>
            <w:tcW w:w="357" w:type="pct"/>
            <w:vMerge/>
          </w:tcPr>
          <w:p w:rsidR="0076401B" w:rsidRPr="00E72AEA" w:rsidRDefault="0076401B">
            <w:pPr>
              <w:keepNext/>
              <w:spacing w:after="0" w:line="240" w:lineRule="auto"/>
              <w:jc w:val="center"/>
              <w:rPr>
                <w:rFonts w:ascii="Arial Narrow" w:hAnsi="Arial Narrow" w:cs="Arial Narrow"/>
                <w:sz w:val="18"/>
                <w:szCs w:val="18"/>
              </w:rPr>
            </w:pPr>
          </w:p>
        </w:tc>
        <w:tc>
          <w:tcPr>
            <w:tcW w:w="448" w:type="pct"/>
            <w:vMerge/>
          </w:tcPr>
          <w:p w:rsidR="0076401B" w:rsidRPr="00E72AEA" w:rsidRDefault="0076401B">
            <w:pPr>
              <w:keepNext/>
              <w:spacing w:after="0" w:line="240" w:lineRule="auto"/>
              <w:jc w:val="center"/>
              <w:rPr>
                <w:rFonts w:ascii="Arial Narrow" w:hAnsi="Arial Narrow" w:cs="Arial Narrow"/>
                <w:sz w:val="18"/>
                <w:szCs w:val="18"/>
              </w:rPr>
            </w:pPr>
          </w:p>
        </w:tc>
        <w:tc>
          <w:tcPr>
            <w:tcW w:w="747" w:type="pct"/>
            <w:gridSpan w:val="2"/>
            <w:vMerge/>
          </w:tcPr>
          <w:p w:rsidR="0076401B" w:rsidRPr="00E72AEA" w:rsidRDefault="0076401B">
            <w:pPr>
              <w:keepNext/>
              <w:spacing w:after="0" w:line="240" w:lineRule="auto"/>
              <w:jc w:val="center"/>
              <w:rPr>
                <w:rFonts w:ascii="Arial Narrow" w:hAnsi="Arial Narrow" w:cs="Arial Narrow"/>
                <w:sz w:val="18"/>
                <w:szCs w:val="18"/>
              </w:rPr>
            </w:pPr>
          </w:p>
        </w:tc>
        <w:tc>
          <w:tcPr>
            <w:tcW w:w="469" w:type="pc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MBS</w:t>
            </w:r>
            <w:r w:rsidR="0030623C">
              <w:rPr>
                <w:rFonts w:ascii="Arial Narrow" w:hAnsi="Arial Narrow" w:cs="Arial Narrow"/>
                <w:b/>
                <w:bCs/>
                <w:sz w:val="18"/>
                <w:szCs w:val="18"/>
              </w:rPr>
              <w:t xml:space="preserve"> rebate</w:t>
            </w:r>
          </w:p>
        </w:tc>
        <w:tc>
          <w:tcPr>
            <w:tcW w:w="262" w:type="pct"/>
            <w:gridSpan w:val="2"/>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Safety nets*</w:t>
            </w:r>
          </w:p>
        </w:tc>
        <w:tc>
          <w:tcPr>
            <w:tcW w:w="288" w:type="pc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Other govt budget</w:t>
            </w:r>
          </w:p>
        </w:tc>
        <w:tc>
          <w:tcPr>
            <w:tcW w:w="292" w:type="pc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Private health insurer</w:t>
            </w:r>
          </w:p>
        </w:tc>
        <w:tc>
          <w:tcPr>
            <w:tcW w:w="289" w:type="pc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Patient</w:t>
            </w:r>
          </w:p>
        </w:tc>
        <w:tc>
          <w:tcPr>
            <w:tcW w:w="447" w:type="pct"/>
            <w:vAlign w:val="center"/>
          </w:tcPr>
          <w:p w:rsidR="0076401B" w:rsidRPr="00E72AEA" w:rsidRDefault="0076401B">
            <w:pPr>
              <w:keepNext/>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Total cost</w:t>
            </w:r>
          </w:p>
        </w:tc>
      </w:tr>
      <w:tr w:rsidR="0076401B" w:rsidRPr="00E72AEA" w:rsidTr="001C4FF0">
        <w:tc>
          <w:tcPr>
            <w:tcW w:w="5000" w:type="pct"/>
            <w:gridSpan w:val="14"/>
            <w:vAlign w:val="center"/>
          </w:tcPr>
          <w:p w:rsidR="0076401B" w:rsidRPr="00E9789C" w:rsidRDefault="0076401B">
            <w:pPr>
              <w:spacing w:after="0" w:line="240" w:lineRule="auto"/>
              <w:jc w:val="left"/>
              <w:rPr>
                <w:rFonts w:ascii="Arial Narrow" w:hAnsi="Arial Narrow" w:cs="Arial Narrow"/>
                <w:sz w:val="18"/>
                <w:szCs w:val="18"/>
                <w:u w:val="single"/>
              </w:rPr>
            </w:pPr>
            <w:r w:rsidRPr="00E9789C">
              <w:rPr>
                <w:rFonts w:ascii="Arial Narrow" w:hAnsi="Arial Narrow" w:cs="Arial Narrow"/>
                <w:sz w:val="18"/>
                <w:szCs w:val="18"/>
                <w:u w:val="single"/>
              </w:rPr>
              <w:t xml:space="preserve">Resources provided to identify eligible population </w:t>
            </w:r>
          </w:p>
        </w:tc>
      </w:tr>
      <w:tr w:rsidR="0076401B" w:rsidRPr="00E72AEA" w:rsidTr="001C4FF0">
        <w:tc>
          <w:tcPr>
            <w:tcW w:w="749" w:type="pct"/>
          </w:tcPr>
          <w:p w:rsidR="0076401B" w:rsidRPr="00E9789C" w:rsidRDefault="00BD602D" w:rsidP="001861C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 xml:space="preserve">MBS item </w:t>
            </w:r>
            <w:r w:rsidR="0030623C" w:rsidRPr="00E9789C">
              <w:rPr>
                <w:rFonts w:ascii="Arial Narrow" w:hAnsi="Arial Narrow" w:cs="Arial Narrow"/>
                <w:sz w:val="18"/>
                <w:szCs w:val="18"/>
              </w:rPr>
              <w:t>104</w:t>
            </w:r>
          </w:p>
          <w:p w:rsidR="00A90398" w:rsidRPr="00E9789C" w:rsidRDefault="00A90398" w:rsidP="00BD34E7">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(initial consult)</w:t>
            </w:r>
          </w:p>
        </w:tc>
        <w:tc>
          <w:tcPr>
            <w:tcW w:w="652" w:type="pct"/>
            <w:gridSpan w:val="2"/>
          </w:tcPr>
          <w:p w:rsidR="0076401B" w:rsidRPr="00E9789C" w:rsidRDefault="00A90398" w:rsidP="00A9039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Specialist (u</w:t>
            </w:r>
            <w:r w:rsidR="0030623C" w:rsidRPr="00E9789C">
              <w:rPr>
                <w:rFonts w:ascii="Arial Narrow" w:hAnsi="Arial Narrow" w:cs="Arial Narrow"/>
                <w:sz w:val="18"/>
                <w:szCs w:val="18"/>
              </w:rPr>
              <w:t>rologist or urogynaecologist</w:t>
            </w:r>
            <w:r w:rsidRPr="00E9789C">
              <w:rPr>
                <w:rFonts w:ascii="Arial Narrow" w:hAnsi="Arial Narrow" w:cs="Arial Narrow"/>
                <w:sz w:val="18"/>
                <w:szCs w:val="18"/>
              </w:rPr>
              <w:t>)</w:t>
            </w:r>
          </w:p>
        </w:tc>
        <w:tc>
          <w:tcPr>
            <w:tcW w:w="357" w:type="pct"/>
          </w:tcPr>
          <w:p w:rsidR="0076401B" w:rsidRPr="00E9789C" w:rsidRDefault="0076401B">
            <w:pPr>
              <w:spacing w:after="0" w:line="240" w:lineRule="auto"/>
              <w:jc w:val="center"/>
              <w:rPr>
                <w:rFonts w:ascii="Arial Narrow" w:hAnsi="Arial Narrow" w:cs="Arial Narrow"/>
                <w:sz w:val="18"/>
                <w:szCs w:val="18"/>
              </w:rPr>
            </w:pPr>
          </w:p>
        </w:tc>
        <w:tc>
          <w:tcPr>
            <w:tcW w:w="448" w:type="pct"/>
          </w:tcPr>
          <w:p w:rsidR="0076401B" w:rsidRPr="00E9789C" w:rsidRDefault="0076401B">
            <w:pPr>
              <w:spacing w:after="0" w:line="240" w:lineRule="auto"/>
              <w:jc w:val="center"/>
              <w:rPr>
                <w:rFonts w:ascii="Arial Narrow" w:hAnsi="Arial Narrow" w:cs="Arial Narrow"/>
                <w:sz w:val="18"/>
                <w:szCs w:val="18"/>
              </w:rPr>
            </w:pPr>
          </w:p>
        </w:tc>
        <w:tc>
          <w:tcPr>
            <w:tcW w:w="747" w:type="pct"/>
            <w:gridSpan w:val="2"/>
          </w:tcPr>
          <w:p w:rsidR="0076401B" w:rsidRPr="00E9789C" w:rsidRDefault="0076401B">
            <w:pPr>
              <w:spacing w:after="0" w:line="240" w:lineRule="auto"/>
              <w:jc w:val="center"/>
              <w:rPr>
                <w:rFonts w:ascii="Arial Narrow" w:hAnsi="Arial Narrow" w:cs="Arial Narrow"/>
                <w:sz w:val="18"/>
                <w:szCs w:val="18"/>
              </w:rPr>
            </w:pPr>
          </w:p>
        </w:tc>
        <w:tc>
          <w:tcPr>
            <w:tcW w:w="480" w:type="pct"/>
            <w:gridSpan w:val="2"/>
          </w:tcPr>
          <w:p w:rsidR="0076401B" w:rsidRPr="00E9789C" w:rsidRDefault="00A9039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$72.75</w:t>
            </w:r>
          </w:p>
        </w:tc>
        <w:tc>
          <w:tcPr>
            <w:tcW w:w="251" w:type="pct"/>
          </w:tcPr>
          <w:p w:rsidR="0076401B" w:rsidRPr="00E9789C" w:rsidRDefault="0076401B">
            <w:pPr>
              <w:spacing w:after="0" w:line="240" w:lineRule="auto"/>
              <w:jc w:val="center"/>
              <w:rPr>
                <w:rFonts w:ascii="Arial Narrow" w:hAnsi="Arial Narrow" w:cs="Arial Narrow"/>
                <w:sz w:val="18"/>
                <w:szCs w:val="18"/>
              </w:rPr>
            </w:pPr>
          </w:p>
        </w:tc>
        <w:tc>
          <w:tcPr>
            <w:tcW w:w="288" w:type="pct"/>
          </w:tcPr>
          <w:p w:rsidR="0076401B" w:rsidRPr="00E9789C" w:rsidRDefault="0076401B">
            <w:pPr>
              <w:spacing w:after="0" w:line="240" w:lineRule="auto"/>
              <w:jc w:val="center"/>
              <w:rPr>
                <w:rFonts w:ascii="Arial Narrow" w:hAnsi="Arial Narrow" w:cs="Arial Narrow"/>
                <w:sz w:val="18"/>
                <w:szCs w:val="18"/>
              </w:rPr>
            </w:pPr>
          </w:p>
        </w:tc>
        <w:tc>
          <w:tcPr>
            <w:tcW w:w="292" w:type="pct"/>
          </w:tcPr>
          <w:p w:rsidR="0076401B" w:rsidRPr="00E9789C" w:rsidRDefault="0076401B">
            <w:pPr>
              <w:spacing w:after="0" w:line="240" w:lineRule="auto"/>
              <w:jc w:val="center"/>
              <w:rPr>
                <w:rFonts w:ascii="Arial Narrow" w:hAnsi="Arial Narrow" w:cs="Arial Narrow"/>
                <w:sz w:val="18"/>
                <w:szCs w:val="18"/>
              </w:rPr>
            </w:pPr>
          </w:p>
        </w:tc>
        <w:tc>
          <w:tcPr>
            <w:tcW w:w="289" w:type="pct"/>
          </w:tcPr>
          <w:p w:rsidR="0076401B" w:rsidRPr="00E9789C" w:rsidRDefault="0076401B">
            <w:pPr>
              <w:spacing w:after="0" w:line="240" w:lineRule="auto"/>
              <w:jc w:val="center"/>
              <w:rPr>
                <w:rFonts w:ascii="Arial Narrow" w:hAnsi="Arial Narrow" w:cs="Arial Narrow"/>
                <w:sz w:val="18"/>
                <w:szCs w:val="18"/>
              </w:rPr>
            </w:pPr>
          </w:p>
        </w:tc>
        <w:tc>
          <w:tcPr>
            <w:tcW w:w="447" w:type="pct"/>
          </w:tcPr>
          <w:p w:rsidR="0076401B" w:rsidRPr="00E9789C" w:rsidRDefault="0015523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$129.98</w:t>
            </w:r>
          </w:p>
        </w:tc>
      </w:tr>
      <w:tr w:rsidR="0076401B" w:rsidRPr="00E72AEA" w:rsidTr="001C4FF0">
        <w:tc>
          <w:tcPr>
            <w:tcW w:w="749" w:type="pct"/>
          </w:tcPr>
          <w:p w:rsidR="0076401B" w:rsidRPr="00E9789C" w:rsidRDefault="00BD602D" w:rsidP="001861C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MBS item 11919</w:t>
            </w:r>
          </w:p>
          <w:p w:rsidR="00A90398" w:rsidRPr="00E9789C" w:rsidRDefault="00A90398" w:rsidP="00BD34E7">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(urodynamic studies)</w:t>
            </w:r>
          </w:p>
        </w:tc>
        <w:tc>
          <w:tcPr>
            <w:tcW w:w="652" w:type="pct"/>
            <w:gridSpan w:val="2"/>
          </w:tcPr>
          <w:p w:rsidR="0076401B" w:rsidRPr="00E9789C" w:rsidRDefault="008B51F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Specialist (u</w:t>
            </w:r>
            <w:r w:rsidR="00A90398" w:rsidRPr="00E9789C">
              <w:rPr>
                <w:rFonts w:ascii="Arial Narrow" w:hAnsi="Arial Narrow" w:cs="Arial Narrow"/>
                <w:sz w:val="18"/>
                <w:szCs w:val="18"/>
              </w:rPr>
              <w:t>rologist or urogynaecologist</w:t>
            </w:r>
            <w:r w:rsidRPr="00E9789C">
              <w:rPr>
                <w:rFonts w:ascii="Arial Narrow" w:hAnsi="Arial Narrow" w:cs="Arial Narrow"/>
                <w:sz w:val="18"/>
                <w:szCs w:val="18"/>
              </w:rPr>
              <w:t>)</w:t>
            </w:r>
          </w:p>
        </w:tc>
        <w:tc>
          <w:tcPr>
            <w:tcW w:w="357" w:type="pct"/>
          </w:tcPr>
          <w:p w:rsidR="0076401B" w:rsidRPr="00E9789C" w:rsidRDefault="0076401B">
            <w:pPr>
              <w:spacing w:after="0" w:line="240" w:lineRule="auto"/>
              <w:jc w:val="center"/>
              <w:rPr>
                <w:rFonts w:ascii="Arial Narrow" w:hAnsi="Arial Narrow" w:cs="Arial Narrow"/>
                <w:sz w:val="18"/>
                <w:szCs w:val="18"/>
              </w:rPr>
            </w:pPr>
          </w:p>
        </w:tc>
        <w:tc>
          <w:tcPr>
            <w:tcW w:w="448" w:type="pct"/>
          </w:tcPr>
          <w:p w:rsidR="0076401B" w:rsidRPr="00E9789C" w:rsidRDefault="0076401B">
            <w:pPr>
              <w:spacing w:after="0" w:line="240" w:lineRule="auto"/>
              <w:jc w:val="center"/>
              <w:rPr>
                <w:rFonts w:ascii="Arial Narrow" w:hAnsi="Arial Narrow" w:cs="Arial Narrow"/>
                <w:sz w:val="18"/>
                <w:szCs w:val="18"/>
              </w:rPr>
            </w:pPr>
          </w:p>
        </w:tc>
        <w:tc>
          <w:tcPr>
            <w:tcW w:w="747" w:type="pct"/>
            <w:gridSpan w:val="2"/>
          </w:tcPr>
          <w:p w:rsidR="0076401B" w:rsidRPr="00E9789C" w:rsidRDefault="0076401B">
            <w:pPr>
              <w:spacing w:after="0" w:line="240" w:lineRule="auto"/>
              <w:jc w:val="center"/>
              <w:rPr>
                <w:rFonts w:ascii="Arial Narrow" w:hAnsi="Arial Narrow" w:cs="Arial Narrow"/>
                <w:sz w:val="18"/>
                <w:szCs w:val="18"/>
              </w:rPr>
            </w:pPr>
          </w:p>
        </w:tc>
        <w:tc>
          <w:tcPr>
            <w:tcW w:w="480" w:type="pct"/>
            <w:gridSpan w:val="2"/>
          </w:tcPr>
          <w:p w:rsidR="0076401B" w:rsidRPr="00E9789C" w:rsidRDefault="00A9039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w:t>
            </w:r>
            <w:r w:rsidR="00BD602D" w:rsidRPr="00E9789C">
              <w:rPr>
                <w:rFonts w:ascii="Arial Narrow" w:hAnsi="Arial Narrow" w:cs="Arial Narrow"/>
                <w:sz w:val="18"/>
                <w:szCs w:val="18"/>
              </w:rPr>
              <w:t>364.10</w:t>
            </w:r>
          </w:p>
        </w:tc>
        <w:tc>
          <w:tcPr>
            <w:tcW w:w="251" w:type="pct"/>
          </w:tcPr>
          <w:p w:rsidR="0076401B" w:rsidRPr="00E9789C" w:rsidRDefault="0076401B">
            <w:pPr>
              <w:spacing w:after="0" w:line="240" w:lineRule="auto"/>
              <w:jc w:val="center"/>
              <w:rPr>
                <w:rFonts w:ascii="Arial Narrow" w:hAnsi="Arial Narrow" w:cs="Arial Narrow"/>
                <w:sz w:val="18"/>
                <w:szCs w:val="18"/>
              </w:rPr>
            </w:pPr>
          </w:p>
        </w:tc>
        <w:tc>
          <w:tcPr>
            <w:tcW w:w="288" w:type="pct"/>
          </w:tcPr>
          <w:p w:rsidR="0076401B" w:rsidRPr="00E9789C" w:rsidRDefault="0076401B">
            <w:pPr>
              <w:spacing w:after="0" w:line="240" w:lineRule="auto"/>
              <w:jc w:val="center"/>
              <w:rPr>
                <w:rFonts w:ascii="Arial Narrow" w:hAnsi="Arial Narrow" w:cs="Arial Narrow"/>
                <w:sz w:val="18"/>
                <w:szCs w:val="18"/>
              </w:rPr>
            </w:pPr>
          </w:p>
        </w:tc>
        <w:tc>
          <w:tcPr>
            <w:tcW w:w="292" w:type="pct"/>
          </w:tcPr>
          <w:p w:rsidR="0076401B" w:rsidRPr="00E9789C" w:rsidRDefault="0076401B">
            <w:pPr>
              <w:spacing w:after="0" w:line="240" w:lineRule="auto"/>
              <w:jc w:val="center"/>
              <w:rPr>
                <w:rFonts w:ascii="Arial Narrow" w:hAnsi="Arial Narrow" w:cs="Arial Narrow"/>
                <w:sz w:val="18"/>
                <w:szCs w:val="18"/>
              </w:rPr>
            </w:pPr>
          </w:p>
        </w:tc>
        <w:tc>
          <w:tcPr>
            <w:tcW w:w="289" w:type="pct"/>
          </w:tcPr>
          <w:p w:rsidR="0076401B" w:rsidRPr="00E9789C" w:rsidRDefault="0076401B">
            <w:pPr>
              <w:spacing w:after="0" w:line="240" w:lineRule="auto"/>
              <w:jc w:val="center"/>
              <w:rPr>
                <w:rFonts w:ascii="Arial Narrow" w:hAnsi="Arial Narrow" w:cs="Arial Narrow"/>
                <w:sz w:val="18"/>
                <w:szCs w:val="18"/>
              </w:rPr>
            </w:pPr>
          </w:p>
        </w:tc>
        <w:tc>
          <w:tcPr>
            <w:tcW w:w="447" w:type="pct"/>
          </w:tcPr>
          <w:p w:rsidR="0076401B" w:rsidRPr="00E9789C" w:rsidRDefault="0076401B">
            <w:pPr>
              <w:spacing w:after="0" w:line="240" w:lineRule="auto"/>
              <w:jc w:val="center"/>
              <w:rPr>
                <w:rFonts w:ascii="Arial Narrow" w:hAnsi="Arial Narrow" w:cs="Arial Narrow"/>
                <w:sz w:val="18"/>
                <w:szCs w:val="18"/>
              </w:rPr>
            </w:pPr>
          </w:p>
        </w:tc>
      </w:tr>
      <w:tr w:rsidR="0076401B" w:rsidRPr="00E72AEA" w:rsidTr="001C4FF0">
        <w:tc>
          <w:tcPr>
            <w:tcW w:w="5000" w:type="pct"/>
            <w:gridSpan w:val="14"/>
            <w:vAlign w:val="center"/>
          </w:tcPr>
          <w:p w:rsidR="0076401B" w:rsidRPr="00E9789C" w:rsidRDefault="0076401B" w:rsidP="00D52E6B">
            <w:pPr>
              <w:spacing w:after="0" w:line="240" w:lineRule="auto"/>
              <w:jc w:val="left"/>
              <w:rPr>
                <w:rFonts w:ascii="Arial Narrow" w:hAnsi="Arial Narrow" w:cs="Arial Narrow"/>
                <w:sz w:val="18"/>
                <w:szCs w:val="18"/>
                <w:u w:val="single"/>
              </w:rPr>
            </w:pPr>
            <w:r w:rsidRPr="00E9789C">
              <w:rPr>
                <w:rFonts w:ascii="Arial Narrow" w:hAnsi="Arial Narrow" w:cs="Arial Narrow"/>
                <w:sz w:val="18"/>
                <w:szCs w:val="18"/>
                <w:u w:val="single"/>
              </w:rPr>
              <w:t xml:space="preserve">Resources provided to deliver </w:t>
            </w:r>
            <w:r w:rsidR="00D52E6B" w:rsidRPr="00E9789C">
              <w:rPr>
                <w:rFonts w:ascii="Arial Narrow" w:hAnsi="Arial Narrow" w:cs="Arial Narrow"/>
                <w:sz w:val="18"/>
                <w:szCs w:val="18"/>
                <w:u w:val="single"/>
              </w:rPr>
              <w:t>proposed intervention</w:t>
            </w:r>
          </w:p>
        </w:tc>
      </w:tr>
      <w:tr w:rsidR="0076401B" w:rsidRPr="00E72AEA" w:rsidTr="00D52E6B">
        <w:tc>
          <w:tcPr>
            <w:tcW w:w="759" w:type="pct"/>
            <w:gridSpan w:val="2"/>
          </w:tcPr>
          <w:p w:rsidR="00053425" w:rsidRPr="00E9789C" w:rsidRDefault="00DE31E4" w:rsidP="001861C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 xml:space="preserve">MBS item </w:t>
            </w:r>
            <w:r w:rsidR="00053425" w:rsidRPr="00E9789C">
              <w:rPr>
                <w:rFonts w:ascii="Arial Narrow" w:hAnsi="Arial Narrow" w:cs="Arial Narrow"/>
                <w:sz w:val="18"/>
                <w:szCs w:val="18"/>
              </w:rPr>
              <w:t>20910</w:t>
            </w:r>
          </w:p>
          <w:p w:rsidR="00DB0FD1" w:rsidRPr="00E9789C" w:rsidRDefault="00C2744A" w:rsidP="00BD34E7">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w:t>
            </w:r>
            <w:r w:rsidR="00053425" w:rsidRPr="00E9789C">
              <w:rPr>
                <w:rFonts w:ascii="Arial Narrow" w:hAnsi="Arial Narrow" w:cs="Arial Narrow"/>
                <w:sz w:val="18"/>
                <w:szCs w:val="18"/>
              </w:rPr>
              <w:t xml:space="preserve">initiation of </w:t>
            </w:r>
            <w:r w:rsidRPr="00E9789C">
              <w:rPr>
                <w:rFonts w:ascii="Arial Narrow" w:hAnsi="Arial Narrow" w:cs="Arial Narrow"/>
                <w:sz w:val="18"/>
                <w:szCs w:val="18"/>
              </w:rPr>
              <w:t>anaesthesi</w:t>
            </w:r>
            <w:r w:rsidR="00053425" w:rsidRPr="00E9789C">
              <w:rPr>
                <w:rFonts w:ascii="Arial Narrow" w:hAnsi="Arial Narrow" w:cs="Arial Narrow"/>
                <w:sz w:val="18"/>
                <w:szCs w:val="18"/>
              </w:rPr>
              <w:t>a)</w:t>
            </w:r>
            <w:r w:rsidR="00DB0FD1" w:rsidRPr="00E9789C">
              <w:rPr>
                <w:rFonts w:ascii="Arial Narrow" w:hAnsi="Arial Narrow" w:cs="Arial Narrow"/>
                <w:sz w:val="18"/>
                <w:szCs w:val="18"/>
              </w:rPr>
              <w:t xml:space="preserve"> and</w:t>
            </w:r>
          </w:p>
          <w:p w:rsidR="00DB0FD1" w:rsidRPr="00E9789C" w:rsidRDefault="00DB0FD1" w:rsidP="00DB0FD1">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MBS item 23010 to 24136</w:t>
            </w:r>
          </w:p>
          <w:p w:rsidR="0076401B" w:rsidRPr="00E9789C" w:rsidRDefault="00DB0FD1" w:rsidP="00DB0FD1">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(provision of anaesthesia - actual item billed depends on duration of procedure)</w:t>
            </w:r>
          </w:p>
        </w:tc>
        <w:tc>
          <w:tcPr>
            <w:tcW w:w="642" w:type="pct"/>
          </w:tcPr>
          <w:p w:rsidR="0076401B" w:rsidRPr="00E9789C" w:rsidRDefault="00320F6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Anaesthetist</w:t>
            </w:r>
          </w:p>
        </w:tc>
        <w:tc>
          <w:tcPr>
            <w:tcW w:w="357" w:type="pct"/>
          </w:tcPr>
          <w:p w:rsidR="0076401B" w:rsidRPr="00E9789C" w:rsidRDefault="0076401B">
            <w:pPr>
              <w:spacing w:after="0" w:line="240" w:lineRule="auto"/>
              <w:jc w:val="center"/>
              <w:rPr>
                <w:rFonts w:ascii="Arial Narrow" w:hAnsi="Arial Narrow" w:cs="Arial Narrow"/>
                <w:sz w:val="18"/>
                <w:szCs w:val="18"/>
              </w:rPr>
            </w:pPr>
          </w:p>
        </w:tc>
        <w:tc>
          <w:tcPr>
            <w:tcW w:w="448" w:type="pct"/>
          </w:tcPr>
          <w:p w:rsidR="0076401B" w:rsidRPr="00E9789C" w:rsidRDefault="0076401B">
            <w:pPr>
              <w:spacing w:after="0" w:line="240" w:lineRule="auto"/>
              <w:jc w:val="center"/>
              <w:rPr>
                <w:rFonts w:ascii="Arial Narrow" w:hAnsi="Arial Narrow" w:cs="Arial Narrow"/>
                <w:sz w:val="18"/>
                <w:szCs w:val="18"/>
              </w:rPr>
            </w:pPr>
          </w:p>
        </w:tc>
        <w:tc>
          <w:tcPr>
            <w:tcW w:w="747" w:type="pct"/>
            <w:gridSpan w:val="2"/>
          </w:tcPr>
          <w:p w:rsidR="0076401B" w:rsidRPr="00E9789C" w:rsidRDefault="0076401B">
            <w:pPr>
              <w:spacing w:after="0" w:line="240" w:lineRule="auto"/>
              <w:jc w:val="center"/>
              <w:rPr>
                <w:rFonts w:ascii="Arial Narrow" w:hAnsi="Arial Narrow" w:cs="Arial Narrow"/>
                <w:sz w:val="18"/>
                <w:szCs w:val="18"/>
              </w:rPr>
            </w:pPr>
          </w:p>
        </w:tc>
        <w:tc>
          <w:tcPr>
            <w:tcW w:w="469" w:type="pct"/>
          </w:tcPr>
          <w:p w:rsidR="0076401B" w:rsidRPr="00E9789C" w:rsidRDefault="0015523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$110.71</w:t>
            </w:r>
          </w:p>
        </w:tc>
        <w:tc>
          <w:tcPr>
            <w:tcW w:w="262" w:type="pct"/>
            <w:gridSpan w:val="2"/>
          </w:tcPr>
          <w:p w:rsidR="0076401B" w:rsidRPr="00E9789C" w:rsidRDefault="0076401B">
            <w:pPr>
              <w:spacing w:after="0" w:line="240" w:lineRule="auto"/>
              <w:jc w:val="center"/>
              <w:rPr>
                <w:rFonts w:ascii="Arial Narrow" w:hAnsi="Arial Narrow" w:cs="Arial Narrow"/>
                <w:sz w:val="18"/>
                <w:szCs w:val="18"/>
              </w:rPr>
            </w:pPr>
          </w:p>
        </w:tc>
        <w:tc>
          <w:tcPr>
            <w:tcW w:w="288" w:type="pct"/>
          </w:tcPr>
          <w:p w:rsidR="0076401B" w:rsidRPr="00E9789C" w:rsidRDefault="0076401B">
            <w:pPr>
              <w:spacing w:after="0" w:line="240" w:lineRule="auto"/>
              <w:jc w:val="center"/>
              <w:rPr>
                <w:rFonts w:ascii="Arial Narrow" w:hAnsi="Arial Narrow" w:cs="Arial Narrow"/>
                <w:sz w:val="18"/>
                <w:szCs w:val="18"/>
              </w:rPr>
            </w:pPr>
          </w:p>
        </w:tc>
        <w:tc>
          <w:tcPr>
            <w:tcW w:w="292" w:type="pct"/>
          </w:tcPr>
          <w:p w:rsidR="0076401B" w:rsidRPr="00E9789C" w:rsidRDefault="0076401B">
            <w:pPr>
              <w:spacing w:after="0" w:line="240" w:lineRule="auto"/>
              <w:jc w:val="center"/>
              <w:rPr>
                <w:rFonts w:ascii="Arial Narrow" w:hAnsi="Arial Narrow" w:cs="Arial Narrow"/>
                <w:sz w:val="18"/>
                <w:szCs w:val="18"/>
              </w:rPr>
            </w:pPr>
          </w:p>
        </w:tc>
        <w:tc>
          <w:tcPr>
            <w:tcW w:w="289" w:type="pct"/>
          </w:tcPr>
          <w:p w:rsidR="0076401B" w:rsidRPr="00E9789C" w:rsidRDefault="0076401B">
            <w:pPr>
              <w:spacing w:after="0" w:line="240" w:lineRule="auto"/>
              <w:jc w:val="center"/>
              <w:rPr>
                <w:rFonts w:ascii="Arial Narrow" w:hAnsi="Arial Narrow" w:cs="Arial Narrow"/>
                <w:sz w:val="18"/>
                <w:szCs w:val="18"/>
              </w:rPr>
            </w:pPr>
          </w:p>
        </w:tc>
        <w:tc>
          <w:tcPr>
            <w:tcW w:w="447" w:type="pct"/>
          </w:tcPr>
          <w:p w:rsidR="0076401B" w:rsidRPr="00E9789C" w:rsidRDefault="0015523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$267.78</w:t>
            </w:r>
          </w:p>
        </w:tc>
      </w:tr>
      <w:tr w:rsidR="00FE6CC4" w:rsidRPr="00E72AEA" w:rsidTr="00D52E6B">
        <w:tc>
          <w:tcPr>
            <w:tcW w:w="759" w:type="pct"/>
            <w:gridSpan w:val="2"/>
          </w:tcPr>
          <w:p w:rsidR="00FE6CC4" w:rsidRPr="00E9789C" w:rsidRDefault="00FE6CC4" w:rsidP="001861C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Provision of drug (Botox) - PBS</w:t>
            </w:r>
          </w:p>
        </w:tc>
        <w:tc>
          <w:tcPr>
            <w:tcW w:w="642" w:type="pct"/>
          </w:tcPr>
          <w:p w:rsidR="00FE6CC4" w:rsidRPr="00E9789C" w:rsidRDefault="00FE6CC4">
            <w:pPr>
              <w:spacing w:after="0" w:line="240" w:lineRule="auto"/>
              <w:jc w:val="center"/>
              <w:rPr>
                <w:rFonts w:ascii="Arial Narrow" w:hAnsi="Arial Narrow" w:cs="Arial Narrow"/>
                <w:sz w:val="18"/>
                <w:szCs w:val="18"/>
              </w:rPr>
            </w:pPr>
          </w:p>
        </w:tc>
        <w:tc>
          <w:tcPr>
            <w:tcW w:w="357" w:type="pct"/>
          </w:tcPr>
          <w:p w:rsidR="00FE6CC4" w:rsidRPr="00E9789C" w:rsidRDefault="00FE6CC4">
            <w:pPr>
              <w:spacing w:after="0" w:line="240" w:lineRule="auto"/>
              <w:jc w:val="center"/>
              <w:rPr>
                <w:rFonts w:ascii="Arial Narrow" w:hAnsi="Arial Narrow" w:cs="Arial Narrow"/>
                <w:sz w:val="18"/>
                <w:szCs w:val="18"/>
              </w:rPr>
            </w:pPr>
          </w:p>
        </w:tc>
        <w:tc>
          <w:tcPr>
            <w:tcW w:w="448" w:type="pct"/>
          </w:tcPr>
          <w:p w:rsidR="00FE6CC4" w:rsidRPr="00E9789C" w:rsidRDefault="00FE6CC4">
            <w:pPr>
              <w:spacing w:after="0" w:line="240" w:lineRule="auto"/>
              <w:jc w:val="center"/>
              <w:rPr>
                <w:rFonts w:ascii="Arial Narrow" w:hAnsi="Arial Narrow" w:cs="Arial Narrow"/>
                <w:sz w:val="18"/>
                <w:szCs w:val="18"/>
              </w:rPr>
            </w:pPr>
          </w:p>
        </w:tc>
        <w:tc>
          <w:tcPr>
            <w:tcW w:w="747" w:type="pct"/>
            <w:gridSpan w:val="2"/>
          </w:tcPr>
          <w:p w:rsidR="00FE6CC4" w:rsidRPr="00E9789C" w:rsidRDefault="00FE6CC4">
            <w:pPr>
              <w:spacing w:after="0" w:line="240" w:lineRule="auto"/>
              <w:jc w:val="center"/>
              <w:rPr>
                <w:rFonts w:ascii="Arial Narrow" w:hAnsi="Arial Narrow" w:cs="Arial Narrow"/>
                <w:sz w:val="18"/>
                <w:szCs w:val="18"/>
              </w:rPr>
            </w:pPr>
          </w:p>
        </w:tc>
        <w:tc>
          <w:tcPr>
            <w:tcW w:w="469" w:type="pct"/>
          </w:tcPr>
          <w:p w:rsidR="00FE6CC4" w:rsidRPr="00E9789C" w:rsidRDefault="00FE6CC4">
            <w:pPr>
              <w:spacing w:after="0" w:line="240" w:lineRule="auto"/>
              <w:jc w:val="center"/>
              <w:rPr>
                <w:rFonts w:ascii="Arial Narrow" w:hAnsi="Arial Narrow" w:cs="Arial Narrow"/>
                <w:sz w:val="18"/>
                <w:szCs w:val="18"/>
              </w:rPr>
            </w:pPr>
          </w:p>
        </w:tc>
        <w:tc>
          <w:tcPr>
            <w:tcW w:w="262" w:type="pct"/>
            <w:gridSpan w:val="2"/>
          </w:tcPr>
          <w:p w:rsidR="00FE6CC4" w:rsidRPr="00E9789C" w:rsidRDefault="00FE6CC4">
            <w:pPr>
              <w:spacing w:after="0" w:line="240" w:lineRule="auto"/>
              <w:jc w:val="center"/>
              <w:rPr>
                <w:rFonts w:ascii="Arial Narrow" w:hAnsi="Arial Narrow" w:cs="Arial Narrow"/>
                <w:sz w:val="18"/>
                <w:szCs w:val="18"/>
              </w:rPr>
            </w:pPr>
          </w:p>
        </w:tc>
        <w:tc>
          <w:tcPr>
            <w:tcW w:w="288" w:type="pct"/>
          </w:tcPr>
          <w:p w:rsidR="00FE6CC4" w:rsidRPr="00E9789C" w:rsidRDefault="00FE6CC4">
            <w:pPr>
              <w:spacing w:after="0" w:line="240" w:lineRule="auto"/>
              <w:jc w:val="center"/>
              <w:rPr>
                <w:rFonts w:ascii="Arial Narrow" w:hAnsi="Arial Narrow" w:cs="Arial Narrow"/>
                <w:sz w:val="18"/>
                <w:szCs w:val="18"/>
              </w:rPr>
            </w:pPr>
          </w:p>
        </w:tc>
        <w:tc>
          <w:tcPr>
            <w:tcW w:w="292" w:type="pct"/>
          </w:tcPr>
          <w:p w:rsidR="00FE6CC4" w:rsidRPr="00E9789C" w:rsidRDefault="00FE6CC4">
            <w:pPr>
              <w:spacing w:after="0" w:line="240" w:lineRule="auto"/>
              <w:jc w:val="center"/>
              <w:rPr>
                <w:rFonts w:ascii="Arial Narrow" w:hAnsi="Arial Narrow" w:cs="Arial Narrow"/>
                <w:sz w:val="18"/>
                <w:szCs w:val="18"/>
              </w:rPr>
            </w:pPr>
          </w:p>
        </w:tc>
        <w:tc>
          <w:tcPr>
            <w:tcW w:w="289" w:type="pct"/>
          </w:tcPr>
          <w:p w:rsidR="00FE6CC4" w:rsidRPr="00E9789C" w:rsidRDefault="00FE6CC4">
            <w:pPr>
              <w:spacing w:after="0" w:line="240" w:lineRule="auto"/>
              <w:jc w:val="center"/>
              <w:rPr>
                <w:rFonts w:ascii="Arial Narrow" w:hAnsi="Arial Narrow" w:cs="Arial Narrow"/>
                <w:sz w:val="18"/>
                <w:szCs w:val="18"/>
              </w:rPr>
            </w:pPr>
          </w:p>
        </w:tc>
        <w:tc>
          <w:tcPr>
            <w:tcW w:w="447" w:type="pct"/>
          </w:tcPr>
          <w:p w:rsidR="00FE6CC4" w:rsidRPr="00E9789C" w:rsidRDefault="00FE6CC4">
            <w:pPr>
              <w:spacing w:after="0" w:line="240" w:lineRule="auto"/>
              <w:jc w:val="center"/>
              <w:rPr>
                <w:rFonts w:ascii="Arial Narrow" w:hAnsi="Arial Narrow" w:cs="Arial Narrow"/>
                <w:sz w:val="18"/>
                <w:szCs w:val="18"/>
              </w:rPr>
            </w:pPr>
          </w:p>
        </w:tc>
      </w:tr>
      <w:tr w:rsidR="00FE6CC4" w:rsidRPr="00E827D0" w:rsidTr="00DF6937">
        <w:tc>
          <w:tcPr>
            <w:tcW w:w="759" w:type="pct"/>
            <w:gridSpan w:val="2"/>
          </w:tcPr>
          <w:p w:rsidR="00FE6CC4" w:rsidRPr="00E9789C" w:rsidRDefault="00FE6CC4" w:rsidP="00DF6937">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lastRenderedPageBreak/>
              <w:t>New MBS item to inject the drug</w:t>
            </w:r>
          </w:p>
        </w:tc>
        <w:tc>
          <w:tcPr>
            <w:tcW w:w="642" w:type="pct"/>
          </w:tcPr>
          <w:p w:rsidR="00FE6CC4" w:rsidRPr="00E9789C" w:rsidRDefault="00FE6CC4" w:rsidP="00DF6937">
            <w:pPr>
              <w:spacing w:after="0" w:line="240" w:lineRule="auto"/>
              <w:jc w:val="center"/>
              <w:rPr>
                <w:rFonts w:ascii="Arial Narrow" w:hAnsi="Arial Narrow" w:cs="Arial Narrow"/>
                <w:sz w:val="18"/>
                <w:szCs w:val="18"/>
              </w:rPr>
            </w:pPr>
          </w:p>
        </w:tc>
        <w:tc>
          <w:tcPr>
            <w:tcW w:w="357" w:type="pct"/>
          </w:tcPr>
          <w:p w:rsidR="00FE6CC4" w:rsidRPr="00E9789C" w:rsidRDefault="00FE6CC4" w:rsidP="00DF6937">
            <w:pPr>
              <w:spacing w:after="0" w:line="240" w:lineRule="auto"/>
              <w:jc w:val="center"/>
              <w:rPr>
                <w:rFonts w:ascii="Arial Narrow" w:hAnsi="Arial Narrow" w:cs="Arial Narrow"/>
                <w:sz w:val="18"/>
                <w:szCs w:val="18"/>
              </w:rPr>
            </w:pPr>
          </w:p>
        </w:tc>
        <w:tc>
          <w:tcPr>
            <w:tcW w:w="448" w:type="pct"/>
          </w:tcPr>
          <w:p w:rsidR="00FE6CC4" w:rsidRPr="00E9789C" w:rsidRDefault="00FE6CC4" w:rsidP="00DF6937">
            <w:pPr>
              <w:spacing w:after="0" w:line="240" w:lineRule="auto"/>
              <w:jc w:val="center"/>
              <w:rPr>
                <w:rFonts w:ascii="Arial Narrow" w:hAnsi="Arial Narrow" w:cs="Arial Narrow"/>
                <w:sz w:val="18"/>
                <w:szCs w:val="18"/>
              </w:rPr>
            </w:pPr>
          </w:p>
        </w:tc>
        <w:tc>
          <w:tcPr>
            <w:tcW w:w="747" w:type="pct"/>
            <w:gridSpan w:val="2"/>
          </w:tcPr>
          <w:p w:rsidR="00FE6CC4" w:rsidRPr="00E9789C" w:rsidRDefault="00FE6CC4" w:rsidP="00DF6937">
            <w:pPr>
              <w:spacing w:after="0" w:line="240" w:lineRule="auto"/>
              <w:jc w:val="center"/>
              <w:rPr>
                <w:rFonts w:ascii="Arial Narrow" w:hAnsi="Arial Narrow" w:cs="Arial Narrow"/>
                <w:sz w:val="18"/>
                <w:szCs w:val="18"/>
              </w:rPr>
            </w:pPr>
          </w:p>
        </w:tc>
        <w:tc>
          <w:tcPr>
            <w:tcW w:w="469" w:type="pct"/>
          </w:tcPr>
          <w:p w:rsidR="00FE6CC4" w:rsidRPr="00E9789C" w:rsidRDefault="00FE6CC4" w:rsidP="00DF693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$172.40</w:t>
            </w:r>
          </w:p>
        </w:tc>
        <w:tc>
          <w:tcPr>
            <w:tcW w:w="262" w:type="pct"/>
            <w:gridSpan w:val="2"/>
          </w:tcPr>
          <w:p w:rsidR="00FE6CC4" w:rsidRPr="00E9789C" w:rsidRDefault="00FE6CC4" w:rsidP="00DF6937">
            <w:pPr>
              <w:spacing w:after="0" w:line="240" w:lineRule="auto"/>
              <w:jc w:val="center"/>
              <w:rPr>
                <w:rFonts w:ascii="Arial Narrow" w:hAnsi="Arial Narrow" w:cs="Arial Narrow"/>
                <w:sz w:val="18"/>
                <w:szCs w:val="18"/>
              </w:rPr>
            </w:pPr>
          </w:p>
        </w:tc>
        <w:tc>
          <w:tcPr>
            <w:tcW w:w="288" w:type="pct"/>
          </w:tcPr>
          <w:p w:rsidR="00FE6CC4" w:rsidRPr="00E9789C" w:rsidRDefault="00FE6CC4" w:rsidP="00DF6937">
            <w:pPr>
              <w:spacing w:after="0" w:line="240" w:lineRule="auto"/>
              <w:jc w:val="center"/>
              <w:rPr>
                <w:rFonts w:ascii="Arial Narrow" w:hAnsi="Arial Narrow" w:cs="Arial Narrow"/>
                <w:sz w:val="18"/>
                <w:szCs w:val="18"/>
              </w:rPr>
            </w:pPr>
          </w:p>
        </w:tc>
        <w:tc>
          <w:tcPr>
            <w:tcW w:w="292" w:type="pct"/>
          </w:tcPr>
          <w:p w:rsidR="00FE6CC4" w:rsidRPr="00E9789C" w:rsidRDefault="00FE6CC4" w:rsidP="00DF6937">
            <w:pPr>
              <w:spacing w:after="0" w:line="240" w:lineRule="auto"/>
              <w:jc w:val="center"/>
              <w:rPr>
                <w:rFonts w:ascii="Arial Narrow" w:hAnsi="Arial Narrow" w:cs="Arial Narrow"/>
                <w:sz w:val="18"/>
                <w:szCs w:val="18"/>
              </w:rPr>
            </w:pPr>
          </w:p>
        </w:tc>
        <w:tc>
          <w:tcPr>
            <w:tcW w:w="289" w:type="pct"/>
          </w:tcPr>
          <w:p w:rsidR="00FE6CC4" w:rsidRPr="00E9789C" w:rsidRDefault="00FE6CC4" w:rsidP="00DF6937">
            <w:pPr>
              <w:spacing w:after="0" w:line="240" w:lineRule="auto"/>
              <w:jc w:val="center"/>
              <w:rPr>
                <w:rFonts w:ascii="Arial Narrow" w:hAnsi="Arial Narrow" w:cs="Arial Narrow"/>
                <w:sz w:val="18"/>
                <w:szCs w:val="18"/>
              </w:rPr>
            </w:pPr>
          </w:p>
        </w:tc>
        <w:tc>
          <w:tcPr>
            <w:tcW w:w="447" w:type="pct"/>
          </w:tcPr>
          <w:p w:rsidR="00FE6CC4" w:rsidRPr="00E9789C" w:rsidRDefault="00FE6CC4" w:rsidP="00DF693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$302</w:t>
            </w:r>
          </w:p>
        </w:tc>
      </w:tr>
      <w:tr w:rsidR="00FE6CC4" w:rsidRPr="00E72AEA" w:rsidTr="00D52E6B">
        <w:tc>
          <w:tcPr>
            <w:tcW w:w="759" w:type="pct"/>
            <w:gridSpan w:val="2"/>
          </w:tcPr>
          <w:p w:rsidR="00FE6CC4" w:rsidRPr="00E9789C" w:rsidRDefault="00FE6CC4" w:rsidP="001861C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Other hospital costs associated with injection</w:t>
            </w:r>
          </w:p>
        </w:tc>
        <w:tc>
          <w:tcPr>
            <w:tcW w:w="642" w:type="pct"/>
          </w:tcPr>
          <w:p w:rsidR="00FE6CC4" w:rsidRPr="00E9789C" w:rsidRDefault="00FE6CC4">
            <w:pPr>
              <w:spacing w:after="0" w:line="240" w:lineRule="auto"/>
              <w:jc w:val="center"/>
              <w:rPr>
                <w:rFonts w:ascii="Arial Narrow" w:hAnsi="Arial Narrow" w:cs="Arial Narrow"/>
                <w:sz w:val="18"/>
                <w:szCs w:val="18"/>
              </w:rPr>
            </w:pPr>
          </w:p>
        </w:tc>
        <w:tc>
          <w:tcPr>
            <w:tcW w:w="357" w:type="pct"/>
          </w:tcPr>
          <w:p w:rsidR="00FE6CC4" w:rsidRPr="00E9789C" w:rsidRDefault="00FE6CC4">
            <w:pPr>
              <w:spacing w:after="0" w:line="240" w:lineRule="auto"/>
              <w:jc w:val="center"/>
              <w:rPr>
                <w:rFonts w:ascii="Arial Narrow" w:hAnsi="Arial Narrow" w:cs="Arial Narrow"/>
                <w:sz w:val="18"/>
                <w:szCs w:val="18"/>
              </w:rPr>
            </w:pPr>
          </w:p>
        </w:tc>
        <w:tc>
          <w:tcPr>
            <w:tcW w:w="448" w:type="pct"/>
          </w:tcPr>
          <w:p w:rsidR="00FE6CC4" w:rsidRPr="00E9789C" w:rsidRDefault="00FE6CC4">
            <w:pPr>
              <w:spacing w:after="0" w:line="240" w:lineRule="auto"/>
              <w:jc w:val="center"/>
              <w:rPr>
                <w:rFonts w:ascii="Arial Narrow" w:hAnsi="Arial Narrow" w:cs="Arial Narrow"/>
                <w:sz w:val="18"/>
                <w:szCs w:val="18"/>
              </w:rPr>
            </w:pPr>
          </w:p>
        </w:tc>
        <w:tc>
          <w:tcPr>
            <w:tcW w:w="747" w:type="pct"/>
            <w:gridSpan w:val="2"/>
          </w:tcPr>
          <w:p w:rsidR="00FE6CC4" w:rsidRPr="00E9789C" w:rsidRDefault="00FE6CC4">
            <w:pPr>
              <w:spacing w:after="0" w:line="240" w:lineRule="auto"/>
              <w:jc w:val="center"/>
              <w:rPr>
                <w:rFonts w:ascii="Arial Narrow" w:hAnsi="Arial Narrow" w:cs="Arial Narrow"/>
                <w:sz w:val="18"/>
                <w:szCs w:val="18"/>
              </w:rPr>
            </w:pPr>
          </w:p>
        </w:tc>
        <w:tc>
          <w:tcPr>
            <w:tcW w:w="469" w:type="pct"/>
          </w:tcPr>
          <w:p w:rsidR="00FE6CC4" w:rsidRPr="00E9789C" w:rsidRDefault="00FE6CC4">
            <w:pPr>
              <w:spacing w:after="0" w:line="240" w:lineRule="auto"/>
              <w:jc w:val="center"/>
              <w:rPr>
                <w:rFonts w:ascii="Arial Narrow" w:hAnsi="Arial Narrow" w:cs="Arial Narrow"/>
                <w:sz w:val="18"/>
                <w:szCs w:val="18"/>
              </w:rPr>
            </w:pPr>
          </w:p>
        </w:tc>
        <w:tc>
          <w:tcPr>
            <w:tcW w:w="262" w:type="pct"/>
            <w:gridSpan w:val="2"/>
          </w:tcPr>
          <w:p w:rsidR="00FE6CC4" w:rsidRPr="00E9789C" w:rsidRDefault="00FE6CC4">
            <w:pPr>
              <w:spacing w:after="0" w:line="240" w:lineRule="auto"/>
              <w:jc w:val="center"/>
              <w:rPr>
                <w:rFonts w:ascii="Arial Narrow" w:hAnsi="Arial Narrow" w:cs="Arial Narrow"/>
                <w:sz w:val="18"/>
                <w:szCs w:val="18"/>
              </w:rPr>
            </w:pPr>
          </w:p>
        </w:tc>
        <w:tc>
          <w:tcPr>
            <w:tcW w:w="288" w:type="pct"/>
          </w:tcPr>
          <w:p w:rsidR="00FE6CC4" w:rsidRPr="00E9789C" w:rsidRDefault="00FE6CC4">
            <w:pPr>
              <w:spacing w:after="0" w:line="240" w:lineRule="auto"/>
              <w:jc w:val="center"/>
              <w:rPr>
                <w:rFonts w:ascii="Arial Narrow" w:hAnsi="Arial Narrow" w:cs="Arial Narrow"/>
                <w:sz w:val="18"/>
                <w:szCs w:val="18"/>
              </w:rPr>
            </w:pPr>
          </w:p>
        </w:tc>
        <w:tc>
          <w:tcPr>
            <w:tcW w:w="292" w:type="pct"/>
          </w:tcPr>
          <w:p w:rsidR="00FE6CC4" w:rsidRPr="00E9789C" w:rsidRDefault="00FE6CC4">
            <w:pPr>
              <w:spacing w:after="0" w:line="240" w:lineRule="auto"/>
              <w:jc w:val="center"/>
              <w:rPr>
                <w:rFonts w:ascii="Arial Narrow" w:hAnsi="Arial Narrow" w:cs="Arial Narrow"/>
                <w:sz w:val="18"/>
                <w:szCs w:val="18"/>
              </w:rPr>
            </w:pPr>
          </w:p>
        </w:tc>
        <w:tc>
          <w:tcPr>
            <w:tcW w:w="289" w:type="pct"/>
          </w:tcPr>
          <w:p w:rsidR="00FE6CC4" w:rsidRPr="00E9789C" w:rsidRDefault="00FE6CC4">
            <w:pPr>
              <w:spacing w:after="0" w:line="240" w:lineRule="auto"/>
              <w:jc w:val="center"/>
              <w:rPr>
                <w:rFonts w:ascii="Arial Narrow" w:hAnsi="Arial Narrow" w:cs="Arial Narrow"/>
                <w:sz w:val="18"/>
                <w:szCs w:val="18"/>
              </w:rPr>
            </w:pPr>
          </w:p>
        </w:tc>
        <w:tc>
          <w:tcPr>
            <w:tcW w:w="447" w:type="pct"/>
          </w:tcPr>
          <w:p w:rsidR="00FE6CC4" w:rsidRPr="00E9789C" w:rsidRDefault="00FE6CC4">
            <w:pPr>
              <w:spacing w:after="0" w:line="240" w:lineRule="auto"/>
              <w:jc w:val="center"/>
              <w:rPr>
                <w:rFonts w:ascii="Arial Narrow" w:hAnsi="Arial Narrow" w:cs="Arial Narrow"/>
                <w:sz w:val="18"/>
                <w:szCs w:val="18"/>
              </w:rPr>
            </w:pPr>
          </w:p>
        </w:tc>
      </w:tr>
      <w:tr w:rsidR="0076401B" w:rsidRPr="00E72AEA" w:rsidTr="001C4FF0">
        <w:tc>
          <w:tcPr>
            <w:tcW w:w="5000" w:type="pct"/>
            <w:gridSpan w:val="14"/>
            <w:vAlign w:val="center"/>
          </w:tcPr>
          <w:p w:rsidR="0076401B" w:rsidRPr="00E9789C" w:rsidRDefault="0076401B" w:rsidP="00D52E6B">
            <w:pPr>
              <w:spacing w:after="0" w:line="240" w:lineRule="auto"/>
              <w:jc w:val="left"/>
              <w:rPr>
                <w:rFonts w:ascii="Arial Narrow" w:hAnsi="Arial Narrow" w:cs="Arial Narrow"/>
                <w:sz w:val="18"/>
                <w:szCs w:val="18"/>
                <w:u w:val="single"/>
              </w:rPr>
            </w:pPr>
            <w:r w:rsidRPr="00E9789C">
              <w:rPr>
                <w:rFonts w:ascii="Arial Narrow" w:hAnsi="Arial Narrow" w:cs="Arial Narrow"/>
                <w:sz w:val="18"/>
                <w:szCs w:val="18"/>
                <w:u w:val="single"/>
              </w:rPr>
              <w:t>Resources provided in asso</w:t>
            </w:r>
            <w:r w:rsidR="00DE31E4" w:rsidRPr="00E9789C">
              <w:rPr>
                <w:rFonts w:ascii="Arial Narrow" w:hAnsi="Arial Narrow" w:cs="Arial Narrow"/>
                <w:sz w:val="18"/>
                <w:szCs w:val="18"/>
                <w:u w:val="single"/>
              </w:rPr>
              <w:t xml:space="preserve">ciation with </w:t>
            </w:r>
            <w:r w:rsidR="00D52E6B" w:rsidRPr="00E9789C">
              <w:rPr>
                <w:rFonts w:ascii="Arial Narrow" w:hAnsi="Arial Narrow" w:cs="Arial Narrow"/>
                <w:sz w:val="18"/>
                <w:szCs w:val="18"/>
                <w:u w:val="single"/>
              </w:rPr>
              <w:t xml:space="preserve">proposed intervention </w:t>
            </w:r>
            <w:r w:rsidR="00DE31E4" w:rsidRPr="00E9789C">
              <w:rPr>
                <w:rFonts w:ascii="Arial Narrow" w:hAnsi="Arial Narrow" w:cs="Arial Narrow"/>
                <w:sz w:val="18"/>
                <w:szCs w:val="18"/>
                <w:u w:val="single"/>
              </w:rPr>
              <w:t>(e.g.</w:t>
            </w:r>
            <w:r w:rsidRPr="00E9789C">
              <w:rPr>
                <w:rFonts w:ascii="Arial Narrow" w:hAnsi="Arial Narrow" w:cs="Arial Narrow"/>
                <w:sz w:val="18"/>
                <w:szCs w:val="18"/>
                <w:u w:val="single"/>
              </w:rPr>
              <w:t xml:space="preserve"> pre-treatments, co-administered interventions, resources used to monitor or in follow-up, resources used in management of adverse events, resources used for treatment of down-stream conditions)</w:t>
            </w:r>
          </w:p>
        </w:tc>
      </w:tr>
      <w:tr w:rsidR="0076401B" w:rsidRPr="00E72AEA" w:rsidTr="00D52E6B">
        <w:tc>
          <w:tcPr>
            <w:tcW w:w="759" w:type="pct"/>
            <w:gridSpan w:val="2"/>
          </w:tcPr>
          <w:p w:rsidR="00DE31E4" w:rsidRPr="00E9789C" w:rsidRDefault="00DE31E4" w:rsidP="001861C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MBS item 17610 to 17625</w:t>
            </w:r>
          </w:p>
          <w:p w:rsidR="0076401B" w:rsidRPr="00E9789C" w:rsidRDefault="00DE31E4" w:rsidP="00BD34E7">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(pre-anaesthesi</w:t>
            </w:r>
            <w:r w:rsidR="00546E6B" w:rsidRPr="00E9789C">
              <w:rPr>
                <w:rFonts w:ascii="Arial Narrow" w:hAnsi="Arial Narrow" w:cs="Arial Narrow"/>
                <w:sz w:val="18"/>
                <w:szCs w:val="18"/>
              </w:rPr>
              <w:t>a consult – actual item billed depends on time spent with patient)</w:t>
            </w:r>
            <w:r w:rsidRPr="00E9789C">
              <w:rPr>
                <w:rFonts w:ascii="Arial Narrow" w:hAnsi="Arial Narrow" w:cs="Arial Narrow"/>
                <w:sz w:val="18"/>
                <w:szCs w:val="18"/>
              </w:rPr>
              <w:t xml:space="preserve">  </w:t>
            </w:r>
          </w:p>
        </w:tc>
        <w:tc>
          <w:tcPr>
            <w:tcW w:w="642" w:type="pct"/>
          </w:tcPr>
          <w:p w:rsidR="0076401B" w:rsidRPr="00E9789C" w:rsidRDefault="00BD3AF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Anaesthetist</w:t>
            </w:r>
          </w:p>
        </w:tc>
        <w:tc>
          <w:tcPr>
            <w:tcW w:w="357" w:type="pct"/>
          </w:tcPr>
          <w:p w:rsidR="0076401B" w:rsidRPr="00E9789C" w:rsidRDefault="0076401B">
            <w:pPr>
              <w:spacing w:after="0" w:line="240" w:lineRule="auto"/>
              <w:jc w:val="center"/>
              <w:rPr>
                <w:rFonts w:ascii="Arial Narrow" w:hAnsi="Arial Narrow" w:cs="Arial Narrow"/>
                <w:sz w:val="18"/>
                <w:szCs w:val="18"/>
              </w:rPr>
            </w:pPr>
          </w:p>
        </w:tc>
        <w:tc>
          <w:tcPr>
            <w:tcW w:w="448" w:type="pct"/>
          </w:tcPr>
          <w:p w:rsidR="0076401B" w:rsidRPr="00E9789C" w:rsidRDefault="0076401B">
            <w:pPr>
              <w:spacing w:after="0" w:line="240" w:lineRule="auto"/>
              <w:jc w:val="center"/>
              <w:rPr>
                <w:rFonts w:ascii="Arial Narrow" w:hAnsi="Arial Narrow" w:cs="Arial Narrow"/>
                <w:sz w:val="18"/>
                <w:szCs w:val="18"/>
              </w:rPr>
            </w:pPr>
          </w:p>
        </w:tc>
        <w:tc>
          <w:tcPr>
            <w:tcW w:w="738" w:type="pct"/>
          </w:tcPr>
          <w:p w:rsidR="0076401B" w:rsidRPr="00E9789C" w:rsidRDefault="0076401B">
            <w:pPr>
              <w:spacing w:after="0" w:line="240" w:lineRule="auto"/>
              <w:jc w:val="center"/>
              <w:rPr>
                <w:rFonts w:ascii="Arial Narrow" w:hAnsi="Arial Narrow" w:cs="Arial Narrow"/>
                <w:sz w:val="18"/>
                <w:szCs w:val="18"/>
              </w:rPr>
            </w:pPr>
          </w:p>
        </w:tc>
        <w:tc>
          <w:tcPr>
            <w:tcW w:w="478" w:type="pct"/>
            <w:gridSpan w:val="2"/>
          </w:tcPr>
          <w:p w:rsidR="0076401B" w:rsidRPr="00E9789C" w:rsidRDefault="0015523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$32.49</w:t>
            </w:r>
          </w:p>
        </w:tc>
        <w:tc>
          <w:tcPr>
            <w:tcW w:w="262" w:type="pct"/>
            <w:gridSpan w:val="2"/>
          </w:tcPr>
          <w:p w:rsidR="0076401B" w:rsidRPr="00E9789C" w:rsidRDefault="0076401B">
            <w:pPr>
              <w:spacing w:after="0" w:line="240" w:lineRule="auto"/>
              <w:jc w:val="center"/>
              <w:rPr>
                <w:rFonts w:ascii="Arial Narrow" w:hAnsi="Arial Narrow" w:cs="Arial Narrow"/>
                <w:sz w:val="18"/>
                <w:szCs w:val="18"/>
              </w:rPr>
            </w:pPr>
          </w:p>
        </w:tc>
        <w:tc>
          <w:tcPr>
            <w:tcW w:w="288" w:type="pct"/>
          </w:tcPr>
          <w:p w:rsidR="0076401B" w:rsidRPr="00E9789C" w:rsidRDefault="0076401B">
            <w:pPr>
              <w:spacing w:after="0" w:line="240" w:lineRule="auto"/>
              <w:jc w:val="center"/>
              <w:rPr>
                <w:rFonts w:ascii="Arial Narrow" w:hAnsi="Arial Narrow" w:cs="Arial Narrow"/>
                <w:sz w:val="18"/>
                <w:szCs w:val="18"/>
              </w:rPr>
            </w:pPr>
          </w:p>
        </w:tc>
        <w:tc>
          <w:tcPr>
            <w:tcW w:w="292" w:type="pct"/>
          </w:tcPr>
          <w:p w:rsidR="0076401B" w:rsidRPr="00E9789C" w:rsidRDefault="0076401B">
            <w:pPr>
              <w:spacing w:after="0" w:line="240" w:lineRule="auto"/>
              <w:jc w:val="center"/>
              <w:rPr>
                <w:rFonts w:ascii="Arial Narrow" w:hAnsi="Arial Narrow" w:cs="Arial Narrow"/>
                <w:sz w:val="18"/>
                <w:szCs w:val="18"/>
              </w:rPr>
            </w:pPr>
          </w:p>
        </w:tc>
        <w:tc>
          <w:tcPr>
            <w:tcW w:w="289" w:type="pct"/>
          </w:tcPr>
          <w:p w:rsidR="0076401B" w:rsidRPr="00E9789C" w:rsidRDefault="0076401B">
            <w:pPr>
              <w:spacing w:after="0" w:line="240" w:lineRule="auto"/>
              <w:jc w:val="center"/>
              <w:rPr>
                <w:rFonts w:ascii="Arial Narrow" w:hAnsi="Arial Narrow" w:cs="Arial Narrow"/>
                <w:sz w:val="18"/>
                <w:szCs w:val="18"/>
              </w:rPr>
            </w:pPr>
          </w:p>
        </w:tc>
        <w:tc>
          <w:tcPr>
            <w:tcW w:w="447" w:type="pct"/>
          </w:tcPr>
          <w:p w:rsidR="0076401B" w:rsidRPr="00E9789C" w:rsidRDefault="0015523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$77.45</w:t>
            </w:r>
          </w:p>
        </w:tc>
      </w:tr>
      <w:tr w:rsidR="00D52E6B" w:rsidRPr="00E72AEA" w:rsidTr="00DF6937">
        <w:tc>
          <w:tcPr>
            <w:tcW w:w="749" w:type="pct"/>
          </w:tcPr>
          <w:p w:rsidR="00D52E6B" w:rsidRPr="00E9789C" w:rsidRDefault="00D52E6B" w:rsidP="00DF6937">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MBS item 105</w:t>
            </w:r>
          </w:p>
          <w:p w:rsidR="00D52E6B" w:rsidRPr="00E9789C" w:rsidRDefault="00D52E6B" w:rsidP="00DF6937">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(subsequent consult</w:t>
            </w:r>
            <w:r w:rsidR="00FE6CC4" w:rsidRPr="00E9789C">
              <w:rPr>
                <w:rFonts w:ascii="Arial Narrow" w:hAnsi="Arial Narrow" w:cs="Arial Narrow"/>
                <w:sz w:val="18"/>
                <w:szCs w:val="18"/>
              </w:rPr>
              <w:t xml:space="preserve"> to assess response and to manage re-injections</w:t>
            </w:r>
            <w:r w:rsidRPr="00E9789C">
              <w:rPr>
                <w:rFonts w:ascii="Arial Narrow" w:hAnsi="Arial Narrow" w:cs="Arial Narrow"/>
                <w:sz w:val="18"/>
                <w:szCs w:val="18"/>
              </w:rPr>
              <w:t>)</w:t>
            </w:r>
          </w:p>
        </w:tc>
        <w:tc>
          <w:tcPr>
            <w:tcW w:w="652" w:type="pct"/>
            <w:gridSpan w:val="2"/>
          </w:tcPr>
          <w:p w:rsidR="00D52E6B" w:rsidRPr="00E9789C" w:rsidRDefault="00D52E6B" w:rsidP="00DF693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Specialist (urologist or urogynaecologist)</w:t>
            </w:r>
          </w:p>
        </w:tc>
        <w:tc>
          <w:tcPr>
            <w:tcW w:w="357" w:type="pct"/>
          </w:tcPr>
          <w:p w:rsidR="00D52E6B" w:rsidRPr="00E9789C" w:rsidRDefault="00D52E6B" w:rsidP="00DF6937">
            <w:pPr>
              <w:spacing w:after="0" w:line="240" w:lineRule="auto"/>
              <w:jc w:val="center"/>
              <w:rPr>
                <w:rFonts w:ascii="Arial Narrow" w:hAnsi="Arial Narrow" w:cs="Arial Narrow"/>
                <w:sz w:val="18"/>
                <w:szCs w:val="18"/>
              </w:rPr>
            </w:pPr>
          </w:p>
        </w:tc>
        <w:tc>
          <w:tcPr>
            <w:tcW w:w="448" w:type="pct"/>
          </w:tcPr>
          <w:p w:rsidR="00D52E6B" w:rsidRPr="00E9789C" w:rsidRDefault="00D52E6B" w:rsidP="00DF6937">
            <w:pPr>
              <w:spacing w:after="0" w:line="240" w:lineRule="auto"/>
              <w:jc w:val="center"/>
              <w:rPr>
                <w:rFonts w:ascii="Arial Narrow" w:hAnsi="Arial Narrow" w:cs="Arial Narrow"/>
                <w:sz w:val="18"/>
                <w:szCs w:val="18"/>
              </w:rPr>
            </w:pPr>
          </w:p>
        </w:tc>
        <w:tc>
          <w:tcPr>
            <w:tcW w:w="747" w:type="pct"/>
            <w:gridSpan w:val="2"/>
          </w:tcPr>
          <w:p w:rsidR="00D52E6B" w:rsidRPr="00E9789C" w:rsidRDefault="00D52E6B" w:rsidP="00DF6937">
            <w:pPr>
              <w:spacing w:after="0" w:line="240" w:lineRule="auto"/>
              <w:jc w:val="center"/>
              <w:rPr>
                <w:rFonts w:ascii="Arial Narrow" w:hAnsi="Arial Narrow" w:cs="Arial Narrow"/>
                <w:sz w:val="18"/>
                <w:szCs w:val="18"/>
              </w:rPr>
            </w:pPr>
          </w:p>
        </w:tc>
        <w:tc>
          <w:tcPr>
            <w:tcW w:w="480" w:type="pct"/>
            <w:gridSpan w:val="2"/>
          </w:tcPr>
          <w:p w:rsidR="00D52E6B" w:rsidRPr="00E9789C" w:rsidRDefault="00D52E6B" w:rsidP="00DF693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$36.55</w:t>
            </w:r>
          </w:p>
        </w:tc>
        <w:tc>
          <w:tcPr>
            <w:tcW w:w="251" w:type="pct"/>
          </w:tcPr>
          <w:p w:rsidR="00D52E6B" w:rsidRPr="00E9789C" w:rsidRDefault="00D52E6B" w:rsidP="00DF6937">
            <w:pPr>
              <w:spacing w:after="0" w:line="240" w:lineRule="auto"/>
              <w:jc w:val="center"/>
              <w:rPr>
                <w:rFonts w:ascii="Arial Narrow" w:hAnsi="Arial Narrow" w:cs="Arial Narrow"/>
                <w:sz w:val="18"/>
                <w:szCs w:val="18"/>
              </w:rPr>
            </w:pPr>
          </w:p>
        </w:tc>
        <w:tc>
          <w:tcPr>
            <w:tcW w:w="288" w:type="pct"/>
          </w:tcPr>
          <w:p w:rsidR="00D52E6B" w:rsidRPr="00E9789C" w:rsidRDefault="00D52E6B" w:rsidP="00DF6937">
            <w:pPr>
              <w:spacing w:after="0" w:line="240" w:lineRule="auto"/>
              <w:jc w:val="center"/>
              <w:rPr>
                <w:rFonts w:ascii="Arial Narrow" w:hAnsi="Arial Narrow" w:cs="Arial Narrow"/>
                <w:sz w:val="18"/>
                <w:szCs w:val="18"/>
              </w:rPr>
            </w:pPr>
          </w:p>
        </w:tc>
        <w:tc>
          <w:tcPr>
            <w:tcW w:w="292" w:type="pct"/>
          </w:tcPr>
          <w:p w:rsidR="00D52E6B" w:rsidRPr="00E9789C" w:rsidRDefault="00D52E6B" w:rsidP="00DF6937">
            <w:pPr>
              <w:spacing w:after="0" w:line="240" w:lineRule="auto"/>
              <w:jc w:val="center"/>
              <w:rPr>
                <w:rFonts w:ascii="Arial Narrow" w:hAnsi="Arial Narrow" w:cs="Arial Narrow"/>
                <w:sz w:val="18"/>
                <w:szCs w:val="18"/>
              </w:rPr>
            </w:pPr>
          </w:p>
        </w:tc>
        <w:tc>
          <w:tcPr>
            <w:tcW w:w="289" w:type="pct"/>
          </w:tcPr>
          <w:p w:rsidR="00D52E6B" w:rsidRPr="00E9789C" w:rsidRDefault="00D52E6B" w:rsidP="00DF6937">
            <w:pPr>
              <w:spacing w:after="0" w:line="240" w:lineRule="auto"/>
              <w:jc w:val="center"/>
              <w:rPr>
                <w:rFonts w:ascii="Arial Narrow" w:hAnsi="Arial Narrow" w:cs="Arial Narrow"/>
                <w:sz w:val="18"/>
                <w:szCs w:val="18"/>
              </w:rPr>
            </w:pPr>
          </w:p>
        </w:tc>
        <w:tc>
          <w:tcPr>
            <w:tcW w:w="447" w:type="pct"/>
          </w:tcPr>
          <w:p w:rsidR="00D52E6B" w:rsidRPr="00E9789C" w:rsidRDefault="00155238" w:rsidP="00DF693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$66.48</w:t>
            </w:r>
          </w:p>
        </w:tc>
      </w:tr>
      <w:tr w:rsidR="0076401B" w:rsidRPr="00E72AEA" w:rsidTr="00D52E6B">
        <w:tc>
          <w:tcPr>
            <w:tcW w:w="759" w:type="pct"/>
            <w:gridSpan w:val="2"/>
          </w:tcPr>
          <w:p w:rsidR="00BD34E7" w:rsidRPr="00E9789C" w:rsidRDefault="00DE31E4" w:rsidP="001861C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MBS item 23 or 36</w:t>
            </w:r>
          </w:p>
          <w:p w:rsidR="0076401B" w:rsidRPr="00E9789C" w:rsidRDefault="00DE31E4" w:rsidP="00BD34E7">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(to treat urinary tract infections or</w:t>
            </w:r>
            <w:r w:rsidR="006A24B5" w:rsidRPr="00E9789C">
              <w:rPr>
                <w:rFonts w:ascii="Arial Narrow" w:hAnsi="Arial Narrow" w:cs="Arial Narrow"/>
                <w:sz w:val="18"/>
                <w:szCs w:val="18"/>
              </w:rPr>
              <w:t xml:space="preserve"> urinary retention)</w:t>
            </w:r>
            <w:r w:rsidRPr="00E9789C">
              <w:rPr>
                <w:rFonts w:ascii="Arial Narrow" w:hAnsi="Arial Narrow" w:cs="Arial Narrow"/>
                <w:sz w:val="18"/>
                <w:szCs w:val="18"/>
              </w:rPr>
              <w:t xml:space="preserve"> </w:t>
            </w:r>
          </w:p>
        </w:tc>
        <w:tc>
          <w:tcPr>
            <w:tcW w:w="642" w:type="pct"/>
          </w:tcPr>
          <w:p w:rsidR="0076401B" w:rsidRPr="00E9789C" w:rsidRDefault="0076401B">
            <w:pPr>
              <w:spacing w:after="0" w:line="240" w:lineRule="auto"/>
              <w:jc w:val="center"/>
              <w:rPr>
                <w:rFonts w:ascii="Arial Narrow" w:hAnsi="Arial Narrow" w:cs="Arial Narrow"/>
                <w:sz w:val="18"/>
                <w:szCs w:val="18"/>
              </w:rPr>
            </w:pPr>
          </w:p>
        </w:tc>
        <w:tc>
          <w:tcPr>
            <w:tcW w:w="357" w:type="pct"/>
          </w:tcPr>
          <w:p w:rsidR="0076401B" w:rsidRPr="00E9789C" w:rsidRDefault="0076401B">
            <w:pPr>
              <w:spacing w:after="0" w:line="240" w:lineRule="auto"/>
              <w:jc w:val="center"/>
              <w:rPr>
                <w:rFonts w:ascii="Arial Narrow" w:hAnsi="Arial Narrow" w:cs="Arial Narrow"/>
                <w:sz w:val="18"/>
                <w:szCs w:val="18"/>
              </w:rPr>
            </w:pPr>
          </w:p>
        </w:tc>
        <w:tc>
          <w:tcPr>
            <w:tcW w:w="448" w:type="pct"/>
          </w:tcPr>
          <w:p w:rsidR="0076401B" w:rsidRPr="00E9789C" w:rsidRDefault="0076401B">
            <w:pPr>
              <w:spacing w:after="0" w:line="240" w:lineRule="auto"/>
              <w:jc w:val="center"/>
              <w:rPr>
                <w:rFonts w:ascii="Arial Narrow" w:hAnsi="Arial Narrow" w:cs="Arial Narrow"/>
                <w:sz w:val="18"/>
                <w:szCs w:val="18"/>
              </w:rPr>
            </w:pPr>
          </w:p>
        </w:tc>
        <w:tc>
          <w:tcPr>
            <w:tcW w:w="738" w:type="pct"/>
          </w:tcPr>
          <w:p w:rsidR="0076401B" w:rsidRPr="00E9789C" w:rsidRDefault="0076401B">
            <w:pPr>
              <w:spacing w:after="0" w:line="240" w:lineRule="auto"/>
              <w:jc w:val="center"/>
              <w:rPr>
                <w:rFonts w:ascii="Arial Narrow" w:hAnsi="Arial Narrow" w:cs="Arial Narrow"/>
                <w:sz w:val="18"/>
                <w:szCs w:val="18"/>
              </w:rPr>
            </w:pPr>
          </w:p>
        </w:tc>
        <w:tc>
          <w:tcPr>
            <w:tcW w:w="478" w:type="pct"/>
            <w:gridSpan w:val="2"/>
          </w:tcPr>
          <w:p w:rsidR="0076401B" w:rsidRPr="00E9789C" w:rsidRDefault="008B51F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 xml:space="preserve">$36.30 (standard consult) </w:t>
            </w:r>
            <w:r w:rsidRPr="00E9789C">
              <w:rPr>
                <w:rFonts w:ascii="Arial Narrow" w:hAnsi="Arial Narrow" w:cs="Arial Narrow"/>
                <w:sz w:val="18"/>
                <w:szCs w:val="18"/>
                <w:u w:val="single"/>
              </w:rPr>
              <w:t>or</w:t>
            </w:r>
            <w:r w:rsidRPr="00E9789C">
              <w:rPr>
                <w:rFonts w:ascii="Arial Narrow" w:hAnsi="Arial Narrow" w:cs="Arial Narrow"/>
                <w:sz w:val="18"/>
                <w:szCs w:val="18"/>
              </w:rPr>
              <w:t xml:space="preserve"> $70.30 (prolonged consult)</w:t>
            </w:r>
          </w:p>
        </w:tc>
        <w:tc>
          <w:tcPr>
            <w:tcW w:w="262" w:type="pct"/>
            <w:gridSpan w:val="2"/>
          </w:tcPr>
          <w:p w:rsidR="0076401B" w:rsidRPr="00E9789C" w:rsidRDefault="0076401B">
            <w:pPr>
              <w:spacing w:after="0" w:line="240" w:lineRule="auto"/>
              <w:jc w:val="center"/>
              <w:rPr>
                <w:rFonts w:ascii="Arial Narrow" w:hAnsi="Arial Narrow" w:cs="Arial Narrow"/>
                <w:sz w:val="18"/>
                <w:szCs w:val="18"/>
              </w:rPr>
            </w:pPr>
          </w:p>
        </w:tc>
        <w:tc>
          <w:tcPr>
            <w:tcW w:w="288" w:type="pct"/>
          </w:tcPr>
          <w:p w:rsidR="0076401B" w:rsidRPr="00E9789C" w:rsidRDefault="0076401B">
            <w:pPr>
              <w:spacing w:after="0" w:line="240" w:lineRule="auto"/>
              <w:jc w:val="center"/>
              <w:rPr>
                <w:rFonts w:ascii="Arial Narrow" w:hAnsi="Arial Narrow" w:cs="Arial Narrow"/>
                <w:sz w:val="18"/>
                <w:szCs w:val="18"/>
              </w:rPr>
            </w:pPr>
          </w:p>
        </w:tc>
        <w:tc>
          <w:tcPr>
            <w:tcW w:w="292" w:type="pct"/>
          </w:tcPr>
          <w:p w:rsidR="0076401B" w:rsidRPr="00E9789C" w:rsidRDefault="0076401B">
            <w:pPr>
              <w:spacing w:after="0" w:line="240" w:lineRule="auto"/>
              <w:jc w:val="center"/>
              <w:rPr>
                <w:rFonts w:ascii="Arial Narrow" w:hAnsi="Arial Narrow" w:cs="Arial Narrow"/>
                <w:sz w:val="18"/>
                <w:szCs w:val="18"/>
              </w:rPr>
            </w:pPr>
          </w:p>
        </w:tc>
        <w:tc>
          <w:tcPr>
            <w:tcW w:w="289" w:type="pct"/>
          </w:tcPr>
          <w:p w:rsidR="0076401B" w:rsidRPr="00E9789C" w:rsidRDefault="0076401B">
            <w:pPr>
              <w:spacing w:after="0" w:line="240" w:lineRule="auto"/>
              <w:jc w:val="center"/>
              <w:rPr>
                <w:rFonts w:ascii="Arial Narrow" w:hAnsi="Arial Narrow" w:cs="Arial Narrow"/>
                <w:sz w:val="18"/>
                <w:szCs w:val="18"/>
              </w:rPr>
            </w:pPr>
          </w:p>
        </w:tc>
        <w:tc>
          <w:tcPr>
            <w:tcW w:w="447" w:type="pct"/>
          </w:tcPr>
          <w:p w:rsidR="0076401B" w:rsidRPr="00E9789C" w:rsidRDefault="0015523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$41.34</w:t>
            </w:r>
          </w:p>
          <w:p w:rsidR="00155238" w:rsidRPr="00E9789C" w:rsidRDefault="00155238">
            <w:pPr>
              <w:spacing w:after="0" w:line="240" w:lineRule="auto"/>
              <w:jc w:val="center"/>
              <w:rPr>
                <w:rFonts w:ascii="Arial Narrow" w:hAnsi="Arial Narrow" w:cs="Arial Narrow"/>
                <w:sz w:val="18"/>
                <w:szCs w:val="18"/>
              </w:rPr>
            </w:pPr>
          </w:p>
          <w:p w:rsidR="00155238" w:rsidRPr="00E9789C" w:rsidRDefault="00155238">
            <w:pPr>
              <w:spacing w:after="0" w:line="240" w:lineRule="auto"/>
              <w:jc w:val="center"/>
              <w:rPr>
                <w:rFonts w:ascii="Arial Narrow" w:hAnsi="Arial Narrow" w:cs="Arial Narrow"/>
                <w:sz w:val="18"/>
                <w:szCs w:val="18"/>
              </w:rPr>
            </w:pPr>
          </w:p>
          <w:p w:rsidR="00155238" w:rsidRPr="00E9789C" w:rsidRDefault="0015523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$74.97</w:t>
            </w:r>
          </w:p>
        </w:tc>
      </w:tr>
      <w:tr w:rsidR="00320F67" w:rsidRPr="00E72AEA" w:rsidTr="00867FD9">
        <w:trPr>
          <w:trHeight w:val="575"/>
        </w:trPr>
        <w:tc>
          <w:tcPr>
            <w:tcW w:w="759" w:type="pct"/>
            <w:gridSpan w:val="2"/>
          </w:tcPr>
          <w:p w:rsidR="00B7629F" w:rsidRPr="00E9789C" w:rsidRDefault="00320F67" w:rsidP="00867FD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 xml:space="preserve">MBS item 11900 </w:t>
            </w:r>
          </w:p>
          <w:p w:rsidR="00320F67" w:rsidRPr="00E9789C" w:rsidRDefault="00B7629F" w:rsidP="00867FD9">
            <w:pPr>
              <w:pStyle w:val="ListParagraph"/>
              <w:spacing w:after="0" w:line="240" w:lineRule="auto"/>
              <w:ind w:left="0"/>
              <w:jc w:val="left"/>
              <w:rPr>
                <w:rFonts w:ascii="Arial Narrow" w:hAnsi="Arial Narrow" w:cs="Arial Narrow"/>
                <w:sz w:val="18"/>
                <w:szCs w:val="18"/>
              </w:rPr>
            </w:pPr>
            <w:r w:rsidRPr="00E9789C">
              <w:rPr>
                <w:rFonts w:ascii="Arial Narrow" w:hAnsi="Arial Narrow" w:cs="Arial Narrow"/>
                <w:sz w:val="18"/>
                <w:szCs w:val="18"/>
              </w:rPr>
              <w:t>(urine flow study – billed on separate occasion of service, to check post-</w:t>
            </w:r>
            <w:r w:rsidR="00A5028E" w:rsidRPr="00E9789C">
              <w:rPr>
                <w:rFonts w:ascii="Arial Narrow" w:hAnsi="Arial Narrow" w:cs="Arial Narrow"/>
                <w:sz w:val="18"/>
                <w:szCs w:val="18"/>
              </w:rPr>
              <w:t xml:space="preserve">injection </w:t>
            </w:r>
            <w:r w:rsidRPr="00E9789C">
              <w:rPr>
                <w:rFonts w:ascii="Arial Narrow" w:hAnsi="Arial Narrow" w:cs="Arial Narrow"/>
                <w:sz w:val="18"/>
                <w:szCs w:val="18"/>
              </w:rPr>
              <w:t xml:space="preserve">urinary retention) </w:t>
            </w:r>
          </w:p>
        </w:tc>
        <w:tc>
          <w:tcPr>
            <w:tcW w:w="642" w:type="pct"/>
          </w:tcPr>
          <w:p w:rsidR="00320F67" w:rsidRPr="00E9789C" w:rsidRDefault="00320F6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Specialist (urologist or urogynaecologist)</w:t>
            </w:r>
          </w:p>
        </w:tc>
        <w:tc>
          <w:tcPr>
            <w:tcW w:w="357" w:type="pct"/>
          </w:tcPr>
          <w:p w:rsidR="00320F67" w:rsidRPr="00E9789C" w:rsidRDefault="00320F67">
            <w:pPr>
              <w:spacing w:after="0" w:line="240" w:lineRule="auto"/>
              <w:jc w:val="center"/>
              <w:rPr>
                <w:rFonts w:ascii="Arial Narrow" w:hAnsi="Arial Narrow" w:cs="Arial Narrow"/>
                <w:sz w:val="18"/>
                <w:szCs w:val="18"/>
              </w:rPr>
            </w:pPr>
          </w:p>
        </w:tc>
        <w:tc>
          <w:tcPr>
            <w:tcW w:w="448" w:type="pct"/>
          </w:tcPr>
          <w:p w:rsidR="00320F67" w:rsidRPr="00E9789C" w:rsidRDefault="00320F67">
            <w:pPr>
              <w:spacing w:after="0" w:line="240" w:lineRule="auto"/>
              <w:jc w:val="center"/>
              <w:rPr>
                <w:rFonts w:ascii="Arial Narrow" w:hAnsi="Arial Narrow" w:cs="Arial Narrow"/>
                <w:sz w:val="18"/>
                <w:szCs w:val="18"/>
              </w:rPr>
            </w:pPr>
          </w:p>
        </w:tc>
        <w:tc>
          <w:tcPr>
            <w:tcW w:w="738" w:type="pct"/>
          </w:tcPr>
          <w:p w:rsidR="00320F67" w:rsidRPr="00E9789C" w:rsidRDefault="00320F67">
            <w:pPr>
              <w:spacing w:after="0" w:line="240" w:lineRule="auto"/>
              <w:jc w:val="center"/>
              <w:rPr>
                <w:rFonts w:ascii="Arial Narrow" w:hAnsi="Arial Narrow" w:cs="Arial Narrow"/>
                <w:sz w:val="18"/>
                <w:szCs w:val="18"/>
              </w:rPr>
            </w:pPr>
          </w:p>
        </w:tc>
        <w:tc>
          <w:tcPr>
            <w:tcW w:w="478" w:type="pct"/>
            <w:gridSpan w:val="2"/>
          </w:tcPr>
          <w:p w:rsidR="00320F67" w:rsidRPr="00E9789C" w:rsidRDefault="00320F67">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$23.45</w:t>
            </w:r>
          </w:p>
        </w:tc>
        <w:tc>
          <w:tcPr>
            <w:tcW w:w="262" w:type="pct"/>
            <w:gridSpan w:val="2"/>
          </w:tcPr>
          <w:p w:rsidR="00320F67" w:rsidRPr="00E9789C" w:rsidRDefault="00320F67">
            <w:pPr>
              <w:spacing w:after="0" w:line="240" w:lineRule="auto"/>
              <w:jc w:val="center"/>
              <w:rPr>
                <w:rFonts w:ascii="Arial Narrow" w:hAnsi="Arial Narrow" w:cs="Arial Narrow"/>
                <w:sz w:val="18"/>
                <w:szCs w:val="18"/>
              </w:rPr>
            </w:pPr>
          </w:p>
        </w:tc>
        <w:tc>
          <w:tcPr>
            <w:tcW w:w="288" w:type="pct"/>
          </w:tcPr>
          <w:p w:rsidR="00320F67" w:rsidRPr="00E9789C" w:rsidRDefault="00320F67">
            <w:pPr>
              <w:spacing w:after="0" w:line="240" w:lineRule="auto"/>
              <w:jc w:val="center"/>
              <w:rPr>
                <w:rFonts w:ascii="Arial Narrow" w:hAnsi="Arial Narrow" w:cs="Arial Narrow"/>
                <w:sz w:val="18"/>
                <w:szCs w:val="18"/>
              </w:rPr>
            </w:pPr>
          </w:p>
        </w:tc>
        <w:tc>
          <w:tcPr>
            <w:tcW w:w="292" w:type="pct"/>
          </w:tcPr>
          <w:p w:rsidR="00320F67" w:rsidRPr="00E9789C" w:rsidRDefault="00320F67">
            <w:pPr>
              <w:spacing w:after="0" w:line="240" w:lineRule="auto"/>
              <w:jc w:val="center"/>
              <w:rPr>
                <w:rFonts w:ascii="Arial Narrow" w:hAnsi="Arial Narrow" w:cs="Arial Narrow"/>
                <w:sz w:val="18"/>
                <w:szCs w:val="18"/>
              </w:rPr>
            </w:pPr>
          </w:p>
        </w:tc>
        <w:tc>
          <w:tcPr>
            <w:tcW w:w="289" w:type="pct"/>
          </w:tcPr>
          <w:p w:rsidR="00320F67" w:rsidRPr="00E9789C" w:rsidRDefault="00320F67">
            <w:pPr>
              <w:spacing w:after="0" w:line="240" w:lineRule="auto"/>
              <w:jc w:val="center"/>
              <w:rPr>
                <w:rFonts w:ascii="Arial Narrow" w:hAnsi="Arial Narrow" w:cs="Arial Narrow"/>
                <w:sz w:val="18"/>
                <w:szCs w:val="18"/>
              </w:rPr>
            </w:pPr>
          </w:p>
        </w:tc>
        <w:tc>
          <w:tcPr>
            <w:tcW w:w="447" w:type="pct"/>
          </w:tcPr>
          <w:p w:rsidR="00320F67" w:rsidRPr="00E9789C" w:rsidRDefault="00155238">
            <w:pPr>
              <w:spacing w:after="0" w:line="240" w:lineRule="auto"/>
              <w:jc w:val="center"/>
              <w:rPr>
                <w:rFonts w:ascii="Arial Narrow" w:hAnsi="Arial Narrow" w:cs="Arial Narrow"/>
                <w:sz w:val="18"/>
                <w:szCs w:val="18"/>
              </w:rPr>
            </w:pPr>
            <w:r w:rsidRPr="00E9789C">
              <w:rPr>
                <w:rFonts w:ascii="Arial Narrow" w:hAnsi="Arial Narrow" w:cs="Arial Narrow"/>
                <w:sz w:val="18"/>
                <w:szCs w:val="18"/>
              </w:rPr>
              <w:t>-</w:t>
            </w:r>
          </w:p>
        </w:tc>
      </w:tr>
    </w:tbl>
    <w:p w:rsidR="0076401B" w:rsidRPr="00E72AEA" w:rsidRDefault="0076401B"/>
    <w:p w:rsidR="0076401B" w:rsidRPr="00E72AEA" w:rsidRDefault="0076401B"/>
    <w:p w:rsidR="0076401B" w:rsidRPr="00E72AEA" w:rsidRDefault="0076401B" w:rsidP="00E778C0">
      <w:pPr>
        <w:pStyle w:val="Heading1"/>
      </w:pPr>
      <w:r w:rsidRPr="00E72AEA">
        <w:br w:type="page"/>
      </w:r>
      <w:bookmarkStart w:id="23" w:name="_Toc347304410"/>
      <w:r w:rsidRPr="00E72AEA">
        <w:lastRenderedPageBreak/>
        <w:t>Proposed structure of economic evaluation (decision-analytic)</w:t>
      </w:r>
      <w:bookmarkEnd w:id="23"/>
    </w:p>
    <w:p w:rsidR="0076401B" w:rsidRPr="00E72AEA" w:rsidRDefault="0076401B">
      <w:pPr>
        <w:pStyle w:val="Caption"/>
        <w:rPr>
          <w:lang w:val="en-AU"/>
        </w:rPr>
      </w:pPr>
      <w:bookmarkStart w:id="24" w:name="_Ref283297696"/>
      <w:r w:rsidRPr="00E72AEA">
        <w:rPr>
          <w:lang w:val="en-AU"/>
        </w:rPr>
        <w:t xml:space="preserve">Table </w:t>
      </w:r>
      <w:r w:rsidRPr="00E72AEA">
        <w:rPr>
          <w:lang w:val="en-AU"/>
        </w:rPr>
        <w:fldChar w:fldCharType="begin"/>
      </w:r>
      <w:r w:rsidRPr="00E72AEA">
        <w:rPr>
          <w:lang w:val="en-AU"/>
        </w:rPr>
        <w:instrText xml:space="preserve"> SEQ Table \* ARABIC </w:instrText>
      </w:r>
      <w:r w:rsidRPr="00E72AEA">
        <w:rPr>
          <w:lang w:val="en-AU"/>
        </w:rPr>
        <w:fldChar w:fldCharType="separate"/>
      </w:r>
      <w:r w:rsidR="00F13D3A">
        <w:rPr>
          <w:noProof/>
          <w:lang w:val="en-AU"/>
        </w:rPr>
        <w:t>3</w:t>
      </w:r>
      <w:r w:rsidRPr="00E72AEA">
        <w:rPr>
          <w:lang w:val="en-AU"/>
        </w:rPr>
        <w:fldChar w:fldCharType="end"/>
      </w:r>
      <w:bookmarkEnd w:id="24"/>
      <w:r w:rsidRPr="00E72AEA">
        <w:rPr>
          <w:lang w:val="en-AU"/>
        </w:rPr>
        <w:t>:  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76401B" w:rsidRPr="00E72AEA">
        <w:tc>
          <w:tcPr>
            <w:tcW w:w="1807" w:type="dxa"/>
          </w:tcPr>
          <w:p w:rsidR="0076401B" w:rsidRPr="00E72AEA" w:rsidRDefault="0076401B">
            <w:pPr>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Patients</w:t>
            </w:r>
          </w:p>
        </w:tc>
        <w:tc>
          <w:tcPr>
            <w:tcW w:w="1808" w:type="dxa"/>
          </w:tcPr>
          <w:p w:rsidR="0076401B" w:rsidRPr="00E72AEA" w:rsidRDefault="0076401B">
            <w:pPr>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Intervention</w:t>
            </w:r>
          </w:p>
        </w:tc>
        <w:tc>
          <w:tcPr>
            <w:tcW w:w="1808" w:type="dxa"/>
          </w:tcPr>
          <w:p w:rsidR="0076401B" w:rsidRPr="00E72AEA" w:rsidRDefault="0076401B">
            <w:pPr>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Comparator</w:t>
            </w:r>
          </w:p>
        </w:tc>
        <w:tc>
          <w:tcPr>
            <w:tcW w:w="1808" w:type="dxa"/>
          </w:tcPr>
          <w:p w:rsidR="0076401B" w:rsidRPr="00E72AEA" w:rsidRDefault="00DE58B3" w:rsidP="00DE58B3">
            <w:pPr>
              <w:spacing w:after="0" w:line="240" w:lineRule="auto"/>
              <w:jc w:val="center"/>
              <w:rPr>
                <w:rFonts w:ascii="Arial Narrow" w:hAnsi="Arial Narrow" w:cs="Arial Narrow"/>
                <w:b/>
                <w:bCs/>
                <w:sz w:val="18"/>
                <w:szCs w:val="18"/>
              </w:rPr>
            </w:pPr>
            <w:r>
              <w:rPr>
                <w:rFonts w:ascii="Arial Narrow" w:hAnsi="Arial Narrow" w:cs="Arial Narrow"/>
                <w:b/>
                <w:bCs/>
                <w:sz w:val="18"/>
                <w:szCs w:val="18"/>
              </w:rPr>
              <w:t>Outcomes to be assessed</w:t>
            </w:r>
          </w:p>
        </w:tc>
        <w:tc>
          <w:tcPr>
            <w:tcW w:w="1808" w:type="dxa"/>
          </w:tcPr>
          <w:p w:rsidR="0076401B" w:rsidRPr="00E72AEA" w:rsidRDefault="0076401B">
            <w:pPr>
              <w:spacing w:after="0" w:line="240" w:lineRule="auto"/>
              <w:jc w:val="center"/>
              <w:rPr>
                <w:rFonts w:ascii="Arial Narrow" w:hAnsi="Arial Narrow" w:cs="Arial Narrow"/>
                <w:b/>
                <w:bCs/>
                <w:sz w:val="18"/>
                <w:szCs w:val="18"/>
              </w:rPr>
            </w:pPr>
            <w:r w:rsidRPr="00E72AEA">
              <w:rPr>
                <w:rFonts w:ascii="Arial Narrow" w:hAnsi="Arial Narrow" w:cs="Arial Narrow"/>
                <w:b/>
                <w:bCs/>
                <w:sz w:val="18"/>
                <w:szCs w:val="18"/>
              </w:rPr>
              <w:t>Healthcare resources to be considered</w:t>
            </w:r>
          </w:p>
        </w:tc>
      </w:tr>
      <w:tr w:rsidR="0076401B" w:rsidRPr="00E72AEA">
        <w:tc>
          <w:tcPr>
            <w:tcW w:w="1807" w:type="dxa"/>
          </w:tcPr>
          <w:p w:rsidR="0076401B" w:rsidRPr="00EB19AC" w:rsidRDefault="0076401B">
            <w:pPr>
              <w:spacing w:after="0" w:line="240" w:lineRule="auto"/>
              <w:jc w:val="left"/>
              <w:rPr>
                <w:rFonts w:ascii="Calibri" w:hAnsi="Calibri" w:cs="Calibri"/>
              </w:rPr>
            </w:pPr>
            <w:r w:rsidRPr="00EB19AC">
              <w:rPr>
                <w:rFonts w:ascii="Calibri" w:hAnsi="Calibri" w:cs="Calibri"/>
              </w:rPr>
              <w:t xml:space="preserve">Patients with </w:t>
            </w:r>
            <w:r w:rsidR="00C203EA" w:rsidRPr="00EB19AC">
              <w:rPr>
                <w:rFonts w:ascii="Calibri" w:hAnsi="Calibri" w:cs="Calibri"/>
              </w:rPr>
              <w:t>urinary incontinence due to</w:t>
            </w:r>
            <w:r w:rsidR="0005400F" w:rsidRPr="00EB19AC">
              <w:rPr>
                <w:rFonts w:ascii="Calibri" w:hAnsi="Calibri" w:cs="Calibri"/>
              </w:rPr>
              <w:t xml:space="preserve"> idiopathic detrusor overactivity (IDO)</w:t>
            </w:r>
            <w:r w:rsidR="00927634">
              <w:rPr>
                <w:rFonts w:ascii="Calibri" w:hAnsi="Calibri" w:cs="Calibri"/>
              </w:rPr>
              <w:t xml:space="preserve"> – </w:t>
            </w:r>
            <w:r w:rsidR="00B81457">
              <w:rPr>
                <w:rFonts w:ascii="Calibri" w:hAnsi="Calibri" w:cs="Calibri"/>
              </w:rPr>
              <w:t>(</w:t>
            </w:r>
            <w:r w:rsidR="00927634">
              <w:rPr>
                <w:rFonts w:ascii="Calibri" w:hAnsi="Calibri" w:cs="Calibri"/>
              </w:rPr>
              <w:t>or</w:t>
            </w:r>
            <w:r w:rsidR="00B81457">
              <w:rPr>
                <w:rFonts w:ascii="Calibri" w:hAnsi="Calibri" w:cs="Calibri"/>
              </w:rPr>
              <w:t xml:space="preserve"> </w:t>
            </w:r>
            <w:r w:rsidR="00927634">
              <w:rPr>
                <w:rFonts w:ascii="Calibri" w:hAnsi="Calibri" w:cs="Calibri"/>
              </w:rPr>
              <w:t>idiopathic overactive bladder (IOAB)</w:t>
            </w:r>
            <w:r w:rsidR="002357FE">
              <w:rPr>
                <w:rFonts w:ascii="Calibri" w:hAnsi="Calibri" w:cs="Calibri"/>
              </w:rPr>
              <w:t xml:space="preserve"> if PBAC agrees PBS funding for this indication</w:t>
            </w:r>
            <w:r w:rsidR="00B81457">
              <w:rPr>
                <w:rFonts w:ascii="Calibri" w:hAnsi="Calibri" w:cs="Calibri"/>
              </w:rPr>
              <w:t>)</w:t>
            </w:r>
            <w:r w:rsidR="002357FE">
              <w:rPr>
                <w:rFonts w:ascii="Calibri" w:hAnsi="Calibri" w:cs="Calibri"/>
              </w:rPr>
              <w:t xml:space="preserve"> – in patients who have </w:t>
            </w:r>
            <w:r w:rsidRPr="00EB19AC">
              <w:rPr>
                <w:rFonts w:ascii="Calibri" w:hAnsi="Calibri" w:cs="Calibri"/>
              </w:rPr>
              <w:t xml:space="preserve"> failed or are unsuitable for first-line conservative therapy</w:t>
            </w:r>
          </w:p>
          <w:p w:rsidR="0076401B" w:rsidRPr="00EB19AC" w:rsidRDefault="0076401B">
            <w:pPr>
              <w:spacing w:after="0" w:line="240" w:lineRule="auto"/>
              <w:jc w:val="left"/>
              <w:rPr>
                <w:rFonts w:ascii="Calibri" w:hAnsi="Calibri" w:cs="Calibri"/>
              </w:rPr>
            </w:pPr>
          </w:p>
          <w:p w:rsidR="0076401B" w:rsidRPr="00EB19AC" w:rsidRDefault="0076401B">
            <w:pPr>
              <w:spacing w:after="0" w:line="240" w:lineRule="auto"/>
              <w:jc w:val="left"/>
              <w:rPr>
                <w:rFonts w:ascii="Calibri" w:hAnsi="Calibri" w:cs="Arial Narrow"/>
              </w:rPr>
            </w:pPr>
          </w:p>
        </w:tc>
        <w:tc>
          <w:tcPr>
            <w:tcW w:w="1808" w:type="dxa"/>
          </w:tcPr>
          <w:p w:rsidR="0076401B" w:rsidRPr="00EB19AC" w:rsidRDefault="00710FC1">
            <w:pPr>
              <w:spacing w:after="0" w:line="240" w:lineRule="auto"/>
              <w:jc w:val="left"/>
              <w:rPr>
                <w:rFonts w:ascii="Calibri" w:hAnsi="Calibri" w:cs="Arial Narrow"/>
              </w:rPr>
            </w:pPr>
            <w:r w:rsidRPr="00EB19AC">
              <w:rPr>
                <w:rFonts w:ascii="Calibri" w:hAnsi="Calibri" w:cs="Calibri"/>
              </w:rPr>
              <w:t xml:space="preserve">Intravesical </w:t>
            </w:r>
            <w:r w:rsidR="0076401B" w:rsidRPr="00EB19AC">
              <w:rPr>
                <w:rFonts w:ascii="Calibri" w:hAnsi="Calibri" w:cs="Calibri"/>
              </w:rPr>
              <w:t>injection of BOTOX®, including cystoscopy and all injections in one day</w:t>
            </w:r>
            <w:r w:rsidR="002357FE">
              <w:rPr>
                <w:rFonts w:ascii="Calibri" w:hAnsi="Calibri" w:cs="Calibri"/>
              </w:rPr>
              <w:t>, and associated anaesthetic costs</w:t>
            </w:r>
          </w:p>
        </w:tc>
        <w:tc>
          <w:tcPr>
            <w:tcW w:w="1808" w:type="dxa"/>
          </w:tcPr>
          <w:p w:rsidR="0076401B" w:rsidRPr="00EB19AC" w:rsidRDefault="00391737">
            <w:pPr>
              <w:spacing w:after="0" w:line="240" w:lineRule="auto"/>
              <w:jc w:val="left"/>
              <w:rPr>
                <w:rFonts w:ascii="Calibri" w:hAnsi="Calibri" w:cs="Arial Narrow"/>
              </w:rPr>
            </w:pPr>
            <w:r w:rsidRPr="00EB19AC">
              <w:rPr>
                <w:rFonts w:ascii="Calibri" w:hAnsi="Calibri" w:cs="Calibri"/>
              </w:rPr>
              <w:t>Best supportive care</w:t>
            </w:r>
          </w:p>
        </w:tc>
        <w:tc>
          <w:tcPr>
            <w:tcW w:w="1808" w:type="dxa"/>
          </w:tcPr>
          <w:p w:rsidR="00391737" w:rsidRPr="00EB19AC" w:rsidRDefault="00DE58B3" w:rsidP="00EB19AC">
            <w:pPr>
              <w:pStyle w:val="ListParagraph"/>
              <w:spacing w:after="0" w:line="240" w:lineRule="auto"/>
              <w:ind w:left="106"/>
              <w:jc w:val="left"/>
              <w:rPr>
                <w:rFonts w:ascii="Calibri" w:hAnsi="Calibri" w:cs="Calibri"/>
              </w:rPr>
            </w:pPr>
            <w:r>
              <w:rPr>
                <w:rFonts w:ascii="Calibri" w:hAnsi="Calibri" w:cs="Calibri"/>
              </w:rPr>
              <w:t>For PBAC</w:t>
            </w:r>
          </w:p>
        </w:tc>
        <w:tc>
          <w:tcPr>
            <w:tcW w:w="1808" w:type="dxa"/>
          </w:tcPr>
          <w:p w:rsidR="0076401B" w:rsidRPr="00EB19AC" w:rsidRDefault="0076401B">
            <w:pPr>
              <w:spacing w:after="0" w:line="240" w:lineRule="auto"/>
              <w:jc w:val="left"/>
              <w:rPr>
                <w:rFonts w:ascii="Calibri" w:hAnsi="Calibri" w:cs="Calibri"/>
              </w:rPr>
            </w:pPr>
            <w:r w:rsidRPr="00EB19AC">
              <w:rPr>
                <w:rFonts w:ascii="Calibri" w:hAnsi="Calibri" w:cs="Calibri"/>
              </w:rPr>
              <w:t>Consequences of adding the MBS item number (and any potential changes in utilisation rates resulting from this addition)</w:t>
            </w:r>
          </w:p>
        </w:tc>
      </w:tr>
    </w:tbl>
    <w:p w:rsidR="0076401B" w:rsidRPr="00E72AEA" w:rsidRDefault="0076401B">
      <w:pPr>
        <w:spacing w:line="26" w:lineRule="atLeast"/>
        <w:rPr>
          <w:b/>
          <w:bCs/>
        </w:rPr>
      </w:pPr>
    </w:p>
    <w:p w:rsidR="0076401B" w:rsidRPr="00E72AEA" w:rsidRDefault="0076401B">
      <w:pPr>
        <w:spacing w:after="0" w:line="240" w:lineRule="auto"/>
        <w:jc w:val="left"/>
        <w:rPr>
          <w:b/>
          <w:bCs/>
        </w:rPr>
      </w:pPr>
      <w:r w:rsidRPr="00E72AEA">
        <w:rPr>
          <w:b/>
          <w:bCs/>
        </w:rPr>
        <w:br w:type="page"/>
      </w:r>
    </w:p>
    <w:p w:rsidR="0076401B" w:rsidRPr="003920F2" w:rsidRDefault="0076401B" w:rsidP="003920F2">
      <w:pPr>
        <w:jc w:val="left"/>
      </w:pPr>
      <w:bookmarkStart w:id="25" w:name="_Toc347304411"/>
      <w:r w:rsidRPr="00E72AEA">
        <w:rPr>
          <w:rStyle w:val="Heading1Char"/>
          <w:sz w:val="24"/>
          <w:szCs w:val="24"/>
          <w:lang w:val="en-AU"/>
        </w:rPr>
        <w:lastRenderedPageBreak/>
        <w:t>Appendix 1: B</w:t>
      </w:r>
      <w:r w:rsidR="001D3558">
        <w:rPr>
          <w:rStyle w:val="Heading1Char"/>
          <w:sz w:val="24"/>
          <w:szCs w:val="24"/>
          <w:lang w:val="en-AU"/>
        </w:rPr>
        <w:t>OTOX</w:t>
      </w:r>
      <w:r w:rsidRPr="00E72AEA">
        <w:rPr>
          <w:rStyle w:val="Heading1Char"/>
          <w:sz w:val="24"/>
          <w:szCs w:val="24"/>
          <w:lang w:val="en-AU"/>
        </w:rPr>
        <w:t xml:space="preserve"> uses currently reimbursed by the MBS</w:t>
      </w:r>
      <w:bookmarkEnd w:id="25"/>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9242"/>
      </w:tblGrid>
      <w:tr w:rsidR="0076401B" w:rsidRPr="00E72AEA">
        <w:tc>
          <w:tcPr>
            <w:tcW w:w="9242" w:type="dxa"/>
            <w:tcBorders>
              <w:top w:val="single" w:sz="4" w:space="0" w:color="auto"/>
            </w:tcBorders>
          </w:tcPr>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18350</w:t>
            </w:r>
          </w:p>
          <w:p w:rsidR="0076401B" w:rsidRPr="00E72AEA" w:rsidRDefault="0076401B">
            <w:pPr>
              <w:tabs>
                <w:tab w:val="left" w:pos="0"/>
                <w:tab w:val="left" w:pos="540"/>
                <w:tab w:val="left" w:pos="2835"/>
              </w:tabs>
              <w:spacing w:before="40" w:after="0" w:line="240" w:lineRule="auto"/>
              <w:ind w:right="58"/>
              <w:jc w:val="left"/>
              <w:rPr>
                <w:rFonts w:eastAsia="Times New Roman"/>
                <w:sz w:val="18"/>
                <w:szCs w:val="18"/>
                <w:lang w:eastAsia="en-US"/>
              </w:rPr>
            </w:pPr>
            <w:r w:rsidRPr="00E72AEA">
              <w:rPr>
                <w:rFonts w:eastAsia="Times New Roman"/>
                <w:sz w:val="18"/>
                <w:szCs w:val="18"/>
                <w:lang w:eastAsia="en-US"/>
              </w:rPr>
              <w:t>BOTULINUM TOXIN (Botox), injection of, for hemifacial spasm in a patient 12 years of age or older, including all injections on any one day</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sz w:val="18"/>
                <w:szCs w:val="18"/>
              </w:rPr>
            </w:pPr>
            <w:r w:rsidRPr="00E72AEA">
              <w:rPr>
                <w:rFonts w:eastAsia="Times New Roman"/>
                <w:b/>
                <w:bCs/>
                <w:sz w:val="18"/>
                <w:szCs w:val="18"/>
                <w:lang w:eastAsia="en-US"/>
              </w:rPr>
              <w:t xml:space="preserve">Fee: </w:t>
            </w:r>
            <w:r w:rsidRPr="00E72AEA">
              <w:rPr>
                <w:rFonts w:eastAsia="Times New Roman"/>
                <w:sz w:val="18"/>
                <w:szCs w:val="18"/>
                <w:lang w:eastAsia="en-US"/>
              </w:rPr>
              <w:t>$12</w:t>
            </w:r>
            <w:r w:rsidR="009427B3">
              <w:rPr>
                <w:rFonts w:eastAsia="Times New Roman"/>
                <w:sz w:val="18"/>
                <w:szCs w:val="18"/>
                <w:lang w:eastAsia="en-US"/>
              </w:rPr>
              <w:t>4</w:t>
            </w:r>
            <w:r w:rsidRPr="00E72AEA">
              <w:rPr>
                <w:rFonts w:eastAsia="Times New Roman"/>
                <w:sz w:val="18"/>
                <w:szCs w:val="18"/>
                <w:lang w:eastAsia="en-US"/>
              </w:rPr>
              <w:t>.</w:t>
            </w:r>
            <w:r w:rsidR="009427B3">
              <w:rPr>
                <w:rFonts w:eastAsia="Times New Roman"/>
                <w:sz w:val="18"/>
                <w:szCs w:val="18"/>
                <w:lang w:eastAsia="en-US"/>
              </w:rPr>
              <w:t>85</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18352</w:t>
            </w:r>
          </w:p>
          <w:p w:rsidR="0076401B" w:rsidRPr="00E72AEA" w:rsidRDefault="0076401B">
            <w:pPr>
              <w:tabs>
                <w:tab w:val="left" w:pos="0"/>
                <w:tab w:val="left" w:pos="540"/>
                <w:tab w:val="left" w:pos="2835"/>
              </w:tabs>
              <w:spacing w:before="40" w:after="0" w:line="240" w:lineRule="auto"/>
              <w:ind w:right="58"/>
              <w:jc w:val="left"/>
              <w:rPr>
                <w:rFonts w:eastAsia="Times New Roman"/>
                <w:sz w:val="18"/>
                <w:szCs w:val="18"/>
                <w:lang w:eastAsia="en-US"/>
              </w:rPr>
            </w:pPr>
            <w:r w:rsidRPr="00E72AEA">
              <w:rPr>
                <w:rFonts w:eastAsia="Times New Roman"/>
                <w:sz w:val="18"/>
                <w:szCs w:val="18"/>
                <w:lang w:eastAsia="en-US"/>
              </w:rPr>
              <w:t>BOTULINUM TOXIN (Botox or Dysport), injection of, for cervical dystonia (spasmodic torticollis), including all injections on any one day</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sz w:val="18"/>
                <w:szCs w:val="18"/>
              </w:rPr>
            </w:pPr>
            <w:r w:rsidRPr="00E72AEA">
              <w:rPr>
                <w:rFonts w:eastAsia="Times New Roman"/>
                <w:b/>
                <w:bCs/>
                <w:sz w:val="18"/>
                <w:szCs w:val="18"/>
                <w:lang w:eastAsia="en-US"/>
              </w:rPr>
              <w:t xml:space="preserve">Fee: </w:t>
            </w:r>
            <w:r w:rsidRPr="00E72AEA">
              <w:rPr>
                <w:rFonts w:eastAsia="Times New Roman"/>
                <w:sz w:val="18"/>
                <w:szCs w:val="18"/>
                <w:lang w:eastAsia="en-US"/>
              </w:rPr>
              <w:t>$24</w:t>
            </w:r>
            <w:r w:rsidR="009427B3">
              <w:rPr>
                <w:rFonts w:eastAsia="Times New Roman"/>
                <w:sz w:val="18"/>
                <w:szCs w:val="18"/>
                <w:lang w:eastAsia="en-US"/>
              </w:rPr>
              <w:t>9</w:t>
            </w:r>
            <w:r w:rsidRPr="00E72AEA">
              <w:rPr>
                <w:rFonts w:eastAsia="Times New Roman"/>
                <w:sz w:val="18"/>
                <w:szCs w:val="18"/>
                <w:lang w:eastAsia="en-US"/>
              </w:rPr>
              <w:t>.</w:t>
            </w:r>
            <w:r w:rsidR="009427B3">
              <w:rPr>
                <w:rFonts w:eastAsia="Times New Roman"/>
                <w:sz w:val="18"/>
                <w:szCs w:val="18"/>
                <w:lang w:eastAsia="en-US"/>
              </w:rPr>
              <w:t>75</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18354</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sz w:val="18"/>
                <w:szCs w:val="18"/>
                <w:lang w:eastAsia="en-US"/>
              </w:rPr>
              <w:t xml:space="preserve">BOTULINUM TOXIN (Botox or Dysport), injection of, for dynamic equinus foot deformity due to spasticity in an ambulant cerebral palsy patient, aged two years or older, in accordance with the supply of the drug under instrument PB 122 of 2008 (Arrangements — Botulinum Toxin Program) made under Section 100 (1) (b) of the </w:t>
            </w:r>
            <w:r w:rsidRPr="00E72AEA">
              <w:rPr>
                <w:rFonts w:eastAsia="Times New Roman"/>
                <w:i/>
                <w:iCs/>
                <w:sz w:val="18"/>
                <w:szCs w:val="18"/>
                <w:lang w:eastAsia="en-US"/>
              </w:rPr>
              <w:t>National Health Act 1953</w:t>
            </w:r>
            <w:r w:rsidRPr="00E72AEA">
              <w:rPr>
                <w:rFonts w:eastAsia="Times New Roman"/>
                <w:sz w:val="18"/>
                <w:szCs w:val="18"/>
                <w:lang w:eastAsia="en-US"/>
              </w:rPr>
              <w:t>, including all such injections on any one day for all or any of the muscles subserving one functional activity and supplied by one motor nerve - applicable only to the first two treatments of each limb of the patient on any one day</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b/>
                <w:bCs/>
                <w:sz w:val="18"/>
                <w:szCs w:val="18"/>
                <w:lang w:eastAsia="en-US"/>
              </w:rPr>
              <w:t xml:space="preserve">Fee: </w:t>
            </w:r>
            <w:r w:rsidRPr="00E72AEA">
              <w:rPr>
                <w:rFonts w:eastAsia="Times New Roman"/>
                <w:sz w:val="18"/>
                <w:szCs w:val="18"/>
                <w:lang w:eastAsia="en-US"/>
              </w:rPr>
              <w:t>$12</w:t>
            </w:r>
            <w:r w:rsidR="009427B3">
              <w:rPr>
                <w:rFonts w:eastAsia="Times New Roman"/>
                <w:sz w:val="18"/>
                <w:szCs w:val="18"/>
                <w:lang w:eastAsia="en-US"/>
              </w:rPr>
              <w:t>4.85</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18356</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sz w:val="18"/>
                <w:szCs w:val="18"/>
                <w:lang w:eastAsia="en-US"/>
              </w:rPr>
              <w:t xml:space="preserve">BOTULINUM TOXIN (Botox or Dysport), injection of, for dynamic equinovarus foot deformity due to spasticity in an ambulant cerebral palsy patient, aged two years or older, in accordance with the supply of the drug under instrument PB 122 of 2008 (Arrangements — Botulinum Toxin Program) made under Section 100 (1) (b) of the </w:t>
            </w:r>
            <w:r w:rsidRPr="00E72AEA">
              <w:rPr>
                <w:rFonts w:eastAsia="Times New Roman"/>
                <w:i/>
                <w:iCs/>
                <w:sz w:val="18"/>
                <w:szCs w:val="18"/>
                <w:lang w:eastAsia="en-US"/>
              </w:rPr>
              <w:t>National Health Act 1953</w:t>
            </w:r>
            <w:r w:rsidRPr="00E72AEA">
              <w:rPr>
                <w:rFonts w:eastAsia="Times New Roman"/>
                <w:sz w:val="18"/>
                <w:szCs w:val="18"/>
                <w:lang w:eastAsia="en-US"/>
              </w:rPr>
              <w:t>, including all such injections on any one day for all or any of the muscles subserving one functional activity and supplied by one motor nerve - applicable only to the first two treatments of each limb of the patient on any one day</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sz w:val="18"/>
                <w:szCs w:val="18"/>
                <w:lang w:eastAsia="en-US"/>
              </w:rPr>
              <w:t>(Anaes.)</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b/>
                <w:bCs/>
                <w:sz w:val="18"/>
                <w:szCs w:val="18"/>
                <w:lang w:eastAsia="en-US"/>
              </w:rPr>
              <w:t xml:space="preserve">Fee: </w:t>
            </w:r>
            <w:r w:rsidRPr="00E72AEA">
              <w:rPr>
                <w:rFonts w:eastAsia="Times New Roman"/>
                <w:sz w:val="18"/>
                <w:szCs w:val="18"/>
                <w:lang w:eastAsia="en-US"/>
              </w:rPr>
              <w:t>$12</w:t>
            </w:r>
            <w:r w:rsidR="009427B3">
              <w:rPr>
                <w:rFonts w:eastAsia="Times New Roman"/>
                <w:sz w:val="18"/>
                <w:szCs w:val="18"/>
                <w:lang w:eastAsia="en-US"/>
              </w:rPr>
              <w:t>4.85</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18358</w:t>
            </w:r>
          </w:p>
          <w:p w:rsidR="0076401B" w:rsidRPr="00E72AEA" w:rsidRDefault="0076401B">
            <w:pPr>
              <w:tabs>
                <w:tab w:val="left" w:pos="0"/>
                <w:tab w:val="left" w:pos="540"/>
                <w:tab w:val="left" w:pos="2835"/>
              </w:tabs>
              <w:spacing w:before="40" w:after="0" w:line="240" w:lineRule="auto"/>
              <w:ind w:right="58"/>
              <w:jc w:val="left"/>
              <w:rPr>
                <w:rFonts w:eastAsia="Times New Roman"/>
                <w:sz w:val="18"/>
                <w:szCs w:val="18"/>
                <w:lang w:eastAsia="en-US"/>
              </w:rPr>
            </w:pPr>
            <w:r w:rsidRPr="00E72AEA">
              <w:rPr>
                <w:rFonts w:eastAsia="Times New Roman"/>
                <w:sz w:val="18"/>
                <w:szCs w:val="18"/>
                <w:lang w:eastAsia="en-US"/>
              </w:rPr>
              <w:t xml:space="preserve">BOTULINUM TOXIN (Botox or Dysport), injection of, for dynamic equinovalgus foot deformity due to spasticity in an ambulant cerebral palsy patient, aged two years or older, in accordance with the supply of the drug under instrument PB 122 of 2008 (Arrangements — Botulinum Toxin Program) made under Section 100 (1) (b) of the </w:t>
            </w:r>
            <w:r w:rsidRPr="00E72AEA">
              <w:rPr>
                <w:rFonts w:eastAsia="Times New Roman"/>
                <w:i/>
                <w:iCs/>
                <w:sz w:val="18"/>
                <w:szCs w:val="18"/>
                <w:lang w:eastAsia="en-US"/>
              </w:rPr>
              <w:t>National Health Act 1953</w:t>
            </w:r>
            <w:r w:rsidRPr="00E72AEA">
              <w:rPr>
                <w:rFonts w:eastAsia="Times New Roman"/>
                <w:sz w:val="18"/>
                <w:szCs w:val="18"/>
                <w:lang w:eastAsia="en-US"/>
              </w:rPr>
              <w:t>, including all such injections on any one day for all or any of the muscles subserving one functional activity and supplied by one motor nerve - applicable only to the first two treatments of each limb of the patient on any one day</w:t>
            </w:r>
          </w:p>
          <w:p w:rsidR="0076401B" w:rsidRPr="00E72AEA" w:rsidRDefault="0056287B">
            <w:pPr>
              <w:tabs>
                <w:tab w:val="left" w:pos="2835"/>
              </w:tabs>
              <w:autoSpaceDE w:val="0"/>
              <w:autoSpaceDN w:val="0"/>
              <w:adjustRightInd w:val="0"/>
              <w:spacing w:before="40" w:after="0" w:line="240" w:lineRule="auto"/>
              <w:jc w:val="left"/>
              <w:rPr>
                <w:rFonts w:eastAsia="Times New Roman"/>
                <w:sz w:val="18"/>
                <w:szCs w:val="18"/>
                <w:lang w:eastAsia="en-US"/>
              </w:rPr>
            </w:pPr>
            <w:r>
              <w:rPr>
                <w:rFonts w:eastAsia="Times New Roman"/>
                <w:sz w:val="18"/>
                <w:szCs w:val="18"/>
                <w:lang w:eastAsia="en-US"/>
              </w:rPr>
              <w:t>(Anaes.</w:t>
            </w:r>
            <w:r w:rsidR="0076401B" w:rsidRPr="00E72AEA">
              <w:rPr>
                <w:rFonts w:eastAsia="Times New Roman"/>
                <w:sz w:val="18"/>
                <w:szCs w:val="18"/>
                <w:lang w:eastAsia="en-US"/>
              </w:rPr>
              <w:t>)</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sz w:val="18"/>
                <w:szCs w:val="18"/>
              </w:rPr>
            </w:pPr>
            <w:r w:rsidRPr="00E72AEA">
              <w:rPr>
                <w:rFonts w:eastAsia="Times New Roman"/>
                <w:b/>
                <w:bCs/>
                <w:sz w:val="18"/>
                <w:szCs w:val="18"/>
                <w:lang w:eastAsia="en-US"/>
              </w:rPr>
              <w:t xml:space="preserve">Fee: </w:t>
            </w:r>
            <w:r w:rsidRPr="00E72AEA">
              <w:rPr>
                <w:rFonts w:eastAsia="Times New Roman"/>
                <w:sz w:val="18"/>
                <w:szCs w:val="18"/>
                <w:lang w:eastAsia="en-US"/>
              </w:rPr>
              <w:t>$12</w:t>
            </w:r>
            <w:r w:rsidR="009427B3">
              <w:rPr>
                <w:rFonts w:eastAsia="Times New Roman"/>
                <w:sz w:val="18"/>
                <w:szCs w:val="18"/>
                <w:lang w:eastAsia="en-US"/>
              </w:rPr>
              <w:t>4.85</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18360</w:t>
            </w:r>
          </w:p>
          <w:p w:rsidR="0076401B" w:rsidRPr="00E72AEA" w:rsidRDefault="0076401B">
            <w:pPr>
              <w:tabs>
                <w:tab w:val="left" w:pos="0"/>
                <w:tab w:val="left" w:pos="540"/>
                <w:tab w:val="left" w:pos="2835"/>
              </w:tabs>
              <w:spacing w:before="40" w:after="0" w:line="240" w:lineRule="auto"/>
              <w:ind w:right="58"/>
              <w:jc w:val="left"/>
              <w:rPr>
                <w:rFonts w:eastAsia="Times New Roman"/>
                <w:sz w:val="18"/>
                <w:szCs w:val="18"/>
                <w:lang w:eastAsia="en-US"/>
              </w:rPr>
            </w:pPr>
            <w:r w:rsidRPr="00E72AEA">
              <w:rPr>
                <w:rFonts w:eastAsia="Times New Roman"/>
                <w:sz w:val="18"/>
                <w:szCs w:val="18"/>
                <w:lang w:eastAsia="en-US"/>
              </w:rPr>
              <w:t>BOTULINUM TOXIN (Botox), injection of, for the treatment of focal spasticity in adults, including all injections for all or any of the muscles subserving one functional activity, supplied by one motor nerve, with a maximum of 4 treatments per patient on any one day (2 per limb)</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b/>
                <w:bCs/>
                <w:sz w:val="18"/>
                <w:szCs w:val="18"/>
                <w:lang w:eastAsia="en-US"/>
              </w:rPr>
              <w:t xml:space="preserve">Fee: </w:t>
            </w:r>
            <w:r w:rsidR="009427B3" w:rsidRPr="00E72AEA">
              <w:rPr>
                <w:rFonts w:eastAsia="Times New Roman"/>
                <w:sz w:val="18"/>
                <w:szCs w:val="18"/>
                <w:lang w:eastAsia="en-US"/>
              </w:rPr>
              <w:t>$12</w:t>
            </w:r>
            <w:r w:rsidR="009427B3">
              <w:rPr>
                <w:rFonts w:eastAsia="Times New Roman"/>
                <w:sz w:val="18"/>
                <w:szCs w:val="18"/>
                <w:lang w:eastAsia="en-US"/>
              </w:rPr>
              <w:t>4.85</w:t>
            </w:r>
          </w:p>
          <w:p w:rsidR="0076401B" w:rsidRDefault="0076401B">
            <w:pPr>
              <w:tabs>
                <w:tab w:val="left" w:pos="2835"/>
              </w:tabs>
              <w:autoSpaceDE w:val="0"/>
              <w:autoSpaceDN w:val="0"/>
              <w:adjustRightInd w:val="0"/>
              <w:spacing w:before="40" w:after="0" w:line="240" w:lineRule="auto"/>
              <w:jc w:val="left"/>
              <w:rPr>
                <w:sz w:val="18"/>
                <w:szCs w:val="18"/>
              </w:rPr>
            </w:pPr>
          </w:p>
          <w:p w:rsidR="00391737" w:rsidRDefault="00391737">
            <w:pPr>
              <w:tabs>
                <w:tab w:val="left" w:pos="2835"/>
              </w:tabs>
              <w:autoSpaceDE w:val="0"/>
              <w:autoSpaceDN w:val="0"/>
              <w:adjustRightInd w:val="0"/>
              <w:spacing w:before="40" w:after="0" w:line="240" w:lineRule="auto"/>
              <w:jc w:val="left"/>
              <w:rPr>
                <w:sz w:val="18"/>
                <w:szCs w:val="18"/>
              </w:rPr>
            </w:pPr>
          </w:p>
          <w:p w:rsidR="0056287B" w:rsidRPr="00E72AEA" w:rsidRDefault="0056287B">
            <w:pPr>
              <w:tabs>
                <w:tab w:val="left" w:pos="2835"/>
              </w:tabs>
              <w:autoSpaceDE w:val="0"/>
              <w:autoSpaceDN w:val="0"/>
              <w:adjustRightInd w:val="0"/>
              <w:spacing w:before="40" w:after="0" w:line="240" w:lineRule="auto"/>
              <w:jc w:val="left"/>
              <w:rPr>
                <w:sz w:val="18"/>
                <w:szCs w:val="18"/>
              </w:rPr>
            </w:pP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18361</w:t>
            </w:r>
          </w:p>
          <w:p w:rsidR="0076401B" w:rsidRPr="00E72AEA" w:rsidRDefault="0076401B">
            <w:pPr>
              <w:pStyle w:val="NormalWeb"/>
              <w:tabs>
                <w:tab w:val="left" w:pos="2835"/>
              </w:tabs>
              <w:spacing w:before="0" w:beforeAutospacing="0" w:after="0" w:afterAutospacing="0"/>
              <w:rPr>
                <w:rFonts w:ascii="Tahoma" w:hAnsi="Tahoma" w:cs="Tahoma"/>
                <w:sz w:val="18"/>
                <w:szCs w:val="18"/>
              </w:rPr>
            </w:pPr>
            <w:r w:rsidRPr="00E72AEA">
              <w:rPr>
                <w:rFonts w:ascii="Tahoma" w:hAnsi="Tahoma" w:cs="Tahoma"/>
                <w:sz w:val="18"/>
                <w:szCs w:val="18"/>
              </w:rPr>
              <w:lastRenderedPageBreak/>
              <w:t xml:space="preserve">Botulinum toxin (Botox), injection of, for the treatment of moderate to severe upper limb spasticity due to cerebral palsy, in a patient who is at least 2 years but less than 18 years, in association with either: (a) physiotherapy or occupational therapy or both; or (b) electrical stimulation or ultrasound for muscle localisation; including all injections for any or all of the muscles sub-serving one functional activity supplied by one motor nerve - with a maximum of four treatments per patient on any one day, and with a maximum of two treatments per limb </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sz w:val="18"/>
                <w:szCs w:val="18"/>
                <w:lang w:eastAsia="en-US"/>
              </w:rPr>
              <w:t>(Anaes.)</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pPr>
              <w:pStyle w:val="NormalWeb"/>
              <w:tabs>
                <w:tab w:val="left" w:pos="2835"/>
              </w:tabs>
              <w:spacing w:before="0" w:beforeAutospacing="0" w:after="0" w:afterAutospacing="0"/>
              <w:rPr>
                <w:rFonts w:ascii="Tahoma" w:hAnsi="Tahoma" w:cs="Tahoma"/>
                <w:sz w:val="18"/>
                <w:szCs w:val="18"/>
              </w:rPr>
            </w:pPr>
            <w:r w:rsidRPr="00E72AEA">
              <w:rPr>
                <w:rFonts w:ascii="Tahoma" w:hAnsi="Tahoma" w:cs="Tahoma"/>
                <w:b/>
                <w:bCs/>
                <w:sz w:val="18"/>
                <w:szCs w:val="18"/>
                <w:lang w:eastAsia="en-US"/>
              </w:rPr>
              <w:t xml:space="preserve">Fee: </w:t>
            </w:r>
            <w:r w:rsidR="009427B3" w:rsidRPr="00E72AEA">
              <w:rPr>
                <w:sz w:val="18"/>
                <w:szCs w:val="18"/>
                <w:lang w:eastAsia="en-US"/>
              </w:rPr>
              <w:t>$12</w:t>
            </w:r>
            <w:r w:rsidR="009427B3">
              <w:rPr>
                <w:sz w:val="18"/>
                <w:szCs w:val="18"/>
                <w:lang w:eastAsia="en-US"/>
              </w:rPr>
              <w:t>4.85</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18362</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sz w:val="18"/>
                <w:szCs w:val="18"/>
                <w:lang w:eastAsia="en-US"/>
              </w:rPr>
              <w:t xml:space="preserve">BOTULINUM TOXIN (Botox), injection of, for the treatment of severe primary hyperhidrosis of the axillae, including all such injections on any one day </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sz w:val="18"/>
                <w:szCs w:val="18"/>
              </w:rPr>
            </w:pPr>
            <w:r w:rsidRPr="00E72AEA">
              <w:rPr>
                <w:rFonts w:eastAsia="Times New Roman"/>
                <w:b/>
                <w:bCs/>
                <w:sz w:val="18"/>
                <w:szCs w:val="18"/>
                <w:lang w:eastAsia="en-US"/>
              </w:rPr>
              <w:t xml:space="preserve">Fee: </w:t>
            </w:r>
            <w:r w:rsidRPr="00E72AEA">
              <w:rPr>
                <w:rFonts w:eastAsia="Times New Roman"/>
                <w:sz w:val="18"/>
                <w:szCs w:val="18"/>
                <w:lang w:eastAsia="en-US"/>
              </w:rPr>
              <w:t>$24</w:t>
            </w:r>
            <w:r w:rsidR="009427B3">
              <w:rPr>
                <w:rFonts w:eastAsia="Times New Roman"/>
                <w:sz w:val="18"/>
                <w:szCs w:val="18"/>
                <w:lang w:eastAsia="en-US"/>
              </w:rPr>
              <w:t>6.7</w:t>
            </w:r>
            <w:r w:rsidRPr="00E72AEA">
              <w:rPr>
                <w:rFonts w:eastAsia="Times New Roman"/>
                <w:sz w:val="18"/>
                <w:szCs w:val="18"/>
                <w:lang w:eastAsia="en-US"/>
              </w:rPr>
              <w:t>0</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18366</w:t>
            </w:r>
          </w:p>
          <w:p w:rsidR="0076401B" w:rsidRPr="00E72AEA" w:rsidRDefault="0076401B">
            <w:pPr>
              <w:tabs>
                <w:tab w:val="left" w:pos="2835"/>
              </w:tabs>
              <w:autoSpaceDE w:val="0"/>
              <w:autoSpaceDN w:val="0"/>
              <w:adjustRightInd w:val="0"/>
              <w:spacing w:before="40" w:after="0" w:line="240" w:lineRule="auto"/>
              <w:jc w:val="left"/>
              <w:rPr>
                <w:rFonts w:eastAsia="Times New Roman"/>
                <w:sz w:val="18"/>
                <w:szCs w:val="18"/>
                <w:lang w:eastAsia="en-US"/>
              </w:rPr>
            </w:pPr>
            <w:r w:rsidRPr="00E72AEA">
              <w:rPr>
                <w:rFonts w:eastAsia="Times New Roman"/>
                <w:sz w:val="18"/>
                <w:szCs w:val="18"/>
                <w:lang w:eastAsia="en-US"/>
              </w:rPr>
              <w:t>BOTULINUM TOXIN (Botox), injection of, for the treatment of strabismus in children and adults, including all such injections on any one day and associated electromyography</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sz w:val="18"/>
                <w:szCs w:val="18"/>
              </w:rPr>
            </w:pPr>
            <w:r w:rsidRPr="00E72AEA">
              <w:rPr>
                <w:rFonts w:eastAsia="Times New Roman"/>
                <w:b/>
                <w:bCs/>
                <w:sz w:val="18"/>
                <w:szCs w:val="18"/>
                <w:lang w:eastAsia="en-US"/>
              </w:rPr>
              <w:t xml:space="preserve">Fee: </w:t>
            </w:r>
            <w:r w:rsidRPr="00E72AEA">
              <w:rPr>
                <w:rFonts w:eastAsia="Times New Roman"/>
                <w:sz w:val="18"/>
                <w:szCs w:val="18"/>
                <w:lang w:eastAsia="en-US"/>
              </w:rPr>
              <w:t>$15</w:t>
            </w:r>
            <w:r w:rsidR="009427B3">
              <w:rPr>
                <w:rFonts w:eastAsia="Times New Roman"/>
                <w:sz w:val="18"/>
                <w:szCs w:val="18"/>
                <w:lang w:eastAsia="en-US"/>
              </w:rPr>
              <w:t>6.4</w:t>
            </w:r>
            <w:r w:rsidRPr="00E72AEA">
              <w:rPr>
                <w:rFonts w:eastAsia="Times New Roman"/>
                <w:sz w:val="18"/>
                <w:szCs w:val="18"/>
                <w:lang w:eastAsia="en-US"/>
              </w:rPr>
              <w:t>0</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18368</w:t>
            </w:r>
          </w:p>
          <w:p w:rsidR="0076401B" w:rsidRPr="00E72AEA" w:rsidRDefault="0076401B">
            <w:pPr>
              <w:tabs>
                <w:tab w:val="left" w:pos="0"/>
                <w:tab w:val="left" w:pos="540"/>
                <w:tab w:val="left" w:pos="2835"/>
              </w:tabs>
              <w:spacing w:before="40" w:after="0" w:line="240" w:lineRule="auto"/>
              <w:ind w:right="58"/>
              <w:jc w:val="left"/>
              <w:rPr>
                <w:rFonts w:eastAsia="Times New Roman"/>
                <w:sz w:val="18"/>
                <w:szCs w:val="18"/>
                <w:lang w:eastAsia="en-US"/>
              </w:rPr>
            </w:pPr>
            <w:r w:rsidRPr="00E72AEA">
              <w:rPr>
                <w:rFonts w:eastAsia="Times New Roman"/>
                <w:sz w:val="18"/>
                <w:szCs w:val="18"/>
                <w:lang w:eastAsia="en-US"/>
              </w:rPr>
              <w:t>BOTULINUM TOXIN (Botox), injection of, for the treatment of spasmodic dysphonia, including all such injections on any one day</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sz w:val="18"/>
                <w:szCs w:val="18"/>
              </w:rPr>
            </w:pPr>
            <w:r w:rsidRPr="00E72AEA">
              <w:rPr>
                <w:rFonts w:eastAsia="Times New Roman"/>
                <w:b/>
                <w:bCs/>
                <w:sz w:val="18"/>
                <w:szCs w:val="18"/>
                <w:lang w:eastAsia="en-US"/>
              </w:rPr>
              <w:t xml:space="preserve">Fee: </w:t>
            </w:r>
            <w:r w:rsidRPr="00E72AEA">
              <w:rPr>
                <w:rFonts w:eastAsia="Times New Roman"/>
                <w:sz w:val="18"/>
                <w:szCs w:val="18"/>
                <w:lang w:eastAsia="en-US"/>
              </w:rPr>
              <w:t>$26</w:t>
            </w:r>
            <w:r w:rsidR="009427B3">
              <w:rPr>
                <w:rFonts w:eastAsia="Times New Roman"/>
                <w:sz w:val="18"/>
                <w:szCs w:val="18"/>
                <w:lang w:eastAsia="en-US"/>
              </w:rPr>
              <w:t>7</w:t>
            </w:r>
            <w:r w:rsidRPr="00E72AEA">
              <w:rPr>
                <w:rFonts w:eastAsia="Times New Roman"/>
                <w:sz w:val="18"/>
                <w:szCs w:val="18"/>
                <w:lang w:eastAsia="en-US"/>
              </w:rPr>
              <w:t>.05</w:t>
            </w:r>
          </w:p>
        </w:tc>
      </w:tr>
      <w:tr w:rsidR="0076401B" w:rsidRPr="00E72AEA">
        <w:tc>
          <w:tcPr>
            <w:tcW w:w="9242" w:type="dxa"/>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18370</w:t>
            </w:r>
          </w:p>
          <w:p w:rsidR="0076401B" w:rsidRPr="00E72AEA" w:rsidRDefault="0076401B">
            <w:pPr>
              <w:tabs>
                <w:tab w:val="left" w:pos="0"/>
                <w:tab w:val="left" w:pos="540"/>
                <w:tab w:val="left" w:pos="2835"/>
              </w:tabs>
              <w:spacing w:before="40" w:after="0" w:line="240" w:lineRule="auto"/>
              <w:ind w:right="58"/>
              <w:jc w:val="left"/>
              <w:rPr>
                <w:rFonts w:eastAsia="Times New Roman"/>
                <w:i/>
                <w:iCs/>
                <w:sz w:val="18"/>
                <w:szCs w:val="18"/>
                <w:lang w:eastAsia="en-US"/>
              </w:rPr>
            </w:pPr>
            <w:r w:rsidRPr="00E72AEA">
              <w:rPr>
                <w:rFonts w:eastAsia="Times New Roman"/>
                <w:sz w:val="18"/>
                <w:szCs w:val="18"/>
                <w:lang w:eastAsia="en-US"/>
              </w:rPr>
              <w:t>BOTULINUM TOXIN (Botox), injection of, for the treatment of blepharospasm in a patient 12 years of age or older, including all such injections on any one day.</w:t>
            </w:r>
            <w:r w:rsidRPr="00E72AEA">
              <w:rPr>
                <w:rFonts w:eastAsia="Times New Roman"/>
                <w:i/>
                <w:iCs/>
                <w:sz w:val="18"/>
                <w:szCs w:val="18"/>
                <w:lang w:eastAsia="en-US"/>
              </w:rPr>
              <w:t xml:space="preserve"> </w:t>
            </w:r>
          </w:p>
          <w:p w:rsidR="0076401B" w:rsidRPr="00E72AEA" w:rsidRDefault="0076401B">
            <w:pPr>
              <w:tabs>
                <w:tab w:val="left" w:pos="0"/>
                <w:tab w:val="left" w:pos="540"/>
                <w:tab w:val="left" w:pos="2835"/>
              </w:tabs>
              <w:spacing w:before="40" w:after="0" w:line="240" w:lineRule="auto"/>
              <w:ind w:right="58"/>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sz w:val="18"/>
                <w:szCs w:val="18"/>
              </w:rPr>
            </w:pPr>
            <w:r w:rsidRPr="00E72AEA">
              <w:rPr>
                <w:rFonts w:eastAsia="Times New Roman"/>
                <w:b/>
                <w:bCs/>
                <w:sz w:val="18"/>
                <w:szCs w:val="18"/>
                <w:lang w:eastAsia="en-US"/>
              </w:rPr>
              <w:t xml:space="preserve">Fee: </w:t>
            </w:r>
            <w:r w:rsidRPr="00E72AEA">
              <w:rPr>
                <w:rFonts w:eastAsia="Times New Roman"/>
                <w:sz w:val="18"/>
                <w:szCs w:val="18"/>
                <w:lang w:eastAsia="en-US"/>
              </w:rPr>
              <w:t>$4</w:t>
            </w:r>
            <w:r w:rsidR="009427B3">
              <w:rPr>
                <w:rFonts w:eastAsia="Times New Roman"/>
                <w:sz w:val="18"/>
                <w:szCs w:val="18"/>
                <w:lang w:eastAsia="en-US"/>
              </w:rPr>
              <w:t>5</w:t>
            </w:r>
            <w:r w:rsidRPr="00E72AEA">
              <w:rPr>
                <w:rFonts w:eastAsia="Times New Roman"/>
                <w:sz w:val="18"/>
                <w:szCs w:val="18"/>
                <w:lang w:eastAsia="en-US"/>
              </w:rPr>
              <w:t>.</w:t>
            </w:r>
            <w:r w:rsidR="009427B3">
              <w:rPr>
                <w:rFonts w:eastAsia="Times New Roman"/>
                <w:sz w:val="18"/>
                <w:szCs w:val="18"/>
                <w:lang w:eastAsia="en-US"/>
              </w:rPr>
              <w:t>05</w:t>
            </w:r>
          </w:p>
        </w:tc>
      </w:tr>
      <w:tr w:rsidR="0076401B" w:rsidRPr="00E72AEA">
        <w:tc>
          <w:tcPr>
            <w:tcW w:w="9242" w:type="dxa"/>
            <w:tcBorders>
              <w:bottom w:val="single" w:sz="4" w:space="0" w:color="auto"/>
            </w:tcBorders>
          </w:tcPr>
          <w:p w:rsidR="0076401B" w:rsidRPr="00E72AEA" w:rsidRDefault="0076401B">
            <w:pPr>
              <w:tabs>
                <w:tab w:val="left" w:pos="0"/>
                <w:tab w:val="left" w:pos="540"/>
                <w:tab w:val="left" w:pos="2835"/>
              </w:tabs>
              <w:spacing w:before="40" w:after="0" w:line="240" w:lineRule="auto"/>
              <w:ind w:right="58"/>
              <w:jc w:val="left"/>
              <w:rPr>
                <w:sz w:val="18"/>
                <w:szCs w:val="18"/>
              </w:rPr>
            </w:pPr>
          </w:p>
          <w:p w:rsidR="0076401B" w:rsidRPr="00E72AEA" w:rsidRDefault="0076401B">
            <w:pPr>
              <w:tabs>
                <w:tab w:val="left" w:pos="0"/>
                <w:tab w:val="left" w:pos="540"/>
                <w:tab w:val="left" w:pos="2835"/>
              </w:tabs>
              <w:spacing w:before="40" w:after="0" w:line="240" w:lineRule="auto"/>
              <w:ind w:right="58"/>
              <w:jc w:val="left"/>
              <w:rPr>
                <w:b/>
                <w:bCs/>
                <w:sz w:val="18"/>
                <w:szCs w:val="18"/>
              </w:rPr>
            </w:pPr>
            <w:r w:rsidRPr="00E72AEA">
              <w:rPr>
                <w:b/>
                <w:bCs/>
                <w:sz w:val="18"/>
                <w:szCs w:val="18"/>
              </w:rPr>
              <w:t>MBS 18372</w:t>
            </w:r>
          </w:p>
          <w:p w:rsidR="0076401B" w:rsidRPr="00E72AEA" w:rsidRDefault="0076401B">
            <w:pPr>
              <w:tabs>
                <w:tab w:val="left" w:pos="0"/>
                <w:tab w:val="left" w:pos="540"/>
                <w:tab w:val="left" w:pos="2835"/>
              </w:tabs>
              <w:spacing w:before="40" w:after="0" w:line="240" w:lineRule="auto"/>
              <w:ind w:right="58"/>
              <w:jc w:val="left"/>
              <w:rPr>
                <w:rFonts w:eastAsia="Times New Roman"/>
                <w:sz w:val="18"/>
                <w:szCs w:val="18"/>
                <w:lang w:eastAsia="en-US"/>
              </w:rPr>
            </w:pPr>
            <w:r w:rsidRPr="00E72AEA">
              <w:rPr>
                <w:rFonts w:eastAsia="Times New Roman"/>
                <w:sz w:val="18"/>
                <w:szCs w:val="18"/>
                <w:lang w:eastAsia="en-US"/>
              </w:rPr>
              <w:t>BOTULINUM TOXIN (Botox), injection of, for the treatment of bilateral blepharospasm in a patient 12 years of age or older, including all such injections on any one day</w:t>
            </w:r>
          </w:p>
          <w:p w:rsidR="0076401B" w:rsidRPr="00E72AEA" w:rsidRDefault="0076401B">
            <w:pPr>
              <w:tabs>
                <w:tab w:val="left" w:pos="2835"/>
              </w:tabs>
              <w:autoSpaceDE w:val="0"/>
              <w:autoSpaceDN w:val="0"/>
              <w:adjustRightInd w:val="0"/>
              <w:spacing w:before="40" w:after="0" w:line="240" w:lineRule="auto"/>
              <w:jc w:val="left"/>
              <w:rPr>
                <w:rFonts w:eastAsia="Times New Roman"/>
                <w:i/>
                <w:iCs/>
                <w:sz w:val="18"/>
                <w:szCs w:val="18"/>
                <w:lang w:eastAsia="en-US"/>
              </w:rPr>
            </w:pPr>
            <w:r w:rsidRPr="00E72AEA">
              <w:rPr>
                <w:rFonts w:eastAsia="Times New Roman"/>
                <w:i/>
                <w:iCs/>
                <w:sz w:val="18"/>
                <w:szCs w:val="18"/>
                <w:lang w:eastAsia="en-US"/>
              </w:rPr>
              <w:t>(See para T11.1 of explanatory notes to this Category)</w:t>
            </w:r>
          </w:p>
          <w:p w:rsidR="0076401B" w:rsidRPr="00E72AEA" w:rsidRDefault="0076401B" w:rsidP="009427B3">
            <w:pPr>
              <w:tabs>
                <w:tab w:val="left" w:pos="2835"/>
              </w:tabs>
              <w:autoSpaceDE w:val="0"/>
              <w:autoSpaceDN w:val="0"/>
              <w:adjustRightInd w:val="0"/>
              <w:spacing w:before="40" w:after="0" w:line="240" w:lineRule="auto"/>
              <w:jc w:val="left"/>
              <w:rPr>
                <w:sz w:val="18"/>
                <w:szCs w:val="18"/>
              </w:rPr>
            </w:pPr>
            <w:r w:rsidRPr="00E72AEA">
              <w:rPr>
                <w:rFonts w:eastAsia="Times New Roman"/>
                <w:b/>
                <w:bCs/>
                <w:sz w:val="18"/>
                <w:szCs w:val="18"/>
                <w:lang w:eastAsia="en-US"/>
              </w:rPr>
              <w:t xml:space="preserve">Fee: </w:t>
            </w:r>
            <w:r w:rsidRPr="00E72AEA">
              <w:rPr>
                <w:rFonts w:eastAsia="Times New Roman"/>
                <w:sz w:val="18"/>
                <w:szCs w:val="18"/>
                <w:lang w:eastAsia="en-US"/>
              </w:rPr>
              <w:t>$12</w:t>
            </w:r>
            <w:r w:rsidR="009427B3">
              <w:rPr>
                <w:rFonts w:eastAsia="Times New Roman"/>
                <w:sz w:val="18"/>
                <w:szCs w:val="18"/>
                <w:lang w:eastAsia="en-US"/>
              </w:rPr>
              <w:t>4.85</w:t>
            </w:r>
          </w:p>
        </w:tc>
      </w:tr>
    </w:tbl>
    <w:p w:rsidR="0076401B" w:rsidRPr="00E72AEA" w:rsidRDefault="0076401B">
      <w:pPr>
        <w:tabs>
          <w:tab w:val="left" w:pos="0"/>
          <w:tab w:val="left" w:pos="540"/>
        </w:tabs>
        <w:spacing w:after="0" w:line="240" w:lineRule="auto"/>
        <w:ind w:right="58"/>
        <w:rPr>
          <w:sz w:val="18"/>
          <w:szCs w:val="18"/>
        </w:rPr>
      </w:pPr>
    </w:p>
    <w:p w:rsidR="0076401B" w:rsidRPr="00E72AEA" w:rsidRDefault="0076401B">
      <w:pPr>
        <w:autoSpaceDE w:val="0"/>
        <w:autoSpaceDN w:val="0"/>
        <w:adjustRightInd w:val="0"/>
        <w:spacing w:after="0" w:line="240" w:lineRule="auto"/>
        <w:jc w:val="left"/>
        <w:rPr>
          <w:rFonts w:eastAsia="Times New Roman"/>
          <w:b/>
          <w:bCs/>
          <w:sz w:val="18"/>
          <w:szCs w:val="18"/>
          <w:lang w:eastAsia="en-US"/>
        </w:rPr>
      </w:pPr>
      <w:r w:rsidRPr="00E72AEA">
        <w:rPr>
          <w:rFonts w:eastAsia="Times New Roman"/>
          <w:b/>
          <w:bCs/>
          <w:sz w:val="18"/>
          <w:szCs w:val="18"/>
          <w:lang w:eastAsia="en-US"/>
        </w:rPr>
        <w:t>T.11.1. BOTULINUM TOXIN - (ITEMS 18350 TO 18373)</w:t>
      </w:r>
    </w:p>
    <w:p w:rsidR="0076401B" w:rsidRPr="00E72AEA" w:rsidRDefault="0076401B">
      <w:pPr>
        <w:autoSpaceDE w:val="0"/>
        <w:autoSpaceDN w:val="0"/>
        <w:adjustRightInd w:val="0"/>
        <w:spacing w:after="0" w:line="240" w:lineRule="auto"/>
        <w:jc w:val="left"/>
        <w:rPr>
          <w:rFonts w:eastAsia="Times New Roman"/>
          <w:sz w:val="18"/>
          <w:szCs w:val="18"/>
          <w:lang w:eastAsia="en-US"/>
        </w:rPr>
      </w:pPr>
    </w:p>
    <w:p w:rsidR="0076401B" w:rsidRPr="00E72AEA" w:rsidRDefault="0076401B">
      <w:pPr>
        <w:autoSpaceDE w:val="0"/>
        <w:autoSpaceDN w:val="0"/>
        <w:adjustRightInd w:val="0"/>
        <w:rPr>
          <w:rFonts w:eastAsia="Times New Roman"/>
          <w:sz w:val="18"/>
          <w:szCs w:val="18"/>
          <w:lang w:eastAsia="en-US"/>
        </w:rPr>
      </w:pPr>
      <w:r w:rsidRPr="00E72AEA">
        <w:rPr>
          <w:rFonts w:eastAsia="Times New Roman"/>
          <w:sz w:val="18"/>
          <w:szCs w:val="18"/>
          <w:lang w:eastAsia="en-US"/>
        </w:rPr>
        <w:t>The Therapeutic Goods Administration (TGA) assesses each indication for the therapeutic use of botulinum toxin on an individual basis. There are currently two botulinum toxin agents with TGA registration (Botox and Dysport). Each has undergone a separate evaluation of its safety and efficacy by the TGA as they are neither bioequivalent, nor dose equivalent. When claiming under an item for the injection of botulinum toxin, only the botulinum toxin agent specified in the item can be used. Benefits are not payable where an agent other than that specified in the item is used.</w:t>
      </w:r>
    </w:p>
    <w:p w:rsidR="0076401B" w:rsidRPr="00E72AEA" w:rsidRDefault="0076401B">
      <w:pPr>
        <w:autoSpaceDE w:val="0"/>
        <w:autoSpaceDN w:val="0"/>
        <w:adjustRightInd w:val="0"/>
        <w:rPr>
          <w:rFonts w:eastAsia="Times New Roman"/>
          <w:sz w:val="18"/>
          <w:szCs w:val="18"/>
          <w:lang w:eastAsia="en-US"/>
        </w:rPr>
      </w:pPr>
      <w:r w:rsidRPr="00E72AEA">
        <w:rPr>
          <w:rFonts w:eastAsia="Times New Roman"/>
          <w:sz w:val="18"/>
          <w:szCs w:val="18"/>
          <w:lang w:eastAsia="en-US"/>
        </w:rPr>
        <w:t>The TGA assesses each indication for the therapeutic use of botulinum toxin by assessment of clinical evidence for its use in paediatric or adult patients. Where an indication has been assessed for adult use, data has generally been assessed using patients over 12 years of age. Paediatric indications have been assessed using data from patients under 18 years of age. Botulinum toxin should only be administered to patients under the age of 18 where an item is for a paediatric indication, and patients over 12 years of age where the item is for an adult indication, unless otherwise specified.</w:t>
      </w:r>
    </w:p>
    <w:p w:rsidR="0076401B" w:rsidRPr="00E72AEA" w:rsidRDefault="0076401B">
      <w:pPr>
        <w:autoSpaceDE w:val="0"/>
        <w:autoSpaceDN w:val="0"/>
        <w:adjustRightInd w:val="0"/>
        <w:rPr>
          <w:rFonts w:eastAsia="Times New Roman"/>
          <w:sz w:val="18"/>
          <w:szCs w:val="18"/>
          <w:lang w:eastAsia="en-US"/>
        </w:rPr>
      </w:pPr>
      <w:r w:rsidRPr="00E72AEA">
        <w:rPr>
          <w:rFonts w:eastAsia="Times New Roman"/>
          <w:sz w:val="18"/>
          <w:szCs w:val="18"/>
          <w:lang w:eastAsia="en-US"/>
        </w:rPr>
        <w:lastRenderedPageBreak/>
        <w:t xml:space="preserve">Items for the administration of botulinum toxin can only be claimed by a medical practitioner who is registered by Medicare Australia to participate in the arrangements under Section 100 of the </w:t>
      </w:r>
      <w:r w:rsidRPr="00E72AEA">
        <w:rPr>
          <w:rFonts w:eastAsia="Times New Roman"/>
          <w:i/>
          <w:iCs/>
          <w:sz w:val="18"/>
          <w:szCs w:val="18"/>
          <w:lang w:eastAsia="en-US"/>
        </w:rPr>
        <w:t xml:space="preserve">National Health Act 1953 </w:t>
      </w:r>
      <w:r w:rsidRPr="00E72AEA">
        <w:rPr>
          <w:rFonts w:eastAsia="Times New Roman"/>
          <w:sz w:val="18"/>
          <w:szCs w:val="18"/>
          <w:lang w:eastAsia="en-US"/>
        </w:rPr>
        <w:t>relating to the use and supply of Botulinum Toxin.</w:t>
      </w:r>
    </w:p>
    <w:p w:rsidR="0076401B" w:rsidRPr="00E72AEA" w:rsidRDefault="0076401B">
      <w:pPr>
        <w:autoSpaceDE w:val="0"/>
        <w:autoSpaceDN w:val="0"/>
        <w:adjustRightInd w:val="0"/>
        <w:rPr>
          <w:rFonts w:eastAsia="Times New Roman"/>
          <w:sz w:val="18"/>
          <w:szCs w:val="18"/>
          <w:lang w:eastAsia="en-US"/>
        </w:rPr>
      </w:pPr>
      <w:r w:rsidRPr="00E72AEA">
        <w:rPr>
          <w:rFonts w:eastAsia="Times New Roman"/>
          <w:sz w:val="18"/>
          <w:szCs w:val="18"/>
          <w:lang w:eastAsia="en-US"/>
        </w:rPr>
        <w:t xml:space="preserve">Items 18354, 18356 and 18358 for the treatment of equinus, equinovarus or equinovalgus are limited to a maximum of 4 injections per patient on any one day (2 per limb). Accounts should be annotated with the limb which has been treated. </w:t>
      </w:r>
    </w:p>
    <w:p w:rsidR="0076401B" w:rsidRPr="00E72AEA" w:rsidRDefault="0076401B">
      <w:pPr>
        <w:autoSpaceDE w:val="0"/>
        <w:autoSpaceDN w:val="0"/>
        <w:adjustRightInd w:val="0"/>
        <w:rPr>
          <w:rFonts w:eastAsia="Times New Roman"/>
          <w:sz w:val="18"/>
          <w:szCs w:val="18"/>
          <w:lang w:eastAsia="en-US"/>
        </w:rPr>
      </w:pPr>
      <w:r w:rsidRPr="00E72AEA">
        <w:rPr>
          <w:rFonts w:eastAsia="Times New Roman"/>
          <w:sz w:val="18"/>
          <w:szCs w:val="18"/>
          <w:lang w:eastAsia="en-US"/>
        </w:rPr>
        <w:t>Item 18292 may not be claimed for the injection of botulinum toxin, but may be claimed where a neurolytic agent (such as phenol) is used, in addition to botulinum toxin injection(s), to treat the obturator nerve in patients with a dynamic foot deformity.</w:t>
      </w:r>
    </w:p>
    <w:p w:rsidR="0076401B" w:rsidRPr="00E72AEA" w:rsidRDefault="0076401B">
      <w:pPr>
        <w:autoSpaceDE w:val="0"/>
        <w:autoSpaceDN w:val="0"/>
        <w:adjustRightInd w:val="0"/>
        <w:rPr>
          <w:rFonts w:eastAsia="Times New Roman"/>
          <w:sz w:val="18"/>
          <w:szCs w:val="18"/>
          <w:lang w:eastAsia="en-US"/>
        </w:rPr>
      </w:pPr>
      <w:r w:rsidRPr="00E72AEA">
        <w:rPr>
          <w:rFonts w:eastAsia="Times New Roman"/>
          <w:sz w:val="18"/>
          <w:szCs w:val="18"/>
          <w:lang w:eastAsia="en-US"/>
        </w:rPr>
        <w:t xml:space="preserve">Items 18354 to 18358 have been extended to patients 18 years of age and older who have commenced on the PBS subsidised treatment as a paediatric patient. This is in line with the extension of the PBS listing for the supply of the drug for this indication under Section 100(1)(b) of the </w:t>
      </w:r>
      <w:r w:rsidRPr="00E72AEA">
        <w:rPr>
          <w:rFonts w:eastAsia="Times New Roman"/>
          <w:i/>
          <w:iCs/>
          <w:sz w:val="18"/>
          <w:szCs w:val="18"/>
          <w:lang w:eastAsia="en-US"/>
        </w:rPr>
        <w:t>National Health Act 1953</w:t>
      </w:r>
      <w:r w:rsidRPr="00E72AEA">
        <w:rPr>
          <w:rFonts w:eastAsia="Times New Roman"/>
          <w:sz w:val="18"/>
          <w:szCs w:val="18"/>
          <w:lang w:eastAsia="en-US"/>
        </w:rPr>
        <w:t>.</w:t>
      </w:r>
    </w:p>
    <w:p w:rsidR="0076401B" w:rsidRPr="00E72AEA" w:rsidRDefault="0076401B">
      <w:pPr>
        <w:autoSpaceDE w:val="0"/>
        <w:autoSpaceDN w:val="0"/>
        <w:adjustRightInd w:val="0"/>
        <w:rPr>
          <w:rFonts w:eastAsia="Times New Roman"/>
          <w:sz w:val="18"/>
          <w:szCs w:val="18"/>
          <w:lang w:eastAsia="en-US"/>
        </w:rPr>
      </w:pPr>
      <w:r w:rsidRPr="00E72AEA">
        <w:rPr>
          <w:rFonts w:eastAsia="Times New Roman"/>
          <w:sz w:val="18"/>
          <w:szCs w:val="18"/>
          <w:lang w:eastAsia="en-US"/>
        </w:rPr>
        <w:t xml:space="preserve">Botulinum Toxin, which is not supplied and administered in accordance with the arrangements under Section 100 of the </w:t>
      </w:r>
      <w:r w:rsidRPr="00E72AEA">
        <w:rPr>
          <w:rFonts w:eastAsia="Times New Roman"/>
          <w:i/>
          <w:iCs/>
          <w:sz w:val="18"/>
          <w:szCs w:val="18"/>
          <w:lang w:eastAsia="en-US"/>
        </w:rPr>
        <w:t>National Health Act 1953</w:t>
      </w:r>
      <w:r w:rsidRPr="00E72AEA">
        <w:rPr>
          <w:rFonts w:eastAsia="Times New Roman"/>
          <w:sz w:val="18"/>
          <w:szCs w:val="18"/>
          <w:lang w:eastAsia="en-US"/>
        </w:rPr>
        <w:t>, is not free of charge to patients. Where a charge is made for the Botulinum Toxin administered, it must be separately listed on the account and not billed to Medicare.</w:t>
      </w:r>
    </w:p>
    <w:p w:rsidR="0076401B" w:rsidRPr="00E72AEA" w:rsidRDefault="0076401B">
      <w:pPr>
        <w:spacing w:after="0" w:line="240" w:lineRule="auto"/>
        <w:rPr>
          <w:sz w:val="18"/>
          <w:szCs w:val="18"/>
        </w:rPr>
      </w:pPr>
    </w:p>
    <w:p w:rsidR="0076401B" w:rsidRPr="009158A4" w:rsidRDefault="0076401B" w:rsidP="0056287B">
      <w:pPr>
        <w:pStyle w:val="Heading1"/>
        <w:spacing w:after="0"/>
        <w:rPr>
          <w:sz w:val="30"/>
        </w:rPr>
      </w:pPr>
      <w:r w:rsidRPr="00E72AEA">
        <w:br w:type="page"/>
      </w:r>
      <w:bookmarkStart w:id="26" w:name="_Toc347304412"/>
      <w:r w:rsidRPr="00E72AEA">
        <w:lastRenderedPageBreak/>
        <w:t>Bibliography</w:t>
      </w:r>
      <w:bookmarkEnd w:id="26"/>
    </w:p>
    <w:p w:rsidR="0076401B" w:rsidRPr="00E72AEA" w:rsidRDefault="0076401B">
      <w:pPr>
        <w:rPr>
          <w:sz w:val="2"/>
          <w:szCs w:val="2"/>
        </w:rPr>
      </w:pPr>
    </w:p>
    <w:p w:rsidR="0076401B" w:rsidRPr="00E72AEA" w:rsidRDefault="0076401B" w:rsidP="0056287B">
      <w:pPr>
        <w:autoSpaceDE w:val="0"/>
        <w:autoSpaceDN w:val="0"/>
        <w:adjustRightInd w:val="0"/>
        <w:jc w:val="left"/>
        <w:rPr>
          <w:rFonts w:eastAsia="Times New Roman"/>
          <w:lang w:eastAsia="en-US"/>
        </w:rPr>
      </w:pPr>
      <w:r w:rsidRPr="00E72AEA">
        <w:rPr>
          <w:rFonts w:eastAsia="Times New Roman"/>
          <w:lang w:eastAsia="en-US"/>
        </w:rPr>
        <w:t xml:space="preserve">Australian Institute of Health and Welfare (AIHW) (2006). </w:t>
      </w:r>
      <w:r w:rsidRPr="00021D1D">
        <w:rPr>
          <w:rFonts w:eastAsia="Times New Roman"/>
          <w:i/>
          <w:lang w:eastAsia="en-US"/>
        </w:rPr>
        <w:t>Australian incontinence data analysis and development</w:t>
      </w:r>
      <w:r w:rsidRPr="00E72AEA">
        <w:rPr>
          <w:rFonts w:eastAsia="Times New Roman"/>
          <w:lang w:eastAsia="en-US"/>
        </w:rPr>
        <w:t>. AIHW cat. no. DIS 44; ISBN 1-74024-546-6 Canberra, Australia.</w:t>
      </w:r>
    </w:p>
    <w:p w:rsidR="005103E9" w:rsidRPr="00E72AEA" w:rsidRDefault="005103E9">
      <w:pPr>
        <w:autoSpaceDE w:val="0"/>
        <w:autoSpaceDN w:val="0"/>
        <w:adjustRightInd w:val="0"/>
        <w:jc w:val="left"/>
      </w:pPr>
      <w:r w:rsidRPr="00E72AEA">
        <w:t xml:space="preserve">Bauer, R. And Gratzke, C. (2012). Onabotulinumtoxin A for Idiopathic Overactive Bladder: Raising the Bar. </w:t>
      </w:r>
      <w:r w:rsidRPr="00021D1D">
        <w:rPr>
          <w:i/>
        </w:rPr>
        <w:t>European Urology</w:t>
      </w:r>
      <w:r w:rsidRPr="00E72AEA">
        <w:t xml:space="preserve"> 62, 158-9.</w:t>
      </w:r>
    </w:p>
    <w:p w:rsidR="005103E9" w:rsidRPr="00E72AEA" w:rsidRDefault="005103E9">
      <w:pPr>
        <w:autoSpaceDE w:val="0"/>
        <w:autoSpaceDN w:val="0"/>
        <w:adjustRightInd w:val="0"/>
        <w:jc w:val="left"/>
        <w:rPr>
          <w:rFonts w:eastAsia="Times New Roman"/>
          <w:lang w:eastAsia="en-US"/>
        </w:rPr>
      </w:pPr>
      <w:r w:rsidRPr="00E72AEA">
        <w:t xml:space="preserve">Brubaker, L. Et al. (2008). Refractory idiopathic urge urinary incontinence and botulinum A injection. </w:t>
      </w:r>
      <w:r w:rsidRPr="00021D1D">
        <w:rPr>
          <w:i/>
        </w:rPr>
        <w:t xml:space="preserve">J Urol </w:t>
      </w:r>
      <w:r w:rsidRPr="00E72AEA">
        <w:t>180, 217.</w:t>
      </w:r>
    </w:p>
    <w:p w:rsidR="0076401B" w:rsidRPr="00E72AEA" w:rsidRDefault="0076401B">
      <w:pPr>
        <w:rPr>
          <w:rFonts w:eastAsia="Times New Roman"/>
          <w:lang w:eastAsia="en-AU"/>
        </w:rPr>
      </w:pPr>
      <w:r w:rsidRPr="00E72AEA">
        <w:t xml:space="preserve">Cochrane Collaboration, Nabi, G., Cody, JD., Dublin, N. et al. (2009). </w:t>
      </w:r>
      <w:r w:rsidRPr="00E72AEA">
        <w:rPr>
          <w:rFonts w:eastAsia="Times New Roman"/>
          <w:lang w:eastAsia="en-US"/>
        </w:rPr>
        <w:t xml:space="preserve">Urinary diversion and bladder reconstruction/replacement using intestinal segments for intractable incontinence or following cystectomy (Review). </w:t>
      </w:r>
      <w:r w:rsidRPr="00021D1D">
        <w:rPr>
          <w:rFonts w:eastAsia="Times New Roman"/>
          <w:i/>
          <w:lang w:eastAsia="en-AU"/>
        </w:rPr>
        <w:t>Cochrane Database of Systematic Reviews</w:t>
      </w:r>
      <w:r w:rsidRPr="00E72AEA">
        <w:rPr>
          <w:rFonts w:eastAsia="Times New Roman"/>
          <w:lang w:eastAsia="en-AU"/>
        </w:rPr>
        <w:t xml:space="preserve"> 2003, Issue 1. Art. No.: CD003306. DOI: 10.1002/14651858.CD003306</w:t>
      </w:r>
    </w:p>
    <w:p w:rsidR="005103E9" w:rsidRPr="00E72AEA" w:rsidRDefault="005103E9" w:rsidP="005103E9">
      <w:r w:rsidRPr="00E72AEA">
        <w:t xml:space="preserve">Flynn, M. et al (2009). Outcome of a randomised, double-blind, placebo controlled trial of botulinum A toxin for refractory overactive bladder. </w:t>
      </w:r>
      <w:r w:rsidRPr="00021D1D">
        <w:rPr>
          <w:i/>
        </w:rPr>
        <w:t>J. Urol</w:t>
      </w:r>
      <w:r w:rsidRPr="00E72AEA">
        <w:t xml:space="preserve">, 181, 2608. </w:t>
      </w:r>
    </w:p>
    <w:p w:rsidR="005103E9" w:rsidRPr="00E72AEA" w:rsidRDefault="005103E9">
      <w:r w:rsidRPr="00E72AEA">
        <w:t xml:space="preserve">Folwer, C. et al (2012). OnabotulinumtoxinA Improves Health-Related Quality of Life in Patients with Urinary Incontinence Due to Idiopathic Overactive Bladder: A 36-week, Double-Blind, Placebo-Controlled, Randomised, Dose-Ranging Trial. </w:t>
      </w:r>
      <w:r w:rsidRPr="00021D1D">
        <w:rPr>
          <w:i/>
        </w:rPr>
        <w:t>European Urology</w:t>
      </w:r>
      <w:r w:rsidRPr="00E72AEA">
        <w:t xml:space="preserve"> 62, 148-157. </w:t>
      </w:r>
    </w:p>
    <w:p w:rsidR="0024169E" w:rsidRPr="00E72AEA" w:rsidRDefault="0024169E">
      <w:pPr>
        <w:rPr>
          <w:rFonts w:eastAsia="Times New Roman"/>
          <w:lang w:eastAsia="en-AU"/>
        </w:rPr>
      </w:pPr>
      <w:r w:rsidRPr="00E72AEA">
        <w:rPr>
          <w:rFonts w:eastAsia="Times New Roman"/>
          <w:lang w:eastAsia="en-AU"/>
        </w:rPr>
        <w:t>Hawthorne G (2006). Measuring Incontinence in Australia. Report for the Australian Government. Available at: </w:t>
      </w:r>
      <w:hyperlink r:id="rId12" w:tooltip="This link opens to a document Measuring Incontinence 2006" w:history="1">
        <w:r w:rsidR="00F76AFF" w:rsidRPr="00993A1E">
          <w:rPr>
            <w:rStyle w:val="Hyperlink"/>
            <w:rFonts w:eastAsia="Times New Roman"/>
            <w:lang w:eastAsia="en-AU"/>
          </w:rPr>
          <w:t>http://www.health.gov.au/internet/main/publishing.nsf/Content/7F354DBFD2C9C565CA257210007F8DA6/$File/Meas%20Incont%20Aust%202006.pdf</w:t>
        </w:r>
      </w:hyperlink>
      <w:r w:rsidR="00F76AFF">
        <w:rPr>
          <w:rFonts w:eastAsia="Times New Roman"/>
          <w:lang w:eastAsia="en-AU"/>
        </w:rPr>
        <w:t xml:space="preserve"> </w:t>
      </w:r>
    </w:p>
    <w:p w:rsidR="0076401B" w:rsidRPr="00E72AEA" w:rsidRDefault="0076401B">
      <w:pPr>
        <w:rPr>
          <w:rFonts w:eastAsia="Times New Roman"/>
          <w:lang w:eastAsia="en-US"/>
        </w:rPr>
      </w:pPr>
      <w:r w:rsidRPr="00E72AEA">
        <w:t xml:space="preserve">Kuteesa, William and Moore, Kate H. (2006). </w:t>
      </w:r>
      <w:r w:rsidRPr="00E72AEA">
        <w:rPr>
          <w:rFonts w:eastAsia="Times New Roman"/>
          <w:lang w:eastAsia="en-US"/>
        </w:rPr>
        <w:t xml:space="preserve">Anticholinergic drugs for overactive bladder. </w:t>
      </w:r>
      <w:r w:rsidRPr="00E72AEA">
        <w:rPr>
          <w:rFonts w:eastAsia="Times New Roman"/>
          <w:i/>
          <w:iCs/>
          <w:lang w:eastAsia="en-US"/>
        </w:rPr>
        <w:t>Aust Prescr 29,</w:t>
      </w:r>
      <w:r w:rsidRPr="00E72AEA">
        <w:rPr>
          <w:rFonts w:eastAsia="Times New Roman"/>
          <w:lang w:eastAsia="en-US"/>
        </w:rPr>
        <w:t xml:space="preserve"> 22-24.</w:t>
      </w:r>
    </w:p>
    <w:p w:rsidR="0076401B" w:rsidRDefault="0076401B">
      <w:pPr>
        <w:autoSpaceDE w:val="0"/>
        <w:autoSpaceDN w:val="0"/>
        <w:adjustRightInd w:val="0"/>
        <w:jc w:val="left"/>
        <w:rPr>
          <w:rFonts w:eastAsia="Times New Roman"/>
          <w:lang w:eastAsia="en-US"/>
        </w:rPr>
      </w:pPr>
      <w:r w:rsidRPr="00E72AEA">
        <w:t xml:space="preserve">Medical Services Advisory Committee  (MSAC) (2008). </w:t>
      </w:r>
      <w:r w:rsidRPr="00021D1D">
        <w:rPr>
          <w:i/>
        </w:rPr>
        <w:t xml:space="preserve">Sacral nerve stimulation for urinary indications. MSAC </w:t>
      </w:r>
      <w:r w:rsidR="00021D1D">
        <w:rPr>
          <w:i/>
        </w:rPr>
        <w:t>A</w:t>
      </w:r>
      <w:r w:rsidRPr="00021D1D">
        <w:rPr>
          <w:i/>
        </w:rPr>
        <w:t>pplication 1115</w:t>
      </w:r>
      <w:r w:rsidRPr="00E72AEA">
        <w:t xml:space="preserve">. Assessment Report. </w:t>
      </w:r>
      <w:r w:rsidRPr="00E72AEA">
        <w:rPr>
          <w:rFonts w:eastAsia="Times New Roman"/>
          <w:lang w:eastAsia="en-US"/>
        </w:rPr>
        <w:t xml:space="preserve">ISBN 1-74186-790-8. Canberra, Australia. </w:t>
      </w:r>
    </w:p>
    <w:p w:rsidR="00641516" w:rsidRPr="00E72AEA" w:rsidRDefault="00641516">
      <w:pPr>
        <w:autoSpaceDE w:val="0"/>
        <w:autoSpaceDN w:val="0"/>
        <w:adjustRightInd w:val="0"/>
        <w:jc w:val="left"/>
        <w:rPr>
          <w:rFonts w:eastAsia="Times New Roman"/>
          <w:lang w:eastAsia="en-US"/>
        </w:rPr>
      </w:pPr>
      <w:r>
        <w:rPr>
          <w:rFonts w:eastAsia="Times New Roman"/>
          <w:lang w:eastAsia="en-US"/>
        </w:rPr>
        <w:t xml:space="preserve">Morris, AR, Westbrook JI, and Moore, KH. (2007). A longitudinal study over 5 to 10 years of clinical outcomes in women with idiopathic detrusor overactivity. </w:t>
      </w:r>
      <w:r w:rsidRPr="00641516">
        <w:rPr>
          <w:rFonts w:eastAsia="Times New Roman"/>
          <w:i/>
          <w:lang w:eastAsia="en-US"/>
        </w:rPr>
        <w:t>BJOG, 115,</w:t>
      </w:r>
      <w:r>
        <w:rPr>
          <w:rFonts w:eastAsia="Times New Roman"/>
          <w:lang w:eastAsia="en-US"/>
        </w:rPr>
        <w:t xml:space="preserve"> 239-246. </w:t>
      </w:r>
    </w:p>
    <w:p w:rsidR="005103E9" w:rsidRPr="00E72AEA" w:rsidRDefault="005103E9">
      <w:pPr>
        <w:autoSpaceDE w:val="0"/>
        <w:autoSpaceDN w:val="0"/>
        <w:adjustRightInd w:val="0"/>
        <w:jc w:val="left"/>
        <w:rPr>
          <w:rFonts w:eastAsia="Times New Roman"/>
          <w:lang w:eastAsia="en-US"/>
        </w:rPr>
      </w:pPr>
      <w:r w:rsidRPr="00E72AEA">
        <w:t xml:space="preserve">Nitti, Victor W. (2006). Botulinum Toxin for the Treatment of Idiopathic and Neurogenic Overactive Bladder: State of the Art. </w:t>
      </w:r>
      <w:r w:rsidRPr="00E72AEA">
        <w:rPr>
          <w:i/>
        </w:rPr>
        <w:t>Reviews in Urology</w:t>
      </w:r>
      <w:r w:rsidRPr="00E72AEA">
        <w:t xml:space="preserve"> 8(4), 198-208</w:t>
      </w:r>
    </w:p>
    <w:p w:rsidR="0076401B" w:rsidRPr="00E72AEA" w:rsidRDefault="0076401B">
      <w:pPr>
        <w:autoSpaceDE w:val="0"/>
        <w:autoSpaceDN w:val="0"/>
        <w:adjustRightInd w:val="0"/>
        <w:jc w:val="left"/>
        <w:rPr>
          <w:rFonts w:eastAsia="Times New Roman"/>
          <w:lang w:eastAsia="en-US"/>
        </w:rPr>
      </w:pPr>
      <w:r w:rsidRPr="00E72AEA">
        <w:rPr>
          <w:rFonts w:eastAsia="Times New Roman"/>
          <w:lang w:eastAsia="en-US"/>
        </w:rPr>
        <w:t xml:space="preserve">Oerlemans, D and van Kerrebroeck, P (2008). Sacral nerve stimulation for neuromodulation of the lower urinary tract. </w:t>
      </w:r>
      <w:r w:rsidRPr="00E72AEA">
        <w:rPr>
          <w:rFonts w:eastAsia="Times New Roman"/>
          <w:i/>
          <w:iCs/>
          <w:lang w:eastAsia="en-US"/>
        </w:rPr>
        <w:t>Neurourology and Urodynamics 27(1),</w:t>
      </w:r>
      <w:r w:rsidRPr="00E72AEA">
        <w:rPr>
          <w:rFonts w:eastAsia="Times New Roman"/>
          <w:lang w:eastAsia="en-US"/>
        </w:rPr>
        <w:t xml:space="preserve"> 28-33.</w:t>
      </w:r>
    </w:p>
    <w:p w:rsidR="00D24786" w:rsidRPr="00E72AEA" w:rsidRDefault="00D24786">
      <w:pPr>
        <w:autoSpaceDE w:val="0"/>
        <w:autoSpaceDN w:val="0"/>
        <w:adjustRightInd w:val="0"/>
        <w:jc w:val="left"/>
        <w:rPr>
          <w:rFonts w:eastAsia="Times New Roman"/>
          <w:lang w:eastAsia="en-US"/>
        </w:rPr>
      </w:pPr>
      <w:r w:rsidRPr="00E72AEA">
        <w:t xml:space="preserve">Sahai, A. et al (2007). Efficacy of botulinum toxin-A for treating idiopathic detrusor overactivity: results from a single center, randomised, double-blind, placebo-controlled trial. </w:t>
      </w:r>
      <w:r w:rsidRPr="00021D1D">
        <w:rPr>
          <w:i/>
        </w:rPr>
        <w:t>J Urol</w:t>
      </w:r>
      <w:r w:rsidRPr="00E72AEA">
        <w:t>, 177, 2231.</w:t>
      </w:r>
    </w:p>
    <w:p w:rsidR="0076401B" w:rsidRPr="00E72AEA" w:rsidRDefault="0076401B">
      <w:r w:rsidRPr="00E72AEA">
        <w:lastRenderedPageBreak/>
        <w:t xml:space="preserve">Smaldone, M.C., Ristau, B.T., Leng, W.W. (2010). Botulinum Toxin Therapy for Neurogenic Detrusor Overactivity. </w:t>
      </w:r>
      <w:r w:rsidRPr="00E72AEA">
        <w:rPr>
          <w:i/>
          <w:iCs/>
        </w:rPr>
        <w:t>Urol Clin N Am 37</w:t>
      </w:r>
      <w:r w:rsidRPr="00E72AEA">
        <w:t>, 567–580</w:t>
      </w:r>
    </w:p>
    <w:p w:rsidR="005103E9" w:rsidRPr="00E72AEA" w:rsidRDefault="005103E9" w:rsidP="005103E9">
      <w:pPr>
        <w:spacing w:after="0" w:line="240" w:lineRule="auto"/>
      </w:pPr>
      <w:r w:rsidRPr="00E72AEA">
        <w:t xml:space="preserve">Werner, M., Schmid, D, Schussler B. (2005). Efficacy of botulinum-A toxin in the treatment of detrusor overactivity incontinence: A prospective nonrandomised study. American </w:t>
      </w:r>
      <w:r w:rsidRPr="00021D1D">
        <w:rPr>
          <w:i/>
        </w:rPr>
        <w:t xml:space="preserve">Journal of Obstetrics and </w:t>
      </w:r>
      <w:r w:rsidR="00DB70CE" w:rsidRPr="00021D1D">
        <w:rPr>
          <w:i/>
        </w:rPr>
        <w:t>Gynaecology</w:t>
      </w:r>
      <w:r w:rsidRPr="00E72AEA">
        <w:t xml:space="preserve">, 192, 1735-40. </w:t>
      </w:r>
    </w:p>
    <w:p w:rsidR="0076401B" w:rsidRPr="00E72AEA" w:rsidRDefault="0076401B" w:rsidP="000B6F09"/>
    <w:sectPr w:rsidR="0076401B" w:rsidRPr="00E72AEA" w:rsidSect="0095719E">
      <w:headerReference w:type="even" r:id="rId13"/>
      <w:headerReference w:type="default" r:id="rId14"/>
      <w:footerReference w:type="default" r:id="rId15"/>
      <w:headerReference w:type="first" r:id="rId16"/>
      <w:pgSz w:w="11906" w:h="16838"/>
      <w:pgMar w:top="1134" w:right="1440" w:bottom="1247" w:left="144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E5" w:rsidRDefault="00A823E5">
      <w:r>
        <w:separator/>
      </w:r>
    </w:p>
  </w:endnote>
  <w:endnote w:type="continuationSeparator" w:id="0">
    <w:p w:rsidR="00A823E5" w:rsidRDefault="00A8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5" w:rsidRPr="00160C5C" w:rsidRDefault="00127E75">
    <w:pPr>
      <w:pStyle w:val="Footer"/>
      <w:jc w:val="right"/>
      <w:rPr>
        <w:rFonts w:ascii="Tahoma" w:hAnsi="Tahoma" w:cs="Tahoma"/>
      </w:rPr>
    </w:pPr>
    <w:r w:rsidRPr="00160C5C">
      <w:rPr>
        <w:rFonts w:ascii="Tahoma" w:hAnsi="Tahoma" w:cs="Tahoma"/>
      </w:rPr>
      <w:fldChar w:fldCharType="begin"/>
    </w:r>
    <w:r w:rsidRPr="00160C5C">
      <w:rPr>
        <w:rFonts w:ascii="Tahoma" w:hAnsi="Tahoma" w:cs="Tahoma"/>
      </w:rPr>
      <w:instrText xml:space="preserve"> PAGE   \* MERGEFORMAT </w:instrText>
    </w:r>
    <w:r w:rsidRPr="00160C5C">
      <w:rPr>
        <w:rFonts w:ascii="Tahoma" w:hAnsi="Tahoma" w:cs="Tahoma"/>
      </w:rPr>
      <w:fldChar w:fldCharType="separate"/>
    </w:r>
    <w:r w:rsidR="009772C4">
      <w:rPr>
        <w:rFonts w:ascii="Tahoma" w:hAnsi="Tahoma" w:cs="Tahoma"/>
        <w:noProof/>
      </w:rPr>
      <w:t>2</w:t>
    </w:r>
    <w:r w:rsidRPr="00160C5C">
      <w:rPr>
        <w:rFonts w:ascii="Tahoma" w:hAnsi="Tahoma" w:cs="Tahoma"/>
      </w:rPr>
      <w:fldChar w:fldCharType="end"/>
    </w:r>
  </w:p>
  <w:p w:rsidR="00127E75" w:rsidRDefault="00127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E5" w:rsidRDefault="00A823E5">
      <w:r>
        <w:separator/>
      </w:r>
    </w:p>
  </w:footnote>
  <w:footnote w:type="continuationSeparator" w:id="0">
    <w:p w:rsidR="00A823E5" w:rsidRDefault="00A823E5">
      <w:r>
        <w:continuationSeparator/>
      </w:r>
    </w:p>
  </w:footnote>
  <w:footnote w:id="1">
    <w:p w:rsidR="00127E75" w:rsidRPr="00931146" w:rsidRDefault="00127E75" w:rsidP="00EE0266">
      <w:pPr>
        <w:spacing w:after="0" w:line="240" w:lineRule="auto"/>
        <w:rPr>
          <w:rFonts w:eastAsia="Times New Roman"/>
          <w:sz w:val="18"/>
          <w:szCs w:val="18"/>
          <w:lang w:eastAsia="en-US"/>
        </w:rPr>
      </w:pPr>
      <w:r w:rsidRPr="00931146">
        <w:rPr>
          <w:rStyle w:val="FootnoteReference"/>
          <w:sz w:val="18"/>
          <w:szCs w:val="18"/>
        </w:rPr>
        <w:footnoteRef/>
      </w:r>
      <w:r w:rsidRPr="00931146">
        <w:rPr>
          <w:sz w:val="18"/>
          <w:szCs w:val="18"/>
        </w:rPr>
        <w:t xml:space="preserve"> </w:t>
      </w:r>
      <w:r w:rsidRPr="00931146">
        <w:rPr>
          <w:rFonts w:eastAsia="Times New Roman"/>
          <w:sz w:val="18"/>
          <w:szCs w:val="18"/>
          <w:lang w:eastAsia="en-US"/>
        </w:rPr>
        <w:t xml:space="preserve">The term ‘transurethral’ (used in application 1221) was replaced with the term ‘intravesical’ (in the present application, 1272) on the advice of </w:t>
      </w:r>
      <w:r>
        <w:rPr>
          <w:rFonts w:eastAsia="Times New Roman"/>
          <w:sz w:val="18"/>
          <w:szCs w:val="18"/>
          <w:lang w:eastAsia="en-US"/>
        </w:rPr>
        <w:t>C</w:t>
      </w:r>
      <w:r w:rsidRPr="00931146">
        <w:rPr>
          <w:rFonts w:eastAsia="Times New Roman"/>
          <w:sz w:val="18"/>
          <w:szCs w:val="18"/>
          <w:lang w:eastAsia="en-US"/>
        </w:rPr>
        <w:t xml:space="preserve">linical </w:t>
      </w:r>
      <w:r>
        <w:rPr>
          <w:rFonts w:eastAsia="Times New Roman"/>
          <w:sz w:val="18"/>
          <w:szCs w:val="18"/>
          <w:lang w:eastAsia="en-US"/>
        </w:rPr>
        <w:t>E</w:t>
      </w:r>
      <w:r w:rsidRPr="00931146">
        <w:rPr>
          <w:rFonts w:eastAsia="Times New Roman"/>
          <w:sz w:val="18"/>
          <w:szCs w:val="18"/>
          <w:lang w:eastAsia="en-US"/>
        </w:rPr>
        <w:t xml:space="preserve">xperts. </w:t>
      </w:r>
    </w:p>
  </w:footnote>
  <w:footnote w:id="2">
    <w:p w:rsidR="00127E75" w:rsidRPr="00931146" w:rsidRDefault="00127E75" w:rsidP="000E4F7D">
      <w:pPr>
        <w:pStyle w:val="CommentText"/>
        <w:rPr>
          <w:rFonts w:ascii="Tahoma" w:hAnsi="Tahoma" w:cs="Tahoma"/>
          <w:sz w:val="18"/>
          <w:szCs w:val="18"/>
          <w:lang w:val="en-AU"/>
        </w:rPr>
      </w:pPr>
      <w:r w:rsidRPr="00931146">
        <w:rPr>
          <w:rStyle w:val="FootnoteReference"/>
          <w:rFonts w:ascii="Tahoma" w:hAnsi="Tahoma" w:cs="Tahoma"/>
          <w:sz w:val="18"/>
          <w:szCs w:val="18"/>
        </w:rPr>
        <w:footnoteRef/>
      </w:r>
      <w:r w:rsidRPr="00931146">
        <w:rPr>
          <w:rFonts w:ascii="Tahoma" w:hAnsi="Tahoma" w:cs="Tahoma"/>
          <w:sz w:val="18"/>
          <w:szCs w:val="18"/>
        </w:rPr>
        <w:t xml:space="preserve"> </w:t>
      </w:r>
      <w:r>
        <w:rPr>
          <w:rFonts w:ascii="Tahoma" w:hAnsi="Tahoma" w:cs="Tahoma"/>
          <w:sz w:val="18"/>
          <w:szCs w:val="18"/>
        </w:rPr>
        <w:t xml:space="preserve">The initial application was for the indication of overactive bladder (OAB), although the applicant later gave approval to modify this to idiopathic overactive bladder (IOAB). </w:t>
      </w:r>
      <w:r w:rsidRPr="00931146">
        <w:rPr>
          <w:rFonts w:ascii="Tahoma" w:hAnsi="Tahoma" w:cs="Tahoma"/>
          <w:sz w:val="18"/>
          <w:szCs w:val="18"/>
        </w:rPr>
        <w:t xml:space="preserve">In conjunction with Clinical Experts, PASC determined that botulinum toxin is only beneficial for patients who have urinary incontinence due to idiopathic detrusor overactivity (IDO), because the mechanism of action of botulinum toxin is mediated through its effect on the detrusor muscle. Effectiveness of botulinum toxin is thus less biologically plausible for patients who have the broader indication of </w:t>
      </w:r>
      <w:r w:rsidR="0076789D">
        <w:rPr>
          <w:rFonts w:ascii="Tahoma" w:hAnsi="Tahoma" w:cs="Tahoma"/>
          <w:sz w:val="18"/>
          <w:szCs w:val="18"/>
          <w:lang w:val="en-AU"/>
        </w:rPr>
        <w:t xml:space="preserve">idiopathic </w:t>
      </w:r>
      <w:r w:rsidRPr="00931146">
        <w:rPr>
          <w:rFonts w:ascii="Tahoma" w:hAnsi="Tahoma" w:cs="Tahoma"/>
          <w:sz w:val="18"/>
          <w:szCs w:val="18"/>
        </w:rPr>
        <w:t>urinary incontinence due to overactive bladder (</w:t>
      </w:r>
      <w:r w:rsidR="0076789D">
        <w:rPr>
          <w:rFonts w:ascii="Tahoma" w:hAnsi="Tahoma" w:cs="Tahoma"/>
          <w:sz w:val="18"/>
          <w:szCs w:val="18"/>
          <w:lang w:val="en-AU"/>
        </w:rPr>
        <w:t>I</w:t>
      </w:r>
      <w:r w:rsidRPr="00931146">
        <w:rPr>
          <w:rFonts w:ascii="Tahoma" w:hAnsi="Tahoma" w:cs="Tahoma"/>
          <w:sz w:val="18"/>
          <w:szCs w:val="18"/>
        </w:rPr>
        <w:t xml:space="preserve">OAB), without detrusor involvement. </w:t>
      </w:r>
    </w:p>
  </w:footnote>
  <w:footnote w:id="3">
    <w:p w:rsidR="00127E75" w:rsidRPr="00931146" w:rsidRDefault="00127E75" w:rsidP="00463AEC">
      <w:pPr>
        <w:pStyle w:val="FootnoteText"/>
        <w:spacing w:after="0"/>
        <w:rPr>
          <w:rFonts w:ascii="Tahoma" w:hAnsi="Tahoma" w:cs="Tahoma"/>
          <w:sz w:val="18"/>
          <w:szCs w:val="18"/>
        </w:rPr>
      </w:pPr>
      <w:r w:rsidRPr="00931146">
        <w:rPr>
          <w:rStyle w:val="FootnoteReference"/>
          <w:rFonts w:ascii="Tahoma" w:hAnsi="Tahoma" w:cs="Tahoma"/>
          <w:sz w:val="18"/>
          <w:szCs w:val="18"/>
        </w:rPr>
        <w:footnoteRef/>
      </w:r>
      <w:r w:rsidRPr="00931146">
        <w:rPr>
          <w:rFonts w:ascii="Tahoma" w:hAnsi="Tahoma" w:cs="Tahoma"/>
          <w:sz w:val="18"/>
          <w:szCs w:val="18"/>
        </w:rPr>
        <w:t xml:space="preserve"> The Applicant proposed 100U on the basis of two phase III trials. However, a variety of doses are reported in the literature. </w:t>
      </w:r>
      <w:r w:rsidRPr="00931146">
        <w:rPr>
          <w:rFonts w:ascii="Tahoma" w:hAnsi="Tahoma" w:cs="Tahoma"/>
          <w:sz w:val="18"/>
          <w:szCs w:val="18"/>
          <w:lang w:val="en-AU"/>
        </w:rPr>
        <w:t xml:space="preserve">Clinical experts favour doses of 150U or </w:t>
      </w:r>
      <w:r w:rsidRPr="00931146">
        <w:rPr>
          <w:rFonts w:ascii="Tahoma" w:hAnsi="Tahoma" w:cs="Tahoma"/>
          <w:sz w:val="18"/>
          <w:szCs w:val="18"/>
        </w:rPr>
        <w:t xml:space="preserve">200U to be effective at </w:t>
      </w:r>
      <w:r w:rsidRPr="00931146">
        <w:rPr>
          <w:rFonts w:ascii="Tahoma" w:hAnsi="Tahoma" w:cs="Tahoma"/>
          <w:sz w:val="18"/>
          <w:szCs w:val="18"/>
          <w:lang w:val="en-AU"/>
        </w:rPr>
        <w:t>6 to 12 m</w:t>
      </w:r>
      <w:r w:rsidRPr="00931146">
        <w:rPr>
          <w:rFonts w:ascii="Tahoma" w:hAnsi="Tahoma" w:cs="Tahoma"/>
          <w:sz w:val="18"/>
          <w:szCs w:val="18"/>
        </w:rPr>
        <w:t>onth</w:t>
      </w:r>
      <w:r w:rsidRPr="00931146">
        <w:rPr>
          <w:rFonts w:ascii="Tahoma" w:hAnsi="Tahoma" w:cs="Tahoma"/>
          <w:sz w:val="18"/>
          <w:szCs w:val="18"/>
          <w:lang w:val="en-AU"/>
        </w:rPr>
        <w:t xml:space="preserve"> </w:t>
      </w:r>
      <w:r w:rsidRPr="00931146">
        <w:rPr>
          <w:rFonts w:ascii="Tahoma" w:hAnsi="Tahoma" w:cs="Tahoma"/>
          <w:sz w:val="18"/>
          <w:szCs w:val="18"/>
        </w:rPr>
        <w:t>intervals (</w:t>
      </w:r>
      <w:r w:rsidRPr="00931146">
        <w:rPr>
          <w:rFonts w:ascii="Tahoma" w:hAnsi="Tahoma" w:cs="Tahoma"/>
          <w:sz w:val="18"/>
          <w:szCs w:val="18"/>
          <w:lang w:val="en-AU"/>
        </w:rPr>
        <w:t xml:space="preserve">usually 9 months), </w:t>
      </w:r>
      <w:r w:rsidRPr="00931146">
        <w:rPr>
          <w:rFonts w:ascii="Tahoma" w:hAnsi="Tahoma" w:cs="Tahoma"/>
          <w:sz w:val="18"/>
          <w:szCs w:val="18"/>
        </w:rPr>
        <w:t>although the precise protocol used is dependent on clinical judgement and personal experience of the clinician. The Cochrane Collaboration has published a review of ‘Botulinum toxin injections for adults with overactive bladder syndrome’ (The Cochrane Library, 2011, Issue 12), which provides some insight into safe and effective doses.</w:t>
      </w:r>
    </w:p>
  </w:footnote>
  <w:footnote w:id="4">
    <w:p w:rsidR="00127E75" w:rsidRPr="00931146" w:rsidRDefault="00127E75" w:rsidP="00DE1A9B">
      <w:pPr>
        <w:pStyle w:val="FootnoteText"/>
        <w:spacing w:after="0"/>
        <w:rPr>
          <w:rFonts w:ascii="Tahoma" w:hAnsi="Tahoma" w:cs="Tahoma"/>
          <w:sz w:val="18"/>
          <w:szCs w:val="18"/>
        </w:rPr>
      </w:pPr>
      <w:r w:rsidRPr="00931146">
        <w:rPr>
          <w:rStyle w:val="FootnoteReference"/>
          <w:rFonts w:ascii="Tahoma" w:hAnsi="Tahoma" w:cs="Tahoma"/>
          <w:sz w:val="18"/>
          <w:szCs w:val="18"/>
        </w:rPr>
        <w:footnoteRef/>
      </w:r>
      <w:r w:rsidRPr="00931146">
        <w:rPr>
          <w:rFonts w:ascii="Tahoma" w:hAnsi="Tahoma" w:cs="Tahoma"/>
          <w:sz w:val="18"/>
          <w:szCs w:val="18"/>
        </w:rPr>
        <w:t xml:space="preserve"> Letters of support have been received from the Urological Society of Australia and New Zealand, as well as from the Urogynaecological Society of Australasia. It needs to be noted, however, that although the letters quote application 1272 and provide support for injections for ‘urinary incontinence’, IDO is not mentioned specifically. </w:t>
      </w:r>
    </w:p>
  </w:footnote>
  <w:footnote w:id="5">
    <w:p w:rsidR="00127E75" w:rsidRPr="00931146" w:rsidRDefault="00127E75" w:rsidP="00DE1A9B">
      <w:pPr>
        <w:pStyle w:val="FootnoteText"/>
        <w:spacing w:after="0"/>
        <w:rPr>
          <w:rFonts w:ascii="Tahoma" w:hAnsi="Tahoma" w:cs="Tahoma"/>
          <w:sz w:val="18"/>
          <w:szCs w:val="18"/>
          <w:lang w:val="en-AU"/>
        </w:rPr>
      </w:pPr>
      <w:r w:rsidRPr="00931146">
        <w:rPr>
          <w:rStyle w:val="FootnoteReference"/>
          <w:rFonts w:ascii="Tahoma" w:hAnsi="Tahoma" w:cs="Tahoma"/>
          <w:sz w:val="18"/>
          <w:szCs w:val="18"/>
        </w:rPr>
        <w:footnoteRef/>
      </w:r>
      <w:r w:rsidRPr="00931146">
        <w:rPr>
          <w:rFonts w:ascii="Tahoma" w:hAnsi="Tahoma" w:cs="Tahoma"/>
          <w:sz w:val="18"/>
          <w:szCs w:val="18"/>
        </w:rPr>
        <w:t xml:space="preserve"> </w:t>
      </w:r>
      <w:r w:rsidRPr="00931146">
        <w:rPr>
          <w:rFonts w:ascii="Tahoma" w:hAnsi="Tahoma" w:cs="Tahoma"/>
          <w:sz w:val="18"/>
          <w:szCs w:val="18"/>
          <w:lang w:val="en-AU"/>
        </w:rPr>
        <w:t xml:space="preserve">Expert clinical opinion is that the cost for either of these needles is approximately $50. </w:t>
      </w:r>
    </w:p>
  </w:footnote>
  <w:footnote w:id="6">
    <w:p w:rsidR="00127E75" w:rsidRPr="00931146" w:rsidRDefault="00127E75" w:rsidP="00463AEC">
      <w:pPr>
        <w:pStyle w:val="Standard"/>
        <w:spacing w:after="0" w:line="240" w:lineRule="auto"/>
        <w:rPr>
          <w:rFonts w:ascii="Tahoma" w:hAnsi="Tahoma" w:cs="Tahoma"/>
          <w:sz w:val="18"/>
          <w:szCs w:val="18"/>
        </w:rPr>
      </w:pPr>
      <w:r w:rsidRPr="00931146">
        <w:rPr>
          <w:rStyle w:val="FootnoteReference"/>
          <w:rFonts w:ascii="Tahoma" w:hAnsi="Tahoma" w:cs="Tahoma"/>
          <w:sz w:val="18"/>
          <w:szCs w:val="18"/>
        </w:rPr>
        <w:footnoteRef/>
      </w:r>
      <w:r w:rsidRPr="00931146">
        <w:rPr>
          <w:rFonts w:ascii="Tahoma" w:hAnsi="Tahoma" w:cs="Tahoma"/>
          <w:sz w:val="18"/>
          <w:szCs w:val="18"/>
        </w:rPr>
        <w:t xml:space="preserve"> In line with expert clinical opinion, a urine flow study (MBS item 11900) should be restricted from being performed on the same day as the injection of botulinum toxin (if a urine flow study is needed on the same day as the procedure, it should form part of the botulinum toxin service).  The urine flow study should still be included as a relevant health care resource, as it may still be performed, but only on a separate occasion of service.  </w:t>
      </w:r>
    </w:p>
  </w:footnote>
  <w:footnote w:id="7">
    <w:p w:rsidR="00127E75" w:rsidRPr="00931146" w:rsidRDefault="00127E75" w:rsidP="00DA6ACA">
      <w:pPr>
        <w:pStyle w:val="FootnoteText"/>
        <w:spacing w:after="0"/>
        <w:rPr>
          <w:rFonts w:ascii="Tahoma" w:hAnsi="Tahoma" w:cs="Tahoma"/>
          <w:sz w:val="18"/>
          <w:szCs w:val="18"/>
          <w:lang w:val="en-AU"/>
        </w:rPr>
      </w:pPr>
      <w:r w:rsidRPr="00931146">
        <w:rPr>
          <w:rStyle w:val="FootnoteReference"/>
          <w:rFonts w:ascii="Tahoma" w:hAnsi="Tahoma" w:cs="Tahoma"/>
          <w:sz w:val="18"/>
          <w:szCs w:val="18"/>
        </w:rPr>
        <w:footnoteRef/>
      </w:r>
      <w:r w:rsidRPr="00931146">
        <w:rPr>
          <w:rFonts w:ascii="Tahoma" w:hAnsi="Tahoma" w:cs="Tahoma"/>
          <w:sz w:val="18"/>
          <w:szCs w:val="18"/>
        </w:rPr>
        <w:t xml:space="preserve"> </w:t>
      </w:r>
      <w:r w:rsidRPr="00931146">
        <w:rPr>
          <w:rFonts w:ascii="Tahoma" w:hAnsi="Tahoma" w:cs="Tahoma"/>
          <w:sz w:val="18"/>
          <w:szCs w:val="18"/>
          <w:lang w:val="en-AU"/>
        </w:rPr>
        <w:t xml:space="preserve">As of </w:t>
      </w:r>
      <w:r>
        <w:rPr>
          <w:rFonts w:ascii="Tahoma" w:hAnsi="Tahoma" w:cs="Tahoma"/>
          <w:sz w:val="18"/>
          <w:szCs w:val="18"/>
          <w:lang w:val="en-AU"/>
        </w:rPr>
        <w:t xml:space="preserve">31 </w:t>
      </w:r>
      <w:r w:rsidRPr="00931146">
        <w:rPr>
          <w:rFonts w:ascii="Tahoma" w:hAnsi="Tahoma" w:cs="Tahoma"/>
          <w:sz w:val="18"/>
          <w:szCs w:val="18"/>
          <w:lang w:val="en-AU"/>
        </w:rPr>
        <w:t>January 2013, the TGA approval has not yet been granted.</w:t>
      </w:r>
    </w:p>
  </w:footnote>
  <w:footnote w:id="8">
    <w:p w:rsidR="00127E75" w:rsidRPr="00931146" w:rsidRDefault="00127E75" w:rsidP="00DE1A9B">
      <w:pPr>
        <w:pStyle w:val="FootnoteText"/>
        <w:spacing w:after="0"/>
        <w:rPr>
          <w:rFonts w:ascii="Tahoma" w:hAnsi="Tahoma" w:cs="Tahoma"/>
          <w:sz w:val="18"/>
          <w:szCs w:val="18"/>
        </w:rPr>
      </w:pPr>
      <w:r w:rsidRPr="00931146">
        <w:rPr>
          <w:rStyle w:val="FootnoteReference"/>
          <w:rFonts w:ascii="Tahoma" w:hAnsi="Tahoma" w:cs="Tahoma"/>
          <w:sz w:val="18"/>
          <w:szCs w:val="18"/>
        </w:rPr>
        <w:footnoteRef/>
      </w:r>
      <w:r w:rsidRPr="00931146">
        <w:rPr>
          <w:rFonts w:ascii="Tahoma" w:hAnsi="Tahoma" w:cs="Tahoma"/>
          <w:sz w:val="18"/>
          <w:szCs w:val="18"/>
        </w:rPr>
        <w:t xml:space="preserve"> Please see Appendix 1 for Paragraph T11.1</w:t>
      </w:r>
    </w:p>
  </w:footnote>
  <w:footnote w:id="9">
    <w:p w:rsidR="00127E75" w:rsidRPr="00931146" w:rsidRDefault="00127E75" w:rsidP="00DE1A9B">
      <w:pPr>
        <w:pStyle w:val="FootnoteText"/>
        <w:spacing w:after="0"/>
        <w:rPr>
          <w:rFonts w:ascii="Tahoma" w:hAnsi="Tahoma" w:cs="Tahoma"/>
          <w:sz w:val="18"/>
          <w:szCs w:val="18"/>
        </w:rPr>
      </w:pPr>
      <w:r w:rsidRPr="00931146">
        <w:rPr>
          <w:rStyle w:val="FootnoteReference"/>
          <w:rFonts w:ascii="Tahoma" w:hAnsi="Tahoma" w:cs="Tahoma"/>
          <w:sz w:val="18"/>
          <w:szCs w:val="18"/>
        </w:rPr>
        <w:footnoteRef/>
      </w:r>
      <w:r w:rsidRPr="00931146">
        <w:rPr>
          <w:rFonts w:ascii="Tahoma" w:hAnsi="Tahoma" w:cs="Tahoma"/>
          <w:sz w:val="18"/>
          <w:szCs w:val="18"/>
        </w:rPr>
        <w:t xml:space="preserve"> References to major surgery have been omitted, as (according to</w:t>
      </w:r>
      <w:r w:rsidRPr="00931146">
        <w:rPr>
          <w:rFonts w:ascii="Tahoma" w:hAnsi="Tahoma" w:cs="Tahoma"/>
          <w:sz w:val="18"/>
          <w:szCs w:val="18"/>
          <w:lang w:val="en-AU"/>
        </w:rPr>
        <w:t xml:space="preserve"> expert clinical opinion</w:t>
      </w:r>
      <w:r w:rsidRPr="00931146">
        <w:rPr>
          <w:rFonts w:ascii="Tahoma" w:hAnsi="Tahoma" w:cs="Tahoma"/>
          <w:sz w:val="18"/>
          <w:szCs w:val="18"/>
        </w:rPr>
        <w:t xml:space="preserve">) it has now been replaced by Sacral Nerve Stimulation.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5" w:rsidRDefault="009772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0751" o:spid="_x0000_s2055" type="#_x0000_t136" style="position:absolute;margin-left:0;margin-top:0;width:381.75pt;height:254.5pt;rotation:315;z-index:-25165875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5" w:rsidRDefault="009772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0752" o:spid="_x0000_s2056" type="#_x0000_t136" style="position:absolute;margin-left:0;margin-top:0;width:381.75pt;height:254.5pt;rotation:315;z-index:-2516577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75" w:rsidRDefault="009772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0750" o:spid="_x0000_s2054" type="#_x0000_t136" style="position:absolute;margin-left:0;margin-top:0;width:381.75pt;height:254.5pt;rotation:315;z-index:-2516597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80DF46"/>
    <w:lvl w:ilvl="0">
      <w:start w:val="1"/>
      <w:numFmt w:val="decimal"/>
      <w:lvlText w:val="%1."/>
      <w:lvlJc w:val="left"/>
      <w:pPr>
        <w:tabs>
          <w:tab w:val="num" w:pos="1492"/>
        </w:tabs>
        <w:ind w:left="1492" w:hanging="360"/>
      </w:pPr>
    </w:lvl>
  </w:abstractNum>
  <w:abstractNum w:abstractNumId="1">
    <w:nsid w:val="FFFFFF7D"/>
    <w:multiLevelType w:val="singleLevel"/>
    <w:tmpl w:val="FA6C8E4C"/>
    <w:lvl w:ilvl="0">
      <w:start w:val="1"/>
      <w:numFmt w:val="decimal"/>
      <w:lvlText w:val="%1."/>
      <w:lvlJc w:val="left"/>
      <w:pPr>
        <w:tabs>
          <w:tab w:val="num" w:pos="1209"/>
        </w:tabs>
        <w:ind w:left="1209" w:hanging="360"/>
      </w:pPr>
    </w:lvl>
  </w:abstractNum>
  <w:abstractNum w:abstractNumId="2">
    <w:nsid w:val="FFFFFF7E"/>
    <w:multiLevelType w:val="singleLevel"/>
    <w:tmpl w:val="FBAC88AE"/>
    <w:lvl w:ilvl="0">
      <w:start w:val="1"/>
      <w:numFmt w:val="decimal"/>
      <w:lvlText w:val="%1."/>
      <w:lvlJc w:val="left"/>
      <w:pPr>
        <w:tabs>
          <w:tab w:val="num" w:pos="926"/>
        </w:tabs>
        <w:ind w:left="926" w:hanging="360"/>
      </w:pPr>
    </w:lvl>
  </w:abstractNum>
  <w:abstractNum w:abstractNumId="3">
    <w:nsid w:val="FFFFFF7F"/>
    <w:multiLevelType w:val="singleLevel"/>
    <w:tmpl w:val="D4707F10"/>
    <w:lvl w:ilvl="0">
      <w:start w:val="1"/>
      <w:numFmt w:val="decimal"/>
      <w:lvlText w:val="%1."/>
      <w:lvlJc w:val="left"/>
      <w:pPr>
        <w:tabs>
          <w:tab w:val="num" w:pos="643"/>
        </w:tabs>
        <w:ind w:left="643" w:hanging="360"/>
      </w:pPr>
    </w:lvl>
  </w:abstractNum>
  <w:abstractNum w:abstractNumId="4">
    <w:nsid w:val="FFFFFF80"/>
    <w:multiLevelType w:val="singleLevel"/>
    <w:tmpl w:val="DD7A236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CE6C7B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55C3AC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43AF3C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4067F2A"/>
    <w:lvl w:ilvl="0">
      <w:start w:val="1"/>
      <w:numFmt w:val="decimal"/>
      <w:lvlText w:val="%1."/>
      <w:lvlJc w:val="left"/>
      <w:pPr>
        <w:tabs>
          <w:tab w:val="num" w:pos="360"/>
        </w:tabs>
        <w:ind w:left="360" w:hanging="360"/>
      </w:pPr>
    </w:lvl>
  </w:abstractNum>
  <w:abstractNum w:abstractNumId="9">
    <w:nsid w:val="FFFFFF89"/>
    <w:multiLevelType w:val="singleLevel"/>
    <w:tmpl w:val="3356E7E4"/>
    <w:lvl w:ilvl="0">
      <w:start w:val="1"/>
      <w:numFmt w:val="bullet"/>
      <w:lvlText w:val=""/>
      <w:lvlJc w:val="left"/>
      <w:pPr>
        <w:tabs>
          <w:tab w:val="num" w:pos="360"/>
        </w:tabs>
        <w:ind w:left="360" w:hanging="360"/>
      </w:pPr>
      <w:rPr>
        <w:rFonts w:ascii="Symbol" w:hAnsi="Symbol" w:cs="Symbol" w:hint="default"/>
      </w:rPr>
    </w:lvl>
  </w:abstractNum>
  <w:abstractNum w:abstractNumId="10">
    <w:nsid w:val="061928DF"/>
    <w:multiLevelType w:val="hybridMultilevel"/>
    <w:tmpl w:val="B890F472"/>
    <w:lvl w:ilvl="0" w:tplc="89DC1D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D797CA5"/>
    <w:multiLevelType w:val="hybridMultilevel"/>
    <w:tmpl w:val="5938289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2">
    <w:nsid w:val="0E592E87"/>
    <w:multiLevelType w:val="hybridMultilevel"/>
    <w:tmpl w:val="64244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8D4B21"/>
    <w:multiLevelType w:val="hybridMultilevel"/>
    <w:tmpl w:val="05503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A50AC6"/>
    <w:multiLevelType w:val="hybridMultilevel"/>
    <w:tmpl w:val="0240B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9B02E8F"/>
    <w:multiLevelType w:val="hybridMultilevel"/>
    <w:tmpl w:val="19CAD6C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6">
    <w:nsid w:val="1F7339C3"/>
    <w:multiLevelType w:val="hybridMultilevel"/>
    <w:tmpl w:val="811C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1A43BBF"/>
    <w:multiLevelType w:val="hybridMultilevel"/>
    <w:tmpl w:val="3A121A4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8">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start w:val="1"/>
      <w:numFmt w:val="bullet"/>
      <w:lvlText w:val=""/>
      <w:lvlJc w:val="left"/>
      <w:pPr>
        <w:tabs>
          <w:tab w:val="num" w:pos="2478"/>
        </w:tabs>
        <w:ind w:left="2478" w:hanging="360"/>
      </w:pPr>
      <w:rPr>
        <w:rFonts w:ascii="Wingdings" w:hAnsi="Wingdings" w:cs="Wingdings" w:hint="default"/>
      </w:rPr>
    </w:lvl>
    <w:lvl w:ilvl="3" w:tplc="FFFFFFFF">
      <w:start w:val="1"/>
      <w:numFmt w:val="bullet"/>
      <w:lvlText w:val=""/>
      <w:lvlJc w:val="left"/>
      <w:pPr>
        <w:tabs>
          <w:tab w:val="num" w:pos="3198"/>
        </w:tabs>
        <w:ind w:left="3198" w:hanging="360"/>
      </w:pPr>
      <w:rPr>
        <w:rFonts w:ascii="Symbol" w:hAnsi="Symbol" w:cs="Symbol" w:hint="default"/>
      </w:rPr>
    </w:lvl>
    <w:lvl w:ilvl="4" w:tplc="FFFFFFFF">
      <w:start w:val="1"/>
      <w:numFmt w:val="bullet"/>
      <w:lvlText w:val="o"/>
      <w:lvlJc w:val="left"/>
      <w:pPr>
        <w:tabs>
          <w:tab w:val="num" w:pos="3918"/>
        </w:tabs>
        <w:ind w:left="3918" w:hanging="360"/>
      </w:pPr>
      <w:rPr>
        <w:rFonts w:ascii="Courier New" w:hAnsi="Courier New" w:cs="Courier New" w:hint="default"/>
      </w:rPr>
    </w:lvl>
    <w:lvl w:ilvl="5" w:tplc="FFFFFFFF">
      <w:start w:val="1"/>
      <w:numFmt w:val="bullet"/>
      <w:lvlText w:val=""/>
      <w:lvlJc w:val="left"/>
      <w:pPr>
        <w:tabs>
          <w:tab w:val="num" w:pos="4638"/>
        </w:tabs>
        <w:ind w:left="4638" w:hanging="360"/>
      </w:pPr>
      <w:rPr>
        <w:rFonts w:ascii="Wingdings" w:hAnsi="Wingdings" w:cs="Wingdings" w:hint="default"/>
      </w:rPr>
    </w:lvl>
    <w:lvl w:ilvl="6" w:tplc="FFFFFFFF">
      <w:start w:val="1"/>
      <w:numFmt w:val="bullet"/>
      <w:lvlText w:val=""/>
      <w:lvlJc w:val="left"/>
      <w:pPr>
        <w:tabs>
          <w:tab w:val="num" w:pos="5358"/>
        </w:tabs>
        <w:ind w:left="5358" w:hanging="360"/>
      </w:pPr>
      <w:rPr>
        <w:rFonts w:ascii="Symbol" w:hAnsi="Symbol" w:cs="Symbol" w:hint="default"/>
      </w:rPr>
    </w:lvl>
    <w:lvl w:ilvl="7" w:tplc="FFFFFFFF">
      <w:start w:val="1"/>
      <w:numFmt w:val="bullet"/>
      <w:lvlText w:val="o"/>
      <w:lvlJc w:val="left"/>
      <w:pPr>
        <w:tabs>
          <w:tab w:val="num" w:pos="6078"/>
        </w:tabs>
        <w:ind w:left="6078" w:hanging="360"/>
      </w:pPr>
      <w:rPr>
        <w:rFonts w:ascii="Courier New" w:hAnsi="Courier New" w:cs="Courier New" w:hint="default"/>
      </w:rPr>
    </w:lvl>
    <w:lvl w:ilvl="8" w:tplc="FFFFFFFF">
      <w:start w:val="1"/>
      <w:numFmt w:val="bullet"/>
      <w:lvlText w:val=""/>
      <w:lvlJc w:val="left"/>
      <w:pPr>
        <w:tabs>
          <w:tab w:val="num" w:pos="6798"/>
        </w:tabs>
        <w:ind w:left="6798" w:hanging="360"/>
      </w:pPr>
      <w:rPr>
        <w:rFonts w:ascii="Wingdings" w:hAnsi="Wingdings" w:cs="Wingdings" w:hint="default"/>
      </w:rPr>
    </w:lvl>
  </w:abstractNum>
  <w:abstractNum w:abstractNumId="19">
    <w:nsid w:val="2829636D"/>
    <w:multiLevelType w:val="hybridMultilevel"/>
    <w:tmpl w:val="11125C86"/>
    <w:lvl w:ilvl="0" w:tplc="094C29E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2E077BC3"/>
    <w:multiLevelType w:val="hybridMultilevel"/>
    <w:tmpl w:val="5F7236C4"/>
    <w:lvl w:ilvl="0" w:tplc="DD46477A">
      <w:start w:val="5"/>
      <w:numFmt w:val="bullet"/>
      <w:lvlText w:val="-"/>
      <w:lvlJc w:val="left"/>
      <w:pPr>
        <w:ind w:left="720" w:hanging="36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A1235E"/>
    <w:multiLevelType w:val="hybridMultilevel"/>
    <w:tmpl w:val="D5D4C3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3304033"/>
    <w:multiLevelType w:val="hybridMultilevel"/>
    <w:tmpl w:val="69820C8C"/>
    <w:lvl w:ilvl="0" w:tplc="8C1A3EB0">
      <w:numFmt w:val="bullet"/>
      <w:lvlText w:val="-"/>
      <w:lvlJc w:val="left"/>
      <w:pPr>
        <w:ind w:left="1080" w:hanging="360"/>
      </w:pPr>
      <w:rPr>
        <w:rFonts w:ascii="Calibri" w:eastAsia="Times New Roman" w:hAnsi="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start w:val="1"/>
      <w:numFmt w:val="bullet"/>
      <w:lvlText w:val=""/>
      <w:lvlJc w:val="left"/>
      <w:pPr>
        <w:ind w:left="3240" w:hanging="360"/>
      </w:pPr>
      <w:rPr>
        <w:rFonts w:ascii="Symbol" w:hAnsi="Symbol" w:cs="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cs="Wingdings" w:hint="default"/>
      </w:rPr>
    </w:lvl>
    <w:lvl w:ilvl="6" w:tplc="0C090001">
      <w:start w:val="1"/>
      <w:numFmt w:val="bullet"/>
      <w:lvlText w:val=""/>
      <w:lvlJc w:val="left"/>
      <w:pPr>
        <w:ind w:left="5400" w:hanging="360"/>
      </w:pPr>
      <w:rPr>
        <w:rFonts w:ascii="Symbol" w:hAnsi="Symbol" w:cs="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cs="Wingdings" w:hint="default"/>
      </w:rPr>
    </w:lvl>
  </w:abstractNum>
  <w:abstractNum w:abstractNumId="23">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58CA7492"/>
    <w:multiLevelType w:val="hybridMultilevel"/>
    <w:tmpl w:val="B1AEC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192752"/>
    <w:multiLevelType w:val="hybridMultilevel"/>
    <w:tmpl w:val="4F4EF5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cs="Symbol" w:hint="default"/>
        <w:color w:val="auto"/>
      </w:rPr>
    </w:lvl>
    <w:lvl w:ilvl="2" w:tplc="04090005">
      <w:start w:val="1"/>
      <w:numFmt w:val="lowerRoman"/>
      <w:lvlText w:val="%3."/>
      <w:lvlJc w:val="right"/>
      <w:pPr>
        <w:tabs>
          <w:tab w:val="num" w:pos="1812"/>
        </w:tabs>
        <w:ind w:left="1812" w:hanging="180"/>
      </w:pPr>
    </w:lvl>
    <w:lvl w:ilvl="3" w:tplc="04090001">
      <w:start w:val="1"/>
      <w:numFmt w:val="decimal"/>
      <w:lvlText w:val="%4."/>
      <w:lvlJc w:val="left"/>
      <w:pPr>
        <w:tabs>
          <w:tab w:val="num" w:pos="2532"/>
        </w:tabs>
        <w:ind w:left="2532" w:hanging="360"/>
      </w:pPr>
    </w:lvl>
    <w:lvl w:ilvl="4" w:tplc="04090003">
      <w:start w:val="1"/>
      <w:numFmt w:val="lowerLetter"/>
      <w:lvlText w:val="%5."/>
      <w:lvlJc w:val="left"/>
      <w:pPr>
        <w:tabs>
          <w:tab w:val="num" w:pos="3252"/>
        </w:tabs>
        <w:ind w:left="3252" w:hanging="360"/>
      </w:pPr>
    </w:lvl>
    <w:lvl w:ilvl="5" w:tplc="04090005">
      <w:start w:val="1"/>
      <w:numFmt w:val="lowerRoman"/>
      <w:lvlText w:val="%6."/>
      <w:lvlJc w:val="right"/>
      <w:pPr>
        <w:tabs>
          <w:tab w:val="num" w:pos="3972"/>
        </w:tabs>
        <w:ind w:left="3972" w:hanging="180"/>
      </w:pPr>
    </w:lvl>
    <w:lvl w:ilvl="6" w:tplc="04090001">
      <w:start w:val="1"/>
      <w:numFmt w:val="decimal"/>
      <w:lvlText w:val="%7."/>
      <w:lvlJc w:val="left"/>
      <w:pPr>
        <w:tabs>
          <w:tab w:val="num" w:pos="4692"/>
        </w:tabs>
        <w:ind w:left="4692" w:hanging="360"/>
      </w:pPr>
    </w:lvl>
    <w:lvl w:ilvl="7" w:tplc="04090003">
      <w:start w:val="1"/>
      <w:numFmt w:val="lowerLetter"/>
      <w:lvlText w:val="%8."/>
      <w:lvlJc w:val="left"/>
      <w:pPr>
        <w:tabs>
          <w:tab w:val="num" w:pos="5412"/>
        </w:tabs>
        <w:ind w:left="5412" w:hanging="360"/>
      </w:pPr>
    </w:lvl>
    <w:lvl w:ilvl="8" w:tplc="04090005">
      <w:start w:val="1"/>
      <w:numFmt w:val="lowerRoman"/>
      <w:lvlText w:val="%9."/>
      <w:lvlJc w:val="right"/>
      <w:pPr>
        <w:tabs>
          <w:tab w:val="num" w:pos="6132"/>
        </w:tabs>
        <w:ind w:left="6132" w:hanging="180"/>
      </w:pPr>
    </w:lvl>
  </w:abstractNum>
  <w:abstractNum w:abstractNumId="27">
    <w:nsid w:val="635C08AA"/>
    <w:multiLevelType w:val="multilevel"/>
    <w:tmpl w:val="3640AB54"/>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8">
    <w:nsid w:val="690711D1"/>
    <w:multiLevelType w:val="hybridMultilevel"/>
    <w:tmpl w:val="5A2CC69C"/>
    <w:lvl w:ilvl="0" w:tplc="2200DBC8">
      <w:start w:val="1"/>
      <w:numFmt w:val="bullet"/>
      <w:lvlText w:val="–"/>
      <w:lvlJc w:val="left"/>
      <w:pPr>
        <w:tabs>
          <w:tab w:val="num" w:pos="720"/>
        </w:tabs>
        <w:ind w:left="720" w:hanging="360"/>
      </w:pPr>
      <w:rPr>
        <w:rFonts w:ascii="Arial" w:hAnsi="Arial" w:cs="Arial" w:hint="default"/>
      </w:rPr>
    </w:lvl>
    <w:lvl w:ilvl="1" w:tplc="11868246">
      <w:start w:val="1"/>
      <w:numFmt w:val="bullet"/>
      <w:lvlText w:val="–"/>
      <w:lvlJc w:val="left"/>
      <w:pPr>
        <w:tabs>
          <w:tab w:val="num" w:pos="1440"/>
        </w:tabs>
        <w:ind w:left="1440" w:hanging="360"/>
      </w:pPr>
      <w:rPr>
        <w:rFonts w:ascii="Arial" w:hAnsi="Arial" w:cs="Arial" w:hint="default"/>
      </w:rPr>
    </w:lvl>
    <w:lvl w:ilvl="2" w:tplc="00563B5C">
      <w:numFmt w:val="bullet"/>
      <w:lvlText w:val="-"/>
      <w:lvlJc w:val="left"/>
      <w:pPr>
        <w:ind w:left="2160" w:hanging="360"/>
      </w:pPr>
      <w:rPr>
        <w:rFonts w:ascii="Calibri" w:eastAsia="Times New Roman" w:hAnsi="Calibri" w:hint="default"/>
      </w:rPr>
    </w:lvl>
    <w:lvl w:ilvl="3" w:tplc="DED4E670">
      <w:start w:val="1"/>
      <w:numFmt w:val="bullet"/>
      <w:lvlText w:val="–"/>
      <w:lvlJc w:val="left"/>
      <w:pPr>
        <w:tabs>
          <w:tab w:val="num" w:pos="2880"/>
        </w:tabs>
        <w:ind w:left="2880" w:hanging="360"/>
      </w:pPr>
      <w:rPr>
        <w:rFonts w:ascii="Arial" w:hAnsi="Arial" w:cs="Arial" w:hint="default"/>
      </w:rPr>
    </w:lvl>
    <w:lvl w:ilvl="4" w:tplc="F9607A72">
      <w:start w:val="1"/>
      <w:numFmt w:val="bullet"/>
      <w:lvlText w:val="–"/>
      <w:lvlJc w:val="left"/>
      <w:pPr>
        <w:tabs>
          <w:tab w:val="num" w:pos="3600"/>
        </w:tabs>
        <w:ind w:left="3600" w:hanging="360"/>
      </w:pPr>
      <w:rPr>
        <w:rFonts w:ascii="Arial" w:hAnsi="Arial" w:cs="Arial" w:hint="default"/>
      </w:rPr>
    </w:lvl>
    <w:lvl w:ilvl="5" w:tplc="EF260C0E">
      <w:start w:val="1"/>
      <w:numFmt w:val="bullet"/>
      <w:lvlText w:val="–"/>
      <w:lvlJc w:val="left"/>
      <w:pPr>
        <w:tabs>
          <w:tab w:val="num" w:pos="4320"/>
        </w:tabs>
        <w:ind w:left="4320" w:hanging="360"/>
      </w:pPr>
      <w:rPr>
        <w:rFonts w:ascii="Arial" w:hAnsi="Arial" w:cs="Arial" w:hint="default"/>
      </w:rPr>
    </w:lvl>
    <w:lvl w:ilvl="6" w:tplc="C6FAF6F8">
      <w:start w:val="1"/>
      <w:numFmt w:val="bullet"/>
      <w:lvlText w:val="–"/>
      <w:lvlJc w:val="left"/>
      <w:pPr>
        <w:tabs>
          <w:tab w:val="num" w:pos="5040"/>
        </w:tabs>
        <w:ind w:left="5040" w:hanging="360"/>
      </w:pPr>
      <w:rPr>
        <w:rFonts w:ascii="Arial" w:hAnsi="Arial" w:cs="Arial" w:hint="default"/>
      </w:rPr>
    </w:lvl>
    <w:lvl w:ilvl="7" w:tplc="187A5F16">
      <w:start w:val="1"/>
      <w:numFmt w:val="bullet"/>
      <w:lvlText w:val="–"/>
      <w:lvlJc w:val="left"/>
      <w:pPr>
        <w:tabs>
          <w:tab w:val="num" w:pos="5760"/>
        </w:tabs>
        <w:ind w:left="5760" w:hanging="360"/>
      </w:pPr>
      <w:rPr>
        <w:rFonts w:ascii="Arial" w:hAnsi="Arial" w:cs="Arial" w:hint="default"/>
      </w:rPr>
    </w:lvl>
    <w:lvl w:ilvl="8" w:tplc="460804C2">
      <w:start w:val="1"/>
      <w:numFmt w:val="bullet"/>
      <w:lvlText w:val="–"/>
      <w:lvlJc w:val="left"/>
      <w:pPr>
        <w:tabs>
          <w:tab w:val="num" w:pos="6480"/>
        </w:tabs>
        <w:ind w:left="6480" w:hanging="360"/>
      </w:pPr>
      <w:rPr>
        <w:rFonts w:ascii="Arial" w:hAnsi="Arial" w:cs="Arial" w:hint="default"/>
      </w:rPr>
    </w:lvl>
  </w:abstractNum>
  <w:abstractNum w:abstractNumId="29">
    <w:nsid w:val="69F23358"/>
    <w:multiLevelType w:val="hybridMultilevel"/>
    <w:tmpl w:val="8B501C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C856732"/>
    <w:multiLevelType w:val="hybridMultilevel"/>
    <w:tmpl w:val="0F383BA4"/>
    <w:lvl w:ilvl="0" w:tplc="8B0A8730">
      <w:start w:val="1"/>
      <w:numFmt w:val="decimal"/>
      <w:lvlText w:val="%1."/>
      <w:lvlJc w:val="left"/>
      <w:pPr>
        <w:ind w:left="720" w:hanging="360"/>
      </w:pPr>
      <w:rPr>
        <w:rFonts w:ascii="Tahoma" w:eastAsia="SimSun" w:hAnsi="Tahoma" w:cs="Tahom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A375E8E"/>
    <w:multiLevelType w:val="hybridMultilevel"/>
    <w:tmpl w:val="4DECEC5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2">
    <w:nsid w:val="7ACD4D8A"/>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2"/>
  </w:num>
  <w:num w:numId="2">
    <w:abstractNumId w:val="18"/>
  </w:num>
  <w:num w:numId="3">
    <w:abstractNumId w:val="23"/>
  </w:num>
  <w:num w:numId="4">
    <w:abstractNumId w:val="26"/>
  </w:num>
  <w:num w:numId="5">
    <w:abstractNumId w:val="28"/>
  </w:num>
  <w:num w:numId="6">
    <w:abstractNumId w:val="25"/>
  </w:num>
  <w:num w:numId="7">
    <w:abstractNumId w:val="31"/>
  </w:num>
  <w:num w:numId="8">
    <w:abstractNumId w:val="15"/>
  </w:num>
  <w:num w:numId="9">
    <w:abstractNumId w:val="17"/>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9"/>
  </w:num>
  <w:num w:numId="23">
    <w:abstractNumId w:val="20"/>
  </w:num>
  <w:num w:numId="24">
    <w:abstractNumId w:val="24"/>
  </w:num>
  <w:num w:numId="25">
    <w:abstractNumId w:val="12"/>
  </w:num>
  <w:num w:numId="26">
    <w:abstractNumId w:val="30"/>
  </w:num>
  <w:num w:numId="27">
    <w:abstractNumId w:val="21"/>
  </w:num>
  <w:num w:numId="28">
    <w:abstractNumId w:val="16"/>
  </w:num>
  <w:num w:numId="29">
    <w:abstractNumId w:val="29"/>
  </w:num>
  <w:num w:numId="30">
    <w:abstractNumId w:val="13"/>
  </w:num>
  <w:num w:numId="31">
    <w:abstractNumId w:val="10"/>
  </w:num>
  <w:num w:numId="32">
    <w:abstractNumId w:val="27"/>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E0"/>
    <w:rsid w:val="000131DA"/>
    <w:rsid w:val="000156B9"/>
    <w:rsid w:val="00021D1D"/>
    <w:rsid w:val="00025A92"/>
    <w:rsid w:val="00030904"/>
    <w:rsid w:val="000329AB"/>
    <w:rsid w:val="00033B15"/>
    <w:rsid w:val="00044EA6"/>
    <w:rsid w:val="0004532D"/>
    <w:rsid w:val="00045419"/>
    <w:rsid w:val="0004616E"/>
    <w:rsid w:val="00047D97"/>
    <w:rsid w:val="00053425"/>
    <w:rsid w:val="00053DE1"/>
    <w:rsid w:val="0005400F"/>
    <w:rsid w:val="00057EAE"/>
    <w:rsid w:val="000614D9"/>
    <w:rsid w:val="00064BD7"/>
    <w:rsid w:val="00067D9E"/>
    <w:rsid w:val="00086D7C"/>
    <w:rsid w:val="00090E61"/>
    <w:rsid w:val="00091A8B"/>
    <w:rsid w:val="000948D5"/>
    <w:rsid w:val="000956DA"/>
    <w:rsid w:val="000A730B"/>
    <w:rsid w:val="000B0B0F"/>
    <w:rsid w:val="000B3EF1"/>
    <w:rsid w:val="000B6F09"/>
    <w:rsid w:val="000B7671"/>
    <w:rsid w:val="000B7744"/>
    <w:rsid w:val="000B7815"/>
    <w:rsid w:val="000C0620"/>
    <w:rsid w:val="000C3F85"/>
    <w:rsid w:val="000C4845"/>
    <w:rsid w:val="000D0F48"/>
    <w:rsid w:val="000D52F9"/>
    <w:rsid w:val="000D772A"/>
    <w:rsid w:val="000E0EF3"/>
    <w:rsid w:val="000E4F33"/>
    <w:rsid w:val="000E4F7D"/>
    <w:rsid w:val="000E592B"/>
    <w:rsid w:val="000F14CE"/>
    <w:rsid w:val="000F54B1"/>
    <w:rsid w:val="00100E50"/>
    <w:rsid w:val="0010329D"/>
    <w:rsid w:val="00104B47"/>
    <w:rsid w:val="001050E7"/>
    <w:rsid w:val="00110E33"/>
    <w:rsid w:val="001116C0"/>
    <w:rsid w:val="00113672"/>
    <w:rsid w:val="00113FB0"/>
    <w:rsid w:val="00121F31"/>
    <w:rsid w:val="0012248B"/>
    <w:rsid w:val="001242FB"/>
    <w:rsid w:val="00124F2F"/>
    <w:rsid w:val="00127E75"/>
    <w:rsid w:val="00130936"/>
    <w:rsid w:val="0013198B"/>
    <w:rsid w:val="00132C7B"/>
    <w:rsid w:val="001409B0"/>
    <w:rsid w:val="00140C53"/>
    <w:rsid w:val="00141DC4"/>
    <w:rsid w:val="00142C56"/>
    <w:rsid w:val="001441C9"/>
    <w:rsid w:val="0014523C"/>
    <w:rsid w:val="001460FB"/>
    <w:rsid w:val="001476C7"/>
    <w:rsid w:val="00150E6F"/>
    <w:rsid w:val="00152327"/>
    <w:rsid w:val="00155238"/>
    <w:rsid w:val="00156B6B"/>
    <w:rsid w:val="00157076"/>
    <w:rsid w:val="00160C5C"/>
    <w:rsid w:val="00161A8F"/>
    <w:rsid w:val="001650AD"/>
    <w:rsid w:val="00165572"/>
    <w:rsid w:val="00167D4F"/>
    <w:rsid w:val="00171B72"/>
    <w:rsid w:val="0018002A"/>
    <w:rsid w:val="001861C9"/>
    <w:rsid w:val="001955AF"/>
    <w:rsid w:val="00195690"/>
    <w:rsid w:val="001A2A12"/>
    <w:rsid w:val="001A645F"/>
    <w:rsid w:val="001B7334"/>
    <w:rsid w:val="001C466B"/>
    <w:rsid w:val="001C4FF0"/>
    <w:rsid w:val="001C6BCD"/>
    <w:rsid w:val="001D3558"/>
    <w:rsid w:val="001E3884"/>
    <w:rsid w:val="00206135"/>
    <w:rsid w:val="0020735A"/>
    <w:rsid w:val="002077E6"/>
    <w:rsid w:val="00210AEE"/>
    <w:rsid w:val="002146E4"/>
    <w:rsid w:val="00215F23"/>
    <w:rsid w:val="00221116"/>
    <w:rsid w:val="00222D13"/>
    <w:rsid w:val="0022632A"/>
    <w:rsid w:val="002277F8"/>
    <w:rsid w:val="002348F1"/>
    <w:rsid w:val="002357FE"/>
    <w:rsid w:val="002366A2"/>
    <w:rsid w:val="002404D2"/>
    <w:rsid w:val="00240FC4"/>
    <w:rsid w:val="0024169E"/>
    <w:rsid w:val="00241E2E"/>
    <w:rsid w:val="00243990"/>
    <w:rsid w:val="0024455E"/>
    <w:rsid w:val="00257BA8"/>
    <w:rsid w:val="00260DEB"/>
    <w:rsid w:val="00261C26"/>
    <w:rsid w:val="00263A45"/>
    <w:rsid w:val="00265068"/>
    <w:rsid w:val="0027033C"/>
    <w:rsid w:val="0027137A"/>
    <w:rsid w:val="0027480E"/>
    <w:rsid w:val="00275DFA"/>
    <w:rsid w:val="00281D9C"/>
    <w:rsid w:val="00281DDA"/>
    <w:rsid w:val="00287BA9"/>
    <w:rsid w:val="002917B0"/>
    <w:rsid w:val="002B0998"/>
    <w:rsid w:val="002B1BF2"/>
    <w:rsid w:val="002C0395"/>
    <w:rsid w:val="002C0CAE"/>
    <w:rsid w:val="002D04A7"/>
    <w:rsid w:val="002D338A"/>
    <w:rsid w:val="002E0BBC"/>
    <w:rsid w:val="002E1D0D"/>
    <w:rsid w:val="002E33CD"/>
    <w:rsid w:val="002E6145"/>
    <w:rsid w:val="002F1075"/>
    <w:rsid w:val="002F2C0B"/>
    <w:rsid w:val="002F2F1B"/>
    <w:rsid w:val="00300FD5"/>
    <w:rsid w:val="0030623C"/>
    <w:rsid w:val="00311EF2"/>
    <w:rsid w:val="0031627E"/>
    <w:rsid w:val="0032072A"/>
    <w:rsid w:val="00320F67"/>
    <w:rsid w:val="0032503B"/>
    <w:rsid w:val="003262C1"/>
    <w:rsid w:val="003265BB"/>
    <w:rsid w:val="00327E5B"/>
    <w:rsid w:val="003356F7"/>
    <w:rsid w:val="00341F7B"/>
    <w:rsid w:val="003423BD"/>
    <w:rsid w:val="003459F5"/>
    <w:rsid w:val="00355368"/>
    <w:rsid w:val="00356C0C"/>
    <w:rsid w:val="00360458"/>
    <w:rsid w:val="00361B63"/>
    <w:rsid w:val="0036356A"/>
    <w:rsid w:val="00370FEE"/>
    <w:rsid w:val="0037352D"/>
    <w:rsid w:val="00380517"/>
    <w:rsid w:val="00383BE8"/>
    <w:rsid w:val="00391737"/>
    <w:rsid w:val="003920F2"/>
    <w:rsid w:val="0039370F"/>
    <w:rsid w:val="003A011E"/>
    <w:rsid w:val="003A27EA"/>
    <w:rsid w:val="003A4255"/>
    <w:rsid w:val="003A477C"/>
    <w:rsid w:val="003A52F2"/>
    <w:rsid w:val="003A7B6D"/>
    <w:rsid w:val="003B469E"/>
    <w:rsid w:val="003B4F1A"/>
    <w:rsid w:val="003B5F94"/>
    <w:rsid w:val="003C5F85"/>
    <w:rsid w:val="003C78D3"/>
    <w:rsid w:val="003D1E74"/>
    <w:rsid w:val="003D5466"/>
    <w:rsid w:val="003D646F"/>
    <w:rsid w:val="003D7C96"/>
    <w:rsid w:val="003E4388"/>
    <w:rsid w:val="003F1C27"/>
    <w:rsid w:val="003F4306"/>
    <w:rsid w:val="003F698D"/>
    <w:rsid w:val="0040097A"/>
    <w:rsid w:val="00403215"/>
    <w:rsid w:val="00405F1D"/>
    <w:rsid w:val="004078E5"/>
    <w:rsid w:val="00407D0F"/>
    <w:rsid w:val="004108D8"/>
    <w:rsid w:val="00412998"/>
    <w:rsid w:val="0042062E"/>
    <w:rsid w:val="0042193D"/>
    <w:rsid w:val="00422672"/>
    <w:rsid w:val="00431A53"/>
    <w:rsid w:val="00431DFE"/>
    <w:rsid w:val="00432A65"/>
    <w:rsid w:val="00434030"/>
    <w:rsid w:val="00440C8F"/>
    <w:rsid w:val="00441E64"/>
    <w:rsid w:val="00446C13"/>
    <w:rsid w:val="00456172"/>
    <w:rsid w:val="0045780B"/>
    <w:rsid w:val="00461259"/>
    <w:rsid w:val="00463AEC"/>
    <w:rsid w:val="0046557B"/>
    <w:rsid w:val="00465656"/>
    <w:rsid w:val="00465C7F"/>
    <w:rsid w:val="004701E4"/>
    <w:rsid w:val="00477CF4"/>
    <w:rsid w:val="0048193F"/>
    <w:rsid w:val="004820F0"/>
    <w:rsid w:val="00487EA0"/>
    <w:rsid w:val="004908E1"/>
    <w:rsid w:val="00495298"/>
    <w:rsid w:val="004A2037"/>
    <w:rsid w:val="004A20D0"/>
    <w:rsid w:val="004A45C4"/>
    <w:rsid w:val="004B2AB5"/>
    <w:rsid w:val="004B3E21"/>
    <w:rsid w:val="004B591B"/>
    <w:rsid w:val="004B7B84"/>
    <w:rsid w:val="004C5F47"/>
    <w:rsid w:val="004C60E6"/>
    <w:rsid w:val="004D251D"/>
    <w:rsid w:val="004D74E7"/>
    <w:rsid w:val="004E574A"/>
    <w:rsid w:val="004F0EF4"/>
    <w:rsid w:val="004F52BF"/>
    <w:rsid w:val="00500EE5"/>
    <w:rsid w:val="005013AC"/>
    <w:rsid w:val="00504170"/>
    <w:rsid w:val="005048A7"/>
    <w:rsid w:val="00504DC5"/>
    <w:rsid w:val="00505576"/>
    <w:rsid w:val="005069D1"/>
    <w:rsid w:val="005103E9"/>
    <w:rsid w:val="00511741"/>
    <w:rsid w:val="00511FDC"/>
    <w:rsid w:val="005174E7"/>
    <w:rsid w:val="00521437"/>
    <w:rsid w:val="005241D1"/>
    <w:rsid w:val="0052479D"/>
    <w:rsid w:val="00525F5D"/>
    <w:rsid w:val="0052645F"/>
    <w:rsid w:val="0054035E"/>
    <w:rsid w:val="00545B1E"/>
    <w:rsid w:val="00546949"/>
    <w:rsid w:val="00546B1F"/>
    <w:rsid w:val="00546E6B"/>
    <w:rsid w:val="00553B3A"/>
    <w:rsid w:val="0056287B"/>
    <w:rsid w:val="005632A7"/>
    <w:rsid w:val="005670A0"/>
    <w:rsid w:val="00567E07"/>
    <w:rsid w:val="00581528"/>
    <w:rsid w:val="005837BB"/>
    <w:rsid w:val="00583AD8"/>
    <w:rsid w:val="0059158F"/>
    <w:rsid w:val="005925FA"/>
    <w:rsid w:val="00593F7F"/>
    <w:rsid w:val="00595912"/>
    <w:rsid w:val="005A6634"/>
    <w:rsid w:val="005B3C12"/>
    <w:rsid w:val="005B61B8"/>
    <w:rsid w:val="005B697B"/>
    <w:rsid w:val="005C70C2"/>
    <w:rsid w:val="005D7D10"/>
    <w:rsid w:val="005D7D17"/>
    <w:rsid w:val="005E349B"/>
    <w:rsid w:val="005F033A"/>
    <w:rsid w:val="005F064C"/>
    <w:rsid w:val="005F5416"/>
    <w:rsid w:val="00602935"/>
    <w:rsid w:val="00604CF2"/>
    <w:rsid w:val="00610EEE"/>
    <w:rsid w:val="00612054"/>
    <w:rsid w:val="00612AA5"/>
    <w:rsid w:val="006156CA"/>
    <w:rsid w:val="006166F8"/>
    <w:rsid w:val="0061772D"/>
    <w:rsid w:val="006225D8"/>
    <w:rsid w:val="00624EC6"/>
    <w:rsid w:val="00630C25"/>
    <w:rsid w:val="00634FA4"/>
    <w:rsid w:val="00636D4A"/>
    <w:rsid w:val="00641516"/>
    <w:rsid w:val="006429BB"/>
    <w:rsid w:val="00642F49"/>
    <w:rsid w:val="00647C9F"/>
    <w:rsid w:val="006513D9"/>
    <w:rsid w:val="00652D56"/>
    <w:rsid w:val="00657D25"/>
    <w:rsid w:val="00660A41"/>
    <w:rsid w:val="00663793"/>
    <w:rsid w:val="006651F9"/>
    <w:rsid w:val="00667EB3"/>
    <w:rsid w:val="0067093F"/>
    <w:rsid w:val="00671AD5"/>
    <w:rsid w:val="006808FE"/>
    <w:rsid w:val="00682DB6"/>
    <w:rsid w:val="0068655B"/>
    <w:rsid w:val="00687DFB"/>
    <w:rsid w:val="00695AF0"/>
    <w:rsid w:val="006A238F"/>
    <w:rsid w:val="006A24B5"/>
    <w:rsid w:val="006B19E0"/>
    <w:rsid w:val="006B208C"/>
    <w:rsid w:val="006B73C6"/>
    <w:rsid w:val="006C158A"/>
    <w:rsid w:val="006D536F"/>
    <w:rsid w:val="006D7EF6"/>
    <w:rsid w:val="006E03AE"/>
    <w:rsid w:val="006E1002"/>
    <w:rsid w:val="006E26F8"/>
    <w:rsid w:val="006E295F"/>
    <w:rsid w:val="006E7B9B"/>
    <w:rsid w:val="006F4BF9"/>
    <w:rsid w:val="007019ED"/>
    <w:rsid w:val="00702421"/>
    <w:rsid w:val="00702B58"/>
    <w:rsid w:val="00706CA9"/>
    <w:rsid w:val="00707187"/>
    <w:rsid w:val="00710FC1"/>
    <w:rsid w:val="00722335"/>
    <w:rsid w:val="00726349"/>
    <w:rsid w:val="00726750"/>
    <w:rsid w:val="00727F82"/>
    <w:rsid w:val="00730651"/>
    <w:rsid w:val="00730D1E"/>
    <w:rsid w:val="00736FDC"/>
    <w:rsid w:val="00743127"/>
    <w:rsid w:val="00745D1B"/>
    <w:rsid w:val="007472E4"/>
    <w:rsid w:val="007579C1"/>
    <w:rsid w:val="0076401B"/>
    <w:rsid w:val="00767033"/>
    <w:rsid w:val="0076789D"/>
    <w:rsid w:val="0078229E"/>
    <w:rsid w:val="007858C1"/>
    <w:rsid w:val="00785B0B"/>
    <w:rsid w:val="00791F58"/>
    <w:rsid w:val="00792B7D"/>
    <w:rsid w:val="007B3470"/>
    <w:rsid w:val="007B3CEC"/>
    <w:rsid w:val="007B5ACB"/>
    <w:rsid w:val="007B651F"/>
    <w:rsid w:val="007C55B3"/>
    <w:rsid w:val="007D238A"/>
    <w:rsid w:val="007F70F9"/>
    <w:rsid w:val="008032E8"/>
    <w:rsid w:val="008068C5"/>
    <w:rsid w:val="00806CF0"/>
    <w:rsid w:val="00811877"/>
    <w:rsid w:val="00815EBB"/>
    <w:rsid w:val="00816204"/>
    <w:rsid w:val="008205C0"/>
    <w:rsid w:val="00824420"/>
    <w:rsid w:val="00825FBC"/>
    <w:rsid w:val="00826456"/>
    <w:rsid w:val="008270F6"/>
    <w:rsid w:val="00830745"/>
    <w:rsid w:val="008342AA"/>
    <w:rsid w:val="00834FBF"/>
    <w:rsid w:val="008411A0"/>
    <w:rsid w:val="00846380"/>
    <w:rsid w:val="00851F3A"/>
    <w:rsid w:val="00852B39"/>
    <w:rsid w:val="00856298"/>
    <w:rsid w:val="00865AF0"/>
    <w:rsid w:val="00867FD9"/>
    <w:rsid w:val="008738E3"/>
    <w:rsid w:val="00876C97"/>
    <w:rsid w:val="008770E9"/>
    <w:rsid w:val="00880027"/>
    <w:rsid w:val="008805A2"/>
    <w:rsid w:val="008847AC"/>
    <w:rsid w:val="008857FD"/>
    <w:rsid w:val="008916BB"/>
    <w:rsid w:val="008925DD"/>
    <w:rsid w:val="00893BD2"/>
    <w:rsid w:val="0089508F"/>
    <w:rsid w:val="008A77FE"/>
    <w:rsid w:val="008B159C"/>
    <w:rsid w:val="008B2A26"/>
    <w:rsid w:val="008B3123"/>
    <w:rsid w:val="008B51F7"/>
    <w:rsid w:val="008C3914"/>
    <w:rsid w:val="008C4ECB"/>
    <w:rsid w:val="008C76C4"/>
    <w:rsid w:val="008D22D6"/>
    <w:rsid w:val="008D3BA4"/>
    <w:rsid w:val="008D5BA7"/>
    <w:rsid w:val="008D5C55"/>
    <w:rsid w:val="008E067C"/>
    <w:rsid w:val="008E7CFC"/>
    <w:rsid w:val="008F2CBC"/>
    <w:rsid w:val="008F6EED"/>
    <w:rsid w:val="009039F1"/>
    <w:rsid w:val="00904E25"/>
    <w:rsid w:val="00910251"/>
    <w:rsid w:val="0091157C"/>
    <w:rsid w:val="00913A7E"/>
    <w:rsid w:val="00914B66"/>
    <w:rsid w:val="009158A4"/>
    <w:rsid w:val="00924710"/>
    <w:rsid w:val="00925712"/>
    <w:rsid w:val="00927634"/>
    <w:rsid w:val="00927A11"/>
    <w:rsid w:val="00930223"/>
    <w:rsid w:val="00931146"/>
    <w:rsid w:val="009377CC"/>
    <w:rsid w:val="00941D45"/>
    <w:rsid w:val="009427B3"/>
    <w:rsid w:val="0094770D"/>
    <w:rsid w:val="00947C05"/>
    <w:rsid w:val="00952118"/>
    <w:rsid w:val="009547C8"/>
    <w:rsid w:val="0095719E"/>
    <w:rsid w:val="0095765B"/>
    <w:rsid w:val="0096020F"/>
    <w:rsid w:val="009635B8"/>
    <w:rsid w:val="00970C88"/>
    <w:rsid w:val="00974CFE"/>
    <w:rsid w:val="0097531F"/>
    <w:rsid w:val="00976340"/>
    <w:rsid w:val="009772C4"/>
    <w:rsid w:val="0098043E"/>
    <w:rsid w:val="00986BD0"/>
    <w:rsid w:val="00990260"/>
    <w:rsid w:val="009A0F52"/>
    <w:rsid w:val="009A11ED"/>
    <w:rsid w:val="009A2B3E"/>
    <w:rsid w:val="009A6F27"/>
    <w:rsid w:val="009A71AC"/>
    <w:rsid w:val="009B17ED"/>
    <w:rsid w:val="009B3EA6"/>
    <w:rsid w:val="009C08C8"/>
    <w:rsid w:val="009C13F3"/>
    <w:rsid w:val="009C7728"/>
    <w:rsid w:val="009D6E06"/>
    <w:rsid w:val="009E15BB"/>
    <w:rsid w:val="009E30D4"/>
    <w:rsid w:val="00A00C97"/>
    <w:rsid w:val="00A06B77"/>
    <w:rsid w:val="00A142AD"/>
    <w:rsid w:val="00A17FD1"/>
    <w:rsid w:val="00A2307B"/>
    <w:rsid w:val="00A27AF7"/>
    <w:rsid w:val="00A3192E"/>
    <w:rsid w:val="00A32430"/>
    <w:rsid w:val="00A32F7B"/>
    <w:rsid w:val="00A44A66"/>
    <w:rsid w:val="00A47B22"/>
    <w:rsid w:val="00A5028E"/>
    <w:rsid w:val="00A56427"/>
    <w:rsid w:val="00A64009"/>
    <w:rsid w:val="00A6568C"/>
    <w:rsid w:val="00A66F81"/>
    <w:rsid w:val="00A74F59"/>
    <w:rsid w:val="00A81987"/>
    <w:rsid w:val="00A81DC7"/>
    <w:rsid w:val="00A823E5"/>
    <w:rsid w:val="00A85DDF"/>
    <w:rsid w:val="00A90398"/>
    <w:rsid w:val="00A914AC"/>
    <w:rsid w:val="00A9709B"/>
    <w:rsid w:val="00AA2DFC"/>
    <w:rsid w:val="00AA36FE"/>
    <w:rsid w:val="00AA7FA2"/>
    <w:rsid w:val="00AB1323"/>
    <w:rsid w:val="00AC06FA"/>
    <w:rsid w:val="00AC1DD2"/>
    <w:rsid w:val="00AC26D3"/>
    <w:rsid w:val="00AD06CD"/>
    <w:rsid w:val="00AD2327"/>
    <w:rsid w:val="00AD6794"/>
    <w:rsid w:val="00AD75B7"/>
    <w:rsid w:val="00AE776C"/>
    <w:rsid w:val="00AF0B30"/>
    <w:rsid w:val="00AF42C4"/>
    <w:rsid w:val="00AF451F"/>
    <w:rsid w:val="00AF605B"/>
    <w:rsid w:val="00AF7FEA"/>
    <w:rsid w:val="00B00D87"/>
    <w:rsid w:val="00B03E1E"/>
    <w:rsid w:val="00B05089"/>
    <w:rsid w:val="00B058C4"/>
    <w:rsid w:val="00B079BD"/>
    <w:rsid w:val="00B13264"/>
    <w:rsid w:val="00B24731"/>
    <w:rsid w:val="00B32239"/>
    <w:rsid w:val="00B34B57"/>
    <w:rsid w:val="00B37680"/>
    <w:rsid w:val="00B40F53"/>
    <w:rsid w:val="00B42586"/>
    <w:rsid w:val="00B45695"/>
    <w:rsid w:val="00B464A3"/>
    <w:rsid w:val="00B5229E"/>
    <w:rsid w:val="00B52A82"/>
    <w:rsid w:val="00B52DED"/>
    <w:rsid w:val="00B52E12"/>
    <w:rsid w:val="00B5446B"/>
    <w:rsid w:val="00B5456F"/>
    <w:rsid w:val="00B5488D"/>
    <w:rsid w:val="00B559D6"/>
    <w:rsid w:val="00B66A1C"/>
    <w:rsid w:val="00B67E71"/>
    <w:rsid w:val="00B75CFF"/>
    <w:rsid w:val="00B7629F"/>
    <w:rsid w:val="00B8135D"/>
    <w:rsid w:val="00B81457"/>
    <w:rsid w:val="00B867EC"/>
    <w:rsid w:val="00B87DC0"/>
    <w:rsid w:val="00B90EB1"/>
    <w:rsid w:val="00BA09C1"/>
    <w:rsid w:val="00BA0EE1"/>
    <w:rsid w:val="00BA261D"/>
    <w:rsid w:val="00BA2815"/>
    <w:rsid w:val="00BA7F63"/>
    <w:rsid w:val="00BB2023"/>
    <w:rsid w:val="00BB2EE5"/>
    <w:rsid w:val="00BB3174"/>
    <w:rsid w:val="00BB518B"/>
    <w:rsid w:val="00BC13C3"/>
    <w:rsid w:val="00BC5C2D"/>
    <w:rsid w:val="00BC640E"/>
    <w:rsid w:val="00BC7F19"/>
    <w:rsid w:val="00BD0C8B"/>
    <w:rsid w:val="00BD106D"/>
    <w:rsid w:val="00BD34E7"/>
    <w:rsid w:val="00BD3AF7"/>
    <w:rsid w:val="00BD602D"/>
    <w:rsid w:val="00BD67F8"/>
    <w:rsid w:val="00BD7423"/>
    <w:rsid w:val="00BE0D80"/>
    <w:rsid w:val="00BE132A"/>
    <w:rsid w:val="00BE4070"/>
    <w:rsid w:val="00BE7A51"/>
    <w:rsid w:val="00BF6759"/>
    <w:rsid w:val="00C00539"/>
    <w:rsid w:val="00C03D5B"/>
    <w:rsid w:val="00C05566"/>
    <w:rsid w:val="00C05641"/>
    <w:rsid w:val="00C113A4"/>
    <w:rsid w:val="00C12645"/>
    <w:rsid w:val="00C16A09"/>
    <w:rsid w:val="00C17D39"/>
    <w:rsid w:val="00C203EA"/>
    <w:rsid w:val="00C251E3"/>
    <w:rsid w:val="00C2744A"/>
    <w:rsid w:val="00C363B9"/>
    <w:rsid w:val="00C37FCC"/>
    <w:rsid w:val="00C424BC"/>
    <w:rsid w:val="00C45A74"/>
    <w:rsid w:val="00C60C2B"/>
    <w:rsid w:val="00C6527B"/>
    <w:rsid w:val="00C65555"/>
    <w:rsid w:val="00C65968"/>
    <w:rsid w:val="00C729B0"/>
    <w:rsid w:val="00C73F79"/>
    <w:rsid w:val="00C802B4"/>
    <w:rsid w:val="00C806A5"/>
    <w:rsid w:val="00C84F90"/>
    <w:rsid w:val="00C90927"/>
    <w:rsid w:val="00C92A69"/>
    <w:rsid w:val="00CA0021"/>
    <w:rsid w:val="00CA0C1A"/>
    <w:rsid w:val="00CA0FB7"/>
    <w:rsid w:val="00CA2EE5"/>
    <w:rsid w:val="00CA3FCE"/>
    <w:rsid w:val="00CA63D8"/>
    <w:rsid w:val="00CA7DBE"/>
    <w:rsid w:val="00CB1792"/>
    <w:rsid w:val="00CB1C88"/>
    <w:rsid w:val="00CC0BDE"/>
    <w:rsid w:val="00CC38F9"/>
    <w:rsid w:val="00CD50C7"/>
    <w:rsid w:val="00CE5DB1"/>
    <w:rsid w:val="00CF0254"/>
    <w:rsid w:val="00CF7A6B"/>
    <w:rsid w:val="00D003FF"/>
    <w:rsid w:val="00D01A6F"/>
    <w:rsid w:val="00D03488"/>
    <w:rsid w:val="00D13CB8"/>
    <w:rsid w:val="00D2059C"/>
    <w:rsid w:val="00D2359B"/>
    <w:rsid w:val="00D24786"/>
    <w:rsid w:val="00D24CED"/>
    <w:rsid w:val="00D25FD7"/>
    <w:rsid w:val="00D26DF3"/>
    <w:rsid w:val="00D32DCC"/>
    <w:rsid w:val="00D36F12"/>
    <w:rsid w:val="00D52D3C"/>
    <w:rsid w:val="00D52E6B"/>
    <w:rsid w:val="00D5475A"/>
    <w:rsid w:val="00D555E6"/>
    <w:rsid w:val="00D57305"/>
    <w:rsid w:val="00D61C4E"/>
    <w:rsid w:val="00D61CC3"/>
    <w:rsid w:val="00D6431B"/>
    <w:rsid w:val="00D7227C"/>
    <w:rsid w:val="00D755A9"/>
    <w:rsid w:val="00D80E46"/>
    <w:rsid w:val="00D825F7"/>
    <w:rsid w:val="00D82BE3"/>
    <w:rsid w:val="00D833A7"/>
    <w:rsid w:val="00D83A11"/>
    <w:rsid w:val="00D87C71"/>
    <w:rsid w:val="00D95C55"/>
    <w:rsid w:val="00DA1314"/>
    <w:rsid w:val="00DA47C8"/>
    <w:rsid w:val="00DA6ACA"/>
    <w:rsid w:val="00DB0FD1"/>
    <w:rsid w:val="00DB183C"/>
    <w:rsid w:val="00DB29FB"/>
    <w:rsid w:val="00DB2DD3"/>
    <w:rsid w:val="00DB4D1C"/>
    <w:rsid w:val="00DB70CE"/>
    <w:rsid w:val="00DC2C97"/>
    <w:rsid w:val="00DC33D9"/>
    <w:rsid w:val="00DC35D4"/>
    <w:rsid w:val="00DD13ED"/>
    <w:rsid w:val="00DD19D7"/>
    <w:rsid w:val="00DD706C"/>
    <w:rsid w:val="00DE1A9B"/>
    <w:rsid w:val="00DE31E4"/>
    <w:rsid w:val="00DE58B3"/>
    <w:rsid w:val="00DF6937"/>
    <w:rsid w:val="00E01CEB"/>
    <w:rsid w:val="00E11790"/>
    <w:rsid w:val="00E15D2E"/>
    <w:rsid w:val="00E1694D"/>
    <w:rsid w:val="00E27D12"/>
    <w:rsid w:val="00E31DDF"/>
    <w:rsid w:val="00E32AE5"/>
    <w:rsid w:val="00E3392D"/>
    <w:rsid w:val="00E36583"/>
    <w:rsid w:val="00E426D4"/>
    <w:rsid w:val="00E45B78"/>
    <w:rsid w:val="00E474A9"/>
    <w:rsid w:val="00E5034B"/>
    <w:rsid w:val="00E66509"/>
    <w:rsid w:val="00E66C2E"/>
    <w:rsid w:val="00E71972"/>
    <w:rsid w:val="00E71DAB"/>
    <w:rsid w:val="00E72AEA"/>
    <w:rsid w:val="00E778C0"/>
    <w:rsid w:val="00E81545"/>
    <w:rsid w:val="00E827D0"/>
    <w:rsid w:val="00E8744A"/>
    <w:rsid w:val="00E875D8"/>
    <w:rsid w:val="00E9789C"/>
    <w:rsid w:val="00EA1C91"/>
    <w:rsid w:val="00EA2F72"/>
    <w:rsid w:val="00EA39E8"/>
    <w:rsid w:val="00EB063C"/>
    <w:rsid w:val="00EB0946"/>
    <w:rsid w:val="00EB1493"/>
    <w:rsid w:val="00EB19AC"/>
    <w:rsid w:val="00EB4DA3"/>
    <w:rsid w:val="00EB7B85"/>
    <w:rsid w:val="00EC01C7"/>
    <w:rsid w:val="00EC1B5E"/>
    <w:rsid w:val="00EC31AF"/>
    <w:rsid w:val="00EC3629"/>
    <w:rsid w:val="00EC66AA"/>
    <w:rsid w:val="00EC6B74"/>
    <w:rsid w:val="00ED21F7"/>
    <w:rsid w:val="00ED3730"/>
    <w:rsid w:val="00ED46CF"/>
    <w:rsid w:val="00EE0266"/>
    <w:rsid w:val="00EE21F3"/>
    <w:rsid w:val="00EE430A"/>
    <w:rsid w:val="00EE4735"/>
    <w:rsid w:val="00EE5643"/>
    <w:rsid w:val="00EF0921"/>
    <w:rsid w:val="00EF3466"/>
    <w:rsid w:val="00EF3D81"/>
    <w:rsid w:val="00EF6E98"/>
    <w:rsid w:val="00F023DF"/>
    <w:rsid w:val="00F03396"/>
    <w:rsid w:val="00F04CB7"/>
    <w:rsid w:val="00F05B25"/>
    <w:rsid w:val="00F05E7A"/>
    <w:rsid w:val="00F1126D"/>
    <w:rsid w:val="00F13D3A"/>
    <w:rsid w:val="00F15F1B"/>
    <w:rsid w:val="00F2075E"/>
    <w:rsid w:val="00F209D7"/>
    <w:rsid w:val="00F21772"/>
    <w:rsid w:val="00F23470"/>
    <w:rsid w:val="00F23CEB"/>
    <w:rsid w:val="00F26DE0"/>
    <w:rsid w:val="00F41562"/>
    <w:rsid w:val="00F418EF"/>
    <w:rsid w:val="00F4279A"/>
    <w:rsid w:val="00F448E8"/>
    <w:rsid w:val="00F466ED"/>
    <w:rsid w:val="00F54FF1"/>
    <w:rsid w:val="00F5560A"/>
    <w:rsid w:val="00F556D5"/>
    <w:rsid w:val="00F55C58"/>
    <w:rsid w:val="00F55F6D"/>
    <w:rsid w:val="00F56D79"/>
    <w:rsid w:val="00F57409"/>
    <w:rsid w:val="00F61B2A"/>
    <w:rsid w:val="00F61C92"/>
    <w:rsid w:val="00F61DC4"/>
    <w:rsid w:val="00F62B04"/>
    <w:rsid w:val="00F661A9"/>
    <w:rsid w:val="00F66BAE"/>
    <w:rsid w:val="00F76AFF"/>
    <w:rsid w:val="00FA6142"/>
    <w:rsid w:val="00FB0402"/>
    <w:rsid w:val="00FB1642"/>
    <w:rsid w:val="00FB3131"/>
    <w:rsid w:val="00FB4841"/>
    <w:rsid w:val="00FB7546"/>
    <w:rsid w:val="00FB763D"/>
    <w:rsid w:val="00FC4ABC"/>
    <w:rsid w:val="00FC5CF0"/>
    <w:rsid w:val="00FC7BC6"/>
    <w:rsid w:val="00FD264E"/>
    <w:rsid w:val="00FE486B"/>
    <w:rsid w:val="00FE541B"/>
    <w:rsid w:val="00FE6CC4"/>
    <w:rsid w:val="00FF4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E6CC4"/>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D26DF3"/>
    <w:pPr>
      <w:keepNext/>
      <w:spacing w:before="360" w:after="160"/>
      <w:outlineLvl w:val="0"/>
    </w:pPr>
    <w:rPr>
      <w:rFonts w:cs="Times New Roman"/>
      <w:b/>
      <w:bCs/>
      <w:color w:val="215868"/>
      <w:sz w:val="32"/>
      <w:szCs w:val="32"/>
      <w:lang w:val="x-none"/>
    </w:rPr>
  </w:style>
  <w:style w:type="paragraph" w:styleId="Heading2">
    <w:name w:val="heading 2"/>
    <w:basedOn w:val="Normal"/>
    <w:next w:val="Normal"/>
    <w:link w:val="Heading2Char"/>
    <w:uiPriority w:val="99"/>
    <w:qFormat/>
    <w:rsid w:val="00D26DF3"/>
    <w:pPr>
      <w:keepNext/>
      <w:spacing w:before="240" w:after="160"/>
      <w:outlineLvl w:val="1"/>
    </w:pPr>
    <w:rPr>
      <w:rFonts w:cs="Times New Roman"/>
      <w:b/>
      <w:bCs/>
      <w:color w:val="215868"/>
      <w:sz w:val="28"/>
      <w:szCs w:val="28"/>
      <w:lang w:val="en-GB" w:eastAsia="ja-JP"/>
    </w:rPr>
  </w:style>
  <w:style w:type="paragraph" w:styleId="Heading3">
    <w:name w:val="heading 3"/>
    <w:basedOn w:val="Normal"/>
    <w:next w:val="Normal"/>
    <w:link w:val="Heading3Char"/>
    <w:uiPriority w:val="99"/>
    <w:qFormat/>
    <w:rsid w:val="00D26DF3"/>
    <w:pPr>
      <w:keepNext/>
      <w:spacing w:after="120"/>
      <w:outlineLvl w:val="2"/>
    </w:pPr>
    <w:rPr>
      <w:rFonts w:cs="Times New Roman"/>
      <w:color w:val="41A7BF"/>
      <w:lang w:val="x-none"/>
    </w:rPr>
  </w:style>
  <w:style w:type="paragraph" w:styleId="Heading4">
    <w:name w:val="heading 4"/>
    <w:basedOn w:val="Normal"/>
    <w:next w:val="Normal"/>
    <w:link w:val="Heading4Char"/>
    <w:uiPriority w:val="99"/>
    <w:qFormat/>
    <w:rsid w:val="00D26DF3"/>
    <w:pPr>
      <w:keepNext/>
      <w:numPr>
        <w:ilvl w:val="3"/>
        <w:numId w:val="1"/>
      </w:numPr>
      <w:outlineLvl w:val="3"/>
    </w:pPr>
    <w:rPr>
      <w:rFonts w:cs="Times New Roman"/>
      <w:u w:val="single"/>
    </w:rPr>
  </w:style>
  <w:style w:type="paragraph" w:styleId="Heading5">
    <w:name w:val="heading 5"/>
    <w:basedOn w:val="Normal"/>
    <w:next w:val="Normal"/>
    <w:link w:val="Heading5Char"/>
    <w:uiPriority w:val="99"/>
    <w:qFormat/>
    <w:rsid w:val="00D26DF3"/>
    <w:pPr>
      <w:keepNext/>
      <w:numPr>
        <w:ilvl w:val="4"/>
        <w:numId w:val="1"/>
      </w:numPr>
      <w:tabs>
        <w:tab w:val="left" w:pos="709"/>
      </w:tabs>
      <w:outlineLvl w:val="4"/>
    </w:pPr>
    <w:rPr>
      <w:rFonts w:cs="Times New Roman"/>
      <w:b/>
      <w:bCs/>
      <w:i/>
      <w:iCs/>
    </w:rPr>
  </w:style>
  <w:style w:type="paragraph" w:styleId="Heading6">
    <w:name w:val="heading 6"/>
    <w:basedOn w:val="Normal"/>
    <w:next w:val="Normal"/>
    <w:link w:val="Heading6Char"/>
    <w:uiPriority w:val="99"/>
    <w:qFormat/>
    <w:rsid w:val="00D26DF3"/>
    <w:pPr>
      <w:keepNext/>
      <w:numPr>
        <w:ilvl w:val="5"/>
        <w:numId w:val="1"/>
      </w:numPr>
      <w:jc w:val="center"/>
      <w:outlineLvl w:val="5"/>
    </w:pPr>
    <w:rPr>
      <w:rFonts w:cs="Times New Roman"/>
      <w:b/>
      <w:bCs/>
      <w:sz w:val="28"/>
      <w:szCs w:val="28"/>
    </w:rPr>
  </w:style>
  <w:style w:type="paragraph" w:styleId="Heading7">
    <w:name w:val="heading 7"/>
    <w:basedOn w:val="Normal"/>
    <w:next w:val="Normal"/>
    <w:link w:val="Heading7Char"/>
    <w:uiPriority w:val="99"/>
    <w:qFormat/>
    <w:rsid w:val="00D26DF3"/>
    <w:pPr>
      <w:keepNext/>
      <w:outlineLvl w:val="6"/>
    </w:pPr>
    <w:rPr>
      <w:rFonts w:ascii="Times New Roman" w:hAnsi="Times New Roman" w:cs="Times New Roman"/>
      <w:i/>
      <w:iCs/>
      <w:lang w:val="x-none"/>
    </w:rPr>
  </w:style>
  <w:style w:type="paragraph" w:styleId="Heading8">
    <w:name w:val="heading 8"/>
    <w:basedOn w:val="Normal"/>
    <w:next w:val="Normal"/>
    <w:link w:val="Heading8Char"/>
    <w:uiPriority w:val="99"/>
    <w:qFormat/>
    <w:rsid w:val="00D26DF3"/>
    <w:pPr>
      <w:keepNext/>
      <w:numPr>
        <w:ilvl w:val="7"/>
        <w:numId w:val="1"/>
      </w:numPr>
      <w:spacing w:line="288" w:lineRule="auto"/>
      <w:jc w:val="center"/>
      <w:outlineLvl w:val="7"/>
    </w:pPr>
    <w:rPr>
      <w:rFonts w:cs="Times New Roman"/>
      <w:sz w:val="48"/>
      <w:szCs w:val="48"/>
    </w:rPr>
  </w:style>
  <w:style w:type="paragraph" w:styleId="Heading9">
    <w:name w:val="heading 9"/>
    <w:basedOn w:val="Normal"/>
    <w:next w:val="Normal"/>
    <w:link w:val="Heading9Char"/>
    <w:uiPriority w:val="99"/>
    <w:qFormat/>
    <w:rsid w:val="00D26DF3"/>
    <w:pPr>
      <w:keepNext/>
      <w:numPr>
        <w:ilvl w:val="8"/>
        <w:numId w:val="1"/>
      </w:numPr>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26DF3"/>
    <w:rPr>
      <w:rFonts w:ascii="Tahoma" w:eastAsia="SimSun" w:hAnsi="Tahoma" w:cs="Tahoma"/>
      <w:b/>
      <w:bCs/>
      <w:color w:val="215868"/>
      <w:sz w:val="32"/>
      <w:szCs w:val="32"/>
      <w:lang w:val="x-none" w:eastAsia="zh-CN"/>
    </w:rPr>
  </w:style>
  <w:style w:type="character" w:customStyle="1" w:styleId="Heading2Char">
    <w:name w:val="Heading 2 Char"/>
    <w:link w:val="Heading2"/>
    <w:uiPriority w:val="99"/>
    <w:locked/>
    <w:rsid w:val="00D26DF3"/>
    <w:rPr>
      <w:rFonts w:ascii="Tahoma" w:eastAsia="SimSun" w:hAnsi="Tahoma" w:cs="Tahoma"/>
      <w:b/>
      <w:bCs/>
      <w:color w:val="215868"/>
      <w:sz w:val="28"/>
      <w:szCs w:val="28"/>
      <w:lang w:val="en-GB" w:eastAsia="ja-JP"/>
    </w:rPr>
  </w:style>
  <w:style w:type="character" w:customStyle="1" w:styleId="Heading3Char">
    <w:name w:val="Heading 3 Char"/>
    <w:link w:val="Heading3"/>
    <w:uiPriority w:val="99"/>
    <w:locked/>
    <w:rsid w:val="00D26DF3"/>
    <w:rPr>
      <w:rFonts w:ascii="Tahoma" w:eastAsia="SimSun" w:hAnsi="Tahoma" w:cs="Tahoma"/>
      <w:color w:val="41A7BF"/>
      <w:sz w:val="20"/>
      <w:szCs w:val="20"/>
      <w:lang w:val="x-none" w:eastAsia="zh-CN"/>
    </w:rPr>
  </w:style>
  <w:style w:type="character" w:customStyle="1" w:styleId="Heading4Char">
    <w:name w:val="Heading 4 Char"/>
    <w:link w:val="Heading4"/>
    <w:uiPriority w:val="99"/>
    <w:locked/>
    <w:rsid w:val="00D26DF3"/>
    <w:rPr>
      <w:rFonts w:ascii="Tahoma" w:eastAsia="SimSun" w:hAnsi="Tahoma" w:cs="Tahoma"/>
      <w:u w:val="single"/>
      <w:lang w:val="en-AU" w:eastAsia="zh-CN"/>
    </w:rPr>
  </w:style>
  <w:style w:type="character" w:customStyle="1" w:styleId="Heading5Char">
    <w:name w:val="Heading 5 Char"/>
    <w:link w:val="Heading5"/>
    <w:uiPriority w:val="99"/>
    <w:locked/>
    <w:rsid w:val="00D26DF3"/>
    <w:rPr>
      <w:rFonts w:ascii="Tahoma" w:eastAsia="SimSun" w:hAnsi="Tahoma" w:cs="Tahoma"/>
      <w:b/>
      <w:bCs/>
      <w:i/>
      <w:iCs/>
      <w:lang w:val="en-AU" w:eastAsia="zh-CN"/>
    </w:rPr>
  </w:style>
  <w:style w:type="character" w:customStyle="1" w:styleId="Heading6Char">
    <w:name w:val="Heading 6 Char"/>
    <w:link w:val="Heading6"/>
    <w:uiPriority w:val="99"/>
    <w:locked/>
    <w:rsid w:val="00D26DF3"/>
    <w:rPr>
      <w:rFonts w:ascii="Tahoma" w:eastAsia="SimSun" w:hAnsi="Tahoma" w:cs="Tahoma"/>
      <w:b/>
      <w:bCs/>
      <w:sz w:val="28"/>
      <w:szCs w:val="28"/>
      <w:lang w:val="en-AU" w:eastAsia="zh-CN"/>
    </w:rPr>
  </w:style>
  <w:style w:type="character" w:customStyle="1" w:styleId="Heading7Char">
    <w:name w:val="Heading 7 Char"/>
    <w:link w:val="Heading7"/>
    <w:uiPriority w:val="99"/>
    <w:locked/>
    <w:rsid w:val="00D26DF3"/>
    <w:rPr>
      <w:rFonts w:ascii="Times New Roman" w:eastAsia="SimSun" w:hAnsi="Times New Roman" w:cs="Times New Roman"/>
      <w:i/>
      <w:iCs/>
      <w:sz w:val="20"/>
      <w:szCs w:val="20"/>
      <w:lang w:val="x-none" w:eastAsia="zh-CN"/>
    </w:rPr>
  </w:style>
  <w:style w:type="character" w:customStyle="1" w:styleId="Heading8Char">
    <w:name w:val="Heading 8 Char"/>
    <w:link w:val="Heading8"/>
    <w:uiPriority w:val="99"/>
    <w:locked/>
    <w:rsid w:val="00D26DF3"/>
    <w:rPr>
      <w:rFonts w:ascii="Tahoma" w:eastAsia="SimSun" w:hAnsi="Tahoma" w:cs="Tahoma"/>
      <w:sz w:val="48"/>
      <w:szCs w:val="48"/>
      <w:lang w:val="en-AU" w:eastAsia="zh-CN"/>
    </w:rPr>
  </w:style>
  <w:style w:type="character" w:customStyle="1" w:styleId="Heading9Char">
    <w:name w:val="Heading 9 Char"/>
    <w:link w:val="Heading9"/>
    <w:uiPriority w:val="99"/>
    <w:locked/>
    <w:rsid w:val="00D26DF3"/>
    <w:rPr>
      <w:rFonts w:ascii="Tahoma" w:eastAsia="SimSun" w:hAnsi="Tahoma" w:cs="Tahoma"/>
      <w:i/>
      <w:iCs/>
      <w:lang w:val="en-AU" w:eastAsia="zh-CN"/>
    </w:rPr>
  </w:style>
  <w:style w:type="paragraph" w:customStyle="1" w:styleId="Attachmentheading">
    <w:name w:val="Attachment heading"/>
    <w:basedOn w:val="Normal"/>
    <w:next w:val="Normal"/>
    <w:uiPriority w:val="99"/>
    <w:rsid w:val="00D26DF3"/>
    <w:pPr>
      <w:tabs>
        <w:tab w:val="left" w:pos="2552"/>
      </w:tabs>
      <w:spacing w:line="264" w:lineRule="auto"/>
      <w:ind w:left="2552" w:hanging="2552"/>
    </w:pPr>
    <w:rPr>
      <w:b/>
      <w:bCs/>
    </w:rPr>
  </w:style>
  <w:style w:type="paragraph" w:styleId="BalloonText">
    <w:name w:val="Balloon Text"/>
    <w:basedOn w:val="Normal"/>
    <w:link w:val="BalloonTextChar"/>
    <w:uiPriority w:val="99"/>
    <w:semiHidden/>
    <w:rsid w:val="00D26DF3"/>
    <w:pPr>
      <w:spacing w:line="240" w:lineRule="auto"/>
    </w:pPr>
    <w:rPr>
      <w:rFonts w:cs="Times New Roman"/>
      <w:sz w:val="16"/>
      <w:szCs w:val="16"/>
      <w:lang w:val="x-none"/>
    </w:rPr>
  </w:style>
  <w:style w:type="character" w:customStyle="1" w:styleId="BalloonTextChar">
    <w:name w:val="Balloon Text Char"/>
    <w:link w:val="BalloonText"/>
    <w:uiPriority w:val="99"/>
    <w:locked/>
    <w:rsid w:val="00D26DF3"/>
    <w:rPr>
      <w:rFonts w:ascii="Tahoma" w:eastAsia="SimSun" w:hAnsi="Tahoma" w:cs="Tahoma"/>
      <w:sz w:val="16"/>
      <w:szCs w:val="16"/>
      <w:lang w:val="x-none" w:eastAsia="zh-CN"/>
    </w:rPr>
  </w:style>
  <w:style w:type="paragraph" w:customStyle="1" w:styleId="Bulletedtext">
    <w:name w:val="Bulleted text"/>
    <w:basedOn w:val="Normal"/>
    <w:uiPriority w:val="99"/>
    <w:rsid w:val="00D26DF3"/>
    <w:pPr>
      <w:tabs>
        <w:tab w:val="left" w:pos="2835"/>
      </w:tabs>
    </w:pPr>
  </w:style>
  <w:style w:type="paragraph" w:customStyle="1" w:styleId="Bulletedtext2ndlevel">
    <w:name w:val="Bulleted text 2nd level"/>
    <w:basedOn w:val="Normal"/>
    <w:uiPriority w:val="99"/>
    <w:rsid w:val="00D26DF3"/>
    <w:pPr>
      <w:tabs>
        <w:tab w:val="num" w:pos="720"/>
      </w:tabs>
      <w:ind w:left="720" w:hanging="360"/>
      <w:jc w:val="left"/>
    </w:pPr>
  </w:style>
  <w:style w:type="paragraph" w:customStyle="1" w:styleId="Captioncontinued">
    <w:name w:val="Caption (continued)"/>
    <w:basedOn w:val="Normal"/>
    <w:next w:val="Normal"/>
    <w:uiPriority w:val="99"/>
    <w:rsid w:val="00D26DF3"/>
    <w:pPr>
      <w:tabs>
        <w:tab w:val="left" w:pos="2880"/>
      </w:tabs>
      <w:spacing w:after="120" w:line="240" w:lineRule="auto"/>
      <w:ind w:left="2880" w:hanging="2880"/>
      <w:jc w:val="left"/>
    </w:pPr>
    <w:rPr>
      <w:i/>
      <w:iCs/>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D26DF3"/>
    <w:rPr>
      <w:i/>
      <w:iCs/>
      <w:sz w:val="24"/>
      <w:szCs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D26DF3"/>
    <w:pPr>
      <w:keepNext/>
      <w:spacing w:after="40" w:line="240" w:lineRule="auto"/>
      <w:ind w:left="709" w:hanging="709"/>
      <w:jc w:val="left"/>
    </w:pPr>
    <w:rPr>
      <w:rFonts w:ascii="Arial Narrow" w:eastAsia="Times New Roman" w:hAnsi="Arial Narrow" w:cs="Arial Narrow"/>
      <w:b/>
      <w:bCs/>
      <w:lang w:val="en-GB" w:eastAsia="ja-JP"/>
    </w:rPr>
  </w:style>
  <w:style w:type="character" w:styleId="CommentReference">
    <w:name w:val="annotation reference"/>
    <w:uiPriority w:val="99"/>
    <w:semiHidden/>
    <w:rsid w:val="00D26DF3"/>
    <w:rPr>
      <w:sz w:val="16"/>
      <w:szCs w:val="16"/>
    </w:rPr>
  </w:style>
  <w:style w:type="paragraph" w:styleId="CommentText">
    <w:name w:val="annotation text"/>
    <w:basedOn w:val="Normal"/>
    <w:link w:val="CommentTextChar"/>
    <w:uiPriority w:val="99"/>
    <w:semiHidden/>
    <w:rsid w:val="00D26DF3"/>
    <w:rPr>
      <w:rFonts w:ascii="Times New Roman" w:hAnsi="Times New Roman" w:cs="Times New Roman"/>
      <w:lang w:val="x-none"/>
    </w:rPr>
  </w:style>
  <w:style w:type="character" w:customStyle="1" w:styleId="CommentTextChar">
    <w:name w:val="Comment Text Char"/>
    <w:link w:val="CommentText"/>
    <w:uiPriority w:val="99"/>
    <w:semiHidden/>
    <w:locked/>
    <w:rsid w:val="00D26DF3"/>
    <w:rPr>
      <w:rFonts w:ascii="Times New Roman" w:eastAsia="SimSun" w:hAnsi="Times New Roman" w:cs="Times New Roman"/>
      <w:sz w:val="20"/>
      <w:szCs w:val="20"/>
      <w:lang w:val="x-none" w:eastAsia="zh-CN"/>
    </w:rPr>
  </w:style>
  <w:style w:type="paragraph" w:styleId="CommentSubject">
    <w:name w:val="annotation subject"/>
    <w:basedOn w:val="CommentText"/>
    <w:next w:val="CommentText"/>
    <w:link w:val="CommentSubjectChar"/>
    <w:uiPriority w:val="99"/>
    <w:semiHidden/>
    <w:rsid w:val="00D26DF3"/>
    <w:rPr>
      <w:b/>
      <w:bCs/>
    </w:rPr>
  </w:style>
  <w:style w:type="character" w:customStyle="1" w:styleId="CommentSubjectChar">
    <w:name w:val="Comment Subject Char"/>
    <w:link w:val="CommentSubject"/>
    <w:uiPriority w:val="99"/>
    <w:semiHidden/>
    <w:locked/>
    <w:rsid w:val="00D26DF3"/>
    <w:rPr>
      <w:rFonts w:ascii="Times New Roman" w:eastAsia="SimSun" w:hAnsi="Times New Roman" w:cs="Times New Roman"/>
      <w:b/>
      <w:bCs/>
      <w:sz w:val="20"/>
      <w:szCs w:val="20"/>
      <w:lang w:val="x-none" w:eastAsia="zh-CN"/>
    </w:rPr>
  </w:style>
  <w:style w:type="paragraph" w:customStyle="1" w:styleId="Execsummary">
    <w:name w:val="Exec summary"/>
    <w:basedOn w:val="Normal"/>
    <w:uiPriority w:val="99"/>
    <w:semiHidden/>
    <w:rsid w:val="00D26DF3"/>
    <w:pPr>
      <w:spacing w:line="288" w:lineRule="auto"/>
    </w:pPr>
    <w:rPr>
      <w:sz w:val="22"/>
      <w:szCs w:val="22"/>
    </w:rPr>
  </w:style>
  <w:style w:type="paragraph" w:styleId="Footer">
    <w:name w:val="footer"/>
    <w:basedOn w:val="Normal"/>
    <w:link w:val="FooterChar"/>
    <w:uiPriority w:val="99"/>
    <w:rsid w:val="00D26DF3"/>
    <w:pPr>
      <w:tabs>
        <w:tab w:val="center" w:pos="4320"/>
        <w:tab w:val="right" w:pos="8640"/>
      </w:tabs>
    </w:pPr>
    <w:rPr>
      <w:rFonts w:ascii="Times New Roman" w:hAnsi="Times New Roman" w:cs="Times New Roman"/>
      <w:lang w:val="x-none"/>
    </w:rPr>
  </w:style>
  <w:style w:type="character" w:customStyle="1" w:styleId="FooterChar">
    <w:name w:val="Footer Char"/>
    <w:link w:val="Footer"/>
    <w:uiPriority w:val="99"/>
    <w:locked/>
    <w:rsid w:val="00D26DF3"/>
    <w:rPr>
      <w:rFonts w:ascii="Times New Roman" w:eastAsia="SimSun" w:hAnsi="Times New Roman" w:cs="Times New Roman"/>
      <w:sz w:val="20"/>
      <w:szCs w:val="20"/>
      <w:lang w:val="x-none" w:eastAsia="zh-CN"/>
    </w:rPr>
  </w:style>
  <w:style w:type="character" w:styleId="FootnoteReference">
    <w:name w:val="footnote reference"/>
    <w:uiPriority w:val="99"/>
    <w:semiHidden/>
    <w:rsid w:val="00D26DF3"/>
    <w:rPr>
      <w:vertAlign w:val="superscript"/>
    </w:rPr>
  </w:style>
  <w:style w:type="paragraph" w:styleId="FootnoteText">
    <w:name w:val="footnote text"/>
    <w:basedOn w:val="Normal"/>
    <w:link w:val="FootnoteTextChar"/>
    <w:uiPriority w:val="99"/>
    <w:semiHidden/>
    <w:rsid w:val="00D26DF3"/>
    <w:pPr>
      <w:spacing w:line="240" w:lineRule="auto"/>
      <w:jc w:val="left"/>
    </w:pPr>
    <w:rPr>
      <w:rFonts w:ascii="Calibri" w:eastAsia="Calibri" w:hAnsi="Calibri" w:cs="Times New Roman"/>
      <w:lang w:val="x-none" w:eastAsia="x-none"/>
    </w:rPr>
  </w:style>
  <w:style w:type="character" w:customStyle="1" w:styleId="FootnoteTextChar">
    <w:name w:val="Footnote Text Char"/>
    <w:link w:val="FootnoteText"/>
    <w:uiPriority w:val="99"/>
    <w:semiHidden/>
    <w:locked/>
    <w:rsid w:val="00D26DF3"/>
    <w:rPr>
      <w:sz w:val="20"/>
      <w:szCs w:val="20"/>
    </w:rPr>
  </w:style>
  <w:style w:type="paragraph" w:customStyle="1" w:styleId="GMHEADING1">
    <w:name w:val="GMHEADING1"/>
    <w:basedOn w:val="Normal"/>
    <w:next w:val="Normal"/>
    <w:uiPriority w:val="99"/>
    <w:rsid w:val="00D26DF3"/>
    <w:pPr>
      <w:tabs>
        <w:tab w:val="left" w:pos="1276"/>
      </w:tabs>
      <w:spacing w:after="120" w:line="264" w:lineRule="auto"/>
      <w:ind w:left="1276" w:hanging="1276"/>
      <w:jc w:val="left"/>
    </w:pPr>
    <w:rPr>
      <w:b/>
      <w:bCs/>
      <w:sz w:val="27"/>
      <w:szCs w:val="27"/>
    </w:rPr>
  </w:style>
  <w:style w:type="paragraph" w:customStyle="1" w:styleId="GMHeading2">
    <w:name w:val="GMHeading2"/>
    <w:basedOn w:val="Normal"/>
    <w:next w:val="Normal"/>
    <w:uiPriority w:val="99"/>
    <w:rsid w:val="00D26DF3"/>
    <w:pPr>
      <w:tabs>
        <w:tab w:val="left" w:pos="1276"/>
      </w:tabs>
      <w:spacing w:before="120" w:after="120" w:line="240" w:lineRule="auto"/>
      <w:ind w:left="1276" w:hanging="1276"/>
      <w:jc w:val="left"/>
    </w:pPr>
    <w:rPr>
      <w:b/>
      <w:bCs/>
      <w:sz w:val="28"/>
      <w:szCs w:val="28"/>
    </w:rPr>
  </w:style>
  <w:style w:type="paragraph" w:customStyle="1" w:styleId="GMHeading3">
    <w:name w:val="GMHeading3"/>
    <w:basedOn w:val="Normal"/>
    <w:next w:val="Normal"/>
    <w:uiPriority w:val="99"/>
    <w:rsid w:val="00D26DF3"/>
    <w:pPr>
      <w:keepNext/>
      <w:tabs>
        <w:tab w:val="left" w:pos="1276"/>
      </w:tabs>
      <w:suppressAutoHyphens/>
      <w:spacing w:before="120" w:after="120" w:line="240" w:lineRule="auto"/>
      <w:ind w:left="1276" w:hanging="1276"/>
      <w:jc w:val="left"/>
    </w:pPr>
    <w:rPr>
      <w:b/>
      <w:bCs/>
      <w:sz w:val="25"/>
      <w:szCs w:val="25"/>
    </w:rPr>
  </w:style>
  <w:style w:type="paragraph" w:customStyle="1" w:styleId="GMHeading4">
    <w:name w:val="GMHeading4"/>
    <w:basedOn w:val="Heading1"/>
    <w:next w:val="Normal"/>
    <w:uiPriority w:val="99"/>
    <w:rsid w:val="00D26DF3"/>
    <w:pPr>
      <w:tabs>
        <w:tab w:val="left" w:pos="1276"/>
      </w:tabs>
      <w:spacing w:before="120" w:after="80"/>
      <w:ind w:left="1276" w:hanging="1276"/>
      <w:jc w:val="left"/>
    </w:pPr>
    <w:rPr>
      <w:b w:val="0"/>
      <w:bCs w:val="0"/>
      <w:sz w:val="25"/>
      <w:szCs w:val="25"/>
    </w:rPr>
  </w:style>
  <w:style w:type="paragraph" w:styleId="Header">
    <w:name w:val="header"/>
    <w:basedOn w:val="Normal"/>
    <w:link w:val="HeaderChar"/>
    <w:uiPriority w:val="99"/>
    <w:rsid w:val="00D26DF3"/>
    <w:pPr>
      <w:tabs>
        <w:tab w:val="right" w:pos="9240"/>
      </w:tabs>
      <w:spacing w:line="240" w:lineRule="auto"/>
      <w:ind w:right="28"/>
      <w:jc w:val="left"/>
    </w:pPr>
    <w:rPr>
      <w:rFonts w:ascii="Times New Roman" w:hAnsi="Times New Roman" w:cs="Times New Roman"/>
      <w:u w:val="single"/>
      <w:lang w:val="x-none"/>
    </w:rPr>
  </w:style>
  <w:style w:type="character" w:customStyle="1" w:styleId="HeaderChar">
    <w:name w:val="Header Char"/>
    <w:link w:val="Header"/>
    <w:uiPriority w:val="99"/>
    <w:locked/>
    <w:rsid w:val="00D26DF3"/>
    <w:rPr>
      <w:rFonts w:ascii="Times New Roman" w:eastAsia="SimSun" w:hAnsi="Times New Roman" w:cs="Times New Roman"/>
      <w:sz w:val="20"/>
      <w:szCs w:val="20"/>
      <w:u w:val="single"/>
      <w:lang w:val="x-none" w:eastAsia="zh-CN"/>
    </w:rPr>
  </w:style>
  <w:style w:type="character" w:styleId="Hyperlink">
    <w:name w:val="Hyperlink"/>
    <w:uiPriority w:val="99"/>
    <w:rsid w:val="00D26DF3"/>
    <w:rPr>
      <w:color w:val="0000FF"/>
      <w:u w:val="single"/>
    </w:rPr>
  </w:style>
  <w:style w:type="paragraph" w:customStyle="1" w:styleId="Numberedtext">
    <w:name w:val="Numbered text"/>
    <w:basedOn w:val="Normal"/>
    <w:uiPriority w:val="99"/>
    <w:semiHidden/>
    <w:rsid w:val="00D26DF3"/>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D26DF3"/>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D26DF3"/>
  </w:style>
  <w:style w:type="paragraph" w:customStyle="1" w:styleId="Source">
    <w:name w:val="Source"/>
    <w:basedOn w:val="Normal"/>
    <w:uiPriority w:val="99"/>
    <w:rsid w:val="00D26DF3"/>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D26DF3"/>
    <w:pPr>
      <w:tabs>
        <w:tab w:val="left" w:pos="1134"/>
      </w:tabs>
      <w:spacing w:line="240" w:lineRule="auto"/>
      <w:ind w:left="1134" w:hanging="1134"/>
      <w:jc w:val="left"/>
    </w:pPr>
    <w:rPr>
      <w:rFonts w:eastAsia="Times New Roman"/>
      <w:sz w:val="18"/>
      <w:szCs w:val="18"/>
      <w:lang w:eastAsia="ja-JP"/>
    </w:rPr>
  </w:style>
  <w:style w:type="character" w:customStyle="1" w:styleId="SourceChar1">
    <w:name w:val="Source Char1"/>
    <w:uiPriority w:val="99"/>
    <w:rsid w:val="00D26DF3"/>
    <w:rPr>
      <w:rFonts w:eastAsia="SimSun"/>
      <w:sz w:val="18"/>
      <w:szCs w:val="18"/>
      <w:lang w:val="en-AU" w:eastAsia="en-US"/>
    </w:rPr>
  </w:style>
  <w:style w:type="paragraph" w:customStyle="1" w:styleId="Spaceundertable">
    <w:name w:val="Space under table"/>
    <w:basedOn w:val="Normal"/>
    <w:uiPriority w:val="99"/>
    <w:rsid w:val="00D26DF3"/>
    <w:pPr>
      <w:numPr>
        <w:numId w:val="4"/>
      </w:numPr>
      <w:spacing w:line="240" w:lineRule="auto"/>
      <w:jc w:val="left"/>
    </w:pPr>
    <w:rPr>
      <w:sz w:val="8"/>
      <w:szCs w:val="8"/>
    </w:rPr>
  </w:style>
  <w:style w:type="paragraph" w:customStyle="1" w:styleId="Style1">
    <w:name w:val="Style1"/>
    <w:basedOn w:val="GMHeading2"/>
    <w:uiPriority w:val="99"/>
    <w:rsid w:val="00D26DF3"/>
  </w:style>
  <w:style w:type="paragraph" w:customStyle="1" w:styleId="Style2">
    <w:name w:val="Style2"/>
    <w:basedOn w:val="GMHeading3"/>
    <w:uiPriority w:val="99"/>
    <w:rsid w:val="00D26DF3"/>
  </w:style>
  <w:style w:type="table" w:styleId="TableGrid">
    <w:name w:val="Table Grid"/>
    <w:basedOn w:val="TableNormal"/>
    <w:uiPriority w:val="99"/>
    <w:rsid w:val="00D26DF3"/>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rsid w:val="00D26DF3"/>
    <w:pPr>
      <w:tabs>
        <w:tab w:val="right" w:leader="dot" w:pos="9240"/>
      </w:tabs>
      <w:spacing w:after="80" w:line="240" w:lineRule="auto"/>
      <w:ind w:left="1644" w:right="720" w:hanging="1644"/>
      <w:jc w:val="left"/>
    </w:pPr>
    <w:rPr>
      <w:rFonts w:eastAsia="Times New Roman"/>
      <w:noProof/>
      <w:sz w:val="22"/>
      <w:szCs w:val="22"/>
      <w:lang w:eastAsia="ja-JP"/>
    </w:rPr>
  </w:style>
  <w:style w:type="paragraph" w:customStyle="1" w:styleId="Tabletextleft">
    <w:name w:val="Table text (left)"/>
    <w:basedOn w:val="Normal"/>
    <w:uiPriority w:val="99"/>
    <w:rsid w:val="00D26DF3"/>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D26DF3"/>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D26DF3"/>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D26DF3"/>
    <w:pPr>
      <w:numPr>
        <w:numId w:val="2"/>
      </w:numPr>
      <w:spacing w:before="40" w:after="40" w:line="240" w:lineRule="auto"/>
      <w:jc w:val="left"/>
    </w:pPr>
  </w:style>
  <w:style w:type="paragraph" w:customStyle="1" w:styleId="Tabletextbullettedv2">
    <w:name w:val="Table text bulletted v2"/>
    <w:basedOn w:val="Tabletextbulleted"/>
    <w:uiPriority w:val="99"/>
    <w:rsid w:val="00D26DF3"/>
    <w:pPr>
      <w:numPr>
        <w:numId w:val="0"/>
      </w:numPr>
      <w:spacing w:before="20" w:after="20"/>
    </w:pPr>
    <w:rPr>
      <w:lang w:val="en-US"/>
    </w:rPr>
  </w:style>
  <w:style w:type="paragraph" w:customStyle="1" w:styleId="Tabletextindentleft">
    <w:name w:val="Table text indent left"/>
    <w:basedOn w:val="TableText1left"/>
    <w:uiPriority w:val="99"/>
    <w:semiHidden/>
    <w:rsid w:val="00D26DF3"/>
    <w:pPr>
      <w:ind w:left="252"/>
    </w:pPr>
    <w:rPr>
      <w:lang w:val="en-AU"/>
    </w:rPr>
  </w:style>
  <w:style w:type="paragraph" w:customStyle="1" w:styleId="TabletextindentedlistA">
    <w:name w:val="Table text indented list A"/>
    <w:aliases w:val="B,C"/>
    <w:basedOn w:val="Tabletextbulleted"/>
    <w:uiPriority w:val="99"/>
    <w:rsid w:val="00D26DF3"/>
    <w:pPr>
      <w:numPr>
        <w:numId w:val="0"/>
      </w:numPr>
      <w:tabs>
        <w:tab w:val="left" w:pos="284"/>
        <w:tab w:val="left" w:pos="2835"/>
      </w:tabs>
    </w:pPr>
  </w:style>
  <w:style w:type="paragraph" w:customStyle="1" w:styleId="TabletextRelativeRisksRR">
    <w:name w:val="Table text Relative Risks (RR)"/>
    <w:basedOn w:val="Normal"/>
    <w:uiPriority w:val="99"/>
    <w:semiHidden/>
    <w:rsid w:val="00D26DF3"/>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D26DF3"/>
    <w:pPr>
      <w:spacing w:after="170" w:line="280" w:lineRule="atLeast"/>
    </w:pPr>
    <w:rPr>
      <w:lang w:val="en-US"/>
    </w:rPr>
  </w:style>
  <w:style w:type="paragraph" w:styleId="Title">
    <w:name w:val="Title"/>
    <w:basedOn w:val="Normal"/>
    <w:link w:val="TitleChar"/>
    <w:uiPriority w:val="99"/>
    <w:qFormat/>
    <w:rsid w:val="00D26DF3"/>
    <w:pPr>
      <w:spacing w:before="240" w:after="60"/>
      <w:jc w:val="center"/>
      <w:outlineLvl w:val="0"/>
    </w:pPr>
    <w:rPr>
      <w:rFonts w:ascii="Arial" w:hAnsi="Arial" w:cs="Times New Roman"/>
      <w:b/>
      <w:bCs/>
      <w:kern w:val="28"/>
      <w:sz w:val="32"/>
      <w:szCs w:val="32"/>
      <w:lang w:val="x-none"/>
    </w:rPr>
  </w:style>
  <w:style w:type="character" w:customStyle="1" w:styleId="TitleChar">
    <w:name w:val="Title Char"/>
    <w:link w:val="Title"/>
    <w:uiPriority w:val="99"/>
    <w:locked/>
    <w:rsid w:val="00D26DF3"/>
    <w:rPr>
      <w:rFonts w:ascii="Arial" w:eastAsia="SimSun" w:hAnsi="Arial" w:cs="Arial"/>
      <w:b/>
      <w:bCs/>
      <w:kern w:val="28"/>
      <w:sz w:val="32"/>
      <w:szCs w:val="32"/>
      <w:lang w:val="x-none" w:eastAsia="zh-CN"/>
    </w:rPr>
  </w:style>
  <w:style w:type="paragraph" w:customStyle="1" w:styleId="TOCheading">
    <w:name w:val="TOC (heading)"/>
    <w:basedOn w:val="Normal"/>
    <w:next w:val="Normal"/>
    <w:uiPriority w:val="99"/>
    <w:rsid w:val="00D26DF3"/>
    <w:pPr>
      <w:tabs>
        <w:tab w:val="right" w:leader="dot" w:pos="9240"/>
      </w:tabs>
      <w:spacing w:after="120" w:line="264" w:lineRule="auto"/>
      <w:jc w:val="center"/>
    </w:pPr>
    <w:rPr>
      <w:b/>
      <w:bCs/>
      <w:sz w:val="32"/>
      <w:szCs w:val="32"/>
      <w:lang w:eastAsia="en-US"/>
    </w:rPr>
  </w:style>
  <w:style w:type="paragraph" w:styleId="TOC1">
    <w:name w:val="toc 1"/>
    <w:basedOn w:val="Normal"/>
    <w:next w:val="Normal"/>
    <w:autoRedefine/>
    <w:uiPriority w:val="39"/>
    <w:rsid w:val="00D26DF3"/>
    <w:pPr>
      <w:tabs>
        <w:tab w:val="left" w:pos="840"/>
        <w:tab w:val="right" w:leader="dot" w:pos="9240"/>
      </w:tabs>
      <w:spacing w:before="240" w:after="120" w:line="264" w:lineRule="auto"/>
      <w:ind w:left="840" w:right="602" w:hanging="840"/>
      <w:jc w:val="left"/>
    </w:pPr>
    <w:rPr>
      <w:b/>
      <w:bCs/>
      <w:noProof/>
    </w:rPr>
  </w:style>
  <w:style w:type="paragraph" w:styleId="TOC2">
    <w:name w:val="toc 2"/>
    <w:basedOn w:val="Normal"/>
    <w:next w:val="Normal"/>
    <w:autoRedefine/>
    <w:uiPriority w:val="39"/>
    <w:rsid w:val="00D26DF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autoRedefine/>
    <w:uiPriority w:val="99"/>
    <w:semiHidden/>
    <w:rsid w:val="00D26DF3"/>
    <w:pPr>
      <w:tabs>
        <w:tab w:val="left" w:pos="1800"/>
        <w:tab w:val="right" w:leader="dot" w:pos="9240"/>
      </w:tabs>
      <w:spacing w:after="60" w:line="240" w:lineRule="auto"/>
      <w:ind w:left="1800" w:right="602" w:hanging="960"/>
      <w:jc w:val="left"/>
    </w:pPr>
    <w:rPr>
      <w:noProof/>
      <w:sz w:val="22"/>
      <w:szCs w:val="22"/>
      <w:lang w:val="fr-FR" w:eastAsia="en-US"/>
    </w:rPr>
  </w:style>
  <w:style w:type="paragraph" w:styleId="TOC4">
    <w:name w:val="toc 4"/>
    <w:basedOn w:val="Normal"/>
    <w:next w:val="Normal"/>
    <w:autoRedefine/>
    <w:uiPriority w:val="99"/>
    <w:semiHidden/>
    <w:rsid w:val="00D26DF3"/>
    <w:pPr>
      <w:tabs>
        <w:tab w:val="left" w:pos="3000"/>
        <w:tab w:val="right" w:leader="dot" w:pos="9240"/>
      </w:tabs>
      <w:spacing w:after="60" w:line="240" w:lineRule="auto"/>
      <w:ind w:left="3000" w:right="602" w:hanging="1200"/>
      <w:jc w:val="left"/>
    </w:pPr>
    <w:rPr>
      <w:i/>
      <w:iCs/>
      <w:noProof/>
      <w:sz w:val="22"/>
      <w:szCs w:val="22"/>
      <w:lang w:eastAsia="en-US"/>
    </w:rPr>
  </w:style>
  <w:style w:type="paragraph" w:styleId="TOC5">
    <w:name w:val="toc 5"/>
    <w:basedOn w:val="Normal"/>
    <w:next w:val="Normal"/>
    <w:autoRedefine/>
    <w:uiPriority w:val="99"/>
    <w:semiHidden/>
    <w:rsid w:val="00D26DF3"/>
    <w:pPr>
      <w:tabs>
        <w:tab w:val="right" w:leader="dot" w:pos="9469"/>
      </w:tabs>
      <w:ind w:left="960"/>
    </w:pPr>
  </w:style>
  <w:style w:type="paragraph" w:styleId="TOC6">
    <w:name w:val="toc 6"/>
    <w:basedOn w:val="Normal"/>
    <w:next w:val="Normal"/>
    <w:autoRedefine/>
    <w:uiPriority w:val="99"/>
    <w:semiHidden/>
    <w:rsid w:val="00D26DF3"/>
    <w:pPr>
      <w:tabs>
        <w:tab w:val="right" w:leader="dot" w:pos="9469"/>
      </w:tabs>
      <w:ind w:left="1200"/>
    </w:pPr>
  </w:style>
  <w:style w:type="paragraph" w:styleId="TOCHeading0">
    <w:name w:val="TOC Heading"/>
    <w:basedOn w:val="Heading1"/>
    <w:next w:val="Normal"/>
    <w:uiPriority w:val="99"/>
    <w:qFormat/>
    <w:rsid w:val="00D26DF3"/>
    <w:pPr>
      <w:keepLines/>
      <w:spacing w:before="480" w:line="276" w:lineRule="auto"/>
      <w:jc w:val="left"/>
      <w:outlineLvl w:val="9"/>
    </w:pPr>
    <w:rPr>
      <w:rFonts w:eastAsia="Times New Roman"/>
      <w:lang w:val="en-US" w:eastAsia="en-US"/>
    </w:rPr>
  </w:style>
  <w:style w:type="paragraph" w:styleId="ListParagraph">
    <w:name w:val="List Paragraph"/>
    <w:basedOn w:val="Normal"/>
    <w:uiPriority w:val="34"/>
    <w:qFormat/>
    <w:rsid w:val="00D26DF3"/>
    <w:pPr>
      <w:ind w:left="720"/>
    </w:pPr>
  </w:style>
  <w:style w:type="paragraph" w:styleId="NoSpacing">
    <w:name w:val="No Spacing"/>
    <w:link w:val="NoSpacingChar"/>
    <w:uiPriority w:val="1"/>
    <w:qFormat/>
    <w:rsid w:val="00D26DF3"/>
    <w:rPr>
      <w:rFonts w:eastAsia="Times New Roman" w:cs="Calibri"/>
      <w:sz w:val="22"/>
      <w:szCs w:val="22"/>
      <w:lang w:val="en-US" w:eastAsia="en-US"/>
    </w:rPr>
  </w:style>
  <w:style w:type="character" w:customStyle="1" w:styleId="NoSpacingChar">
    <w:name w:val="No Spacing Char"/>
    <w:link w:val="NoSpacing"/>
    <w:uiPriority w:val="1"/>
    <w:locked/>
    <w:rsid w:val="00D26DF3"/>
    <w:rPr>
      <w:rFonts w:eastAsia="Times New Roman" w:cs="Calibri"/>
      <w:sz w:val="22"/>
      <w:szCs w:val="22"/>
      <w:lang w:val="en-US" w:eastAsia="en-US" w:bidi="ar-SA"/>
    </w:rPr>
  </w:style>
  <w:style w:type="character" w:styleId="FollowedHyperlink">
    <w:name w:val="FollowedHyperlink"/>
    <w:uiPriority w:val="99"/>
    <w:semiHidden/>
    <w:rsid w:val="00D26DF3"/>
    <w:rPr>
      <w:color w:val="800080"/>
      <w:u w:val="single"/>
    </w:rPr>
  </w:style>
  <w:style w:type="paragraph" w:customStyle="1" w:styleId="CharChar1CharCharCharChar">
    <w:name w:val="Char Char1 Char Char Char Char"/>
    <w:basedOn w:val="Normal"/>
    <w:uiPriority w:val="99"/>
    <w:rsid w:val="00D26DF3"/>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D26DF3"/>
    <w:pPr>
      <w:keepNext/>
      <w:spacing w:after="0" w:line="240" w:lineRule="auto"/>
      <w:jc w:val="left"/>
    </w:pPr>
    <w:rPr>
      <w:rFonts w:ascii="Trebuchet MS" w:eastAsia="Times New Roman" w:hAnsi="Trebuchet MS" w:cs="Trebuchet MS"/>
      <w:sz w:val="18"/>
      <w:szCs w:val="18"/>
      <w:lang w:eastAsia="en-US"/>
    </w:rPr>
  </w:style>
  <w:style w:type="paragraph" w:styleId="NormalWeb">
    <w:name w:val="Normal (Web)"/>
    <w:basedOn w:val="Normal"/>
    <w:uiPriority w:val="99"/>
    <w:rsid w:val="00D26DF3"/>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 w:type="table" w:customStyle="1" w:styleId="LightShading1">
    <w:name w:val="Light Shading1"/>
    <w:uiPriority w:val="99"/>
    <w:rsid w:val="00D26DF3"/>
    <w:rPr>
      <w:rFonts w:cs="Calibri"/>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D26DF3"/>
    <w:rPr>
      <w:rFonts w:cs="Calibri"/>
      <w:color w:val="365F91"/>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D26DF3"/>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D26DF3"/>
    <w:rPr>
      <w:rFonts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D26DF3"/>
    <w:rPr>
      <w:rFonts w:cs="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D26DF3"/>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DocumentMap">
    <w:name w:val="Document Map"/>
    <w:basedOn w:val="Normal"/>
    <w:link w:val="DocumentMapChar"/>
    <w:uiPriority w:val="99"/>
    <w:semiHidden/>
    <w:unhideWhenUsed/>
    <w:locked/>
    <w:rsid w:val="00487EA0"/>
    <w:rPr>
      <w:rFonts w:cs="Times New Roman"/>
      <w:sz w:val="16"/>
      <w:szCs w:val="16"/>
      <w:lang w:eastAsia="x-none"/>
    </w:rPr>
  </w:style>
  <w:style w:type="character" w:customStyle="1" w:styleId="DocumentMapChar">
    <w:name w:val="Document Map Char"/>
    <w:link w:val="DocumentMap"/>
    <w:uiPriority w:val="99"/>
    <w:semiHidden/>
    <w:rsid w:val="00487EA0"/>
    <w:rPr>
      <w:rFonts w:ascii="Tahoma" w:eastAsia="SimSun" w:hAnsi="Tahoma" w:cs="Tahoma"/>
      <w:sz w:val="16"/>
      <w:szCs w:val="16"/>
      <w:lang w:val="en-AU"/>
    </w:rPr>
  </w:style>
  <w:style w:type="paragraph" w:customStyle="1" w:styleId="Standard">
    <w:name w:val="Standard"/>
    <w:uiPriority w:val="99"/>
    <w:rsid w:val="00CC38F9"/>
    <w:pPr>
      <w:suppressAutoHyphens/>
      <w:autoSpaceDN w:val="0"/>
      <w:spacing w:after="200" w:line="276" w:lineRule="auto"/>
      <w:textAlignment w:val="baseline"/>
    </w:pPr>
    <w:rPr>
      <w:kern w:val="3"/>
      <w:sz w:val="22"/>
      <w:szCs w:val="22"/>
      <w:lang w:eastAsia="en-US"/>
    </w:rPr>
  </w:style>
  <w:style w:type="numbering" w:customStyle="1" w:styleId="WWNum2">
    <w:name w:val="WWNum2"/>
    <w:rsid w:val="008857FD"/>
    <w:pPr>
      <w:numPr>
        <w:numId w:val="32"/>
      </w:numPr>
    </w:pPr>
  </w:style>
  <w:style w:type="character" w:styleId="Emphasis">
    <w:name w:val="Emphasis"/>
    <w:uiPriority w:val="20"/>
    <w:qFormat/>
    <w:locked/>
    <w:rsid w:val="008847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E6CC4"/>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D26DF3"/>
    <w:pPr>
      <w:keepNext/>
      <w:spacing w:before="360" w:after="160"/>
      <w:outlineLvl w:val="0"/>
    </w:pPr>
    <w:rPr>
      <w:rFonts w:cs="Times New Roman"/>
      <w:b/>
      <w:bCs/>
      <w:color w:val="215868"/>
      <w:sz w:val="32"/>
      <w:szCs w:val="32"/>
      <w:lang w:val="x-none"/>
    </w:rPr>
  </w:style>
  <w:style w:type="paragraph" w:styleId="Heading2">
    <w:name w:val="heading 2"/>
    <w:basedOn w:val="Normal"/>
    <w:next w:val="Normal"/>
    <w:link w:val="Heading2Char"/>
    <w:uiPriority w:val="99"/>
    <w:qFormat/>
    <w:rsid w:val="00D26DF3"/>
    <w:pPr>
      <w:keepNext/>
      <w:spacing w:before="240" w:after="160"/>
      <w:outlineLvl w:val="1"/>
    </w:pPr>
    <w:rPr>
      <w:rFonts w:cs="Times New Roman"/>
      <w:b/>
      <w:bCs/>
      <w:color w:val="215868"/>
      <w:sz w:val="28"/>
      <w:szCs w:val="28"/>
      <w:lang w:val="en-GB" w:eastAsia="ja-JP"/>
    </w:rPr>
  </w:style>
  <w:style w:type="paragraph" w:styleId="Heading3">
    <w:name w:val="heading 3"/>
    <w:basedOn w:val="Normal"/>
    <w:next w:val="Normal"/>
    <w:link w:val="Heading3Char"/>
    <w:uiPriority w:val="99"/>
    <w:qFormat/>
    <w:rsid w:val="00D26DF3"/>
    <w:pPr>
      <w:keepNext/>
      <w:spacing w:after="120"/>
      <w:outlineLvl w:val="2"/>
    </w:pPr>
    <w:rPr>
      <w:rFonts w:cs="Times New Roman"/>
      <w:color w:val="41A7BF"/>
      <w:lang w:val="x-none"/>
    </w:rPr>
  </w:style>
  <w:style w:type="paragraph" w:styleId="Heading4">
    <w:name w:val="heading 4"/>
    <w:basedOn w:val="Normal"/>
    <w:next w:val="Normal"/>
    <w:link w:val="Heading4Char"/>
    <w:uiPriority w:val="99"/>
    <w:qFormat/>
    <w:rsid w:val="00D26DF3"/>
    <w:pPr>
      <w:keepNext/>
      <w:numPr>
        <w:ilvl w:val="3"/>
        <w:numId w:val="1"/>
      </w:numPr>
      <w:outlineLvl w:val="3"/>
    </w:pPr>
    <w:rPr>
      <w:rFonts w:cs="Times New Roman"/>
      <w:u w:val="single"/>
    </w:rPr>
  </w:style>
  <w:style w:type="paragraph" w:styleId="Heading5">
    <w:name w:val="heading 5"/>
    <w:basedOn w:val="Normal"/>
    <w:next w:val="Normal"/>
    <w:link w:val="Heading5Char"/>
    <w:uiPriority w:val="99"/>
    <w:qFormat/>
    <w:rsid w:val="00D26DF3"/>
    <w:pPr>
      <w:keepNext/>
      <w:numPr>
        <w:ilvl w:val="4"/>
        <w:numId w:val="1"/>
      </w:numPr>
      <w:tabs>
        <w:tab w:val="left" w:pos="709"/>
      </w:tabs>
      <w:outlineLvl w:val="4"/>
    </w:pPr>
    <w:rPr>
      <w:rFonts w:cs="Times New Roman"/>
      <w:b/>
      <w:bCs/>
      <w:i/>
      <w:iCs/>
    </w:rPr>
  </w:style>
  <w:style w:type="paragraph" w:styleId="Heading6">
    <w:name w:val="heading 6"/>
    <w:basedOn w:val="Normal"/>
    <w:next w:val="Normal"/>
    <w:link w:val="Heading6Char"/>
    <w:uiPriority w:val="99"/>
    <w:qFormat/>
    <w:rsid w:val="00D26DF3"/>
    <w:pPr>
      <w:keepNext/>
      <w:numPr>
        <w:ilvl w:val="5"/>
        <w:numId w:val="1"/>
      </w:numPr>
      <w:jc w:val="center"/>
      <w:outlineLvl w:val="5"/>
    </w:pPr>
    <w:rPr>
      <w:rFonts w:cs="Times New Roman"/>
      <w:b/>
      <w:bCs/>
      <w:sz w:val="28"/>
      <w:szCs w:val="28"/>
    </w:rPr>
  </w:style>
  <w:style w:type="paragraph" w:styleId="Heading7">
    <w:name w:val="heading 7"/>
    <w:basedOn w:val="Normal"/>
    <w:next w:val="Normal"/>
    <w:link w:val="Heading7Char"/>
    <w:uiPriority w:val="99"/>
    <w:qFormat/>
    <w:rsid w:val="00D26DF3"/>
    <w:pPr>
      <w:keepNext/>
      <w:outlineLvl w:val="6"/>
    </w:pPr>
    <w:rPr>
      <w:rFonts w:ascii="Times New Roman" w:hAnsi="Times New Roman" w:cs="Times New Roman"/>
      <w:i/>
      <w:iCs/>
      <w:lang w:val="x-none"/>
    </w:rPr>
  </w:style>
  <w:style w:type="paragraph" w:styleId="Heading8">
    <w:name w:val="heading 8"/>
    <w:basedOn w:val="Normal"/>
    <w:next w:val="Normal"/>
    <w:link w:val="Heading8Char"/>
    <w:uiPriority w:val="99"/>
    <w:qFormat/>
    <w:rsid w:val="00D26DF3"/>
    <w:pPr>
      <w:keepNext/>
      <w:numPr>
        <w:ilvl w:val="7"/>
        <w:numId w:val="1"/>
      </w:numPr>
      <w:spacing w:line="288" w:lineRule="auto"/>
      <w:jc w:val="center"/>
      <w:outlineLvl w:val="7"/>
    </w:pPr>
    <w:rPr>
      <w:rFonts w:cs="Times New Roman"/>
      <w:sz w:val="48"/>
      <w:szCs w:val="48"/>
    </w:rPr>
  </w:style>
  <w:style w:type="paragraph" w:styleId="Heading9">
    <w:name w:val="heading 9"/>
    <w:basedOn w:val="Normal"/>
    <w:next w:val="Normal"/>
    <w:link w:val="Heading9Char"/>
    <w:uiPriority w:val="99"/>
    <w:qFormat/>
    <w:rsid w:val="00D26DF3"/>
    <w:pPr>
      <w:keepNext/>
      <w:numPr>
        <w:ilvl w:val="8"/>
        <w:numId w:val="1"/>
      </w:numPr>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26DF3"/>
    <w:rPr>
      <w:rFonts w:ascii="Tahoma" w:eastAsia="SimSun" w:hAnsi="Tahoma" w:cs="Tahoma"/>
      <w:b/>
      <w:bCs/>
      <w:color w:val="215868"/>
      <w:sz w:val="32"/>
      <w:szCs w:val="32"/>
      <w:lang w:val="x-none" w:eastAsia="zh-CN"/>
    </w:rPr>
  </w:style>
  <w:style w:type="character" w:customStyle="1" w:styleId="Heading2Char">
    <w:name w:val="Heading 2 Char"/>
    <w:link w:val="Heading2"/>
    <w:uiPriority w:val="99"/>
    <w:locked/>
    <w:rsid w:val="00D26DF3"/>
    <w:rPr>
      <w:rFonts w:ascii="Tahoma" w:eastAsia="SimSun" w:hAnsi="Tahoma" w:cs="Tahoma"/>
      <w:b/>
      <w:bCs/>
      <w:color w:val="215868"/>
      <w:sz w:val="28"/>
      <w:szCs w:val="28"/>
      <w:lang w:val="en-GB" w:eastAsia="ja-JP"/>
    </w:rPr>
  </w:style>
  <w:style w:type="character" w:customStyle="1" w:styleId="Heading3Char">
    <w:name w:val="Heading 3 Char"/>
    <w:link w:val="Heading3"/>
    <w:uiPriority w:val="99"/>
    <w:locked/>
    <w:rsid w:val="00D26DF3"/>
    <w:rPr>
      <w:rFonts w:ascii="Tahoma" w:eastAsia="SimSun" w:hAnsi="Tahoma" w:cs="Tahoma"/>
      <w:color w:val="41A7BF"/>
      <w:sz w:val="20"/>
      <w:szCs w:val="20"/>
      <w:lang w:val="x-none" w:eastAsia="zh-CN"/>
    </w:rPr>
  </w:style>
  <w:style w:type="character" w:customStyle="1" w:styleId="Heading4Char">
    <w:name w:val="Heading 4 Char"/>
    <w:link w:val="Heading4"/>
    <w:uiPriority w:val="99"/>
    <w:locked/>
    <w:rsid w:val="00D26DF3"/>
    <w:rPr>
      <w:rFonts w:ascii="Tahoma" w:eastAsia="SimSun" w:hAnsi="Tahoma" w:cs="Tahoma"/>
      <w:u w:val="single"/>
      <w:lang w:val="en-AU" w:eastAsia="zh-CN"/>
    </w:rPr>
  </w:style>
  <w:style w:type="character" w:customStyle="1" w:styleId="Heading5Char">
    <w:name w:val="Heading 5 Char"/>
    <w:link w:val="Heading5"/>
    <w:uiPriority w:val="99"/>
    <w:locked/>
    <w:rsid w:val="00D26DF3"/>
    <w:rPr>
      <w:rFonts w:ascii="Tahoma" w:eastAsia="SimSun" w:hAnsi="Tahoma" w:cs="Tahoma"/>
      <w:b/>
      <w:bCs/>
      <w:i/>
      <w:iCs/>
      <w:lang w:val="en-AU" w:eastAsia="zh-CN"/>
    </w:rPr>
  </w:style>
  <w:style w:type="character" w:customStyle="1" w:styleId="Heading6Char">
    <w:name w:val="Heading 6 Char"/>
    <w:link w:val="Heading6"/>
    <w:uiPriority w:val="99"/>
    <w:locked/>
    <w:rsid w:val="00D26DF3"/>
    <w:rPr>
      <w:rFonts w:ascii="Tahoma" w:eastAsia="SimSun" w:hAnsi="Tahoma" w:cs="Tahoma"/>
      <w:b/>
      <w:bCs/>
      <w:sz w:val="28"/>
      <w:szCs w:val="28"/>
      <w:lang w:val="en-AU" w:eastAsia="zh-CN"/>
    </w:rPr>
  </w:style>
  <w:style w:type="character" w:customStyle="1" w:styleId="Heading7Char">
    <w:name w:val="Heading 7 Char"/>
    <w:link w:val="Heading7"/>
    <w:uiPriority w:val="99"/>
    <w:locked/>
    <w:rsid w:val="00D26DF3"/>
    <w:rPr>
      <w:rFonts w:ascii="Times New Roman" w:eastAsia="SimSun" w:hAnsi="Times New Roman" w:cs="Times New Roman"/>
      <w:i/>
      <w:iCs/>
      <w:sz w:val="20"/>
      <w:szCs w:val="20"/>
      <w:lang w:val="x-none" w:eastAsia="zh-CN"/>
    </w:rPr>
  </w:style>
  <w:style w:type="character" w:customStyle="1" w:styleId="Heading8Char">
    <w:name w:val="Heading 8 Char"/>
    <w:link w:val="Heading8"/>
    <w:uiPriority w:val="99"/>
    <w:locked/>
    <w:rsid w:val="00D26DF3"/>
    <w:rPr>
      <w:rFonts w:ascii="Tahoma" w:eastAsia="SimSun" w:hAnsi="Tahoma" w:cs="Tahoma"/>
      <w:sz w:val="48"/>
      <w:szCs w:val="48"/>
      <w:lang w:val="en-AU" w:eastAsia="zh-CN"/>
    </w:rPr>
  </w:style>
  <w:style w:type="character" w:customStyle="1" w:styleId="Heading9Char">
    <w:name w:val="Heading 9 Char"/>
    <w:link w:val="Heading9"/>
    <w:uiPriority w:val="99"/>
    <w:locked/>
    <w:rsid w:val="00D26DF3"/>
    <w:rPr>
      <w:rFonts w:ascii="Tahoma" w:eastAsia="SimSun" w:hAnsi="Tahoma" w:cs="Tahoma"/>
      <w:i/>
      <w:iCs/>
      <w:lang w:val="en-AU" w:eastAsia="zh-CN"/>
    </w:rPr>
  </w:style>
  <w:style w:type="paragraph" w:customStyle="1" w:styleId="Attachmentheading">
    <w:name w:val="Attachment heading"/>
    <w:basedOn w:val="Normal"/>
    <w:next w:val="Normal"/>
    <w:uiPriority w:val="99"/>
    <w:rsid w:val="00D26DF3"/>
    <w:pPr>
      <w:tabs>
        <w:tab w:val="left" w:pos="2552"/>
      </w:tabs>
      <w:spacing w:line="264" w:lineRule="auto"/>
      <w:ind w:left="2552" w:hanging="2552"/>
    </w:pPr>
    <w:rPr>
      <w:b/>
      <w:bCs/>
    </w:rPr>
  </w:style>
  <w:style w:type="paragraph" w:styleId="BalloonText">
    <w:name w:val="Balloon Text"/>
    <w:basedOn w:val="Normal"/>
    <w:link w:val="BalloonTextChar"/>
    <w:uiPriority w:val="99"/>
    <w:semiHidden/>
    <w:rsid w:val="00D26DF3"/>
    <w:pPr>
      <w:spacing w:line="240" w:lineRule="auto"/>
    </w:pPr>
    <w:rPr>
      <w:rFonts w:cs="Times New Roman"/>
      <w:sz w:val="16"/>
      <w:szCs w:val="16"/>
      <w:lang w:val="x-none"/>
    </w:rPr>
  </w:style>
  <w:style w:type="character" w:customStyle="1" w:styleId="BalloonTextChar">
    <w:name w:val="Balloon Text Char"/>
    <w:link w:val="BalloonText"/>
    <w:uiPriority w:val="99"/>
    <w:locked/>
    <w:rsid w:val="00D26DF3"/>
    <w:rPr>
      <w:rFonts w:ascii="Tahoma" w:eastAsia="SimSun" w:hAnsi="Tahoma" w:cs="Tahoma"/>
      <w:sz w:val="16"/>
      <w:szCs w:val="16"/>
      <w:lang w:val="x-none" w:eastAsia="zh-CN"/>
    </w:rPr>
  </w:style>
  <w:style w:type="paragraph" w:customStyle="1" w:styleId="Bulletedtext">
    <w:name w:val="Bulleted text"/>
    <w:basedOn w:val="Normal"/>
    <w:uiPriority w:val="99"/>
    <w:rsid w:val="00D26DF3"/>
    <w:pPr>
      <w:tabs>
        <w:tab w:val="left" w:pos="2835"/>
      </w:tabs>
    </w:pPr>
  </w:style>
  <w:style w:type="paragraph" w:customStyle="1" w:styleId="Bulletedtext2ndlevel">
    <w:name w:val="Bulleted text 2nd level"/>
    <w:basedOn w:val="Normal"/>
    <w:uiPriority w:val="99"/>
    <w:rsid w:val="00D26DF3"/>
    <w:pPr>
      <w:tabs>
        <w:tab w:val="num" w:pos="720"/>
      </w:tabs>
      <w:ind w:left="720" w:hanging="360"/>
      <w:jc w:val="left"/>
    </w:pPr>
  </w:style>
  <w:style w:type="paragraph" w:customStyle="1" w:styleId="Captioncontinued">
    <w:name w:val="Caption (continued)"/>
    <w:basedOn w:val="Normal"/>
    <w:next w:val="Normal"/>
    <w:uiPriority w:val="99"/>
    <w:rsid w:val="00D26DF3"/>
    <w:pPr>
      <w:tabs>
        <w:tab w:val="left" w:pos="2880"/>
      </w:tabs>
      <w:spacing w:after="120" w:line="240" w:lineRule="auto"/>
      <w:ind w:left="2880" w:hanging="2880"/>
      <w:jc w:val="left"/>
    </w:pPr>
    <w:rPr>
      <w:i/>
      <w:iCs/>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D26DF3"/>
    <w:rPr>
      <w:i/>
      <w:iCs/>
      <w:sz w:val="24"/>
      <w:szCs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D26DF3"/>
    <w:pPr>
      <w:keepNext/>
      <w:spacing w:after="40" w:line="240" w:lineRule="auto"/>
      <w:ind w:left="709" w:hanging="709"/>
      <w:jc w:val="left"/>
    </w:pPr>
    <w:rPr>
      <w:rFonts w:ascii="Arial Narrow" w:eastAsia="Times New Roman" w:hAnsi="Arial Narrow" w:cs="Arial Narrow"/>
      <w:b/>
      <w:bCs/>
      <w:lang w:val="en-GB" w:eastAsia="ja-JP"/>
    </w:rPr>
  </w:style>
  <w:style w:type="character" w:styleId="CommentReference">
    <w:name w:val="annotation reference"/>
    <w:uiPriority w:val="99"/>
    <w:semiHidden/>
    <w:rsid w:val="00D26DF3"/>
    <w:rPr>
      <w:sz w:val="16"/>
      <w:szCs w:val="16"/>
    </w:rPr>
  </w:style>
  <w:style w:type="paragraph" w:styleId="CommentText">
    <w:name w:val="annotation text"/>
    <w:basedOn w:val="Normal"/>
    <w:link w:val="CommentTextChar"/>
    <w:uiPriority w:val="99"/>
    <w:semiHidden/>
    <w:rsid w:val="00D26DF3"/>
    <w:rPr>
      <w:rFonts w:ascii="Times New Roman" w:hAnsi="Times New Roman" w:cs="Times New Roman"/>
      <w:lang w:val="x-none"/>
    </w:rPr>
  </w:style>
  <w:style w:type="character" w:customStyle="1" w:styleId="CommentTextChar">
    <w:name w:val="Comment Text Char"/>
    <w:link w:val="CommentText"/>
    <w:uiPriority w:val="99"/>
    <w:semiHidden/>
    <w:locked/>
    <w:rsid w:val="00D26DF3"/>
    <w:rPr>
      <w:rFonts w:ascii="Times New Roman" w:eastAsia="SimSun" w:hAnsi="Times New Roman" w:cs="Times New Roman"/>
      <w:sz w:val="20"/>
      <w:szCs w:val="20"/>
      <w:lang w:val="x-none" w:eastAsia="zh-CN"/>
    </w:rPr>
  </w:style>
  <w:style w:type="paragraph" w:styleId="CommentSubject">
    <w:name w:val="annotation subject"/>
    <w:basedOn w:val="CommentText"/>
    <w:next w:val="CommentText"/>
    <w:link w:val="CommentSubjectChar"/>
    <w:uiPriority w:val="99"/>
    <w:semiHidden/>
    <w:rsid w:val="00D26DF3"/>
    <w:rPr>
      <w:b/>
      <w:bCs/>
    </w:rPr>
  </w:style>
  <w:style w:type="character" w:customStyle="1" w:styleId="CommentSubjectChar">
    <w:name w:val="Comment Subject Char"/>
    <w:link w:val="CommentSubject"/>
    <w:uiPriority w:val="99"/>
    <w:semiHidden/>
    <w:locked/>
    <w:rsid w:val="00D26DF3"/>
    <w:rPr>
      <w:rFonts w:ascii="Times New Roman" w:eastAsia="SimSun" w:hAnsi="Times New Roman" w:cs="Times New Roman"/>
      <w:b/>
      <w:bCs/>
      <w:sz w:val="20"/>
      <w:szCs w:val="20"/>
      <w:lang w:val="x-none" w:eastAsia="zh-CN"/>
    </w:rPr>
  </w:style>
  <w:style w:type="paragraph" w:customStyle="1" w:styleId="Execsummary">
    <w:name w:val="Exec summary"/>
    <w:basedOn w:val="Normal"/>
    <w:uiPriority w:val="99"/>
    <w:semiHidden/>
    <w:rsid w:val="00D26DF3"/>
    <w:pPr>
      <w:spacing w:line="288" w:lineRule="auto"/>
    </w:pPr>
    <w:rPr>
      <w:sz w:val="22"/>
      <w:szCs w:val="22"/>
    </w:rPr>
  </w:style>
  <w:style w:type="paragraph" w:styleId="Footer">
    <w:name w:val="footer"/>
    <w:basedOn w:val="Normal"/>
    <w:link w:val="FooterChar"/>
    <w:uiPriority w:val="99"/>
    <w:rsid w:val="00D26DF3"/>
    <w:pPr>
      <w:tabs>
        <w:tab w:val="center" w:pos="4320"/>
        <w:tab w:val="right" w:pos="8640"/>
      </w:tabs>
    </w:pPr>
    <w:rPr>
      <w:rFonts w:ascii="Times New Roman" w:hAnsi="Times New Roman" w:cs="Times New Roman"/>
      <w:lang w:val="x-none"/>
    </w:rPr>
  </w:style>
  <w:style w:type="character" w:customStyle="1" w:styleId="FooterChar">
    <w:name w:val="Footer Char"/>
    <w:link w:val="Footer"/>
    <w:uiPriority w:val="99"/>
    <w:locked/>
    <w:rsid w:val="00D26DF3"/>
    <w:rPr>
      <w:rFonts w:ascii="Times New Roman" w:eastAsia="SimSun" w:hAnsi="Times New Roman" w:cs="Times New Roman"/>
      <w:sz w:val="20"/>
      <w:szCs w:val="20"/>
      <w:lang w:val="x-none" w:eastAsia="zh-CN"/>
    </w:rPr>
  </w:style>
  <w:style w:type="character" w:styleId="FootnoteReference">
    <w:name w:val="footnote reference"/>
    <w:uiPriority w:val="99"/>
    <w:semiHidden/>
    <w:rsid w:val="00D26DF3"/>
    <w:rPr>
      <w:vertAlign w:val="superscript"/>
    </w:rPr>
  </w:style>
  <w:style w:type="paragraph" w:styleId="FootnoteText">
    <w:name w:val="footnote text"/>
    <w:basedOn w:val="Normal"/>
    <w:link w:val="FootnoteTextChar"/>
    <w:uiPriority w:val="99"/>
    <w:semiHidden/>
    <w:rsid w:val="00D26DF3"/>
    <w:pPr>
      <w:spacing w:line="240" w:lineRule="auto"/>
      <w:jc w:val="left"/>
    </w:pPr>
    <w:rPr>
      <w:rFonts w:ascii="Calibri" w:eastAsia="Calibri" w:hAnsi="Calibri" w:cs="Times New Roman"/>
      <w:lang w:val="x-none" w:eastAsia="x-none"/>
    </w:rPr>
  </w:style>
  <w:style w:type="character" w:customStyle="1" w:styleId="FootnoteTextChar">
    <w:name w:val="Footnote Text Char"/>
    <w:link w:val="FootnoteText"/>
    <w:uiPriority w:val="99"/>
    <w:semiHidden/>
    <w:locked/>
    <w:rsid w:val="00D26DF3"/>
    <w:rPr>
      <w:sz w:val="20"/>
      <w:szCs w:val="20"/>
    </w:rPr>
  </w:style>
  <w:style w:type="paragraph" w:customStyle="1" w:styleId="GMHEADING1">
    <w:name w:val="GMHEADING1"/>
    <w:basedOn w:val="Normal"/>
    <w:next w:val="Normal"/>
    <w:uiPriority w:val="99"/>
    <w:rsid w:val="00D26DF3"/>
    <w:pPr>
      <w:tabs>
        <w:tab w:val="left" w:pos="1276"/>
      </w:tabs>
      <w:spacing w:after="120" w:line="264" w:lineRule="auto"/>
      <w:ind w:left="1276" w:hanging="1276"/>
      <w:jc w:val="left"/>
    </w:pPr>
    <w:rPr>
      <w:b/>
      <w:bCs/>
      <w:sz w:val="27"/>
      <w:szCs w:val="27"/>
    </w:rPr>
  </w:style>
  <w:style w:type="paragraph" w:customStyle="1" w:styleId="GMHeading2">
    <w:name w:val="GMHeading2"/>
    <w:basedOn w:val="Normal"/>
    <w:next w:val="Normal"/>
    <w:uiPriority w:val="99"/>
    <w:rsid w:val="00D26DF3"/>
    <w:pPr>
      <w:tabs>
        <w:tab w:val="left" w:pos="1276"/>
      </w:tabs>
      <w:spacing w:before="120" w:after="120" w:line="240" w:lineRule="auto"/>
      <w:ind w:left="1276" w:hanging="1276"/>
      <w:jc w:val="left"/>
    </w:pPr>
    <w:rPr>
      <w:b/>
      <w:bCs/>
      <w:sz w:val="28"/>
      <w:szCs w:val="28"/>
    </w:rPr>
  </w:style>
  <w:style w:type="paragraph" w:customStyle="1" w:styleId="GMHeading3">
    <w:name w:val="GMHeading3"/>
    <w:basedOn w:val="Normal"/>
    <w:next w:val="Normal"/>
    <w:uiPriority w:val="99"/>
    <w:rsid w:val="00D26DF3"/>
    <w:pPr>
      <w:keepNext/>
      <w:tabs>
        <w:tab w:val="left" w:pos="1276"/>
      </w:tabs>
      <w:suppressAutoHyphens/>
      <w:spacing w:before="120" w:after="120" w:line="240" w:lineRule="auto"/>
      <w:ind w:left="1276" w:hanging="1276"/>
      <w:jc w:val="left"/>
    </w:pPr>
    <w:rPr>
      <w:b/>
      <w:bCs/>
      <w:sz w:val="25"/>
      <w:szCs w:val="25"/>
    </w:rPr>
  </w:style>
  <w:style w:type="paragraph" w:customStyle="1" w:styleId="GMHeading4">
    <w:name w:val="GMHeading4"/>
    <w:basedOn w:val="Heading1"/>
    <w:next w:val="Normal"/>
    <w:uiPriority w:val="99"/>
    <w:rsid w:val="00D26DF3"/>
    <w:pPr>
      <w:tabs>
        <w:tab w:val="left" w:pos="1276"/>
      </w:tabs>
      <w:spacing w:before="120" w:after="80"/>
      <w:ind w:left="1276" w:hanging="1276"/>
      <w:jc w:val="left"/>
    </w:pPr>
    <w:rPr>
      <w:b w:val="0"/>
      <w:bCs w:val="0"/>
      <w:sz w:val="25"/>
      <w:szCs w:val="25"/>
    </w:rPr>
  </w:style>
  <w:style w:type="paragraph" w:styleId="Header">
    <w:name w:val="header"/>
    <w:basedOn w:val="Normal"/>
    <w:link w:val="HeaderChar"/>
    <w:uiPriority w:val="99"/>
    <w:rsid w:val="00D26DF3"/>
    <w:pPr>
      <w:tabs>
        <w:tab w:val="right" w:pos="9240"/>
      </w:tabs>
      <w:spacing w:line="240" w:lineRule="auto"/>
      <w:ind w:right="28"/>
      <w:jc w:val="left"/>
    </w:pPr>
    <w:rPr>
      <w:rFonts w:ascii="Times New Roman" w:hAnsi="Times New Roman" w:cs="Times New Roman"/>
      <w:u w:val="single"/>
      <w:lang w:val="x-none"/>
    </w:rPr>
  </w:style>
  <w:style w:type="character" w:customStyle="1" w:styleId="HeaderChar">
    <w:name w:val="Header Char"/>
    <w:link w:val="Header"/>
    <w:uiPriority w:val="99"/>
    <w:locked/>
    <w:rsid w:val="00D26DF3"/>
    <w:rPr>
      <w:rFonts w:ascii="Times New Roman" w:eastAsia="SimSun" w:hAnsi="Times New Roman" w:cs="Times New Roman"/>
      <w:sz w:val="20"/>
      <w:szCs w:val="20"/>
      <w:u w:val="single"/>
      <w:lang w:val="x-none" w:eastAsia="zh-CN"/>
    </w:rPr>
  </w:style>
  <w:style w:type="character" w:styleId="Hyperlink">
    <w:name w:val="Hyperlink"/>
    <w:uiPriority w:val="99"/>
    <w:rsid w:val="00D26DF3"/>
    <w:rPr>
      <w:color w:val="0000FF"/>
      <w:u w:val="single"/>
    </w:rPr>
  </w:style>
  <w:style w:type="paragraph" w:customStyle="1" w:styleId="Numberedtext">
    <w:name w:val="Numbered text"/>
    <w:basedOn w:val="Normal"/>
    <w:uiPriority w:val="99"/>
    <w:semiHidden/>
    <w:rsid w:val="00D26DF3"/>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D26DF3"/>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D26DF3"/>
  </w:style>
  <w:style w:type="paragraph" w:customStyle="1" w:styleId="Source">
    <w:name w:val="Source"/>
    <w:basedOn w:val="Normal"/>
    <w:uiPriority w:val="99"/>
    <w:rsid w:val="00D26DF3"/>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D26DF3"/>
    <w:pPr>
      <w:tabs>
        <w:tab w:val="left" w:pos="1134"/>
      </w:tabs>
      <w:spacing w:line="240" w:lineRule="auto"/>
      <w:ind w:left="1134" w:hanging="1134"/>
      <w:jc w:val="left"/>
    </w:pPr>
    <w:rPr>
      <w:rFonts w:eastAsia="Times New Roman"/>
      <w:sz w:val="18"/>
      <w:szCs w:val="18"/>
      <w:lang w:eastAsia="ja-JP"/>
    </w:rPr>
  </w:style>
  <w:style w:type="character" w:customStyle="1" w:styleId="SourceChar1">
    <w:name w:val="Source Char1"/>
    <w:uiPriority w:val="99"/>
    <w:rsid w:val="00D26DF3"/>
    <w:rPr>
      <w:rFonts w:eastAsia="SimSun"/>
      <w:sz w:val="18"/>
      <w:szCs w:val="18"/>
      <w:lang w:val="en-AU" w:eastAsia="en-US"/>
    </w:rPr>
  </w:style>
  <w:style w:type="paragraph" w:customStyle="1" w:styleId="Spaceundertable">
    <w:name w:val="Space under table"/>
    <w:basedOn w:val="Normal"/>
    <w:uiPriority w:val="99"/>
    <w:rsid w:val="00D26DF3"/>
    <w:pPr>
      <w:numPr>
        <w:numId w:val="4"/>
      </w:numPr>
      <w:spacing w:line="240" w:lineRule="auto"/>
      <w:jc w:val="left"/>
    </w:pPr>
    <w:rPr>
      <w:sz w:val="8"/>
      <w:szCs w:val="8"/>
    </w:rPr>
  </w:style>
  <w:style w:type="paragraph" w:customStyle="1" w:styleId="Style1">
    <w:name w:val="Style1"/>
    <w:basedOn w:val="GMHeading2"/>
    <w:uiPriority w:val="99"/>
    <w:rsid w:val="00D26DF3"/>
  </w:style>
  <w:style w:type="paragraph" w:customStyle="1" w:styleId="Style2">
    <w:name w:val="Style2"/>
    <w:basedOn w:val="GMHeading3"/>
    <w:uiPriority w:val="99"/>
    <w:rsid w:val="00D26DF3"/>
  </w:style>
  <w:style w:type="table" w:styleId="TableGrid">
    <w:name w:val="Table Grid"/>
    <w:basedOn w:val="TableNormal"/>
    <w:uiPriority w:val="99"/>
    <w:rsid w:val="00D26DF3"/>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rsid w:val="00D26DF3"/>
    <w:pPr>
      <w:tabs>
        <w:tab w:val="right" w:leader="dot" w:pos="9240"/>
      </w:tabs>
      <w:spacing w:after="80" w:line="240" w:lineRule="auto"/>
      <w:ind w:left="1644" w:right="720" w:hanging="1644"/>
      <w:jc w:val="left"/>
    </w:pPr>
    <w:rPr>
      <w:rFonts w:eastAsia="Times New Roman"/>
      <w:noProof/>
      <w:sz w:val="22"/>
      <w:szCs w:val="22"/>
      <w:lang w:eastAsia="ja-JP"/>
    </w:rPr>
  </w:style>
  <w:style w:type="paragraph" w:customStyle="1" w:styleId="Tabletextleft">
    <w:name w:val="Table text (left)"/>
    <w:basedOn w:val="Normal"/>
    <w:uiPriority w:val="99"/>
    <w:rsid w:val="00D26DF3"/>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D26DF3"/>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D26DF3"/>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D26DF3"/>
    <w:pPr>
      <w:numPr>
        <w:numId w:val="2"/>
      </w:numPr>
      <w:spacing w:before="40" w:after="40" w:line="240" w:lineRule="auto"/>
      <w:jc w:val="left"/>
    </w:pPr>
  </w:style>
  <w:style w:type="paragraph" w:customStyle="1" w:styleId="Tabletextbullettedv2">
    <w:name w:val="Table text bulletted v2"/>
    <w:basedOn w:val="Tabletextbulleted"/>
    <w:uiPriority w:val="99"/>
    <w:rsid w:val="00D26DF3"/>
    <w:pPr>
      <w:numPr>
        <w:numId w:val="0"/>
      </w:numPr>
      <w:spacing w:before="20" w:after="20"/>
    </w:pPr>
    <w:rPr>
      <w:lang w:val="en-US"/>
    </w:rPr>
  </w:style>
  <w:style w:type="paragraph" w:customStyle="1" w:styleId="Tabletextindentleft">
    <w:name w:val="Table text indent left"/>
    <w:basedOn w:val="TableText1left"/>
    <w:uiPriority w:val="99"/>
    <w:semiHidden/>
    <w:rsid w:val="00D26DF3"/>
    <w:pPr>
      <w:ind w:left="252"/>
    </w:pPr>
    <w:rPr>
      <w:lang w:val="en-AU"/>
    </w:rPr>
  </w:style>
  <w:style w:type="paragraph" w:customStyle="1" w:styleId="TabletextindentedlistA">
    <w:name w:val="Table text indented list A"/>
    <w:aliases w:val="B,C"/>
    <w:basedOn w:val="Tabletextbulleted"/>
    <w:uiPriority w:val="99"/>
    <w:rsid w:val="00D26DF3"/>
    <w:pPr>
      <w:numPr>
        <w:numId w:val="0"/>
      </w:numPr>
      <w:tabs>
        <w:tab w:val="left" w:pos="284"/>
        <w:tab w:val="left" w:pos="2835"/>
      </w:tabs>
    </w:pPr>
  </w:style>
  <w:style w:type="paragraph" w:customStyle="1" w:styleId="TabletextRelativeRisksRR">
    <w:name w:val="Table text Relative Risks (RR)"/>
    <w:basedOn w:val="Normal"/>
    <w:uiPriority w:val="99"/>
    <w:semiHidden/>
    <w:rsid w:val="00D26DF3"/>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D26DF3"/>
    <w:pPr>
      <w:spacing w:after="170" w:line="280" w:lineRule="atLeast"/>
    </w:pPr>
    <w:rPr>
      <w:lang w:val="en-US"/>
    </w:rPr>
  </w:style>
  <w:style w:type="paragraph" w:styleId="Title">
    <w:name w:val="Title"/>
    <w:basedOn w:val="Normal"/>
    <w:link w:val="TitleChar"/>
    <w:uiPriority w:val="99"/>
    <w:qFormat/>
    <w:rsid w:val="00D26DF3"/>
    <w:pPr>
      <w:spacing w:before="240" w:after="60"/>
      <w:jc w:val="center"/>
      <w:outlineLvl w:val="0"/>
    </w:pPr>
    <w:rPr>
      <w:rFonts w:ascii="Arial" w:hAnsi="Arial" w:cs="Times New Roman"/>
      <w:b/>
      <w:bCs/>
      <w:kern w:val="28"/>
      <w:sz w:val="32"/>
      <w:szCs w:val="32"/>
      <w:lang w:val="x-none"/>
    </w:rPr>
  </w:style>
  <w:style w:type="character" w:customStyle="1" w:styleId="TitleChar">
    <w:name w:val="Title Char"/>
    <w:link w:val="Title"/>
    <w:uiPriority w:val="99"/>
    <w:locked/>
    <w:rsid w:val="00D26DF3"/>
    <w:rPr>
      <w:rFonts w:ascii="Arial" w:eastAsia="SimSun" w:hAnsi="Arial" w:cs="Arial"/>
      <w:b/>
      <w:bCs/>
      <w:kern w:val="28"/>
      <w:sz w:val="32"/>
      <w:szCs w:val="32"/>
      <w:lang w:val="x-none" w:eastAsia="zh-CN"/>
    </w:rPr>
  </w:style>
  <w:style w:type="paragraph" w:customStyle="1" w:styleId="TOCheading">
    <w:name w:val="TOC (heading)"/>
    <w:basedOn w:val="Normal"/>
    <w:next w:val="Normal"/>
    <w:uiPriority w:val="99"/>
    <w:rsid w:val="00D26DF3"/>
    <w:pPr>
      <w:tabs>
        <w:tab w:val="right" w:leader="dot" w:pos="9240"/>
      </w:tabs>
      <w:spacing w:after="120" w:line="264" w:lineRule="auto"/>
      <w:jc w:val="center"/>
    </w:pPr>
    <w:rPr>
      <w:b/>
      <w:bCs/>
      <w:sz w:val="32"/>
      <w:szCs w:val="32"/>
      <w:lang w:eastAsia="en-US"/>
    </w:rPr>
  </w:style>
  <w:style w:type="paragraph" w:styleId="TOC1">
    <w:name w:val="toc 1"/>
    <w:basedOn w:val="Normal"/>
    <w:next w:val="Normal"/>
    <w:autoRedefine/>
    <w:uiPriority w:val="39"/>
    <w:rsid w:val="00D26DF3"/>
    <w:pPr>
      <w:tabs>
        <w:tab w:val="left" w:pos="840"/>
        <w:tab w:val="right" w:leader="dot" w:pos="9240"/>
      </w:tabs>
      <w:spacing w:before="240" w:after="120" w:line="264" w:lineRule="auto"/>
      <w:ind w:left="840" w:right="602" w:hanging="840"/>
      <w:jc w:val="left"/>
    </w:pPr>
    <w:rPr>
      <w:b/>
      <w:bCs/>
      <w:noProof/>
    </w:rPr>
  </w:style>
  <w:style w:type="paragraph" w:styleId="TOC2">
    <w:name w:val="toc 2"/>
    <w:basedOn w:val="Normal"/>
    <w:next w:val="Normal"/>
    <w:autoRedefine/>
    <w:uiPriority w:val="39"/>
    <w:rsid w:val="00D26DF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autoRedefine/>
    <w:uiPriority w:val="99"/>
    <w:semiHidden/>
    <w:rsid w:val="00D26DF3"/>
    <w:pPr>
      <w:tabs>
        <w:tab w:val="left" w:pos="1800"/>
        <w:tab w:val="right" w:leader="dot" w:pos="9240"/>
      </w:tabs>
      <w:spacing w:after="60" w:line="240" w:lineRule="auto"/>
      <w:ind w:left="1800" w:right="602" w:hanging="960"/>
      <w:jc w:val="left"/>
    </w:pPr>
    <w:rPr>
      <w:noProof/>
      <w:sz w:val="22"/>
      <w:szCs w:val="22"/>
      <w:lang w:val="fr-FR" w:eastAsia="en-US"/>
    </w:rPr>
  </w:style>
  <w:style w:type="paragraph" w:styleId="TOC4">
    <w:name w:val="toc 4"/>
    <w:basedOn w:val="Normal"/>
    <w:next w:val="Normal"/>
    <w:autoRedefine/>
    <w:uiPriority w:val="99"/>
    <w:semiHidden/>
    <w:rsid w:val="00D26DF3"/>
    <w:pPr>
      <w:tabs>
        <w:tab w:val="left" w:pos="3000"/>
        <w:tab w:val="right" w:leader="dot" w:pos="9240"/>
      </w:tabs>
      <w:spacing w:after="60" w:line="240" w:lineRule="auto"/>
      <w:ind w:left="3000" w:right="602" w:hanging="1200"/>
      <w:jc w:val="left"/>
    </w:pPr>
    <w:rPr>
      <w:i/>
      <w:iCs/>
      <w:noProof/>
      <w:sz w:val="22"/>
      <w:szCs w:val="22"/>
      <w:lang w:eastAsia="en-US"/>
    </w:rPr>
  </w:style>
  <w:style w:type="paragraph" w:styleId="TOC5">
    <w:name w:val="toc 5"/>
    <w:basedOn w:val="Normal"/>
    <w:next w:val="Normal"/>
    <w:autoRedefine/>
    <w:uiPriority w:val="99"/>
    <w:semiHidden/>
    <w:rsid w:val="00D26DF3"/>
    <w:pPr>
      <w:tabs>
        <w:tab w:val="right" w:leader="dot" w:pos="9469"/>
      </w:tabs>
      <w:ind w:left="960"/>
    </w:pPr>
  </w:style>
  <w:style w:type="paragraph" w:styleId="TOC6">
    <w:name w:val="toc 6"/>
    <w:basedOn w:val="Normal"/>
    <w:next w:val="Normal"/>
    <w:autoRedefine/>
    <w:uiPriority w:val="99"/>
    <w:semiHidden/>
    <w:rsid w:val="00D26DF3"/>
    <w:pPr>
      <w:tabs>
        <w:tab w:val="right" w:leader="dot" w:pos="9469"/>
      </w:tabs>
      <w:ind w:left="1200"/>
    </w:pPr>
  </w:style>
  <w:style w:type="paragraph" w:styleId="TOCHeading0">
    <w:name w:val="TOC Heading"/>
    <w:basedOn w:val="Heading1"/>
    <w:next w:val="Normal"/>
    <w:uiPriority w:val="99"/>
    <w:qFormat/>
    <w:rsid w:val="00D26DF3"/>
    <w:pPr>
      <w:keepLines/>
      <w:spacing w:before="480" w:line="276" w:lineRule="auto"/>
      <w:jc w:val="left"/>
      <w:outlineLvl w:val="9"/>
    </w:pPr>
    <w:rPr>
      <w:rFonts w:eastAsia="Times New Roman"/>
      <w:lang w:val="en-US" w:eastAsia="en-US"/>
    </w:rPr>
  </w:style>
  <w:style w:type="paragraph" w:styleId="ListParagraph">
    <w:name w:val="List Paragraph"/>
    <w:basedOn w:val="Normal"/>
    <w:uiPriority w:val="34"/>
    <w:qFormat/>
    <w:rsid w:val="00D26DF3"/>
    <w:pPr>
      <w:ind w:left="720"/>
    </w:pPr>
  </w:style>
  <w:style w:type="paragraph" w:styleId="NoSpacing">
    <w:name w:val="No Spacing"/>
    <w:link w:val="NoSpacingChar"/>
    <w:uiPriority w:val="1"/>
    <w:qFormat/>
    <w:rsid w:val="00D26DF3"/>
    <w:rPr>
      <w:rFonts w:eastAsia="Times New Roman" w:cs="Calibri"/>
      <w:sz w:val="22"/>
      <w:szCs w:val="22"/>
      <w:lang w:val="en-US" w:eastAsia="en-US"/>
    </w:rPr>
  </w:style>
  <w:style w:type="character" w:customStyle="1" w:styleId="NoSpacingChar">
    <w:name w:val="No Spacing Char"/>
    <w:link w:val="NoSpacing"/>
    <w:uiPriority w:val="1"/>
    <w:locked/>
    <w:rsid w:val="00D26DF3"/>
    <w:rPr>
      <w:rFonts w:eastAsia="Times New Roman" w:cs="Calibri"/>
      <w:sz w:val="22"/>
      <w:szCs w:val="22"/>
      <w:lang w:val="en-US" w:eastAsia="en-US" w:bidi="ar-SA"/>
    </w:rPr>
  </w:style>
  <w:style w:type="character" w:styleId="FollowedHyperlink">
    <w:name w:val="FollowedHyperlink"/>
    <w:uiPriority w:val="99"/>
    <w:semiHidden/>
    <w:rsid w:val="00D26DF3"/>
    <w:rPr>
      <w:color w:val="800080"/>
      <w:u w:val="single"/>
    </w:rPr>
  </w:style>
  <w:style w:type="paragraph" w:customStyle="1" w:styleId="CharChar1CharCharCharChar">
    <w:name w:val="Char Char1 Char Char Char Char"/>
    <w:basedOn w:val="Normal"/>
    <w:uiPriority w:val="99"/>
    <w:rsid w:val="00D26DF3"/>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D26DF3"/>
    <w:pPr>
      <w:keepNext/>
      <w:spacing w:after="0" w:line="240" w:lineRule="auto"/>
      <w:jc w:val="left"/>
    </w:pPr>
    <w:rPr>
      <w:rFonts w:ascii="Trebuchet MS" w:eastAsia="Times New Roman" w:hAnsi="Trebuchet MS" w:cs="Trebuchet MS"/>
      <w:sz w:val="18"/>
      <w:szCs w:val="18"/>
      <w:lang w:eastAsia="en-US"/>
    </w:rPr>
  </w:style>
  <w:style w:type="paragraph" w:styleId="NormalWeb">
    <w:name w:val="Normal (Web)"/>
    <w:basedOn w:val="Normal"/>
    <w:uiPriority w:val="99"/>
    <w:rsid w:val="00D26DF3"/>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 w:type="table" w:customStyle="1" w:styleId="LightShading1">
    <w:name w:val="Light Shading1"/>
    <w:uiPriority w:val="99"/>
    <w:rsid w:val="00D26DF3"/>
    <w:rPr>
      <w:rFonts w:cs="Calibri"/>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D26DF3"/>
    <w:rPr>
      <w:rFonts w:cs="Calibri"/>
      <w:color w:val="365F91"/>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D26DF3"/>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D26DF3"/>
    <w:rPr>
      <w:rFonts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D26DF3"/>
    <w:rPr>
      <w:rFonts w:cs="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D26DF3"/>
    <w:rPr>
      <w:rFonts w:cs="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DocumentMap">
    <w:name w:val="Document Map"/>
    <w:basedOn w:val="Normal"/>
    <w:link w:val="DocumentMapChar"/>
    <w:uiPriority w:val="99"/>
    <w:semiHidden/>
    <w:unhideWhenUsed/>
    <w:locked/>
    <w:rsid w:val="00487EA0"/>
    <w:rPr>
      <w:rFonts w:cs="Times New Roman"/>
      <w:sz w:val="16"/>
      <w:szCs w:val="16"/>
      <w:lang w:eastAsia="x-none"/>
    </w:rPr>
  </w:style>
  <w:style w:type="character" w:customStyle="1" w:styleId="DocumentMapChar">
    <w:name w:val="Document Map Char"/>
    <w:link w:val="DocumentMap"/>
    <w:uiPriority w:val="99"/>
    <w:semiHidden/>
    <w:rsid w:val="00487EA0"/>
    <w:rPr>
      <w:rFonts w:ascii="Tahoma" w:eastAsia="SimSun" w:hAnsi="Tahoma" w:cs="Tahoma"/>
      <w:sz w:val="16"/>
      <w:szCs w:val="16"/>
      <w:lang w:val="en-AU"/>
    </w:rPr>
  </w:style>
  <w:style w:type="paragraph" w:customStyle="1" w:styleId="Standard">
    <w:name w:val="Standard"/>
    <w:uiPriority w:val="99"/>
    <w:rsid w:val="00CC38F9"/>
    <w:pPr>
      <w:suppressAutoHyphens/>
      <w:autoSpaceDN w:val="0"/>
      <w:spacing w:after="200" w:line="276" w:lineRule="auto"/>
      <w:textAlignment w:val="baseline"/>
    </w:pPr>
    <w:rPr>
      <w:kern w:val="3"/>
      <w:sz w:val="22"/>
      <w:szCs w:val="22"/>
      <w:lang w:eastAsia="en-US"/>
    </w:rPr>
  </w:style>
  <w:style w:type="numbering" w:customStyle="1" w:styleId="WWNum2">
    <w:name w:val="WWNum2"/>
    <w:rsid w:val="008857FD"/>
    <w:pPr>
      <w:numPr>
        <w:numId w:val="32"/>
      </w:numPr>
    </w:pPr>
  </w:style>
  <w:style w:type="character" w:styleId="Emphasis">
    <w:name w:val="Emphasis"/>
    <w:uiPriority w:val="20"/>
    <w:qFormat/>
    <w:locked/>
    <w:rsid w:val="00884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60099">
      <w:bodyDiv w:val="1"/>
      <w:marLeft w:val="0"/>
      <w:marRight w:val="0"/>
      <w:marTop w:val="0"/>
      <w:marBottom w:val="0"/>
      <w:divBdr>
        <w:top w:val="none" w:sz="0" w:space="0" w:color="auto"/>
        <w:left w:val="none" w:sz="0" w:space="0" w:color="auto"/>
        <w:bottom w:val="none" w:sz="0" w:space="0" w:color="auto"/>
        <w:right w:val="none" w:sz="0" w:space="0" w:color="auto"/>
      </w:divBdr>
    </w:div>
    <w:div w:id="634599641">
      <w:bodyDiv w:val="1"/>
      <w:marLeft w:val="0"/>
      <w:marRight w:val="0"/>
      <w:marTop w:val="0"/>
      <w:marBottom w:val="0"/>
      <w:divBdr>
        <w:top w:val="none" w:sz="0" w:space="0" w:color="auto"/>
        <w:left w:val="none" w:sz="0" w:space="0" w:color="auto"/>
        <w:bottom w:val="none" w:sz="0" w:space="0" w:color="auto"/>
        <w:right w:val="none" w:sz="0" w:space="0" w:color="auto"/>
      </w:divBdr>
    </w:div>
    <w:div w:id="751312977">
      <w:marLeft w:val="0"/>
      <w:marRight w:val="0"/>
      <w:marTop w:val="0"/>
      <w:marBottom w:val="0"/>
      <w:divBdr>
        <w:top w:val="none" w:sz="0" w:space="0" w:color="auto"/>
        <w:left w:val="none" w:sz="0" w:space="0" w:color="auto"/>
        <w:bottom w:val="none" w:sz="0" w:space="0" w:color="auto"/>
        <w:right w:val="none" w:sz="0" w:space="0" w:color="auto"/>
      </w:divBdr>
      <w:divsChild>
        <w:div w:id="751312981">
          <w:marLeft w:val="0"/>
          <w:marRight w:val="0"/>
          <w:marTop w:val="0"/>
          <w:marBottom w:val="0"/>
          <w:divBdr>
            <w:top w:val="none" w:sz="0" w:space="0" w:color="auto"/>
            <w:left w:val="none" w:sz="0" w:space="0" w:color="auto"/>
            <w:bottom w:val="none" w:sz="0" w:space="0" w:color="auto"/>
            <w:right w:val="none" w:sz="0" w:space="0" w:color="auto"/>
          </w:divBdr>
          <w:divsChild>
            <w:div w:id="751313009">
              <w:marLeft w:val="0"/>
              <w:marRight w:val="0"/>
              <w:marTop w:val="0"/>
              <w:marBottom w:val="0"/>
              <w:divBdr>
                <w:top w:val="none" w:sz="0" w:space="0" w:color="auto"/>
                <w:left w:val="none" w:sz="0" w:space="0" w:color="auto"/>
                <w:bottom w:val="none" w:sz="0" w:space="0" w:color="auto"/>
                <w:right w:val="none" w:sz="0" w:space="0" w:color="auto"/>
              </w:divBdr>
              <w:divsChild>
                <w:div w:id="751312979">
                  <w:marLeft w:val="0"/>
                  <w:marRight w:val="0"/>
                  <w:marTop w:val="0"/>
                  <w:marBottom w:val="0"/>
                  <w:divBdr>
                    <w:top w:val="none" w:sz="0" w:space="0" w:color="auto"/>
                    <w:left w:val="none" w:sz="0" w:space="0" w:color="auto"/>
                    <w:bottom w:val="none" w:sz="0" w:space="0" w:color="auto"/>
                    <w:right w:val="none" w:sz="0" w:space="0" w:color="auto"/>
                  </w:divBdr>
                  <w:divsChild>
                    <w:div w:id="751312980">
                      <w:marLeft w:val="0"/>
                      <w:marRight w:val="0"/>
                      <w:marTop w:val="0"/>
                      <w:marBottom w:val="0"/>
                      <w:divBdr>
                        <w:top w:val="none" w:sz="0" w:space="0" w:color="auto"/>
                        <w:left w:val="none" w:sz="0" w:space="0" w:color="auto"/>
                        <w:bottom w:val="none" w:sz="0" w:space="0" w:color="auto"/>
                        <w:right w:val="none" w:sz="0" w:space="0" w:color="auto"/>
                      </w:divBdr>
                      <w:divsChild>
                        <w:div w:id="751312982">
                          <w:marLeft w:val="0"/>
                          <w:marRight w:val="0"/>
                          <w:marTop w:val="0"/>
                          <w:marBottom w:val="0"/>
                          <w:divBdr>
                            <w:top w:val="none" w:sz="0" w:space="0" w:color="auto"/>
                            <w:left w:val="none" w:sz="0" w:space="0" w:color="auto"/>
                            <w:bottom w:val="none" w:sz="0" w:space="0" w:color="auto"/>
                            <w:right w:val="none" w:sz="0" w:space="0" w:color="auto"/>
                          </w:divBdr>
                          <w:divsChild>
                            <w:div w:id="751312978">
                              <w:marLeft w:val="0"/>
                              <w:marRight w:val="0"/>
                              <w:marTop w:val="0"/>
                              <w:marBottom w:val="0"/>
                              <w:divBdr>
                                <w:top w:val="none" w:sz="0" w:space="0" w:color="auto"/>
                                <w:left w:val="none" w:sz="0" w:space="0" w:color="auto"/>
                                <w:bottom w:val="none" w:sz="0" w:space="0" w:color="auto"/>
                                <w:right w:val="none" w:sz="0" w:space="0" w:color="auto"/>
                              </w:divBdr>
                              <w:divsChild>
                                <w:div w:id="751312983">
                                  <w:marLeft w:val="0"/>
                                  <w:marRight w:val="0"/>
                                  <w:marTop w:val="0"/>
                                  <w:marBottom w:val="0"/>
                                  <w:divBdr>
                                    <w:top w:val="none" w:sz="0" w:space="0" w:color="auto"/>
                                    <w:left w:val="none" w:sz="0" w:space="0" w:color="auto"/>
                                    <w:bottom w:val="none" w:sz="0" w:space="0" w:color="auto"/>
                                    <w:right w:val="none" w:sz="0" w:space="0" w:color="auto"/>
                                  </w:divBdr>
                                  <w:divsChild>
                                    <w:div w:id="751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312984">
      <w:marLeft w:val="0"/>
      <w:marRight w:val="0"/>
      <w:marTop w:val="0"/>
      <w:marBottom w:val="0"/>
      <w:divBdr>
        <w:top w:val="none" w:sz="0" w:space="0" w:color="auto"/>
        <w:left w:val="none" w:sz="0" w:space="0" w:color="auto"/>
        <w:bottom w:val="none" w:sz="0" w:space="0" w:color="auto"/>
        <w:right w:val="none" w:sz="0" w:space="0" w:color="auto"/>
      </w:divBdr>
    </w:div>
    <w:div w:id="751312987">
      <w:marLeft w:val="0"/>
      <w:marRight w:val="0"/>
      <w:marTop w:val="0"/>
      <w:marBottom w:val="0"/>
      <w:divBdr>
        <w:top w:val="none" w:sz="0" w:space="0" w:color="auto"/>
        <w:left w:val="none" w:sz="0" w:space="0" w:color="auto"/>
        <w:bottom w:val="none" w:sz="0" w:space="0" w:color="auto"/>
        <w:right w:val="none" w:sz="0" w:space="0" w:color="auto"/>
      </w:divBdr>
      <w:divsChild>
        <w:div w:id="751313007">
          <w:marLeft w:val="240"/>
          <w:marRight w:val="240"/>
          <w:marTop w:val="360"/>
          <w:marBottom w:val="0"/>
          <w:divBdr>
            <w:top w:val="none" w:sz="0" w:space="0" w:color="auto"/>
            <w:left w:val="none" w:sz="0" w:space="0" w:color="auto"/>
            <w:bottom w:val="none" w:sz="0" w:space="0" w:color="auto"/>
            <w:right w:val="none" w:sz="0" w:space="0" w:color="auto"/>
          </w:divBdr>
          <w:divsChild>
            <w:div w:id="751312994">
              <w:marLeft w:val="480"/>
              <w:marRight w:val="480"/>
              <w:marTop w:val="240"/>
              <w:marBottom w:val="0"/>
              <w:divBdr>
                <w:top w:val="none" w:sz="0" w:space="0" w:color="auto"/>
                <w:left w:val="none" w:sz="0" w:space="0" w:color="auto"/>
                <w:bottom w:val="none" w:sz="0" w:space="0" w:color="auto"/>
                <w:right w:val="none" w:sz="0" w:space="0" w:color="auto"/>
              </w:divBdr>
              <w:divsChild>
                <w:div w:id="751312996">
                  <w:marLeft w:val="720"/>
                  <w:marRight w:val="720"/>
                  <w:marTop w:val="0"/>
                  <w:marBottom w:val="0"/>
                  <w:divBdr>
                    <w:top w:val="none" w:sz="0" w:space="0" w:color="auto"/>
                    <w:left w:val="none" w:sz="0" w:space="0" w:color="auto"/>
                    <w:bottom w:val="none" w:sz="0" w:space="0" w:color="auto"/>
                    <w:right w:val="none" w:sz="0" w:space="0" w:color="auto"/>
                  </w:divBdr>
                  <w:divsChild>
                    <w:div w:id="7513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12989">
      <w:marLeft w:val="0"/>
      <w:marRight w:val="0"/>
      <w:marTop w:val="0"/>
      <w:marBottom w:val="0"/>
      <w:divBdr>
        <w:top w:val="none" w:sz="0" w:space="0" w:color="auto"/>
        <w:left w:val="none" w:sz="0" w:space="0" w:color="auto"/>
        <w:bottom w:val="none" w:sz="0" w:space="0" w:color="auto"/>
        <w:right w:val="none" w:sz="0" w:space="0" w:color="auto"/>
      </w:divBdr>
      <w:divsChild>
        <w:div w:id="751313002">
          <w:marLeft w:val="0"/>
          <w:marRight w:val="0"/>
          <w:marTop w:val="0"/>
          <w:marBottom w:val="0"/>
          <w:divBdr>
            <w:top w:val="none" w:sz="0" w:space="0" w:color="auto"/>
            <w:left w:val="none" w:sz="0" w:space="0" w:color="auto"/>
            <w:bottom w:val="none" w:sz="0" w:space="0" w:color="auto"/>
            <w:right w:val="none" w:sz="0" w:space="0" w:color="auto"/>
          </w:divBdr>
          <w:divsChild>
            <w:div w:id="7513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2993">
      <w:marLeft w:val="0"/>
      <w:marRight w:val="0"/>
      <w:marTop w:val="0"/>
      <w:marBottom w:val="0"/>
      <w:divBdr>
        <w:top w:val="none" w:sz="0" w:space="0" w:color="auto"/>
        <w:left w:val="none" w:sz="0" w:space="0" w:color="auto"/>
        <w:bottom w:val="none" w:sz="0" w:space="0" w:color="auto"/>
        <w:right w:val="none" w:sz="0" w:space="0" w:color="auto"/>
      </w:divBdr>
      <w:divsChild>
        <w:div w:id="751312991">
          <w:marLeft w:val="240"/>
          <w:marRight w:val="240"/>
          <w:marTop w:val="360"/>
          <w:marBottom w:val="0"/>
          <w:divBdr>
            <w:top w:val="none" w:sz="0" w:space="0" w:color="auto"/>
            <w:left w:val="none" w:sz="0" w:space="0" w:color="auto"/>
            <w:bottom w:val="none" w:sz="0" w:space="0" w:color="auto"/>
            <w:right w:val="none" w:sz="0" w:space="0" w:color="auto"/>
          </w:divBdr>
          <w:divsChild>
            <w:div w:id="751312988">
              <w:marLeft w:val="480"/>
              <w:marRight w:val="480"/>
              <w:marTop w:val="240"/>
              <w:marBottom w:val="0"/>
              <w:divBdr>
                <w:top w:val="none" w:sz="0" w:space="0" w:color="auto"/>
                <w:left w:val="none" w:sz="0" w:space="0" w:color="auto"/>
                <w:bottom w:val="none" w:sz="0" w:space="0" w:color="auto"/>
                <w:right w:val="none" w:sz="0" w:space="0" w:color="auto"/>
              </w:divBdr>
              <w:divsChild>
                <w:div w:id="751313001">
                  <w:marLeft w:val="720"/>
                  <w:marRight w:val="720"/>
                  <w:marTop w:val="0"/>
                  <w:marBottom w:val="0"/>
                  <w:divBdr>
                    <w:top w:val="none" w:sz="0" w:space="0" w:color="auto"/>
                    <w:left w:val="none" w:sz="0" w:space="0" w:color="auto"/>
                    <w:bottom w:val="none" w:sz="0" w:space="0" w:color="auto"/>
                    <w:right w:val="none" w:sz="0" w:space="0" w:color="auto"/>
                  </w:divBdr>
                  <w:divsChild>
                    <w:div w:id="7513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12998">
      <w:marLeft w:val="0"/>
      <w:marRight w:val="0"/>
      <w:marTop w:val="0"/>
      <w:marBottom w:val="0"/>
      <w:divBdr>
        <w:top w:val="none" w:sz="0" w:space="0" w:color="auto"/>
        <w:left w:val="none" w:sz="0" w:space="0" w:color="auto"/>
        <w:bottom w:val="none" w:sz="0" w:space="0" w:color="auto"/>
        <w:right w:val="none" w:sz="0" w:space="0" w:color="auto"/>
      </w:divBdr>
      <w:divsChild>
        <w:div w:id="751312986">
          <w:marLeft w:val="0"/>
          <w:marRight w:val="0"/>
          <w:marTop w:val="0"/>
          <w:marBottom w:val="0"/>
          <w:divBdr>
            <w:top w:val="none" w:sz="0" w:space="0" w:color="auto"/>
            <w:left w:val="none" w:sz="0" w:space="0" w:color="auto"/>
            <w:bottom w:val="none" w:sz="0" w:space="0" w:color="auto"/>
            <w:right w:val="none" w:sz="0" w:space="0" w:color="auto"/>
          </w:divBdr>
          <w:divsChild>
            <w:div w:id="7513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3000">
      <w:marLeft w:val="0"/>
      <w:marRight w:val="0"/>
      <w:marTop w:val="0"/>
      <w:marBottom w:val="0"/>
      <w:divBdr>
        <w:top w:val="none" w:sz="0" w:space="0" w:color="auto"/>
        <w:left w:val="none" w:sz="0" w:space="0" w:color="auto"/>
        <w:bottom w:val="none" w:sz="0" w:space="0" w:color="auto"/>
        <w:right w:val="none" w:sz="0" w:space="0" w:color="auto"/>
      </w:divBdr>
      <w:divsChild>
        <w:div w:id="751312990">
          <w:marLeft w:val="0"/>
          <w:marRight w:val="0"/>
          <w:marTop w:val="0"/>
          <w:marBottom w:val="150"/>
          <w:divBdr>
            <w:top w:val="single" w:sz="6" w:space="15" w:color="FFFFFF"/>
            <w:left w:val="none" w:sz="0" w:space="0" w:color="auto"/>
            <w:bottom w:val="none" w:sz="0" w:space="0" w:color="auto"/>
            <w:right w:val="none" w:sz="0" w:space="0" w:color="auto"/>
          </w:divBdr>
          <w:divsChild>
            <w:div w:id="7513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3006">
      <w:marLeft w:val="0"/>
      <w:marRight w:val="0"/>
      <w:marTop w:val="0"/>
      <w:marBottom w:val="0"/>
      <w:divBdr>
        <w:top w:val="none" w:sz="0" w:space="0" w:color="auto"/>
        <w:left w:val="none" w:sz="0" w:space="0" w:color="auto"/>
        <w:bottom w:val="none" w:sz="0" w:space="0" w:color="auto"/>
        <w:right w:val="none" w:sz="0" w:space="0" w:color="auto"/>
      </w:divBdr>
      <w:divsChild>
        <w:div w:id="751312992">
          <w:marLeft w:val="0"/>
          <w:marRight w:val="0"/>
          <w:marTop w:val="0"/>
          <w:marBottom w:val="150"/>
          <w:divBdr>
            <w:top w:val="single" w:sz="6" w:space="15" w:color="FFFFFF"/>
            <w:left w:val="none" w:sz="0" w:space="0" w:color="auto"/>
            <w:bottom w:val="none" w:sz="0" w:space="0" w:color="auto"/>
            <w:right w:val="none" w:sz="0" w:space="0" w:color="auto"/>
          </w:divBdr>
          <w:divsChild>
            <w:div w:id="7513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3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ealth.gov.au/internet/main/publishing.nsf/Content/7F354DBFD2C9C565CA257210007F8DA6/$File/Meas%20Incont%20Aust%20200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bs.gov.au/medicine/item/2420j"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1210-3470-4A6D-96E3-326ACDA7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5737</Words>
  <Characters>34768</Characters>
  <Application>Microsoft Office Word</Application>
  <DocSecurity>0</DocSecurity>
  <Lines>289</Lines>
  <Paragraphs>80</Paragraphs>
  <ScaleCrop>false</ScaleCrop>
  <HeadingPairs>
    <vt:vector size="2" baseType="variant">
      <vt:variant>
        <vt:lpstr>Title</vt:lpstr>
      </vt:variant>
      <vt:variant>
        <vt:i4>1</vt:i4>
      </vt:variant>
    </vt:vector>
  </HeadingPairs>
  <TitlesOfParts>
    <vt:vector size="1" baseType="lpstr">
      <vt:lpstr>Draft protocol to guide the assessment of  [name of intervention]</vt:lpstr>
    </vt:vector>
  </TitlesOfParts>
  <Company>DHA</Company>
  <LinksUpToDate>false</LinksUpToDate>
  <CharactersWithSpaces>40425</CharactersWithSpaces>
  <SharedDoc>false</SharedDoc>
  <HLinks>
    <vt:vector size="138" baseType="variant">
      <vt:variant>
        <vt:i4>6815804</vt:i4>
      </vt:variant>
      <vt:variant>
        <vt:i4>143</vt:i4>
      </vt:variant>
      <vt:variant>
        <vt:i4>0</vt:i4>
      </vt:variant>
      <vt:variant>
        <vt:i4>5</vt:i4>
      </vt:variant>
      <vt:variant>
        <vt:lpwstr>http://www.health.gov.au/internet/main/publishing.nsf/Content/7F354DBFD2C9C565CA257210007F8DA6/$File/Meas Incont Aust 2006.pdf</vt:lpwstr>
      </vt:variant>
      <vt:variant>
        <vt:lpwstr/>
      </vt:variant>
      <vt:variant>
        <vt:i4>5242906</vt:i4>
      </vt:variant>
      <vt:variant>
        <vt:i4>129</vt:i4>
      </vt:variant>
      <vt:variant>
        <vt:i4>0</vt:i4>
      </vt:variant>
      <vt:variant>
        <vt:i4>5</vt:i4>
      </vt:variant>
      <vt:variant>
        <vt:lpwstr>http://www.pbs.gov.au/medicine/item/2420j</vt:lpwstr>
      </vt:variant>
      <vt:variant>
        <vt:lpwstr/>
      </vt:variant>
      <vt:variant>
        <vt:i4>1376304</vt:i4>
      </vt:variant>
      <vt:variant>
        <vt:i4>122</vt:i4>
      </vt:variant>
      <vt:variant>
        <vt:i4>0</vt:i4>
      </vt:variant>
      <vt:variant>
        <vt:i4>5</vt:i4>
      </vt:variant>
      <vt:variant>
        <vt:lpwstr/>
      </vt:variant>
      <vt:variant>
        <vt:lpwstr>_Toc347304412</vt:lpwstr>
      </vt:variant>
      <vt:variant>
        <vt:i4>1376304</vt:i4>
      </vt:variant>
      <vt:variant>
        <vt:i4>116</vt:i4>
      </vt:variant>
      <vt:variant>
        <vt:i4>0</vt:i4>
      </vt:variant>
      <vt:variant>
        <vt:i4>5</vt:i4>
      </vt:variant>
      <vt:variant>
        <vt:lpwstr/>
      </vt:variant>
      <vt:variant>
        <vt:lpwstr>_Toc347304411</vt:lpwstr>
      </vt:variant>
      <vt:variant>
        <vt:i4>1376304</vt:i4>
      </vt:variant>
      <vt:variant>
        <vt:i4>110</vt:i4>
      </vt:variant>
      <vt:variant>
        <vt:i4>0</vt:i4>
      </vt:variant>
      <vt:variant>
        <vt:i4>5</vt:i4>
      </vt:variant>
      <vt:variant>
        <vt:lpwstr/>
      </vt:variant>
      <vt:variant>
        <vt:lpwstr>_Toc347304410</vt:lpwstr>
      </vt:variant>
      <vt:variant>
        <vt:i4>1310768</vt:i4>
      </vt:variant>
      <vt:variant>
        <vt:i4>104</vt:i4>
      </vt:variant>
      <vt:variant>
        <vt:i4>0</vt:i4>
      </vt:variant>
      <vt:variant>
        <vt:i4>5</vt:i4>
      </vt:variant>
      <vt:variant>
        <vt:lpwstr/>
      </vt:variant>
      <vt:variant>
        <vt:lpwstr>_Toc347304409</vt:lpwstr>
      </vt:variant>
      <vt:variant>
        <vt:i4>1310768</vt:i4>
      </vt:variant>
      <vt:variant>
        <vt:i4>98</vt:i4>
      </vt:variant>
      <vt:variant>
        <vt:i4>0</vt:i4>
      </vt:variant>
      <vt:variant>
        <vt:i4>5</vt:i4>
      </vt:variant>
      <vt:variant>
        <vt:lpwstr/>
      </vt:variant>
      <vt:variant>
        <vt:lpwstr>_Toc347304408</vt:lpwstr>
      </vt:variant>
      <vt:variant>
        <vt:i4>1310768</vt:i4>
      </vt:variant>
      <vt:variant>
        <vt:i4>92</vt:i4>
      </vt:variant>
      <vt:variant>
        <vt:i4>0</vt:i4>
      </vt:variant>
      <vt:variant>
        <vt:i4>5</vt:i4>
      </vt:variant>
      <vt:variant>
        <vt:lpwstr/>
      </vt:variant>
      <vt:variant>
        <vt:lpwstr>_Toc347304407</vt:lpwstr>
      </vt:variant>
      <vt:variant>
        <vt:i4>1310768</vt:i4>
      </vt:variant>
      <vt:variant>
        <vt:i4>86</vt:i4>
      </vt:variant>
      <vt:variant>
        <vt:i4>0</vt:i4>
      </vt:variant>
      <vt:variant>
        <vt:i4>5</vt:i4>
      </vt:variant>
      <vt:variant>
        <vt:lpwstr/>
      </vt:variant>
      <vt:variant>
        <vt:lpwstr>_Toc347304406</vt:lpwstr>
      </vt:variant>
      <vt:variant>
        <vt:i4>1310768</vt:i4>
      </vt:variant>
      <vt:variant>
        <vt:i4>80</vt:i4>
      </vt:variant>
      <vt:variant>
        <vt:i4>0</vt:i4>
      </vt:variant>
      <vt:variant>
        <vt:i4>5</vt:i4>
      </vt:variant>
      <vt:variant>
        <vt:lpwstr/>
      </vt:variant>
      <vt:variant>
        <vt:lpwstr>_Toc347304405</vt:lpwstr>
      </vt:variant>
      <vt:variant>
        <vt:i4>1310768</vt:i4>
      </vt:variant>
      <vt:variant>
        <vt:i4>74</vt:i4>
      </vt:variant>
      <vt:variant>
        <vt:i4>0</vt:i4>
      </vt:variant>
      <vt:variant>
        <vt:i4>5</vt:i4>
      </vt:variant>
      <vt:variant>
        <vt:lpwstr/>
      </vt:variant>
      <vt:variant>
        <vt:lpwstr>_Toc347304404</vt:lpwstr>
      </vt:variant>
      <vt:variant>
        <vt:i4>1310768</vt:i4>
      </vt:variant>
      <vt:variant>
        <vt:i4>68</vt:i4>
      </vt:variant>
      <vt:variant>
        <vt:i4>0</vt:i4>
      </vt:variant>
      <vt:variant>
        <vt:i4>5</vt:i4>
      </vt:variant>
      <vt:variant>
        <vt:lpwstr/>
      </vt:variant>
      <vt:variant>
        <vt:lpwstr>_Toc347304403</vt:lpwstr>
      </vt:variant>
      <vt:variant>
        <vt:i4>1310768</vt:i4>
      </vt:variant>
      <vt:variant>
        <vt:i4>62</vt:i4>
      </vt:variant>
      <vt:variant>
        <vt:i4>0</vt:i4>
      </vt:variant>
      <vt:variant>
        <vt:i4>5</vt:i4>
      </vt:variant>
      <vt:variant>
        <vt:lpwstr/>
      </vt:variant>
      <vt:variant>
        <vt:lpwstr>_Toc347304402</vt:lpwstr>
      </vt:variant>
      <vt:variant>
        <vt:i4>1310768</vt:i4>
      </vt:variant>
      <vt:variant>
        <vt:i4>56</vt:i4>
      </vt:variant>
      <vt:variant>
        <vt:i4>0</vt:i4>
      </vt:variant>
      <vt:variant>
        <vt:i4>5</vt:i4>
      </vt:variant>
      <vt:variant>
        <vt:lpwstr/>
      </vt:variant>
      <vt:variant>
        <vt:lpwstr>_Toc347304401</vt:lpwstr>
      </vt:variant>
      <vt:variant>
        <vt:i4>1310768</vt:i4>
      </vt:variant>
      <vt:variant>
        <vt:i4>50</vt:i4>
      </vt:variant>
      <vt:variant>
        <vt:i4>0</vt:i4>
      </vt:variant>
      <vt:variant>
        <vt:i4>5</vt:i4>
      </vt:variant>
      <vt:variant>
        <vt:lpwstr/>
      </vt:variant>
      <vt:variant>
        <vt:lpwstr>_Toc347304400</vt:lpwstr>
      </vt:variant>
      <vt:variant>
        <vt:i4>1900599</vt:i4>
      </vt:variant>
      <vt:variant>
        <vt:i4>44</vt:i4>
      </vt:variant>
      <vt:variant>
        <vt:i4>0</vt:i4>
      </vt:variant>
      <vt:variant>
        <vt:i4>5</vt:i4>
      </vt:variant>
      <vt:variant>
        <vt:lpwstr/>
      </vt:variant>
      <vt:variant>
        <vt:lpwstr>_Toc347304399</vt:lpwstr>
      </vt:variant>
      <vt:variant>
        <vt:i4>1900599</vt:i4>
      </vt:variant>
      <vt:variant>
        <vt:i4>38</vt:i4>
      </vt:variant>
      <vt:variant>
        <vt:i4>0</vt:i4>
      </vt:variant>
      <vt:variant>
        <vt:i4>5</vt:i4>
      </vt:variant>
      <vt:variant>
        <vt:lpwstr/>
      </vt:variant>
      <vt:variant>
        <vt:lpwstr>_Toc347304398</vt:lpwstr>
      </vt:variant>
      <vt:variant>
        <vt:i4>1900599</vt:i4>
      </vt:variant>
      <vt:variant>
        <vt:i4>32</vt:i4>
      </vt:variant>
      <vt:variant>
        <vt:i4>0</vt:i4>
      </vt:variant>
      <vt:variant>
        <vt:i4>5</vt:i4>
      </vt:variant>
      <vt:variant>
        <vt:lpwstr/>
      </vt:variant>
      <vt:variant>
        <vt:lpwstr>_Toc347304397</vt:lpwstr>
      </vt:variant>
      <vt:variant>
        <vt:i4>1900599</vt:i4>
      </vt:variant>
      <vt:variant>
        <vt:i4>26</vt:i4>
      </vt:variant>
      <vt:variant>
        <vt:i4>0</vt:i4>
      </vt:variant>
      <vt:variant>
        <vt:i4>5</vt:i4>
      </vt:variant>
      <vt:variant>
        <vt:lpwstr/>
      </vt:variant>
      <vt:variant>
        <vt:lpwstr>_Toc347304396</vt:lpwstr>
      </vt:variant>
      <vt:variant>
        <vt:i4>1900599</vt:i4>
      </vt:variant>
      <vt:variant>
        <vt:i4>20</vt:i4>
      </vt:variant>
      <vt:variant>
        <vt:i4>0</vt:i4>
      </vt:variant>
      <vt:variant>
        <vt:i4>5</vt:i4>
      </vt:variant>
      <vt:variant>
        <vt:lpwstr/>
      </vt:variant>
      <vt:variant>
        <vt:lpwstr>_Toc347304395</vt:lpwstr>
      </vt:variant>
      <vt:variant>
        <vt:i4>1900599</vt:i4>
      </vt:variant>
      <vt:variant>
        <vt:i4>14</vt:i4>
      </vt:variant>
      <vt:variant>
        <vt:i4>0</vt:i4>
      </vt:variant>
      <vt:variant>
        <vt:i4>5</vt:i4>
      </vt:variant>
      <vt:variant>
        <vt:lpwstr/>
      </vt:variant>
      <vt:variant>
        <vt:lpwstr>_Toc347304394</vt:lpwstr>
      </vt:variant>
      <vt:variant>
        <vt:i4>1900599</vt:i4>
      </vt:variant>
      <vt:variant>
        <vt:i4>8</vt:i4>
      </vt:variant>
      <vt:variant>
        <vt:i4>0</vt:i4>
      </vt:variant>
      <vt:variant>
        <vt:i4>5</vt:i4>
      </vt:variant>
      <vt:variant>
        <vt:lpwstr/>
      </vt:variant>
      <vt:variant>
        <vt:lpwstr>_Toc347304393</vt:lpwstr>
      </vt:variant>
      <vt:variant>
        <vt:i4>1900599</vt:i4>
      </vt:variant>
      <vt:variant>
        <vt:i4>2</vt:i4>
      </vt:variant>
      <vt:variant>
        <vt:i4>0</vt:i4>
      </vt:variant>
      <vt:variant>
        <vt:i4>5</vt:i4>
      </vt:variant>
      <vt:variant>
        <vt:lpwstr/>
      </vt:variant>
      <vt:variant>
        <vt:lpwstr>_Toc347304392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to guide the assessment of  [name of intervention]</dc:title>
  <dc:creator>Liliana Bulfone</dc:creator>
  <cp:lastModifiedBy>Orr Audrey</cp:lastModifiedBy>
  <cp:revision>2</cp:revision>
  <cp:lastPrinted>2013-02-05T01:37:00Z</cp:lastPrinted>
  <dcterms:created xsi:type="dcterms:W3CDTF">2013-03-04T03:54:00Z</dcterms:created>
  <dcterms:modified xsi:type="dcterms:W3CDTF">2013-03-04T03:54:00Z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182031626</vt:i4>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