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29E3" w14:textId="77777777" w:rsidR="008F5246" w:rsidRDefault="008F5246" w:rsidP="008F5246">
      <w:pPr>
        <w:pStyle w:val="Heading1"/>
        <w:numPr>
          <w:ilvl w:val="0"/>
          <w:numId w:val="0"/>
        </w:numPr>
        <w:spacing w:before="0" w:after="360"/>
        <w:ind w:left="788"/>
        <w:jc w:val="center"/>
        <w:rPr>
          <w:rFonts w:ascii="Arial" w:hAnsi="Arial" w:cs="Arial"/>
          <w:b w:val="0"/>
          <w:bCs/>
          <w:color w:val="000080"/>
          <w:sz w:val="36"/>
          <w:szCs w:val="36"/>
        </w:rPr>
      </w:pPr>
      <w:bookmarkStart w:id="0" w:name="_Ref169517843"/>
      <w:bookmarkStart w:id="1" w:name="_Toc22897637"/>
      <w:bookmarkStart w:id="2" w:name="_Toc22898843"/>
      <w:bookmarkEnd w:id="0"/>
      <w:r>
        <w:rPr>
          <w:rFonts w:ascii="Arial" w:hAnsi="Arial" w:cs="Arial"/>
          <w:bCs/>
          <w:color w:val="000080"/>
          <w:sz w:val="36"/>
          <w:szCs w:val="36"/>
        </w:rPr>
        <w:t>Medical Services Advisory Committee (MSAC)</w:t>
      </w:r>
      <w:r>
        <w:rPr>
          <w:rFonts w:ascii="Arial" w:hAnsi="Arial" w:cs="Arial"/>
          <w:bCs/>
          <w:color w:val="000080"/>
          <w:sz w:val="36"/>
          <w:szCs w:val="36"/>
        </w:rPr>
        <w:br/>
      </w:r>
      <w:r w:rsidRPr="00F76D74">
        <w:rPr>
          <w:rFonts w:ascii="Arial" w:hAnsi="Arial" w:cs="Arial"/>
          <w:bCs/>
          <w:color w:val="000080"/>
          <w:sz w:val="36"/>
          <w:szCs w:val="36"/>
        </w:rPr>
        <w:t>Public Summary Document</w:t>
      </w:r>
    </w:p>
    <w:p w14:paraId="6A93FBE2" w14:textId="4E9F64C3" w:rsidR="00785C2F" w:rsidRDefault="00785C2F" w:rsidP="008F5246">
      <w:pPr>
        <w:spacing w:after="240"/>
        <w:jc w:val="center"/>
        <w:rPr>
          <w:rFonts w:ascii="Arial" w:eastAsia="Times New Roman" w:hAnsi="Arial" w:cs="Arial"/>
          <w:b/>
          <w:bCs/>
          <w:i/>
          <w:color w:val="000080"/>
          <w:sz w:val="28"/>
          <w:szCs w:val="28"/>
          <w:lang w:eastAsia="en-AU"/>
        </w:rPr>
      </w:pPr>
      <w:r w:rsidRPr="0044058B">
        <w:rPr>
          <w:rFonts w:ascii="Arial" w:eastAsia="Times New Roman" w:hAnsi="Arial" w:cs="Arial"/>
          <w:b/>
          <w:bCs/>
          <w:i/>
          <w:color w:val="000080"/>
          <w:sz w:val="28"/>
          <w:szCs w:val="28"/>
          <w:lang w:eastAsia="en-AU"/>
        </w:rPr>
        <w:t xml:space="preserve">Application No. </w:t>
      </w:r>
      <w:r w:rsidRPr="005B7371">
        <w:rPr>
          <w:rFonts w:ascii="Arial" w:eastAsia="Times New Roman" w:hAnsi="Arial" w:cs="Arial"/>
          <w:b/>
          <w:bCs/>
          <w:i/>
          <w:color w:val="000080"/>
          <w:sz w:val="28"/>
          <w:szCs w:val="28"/>
          <w:lang w:eastAsia="en-AU"/>
        </w:rPr>
        <w:t>1750 – Testing of tumour tissue to detect IDH1 mutations in patients with cholangiocarcinoma to determine eligibility for ivosidenib on the Pharmac</w:t>
      </w:r>
      <w:r w:rsidR="00E94E74">
        <w:rPr>
          <w:rFonts w:ascii="Arial" w:eastAsia="Times New Roman" w:hAnsi="Arial" w:cs="Arial"/>
          <w:b/>
          <w:bCs/>
          <w:i/>
          <w:color w:val="000080"/>
          <w:sz w:val="28"/>
          <w:szCs w:val="28"/>
          <w:lang w:eastAsia="en-AU"/>
        </w:rPr>
        <w:t>e</w:t>
      </w:r>
      <w:r w:rsidRPr="005B7371">
        <w:rPr>
          <w:rFonts w:ascii="Arial" w:eastAsia="Times New Roman" w:hAnsi="Arial" w:cs="Arial"/>
          <w:b/>
          <w:bCs/>
          <w:i/>
          <w:color w:val="000080"/>
          <w:sz w:val="28"/>
          <w:szCs w:val="28"/>
          <w:lang w:eastAsia="en-AU"/>
        </w:rPr>
        <w:t>utical Benefits Scheme</w:t>
      </w:r>
    </w:p>
    <w:p w14:paraId="701D53FA" w14:textId="67299220" w:rsidR="00785C2F" w:rsidRPr="008F5246" w:rsidRDefault="00785C2F" w:rsidP="008F5246">
      <w:pPr>
        <w:tabs>
          <w:tab w:val="left" w:pos="3686"/>
        </w:tabs>
        <w:spacing w:before="240" w:after="240"/>
        <w:rPr>
          <w:rFonts w:ascii="Arial" w:hAnsi="Arial" w:cs="Arial"/>
          <w:b/>
          <w:sz w:val="22"/>
        </w:rPr>
      </w:pPr>
      <w:r w:rsidRPr="008F5246">
        <w:rPr>
          <w:rFonts w:ascii="Arial" w:hAnsi="Arial" w:cs="Arial"/>
          <w:b/>
          <w:sz w:val="22"/>
        </w:rPr>
        <w:t>Applicant:</w:t>
      </w:r>
      <w:r w:rsidR="008F5246">
        <w:rPr>
          <w:rFonts w:ascii="Arial" w:hAnsi="Arial" w:cs="Arial"/>
          <w:b/>
          <w:sz w:val="22"/>
        </w:rPr>
        <w:tab/>
      </w:r>
      <w:proofErr w:type="spellStart"/>
      <w:r w:rsidRPr="008F5246">
        <w:rPr>
          <w:rFonts w:ascii="Arial" w:hAnsi="Arial" w:cs="Arial"/>
          <w:b/>
          <w:sz w:val="22"/>
        </w:rPr>
        <w:t>Servier</w:t>
      </w:r>
      <w:proofErr w:type="spellEnd"/>
      <w:r w:rsidRPr="008F5246">
        <w:rPr>
          <w:rFonts w:ascii="Arial" w:hAnsi="Arial" w:cs="Arial"/>
          <w:b/>
          <w:sz w:val="22"/>
        </w:rPr>
        <w:t xml:space="preserve"> Laboratories (Aust.) Pty. Ltd.</w:t>
      </w:r>
    </w:p>
    <w:p w14:paraId="4427094F" w14:textId="31B096DA" w:rsidR="00785C2F" w:rsidRDefault="00785C2F" w:rsidP="008F5246">
      <w:pPr>
        <w:tabs>
          <w:tab w:val="left" w:pos="3686"/>
        </w:tabs>
        <w:spacing w:before="240" w:after="360"/>
        <w:rPr>
          <w:rFonts w:ascii="Arial" w:hAnsi="Arial" w:cs="Arial"/>
          <w:b/>
          <w:sz w:val="22"/>
        </w:rPr>
      </w:pPr>
      <w:r w:rsidRPr="008F5246">
        <w:rPr>
          <w:rFonts w:ascii="Arial" w:hAnsi="Arial" w:cs="Arial"/>
          <w:b/>
          <w:sz w:val="22"/>
        </w:rPr>
        <w:t xml:space="preserve">Date of </w:t>
      </w:r>
      <w:r w:rsidR="008F5246" w:rsidRPr="008F5246">
        <w:rPr>
          <w:rFonts w:ascii="Arial" w:hAnsi="Arial" w:cs="Arial"/>
          <w:b/>
          <w:sz w:val="22"/>
        </w:rPr>
        <w:t>MSAC</w:t>
      </w:r>
      <w:r w:rsidRPr="008F5246">
        <w:rPr>
          <w:rFonts w:ascii="Arial" w:hAnsi="Arial" w:cs="Arial"/>
          <w:b/>
          <w:sz w:val="22"/>
        </w:rPr>
        <w:t xml:space="preserve"> consideration:</w:t>
      </w:r>
      <w:r w:rsidRPr="008F5246">
        <w:rPr>
          <w:rFonts w:ascii="Arial" w:hAnsi="Arial" w:cs="Arial"/>
          <w:b/>
          <w:sz w:val="22"/>
        </w:rPr>
        <w:tab/>
      </w:r>
      <w:r w:rsidR="008F5246">
        <w:rPr>
          <w:rFonts w:ascii="Arial" w:hAnsi="Arial" w:cs="Arial"/>
          <w:b/>
          <w:sz w:val="22"/>
        </w:rPr>
        <w:t>1-2 August</w:t>
      </w:r>
      <w:r w:rsidRPr="008F5246">
        <w:rPr>
          <w:rFonts w:ascii="Arial" w:hAnsi="Arial" w:cs="Arial"/>
          <w:b/>
          <w:sz w:val="22"/>
        </w:rPr>
        <w:t xml:space="preserve"> 2024</w:t>
      </w:r>
    </w:p>
    <w:p w14:paraId="79697234" w14:textId="77777777" w:rsidR="008F5246" w:rsidRPr="008F5246" w:rsidRDefault="008F5246" w:rsidP="008F5246">
      <w:pPr>
        <w:spacing w:before="240" w:after="360"/>
        <w:rPr>
          <w:rFonts w:ascii="Franklin Gothic Book" w:hAnsi="Franklin Gothic Book"/>
          <w:color w:val="0000FF"/>
          <w:sz w:val="22"/>
          <w:u w:val="single"/>
        </w:rPr>
      </w:pPr>
      <w:r w:rsidRPr="008F5246">
        <w:rPr>
          <w:rFonts w:ascii="Franklin Gothic Book" w:hAnsi="Franklin Gothic Book"/>
          <w:sz w:val="22"/>
        </w:rPr>
        <w:t xml:space="preserve">Context for decision: MSAC makes its advice in accordance with its Terms of Reference, </w:t>
      </w:r>
      <w:hyperlink r:id="rId8" w:tooltip="Link to Medical Services Advisory Committee website" w:history="1">
        <w:r w:rsidRPr="008F5246">
          <w:rPr>
            <w:rStyle w:val="Hyperlink"/>
            <w:rFonts w:ascii="Franklin Gothic Book" w:hAnsi="Franklin Gothic Book"/>
            <w:sz w:val="22"/>
          </w:rPr>
          <w:t>visit the MSAC website</w:t>
        </w:r>
      </w:hyperlink>
    </w:p>
    <w:p w14:paraId="73703CBC" w14:textId="77777777" w:rsidR="00785C2F" w:rsidRPr="008F5246" w:rsidRDefault="00785C2F" w:rsidP="00431CF2">
      <w:pPr>
        <w:pStyle w:val="Heading2"/>
        <w:widowControl w:val="0"/>
        <w:numPr>
          <w:ilvl w:val="0"/>
          <w:numId w:val="29"/>
        </w:numPr>
        <w:spacing w:after="240"/>
        <w:ind w:left="0" w:firstLine="0"/>
        <w:rPr>
          <w:rFonts w:ascii="Franklin Gothic Medium" w:hAnsi="Franklin Gothic Medium"/>
          <w:b w:val="0"/>
          <w:i w:val="0"/>
          <w:snapToGrid/>
          <w:color w:val="000000" w:themeColor="text1"/>
          <w:sz w:val="32"/>
          <w:szCs w:val="26"/>
        </w:rPr>
      </w:pPr>
      <w:bookmarkStart w:id="3" w:name="_Toc163115421"/>
      <w:bookmarkStart w:id="4" w:name="_Toc166763123"/>
      <w:bookmarkEnd w:id="1"/>
      <w:bookmarkEnd w:id="2"/>
      <w:r w:rsidRPr="008F5246">
        <w:rPr>
          <w:rFonts w:ascii="Franklin Gothic Medium" w:hAnsi="Franklin Gothic Medium"/>
          <w:b w:val="0"/>
          <w:i w:val="0"/>
          <w:snapToGrid/>
          <w:color w:val="000000" w:themeColor="text1"/>
          <w:sz w:val="32"/>
          <w:szCs w:val="26"/>
        </w:rPr>
        <w:t>Purpose of the application</w:t>
      </w:r>
      <w:bookmarkEnd w:id="3"/>
      <w:bookmarkEnd w:id="4"/>
      <w:r w:rsidRPr="008F5246">
        <w:rPr>
          <w:rFonts w:ascii="Franklin Gothic Medium" w:hAnsi="Franklin Gothic Medium"/>
          <w:b w:val="0"/>
          <w:i w:val="0"/>
          <w:snapToGrid/>
          <w:color w:val="000000" w:themeColor="text1"/>
          <w:sz w:val="32"/>
          <w:szCs w:val="26"/>
        </w:rPr>
        <w:t xml:space="preserve"> </w:t>
      </w:r>
    </w:p>
    <w:p w14:paraId="33D6F1FB" w14:textId="77777777" w:rsidR="00785C2F" w:rsidRPr="008F5246" w:rsidRDefault="00785C2F" w:rsidP="00785C2F">
      <w:pPr>
        <w:spacing w:after="240"/>
        <w:rPr>
          <w:rFonts w:ascii="Franklin Gothic Book" w:hAnsi="Franklin Gothic Book"/>
          <w:color w:val="0D0D0D"/>
          <w:sz w:val="22"/>
        </w:rPr>
      </w:pPr>
      <w:r w:rsidRPr="008F5246">
        <w:rPr>
          <w:rFonts w:ascii="Franklin Gothic Book" w:hAnsi="Franklin Gothic Book"/>
          <w:color w:val="0D0D0D"/>
          <w:sz w:val="22"/>
        </w:rPr>
        <w:t xml:space="preserve">The integrated codependent application requested: </w:t>
      </w:r>
    </w:p>
    <w:p w14:paraId="580E036C" w14:textId="77777777" w:rsidR="00785C2F" w:rsidRPr="008F5246" w:rsidRDefault="00785C2F" w:rsidP="00431CF2">
      <w:pPr>
        <w:numPr>
          <w:ilvl w:val="0"/>
          <w:numId w:val="13"/>
        </w:numPr>
        <w:spacing w:after="240"/>
        <w:rPr>
          <w:rFonts w:ascii="Franklin Gothic Book" w:hAnsi="Franklin Gothic Book"/>
          <w:color w:val="0D0D0D"/>
          <w:sz w:val="22"/>
        </w:rPr>
      </w:pPr>
      <w:r w:rsidRPr="008F5246">
        <w:rPr>
          <w:rFonts w:ascii="Franklin Gothic Book" w:hAnsi="Franklin Gothic Book"/>
          <w:color w:val="0D0D0D"/>
          <w:sz w:val="22"/>
        </w:rPr>
        <w:t xml:space="preserve">Medicare Benefits Schedule (MBS) listing of </w:t>
      </w:r>
      <w:r w:rsidRPr="008F5246">
        <w:rPr>
          <w:rFonts w:ascii="Franklin Gothic Book" w:hAnsi="Franklin Gothic Book"/>
          <w:i/>
          <w:iCs/>
          <w:color w:val="0D0D0D"/>
          <w:sz w:val="22"/>
        </w:rPr>
        <w:t xml:space="preserve">isocitrate dehydrogenase 1 </w:t>
      </w:r>
      <w:r w:rsidRPr="008F5246">
        <w:rPr>
          <w:rFonts w:ascii="Franklin Gothic Book" w:hAnsi="Franklin Gothic Book"/>
          <w:color w:val="0D0D0D"/>
          <w:sz w:val="22"/>
        </w:rPr>
        <w:t>(</w:t>
      </w:r>
      <w:r w:rsidRPr="008F5246">
        <w:rPr>
          <w:rFonts w:ascii="Franklin Gothic Book" w:hAnsi="Franklin Gothic Book"/>
          <w:i/>
          <w:iCs/>
          <w:color w:val="0D0D0D"/>
          <w:sz w:val="22"/>
        </w:rPr>
        <w:t>IDH1</w:t>
      </w:r>
      <w:r w:rsidRPr="008F5246">
        <w:rPr>
          <w:rFonts w:ascii="Franklin Gothic Book" w:hAnsi="Franklin Gothic Book"/>
          <w:color w:val="0D0D0D"/>
          <w:sz w:val="22"/>
        </w:rPr>
        <w:t xml:space="preserve">) testing for the evaluation of Tier I </w:t>
      </w:r>
      <w:r w:rsidRPr="00F3112C">
        <w:rPr>
          <w:rFonts w:ascii="Franklin Gothic Book" w:hAnsi="Franklin Gothic Book"/>
          <w:iCs/>
          <w:color w:val="0D0D0D"/>
          <w:sz w:val="22"/>
        </w:rPr>
        <w:t xml:space="preserve">IDH1 </w:t>
      </w:r>
      <w:r w:rsidRPr="008F5246">
        <w:rPr>
          <w:rFonts w:ascii="Franklin Gothic Book" w:hAnsi="Franklin Gothic Book"/>
          <w:color w:val="0D0D0D"/>
          <w:sz w:val="22"/>
        </w:rPr>
        <w:t>p.R132X variants for the determination of patient eligibility for treatment with ivosidenib in patients with cholangiocarcinoma (CCA) and</w:t>
      </w:r>
    </w:p>
    <w:p w14:paraId="2CA62CE3" w14:textId="4139794B" w:rsidR="00785C2F" w:rsidRPr="008F5246" w:rsidRDefault="00785C2F" w:rsidP="00864ADF">
      <w:pPr>
        <w:numPr>
          <w:ilvl w:val="0"/>
          <w:numId w:val="7"/>
        </w:numPr>
        <w:ind w:left="714" w:hanging="357"/>
        <w:rPr>
          <w:rFonts w:ascii="Franklin Gothic Book" w:hAnsi="Franklin Gothic Book"/>
          <w:color w:val="0D0D0D"/>
          <w:sz w:val="22"/>
        </w:rPr>
      </w:pPr>
      <w:r w:rsidRPr="008F5246">
        <w:rPr>
          <w:rFonts w:ascii="Franklin Gothic Book" w:hAnsi="Franklin Gothic Book"/>
          <w:color w:val="0D0D0D"/>
          <w:sz w:val="22"/>
        </w:rPr>
        <w:t xml:space="preserve">Pharmaceutical Benefits Scheme (PBS) </w:t>
      </w:r>
      <w:r w:rsidR="00752655">
        <w:rPr>
          <w:rFonts w:ascii="Franklin Gothic Book" w:hAnsi="Franklin Gothic Book"/>
          <w:color w:val="0D0D0D"/>
          <w:sz w:val="22"/>
        </w:rPr>
        <w:t xml:space="preserve">General </w:t>
      </w:r>
      <w:r w:rsidRPr="008F5246">
        <w:rPr>
          <w:rFonts w:ascii="Franklin Gothic Book" w:hAnsi="Franklin Gothic Book"/>
          <w:color w:val="0D0D0D"/>
          <w:sz w:val="22"/>
        </w:rPr>
        <w:t>Schedule</w:t>
      </w:r>
      <w:r w:rsidR="00F678FB">
        <w:rPr>
          <w:rFonts w:ascii="Franklin Gothic Book" w:hAnsi="Franklin Gothic Book"/>
          <w:color w:val="0D0D0D"/>
          <w:sz w:val="22"/>
        </w:rPr>
        <w:t>,</w:t>
      </w:r>
      <w:r w:rsidRPr="008F5246">
        <w:rPr>
          <w:rFonts w:ascii="Franklin Gothic Book" w:hAnsi="Franklin Gothic Book"/>
          <w:color w:val="0D0D0D"/>
          <w:sz w:val="22"/>
        </w:rPr>
        <w:t xml:space="preserve"> Authority Required</w:t>
      </w:r>
      <w:r w:rsidR="00837356">
        <w:rPr>
          <w:rFonts w:ascii="Franklin Gothic Book" w:hAnsi="Franklin Gothic Book"/>
          <w:color w:val="0D0D0D"/>
          <w:sz w:val="22"/>
        </w:rPr>
        <w:t xml:space="preserve"> </w:t>
      </w:r>
      <w:r w:rsidR="00F678FB">
        <w:rPr>
          <w:rFonts w:ascii="Franklin Gothic Book" w:hAnsi="Franklin Gothic Book"/>
          <w:color w:val="0D0D0D"/>
          <w:sz w:val="22"/>
        </w:rPr>
        <w:t>-</w:t>
      </w:r>
      <w:r w:rsidRPr="008F5246">
        <w:rPr>
          <w:rFonts w:ascii="Franklin Gothic Book" w:hAnsi="Franklin Gothic Book"/>
          <w:color w:val="0D0D0D"/>
          <w:sz w:val="22"/>
        </w:rPr>
        <w:t xml:space="preserve"> listing of ivosidenib for the treatment of locally advanced or metastatic cholangiocarcinoma in patients who have evidence of an </w:t>
      </w:r>
      <w:r w:rsidRPr="008F5246">
        <w:rPr>
          <w:rFonts w:ascii="Franklin Gothic Book" w:hAnsi="Franklin Gothic Book"/>
          <w:i/>
          <w:iCs/>
          <w:color w:val="0D0D0D"/>
          <w:sz w:val="22"/>
        </w:rPr>
        <w:t>IDH1</w:t>
      </w:r>
      <w:r w:rsidRPr="008F5246">
        <w:rPr>
          <w:rFonts w:ascii="Franklin Gothic Book" w:hAnsi="Franklin Gothic Book"/>
          <w:color w:val="0D0D0D"/>
          <w:sz w:val="22"/>
        </w:rPr>
        <w:t xml:space="preserve"> variant and who have previously progressed on systemic therapy.</w:t>
      </w:r>
    </w:p>
    <w:p w14:paraId="4D066C7E" w14:textId="77777777" w:rsidR="008F5246" w:rsidRPr="008F5246" w:rsidRDefault="008F5246" w:rsidP="008F5246">
      <w:pPr>
        <w:pStyle w:val="Heading2"/>
        <w:widowControl w:val="0"/>
        <w:spacing w:after="240"/>
        <w:rPr>
          <w:rFonts w:ascii="Franklin Gothic Medium" w:hAnsi="Franklin Gothic Medium"/>
          <w:b w:val="0"/>
          <w:i w:val="0"/>
          <w:snapToGrid/>
          <w:color w:val="000000" w:themeColor="text1"/>
          <w:sz w:val="32"/>
          <w:szCs w:val="26"/>
        </w:rPr>
      </w:pPr>
      <w:r w:rsidRPr="008F5246">
        <w:rPr>
          <w:rFonts w:ascii="Franklin Gothic Medium" w:hAnsi="Franklin Gothic Medium"/>
          <w:b w:val="0"/>
          <w:i w:val="0"/>
          <w:snapToGrid/>
          <w:color w:val="000000" w:themeColor="text1"/>
          <w:sz w:val="32"/>
          <w:szCs w:val="26"/>
        </w:rPr>
        <w:t>2.</w:t>
      </w:r>
      <w:r w:rsidRPr="008F5246">
        <w:rPr>
          <w:rFonts w:ascii="Franklin Gothic Medium" w:hAnsi="Franklin Gothic Medium"/>
          <w:b w:val="0"/>
          <w:i w:val="0"/>
          <w:snapToGrid/>
          <w:color w:val="000000" w:themeColor="text1"/>
          <w:sz w:val="32"/>
          <w:szCs w:val="26"/>
        </w:rPr>
        <w:tab/>
        <w:t>MSAC’s advice to the Minister</w:t>
      </w:r>
    </w:p>
    <w:p w14:paraId="0AAD0EBD" w14:textId="351969CD" w:rsidR="00FC368B" w:rsidRDefault="008F5246" w:rsidP="00FC368B">
      <w:pPr>
        <w:spacing w:after="240"/>
        <w:rPr>
          <w:rStyle w:val="normaltextrun"/>
          <w:rFonts w:ascii="Franklin Gothic Book" w:hAnsi="Franklin Gothic Book"/>
          <w:color w:val="000000"/>
          <w:sz w:val="22"/>
          <w:shd w:val="clear" w:color="auto" w:fill="FFFFFF"/>
        </w:rPr>
      </w:pPr>
      <w:r w:rsidRPr="008F5246">
        <w:rPr>
          <w:rFonts w:ascii="Franklin Gothic Book" w:eastAsia="Calibri" w:hAnsi="Franklin Gothic Book" w:cs="Times New Roman"/>
          <w:sz w:val="22"/>
        </w:rPr>
        <w:t>After considering the strength of the available evidence in relation to comparative safety, clinical effectiveness, cost-effectiveness and total cost, MSAC</w:t>
      </w:r>
      <w:r w:rsidR="00B92E83">
        <w:rPr>
          <w:rFonts w:ascii="Franklin Gothic Book" w:eastAsia="Calibri" w:hAnsi="Franklin Gothic Book" w:cs="Times New Roman"/>
          <w:sz w:val="22"/>
        </w:rPr>
        <w:t xml:space="preserve"> </w:t>
      </w:r>
      <w:r w:rsidR="00B92E83">
        <w:rPr>
          <w:rStyle w:val="normaltextrun"/>
          <w:rFonts w:ascii="Franklin Gothic Book" w:hAnsi="Franklin Gothic Book"/>
          <w:color w:val="000000"/>
          <w:sz w:val="22"/>
          <w:shd w:val="clear" w:color="auto" w:fill="FFFFFF"/>
        </w:rPr>
        <w:t xml:space="preserve">deferred its advice on the public funding of </w:t>
      </w:r>
      <w:r w:rsidR="00B92E83" w:rsidRPr="003E0F12">
        <w:rPr>
          <w:rStyle w:val="normaltextrun"/>
          <w:rFonts w:ascii="Franklin Gothic Book" w:hAnsi="Franklin Gothic Book"/>
          <w:i/>
          <w:iCs/>
          <w:color w:val="000000"/>
          <w:sz w:val="22"/>
          <w:shd w:val="clear" w:color="auto" w:fill="FFFFFF"/>
        </w:rPr>
        <w:t>isocitrate dehydrogenase 1</w:t>
      </w:r>
      <w:r w:rsidR="00B92E83">
        <w:rPr>
          <w:rStyle w:val="normaltextrun"/>
          <w:rFonts w:ascii="Franklin Gothic Book" w:hAnsi="Franklin Gothic Book"/>
          <w:color w:val="000000"/>
          <w:sz w:val="22"/>
          <w:shd w:val="clear" w:color="auto" w:fill="FFFFFF"/>
        </w:rPr>
        <w:t xml:space="preserve"> (</w:t>
      </w:r>
      <w:r w:rsidR="00B92E83">
        <w:rPr>
          <w:rStyle w:val="normaltextrun"/>
          <w:rFonts w:ascii="Franklin Gothic Book" w:hAnsi="Franklin Gothic Book"/>
          <w:i/>
          <w:iCs/>
          <w:color w:val="000000"/>
          <w:sz w:val="22"/>
          <w:shd w:val="clear" w:color="auto" w:fill="FFFFFF"/>
        </w:rPr>
        <w:t>IDH1</w:t>
      </w:r>
      <w:r w:rsidR="00B92E83">
        <w:rPr>
          <w:rStyle w:val="normaltextrun"/>
          <w:rFonts w:ascii="Franklin Gothic Book" w:hAnsi="Franklin Gothic Book"/>
          <w:color w:val="000000"/>
          <w:sz w:val="22"/>
          <w:shd w:val="clear" w:color="auto" w:fill="FFFFFF"/>
        </w:rPr>
        <w:t>)</w:t>
      </w:r>
      <w:r w:rsidR="00B92E83">
        <w:rPr>
          <w:rStyle w:val="normaltextrun"/>
          <w:rFonts w:ascii="Franklin Gothic Book" w:hAnsi="Franklin Gothic Book"/>
          <w:i/>
          <w:iCs/>
          <w:color w:val="000000"/>
          <w:sz w:val="22"/>
          <w:shd w:val="clear" w:color="auto" w:fill="FFFFFF"/>
        </w:rPr>
        <w:t xml:space="preserve"> </w:t>
      </w:r>
      <w:r w:rsidR="00B92E83">
        <w:rPr>
          <w:rStyle w:val="normaltextrun"/>
          <w:rFonts w:ascii="Franklin Gothic Book" w:hAnsi="Franklin Gothic Book"/>
          <w:color w:val="000000"/>
          <w:sz w:val="22"/>
          <w:shd w:val="clear" w:color="auto" w:fill="FFFFFF"/>
        </w:rPr>
        <w:t xml:space="preserve">genetic testing to detect variants that provide ivosidenib access under the Pharmaceutical Benefits Scheme (PBS) in patients with cholangiocarcinoma. MSAC acknowledged that patients with cholangiocarcinoma typically have a poor prognosis, and that there was a high clinical need for treatments for this condition. MSAC considered the testing was safe, the cost to the MBS was acceptable, and if it provided access to ivosidenib on the PBS then this test would improve health outcomes for the subset of patients with cholangiocarcinoma who harbour an </w:t>
      </w:r>
      <w:r w:rsidR="00B92E83">
        <w:rPr>
          <w:rStyle w:val="normaltextrun"/>
          <w:rFonts w:ascii="Franklin Gothic Book" w:hAnsi="Franklin Gothic Book"/>
          <w:i/>
          <w:iCs/>
          <w:color w:val="000000"/>
          <w:sz w:val="22"/>
          <w:shd w:val="clear" w:color="auto" w:fill="FFFFFF"/>
        </w:rPr>
        <w:t xml:space="preserve">IDH1 </w:t>
      </w:r>
      <w:r w:rsidR="00B92E83">
        <w:rPr>
          <w:rStyle w:val="normaltextrun"/>
          <w:rFonts w:ascii="Franklin Gothic Book" w:hAnsi="Franklin Gothic Book"/>
          <w:color w:val="000000"/>
          <w:sz w:val="22"/>
          <w:shd w:val="clear" w:color="auto" w:fill="FFFFFF"/>
        </w:rPr>
        <w:t xml:space="preserve">variant. However, MSAC noted that </w:t>
      </w:r>
      <w:r w:rsidR="00B92E83" w:rsidRPr="000F1AF1">
        <w:rPr>
          <w:rStyle w:val="normaltextrun"/>
          <w:rFonts w:ascii="Franklin Gothic Book" w:hAnsi="Franklin Gothic Book"/>
          <w:color w:val="000000"/>
          <w:sz w:val="22"/>
          <w:shd w:val="clear" w:color="auto" w:fill="FFFFFF"/>
        </w:rPr>
        <w:t xml:space="preserve">the Pharmaceutical Benefits Advisory Committee (PBAC) had not recommended listing ivosidenib on the PBS, primarily on the basis that the incremental cost-effectiveness ratio (ICER) was high. MSAC foreshadowed that it would expeditiously reconsider this testing if the PBAC recommended ivosidenib for patients with cholangiocarcinoma in whom an </w:t>
      </w:r>
      <w:r w:rsidR="00B92E83" w:rsidRPr="000F1AF1">
        <w:rPr>
          <w:rStyle w:val="normaltextrun"/>
          <w:rFonts w:ascii="Franklin Gothic Book" w:hAnsi="Franklin Gothic Book"/>
          <w:i/>
          <w:iCs/>
          <w:color w:val="000000"/>
          <w:sz w:val="22"/>
          <w:shd w:val="clear" w:color="auto" w:fill="FFFFFF"/>
        </w:rPr>
        <w:t>IDH1</w:t>
      </w:r>
      <w:r w:rsidR="00B92E83" w:rsidRPr="000F1AF1">
        <w:rPr>
          <w:rStyle w:val="normaltextrun"/>
          <w:rFonts w:ascii="Franklin Gothic Book" w:hAnsi="Franklin Gothic Book"/>
          <w:color w:val="000000"/>
          <w:sz w:val="22"/>
          <w:shd w:val="clear" w:color="auto" w:fill="FFFFFF"/>
        </w:rPr>
        <w:t xml:space="preserve"> variant is detected.</w:t>
      </w:r>
      <w:r w:rsidR="00FC368B">
        <w:rPr>
          <w:rStyle w:val="normaltextrun"/>
          <w:rFonts w:ascii="Franklin Gothic Book" w:hAnsi="Franklin Gothic Book"/>
          <w:color w:val="000000"/>
          <w:sz w:val="22"/>
          <w:shd w:val="clear" w:color="auto" w:fill="FFFFFF"/>
        </w:rPr>
        <w:br w:type="page"/>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sumer summary of MSAC consideration"/>
      </w:tblPr>
      <w:tblGrid>
        <w:gridCol w:w="9016"/>
      </w:tblGrid>
      <w:tr w:rsidR="008F5246" w:rsidRPr="00C86E49" w14:paraId="11CDF2B7" w14:textId="77777777" w:rsidTr="00EE7AD2">
        <w:trPr>
          <w:cnfStyle w:val="100000000000" w:firstRow="1" w:lastRow="0" w:firstColumn="0" w:lastColumn="0" w:oddVBand="0" w:evenVBand="0" w:oddHBand="0" w:evenHBand="0" w:firstRowFirstColumn="0" w:firstRowLastColumn="0" w:lastRowFirstColumn="0" w:lastRowLastColumn="0"/>
          <w:tblHeader/>
        </w:trPr>
        <w:tc>
          <w:tcPr>
            <w:tcW w:w="5000" w:type="pct"/>
            <w:tcBorders>
              <w:bottom w:val="single" w:sz="4" w:space="0" w:color="auto"/>
            </w:tcBorders>
            <w:shd w:val="clear" w:color="auto" w:fill="auto"/>
          </w:tcPr>
          <w:p w14:paraId="79677A5B" w14:textId="75E13C00" w:rsidR="008F5246" w:rsidRPr="00C86E49" w:rsidRDefault="008F5246" w:rsidP="00EE7AD2">
            <w:pPr>
              <w:keepNext/>
              <w:keepLines/>
              <w:spacing w:after="120"/>
              <w:outlineLvl w:val="2"/>
              <w:rPr>
                <w:rFonts w:ascii="Franklin Gothic Medium" w:eastAsia="Calibri" w:hAnsi="Franklin Gothic Medium" w:cs="Times New Roman"/>
                <w:iCs/>
                <w:color w:val="1F3763"/>
                <w:szCs w:val="24"/>
              </w:rPr>
            </w:pPr>
            <w:r w:rsidRPr="00C86E49">
              <w:rPr>
                <w:rFonts w:ascii="Franklin Gothic Medium" w:eastAsia="Times New Roman" w:hAnsi="Franklin Gothic Medium" w:cs="Times New Roman"/>
                <w:szCs w:val="24"/>
              </w:rPr>
              <w:lastRenderedPageBreak/>
              <w:t>Consumer summary</w:t>
            </w:r>
          </w:p>
        </w:tc>
      </w:tr>
      <w:tr w:rsidR="008F5246" w:rsidRPr="00C86E49" w14:paraId="3AF7350E" w14:textId="77777777" w:rsidTr="00EE7AD2">
        <w:tc>
          <w:tcPr>
            <w:tcW w:w="5000" w:type="pct"/>
          </w:tcPr>
          <w:p w14:paraId="0DBF9D8E" w14:textId="4AF68193" w:rsidR="00EE7AD2" w:rsidRPr="00EE7AD2" w:rsidRDefault="00EE7AD2" w:rsidP="00EE7AD2">
            <w:pPr>
              <w:rPr>
                <w:rFonts w:ascii="Franklin Gothic Book" w:hAnsi="Franklin Gothic Book"/>
                <w:sz w:val="22"/>
              </w:rPr>
            </w:pPr>
            <w:r w:rsidRPr="00EE7AD2">
              <w:rPr>
                <w:rFonts w:ascii="Franklin Gothic Book" w:hAnsi="Franklin Gothic Book"/>
                <w:sz w:val="22"/>
              </w:rPr>
              <w:t xml:space="preserve">This </w:t>
            </w:r>
            <w:r w:rsidR="00C530CF">
              <w:rPr>
                <w:rFonts w:ascii="Franklin Gothic Book" w:hAnsi="Franklin Gothic Book"/>
                <w:sz w:val="22"/>
              </w:rPr>
              <w:t>wa</w:t>
            </w:r>
            <w:r w:rsidRPr="00EE7AD2">
              <w:rPr>
                <w:rFonts w:ascii="Franklin Gothic Book" w:hAnsi="Franklin Gothic Book"/>
                <w:sz w:val="22"/>
              </w:rPr>
              <w:t xml:space="preserve">s an application from </w:t>
            </w:r>
            <w:proofErr w:type="spellStart"/>
            <w:r w:rsidRPr="00EE7AD2">
              <w:rPr>
                <w:rFonts w:ascii="Franklin Gothic Book" w:hAnsi="Franklin Gothic Book"/>
                <w:sz w:val="22"/>
              </w:rPr>
              <w:t>Servier</w:t>
            </w:r>
            <w:proofErr w:type="spellEnd"/>
            <w:r w:rsidRPr="00EE7AD2">
              <w:rPr>
                <w:rFonts w:ascii="Franklin Gothic Book" w:hAnsi="Franklin Gothic Book"/>
                <w:sz w:val="22"/>
              </w:rPr>
              <w:t xml:space="preserve"> Laboratories </w:t>
            </w:r>
            <w:r w:rsidR="008809E0">
              <w:rPr>
                <w:rFonts w:ascii="Franklin Gothic Book" w:hAnsi="Franklin Gothic Book"/>
                <w:sz w:val="22"/>
              </w:rPr>
              <w:t xml:space="preserve">Australia Pty. Ltd. </w:t>
            </w:r>
            <w:r w:rsidRPr="00EE7AD2">
              <w:rPr>
                <w:rFonts w:ascii="Franklin Gothic Book" w:hAnsi="Franklin Gothic Book"/>
                <w:sz w:val="22"/>
              </w:rPr>
              <w:t xml:space="preserve">requesting Medicare Benefits Schedule (MBS) listing </w:t>
            </w:r>
            <w:r w:rsidR="008809E0">
              <w:rPr>
                <w:rFonts w:ascii="Franklin Gothic Book" w:hAnsi="Franklin Gothic Book"/>
                <w:sz w:val="22"/>
              </w:rPr>
              <w:t>of</w:t>
            </w:r>
            <w:r w:rsidR="008809E0" w:rsidRPr="00EE7AD2">
              <w:rPr>
                <w:rFonts w:ascii="Franklin Gothic Book" w:hAnsi="Franklin Gothic Book"/>
                <w:sz w:val="22"/>
              </w:rPr>
              <w:t xml:space="preserve"> </w:t>
            </w:r>
            <w:r w:rsidR="00C530CF">
              <w:rPr>
                <w:rFonts w:ascii="Franklin Gothic Book" w:hAnsi="Franklin Gothic Book"/>
                <w:sz w:val="22"/>
              </w:rPr>
              <w:t xml:space="preserve">testing for genetic variants in </w:t>
            </w:r>
            <w:r w:rsidR="008809E0">
              <w:rPr>
                <w:rFonts w:ascii="Franklin Gothic Book" w:hAnsi="Franklin Gothic Book"/>
                <w:sz w:val="22"/>
              </w:rPr>
              <w:t>the</w:t>
            </w:r>
            <w:r w:rsidR="00E742CC">
              <w:rPr>
                <w:rFonts w:ascii="Franklin Gothic Book" w:hAnsi="Franklin Gothic Book"/>
                <w:sz w:val="22"/>
              </w:rPr>
              <w:t xml:space="preserve"> </w:t>
            </w:r>
            <w:r w:rsidRPr="00EE7AD2">
              <w:rPr>
                <w:rFonts w:ascii="Franklin Gothic Book" w:hAnsi="Franklin Gothic Book"/>
                <w:i/>
                <w:iCs/>
                <w:sz w:val="22"/>
              </w:rPr>
              <w:t>IDH1</w:t>
            </w:r>
            <w:r w:rsidR="008809E0">
              <w:rPr>
                <w:rFonts w:ascii="Franklin Gothic Book" w:hAnsi="Franklin Gothic Book"/>
                <w:sz w:val="22"/>
              </w:rPr>
              <w:t xml:space="preserve"> gene</w:t>
            </w:r>
            <w:r w:rsidRPr="00EE7AD2">
              <w:rPr>
                <w:rFonts w:ascii="Franklin Gothic Book" w:hAnsi="Franklin Gothic Book"/>
                <w:sz w:val="22"/>
              </w:rPr>
              <w:t xml:space="preserve"> in patients </w:t>
            </w:r>
            <w:r w:rsidR="00AD7D85">
              <w:rPr>
                <w:rFonts w:ascii="Franklin Gothic Book" w:hAnsi="Franklin Gothic Book"/>
                <w:sz w:val="22"/>
              </w:rPr>
              <w:t>with</w:t>
            </w:r>
            <w:r w:rsidRPr="00EE7AD2">
              <w:rPr>
                <w:rFonts w:ascii="Franklin Gothic Book" w:hAnsi="Franklin Gothic Book"/>
                <w:sz w:val="22"/>
              </w:rPr>
              <w:t xml:space="preserve"> cholangiocarcinoma. </w:t>
            </w:r>
            <w:r w:rsidR="00A46CD1">
              <w:rPr>
                <w:rFonts w:ascii="Franklin Gothic Book" w:hAnsi="Franklin Gothic Book"/>
                <w:sz w:val="22"/>
              </w:rPr>
              <w:t xml:space="preserve">The aim of this genetic testing would be to </w:t>
            </w:r>
            <w:r w:rsidR="00AD66E5">
              <w:rPr>
                <w:rFonts w:ascii="Franklin Gothic Book" w:hAnsi="Franklin Gothic Book"/>
                <w:sz w:val="22"/>
              </w:rPr>
              <w:t xml:space="preserve">show which patients </w:t>
            </w:r>
            <w:r w:rsidR="002D171D">
              <w:rPr>
                <w:rFonts w:ascii="Franklin Gothic Book" w:hAnsi="Franklin Gothic Book"/>
                <w:sz w:val="22"/>
              </w:rPr>
              <w:t>would be eligible for</w:t>
            </w:r>
            <w:r w:rsidR="00A46CD1">
              <w:rPr>
                <w:rFonts w:ascii="Franklin Gothic Book" w:hAnsi="Franklin Gothic Book"/>
                <w:sz w:val="22"/>
              </w:rPr>
              <w:t xml:space="preserve"> a medicine called </w:t>
            </w:r>
            <w:r w:rsidR="00A46CD1" w:rsidRPr="00EE7AD2">
              <w:rPr>
                <w:rFonts w:ascii="Franklin Gothic Book" w:hAnsi="Franklin Gothic Book"/>
                <w:sz w:val="22"/>
              </w:rPr>
              <w:t>ivosidenib on the Pharmaceutical Benefits Scheme (PBS)</w:t>
            </w:r>
            <w:r w:rsidR="003F17A7">
              <w:rPr>
                <w:rFonts w:ascii="Franklin Gothic Book" w:hAnsi="Franklin Gothic Book"/>
                <w:sz w:val="22"/>
              </w:rPr>
              <w:t>.</w:t>
            </w:r>
            <w:r w:rsidR="00AD66E5">
              <w:rPr>
                <w:rFonts w:ascii="Franklin Gothic Book" w:hAnsi="Franklin Gothic Book"/>
                <w:sz w:val="22"/>
              </w:rPr>
              <w:t xml:space="preserve"> Ivosidenib is not </w:t>
            </w:r>
            <w:r w:rsidR="002D171D">
              <w:rPr>
                <w:rFonts w:ascii="Franklin Gothic Book" w:hAnsi="Franklin Gothic Book"/>
                <w:sz w:val="22"/>
              </w:rPr>
              <w:t>yet</w:t>
            </w:r>
            <w:r w:rsidR="00AD66E5">
              <w:rPr>
                <w:rFonts w:ascii="Franklin Gothic Book" w:hAnsi="Franklin Gothic Book"/>
                <w:sz w:val="22"/>
              </w:rPr>
              <w:t xml:space="preserve"> listed on the PBS, so this was a codependent application that proposed public funding of both the test and the medicine.</w:t>
            </w:r>
          </w:p>
          <w:p w14:paraId="4FC19CCC" w14:textId="16AA373D" w:rsidR="00E945C7" w:rsidRDefault="00EE7AD2" w:rsidP="00EE7AD2">
            <w:pPr>
              <w:rPr>
                <w:rFonts w:ascii="Franklin Gothic Book" w:hAnsi="Franklin Gothic Book"/>
                <w:sz w:val="22"/>
              </w:rPr>
            </w:pPr>
            <w:r w:rsidRPr="00EE7AD2">
              <w:rPr>
                <w:rFonts w:ascii="Franklin Gothic Book" w:hAnsi="Franklin Gothic Book"/>
                <w:sz w:val="22"/>
              </w:rPr>
              <w:t xml:space="preserve">Cholangiocarcinoma is cancer </w:t>
            </w:r>
            <w:r w:rsidR="00695AEB">
              <w:rPr>
                <w:rFonts w:ascii="Franklin Gothic Book" w:hAnsi="Franklin Gothic Book"/>
                <w:sz w:val="22"/>
              </w:rPr>
              <w:t>of the bile ducts</w:t>
            </w:r>
            <w:r w:rsidR="007E1751">
              <w:rPr>
                <w:rFonts w:ascii="Franklin Gothic Book" w:hAnsi="Franklin Gothic Book"/>
                <w:sz w:val="22"/>
              </w:rPr>
              <w:t xml:space="preserve">, which </w:t>
            </w:r>
            <w:r w:rsidRPr="00EE7AD2">
              <w:rPr>
                <w:rFonts w:ascii="Franklin Gothic Book" w:hAnsi="Franklin Gothic Book"/>
                <w:sz w:val="22"/>
              </w:rPr>
              <w:t xml:space="preserve">are a group of thin tubes </w:t>
            </w:r>
            <w:r w:rsidR="001643AF">
              <w:rPr>
                <w:rFonts w:ascii="Franklin Gothic Book" w:hAnsi="Franklin Gothic Book"/>
                <w:sz w:val="22"/>
              </w:rPr>
              <w:t xml:space="preserve">starting inside the liver </w:t>
            </w:r>
            <w:r w:rsidRPr="00EE7AD2">
              <w:rPr>
                <w:rFonts w:ascii="Franklin Gothic Book" w:hAnsi="Franklin Gothic Book"/>
                <w:sz w:val="22"/>
              </w:rPr>
              <w:t xml:space="preserve">that carry bile from the liver and gallbladder into the intestine. Cholangiocarcinoma is rare and </w:t>
            </w:r>
            <w:r w:rsidR="007E1751">
              <w:rPr>
                <w:rFonts w:ascii="Franklin Gothic Book" w:hAnsi="Franklin Gothic Book"/>
                <w:sz w:val="22"/>
              </w:rPr>
              <w:t xml:space="preserve">usually patients with it </w:t>
            </w:r>
            <w:r w:rsidRPr="00EE7AD2">
              <w:rPr>
                <w:rFonts w:ascii="Franklin Gothic Book" w:hAnsi="Franklin Gothic Book"/>
                <w:sz w:val="22"/>
              </w:rPr>
              <w:t>ha</w:t>
            </w:r>
            <w:r w:rsidR="007E1751">
              <w:rPr>
                <w:rFonts w:ascii="Franklin Gothic Book" w:hAnsi="Franklin Gothic Book"/>
                <w:sz w:val="22"/>
              </w:rPr>
              <w:t>ve</w:t>
            </w:r>
            <w:r w:rsidRPr="00EE7AD2">
              <w:rPr>
                <w:rFonts w:ascii="Franklin Gothic Book" w:hAnsi="Franklin Gothic Book"/>
                <w:sz w:val="22"/>
              </w:rPr>
              <w:t xml:space="preserve"> very poor </w:t>
            </w:r>
            <w:r w:rsidR="000E6D8B">
              <w:rPr>
                <w:rFonts w:ascii="Franklin Gothic Book" w:hAnsi="Franklin Gothic Book"/>
                <w:sz w:val="22"/>
              </w:rPr>
              <w:t>prognosis</w:t>
            </w:r>
            <w:r w:rsidRPr="00EE7AD2">
              <w:rPr>
                <w:rFonts w:ascii="Franklin Gothic Book" w:hAnsi="Franklin Gothic Book"/>
                <w:sz w:val="22"/>
              </w:rPr>
              <w:t xml:space="preserve">, with </w:t>
            </w:r>
            <w:r w:rsidR="00077F17">
              <w:rPr>
                <w:rFonts w:ascii="Franklin Gothic Book" w:hAnsi="Franklin Gothic Book"/>
                <w:sz w:val="22"/>
              </w:rPr>
              <w:t>relatively short</w:t>
            </w:r>
            <w:r w:rsidRPr="00EE7AD2">
              <w:rPr>
                <w:rFonts w:ascii="Franklin Gothic Book" w:hAnsi="Franklin Gothic Book"/>
                <w:sz w:val="22"/>
              </w:rPr>
              <w:t xml:space="preserve"> </w:t>
            </w:r>
            <w:r w:rsidR="4A392C2B" w:rsidRPr="159B9960">
              <w:rPr>
                <w:rFonts w:ascii="Franklin Gothic Book" w:hAnsi="Franklin Gothic Book"/>
                <w:sz w:val="22"/>
              </w:rPr>
              <w:t>duration</w:t>
            </w:r>
            <w:r w:rsidR="00421860">
              <w:rPr>
                <w:rFonts w:ascii="Franklin Gothic Book" w:hAnsi="Franklin Gothic Book"/>
                <w:sz w:val="22"/>
              </w:rPr>
              <w:t xml:space="preserve"> </w:t>
            </w:r>
            <w:r w:rsidR="4A392C2B" w:rsidRPr="7567C61B">
              <w:rPr>
                <w:rFonts w:ascii="Franklin Gothic Book" w:hAnsi="Franklin Gothic Book"/>
                <w:sz w:val="22"/>
              </w:rPr>
              <w:t>of</w:t>
            </w:r>
            <w:r w:rsidR="00077F17">
              <w:rPr>
                <w:rFonts w:ascii="Franklin Gothic Book" w:hAnsi="Franklin Gothic Book"/>
                <w:sz w:val="22"/>
              </w:rPr>
              <w:t xml:space="preserve"> </w:t>
            </w:r>
            <w:r w:rsidRPr="00EE7AD2">
              <w:rPr>
                <w:rFonts w:ascii="Franklin Gothic Book" w:hAnsi="Franklin Gothic Book"/>
                <w:sz w:val="22"/>
              </w:rPr>
              <w:t xml:space="preserve">survival after diagnosis. </w:t>
            </w:r>
            <w:r w:rsidR="003F17A7">
              <w:rPr>
                <w:rFonts w:ascii="Franklin Gothic Book" w:hAnsi="Franklin Gothic Book"/>
                <w:sz w:val="22"/>
              </w:rPr>
              <w:t>The applicant proposed ivosidenib be funded for p</w:t>
            </w:r>
            <w:r w:rsidR="003F17A7" w:rsidRPr="00EE7AD2">
              <w:rPr>
                <w:rFonts w:ascii="Franklin Gothic Book" w:hAnsi="Franklin Gothic Book"/>
                <w:sz w:val="22"/>
              </w:rPr>
              <w:t>atients</w:t>
            </w:r>
            <w:r w:rsidR="003F17A7">
              <w:rPr>
                <w:rFonts w:ascii="Franklin Gothic Book" w:hAnsi="Franklin Gothic Book"/>
                <w:sz w:val="22"/>
              </w:rPr>
              <w:t xml:space="preserve"> with locally advanced or metastatic cholangiocarcinoma</w:t>
            </w:r>
            <w:r w:rsidR="003D41F3">
              <w:rPr>
                <w:rFonts w:ascii="Franklin Gothic Book" w:hAnsi="Franklin Gothic Book"/>
                <w:sz w:val="22"/>
              </w:rPr>
              <w:t xml:space="preserve"> (metastatic meaning the cancer has spread </w:t>
            </w:r>
            <w:r w:rsidR="004921F0">
              <w:rPr>
                <w:rFonts w:ascii="Franklin Gothic Book" w:hAnsi="Franklin Gothic Book"/>
                <w:sz w:val="22"/>
              </w:rPr>
              <w:t>beyond where it originated)</w:t>
            </w:r>
            <w:r w:rsidR="003F17A7">
              <w:rPr>
                <w:rFonts w:ascii="Franklin Gothic Book" w:hAnsi="Franklin Gothic Book"/>
                <w:sz w:val="22"/>
              </w:rPr>
              <w:t xml:space="preserve">, who have previously tried chemotherapy, and who </w:t>
            </w:r>
            <w:r w:rsidR="00CF3A4F">
              <w:rPr>
                <w:rFonts w:ascii="Franklin Gothic Book" w:hAnsi="Franklin Gothic Book"/>
                <w:sz w:val="22"/>
              </w:rPr>
              <w:t>are found to</w:t>
            </w:r>
            <w:r w:rsidR="003F17A7" w:rsidRPr="00EE7AD2">
              <w:rPr>
                <w:rFonts w:ascii="Franklin Gothic Book" w:hAnsi="Franklin Gothic Book"/>
                <w:sz w:val="22"/>
              </w:rPr>
              <w:t xml:space="preserve"> have </w:t>
            </w:r>
            <w:r w:rsidR="003F17A7">
              <w:rPr>
                <w:rFonts w:ascii="Franklin Gothic Book" w:hAnsi="Franklin Gothic Book"/>
                <w:sz w:val="22"/>
              </w:rPr>
              <w:t>a certain type of</w:t>
            </w:r>
            <w:r w:rsidR="003F17A7" w:rsidRPr="00EE7AD2">
              <w:rPr>
                <w:rFonts w:ascii="Franklin Gothic Book" w:hAnsi="Franklin Gothic Book"/>
                <w:sz w:val="22"/>
              </w:rPr>
              <w:t xml:space="preserve"> </w:t>
            </w:r>
            <w:r w:rsidR="003F17A7" w:rsidRPr="00EE7AD2">
              <w:rPr>
                <w:rFonts w:ascii="Franklin Gothic Book" w:hAnsi="Franklin Gothic Book"/>
                <w:i/>
                <w:iCs/>
                <w:sz w:val="22"/>
              </w:rPr>
              <w:t>IDH1</w:t>
            </w:r>
            <w:r w:rsidR="003F17A7" w:rsidRPr="00EE7AD2">
              <w:rPr>
                <w:rFonts w:ascii="Franklin Gothic Book" w:hAnsi="Franklin Gothic Book"/>
                <w:sz w:val="22"/>
              </w:rPr>
              <w:t xml:space="preserve"> </w:t>
            </w:r>
            <w:r w:rsidR="003F17A7">
              <w:rPr>
                <w:rFonts w:ascii="Franklin Gothic Book" w:hAnsi="Franklin Gothic Book"/>
                <w:sz w:val="22"/>
              </w:rPr>
              <w:t>genetic variant in their tumour</w:t>
            </w:r>
            <w:r w:rsidR="003F17A7" w:rsidRPr="00EE7AD2">
              <w:rPr>
                <w:rFonts w:ascii="Franklin Gothic Book" w:hAnsi="Franklin Gothic Book"/>
                <w:sz w:val="22"/>
              </w:rPr>
              <w:t>.</w:t>
            </w:r>
            <w:r w:rsidR="00E66F2C">
              <w:rPr>
                <w:rFonts w:ascii="Franklin Gothic Book" w:hAnsi="Franklin Gothic Book"/>
                <w:sz w:val="22"/>
              </w:rPr>
              <w:t xml:space="preserve"> The relevance of </w:t>
            </w:r>
            <w:r w:rsidR="00E66F2C" w:rsidRPr="00EE7AD2">
              <w:rPr>
                <w:rFonts w:ascii="Franklin Gothic Book" w:hAnsi="Franklin Gothic Book"/>
                <w:i/>
                <w:iCs/>
                <w:sz w:val="22"/>
              </w:rPr>
              <w:t>IDH1</w:t>
            </w:r>
            <w:r w:rsidR="00E66F2C" w:rsidRPr="00EE7AD2">
              <w:rPr>
                <w:rFonts w:ascii="Franklin Gothic Book" w:hAnsi="Franklin Gothic Book"/>
                <w:sz w:val="22"/>
              </w:rPr>
              <w:t xml:space="preserve"> </w:t>
            </w:r>
            <w:r w:rsidR="00E66F2C">
              <w:rPr>
                <w:rFonts w:ascii="Franklin Gothic Book" w:hAnsi="Franklin Gothic Book"/>
                <w:sz w:val="22"/>
              </w:rPr>
              <w:t>genetic variant</w:t>
            </w:r>
            <w:r w:rsidR="00F24FA3">
              <w:rPr>
                <w:rFonts w:ascii="Franklin Gothic Book" w:hAnsi="Franklin Gothic Book"/>
                <w:sz w:val="22"/>
              </w:rPr>
              <w:t xml:space="preserve"> testing</w:t>
            </w:r>
            <w:r w:rsidR="000E0624">
              <w:rPr>
                <w:rFonts w:ascii="Franklin Gothic Book" w:hAnsi="Franklin Gothic Book"/>
                <w:sz w:val="22"/>
              </w:rPr>
              <w:t xml:space="preserve"> is that </w:t>
            </w:r>
            <w:r w:rsidR="00AD165D">
              <w:rPr>
                <w:rFonts w:ascii="Franklin Gothic Book" w:hAnsi="Franklin Gothic Book"/>
                <w:sz w:val="22"/>
              </w:rPr>
              <w:t xml:space="preserve">presence of </w:t>
            </w:r>
            <w:r w:rsidR="006C1E3D" w:rsidRPr="006C1E3D">
              <w:rPr>
                <w:rFonts w:ascii="Franklin Gothic Book" w:hAnsi="Franklin Gothic Book"/>
                <w:i/>
                <w:iCs/>
                <w:sz w:val="22"/>
              </w:rPr>
              <w:t>IDH1</w:t>
            </w:r>
            <w:r w:rsidR="00F24FA3">
              <w:rPr>
                <w:rFonts w:ascii="Franklin Gothic Book" w:hAnsi="Franklin Gothic Book"/>
                <w:sz w:val="22"/>
              </w:rPr>
              <w:t xml:space="preserve"> variant </w:t>
            </w:r>
            <w:r w:rsidR="000E0624">
              <w:rPr>
                <w:rFonts w:ascii="Franklin Gothic Book" w:hAnsi="Franklin Gothic Book"/>
                <w:sz w:val="22"/>
              </w:rPr>
              <w:t xml:space="preserve">leads to increased levels of </w:t>
            </w:r>
            <w:r w:rsidR="007D357E">
              <w:rPr>
                <w:rFonts w:ascii="Franklin Gothic Book" w:hAnsi="Franklin Gothic Book"/>
                <w:sz w:val="22"/>
              </w:rPr>
              <w:t>an onco</w:t>
            </w:r>
            <w:r w:rsidR="000E0624">
              <w:rPr>
                <w:rFonts w:ascii="Franklin Gothic Book" w:hAnsi="Franklin Gothic Book"/>
                <w:sz w:val="22"/>
              </w:rPr>
              <w:t>metabolite called</w:t>
            </w:r>
            <w:r w:rsidR="000E0624" w:rsidRPr="00732F4B">
              <w:rPr>
                <w:rFonts w:ascii="Franklin Gothic Book" w:hAnsi="Franklin Gothic Book"/>
                <w:color w:val="0D0D0D"/>
                <w:sz w:val="22"/>
              </w:rPr>
              <w:t xml:space="preserve"> D-2-hydroxyglutarate (D2-HG)</w:t>
            </w:r>
            <w:r w:rsidR="00DE0832">
              <w:rPr>
                <w:rFonts w:ascii="Franklin Gothic Book" w:hAnsi="Franklin Gothic Book"/>
                <w:color w:val="0D0D0D"/>
                <w:sz w:val="22"/>
              </w:rPr>
              <w:t xml:space="preserve"> (a metabolite </w:t>
            </w:r>
            <w:r w:rsidR="00BC2FB3">
              <w:rPr>
                <w:rFonts w:ascii="Franklin Gothic Book" w:hAnsi="Franklin Gothic Book"/>
                <w:color w:val="0D0D0D"/>
                <w:sz w:val="22"/>
              </w:rPr>
              <w:t>is a substance generated when</w:t>
            </w:r>
            <w:r w:rsidR="008113EE">
              <w:rPr>
                <w:rFonts w:ascii="Franklin Gothic Book" w:hAnsi="Franklin Gothic Book"/>
                <w:color w:val="0D0D0D"/>
                <w:sz w:val="22"/>
              </w:rPr>
              <w:t xml:space="preserve"> cells produce energy</w:t>
            </w:r>
            <w:r w:rsidR="007D357E">
              <w:rPr>
                <w:rFonts w:ascii="Franklin Gothic Book" w:hAnsi="Franklin Gothic Book"/>
                <w:color w:val="0D0D0D"/>
                <w:sz w:val="22"/>
              </w:rPr>
              <w:t xml:space="preserve"> and an oncometabolite is a type of metabolite which </w:t>
            </w:r>
            <w:r w:rsidR="00F24FA3">
              <w:rPr>
                <w:rFonts w:ascii="Franklin Gothic Book" w:hAnsi="Franklin Gothic Book"/>
                <w:color w:val="0D0D0D"/>
                <w:sz w:val="22"/>
              </w:rPr>
              <w:t xml:space="preserve">contributes to the growth of </w:t>
            </w:r>
            <w:r w:rsidR="006874F5">
              <w:rPr>
                <w:rFonts w:ascii="Franklin Gothic Book" w:hAnsi="Franklin Gothic Book"/>
                <w:color w:val="0D0D0D"/>
                <w:sz w:val="22"/>
              </w:rPr>
              <w:t xml:space="preserve">the </w:t>
            </w:r>
            <w:r w:rsidR="00F24FA3">
              <w:rPr>
                <w:rFonts w:ascii="Franklin Gothic Book" w:hAnsi="Franklin Gothic Book"/>
                <w:color w:val="0D0D0D"/>
                <w:sz w:val="22"/>
              </w:rPr>
              <w:t>cancer</w:t>
            </w:r>
            <w:r w:rsidR="008113EE">
              <w:rPr>
                <w:rFonts w:ascii="Franklin Gothic Book" w:hAnsi="Franklin Gothic Book"/>
                <w:color w:val="0D0D0D"/>
                <w:sz w:val="22"/>
              </w:rPr>
              <w:t>)</w:t>
            </w:r>
            <w:r w:rsidR="006F0458">
              <w:rPr>
                <w:rFonts w:ascii="Franklin Gothic Book" w:hAnsi="Franklin Gothic Book"/>
                <w:color w:val="0D0D0D"/>
                <w:sz w:val="22"/>
              </w:rPr>
              <w:t>.</w:t>
            </w:r>
            <w:r w:rsidR="00594244">
              <w:rPr>
                <w:rFonts w:ascii="Franklin Gothic Book" w:hAnsi="Franklin Gothic Book"/>
                <w:color w:val="0D0D0D"/>
                <w:sz w:val="22"/>
              </w:rPr>
              <w:t xml:space="preserve"> Because ivo</w:t>
            </w:r>
            <w:r w:rsidR="00BC0424">
              <w:rPr>
                <w:rFonts w:ascii="Franklin Gothic Book" w:hAnsi="Franklin Gothic Book"/>
                <w:color w:val="0D0D0D"/>
                <w:sz w:val="22"/>
              </w:rPr>
              <w:t xml:space="preserve">sidenib treats this cancer by reducing </w:t>
            </w:r>
            <w:r w:rsidR="00816235">
              <w:rPr>
                <w:rFonts w:ascii="Franklin Gothic Book" w:hAnsi="Franklin Gothic Book"/>
                <w:color w:val="0D0D0D"/>
                <w:sz w:val="22"/>
              </w:rPr>
              <w:t xml:space="preserve">abnormal </w:t>
            </w:r>
            <w:r w:rsidR="00BC0424">
              <w:rPr>
                <w:rFonts w:ascii="Franklin Gothic Book" w:hAnsi="Franklin Gothic Book"/>
                <w:color w:val="0D0D0D"/>
                <w:sz w:val="22"/>
              </w:rPr>
              <w:t xml:space="preserve">levels of D2-HG it is </w:t>
            </w:r>
            <w:r w:rsidR="006874F5">
              <w:rPr>
                <w:rFonts w:ascii="Franklin Gothic Book" w:hAnsi="Franklin Gothic Book"/>
                <w:color w:val="0D0D0D"/>
                <w:sz w:val="22"/>
              </w:rPr>
              <w:t>relevant</w:t>
            </w:r>
            <w:r w:rsidR="00BC0424">
              <w:rPr>
                <w:rFonts w:ascii="Franklin Gothic Book" w:hAnsi="Franklin Gothic Book"/>
                <w:color w:val="0D0D0D"/>
                <w:sz w:val="22"/>
              </w:rPr>
              <w:t xml:space="preserve"> that the drug is only targeted at people with this genetic variant </w:t>
            </w:r>
            <w:r w:rsidR="00451140">
              <w:rPr>
                <w:rFonts w:ascii="Franklin Gothic Book" w:hAnsi="Franklin Gothic Book"/>
                <w:color w:val="0D0D0D"/>
                <w:sz w:val="22"/>
              </w:rPr>
              <w:t>(hence the importance of I</w:t>
            </w:r>
            <w:r w:rsidR="00451140" w:rsidRPr="00451140">
              <w:rPr>
                <w:rFonts w:ascii="Franklin Gothic Book" w:hAnsi="Franklin Gothic Book"/>
                <w:i/>
                <w:iCs/>
                <w:color w:val="0D0D0D"/>
                <w:sz w:val="22"/>
              </w:rPr>
              <w:t>DH1</w:t>
            </w:r>
            <w:r w:rsidR="00451140">
              <w:rPr>
                <w:rFonts w:ascii="Franklin Gothic Book" w:hAnsi="Franklin Gothic Book"/>
                <w:color w:val="0D0D0D"/>
                <w:sz w:val="22"/>
              </w:rPr>
              <w:t xml:space="preserve"> testing). </w:t>
            </w:r>
            <w:r w:rsidRPr="00EE7AD2">
              <w:rPr>
                <w:rFonts w:ascii="Franklin Gothic Book" w:hAnsi="Franklin Gothic Book"/>
                <w:sz w:val="22"/>
              </w:rPr>
              <w:t xml:space="preserve">MSAC </w:t>
            </w:r>
            <w:r w:rsidR="004160FA">
              <w:rPr>
                <w:rFonts w:ascii="Franklin Gothic Book" w:hAnsi="Franklin Gothic Book"/>
                <w:sz w:val="22"/>
              </w:rPr>
              <w:t>considered there was a</w:t>
            </w:r>
            <w:r w:rsidRPr="00EE7AD2">
              <w:rPr>
                <w:rFonts w:ascii="Franklin Gothic Book" w:hAnsi="Franklin Gothic Book"/>
                <w:sz w:val="22"/>
              </w:rPr>
              <w:t xml:space="preserve"> </w:t>
            </w:r>
            <w:r w:rsidR="004160FA">
              <w:rPr>
                <w:rFonts w:ascii="Franklin Gothic Book" w:hAnsi="Franklin Gothic Book"/>
                <w:sz w:val="22"/>
              </w:rPr>
              <w:t>strong</w:t>
            </w:r>
            <w:r w:rsidR="004160FA" w:rsidRPr="00EE7AD2">
              <w:rPr>
                <w:rFonts w:ascii="Franklin Gothic Book" w:hAnsi="Franklin Gothic Book"/>
                <w:sz w:val="22"/>
              </w:rPr>
              <w:t xml:space="preserve"> </w:t>
            </w:r>
            <w:r w:rsidRPr="00EE7AD2">
              <w:rPr>
                <w:rFonts w:ascii="Franklin Gothic Book" w:hAnsi="Franklin Gothic Book"/>
                <w:sz w:val="22"/>
              </w:rPr>
              <w:t>clinical need for cholangiocarcinoma treatments</w:t>
            </w:r>
            <w:r w:rsidR="004160FA">
              <w:rPr>
                <w:rFonts w:ascii="Franklin Gothic Book" w:hAnsi="Franklin Gothic Book"/>
                <w:sz w:val="22"/>
              </w:rPr>
              <w:t xml:space="preserve">, as there are </w:t>
            </w:r>
            <w:r w:rsidR="00443D3F">
              <w:rPr>
                <w:rFonts w:ascii="Franklin Gothic Book" w:hAnsi="Franklin Gothic Book"/>
                <w:sz w:val="22"/>
              </w:rPr>
              <w:t xml:space="preserve">currently </w:t>
            </w:r>
            <w:r w:rsidR="004160FA">
              <w:rPr>
                <w:rFonts w:ascii="Franklin Gothic Book" w:hAnsi="Franklin Gothic Book"/>
                <w:sz w:val="22"/>
              </w:rPr>
              <w:t xml:space="preserve">not many </w:t>
            </w:r>
            <w:r w:rsidR="000F6AD9">
              <w:rPr>
                <w:rFonts w:ascii="Franklin Gothic Book" w:hAnsi="Franklin Gothic Book"/>
                <w:sz w:val="22"/>
              </w:rPr>
              <w:t xml:space="preserve">treatment </w:t>
            </w:r>
            <w:r w:rsidR="004160FA">
              <w:rPr>
                <w:rFonts w:ascii="Franklin Gothic Book" w:hAnsi="Franklin Gothic Book"/>
                <w:sz w:val="22"/>
              </w:rPr>
              <w:t>options available to these patients</w:t>
            </w:r>
            <w:r w:rsidRPr="00EE7AD2">
              <w:rPr>
                <w:rFonts w:ascii="Franklin Gothic Book" w:hAnsi="Franklin Gothic Book"/>
                <w:sz w:val="22"/>
              </w:rPr>
              <w:t>.</w:t>
            </w:r>
          </w:p>
          <w:p w14:paraId="6A7443E9" w14:textId="2B628E66" w:rsidR="00EE7AD2" w:rsidRPr="00EE7AD2" w:rsidRDefault="00EE7AD2" w:rsidP="00EE7AD2">
            <w:pPr>
              <w:rPr>
                <w:rFonts w:ascii="Franklin Gothic Book" w:hAnsi="Franklin Gothic Book"/>
                <w:sz w:val="22"/>
              </w:rPr>
            </w:pPr>
            <w:r w:rsidRPr="00EE7AD2">
              <w:rPr>
                <w:rFonts w:ascii="Franklin Gothic Book" w:hAnsi="Franklin Gothic Book"/>
                <w:sz w:val="22"/>
              </w:rPr>
              <w:t xml:space="preserve">The </w:t>
            </w:r>
            <w:r w:rsidR="008F00E1" w:rsidRPr="008F00E1">
              <w:rPr>
                <w:rFonts w:ascii="Franklin Gothic Book" w:hAnsi="Franklin Gothic Book"/>
                <w:sz w:val="22"/>
              </w:rPr>
              <w:t xml:space="preserve">testing for the </w:t>
            </w:r>
            <w:r w:rsidR="008F00E1" w:rsidRPr="00451140">
              <w:rPr>
                <w:rFonts w:ascii="Franklin Gothic Book" w:hAnsi="Franklin Gothic Book"/>
                <w:i/>
                <w:iCs/>
                <w:sz w:val="22"/>
              </w:rPr>
              <w:t xml:space="preserve">IDH1 </w:t>
            </w:r>
            <w:r w:rsidR="008F00E1" w:rsidRPr="008F00E1">
              <w:rPr>
                <w:rFonts w:ascii="Franklin Gothic Book" w:hAnsi="Franklin Gothic Book"/>
                <w:sz w:val="22"/>
              </w:rPr>
              <w:t xml:space="preserve">variant is done in a pathology lab using the same tumour sample that is taken during the biopsy procedure that the patient has done as part of their cholangiocarcinoma diagnosis. </w:t>
            </w:r>
            <w:r w:rsidR="00F02C12">
              <w:rPr>
                <w:rFonts w:ascii="Franklin Gothic Book" w:hAnsi="Franklin Gothic Book"/>
                <w:sz w:val="22"/>
              </w:rPr>
              <w:t>Therefore</w:t>
            </w:r>
            <w:r w:rsidR="00507521">
              <w:rPr>
                <w:rFonts w:ascii="Franklin Gothic Book" w:hAnsi="Franklin Gothic Book"/>
                <w:sz w:val="22"/>
              </w:rPr>
              <w:t xml:space="preserve">, </w:t>
            </w:r>
            <w:r w:rsidR="008F00E1" w:rsidRPr="008F00E1">
              <w:rPr>
                <w:rFonts w:ascii="Franklin Gothic Book" w:hAnsi="Franklin Gothic Book"/>
                <w:sz w:val="22"/>
              </w:rPr>
              <w:t xml:space="preserve">MSAC advised that </w:t>
            </w:r>
            <w:r w:rsidR="00F02C12">
              <w:rPr>
                <w:rFonts w:ascii="Franklin Gothic Book" w:hAnsi="Franklin Gothic Book"/>
                <w:sz w:val="22"/>
              </w:rPr>
              <w:t xml:space="preserve">adding </w:t>
            </w:r>
            <w:r w:rsidR="008F00E1" w:rsidRPr="008F00E1">
              <w:rPr>
                <w:rFonts w:ascii="Franklin Gothic Book" w:hAnsi="Franklin Gothic Book"/>
                <w:sz w:val="22"/>
              </w:rPr>
              <w:t>this testing does not change the safety of the diagnostic process for the patient</w:t>
            </w:r>
            <w:r w:rsidR="007927F5">
              <w:rPr>
                <w:rFonts w:ascii="Franklin Gothic Book" w:hAnsi="Franklin Gothic Book"/>
                <w:sz w:val="22"/>
              </w:rPr>
              <w:t>.</w:t>
            </w:r>
          </w:p>
          <w:p w14:paraId="47B7F417" w14:textId="459561E8" w:rsidR="00D87B45" w:rsidRPr="000F1AF1" w:rsidRDefault="00D32793" w:rsidP="00EE7AD2">
            <w:pPr>
              <w:rPr>
                <w:rFonts w:ascii="Franklin Gothic Book" w:hAnsi="Franklin Gothic Book"/>
                <w:sz w:val="22"/>
              </w:rPr>
            </w:pPr>
            <w:r>
              <w:rPr>
                <w:rFonts w:ascii="Franklin Gothic Book" w:hAnsi="Franklin Gothic Book"/>
                <w:sz w:val="22"/>
              </w:rPr>
              <w:t>Ivosidenib treatment made a small improvement to the average survival of p</w:t>
            </w:r>
            <w:r w:rsidR="00EE7AD2" w:rsidRPr="00EE7AD2">
              <w:rPr>
                <w:rFonts w:ascii="Franklin Gothic Book" w:hAnsi="Franklin Gothic Book"/>
                <w:sz w:val="22"/>
              </w:rPr>
              <w:t xml:space="preserve">atients with cholangiocarcinoma </w:t>
            </w:r>
            <w:r w:rsidR="00A56616">
              <w:rPr>
                <w:rFonts w:ascii="Franklin Gothic Book" w:hAnsi="Franklin Gothic Book"/>
                <w:sz w:val="22"/>
              </w:rPr>
              <w:t>whose tumour has an</w:t>
            </w:r>
            <w:r w:rsidR="00A56616" w:rsidRPr="00EE7AD2">
              <w:rPr>
                <w:rFonts w:ascii="Franklin Gothic Book" w:hAnsi="Franklin Gothic Book"/>
                <w:sz w:val="22"/>
              </w:rPr>
              <w:t xml:space="preserve"> </w:t>
            </w:r>
            <w:r w:rsidR="00EE7AD2" w:rsidRPr="00EE7AD2">
              <w:rPr>
                <w:rFonts w:ascii="Franklin Gothic Book" w:hAnsi="Franklin Gothic Book"/>
                <w:i/>
                <w:iCs/>
                <w:sz w:val="22"/>
              </w:rPr>
              <w:t>IDH1</w:t>
            </w:r>
            <w:r w:rsidR="00EE7AD2" w:rsidRPr="00EE7AD2">
              <w:rPr>
                <w:rFonts w:ascii="Franklin Gothic Book" w:hAnsi="Franklin Gothic Book"/>
                <w:sz w:val="22"/>
              </w:rPr>
              <w:t xml:space="preserve"> </w:t>
            </w:r>
            <w:r w:rsidR="00A56616">
              <w:rPr>
                <w:rFonts w:ascii="Franklin Gothic Book" w:hAnsi="Franklin Gothic Book"/>
                <w:sz w:val="22"/>
              </w:rPr>
              <w:t>genetic variant</w:t>
            </w:r>
            <w:r>
              <w:rPr>
                <w:rFonts w:ascii="Franklin Gothic Book" w:hAnsi="Franklin Gothic Book"/>
                <w:sz w:val="22"/>
              </w:rPr>
              <w:t xml:space="preserve">, </w:t>
            </w:r>
            <w:r w:rsidR="00D87B45">
              <w:rPr>
                <w:rFonts w:ascii="Franklin Gothic Book" w:hAnsi="Franklin Gothic Book"/>
                <w:sz w:val="22"/>
              </w:rPr>
              <w:t xml:space="preserve">so MSAC </w:t>
            </w:r>
            <w:r w:rsidR="00AD7D85">
              <w:rPr>
                <w:rFonts w:ascii="Franklin Gothic Book" w:hAnsi="Franklin Gothic Book"/>
                <w:sz w:val="22"/>
              </w:rPr>
              <w:t>considered</w:t>
            </w:r>
            <w:r w:rsidR="00D87B45">
              <w:rPr>
                <w:rFonts w:ascii="Franklin Gothic Book" w:hAnsi="Franklin Gothic Book"/>
                <w:sz w:val="22"/>
              </w:rPr>
              <w:t xml:space="preserve"> th</w:t>
            </w:r>
            <w:r w:rsidR="007E1363">
              <w:rPr>
                <w:rFonts w:ascii="Franklin Gothic Book" w:hAnsi="Franklin Gothic Book"/>
                <w:sz w:val="22"/>
              </w:rPr>
              <w:t>at</w:t>
            </w:r>
            <w:r w:rsidR="00D87B45">
              <w:rPr>
                <w:rFonts w:ascii="Franklin Gothic Book" w:hAnsi="Franklin Gothic Book"/>
                <w:sz w:val="22"/>
              </w:rPr>
              <w:t xml:space="preserve"> </w:t>
            </w:r>
            <w:r w:rsidR="00A56616">
              <w:rPr>
                <w:rFonts w:ascii="Franklin Gothic Book" w:hAnsi="Franklin Gothic Book"/>
                <w:i/>
                <w:iCs/>
                <w:sz w:val="22"/>
              </w:rPr>
              <w:t xml:space="preserve">IDH1 </w:t>
            </w:r>
            <w:r w:rsidR="00D87B45">
              <w:rPr>
                <w:rFonts w:ascii="Franklin Gothic Book" w:hAnsi="Franklin Gothic Book"/>
                <w:sz w:val="22"/>
              </w:rPr>
              <w:t xml:space="preserve">testing </w:t>
            </w:r>
            <w:r w:rsidR="00AD7D85" w:rsidRPr="000F1AF1">
              <w:rPr>
                <w:rFonts w:ascii="Franklin Gothic Book" w:hAnsi="Franklin Gothic Book"/>
                <w:sz w:val="22"/>
              </w:rPr>
              <w:t xml:space="preserve">would </w:t>
            </w:r>
            <w:r w:rsidRPr="000F1AF1">
              <w:rPr>
                <w:rFonts w:ascii="Franklin Gothic Book" w:hAnsi="Franklin Gothic Book"/>
                <w:sz w:val="22"/>
              </w:rPr>
              <w:t>improve health outcomes</w:t>
            </w:r>
            <w:r w:rsidR="00A56616" w:rsidRPr="000F1AF1">
              <w:rPr>
                <w:rFonts w:ascii="Franklin Gothic Book" w:hAnsi="Franklin Gothic Book"/>
                <w:sz w:val="22"/>
              </w:rPr>
              <w:t xml:space="preserve"> </w:t>
            </w:r>
            <w:r w:rsidR="00360550" w:rsidRPr="000F1AF1">
              <w:rPr>
                <w:rFonts w:ascii="Franklin Gothic Book" w:hAnsi="Franklin Gothic Book"/>
                <w:sz w:val="22"/>
              </w:rPr>
              <w:t xml:space="preserve">if </w:t>
            </w:r>
            <w:r w:rsidR="00766DC4" w:rsidRPr="000F1AF1">
              <w:rPr>
                <w:rFonts w:ascii="Franklin Gothic Book" w:hAnsi="Franklin Gothic Book"/>
                <w:sz w:val="22"/>
              </w:rPr>
              <w:t>patients</w:t>
            </w:r>
            <w:r w:rsidR="008574A3" w:rsidRPr="000F1AF1">
              <w:rPr>
                <w:rFonts w:ascii="Franklin Gothic Book" w:hAnsi="Franklin Gothic Book"/>
                <w:sz w:val="22"/>
              </w:rPr>
              <w:t xml:space="preserve"> </w:t>
            </w:r>
            <w:r w:rsidR="007927F5" w:rsidRPr="000F1AF1">
              <w:rPr>
                <w:rFonts w:ascii="Franklin Gothic Book" w:hAnsi="Franklin Gothic Book"/>
                <w:sz w:val="22"/>
              </w:rPr>
              <w:t xml:space="preserve">could </w:t>
            </w:r>
            <w:r w:rsidR="008574A3" w:rsidRPr="000F1AF1">
              <w:rPr>
                <w:rFonts w:ascii="Franklin Gothic Book" w:hAnsi="Franklin Gothic Book"/>
                <w:sz w:val="22"/>
              </w:rPr>
              <w:t>access ivosidenib</w:t>
            </w:r>
            <w:r w:rsidR="00766DC4" w:rsidRPr="000F1AF1">
              <w:rPr>
                <w:rFonts w:ascii="Franklin Gothic Book" w:hAnsi="Franklin Gothic Book"/>
                <w:sz w:val="22"/>
              </w:rPr>
              <w:t xml:space="preserve"> on the PBS</w:t>
            </w:r>
            <w:r w:rsidR="00EE7AD2" w:rsidRPr="000F1AF1">
              <w:rPr>
                <w:rFonts w:ascii="Franklin Gothic Book" w:hAnsi="Franklin Gothic Book"/>
                <w:sz w:val="22"/>
              </w:rPr>
              <w:t>.</w:t>
            </w:r>
          </w:p>
          <w:p w14:paraId="31BABF11" w14:textId="10C9A09A" w:rsidR="007927F5" w:rsidRPr="000F1AF1" w:rsidRDefault="00EE7AD2" w:rsidP="00EE7AD2">
            <w:pPr>
              <w:rPr>
                <w:rFonts w:ascii="Franklin Gothic Book" w:hAnsi="Franklin Gothic Book"/>
                <w:sz w:val="22"/>
              </w:rPr>
            </w:pPr>
            <w:r w:rsidRPr="000F1AF1">
              <w:rPr>
                <w:rFonts w:ascii="Franklin Gothic Book" w:hAnsi="Franklin Gothic Book"/>
                <w:sz w:val="22"/>
              </w:rPr>
              <w:t xml:space="preserve">However, the Pharmaceutical Benefits Advisory Committee (PBAC) did not recommend </w:t>
            </w:r>
            <w:r w:rsidR="00DB0DEB" w:rsidRPr="000F1AF1">
              <w:rPr>
                <w:rFonts w:ascii="Franklin Gothic Book" w:hAnsi="Franklin Gothic Book"/>
                <w:sz w:val="22"/>
              </w:rPr>
              <w:t xml:space="preserve">listing </w:t>
            </w:r>
            <w:r w:rsidRPr="000F1AF1">
              <w:rPr>
                <w:rFonts w:ascii="Franklin Gothic Book" w:hAnsi="Franklin Gothic Book"/>
                <w:sz w:val="22"/>
              </w:rPr>
              <w:t>ivosidenib on the PBS</w:t>
            </w:r>
            <w:r w:rsidR="00DB0DEB" w:rsidRPr="000F1AF1">
              <w:rPr>
                <w:rFonts w:ascii="Franklin Gothic Book" w:hAnsi="Franklin Gothic Book"/>
                <w:sz w:val="22"/>
              </w:rPr>
              <w:t xml:space="preserve">. While </w:t>
            </w:r>
            <w:r w:rsidR="00D42D71" w:rsidRPr="000F1AF1">
              <w:rPr>
                <w:rFonts w:ascii="Franklin Gothic Book" w:hAnsi="Franklin Gothic Book"/>
                <w:sz w:val="22"/>
              </w:rPr>
              <w:t>the PBAC</w:t>
            </w:r>
            <w:r w:rsidR="00DB0DEB" w:rsidRPr="000F1AF1">
              <w:rPr>
                <w:rFonts w:ascii="Franklin Gothic Book" w:hAnsi="Franklin Gothic Book"/>
                <w:sz w:val="22"/>
              </w:rPr>
              <w:t xml:space="preserve"> </w:t>
            </w:r>
            <w:proofErr w:type="spellStart"/>
            <w:r w:rsidR="00DB0DEB" w:rsidRPr="000F1AF1">
              <w:rPr>
                <w:rFonts w:ascii="Franklin Gothic Book" w:hAnsi="Franklin Gothic Book"/>
                <w:sz w:val="22"/>
              </w:rPr>
              <w:t>recognised</w:t>
            </w:r>
            <w:proofErr w:type="spellEnd"/>
            <w:r w:rsidR="00DB0DEB" w:rsidRPr="000F1AF1">
              <w:rPr>
                <w:rFonts w:ascii="Franklin Gothic Book" w:hAnsi="Franklin Gothic Book"/>
                <w:sz w:val="22"/>
              </w:rPr>
              <w:t xml:space="preserve"> the clinical need for </w:t>
            </w:r>
            <w:r w:rsidR="00941EB2" w:rsidRPr="000F1AF1">
              <w:rPr>
                <w:rFonts w:ascii="Franklin Gothic Book" w:hAnsi="Franklin Gothic Book"/>
                <w:sz w:val="22"/>
              </w:rPr>
              <w:t xml:space="preserve">more </w:t>
            </w:r>
            <w:r w:rsidR="00DB0DEB" w:rsidRPr="000F1AF1">
              <w:rPr>
                <w:rFonts w:ascii="Franklin Gothic Book" w:hAnsi="Franklin Gothic Book"/>
                <w:sz w:val="22"/>
              </w:rPr>
              <w:t xml:space="preserve">treatments for </w:t>
            </w:r>
            <w:r w:rsidR="00D42D71" w:rsidRPr="000F1AF1">
              <w:rPr>
                <w:rFonts w:ascii="Franklin Gothic Book" w:hAnsi="Franklin Gothic Book"/>
                <w:sz w:val="22"/>
              </w:rPr>
              <w:t xml:space="preserve">patients with </w:t>
            </w:r>
            <w:r w:rsidR="00DB0DEB" w:rsidRPr="000F1AF1">
              <w:rPr>
                <w:rFonts w:ascii="Franklin Gothic Book" w:hAnsi="Franklin Gothic Book"/>
                <w:sz w:val="22"/>
              </w:rPr>
              <w:t xml:space="preserve">cholangiocarcinoma, and that </w:t>
            </w:r>
            <w:r w:rsidR="00D42D71" w:rsidRPr="000F1AF1">
              <w:rPr>
                <w:rFonts w:ascii="Franklin Gothic Book" w:hAnsi="Franklin Gothic Book"/>
                <w:sz w:val="22"/>
              </w:rPr>
              <w:t xml:space="preserve">ivosidenib </w:t>
            </w:r>
            <w:r w:rsidR="00083FCB" w:rsidRPr="000F1AF1">
              <w:rPr>
                <w:rFonts w:ascii="Franklin Gothic Book" w:hAnsi="Franklin Gothic Book"/>
                <w:sz w:val="22"/>
              </w:rPr>
              <w:t>led to a small survival improvement</w:t>
            </w:r>
            <w:r w:rsidR="00D42D71" w:rsidRPr="000F1AF1">
              <w:rPr>
                <w:rFonts w:ascii="Franklin Gothic Book" w:hAnsi="Franklin Gothic Book"/>
                <w:sz w:val="22"/>
              </w:rPr>
              <w:t xml:space="preserve"> in patients who</w:t>
            </w:r>
            <w:r w:rsidR="008574A3" w:rsidRPr="000F1AF1">
              <w:rPr>
                <w:rFonts w:ascii="Franklin Gothic Book" w:hAnsi="Franklin Gothic Book"/>
                <w:sz w:val="22"/>
              </w:rPr>
              <w:t xml:space="preserve">se </w:t>
            </w:r>
            <w:proofErr w:type="spellStart"/>
            <w:r w:rsidR="008574A3" w:rsidRPr="000F1AF1">
              <w:rPr>
                <w:rFonts w:ascii="Franklin Gothic Book" w:hAnsi="Franklin Gothic Book"/>
                <w:sz w:val="22"/>
              </w:rPr>
              <w:t>tumours</w:t>
            </w:r>
            <w:proofErr w:type="spellEnd"/>
            <w:r w:rsidR="00D42D71" w:rsidRPr="000F1AF1">
              <w:rPr>
                <w:rFonts w:ascii="Franklin Gothic Book" w:hAnsi="Franklin Gothic Book"/>
                <w:sz w:val="22"/>
              </w:rPr>
              <w:t xml:space="preserve"> had </w:t>
            </w:r>
            <w:r w:rsidR="00B862EC" w:rsidRPr="000F1AF1">
              <w:rPr>
                <w:rFonts w:ascii="Franklin Gothic Book" w:hAnsi="Franklin Gothic Book"/>
                <w:sz w:val="22"/>
              </w:rPr>
              <w:t xml:space="preserve">an </w:t>
            </w:r>
            <w:r w:rsidR="00B862EC" w:rsidRPr="000F1AF1">
              <w:rPr>
                <w:rFonts w:ascii="Franklin Gothic Book" w:hAnsi="Franklin Gothic Book"/>
                <w:i/>
                <w:iCs/>
                <w:sz w:val="22"/>
              </w:rPr>
              <w:t>IDH1</w:t>
            </w:r>
            <w:r w:rsidR="00766DC4" w:rsidRPr="000F1AF1">
              <w:rPr>
                <w:rFonts w:ascii="Franklin Gothic Book" w:hAnsi="Franklin Gothic Book"/>
                <w:sz w:val="22"/>
              </w:rPr>
              <w:t xml:space="preserve"> variant</w:t>
            </w:r>
            <w:r w:rsidR="00083FCB" w:rsidRPr="000F1AF1">
              <w:rPr>
                <w:rFonts w:ascii="Franklin Gothic Book" w:hAnsi="Franklin Gothic Book"/>
                <w:sz w:val="22"/>
              </w:rPr>
              <w:t>,</w:t>
            </w:r>
            <w:r w:rsidRPr="000F1AF1">
              <w:rPr>
                <w:rFonts w:ascii="Franklin Gothic Book" w:hAnsi="Franklin Gothic Book"/>
                <w:sz w:val="22"/>
              </w:rPr>
              <w:t xml:space="preserve"> the PBAC consider</w:t>
            </w:r>
            <w:r w:rsidR="00B862EC" w:rsidRPr="000F1AF1">
              <w:rPr>
                <w:rFonts w:ascii="Franklin Gothic Book" w:hAnsi="Franklin Gothic Book"/>
                <w:sz w:val="22"/>
              </w:rPr>
              <w:t>ed</w:t>
            </w:r>
            <w:r w:rsidRPr="000F1AF1">
              <w:rPr>
                <w:rFonts w:ascii="Franklin Gothic Book" w:hAnsi="Franklin Gothic Book"/>
                <w:sz w:val="22"/>
              </w:rPr>
              <w:t xml:space="preserve"> </w:t>
            </w:r>
            <w:r w:rsidR="00B862EC" w:rsidRPr="000F1AF1">
              <w:rPr>
                <w:rFonts w:ascii="Franklin Gothic Book" w:hAnsi="Franklin Gothic Book"/>
                <w:sz w:val="22"/>
              </w:rPr>
              <w:t xml:space="preserve">the drug was </w:t>
            </w:r>
            <w:r w:rsidR="00B07DF0" w:rsidRPr="000F1AF1">
              <w:rPr>
                <w:rFonts w:ascii="Franklin Gothic Book" w:hAnsi="Franklin Gothic Book"/>
                <w:sz w:val="22"/>
              </w:rPr>
              <w:t>poor</w:t>
            </w:r>
            <w:r w:rsidR="00B862EC" w:rsidRPr="000F1AF1">
              <w:rPr>
                <w:rFonts w:ascii="Franklin Gothic Book" w:hAnsi="Franklin Gothic Book"/>
                <w:sz w:val="22"/>
              </w:rPr>
              <w:t xml:space="preserve"> value for money</w:t>
            </w:r>
            <w:r w:rsidRPr="000F1AF1">
              <w:rPr>
                <w:rFonts w:ascii="Franklin Gothic Book" w:hAnsi="Franklin Gothic Book"/>
                <w:sz w:val="22"/>
              </w:rPr>
              <w:t xml:space="preserve"> at the price</w:t>
            </w:r>
            <w:r w:rsidR="006E452A" w:rsidRPr="000F1AF1">
              <w:rPr>
                <w:rFonts w:ascii="Franklin Gothic Book" w:hAnsi="Franklin Gothic Book"/>
                <w:sz w:val="22"/>
              </w:rPr>
              <w:t xml:space="preserve"> the applicant </w:t>
            </w:r>
            <w:r w:rsidR="00A45F1E" w:rsidRPr="000F1AF1">
              <w:rPr>
                <w:rFonts w:ascii="Franklin Gothic Book" w:hAnsi="Franklin Gothic Book"/>
                <w:sz w:val="22"/>
              </w:rPr>
              <w:t xml:space="preserve">had </w:t>
            </w:r>
            <w:r w:rsidR="006E452A" w:rsidRPr="000F1AF1">
              <w:rPr>
                <w:rFonts w:ascii="Franklin Gothic Book" w:hAnsi="Franklin Gothic Book"/>
                <w:sz w:val="22"/>
              </w:rPr>
              <w:t>proposed</w:t>
            </w:r>
            <w:r w:rsidR="00941EB2" w:rsidRPr="000F1AF1">
              <w:rPr>
                <w:rFonts w:ascii="Franklin Gothic Book" w:hAnsi="Franklin Gothic Book"/>
                <w:sz w:val="22"/>
              </w:rPr>
              <w:t>, and so did not list it</w:t>
            </w:r>
            <w:r w:rsidR="007D7334" w:rsidRPr="000F1AF1">
              <w:rPr>
                <w:rFonts w:ascii="Franklin Gothic Book" w:hAnsi="Franklin Gothic Book"/>
                <w:sz w:val="22"/>
              </w:rPr>
              <w:t xml:space="preserve"> on the PBS</w:t>
            </w:r>
            <w:r w:rsidRPr="000F1AF1">
              <w:rPr>
                <w:rFonts w:ascii="Franklin Gothic Book" w:hAnsi="Franklin Gothic Book"/>
                <w:sz w:val="22"/>
              </w:rPr>
              <w:t>.</w:t>
            </w:r>
          </w:p>
          <w:p w14:paraId="2D813E75" w14:textId="01AE7E8A" w:rsidR="00286061" w:rsidRPr="000F1AF1" w:rsidRDefault="00EE7AD2" w:rsidP="00EE7AD2">
            <w:pPr>
              <w:rPr>
                <w:rFonts w:ascii="Franklin Gothic Book" w:hAnsi="Franklin Gothic Book"/>
                <w:sz w:val="22"/>
              </w:rPr>
            </w:pPr>
            <w:r w:rsidRPr="000F1AF1">
              <w:rPr>
                <w:rFonts w:ascii="Franklin Gothic Book" w:hAnsi="Franklin Gothic Book"/>
                <w:sz w:val="22"/>
              </w:rPr>
              <w:t xml:space="preserve">MSAC </w:t>
            </w:r>
            <w:r w:rsidR="008574A3" w:rsidRPr="000F1AF1">
              <w:rPr>
                <w:rFonts w:ascii="Franklin Gothic Book" w:hAnsi="Franklin Gothic Book"/>
                <w:sz w:val="22"/>
              </w:rPr>
              <w:t xml:space="preserve">therefore </w:t>
            </w:r>
            <w:r w:rsidRPr="000F1AF1">
              <w:rPr>
                <w:rFonts w:ascii="Franklin Gothic Book" w:hAnsi="Franklin Gothic Book"/>
                <w:sz w:val="22"/>
              </w:rPr>
              <w:t xml:space="preserve">deferred its </w:t>
            </w:r>
            <w:r w:rsidR="008574A3" w:rsidRPr="000F1AF1">
              <w:rPr>
                <w:rFonts w:ascii="Franklin Gothic Book" w:hAnsi="Franklin Gothic Book"/>
                <w:sz w:val="22"/>
              </w:rPr>
              <w:t xml:space="preserve">advice </w:t>
            </w:r>
            <w:r w:rsidRPr="000F1AF1">
              <w:rPr>
                <w:rFonts w:ascii="Franklin Gothic Book" w:hAnsi="Franklin Gothic Book"/>
                <w:sz w:val="22"/>
              </w:rPr>
              <w:t>on</w:t>
            </w:r>
            <w:r w:rsidR="00D81B09" w:rsidRPr="000F1AF1">
              <w:rPr>
                <w:rFonts w:ascii="Franklin Gothic Book" w:hAnsi="Franklin Gothic Book"/>
                <w:sz w:val="22"/>
              </w:rPr>
              <w:t xml:space="preserve"> funding</w:t>
            </w:r>
            <w:r w:rsidRPr="000F1AF1">
              <w:rPr>
                <w:rFonts w:ascii="Franklin Gothic Book" w:hAnsi="Franklin Gothic Book"/>
                <w:sz w:val="22"/>
              </w:rPr>
              <w:t xml:space="preserve"> </w:t>
            </w:r>
            <w:r w:rsidRPr="000F1AF1">
              <w:rPr>
                <w:rFonts w:ascii="Franklin Gothic Book" w:hAnsi="Franklin Gothic Book"/>
                <w:i/>
                <w:iCs/>
                <w:sz w:val="22"/>
              </w:rPr>
              <w:t>IDH1</w:t>
            </w:r>
            <w:r w:rsidRPr="000F1AF1">
              <w:rPr>
                <w:rFonts w:ascii="Franklin Gothic Book" w:hAnsi="Franklin Gothic Book"/>
                <w:sz w:val="22"/>
              </w:rPr>
              <w:t xml:space="preserve"> testing</w:t>
            </w:r>
            <w:r w:rsidR="008574A3" w:rsidRPr="000F1AF1">
              <w:rPr>
                <w:rFonts w:ascii="Franklin Gothic Book" w:hAnsi="Franklin Gothic Book"/>
                <w:sz w:val="22"/>
              </w:rPr>
              <w:t>, bec</w:t>
            </w:r>
            <w:r w:rsidR="00286061" w:rsidRPr="000F1AF1">
              <w:rPr>
                <w:rFonts w:ascii="Franklin Gothic Book" w:hAnsi="Franklin Gothic Book"/>
                <w:sz w:val="22"/>
              </w:rPr>
              <w:t>ause the value of this testing come</w:t>
            </w:r>
            <w:r w:rsidR="007927F5" w:rsidRPr="000F1AF1">
              <w:rPr>
                <w:rFonts w:ascii="Franklin Gothic Book" w:hAnsi="Franklin Gothic Book"/>
                <w:sz w:val="22"/>
              </w:rPr>
              <w:t>s</w:t>
            </w:r>
            <w:r w:rsidR="00286061" w:rsidRPr="000F1AF1">
              <w:rPr>
                <w:rFonts w:ascii="Franklin Gothic Book" w:hAnsi="Franklin Gothic Book"/>
                <w:sz w:val="22"/>
              </w:rPr>
              <w:t xml:space="preserve"> from </w:t>
            </w:r>
            <w:r w:rsidR="007927F5" w:rsidRPr="000F1AF1">
              <w:rPr>
                <w:rFonts w:ascii="Franklin Gothic Book" w:hAnsi="Franklin Gothic Book"/>
                <w:sz w:val="22"/>
              </w:rPr>
              <w:t xml:space="preserve">identifying patients who would benefit from </w:t>
            </w:r>
            <w:r w:rsidR="00286061" w:rsidRPr="000F1AF1">
              <w:rPr>
                <w:rFonts w:ascii="Franklin Gothic Book" w:hAnsi="Franklin Gothic Book"/>
                <w:sz w:val="22"/>
              </w:rPr>
              <w:t>ivosidenib</w:t>
            </w:r>
            <w:r w:rsidR="0026274F" w:rsidRPr="000F1AF1">
              <w:rPr>
                <w:rFonts w:ascii="Franklin Gothic Book" w:hAnsi="Franklin Gothic Book"/>
                <w:sz w:val="22"/>
              </w:rPr>
              <w:t xml:space="preserve"> </w:t>
            </w:r>
            <w:r w:rsidR="008D3A62" w:rsidRPr="000F1AF1">
              <w:rPr>
                <w:rFonts w:ascii="Franklin Gothic Book" w:hAnsi="Franklin Gothic Book"/>
                <w:sz w:val="22"/>
              </w:rPr>
              <w:t xml:space="preserve">if listed </w:t>
            </w:r>
            <w:r w:rsidR="0026274F" w:rsidRPr="000F1AF1">
              <w:rPr>
                <w:rFonts w:ascii="Franklin Gothic Book" w:hAnsi="Franklin Gothic Book"/>
                <w:sz w:val="22"/>
              </w:rPr>
              <w:t>on the PBS</w:t>
            </w:r>
            <w:r w:rsidRPr="000F1AF1">
              <w:rPr>
                <w:rFonts w:ascii="Franklin Gothic Book" w:hAnsi="Franklin Gothic Book"/>
                <w:sz w:val="22"/>
              </w:rPr>
              <w:t>.</w:t>
            </w:r>
          </w:p>
          <w:p w14:paraId="24E5217C" w14:textId="17117E9F" w:rsidR="008F5246" w:rsidRPr="000F1AF1" w:rsidRDefault="00286061" w:rsidP="00EE7AD2">
            <w:pPr>
              <w:rPr>
                <w:rFonts w:ascii="Franklin Gothic Book" w:hAnsi="Franklin Gothic Book"/>
                <w:sz w:val="22"/>
              </w:rPr>
            </w:pPr>
            <w:r w:rsidRPr="000F1AF1">
              <w:rPr>
                <w:rFonts w:ascii="Franklin Gothic Book" w:hAnsi="Franklin Gothic Book"/>
                <w:sz w:val="22"/>
              </w:rPr>
              <w:t>T</w:t>
            </w:r>
            <w:r w:rsidR="00EE7AD2" w:rsidRPr="000F1AF1">
              <w:rPr>
                <w:rFonts w:ascii="Franklin Gothic Book" w:hAnsi="Franklin Gothic Book"/>
                <w:sz w:val="22"/>
              </w:rPr>
              <w:t xml:space="preserve">he </w:t>
            </w:r>
            <w:r w:rsidR="00D434FF" w:rsidRPr="000F1AF1">
              <w:rPr>
                <w:rFonts w:ascii="Franklin Gothic Book" w:hAnsi="Franklin Gothic Book"/>
                <w:sz w:val="22"/>
              </w:rPr>
              <w:t xml:space="preserve">applicant may be able to address the </w:t>
            </w:r>
            <w:r w:rsidR="00EE7AD2" w:rsidRPr="000F1AF1">
              <w:rPr>
                <w:rFonts w:ascii="Franklin Gothic Book" w:hAnsi="Franklin Gothic Book"/>
                <w:sz w:val="22"/>
              </w:rPr>
              <w:t>PBAC</w:t>
            </w:r>
            <w:r w:rsidR="00D434FF" w:rsidRPr="000F1AF1">
              <w:rPr>
                <w:rFonts w:ascii="Franklin Gothic Book" w:hAnsi="Franklin Gothic Book"/>
                <w:sz w:val="22"/>
              </w:rPr>
              <w:t>’</w:t>
            </w:r>
            <w:r w:rsidR="00A5786A" w:rsidRPr="000F1AF1">
              <w:rPr>
                <w:rFonts w:ascii="Franklin Gothic Book" w:hAnsi="Franklin Gothic Book"/>
                <w:sz w:val="22"/>
              </w:rPr>
              <w:t xml:space="preserve">s concerns with the drug part of this codependent application </w:t>
            </w:r>
            <w:r w:rsidR="005F6AB4" w:rsidRPr="000F1AF1">
              <w:rPr>
                <w:rFonts w:ascii="Franklin Gothic Book" w:hAnsi="Franklin Gothic Book"/>
                <w:sz w:val="22"/>
              </w:rPr>
              <w:t xml:space="preserve">relatively </w:t>
            </w:r>
            <w:r w:rsidR="00D434FF" w:rsidRPr="000F1AF1">
              <w:rPr>
                <w:rFonts w:ascii="Franklin Gothic Book" w:hAnsi="Franklin Gothic Book"/>
                <w:sz w:val="22"/>
              </w:rPr>
              <w:t>quickly</w:t>
            </w:r>
            <w:r w:rsidR="00EE7AD2" w:rsidRPr="000F1AF1">
              <w:rPr>
                <w:rFonts w:ascii="Franklin Gothic Book" w:hAnsi="Franklin Gothic Book"/>
                <w:sz w:val="22"/>
              </w:rPr>
              <w:t xml:space="preserve">. MSAC foreshadowed that </w:t>
            </w:r>
            <w:r w:rsidR="001F025D" w:rsidRPr="000F1AF1">
              <w:rPr>
                <w:rFonts w:ascii="Franklin Gothic Book" w:hAnsi="Franklin Gothic Book"/>
                <w:sz w:val="22"/>
              </w:rPr>
              <w:t>it</w:t>
            </w:r>
            <w:r w:rsidR="008C2D1E" w:rsidRPr="000F1AF1">
              <w:rPr>
                <w:rFonts w:ascii="Franklin Gothic Book" w:hAnsi="Franklin Gothic Book"/>
                <w:sz w:val="22"/>
              </w:rPr>
              <w:t xml:space="preserve"> </w:t>
            </w:r>
            <w:r w:rsidR="000A46A0" w:rsidRPr="000F1AF1">
              <w:rPr>
                <w:rFonts w:ascii="Franklin Gothic Book" w:hAnsi="Franklin Gothic Book"/>
                <w:sz w:val="22"/>
              </w:rPr>
              <w:t>w</w:t>
            </w:r>
            <w:r w:rsidR="00EE7AD2" w:rsidRPr="000F1AF1">
              <w:rPr>
                <w:rFonts w:ascii="Franklin Gothic Book" w:hAnsi="Franklin Gothic Book"/>
                <w:sz w:val="22"/>
              </w:rPr>
              <w:t xml:space="preserve">ould </w:t>
            </w:r>
            <w:r w:rsidR="000A46A0" w:rsidRPr="000F1AF1">
              <w:rPr>
                <w:rFonts w:ascii="Franklin Gothic Book" w:hAnsi="Franklin Gothic Book"/>
                <w:sz w:val="22"/>
              </w:rPr>
              <w:t>rapidly reconsider</w:t>
            </w:r>
            <w:r w:rsidR="001C53B3" w:rsidRPr="000F1AF1">
              <w:rPr>
                <w:rFonts w:ascii="Franklin Gothic Book" w:hAnsi="Franklin Gothic Book"/>
                <w:sz w:val="22"/>
              </w:rPr>
              <w:t xml:space="preserve"> </w:t>
            </w:r>
            <w:r w:rsidR="00D45D0B" w:rsidRPr="000F1AF1">
              <w:rPr>
                <w:rFonts w:ascii="Franklin Gothic Book" w:hAnsi="Franklin Gothic Book"/>
                <w:sz w:val="22"/>
              </w:rPr>
              <w:t>listing</w:t>
            </w:r>
            <w:r w:rsidR="001C53B3" w:rsidRPr="000F1AF1">
              <w:rPr>
                <w:rFonts w:ascii="Franklin Gothic Book" w:hAnsi="Franklin Gothic Book"/>
                <w:sz w:val="22"/>
              </w:rPr>
              <w:t xml:space="preserve"> </w:t>
            </w:r>
            <w:r w:rsidR="000A46A0" w:rsidRPr="000F1AF1">
              <w:rPr>
                <w:rFonts w:ascii="Franklin Gothic Book" w:hAnsi="Franklin Gothic Book"/>
                <w:i/>
                <w:iCs/>
                <w:sz w:val="22"/>
              </w:rPr>
              <w:t xml:space="preserve">IDH1 </w:t>
            </w:r>
            <w:r w:rsidR="000A46A0" w:rsidRPr="000F1AF1">
              <w:rPr>
                <w:rFonts w:ascii="Franklin Gothic Book" w:hAnsi="Franklin Gothic Book"/>
                <w:sz w:val="22"/>
              </w:rPr>
              <w:t>genetic testing</w:t>
            </w:r>
            <w:r w:rsidR="001F025D" w:rsidRPr="000F1AF1">
              <w:rPr>
                <w:rFonts w:ascii="Franklin Gothic Book" w:hAnsi="Franklin Gothic Book"/>
                <w:sz w:val="22"/>
              </w:rPr>
              <w:t xml:space="preserve"> </w:t>
            </w:r>
            <w:r w:rsidR="00D45D0B" w:rsidRPr="000F1AF1">
              <w:rPr>
                <w:rFonts w:ascii="Franklin Gothic Book" w:hAnsi="Franklin Gothic Book"/>
                <w:sz w:val="22"/>
              </w:rPr>
              <w:t xml:space="preserve">for patients with cholangiocarcinoma on the MBS </w:t>
            </w:r>
            <w:r w:rsidR="00E23B97" w:rsidRPr="000F1AF1">
              <w:rPr>
                <w:rFonts w:ascii="Franklin Gothic Book" w:hAnsi="Franklin Gothic Book"/>
                <w:sz w:val="22"/>
              </w:rPr>
              <w:t>if the</w:t>
            </w:r>
            <w:r w:rsidR="001F025D" w:rsidRPr="000F1AF1">
              <w:rPr>
                <w:rFonts w:ascii="Franklin Gothic Book" w:hAnsi="Franklin Gothic Book"/>
                <w:sz w:val="22"/>
              </w:rPr>
              <w:t xml:space="preserve"> PBAC recommends listing ivosidenib on the PBS</w:t>
            </w:r>
            <w:r w:rsidR="001C53B3" w:rsidRPr="000F1AF1">
              <w:rPr>
                <w:rFonts w:ascii="Franklin Gothic Book" w:hAnsi="Franklin Gothic Book"/>
                <w:sz w:val="22"/>
              </w:rPr>
              <w:t>.</w:t>
            </w:r>
          </w:p>
          <w:p w14:paraId="383709EF" w14:textId="73419335" w:rsidR="007E1363" w:rsidRPr="000F1AF1" w:rsidRDefault="001C53B3" w:rsidP="00EE7AD2">
            <w:pPr>
              <w:rPr>
                <w:rFonts w:ascii="Franklin Gothic Book" w:hAnsi="Franklin Gothic Book"/>
                <w:sz w:val="22"/>
              </w:rPr>
            </w:pPr>
            <w:r w:rsidRPr="000F1AF1">
              <w:rPr>
                <w:rFonts w:ascii="Franklin Gothic Book" w:hAnsi="Franklin Gothic Book"/>
                <w:sz w:val="22"/>
              </w:rPr>
              <w:t>Cholangiocarcinoma</w:t>
            </w:r>
            <w:r w:rsidR="007E1363" w:rsidRPr="000F1AF1">
              <w:rPr>
                <w:rFonts w:ascii="Franklin Gothic Book" w:hAnsi="Franklin Gothic Book"/>
                <w:sz w:val="22"/>
              </w:rPr>
              <w:t xml:space="preserve"> is rare and not many people would need th</w:t>
            </w:r>
            <w:r w:rsidRPr="000F1AF1">
              <w:rPr>
                <w:rFonts w:ascii="Franklin Gothic Book" w:hAnsi="Franklin Gothic Book"/>
                <w:sz w:val="22"/>
              </w:rPr>
              <w:t xml:space="preserve">is testing, </w:t>
            </w:r>
            <w:r w:rsidR="00996D0B" w:rsidRPr="000F1AF1">
              <w:rPr>
                <w:rFonts w:ascii="Franklin Gothic Book" w:hAnsi="Franklin Gothic Book"/>
                <w:sz w:val="22"/>
              </w:rPr>
              <w:t xml:space="preserve">so MSAC advised the </w:t>
            </w:r>
            <w:r w:rsidR="00D81B09" w:rsidRPr="000F1AF1">
              <w:rPr>
                <w:rFonts w:ascii="Franklin Gothic Book" w:hAnsi="Franklin Gothic Book"/>
                <w:sz w:val="22"/>
              </w:rPr>
              <w:t xml:space="preserve">financial </w:t>
            </w:r>
            <w:r w:rsidR="00996D0B" w:rsidRPr="000F1AF1">
              <w:rPr>
                <w:rFonts w:ascii="Franklin Gothic Book" w:hAnsi="Franklin Gothic Book"/>
                <w:sz w:val="22"/>
              </w:rPr>
              <w:t xml:space="preserve">cost of this testing </w:t>
            </w:r>
            <w:r w:rsidR="00D81B09" w:rsidRPr="000F1AF1">
              <w:rPr>
                <w:rFonts w:ascii="Franklin Gothic Book" w:hAnsi="Franklin Gothic Book"/>
                <w:sz w:val="22"/>
              </w:rPr>
              <w:t xml:space="preserve">to the MBS </w:t>
            </w:r>
            <w:r w:rsidR="00996D0B" w:rsidRPr="000F1AF1">
              <w:rPr>
                <w:rFonts w:ascii="Franklin Gothic Book" w:hAnsi="Franklin Gothic Book"/>
                <w:sz w:val="22"/>
              </w:rPr>
              <w:t>would be acceptable.</w:t>
            </w:r>
          </w:p>
          <w:p w14:paraId="05426512" w14:textId="77777777" w:rsidR="008F5246" w:rsidRPr="000F1AF1" w:rsidRDefault="008F5246" w:rsidP="002A3EBF">
            <w:pPr>
              <w:keepNext/>
              <w:keepLines/>
              <w:outlineLvl w:val="2"/>
              <w:rPr>
                <w:rFonts w:ascii="Franklin Gothic Book" w:eastAsia="Times New Roman" w:hAnsi="Franklin Gothic Book" w:cs="Times New Roman"/>
                <w:b/>
                <w:bCs/>
                <w:szCs w:val="24"/>
              </w:rPr>
            </w:pPr>
            <w:r w:rsidRPr="000F1AF1">
              <w:rPr>
                <w:rFonts w:ascii="Franklin Gothic Book" w:eastAsia="Times New Roman" w:hAnsi="Franklin Gothic Book" w:cs="Times New Roman"/>
                <w:b/>
                <w:bCs/>
                <w:szCs w:val="24"/>
              </w:rPr>
              <w:t xml:space="preserve">MSAC’s advice to the </w:t>
            </w:r>
            <w:proofErr w:type="gramStart"/>
            <w:r w:rsidRPr="000F1AF1">
              <w:rPr>
                <w:rFonts w:ascii="Franklin Gothic Book" w:eastAsia="Times New Roman" w:hAnsi="Franklin Gothic Book" w:cs="Times New Roman"/>
                <w:b/>
                <w:bCs/>
                <w:szCs w:val="24"/>
              </w:rPr>
              <w:t>Commonwealth Minister</w:t>
            </w:r>
            <w:proofErr w:type="gramEnd"/>
            <w:r w:rsidRPr="000F1AF1">
              <w:rPr>
                <w:rFonts w:ascii="Franklin Gothic Book" w:eastAsia="Times New Roman" w:hAnsi="Franklin Gothic Book" w:cs="Times New Roman"/>
                <w:b/>
                <w:bCs/>
                <w:szCs w:val="24"/>
              </w:rPr>
              <w:t xml:space="preserve"> for Health and Aged Care</w:t>
            </w:r>
          </w:p>
          <w:p w14:paraId="5F2C20E7" w14:textId="46A8C40A" w:rsidR="008F5246" w:rsidRPr="00217830" w:rsidRDefault="00217830" w:rsidP="00B816E7">
            <w:pPr>
              <w:spacing w:after="120"/>
              <w:rPr>
                <w:rFonts w:ascii="Franklin Gothic Book" w:eastAsia="Calibri" w:hAnsi="Franklin Gothic Book" w:cs="Times New Roman"/>
                <w:sz w:val="22"/>
              </w:rPr>
            </w:pPr>
            <w:r w:rsidRPr="000F1AF1">
              <w:rPr>
                <w:rFonts w:ascii="Franklin Gothic Book" w:eastAsia="Calibri" w:hAnsi="Franklin Gothic Book" w:cs="Times New Roman"/>
                <w:sz w:val="22"/>
              </w:rPr>
              <w:t xml:space="preserve">MSAC deferred its </w:t>
            </w:r>
            <w:r w:rsidR="00A247C5" w:rsidRPr="000F1AF1">
              <w:rPr>
                <w:rFonts w:ascii="Franklin Gothic Book" w:eastAsia="Calibri" w:hAnsi="Franklin Gothic Book" w:cs="Times New Roman"/>
                <w:sz w:val="22"/>
              </w:rPr>
              <w:t>advice on funding</w:t>
            </w:r>
            <w:r w:rsidRPr="000F1AF1">
              <w:rPr>
                <w:rFonts w:ascii="Franklin Gothic Book" w:eastAsia="Calibri" w:hAnsi="Franklin Gothic Book" w:cs="Times New Roman"/>
                <w:sz w:val="22"/>
              </w:rPr>
              <w:t xml:space="preserve"> </w:t>
            </w:r>
            <w:r w:rsidRPr="000F1AF1">
              <w:rPr>
                <w:rFonts w:ascii="Franklin Gothic Book" w:eastAsia="Calibri" w:hAnsi="Franklin Gothic Book" w:cs="Times New Roman"/>
                <w:i/>
                <w:iCs/>
                <w:sz w:val="22"/>
              </w:rPr>
              <w:t>IDH1</w:t>
            </w:r>
            <w:r w:rsidRPr="000F1AF1">
              <w:rPr>
                <w:rFonts w:ascii="Franklin Gothic Book" w:eastAsia="Calibri" w:hAnsi="Franklin Gothic Book" w:cs="Times New Roman"/>
                <w:sz w:val="22"/>
              </w:rPr>
              <w:t xml:space="preserve"> </w:t>
            </w:r>
            <w:r w:rsidR="00A247C5" w:rsidRPr="000F1AF1">
              <w:rPr>
                <w:rFonts w:ascii="Franklin Gothic Book" w:eastAsia="Calibri" w:hAnsi="Franklin Gothic Book" w:cs="Times New Roman"/>
                <w:sz w:val="22"/>
              </w:rPr>
              <w:t xml:space="preserve">genetic </w:t>
            </w:r>
            <w:r w:rsidRPr="000F1AF1">
              <w:rPr>
                <w:rFonts w:ascii="Franklin Gothic Book" w:eastAsia="Calibri" w:hAnsi="Franklin Gothic Book" w:cs="Times New Roman"/>
                <w:sz w:val="22"/>
              </w:rPr>
              <w:t xml:space="preserve">testing for </w:t>
            </w:r>
            <w:r w:rsidR="00A247C5" w:rsidRPr="000F1AF1">
              <w:rPr>
                <w:rFonts w:ascii="Franklin Gothic Book" w:eastAsia="Calibri" w:hAnsi="Franklin Gothic Book" w:cs="Times New Roman"/>
                <w:sz w:val="22"/>
              </w:rPr>
              <w:t>patients with cholangiocarcinoma</w:t>
            </w:r>
            <w:r w:rsidRPr="000F1AF1">
              <w:rPr>
                <w:rFonts w:ascii="Franklin Gothic Book" w:eastAsia="Calibri" w:hAnsi="Franklin Gothic Book" w:cs="Times New Roman"/>
                <w:sz w:val="22"/>
              </w:rPr>
              <w:t xml:space="preserve">. </w:t>
            </w:r>
            <w:r w:rsidR="00A247C5" w:rsidRPr="000F1AF1">
              <w:rPr>
                <w:rFonts w:ascii="Franklin Gothic Book" w:eastAsia="Calibri" w:hAnsi="Franklin Gothic Book" w:cs="Times New Roman"/>
                <w:sz w:val="22"/>
              </w:rPr>
              <w:t>T</w:t>
            </w:r>
            <w:r w:rsidRPr="000F1AF1">
              <w:rPr>
                <w:rFonts w:ascii="Franklin Gothic Book" w:eastAsia="Calibri" w:hAnsi="Franklin Gothic Book" w:cs="Times New Roman"/>
                <w:sz w:val="22"/>
              </w:rPr>
              <w:t xml:space="preserve">he test </w:t>
            </w:r>
            <w:r w:rsidR="00A247C5" w:rsidRPr="000F1AF1">
              <w:rPr>
                <w:rFonts w:ascii="Franklin Gothic Book" w:eastAsia="Calibri" w:hAnsi="Franklin Gothic Book" w:cs="Times New Roman"/>
                <w:sz w:val="22"/>
              </w:rPr>
              <w:t>was</w:t>
            </w:r>
            <w:r w:rsidRPr="000F1AF1">
              <w:rPr>
                <w:rFonts w:ascii="Franklin Gothic Book" w:eastAsia="Calibri" w:hAnsi="Franklin Gothic Book" w:cs="Times New Roman"/>
                <w:sz w:val="22"/>
              </w:rPr>
              <w:t xml:space="preserve"> </w:t>
            </w:r>
            <w:proofErr w:type="gramStart"/>
            <w:r w:rsidRPr="000F1AF1">
              <w:rPr>
                <w:rFonts w:ascii="Franklin Gothic Book" w:eastAsia="Calibri" w:hAnsi="Franklin Gothic Book" w:cs="Times New Roman"/>
                <w:sz w:val="22"/>
              </w:rPr>
              <w:t>safe</w:t>
            </w:r>
            <w:proofErr w:type="gramEnd"/>
            <w:r w:rsidRPr="000F1AF1">
              <w:rPr>
                <w:rFonts w:ascii="Franklin Gothic Book" w:eastAsia="Calibri" w:hAnsi="Franklin Gothic Book" w:cs="Times New Roman"/>
                <w:sz w:val="22"/>
              </w:rPr>
              <w:t xml:space="preserve"> and </w:t>
            </w:r>
            <w:r w:rsidR="002C117E" w:rsidRPr="000F1AF1">
              <w:rPr>
                <w:rFonts w:ascii="Franklin Gothic Book" w:eastAsia="Calibri" w:hAnsi="Franklin Gothic Book" w:cs="Times New Roman"/>
                <w:sz w:val="22"/>
              </w:rPr>
              <w:t xml:space="preserve">it </w:t>
            </w:r>
            <w:r w:rsidR="00A247C5" w:rsidRPr="000F1AF1">
              <w:rPr>
                <w:rFonts w:ascii="Franklin Gothic Book" w:eastAsia="Calibri" w:hAnsi="Franklin Gothic Book" w:cs="Times New Roman"/>
                <w:sz w:val="22"/>
              </w:rPr>
              <w:t>would have</w:t>
            </w:r>
            <w:r w:rsidRPr="000F1AF1">
              <w:rPr>
                <w:rFonts w:ascii="Franklin Gothic Book" w:eastAsia="Calibri" w:hAnsi="Franklin Gothic Book" w:cs="Times New Roman"/>
                <w:sz w:val="22"/>
              </w:rPr>
              <w:t xml:space="preserve"> a</w:t>
            </w:r>
            <w:r w:rsidR="00A247C5" w:rsidRPr="000F1AF1">
              <w:rPr>
                <w:rFonts w:ascii="Franklin Gothic Book" w:eastAsia="Calibri" w:hAnsi="Franklin Gothic Book" w:cs="Times New Roman"/>
                <w:sz w:val="22"/>
              </w:rPr>
              <w:t>n acceptable</w:t>
            </w:r>
            <w:r w:rsidRPr="000F1AF1">
              <w:rPr>
                <w:rFonts w:ascii="Franklin Gothic Book" w:eastAsia="Calibri" w:hAnsi="Franklin Gothic Book" w:cs="Times New Roman"/>
                <w:sz w:val="22"/>
              </w:rPr>
              <w:t xml:space="preserve"> financial </w:t>
            </w:r>
            <w:r w:rsidR="002C117E" w:rsidRPr="000F1AF1">
              <w:rPr>
                <w:rFonts w:ascii="Franklin Gothic Book" w:eastAsia="Calibri" w:hAnsi="Franklin Gothic Book" w:cs="Times New Roman"/>
                <w:sz w:val="22"/>
              </w:rPr>
              <w:t xml:space="preserve">cost </w:t>
            </w:r>
            <w:r w:rsidR="00A247C5" w:rsidRPr="000F1AF1">
              <w:rPr>
                <w:rFonts w:ascii="Franklin Gothic Book" w:eastAsia="Calibri" w:hAnsi="Franklin Gothic Book" w:cs="Times New Roman"/>
                <w:sz w:val="22"/>
              </w:rPr>
              <w:t>to the MBS</w:t>
            </w:r>
            <w:r w:rsidRPr="000F1AF1">
              <w:rPr>
                <w:rFonts w:ascii="Franklin Gothic Book" w:eastAsia="Calibri" w:hAnsi="Franklin Gothic Book" w:cs="Times New Roman"/>
                <w:sz w:val="22"/>
              </w:rPr>
              <w:t xml:space="preserve">. </w:t>
            </w:r>
            <w:r w:rsidR="009B3F83" w:rsidRPr="000F1AF1">
              <w:rPr>
                <w:rFonts w:ascii="Franklin Gothic Book" w:eastAsia="Calibri" w:hAnsi="Franklin Gothic Book" w:cs="Times New Roman"/>
                <w:sz w:val="22"/>
              </w:rPr>
              <w:t xml:space="preserve">It would </w:t>
            </w:r>
            <w:r w:rsidR="00EF2CCB" w:rsidRPr="000F1AF1">
              <w:rPr>
                <w:rFonts w:ascii="Franklin Gothic Book" w:eastAsia="Calibri" w:hAnsi="Franklin Gothic Book" w:cs="Times New Roman"/>
                <w:sz w:val="22"/>
              </w:rPr>
              <w:t xml:space="preserve">improve health outcomes for patients with an </w:t>
            </w:r>
            <w:r w:rsidR="00EF2CCB" w:rsidRPr="000F1AF1">
              <w:rPr>
                <w:rFonts w:ascii="Franklin Gothic Book" w:eastAsia="Calibri" w:hAnsi="Franklin Gothic Book" w:cs="Times New Roman"/>
                <w:i/>
                <w:iCs/>
                <w:sz w:val="22"/>
              </w:rPr>
              <w:t xml:space="preserve">IDH1 </w:t>
            </w:r>
            <w:r w:rsidR="00EF2CCB" w:rsidRPr="000F1AF1">
              <w:rPr>
                <w:rFonts w:ascii="Franklin Gothic Book" w:eastAsia="Calibri" w:hAnsi="Franklin Gothic Book" w:cs="Times New Roman"/>
                <w:sz w:val="22"/>
              </w:rPr>
              <w:t>genetic variant if it provided access to ivosidenib on the PBS, however</w:t>
            </w:r>
            <w:r w:rsidR="00F34FF1" w:rsidRPr="000F1AF1">
              <w:rPr>
                <w:rFonts w:ascii="Franklin Gothic Book" w:eastAsia="Calibri" w:hAnsi="Franklin Gothic Book" w:cs="Times New Roman"/>
                <w:sz w:val="22"/>
              </w:rPr>
              <w:t xml:space="preserve"> the PBAC </w:t>
            </w:r>
            <w:r w:rsidR="009B62A9" w:rsidRPr="000F1AF1">
              <w:rPr>
                <w:rFonts w:ascii="Franklin Gothic Book" w:eastAsia="Calibri" w:hAnsi="Franklin Gothic Book" w:cs="Times New Roman"/>
                <w:sz w:val="22"/>
              </w:rPr>
              <w:t>did</w:t>
            </w:r>
            <w:r w:rsidR="00F34FF1" w:rsidRPr="000F1AF1">
              <w:rPr>
                <w:rFonts w:ascii="Franklin Gothic Book" w:eastAsia="Calibri" w:hAnsi="Franklin Gothic Book" w:cs="Times New Roman"/>
                <w:sz w:val="22"/>
              </w:rPr>
              <w:t xml:space="preserve"> not recommend listin</w:t>
            </w:r>
            <w:r w:rsidR="009B3F83" w:rsidRPr="000F1AF1">
              <w:rPr>
                <w:rFonts w:ascii="Franklin Gothic Book" w:eastAsia="Calibri" w:hAnsi="Franklin Gothic Book" w:cs="Times New Roman"/>
                <w:sz w:val="22"/>
              </w:rPr>
              <w:t>g ivosidenib.</w:t>
            </w:r>
            <w:r w:rsidR="007A6DC1" w:rsidRPr="000F1AF1">
              <w:rPr>
                <w:rFonts w:ascii="Franklin Gothic Book" w:eastAsia="Calibri" w:hAnsi="Franklin Gothic Book" w:cs="Times New Roman"/>
                <w:sz w:val="22"/>
              </w:rPr>
              <w:t xml:space="preserve"> MSAC </w:t>
            </w:r>
            <w:r w:rsidR="002C117E" w:rsidRPr="000F1AF1">
              <w:rPr>
                <w:rFonts w:ascii="Franklin Gothic Book" w:eastAsia="Calibri" w:hAnsi="Franklin Gothic Book" w:cs="Times New Roman"/>
                <w:sz w:val="22"/>
              </w:rPr>
              <w:t xml:space="preserve">therefore deferred </w:t>
            </w:r>
            <w:r w:rsidR="00BC5F1C" w:rsidRPr="000F1AF1">
              <w:rPr>
                <w:rFonts w:ascii="Franklin Gothic Book" w:eastAsia="Calibri" w:hAnsi="Franklin Gothic Book" w:cs="Times New Roman"/>
                <w:sz w:val="22"/>
              </w:rPr>
              <w:t xml:space="preserve">its </w:t>
            </w:r>
            <w:proofErr w:type="gramStart"/>
            <w:r w:rsidR="00BC5F1C" w:rsidRPr="000F1AF1">
              <w:rPr>
                <w:rFonts w:ascii="Franklin Gothic Book" w:eastAsia="Calibri" w:hAnsi="Franklin Gothic Book" w:cs="Times New Roman"/>
                <w:sz w:val="22"/>
              </w:rPr>
              <w:t>advice</w:t>
            </w:r>
            <w:r w:rsidR="002C117E" w:rsidRPr="000F1AF1">
              <w:rPr>
                <w:rFonts w:ascii="Franklin Gothic Book" w:eastAsia="Calibri" w:hAnsi="Franklin Gothic Book" w:cs="Times New Roman"/>
                <w:sz w:val="22"/>
              </w:rPr>
              <w:t>, but</w:t>
            </w:r>
            <w:proofErr w:type="gramEnd"/>
            <w:r w:rsidR="002C117E" w:rsidRPr="000F1AF1">
              <w:rPr>
                <w:rFonts w:ascii="Franklin Gothic Book" w:eastAsia="Calibri" w:hAnsi="Franklin Gothic Book" w:cs="Times New Roman"/>
                <w:sz w:val="22"/>
              </w:rPr>
              <w:t xml:space="preserve"> would</w:t>
            </w:r>
            <w:r w:rsidR="002268CB" w:rsidRPr="000F1AF1">
              <w:rPr>
                <w:rFonts w:ascii="Franklin Gothic Book" w:eastAsia="Calibri" w:hAnsi="Franklin Gothic Book" w:cs="Times New Roman"/>
                <w:sz w:val="22"/>
              </w:rPr>
              <w:t xml:space="preserve"> rapidly reconsider this testing if the PBAC recommends listing ivosidenib on the PBS</w:t>
            </w:r>
            <w:r w:rsidRPr="000F1AF1">
              <w:rPr>
                <w:rFonts w:ascii="Franklin Gothic Book" w:eastAsia="Calibri" w:hAnsi="Franklin Gothic Book" w:cs="Times New Roman"/>
                <w:sz w:val="22"/>
              </w:rPr>
              <w:t>.</w:t>
            </w:r>
          </w:p>
        </w:tc>
      </w:tr>
    </w:tbl>
    <w:p w14:paraId="38BB2C95" w14:textId="77777777" w:rsidR="008F5246" w:rsidRPr="008F5246" w:rsidRDefault="008F5246" w:rsidP="008F5246">
      <w:pPr>
        <w:pStyle w:val="Heading2"/>
        <w:widowControl w:val="0"/>
        <w:spacing w:after="240"/>
        <w:rPr>
          <w:rFonts w:ascii="Franklin Gothic Medium" w:hAnsi="Franklin Gothic Medium"/>
          <w:b w:val="0"/>
          <w:i w:val="0"/>
          <w:snapToGrid/>
          <w:color w:val="000000" w:themeColor="text1"/>
          <w:sz w:val="32"/>
          <w:szCs w:val="26"/>
        </w:rPr>
      </w:pPr>
      <w:r w:rsidRPr="008F5246">
        <w:rPr>
          <w:rFonts w:ascii="Franklin Gothic Medium" w:hAnsi="Franklin Gothic Medium"/>
          <w:b w:val="0"/>
          <w:i w:val="0"/>
          <w:snapToGrid/>
          <w:color w:val="000000" w:themeColor="text1"/>
          <w:sz w:val="32"/>
          <w:szCs w:val="26"/>
        </w:rPr>
        <w:lastRenderedPageBreak/>
        <w:t>3.</w:t>
      </w:r>
      <w:r w:rsidRPr="008F5246">
        <w:rPr>
          <w:rFonts w:ascii="Franklin Gothic Medium" w:hAnsi="Franklin Gothic Medium"/>
          <w:b w:val="0"/>
          <w:i w:val="0"/>
          <w:snapToGrid/>
          <w:color w:val="000000" w:themeColor="text1"/>
          <w:sz w:val="32"/>
          <w:szCs w:val="26"/>
        </w:rPr>
        <w:tab/>
        <w:t>Summary of consideration and rationale for MSAC’s advice</w:t>
      </w:r>
    </w:p>
    <w:p w14:paraId="43FB6C1E" w14:textId="4C4A4347" w:rsidR="00B816E7" w:rsidRPr="00B816E7" w:rsidRDefault="00B816E7" w:rsidP="00B816E7">
      <w:pPr>
        <w:rPr>
          <w:rFonts w:ascii="Franklin Gothic Book" w:hAnsi="Franklin Gothic Book"/>
          <w:sz w:val="22"/>
        </w:rPr>
      </w:pPr>
      <w:r w:rsidRPr="00B816E7">
        <w:rPr>
          <w:rFonts w:ascii="Franklin Gothic Book" w:hAnsi="Franklin Gothic Book"/>
          <w:sz w:val="22"/>
        </w:rPr>
        <w:t xml:space="preserve">MSAC noted that this application from </w:t>
      </w:r>
      <w:proofErr w:type="spellStart"/>
      <w:r w:rsidRPr="00B816E7">
        <w:rPr>
          <w:rFonts w:ascii="Franklin Gothic Book" w:hAnsi="Franklin Gothic Book"/>
          <w:sz w:val="22"/>
        </w:rPr>
        <w:t>Servier</w:t>
      </w:r>
      <w:proofErr w:type="spellEnd"/>
      <w:r w:rsidRPr="00B816E7">
        <w:rPr>
          <w:rFonts w:ascii="Franklin Gothic Book" w:hAnsi="Franklin Gothic Book"/>
          <w:sz w:val="22"/>
        </w:rPr>
        <w:t xml:space="preserve"> Laboratories </w:t>
      </w:r>
      <w:r w:rsidR="00F3350A">
        <w:rPr>
          <w:rFonts w:ascii="Franklin Gothic Book" w:hAnsi="Franklin Gothic Book"/>
          <w:sz w:val="22"/>
        </w:rPr>
        <w:t xml:space="preserve">Australia Pty. Ltd. </w:t>
      </w:r>
      <w:r w:rsidRPr="00B816E7">
        <w:rPr>
          <w:rFonts w:ascii="Franklin Gothic Book" w:hAnsi="Franklin Gothic Book"/>
          <w:sz w:val="22"/>
        </w:rPr>
        <w:t xml:space="preserve">was an integrated codependent submission to the MSAC </w:t>
      </w:r>
      <w:r w:rsidR="00BC5F1C">
        <w:rPr>
          <w:rFonts w:ascii="Franklin Gothic Book" w:hAnsi="Franklin Gothic Book"/>
          <w:sz w:val="22"/>
        </w:rPr>
        <w:t xml:space="preserve">and the </w:t>
      </w:r>
      <w:r w:rsidR="00BC5F1C" w:rsidRPr="00B816E7">
        <w:rPr>
          <w:rFonts w:ascii="Franklin Gothic Book" w:hAnsi="Franklin Gothic Book"/>
          <w:sz w:val="22"/>
        </w:rPr>
        <w:t>PBAC</w:t>
      </w:r>
      <w:r w:rsidR="00BC5F1C">
        <w:rPr>
          <w:rFonts w:ascii="Franklin Gothic Book" w:hAnsi="Franklin Gothic Book"/>
          <w:sz w:val="22"/>
        </w:rPr>
        <w:t>,</w:t>
      </w:r>
      <w:r w:rsidR="00BC5F1C" w:rsidRPr="00B816E7">
        <w:rPr>
          <w:rFonts w:ascii="Franklin Gothic Book" w:hAnsi="Franklin Gothic Book"/>
          <w:sz w:val="22"/>
        </w:rPr>
        <w:t xml:space="preserve"> </w:t>
      </w:r>
      <w:r w:rsidRPr="00B816E7">
        <w:rPr>
          <w:rFonts w:ascii="Franklin Gothic Book" w:hAnsi="Franklin Gothic Book"/>
          <w:sz w:val="22"/>
        </w:rPr>
        <w:t xml:space="preserve">requesting </w:t>
      </w:r>
      <w:r w:rsidR="00BC5F1C" w:rsidRPr="00B816E7">
        <w:rPr>
          <w:rFonts w:ascii="Franklin Gothic Book" w:hAnsi="Franklin Gothic Book"/>
          <w:sz w:val="22"/>
        </w:rPr>
        <w:t xml:space="preserve">MBS listing </w:t>
      </w:r>
      <w:r w:rsidR="00BC5F1C">
        <w:rPr>
          <w:rFonts w:ascii="Franklin Gothic Book" w:hAnsi="Franklin Gothic Book"/>
          <w:sz w:val="22"/>
        </w:rPr>
        <w:t xml:space="preserve">of testing </w:t>
      </w:r>
      <w:r w:rsidR="00BC5F1C" w:rsidRPr="00B816E7">
        <w:rPr>
          <w:rFonts w:ascii="Franklin Gothic Book" w:hAnsi="Franklin Gothic Book"/>
          <w:sz w:val="22"/>
        </w:rPr>
        <w:t xml:space="preserve">to detect </w:t>
      </w:r>
      <w:r w:rsidR="00BC5F1C" w:rsidRPr="00B816E7">
        <w:rPr>
          <w:rFonts w:ascii="Franklin Gothic Book" w:hAnsi="Franklin Gothic Book"/>
          <w:i/>
          <w:iCs/>
          <w:sz w:val="22"/>
        </w:rPr>
        <w:t>IDH1</w:t>
      </w:r>
      <w:r w:rsidR="00BC5F1C" w:rsidRPr="00B816E7">
        <w:rPr>
          <w:rFonts w:ascii="Franklin Gothic Book" w:hAnsi="Franklin Gothic Book"/>
          <w:sz w:val="22"/>
        </w:rPr>
        <w:t xml:space="preserve"> </w:t>
      </w:r>
      <w:r w:rsidR="00BC5F1C">
        <w:rPr>
          <w:rFonts w:ascii="Franklin Gothic Book" w:hAnsi="Franklin Gothic Book"/>
          <w:sz w:val="22"/>
        </w:rPr>
        <w:t xml:space="preserve">genetic </w:t>
      </w:r>
      <w:r w:rsidR="00BC5F1C" w:rsidRPr="00B816E7">
        <w:rPr>
          <w:rFonts w:ascii="Franklin Gothic Book" w:hAnsi="Franklin Gothic Book"/>
          <w:sz w:val="22"/>
        </w:rPr>
        <w:t>variants in</w:t>
      </w:r>
      <w:r w:rsidR="00B23001">
        <w:rPr>
          <w:rFonts w:ascii="Franklin Gothic Book" w:hAnsi="Franklin Gothic Book"/>
          <w:sz w:val="22"/>
        </w:rPr>
        <w:t xml:space="preserve"> the tumours of</w:t>
      </w:r>
      <w:r w:rsidR="00BC5F1C" w:rsidRPr="00B816E7">
        <w:rPr>
          <w:rFonts w:ascii="Franklin Gothic Book" w:hAnsi="Franklin Gothic Book"/>
          <w:sz w:val="22"/>
        </w:rPr>
        <w:t xml:space="preserve"> adult patients with locally advanced or metastatic CCA</w:t>
      </w:r>
      <w:r w:rsidR="00E5523C">
        <w:rPr>
          <w:rFonts w:ascii="Franklin Gothic Book" w:hAnsi="Franklin Gothic Book"/>
          <w:sz w:val="22"/>
        </w:rPr>
        <w:t xml:space="preserve"> </w:t>
      </w:r>
      <w:r w:rsidR="00E5523C" w:rsidRPr="00B816E7">
        <w:rPr>
          <w:rFonts w:ascii="Franklin Gothic Book" w:hAnsi="Franklin Gothic Book"/>
          <w:sz w:val="22"/>
        </w:rPr>
        <w:t>who have previously progressed on chemotherapy</w:t>
      </w:r>
      <w:r w:rsidR="00E5523C">
        <w:rPr>
          <w:rFonts w:ascii="Franklin Gothic Book" w:hAnsi="Franklin Gothic Book"/>
          <w:sz w:val="22"/>
        </w:rPr>
        <w:t>, and</w:t>
      </w:r>
      <w:r w:rsidR="00BC5F1C" w:rsidRPr="00B816E7">
        <w:rPr>
          <w:rFonts w:ascii="Franklin Gothic Book" w:hAnsi="Franklin Gothic Book"/>
          <w:sz w:val="22"/>
        </w:rPr>
        <w:t xml:space="preserve"> </w:t>
      </w:r>
      <w:r w:rsidRPr="00B816E7">
        <w:rPr>
          <w:rFonts w:ascii="Franklin Gothic Book" w:hAnsi="Franklin Gothic Book"/>
          <w:sz w:val="22"/>
        </w:rPr>
        <w:t>PBS listing of ivosidenib (</w:t>
      </w:r>
      <w:proofErr w:type="spellStart"/>
      <w:r w:rsidRPr="00B816E7">
        <w:rPr>
          <w:rFonts w:ascii="Franklin Gothic Book" w:hAnsi="Franklin Gothic Book"/>
          <w:sz w:val="22"/>
        </w:rPr>
        <w:t>Tibsovo</w:t>
      </w:r>
      <w:proofErr w:type="spellEnd"/>
      <w:r w:rsidRPr="001E0218">
        <w:rPr>
          <w:rFonts w:ascii="Franklin Gothic Book" w:hAnsi="Franklin Gothic Book"/>
          <w:sz w:val="22"/>
          <w:vertAlign w:val="superscript"/>
        </w:rPr>
        <w:t>®</w:t>
      </w:r>
      <w:r w:rsidRPr="00B816E7">
        <w:rPr>
          <w:rFonts w:ascii="Franklin Gothic Book" w:hAnsi="Franklin Gothic Book"/>
          <w:sz w:val="22"/>
        </w:rPr>
        <w:t>) for the treatment</w:t>
      </w:r>
      <w:r w:rsidR="00997A15">
        <w:rPr>
          <w:rFonts w:ascii="Franklin Gothic Book" w:hAnsi="Franklin Gothic Book"/>
          <w:sz w:val="22"/>
        </w:rPr>
        <w:t xml:space="preserve"> of those patients whose tumours are found to have a</w:t>
      </w:r>
      <w:r w:rsidR="00802D31">
        <w:rPr>
          <w:rFonts w:ascii="Franklin Gothic Book" w:hAnsi="Franklin Gothic Book"/>
          <w:sz w:val="22"/>
        </w:rPr>
        <w:t>n</w:t>
      </w:r>
      <w:r w:rsidR="00997A15">
        <w:rPr>
          <w:rFonts w:ascii="Franklin Gothic Book" w:hAnsi="Franklin Gothic Book"/>
          <w:sz w:val="22"/>
        </w:rPr>
        <w:t xml:space="preserve"> </w:t>
      </w:r>
      <w:r w:rsidRPr="00B816E7">
        <w:rPr>
          <w:rFonts w:ascii="Franklin Gothic Book" w:hAnsi="Franklin Gothic Book"/>
          <w:i/>
          <w:iCs/>
          <w:sz w:val="22"/>
        </w:rPr>
        <w:t>IDH1</w:t>
      </w:r>
      <w:r w:rsidRPr="00B816E7">
        <w:rPr>
          <w:rFonts w:ascii="Franklin Gothic Book" w:hAnsi="Franklin Gothic Book"/>
          <w:sz w:val="22"/>
        </w:rPr>
        <w:t xml:space="preserve"> </w:t>
      </w:r>
      <w:r w:rsidR="00997A15">
        <w:rPr>
          <w:rFonts w:ascii="Franklin Gothic Book" w:hAnsi="Franklin Gothic Book"/>
          <w:sz w:val="22"/>
        </w:rPr>
        <w:t>genetic variant</w:t>
      </w:r>
      <w:r w:rsidRPr="00B816E7">
        <w:rPr>
          <w:rFonts w:ascii="Franklin Gothic Book" w:hAnsi="Franklin Gothic Book"/>
          <w:sz w:val="22"/>
        </w:rPr>
        <w:t>.</w:t>
      </w:r>
    </w:p>
    <w:p w14:paraId="1F6F97F6" w14:textId="4D7A3E60" w:rsidR="00B816E7" w:rsidRPr="00B816E7" w:rsidRDefault="00B816E7" w:rsidP="00B816E7">
      <w:pPr>
        <w:rPr>
          <w:rFonts w:ascii="Franklin Gothic Book" w:hAnsi="Franklin Gothic Book"/>
          <w:sz w:val="22"/>
        </w:rPr>
      </w:pPr>
      <w:r w:rsidRPr="00B816E7">
        <w:rPr>
          <w:rFonts w:ascii="Franklin Gothic Book" w:hAnsi="Franklin Gothic Book"/>
          <w:sz w:val="22"/>
        </w:rPr>
        <w:t>MSAC noted that</w:t>
      </w:r>
      <w:r w:rsidR="00960296">
        <w:rPr>
          <w:rFonts w:ascii="Franklin Gothic Book" w:hAnsi="Franklin Gothic Book"/>
          <w:sz w:val="22"/>
        </w:rPr>
        <w:t xml:space="preserve"> it has not previously considered</w:t>
      </w:r>
      <w:r w:rsidRPr="00B816E7">
        <w:rPr>
          <w:rFonts w:ascii="Franklin Gothic Book" w:hAnsi="Franklin Gothic Book"/>
          <w:sz w:val="22"/>
        </w:rPr>
        <w:t xml:space="preserve"> </w:t>
      </w:r>
      <w:r w:rsidRPr="00FA16C8">
        <w:rPr>
          <w:rFonts w:ascii="Franklin Gothic Book" w:hAnsi="Franklin Gothic Book"/>
          <w:i/>
          <w:iCs/>
          <w:sz w:val="22"/>
        </w:rPr>
        <w:t>IDH</w:t>
      </w:r>
      <w:r w:rsidR="00FA16C8" w:rsidRPr="00FA16C8">
        <w:rPr>
          <w:rFonts w:ascii="Franklin Gothic Book" w:hAnsi="Franklin Gothic Book"/>
          <w:i/>
          <w:iCs/>
          <w:sz w:val="22"/>
        </w:rPr>
        <w:t>1</w:t>
      </w:r>
      <w:r w:rsidR="00FA16C8">
        <w:rPr>
          <w:rFonts w:ascii="Franklin Gothic Book" w:hAnsi="Franklin Gothic Book"/>
          <w:sz w:val="22"/>
        </w:rPr>
        <w:t xml:space="preserve"> genetic</w:t>
      </w:r>
      <w:r w:rsidRPr="00B816E7">
        <w:rPr>
          <w:rFonts w:ascii="Franklin Gothic Book" w:hAnsi="Franklin Gothic Book"/>
          <w:sz w:val="22"/>
        </w:rPr>
        <w:t xml:space="preserve"> testing for </w:t>
      </w:r>
      <w:r w:rsidR="00013AE7">
        <w:rPr>
          <w:rFonts w:ascii="Franklin Gothic Book" w:hAnsi="Franklin Gothic Book"/>
          <w:sz w:val="22"/>
        </w:rPr>
        <w:t xml:space="preserve">patients with </w:t>
      </w:r>
      <w:r w:rsidRPr="00B816E7">
        <w:rPr>
          <w:rFonts w:ascii="Franklin Gothic Book" w:hAnsi="Franklin Gothic Book"/>
          <w:sz w:val="22"/>
        </w:rPr>
        <w:t xml:space="preserve">CCA, but </w:t>
      </w:r>
      <w:r w:rsidR="00960296">
        <w:rPr>
          <w:rFonts w:ascii="Franklin Gothic Book" w:hAnsi="Franklin Gothic Book"/>
          <w:i/>
          <w:iCs/>
          <w:sz w:val="22"/>
        </w:rPr>
        <w:t xml:space="preserve">IDH1 </w:t>
      </w:r>
      <w:r w:rsidR="00960296">
        <w:rPr>
          <w:rFonts w:ascii="Franklin Gothic Book" w:hAnsi="Franklin Gothic Book"/>
          <w:sz w:val="22"/>
        </w:rPr>
        <w:t xml:space="preserve">genetic testing </w:t>
      </w:r>
      <w:r w:rsidR="00FA16C8">
        <w:rPr>
          <w:rFonts w:ascii="Franklin Gothic Book" w:hAnsi="Franklin Gothic Book"/>
          <w:sz w:val="22"/>
        </w:rPr>
        <w:t>is</w:t>
      </w:r>
      <w:r w:rsidRPr="00B816E7">
        <w:rPr>
          <w:rFonts w:ascii="Franklin Gothic Book" w:hAnsi="Franklin Gothic Book"/>
          <w:sz w:val="22"/>
        </w:rPr>
        <w:t xml:space="preserve"> </w:t>
      </w:r>
      <w:r w:rsidR="00013AE7">
        <w:rPr>
          <w:rFonts w:ascii="Franklin Gothic Book" w:hAnsi="Franklin Gothic Book"/>
          <w:sz w:val="22"/>
        </w:rPr>
        <w:t xml:space="preserve">already </w:t>
      </w:r>
      <w:r w:rsidRPr="00B816E7">
        <w:rPr>
          <w:rFonts w:ascii="Franklin Gothic Book" w:hAnsi="Franklin Gothic Book"/>
          <w:sz w:val="22"/>
        </w:rPr>
        <w:t xml:space="preserve">funded for </w:t>
      </w:r>
      <w:r w:rsidR="00013AE7">
        <w:rPr>
          <w:rFonts w:ascii="Franklin Gothic Book" w:hAnsi="Franklin Gothic Book"/>
          <w:sz w:val="22"/>
        </w:rPr>
        <w:t xml:space="preserve">patients with </w:t>
      </w:r>
      <w:r w:rsidRPr="00B816E7">
        <w:rPr>
          <w:rFonts w:ascii="Franklin Gothic Book" w:hAnsi="Franklin Gothic Book"/>
          <w:sz w:val="22"/>
        </w:rPr>
        <w:t>glioma</w:t>
      </w:r>
      <w:r w:rsidR="00013AE7">
        <w:rPr>
          <w:rFonts w:ascii="Franklin Gothic Book" w:hAnsi="Franklin Gothic Book"/>
          <w:sz w:val="22"/>
        </w:rPr>
        <w:t xml:space="preserve"> or glioblastoma</w:t>
      </w:r>
      <w:r w:rsidR="00C71DFE">
        <w:rPr>
          <w:rFonts w:ascii="Franklin Gothic Book" w:hAnsi="Franklin Gothic Book"/>
          <w:sz w:val="22"/>
        </w:rPr>
        <w:t xml:space="preserve">: they can </w:t>
      </w:r>
      <w:r w:rsidR="00816A48">
        <w:rPr>
          <w:rFonts w:ascii="Franklin Gothic Book" w:hAnsi="Franklin Gothic Book"/>
          <w:sz w:val="22"/>
        </w:rPr>
        <w:t xml:space="preserve">currently </w:t>
      </w:r>
      <w:r w:rsidR="00C71DFE">
        <w:rPr>
          <w:rFonts w:ascii="Franklin Gothic Book" w:hAnsi="Franklin Gothic Book"/>
          <w:sz w:val="22"/>
        </w:rPr>
        <w:t>access</w:t>
      </w:r>
      <w:r w:rsidRPr="00B816E7">
        <w:rPr>
          <w:rFonts w:ascii="Franklin Gothic Book" w:hAnsi="Franklin Gothic Book"/>
          <w:sz w:val="22"/>
        </w:rPr>
        <w:t xml:space="preserve"> </w:t>
      </w:r>
      <w:r w:rsidRPr="00B816E7">
        <w:rPr>
          <w:rFonts w:ascii="Franklin Gothic Book" w:hAnsi="Franklin Gothic Book"/>
          <w:i/>
          <w:iCs/>
          <w:sz w:val="22"/>
        </w:rPr>
        <w:t>IDH1/2</w:t>
      </w:r>
      <w:r w:rsidRPr="00B816E7">
        <w:rPr>
          <w:rFonts w:ascii="Franklin Gothic Book" w:hAnsi="Franklin Gothic Book"/>
          <w:sz w:val="22"/>
        </w:rPr>
        <w:t xml:space="preserve"> testing</w:t>
      </w:r>
      <w:r w:rsidR="004D3DDD">
        <w:rPr>
          <w:rFonts w:ascii="Franklin Gothic Book" w:hAnsi="Franklin Gothic Book"/>
          <w:sz w:val="22"/>
        </w:rPr>
        <w:t xml:space="preserve"> </w:t>
      </w:r>
      <w:r w:rsidR="007B0F8F">
        <w:rPr>
          <w:rFonts w:ascii="Franklin Gothic Book" w:hAnsi="Franklin Gothic Book"/>
          <w:sz w:val="22"/>
        </w:rPr>
        <w:t>under</w:t>
      </w:r>
      <w:r w:rsidR="008A61E4" w:rsidRPr="00B816E7">
        <w:rPr>
          <w:rFonts w:ascii="Franklin Gothic Book" w:hAnsi="Franklin Gothic Book"/>
          <w:sz w:val="22"/>
        </w:rPr>
        <w:t xml:space="preserve"> MBS item 73372</w:t>
      </w:r>
      <w:r w:rsidR="008A61E4">
        <w:rPr>
          <w:rFonts w:ascii="Franklin Gothic Book" w:hAnsi="Franklin Gothic Book"/>
          <w:sz w:val="22"/>
        </w:rPr>
        <w:t>,</w:t>
      </w:r>
      <w:r w:rsidR="008A61E4" w:rsidRPr="00B816E7">
        <w:rPr>
          <w:rFonts w:ascii="Franklin Gothic Book" w:hAnsi="Franklin Gothic Book"/>
          <w:sz w:val="22"/>
        </w:rPr>
        <w:t xml:space="preserve"> </w:t>
      </w:r>
      <w:r w:rsidR="004D3DDD">
        <w:rPr>
          <w:rFonts w:ascii="Franklin Gothic Book" w:hAnsi="Franklin Gothic Book"/>
          <w:sz w:val="22"/>
        </w:rPr>
        <w:t xml:space="preserve">and </w:t>
      </w:r>
      <w:r w:rsidR="008A61E4">
        <w:rPr>
          <w:rFonts w:ascii="Franklin Gothic Book" w:hAnsi="Franklin Gothic Book"/>
          <w:sz w:val="22"/>
        </w:rPr>
        <w:t xml:space="preserve">gene panel testing </w:t>
      </w:r>
      <w:r w:rsidR="007B0F8F">
        <w:rPr>
          <w:rFonts w:ascii="Franklin Gothic Book" w:hAnsi="Franklin Gothic Book"/>
          <w:sz w:val="22"/>
        </w:rPr>
        <w:t xml:space="preserve">under </w:t>
      </w:r>
      <w:r w:rsidR="004D3DDD">
        <w:rPr>
          <w:rFonts w:ascii="Franklin Gothic Book" w:hAnsi="Franklin Gothic Book"/>
          <w:sz w:val="22"/>
        </w:rPr>
        <w:t>MBS item 73429</w:t>
      </w:r>
      <w:r w:rsidR="00097F70" w:rsidRPr="006541B2">
        <w:rPr>
          <w:rFonts w:ascii="Franklin Gothic Book" w:hAnsi="Franklin Gothic Book"/>
          <w:sz w:val="22"/>
        </w:rPr>
        <w:t>.</w:t>
      </w:r>
      <w:r w:rsidR="00097F70">
        <w:rPr>
          <w:rFonts w:ascii="Franklin Gothic Book" w:hAnsi="Franklin Gothic Book"/>
          <w:sz w:val="22"/>
        </w:rPr>
        <w:t xml:space="preserve"> </w:t>
      </w:r>
      <w:r w:rsidR="0013338C">
        <w:rPr>
          <w:rFonts w:ascii="Franklin Gothic Book" w:hAnsi="Franklin Gothic Book"/>
          <w:sz w:val="22"/>
        </w:rPr>
        <w:t xml:space="preserve">Other </w:t>
      </w:r>
      <w:r w:rsidR="00097F70">
        <w:rPr>
          <w:rFonts w:ascii="Franklin Gothic Book" w:hAnsi="Franklin Gothic Book"/>
          <w:sz w:val="22"/>
        </w:rPr>
        <w:t xml:space="preserve">MBS items also provide </w:t>
      </w:r>
      <w:r w:rsidR="00120DA8">
        <w:rPr>
          <w:rFonts w:ascii="Franklin Gothic Book" w:hAnsi="Franklin Gothic Book"/>
          <w:sz w:val="22"/>
        </w:rPr>
        <w:t xml:space="preserve">gene </w:t>
      </w:r>
      <w:r w:rsidRPr="00B816E7">
        <w:rPr>
          <w:rFonts w:ascii="Franklin Gothic Book" w:hAnsi="Franklin Gothic Book"/>
          <w:sz w:val="22"/>
        </w:rPr>
        <w:t>panel</w:t>
      </w:r>
      <w:r w:rsidR="00120DA8">
        <w:rPr>
          <w:rFonts w:ascii="Franklin Gothic Book" w:hAnsi="Franklin Gothic Book"/>
          <w:sz w:val="22"/>
        </w:rPr>
        <w:t xml:space="preserve"> test</w:t>
      </w:r>
      <w:r w:rsidR="00097F70">
        <w:rPr>
          <w:rFonts w:ascii="Franklin Gothic Book" w:hAnsi="Franklin Gothic Book"/>
          <w:sz w:val="22"/>
        </w:rPr>
        <w:t>ing</w:t>
      </w:r>
      <w:r w:rsidRPr="00B816E7">
        <w:rPr>
          <w:rFonts w:ascii="Franklin Gothic Book" w:hAnsi="Franklin Gothic Book"/>
          <w:sz w:val="22"/>
        </w:rPr>
        <w:t xml:space="preserve"> for</w:t>
      </w:r>
      <w:r w:rsidR="00120DA8">
        <w:rPr>
          <w:rFonts w:ascii="Franklin Gothic Book" w:hAnsi="Franklin Gothic Book"/>
          <w:sz w:val="22"/>
        </w:rPr>
        <w:t xml:space="preserve"> the</w:t>
      </w:r>
      <w:r w:rsidRPr="00B816E7">
        <w:rPr>
          <w:rFonts w:ascii="Franklin Gothic Book" w:hAnsi="Franklin Gothic Book"/>
          <w:sz w:val="22"/>
        </w:rPr>
        <w:t xml:space="preserve"> diagnosis and classification of haematological malignancies</w:t>
      </w:r>
      <w:r w:rsidR="00097F70">
        <w:rPr>
          <w:rFonts w:ascii="Franklin Gothic Book" w:hAnsi="Franklin Gothic Book"/>
          <w:sz w:val="22"/>
        </w:rPr>
        <w:t xml:space="preserve">, </w:t>
      </w:r>
      <w:r w:rsidR="00770798">
        <w:rPr>
          <w:rFonts w:ascii="Franklin Gothic Book" w:hAnsi="Franklin Gothic Book"/>
          <w:sz w:val="22"/>
        </w:rPr>
        <w:t xml:space="preserve">which </w:t>
      </w:r>
      <w:r w:rsidR="005D105B">
        <w:rPr>
          <w:rFonts w:ascii="Franklin Gothic Book" w:hAnsi="Franklin Gothic Book"/>
          <w:sz w:val="22"/>
        </w:rPr>
        <w:t>must</w:t>
      </w:r>
      <w:r w:rsidR="00770798">
        <w:rPr>
          <w:rFonts w:ascii="Franklin Gothic Book" w:hAnsi="Franklin Gothic Book"/>
          <w:sz w:val="22"/>
        </w:rPr>
        <w:t xml:space="preserve"> include genes </w:t>
      </w:r>
      <w:r w:rsidR="000C7D66">
        <w:rPr>
          <w:rFonts w:ascii="Franklin Gothic Book" w:hAnsi="Franklin Gothic Book"/>
          <w:sz w:val="22"/>
        </w:rPr>
        <w:t>described in</w:t>
      </w:r>
      <w:r w:rsidR="00770798">
        <w:rPr>
          <w:rFonts w:ascii="Franklin Gothic Book" w:hAnsi="Franklin Gothic Book"/>
          <w:sz w:val="22"/>
        </w:rPr>
        <w:t xml:space="preserve"> clinical guidelines</w:t>
      </w:r>
      <w:r w:rsidR="00E24770">
        <w:rPr>
          <w:rFonts w:ascii="Franklin Gothic Book" w:hAnsi="Franklin Gothic Book"/>
          <w:sz w:val="22"/>
        </w:rPr>
        <w:t>, and these</w:t>
      </w:r>
      <w:r w:rsidR="00770798">
        <w:rPr>
          <w:rFonts w:ascii="Franklin Gothic Book" w:hAnsi="Franklin Gothic Book"/>
          <w:sz w:val="22"/>
        </w:rPr>
        <w:t xml:space="preserve"> currently include </w:t>
      </w:r>
      <w:r w:rsidR="00770798">
        <w:rPr>
          <w:rFonts w:ascii="Franklin Gothic Book" w:hAnsi="Franklin Gothic Book"/>
          <w:i/>
          <w:iCs/>
          <w:sz w:val="22"/>
        </w:rPr>
        <w:t>IDH1</w:t>
      </w:r>
      <w:r w:rsidRPr="00B816E7">
        <w:rPr>
          <w:rFonts w:ascii="Franklin Gothic Book" w:hAnsi="Franklin Gothic Book"/>
          <w:sz w:val="22"/>
        </w:rPr>
        <w:t>.</w:t>
      </w:r>
    </w:p>
    <w:p w14:paraId="172582C6" w14:textId="32D6F446" w:rsidR="00B816E7" w:rsidRPr="00B816E7" w:rsidRDefault="00B816E7" w:rsidP="00B816E7">
      <w:pPr>
        <w:rPr>
          <w:rFonts w:ascii="Franklin Gothic Book" w:hAnsi="Franklin Gothic Book"/>
          <w:sz w:val="22"/>
        </w:rPr>
      </w:pPr>
      <w:r w:rsidRPr="00B816E7">
        <w:rPr>
          <w:rFonts w:ascii="Franklin Gothic Book" w:hAnsi="Franklin Gothic Book"/>
          <w:sz w:val="22"/>
        </w:rPr>
        <w:t>MSAC noted that CCA is rare, comprising about 3% of all gastrointestinal cancers. M</w:t>
      </w:r>
      <w:r w:rsidR="00987BF0">
        <w:rPr>
          <w:rFonts w:ascii="Franklin Gothic Book" w:hAnsi="Franklin Gothic Book"/>
          <w:sz w:val="22"/>
        </w:rPr>
        <w:t>SAC noted the m</w:t>
      </w:r>
      <w:r w:rsidRPr="00B816E7">
        <w:rPr>
          <w:rFonts w:ascii="Franklin Gothic Book" w:hAnsi="Franklin Gothic Book"/>
          <w:sz w:val="22"/>
        </w:rPr>
        <w:t>edian survival</w:t>
      </w:r>
      <w:r w:rsidR="00987BF0">
        <w:rPr>
          <w:rFonts w:ascii="Franklin Gothic Book" w:hAnsi="Franklin Gothic Book"/>
          <w:sz w:val="22"/>
        </w:rPr>
        <w:t xml:space="preserve"> of patient</w:t>
      </w:r>
      <w:r w:rsidR="00C638A5">
        <w:rPr>
          <w:rFonts w:ascii="Franklin Gothic Book" w:hAnsi="Franklin Gothic Book"/>
          <w:sz w:val="22"/>
        </w:rPr>
        <w:t>s</w:t>
      </w:r>
      <w:r w:rsidR="00987BF0">
        <w:rPr>
          <w:rFonts w:ascii="Franklin Gothic Book" w:hAnsi="Franklin Gothic Book"/>
          <w:sz w:val="22"/>
        </w:rPr>
        <w:t xml:space="preserve"> diagnosed with CCA</w:t>
      </w:r>
      <w:r w:rsidR="00C638A5">
        <w:rPr>
          <w:rFonts w:ascii="Franklin Gothic Book" w:hAnsi="Franklin Gothic Book"/>
          <w:sz w:val="22"/>
        </w:rPr>
        <w:t xml:space="preserve"> </w:t>
      </w:r>
      <w:r w:rsidR="00CF6B4D">
        <w:rPr>
          <w:rFonts w:ascii="Franklin Gothic Book" w:hAnsi="Franklin Gothic Book"/>
          <w:sz w:val="22"/>
        </w:rPr>
        <w:t xml:space="preserve">or </w:t>
      </w:r>
      <w:r w:rsidR="00C638A5">
        <w:rPr>
          <w:rFonts w:ascii="Franklin Gothic Book" w:hAnsi="Franklin Gothic Book"/>
          <w:sz w:val="22"/>
        </w:rPr>
        <w:t>advanced CCA</w:t>
      </w:r>
      <w:r w:rsidR="00987BF0">
        <w:rPr>
          <w:rFonts w:ascii="Franklin Gothic Book" w:hAnsi="Franklin Gothic Book"/>
          <w:sz w:val="22"/>
        </w:rPr>
        <w:t xml:space="preserve">, and considered </w:t>
      </w:r>
      <w:r w:rsidR="00C638A5">
        <w:rPr>
          <w:rFonts w:ascii="Franklin Gothic Book" w:hAnsi="Franklin Gothic Book"/>
          <w:sz w:val="22"/>
        </w:rPr>
        <w:t xml:space="preserve">that </w:t>
      </w:r>
      <w:r w:rsidR="00935F9B">
        <w:rPr>
          <w:rFonts w:ascii="Franklin Gothic Book" w:hAnsi="Franklin Gothic Book"/>
          <w:sz w:val="22"/>
        </w:rPr>
        <w:t xml:space="preserve">patients </w:t>
      </w:r>
      <w:r w:rsidR="00C638A5">
        <w:rPr>
          <w:rFonts w:ascii="Franklin Gothic Book" w:hAnsi="Franklin Gothic Book"/>
          <w:sz w:val="22"/>
        </w:rPr>
        <w:t xml:space="preserve">with </w:t>
      </w:r>
      <w:r w:rsidR="00CF6B4D">
        <w:rPr>
          <w:rFonts w:ascii="Franklin Gothic Book" w:hAnsi="Franklin Gothic Book"/>
          <w:sz w:val="22"/>
        </w:rPr>
        <w:t xml:space="preserve">CCA </w:t>
      </w:r>
      <w:r w:rsidR="00935F9B">
        <w:rPr>
          <w:rFonts w:ascii="Franklin Gothic Book" w:hAnsi="Franklin Gothic Book"/>
          <w:sz w:val="22"/>
        </w:rPr>
        <w:t xml:space="preserve">typically have a poor </w:t>
      </w:r>
      <w:r w:rsidR="00935F9B" w:rsidRPr="0031765D">
        <w:rPr>
          <w:rFonts w:ascii="Franklin Gothic Book" w:hAnsi="Franklin Gothic Book"/>
          <w:sz w:val="22"/>
        </w:rPr>
        <w:t>prognosis</w:t>
      </w:r>
      <w:r w:rsidRPr="0031765D">
        <w:rPr>
          <w:rFonts w:ascii="Franklin Gothic Book" w:hAnsi="Franklin Gothic Book"/>
          <w:sz w:val="22"/>
        </w:rPr>
        <w:t>. MSAC ack</w:t>
      </w:r>
      <w:r w:rsidRPr="00B816E7">
        <w:rPr>
          <w:rFonts w:ascii="Franklin Gothic Book" w:hAnsi="Franklin Gothic Book"/>
          <w:sz w:val="22"/>
        </w:rPr>
        <w:t xml:space="preserve">nowledged the significant unmet clinical need </w:t>
      </w:r>
      <w:r w:rsidR="009F6309">
        <w:rPr>
          <w:rFonts w:ascii="Franklin Gothic Book" w:hAnsi="Franklin Gothic Book"/>
          <w:sz w:val="22"/>
        </w:rPr>
        <w:t>for treatments for</w:t>
      </w:r>
      <w:r w:rsidR="009F6309" w:rsidRPr="00B816E7">
        <w:rPr>
          <w:rFonts w:ascii="Franklin Gothic Book" w:hAnsi="Franklin Gothic Book"/>
          <w:sz w:val="22"/>
        </w:rPr>
        <w:t xml:space="preserve"> </w:t>
      </w:r>
      <w:r w:rsidR="005E0E1A">
        <w:rPr>
          <w:rFonts w:ascii="Franklin Gothic Book" w:hAnsi="Franklin Gothic Book"/>
          <w:sz w:val="22"/>
        </w:rPr>
        <w:t xml:space="preserve">patients with </w:t>
      </w:r>
      <w:r w:rsidR="00CF6B4D">
        <w:rPr>
          <w:rFonts w:ascii="Franklin Gothic Book" w:hAnsi="Franklin Gothic Book"/>
          <w:sz w:val="22"/>
        </w:rPr>
        <w:t>this rare cancer</w:t>
      </w:r>
      <w:r w:rsidR="00923DF6">
        <w:rPr>
          <w:rFonts w:ascii="Franklin Gothic Book" w:hAnsi="Franklin Gothic Book"/>
          <w:sz w:val="22"/>
        </w:rPr>
        <w:t>.</w:t>
      </w:r>
    </w:p>
    <w:p w14:paraId="1516A792" w14:textId="4D55007D" w:rsidR="00B816E7" w:rsidRPr="00B816E7" w:rsidRDefault="00B816E7" w:rsidP="00B816E7">
      <w:pPr>
        <w:rPr>
          <w:rFonts w:ascii="Franklin Gothic Book" w:hAnsi="Franklin Gothic Book"/>
          <w:sz w:val="22"/>
        </w:rPr>
      </w:pPr>
      <w:r w:rsidRPr="00B816E7">
        <w:rPr>
          <w:rFonts w:ascii="Franklin Gothic Book" w:hAnsi="Franklin Gothic Book"/>
          <w:sz w:val="22"/>
        </w:rPr>
        <w:t xml:space="preserve">MSAC noted that all consultation feedback received – including from </w:t>
      </w:r>
      <w:proofErr w:type="spellStart"/>
      <w:r w:rsidRPr="00B816E7">
        <w:rPr>
          <w:rFonts w:ascii="Franklin Gothic Book" w:hAnsi="Franklin Gothic Book"/>
          <w:sz w:val="22"/>
        </w:rPr>
        <w:t>Pancare</w:t>
      </w:r>
      <w:proofErr w:type="spellEnd"/>
      <w:r w:rsidRPr="00B816E7">
        <w:rPr>
          <w:rFonts w:ascii="Franklin Gothic Book" w:hAnsi="Franklin Gothic Book"/>
          <w:sz w:val="22"/>
        </w:rPr>
        <w:t xml:space="preserve">, the Liver Foundation, the Medical Oncology Group of Australia and the Cholangiocarcinoma Foundation – was supportive of the </w:t>
      </w:r>
      <w:r w:rsidR="00115801">
        <w:rPr>
          <w:rFonts w:ascii="Franklin Gothic Book" w:hAnsi="Franklin Gothic Book"/>
          <w:sz w:val="22"/>
        </w:rPr>
        <w:t>application</w:t>
      </w:r>
      <w:r w:rsidRPr="00883B8F">
        <w:rPr>
          <w:rFonts w:ascii="Franklin Gothic Book" w:hAnsi="Franklin Gothic Book"/>
          <w:sz w:val="22"/>
        </w:rPr>
        <w:t>.</w:t>
      </w:r>
    </w:p>
    <w:p w14:paraId="2786B0F5" w14:textId="5803C9FE" w:rsidR="00B816E7" w:rsidRPr="00B816E7" w:rsidRDefault="00B816E7" w:rsidP="00B816E7">
      <w:pPr>
        <w:rPr>
          <w:rFonts w:ascii="Franklin Gothic Book" w:hAnsi="Franklin Gothic Book"/>
          <w:sz w:val="22"/>
        </w:rPr>
      </w:pPr>
      <w:r w:rsidRPr="00B816E7">
        <w:rPr>
          <w:rFonts w:ascii="Franklin Gothic Book" w:hAnsi="Franklin Gothic Book"/>
          <w:sz w:val="22"/>
        </w:rPr>
        <w:t xml:space="preserve">MSAC noted the </w:t>
      </w:r>
      <w:r w:rsidR="008958B3">
        <w:rPr>
          <w:rFonts w:ascii="Franklin Gothic Book" w:hAnsi="Franklin Gothic Book"/>
          <w:sz w:val="22"/>
        </w:rPr>
        <w:t>population, intervention, comparator and outcome (</w:t>
      </w:r>
      <w:r w:rsidRPr="00B816E7">
        <w:rPr>
          <w:rFonts w:ascii="Franklin Gothic Book" w:hAnsi="Franklin Gothic Book"/>
          <w:sz w:val="22"/>
        </w:rPr>
        <w:t>PICO</w:t>
      </w:r>
      <w:r w:rsidR="008958B3">
        <w:rPr>
          <w:rFonts w:ascii="Franklin Gothic Book" w:hAnsi="Franklin Gothic Book"/>
          <w:sz w:val="22"/>
        </w:rPr>
        <w:t>)</w:t>
      </w:r>
      <w:r w:rsidR="003279BC">
        <w:rPr>
          <w:rFonts w:ascii="Franklin Gothic Book" w:hAnsi="Franklin Gothic Book"/>
          <w:sz w:val="22"/>
        </w:rPr>
        <w:t xml:space="preserve"> that had been ratified by the PICO Advisory Subcommittee</w:t>
      </w:r>
      <w:r w:rsidR="008958B3">
        <w:rPr>
          <w:rFonts w:ascii="Franklin Gothic Book" w:hAnsi="Franklin Gothic Book"/>
          <w:sz w:val="22"/>
        </w:rPr>
        <w:t>,</w:t>
      </w:r>
      <w:r w:rsidRPr="00B816E7">
        <w:rPr>
          <w:rFonts w:ascii="Franklin Gothic Book" w:hAnsi="Franklin Gothic Book"/>
          <w:sz w:val="22"/>
        </w:rPr>
        <w:t xml:space="preserve"> and considered it </w:t>
      </w:r>
      <w:r w:rsidR="00743999">
        <w:rPr>
          <w:rFonts w:ascii="Franklin Gothic Book" w:hAnsi="Franklin Gothic Book"/>
          <w:sz w:val="22"/>
        </w:rPr>
        <w:t xml:space="preserve">was </w:t>
      </w:r>
      <w:r w:rsidRPr="00B816E7">
        <w:rPr>
          <w:rFonts w:ascii="Franklin Gothic Book" w:hAnsi="Franklin Gothic Book"/>
          <w:sz w:val="22"/>
        </w:rPr>
        <w:t>appropriate.</w:t>
      </w:r>
    </w:p>
    <w:p w14:paraId="2080B634" w14:textId="0E79E331" w:rsidR="00225C0A" w:rsidRPr="00B816E7" w:rsidRDefault="00225C0A" w:rsidP="00225C0A">
      <w:pPr>
        <w:rPr>
          <w:rFonts w:ascii="Franklin Gothic Book" w:hAnsi="Franklin Gothic Book"/>
          <w:sz w:val="22"/>
        </w:rPr>
      </w:pPr>
      <w:r w:rsidRPr="00B816E7">
        <w:rPr>
          <w:rFonts w:ascii="Franklin Gothic Book" w:hAnsi="Franklin Gothic Book"/>
          <w:sz w:val="22"/>
        </w:rPr>
        <w:t xml:space="preserve">MSAC noted the claim of codependence was not explicitly justified in the </w:t>
      </w:r>
      <w:r w:rsidR="00332034" w:rsidRPr="00B816E7">
        <w:rPr>
          <w:rFonts w:ascii="Franklin Gothic Book" w:hAnsi="Franklin Gothic Book"/>
          <w:sz w:val="22"/>
        </w:rPr>
        <w:t>applicant-developed assessment report (ADAR)</w:t>
      </w:r>
      <w:r w:rsidRPr="00B816E7">
        <w:rPr>
          <w:rFonts w:ascii="Franklin Gothic Book" w:hAnsi="Franklin Gothic Book"/>
          <w:sz w:val="22"/>
        </w:rPr>
        <w:t xml:space="preserve">, but </w:t>
      </w:r>
      <w:r w:rsidR="003279BC">
        <w:rPr>
          <w:rFonts w:ascii="Franklin Gothic Book" w:hAnsi="Franklin Gothic Book"/>
          <w:sz w:val="22"/>
        </w:rPr>
        <w:t xml:space="preserve">acknowledged </w:t>
      </w:r>
      <w:r w:rsidRPr="00B816E7">
        <w:rPr>
          <w:rFonts w:ascii="Franklin Gothic Book" w:hAnsi="Franklin Gothic Book"/>
          <w:sz w:val="22"/>
        </w:rPr>
        <w:t xml:space="preserve">there </w:t>
      </w:r>
      <w:r w:rsidR="003279BC">
        <w:rPr>
          <w:rFonts w:ascii="Franklin Gothic Book" w:hAnsi="Franklin Gothic Book"/>
          <w:sz w:val="22"/>
        </w:rPr>
        <w:t>is</w:t>
      </w:r>
      <w:r w:rsidR="003279BC" w:rsidRPr="00B816E7">
        <w:rPr>
          <w:rFonts w:ascii="Franklin Gothic Book" w:hAnsi="Franklin Gothic Book"/>
          <w:sz w:val="22"/>
        </w:rPr>
        <w:t xml:space="preserve"> </w:t>
      </w:r>
      <w:r w:rsidRPr="00B816E7">
        <w:rPr>
          <w:rFonts w:ascii="Franklin Gothic Book" w:hAnsi="Franklin Gothic Book"/>
          <w:sz w:val="22"/>
        </w:rPr>
        <w:t xml:space="preserve">a biological rationale for the way in which </w:t>
      </w:r>
      <w:r w:rsidRPr="00B816E7">
        <w:rPr>
          <w:rFonts w:ascii="Franklin Gothic Book" w:hAnsi="Franklin Gothic Book"/>
          <w:i/>
          <w:iCs/>
          <w:sz w:val="22"/>
        </w:rPr>
        <w:t xml:space="preserve">IDH1 </w:t>
      </w:r>
      <w:r w:rsidRPr="00B816E7">
        <w:rPr>
          <w:rFonts w:ascii="Franklin Gothic Book" w:hAnsi="Franklin Gothic Book"/>
          <w:sz w:val="22"/>
        </w:rPr>
        <w:t xml:space="preserve">p.R132 </w:t>
      </w:r>
      <w:r w:rsidR="00743999">
        <w:rPr>
          <w:rFonts w:ascii="Franklin Gothic Book" w:hAnsi="Franklin Gothic Book"/>
          <w:sz w:val="22"/>
        </w:rPr>
        <w:t xml:space="preserve">gain of function </w:t>
      </w:r>
      <w:r w:rsidRPr="00B816E7">
        <w:rPr>
          <w:rFonts w:ascii="Franklin Gothic Book" w:hAnsi="Franklin Gothic Book"/>
          <w:sz w:val="22"/>
        </w:rPr>
        <w:t xml:space="preserve">variants alter the behaviour of the </w:t>
      </w:r>
      <w:r w:rsidRPr="00B816E7">
        <w:rPr>
          <w:rFonts w:ascii="Franklin Gothic Book" w:hAnsi="Franklin Gothic Book"/>
          <w:i/>
          <w:iCs/>
          <w:sz w:val="22"/>
        </w:rPr>
        <w:t>IDH1</w:t>
      </w:r>
      <w:r w:rsidRPr="00B816E7">
        <w:rPr>
          <w:rFonts w:ascii="Franklin Gothic Book" w:hAnsi="Franklin Gothic Book"/>
          <w:sz w:val="22"/>
        </w:rPr>
        <w:t xml:space="preserve"> gene, resulting in overexpression of </w:t>
      </w:r>
      <w:r w:rsidR="00743999">
        <w:rPr>
          <w:rFonts w:ascii="Franklin Gothic Book" w:hAnsi="Franklin Gothic Book"/>
          <w:sz w:val="22"/>
        </w:rPr>
        <w:t xml:space="preserve">the </w:t>
      </w:r>
      <w:r w:rsidRPr="00B816E7">
        <w:rPr>
          <w:rFonts w:ascii="Franklin Gothic Book" w:hAnsi="Franklin Gothic Book"/>
          <w:sz w:val="22"/>
        </w:rPr>
        <w:t xml:space="preserve">IDH1 enzyme that causes excessive accumulation of the oncometabolite 2-hydroxyglutarate (2-HG). Ivosidenib has been shown to bind to the altered IDH1 enzyme, thus reducing 2-HG levels and consequent oncogenesis. MSAC considered this </w:t>
      </w:r>
      <w:r w:rsidR="003279BC">
        <w:rPr>
          <w:rFonts w:ascii="Franklin Gothic Book" w:hAnsi="Franklin Gothic Book"/>
          <w:sz w:val="22"/>
        </w:rPr>
        <w:t xml:space="preserve">implied </w:t>
      </w:r>
      <w:r w:rsidRPr="00B816E7">
        <w:rPr>
          <w:rFonts w:ascii="Franklin Gothic Book" w:hAnsi="Franklin Gothic Book"/>
          <w:sz w:val="22"/>
        </w:rPr>
        <w:t>rationale to be reasonable</w:t>
      </w:r>
      <w:r w:rsidR="00F82446">
        <w:rPr>
          <w:rFonts w:ascii="Franklin Gothic Book" w:hAnsi="Franklin Gothic Book"/>
          <w:sz w:val="22"/>
        </w:rPr>
        <w:t xml:space="preserve"> and accepted the </w:t>
      </w:r>
      <w:r w:rsidR="000A523D">
        <w:rPr>
          <w:rFonts w:ascii="Franklin Gothic Book" w:hAnsi="Franklin Gothic Book"/>
          <w:sz w:val="22"/>
        </w:rPr>
        <w:t xml:space="preserve">claim of </w:t>
      </w:r>
      <w:r w:rsidR="00F82446">
        <w:rPr>
          <w:rFonts w:ascii="Franklin Gothic Book" w:hAnsi="Franklin Gothic Book"/>
          <w:sz w:val="22"/>
        </w:rPr>
        <w:t>codependenc</w:t>
      </w:r>
      <w:r w:rsidR="000A523D">
        <w:rPr>
          <w:rFonts w:ascii="Franklin Gothic Book" w:hAnsi="Franklin Gothic Book"/>
          <w:sz w:val="22"/>
        </w:rPr>
        <w:t>e</w:t>
      </w:r>
      <w:r w:rsidRPr="00B816E7">
        <w:rPr>
          <w:rFonts w:ascii="Franklin Gothic Book" w:hAnsi="Franklin Gothic Book"/>
          <w:sz w:val="22"/>
        </w:rPr>
        <w:t>.</w:t>
      </w:r>
    </w:p>
    <w:p w14:paraId="241559D3" w14:textId="01C27474" w:rsidR="00E3424C" w:rsidRDefault="00B816E7" w:rsidP="00B816E7">
      <w:pPr>
        <w:rPr>
          <w:rFonts w:ascii="Franklin Gothic Book" w:hAnsi="Franklin Gothic Book"/>
          <w:sz w:val="22"/>
        </w:rPr>
      </w:pPr>
      <w:r w:rsidRPr="00B816E7">
        <w:rPr>
          <w:rFonts w:ascii="Franklin Gothic Book" w:hAnsi="Franklin Gothic Book"/>
          <w:sz w:val="22"/>
        </w:rPr>
        <w:t xml:space="preserve">MSAC noted that the clinical evidence was </w:t>
      </w:r>
      <w:r w:rsidR="001C247D">
        <w:rPr>
          <w:rFonts w:ascii="Franklin Gothic Book" w:hAnsi="Franklin Gothic Book"/>
          <w:sz w:val="22"/>
        </w:rPr>
        <w:t xml:space="preserve">primarily </w:t>
      </w:r>
      <w:r w:rsidRPr="00B816E7">
        <w:rPr>
          <w:rFonts w:ascii="Franklin Gothic Book" w:hAnsi="Franklin Gothic Book"/>
          <w:sz w:val="22"/>
        </w:rPr>
        <w:t xml:space="preserve">from the </w:t>
      </w:r>
      <w:proofErr w:type="spellStart"/>
      <w:r w:rsidRPr="00B816E7">
        <w:rPr>
          <w:rFonts w:ascii="Franklin Gothic Book" w:hAnsi="Franklin Gothic Book"/>
          <w:sz w:val="22"/>
        </w:rPr>
        <w:t>ClarIDHy</w:t>
      </w:r>
      <w:proofErr w:type="spellEnd"/>
      <w:r w:rsidRPr="00B816E7">
        <w:rPr>
          <w:rFonts w:ascii="Franklin Gothic Book" w:hAnsi="Franklin Gothic Book"/>
          <w:sz w:val="22"/>
        </w:rPr>
        <w:t xml:space="preserve"> trial, a multicentre, randomised, double-blinded, placebo-controlled phase 3 study.</w:t>
      </w:r>
    </w:p>
    <w:p w14:paraId="15DE8316" w14:textId="750D97C7" w:rsidR="00E3424C" w:rsidRDefault="00E3424C" w:rsidP="00B816E7">
      <w:pPr>
        <w:rPr>
          <w:rFonts w:ascii="Franklin Gothic Book" w:hAnsi="Franklin Gothic Book"/>
          <w:sz w:val="22"/>
        </w:rPr>
      </w:pPr>
      <w:r w:rsidRPr="00B816E7">
        <w:rPr>
          <w:rFonts w:ascii="Franklin Gothic Book" w:hAnsi="Franklin Gothic Book"/>
          <w:sz w:val="22"/>
        </w:rPr>
        <w:t xml:space="preserve">MSAC noted that no test-related adverse events were </w:t>
      </w:r>
      <w:r w:rsidR="00B669E8">
        <w:rPr>
          <w:rFonts w:ascii="Franklin Gothic Book" w:hAnsi="Franklin Gothic Book"/>
          <w:sz w:val="22"/>
        </w:rPr>
        <w:t>reported</w:t>
      </w:r>
      <w:r w:rsidRPr="00B816E7">
        <w:rPr>
          <w:rFonts w:ascii="Franklin Gothic Book" w:hAnsi="Franklin Gothic Book"/>
          <w:sz w:val="22"/>
        </w:rPr>
        <w:t xml:space="preserve"> in the ADAR, but </w:t>
      </w:r>
      <w:r w:rsidR="00B669E8">
        <w:rPr>
          <w:rFonts w:ascii="Franklin Gothic Book" w:hAnsi="Franklin Gothic Book"/>
          <w:sz w:val="22"/>
        </w:rPr>
        <w:t>because</w:t>
      </w:r>
      <w:r w:rsidRPr="00B816E7">
        <w:rPr>
          <w:rFonts w:ascii="Franklin Gothic Book" w:hAnsi="Franklin Gothic Book"/>
          <w:sz w:val="22"/>
        </w:rPr>
        <w:t xml:space="preserve"> testing for </w:t>
      </w:r>
      <w:r w:rsidRPr="00B816E7">
        <w:rPr>
          <w:rFonts w:ascii="Franklin Gothic Book" w:hAnsi="Franklin Gothic Book"/>
          <w:i/>
          <w:iCs/>
          <w:sz w:val="22"/>
        </w:rPr>
        <w:t>IDH1</w:t>
      </w:r>
      <w:r w:rsidRPr="00B816E7">
        <w:rPr>
          <w:rFonts w:ascii="Franklin Gothic Book" w:hAnsi="Franklin Gothic Book"/>
          <w:sz w:val="22"/>
        </w:rPr>
        <w:t xml:space="preserve"> variants </w:t>
      </w:r>
      <w:r w:rsidR="00571769">
        <w:rPr>
          <w:rFonts w:ascii="Franklin Gothic Book" w:hAnsi="Franklin Gothic Book"/>
          <w:sz w:val="22"/>
        </w:rPr>
        <w:t>would be</w:t>
      </w:r>
      <w:r w:rsidRPr="00B816E7">
        <w:rPr>
          <w:rFonts w:ascii="Franklin Gothic Book" w:hAnsi="Franklin Gothic Book"/>
          <w:sz w:val="22"/>
        </w:rPr>
        <w:t xml:space="preserve"> performed on the same tumour tissue used to histologically diagnose CCA, MSAC considered there to be no </w:t>
      </w:r>
      <w:r w:rsidR="003279BC">
        <w:rPr>
          <w:rFonts w:ascii="Franklin Gothic Book" w:hAnsi="Franklin Gothic Book"/>
          <w:sz w:val="22"/>
        </w:rPr>
        <w:t>additional</w:t>
      </w:r>
      <w:r w:rsidR="003279BC" w:rsidRPr="00B816E7">
        <w:rPr>
          <w:rFonts w:ascii="Franklin Gothic Book" w:hAnsi="Franklin Gothic Book"/>
          <w:sz w:val="22"/>
        </w:rPr>
        <w:t xml:space="preserve"> </w:t>
      </w:r>
      <w:r w:rsidRPr="00B816E7">
        <w:rPr>
          <w:rFonts w:ascii="Franklin Gothic Book" w:hAnsi="Franklin Gothic Book"/>
          <w:sz w:val="22"/>
        </w:rPr>
        <w:t xml:space="preserve">adverse events expected from </w:t>
      </w:r>
      <w:r w:rsidR="00B669E8">
        <w:rPr>
          <w:rFonts w:ascii="Franklin Gothic Book" w:hAnsi="Franklin Gothic Book"/>
          <w:sz w:val="22"/>
        </w:rPr>
        <w:t xml:space="preserve">this </w:t>
      </w:r>
      <w:r w:rsidRPr="00B816E7">
        <w:rPr>
          <w:rFonts w:ascii="Franklin Gothic Book" w:hAnsi="Franklin Gothic Book"/>
          <w:sz w:val="22"/>
        </w:rPr>
        <w:t xml:space="preserve">testing. MSAC noted that testing at the point of diagnosis should allow efficient use of tumour tissue. MSAC considered that the likelihood of requiring a re-biopsy for genetic testing </w:t>
      </w:r>
      <w:r w:rsidR="00571769">
        <w:rPr>
          <w:rFonts w:ascii="Franklin Gothic Book" w:hAnsi="Franklin Gothic Book"/>
          <w:sz w:val="22"/>
        </w:rPr>
        <w:t>wa</w:t>
      </w:r>
      <w:r w:rsidRPr="00B816E7">
        <w:rPr>
          <w:rFonts w:ascii="Franklin Gothic Book" w:hAnsi="Franklin Gothic Book"/>
          <w:sz w:val="22"/>
        </w:rPr>
        <w:t>s negligible</w:t>
      </w:r>
      <w:r w:rsidR="00571769">
        <w:rPr>
          <w:rFonts w:ascii="Franklin Gothic Book" w:hAnsi="Franklin Gothic Book"/>
          <w:sz w:val="22"/>
        </w:rPr>
        <w:t>. Overall, MSAC</w:t>
      </w:r>
      <w:r w:rsidRPr="00B816E7">
        <w:rPr>
          <w:rFonts w:ascii="Franklin Gothic Book" w:hAnsi="Franklin Gothic Book"/>
          <w:sz w:val="22"/>
        </w:rPr>
        <w:t xml:space="preserve"> </w:t>
      </w:r>
      <w:r w:rsidR="00571769">
        <w:rPr>
          <w:rFonts w:ascii="Franklin Gothic Book" w:hAnsi="Franklin Gothic Book"/>
          <w:sz w:val="22"/>
        </w:rPr>
        <w:t>advised this testing was comparatively safe</w:t>
      </w:r>
      <w:r w:rsidRPr="00B816E7">
        <w:rPr>
          <w:rFonts w:ascii="Franklin Gothic Book" w:hAnsi="Franklin Gothic Book"/>
          <w:sz w:val="22"/>
        </w:rPr>
        <w:t>.</w:t>
      </w:r>
    </w:p>
    <w:p w14:paraId="753F656B" w14:textId="355053E7" w:rsidR="00B816E7" w:rsidRPr="000F1AF1" w:rsidRDefault="00E3424C" w:rsidP="00B816E7">
      <w:pPr>
        <w:rPr>
          <w:rFonts w:ascii="Franklin Gothic Book" w:hAnsi="Franklin Gothic Book"/>
          <w:sz w:val="22"/>
        </w:rPr>
      </w:pPr>
      <w:r>
        <w:rPr>
          <w:rFonts w:ascii="Franklin Gothic Book" w:hAnsi="Franklin Gothic Book"/>
          <w:sz w:val="22"/>
        </w:rPr>
        <w:t xml:space="preserve">MSAC noted </w:t>
      </w:r>
      <w:r w:rsidR="00B816E7" w:rsidRPr="00B816E7">
        <w:rPr>
          <w:rFonts w:ascii="Franklin Gothic Book" w:hAnsi="Franklin Gothic Book"/>
          <w:sz w:val="22"/>
        </w:rPr>
        <w:t>Kaplan-Meier plots of overall survival (OS) in the intention-to-treat population showed a benefit for people treated with ivosidenib (median OS = 10.3 months [7.8–12.4 95% </w:t>
      </w:r>
      <w:r w:rsidR="003A7618">
        <w:rPr>
          <w:rFonts w:ascii="Franklin Gothic Book" w:hAnsi="Franklin Gothic Book"/>
          <w:sz w:val="22"/>
        </w:rPr>
        <w:t>confidence interval</w:t>
      </w:r>
      <w:r w:rsidR="00164787">
        <w:rPr>
          <w:rFonts w:ascii="Franklin Gothic Book" w:hAnsi="Franklin Gothic Book"/>
          <w:sz w:val="22"/>
        </w:rPr>
        <w:t xml:space="preserve"> (</w:t>
      </w:r>
      <w:r w:rsidR="00B816E7" w:rsidRPr="00B816E7">
        <w:rPr>
          <w:rFonts w:ascii="Franklin Gothic Book" w:hAnsi="Franklin Gothic Book"/>
          <w:sz w:val="22"/>
        </w:rPr>
        <w:t>CI</w:t>
      </w:r>
      <w:r w:rsidR="00164787">
        <w:rPr>
          <w:rFonts w:ascii="Franklin Gothic Book" w:hAnsi="Franklin Gothic Book"/>
          <w:sz w:val="22"/>
        </w:rPr>
        <w:t>)</w:t>
      </w:r>
      <w:r w:rsidR="00B816E7" w:rsidRPr="00B816E7">
        <w:rPr>
          <w:rFonts w:ascii="Franklin Gothic Book" w:hAnsi="Franklin Gothic Book"/>
          <w:sz w:val="22"/>
        </w:rPr>
        <w:t>]) compared to placebo (median OS = 7.5 months [4.8–11.1 95% CI]). Median OS for placebo adjusted for rank-preserving structural failure time (RPSFT) was even lower at 5.1 months (3.8–7.6 95% CI).</w:t>
      </w:r>
      <w:r w:rsidR="00440E08">
        <w:rPr>
          <w:rFonts w:ascii="Franklin Gothic Book" w:hAnsi="Franklin Gothic Book"/>
          <w:sz w:val="22"/>
        </w:rPr>
        <w:t xml:space="preserve"> MSAC considered the evidence demonstrated that treating patients who have an </w:t>
      </w:r>
      <w:r w:rsidR="00440E08">
        <w:rPr>
          <w:rFonts w:ascii="Franklin Gothic Book" w:hAnsi="Franklin Gothic Book"/>
          <w:i/>
          <w:iCs/>
          <w:sz w:val="22"/>
        </w:rPr>
        <w:t>IDH1</w:t>
      </w:r>
      <w:r w:rsidR="00440E08">
        <w:rPr>
          <w:rFonts w:ascii="Franklin Gothic Book" w:hAnsi="Franklin Gothic Book"/>
          <w:sz w:val="22"/>
        </w:rPr>
        <w:t xml:space="preserve"> variant with ivosidenib resulted in a modest improvement to </w:t>
      </w:r>
      <w:r w:rsidR="00DF3121">
        <w:rPr>
          <w:rFonts w:ascii="Franklin Gothic Book" w:hAnsi="Franklin Gothic Book"/>
          <w:sz w:val="22"/>
        </w:rPr>
        <w:t xml:space="preserve">survival, and so </w:t>
      </w:r>
      <w:r w:rsidR="006479B5">
        <w:rPr>
          <w:rFonts w:ascii="Franklin Gothic Book" w:hAnsi="Franklin Gothic Book"/>
          <w:sz w:val="22"/>
        </w:rPr>
        <w:t xml:space="preserve">advised </w:t>
      </w:r>
      <w:r w:rsidR="00DF3121">
        <w:rPr>
          <w:rFonts w:ascii="Franklin Gothic Book" w:hAnsi="Franklin Gothic Book"/>
          <w:sz w:val="22"/>
        </w:rPr>
        <w:t xml:space="preserve">the testing would be </w:t>
      </w:r>
      <w:r w:rsidR="00DF3121" w:rsidRPr="000F1AF1">
        <w:rPr>
          <w:rFonts w:ascii="Franklin Gothic Book" w:hAnsi="Franklin Gothic Book"/>
          <w:sz w:val="22"/>
        </w:rPr>
        <w:t>comparatively effective if it provided access to ivosidenib.</w:t>
      </w:r>
    </w:p>
    <w:p w14:paraId="38FE04AE" w14:textId="2584AA5A" w:rsidR="00225C0A" w:rsidRPr="0069227F" w:rsidRDefault="00DF3121" w:rsidP="00225C0A">
      <w:pPr>
        <w:rPr>
          <w:rFonts w:ascii="Franklin Gothic Book" w:hAnsi="Franklin Gothic Book"/>
          <w:sz w:val="22"/>
        </w:rPr>
      </w:pPr>
      <w:r w:rsidRPr="000F1AF1">
        <w:rPr>
          <w:rFonts w:ascii="Franklin Gothic Book" w:hAnsi="Franklin Gothic Book"/>
          <w:sz w:val="22"/>
        </w:rPr>
        <w:t xml:space="preserve">However, </w:t>
      </w:r>
      <w:r w:rsidR="00225C0A" w:rsidRPr="000F1AF1">
        <w:rPr>
          <w:rFonts w:ascii="Franklin Gothic Book" w:hAnsi="Franklin Gothic Book"/>
          <w:sz w:val="22"/>
        </w:rPr>
        <w:t xml:space="preserve">MSAC noted the PBAC </w:t>
      </w:r>
      <w:r w:rsidRPr="000F1AF1">
        <w:rPr>
          <w:rFonts w:ascii="Franklin Gothic Book" w:hAnsi="Franklin Gothic Book"/>
          <w:sz w:val="22"/>
        </w:rPr>
        <w:t>had</w:t>
      </w:r>
      <w:r w:rsidR="00225C0A" w:rsidRPr="000F1AF1">
        <w:rPr>
          <w:rFonts w:ascii="Franklin Gothic Book" w:hAnsi="Franklin Gothic Book"/>
          <w:sz w:val="22"/>
        </w:rPr>
        <w:t xml:space="preserve"> not recommended PBS </w:t>
      </w:r>
      <w:r w:rsidRPr="000F1AF1">
        <w:rPr>
          <w:rFonts w:ascii="Franklin Gothic Book" w:hAnsi="Franklin Gothic Book"/>
          <w:sz w:val="22"/>
        </w:rPr>
        <w:t>listing of</w:t>
      </w:r>
      <w:r w:rsidR="00225C0A" w:rsidRPr="000F1AF1">
        <w:rPr>
          <w:rFonts w:ascii="Franklin Gothic Book" w:hAnsi="Franklin Gothic Book"/>
          <w:sz w:val="22"/>
        </w:rPr>
        <w:t xml:space="preserve"> ivosidenib at its July 2024 meeting</w:t>
      </w:r>
      <w:r w:rsidRPr="000F1AF1">
        <w:rPr>
          <w:rFonts w:ascii="Franklin Gothic Book" w:hAnsi="Franklin Gothic Book"/>
          <w:sz w:val="22"/>
        </w:rPr>
        <w:t xml:space="preserve">, due to </w:t>
      </w:r>
      <w:r w:rsidR="00225C0A" w:rsidRPr="000F1AF1">
        <w:rPr>
          <w:rFonts w:ascii="Franklin Gothic Book" w:hAnsi="Franklin Gothic Book"/>
          <w:sz w:val="22"/>
        </w:rPr>
        <w:t xml:space="preserve">the high incremental cost-effectiveness ratio (ICER) at the proposed price and </w:t>
      </w:r>
      <w:r w:rsidR="003279BC" w:rsidRPr="000F1AF1">
        <w:rPr>
          <w:rFonts w:ascii="Franklin Gothic Book" w:hAnsi="Franklin Gothic Book"/>
          <w:sz w:val="22"/>
        </w:rPr>
        <w:t xml:space="preserve">what PBAC considered to be </w:t>
      </w:r>
      <w:r w:rsidR="00225C0A" w:rsidRPr="000F1AF1">
        <w:rPr>
          <w:rFonts w:ascii="Franklin Gothic Book" w:hAnsi="Franklin Gothic Book"/>
          <w:sz w:val="22"/>
        </w:rPr>
        <w:t xml:space="preserve">optimistic assumptions in the economic model. </w:t>
      </w:r>
      <w:r w:rsidR="0069227F" w:rsidRPr="000F1AF1">
        <w:rPr>
          <w:rFonts w:ascii="Franklin Gothic Book" w:hAnsi="Franklin Gothic Book"/>
          <w:sz w:val="22"/>
        </w:rPr>
        <w:t xml:space="preserve">MSAC considered that it could not support this testing without PBAC having first recommended PBS listing of ivosidenib, as </w:t>
      </w:r>
      <w:r w:rsidR="0069227F" w:rsidRPr="000F1AF1">
        <w:rPr>
          <w:rFonts w:ascii="Franklin Gothic Book" w:hAnsi="Franklin Gothic Book"/>
          <w:sz w:val="22"/>
        </w:rPr>
        <w:lastRenderedPageBreak/>
        <w:t xml:space="preserve">the clinical utility of </w:t>
      </w:r>
      <w:r w:rsidR="0069227F" w:rsidRPr="000F1AF1">
        <w:rPr>
          <w:rFonts w:ascii="Franklin Gothic Book" w:hAnsi="Franklin Gothic Book"/>
          <w:i/>
          <w:iCs/>
          <w:sz w:val="22"/>
        </w:rPr>
        <w:t xml:space="preserve">IDH1 </w:t>
      </w:r>
      <w:r w:rsidR="0069227F" w:rsidRPr="000F1AF1">
        <w:rPr>
          <w:rFonts w:ascii="Franklin Gothic Book" w:hAnsi="Franklin Gothic Book"/>
          <w:sz w:val="22"/>
        </w:rPr>
        <w:t xml:space="preserve">genetic testing </w:t>
      </w:r>
      <w:r w:rsidR="00C41D24" w:rsidRPr="000F1AF1">
        <w:rPr>
          <w:rFonts w:ascii="Franklin Gothic Book" w:hAnsi="Franklin Gothic Book"/>
          <w:sz w:val="22"/>
        </w:rPr>
        <w:t xml:space="preserve">relies on </w:t>
      </w:r>
      <w:r w:rsidR="005A0FD2" w:rsidRPr="000F1AF1">
        <w:rPr>
          <w:rFonts w:ascii="Franklin Gothic Book" w:hAnsi="Franklin Gothic Book"/>
          <w:sz w:val="22"/>
        </w:rPr>
        <w:t>it providing access to ivosidenib for the subset of patients found to have a relevant genetic variant.</w:t>
      </w:r>
    </w:p>
    <w:p w14:paraId="5800D59B" w14:textId="44A8F323" w:rsidR="00B816E7" w:rsidRPr="00B816E7" w:rsidRDefault="00B816E7" w:rsidP="00B816E7">
      <w:pPr>
        <w:rPr>
          <w:rFonts w:ascii="Franklin Gothic Book" w:hAnsi="Franklin Gothic Book"/>
          <w:sz w:val="22"/>
        </w:rPr>
      </w:pPr>
      <w:r w:rsidRPr="00B816E7">
        <w:rPr>
          <w:rFonts w:ascii="Franklin Gothic Book" w:hAnsi="Franklin Gothic Book"/>
          <w:sz w:val="22"/>
        </w:rPr>
        <w:t xml:space="preserve">MSAC noted the economic evaluation was a cost-utility analysis and a cost-effectiveness analysis with evidence derived from the </w:t>
      </w:r>
      <w:proofErr w:type="spellStart"/>
      <w:r w:rsidRPr="00B816E7">
        <w:rPr>
          <w:rFonts w:ascii="Franklin Gothic Book" w:hAnsi="Franklin Gothic Book"/>
          <w:sz w:val="22"/>
        </w:rPr>
        <w:t>ClarIDHy</w:t>
      </w:r>
      <w:proofErr w:type="spellEnd"/>
      <w:r w:rsidRPr="00B816E7">
        <w:rPr>
          <w:rFonts w:ascii="Franklin Gothic Book" w:hAnsi="Franklin Gothic Book"/>
          <w:sz w:val="22"/>
        </w:rPr>
        <w:t xml:space="preserve"> trial. </w:t>
      </w:r>
      <w:r w:rsidR="003279BC">
        <w:rPr>
          <w:rFonts w:ascii="Franklin Gothic Book" w:hAnsi="Franklin Gothic Book"/>
          <w:sz w:val="22"/>
        </w:rPr>
        <w:t xml:space="preserve">The </w:t>
      </w:r>
      <w:r w:rsidR="00A8693A">
        <w:rPr>
          <w:rFonts w:ascii="Franklin Gothic Book" w:hAnsi="Franklin Gothic Book"/>
          <w:sz w:val="22"/>
        </w:rPr>
        <w:t>ADAR</w:t>
      </w:r>
      <w:r w:rsidRPr="00B816E7">
        <w:rPr>
          <w:rFonts w:ascii="Franklin Gothic Book" w:hAnsi="Franklin Gothic Book"/>
          <w:sz w:val="22"/>
        </w:rPr>
        <w:t xml:space="preserve"> assumed </w:t>
      </w:r>
      <w:r w:rsidR="00C41D24">
        <w:rPr>
          <w:rFonts w:ascii="Franklin Gothic Book" w:hAnsi="Franklin Gothic Book"/>
          <w:sz w:val="22"/>
        </w:rPr>
        <w:t xml:space="preserve">the test had </w:t>
      </w:r>
      <w:r w:rsidRPr="00B816E7">
        <w:rPr>
          <w:rFonts w:ascii="Franklin Gothic Book" w:hAnsi="Franklin Gothic Book"/>
          <w:sz w:val="22"/>
        </w:rPr>
        <w:t>100% specificity and sensitivity with a</w:t>
      </w:r>
      <w:r w:rsidR="00C111D9">
        <w:rPr>
          <w:rFonts w:ascii="Franklin Gothic Book" w:hAnsi="Franklin Gothic Book"/>
          <w:sz w:val="22"/>
        </w:rPr>
        <w:t>n</w:t>
      </w:r>
      <w:r w:rsidRPr="00B816E7">
        <w:rPr>
          <w:rFonts w:ascii="Franklin Gothic Book" w:hAnsi="Franklin Gothic Book"/>
          <w:sz w:val="22"/>
        </w:rPr>
        <w:t xml:space="preserve"> </w:t>
      </w:r>
      <w:r w:rsidRPr="00B816E7">
        <w:rPr>
          <w:rFonts w:ascii="Franklin Gothic Book" w:hAnsi="Franklin Gothic Book"/>
          <w:i/>
          <w:iCs/>
          <w:sz w:val="22"/>
        </w:rPr>
        <w:t>IDH1</w:t>
      </w:r>
      <w:r w:rsidRPr="00B816E7">
        <w:rPr>
          <w:rFonts w:ascii="Franklin Gothic Book" w:hAnsi="Franklin Gothic Book"/>
          <w:sz w:val="22"/>
        </w:rPr>
        <w:t xml:space="preserve"> variant prevalence of 9.15%, which MSAC accepted. </w:t>
      </w:r>
      <w:r w:rsidR="00C41D24">
        <w:rPr>
          <w:rFonts w:ascii="Franklin Gothic Book" w:hAnsi="Franklin Gothic Book"/>
          <w:sz w:val="22"/>
        </w:rPr>
        <w:t>At</w:t>
      </w:r>
      <w:r w:rsidR="00C41D24" w:rsidRPr="00B816E7">
        <w:rPr>
          <w:rFonts w:ascii="Franklin Gothic Book" w:hAnsi="Franklin Gothic Book"/>
          <w:sz w:val="22"/>
        </w:rPr>
        <w:t xml:space="preserve"> </w:t>
      </w:r>
      <w:r w:rsidRPr="00B816E7">
        <w:rPr>
          <w:rFonts w:ascii="Franklin Gothic Book" w:hAnsi="Franklin Gothic Book"/>
          <w:sz w:val="22"/>
        </w:rPr>
        <w:t xml:space="preserve">the </w:t>
      </w:r>
      <w:r w:rsidR="00C41D24">
        <w:rPr>
          <w:rFonts w:ascii="Franklin Gothic Book" w:hAnsi="Franklin Gothic Book"/>
          <w:sz w:val="22"/>
        </w:rPr>
        <w:t xml:space="preserve">proposed </w:t>
      </w:r>
      <w:r w:rsidRPr="00B816E7">
        <w:rPr>
          <w:rFonts w:ascii="Franklin Gothic Book" w:hAnsi="Franklin Gothic Book"/>
          <w:sz w:val="22"/>
        </w:rPr>
        <w:t xml:space="preserve">fee of $340, MSAC noted the </w:t>
      </w:r>
      <w:r w:rsidR="00885925">
        <w:rPr>
          <w:rFonts w:ascii="Franklin Gothic Book" w:hAnsi="Franklin Gothic Book"/>
          <w:sz w:val="22"/>
        </w:rPr>
        <w:t xml:space="preserve">ADAR had estimated the </w:t>
      </w:r>
      <w:r w:rsidRPr="00B816E7">
        <w:rPr>
          <w:rFonts w:ascii="Franklin Gothic Book" w:hAnsi="Franklin Gothic Book"/>
          <w:sz w:val="22"/>
        </w:rPr>
        <w:t xml:space="preserve">cost </w:t>
      </w:r>
      <w:r w:rsidR="00885925">
        <w:rPr>
          <w:rFonts w:ascii="Franklin Gothic Book" w:hAnsi="Franklin Gothic Book"/>
          <w:sz w:val="22"/>
        </w:rPr>
        <w:t>to</w:t>
      </w:r>
      <w:r w:rsidR="00885925" w:rsidRPr="00B816E7">
        <w:rPr>
          <w:rFonts w:ascii="Franklin Gothic Book" w:hAnsi="Franklin Gothic Book"/>
          <w:sz w:val="22"/>
        </w:rPr>
        <w:t xml:space="preserve"> </w:t>
      </w:r>
      <w:r w:rsidRPr="00B816E7">
        <w:rPr>
          <w:rFonts w:ascii="Franklin Gothic Book" w:hAnsi="Franklin Gothic Book"/>
          <w:sz w:val="22"/>
        </w:rPr>
        <w:t>identify one patient with a</w:t>
      </w:r>
      <w:r w:rsidR="00644F78">
        <w:rPr>
          <w:rFonts w:ascii="Franklin Gothic Book" w:hAnsi="Franklin Gothic Book"/>
          <w:sz w:val="22"/>
        </w:rPr>
        <w:t>n</w:t>
      </w:r>
      <w:r w:rsidRPr="00B816E7">
        <w:rPr>
          <w:rFonts w:ascii="Franklin Gothic Book" w:hAnsi="Franklin Gothic Book"/>
          <w:sz w:val="22"/>
        </w:rPr>
        <w:t xml:space="preserve"> </w:t>
      </w:r>
      <w:r w:rsidRPr="00B816E7">
        <w:rPr>
          <w:rFonts w:ascii="Franklin Gothic Book" w:hAnsi="Franklin Gothic Book"/>
          <w:i/>
          <w:iCs/>
          <w:sz w:val="22"/>
        </w:rPr>
        <w:t>IDH1</w:t>
      </w:r>
      <w:r w:rsidRPr="00B816E7">
        <w:rPr>
          <w:rFonts w:ascii="Franklin Gothic Book" w:hAnsi="Franklin Gothic Book"/>
          <w:sz w:val="22"/>
        </w:rPr>
        <w:t xml:space="preserve"> mutation was approximately $3,71</w:t>
      </w:r>
      <w:r w:rsidR="00885925">
        <w:rPr>
          <w:rFonts w:ascii="Franklin Gothic Book" w:hAnsi="Franklin Gothic Book"/>
          <w:sz w:val="22"/>
        </w:rPr>
        <w:t>7</w:t>
      </w:r>
      <w:r w:rsidRPr="00B816E7">
        <w:rPr>
          <w:rFonts w:ascii="Franklin Gothic Book" w:hAnsi="Franklin Gothic Book"/>
          <w:sz w:val="22"/>
        </w:rPr>
        <w:t xml:space="preserve">, </w:t>
      </w:r>
      <w:r w:rsidR="00885925">
        <w:rPr>
          <w:rFonts w:ascii="Franklin Gothic Book" w:hAnsi="Franklin Gothic Book"/>
          <w:sz w:val="22"/>
        </w:rPr>
        <w:t xml:space="preserve">and </w:t>
      </w:r>
      <w:r w:rsidR="00E44EBE">
        <w:rPr>
          <w:rFonts w:ascii="Franklin Gothic Book" w:hAnsi="Franklin Gothic Book"/>
          <w:sz w:val="22"/>
        </w:rPr>
        <w:t>the incremental cost-effectiveness ratio was</w:t>
      </w:r>
      <w:r w:rsidRPr="00B816E7">
        <w:rPr>
          <w:rFonts w:ascii="Franklin Gothic Book" w:hAnsi="Franklin Gothic Book"/>
          <w:sz w:val="22"/>
        </w:rPr>
        <w:t xml:space="preserve"> $</w:t>
      </w:r>
      <w:r w:rsidR="008B5032">
        <w:rPr>
          <w:rFonts w:ascii="Franklin Gothic Book" w:hAnsi="Franklin Gothic Book"/>
          <w:sz w:val="22"/>
        </w:rPr>
        <w:t>95,000&lt;$115,000</w:t>
      </w:r>
      <w:r w:rsidR="00E44EBE">
        <w:rPr>
          <w:rFonts w:ascii="Franklin Gothic Book" w:hAnsi="Franklin Gothic Book"/>
          <w:sz w:val="22"/>
        </w:rPr>
        <w:t xml:space="preserve"> </w:t>
      </w:r>
      <w:r w:rsidRPr="00B816E7">
        <w:rPr>
          <w:rFonts w:ascii="Franklin Gothic Book" w:hAnsi="Franklin Gothic Book"/>
          <w:sz w:val="22"/>
        </w:rPr>
        <w:t>per quality-adjusted life-year (QALY). MSAC considered th</w:t>
      </w:r>
      <w:r w:rsidR="00E6058C">
        <w:rPr>
          <w:rFonts w:ascii="Franklin Gothic Book" w:hAnsi="Franklin Gothic Book"/>
          <w:sz w:val="22"/>
        </w:rPr>
        <w:t>e</w:t>
      </w:r>
      <w:r w:rsidRPr="00B816E7">
        <w:rPr>
          <w:rFonts w:ascii="Franklin Gothic Book" w:hAnsi="Franklin Gothic Book"/>
          <w:sz w:val="22"/>
        </w:rPr>
        <w:t xml:space="preserve"> cost per patient was underestimated, as it included patients who did not progress </w:t>
      </w:r>
      <w:r w:rsidR="00A8693A">
        <w:rPr>
          <w:rFonts w:ascii="Franklin Gothic Book" w:hAnsi="Franklin Gothic Book"/>
          <w:sz w:val="22"/>
        </w:rPr>
        <w:t>and</w:t>
      </w:r>
      <w:r w:rsidR="00A8693A" w:rsidRPr="00B816E7">
        <w:rPr>
          <w:rFonts w:ascii="Franklin Gothic Book" w:hAnsi="Franklin Gothic Book"/>
          <w:sz w:val="22"/>
        </w:rPr>
        <w:t xml:space="preserve"> </w:t>
      </w:r>
      <w:r w:rsidRPr="00B816E7">
        <w:rPr>
          <w:rFonts w:ascii="Franklin Gothic Book" w:hAnsi="Franklin Gothic Book"/>
          <w:sz w:val="22"/>
        </w:rPr>
        <w:t xml:space="preserve">those who were too frail for treatment, but these factors did not have a significant impact on the ICER. MSAC </w:t>
      </w:r>
      <w:r w:rsidR="00DB78EB">
        <w:rPr>
          <w:rFonts w:ascii="Franklin Gothic Book" w:hAnsi="Franklin Gothic Book"/>
          <w:sz w:val="22"/>
        </w:rPr>
        <w:t xml:space="preserve">noted </w:t>
      </w:r>
      <w:r w:rsidR="00DB78EB" w:rsidRPr="000F1AF1">
        <w:rPr>
          <w:rFonts w:ascii="Franklin Gothic Book" w:hAnsi="Franklin Gothic Book"/>
          <w:sz w:val="22"/>
        </w:rPr>
        <w:t>PBAC had</w:t>
      </w:r>
      <w:r w:rsidR="00F4613A" w:rsidRPr="000F1AF1">
        <w:rPr>
          <w:rFonts w:ascii="Franklin Gothic Book" w:hAnsi="Franklin Gothic Book"/>
          <w:sz w:val="22"/>
        </w:rPr>
        <w:t xml:space="preserve"> considered the economic model made optimistic assumptions, and had</w:t>
      </w:r>
      <w:r w:rsidR="00DB78EB" w:rsidRPr="000F1AF1">
        <w:rPr>
          <w:rFonts w:ascii="Franklin Gothic Book" w:hAnsi="Franklin Gothic Book"/>
          <w:sz w:val="22"/>
        </w:rPr>
        <w:t xml:space="preserve"> advised the ICER was too high</w:t>
      </w:r>
      <w:r w:rsidRPr="000F1AF1">
        <w:rPr>
          <w:rFonts w:ascii="Franklin Gothic Book" w:hAnsi="Franklin Gothic Book"/>
          <w:sz w:val="22"/>
        </w:rPr>
        <w:t xml:space="preserve">. MSAC noted that the main driver </w:t>
      </w:r>
      <w:r w:rsidR="00A8693A" w:rsidRPr="000F1AF1">
        <w:rPr>
          <w:rFonts w:ascii="Franklin Gothic Book" w:hAnsi="Franklin Gothic Book"/>
          <w:sz w:val="22"/>
        </w:rPr>
        <w:t xml:space="preserve">of the ICER </w:t>
      </w:r>
      <w:r w:rsidRPr="000F1AF1">
        <w:rPr>
          <w:rFonts w:ascii="Franklin Gothic Book" w:hAnsi="Franklin Gothic Book"/>
          <w:sz w:val="22"/>
        </w:rPr>
        <w:t>was the cost of ivosidenib treatment, and that</w:t>
      </w:r>
      <w:r w:rsidRPr="00B816E7">
        <w:rPr>
          <w:rFonts w:ascii="Franklin Gothic Book" w:hAnsi="Franklin Gothic Book"/>
          <w:sz w:val="22"/>
        </w:rPr>
        <w:t xml:space="preserve"> the cost</w:t>
      </w:r>
      <w:r w:rsidR="00A61F8A">
        <w:rPr>
          <w:rFonts w:ascii="Franklin Gothic Book" w:hAnsi="Franklin Gothic Book"/>
          <w:sz w:val="22"/>
        </w:rPr>
        <w:t>s</w:t>
      </w:r>
      <w:r w:rsidRPr="00B816E7">
        <w:rPr>
          <w:rFonts w:ascii="Franklin Gothic Book" w:hAnsi="Franklin Gothic Book"/>
          <w:sz w:val="22"/>
        </w:rPr>
        <w:t xml:space="preserve"> of testing, disease management, adverse events management and terminal care costs were minor cost contributors.</w:t>
      </w:r>
      <w:r w:rsidR="00A61F8A" w:rsidRPr="00A61F8A">
        <w:rPr>
          <w:rFonts w:ascii="Franklin Gothic Book" w:hAnsi="Franklin Gothic Book"/>
          <w:sz w:val="22"/>
        </w:rPr>
        <w:t xml:space="preserve"> </w:t>
      </w:r>
      <w:r w:rsidR="00A61F8A" w:rsidRPr="00B816E7">
        <w:rPr>
          <w:rFonts w:ascii="Franklin Gothic Book" w:hAnsi="Franklin Gothic Book"/>
          <w:sz w:val="22"/>
        </w:rPr>
        <w:t xml:space="preserve">MSAC also noted it is current clinical practice for </w:t>
      </w:r>
      <w:r w:rsidR="00A61F8A" w:rsidRPr="00B816E7">
        <w:rPr>
          <w:rFonts w:ascii="Franklin Gothic Book" w:hAnsi="Franklin Gothic Book"/>
          <w:i/>
          <w:iCs/>
          <w:sz w:val="22"/>
        </w:rPr>
        <w:t>IDH</w:t>
      </w:r>
      <w:r w:rsidR="00A61F8A">
        <w:rPr>
          <w:rFonts w:ascii="Franklin Gothic Book" w:hAnsi="Franklin Gothic Book"/>
          <w:i/>
          <w:iCs/>
          <w:sz w:val="22"/>
        </w:rPr>
        <w:t>1</w:t>
      </w:r>
      <w:r w:rsidR="00A61F8A" w:rsidRPr="00B816E7">
        <w:rPr>
          <w:rFonts w:ascii="Franklin Gothic Book" w:hAnsi="Franklin Gothic Book"/>
          <w:sz w:val="22"/>
        </w:rPr>
        <w:t xml:space="preserve"> testing to be performed </w:t>
      </w:r>
      <w:r w:rsidR="00A61F8A">
        <w:rPr>
          <w:rFonts w:ascii="Franklin Gothic Book" w:hAnsi="Franklin Gothic Book"/>
          <w:sz w:val="22"/>
        </w:rPr>
        <w:t>at</w:t>
      </w:r>
      <w:r w:rsidR="00A61F8A" w:rsidRPr="00B816E7">
        <w:rPr>
          <w:rFonts w:ascii="Franklin Gothic Book" w:hAnsi="Franklin Gothic Book"/>
          <w:sz w:val="22"/>
        </w:rPr>
        <w:t xml:space="preserve"> diagnosis, and that this </w:t>
      </w:r>
      <w:r w:rsidR="00A61F8A">
        <w:rPr>
          <w:rFonts w:ascii="Franklin Gothic Book" w:hAnsi="Franklin Gothic Book"/>
          <w:sz w:val="22"/>
        </w:rPr>
        <w:t>was</w:t>
      </w:r>
      <w:r w:rsidR="00A61F8A" w:rsidRPr="00B816E7">
        <w:rPr>
          <w:rFonts w:ascii="Franklin Gothic Book" w:hAnsi="Franklin Gothic Book"/>
          <w:sz w:val="22"/>
        </w:rPr>
        <w:t xml:space="preserve"> </w:t>
      </w:r>
      <w:r w:rsidR="00A8693A">
        <w:rPr>
          <w:rFonts w:ascii="Franklin Gothic Book" w:hAnsi="Franklin Gothic Book"/>
          <w:sz w:val="22"/>
        </w:rPr>
        <w:t xml:space="preserve">appropriately </w:t>
      </w:r>
      <w:r w:rsidR="00A61F8A" w:rsidRPr="00B816E7">
        <w:rPr>
          <w:rFonts w:ascii="Franklin Gothic Book" w:hAnsi="Franklin Gothic Book"/>
          <w:sz w:val="22"/>
        </w:rPr>
        <w:t>accounted for in the economic and financial</w:t>
      </w:r>
      <w:r w:rsidR="00A61F8A">
        <w:rPr>
          <w:rFonts w:ascii="Franklin Gothic Book" w:hAnsi="Franklin Gothic Book"/>
          <w:sz w:val="22"/>
        </w:rPr>
        <w:t xml:space="preserve"> assessment</w:t>
      </w:r>
      <w:r w:rsidR="00A61F8A" w:rsidRPr="00B816E7">
        <w:rPr>
          <w:rFonts w:ascii="Franklin Gothic Book" w:hAnsi="Franklin Gothic Book"/>
          <w:sz w:val="22"/>
        </w:rPr>
        <w:t>s.</w:t>
      </w:r>
    </w:p>
    <w:p w14:paraId="7466F4F4" w14:textId="2BF01E2D" w:rsidR="00B816E7" w:rsidRPr="00750779" w:rsidRDefault="00B816E7" w:rsidP="00B816E7">
      <w:pPr>
        <w:rPr>
          <w:rFonts w:ascii="Franklin Gothic Book" w:hAnsi="Franklin Gothic Book"/>
          <w:sz w:val="22"/>
        </w:rPr>
      </w:pPr>
      <w:r w:rsidRPr="00B816E7">
        <w:rPr>
          <w:rFonts w:ascii="Franklin Gothic Book" w:hAnsi="Franklin Gothic Book"/>
          <w:sz w:val="22"/>
        </w:rPr>
        <w:t xml:space="preserve">MSAC noted that the </w:t>
      </w:r>
      <w:r w:rsidR="00CF6178">
        <w:rPr>
          <w:rFonts w:ascii="Franklin Gothic Book" w:hAnsi="Franklin Gothic Book"/>
          <w:sz w:val="22"/>
        </w:rPr>
        <w:t>financial cost</w:t>
      </w:r>
      <w:r w:rsidRPr="00B816E7">
        <w:rPr>
          <w:rFonts w:ascii="Franklin Gothic Book" w:hAnsi="Franklin Gothic Book"/>
          <w:sz w:val="22"/>
        </w:rPr>
        <w:t xml:space="preserve"> to the MBS was $</w:t>
      </w:r>
      <w:r w:rsidR="00BB50AD">
        <w:rPr>
          <w:rFonts w:ascii="Franklin Gothic Book" w:hAnsi="Franklin Gothic Book"/>
          <w:sz w:val="22"/>
        </w:rPr>
        <w:t xml:space="preserve">0&lt;$10 million </w:t>
      </w:r>
      <w:r w:rsidRPr="00B816E7">
        <w:rPr>
          <w:rFonts w:ascii="Franklin Gothic Book" w:hAnsi="Franklin Gothic Book"/>
          <w:sz w:val="22"/>
        </w:rPr>
        <w:t xml:space="preserve">in </w:t>
      </w:r>
      <w:r w:rsidR="00983D63">
        <w:rPr>
          <w:rFonts w:ascii="Franklin Gothic Book" w:hAnsi="Franklin Gothic Book"/>
          <w:sz w:val="22"/>
        </w:rPr>
        <w:t>Y</w:t>
      </w:r>
      <w:r w:rsidRPr="00B816E7">
        <w:rPr>
          <w:rFonts w:ascii="Franklin Gothic Book" w:hAnsi="Franklin Gothic Book"/>
          <w:sz w:val="22"/>
        </w:rPr>
        <w:t xml:space="preserve">ear 1, increasing slightly to </w:t>
      </w:r>
      <w:r w:rsidR="00BB50AD" w:rsidRPr="00B816E7">
        <w:rPr>
          <w:rFonts w:ascii="Franklin Gothic Book" w:hAnsi="Franklin Gothic Book"/>
          <w:sz w:val="22"/>
        </w:rPr>
        <w:t>$</w:t>
      </w:r>
      <w:r w:rsidR="00BB50AD">
        <w:rPr>
          <w:rFonts w:ascii="Franklin Gothic Book" w:hAnsi="Franklin Gothic Book"/>
          <w:sz w:val="22"/>
        </w:rPr>
        <w:t xml:space="preserve">0&lt;$10 million </w:t>
      </w:r>
      <w:r w:rsidRPr="00B816E7">
        <w:rPr>
          <w:rFonts w:ascii="Franklin Gothic Book" w:hAnsi="Franklin Gothic Book"/>
          <w:sz w:val="22"/>
        </w:rPr>
        <w:t xml:space="preserve">in </w:t>
      </w:r>
      <w:r w:rsidR="00983D63">
        <w:rPr>
          <w:rFonts w:ascii="Franklin Gothic Book" w:hAnsi="Franklin Gothic Book"/>
          <w:sz w:val="22"/>
        </w:rPr>
        <w:t>Y</w:t>
      </w:r>
      <w:r w:rsidRPr="00B816E7">
        <w:rPr>
          <w:rFonts w:ascii="Franklin Gothic Book" w:hAnsi="Franklin Gothic Book"/>
          <w:sz w:val="22"/>
        </w:rPr>
        <w:t>ear 6, assuming 85% bene</w:t>
      </w:r>
      <w:r w:rsidRPr="00C47374">
        <w:rPr>
          <w:rFonts w:ascii="Franklin Gothic Book" w:hAnsi="Franklin Gothic Book"/>
          <w:sz w:val="22"/>
        </w:rPr>
        <w:t xml:space="preserve">fit. MSAC also noted </w:t>
      </w:r>
      <w:r w:rsidR="00AF0C6F" w:rsidRPr="00C47374">
        <w:rPr>
          <w:rFonts w:ascii="Franklin Gothic Book" w:hAnsi="Franklin Gothic Book"/>
          <w:sz w:val="22"/>
        </w:rPr>
        <w:t xml:space="preserve">the commentary had raised </w:t>
      </w:r>
      <w:r w:rsidRPr="00C47374">
        <w:rPr>
          <w:rFonts w:ascii="Franklin Gothic Book" w:hAnsi="Franklin Gothic Book"/>
          <w:sz w:val="22"/>
        </w:rPr>
        <w:t>that the proposed MBS electrocardiogram</w:t>
      </w:r>
      <w:r w:rsidRPr="00C47374" w:rsidDel="008F5956">
        <w:rPr>
          <w:rFonts w:ascii="Franklin Gothic Book" w:hAnsi="Franklin Gothic Book"/>
          <w:sz w:val="22"/>
        </w:rPr>
        <w:t xml:space="preserve"> </w:t>
      </w:r>
      <w:r w:rsidRPr="00C47374">
        <w:rPr>
          <w:rFonts w:ascii="Franklin Gothic Book" w:hAnsi="Franklin Gothic Book"/>
          <w:sz w:val="22"/>
        </w:rPr>
        <w:t xml:space="preserve">costs for treatment monitoring were likely </w:t>
      </w:r>
      <w:r w:rsidR="00B70E18">
        <w:rPr>
          <w:rFonts w:ascii="Franklin Gothic Book" w:hAnsi="Franklin Gothic Book"/>
          <w:sz w:val="22"/>
        </w:rPr>
        <w:t>over</w:t>
      </w:r>
      <w:r w:rsidR="00B70E18" w:rsidRPr="00C47374">
        <w:rPr>
          <w:rFonts w:ascii="Franklin Gothic Book" w:hAnsi="Franklin Gothic Book"/>
          <w:sz w:val="22"/>
        </w:rPr>
        <w:t>estimated</w:t>
      </w:r>
      <w:r w:rsidR="00AF0C6F" w:rsidRPr="00C47374">
        <w:rPr>
          <w:rFonts w:ascii="Franklin Gothic Book" w:hAnsi="Franklin Gothic Book"/>
          <w:sz w:val="22"/>
        </w:rPr>
        <w:t>, and the applicant had accepted this in its pre-ESC response</w:t>
      </w:r>
      <w:r w:rsidRPr="00C47374">
        <w:rPr>
          <w:rFonts w:ascii="Franklin Gothic Book" w:hAnsi="Franklin Gothic Book"/>
          <w:sz w:val="22"/>
        </w:rPr>
        <w:t>.</w:t>
      </w:r>
      <w:r w:rsidR="000661AB">
        <w:rPr>
          <w:rFonts w:ascii="Franklin Gothic Book" w:hAnsi="Franklin Gothic Book"/>
          <w:sz w:val="22"/>
        </w:rPr>
        <w:t xml:space="preserve"> </w:t>
      </w:r>
      <w:r w:rsidRPr="00B816E7">
        <w:rPr>
          <w:rFonts w:ascii="Franklin Gothic Book" w:hAnsi="Franklin Gothic Book"/>
          <w:sz w:val="22"/>
        </w:rPr>
        <w:t xml:space="preserve">MSAC noted ESC’s concern about possible diagnostic expansion </w:t>
      </w:r>
      <w:r w:rsidR="00A61F8A">
        <w:rPr>
          <w:rFonts w:ascii="Franklin Gothic Book" w:hAnsi="Franklin Gothic Book"/>
          <w:sz w:val="22"/>
        </w:rPr>
        <w:t xml:space="preserve">leading </w:t>
      </w:r>
      <w:r w:rsidRPr="00B816E7">
        <w:rPr>
          <w:rFonts w:ascii="Franklin Gothic Book" w:hAnsi="Franklin Gothic Book"/>
          <w:sz w:val="22"/>
        </w:rPr>
        <w:t>to</w:t>
      </w:r>
      <w:r w:rsidR="009B6EA6">
        <w:rPr>
          <w:rFonts w:ascii="Franklin Gothic Book" w:hAnsi="Franklin Gothic Book"/>
          <w:sz w:val="22"/>
        </w:rPr>
        <w:t xml:space="preserve"> </w:t>
      </w:r>
      <w:r w:rsidR="009B6EA6">
        <w:rPr>
          <w:rFonts w:ascii="Franklin Gothic Book" w:hAnsi="Franklin Gothic Book"/>
          <w:i/>
          <w:iCs/>
          <w:sz w:val="22"/>
        </w:rPr>
        <w:t xml:space="preserve">IDH1 </w:t>
      </w:r>
      <w:r w:rsidR="009B6EA6">
        <w:rPr>
          <w:rFonts w:ascii="Franklin Gothic Book" w:hAnsi="Franklin Gothic Book"/>
          <w:sz w:val="22"/>
        </w:rPr>
        <w:t xml:space="preserve">testing intended for patients with CCA also being </w:t>
      </w:r>
      <w:r w:rsidR="00802D31">
        <w:rPr>
          <w:rFonts w:ascii="Franklin Gothic Book" w:hAnsi="Franklin Gothic Book"/>
          <w:sz w:val="22"/>
        </w:rPr>
        <w:t>conducted in</w:t>
      </w:r>
      <w:r w:rsidR="009B6EA6">
        <w:rPr>
          <w:rFonts w:ascii="Franklin Gothic Book" w:hAnsi="Franklin Gothic Book"/>
          <w:sz w:val="22"/>
        </w:rPr>
        <w:t xml:space="preserve"> patients with</w:t>
      </w:r>
      <w:r w:rsidRPr="00B816E7">
        <w:rPr>
          <w:rFonts w:ascii="Franklin Gothic Book" w:hAnsi="Franklin Gothic Book"/>
          <w:sz w:val="22"/>
        </w:rPr>
        <w:t xml:space="preserve"> primary distal common bile duct or head of pancreas, and metastatic </w:t>
      </w:r>
      <w:proofErr w:type="spellStart"/>
      <w:r w:rsidRPr="00B816E7">
        <w:rPr>
          <w:rFonts w:ascii="Franklin Gothic Book" w:hAnsi="Franklin Gothic Book"/>
          <w:sz w:val="22"/>
        </w:rPr>
        <w:t>pancreatobiliary</w:t>
      </w:r>
      <w:proofErr w:type="spellEnd"/>
      <w:r w:rsidRPr="00B816E7">
        <w:rPr>
          <w:rFonts w:ascii="Franklin Gothic Book" w:hAnsi="Franklin Gothic Book"/>
          <w:sz w:val="22"/>
        </w:rPr>
        <w:t xml:space="preserve"> cancer or </w:t>
      </w:r>
      <w:r w:rsidR="00B62C02" w:rsidRPr="00B816E7">
        <w:rPr>
          <w:rFonts w:ascii="Franklin Gothic Book" w:hAnsi="Franklin Gothic Book"/>
          <w:sz w:val="22"/>
        </w:rPr>
        <w:t>ca</w:t>
      </w:r>
      <w:r w:rsidR="00B62C02">
        <w:rPr>
          <w:rFonts w:ascii="Franklin Gothic Book" w:hAnsi="Franklin Gothic Book"/>
          <w:sz w:val="22"/>
        </w:rPr>
        <w:t>rcinoma</w:t>
      </w:r>
      <w:r w:rsidR="00B62C02" w:rsidRPr="00B816E7">
        <w:rPr>
          <w:rFonts w:ascii="Franklin Gothic Book" w:hAnsi="Franklin Gothic Book"/>
          <w:sz w:val="22"/>
        </w:rPr>
        <w:t xml:space="preserve"> </w:t>
      </w:r>
      <w:r w:rsidRPr="00B816E7">
        <w:rPr>
          <w:rFonts w:ascii="Franklin Gothic Book" w:hAnsi="Franklin Gothic Book"/>
          <w:sz w:val="22"/>
        </w:rPr>
        <w:t>of unknown primary</w:t>
      </w:r>
      <w:r w:rsidR="0056684A">
        <w:rPr>
          <w:rFonts w:ascii="Franklin Gothic Book" w:hAnsi="Franklin Gothic Book"/>
          <w:sz w:val="22"/>
        </w:rPr>
        <w:t xml:space="preserve"> site</w:t>
      </w:r>
      <w:r w:rsidRPr="00B816E7">
        <w:rPr>
          <w:rFonts w:ascii="Franklin Gothic Book" w:hAnsi="Franklin Gothic Book"/>
          <w:sz w:val="22"/>
        </w:rPr>
        <w:t>. MSAC noted the pre-MSAC response argued that this</w:t>
      </w:r>
      <w:r w:rsidR="009E62A7">
        <w:rPr>
          <w:rFonts w:ascii="Franklin Gothic Book" w:hAnsi="Franklin Gothic Book"/>
          <w:sz w:val="22"/>
        </w:rPr>
        <w:t xml:space="preserve"> was</w:t>
      </w:r>
      <w:r w:rsidRPr="00B816E7">
        <w:rPr>
          <w:rFonts w:ascii="Franklin Gothic Book" w:hAnsi="Franklin Gothic Book"/>
          <w:sz w:val="22"/>
        </w:rPr>
        <w:t xml:space="preserve"> unlikely, as a diagnosis of CCA is required to have occurred before </w:t>
      </w:r>
      <w:r w:rsidR="009B6EA6">
        <w:rPr>
          <w:rFonts w:ascii="Franklin Gothic Book" w:hAnsi="Franklin Gothic Book"/>
          <w:sz w:val="22"/>
        </w:rPr>
        <w:t>genetic</w:t>
      </w:r>
      <w:r w:rsidR="009B6EA6" w:rsidRPr="00B816E7">
        <w:rPr>
          <w:rFonts w:ascii="Franklin Gothic Book" w:hAnsi="Franklin Gothic Book"/>
          <w:sz w:val="22"/>
        </w:rPr>
        <w:t xml:space="preserve"> </w:t>
      </w:r>
      <w:r w:rsidRPr="00B816E7">
        <w:rPr>
          <w:rFonts w:ascii="Franklin Gothic Book" w:hAnsi="Franklin Gothic Book"/>
          <w:sz w:val="22"/>
        </w:rPr>
        <w:t xml:space="preserve">testing of the tumour tissue. MSAC agreed with ESC that these cancers had similar profiles to CCA, </w:t>
      </w:r>
      <w:r w:rsidR="009B6EA6">
        <w:rPr>
          <w:rFonts w:ascii="Franklin Gothic Book" w:hAnsi="Franklin Gothic Book"/>
          <w:sz w:val="22"/>
        </w:rPr>
        <w:t>and noted</w:t>
      </w:r>
      <w:r w:rsidR="009B6EA6" w:rsidRPr="00B816E7">
        <w:rPr>
          <w:rFonts w:ascii="Franklin Gothic Book" w:hAnsi="Franklin Gothic Book"/>
          <w:sz w:val="22"/>
        </w:rPr>
        <w:t xml:space="preserve"> </w:t>
      </w:r>
      <w:r w:rsidRPr="00B816E7">
        <w:rPr>
          <w:rFonts w:ascii="Franklin Gothic Book" w:hAnsi="Franklin Gothic Book"/>
          <w:sz w:val="22"/>
        </w:rPr>
        <w:t xml:space="preserve">that </w:t>
      </w:r>
      <w:r w:rsidRPr="00B816E7">
        <w:rPr>
          <w:rFonts w:ascii="Franklin Gothic Book" w:hAnsi="Franklin Gothic Book"/>
          <w:i/>
          <w:iCs/>
          <w:sz w:val="22"/>
        </w:rPr>
        <w:t>IDH</w:t>
      </w:r>
      <w:r w:rsidR="009B6EA6">
        <w:rPr>
          <w:rFonts w:ascii="Franklin Gothic Book" w:hAnsi="Franklin Gothic Book"/>
          <w:i/>
          <w:iCs/>
          <w:sz w:val="22"/>
        </w:rPr>
        <w:t>1</w:t>
      </w:r>
      <w:r w:rsidRPr="00B816E7">
        <w:rPr>
          <w:rFonts w:ascii="Franklin Gothic Book" w:hAnsi="Franklin Gothic Book"/>
          <w:sz w:val="22"/>
        </w:rPr>
        <w:t xml:space="preserve"> </w:t>
      </w:r>
      <w:r w:rsidR="009B6EA6">
        <w:rPr>
          <w:rFonts w:ascii="Franklin Gothic Book" w:hAnsi="Franklin Gothic Book"/>
          <w:sz w:val="22"/>
        </w:rPr>
        <w:t>variants</w:t>
      </w:r>
      <w:r w:rsidR="009B6EA6" w:rsidRPr="00B816E7">
        <w:rPr>
          <w:rFonts w:ascii="Franklin Gothic Book" w:hAnsi="Franklin Gothic Book"/>
          <w:sz w:val="22"/>
        </w:rPr>
        <w:t xml:space="preserve"> </w:t>
      </w:r>
      <w:r w:rsidRPr="00B816E7">
        <w:rPr>
          <w:rFonts w:ascii="Franklin Gothic Book" w:hAnsi="Franklin Gothic Book"/>
          <w:sz w:val="22"/>
        </w:rPr>
        <w:t xml:space="preserve">are more common in </w:t>
      </w:r>
      <w:r w:rsidR="009B6EA6">
        <w:rPr>
          <w:rFonts w:ascii="Franklin Gothic Book" w:hAnsi="Franklin Gothic Book"/>
          <w:sz w:val="22"/>
        </w:rPr>
        <w:t>intrahepatic CCA</w:t>
      </w:r>
      <w:r w:rsidRPr="00B816E7">
        <w:rPr>
          <w:rFonts w:ascii="Franklin Gothic Book" w:hAnsi="Franklin Gothic Book"/>
          <w:sz w:val="22"/>
        </w:rPr>
        <w:t xml:space="preserve"> than in </w:t>
      </w:r>
      <w:r w:rsidR="009B6EA6">
        <w:rPr>
          <w:rFonts w:ascii="Franklin Gothic Book" w:hAnsi="Franklin Gothic Book"/>
          <w:sz w:val="22"/>
        </w:rPr>
        <w:t>extrahepatic CCA</w:t>
      </w:r>
      <w:r w:rsidRPr="00B816E7">
        <w:rPr>
          <w:rFonts w:ascii="Franklin Gothic Book" w:hAnsi="Franklin Gothic Book"/>
          <w:sz w:val="22"/>
        </w:rPr>
        <w:t>. MSAC considered that, even if there was leakage</w:t>
      </w:r>
      <w:r w:rsidR="0009689E">
        <w:rPr>
          <w:rFonts w:ascii="Franklin Gothic Book" w:hAnsi="Franklin Gothic Book"/>
          <w:sz w:val="22"/>
        </w:rPr>
        <w:t xml:space="preserve"> through diagnostic expansion</w:t>
      </w:r>
      <w:r w:rsidRPr="00B816E7">
        <w:rPr>
          <w:rFonts w:ascii="Franklin Gothic Book" w:hAnsi="Franklin Gothic Book"/>
          <w:sz w:val="22"/>
        </w:rPr>
        <w:t xml:space="preserve">, the additional </w:t>
      </w:r>
      <w:r w:rsidR="0009689E">
        <w:rPr>
          <w:rFonts w:ascii="Franklin Gothic Book" w:hAnsi="Franklin Gothic Book"/>
          <w:sz w:val="22"/>
        </w:rPr>
        <w:t>service volume</w:t>
      </w:r>
      <w:r w:rsidRPr="00B816E7">
        <w:rPr>
          <w:rFonts w:ascii="Franklin Gothic Book" w:hAnsi="Franklin Gothic Book"/>
          <w:sz w:val="22"/>
        </w:rPr>
        <w:t xml:space="preserve"> would be extremely small. MSAC considered it </w:t>
      </w:r>
      <w:r w:rsidR="007110AF">
        <w:rPr>
          <w:rFonts w:ascii="Franklin Gothic Book" w:hAnsi="Franklin Gothic Book"/>
          <w:sz w:val="22"/>
        </w:rPr>
        <w:t xml:space="preserve">would be </w:t>
      </w:r>
      <w:r w:rsidRPr="00B816E7">
        <w:rPr>
          <w:rFonts w:ascii="Franklin Gothic Book" w:hAnsi="Franklin Gothic Book"/>
          <w:sz w:val="22"/>
        </w:rPr>
        <w:t xml:space="preserve">appropriate </w:t>
      </w:r>
      <w:r w:rsidR="007110AF">
        <w:rPr>
          <w:rFonts w:ascii="Franklin Gothic Book" w:hAnsi="Franklin Gothic Book"/>
          <w:sz w:val="22"/>
        </w:rPr>
        <w:t>for all patients with a tumour in their bile ducts to receive this testing (including when it is uncertain whether the CCA is the primary tumour)</w:t>
      </w:r>
      <w:r w:rsidRPr="00B816E7">
        <w:rPr>
          <w:rFonts w:ascii="Franklin Gothic Book" w:hAnsi="Franklin Gothic Book"/>
          <w:sz w:val="22"/>
        </w:rPr>
        <w:t xml:space="preserve">, and that this would not have any </w:t>
      </w:r>
      <w:r w:rsidR="007110AF">
        <w:rPr>
          <w:rFonts w:ascii="Franklin Gothic Book" w:hAnsi="Franklin Gothic Book"/>
          <w:sz w:val="22"/>
        </w:rPr>
        <w:t>material</w:t>
      </w:r>
      <w:r w:rsidR="007110AF" w:rsidRPr="00B816E7">
        <w:rPr>
          <w:rFonts w:ascii="Franklin Gothic Book" w:hAnsi="Franklin Gothic Book"/>
          <w:sz w:val="22"/>
        </w:rPr>
        <w:t xml:space="preserve"> </w:t>
      </w:r>
      <w:r w:rsidR="007110AF">
        <w:rPr>
          <w:rFonts w:ascii="Franklin Gothic Book" w:hAnsi="Franklin Gothic Book"/>
          <w:sz w:val="22"/>
        </w:rPr>
        <w:t>effect</w:t>
      </w:r>
      <w:r w:rsidR="007110AF" w:rsidRPr="00B816E7">
        <w:rPr>
          <w:rFonts w:ascii="Franklin Gothic Book" w:hAnsi="Franklin Gothic Book"/>
          <w:sz w:val="22"/>
        </w:rPr>
        <w:t xml:space="preserve"> </w:t>
      </w:r>
      <w:r w:rsidRPr="00B816E7">
        <w:rPr>
          <w:rFonts w:ascii="Franklin Gothic Book" w:hAnsi="Franklin Gothic Book"/>
          <w:sz w:val="22"/>
        </w:rPr>
        <w:t>on the financial</w:t>
      </w:r>
      <w:r w:rsidR="007110AF">
        <w:rPr>
          <w:rFonts w:ascii="Franklin Gothic Book" w:hAnsi="Franklin Gothic Book"/>
          <w:sz w:val="22"/>
        </w:rPr>
        <w:t xml:space="preserve"> co</w:t>
      </w:r>
      <w:r w:rsidRPr="00B816E7">
        <w:rPr>
          <w:rFonts w:ascii="Franklin Gothic Book" w:hAnsi="Franklin Gothic Book"/>
          <w:sz w:val="22"/>
        </w:rPr>
        <w:t>s</w:t>
      </w:r>
      <w:r w:rsidR="007110AF">
        <w:rPr>
          <w:rFonts w:ascii="Franklin Gothic Book" w:hAnsi="Franklin Gothic Book"/>
          <w:sz w:val="22"/>
        </w:rPr>
        <w:t>t</w:t>
      </w:r>
      <w:r w:rsidR="00474D11">
        <w:rPr>
          <w:rFonts w:ascii="Franklin Gothic Book" w:hAnsi="Franklin Gothic Book"/>
          <w:sz w:val="22"/>
        </w:rPr>
        <w:t xml:space="preserve"> or the cost-effectiveness</w:t>
      </w:r>
      <w:r w:rsidR="00D0037F">
        <w:rPr>
          <w:rFonts w:ascii="Franklin Gothic Book" w:hAnsi="Franklin Gothic Book"/>
          <w:sz w:val="22"/>
        </w:rPr>
        <w:t xml:space="preserve"> of testing</w:t>
      </w:r>
      <w:r w:rsidRPr="00B816E7">
        <w:rPr>
          <w:rFonts w:ascii="Franklin Gothic Book" w:hAnsi="Franklin Gothic Book"/>
          <w:sz w:val="22"/>
        </w:rPr>
        <w:t xml:space="preserve">. </w:t>
      </w:r>
      <w:r w:rsidR="00526B4A">
        <w:rPr>
          <w:rFonts w:ascii="Franklin Gothic Book" w:hAnsi="Franklin Gothic Book"/>
          <w:sz w:val="22"/>
        </w:rPr>
        <w:t xml:space="preserve">Overall, MSAC advised the financial cost of </w:t>
      </w:r>
      <w:r w:rsidR="00526B4A">
        <w:rPr>
          <w:rFonts w:ascii="Franklin Gothic Book" w:hAnsi="Franklin Gothic Book"/>
          <w:i/>
          <w:iCs/>
          <w:sz w:val="22"/>
        </w:rPr>
        <w:t xml:space="preserve">IDH1 </w:t>
      </w:r>
      <w:r w:rsidR="00474D11" w:rsidRPr="00474D11">
        <w:rPr>
          <w:rFonts w:ascii="Franklin Gothic Book" w:hAnsi="Franklin Gothic Book"/>
          <w:sz w:val="22"/>
        </w:rPr>
        <w:t xml:space="preserve">testing </w:t>
      </w:r>
      <w:r w:rsidR="00526B4A">
        <w:rPr>
          <w:rFonts w:ascii="Franklin Gothic Book" w:hAnsi="Franklin Gothic Book"/>
          <w:sz w:val="22"/>
        </w:rPr>
        <w:t xml:space="preserve">to the MBS </w:t>
      </w:r>
      <w:r w:rsidR="00C752AC">
        <w:rPr>
          <w:rFonts w:ascii="Franklin Gothic Book" w:hAnsi="Franklin Gothic Book"/>
          <w:sz w:val="22"/>
        </w:rPr>
        <w:t>was</w:t>
      </w:r>
      <w:r w:rsidR="00526B4A">
        <w:rPr>
          <w:rFonts w:ascii="Franklin Gothic Book" w:hAnsi="Franklin Gothic Book"/>
          <w:sz w:val="22"/>
        </w:rPr>
        <w:t xml:space="preserve"> </w:t>
      </w:r>
      <w:r w:rsidR="00C752AC">
        <w:rPr>
          <w:rFonts w:ascii="Franklin Gothic Book" w:hAnsi="Franklin Gothic Book"/>
          <w:sz w:val="22"/>
        </w:rPr>
        <w:t>acceptable</w:t>
      </w:r>
      <w:r w:rsidR="00526B4A">
        <w:rPr>
          <w:rFonts w:ascii="Franklin Gothic Book" w:hAnsi="Franklin Gothic Book"/>
          <w:sz w:val="22"/>
        </w:rPr>
        <w:t xml:space="preserve">. However, given the remaining uncertainty around test volumes, </w:t>
      </w:r>
      <w:r w:rsidRPr="00B816E7">
        <w:rPr>
          <w:rFonts w:ascii="Franklin Gothic Book" w:hAnsi="Franklin Gothic Book"/>
          <w:sz w:val="22"/>
        </w:rPr>
        <w:t xml:space="preserve">MSAC </w:t>
      </w:r>
      <w:r w:rsidR="00DB78EB">
        <w:rPr>
          <w:rFonts w:ascii="Franklin Gothic Book" w:hAnsi="Franklin Gothic Book"/>
          <w:sz w:val="22"/>
        </w:rPr>
        <w:t xml:space="preserve">considered </w:t>
      </w:r>
      <w:r w:rsidR="00C752AC">
        <w:rPr>
          <w:rFonts w:ascii="Franklin Gothic Book" w:hAnsi="Franklin Gothic Book"/>
          <w:sz w:val="22"/>
        </w:rPr>
        <w:t xml:space="preserve">if it were to support this testing, </w:t>
      </w:r>
      <w:r w:rsidR="00DB78EB">
        <w:rPr>
          <w:rFonts w:ascii="Franklin Gothic Book" w:hAnsi="Franklin Gothic Book"/>
          <w:sz w:val="22"/>
        </w:rPr>
        <w:t>it would be appropriate to review</w:t>
      </w:r>
      <w:r w:rsidR="00526B4A">
        <w:rPr>
          <w:rFonts w:ascii="Franklin Gothic Book" w:hAnsi="Franklin Gothic Book"/>
          <w:sz w:val="22"/>
        </w:rPr>
        <w:t xml:space="preserve"> service volumes following implementation</w:t>
      </w:r>
      <w:r w:rsidRPr="00B816E7">
        <w:rPr>
          <w:rFonts w:ascii="Franklin Gothic Book" w:hAnsi="Franklin Gothic Book"/>
          <w:sz w:val="22"/>
        </w:rPr>
        <w:t>.</w:t>
      </w:r>
      <w:r w:rsidR="00750779" w:rsidRPr="00750779">
        <w:rPr>
          <w:rFonts w:ascii="Franklin Gothic Book" w:hAnsi="Franklin Gothic Book"/>
          <w:sz w:val="22"/>
        </w:rPr>
        <w:t xml:space="preserve"> </w:t>
      </w:r>
      <w:r w:rsidR="00750779">
        <w:rPr>
          <w:rFonts w:ascii="Franklin Gothic Book" w:hAnsi="Franklin Gothic Book"/>
          <w:sz w:val="22"/>
        </w:rPr>
        <w:t>MSAC considered implementation issues would be unlikely for this testing as similar testing is already being done for other cancers</w:t>
      </w:r>
      <w:r w:rsidR="00F6284A">
        <w:rPr>
          <w:rFonts w:ascii="Franklin Gothic Book" w:hAnsi="Franklin Gothic Book"/>
          <w:sz w:val="22"/>
        </w:rPr>
        <w:t>.</w:t>
      </w:r>
    </w:p>
    <w:p w14:paraId="4C46C051" w14:textId="2222FEE0" w:rsidR="00225C0A" w:rsidRDefault="00225C0A" w:rsidP="00225C0A">
      <w:pPr>
        <w:rPr>
          <w:rFonts w:ascii="Franklin Gothic Book" w:hAnsi="Franklin Gothic Book"/>
          <w:sz w:val="22"/>
        </w:rPr>
      </w:pPr>
      <w:r w:rsidRPr="00B816E7">
        <w:rPr>
          <w:rFonts w:ascii="Franklin Gothic Book" w:hAnsi="Franklin Gothic Book"/>
          <w:sz w:val="22"/>
        </w:rPr>
        <w:t xml:space="preserve">MSAC noted </w:t>
      </w:r>
      <w:r w:rsidR="00846015">
        <w:rPr>
          <w:rFonts w:ascii="Franklin Gothic Book" w:hAnsi="Franklin Gothic Book"/>
          <w:sz w:val="22"/>
        </w:rPr>
        <w:t>ESC’s</w:t>
      </w:r>
      <w:r w:rsidRPr="00B816E7">
        <w:rPr>
          <w:rFonts w:ascii="Franklin Gothic Book" w:hAnsi="Franklin Gothic Book"/>
          <w:sz w:val="22"/>
        </w:rPr>
        <w:t xml:space="preserve"> </w:t>
      </w:r>
      <w:r w:rsidR="00846015">
        <w:rPr>
          <w:rFonts w:ascii="Franklin Gothic Book" w:hAnsi="Franklin Gothic Book"/>
          <w:sz w:val="22"/>
        </w:rPr>
        <w:t xml:space="preserve">revisions to the </w:t>
      </w:r>
      <w:r w:rsidRPr="00B816E7">
        <w:rPr>
          <w:rFonts w:ascii="Franklin Gothic Book" w:hAnsi="Franklin Gothic Book"/>
          <w:sz w:val="22"/>
        </w:rPr>
        <w:t xml:space="preserve">proposed MBS </w:t>
      </w:r>
      <w:r w:rsidR="00D17EC0">
        <w:rPr>
          <w:rFonts w:ascii="Franklin Gothic Book" w:hAnsi="Franklin Gothic Book"/>
          <w:sz w:val="22"/>
        </w:rPr>
        <w:t xml:space="preserve">item </w:t>
      </w:r>
      <w:r w:rsidRPr="00B816E7">
        <w:rPr>
          <w:rFonts w:ascii="Franklin Gothic Book" w:hAnsi="Franklin Gothic Book"/>
          <w:sz w:val="22"/>
        </w:rPr>
        <w:t xml:space="preserve">descriptor </w:t>
      </w:r>
      <w:r w:rsidR="00575770">
        <w:rPr>
          <w:rFonts w:ascii="Franklin Gothic Book" w:hAnsi="Franklin Gothic Book"/>
          <w:sz w:val="22"/>
        </w:rPr>
        <w:t>and ESC’s advice that in contemporary clinical practice</w:t>
      </w:r>
      <w:r w:rsidR="000D2195">
        <w:rPr>
          <w:rFonts w:ascii="Franklin Gothic Book" w:hAnsi="Franklin Gothic Book"/>
          <w:sz w:val="22"/>
        </w:rPr>
        <w:t xml:space="preserve"> </w:t>
      </w:r>
      <w:r w:rsidR="00575770">
        <w:rPr>
          <w:rFonts w:ascii="Franklin Gothic Book" w:hAnsi="Franklin Gothic Book"/>
          <w:sz w:val="22"/>
        </w:rPr>
        <w:t>a gene panel test is used</w:t>
      </w:r>
      <w:r w:rsidR="00D17EC0">
        <w:rPr>
          <w:rFonts w:ascii="Franklin Gothic Book" w:hAnsi="Franklin Gothic Book"/>
          <w:sz w:val="22"/>
        </w:rPr>
        <w:t>.</w:t>
      </w:r>
      <w:r w:rsidR="00575770">
        <w:rPr>
          <w:rFonts w:ascii="Franklin Gothic Book" w:hAnsi="Franklin Gothic Book"/>
          <w:sz w:val="22"/>
        </w:rPr>
        <w:t xml:space="preserve"> </w:t>
      </w:r>
      <w:r w:rsidR="00846015">
        <w:rPr>
          <w:rFonts w:ascii="Franklin Gothic Book" w:hAnsi="Franklin Gothic Book"/>
          <w:sz w:val="22"/>
        </w:rPr>
        <w:t xml:space="preserve">MSAC </w:t>
      </w:r>
      <w:r w:rsidR="008C10CE">
        <w:rPr>
          <w:rFonts w:ascii="Franklin Gothic Book" w:hAnsi="Franklin Gothic Book"/>
          <w:sz w:val="22"/>
        </w:rPr>
        <w:t xml:space="preserve">considered </w:t>
      </w:r>
      <w:r w:rsidR="00575770">
        <w:rPr>
          <w:rFonts w:ascii="Franklin Gothic Book" w:hAnsi="Franklin Gothic Book"/>
          <w:sz w:val="22"/>
        </w:rPr>
        <w:t xml:space="preserve">the </w:t>
      </w:r>
      <w:r w:rsidR="00773517">
        <w:rPr>
          <w:rFonts w:ascii="Franklin Gothic Book" w:hAnsi="Franklin Gothic Book"/>
          <w:sz w:val="22"/>
        </w:rPr>
        <w:t xml:space="preserve">method-agnostic description of testing for </w:t>
      </w:r>
      <w:r w:rsidR="00773517" w:rsidRPr="00773517">
        <w:rPr>
          <w:rFonts w:ascii="Franklin Gothic Book" w:hAnsi="Franklin Gothic Book"/>
          <w:i/>
          <w:iCs/>
          <w:sz w:val="22"/>
        </w:rPr>
        <w:t>IDH1</w:t>
      </w:r>
      <w:r w:rsidR="00773517">
        <w:rPr>
          <w:rFonts w:ascii="Franklin Gothic Book" w:hAnsi="Franklin Gothic Book"/>
          <w:sz w:val="22"/>
        </w:rPr>
        <w:t xml:space="preserve"> variant status </w:t>
      </w:r>
      <w:r w:rsidR="008C10CE" w:rsidRPr="00773517">
        <w:rPr>
          <w:rFonts w:ascii="Franklin Gothic Book" w:hAnsi="Franklin Gothic Book"/>
          <w:sz w:val="22"/>
        </w:rPr>
        <w:t>was</w:t>
      </w:r>
      <w:r w:rsidR="008C10CE">
        <w:rPr>
          <w:rFonts w:ascii="Franklin Gothic Book" w:hAnsi="Franklin Gothic Book"/>
          <w:sz w:val="22"/>
        </w:rPr>
        <w:t xml:space="preserve"> </w:t>
      </w:r>
      <w:r w:rsidR="00846015">
        <w:rPr>
          <w:rFonts w:ascii="Franklin Gothic Book" w:hAnsi="Franklin Gothic Book"/>
          <w:sz w:val="22"/>
        </w:rPr>
        <w:t>appropriate and would not preclude claiming this service when a gene panel was used</w:t>
      </w:r>
      <w:r w:rsidRPr="00B816E7">
        <w:rPr>
          <w:rFonts w:ascii="Franklin Gothic Book" w:hAnsi="Franklin Gothic Book"/>
          <w:sz w:val="22"/>
        </w:rPr>
        <w:t xml:space="preserve">. MSAC considered the proposed fee of $340 was appropriate, as this is the same fee for </w:t>
      </w:r>
      <w:r w:rsidR="001A6C0B">
        <w:rPr>
          <w:rFonts w:ascii="Franklin Gothic Book" w:hAnsi="Franklin Gothic Book"/>
          <w:sz w:val="22"/>
        </w:rPr>
        <w:t>existing MBS-listed</w:t>
      </w:r>
      <w:r w:rsidRPr="00B816E7">
        <w:rPr>
          <w:rFonts w:ascii="Franklin Gothic Book" w:hAnsi="Franklin Gothic Book"/>
          <w:sz w:val="22"/>
        </w:rPr>
        <w:t xml:space="preserve"> </w:t>
      </w:r>
      <w:r w:rsidRPr="00B816E7">
        <w:rPr>
          <w:rFonts w:ascii="Franklin Gothic Book" w:hAnsi="Franklin Gothic Book"/>
          <w:i/>
          <w:iCs/>
          <w:sz w:val="22"/>
        </w:rPr>
        <w:t>IDH1/2</w:t>
      </w:r>
      <w:r w:rsidRPr="00B816E7">
        <w:rPr>
          <w:rFonts w:ascii="Franklin Gothic Book" w:hAnsi="Franklin Gothic Book"/>
          <w:sz w:val="22"/>
        </w:rPr>
        <w:t xml:space="preserve"> </w:t>
      </w:r>
      <w:r w:rsidR="001A6C0B">
        <w:rPr>
          <w:rFonts w:ascii="Franklin Gothic Book" w:hAnsi="Franklin Gothic Book"/>
          <w:sz w:val="22"/>
        </w:rPr>
        <w:t xml:space="preserve">genetic </w:t>
      </w:r>
      <w:r w:rsidRPr="00B816E7">
        <w:rPr>
          <w:rFonts w:ascii="Franklin Gothic Book" w:hAnsi="Franklin Gothic Book"/>
          <w:sz w:val="22"/>
        </w:rPr>
        <w:t xml:space="preserve">testing. </w:t>
      </w:r>
      <w:r w:rsidR="001A6C0B">
        <w:rPr>
          <w:rFonts w:ascii="Franklin Gothic Book" w:hAnsi="Franklin Gothic Book"/>
          <w:sz w:val="22"/>
        </w:rPr>
        <w:t>MSAC noted the proposed</w:t>
      </w:r>
      <w:r w:rsidRPr="00B816E7">
        <w:rPr>
          <w:rFonts w:ascii="Franklin Gothic Book" w:hAnsi="Franklin Gothic Book"/>
          <w:sz w:val="22"/>
        </w:rPr>
        <w:t xml:space="preserve"> once per lifetime restriction, </w:t>
      </w:r>
      <w:r w:rsidR="00E90129">
        <w:rPr>
          <w:rFonts w:ascii="Franklin Gothic Book" w:hAnsi="Franklin Gothic Book"/>
          <w:sz w:val="22"/>
        </w:rPr>
        <w:t>and</w:t>
      </w:r>
      <w:r w:rsidRPr="00B816E7">
        <w:rPr>
          <w:rFonts w:ascii="Franklin Gothic Book" w:hAnsi="Franklin Gothic Book"/>
          <w:sz w:val="22"/>
        </w:rPr>
        <w:t xml:space="preserve"> </w:t>
      </w:r>
      <w:r w:rsidR="00BD0612">
        <w:rPr>
          <w:rFonts w:ascii="Franklin Gothic Book" w:hAnsi="Franklin Gothic Book"/>
          <w:sz w:val="22"/>
        </w:rPr>
        <w:t>co</w:t>
      </w:r>
      <w:r w:rsidRPr="00B816E7">
        <w:rPr>
          <w:rFonts w:ascii="Franklin Gothic Book" w:hAnsi="Franklin Gothic Book"/>
          <w:sz w:val="22"/>
        </w:rPr>
        <w:t>nsidered</w:t>
      </w:r>
      <w:r w:rsidR="00E90129">
        <w:rPr>
          <w:rFonts w:ascii="Franklin Gothic Book" w:hAnsi="Franklin Gothic Book"/>
          <w:sz w:val="22"/>
        </w:rPr>
        <w:t xml:space="preserve"> this</w:t>
      </w:r>
      <w:r w:rsidRPr="00B816E7">
        <w:rPr>
          <w:rFonts w:ascii="Franklin Gothic Book" w:hAnsi="Franklin Gothic Book"/>
          <w:sz w:val="22"/>
        </w:rPr>
        <w:t xml:space="preserve"> to be reasonable</w:t>
      </w:r>
      <w:r w:rsidR="00E90129">
        <w:rPr>
          <w:rFonts w:ascii="Franklin Gothic Book" w:hAnsi="Franklin Gothic Book"/>
          <w:sz w:val="22"/>
        </w:rPr>
        <w:t xml:space="preserve"> given the typically poor prognosis of patients with </w:t>
      </w:r>
      <w:r w:rsidR="001D6C15">
        <w:rPr>
          <w:rFonts w:ascii="Franklin Gothic Book" w:hAnsi="Franklin Gothic Book"/>
          <w:sz w:val="22"/>
        </w:rPr>
        <w:t>CCA</w:t>
      </w:r>
      <w:r w:rsidRPr="00B816E7">
        <w:rPr>
          <w:rFonts w:ascii="Franklin Gothic Book" w:hAnsi="Franklin Gothic Book"/>
          <w:sz w:val="22"/>
        </w:rPr>
        <w:t xml:space="preserve">. MSAC also </w:t>
      </w:r>
      <w:r w:rsidR="00BD0612">
        <w:rPr>
          <w:rFonts w:ascii="Franklin Gothic Book" w:hAnsi="Franklin Gothic Book"/>
          <w:sz w:val="22"/>
        </w:rPr>
        <w:t>agreed with ESC in considering that</w:t>
      </w:r>
      <w:r w:rsidRPr="00B816E7">
        <w:rPr>
          <w:rFonts w:ascii="Franklin Gothic Book" w:hAnsi="Franklin Gothic Book"/>
          <w:sz w:val="22"/>
        </w:rPr>
        <w:t xml:space="preserve"> it </w:t>
      </w:r>
      <w:r w:rsidR="00E90129">
        <w:rPr>
          <w:rFonts w:ascii="Franklin Gothic Book" w:hAnsi="Franklin Gothic Book"/>
          <w:sz w:val="22"/>
        </w:rPr>
        <w:t xml:space="preserve">was </w:t>
      </w:r>
      <w:r w:rsidR="00BD0612">
        <w:rPr>
          <w:rFonts w:ascii="Franklin Gothic Book" w:hAnsi="Franklin Gothic Book"/>
          <w:sz w:val="22"/>
        </w:rPr>
        <w:t>un</w:t>
      </w:r>
      <w:r w:rsidRPr="00B816E7">
        <w:rPr>
          <w:rFonts w:ascii="Franklin Gothic Book" w:hAnsi="Franklin Gothic Book"/>
          <w:sz w:val="22"/>
        </w:rPr>
        <w:t xml:space="preserve">necessary </w:t>
      </w:r>
      <w:r w:rsidR="00E90129">
        <w:rPr>
          <w:rFonts w:ascii="Franklin Gothic Book" w:hAnsi="Franklin Gothic Book"/>
          <w:sz w:val="22"/>
        </w:rPr>
        <w:t xml:space="preserve">for the MBS item descriptor </w:t>
      </w:r>
      <w:r w:rsidRPr="00B816E7">
        <w:rPr>
          <w:rFonts w:ascii="Franklin Gothic Book" w:hAnsi="Franklin Gothic Book"/>
          <w:sz w:val="22"/>
        </w:rPr>
        <w:t xml:space="preserve">to </w:t>
      </w:r>
      <w:r w:rsidR="00E90129">
        <w:rPr>
          <w:rFonts w:ascii="Franklin Gothic Book" w:hAnsi="Franklin Gothic Book"/>
          <w:sz w:val="22"/>
        </w:rPr>
        <w:t>specif</w:t>
      </w:r>
      <w:r w:rsidR="00BD0612">
        <w:rPr>
          <w:rFonts w:ascii="Franklin Gothic Book" w:hAnsi="Franklin Gothic Book"/>
          <w:sz w:val="22"/>
        </w:rPr>
        <w:t>y</w:t>
      </w:r>
      <w:r w:rsidR="00E90129">
        <w:rPr>
          <w:rFonts w:ascii="Franklin Gothic Book" w:hAnsi="Franklin Gothic Book"/>
          <w:sz w:val="22"/>
        </w:rPr>
        <w:t xml:space="preserve"> the test </w:t>
      </w:r>
      <w:r w:rsidR="00D84944">
        <w:rPr>
          <w:rFonts w:ascii="Franklin Gothic Book" w:hAnsi="Franklin Gothic Book"/>
          <w:sz w:val="22"/>
        </w:rPr>
        <w:t xml:space="preserve">was </w:t>
      </w:r>
      <w:r w:rsidR="00E90129">
        <w:rPr>
          <w:rFonts w:ascii="Franklin Gothic Book" w:hAnsi="Franklin Gothic Book"/>
          <w:sz w:val="22"/>
        </w:rPr>
        <w:t xml:space="preserve">for </w:t>
      </w:r>
      <w:r w:rsidR="00BD0612">
        <w:rPr>
          <w:rFonts w:ascii="Franklin Gothic Book" w:hAnsi="Franklin Gothic Book"/>
          <w:sz w:val="22"/>
        </w:rPr>
        <w:t>“</w:t>
      </w:r>
      <w:r w:rsidRPr="00B816E7">
        <w:rPr>
          <w:rFonts w:ascii="Franklin Gothic Book" w:hAnsi="Franklin Gothic Book"/>
          <w:sz w:val="22"/>
        </w:rPr>
        <w:t>p.R132</w:t>
      </w:r>
      <w:r w:rsidR="003A6EEB">
        <w:rPr>
          <w:rFonts w:ascii="Franklin Gothic Book" w:hAnsi="Franklin Gothic Book"/>
          <w:sz w:val="22"/>
        </w:rPr>
        <w:t>X</w:t>
      </w:r>
      <w:r w:rsidRPr="00B816E7">
        <w:rPr>
          <w:rFonts w:ascii="Franklin Gothic Book" w:hAnsi="Franklin Gothic Book"/>
          <w:sz w:val="22"/>
        </w:rPr>
        <w:t xml:space="preserve"> </w:t>
      </w:r>
      <w:r w:rsidR="00BD0612">
        <w:rPr>
          <w:rFonts w:ascii="Franklin Gothic Book" w:hAnsi="Franklin Gothic Book"/>
          <w:sz w:val="22"/>
        </w:rPr>
        <w:t xml:space="preserve">tier I” </w:t>
      </w:r>
      <w:r w:rsidRPr="00B816E7">
        <w:rPr>
          <w:rFonts w:ascii="Franklin Gothic Book" w:hAnsi="Franklin Gothic Book"/>
          <w:sz w:val="22"/>
        </w:rPr>
        <w:t>variants</w:t>
      </w:r>
      <w:r w:rsidR="00E90129">
        <w:rPr>
          <w:rFonts w:ascii="Franklin Gothic Book" w:hAnsi="Franklin Gothic Book"/>
          <w:sz w:val="22"/>
        </w:rPr>
        <w:t xml:space="preserve">, </w:t>
      </w:r>
      <w:r w:rsidR="00ED3FFF">
        <w:rPr>
          <w:rFonts w:ascii="Franklin Gothic Book" w:hAnsi="Franklin Gothic Book"/>
          <w:sz w:val="22"/>
        </w:rPr>
        <w:t>as the MBS item descriptor only needs to describe what the test is to examine</w:t>
      </w:r>
      <w:r w:rsidR="00D84944">
        <w:rPr>
          <w:rFonts w:ascii="Franklin Gothic Book" w:hAnsi="Franklin Gothic Book"/>
          <w:sz w:val="22"/>
        </w:rPr>
        <w:t xml:space="preserve"> (in this case, </w:t>
      </w:r>
      <w:r w:rsidR="00D84944">
        <w:rPr>
          <w:rFonts w:ascii="Franklin Gothic Book" w:hAnsi="Franklin Gothic Book"/>
          <w:i/>
          <w:iCs/>
          <w:sz w:val="22"/>
        </w:rPr>
        <w:t xml:space="preserve">IDH1 </w:t>
      </w:r>
      <w:r w:rsidR="00D84944">
        <w:rPr>
          <w:rFonts w:ascii="Franklin Gothic Book" w:hAnsi="Franklin Gothic Book"/>
          <w:sz w:val="22"/>
        </w:rPr>
        <w:t>variant status)</w:t>
      </w:r>
      <w:r w:rsidR="00BD0612">
        <w:rPr>
          <w:rFonts w:ascii="Franklin Gothic Book" w:hAnsi="Franklin Gothic Book"/>
          <w:sz w:val="22"/>
        </w:rPr>
        <w:t xml:space="preserve">, rather than </w:t>
      </w:r>
      <w:r w:rsidR="00ED3FFF">
        <w:rPr>
          <w:rFonts w:ascii="Franklin Gothic Book" w:hAnsi="Franklin Gothic Book"/>
          <w:sz w:val="22"/>
        </w:rPr>
        <w:t>the test result required to grant PBS access</w:t>
      </w:r>
      <w:r w:rsidRPr="00B816E7">
        <w:rPr>
          <w:rFonts w:ascii="Franklin Gothic Book" w:hAnsi="Franklin Gothic Book"/>
          <w:sz w:val="22"/>
        </w:rPr>
        <w:t xml:space="preserve">. MSAC </w:t>
      </w:r>
      <w:r w:rsidR="00D84944">
        <w:rPr>
          <w:rFonts w:ascii="Franklin Gothic Book" w:hAnsi="Franklin Gothic Book"/>
          <w:sz w:val="22"/>
        </w:rPr>
        <w:t xml:space="preserve">noted the applicant had proposed the </w:t>
      </w:r>
      <w:r w:rsidR="003A6EEB">
        <w:rPr>
          <w:rFonts w:ascii="Franklin Gothic Book" w:hAnsi="Franklin Gothic Book"/>
          <w:sz w:val="22"/>
        </w:rPr>
        <w:t xml:space="preserve">item descriptor state that the </w:t>
      </w:r>
      <w:r w:rsidR="00D84944">
        <w:rPr>
          <w:rFonts w:ascii="Franklin Gothic Book" w:hAnsi="Franklin Gothic Book"/>
          <w:sz w:val="22"/>
        </w:rPr>
        <w:t xml:space="preserve">test provide access to ivosidenib specifically, but </w:t>
      </w:r>
      <w:r w:rsidR="00A8693A">
        <w:rPr>
          <w:rFonts w:ascii="Franklin Gothic Book" w:hAnsi="Franklin Gothic Book"/>
          <w:sz w:val="22"/>
        </w:rPr>
        <w:t xml:space="preserve">MSAC </w:t>
      </w:r>
      <w:r w:rsidRPr="00B816E7">
        <w:rPr>
          <w:rFonts w:ascii="Franklin Gothic Book" w:hAnsi="Franklin Gothic Book"/>
          <w:sz w:val="22"/>
        </w:rPr>
        <w:t xml:space="preserve">considered </w:t>
      </w:r>
      <w:r w:rsidR="00D84944">
        <w:rPr>
          <w:rFonts w:ascii="Franklin Gothic Book" w:hAnsi="Franklin Gothic Book"/>
          <w:sz w:val="22"/>
        </w:rPr>
        <w:t>that</w:t>
      </w:r>
      <w:r w:rsidRPr="00B816E7">
        <w:rPr>
          <w:rFonts w:ascii="Franklin Gothic Book" w:hAnsi="Franklin Gothic Book"/>
          <w:sz w:val="22"/>
        </w:rPr>
        <w:t xml:space="preserve"> </w:t>
      </w:r>
      <w:proofErr w:type="spellStart"/>
      <w:r w:rsidRPr="00B816E7">
        <w:rPr>
          <w:rFonts w:ascii="Franklin Gothic Book" w:hAnsi="Franklin Gothic Book"/>
          <w:sz w:val="22"/>
        </w:rPr>
        <w:t>refer</w:t>
      </w:r>
      <w:r w:rsidR="00D84944">
        <w:rPr>
          <w:rFonts w:ascii="Franklin Gothic Book" w:hAnsi="Franklin Gothic Book"/>
          <w:sz w:val="22"/>
        </w:rPr>
        <w:t>ring</w:t>
      </w:r>
      <w:proofErr w:type="spellEnd"/>
      <w:r w:rsidRPr="00B816E7">
        <w:rPr>
          <w:rFonts w:ascii="Franklin Gothic Book" w:hAnsi="Franklin Gothic Book"/>
          <w:sz w:val="22"/>
        </w:rPr>
        <w:t xml:space="preserve"> </w:t>
      </w:r>
      <w:r w:rsidR="00F94CBA">
        <w:rPr>
          <w:rFonts w:ascii="Franklin Gothic Book" w:hAnsi="Franklin Gothic Book"/>
          <w:sz w:val="22"/>
        </w:rPr>
        <w:t xml:space="preserve">instead </w:t>
      </w:r>
      <w:r w:rsidRPr="00B816E7">
        <w:rPr>
          <w:rFonts w:ascii="Franklin Gothic Book" w:hAnsi="Franklin Gothic Book"/>
          <w:sz w:val="22"/>
        </w:rPr>
        <w:t>to “</w:t>
      </w:r>
      <w:r w:rsidR="00D84944">
        <w:rPr>
          <w:rFonts w:ascii="Franklin Gothic Book" w:hAnsi="Franklin Gothic Book"/>
          <w:sz w:val="22"/>
        </w:rPr>
        <w:t xml:space="preserve">a </w:t>
      </w:r>
      <w:r w:rsidRPr="00B816E7">
        <w:rPr>
          <w:rFonts w:ascii="Franklin Gothic Book" w:hAnsi="Franklin Gothic Book"/>
          <w:sz w:val="22"/>
        </w:rPr>
        <w:t xml:space="preserve">relevant treatment under the Pharmaceutical Benefits Scheme” </w:t>
      </w:r>
      <w:r w:rsidR="00D84944">
        <w:rPr>
          <w:rFonts w:ascii="Franklin Gothic Book" w:hAnsi="Franklin Gothic Book"/>
          <w:sz w:val="22"/>
        </w:rPr>
        <w:t xml:space="preserve">would </w:t>
      </w:r>
      <w:r w:rsidRPr="00B816E7">
        <w:rPr>
          <w:rFonts w:ascii="Franklin Gothic Book" w:hAnsi="Franklin Gothic Book"/>
          <w:sz w:val="22"/>
        </w:rPr>
        <w:t xml:space="preserve">futureproof the </w:t>
      </w:r>
      <w:r w:rsidR="00D84944">
        <w:rPr>
          <w:rFonts w:ascii="Franklin Gothic Book" w:hAnsi="Franklin Gothic Book"/>
          <w:sz w:val="22"/>
        </w:rPr>
        <w:t>d</w:t>
      </w:r>
      <w:r w:rsidR="00F94CBA">
        <w:rPr>
          <w:rFonts w:ascii="Franklin Gothic Book" w:hAnsi="Franklin Gothic Book"/>
          <w:sz w:val="22"/>
        </w:rPr>
        <w:t>e</w:t>
      </w:r>
      <w:r w:rsidR="00D84944">
        <w:rPr>
          <w:rFonts w:ascii="Franklin Gothic Book" w:hAnsi="Franklin Gothic Book"/>
          <w:sz w:val="22"/>
        </w:rPr>
        <w:t>scriptor</w:t>
      </w:r>
      <w:r w:rsidRPr="00B816E7">
        <w:rPr>
          <w:rFonts w:ascii="Franklin Gothic Book" w:hAnsi="Franklin Gothic Book"/>
          <w:sz w:val="22"/>
        </w:rPr>
        <w:t>.</w:t>
      </w:r>
      <w:r w:rsidR="000E35A0">
        <w:rPr>
          <w:rFonts w:ascii="Franklin Gothic Book" w:hAnsi="Franklin Gothic Book"/>
          <w:sz w:val="22"/>
        </w:rPr>
        <w:t xml:space="preserve"> MSAC </w:t>
      </w:r>
      <w:r w:rsidR="005E0E1A">
        <w:rPr>
          <w:rFonts w:ascii="Franklin Gothic Book" w:hAnsi="Franklin Gothic Book"/>
          <w:sz w:val="22"/>
        </w:rPr>
        <w:t xml:space="preserve">considered that it was ideal to align comparable wording between different MBS item descriptors where appropriate, and </w:t>
      </w:r>
      <w:r w:rsidR="000E35A0">
        <w:rPr>
          <w:rFonts w:ascii="Franklin Gothic Book" w:hAnsi="Franklin Gothic Book"/>
          <w:sz w:val="22"/>
        </w:rPr>
        <w:t>noted “</w:t>
      </w:r>
      <w:r w:rsidR="005E0E1A">
        <w:rPr>
          <w:rFonts w:ascii="Franklin Gothic Book" w:hAnsi="Franklin Gothic Book"/>
          <w:sz w:val="22"/>
        </w:rPr>
        <w:t xml:space="preserve">a </w:t>
      </w:r>
      <w:r w:rsidR="000E35A0">
        <w:rPr>
          <w:rFonts w:ascii="Franklin Gothic Book" w:hAnsi="Franklin Gothic Book"/>
          <w:sz w:val="22"/>
        </w:rPr>
        <w:t>relevant</w:t>
      </w:r>
      <w:r w:rsidR="005E0E1A">
        <w:rPr>
          <w:rFonts w:ascii="Franklin Gothic Book" w:hAnsi="Franklin Gothic Book"/>
          <w:sz w:val="22"/>
        </w:rPr>
        <w:t xml:space="preserve"> treatment</w:t>
      </w:r>
      <w:r w:rsidR="000E35A0">
        <w:rPr>
          <w:rFonts w:ascii="Franklin Gothic Book" w:hAnsi="Franklin Gothic Book"/>
          <w:sz w:val="22"/>
        </w:rPr>
        <w:t xml:space="preserve">” would align with its previously advised wording under </w:t>
      </w:r>
      <w:r w:rsidR="005E0E1A">
        <w:rPr>
          <w:rFonts w:ascii="Franklin Gothic Book" w:hAnsi="Franklin Gothic Book"/>
          <w:sz w:val="22"/>
        </w:rPr>
        <w:t xml:space="preserve">MSAC </w:t>
      </w:r>
      <w:r w:rsidR="000E35A0">
        <w:rPr>
          <w:rFonts w:ascii="Franklin Gothic Book" w:hAnsi="Franklin Gothic Book"/>
          <w:sz w:val="22"/>
        </w:rPr>
        <w:t>application 1765.</w:t>
      </w:r>
      <w:r w:rsidR="000A3533">
        <w:rPr>
          <w:rFonts w:ascii="Franklin Gothic Book" w:hAnsi="Franklin Gothic Book"/>
          <w:sz w:val="22"/>
        </w:rPr>
        <w:t xml:space="preserve"> </w:t>
      </w:r>
      <w:r w:rsidR="000A3533" w:rsidRPr="00B816E7">
        <w:rPr>
          <w:rFonts w:ascii="Franklin Gothic Book" w:hAnsi="Franklin Gothic Book"/>
          <w:sz w:val="22"/>
        </w:rPr>
        <w:t>MSAC considered the test should be pathologist</w:t>
      </w:r>
      <w:r w:rsidR="000A3533">
        <w:rPr>
          <w:rFonts w:ascii="Franklin Gothic Book" w:hAnsi="Franklin Gothic Book"/>
          <w:sz w:val="22"/>
        </w:rPr>
        <w:t>-</w:t>
      </w:r>
      <w:r w:rsidR="000A3533" w:rsidRPr="00B816E7">
        <w:rPr>
          <w:rFonts w:ascii="Franklin Gothic Book" w:hAnsi="Franklin Gothic Book"/>
          <w:sz w:val="22"/>
        </w:rPr>
        <w:t xml:space="preserve">determinable, as previous testing as part of tissue examination and cytology MBS items would be performed to </w:t>
      </w:r>
      <w:r w:rsidR="000A3533">
        <w:rPr>
          <w:rFonts w:ascii="Franklin Gothic Book" w:hAnsi="Franklin Gothic Book"/>
          <w:sz w:val="22"/>
        </w:rPr>
        <w:t xml:space="preserve">provide a diagnosis of </w:t>
      </w:r>
      <w:r w:rsidR="00795CC4">
        <w:rPr>
          <w:rFonts w:ascii="Franklin Gothic Book" w:hAnsi="Franklin Gothic Book"/>
          <w:sz w:val="22"/>
        </w:rPr>
        <w:t xml:space="preserve">CCA </w:t>
      </w:r>
      <w:r w:rsidR="000A3533">
        <w:rPr>
          <w:rFonts w:ascii="Franklin Gothic Book" w:hAnsi="Franklin Gothic Book"/>
          <w:sz w:val="22"/>
        </w:rPr>
        <w:t xml:space="preserve">and so </w:t>
      </w:r>
      <w:r w:rsidR="000A3533" w:rsidRPr="00B816E7">
        <w:rPr>
          <w:rFonts w:ascii="Franklin Gothic Book" w:hAnsi="Franklin Gothic Book"/>
          <w:sz w:val="22"/>
        </w:rPr>
        <w:t>determine eligibility for molecular testing.</w:t>
      </w:r>
    </w:p>
    <w:p w14:paraId="514CBCAA" w14:textId="396819A7" w:rsidR="00225C0A" w:rsidRDefault="00332639" w:rsidP="00225C0A">
      <w:pPr>
        <w:rPr>
          <w:rFonts w:ascii="Franklin Gothic Book" w:hAnsi="Franklin Gothic Book"/>
          <w:sz w:val="22"/>
        </w:rPr>
      </w:pPr>
      <w:r>
        <w:rPr>
          <w:rFonts w:ascii="Franklin Gothic Book" w:hAnsi="Franklin Gothic Book"/>
          <w:sz w:val="22"/>
        </w:rPr>
        <w:lastRenderedPageBreak/>
        <w:t>Reflecting the above, t</w:t>
      </w:r>
      <w:r w:rsidR="00225C0A">
        <w:rPr>
          <w:rFonts w:ascii="Franklin Gothic Book" w:hAnsi="Franklin Gothic Book"/>
          <w:sz w:val="22"/>
        </w:rPr>
        <w:t xml:space="preserve">he </w:t>
      </w:r>
      <w:r>
        <w:rPr>
          <w:rFonts w:ascii="Franklin Gothic Book" w:hAnsi="Franklin Gothic Book"/>
          <w:sz w:val="22"/>
        </w:rPr>
        <w:t xml:space="preserve">revised </w:t>
      </w:r>
      <w:r w:rsidR="00225C0A">
        <w:rPr>
          <w:rFonts w:ascii="Franklin Gothic Book" w:hAnsi="Franklin Gothic Book"/>
          <w:sz w:val="22"/>
        </w:rPr>
        <w:t xml:space="preserve">MBS item descriptor </w:t>
      </w:r>
      <w:r w:rsidR="001A33A4">
        <w:rPr>
          <w:rFonts w:ascii="Franklin Gothic Book" w:hAnsi="Franklin Gothic Book"/>
          <w:sz w:val="22"/>
        </w:rPr>
        <w:t xml:space="preserve">that </w:t>
      </w:r>
      <w:r w:rsidR="00225C0A">
        <w:rPr>
          <w:rFonts w:ascii="Franklin Gothic Book" w:hAnsi="Franklin Gothic Book"/>
          <w:sz w:val="22"/>
        </w:rPr>
        <w:t>MSAC considered would be appropriate for its future reconsideration</w:t>
      </w:r>
      <w:r>
        <w:rPr>
          <w:rFonts w:ascii="Franklin Gothic Book" w:hAnsi="Franklin Gothic Book"/>
          <w:sz w:val="22"/>
        </w:rPr>
        <w:t xml:space="preserve"> of this </w:t>
      </w:r>
      <w:r w:rsidRPr="00763501">
        <w:rPr>
          <w:rFonts w:ascii="Franklin Gothic Book" w:hAnsi="Franklin Gothic Book"/>
          <w:sz w:val="22"/>
        </w:rPr>
        <w:t>testing</w:t>
      </w:r>
      <w:r w:rsidR="001A33A4" w:rsidRPr="00763501">
        <w:rPr>
          <w:rFonts w:ascii="Franklin Gothic Book" w:hAnsi="Franklin Gothic Book"/>
          <w:sz w:val="22"/>
        </w:rPr>
        <w:t xml:space="preserve"> if PBAC supports ivosidenib,</w:t>
      </w:r>
      <w:r w:rsidR="00225C0A">
        <w:rPr>
          <w:rFonts w:ascii="Franklin Gothic Book" w:hAnsi="Franklin Gothic Book"/>
          <w:sz w:val="22"/>
        </w:rPr>
        <w:t xml:space="preserve"> is below (</w:t>
      </w:r>
      <w:r w:rsidR="00225C0A">
        <w:rPr>
          <w:rFonts w:ascii="Franklin Gothic Book" w:hAnsi="Franklin Gothic Book"/>
          <w:sz w:val="22"/>
        </w:rPr>
        <w:fldChar w:fldCharType="begin"/>
      </w:r>
      <w:r w:rsidR="00225C0A">
        <w:rPr>
          <w:rFonts w:ascii="Franklin Gothic Book" w:hAnsi="Franklin Gothic Book"/>
          <w:sz w:val="22"/>
        </w:rPr>
        <w:instrText xml:space="preserve"> REF _Ref173928945 </w:instrText>
      </w:r>
      <w:r w:rsidR="001A33A4">
        <w:rPr>
          <w:rFonts w:ascii="Franklin Gothic Book" w:hAnsi="Franklin Gothic Book"/>
          <w:sz w:val="22"/>
        </w:rPr>
        <w:instrText xml:space="preserve"> \* MERGEFORMAT </w:instrText>
      </w:r>
      <w:r w:rsidR="00225C0A">
        <w:rPr>
          <w:rFonts w:ascii="Franklin Gothic Book" w:hAnsi="Franklin Gothic Book"/>
          <w:sz w:val="22"/>
        </w:rPr>
        <w:fldChar w:fldCharType="separate"/>
      </w:r>
      <w:r w:rsidR="00D94E31" w:rsidRPr="00D94E31">
        <w:rPr>
          <w:rFonts w:ascii="Franklin Gothic Book" w:hAnsi="Franklin Gothic Book"/>
          <w:sz w:val="22"/>
        </w:rPr>
        <w:t>Table 1</w:t>
      </w:r>
      <w:r w:rsidR="00225C0A">
        <w:rPr>
          <w:rFonts w:ascii="Franklin Gothic Book" w:hAnsi="Franklin Gothic Book"/>
          <w:sz w:val="22"/>
        </w:rPr>
        <w:fldChar w:fldCharType="end"/>
      </w:r>
      <w:r w:rsidR="00225C0A">
        <w:rPr>
          <w:rFonts w:ascii="Franklin Gothic Book" w:hAnsi="Franklin Gothic Book"/>
          <w:sz w:val="22"/>
        </w:rPr>
        <w:t>).</w:t>
      </w:r>
    </w:p>
    <w:p w14:paraId="07EEAC6A" w14:textId="6FC56925" w:rsidR="00225C0A" w:rsidRDefault="00225C0A" w:rsidP="00225C0A">
      <w:pPr>
        <w:pStyle w:val="Caption"/>
      </w:pPr>
      <w:bookmarkStart w:id="5" w:name="_Ref173928945"/>
      <w:r>
        <w:t xml:space="preserve">Table </w:t>
      </w:r>
      <w:r>
        <w:fldChar w:fldCharType="begin"/>
      </w:r>
      <w:r>
        <w:instrText xml:space="preserve"> SEQ Table \* ARABIC </w:instrText>
      </w:r>
      <w:r>
        <w:fldChar w:fldCharType="separate"/>
      </w:r>
      <w:r w:rsidR="00D94E31">
        <w:rPr>
          <w:noProof/>
        </w:rPr>
        <w:t>1</w:t>
      </w:r>
      <w:r>
        <w:fldChar w:fldCharType="end"/>
      </w:r>
      <w:bookmarkEnd w:id="5"/>
      <w:r>
        <w:tab/>
        <w:t>MSAC’s revised MBS item descriptor</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sumer summary of MSAC consideration"/>
      </w:tblPr>
      <w:tblGrid>
        <w:gridCol w:w="9016"/>
      </w:tblGrid>
      <w:tr w:rsidR="00225C0A" w:rsidRPr="00D3642E" w14:paraId="559A7443" w14:textId="77777777" w:rsidTr="00D3642E">
        <w:trPr>
          <w:cnfStyle w:val="100000000000" w:firstRow="1" w:lastRow="0" w:firstColumn="0" w:lastColumn="0" w:oddVBand="0" w:evenVBand="0" w:oddHBand="0" w:evenHBand="0" w:firstRowFirstColumn="0" w:firstRowLastColumn="0" w:lastRowFirstColumn="0" w:lastRowLastColumn="0"/>
          <w:trHeight w:val="351"/>
        </w:trPr>
        <w:tc>
          <w:tcPr>
            <w:tcW w:w="5000" w:type="pct"/>
            <w:shd w:val="clear" w:color="auto" w:fill="FFFFFF" w:themeFill="background1"/>
            <w:hideMark/>
          </w:tcPr>
          <w:p w14:paraId="6A590C23" w14:textId="168E5CA2" w:rsidR="00225C0A" w:rsidRPr="00D3642E" w:rsidRDefault="00225C0A">
            <w:pPr>
              <w:jc w:val="right"/>
              <w:rPr>
                <w:rFonts w:ascii="Arial Narrow" w:hAnsi="Arial Narrow" w:cs="Arial"/>
                <w:b w:val="0"/>
                <w:bCs/>
                <w:color w:val="0D0D0D"/>
                <w:sz w:val="20"/>
              </w:rPr>
            </w:pPr>
            <w:r w:rsidRPr="00D3642E">
              <w:rPr>
                <w:rFonts w:ascii="Arial Narrow" w:hAnsi="Arial Narrow" w:cs="Arial"/>
                <w:b w:val="0"/>
                <w:bCs/>
                <w:color w:val="0D0D0D"/>
                <w:sz w:val="20"/>
              </w:rPr>
              <w:t xml:space="preserve">Category 6 – </w:t>
            </w:r>
            <w:r w:rsidR="00D3642E">
              <w:rPr>
                <w:rFonts w:ascii="Arial Narrow" w:hAnsi="Arial Narrow" w:cs="Arial"/>
                <w:b w:val="0"/>
                <w:bCs/>
                <w:color w:val="0D0D0D"/>
                <w:sz w:val="20"/>
              </w:rPr>
              <w:t>P</w:t>
            </w:r>
            <w:r w:rsidR="00D3642E" w:rsidRPr="00D3642E">
              <w:rPr>
                <w:rFonts w:ascii="Arial Narrow" w:hAnsi="Arial Narrow" w:cs="Arial"/>
                <w:b w:val="0"/>
                <w:bCs/>
                <w:color w:val="0D0D0D"/>
                <w:sz w:val="20"/>
              </w:rPr>
              <w:t xml:space="preserve">athology </w:t>
            </w:r>
            <w:r w:rsidR="00D3642E">
              <w:rPr>
                <w:rFonts w:ascii="Arial Narrow" w:hAnsi="Arial Narrow" w:cs="Arial"/>
                <w:b w:val="0"/>
                <w:bCs/>
                <w:color w:val="0D0D0D"/>
                <w:sz w:val="20"/>
              </w:rPr>
              <w:t>S</w:t>
            </w:r>
            <w:r w:rsidR="00D3642E" w:rsidRPr="00D3642E">
              <w:rPr>
                <w:rFonts w:ascii="Arial Narrow" w:hAnsi="Arial Narrow" w:cs="Arial"/>
                <w:b w:val="0"/>
                <w:bCs/>
                <w:color w:val="0D0D0D"/>
                <w:sz w:val="20"/>
              </w:rPr>
              <w:t>ervices</w:t>
            </w:r>
          </w:p>
          <w:p w14:paraId="75338C4E" w14:textId="77777777" w:rsidR="00225C0A" w:rsidRPr="00D3642E" w:rsidRDefault="00225C0A">
            <w:pPr>
              <w:jc w:val="right"/>
              <w:rPr>
                <w:rFonts w:ascii="Arial Narrow" w:hAnsi="Arial Narrow" w:cs="Arial"/>
                <w:b w:val="0"/>
                <w:bCs/>
                <w:color w:val="0D0D0D"/>
              </w:rPr>
            </w:pPr>
            <w:r w:rsidRPr="00D3642E">
              <w:rPr>
                <w:rFonts w:ascii="Arial Narrow" w:hAnsi="Arial Narrow" w:cs="Arial"/>
                <w:b w:val="0"/>
                <w:bCs/>
                <w:color w:val="0D0D0D"/>
                <w:sz w:val="20"/>
              </w:rPr>
              <w:t>Group P7 – Genetics</w:t>
            </w:r>
          </w:p>
        </w:tc>
      </w:tr>
      <w:tr w:rsidR="00225C0A" w:rsidRPr="00C15DF8" w14:paraId="18084E03" w14:textId="77777777">
        <w:tc>
          <w:tcPr>
            <w:tcW w:w="5000" w:type="pct"/>
            <w:hideMark/>
          </w:tcPr>
          <w:p w14:paraId="216B05C9" w14:textId="77777777" w:rsidR="00225C0A" w:rsidRPr="00C15DF8" w:rsidRDefault="00225C0A">
            <w:pPr>
              <w:rPr>
                <w:rFonts w:ascii="Arial Narrow" w:hAnsi="Arial Narrow" w:cs="Arial"/>
                <w:color w:val="0D0D0D"/>
                <w:sz w:val="20"/>
                <w:lang w:eastAsia="ja-JP"/>
              </w:rPr>
            </w:pPr>
            <w:r w:rsidRPr="00C15DF8">
              <w:rPr>
                <w:rFonts w:ascii="Arial Narrow" w:hAnsi="Arial Narrow" w:cs="Arial"/>
                <w:color w:val="0D0D0D"/>
                <w:sz w:val="20"/>
                <w:lang w:eastAsia="ja-JP"/>
              </w:rPr>
              <w:t>XXXXX</w:t>
            </w:r>
          </w:p>
          <w:p w14:paraId="21C9A286" w14:textId="77777777" w:rsidR="00225C0A" w:rsidRPr="00C15DF8" w:rsidRDefault="00225C0A">
            <w:pPr>
              <w:rPr>
                <w:rFonts w:ascii="Arial Narrow" w:hAnsi="Arial Narrow" w:cs="Arial"/>
                <w:color w:val="0D0D0D"/>
                <w:sz w:val="20"/>
                <w:lang w:eastAsia="ja-JP"/>
              </w:rPr>
            </w:pPr>
            <w:r w:rsidRPr="00C15DF8">
              <w:rPr>
                <w:rFonts w:ascii="Arial Narrow" w:hAnsi="Arial Narrow" w:cs="Arial"/>
                <w:color w:val="0D0D0D"/>
                <w:sz w:val="20"/>
                <w:lang w:eastAsia="ja-JP"/>
              </w:rPr>
              <w:t xml:space="preserve">Detection in tumour tissue of </w:t>
            </w:r>
            <w:r w:rsidRPr="006A7EC7">
              <w:rPr>
                <w:rFonts w:ascii="Arial Narrow" w:hAnsi="Arial Narrow" w:cs="Arial"/>
                <w:i/>
                <w:iCs/>
                <w:color w:val="0D0D0D"/>
                <w:sz w:val="20"/>
                <w:lang w:eastAsia="ja-JP"/>
              </w:rPr>
              <w:t>isocitrate dehydrogenase 1 (IDH1)</w:t>
            </w:r>
            <w:r w:rsidRPr="00C15DF8">
              <w:rPr>
                <w:rFonts w:ascii="Arial Narrow" w:hAnsi="Arial Narrow" w:cs="Arial"/>
                <w:i/>
                <w:iCs/>
                <w:color w:val="0D0D0D"/>
                <w:sz w:val="20"/>
                <w:lang w:eastAsia="ja-JP"/>
              </w:rPr>
              <w:t xml:space="preserve"> </w:t>
            </w:r>
            <w:r w:rsidRPr="00C15DF8">
              <w:rPr>
                <w:rFonts w:ascii="Arial Narrow" w:hAnsi="Arial Narrow" w:cs="Arial"/>
                <w:color w:val="0D0D0D"/>
                <w:sz w:val="20"/>
                <w:lang w:eastAsia="ja-JP"/>
              </w:rPr>
              <w:t xml:space="preserve">variant status, in a patient with histologically confirmed cholangiocarcinoma, to determine access to </w:t>
            </w:r>
            <w:r w:rsidRPr="006978E4">
              <w:rPr>
                <w:rFonts w:ascii="Arial Narrow" w:hAnsi="Arial Narrow" w:cs="Arial"/>
                <w:sz w:val="20"/>
                <w:lang w:eastAsia="ja-JP"/>
              </w:rPr>
              <w:t xml:space="preserve">a relevant treatment </w:t>
            </w:r>
            <w:r w:rsidRPr="00C15DF8">
              <w:rPr>
                <w:rFonts w:ascii="Arial Narrow" w:hAnsi="Arial Narrow" w:cs="Arial"/>
                <w:color w:val="0D0D0D"/>
                <w:sz w:val="20"/>
                <w:lang w:eastAsia="ja-JP"/>
              </w:rPr>
              <w:t>under the Pharmaceutical Benefits Scheme</w:t>
            </w:r>
            <w:r>
              <w:rPr>
                <w:rFonts w:ascii="Arial Narrow" w:hAnsi="Arial Narrow" w:cs="Arial"/>
                <w:color w:val="0D0D0D"/>
                <w:sz w:val="20"/>
                <w:lang w:eastAsia="ja-JP"/>
              </w:rPr>
              <w:t>.</w:t>
            </w:r>
            <w:r w:rsidRPr="00C15DF8">
              <w:rPr>
                <w:rFonts w:ascii="Arial Narrow" w:hAnsi="Arial Narrow" w:cs="Arial"/>
                <w:color w:val="0D0D0D"/>
                <w:sz w:val="20"/>
                <w:lang w:eastAsia="ja-JP"/>
              </w:rPr>
              <w:t xml:space="preserve"> </w:t>
            </w:r>
          </w:p>
          <w:p w14:paraId="4F6CB27D" w14:textId="77777777" w:rsidR="00225C0A" w:rsidRPr="00C15DF8" w:rsidRDefault="00225C0A">
            <w:pPr>
              <w:rPr>
                <w:rFonts w:ascii="Arial Narrow" w:hAnsi="Arial Narrow" w:cs="Arial"/>
                <w:color w:val="0D0D0D"/>
                <w:sz w:val="20"/>
                <w:lang w:eastAsia="ja-JP"/>
              </w:rPr>
            </w:pPr>
            <w:r w:rsidRPr="00C15DF8">
              <w:rPr>
                <w:rFonts w:ascii="Arial Narrow" w:hAnsi="Arial Narrow" w:cs="Arial"/>
                <w:color w:val="0D0D0D"/>
                <w:sz w:val="20"/>
                <w:lang w:eastAsia="ja-JP"/>
              </w:rPr>
              <w:t>Applicable only once per lifetime</w:t>
            </w:r>
          </w:p>
        </w:tc>
      </w:tr>
      <w:tr w:rsidR="00225C0A" w:rsidRPr="00C15DF8" w14:paraId="17EFF296" w14:textId="77777777">
        <w:trPr>
          <w:trHeight w:val="70"/>
        </w:trPr>
        <w:tc>
          <w:tcPr>
            <w:tcW w:w="5000" w:type="pct"/>
            <w:hideMark/>
          </w:tcPr>
          <w:p w14:paraId="11A59273" w14:textId="77777777" w:rsidR="00225C0A" w:rsidRPr="00C15DF8" w:rsidRDefault="00225C0A">
            <w:pPr>
              <w:rPr>
                <w:rFonts w:ascii="Arial Narrow" w:hAnsi="Arial Narrow" w:cs="Arial"/>
                <w:color w:val="0D0D0D"/>
                <w:sz w:val="20"/>
              </w:rPr>
            </w:pPr>
            <w:r w:rsidRPr="00C15DF8">
              <w:rPr>
                <w:rFonts w:ascii="Arial Narrow" w:hAnsi="Arial Narrow" w:cs="Arial"/>
                <w:color w:val="0D0D0D"/>
                <w:sz w:val="20"/>
                <w:lang w:eastAsia="ja-JP"/>
              </w:rPr>
              <w:t xml:space="preserve">Fee: </w:t>
            </w:r>
            <w:r w:rsidRPr="00FD05C0">
              <w:rPr>
                <w:rFonts w:ascii="Arial Narrow" w:hAnsi="Arial Narrow" w:cs="Arial"/>
                <w:color w:val="0D0D0D"/>
                <w:sz w:val="20"/>
                <w:lang w:eastAsia="ja-JP"/>
              </w:rPr>
              <w:t>$</w:t>
            </w:r>
            <w:r w:rsidRPr="00F75D4D">
              <w:rPr>
                <w:rFonts w:ascii="Arial Narrow" w:hAnsi="Arial Narrow" w:cs="Arial"/>
                <w:color w:val="0D0D0D"/>
                <w:sz w:val="20"/>
                <w:lang w:eastAsia="ja-JP"/>
              </w:rPr>
              <w:t>340</w:t>
            </w:r>
            <w:r>
              <w:rPr>
                <w:rFonts w:ascii="Arial Narrow" w:hAnsi="Arial Narrow" w:cs="Arial"/>
                <w:color w:val="0D0D0D"/>
                <w:sz w:val="20"/>
              </w:rPr>
              <w:t xml:space="preserve"> </w:t>
            </w:r>
            <w:r w:rsidRPr="00C15DF8">
              <w:rPr>
                <w:rFonts w:ascii="Arial Narrow" w:hAnsi="Arial Narrow" w:cs="Arial"/>
                <w:color w:val="0D0D0D"/>
                <w:sz w:val="20"/>
              </w:rPr>
              <w:t xml:space="preserve">  Benefit: 75% = </w:t>
            </w:r>
            <w:r w:rsidRPr="00FD05C0">
              <w:rPr>
                <w:rFonts w:ascii="Arial Narrow" w:hAnsi="Arial Narrow" w:cs="Arial"/>
                <w:color w:val="0D0D0D"/>
                <w:sz w:val="20"/>
              </w:rPr>
              <w:t>$</w:t>
            </w:r>
            <w:r w:rsidRPr="00F75D4D">
              <w:rPr>
                <w:rFonts w:ascii="Arial Narrow" w:hAnsi="Arial Narrow" w:cs="Arial"/>
                <w:color w:val="0D0D0D"/>
                <w:sz w:val="20"/>
              </w:rPr>
              <w:t>255.00</w:t>
            </w:r>
            <w:r w:rsidRPr="00C15DF8">
              <w:rPr>
                <w:rFonts w:ascii="Arial Narrow" w:hAnsi="Arial Narrow" w:cs="Arial"/>
                <w:color w:val="0D0D0D"/>
                <w:sz w:val="20"/>
              </w:rPr>
              <w:t xml:space="preserve"> </w:t>
            </w:r>
            <w:r>
              <w:rPr>
                <w:rFonts w:ascii="Arial Narrow" w:hAnsi="Arial Narrow" w:cs="Arial"/>
                <w:color w:val="0D0D0D"/>
                <w:sz w:val="20"/>
              </w:rPr>
              <w:t xml:space="preserve">  </w:t>
            </w:r>
            <w:r w:rsidRPr="00C15DF8">
              <w:rPr>
                <w:rFonts w:ascii="Arial Narrow" w:hAnsi="Arial Narrow" w:cs="Arial"/>
                <w:color w:val="0D0D0D"/>
                <w:sz w:val="20"/>
              </w:rPr>
              <w:t>85% = $</w:t>
            </w:r>
            <w:r w:rsidRPr="00F75D4D">
              <w:rPr>
                <w:rFonts w:ascii="Arial Narrow" w:hAnsi="Arial Narrow" w:cs="Arial"/>
                <w:color w:val="0D0D0D"/>
                <w:sz w:val="20"/>
              </w:rPr>
              <w:t>289.00</w:t>
            </w:r>
          </w:p>
        </w:tc>
      </w:tr>
    </w:tbl>
    <w:p w14:paraId="0ADBE4F4" w14:textId="3EC7A623" w:rsidR="00785C2F" w:rsidRPr="006E37DA" w:rsidRDefault="00B816E7" w:rsidP="007D1E41">
      <w:pPr>
        <w:spacing w:before="240"/>
        <w:rPr>
          <w:rFonts w:ascii="Franklin Gothic Book" w:hAnsi="Franklin Gothic Book"/>
          <w:sz w:val="22"/>
        </w:rPr>
      </w:pPr>
      <w:r w:rsidRPr="007216CD">
        <w:rPr>
          <w:rFonts w:ascii="Franklin Gothic Book" w:hAnsi="Franklin Gothic Book"/>
          <w:sz w:val="22"/>
        </w:rPr>
        <w:t xml:space="preserve">Overall, MSAC considered </w:t>
      </w:r>
      <w:r w:rsidR="00F6284A" w:rsidRPr="007216CD">
        <w:rPr>
          <w:rFonts w:ascii="Franklin Gothic Book" w:hAnsi="Franklin Gothic Book"/>
          <w:i/>
          <w:iCs/>
          <w:sz w:val="22"/>
        </w:rPr>
        <w:t xml:space="preserve">IDH1 </w:t>
      </w:r>
      <w:r w:rsidR="00F6284A" w:rsidRPr="007216CD">
        <w:rPr>
          <w:rFonts w:ascii="Franklin Gothic Book" w:hAnsi="Franklin Gothic Book"/>
          <w:sz w:val="22"/>
        </w:rPr>
        <w:t xml:space="preserve">genetic </w:t>
      </w:r>
      <w:r w:rsidRPr="007216CD">
        <w:rPr>
          <w:rFonts w:ascii="Franklin Gothic Book" w:hAnsi="Franklin Gothic Book"/>
          <w:sz w:val="22"/>
        </w:rPr>
        <w:t>test</w:t>
      </w:r>
      <w:r w:rsidR="00F6284A" w:rsidRPr="007216CD">
        <w:rPr>
          <w:rFonts w:ascii="Franklin Gothic Book" w:hAnsi="Franklin Gothic Book"/>
          <w:sz w:val="22"/>
        </w:rPr>
        <w:t>ing</w:t>
      </w:r>
      <w:r w:rsidRPr="007216CD">
        <w:rPr>
          <w:rFonts w:ascii="Franklin Gothic Book" w:hAnsi="Franklin Gothic Book"/>
          <w:sz w:val="22"/>
        </w:rPr>
        <w:t xml:space="preserve"> </w:t>
      </w:r>
      <w:r w:rsidR="007216CD">
        <w:rPr>
          <w:rFonts w:ascii="Franklin Gothic Book" w:hAnsi="Franklin Gothic Book"/>
          <w:sz w:val="22"/>
        </w:rPr>
        <w:t>was</w:t>
      </w:r>
      <w:r w:rsidR="00F6284A" w:rsidRPr="007216CD">
        <w:rPr>
          <w:rFonts w:ascii="Franklin Gothic Book" w:hAnsi="Franklin Gothic Book"/>
          <w:sz w:val="22"/>
        </w:rPr>
        <w:t xml:space="preserve"> comparatively safe</w:t>
      </w:r>
      <w:r w:rsidR="007C7832">
        <w:rPr>
          <w:rFonts w:ascii="Franklin Gothic Book" w:hAnsi="Franklin Gothic Book"/>
          <w:sz w:val="22"/>
        </w:rPr>
        <w:t>,</w:t>
      </w:r>
      <w:r w:rsidR="007216CD">
        <w:rPr>
          <w:rFonts w:ascii="Franklin Gothic Book" w:hAnsi="Franklin Gothic Book"/>
          <w:sz w:val="22"/>
        </w:rPr>
        <w:t xml:space="preserve"> would </w:t>
      </w:r>
      <w:r w:rsidR="00F6284A" w:rsidRPr="007216CD">
        <w:rPr>
          <w:rFonts w:ascii="Franklin Gothic Book" w:hAnsi="Franklin Gothic Book"/>
          <w:sz w:val="22"/>
        </w:rPr>
        <w:t>have an acceptable financial cost to the MBS, and</w:t>
      </w:r>
      <w:r w:rsidR="007216CD">
        <w:rPr>
          <w:rFonts w:ascii="Franklin Gothic Book" w:hAnsi="Franklin Gothic Book"/>
          <w:sz w:val="22"/>
        </w:rPr>
        <w:t xml:space="preserve"> that</w:t>
      </w:r>
      <w:r w:rsidR="002E36B7" w:rsidRPr="007216CD">
        <w:rPr>
          <w:rFonts w:ascii="Franklin Gothic Book" w:hAnsi="Franklin Gothic Book"/>
          <w:sz w:val="22"/>
        </w:rPr>
        <w:t xml:space="preserve"> if it provided access to ivosidenib on the PBS then it would improve health outcomes for the </w:t>
      </w:r>
      <w:r w:rsidR="00811ABA">
        <w:rPr>
          <w:rFonts w:ascii="Franklin Gothic Book" w:hAnsi="Franklin Gothic Book"/>
          <w:sz w:val="22"/>
        </w:rPr>
        <w:t>nearly 10%</w:t>
      </w:r>
      <w:r w:rsidR="002E36B7" w:rsidRPr="007216CD">
        <w:rPr>
          <w:rFonts w:ascii="Franklin Gothic Book" w:hAnsi="Franklin Gothic Book"/>
          <w:sz w:val="22"/>
        </w:rPr>
        <w:t xml:space="preserve"> of patients with cholangiocarcinoma who harbour an </w:t>
      </w:r>
      <w:r w:rsidR="002E36B7" w:rsidRPr="007216CD">
        <w:rPr>
          <w:rFonts w:ascii="Franklin Gothic Book" w:hAnsi="Franklin Gothic Book"/>
          <w:i/>
          <w:iCs/>
          <w:sz w:val="22"/>
        </w:rPr>
        <w:t xml:space="preserve">IDH1 </w:t>
      </w:r>
      <w:r w:rsidR="002E36B7" w:rsidRPr="007216CD">
        <w:rPr>
          <w:rFonts w:ascii="Franklin Gothic Book" w:hAnsi="Franklin Gothic Book"/>
          <w:sz w:val="22"/>
        </w:rPr>
        <w:t xml:space="preserve">variant. </w:t>
      </w:r>
      <w:r w:rsidRPr="007216CD">
        <w:rPr>
          <w:rFonts w:ascii="Franklin Gothic Book" w:hAnsi="Franklin Gothic Book"/>
          <w:sz w:val="22"/>
        </w:rPr>
        <w:t>However,</w:t>
      </w:r>
      <w:r w:rsidR="007216CD">
        <w:rPr>
          <w:rFonts w:ascii="Franklin Gothic Book" w:hAnsi="Franklin Gothic Book"/>
          <w:sz w:val="22"/>
        </w:rPr>
        <w:t xml:space="preserve"> </w:t>
      </w:r>
      <w:r w:rsidR="007216CD" w:rsidRPr="00763501">
        <w:rPr>
          <w:rFonts w:ascii="Franklin Gothic Book" w:hAnsi="Franklin Gothic Book"/>
          <w:sz w:val="22"/>
        </w:rPr>
        <w:t xml:space="preserve">as the PBAC had not recommended </w:t>
      </w:r>
      <w:r w:rsidR="001C3EAD" w:rsidRPr="00763501">
        <w:rPr>
          <w:rFonts w:ascii="Franklin Gothic Book" w:hAnsi="Franklin Gothic Book"/>
          <w:sz w:val="22"/>
        </w:rPr>
        <w:t>listing ivosidenib on the PBS,</w:t>
      </w:r>
      <w:r w:rsidRPr="00763501">
        <w:rPr>
          <w:rFonts w:ascii="Franklin Gothic Book" w:hAnsi="Franklin Gothic Book"/>
          <w:sz w:val="22"/>
        </w:rPr>
        <w:t xml:space="preserve"> MSAC deferred its </w:t>
      </w:r>
      <w:r w:rsidR="00DA2F79" w:rsidRPr="00763501">
        <w:rPr>
          <w:rFonts w:ascii="Franklin Gothic Book" w:hAnsi="Franklin Gothic Book"/>
          <w:sz w:val="22"/>
        </w:rPr>
        <w:t>advice</w:t>
      </w:r>
      <w:r w:rsidR="001C3EAD" w:rsidRPr="00763501">
        <w:rPr>
          <w:rFonts w:ascii="Franklin Gothic Book" w:hAnsi="Franklin Gothic Book"/>
          <w:sz w:val="22"/>
        </w:rPr>
        <w:t xml:space="preserve">. </w:t>
      </w:r>
      <w:r w:rsidR="00F015D0" w:rsidRPr="00763501">
        <w:rPr>
          <w:rFonts w:ascii="Franklin Gothic Book" w:hAnsi="Franklin Gothic Book"/>
          <w:sz w:val="22"/>
        </w:rPr>
        <w:t xml:space="preserve">MSAC noted </w:t>
      </w:r>
      <w:r w:rsidR="00C41D24" w:rsidRPr="00763501">
        <w:rPr>
          <w:rFonts w:ascii="Franklin Gothic Book" w:hAnsi="Franklin Gothic Book"/>
          <w:sz w:val="22"/>
        </w:rPr>
        <w:t xml:space="preserve">the PBAC considered </w:t>
      </w:r>
      <w:r w:rsidR="00F015D0" w:rsidRPr="00763501">
        <w:rPr>
          <w:rFonts w:ascii="Franklin Gothic Book" w:hAnsi="Franklin Gothic Book"/>
          <w:sz w:val="22"/>
        </w:rPr>
        <w:t>its concerns</w:t>
      </w:r>
      <w:r w:rsidR="00C41D24" w:rsidRPr="00763501">
        <w:rPr>
          <w:rFonts w:ascii="Franklin Gothic Book" w:hAnsi="Franklin Gothic Book"/>
          <w:sz w:val="22"/>
        </w:rPr>
        <w:t xml:space="preserve"> could be addressed in an early re-entry resubmission</w:t>
      </w:r>
      <w:r w:rsidR="001C3EAD" w:rsidRPr="00763501">
        <w:rPr>
          <w:rFonts w:ascii="Franklin Gothic Book" w:hAnsi="Franklin Gothic Book"/>
          <w:sz w:val="22"/>
        </w:rPr>
        <w:t xml:space="preserve">, and </w:t>
      </w:r>
      <w:r w:rsidRPr="00763501">
        <w:rPr>
          <w:rFonts w:ascii="Franklin Gothic Book" w:hAnsi="Franklin Gothic Book"/>
          <w:sz w:val="22"/>
        </w:rPr>
        <w:t xml:space="preserve">MSAC foreshadowed it would </w:t>
      </w:r>
      <w:r w:rsidR="004C1EA0" w:rsidRPr="00763501">
        <w:rPr>
          <w:rFonts w:ascii="Franklin Gothic Book" w:hAnsi="Franklin Gothic Book"/>
          <w:sz w:val="22"/>
        </w:rPr>
        <w:t>expeditiously</w:t>
      </w:r>
      <w:r w:rsidR="001711A2" w:rsidRPr="00763501">
        <w:rPr>
          <w:rFonts w:ascii="Franklin Gothic Book" w:hAnsi="Franklin Gothic Book"/>
          <w:sz w:val="22"/>
        </w:rPr>
        <w:t xml:space="preserve"> </w:t>
      </w:r>
      <w:r w:rsidRPr="00763501">
        <w:rPr>
          <w:rFonts w:ascii="Franklin Gothic Book" w:hAnsi="Franklin Gothic Book"/>
          <w:sz w:val="22"/>
        </w:rPr>
        <w:t>reconsider this testing if the PBAC recommended ivosidenib.</w:t>
      </w:r>
    </w:p>
    <w:p w14:paraId="110111A8" w14:textId="7AED10F6" w:rsidR="006E37DA" w:rsidRPr="006E37DA" w:rsidRDefault="006E37DA" w:rsidP="006E37DA">
      <w:pPr>
        <w:rPr>
          <w:rFonts w:ascii="Franklin Gothic Book" w:hAnsi="Franklin Gothic Book"/>
          <w:sz w:val="22"/>
        </w:rPr>
      </w:pPr>
      <w:bookmarkStart w:id="6" w:name="_Toc166763124"/>
      <w:r w:rsidRPr="00B816E7">
        <w:rPr>
          <w:rFonts w:ascii="Franklin Gothic Book" w:hAnsi="Franklin Gothic Book"/>
          <w:sz w:val="22"/>
        </w:rPr>
        <w:t xml:space="preserve">MSAC considered that </w:t>
      </w:r>
      <w:r>
        <w:rPr>
          <w:rFonts w:ascii="Franklin Gothic Book" w:hAnsi="Franklin Gothic Book"/>
          <w:sz w:val="22"/>
        </w:rPr>
        <w:t xml:space="preserve">its reconsideration of </w:t>
      </w:r>
      <w:r w:rsidRPr="006E37DA">
        <w:rPr>
          <w:rFonts w:ascii="Franklin Gothic Book" w:hAnsi="Franklin Gothic Book"/>
          <w:i/>
          <w:iCs/>
          <w:sz w:val="22"/>
        </w:rPr>
        <w:t>IDH1</w:t>
      </w:r>
      <w:r>
        <w:rPr>
          <w:rFonts w:ascii="Franklin Gothic Book" w:hAnsi="Franklin Gothic Book"/>
          <w:sz w:val="22"/>
        </w:rPr>
        <w:t xml:space="preserve"> testing for patients with cholangiocarcinoma may have implications for other MSAC applications. If </w:t>
      </w:r>
      <w:r w:rsidR="00391C6D" w:rsidRPr="00391C6D">
        <w:rPr>
          <w:rFonts w:ascii="Franklin Gothic Book" w:hAnsi="Franklin Gothic Book"/>
          <w:i/>
          <w:iCs/>
          <w:sz w:val="22"/>
        </w:rPr>
        <w:t>IDH1</w:t>
      </w:r>
      <w:r w:rsidR="00391C6D">
        <w:rPr>
          <w:rFonts w:ascii="Franklin Gothic Book" w:hAnsi="Franklin Gothic Book"/>
          <w:sz w:val="22"/>
        </w:rPr>
        <w:t xml:space="preserve"> testing is </w:t>
      </w:r>
      <w:r>
        <w:rPr>
          <w:rFonts w:ascii="Franklin Gothic Book" w:hAnsi="Franklin Gothic Book"/>
          <w:sz w:val="22"/>
        </w:rPr>
        <w:t>supported by MSAC</w:t>
      </w:r>
      <w:r w:rsidR="001D34D8">
        <w:rPr>
          <w:rFonts w:ascii="Franklin Gothic Book" w:hAnsi="Franklin Gothic Book"/>
          <w:sz w:val="22"/>
        </w:rPr>
        <w:t xml:space="preserve"> before it considers</w:t>
      </w:r>
      <w:r w:rsidR="00391C6D">
        <w:rPr>
          <w:rFonts w:ascii="Franklin Gothic Book" w:hAnsi="Franklin Gothic Book"/>
          <w:sz w:val="22"/>
        </w:rPr>
        <w:t xml:space="preserve"> other applications</w:t>
      </w:r>
      <w:r>
        <w:rPr>
          <w:rFonts w:ascii="Franklin Gothic Book" w:hAnsi="Franklin Gothic Book"/>
          <w:sz w:val="22"/>
        </w:rPr>
        <w:t xml:space="preserve">, </w:t>
      </w:r>
      <w:r w:rsidRPr="006E37DA">
        <w:rPr>
          <w:rFonts w:ascii="Franklin Gothic Book" w:hAnsi="Franklin Gothic Book"/>
          <w:i/>
          <w:iCs/>
          <w:sz w:val="22"/>
        </w:rPr>
        <w:t>IDH1</w:t>
      </w:r>
      <w:r>
        <w:rPr>
          <w:rFonts w:ascii="Franklin Gothic Book" w:hAnsi="Franklin Gothic Book"/>
          <w:sz w:val="22"/>
        </w:rPr>
        <w:t xml:space="preserve"> testing may form part of the comparator </w:t>
      </w:r>
      <w:r w:rsidR="00AA6B66">
        <w:rPr>
          <w:rFonts w:ascii="Franklin Gothic Book" w:hAnsi="Franklin Gothic Book"/>
          <w:sz w:val="22"/>
        </w:rPr>
        <w:t>in</w:t>
      </w:r>
      <w:r>
        <w:rPr>
          <w:rFonts w:ascii="Franklin Gothic Book" w:hAnsi="Franklin Gothic Book"/>
          <w:sz w:val="22"/>
        </w:rPr>
        <w:t xml:space="preserve"> an assessment of gene panel testing for patients with </w:t>
      </w:r>
      <w:r w:rsidR="00F03B61">
        <w:rPr>
          <w:rFonts w:ascii="Franklin Gothic Book" w:hAnsi="Franklin Gothic Book"/>
          <w:sz w:val="22"/>
        </w:rPr>
        <w:t>CCA</w:t>
      </w:r>
      <w:r>
        <w:rPr>
          <w:rFonts w:ascii="Franklin Gothic Book" w:hAnsi="Franklin Gothic Book"/>
          <w:sz w:val="22"/>
        </w:rPr>
        <w:t xml:space="preserve">, </w:t>
      </w:r>
      <w:r w:rsidR="00897FB9">
        <w:rPr>
          <w:rFonts w:ascii="Franklin Gothic Book" w:hAnsi="Franklin Gothic Book"/>
          <w:sz w:val="22"/>
        </w:rPr>
        <w:t>for example</w:t>
      </w:r>
      <w:r w:rsidR="00502933">
        <w:rPr>
          <w:rFonts w:ascii="Franklin Gothic Book" w:hAnsi="Franklin Gothic Book"/>
          <w:sz w:val="22"/>
        </w:rPr>
        <w:t xml:space="preserve"> under</w:t>
      </w:r>
      <w:r w:rsidR="00D401A2">
        <w:rPr>
          <w:rFonts w:ascii="Franklin Gothic Book" w:hAnsi="Franklin Gothic Book"/>
          <w:sz w:val="22"/>
        </w:rPr>
        <w:t xml:space="preserve"> </w:t>
      </w:r>
      <w:r w:rsidRPr="006E37DA">
        <w:rPr>
          <w:rFonts w:ascii="Franklin Gothic Book" w:hAnsi="Franklin Gothic Book"/>
          <w:i/>
          <w:iCs/>
          <w:sz w:val="22"/>
        </w:rPr>
        <w:t xml:space="preserve">MSAC Application 1779 – Testing to detect FGFR2 fusion or rearrangement in patients with locally advanced or metastatic cholangiocarcinoma, to determine PBS eligibility for </w:t>
      </w:r>
      <w:proofErr w:type="spellStart"/>
      <w:r w:rsidRPr="006E37DA">
        <w:rPr>
          <w:rFonts w:ascii="Franklin Gothic Book" w:hAnsi="Franklin Gothic Book"/>
          <w:i/>
          <w:iCs/>
          <w:sz w:val="22"/>
        </w:rPr>
        <w:t>futibatinib</w:t>
      </w:r>
      <w:proofErr w:type="spellEnd"/>
      <w:r w:rsidRPr="006E37DA">
        <w:rPr>
          <w:vertAlign w:val="superscript"/>
        </w:rPr>
        <w:footnoteReference w:id="2"/>
      </w:r>
      <w:r w:rsidRPr="006E37DA">
        <w:rPr>
          <w:rFonts w:ascii="Franklin Gothic Book" w:hAnsi="Franklin Gothic Book"/>
          <w:sz w:val="22"/>
        </w:rPr>
        <w:t>.</w:t>
      </w:r>
    </w:p>
    <w:p w14:paraId="30EB1006" w14:textId="0D4E5434" w:rsidR="00785C2F" w:rsidRPr="008F5246" w:rsidRDefault="008F5246" w:rsidP="008F5246">
      <w:pPr>
        <w:pStyle w:val="Heading2"/>
        <w:widowControl w:val="0"/>
        <w:spacing w:after="240"/>
        <w:rPr>
          <w:rFonts w:ascii="Franklin Gothic Medium" w:hAnsi="Franklin Gothic Medium"/>
          <w:b w:val="0"/>
          <w:i w:val="0"/>
          <w:snapToGrid/>
          <w:color w:val="000000" w:themeColor="text1"/>
          <w:sz w:val="32"/>
          <w:szCs w:val="26"/>
        </w:rPr>
      </w:pPr>
      <w:r>
        <w:rPr>
          <w:rFonts w:ascii="Franklin Gothic Medium" w:hAnsi="Franklin Gothic Medium"/>
          <w:b w:val="0"/>
          <w:i w:val="0"/>
          <w:snapToGrid/>
          <w:color w:val="000000" w:themeColor="text1"/>
          <w:sz w:val="32"/>
          <w:szCs w:val="26"/>
        </w:rPr>
        <w:t>4.</w:t>
      </w:r>
      <w:r>
        <w:rPr>
          <w:rFonts w:ascii="Franklin Gothic Medium" w:hAnsi="Franklin Gothic Medium"/>
          <w:b w:val="0"/>
          <w:i w:val="0"/>
          <w:snapToGrid/>
          <w:color w:val="000000" w:themeColor="text1"/>
          <w:sz w:val="32"/>
          <w:szCs w:val="26"/>
        </w:rPr>
        <w:tab/>
      </w:r>
      <w:r w:rsidR="00785C2F" w:rsidRPr="008F5246">
        <w:rPr>
          <w:rFonts w:ascii="Franklin Gothic Medium" w:hAnsi="Franklin Gothic Medium"/>
          <w:b w:val="0"/>
          <w:i w:val="0"/>
          <w:snapToGrid/>
          <w:color w:val="000000" w:themeColor="text1"/>
          <w:sz w:val="32"/>
          <w:szCs w:val="26"/>
        </w:rPr>
        <w:t>Background</w:t>
      </w:r>
      <w:bookmarkEnd w:id="6"/>
    </w:p>
    <w:p w14:paraId="44D2968A" w14:textId="44BE86E2" w:rsidR="00785C2F" w:rsidRPr="008F5246" w:rsidRDefault="00854B43" w:rsidP="00827344">
      <w:pPr>
        <w:keepNext/>
        <w:tabs>
          <w:tab w:val="left" w:pos="2172"/>
        </w:tabs>
        <w:rPr>
          <w:rFonts w:ascii="Franklin Gothic Book" w:hAnsi="Franklin Gothic Book"/>
          <w:color w:val="0D0D0D"/>
          <w:sz w:val="22"/>
        </w:rPr>
      </w:pPr>
      <w:r w:rsidRPr="008F5246">
        <w:rPr>
          <w:rFonts w:ascii="Franklin Gothic Book" w:hAnsi="Franklin Gothic Book"/>
          <w:color w:val="0D0D0D"/>
          <w:sz w:val="22"/>
        </w:rPr>
        <w:t xml:space="preserve">This </w:t>
      </w:r>
      <w:r w:rsidR="00811ABA">
        <w:rPr>
          <w:rFonts w:ascii="Franklin Gothic Book" w:hAnsi="Franklin Gothic Book"/>
          <w:color w:val="0D0D0D"/>
          <w:sz w:val="22"/>
        </w:rPr>
        <w:t>wa</w:t>
      </w:r>
      <w:r w:rsidRPr="008F5246">
        <w:rPr>
          <w:rFonts w:ascii="Franklin Gothic Book" w:hAnsi="Franklin Gothic Book"/>
          <w:color w:val="0D0D0D"/>
          <w:sz w:val="22"/>
        </w:rPr>
        <w:t>s</w:t>
      </w:r>
      <w:r w:rsidR="00785C2F" w:rsidRPr="008F5246">
        <w:rPr>
          <w:rFonts w:ascii="Franklin Gothic Book" w:hAnsi="Franklin Gothic Book"/>
          <w:color w:val="0D0D0D"/>
          <w:sz w:val="22"/>
        </w:rPr>
        <w:t xml:space="preserve"> the first submission for </w:t>
      </w:r>
      <w:r w:rsidR="00785C2F" w:rsidRPr="008F5246">
        <w:rPr>
          <w:rFonts w:ascii="Franklin Gothic Book" w:hAnsi="Franklin Gothic Book" w:cs="Arial"/>
          <w:i/>
          <w:color w:val="0D0D0D"/>
          <w:sz w:val="22"/>
        </w:rPr>
        <w:t>IDH1</w:t>
      </w:r>
      <w:r w:rsidR="00785C2F" w:rsidRPr="008F5246">
        <w:rPr>
          <w:rFonts w:ascii="Franklin Gothic Book" w:hAnsi="Franklin Gothic Book"/>
          <w:color w:val="0D0D0D"/>
          <w:sz w:val="22"/>
        </w:rPr>
        <w:t xml:space="preserve"> variant testing for cholangiocarcinoma </w:t>
      </w:r>
      <w:r w:rsidR="00827344" w:rsidRPr="008F5246">
        <w:rPr>
          <w:rFonts w:ascii="Franklin Gothic Book" w:hAnsi="Franklin Gothic Book"/>
          <w:color w:val="0D0D0D"/>
          <w:sz w:val="22"/>
        </w:rPr>
        <w:t xml:space="preserve">(CCA) </w:t>
      </w:r>
      <w:r w:rsidR="00785C2F" w:rsidRPr="008F5246">
        <w:rPr>
          <w:rFonts w:ascii="Franklin Gothic Book" w:hAnsi="Franklin Gothic Book"/>
          <w:color w:val="0D0D0D"/>
          <w:sz w:val="22"/>
        </w:rPr>
        <w:t xml:space="preserve">to the MSAC, and the first submission for ivosidenib for </w:t>
      </w:r>
      <w:r w:rsidR="00827344" w:rsidRPr="008F5246">
        <w:rPr>
          <w:rFonts w:ascii="Franklin Gothic Book" w:hAnsi="Franklin Gothic Book"/>
          <w:color w:val="0D0D0D"/>
          <w:sz w:val="22"/>
        </w:rPr>
        <w:t xml:space="preserve">CCA </w:t>
      </w:r>
      <w:r w:rsidR="00785C2F" w:rsidRPr="008F5246">
        <w:rPr>
          <w:rFonts w:ascii="Franklin Gothic Book" w:hAnsi="Franklin Gothic Book"/>
          <w:color w:val="0D0D0D"/>
          <w:sz w:val="22"/>
        </w:rPr>
        <w:t>to the PBAC.</w:t>
      </w:r>
    </w:p>
    <w:p w14:paraId="5DE5F63C" w14:textId="5C49785F" w:rsidR="00785C2F" w:rsidRPr="008F5246" w:rsidRDefault="00785C2F" w:rsidP="00785C2F">
      <w:pPr>
        <w:keepNext/>
        <w:tabs>
          <w:tab w:val="left" w:pos="2172"/>
        </w:tabs>
        <w:spacing w:line="259" w:lineRule="auto"/>
        <w:rPr>
          <w:rFonts w:ascii="Franklin Gothic Book" w:hAnsi="Franklin Gothic Book"/>
          <w:color w:val="0D0D0D"/>
          <w:sz w:val="22"/>
        </w:rPr>
      </w:pPr>
      <w:r w:rsidRPr="008F5246">
        <w:rPr>
          <w:rFonts w:ascii="Franklin Gothic Book" w:hAnsi="Franklin Gothic Book"/>
          <w:color w:val="0D0D0D"/>
          <w:sz w:val="22"/>
        </w:rPr>
        <w:t xml:space="preserve">MSAC has previously considered </w:t>
      </w:r>
      <w:r w:rsidRPr="008F5246">
        <w:rPr>
          <w:rFonts w:ascii="Franklin Gothic Book" w:hAnsi="Franklin Gothic Book"/>
          <w:i/>
          <w:iCs/>
          <w:color w:val="0D0D0D"/>
          <w:sz w:val="22"/>
        </w:rPr>
        <w:t>IDH1</w:t>
      </w:r>
      <w:r w:rsidRPr="008F5246">
        <w:rPr>
          <w:rFonts w:ascii="Franklin Gothic Book" w:hAnsi="Franklin Gothic Book"/>
          <w:color w:val="0D0D0D"/>
          <w:sz w:val="22"/>
        </w:rPr>
        <w:t xml:space="preserve"> testing for glioma and glioblastoma (</w:t>
      </w:r>
      <w:r w:rsidR="00CA4A1C" w:rsidRPr="008F5246">
        <w:rPr>
          <w:rFonts w:ascii="Franklin Gothic Book" w:hAnsi="Franklin Gothic Book"/>
          <w:color w:val="0D0D0D"/>
          <w:sz w:val="22"/>
        </w:rPr>
        <w:t>MSAC application</w:t>
      </w:r>
      <w:r w:rsidR="00811ABA">
        <w:rPr>
          <w:rFonts w:ascii="Franklin Gothic Book" w:hAnsi="Franklin Gothic Book"/>
          <w:color w:val="0D0D0D"/>
          <w:sz w:val="22"/>
        </w:rPr>
        <w:t>s</w:t>
      </w:r>
      <w:r w:rsidR="00CA4A1C" w:rsidRPr="008F5246">
        <w:rPr>
          <w:rFonts w:ascii="Franklin Gothic Book" w:hAnsi="Franklin Gothic Book"/>
          <w:color w:val="0D0D0D"/>
          <w:sz w:val="22"/>
        </w:rPr>
        <w:t xml:space="preserve"> 1527</w:t>
      </w:r>
      <w:r w:rsidR="00AC62C6" w:rsidRPr="008F5246">
        <w:rPr>
          <w:rStyle w:val="FootnoteReference"/>
          <w:rFonts w:ascii="Franklin Gothic Book" w:hAnsi="Franklin Gothic Book"/>
          <w:color w:val="0D0D0D"/>
          <w:sz w:val="22"/>
        </w:rPr>
        <w:footnoteReference w:id="3"/>
      </w:r>
      <w:r w:rsidRPr="008F5246">
        <w:rPr>
          <w:rFonts w:ascii="Franklin Gothic Book" w:hAnsi="Franklin Gothic Book"/>
          <w:color w:val="0D0D0D"/>
          <w:sz w:val="22"/>
        </w:rPr>
        <w:t xml:space="preserve"> and </w:t>
      </w:r>
      <w:r w:rsidR="00CA4A1C" w:rsidRPr="008F5246">
        <w:rPr>
          <w:rFonts w:ascii="Franklin Gothic Book" w:hAnsi="Franklin Gothic Book"/>
          <w:color w:val="0D0D0D"/>
          <w:sz w:val="22"/>
        </w:rPr>
        <w:t>1709</w:t>
      </w:r>
      <w:r w:rsidR="00321C9D" w:rsidRPr="008F5246">
        <w:rPr>
          <w:rStyle w:val="FootnoteReference"/>
          <w:rFonts w:ascii="Franklin Gothic Book" w:hAnsi="Franklin Gothic Book"/>
          <w:color w:val="0D0D0D"/>
          <w:sz w:val="22"/>
        </w:rPr>
        <w:footnoteReference w:id="4"/>
      </w:r>
      <w:r w:rsidRPr="008F5246">
        <w:rPr>
          <w:rFonts w:ascii="Franklin Gothic Book" w:hAnsi="Franklin Gothic Book"/>
          <w:color w:val="0D0D0D"/>
          <w:sz w:val="22"/>
        </w:rPr>
        <w:t xml:space="preserve">) </w:t>
      </w:r>
      <w:r w:rsidRPr="008F5246">
        <w:rPr>
          <w:rFonts w:ascii="Franklin Gothic Book" w:hAnsi="Franklin Gothic Book" w:cs="Arial"/>
          <w:color w:val="0D0D0D"/>
          <w:sz w:val="22"/>
        </w:rPr>
        <w:t>and as part of a panel test for variants associated with haematological malignancies</w:t>
      </w:r>
      <w:r w:rsidRPr="008F5246">
        <w:rPr>
          <w:rFonts w:ascii="Franklin Gothic Book" w:hAnsi="Franklin Gothic Book"/>
          <w:color w:val="0D0D0D"/>
          <w:sz w:val="22"/>
        </w:rPr>
        <w:t xml:space="preserve"> (</w:t>
      </w:r>
      <w:r w:rsidR="00CA4A1C" w:rsidRPr="008F5246">
        <w:rPr>
          <w:rFonts w:ascii="Franklin Gothic Book" w:hAnsi="Franklin Gothic Book"/>
          <w:color w:val="0D0D0D"/>
          <w:sz w:val="22"/>
        </w:rPr>
        <w:t>MSAC application 1684</w:t>
      </w:r>
      <w:r w:rsidR="00EA30C0" w:rsidRPr="008F5246">
        <w:rPr>
          <w:rStyle w:val="FootnoteReference"/>
          <w:rFonts w:ascii="Franklin Gothic Book" w:hAnsi="Franklin Gothic Book"/>
          <w:color w:val="0D0D0D"/>
          <w:sz w:val="22"/>
        </w:rPr>
        <w:footnoteReference w:id="5"/>
      </w:r>
      <w:r w:rsidRPr="008F5246">
        <w:rPr>
          <w:rFonts w:ascii="Franklin Gothic Book" w:hAnsi="Franklin Gothic Book"/>
          <w:color w:val="0D0D0D"/>
          <w:sz w:val="22"/>
        </w:rPr>
        <w:t>), which led to the creation of MBS items 73372, 73429, 73445, 73446, 73447 and 73448.</w:t>
      </w:r>
    </w:p>
    <w:p w14:paraId="5A244E49" w14:textId="10A9B42B" w:rsidR="00785C2F" w:rsidRPr="008F5246" w:rsidRDefault="008F5246" w:rsidP="008F5246">
      <w:pPr>
        <w:pStyle w:val="Heading2"/>
        <w:widowControl w:val="0"/>
        <w:spacing w:after="240"/>
        <w:rPr>
          <w:rFonts w:ascii="Franklin Gothic Medium" w:hAnsi="Franklin Gothic Medium"/>
          <w:b w:val="0"/>
          <w:i w:val="0"/>
          <w:snapToGrid/>
          <w:color w:val="000000" w:themeColor="text1"/>
          <w:sz w:val="32"/>
          <w:szCs w:val="26"/>
        </w:rPr>
      </w:pPr>
      <w:bookmarkStart w:id="7" w:name="_Toc166763125"/>
      <w:r>
        <w:rPr>
          <w:rFonts w:ascii="Franklin Gothic Medium" w:hAnsi="Franklin Gothic Medium"/>
          <w:b w:val="0"/>
          <w:i w:val="0"/>
          <w:snapToGrid/>
          <w:color w:val="000000" w:themeColor="text1"/>
          <w:sz w:val="32"/>
          <w:szCs w:val="26"/>
        </w:rPr>
        <w:t>5.</w:t>
      </w:r>
      <w:r>
        <w:rPr>
          <w:rFonts w:ascii="Franklin Gothic Medium" w:hAnsi="Franklin Gothic Medium"/>
          <w:b w:val="0"/>
          <w:i w:val="0"/>
          <w:snapToGrid/>
          <w:color w:val="000000" w:themeColor="text1"/>
          <w:sz w:val="32"/>
          <w:szCs w:val="26"/>
        </w:rPr>
        <w:tab/>
      </w:r>
      <w:r w:rsidR="00785C2F" w:rsidRPr="008F5246">
        <w:rPr>
          <w:rFonts w:ascii="Franklin Gothic Medium" w:hAnsi="Franklin Gothic Medium"/>
          <w:b w:val="0"/>
          <w:i w:val="0"/>
          <w:snapToGrid/>
          <w:color w:val="000000" w:themeColor="text1"/>
          <w:sz w:val="32"/>
          <w:szCs w:val="26"/>
        </w:rPr>
        <w:t>Prerequisites to implementation of any funding advice</w:t>
      </w:r>
      <w:bookmarkEnd w:id="7"/>
    </w:p>
    <w:p w14:paraId="3DDC3557" w14:textId="77777777" w:rsidR="00785C2F" w:rsidRPr="008F5246" w:rsidRDefault="00785C2F" w:rsidP="00785C2F">
      <w:pPr>
        <w:spacing w:line="259" w:lineRule="auto"/>
        <w:rPr>
          <w:rFonts w:ascii="Franklin Gothic Book" w:hAnsi="Franklin Gothic Book"/>
          <w:color w:val="0D0D0D"/>
          <w:sz w:val="22"/>
        </w:rPr>
      </w:pPr>
      <w:r w:rsidRPr="008F5246">
        <w:rPr>
          <w:rFonts w:ascii="Franklin Gothic Book" w:hAnsi="Franklin Gothic Book"/>
          <w:color w:val="0D0D0D"/>
          <w:sz w:val="22"/>
        </w:rPr>
        <w:t xml:space="preserve">The test is a Class 3 in-house </w:t>
      </w:r>
      <w:r w:rsidRPr="008F5246">
        <w:rPr>
          <w:rFonts w:ascii="Franklin Gothic Book" w:hAnsi="Franklin Gothic Book"/>
          <w:i/>
          <w:iCs/>
          <w:color w:val="0D0D0D"/>
          <w:sz w:val="22"/>
        </w:rPr>
        <w:t>in vitro</w:t>
      </w:r>
      <w:r w:rsidRPr="008F5246">
        <w:rPr>
          <w:rFonts w:ascii="Franklin Gothic Book" w:hAnsi="Franklin Gothic Book"/>
          <w:color w:val="0D0D0D"/>
          <w:sz w:val="22"/>
        </w:rPr>
        <w:t xml:space="preserve"> diagnostic (IVD) and therefore does not need to be included in the ARTG</w:t>
      </w:r>
      <w:r w:rsidRPr="008F5246">
        <w:rPr>
          <w:rFonts w:ascii="Franklin Gothic Book" w:hAnsi="Franklin Gothic Book"/>
          <w:color w:val="0D0D0D"/>
          <w:sz w:val="22"/>
          <w:vertAlign w:val="superscript"/>
        </w:rPr>
        <w:footnoteReference w:id="6"/>
      </w:r>
      <w:r w:rsidRPr="008F5246">
        <w:rPr>
          <w:rFonts w:ascii="Franklin Gothic Book" w:hAnsi="Franklin Gothic Book"/>
          <w:color w:val="0D0D0D"/>
          <w:sz w:val="22"/>
        </w:rPr>
        <w:t xml:space="preserve">.  </w:t>
      </w:r>
    </w:p>
    <w:p w14:paraId="43F716E2" w14:textId="77777777" w:rsidR="00785C2F" w:rsidRPr="008F5246" w:rsidRDefault="00785C2F" w:rsidP="00785C2F">
      <w:pPr>
        <w:spacing w:line="259" w:lineRule="auto"/>
        <w:rPr>
          <w:rFonts w:ascii="Franklin Gothic Book" w:hAnsi="Franklin Gothic Book"/>
          <w:color w:val="0D0D0D"/>
          <w:sz w:val="22"/>
        </w:rPr>
      </w:pPr>
      <w:r w:rsidRPr="008F5246">
        <w:rPr>
          <w:rFonts w:ascii="Franklin Gothic Book" w:hAnsi="Franklin Gothic Book"/>
          <w:color w:val="0D0D0D"/>
          <w:sz w:val="22"/>
        </w:rPr>
        <w:t>The ratified PICO confirmation stated that laboratories who offer the test will need to participate in the relevant Royal College of Pathologists of Australasia (RCPA) Quality Assurance Program or a similar external quality assurance program.</w:t>
      </w:r>
    </w:p>
    <w:p w14:paraId="7935B27E" w14:textId="33EE06D9" w:rsidR="00785C2F" w:rsidRPr="008F5246" w:rsidRDefault="008F5246" w:rsidP="008F5246">
      <w:pPr>
        <w:pStyle w:val="Heading2"/>
        <w:widowControl w:val="0"/>
        <w:spacing w:after="240"/>
        <w:rPr>
          <w:rFonts w:ascii="Franklin Gothic Medium" w:hAnsi="Franklin Gothic Medium"/>
          <w:b w:val="0"/>
          <w:i w:val="0"/>
          <w:snapToGrid/>
          <w:color w:val="000000" w:themeColor="text1"/>
          <w:sz w:val="32"/>
          <w:szCs w:val="26"/>
        </w:rPr>
      </w:pPr>
      <w:bookmarkStart w:id="8" w:name="_Toc93044754"/>
      <w:bookmarkStart w:id="9" w:name="_Toc93322888"/>
      <w:bookmarkStart w:id="10" w:name="_Toc166763126"/>
      <w:bookmarkEnd w:id="8"/>
      <w:bookmarkEnd w:id="9"/>
      <w:r>
        <w:rPr>
          <w:rFonts w:ascii="Franklin Gothic Medium" w:hAnsi="Franklin Gothic Medium"/>
          <w:b w:val="0"/>
          <w:i w:val="0"/>
          <w:snapToGrid/>
          <w:color w:val="000000" w:themeColor="text1"/>
          <w:sz w:val="32"/>
          <w:szCs w:val="26"/>
        </w:rPr>
        <w:lastRenderedPageBreak/>
        <w:t>6.</w:t>
      </w:r>
      <w:r>
        <w:rPr>
          <w:rFonts w:ascii="Franklin Gothic Medium" w:hAnsi="Franklin Gothic Medium"/>
          <w:b w:val="0"/>
          <w:i w:val="0"/>
          <w:snapToGrid/>
          <w:color w:val="000000" w:themeColor="text1"/>
          <w:sz w:val="32"/>
          <w:szCs w:val="26"/>
        </w:rPr>
        <w:tab/>
      </w:r>
      <w:r w:rsidR="00785C2F" w:rsidRPr="008F5246">
        <w:rPr>
          <w:rFonts w:ascii="Franklin Gothic Medium" w:hAnsi="Franklin Gothic Medium"/>
          <w:b w:val="0"/>
          <w:i w:val="0"/>
          <w:snapToGrid/>
          <w:color w:val="000000" w:themeColor="text1"/>
          <w:sz w:val="32"/>
          <w:szCs w:val="26"/>
        </w:rPr>
        <w:t>Proposal for public funding</w:t>
      </w:r>
      <w:bookmarkEnd w:id="10"/>
    </w:p>
    <w:p w14:paraId="1C0D762D" w14:textId="4E94D267" w:rsidR="00785C2F" w:rsidRPr="008F5246" w:rsidRDefault="00785C2F" w:rsidP="00785C2F">
      <w:pPr>
        <w:keepNext/>
        <w:tabs>
          <w:tab w:val="left" w:pos="2172"/>
        </w:tabs>
        <w:spacing w:line="259" w:lineRule="auto"/>
        <w:rPr>
          <w:rFonts w:ascii="Franklin Gothic Book" w:hAnsi="Franklin Gothic Book"/>
          <w:i/>
          <w:iCs/>
          <w:color w:val="0D0D0D"/>
          <w:sz w:val="22"/>
        </w:rPr>
      </w:pPr>
      <w:r w:rsidRPr="008F5246">
        <w:rPr>
          <w:rFonts w:ascii="Franklin Gothic Book" w:hAnsi="Franklin Gothic Book"/>
          <w:color w:val="0D0D0D"/>
          <w:sz w:val="22"/>
        </w:rPr>
        <w:t>The proposed MBS listing, consistent with the ratified PICO confirmation (except for</w:t>
      </w:r>
      <w:r w:rsidRPr="008F5246">
        <w:rPr>
          <w:rFonts w:ascii="Franklin Gothic Book" w:hAnsi="Franklin Gothic Book"/>
          <w:i/>
          <w:iCs/>
          <w:color w:val="0D0D0D"/>
          <w:sz w:val="22"/>
        </w:rPr>
        <w:t xml:space="preserve"> ‘isocitrate dehydrogenase 1 (IDH1)’ </w:t>
      </w:r>
      <w:r w:rsidRPr="008F5246">
        <w:rPr>
          <w:rFonts w:ascii="Franklin Gothic Book" w:hAnsi="Franklin Gothic Book"/>
          <w:color w:val="0D0D0D"/>
          <w:sz w:val="22"/>
        </w:rPr>
        <w:t xml:space="preserve">which was omitted in the submission), is shown in </w:t>
      </w:r>
      <w:r w:rsidRPr="008F5246">
        <w:rPr>
          <w:rFonts w:ascii="Franklin Gothic Book" w:hAnsi="Franklin Gothic Book"/>
          <w:color w:val="0D0D0D"/>
          <w:sz w:val="22"/>
        </w:rPr>
        <w:fldChar w:fldCharType="begin"/>
      </w:r>
      <w:r w:rsidRPr="008F5246">
        <w:rPr>
          <w:rFonts w:ascii="Franklin Gothic Book" w:hAnsi="Franklin Gothic Book"/>
          <w:color w:val="0D0D0D"/>
          <w:sz w:val="22"/>
        </w:rPr>
        <w:instrText xml:space="preserve"> REF _Ref164671030 \h  \* MERGEFORMAT </w:instrText>
      </w:r>
      <w:r w:rsidRPr="008F5246">
        <w:rPr>
          <w:rFonts w:ascii="Franklin Gothic Book" w:hAnsi="Franklin Gothic Book"/>
          <w:color w:val="0D0D0D"/>
          <w:sz w:val="22"/>
        </w:rPr>
      </w:r>
      <w:r w:rsidRPr="008F5246">
        <w:rPr>
          <w:rFonts w:ascii="Franklin Gothic Book" w:hAnsi="Franklin Gothic Book"/>
          <w:color w:val="0D0D0D"/>
          <w:sz w:val="22"/>
        </w:rPr>
        <w:fldChar w:fldCharType="separate"/>
      </w:r>
      <w:r w:rsidR="00D94E31" w:rsidRPr="00D94E31">
        <w:rPr>
          <w:rFonts w:ascii="Franklin Gothic Book" w:hAnsi="Franklin Gothic Book"/>
          <w:color w:val="0D0D0D"/>
          <w:sz w:val="22"/>
        </w:rPr>
        <w:t>Table MSAC. 1</w:t>
      </w:r>
      <w:r w:rsidRPr="008F5246">
        <w:rPr>
          <w:rFonts w:ascii="Franklin Gothic Book" w:hAnsi="Franklin Gothic Book"/>
          <w:color w:val="0D0D0D"/>
          <w:sz w:val="22"/>
        </w:rPr>
        <w:fldChar w:fldCharType="end"/>
      </w:r>
      <w:r w:rsidRPr="008F5246">
        <w:rPr>
          <w:rFonts w:ascii="Franklin Gothic Book" w:hAnsi="Franklin Gothic Book"/>
          <w:color w:val="0D0D0D"/>
          <w:sz w:val="22"/>
        </w:rPr>
        <w:t xml:space="preserve">. </w:t>
      </w:r>
    </w:p>
    <w:p w14:paraId="4B7B4D20" w14:textId="77777777" w:rsidR="00785C2F" w:rsidRPr="008F5246" w:rsidRDefault="00785C2F" w:rsidP="00785C2F">
      <w:pPr>
        <w:keepNext/>
        <w:tabs>
          <w:tab w:val="left" w:pos="2172"/>
        </w:tabs>
        <w:spacing w:line="259" w:lineRule="auto"/>
        <w:rPr>
          <w:rFonts w:ascii="Franklin Gothic Book" w:hAnsi="Franklin Gothic Book"/>
          <w:color w:val="0D0D0D"/>
          <w:sz w:val="22"/>
        </w:rPr>
      </w:pPr>
      <w:r w:rsidRPr="008F5246">
        <w:rPr>
          <w:rFonts w:ascii="Franklin Gothic Book" w:hAnsi="Franklin Gothic Book"/>
          <w:color w:val="0D0D0D"/>
          <w:sz w:val="22"/>
        </w:rPr>
        <w:t xml:space="preserve">The proposed item is method-agnostic, although it is anticipated that Australian laboratories are most likely to use either Sanger sequencing, pyrosequencing or Next Generation Sequencing (NGS) technologies for molecular testing. </w:t>
      </w:r>
    </w:p>
    <w:p w14:paraId="544AA7FB" w14:textId="77777777" w:rsidR="00785C2F" w:rsidRPr="008F5246" w:rsidRDefault="00785C2F" w:rsidP="00785C2F">
      <w:pPr>
        <w:keepNext/>
        <w:tabs>
          <w:tab w:val="left" w:pos="2172"/>
        </w:tabs>
        <w:spacing w:line="259" w:lineRule="auto"/>
        <w:rPr>
          <w:rFonts w:ascii="Franklin Gothic Book" w:hAnsi="Franklin Gothic Book" w:cs="Arial"/>
          <w:i/>
          <w:iCs/>
          <w:color w:val="0D0D0D"/>
          <w:sz w:val="22"/>
        </w:rPr>
      </w:pPr>
      <w:r w:rsidRPr="008F5246">
        <w:rPr>
          <w:rFonts w:ascii="Franklin Gothic Book" w:hAnsi="Franklin Gothic Book" w:cs="Arial"/>
          <w:color w:val="0D0D0D"/>
          <w:sz w:val="22"/>
        </w:rPr>
        <w:t xml:space="preserve">There is a similar MBS listing of </w:t>
      </w:r>
      <w:r w:rsidRPr="008F5246">
        <w:rPr>
          <w:rFonts w:ascii="Franklin Gothic Book" w:hAnsi="Franklin Gothic Book" w:cs="Arial"/>
          <w:i/>
          <w:iCs/>
          <w:color w:val="0D0D0D"/>
          <w:sz w:val="22"/>
        </w:rPr>
        <w:t xml:space="preserve">IDH1 </w:t>
      </w:r>
      <w:r w:rsidRPr="008F5246">
        <w:rPr>
          <w:rFonts w:ascii="Franklin Gothic Book" w:hAnsi="Franklin Gothic Book" w:cs="Arial"/>
          <w:color w:val="0D0D0D"/>
          <w:sz w:val="22"/>
        </w:rPr>
        <w:t xml:space="preserve">testing of tumour tissue from patients diagnosed with gliomas (MBS item 73372), but the proposed item is the first for testing patients with cholangiocarcinoma. The proposed fee is identical to the current MBS item 73372 for </w:t>
      </w:r>
      <w:r w:rsidRPr="008F5246">
        <w:rPr>
          <w:rFonts w:ascii="Franklin Gothic Book" w:hAnsi="Franklin Gothic Book" w:cs="Arial"/>
          <w:i/>
          <w:iCs/>
          <w:color w:val="0D0D0D"/>
          <w:sz w:val="22"/>
        </w:rPr>
        <w:t>IDH1/2</w:t>
      </w:r>
      <w:r w:rsidRPr="008F5246">
        <w:rPr>
          <w:rFonts w:ascii="Franklin Gothic Book" w:hAnsi="Franklin Gothic Book" w:cs="Arial"/>
          <w:color w:val="0D0D0D"/>
          <w:sz w:val="22"/>
        </w:rPr>
        <w:t xml:space="preserve"> variant testing. </w:t>
      </w:r>
      <w:r w:rsidRPr="008F5246">
        <w:rPr>
          <w:rFonts w:ascii="Franklin Gothic Book" w:hAnsi="Franklin Gothic Book" w:cs="Arial"/>
          <w:i/>
          <w:iCs/>
          <w:color w:val="0D0D0D"/>
          <w:sz w:val="22"/>
        </w:rPr>
        <w:t xml:space="preserve"> </w:t>
      </w:r>
    </w:p>
    <w:p w14:paraId="4F1B1C7A" w14:textId="7ED74264" w:rsidR="00785C2F" w:rsidRPr="00C15DF8" w:rsidRDefault="00785C2F" w:rsidP="00785C2F">
      <w:pPr>
        <w:keepNext/>
        <w:tabs>
          <w:tab w:val="left" w:pos="1276"/>
        </w:tabs>
        <w:spacing w:after="0" w:line="259" w:lineRule="auto"/>
        <w:contextualSpacing/>
        <w:rPr>
          <w:rFonts w:ascii="Arial Narrow" w:hAnsi="Arial Narrow" w:cs="Arial"/>
          <w:b/>
          <w:iCs/>
          <w:color w:val="0D0D0D"/>
          <w:sz w:val="20"/>
          <w:szCs w:val="18"/>
        </w:rPr>
      </w:pPr>
      <w:bookmarkStart w:id="11" w:name="_Ref164671030"/>
      <w:bookmarkStart w:id="12" w:name="_Ref159578336"/>
      <w:r w:rsidRPr="00C15DF8">
        <w:rPr>
          <w:rFonts w:ascii="Arial Narrow" w:hAnsi="Arial Narrow" w:cs="Arial"/>
          <w:b/>
          <w:iCs/>
          <w:color w:val="0D0D0D"/>
          <w:sz w:val="20"/>
          <w:szCs w:val="18"/>
        </w:rPr>
        <w:t xml:space="preserve">Table MSAC. </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1</w:t>
      </w:r>
      <w:r w:rsidRPr="00C15DF8">
        <w:rPr>
          <w:rFonts w:ascii="Arial Narrow" w:hAnsi="Arial Narrow" w:cs="Arial"/>
          <w:b/>
          <w:iCs/>
          <w:color w:val="0D0D0D"/>
          <w:sz w:val="20"/>
          <w:szCs w:val="18"/>
        </w:rPr>
        <w:fldChar w:fldCharType="end"/>
      </w:r>
      <w:bookmarkEnd w:id="11"/>
      <w:r w:rsidRPr="00C15DF8">
        <w:rPr>
          <w:rFonts w:ascii="Arial Narrow" w:hAnsi="Arial Narrow" w:cs="Arial"/>
          <w:b/>
          <w:iCs/>
          <w:color w:val="0D0D0D"/>
          <w:sz w:val="20"/>
          <w:szCs w:val="18"/>
        </w:rPr>
        <w:tab/>
        <w:t xml:space="preserve">Proposed MBS item for </w:t>
      </w:r>
      <w:r w:rsidRPr="00C15DF8">
        <w:rPr>
          <w:rFonts w:ascii="Arial Narrow" w:hAnsi="Arial Narrow" w:cs="Arial"/>
          <w:b/>
          <w:i/>
          <w:iCs/>
          <w:color w:val="0D0D0D"/>
          <w:sz w:val="20"/>
          <w:szCs w:val="18"/>
        </w:rPr>
        <w:t>IDH1</w:t>
      </w:r>
      <w:r w:rsidRPr="00C15DF8">
        <w:rPr>
          <w:rFonts w:ascii="Arial Narrow" w:hAnsi="Arial Narrow" w:cs="Arial"/>
          <w:b/>
          <w:iCs/>
          <w:color w:val="0D0D0D"/>
          <w:sz w:val="20"/>
          <w:szCs w:val="18"/>
        </w:rPr>
        <w:t xml:space="preserve"> status testing</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85C2F" w:rsidRPr="00C15DF8" w14:paraId="1A6015AE" w14:textId="77777777">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5E205B6C" w14:textId="77777777" w:rsidR="00785C2F" w:rsidRPr="00C15DF8" w:rsidRDefault="00785C2F">
            <w:pPr>
              <w:widowControl w:val="0"/>
              <w:spacing w:after="0"/>
              <w:rPr>
                <w:rFonts w:ascii="Arial Narrow" w:hAnsi="Arial Narrow" w:cs="Arial"/>
                <w:color w:val="0D0D0D"/>
              </w:rPr>
            </w:pPr>
            <w:r w:rsidRPr="00C15DF8">
              <w:rPr>
                <w:rFonts w:ascii="Arial Narrow" w:hAnsi="Arial Narrow" w:cs="Arial"/>
                <w:color w:val="0D0D0D"/>
                <w:sz w:val="20"/>
              </w:rPr>
              <w:t>Category 6 – PATHOLOGY SERVICES</w:t>
            </w:r>
          </w:p>
        </w:tc>
      </w:tr>
      <w:tr w:rsidR="00785C2F" w:rsidRPr="00C15DF8" w14:paraId="523F8F46" w14:textId="77777777">
        <w:tc>
          <w:tcPr>
            <w:tcW w:w="5000" w:type="pct"/>
            <w:tcBorders>
              <w:top w:val="single" w:sz="4" w:space="0" w:color="000000"/>
              <w:left w:val="single" w:sz="4" w:space="0" w:color="000000"/>
              <w:bottom w:val="single" w:sz="4" w:space="0" w:color="000000"/>
              <w:right w:val="single" w:sz="4" w:space="0" w:color="000000"/>
            </w:tcBorders>
            <w:hideMark/>
          </w:tcPr>
          <w:p w14:paraId="732C66B6" w14:textId="77777777" w:rsidR="00785C2F" w:rsidRPr="00C15DF8" w:rsidRDefault="00785C2F">
            <w:pPr>
              <w:rPr>
                <w:rFonts w:ascii="Arial Narrow" w:hAnsi="Arial Narrow" w:cs="Arial"/>
                <w:color w:val="0D0D0D"/>
                <w:sz w:val="20"/>
                <w:lang w:eastAsia="ja-JP"/>
              </w:rPr>
            </w:pPr>
            <w:r w:rsidRPr="00C15DF8">
              <w:rPr>
                <w:rFonts w:ascii="Arial Narrow" w:hAnsi="Arial Narrow" w:cs="Arial"/>
                <w:color w:val="0D0D0D"/>
                <w:sz w:val="20"/>
                <w:lang w:eastAsia="ja-JP"/>
              </w:rPr>
              <w:t>XXXXX</w:t>
            </w:r>
          </w:p>
          <w:p w14:paraId="096D3E4B" w14:textId="77777777" w:rsidR="00785C2F" w:rsidRPr="00C15DF8" w:rsidRDefault="00785C2F">
            <w:pPr>
              <w:rPr>
                <w:rFonts w:ascii="Arial Narrow" w:hAnsi="Arial Narrow" w:cs="Arial"/>
                <w:color w:val="0D0D0D"/>
                <w:sz w:val="20"/>
                <w:lang w:eastAsia="ja-JP"/>
              </w:rPr>
            </w:pPr>
            <w:r w:rsidRPr="00C15DF8">
              <w:rPr>
                <w:rFonts w:ascii="Arial Narrow" w:hAnsi="Arial Narrow" w:cs="Arial"/>
                <w:color w:val="0D0D0D"/>
                <w:sz w:val="20"/>
                <w:lang w:eastAsia="ja-JP"/>
              </w:rPr>
              <w:t>Detection in tumour tissue of isocitrate dehydrogenase 1 (</w:t>
            </w:r>
            <w:r w:rsidRPr="0054178B">
              <w:rPr>
                <w:rFonts w:ascii="Arial Narrow" w:hAnsi="Arial Narrow" w:cs="Arial"/>
                <w:i/>
                <w:color w:val="0D0D0D"/>
                <w:sz w:val="20"/>
                <w:lang w:eastAsia="ja-JP"/>
              </w:rPr>
              <w:t>IDH1</w:t>
            </w:r>
            <w:r w:rsidRPr="00C15DF8">
              <w:rPr>
                <w:rFonts w:ascii="Arial Narrow" w:hAnsi="Arial Narrow" w:cs="Arial"/>
                <w:color w:val="0D0D0D"/>
                <w:sz w:val="20"/>
                <w:lang w:eastAsia="ja-JP"/>
              </w:rPr>
              <w:t>)</w:t>
            </w:r>
            <w:r w:rsidRPr="00C15DF8">
              <w:rPr>
                <w:rFonts w:ascii="Arial Narrow" w:hAnsi="Arial Narrow" w:cs="Arial"/>
                <w:i/>
                <w:iCs/>
                <w:color w:val="0D0D0D"/>
                <w:sz w:val="20"/>
                <w:lang w:eastAsia="ja-JP"/>
              </w:rPr>
              <w:t xml:space="preserve"> </w:t>
            </w:r>
            <w:r w:rsidRPr="00C15DF8">
              <w:rPr>
                <w:rFonts w:ascii="Arial Narrow" w:hAnsi="Arial Narrow" w:cs="Arial"/>
                <w:color w:val="0D0D0D"/>
                <w:sz w:val="20"/>
                <w:lang w:eastAsia="ja-JP"/>
              </w:rPr>
              <w:t>p.R132X tier I variant status, in a patient with histologically confirmed cholangiocarcinoma, to determine access to an isocitrate dehydrogenase 1 inhibitor under the Pharmaceutical Benefits Scheme (PBS).</w:t>
            </w:r>
          </w:p>
          <w:p w14:paraId="3EFB858F" w14:textId="77777777" w:rsidR="00785C2F" w:rsidRPr="00C15DF8" w:rsidRDefault="00785C2F">
            <w:pPr>
              <w:rPr>
                <w:rFonts w:ascii="Arial Narrow" w:hAnsi="Arial Narrow" w:cs="Arial"/>
                <w:color w:val="0D0D0D"/>
                <w:sz w:val="20"/>
                <w:lang w:eastAsia="ja-JP"/>
              </w:rPr>
            </w:pPr>
            <w:r w:rsidRPr="00C15DF8">
              <w:rPr>
                <w:rFonts w:ascii="Arial Narrow" w:hAnsi="Arial Narrow" w:cs="Arial"/>
                <w:color w:val="0D0D0D"/>
                <w:sz w:val="20"/>
                <w:lang w:eastAsia="ja-JP"/>
              </w:rPr>
              <w:t>Applicable only once per lifetime</w:t>
            </w:r>
          </w:p>
        </w:tc>
      </w:tr>
      <w:tr w:rsidR="00785C2F" w:rsidRPr="00C15DF8" w14:paraId="19581D5D" w14:textId="77777777">
        <w:trPr>
          <w:trHeight w:val="7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6B683F7A"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lang w:eastAsia="ja-JP"/>
              </w:rPr>
              <w:t xml:space="preserve">Fee: $340   </w:t>
            </w:r>
            <w:r w:rsidRPr="00C15DF8">
              <w:rPr>
                <w:rFonts w:ascii="Arial Narrow" w:hAnsi="Arial Narrow" w:cs="Arial"/>
                <w:color w:val="0D0D0D"/>
                <w:sz w:val="20"/>
              </w:rPr>
              <w:t>Benefit: 75% = $255.00 85% = $289.00</w:t>
            </w:r>
          </w:p>
        </w:tc>
      </w:tr>
    </w:tbl>
    <w:p w14:paraId="646B3DF1" w14:textId="77777777" w:rsidR="00785C2F" w:rsidRPr="00C4365E" w:rsidRDefault="00785C2F" w:rsidP="00785C2F">
      <w:pPr>
        <w:widowControl w:val="0"/>
        <w:spacing w:after="0"/>
        <w:contextualSpacing/>
        <w:rPr>
          <w:rFonts w:ascii="Arial Narrow" w:eastAsia="Times New Roman" w:hAnsi="Arial Narrow" w:cs="Arial"/>
          <w:snapToGrid w:val="0"/>
          <w:color w:val="0D0D0D"/>
          <w:sz w:val="18"/>
          <w:szCs w:val="16"/>
        </w:rPr>
      </w:pPr>
      <w:r w:rsidRPr="00C4365E">
        <w:rPr>
          <w:rFonts w:ascii="Arial Narrow" w:eastAsia="Times New Roman" w:hAnsi="Arial Narrow" w:cs="Arial"/>
          <w:snapToGrid w:val="0"/>
          <w:color w:val="0D0D0D"/>
          <w:sz w:val="18"/>
          <w:szCs w:val="16"/>
        </w:rPr>
        <w:t xml:space="preserve">Source: Table 1-7, p46 of the submission </w:t>
      </w:r>
    </w:p>
    <w:p w14:paraId="4B8E62AD" w14:textId="464CC02C" w:rsidR="00785C2F" w:rsidRPr="00732F4B" w:rsidRDefault="00785C2F" w:rsidP="00732F4B">
      <w:pPr>
        <w:spacing w:line="259" w:lineRule="auto"/>
        <w:rPr>
          <w:rFonts w:ascii="Franklin Gothic Book" w:hAnsi="Franklin Gothic Book" w:cs="Arial"/>
          <w:color w:val="0D0D0D"/>
          <w:sz w:val="22"/>
        </w:rPr>
      </w:pPr>
      <w:r w:rsidRPr="00732F4B">
        <w:rPr>
          <w:rFonts w:ascii="Franklin Gothic Book" w:hAnsi="Franklin Gothic Book" w:cs="Arial"/>
          <w:color w:val="0D0D0D"/>
          <w:sz w:val="22"/>
        </w:rPr>
        <w:t>‘</w:t>
      </w:r>
      <w:r w:rsidRPr="0054178B">
        <w:rPr>
          <w:rFonts w:ascii="Franklin Gothic Book" w:hAnsi="Franklin Gothic Book" w:cs="Arial"/>
          <w:i/>
          <w:color w:val="0D0D0D"/>
          <w:sz w:val="22"/>
        </w:rPr>
        <w:t>IDH1</w:t>
      </w:r>
      <w:r w:rsidRPr="00732F4B">
        <w:rPr>
          <w:rFonts w:ascii="Franklin Gothic Book" w:hAnsi="Franklin Gothic Book" w:cs="Arial"/>
          <w:color w:val="0D0D0D"/>
          <w:sz w:val="22"/>
        </w:rPr>
        <w:t xml:space="preserve"> p.R132X tier I variant status’ is intended to refer to a genetic variant in the deoxyribonucleic acid (DNA) sequence at codon 132 of the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gene, such that the resultant amino acid substitution encodes a ‘gain-of-function’ IDH1 protein (IDH1 p.R132X). This includes genetic variants encoding IDH1 p.R132C, p.R132G, p.R132H, p.R132L, and p.R132S, as well as other amino acid substitution</w:t>
      </w:r>
      <w:r w:rsidR="001A6FEF" w:rsidRPr="00732F4B">
        <w:rPr>
          <w:rFonts w:ascii="Franklin Gothic Book" w:hAnsi="Franklin Gothic Book" w:cs="Arial"/>
          <w:color w:val="0D0D0D"/>
          <w:sz w:val="22"/>
        </w:rPr>
        <w:t>s</w:t>
      </w:r>
      <w:r w:rsidRPr="00732F4B">
        <w:rPr>
          <w:rFonts w:ascii="Franklin Gothic Book" w:hAnsi="Franklin Gothic Book" w:cs="Arial"/>
          <w:color w:val="0D0D0D"/>
          <w:sz w:val="22"/>
        </w:rPr>
        <w:t xml:space="preserve"> at p. R132 leading to a ‘gain of function’ oncogenic IDH1 protein. Throughout this document,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testing” refers to genetic testing to identify a tier I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genetic variant that encodes a gain of function amino acid substitution at codon 132 of the IDH1 protein.</w:t>
      </w:r>
    </w:p>
    <w:p w14:paraId="306C60C4" w14:textId="77777777" w:rsidR="00785C2F" w:rsidRPr="00732F4B" w:rsidRDefault="00785C2F" w:rsidP="00732F4B">
      <w:pPr>
        <w:spacing w:line="259" w:lineRule="auto"/>
        <w:rPr>
          <w:rFonts w:ascii="Franklin Gothic Book" w:hAnsi="Franklin Gothic Book" w:cs="Arial"/>
          <w:i/>
          <w:iCs/>
          <w:color w:val="0D0D0D"/>
          <w:sz w:val="22"/>
        </w:rPr>
      </w:pPr>
      <w:r w:rsidRPr="00732F4B">
        <w:rPr>
          <w:rFonts w:ascii="Franklin Gothic Book" w:hAnsi="Franklin Gothic Book" w:cs="Arial"/>
          <w:color w:val="0D0D0D"/>
          <w:sz w:val="22"/>
        </w:rPr>
        <w:t xml:space="preserve">The use of the item is restricted to laboratories holding National Association of Testing Authorities (NATA) accreditation. </w:t>
      </w:r>
    </w:p>
    <w:p w14:paraId="48C8FCF2" w14:textId="7F9CF4EE" w:rsidR="00785C2F" w:rsidRPr="00732F4B" w:rsidRDefault="00CB141E" w:rsidP="00732F4B">
      <w:pPr>
        <w:spacing w:line="259" w:lineRule="auto"/>
        <w:rPr>
          <w:rFonts w:ascii="Franklin Gothic Book" w:hAnsi="Franklin Gothic Book"/>
          <w:color w:val="0D0D0D"/>
          <w:sz w:val="22"/>
        </w:rPr>
      </w:pPr>
      <w:r w:rsidRPr="00732F4B">
        <w:rPr>
          <w:rFonts w:ascii="Franklin Gothic Book" w:hAnsi="Franklin Gothic Book"/>
          <w:color w:val="0D0D0D"/>
          <w:sz w:val="22"/>
        </w:rPr>
        <w:t>The commentary noted that t</w:t>
      </w:r>
      <w:r w:rsidR="00785C2F" w:rsidRPr="00732F4B">
        <w:rPr>
          <w:rFonts w:ascii="Franklin Gothic Book" w:hAnsi="Franklin Gothic Book"/>
          <w:color w:val="0D0D0D"/>
          <w:sz w:val="22"/>
        </w:rPr>
        <w:t xml:space="preserve">here are no restrictions on the proposed population to be tested, other than having histologically confirmed cholangiocarcinoma, and the testing was proposed by PASC to be </w:t>
      </w:r>
      <w:proofErr w:type="gramStart"/>
      <w:r w:rsidR="00785C2F" w:rsidRPr="00732F4B">
        <w:rPr>
          <w:rFonts w:ascii="Franklin Gothic Book" w:hAnsi="Franklin Gothic Book"/>
          <w:color w:val="0D0D0D"/>
          <w:sz w:val="22"/>
        </w:rPr>
        <w:t>pathologist-determinable</w:t>
      </w:r>
      <w:proofErr w:type="gramEnd"/>
      <w:r w:rsidR="00785C2F" w:rsidRPr="00732F4B">
        <w:rPr>
          <w:rFonts w:ascii="Franklin Gothic Book" w:hAnsi="Franklin Gothic Book"/>
          <w:color w:val="0D0D0D"/>
          <w:sz w:val="22"/>
        </w:rPr>
        <w:t xml:space="preserve">. PASC noted that although the item descriptor mentions testing of tumour tissue, this is understood to also include cytology samples. </w:t>
      </w:r>
    </w:p>
    <w:p w14:paraId="619C9D2A" w14:textId="436D50C3" w:rsidR="00785C2F" w:rsidRPr="00732F4B" w:rsidRDefault="00785C2F" w:rsidP="00732F4B">
      <w:pPr>
        <w:spacing w:line="259" w:lineRule="auto"/>
        <w:rPr>
          <w:rFonts w:ascii="Franklin Gothic Book" w:hAnsi="Franklin Gothic Book" w:cs="Arial"/>
          <w:color w:val="0D0D0D"/>
          <w:sz w:val="22"/>
        </w:rPr>
      </w:pPr>
      <w:r w:rsidRPr="00732F4B">
        <w:rPr>
          <w:rFonts w:ascii="Franklin Gothic Book" w:hAnsi="Franklin Gothic Book" w:cs="Arial"/>
          <w:color w:val="0D0D0D"/>
          <w:sz w:val="22"/>
        </w:rPr>
        <w:t xml:space="preserve">PASC considered that, based on glioma biomarker stability data, the frequency restrictor of not more than once per lifetime for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testing, appeared appropriate. The</w:t>
      </w:r>
      <w:r w:rsidR="00CB141E" w:rsidRPr="00732F4B">
        <w:rPr>
          <w:rFonts w:ascii="Franklin Gothic Book" w:hAnsi="Franklin Gothic Book" w:cs="Arial"/>
          <w:color w:val="0D0D0D"/>
          <w:sz w:val="22"/>
        </w:rPr>
        <w:t xml:space="preserve"> commentary noted that the</w:t>
      </w:r>
      <w:r w:rsidRPr="00732F4B">
        <w:rPr>
          <w:rFonts w:ascii="Franklin Gothic Book" w:hAnsi="Franklin Gothic Book" w:cs="Arial"/>
          <w:color w:val="0D0D0D"/>
          <w:sz w:val="22"/>
        </w:rPr>
        <w:t xml:space="preserve">re is a limited volume of evidence that additional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or </w:t>
      </w:r>
      <w:r w:rsidRPr="00732F4B">
        <w:rPr>
          <w:rFonts w:ascii="Franklin Gothic Book" w:hAnsi="Franklin Gothic Book" w:cs="Arial"/>
          <w:i/>
          <w:iCs/>
          <w:color w:val="0D0D0D"/>
          <w:sz w:val="22"/>
        </w:rPr>
        <w:t>IDH2</w:t>
      </w:r>
      <w:r w:rsidRPr="00732F4B">
        <w:rPr>
          <w:rFonts w:ascii="Franklin Gothic Book" w:hAnsi="Franklin Gothic Book" w:cs="Arial"/>
          <w:color w:val="0D0D0D"/>
          <w:sz w:val="22"/>
        </w:rPr>
        <w:t xml:space="preserve"> variants may be acquired and likely responsible for resistance to ivosidenib. </w:t>
      </w:r>
      <w:r w:rsidR="00CB141E" w:rsidRPr="00732F4B">
        <w:rPr>
          <w:rFonts w:ascii="Franklin Gothic Book" w:hAnsi="Franklin Gothic Book" w:cs="Arial"/>
          <w:color w:val="0D0D0D"/>
          <w:sz w:val="22"/>
        </w:rPr>
        <w:t>The commentary noted that n</w:t>
      </w:r>
      <w:r w:rsidRPr="00732F4B">
        <w:rPr>
          <w:rFonts w:ascii="Franklin Gothic Book" w:hAnsi="Franklin Gothic Book" w:cs="Arial"/>
          <w:color w:val="0D0D0D"/>
          <w:sz w:val="22"/>
        </w:rPr>
        <w:t xml:space="preserve">o monitoring for resistant variants was proposed.  </w:t>
      </w:r>
    </w:p>
    <w:p w14:paraId="50463883" w14:textId="16B80156" w:rsidR="00785C2F" w:rsidRPr="00732F4B" w:rsidRDefault="00732F4B" w:rsidP="00732F4B">
      <w:pPr>
        <w:pStyle w:val="Heading2"/>
        <w:widowControl w:val="0"/>
        <w:spacing w:after="240"/>
        <w:rPr>
          <w:rFonts w:ascii="Franklin Gothic Medium" w:hAnsi="Franklin Gothic Medium"/>
          <w:b w:val="0"/>
          <w:i w:val="0"/>
          <w:snapToGrid/>
          <w:color w:val="000000" w:themeColor="text1"/>
          <w:sz w:val="32"/>
          <w:szCs w:val="26"/>
        </w:rPr>
      </w:pPr>
      <w:bookmarkStart w:id="13" w:name="_Toc93044759"/>
      <w:bookmarkStart w:id="14" w:name="_Toc93322893"/>
      <w:bookmarkStart w:id="15" w:name="_Toc166763127"/>
      <w:bookmarkEnd w:id="13"/>
      <w:bookmarkEnd w:id="14"/>
      <w:r>
        <w:rPr>
          <w:rFonts w:ascii="Franklin Gothic Medium" w:hAnsi="Franklin Gothic Medium"/>
          <w:b w:val="0"/>
          <w:i w:val="0"/>
          <w:snapToGrid/>
          <w:color w:val="000000" w:themeColor="text1"/>
          <w:sz w:val="32"/>
          <w:szCs w:val="26"/>
        </w:rPr>
        <w:t>7.</w:t>
      </w:r>
      <w:r>
        <w:rPr>
          <w:rFonts w:ascii="Franklin Gothic Medium" w:hAnsi="Franklin Gothic Medium"/>
          <w:b w:val="0"/>
          <w:i w:val="0"/>
          <w:snapToGrid/>
          <w:color w:val="000000" w:themeColor="text1"/>
          <w:sz w:val="32"/>
          <w:szCs w:val="26"/>
        </w:rPr>
        <w:tab/>
      </w:r>
      <w:r w:rsidR="00785C2F" w:rsidRPr="00732F4B">
        <w:rPr>
          <w:rFonts w:ascii="Franklin Gothic Medium" w:hAnsi="Franklin Gothic Medium"/>
          <w:b w:val="0"/>
          <w:i w:val="0"/>
          <w:snapToGrid/>
          <w:color w:val="000000" w:themeColor="text1"/>
          <w:sz w:val="32"/>
          <w:szCs w:val="26"/>
        </w:rPr>
        <w:t>Population</w:t>
      </w:r>
      <w:bookmarkEnd w:id="15"/>
    </w:p>
    <w:p w14:paraId="30F2D4C7" w14:textId="77777777"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The population proposed to be eligible for the test are those with histologically confirmed CCA, regardless of stage or subtype. This approach, combined with the ability for the pathologist to reflexively test for </w:t>
      </w:r>
      <w:r w:rsidRPr="00732F4B">
        <w:rPr>
          <w:rFonts w:ascii="Franklin Gothic Book" w:hAnsi="Franklin Gothic Book"/>
          <w:i/>
          <w:iCs/>
          <w:color w:val="0D0D0D"/>
          <w:sz w:val="22"/>
        </w:rPr>
        <w:t>IDH1</w:t>
      </w:r>
      <w:r w:rsidRPr="00732F4B">
        <w:rPr>
          <w:rFonts w:ascii="Franklin Gothic Book" w:hAnsi="Franklin Gothic Book"/>
          <w:color w:val="0D0D0D"/>
          <w:sz w:val="22"/>
        </w:rPr>
        <w:t xml:space="preserve"> gene variants following confirmation of cholangiocarcinoma, allows the diagnostic process to be streamlined, reducing the requirement for block retrieval and making more efficient use of the tumour tissue. </w:t>
      </w:r>
    </w:p>
    <w:p w14:paraId="6ED9B24D" w14:textId="77777777"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lastRenderedPageBreak/>
        <w:t xml:space="preserve">If a tier I IDH1 </w:t>
      </w:r>
      <w:r w:rsidRPr="00732F4B">
        <w:rPr>
          <w:rFonts w:ascii="Franklin Gothic Book" w:hAnsi="Franklin Gothic Book" w:cs="Arial"/>
          <w:color w:val="0D0D0D"/>
          <w:sz w:val="22"/>
        </w:rPr>
        <w:t>p.R132X</w:t>
      </w:r>
      <w:r w:rsidRPr="00732F4B">
        <w:rPr>
          <w:rFonts w:ascii="Franklin Gothic Book" w:hAnsi="Franklin Gothic Book"/>
          <w:color w:val="0D0D0D"/>
          <w:sz w:val="22"/>
        </w:rPr>
        <w:t xml:space="preserve"> variant is identified and the patient also meets other criteria, then they may receive ivosidenib. The additional criteria are: </w:t>
      </w:r>
    </w:p>
    <w:p w14:paraId="309A3646" w14:textId="77777777" w:rsidR="00785C2F" w:rsidRPr="00732F4B" w:rsidRDefault="00785C2F" w:rsidP="00431CF2">
      <w:pPr>
        <w:numPr>
          <w:ilvl w:val="0"/>
          <w:numId w:val="13"/>
        </w:numPr>
        <w:spacing w:after="240"/>
        <w:rPr>
          <w:rFonts w:ascii="Franklin Gothic Book" w:hAnsi="Franklin Gothic Book"/>
          <w:color w:val="0D0D0D"/>
          <w:sz w:val="22"/>
        </w:rPr>
      </w:pPr>
      <w:r w:rsidRPr="00732F4B">
        <w:rPr>
          <w:rFonts w:ascii="Franklin Gothic Book" w:hAnsi="Franklin Gothic Book"/>
          <w:color w:val="0D0D0D"/>
          <w:sz w:val="22"/>
        </w:rPr>
        <w:t xml:space="preserve">having locally advanced or metastatic cholangiocarcinoma, </w:t>
      </w:r>
    </w:p>
    <w:p w14:paraId="2720F07A" w14:textId="77777777" w:rsidR="00785C2F" w:rsidRPr="00732F4B" w:rsidRDefault="00785C2F" w:rsidP="00431CF2">
      <w:pPr>
        <w:numPr>
          <w:ilvl w:val="0"/>
          <w:numId w:val="13"/>
        </w:numPr>
        <w:spacing w:after="240"/>
        <w:rPr>
          <w:rFonts w:ascii="Franklin Gothic Book" w:hAnsi="Franklin Gothic Book"/>
          <w:color w:val="0D0D0D"/>
          <w:sz w:val="22"/>
        </w:rPr>
      </w:pPr>
      <w:r w:rsidRPr="00732F4B">
        <w:rPr>
          <w:rFonts w:ascii="Franklin Gothic Book" w:hAnsi="Franklin Gothic Book"/>
          <w:color w:val="0D0D0D"/>
          <w:sz w:val="22"/>
        </w:rPr>
        <w:t xml:space="preserve">having received prior systemic therapy (typically gemcitabine or fluorouracil-based treatment), </w:t>
      </w:r>
    </w:p>
    <w:p w14:paraId="35B63204" w14:textId="4212DB7A" w:rsidR="00785C2F" w:rsidRPr="00732F4B" w:rsidRDefault="00785C2F" w:rsidP="00431CF2">
      <w:pPr>
        <w:numPr>
          <w:ilvl w:val="0"/>
          <w:numId w:val="13"/>
        </w:numPr>
        <w:spacing w:after="240"/>
        <w:rPr>
          <w:rFonts w:ascii="Franklin Gothic Book" w:hAnsi="Franklin Gothic Book"/>
          <w:color w:val="0D0D0D"/>
          <w:sz w:val="22"/>
        </w:rPr>
      </w:pPr>
      <w:r w:rsidRPr="00732F4B">
        <w:rPr>
          <w:rFonts w:ascii="Franklin Gothic Book" w:hAnsi="Franklin Gothic Book"/>
          <w:color w:val="0D0D0D"/>
          <w:sz w:val="22"/>
        </w:rPr>
        <w:t xml:space="preserve">a </w:t>
      </w:r>
      <w:r w:rsidR="00576FA1" w:rsidRPr="00576FA1">
        <w:rPr>
          <w:rFonts w:ascii="Franklin Gothic Book" w:hAnsi="Franklin Gothic Book"/>
          <w:color w:val="0D0D0D"/>
          <w:sz w:val="22"/>
        </w:rPr>
        <w:t>World Health Organization (WHO)</w:t>
      </w:r>
      <w:r w:rsidRPr="00732F4B">
        <w:rPr>
          <w:rFonts w:ascii="Franklin Gothic Book" w:hAnsi="Franklin Gothic Book"/>
          <w:color w:val="0D0D0D"/>
          <w:sz w:val="22"/>
        </w:rPr>
        <w:t xml:space="preserve"> performance status of 2 or less, and </w:t>
      </w:r>
    </w:p>
    <w:p w14:paraId="29A9980D" w14:textId="77777777" w:rsidR="00785C2F" w:rsidRPr="00732F4B" w:rsidRDefault="00785C2F" w:rsidP="00431CF2">
      <w:pPr>
        <w:numPr>
          <w:ilvl w:val="0"/>
          <w:numId w:val="13"/>
        </w:numPr>
        <w:spacing w:after="240"/>
        <w:rPr>
          <w:rFonts w:ascii="Franklin Gothic Book" w:hAnsi="Franklin Gothic Book"/>
          <w:color w:val="0D0D0D"/>
          <w:sz w:val="22"/>
        </w:rPr>
      </w:pPr>
      <w:r w:rsidRPr="00732F4B">
        <w:rPr>
          <w:rFonts w:ascii="Franklin Gothic Book" w:hAnsi="Franklin Gothic Book"/>
          <w:color w:val="0D0D0D"/>
          <w:sz w:val="22"/>
        </w:rPr>
        <w:t xml:space="preserve">not receiving other PBS-subsidised treatment for cholangiocarcinoma. </w:t>
      </w:r>
    </w:p>
    <w:p w14:paraId="6A3AE0F8" w14:textId="77777777"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When the </w:t>
      </w:r>
      <w:r w:rsidRPr="00732F4B">
        <w:rPr>
          <w:rFonts w:ascii="Franklin Gothic Book" w:hAnsi="Franklin Gothic Book"/>
          <w:i/>
          <w:iCs/>
          <w:color w:val="0D0D0D"/>
          <w:sz w:val="22"/>
        </w:rPr>
        <w:t>IDH1</w:t>
      </w:r>
      <w:r w:rsidRPr="00732F4B">
        <w:rPr>
          <w:rFonts w:ascii="Franklin Gothic Book" w:hAnsi="Franklin Gothic Book"/>
          <w:color w:val="0D0D0D"/>
          <w:sz w:val="22"/>
        </w:rPr>
        <w:t xml:space="preserve"> gene has a </w:t>
      </w:r>
      <w:r w:rsidRPr="00732F4B">
        <w:rPr>
          <w:rFonts w:ascii="Franklin Gothic Book" w:hAnsi="Franklin Gothic Book" w:cs="Arial"/>
          <w:color w:val="0D0D0D"/>
          <w:sz w:val="22"/>
        </w:rPr>
        <w:t>p.R132X</w:t>
      </w:r>
      <w:r w:rsidRPr="00732F4B">
        <w:rPr>
          <w:rFonts w:ascii="Franklin Gothic Book" w:hAnsi="Franklin Gothic Book"/>
          <w:color w:val="0D0D0D"/>
          <w:sz w:val="22"/>
        </w:rPr>
        <w:t xml:space="preserve"> variant, it creates IDH1 enzymes that generate increased levels of the oncometabolite D-2-hydroxyglutarate (D2-HG), which interferes with cellular metabolism and epigenetic regulation, contributing to oncogenesis. The D2-HG also inhibits alpha-ketoglutarate dependent dioxygenases such as histone and DNA demethylases. This impairs cell differentiation and further contributes to oncogenesis.  </w:t>
      </w:r>
    </w:p>
    <w:p w14:paraId="6FD57769" w14:textId="77777777"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Ivosidenib is a small molecule inhibitor of IDH1</w:t>
      </w:r>
      <w:r w:rsidRPr="00732F4B">
        <w:rPr>
          <w:rFonts w:ascii="Franklin Gothic Book" w:hAnsi="Franklin Gothic Book"/>
          <w:i/>
          <w:iCs/>
          <w:color w:val="0D0D0D"/>
          <w:sz w:val="22"/>
        </w:rPr>
        <w:t xml:space="preserve">, </w:t>
      </w:r>
      <w:r w:rsidRPr="00732F4B">
        <w:rPr>
          <w:rFonts w:ascii="Franklin Gothic Book" w:hAnsi="Franklin Gothic Book"/>
          <w:color w:val="0D0D0D"/>
          <w:sz w:val="22"/>
        </w:rPr>
        <w:t xml:space="preserve">interfering with the metabolic pathway to prevent D2-HG accumulation. Pre-clinical studies have demonstrated a dose-dependent reduction in D2-HG levels. The inhibition of histone demethylases means that normal methylation conditions can be restored, which promotes cell differentiation. </w:t>
      </w:r>
    </w:p>
    <w:p w14:paraId="6B52F7DE" w14:textId="53C01DE2"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The </w:t>
      </w:r>
      <w:r w:rsidR="00CF4BAE" w:rsidRPr="00732F4B">
        <w:rPr>
          <w:rFonts w:ascii="Franklin Gothic Book" w:hAnsi="Franklin Gothic Book"/>
          <w:color w:val="0D0D0D"/>
          <w:sz w:val="22"/>
        </w:rPr>
        <w:t xml:space="preserve">commentary considered the </w:t>
      </w:r>
      <w:r w:rsidRPr="00732F4B">
        <w:rPr>
          <w:rFonts w:ascii="Franklin Gothic Book" w:hAnsi="Franklin Gothic Book"/>
          <w:color w:val="0D0D0D"/>
          <w:sz w:val="22"/>
        </w:rPr>
        <w:t xml:space="preserve">biological rationale for testing for </w:t>
      </w:r>
      <w:r w:rsidRPr="00732F4B">
        <w:rPr>
          <w:rFonts w:ascii="Franklin Gothic Book" w:hAnsi="Franklin Gothic Book"/>
          <w:i/>
          <w:iCs/>
          <w:color w:val="0D0D0D"/>
          <w:sz w:val="22"/>
        </w:rPr>
        <w:t>IDH1</w:t>
      </w:r>
      <w:r w:rsidRPr="00732F4B">
        <w:rPr>
          <w:rFonts w:ascii="Franklin Gothic Book" w:hAnsi="Franklin Gothic Book"/>
          <w:color w:val="0D0D0D"/>
          <w:sz w:val="22"/>
        </w:rPr>
        <w:t xml:space="preserve"> variants as a biomarker for targeted treatment with ivosidenib appear</w:t>
      </w:r>
      <w:r w:rsidR="00213F30" w:rsidRPr="00732F4B">
        <w:rPr>
          <w:rFonts w:ascii="Franklin Gothic Book" w:hAnsi="Franklin Gothic Book"/>
          <w:color w:val="0D0D0D"/>
          <w:sz w:val="22"/>
        </w:rPr>
        <w:t>ed</w:t>
      </w:r>
      <w:r w:rsidRPr="00732F4B">
        <w:rPr>
          <w:rFonts w:ascii="Franklin Gothic Book" w:hAnsi="Franklin Gothic Book"/>
          <w:color w:val="0D0D0D"/>
          <w:sz w:val="22"/>
        </w:rPr>
        <w:t xml:space="preserve"> reasonable. </w:t>
      </w:r>
    </w:p>
    <w:p w14:paraId="68FC023F" w14:textId="4C20D914" w:rsidR="00785C2F" w:rsidRPr="00732F4B" w:rsidRDefault="00785C2F" w:rsidP="00785C2F">
      <w:pPr>
        <w:spacing w:after="240"/>
        <w:rPr>
          <w:rFonts w:ascii="Franklin Gothic Book" w:hAnsi="Franklin Gothic Book" w:cs="Arial"/>
          <w:color w:val="0D0D0D"/>
          <w:sz w:val="22"/>
        </w:rPr>
      </w:pPr>
      <w:r w:rsidRPr="00732F4B">
        <w:rPr>
          <w:rFonts w:ascii="Franklin Gothic Book" w:hAnsi="Franklin Gothic Book" w:cs="Arial"/>
          <w:color w:val="0D0D0D"/>
          <w:sz w:val="22"/>
        </w:rPr>
        <w:t>CCA is a type of biliary tract cancer (BTC) in the epithelial cells lining the biliary tree. These ducts are responsible for transporting bile, a digestive fluid produced in the liver, to the small intestine. The two main types of CCA are intrahepatic CCA (</w:t>
      </w:r>
      <w:proofErr w:type="spellStart"/>
      <w:r w:rsidRPr="00732F4B">
        <w:rPr>
          <w:rFonts w:ascii="Franklin Gothic Book" w:hAnsi="Franklin Gothic Book" w:cs="Arial"/>
          <w:color w:val="0D0D0D"/>
          <w:sz w:val="22"/>
        </w:rPr>
        <w:t>iCCA</w:t>
      </w:r>
      <w:proofErr w:type="spellEnd"/>
      <w:r w:rsidRPr="00732F4B">
        <w:rPr>
          <w:rFonts w:ascii="Franklin Gothic Book" w:hAnsi="Franklin Gothic Book" w:cs="Arial"/>
          <w:color w:val="0D0D0D"/>
          <w:sz w:val="22"/>
        </w:rPr>
        <w:t>,</w:t>
      </w:r>
      <w:r w:rsidRPr="00732F4B" w:rsidDel="00CF4BAE">
        <w:rPr>
          <w:rFonts w:ascii="Franklin Gothic Book" w:hAnsi="Franklin Gothic Book" w:cs="Arial"/>
          <w:color w:val="0D0D0D"/>
          <w:sz w:val="22"/>
        </w:rPr>
        <w:t xml:space="preserve"> </w:t>
      </w:r>
      <w:r w:rsidRPr="00732F4B">
        <w:rPr>
          <w:rFonts w:ascii="Franklin Gothic Book" w:hAnsi="Franklin Gothic Book" w:cs="Arial"/>
          <w:color w:val="0D0D0D"/>
          <w:sz w:val="22"/>
        </w:rPr>
        <w:t>which originates within the bile ducts inside the liver), and extrahepatic CCA (</w:t>
      </w:r>
      <w:proofErr w:type="spellStart"/>
      <w:r w:rsidRPr="00732F4B">
        <w:rPr>
          <w:rFonts w:ascii="Franklin Gothic Book" w:hAnsi="Franklin Gothic Book" w:cs="Arial"/>
          <w:color w:val="0D0D0D"/>
          <w:sz w:val="22"/>
        </w:rPr>
        <w:t>eCCA</w:t>
      </w:r>
      <w:proofErr w:type="spellEnd"/>
      <w:r w:rsidRPr="00732F4B">
        <w:rPr>
          <w:rFonts w:ascii="Franklin Gothic Book" w:hAnsi="Franklin Gothic Book" w:cs="Arial"/>
          <w:color w:val="0D0D0D"/>
          <w:sz w:val="22"/>
        </w:rPr>
        <w:t xml:space="preserve">, which develops in the distal portion of the bile duct, close to where it joins the pancreatic duct before entering the small intestine). In people with </w:t>
      </w:r>
      <w:proofErr w:type="spellStart"/>
      <w:r w:rsidRPr="00732F4B">
        <w:rPr>
          <w:rFonts w:ascii="Franklin Gothic Book" w:hAnsi="Franklin Gothic Book" w:cs="Arial"/>
          <w:color w:val="0D0D0D"/>
          <w:sz w:val="22"/>
        </w:rPr>
        <w:t>iCCA</w:t>
      </w:r>
      <w:proofErr w:type="spellEnd"/>
      <w:r w:rsidRPr="00732F4B">
        <w:rPr>
          <w:rFonts w:ascii="Franklin Gothic Book" w:hAnsi="Franklin Gothic Book" w:cs="Arial"/>
          <w:color w:val="0D0D0D"/>
          <w:sz w:val="22"/>
        </w:rPr>
        <w:t xml:space="preserve">, the prevalence of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variants in their tumours is 13%</w:t>
      </w:r>
      <w:r w:rsidR="00C84EF7" w:rsidRPr="00732F4B">
        <w:rPr>
          <w:rFonts w:ascii="Franklin Gothic Book" w:hAnsi="Franklin Gothic Book" w:cs="Arial"/>
          <w:color w:val="0D0D0D"/>
          <w:sz w:val="22"/>
        </w:rPr>
        <w:t>-20%</w:t>
      </w:r>
      <w:r w:rsidRPr="00732F4B">
        <w:rPr>
          <w:rFonts w:ascii="Franklin Gothic Book" w:hAnsi="Franklin Gothic Book" w:cs="Arial"/>
          <w:color w:val="0D0D0D"/>
          <w:sz w:val="22"/>
        </w:rPr>
        <w:t xml:space="preserve">, and in </w:t>
      </w:r>
      <w:proofErr w:type="spellStart"/>
      <w:r w:rsidRPr="00732F4B">
        <w:rPr>
          <w:rFonts w:ascii="Franklin Gothic Book" w:hAnsi="Franklin Gothic Book" w:cs="Arial"/>
          <w:color w:val="0D0D0D"/>
          <w:sz w:val="22"/>
        </w:rPr>
        <w:t>eCCA</w:t>
      </w:r>
      <w:proofErr w:type="spellEnd"/>
      <w:r w:rsidRPr="00732F4B">
        <w:rPr>
          <w:rFonts w:ascii="Franklin Gothic Book" w:hAnsi="Franklin Gothic Book" w:cs="Arial"/>
          <w:color w:val="0D0D0D"/>
          <w:sz w:val="22"/>
        </w:rPr>
        <w:t xml:space="preserve">, the prevalence of </w:t>
      </w:r>
      <w:r w:rsidRPr="00732F4B">
        <w:rPr>
          <w:rFonts w:ascii="Franklin Gothic Book" w:hAnsi="Franklin Gothic Book" w:cs="Arial"/>
          <w:i/>
          <w:iCs/>
          <w:color w:val="0D0D0D"/>
          <w:sz w:val="22"/>
        </w:rPr>
        <w:t>IDH1</w:t>
      </w:r>
      <w:r w:rsidRPr="00732F4B">
        <w:rPr>
          <w:rFonts w:ascii="Franklin Gothic Book" w:hAnsi="Franklin Gothic Book" w:cs="Arial"/>
          <w:color w:val="0D0D0D"/>
          <w:sz w:val="22"/>
        </w:rPr>
        <w:t xml:space="preserve"> variants is 0.80%</w:t>
      </w:r>
      <w:r w:rsidRPr="00732F4B">
        <w:rPr>
          <w:rFonts w:ascii="Franklin Gothic Book" w:hAnsi="Franklin Gothic Book" w:cs="Arial"/>
          <w:color w:val="0D0D0D"/>
          <w:sz w:val="22"/>
          <w:vertAlign w:val="superscript"/>
        </w:rPr>
        <w:footnoteReference w:id="7"/>
      </w:r>
      <w:r w:rsidRPr="00732F4B">
        <w:rPr>
          <w:rFonts w:ascii="Franklin Gothic Book" w:hAnsi="Franklin Gothic Book" w:cs="Arial"/>
          <w:color w:val="0D0D0D"/>
          <w:sz w:val="22"/>
        </w:rPr>
        <w:t xml:space="preserve">. The weighted prevalence is 9.15%. This </w:t>
      </w:r>
      <w:r w:rsidR="007C7832">
        <w:rPr>
          <w:rFonts w:ascii="Franklin Gothic Book" w:hAnsi="Franklin Gothic Book" w:cs="Arial"/>
          <w:color w:val="0D0D0D"/>
          <w:sz w:val="22"/>
        </w:rPr>
        <w:t>wa</w:t>
      </w:r>
      <w:r w:rsidRPr="00732F4B">
        <w:rPr>
          <w:rFonts w:ascii="Franklin Gothic Book" w:hAnsi="Franklin Gothic Book" w:cs="Arial"/>
          <w:color w:val="0D0D0D"/>
          <w:sz w:val="22"/>
        </w:rPr>
        <w:t>s based on a systematic review of 46 studies of cohorts from the United States, Europe, Asia and South America. An independent search found no data on the prevalence of</w:t>
      </w:r>
      <w:r w:rsidRPr="00732F4B">
        <w:rPr>
          <w:rFonts w:ascii="Franklin Gothic Book" w:hAnsi="Franklin Gothic Book" w:cs="Arial"/>
          <w:i/>
          <w:iCs/>
          <w:color w:val="0D0D0D"/>
          <w:sz w:val="22"/>
        </w:rPr>
        <w:t xml:space="preserve"> </w:t>
      </w:r>
      <w:r w:rsidRPr="00732F4B" w:rsidDel="00F058B4">
        <w:rPr>
          <w:rFonts w:ascii="Franklin Gothic Book" w:hAnsi="Franklin Gothic Book" w:cs="Arial"/>
          <w:i/>
          <w:color w:val="0D0D0D"/>
          <w:sz w:val="22"/>
        </w:rPr>
        <w:t>IDH1</w:t>
      </w:r>
      <w:r w:rsidRPr="00732F4B">
        <w:rPr>
          <w:rFonts w:ascii="Franklin Gothic Book" w:hAnsi="Franklin Gothic Book" w:cs="Arial"/>
          <w:color w:val="0D0D0D"/>
          <w:sz w:val="22"/>
        </w:rPr>
        <w:t xml:space="preserve"> variants in Australian cases of CCA. In the absence of Australian data, this review provides a reasonable estimate of the prevalence of</w:t>
      </w:r>
      <w:r w:rsidRPr="00732F4B">
        <w:rPr>
          <w:rFonts w:ascii="Franklin Gothic Book" w:hAnsi="Franklin Gothic Book" w:cs="Arial"/>
          <w:i/>
          <w:iCs/>
          <w:color w:val="0D0D0D"/>
          <w:sz w:val="22"/>
        </w:rPr>
        <w:t xml:space="preserve"> IDH1 </w:t>
      </w:r>
      <w:r w:rsidRPr="00732F4B">
        <w:rPr>
          <w:rFonts w:ascii="Franklin Gothic Book" w:hAnsi="Franklin Gothic Book" w:cs="Arial"/>
          <w:color w:val="0D0D0D"/>
          <w:sz w:val="22"/>
        </w:rPr>
        <w:t xml:space="preserve">variants, that is likely to be generalisable to the target population. </w:t>
      </w:r>
    </w:p>
    <w:p w14:paraId="26EF1BCE" w14:textId="77777777" w:rsidR="00785C2F" w:rsidRPr="00732F4B" w:rsidRDefault="00785C2F" w:rsidP="00785C2F">
      <w:pPr>
        <w:spacing w:after="240"/>
        <w:rPr>
          <w:rFonts w:ascii="Franklin Gothic Book" w:hAnsi="Franklin Gothic Book" w:cs="Arial"/>
          <w:color w:val="0D0D0D"/>
          <w:sz w:val="22"/>
        </w:rPr>
      </w:pPr>
      <w:r w:rsidRPr="00732F4B">
        <w:rPr>
          <w:rFonts w:ascii="Franklin Gothic Book" w:hAnsi="Franklin Gothic Book" w:cs="Arial"/>
          <w:color w:val="0D0D0D"/>
          <w:sz w:val="22"/>
        </w:rPr>
        <w:t>The current clinical management algorithm starts with patients with histologically confirmed CCA, which is then classified as early stage/</w:t>
      </w:r>
      <w:proofErr w:type="spellStart"/>
      <w:r w:rsidRPr="00732F4B">
        <w:rPr>
          <w:rFonts w:ascii="Franklin Gothic Book" w:hAnsi="Franklin Gothic Book" w:cs="Arial"/>
          <w:color w:val="0D0D0D"/>
          <w:sz w:val="22"/>
        </w:rPr>
        <w:t>resectable</w:t>
      </w:r>
      <w:proofErr w:type="spellEnd"/>
      <w:r w:rsidRPr="00732F4B">
        <w:rPr>
          <w:rFonts w:ascii="Franklin Gothic Book" w:hAnsi="Franklin Gothic Book" w:cs="Arial"/>
          <w:color w:val="0D0D0D"/>
          <w:sz w:val="22"/>
        </w:rPr>
        <w:t xml:space="preserve">, or locally advanced or metastatic CCA. In those who are diagnosed or progress to locally advanced or metastatic disease, the first-line treatment is systemic therapy, predominantly chemotherapy with gemcitabine plus cisplatin, with addition of durvalumab since December 2023 in accordance with the latest National Comprehensive Cancer Network (NCCN) and European Society for Medical Oncology (ESMO) guidelines. On disease progression, patients may then either receive the combination of folinic acid, fluorouracil and oxaliplatin (FOLFOX) or palliative care. If patients receive second-line FOLFOX and have disease progression, they </w:t>
      </w:r>
      <w:proofErr w:type="gramStart"/>
      <w:r w:rsidRPr="00732F4B">
        <w:rPr>
          <w:rFonts w:ascii="Franklin Gothic Book" w:hAnsi="Franklin Gothic Book" w:cs="Arial"/>
          <w:color w:val="0D0D0D"/>
          <w:sz w:val="22"/>
        </w:rPr>
        <w:t>would</w:t>
      </w:r>
      <w:proofErr w:type="gramEnd"/>
      <w:r w:rsidRPr="00732F4B">
        <w:rPr>
          <w:rFonts w:ascii="Franklin Gothic Book" w:hAnsi="Franklin Gothic Book" w:cs="Arial"/>
          <w:color w:val="0D0D0D"/>
          <w:sz w:val="22"/>
        </w:rPr>
        <w:t xml:space="preserve"> then receive palliative care/no treatment. </w:t>
      </w:r>
    </w:p>
    <w:p w14:paraId="3E0A7D69" w14:textId="77777777"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The proposed clinical management algorithm differs from the current management algorithm at the point of diagnosis of CCA. At this point, </w:t>
      </w:r>
      <w:r w:rsidRPr="00732F4B">
        <w:rPr>
          <w:rFonts w:ascii="Franklin Gothic Book" w:hAnsi="Franklin Gothic Book"/>
          <w:i/>
          <w:iCs/>
          <w:color w:val="0D0D0D"/>
          <w:sz w:val="22"/>
        </w:rPr>
        <w:t>IDH1</w:t>
      </w:r>
      <w:r w:rsidRPr="00732F4B">
        <w:rPr>
          <w:rFonts w:ascii="Franklin Gothic Book" w:hAnsi="Franklin Gothic Book"/>
          <w:color w:val="0D0D0D"/>
          <w:sz w:val="22"/>
        </w:rPr>
        <w:t xml:space="preserve"> variant testing is proposed to occur, although the test results would only influence management for those who have, or progress to having, locally advanced or metastatic disease, and who have had systemic therapy, and disease progression. At this point, ivosidenib is an alternative treatment option to FOLFOX or palliative care. Likewise, for </w:t>
      </w:r>
      <w:r w:rsidRPr="00732F4B">
        <w:rPr>
          <w:rFonts w:ascii="Franklin Gothic Book" w:hAnsi="Franklin Gothic Book"/>
          <w:color w:val="0D0D0D"/>
          <w:sz w:val="22"/>
        </w:rPr>
        <w:lastRenderedPageBreak/>
        <w:t xml:space="preserve">those who have received FOLFOX and have disease progression, ivosidenib is proposed as an alternative to palliative care. </w:t>
      </w:r>
    </w:p>
    <w:p w14:paraId="3379FB3D" w14:textId="5DB55263"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The </w:t>
      </w:r>
      <w:r w:rsidR="00CF4BAE" w:rsidRPr="00732F4B">
        <w:rPr>
          <w:rFonts w:ascii="Franklin Gothic Book" w:hAnsi="Franklin Gothic Book"/>
          <w:color w:val="0D0D0D"/>
          <w:sz w:val="22"/>
        </w:rPr>
        <w:t xml:space="preserve">commentary </w:t>
      </w:r>
      <w:r w:rsidR="000459EE" w:rsidRPr="00732F4B">
        <w:rPr>
          <w:rFonts w:ascii="Franklin Gothic Book" w:hAnsi="Franklin Gothic Book"/>
          <w:color w:val="0D0D0D"/>
          <w:sz w:val="22"/>
        </w:rPr>
        <w:t xml:space="preserve">noted that the </w:t>
      </w:r>
      <w:bookmarkStart w:id="16" w:name="_Hlk169030939"/>
      <w:r w:rsidR="00213F30" w:rsidRPr="00732F4B">
        <w:rPr>
          <w:rFonts w:ascii="Franklin Gothic Book" w:hAnsi="Franklin Gothic Book"/>
          <w:color w:val="0D0D0D"/>
          <w:sz w:val="22"/>
        </w:rPr>
        <w:t xml:space="preserve">Applicant Developed Assessment Report </w:t>
      </w:r>
      <w:bookmarkEnd w:id="16"/>
      <w:r w:rsidR="00213F30" w:rsidRPr="00732F4B">
        <w:rPr>
          <w:rFonts w:ascii="Franklin Gothic Book" w:hAnsi="Franklin Gothic Book"/>
          <w:color w:val="0D0D0D"/>
          <w:sz w:val="22"/>
        </w:rPr>
        <w:t>(</w:t>
      </w:r>
      <w:r w:rsidRPr="00732F4B">
        <w:rPr>
          <w:rFonts w:ascii="Franklin Gothic Book" w:hAnsi="Franklin Gothic Book"/>
          <w:color w:val="0D0D0D"/>
          <w:sz w:val="22"/>
        </w:rPr>
        <w:t>ADAR</w:t>
      </w:r>
      <w:r w:rsidR="00213F30" w:rsidRPr="00732F4B">
        <w:rPr>
          <w:rFonts w:ascii="Franklin Gothic Book" w:hAnsi="Franklin Gothic Book"/>
          <w:color w:val="0D0D0D"/>
          <w:sz w:val="22"/>
        </w:rPr>
        <w:t>)</w:t>
      </w:r>
      <w:r w:rsidRPr="00732F4B">
        <w:rPr>
          <w:rFonts w:ascii="Franklin Gothic Book" w:hAnsi="Franklin Gothic Book"/>
          <w:color w:val="0D0D0D"/>
          <w:sz w:val="22"/>
        </w:rPr>
        <w:t xml:space="preserve"> </w:t>
      </w:r>
      <w:r w:rsidR="009B56C8" w:rsidRPr="00732F4B">
        <w:rPr>
          <w:rFonts w:ascii="Franklin Gothic Book" w:hAnsi="Franklin Gothic Book"/>
          <w:color w:val="0D0D0D"/>
          <w:sz w:val="22"/>
        </w:rPr>
        <w:t>wa</w:t>
      </w:r>
      <w:r w:rsidRPr="00732F4B">
        <w:rPr>
          <w:rFonts w:ascii="Franklin Gothic Book" w:hAnsi="Franklin Gothic Book"/>
          <w:color w:val="0D0D0D"/>
          <w:sz w:val="22"/>
        </w:rPr>
        <w:t xml:space="preserve">s consistent with the ratified PICO confirmation regarding the population to be tested and treated. </w:t>
      </w:r>
    </w:p>
    <w:p w14:paraId="69A821AF" w14:textId="2FC66D46" w:rsidR="00785C2F" w:rsidRPr="00732F4B" w:rsidRDefault="00732F4B" w:rsidP="00732F4B">
      <w:pPr>
        <w:pStyle w:val="Heading2"/>
        <w:widowControl w:val="0"/>
        <w:spacing w:after="240"/>
        <w:rPr>
          <w:rFonts w:ascii="Franklin Gothic Medium" w:hAnsi="Franklin Gothic Medium"/>
          <w:b w:val="0"/>
          <w:i w:val="0"/>
          <w:snapToGrid/>
          <w:color w:val="000000" w:themeColor="text1"/>
          <w:sz w:val="32"/>
          <w:szCs w:val="26"/>
        </w:rPr>
      </w:pPr>
      <w:bookmarkStart w:id="17" w:name="_Toc163115426"/>
      <w:bookmarkStart w:id="18" w:name="_Toc166763128"/>
      <w:r>
        <w:rPr>
          <w:rFonts w:ascii="Franklin Gothic Medium" w:hAnsi="Franklin Gothic Medium"/>
          <w:b w:val="0"/>
          <w:i w:val="0"/>
          <w:snapToGrid/>
          <w:color w:val="000000" w:themeColor="text1"/>
          <w:sz w:val="32"/>
          <w:szCs w:val="26"/>
        </w:rPr>
        <w:t>8.</w:t>
      </w:r>
      <w:r>
        <w:rPr>
          <w:rFonts w:ascii="Franklin Gothic Medium" w:hAnsi="Franklin Gothic Medium"/>
          <w:b w:val="0"/>
          <w:i w:val="0"/>
          <w:snapToGrid/>
          <w:color w:val="000000" w:themeColor="text1"/>
          <w:sz w:val="32"/>
          <w:szCs w:val="26"/>
        </w:rPr>
        <w:tab/>
      </w:r>
      <w:r w:rsidR="00785C2F" w:rsidRPr="00732F4B">
        <w:rPr>
          <w:rFonts w:ascii="Franklin Gothic Medium" w:hAnsi="Franklin Gothic Medium"/>
          <w:b w:val="0"/>
          <w:i w:val="0"/>
          <w:snapToGrid/>
          <w:color w:val="000000" w:themeColor="text1"/>
          <w:sz w:val="32"/>
          <w:szCs w:val="26"/>
        </w:rPr>
        <w:t>Comparator</w:t>
      </w:r>
      <w:bookmarkEnd w:id="17"/>
      <w:bookmarkEnd w:id="18"/>
    </w:p>
    <w:p w14:paraId="72211E33" w14:textId="1CA1A114" w:rsidR="00785C2F" w:rsidRPr="00732F4B"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The comparator to</w:t>
      </w:r>
      <w:r w:rsidRPr="00732F4B">
        <w:rPr>
          <w:rFonts w:ascii="Franklin Gothic Book" w:hAnsi="Franklin Gothic Book"/>
          <w:i/>
          <w:iCs/>
          <w:color w:val="0D0D0D"/>
          <w:sz w:val="22"/>
        </w:rPr>
        <w:t xml:space="preserve"> IDH1</w:t>
      </w:r>
      <w:r w:rsidRPr="00732F4B">
        <w:rPr>
          <w:rFonts w:ascii="Franklin Gothic Book" w:hAnsi="Franklin Gothic Book"/>
          <w:color w:val="0D0D0D"/>
          <w:sz w:val="22"/>
        </w:rPr>
        <w:t xml:space="preserve"> testing in the submission and ratified PICO confirmation is </w:t>
      </w:r>
      <w:proofErr w:type="gramStart"/>
      <w:r w:rsidRPr="00732F4B">
        <w:rPr>
          <w:rFonts w:ascii="Franklin Gothic Book" w:hAnsi="Franklin Gothic Book"/>
          <w:color w:val="0D0D0D"/>
          <w:sz w:val="22"/>
        </w:rPr>
        <w:t>no</w:t>
      </w:r>
      <w:proofErr w:type="gramEnd"/>
      <w:r w:rsidRPr="00732F4B">
        <w:rPr>
          <w:rFonts w:ascii="Franklin Gothic Book" w:hAnsi="Franklin Gothic Book"/>
          <w:color w:val="0D0D0D"/>
          <w:sz w:val="22"/>
        </w:rPr>
        <w:t xml:space="preserve"> testing. As the comparator treatment is provided to an untargeted population, </w:t>
      </w:r>
      <w:r w:rsidR="00C57146" w:rsidRPr="00732F4B">
        <w:rPr>
          <w:rFonts w:ascii="Franklin Gothic Book" w:hAnsi="Franklin Gothic Book"/>
          <w:color w:val="0D0D0D"/>
          <w:sz w:val="22"/>
        </w:rPr>
        <w:t>the commentary considered it</w:t>
      </w:r>
      <w:r w:rsidRPr="00732F4B">
        <w:rPr>
          <w:rFonts w:ascii="Franklin Gothic Book" w:hAnsi="Franklin Gothic Book"/>
          <w:color w:val="0D0D0D"/>
          <w:sz w:val="22"/>
        </w:rPr>
        <w:t xml:space="preserve"> </w:t>
      </w:r>
      <w:r w:rsidR="009E17AF" w:rsidRPr="00732F4B">
        <w:rPr>
          <w:rFonts w:ascii="Franklin Gothic Book" w:hAnsi="Franklin Gothic Book"/>
          <w:color w:val="0D0D0D"/>
          <w:sz w:val="22"/>
        </w:rPr>
        <w:t xml:space="preserve">was </w:t>
      </w:r>
      <w:r w:rsidRPr="00732F4B">
        <w:rPr>
          <w:rFonts w:ascii="Franklin Gothic Book" w:hAnsi="Franklin Gothic Book"/>
          <w:color w:val="0D0D0D"/>
          <w:sz w:val="22"/>
        </w:rPr>
        <w:t xml:space="preserve">appropriate. </w:t>
      </w:r>
    </w:p>
    <w:p w14:paraId="7B906C61" w14:textId="30F5F02C" w:rsidR="00785C2F" w:rsidRDefault="00785C2F" w:rsidP="00785C2F">
      <w:pPr>
        <w:spacing w:after="240"/>
        <w:rPr>
          <w:rFonts w:ascii="Franklin Gothic Book" w:hAnsi="Franklin Gothic Book"/>
          <w:color w:val="0D0D0D"/>
          <w:sz w:val="22"/>
        </w:rPr>
      </w:pPr>
      <w:r w:rsidRPr="00732F4B">
        <w:rPr>
          <w:rFonts w:ascii="Franklin Gothic Book" w:hAnsi="Franklin Gothic Book"/>
          <w:color w:val="0D0D0D"/>
          <w:sz w:val="22"/>
        </w:rPr>
        <w:t xml:space="preserve">The primary comparator for ivosidenib in the submission is proposed to be palliative care, with FOLFOX as a secondary comparator. </w:t>
      </w:r>
      <w:r w:rsidR="001C7B60" w:rsidRPr="00732F4B">
        <w:rPr>
          <w:rFonts w:ascii="Franklin Gothic Book" w:hAnsi="Franklin Gothic Book"/>
          <w:color w:val="0D0D0D"/>
          <w:sz w:val="22"/>
        </w:rPr>
        <w:t>The commentary noted that t</w:t>
      </w:r>
      <w:r w:rsidRPr="00732F4B">
        <w:rPr>
          <w:rFonts w:ascii="Franklin Gothic Book" w:hAnsi="Franklin Gothic Book"/>
          <w:color w:val="0D0D0D"/>
          <w:sz w:val="22"/>
        </w:rPr>
        <w:t>his was justified based on articles reporting on practice prior to 2021, prior to the results of the ABC-06 trial being published. Since 2021, FOLFOX has become the recommended second-line treatment after progression while on first-line systemic therapy</w:t>
      </w:r>
      <w:r w:rsidRPr="00732F4B">
        <w:rPr>
          <w:rFonts w:ascii="Franklin Gothic Book" w:hAnsi="Franklin Gothic Book"/>
          <w:color w:val="0D0D0D"/>
          <w:sz w:val="22"/>
          <w:vertAlign w:val="superscript"/>
        </w:rPr>
        <w:footnoteReference w:id="8"/>
      </w:r>
      <w:r w:rsidRPr="00732F4B">
        <w:rPr>
          <w:rFonts w:ascii="Franklin Gothic Book" w:hAnsi="Franklin Gothic Book"/>
          <w:color w:val="0D0D0D"/>
          <w:sz w:val="22"/>
        </w:rPr>
        <w:t xml:space="preserve">. </w:t>
      </w:r>
    </w:p>
    <w:p w14:paraId="6AA6BEA1" w14:textId="474EDC93" w:rsidR="00732F4B" w:rsidRDefault="00732F4B" w:rsidP="00732F4B">
      <w:pPr>
        <w:pStyle w:val="Heading2"/>
        <w:widowControl w:val="0"/>
        <w:spacing w:after="240"/>
        <w:rPr>
          <w:rFonts w:ascii="Franklin Gothic Medium" w:hAnsi="Franklin Gothic Medium"/>
          <w:b w:val="0"/>
          <w:i w:val="0"/>
          <w:snapToGrid/>
          <w:color w:val="000000" w:themeColor="text1"/>
          <w:sz w:val="32"/>
          <w:szCs w:val="26"/>
        </w:rPr>
      </w:pPr>
      <w:r w:rsidRPr="00732F4B">
        <w:rPr>
          <w:rFonts w:ascii="Franklin Gothic Medium" w:hAnsi="Franklin Gothic Medium"/>
          <w:b w:val="0"/>
          <w:i w:val="0"/>
          <w:snapToGrid/>
          <w:color w:val="000000" w:themeColor="text1"/>
          <w:sz w:val="32"/>
          <w:szCs w:val="26"/>
        </w:rPr>
        <w:t>9.</w:t>
      </w:r>
      <w:r w:rsidRPr="00732F4B">
        <w:rPr>
          <w:rFonts w:ascii="Franklin Gothic Medium" w:hAnsi="Franklin Gothic Medium"/>
          <w:b w:val="0"/>
          <w:i w:val="0"/>
          <w:snapToGrid/>
          <w:color w:val="000000" w:themeColor="text1"/>
          <w:sz w:val="32"/>
          <w:szCs w:val="26"/>
        </w:rPr>
        <w:tab/>
        <w:t>Summary of public consultation input</w:t>
      </w:r>
    </w:p>
    <w:p w14:paraId="262EC819" w14:textId="77777777" w:rsidR="002E6641" w:rsidRPr="002E6641" w:rsidRDefault="002E6641" w:rsidP="002E6641">
      <w:pPr>
        <w:tabs>
          <w:tab w:val="left" w:pos="3686"/>
        </w:tabs>
        <w:spacing w:line="256" w:lineRule="auto"/>
        <w:rPr>
          <w:rFonts w:ascii="Franklin Gothic Book" w:hAnsi="Franklin Gothic Book"/>
          <w:sz w:val="22"/>
        </w:rPr>
      </w:pPr>
      <w:r w:rsidRPr="002E6641">
        <w:rPr>
          <w:rFonts w:ascii="Franklin Gothic Book" w:hAnsi="Franklin Gothic Book"/>
          <w:sz w:val="22"/>
        </w:rPr>
        <w:t xml:space="preserve">Consultation input was welcomed from one (1) professional organisation, two (2) consumer organisations and four (4) individuals, all of whom were medical specialists. </w:t>
      </w:r>
    </w:p>
    <w:p w14:paraId="6BBF2412" w14:textId="77777777" w:rsidR="002E6641" w:rsidRPr="002E6641" w:rsidRDefault="002E6641" w:rsidP="002E6641">
      <w:pPr>
        <w:tabs>
          <w:tab w:val="left" w:pos="3686"/>
        </w:tabs>
        <w:spacing w:line="256" w:lineRule="auto"/>
        <w:rPr>
          <w:rFonts w:ascii="Franklin Gothic Book" w:hAnsi="Franklin Gothic Book"/>
          <w:sz w:val="22"/>
        </w:rPr>
      </w:pPr>
      <w:r w:rsidRPr="002E6641">
        <w:rPr>
          <w:rFonts w:ascii="Franklin Gothic Book" w:hAnsi="Franklin Gothic Book"/>
          <w:sz w:val="22"/>
        </w:rPr>
        <w:t>The organisations that submitted input were:</w:t>
      </w:r>
    </w:p>
    <w:p w14:paraId="1ED7C133" w14:textId="77777777" w:rsidR="002E6641" w:rsidRPr="002E6641" w:rsidRDefault="002E6641" w:rsidP="00431CF2">
      <w:pPr>
        <w:pStyle w:val="ListParagraph"/>
        <w:numPr>
          <w:ilvl w:val="0"/>
          <w:numId w:val="30"/>
        </w:numPr>
        <w:tabs>
          <w:tab w:val="left" w:pos="3686"/>
        </w:tabs>
        <w:spacing w:line="256" w:lineRule="auto"/>
        <w:contextualSpacing/>
        <w:rPr>
          <w:rFonts w:ascii="Franklin Gothic Book" w:hAnsi="Franklin Gothic Book"/>
          <w:sz w:val="22"/>
        </w:rPr>
      </w:pPr>
      <w:proofErr w:type="spellStart"/>
      <w:r w:rsidRPr="002E6641">
        <w:rPr>
          <w:rFonts w:ascii="Franklin Gothic Book" w:hAnsi="Franklin Gothic Book"/>
          <w:sz w:val="22"/>
        </w:rPr>
        <w:t>Pancare</w:t>
      </w:r>
      <w:proofErr w:type="spellEnd"/>
      <w:r w:rsidRPr="002E6641">
        <w:rPr>
          <w:rFonts w:ascii="Franklin Gothic Book" w:hAnsi="Franklin Gothic Book"/>
          <w:sz w:val="22"/>
        </w:rPr>
        <w:t xml:space="preserve"> Foundation </w:t>
      </w:r>
    </w:p>
    <w:p w14:paraId="561B8257" w14:textId="77777777" w:rsidR="002E6641" w:rsidRPr="002E6641" w:rsidRDefault="002E6641" w:rsidP="00431CF2">
      <w:pPr>
        <w:pStyle w:val="ListParagraph"/>
        <w:numPr>
          <w:ilvl w:val="0"/>
          <w:numId w:val="30"/>
        </w:numPr>
        <w:tabs>
          <w:tab w:val="left" w:pos="3686"/>
        </w:tabs>
        <w:spacing w:line="256" w:lineRule="auto"/>
        <w:contextualSpacing/>
        <w:rPr>
          <w:rFonts w:ascii="Franklin Gothic Book" w:hAnsi="Franklin Gothic Book"/>
          <w:sz w:val="22"/>
        </w:rPr>
      </w:pPr>
      <w:r w:rsidRPr="002E6641">
        <w:rPr>
          <w:rFonts w:ascii="Franklin Gothic Book" w:hAnsi="Franklin Gothic Book"/>
          <w:sz w:val="22"/>
        </w:rPr>
        <w:t>Cholangiocarcinoma Foundation Australia</w:t>
      </w:r>
    </w:p>
    <w:p w14:paraId="78642203" w14:textId="77777777" w:rsidR="002E6641" w:rsidRPr="002E6641" w:rsidRDefault="002E6641" w:rsidP="00431CF2">
      <w:pPr>
        <w:pStyle w:val="ListParagraph"/>
        <w:numPr>
          <w:ilvl w:val="0"/>
          <w:numId w:val="30"/>
        </w:numPr>
        <w:tabs>
          <w:tab w:val="left" w:pos="3686"/>
        </w:tabs>
        <w:spacing w:line="256" w:lineRule="auto"/>
        <w:contextualSpacing/>
        <w:rPr>
          <w:rFonts w:ascii="Franklin Gothic Book" w:hAnsi="Franklin Gothic Book"/>
          <w:sz w:val="22"/>
        </w:rPr>
      </w:pPr>
      <w:r w:rsidRPr="002E6641">
        <w:rPr>
          <w:rFonts w:ascii="Franklin Gothic Book" w:hAnsi="Franklin Gothic Book"/>
          <w:sz w:val="22"/>
        </w:rPr>
        <w:t>Royal College of Pathologists of Australasia (RCPA)</w:t>
      </w:r>
    </w:p>
    <w:p w14:paraId="3479C833" w14:textId="77777777" w:rsidR="002E6641" w:rsidRPr="002E6641" w:rsidRDefault="002E6641" w:rsidP="002E6641">
      <w:pPr>
        <w:spacing w:before="240" w:after="120"/>
        <w:rPr>
          <w:rFonts w:ascii="Franklin Gothic Book" w:hAnsi="Franklin Gothic Book"/>
          <w:b/>
          <w:bCs/>
          <w:sz w:val="22"/>
        </w:rPr>
      </w:pPr>
      <w:r w:rsidRPr="002E6641">
        <w:rPr>
          <w:rFonts w:ascii="Franklin Gothic Book" w:hAnsi="Franklin Gothic Book"/>
          <w:b/>
          <w:bCs/>
          <w:sz w:val="22"/>
        </w:rPr>
        <w:t xml:space="preserve">Benefits </w:t>
      </w:r>
    </w:p>
    <w:p w14:paraId="3F0210CA"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Patients living with cholangiocarcinoma currently have limited first line therapies and subsequent line therapies available for disease recurrence and management, so adding a therapeutic option would be valuable.</w:t>
      </w:r>
    </w:p>
    <w:p w14:paraId="4D4ADB11"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The benefits of second line chemotherapy are modest, and the side effect profile is not well tolerated for many.</w:t>
      </w:r>
    </w:p>
    <w:p w14:paraId="4BC2F22B" w14:textId="5CAE6B32" w:rsidR="002E6641" w:rsidRPr="002E6641" w:rsidRDefault="002E6641" w:rsidP="31F8B0FD">
      <w:pPr>
        <w:pStyle w:val="ListParagraph"/>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Equity of access for patients unable to afford the test,</w:t>
      </w:r>
      <w:r w:rsidR="00C87767">
        <w:rPr>
          <w:rFonts w:ascii="Franklin Gothic Book" w:hAnsi="Franklin Gothic Book" w:cs="Calibri"/>
          <w:sz w:val="22"/>
        </w:rPr>
        <w:t xml:space="preserve"> </w:t>
      </w:r>
      <w:r w:rsidRPr="002E6641">
        <w:rPr>
          <w:rFonts w:ascii="Franklin Gothic Book" w:hAnsi="Franklin Gothic Book" w:cs="Calibri"/>
          <w:sz w:val="22"/>
        </w:rPr>
        <w:t xml:space="preserve">and testing all patients with cholangiocarcinoma will capture as many patients as possible whose tumours may harbour an </w:t>
      </w:r>
      <w:r w:rsidRPr="002E6641">
        <w:rPr>
          <w:rFonts w:ascii="Franklin Gothic Book" w:hAnsi="Franklin Gothic Book" w:cs="Calibri"/>
          <w:i/>
          <w:sz w:val="22"/>
        </w:rPr>
        <w:t>IDH1</w:t>
      </w:r>
      <w:r w:rsidRPr="002E6641">
        <w:rPr>
          <w:rFonts w:ascii="Franklin Gothic Book" w:hAnsi="Franklin Gothic Book" w:cs="Calibri"/>
          <w:sz w:val="22"/>
        </w:rPr>
        <w:t xml:space="preserve"> variant.</w:t>
      </w:r>
      <w:r w:rsidR="00C87767">
        <w:rPr>
          <w:rFonts w:ascii="Franklin Gothic Book" w:hAnsi="Franklin Gothic Book" w:cs="Calibri"/>
          <w:sz w:val="22"/>
        </w:rPr>
        <w:t xml:space="preserve"> </w:t>
      </w:r>
    </w:p>
    <w:p w14:paraId="10D1310B"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Testing would enable a more personalised treatment approach.</w:t>
      </w:r>
    </w:p>
    <w:p w14:paraId="4453292B"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Testing at the point of diagnosis, rather than during disease progression, would allow for appropriate treatment to commence sooner.</w:t>
      </w:r>
    </w:p>
    <w:p w14:paraId="455F3CF9"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Patients would spend less time either as inpatients or outpatients in hospital to receive chemotherapy or palliative treatment or treatment due to side effects of chemotherapy.</w:t>
      </w:r>
    </w:p>
    <w:p w14:paraId="7A51CB43" w14:textId="16DA0EC9"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 xml:space="preserve">Patients with locally advanced or metastatic cholangiocarcinoma who have the </w:t>
      </w:r>
      <w:r w:rsidRPr="002E6641">
        <w:rPr>
          <w:rFonts w:ascii="Franklin Gothic Book" w:hAnsi="Franklin Gothic Book" w:cs="Calibri"/>
          <w:i/>
          <w:sz w:val="22"/>
        </w:rPr>
        <w:t xml:space="preserve">IDH1 </w:t>
      </w:r>
      <w:r w:rsidRPr="002E6641">
        <w:rPr>
          <w:rFonts w:ascii="Franklin Gothic Book" w:hAnsi="Franklin Gothic Book" w:cs="Calibri"/>
          <w:sz w:val="22"/>
        </w:rPr>
        <w:t>variant and who are treated with ivosidenib experience improved progression-free survival, overall survival and maintenance of quality of life.</w:t>
      </w:r>
    </w:p>
    <w:p w14:paraId="3C36D7BB" w14:textId="1402994C" w:rsidR="002E6641" w:rsidRPr="002E6641" w:rsidRDefault="002E6641" w:rsidP="0054042B">
      <w:pPr>
        <w:keepNext/>
        <w:keepLines/>
        <w:autoSpaceDE w:val="0"/>
        <w:autoSpaceDN w:val="0"/>
        <w:adjustRightInd w:val="0"/>
        <w:spacing w:before="240" w:after="120"/>
        <w:rPr>
          <w:rFonts w:ascii="Franklin Gothic Book" w:hAnsi="Franklin Gothic Book"/>
          <w:b/>
          <w:bCs/>
          <w:sz w:val="22"/>
        </w:rPr>
      </w:pPr>
      <w:r w:rsidRPr="002E6641">
        <w:rPr>
          <w:rFonts w:ascii="Franklin Gothic Book" w:hAnsi="Franklin Gothic Book"/>
          <w:b/>
          <w:bCs/>
          <w:sz w:val="22"/>
        </w:rPr>
        <w:lastRenderedPageBreak/>
        <w:t xml:space="preserve">Disadvantages </w:t>
      </w:r>
    </w:p>
    <w:p w14:paraId="1EFEFF7F" w14:textId="77777777" w:rsidR="002E6641" w:rsidRPr="002E6641" w:rsidRDefault="002E6641" w:rsidP="0054042B">
      <w:pPr>
        <w:pStyle w:val="ListParagraph"/>
        <w:keepNext/>
        <w:keepLines/>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 xml:space="preserve">If tumour tissue from a patient with cholangiocarcinoma is tested and found to be negative for an </w:t>
      </w:r>
      <w:r w:rsidRPr="002E6641">
        <w:rPr>
          <w:rFonts w:ascii="Franklin Gothic Book" w:hAnsi="Franklin Gothic Book" w:cs="Calibri"/>
          <w:i/>
          <w:iCs/>
          <w:sz w:val="22"/>
        </w:rPr>
        <w:t>IDH1</w:t>
      </w:r>
      <w:r w:rsidRPr="002E6641">
        <w:rPr>
          <w:rFonts w:ascii="Franklin Gothic Book" w:hAnsi="Franklin Gothic Book" w:cs="Calibri"/>
          <w:sz w:val="22"/>
        </w:rPr>
        <w:t xml:space="preserve"> variant, the patient, their family and carers, and their treatment team may react negatively to the results.</w:t>
      </w:r>
    </w:p>
    <w:p w14:paraId="379C6774"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There may be challenges in ensuring that the test is accessible to all patients across different regions, especially in remote or underserved areas.</w:t>
      </w:r>
    </w:p>
    <w:p w14:paraId="0639AF73"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 xml:space="preserve">There may be issues with relevant parties not fully aware of the availability and importance of the </w:t>
      </w:r>
      <w:r w:rsidRPr="002E6641">
        <w:rPr>
          <w:rFonts w:ascii="Franklin Gothic Book" w:hAnsi="Franklin Gothic Book" w:cs="Calibri"/>
          <w:i/>
          <w:iCs/>
          <w:sz w:val="22"/>
        </w:rPr>
        <w:t>IDH1</w:t>
      </w:r>
      <w:r w:rsidRPr="002E6641">
        <w:rPr>
          <w:rFonts w:ascii="Franklin Gothic Book" w:hAnsi="Franklin Gothic Book" w:cs="Calibri"/>
          <w:sz w:val="22"/>
        </w:rPr>
        <w:t xml:space="preserve"> test.</w:t>
      </w:r>
    </w:p>
    <w:p w14:paraId="6E0C8E3D" w14:textId="77777777" w:rsidR="002E6641" w:rsidRPr="002E6641" w:rsidRDefault="002E6641" w:rsidP="00431CF2">
      <w:pPr>
        <w:pStyle w:val="ListParagraph"/>
        <w:numPr>
          <w:ilvl w:val="0"/>
          <w:numId w:val="31"/>
        </w:numPr>
        <w:autoSpaceDE w:val="0"/>
        <w:autoSpaceDN w:val="0"/>
        <w:adjustRightInd w:val="0"/>
        <w:spacing w:before="0" w:after="0"/>
        <w:contextualSpacing/>
        <w:rPr>
          <w:rFonts w:ascii="Franklin Gothic Book" w:hAnsi="Franklin Gothic Book" w:cs="Calibri"/>
          <w:sz w:val="22"/>
        </w:rPr>
      </w:pPr>
      <w:r w:rsidRPr="002E6641">
        <w:rPr>
          <w:rFonts w:ascii="Franklin Gothic Book" w:hAnsi="Franklin Gothic Book" w:cs="Calibri"/>
          <w:sz w:val="22"/>
        </w:rPr>
        <w:t>The possibility of false positive or false negative results may lead to inappropriate treatment decisions.</w:t>
      </w:r>
    </w:p>
    <w:p w14:paraId="39796F21" w14:textId="23D7330A" w:rsidR="002E6641" w:rsidRPr="002E6641" w:rsidRDefault="002E6641" w:rsidP="00431CF2">
      <w:pPr>
        <w:pStyle w:val="ListParagraph"/>
        <w:numPr>
          <w:ilvl w:val="0"/>
          <w:numId w:val="31"/>
        </w:numPr>
        <w:autoSpaceDE w:val="0"/>
        <w:autoSpaceDN w:val="0"/>
        <w:adjustRightInd w:val="0"/>
        <w:spacing w:before="0"/>
        <w:contextualSpacing/>
        <w:rPr>
          <w:rFonts w:ascii="Franklin Gothic Book" w:hAnsi="Franklin Gothic Book" w:cs="Calibri"/>
          <w:sz w:val="22"/>
        </w:rPr>
      </w:pPr>
      <w:r w:rsidRPr="002E6641">
        <w:rPr>
          <w:rFonts w:ascii="Franklin Gothic Book" w:hAnsi="Franklin Gothic Book" w:cs="Calibri"/>
          <w:sz w:val="22"/>
        </w:rPr>
        <w:t>Costs of implementing and maintaining the testing program.</w:t>
      </w:r>
    </w:p>
    <w:p w14:paraId="02A91B76" w14:textId="77777777" w:rsidR="002E6641" w:rsidRPr="002E6641" w:rsidRDefault="002E6641" w:rsidP="002E6641">
      <w:pPr>
        <w:spacing w:before="240" w:after="120"/>
        <w:rPr>
          <w:rFonts w:ascii="Franklin Gothic Book" w:hAnsi="Franklin Gothic Book"/>
          <w:b/>
          <w:bCs/>
          <w:sz w:val="22"/>
        </w:rPr>
      </w:pPr>
      <w:r w:rsidRPr="002E6641">
        <w:rPr>
          <w:rFonts w:ascii="Franklin Gothic Book" w:hAnsi="Franklin Gothic Book"/>
          <w:b/>
          <w:bCs/>
          <w:sz w:val="22"/>
        </w:rPr>
        <w:t xml:space="preserve">Additional Comments </w:t>
      </w:r>
    </w:p>
    <w:p w14:paraId="0A2BA841" w14:textId="41ECB3ED" w:rsidR="002E6641" w:rsidRPr="002E6641" w:rsidRDefault="002E6641" w:rsidP="002E6641">
      <w:pPr>
        <w:autoSpaceDE w:val="0"/>
        <w:autoSpaceDN w:val="0"/>
        <w:adjustRightInd w:val="0"/>
        <w:rPr>
          <w:rFonts w:ascii="Franklin Gothic Book" w:hAnsi="Franklin Gothic Book" w:cs="Calibri"/>
          <w:sz w:val="22"/>
        </w:rPr>
      </w:pPr>
      <w:proofErr w:type="spellStart"/>
      <w:r w:rsidRPr="002E6641">
        <w:rPr>
          <w:rFonts w:ascii="Franklin Gothic Book" w:hAnsi="Franklin Gothic Book" w:cs="Calibri"/>
          <w:sz w:val="22"/>
        </w:rPr>
        <w:t>Pancare</w:t>
      </w:r>
      <w:proofErr w:type="spellEnd"/>
      <w:r w:rsidRPr="002E6641">
        <w:rPr>
          <w:rFonts w:ascii="Franklin Gothic Book" w:hAnsi="Franklin Gothic Book" w:cs="Calibri"/>
          <w:sz w:val="22"/>
        </w:rPr>
        <w:t xml:space="preserve"> and Cholangiocarcinoma Foundation Australia commented that patient should be supported around the testing, including genetic counselling and psychological support. Patients must also have access to appropriate medical and non-medical interventions.</w:t>
      </w:r>
    </w:p>
    <w:p w14:paraId="4972AE4C" w14:textId="27FD77E1" w:rsidR="00732F4B" w:rsidRPr="002E6641" w:rsidRDefault="002E6641" w:rsidP="002E6641">
      <w:pPr>
        <w:pStyle w:val="Default"/>
        <w:jc w:val="both"/>
        <w:rPr>
          <w:rFonts w:ascii="Franklin Gothic Book" w:hAnsi="Franklin Gothic Book" w:cs="Calibri"/>
          <w:color w:val="auto"/>
          <w:sz w:val="22"/>
          <w:szCs w:val="22"/>
        </w:rPr>
      </w:pPr>
      <w:r w:rsidRPr="002E6641">
        <w:rPr>
          <w:rFonts w:ascii="Franklin Gothic Book" w:hAnsi="Franklin Gothic Book" w:cs="Calibri"/>
          <w:color w:val="auto"/>
          <w:sz w:val="22"/>
          <w:szCs w:val="22"/>
        </w:rPr>
        <w:t>The RCPA noted that the application mentions the ‘tissue’ in the item descriptor, and that this could potentially include specimen types unsuitable for genetic testing (such as cytology specimens).</w:t>
      </w:r>
    </w:p>
    <w:p w14:paraId="584E57F7" w14:textId="435C566E" w:rsidR="00785C2F" w:rsidRPr="00732F4B" w:rsidRDefault="00732F4B" w:rsidP="00732F4B">
      <w:pPr>
        <w:pStyle w:val="Heading2"/>
        <w:widowControl w:val="0"/>
        <w:spacing w:after="240"/>
        <w:rPr>
          <w:rFonts w:ascii="Franklin Gothic Medium" w:hAnsi="Franklin Gothic Medium"/>
          <w:b w:val="0"/>
          <w:i w:val="0"/>
          <w:snapToGrid/>
          <w:color w:val="000000" w:themeColor="text1"/>
          <w:sz w:val="32"/>
          <w:szCs w:val="26"/>
        </w:rPr>
      </w:pPr>
      <w:bookmarkStart w:id="19" w:name="_Toc163115428"/>
      <w:bookmarkStart w:id="20" w:name="_Toc166763130"/>
      <w:r>
        <w:rPr>
          <w:rFonts w:ascii="Franklin Gothic Medium" w:hAnsi="Franklin Gothic Medium"/>
          <w:b w:val="0"/>
          <w:i w:val="0"/>
          <w:snapToGrid/>
          <w:color w:val="000000" w:themeColor="text1"/>
          <w:sz w:val="32"/>
          <w:szCs w:val="26"/>
        </w:rPr>
        <w:t>10.</w:t>
      </w:r>
      <w:r>
        <w:rPr>
          <w:rFonts w:ascii="Franklin Gothic Medium" w:hAnsi="Franklin Gothic Medium"/>
          <w:b w:val="0"/>
          <w:i w:val="0"/>
          <w:snapToGrid/>
          <w:color w:val="000000" w:themeColor="text1"/>
          <w:sz w:val="32"/>
          <w:szCs w:val="26"/>
        </w:rPr>
        <w:tab/>
      </w:r>
      <w:r w:rsidR="00785C2F" w:rsidRPr="00732F4B">
        <w:rPr>
          <w:rFonts w:ascii="Franklin Gothic Medium" w:hAnsi="Franklin Gothic Medium"/>
          <w:b w:val="0"/>
          <w:i w:val="0"/>
          <w:snapToGrid/>
          <w:color w:val="000000" w:themeColor="text1"/>
          <w:sz w:val="32"/>
          <w:szCs w:val="26"/>
        </w:rPr>
        <w:t>Characteristics of the evidence base</w:t>
      </w:r>
      <w:bookmarkEnd w:id="19"/>
      <w:bookmarkEnd w:id="20"/>
    </w:p>
    <w:p w14:paraId="5091732D" w14:textId="13606BBD" w:rsidR="00785C2F" w:rsidRPr="00C15DF8" w:rsidRDefault="00785C2F" w:rsidP="00785C2F">
      <w:pPr>
        <w:keepNext/>
        <w:tabs>
          <w:tab w:val="left" w:pos="1418"/>
        </w:tabs>
        <w:spacing w:before="240" w:after="0" w:line="259" w:lineRule="auto"/>
        <w:ind w:left="1418" w:hanging="1418"/>
        <w:contextualSpacing/>
        <w:rPr>
          <w:rFonts w:ascii="Arial Narrow" w:hAnsi="Arial Narrow" w:cs="Arial"/>
          <w:b/>
          <w:iCs/>
          <w:color w:val="0D0D0D"/>
          <w:sz w:val="20"/>
          <w:szCs w:val="18"/>
        </w:rPr>
      </w:pPr>
      <w:r w:rsidRPr="00C15DF8">
        <w:rPr>
          <w:rFonts w:ascii="Arial Narrow" w:hAnsi="Arial Narrow" w:cs="Arial"/>
          <w:b/>
          <w:iCs/>
          <w:color w:val="0D0D0D"/>
          <w:sz w:val="20"/>
          <w:szCs w:val="18"/>
        </w:rPr>
        <w:t xml:space="preserve">Table MSAC. </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2</w:t>
      </w:r>
      <w:r w:rsidRPr="00C15DF8">
        <w:rPr>
          <w:rFonts w:ascii="Arial Narrow" w:hAnsi="Arial Narrow" w:cs="Arial"/>
          <w:b/>
          <w:iCs/>
          <w:color w:val="0D0D0D"/>
          <w:sz w:val="20"/>
          <w:szCs w:val="18"/>
        </w:rPr>
        <w:fldChar w:fldCharType="end"/>
      </w:r>
      <w:r w:rsidRPr="00C15DF8">
        <w:rPr>
          <w:rFonts w:ascii="Arial Narrow" w:hAnsi="Arial Narrow" w:cs="Arial"/>
          <w:b/>
          <w:iCs/>
          <w:color w:val="0D0D0D"/>
          <w:sz w:val="20"/>
          <w:szCs w:val="18"/>
        </w:rPr>
        <w:ta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737"/>
        <w:gridCol w:w="2373"/>
        <w:gridCol w:w="1383"/>
        <w:gridCol w:w="1028"/>
      </w:tblGrid>
      <w:tr w:rsidR="00785C2F" w:rsidRPr="00C15DF8" w14:paraId="1D4EB396" w14:textId="77777777">
        <w:trPr>
          <w:tblHeader/>
        </w:trPr>
        <w:tc>
          <w:tcPr>
            <w:tcW w:w="829" w:type="pct"/>
            <w:tcBorders>
              <w:top w:val="single" w:sz="4" w:space="0" w:color="auto"/>
              <w:left w:val="single" w:sz="4" w:space="0" w:color="auto"/>
              <w:bottom w:val="single" w:sz="4" w:space="0" w:color="auto"/>
              <w:right w:val="single" w:sz="4" w:space="0" w:color="auto"/>
            </w:tcBorders>
            <w:vAlign w:val="bottom"/>
          </w:tcPr>
          <w:p w14:paraId="76FC5405" w14:textId="77777777" w:rsidR="00785C2F" w:rsidRPr="00C15DF8" w:rsidRDefault="00785C2F" w:rsidP="0054042B">
            <w:pPr>
              <w:keepNext/>
              <w:widowControl w:val="0"/>
              <w:spacing w:before="0" w:after="0"/>
              <w:rPr>
                <w:rFonts w:ascii="Arial Narrow" w:hAnsi="Arial Narrow" w:cs="Arial"/>
                <w:b/>
                <w:color w:val="0D0D0D"/>
                <w:sz w:val="20"/>
              </w:rPr>
            </w:pPr>
            <w:bookmarkStart w:id="21" w:name="ColumnTitle_Table4"/>
            <w:bookmarkStart w:id="22" w:name="_Hlk68276288"/>
            <w:bookmarkEnd w:id="21"/>
            <w:r w:rsidRPr="00C15DF8">
              <w:rPr>
                <w:rFonts w:ascii="Arial Narrow" w:hAnsi="Arial Narrow" w:cs="Arial"/>
                <w:b/>
                <w:color w:val="0D0D0D"/>
                <w:sz w:val="20"/>
              </w:rPr>
              <w:t>Criterion</w:t>
            </w:r>
          </w:p>
        </w:tc>
        <w:tc>
          <w:tcPr>
            <w:tcW w:w="1518" w:type="pct"/>
            <w:tcBorders>
              <w:top w:val="single" w:sz="4" w:space="0" w:color="auto"/>
              <w:left w:val="single" w:sz="4" w:space="0" w:color="auto"/>
              <w:bottom w:val="single" w:sz="4" w:space="0" w:color="auto"/>
              <w:right w:val="single" w:sz="4" w:space="0" w:color="auto"/>
            </w:tcBorders>
            <w:vAlign w:val="bottom"/>
            <w:hideMark/>
          </w:tcPr>
          <w:p w14:paraId="49303961" w14:textId="77777777" w:rsidR="00785C2F" w:rsidRPr="00C15DF8" w:rsidRDefault="00785C2F" w:rsidP="0054042B">
            <w:pPr>
              <w:keepNext/>
              <w:widowControl w:val="0"/>
              <w:spacing w:before="0" w:after="0"/>
              <w:rPr>
                <w:rFonts w:ascii="Arial Narrow" w:hAnsi="Arial Narrow" w:cs="Arial"/>
                <w:b/>
                <w:color w:val="0D0D0D"/>
                <w:sz w:val="20"/>
              </w:rPr>
            </w:pPr>
            <w:r w:rsidRPr="00C15DF8">
              <w:rPr>
                <w:rFonts w:ascii="Arial Narrow" w:hAnsi="Arial Narrow" w:cs="Arial"/>
                <w:b/>
                <w:color w:val="0D0D0D"/>
                <w:sz w:val="20"/>
              </w:rPr>
              <w:t>Type of evidence supplied</w:t>
            </w:r>
          </w:p>
        </w:tc>
        <w:tc>
          <w:tcPr>
            <w:tcW w:w="1316" w:type="pct"/>
            <w:tcBorders>
              <w:top w:val="single" w:sz="4" w:space="0" w:color="auto"/>
              <w:left w:val="single" w:sz="4" w:space="0" w:color="auto"/>
              <w:bottom w:val="single" w:sz="4" w:space="0" w:color="auto"/>
              <w:right w:val="single" w:sz="4" w:space="0" w:color="auto"/>
            </w:tcBorders>
            <w:vAlign w:val="bottom"/>
            <w:hideMark/>
          </w:tcPr>
          <w:p w14:paraId="5A1617ED" w14:textId="77777777" w:rsidR="00785C2F" w:rsidRPr="00C15DF8" w:rsidRDefault="00785C2F" w:rsidP="0054042B">
            <w:pPr>
              <w:keepNext/>
              <w:widowControl w:val="0"/>
              <w:spacing w:before="0" w:after="0"/>
              <w:rPr>
                <w:rFonts w:ascii="Arial Narrow" w:hAnsi="Arial Narrow" w:cs="Arial"/>
                <w:b/>
                <w:color w:val="0D0D0D"/>
                <w:sz w:val="20"/>
              </w:rPr>
            </w:pPr>
            <w:r w:rsidRPr="00C15DF8">
              <w:rPr>
                <w:rFonts w:ascii="Arial Narrow" w:hAnsi="Arial Narrow" w:cs="Arial"/>
                <w:b/>
                <w:color w:val="0D0D0D"/>
                <w:sz w:val="20"/>
              </w:rPr>
              <w:t>Extent of evidence supplied</w:t>
            </w:r>
          </w:p>
        </w:tc>
        <w:tc>
          <w:tcPr>
            <w:tcW w:w="767" w:type="pct"/>
            <w:tcBorders>
              <w:top w:val="single" w:sz="4" w:space="0" w:color="auto"/>
              <w:left w:val="single" w:sz="4" w:space="0" w:color="auto"/>
              <w:bottom w:val="single" w:sz="4" w:space="0" w:color="auto"/>
              <w:right w:val="single" w:sz="4" w:space="0" w:color="auto"/>
            </w:tcBorders>
            <w:vAlign w:val="bottom"/>
            <w:hideMark/>
          </w:tcPr>
          <w:p w14:paraId="1CA0C933" w14:textId="77777777" w:rsidR="00785C2F" w:rsidRPr="00C15DF8" w:rsidRDefault="00785C2F" w:rsidP="0054042B">
            <w:pPr>
              <w:keepNext/>
              <w:widowControl w:val="0"/>
              <w:spacing w:before="0" w:after="0"/>
              <w:rPr>
                <w:rFonts w:ascii="Arial Narrow" w:hAnsi="Arial Narrow" w:cs="Arial"/>
                <w:b/>
                <w:color w:val="0D0D0D"/>
                <w:sz w:val="20"/>
              </w:rPr>
            </w:pPr>
            <w:r w:rsidRPr="00C15DF8">
              <w:rPr>
                <w:rFonts w:ascii="Arial Narrow" w:hAnsi="Arial Narrow" w:cs="Arial"/>
                <w:b/>
                <w:color w:val="0D0D0D"/>
                <w:sz w:val="20"/>
              </w:rPr>
              <w:t>Overall risk of bias in evidence base</w:t>
            </w:r>
          </w:p>
        </w:tc>
        <w:tc>
          <w:tcPr>
            <w:tcW w:w="570" w:type="pct"/>
            <w:tcBorders>
              <w:top w:val="single" w:sz="4" w:space="0" w:color="auto"/>
              <w:left w:val="single" w:sz="4" w:space="0" w:color="auto"/>
              <w:bottom w:val="single" w:sz="4" w:space="0" w:color="auto"/>
              <w:right w:val="single" w:sz="4" w:space="0" w:color="auto"/>
            </w:tcBorders>
          </w:tcPr>
          <w:p w14:paraId="5F5364CB" w14:textId="77777777" w:rsidR="00785C2F" w:rsidRPr="00C15DF8" w:rsidRDefault="00785C2F" w:rsidP="0054042B">
            <w:pPr>
              <w:keepNext/>
              <w:widowControl w:val="0"/>
              <w:spacing w:before="0" w:after="0"/>
              <w:rPr>
                <w:rFonts w:ascii="Arial Narrow" w:hAnsi="Arial Narrow" w:cs="Arial"/>
                <w:b/>
                <w:color w:val="0D0D0D"/>
                <w:sz w:val="20"/>
              </w:rPr>
            </w:pPr>
            <w:r w:rsidRPr="00C15DF8">
              <w:rPr>
                <w:rFonts w:ascii="Arial Narrow" w:hAnsi="Arial Narrow" w:cs="Arial"/>
                <w:b/>
                <w:color w:val="0D0D0D"/>
                <w:sz w:val="20"/>
              </w:rPr>
              <w:t>Used in modelled evaluation</w:t>
            </w:r>
          </w:p>
        </w:tc>
      </w:tr>
      <w:tr w:rsidR="00785C2F" w:rsidRPr="00C15DF8" w14:paraId="0D585D7E" w14:textId="77777777">
        <w:tc>
          <w:tcPr>
            <w:tcW w:w="829" w:type="pct"/>
            <w:tcBorders>
              <w:top w:val="single" w:sz="4" w:space="0" w:color="auto"/>
              <w:left w:val="single" w:sz="4" w:space="0" w:color="auto"/>
              <w:bottom w:val="single" w:sz="4" w:space="0" w:color="auto"/>
              <w:right w:val="single" w:sz="4" w:space="0" w:color="auto"/>
            </w:tcBorders>
            <w:hideMark/>
          </w:tcPr>
          <w:p w14:paraId="6F4C5449"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Accuracy and performance of the test (cross-sectional accuracy)</w:t>
            </w:r>
          </w:p>
        </w:tc>
        <w:tc>
          <w:tcPr>
            <w:tcW w:w="1518" w:type="pct"/>
            <w:tcBorders>
              <w:top w:val="single" w:sz="4" w:space="0" w:color="auto"/>
              <w:left w:val="single" w:sz="4" w:space="0" w:color="auto"/>
              <w:bottom w:val="single" w:sz="4" w:space="0" w:color="auto"/>
              <w:right w:val="single" w:sz="4" w:space="0" w:color="auto"/>
            </w:tcBorders>
            <w:hideMark/>
          </w:tcPr>
          <w:p w14:paraId="5E4A69B5"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Concordance with clinical utility standard</w:t>
            </w:r>
          </w:p>
        </w:tc>
        <w:tc>
          <w:tcPr>
            <w:tcW w:w="1316" w:type="pct"/>
            <w:tcBorders>
              <w:top w:val="single" w:sz="4" w:space="0" w:color="auto"/>
              <w:left w:val="single" w:sz="4" w:space="0" w:color="auto"/>
              <w:bottom w:val="single" w:sz="4" w:space="0" w:color="auto"/>
              <w:right w:val="single" w:sz="4" w:space="0" w:color="auto"/>
            </w:tcBorders>
            <w:hideMark/>
          </w:tcPr>
          <w:p w14:paraId="67C621E3"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1454910707"/>
                <w14:checkbox>
                  <w14:checked w14:val="1"/>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k=1</w:t>
            </w:r>
            <w:r w:rsidR="00785C2F" w:rsidRPr="00C15DF8">
              <w:rPr>
                <w:rFonts w:ascii="Arial Narrow" w:hAnsi="Arial Narrow" w:cs="Arial"/>
                <w:color w:val="0D0D0D"/>
                <w:sz w:val="20"/>
              </w:rPr>
              <w:tab/>
              <w:t>n=383</w:t>
            </w:r>
          </w:p>
        </w:tc>
        <w:tc>
          <w:tcPr>
            <w:tcW w:w="767" w:type="pct"/>
            <w:tcBorders>
              <w:top w:val="single" w:sz="4" w:space="0" w:color="auto"/>
              <w:left w:val="single" w:sz="4" w:space="0" w:color="auto"/>
              <w:bottom w:val="single" w:sz="4" w:space="0" w:color="auto"/>
              <w:right w:val="single" w:sz="4" w:space="0" w:color="auto"/>
            </w:tcBorders>
            <w:hideMark/>
          </w:tcPr>
          <w:p w14:paraId="370EF933"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Low risk of bias (QUADAS 2)</w:t>
            </w:r>
          </w:p>
        </w:tc>
        <w:tc>
          <w:tcPr>
            <w:tcW w:w="570" w:type="pct"/>
            <w:tcBorders>
              <w:top w:val="single" w:sz="4" w:space="0" w:color="auto"/>
              <w:left w:val="single" w:sz="4" w:space="0" w:color="auto"/>
              <w:bottom w:val="single" w:sz="4" w:space="0" w:color="auto"/>
              <w:right w:val="single" w:sz="4" w:space="0" w:color="auto"/>
            </w:tcBorders>
          </w:tcPr>
          <w:p w14:paraId="547AFD68"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No</w:t>
            </w:r>
          </w:p>
        </w:tc>
      </w:tr>
      <w:tr w:rsidR="00785C2F" w:rsidRPr="00C15DF8" w14:paraId="4054A9D0" w14:textId="77777777">
        <w:tc>
          <w:tcPr>
            <w:tcW w:w="829" w:type="pct"/>
            <w:tcBorders>
              <w:top w:val="single" w:sz="4" w:space="0" w:color="auto"/>
              <w:left w:val="single" w:sz="4" w:space="0" w:color="auto"/>
              <w:bottom w:val="single" w:sz="4" w:space="0" w:color="auto"/>
              <w:right w:val="single" w:sz="4" w:space="0" w:color="auto"/>
            </w:tcBorders>
            <w:hideMark/>
          </w:tcPr>
          <w:p w14:paraId="12077508"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Prognostic evidence (longitudinal accuracy)</w:t>
            </w:r>
          </w:p>
        </w:tc>
        <w:tc>
          <w:tcPr>
            <w:tcW w:w="1518" w:type="pct"/>
            <w:tcBorders>
              <w:top w:val="single" w:sz="4" w:space="0" w:color="auto"/>
              <w:left w:val="single" w:sz="4" w:space="0" w:color="auto"/>
              <w:bottom w:val="single" w:sz="4" w:space="0" w:color="auto"/>
              <w:right w:val="single" w:sz="4" w:space="0" w:color="auto"/>
            </w:tcBorders>
            <w:hideMark/>
          </w:tcPr>
          <w:p w14:paraId="4321679B"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 xml:space="preserve">Comparison of health outcomes in patients receiving </w:t>
            </w:r>
            <w:r w:rsidRPr="00C15DF8">
              <w:rPr>
                <w:rFonts w:ascii="Arial Narrow" w:hAnsi="Arial Narrow" w:cs="Arial"/>
                <w:i/>
                <w:iCs/>
                <w:color w:val="0D0D0D"/>
                <w:sz w:val="20"/>
              </w:rPr>
              <w:t>usual care</w:t>
            </w:r>
            <w:r w:rsidRPr="00C15DF8">
              <w:rPr>
                <w:rFonts w:ascii="Arial Narrow" w:hAnsi="Arial Narrow" w:cs="Arial"/>
                <w:color w:val="0D0D0D"/>
                <w:sz w:val="20"/>
                <w:u w:val="single"/>
              </w:rPr>
              <w:t>,</w:t>
            </w:r>
            <w:r w:rsidRPr="00C15DF8">
              <w:rPr>
                <w:rFonts w:ascii="Arial Narrow" w:hAnsi="Arial Narrow" w:cs="Arial"/>
                <w:color w:val="0D0D0D"/>
                <w:sz w:val="20"/>
              </w:rPr>
              <w:t xml:space="preserve"> conditioned on the presence or absence of biomarker-positive status</w:t>
            </w:r>
          </w:p>
        </w:tc>
        <w:tc>
          <w:tcPr>
            <w:tcW w:w="1316" w:type="pct"/>
            <w:tcBorders>
              <w:top w:val="single" w:sz="4" w:space="0" w:color="auto"/>
              <w:left w:val="single" w:sz="4" w:space="0" w:color="auto"/>
              <w:bottom w:val="single" w:sz="4" w:space="0" w:color="auto"/>
              <w:right w:val="single" w:sz="4" w:space="0" w:color="auto"/>
            </w:tcBorders>
            <w:hideMark/>
          </w:tcPr>
          <w:p w14:paraId="73908BE2"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1456874868"/>
                <w14:checkbox>
                  <w14:checked w14:val="1"/>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k=6</w:t>
            </w:r>
            <w:r w:rsidR="00785C2F" w:rsidRPr="00C15DF8">
              <w:rPr>
                <w:rFonts w:ascii="Arial Narrow" w:hAnsi="Arial Narrow" w:cs="Arial"/>
                <w:color w:val="0D0D0D"/>
                <w:sz w:val="20"/>
              </w:rPr>
              <w:tab/>
              <w:t>n=1153</w:t>
            </w:r>
          </w:p>
        </w:tc>
        <w:tc>
          <w:tcPr>
            <w:tcW w:w="767" w:type="pct"/>
            <w:tcBorders>
              <w:top w:val="single" w:sz="4" w:space="0" w:color="auto"/>
              <w:left w:val="single" w:sz="4" w:space="0" w:color="auto"/>
              <w:bottom w:val="single" w:sz="4" w:space="0" w:color="auto"/>
              <w:right w:val="single" w:sz="4" w:space="0" w:color="auto"/>
            </w:tcBorders>
            <w:hideMark/>
          </w:tcPr>
          <w:p w14:paraId="0B53507F"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Moderate risk of bias (QUIPS)</w:t>
            </w:r>
          </w:p>
        </w:tc>
        <w:tc>
          <w:tcPr>
            <w:tcW w:w="570" w:type="pct"/>
            <w:tcBorders>
              <w:top w:val="single" w:sz="4" w:space="0" w:color="auto"/>
              <w:left w:val="single" w:sz="4" w:space="0" w:color="auto"/>
              <w:bottom w:val="single" w:sz="4" w:space="0" w:color="auto"/>
              <w:right w:val="single" w:sz="4" w:space="0" w:color="auto"/>
            </w:tcBorders>
          </w:tcPr>
          <w:p w14:paraId="1643C120"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No</w:t>
            </w:r>
          </w:p>
        </w:tc>
      </w:tr>
      <w:tr w:rsidR="00785C2F" w:rsidRPr="00C15DF8" w14:paraId="004882DF" w14:textId="77777777">
        <w:tc>
          <w:tcPr>
            <w:tcW w:w="829" w:type="pct"/>
            <w:tcBorders>
              <w:top w:val="single" w:sz="4" w:space="0" w:color="auto"/>
              <w:left w:val="single" w:sz="4" w:space="0" w:color="auto"/>
              <w:bottom w:val="single" w:sz="4" w:space="0" w:color="auto"/>
              <w:right w:val="single" w:sz="4" w:space="0" w:color="auto"/>
            </w:tcBorders>
            <w:hideMark/>
          </w:tcPr>
          <w:p w14:paraId="0B036B74"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 xml:space="preserve">Change in patient management </w:t>
            </w:r>
          </w:p>
        </w:tc>
        <w:tc>
          <w:tcPr>
            <w:tcW w:w="1518" w:type="pct"/>
            <w:tcBorders>
              <w:top w:val="single" w:sz="4" w:space="0" w:color="auto"/>
              <w:left w:val="single" w:sz="4" w:space="0" w:color="auto"/>
              <w:bottom w:val="single" w:sz="4" w:space="0" w:color="auto"/>
              <w:right w:val="single" w:sz="4" w:space="0" w:color="auto"/>
            </w:tcBorders>
            <w:hideMark/>
          </w:tcPr>
          <w:p w14:paraId="1D3E0148"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No evidence supplied</w:t>
            </w:r>
          </w:p>
        </w:tc>
        <w:tc>
          <w:tcPr>
            <w:tcW w:w="1316" w:type="pct"/>
            <w:tcBorders>
              <w:top w:val="single" w:sz="4" w:space="0" w:color="auto"/>
              <w:left w:val="single" w:sz="4" w:space="0" w:color="auto"/>
              <w:bottom w:val="single" w:sz="4" w:space="0" w:color="auto"/>
              <w:right w:val="single" w:sz="4" w:space="0" w:color="auto"/>
            </w:tcBorders>
            <w:hideMark/>
          </w:tcPr>
          <w:p w14:paraId="6EC3ED36"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1943214893"/>
                <w14:checkbox>
                  <w14:checked w14:val="0"/>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k=0</w:t>
            </w:r>
            <w:r w:rsidR="00785C2F" w:rsidRPr="00C15DF8">
              <w:rPr>
                <w:rFonts w:ascii="Arial Narrow" w:hAnsi="Arial Narrow" w:cs="Arial"/>
                <w:color w:val="0D0D0D"/>
                <w:sz w:val="20"/>
              </w:rPr>
              <w:tab/>
              <w:t>n=0</w:t>
            </w:r>
          </w:p>
        </w:tc>
        <w:tc>
          <w:tcPr>
            <w:tcW w:w="767" w:type="pct"/>
            <w:tcBorders>
              <w:top w:val="single" w:sz="4" w:space="0" w:color="auto"/>
              <w:left w:val="single" w:sz="4" w:space="0" w:color="auto"/>
              <w:bottom w:val="single" w:sz="4" w:space="0" w:color="auto"/>
              <w:right w:val="single" w:sz="4" w:space="0" w:color="auto"/>
            </w:tcBorders>
            <w:hideMark/>
          </w:tcPr>
          <w:p w14:paraId="6D702A73"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w:t>
            </w:r>
          </w:p>
        </w:tc>
        <w:tc>
          <w:tcPr>
            <w:tcW w:w="570" w:type="pct"/>
            <w:tcBorders>
              <w:top w:val="single" w:sz="4" w:space="0" w:color="auto"/>
              <w:left w:val="single" w:sz="4" w:space="0" w:color="auto"/>
              <w:bottom w:val="single" w:sz="4" w:space="0" w:color="auto"/>
              <w:right w:val="single" w:sz="4" w:space="0" w:color="auto"/>
            </w:tcBorders>
          </w:tcPr>
          <w:p w14:paraId="0319651C"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w:t>
            </w:r>
          </w:p>
        </w:tc>
      </w:tr>
      <w:tr w:rsidR="00785C2F" w:rsidRPr="00C15DF8" w14:paraId="407536F9" w14:textId="77777777">
        <w:tc>
          <w:tcPr>
            <w:tcW w:w="829" w:type="pct"/>
            <w:tcBorders>
              <w:top w:val="single" w:sz="4" w:space="0" w:color="auto"/>
              <w:left w:val="single" w:sz="4" w:space="0" w:color="auto"/>
              <w:bottom w:val="nil"/>
              <w:right w:val="single" w:sz="4" w:space="0" w:color="auto"/>
            </w:tcBorders>
            <w:hideMark/>
          </w:tcPr>
          <w:p w14:paraId="78D1521E"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 xml:space="preserve">Health outcomes (clinical utility) </w:t>
            </w:r>
          </w:p>
        </w:tc>
        <w:tc>
          <w:tcPr>
            <w:tcW w:w="1518" w:type="pct"/>
            <w:tcBorders>
              <w:top w:val="single" w:sz="4" w:space="0" w:color="auto"/>
              <w:left w:val="single" w:sz="4" w:space="0" w:color="auto"/>
              <w:bottom w:val="nil"/>
              <w:right w:val="single" w:sz="4" w:space="0" w:color="auto"/>
            </w:tcBorders>
          </w:tcPr>
          <w:p w14:paraId="11484713"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As per treatment effect (enriched)</w:t>
            </w:r>
          </w:p>
        </w:tc>
        <w:tc>
          <w:tcPr>
            <w:tcW w:w="1316" w:type="pct"/>
            <w:tcBorders>
              <w:top w:val="single" w:sz="4" w:space="0" w:color="auto"/>
              <w:left w:val="single" w:sz="4" w:space="0" w:color="auto"/>
              <w:bottom w:val="nil"/>
              <w:right w:val="single" w:sz="4" w:space="0" w:color="auto"/>
            </w:tcBorders>
          </w:tcPr>
          <w:p w14:paraId="1CDB6910"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605892943"/>
                <w14:checkbox>
                  <w14:checked w14:val="0"/>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k=1</w:t>
            </w:r>
            <w:r w:rsidR="00785C2F" w:rsidRPr="00C15DF8">
              <w:rPr>
                <w:rFonts w:ascii="Arial Narrow" w:hAnsi="Arial Narrow" w:cs="Arial"/>
                <w:color w:val="0D0D0D"/>
                <w:sz w:val="20"/>
              </w:rPr>
              <w:tab/>
              <w:t>n=187</w:t>
            </w:r>
          </w:p>
          <w:p w14:paraId="285A5764" w14:textId="77777777" w:rsidR="00785C2F" w:rsidRPr="00C15DF8" w:rsidRDefault="00785C2F" w:rsidP="0054042B">
            <w:pPr>
              <w:keepNext/>
              <w:widowControl w:val="0"/>
              <w:spacing w:before="0" w:after="0"/>
              <w:rPr>
                <w:rFonts w:ascii="Arial Narrow" w:hAnsi="Arial Narrow" w:cs="Arial"/>
                <w:color w:val="0D0D0D"/>
                <w:sz w:val="20"/>
              </w:rPr>
            </w:pPr>
          </w:p>
        </w:tc>
        <w:tc>
          <w:tcPr>
            <w:tcW w:w="767" w:type="pct"/>
            <w:tcBorders>
              <w:top w:val="single" w:sz="4" w:space="0" w:color="auto"/>
              <w:left w:val="single" w:sz="4" w:space="0" w:color="auto"/>
              <w:bottom w:val="nil"/>
              <w:right w:val="single" w:sz="4" w:space="0" w:color="auto"/>
            </w:tcBorders>
            <w:hideMark/>
          </w:tcPr>
          <w:p w14:paraId="2CD7633B"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Low</w:t>
            </w:r>
          </w:p>
        </w:tc>
        <w:tc>
          <w:tcPr>
            <w:tcW w:w="570" w:type="pct"/>
            <w:tcBorders>
              <w:top w:val="single" w:sz="4" w:space="0" w:color="auto"/>
              <w:left w:val="single" w:sz="4" w:space="0" w:color="auto"/>
              <w:bottom w:val="nil"/>
              <w:right w:val="single" w:sz="4" w:space="0" w:color="auto"/>
            </w:tcBorders>
          </w:tcPr>
          <w:p w14:paraId="5E06A859"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Yes</w:t>
            </w:r>
          </w:p>
        </w:tc>
      </w:tr>
      <w:tr w:rsidR="00785C2F" w:rsidRPr="00C15DF8" w14:paraId="7D0C1E3C" w14:textId="77777777">
        <w:tc>
          <w:tcPr>
            <w:tcW w:w="829" w:type="pct"/>
            <w:tcBorders>
              <w:top w:val="nil"/>
              <w:left w:val="single" w:sz="4" w:space="0" w:color="auto"/>
              <w:bottom w:val="nil"/>
              <w:right w:val="single" w:sz="4" w:space="0" w:color="auto"/>
            </w:tcBorders>
          </w:tcPr>
          <w:p w14:paraId="6BCAC3B9"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 xml:space="preserve">Predictive effect (treatment effect variation) </w:t>
            </w:r>
          </w:p>
        </w:tc>
        <w:tc>
          <w:tcPr>
            <w:tcW w:w="1518" w:type="pct"/>
            <w:tcBorders>
              <w:top w:val="nil"/>
              <w:left w:val="single" w:sz="4" w:space="0" w:color="auto"/>
              <w:bottom w:val="nil"/>
              <w:right w:val="single" w:sz="4" w:space="0" w:color="auto"/>
            </w:tcBorders>
          </w:tcPr>
          <w:p w14:paraId="5CC3852B"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No evidence supplied (only biological rationale)</w:t>
            </w:r>
          </w:p>
        </w:tc>
        <w:tc>
          <w:tcPr>
            <w:tcW w:w="1316" w:type="pct"/>
            <w:tcBorders>
              <w:top w:val="nil"/>
              <w:left w:val="single" w:sz="4" w:space="0" w:color="auto"/>
              <w:bottom w:val="nil"/>
              <w:right w:val="single" w:sz="4" w:space="0" w:color="auto"/>
            </w:tcBorders>
          </w:tcPr>
          <w:p w14:paraId="53D8B14A"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1216044709"/>
                <w14:checkbox>
                  <w14:checked w14:val="0"/>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k=0</w:t>
            </w:r>
            <w:r w:rsidR="00785C2F" w:rsidRPr="00C15DF8">
              <w:rPr>
                <w:rFonts w:ascii="Arial Narrow" w:hAnsi="Arial Narrow" w:cs="Arial"/>
                <w:color w:val="0D0D0D"/>
                <w:sz w:val="20"/>
              </w:rPr>
              <w:tab/>
              <w:t>n=0</w:t>
            </w:r>
          </w:p>
          <w:p w14:paraId="3B164896" w14:textId="77777777" w:rsidR="00785C2F" w:rsidRPr="00C15DF8" w:rsidRDefault="00785C2F" w:rsidP="0054042B">
            <w:pPr>
              <w:keepNext/>
              <w:widowControl w:val="0"/>
              <w:spacing w:before="0" w:after="0"/>
              <w:rPr>
                <w:rFonts w:ascii="Arial Narrow" w:hAnsi="Arial Narrow" w:cs="Arial"/>
                <w:color w:val="0D0D0D"/>
                <w:sz w:val="20"/>
              </w:rPr>
            </w:pPr>
          </w:p>
          <w:p w14:paraId="60EB8120" w14:textId="77777777" w:rsidR="00785C2F" w:rsidRPr="00C15DF8" w:rsidRDefault="00785C2F" w:rsidP="0054042B">
            <w:pPr>
              <w:keepNext/>
              <w:widowControl w:val="0"/>
              <w:spacing w:before="0" w:after="0"/>
              <w:rPr>
                <w:rFonts w:ascii="Arial Narrow" w:hAnsi="Arial Narrow" w:cs="Arial"/>
                <w:color w:val="0D0D0D"/>
                <w:sz w:val="20"/>
              </w:rPr>
            </w:pPr>
          </w:p>
        </w:tc>
        <w:tc>
          <w:tcPr>
            <w:tcW w:w="767" w:type="pct"/>
            <w:tcBorders>
              <w:top w:val="nil"/>
              <w:left w:val="single" w:sz="4" w:space="0" w:color="auto"/>
              <w:bottom w:val="nil"/>
              <w:right w:val="single" w:sz="4" w:space="0" w:color="auto"/>
            </w:tcBorders>
          </w:tcPr>
          <w:p w14:paraId="45C59246"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w:t>
            </w:r>
          </w:p>
        </w:tc>
        <w:tc>
          <w:tcPr>
            <w:tcW w:w="570" w:type="pct"/>
            <w:tcBorders>
              <w:top w:val="nil"/>
              <w:left w:val="single" w:sz="4" w:space="0" w:color="auto"/>
              <w:bottom w:val="nil"/>
              <w:right w:val="single" w:sz="4" w:space="0" w:color="auto"/>
            </w:tcBorders>
          </w:tcPr>
          <w:p w14:paraId="4789659D"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w:t>
            </w:r>
          </w:p>
        </w:tc>
      </w:tr>
      <w:tr w:rsidR="00785C2F" w:rsidRPr="00C15DF8" w14:paraId="4EF27C00" w14:textId="77777777">
        <w:tc>
          <w:tcPr>
            <w:tcW w:w="829" w:type="pct"/>
            <w:tcBorders>
              <w:top w:val="nil"/>
              <w:left w:val="single" w:sz="4" w:space="0" w:color="auto"/>
              <w:bottom w:val="nil"/>
              <w:right w:val="single" w:sz="4" w:space="0" w:color="auto"/>
            </w:tcBorders>
          </w:tcPr>
          <w:p w14:paraId="54F0DAB5"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Treatment effect (enriched)</w:t>
            </w:r>
          </w:p>
        </w:tc>
        <w:tc>
          <w:tcPr>
            <w:tcW w:w="1518" w:type="pct"/>
            <w:tcBorders>
              <w:top w:val="nil"/>
              <w:left w:val="single" w:sz="4" w:space="0" w:color="auto"/>
              <w:bottom w:val="nil"/>
              <w:right w:val="single" w:sz="4" w:space="0" w:color="auto"/>
            </w:tcBorders>
          </w:tcPr>
          <w:p w14:paraId="370335C9"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Single randomised controlled trial of drug vs placebo in patients that are test positive in both arms</w:t>
            </w:r>
          </w:p>
        </w:tc>
        <w:tc>
          <w:tcPr>
            <w:tcW w:w="1316" w:type="pct"/>
            <w:tcBorders>
              <w:top w:val="nil"/>
              <w:left w:val="single" w:sz="4" w:space="0" w:color="auto"/>
              <w:bottom w:val="nil"/>
              <w:right w:val="single" w:sz="4" w:space="0" w:color="auto"/>
            </w:tcBorders>
          </w:tcPr>
          <w:p w14:paraId="1133264E"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680405120"/>
                <w14:checkbox>
                  <w14:checked w14:val="1"/>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k=1</w:t>
            </w:r>
            <w:r w:rsidR="00785C2F" w:rsidRPr="00C15DF8">
              <w:rPr>
                <w:rFonts w:ascii="Arial Narrow" w:hAnsi="Arial Narrow" w:cs="Arial"/>
                <w:color w:val="0D0D0D"/>
                <w:sz w:val="20"/>
              </w:rPr>
              <w:tab/>
              <w:t>n=187</w:t>
            </w:r>
          </w:p>
          <w:p w14:paraId="72514058" w14:textId="77777777" w:rsidR="00785C2F" w:rsidRPr="00C15DF8" w:rsidRDefault="00785C2F" w:rsidP="0054042B">
            <w:pPr>
              <w:keepNext/>
              <w:widowControl w:val="0"/>
              <w:spacing w:before="0" w:after="0"/>
              <w:rPr>
                <w:rFonts w:ascii="Arial Narrow" w:hAnsi="Arial Narrow" w:cs="Arial"/>
                <w:color w:val="0D0D0D"/>
                <w:sz w:val="20"/>
              </w:rPr>
            </w:pPr>
          </w:p>
        </w:tc>
        <w:tc>
          <w:tcPr>
            <w:tcW w:w="767" w:type="pct"/>
            <w:tcBorders>
              <w:top w:val="nil"/>
              <w:left w:val="single" w:sz="4" w:space="0" w:color="auto"/>
              <w:bottom w:val="nil"/>
              <w:right w:val="single" w:sz="4" w:space="0" w:color="auto"/>
            </w:tcBorders>
          </w:tcPr>
          <w:p w14:paraId="321E7125"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Low</w:t>
            </w:r>
          </w:p>
        </w:tc>
        <w:tc>
          <w:tcPr>
            <w:tcW w:w="570" w:type="pct"/>
            <w:tcBorders>
              <w:top w:val="nil"/>
              <w:left w:val="single" w:sz="4" w:space="0" w:color="auto"/>
              <w:bottom w:val="nil"/>
              <w:right w:val="single" w:sz="4" w:space="0" w:color="auto"/>
            </w:tcBorders>
          </w:tcPr>
          <w:p w14:paraId="54E777F9"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Yes</w:t>
            </w:r>
          </w:p>
        </w:tc>
      </w:tr>
      <w:tr w:rsidR="00785C2F" w:rsidRPr="00C15DF8" w14:paraId="4AA29C57" w14:textId="77777777">
        <w:tc>
          <w:tcPr>
            <w:tcW w:w="829" w:type="pct"/>
            <w:tcBorders>
              <w:top w:val="single" w:sz="4" w:space="0" w:color="auto"/>
              <w:left w:val="single" w:sz="4" w:space="0" w:color="auto"/>
              <w:bottom w:val="single" w:sz="4" w:space="0" w:color="auto"/>
              <w:right w:val="single" w:sz="4" w:space="0" w:color="auto"/>
            </w:tcBorders>
            <w:hideMark/>
          </w:tcPr>
          <w:p w14:paraId="478BDF18"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Other</w:t>
            </w:r>
          </w:p>
          <w:p w14:paraId="5BFA866A"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Treatment effect compared to secondary comparator</w:t>
            </w:r>
          </w:p>
        </w:tc>
        <w:tc>
          <w:tcPr>
            <w:tcW w:w="1518" w:type="pct"/>
            <w:tcBorders>
              <w:top w:val="single" w:sz="4" w:space="0" w:color="auto"/>
              <w:left w:val="single" w:sz="4" w:space="0" w:color="auto"/>
              <w:bottom w:val="single" w:sz="4" w:space="0" w:color="auto"/>
              <w:right w:val="single" w:sz="4" w:space="0" w:color="auto"/>
            </w:tcBorders>
          </w:tcPr>
          <w:p w14:paraId="35038386"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 xml:space="preserve">Indirect comparison </w:t>
            </w:r>
          </w:p>
        </w:tc>
        <w:tc>
          <w:tcPr>
            <w:tcW w:w="1316" w:type="pct"/>
            <w:tcBorders>
              <w:top w:val="single" w:sz="4" w:space="0" w:color="auto"/>
              <w:left w:val="single" w:sz="4" w:space="0" w:color="auto"/>
              <w:bottom w:val="single" w:sz="4" w:space="0" w:color="auto"/>
              <w:right w:val="single" w:sz="4" w:space="0" w:color="auto"/>
            </w:tcBorders>
            <w:hideMark/>
          </w:tcPr>
          <w:p w14:paraId="62D97E8C" w14:textId="77777777" w:rsidR="00785C2F" w:rsidRPr="00C15DF8" w:rsidRDefault="002909A7" w:rsidP="0054042B">
            <w:pPr>
              <w:keepNext/>
              <w:widowControl w:val="0"/>
              <w:spacing w:before="0" w:after="0"/>
              <w:rPr>
                <w:rFonts w:ascii="Arial Narrow" w:hAnsi="Arial Narrow" w:cs="Arial"/>
                <w:color w:val="0D0D0D"/>
                <w:sz w:val="20"/>
              </w:rPr>
            </w:pPr>
            <w:sdt>
              <w:sdtPr>
                <w:rPr>
                  <w:rFonts w:ascii="Arial Narrow" w:hAnsi="Arial Narrow" w:cs="Arial"/>
                  <w:color w:val="0D0D0D"/>
                  <w:sz w:val="20"/>
                </w:rPr>
                <w:id w:val="1915973532"/>
                <w14:checkbox>
                  <w14:checked w14:val="1"/>
                  <w14:checkedState w14:val="2612" w14:font="MS Gothic"/>
                  <w14:uncheckedState w14:val="2610" w14:font="MS Gothic"/>
                </w14:checkbox>
              </w:sdtPr>
              <w:sdtEndPr/>
              <w:sdtContent>
                <w:r w:rsidR="00785C2F" w:rsidRPr="00C15DF8">
                  <w:rPr>
                    <w:rFonts w:ascii="Segoe UI Symbol" w:hAnsi="Segoe UI Symbol" w:cs="Segoe UI Symbol"/>
                    <w:color w:val="0D0D0D"/>
                    <w:sz w:val="20"/>
                  </w:rPr>
                  <w:t>☒</w:t>
                </w:r>
              </w:sdtContent>
            </w:sdt>
            <w:r w:rsidR="00785C2F" w:rsidRPr="00C15DF8">
              <w:rPr>
                <w:rFonts w:ascii="Arial Narrow" w:hAnsi="Arial Narrow" w:cs="Arial"/>
                <w:color w:val="0D0D0D"/>
                <w:sz w:val="20"/>
              </w:rPr>
              <w:tab/>
              <w:t>k=2</w:t>
            </w:r>
            <w:r w:rsidR="00785C2F" w:rsidRPr="00C15DF8">
              <w:rPr>
                <w:rFonts w:ascii="Arial Narrow" w:hAnsi="Arial Narrow" w:cs="Arial"/>
                <w:color w:val="0D0D0D"/>
                <w:sz w:val="20"/>
              </w:rPr>
              <w:tab/>
              <w:t>n=349</w:t>
            </w:r>
          </w:p>
        </w:tc>
        <w:tc>
          <w:tcPr>
            <w:tcW w:w="767" w:type="pct"/>
            <w:tcBorders>
              <w:top w:val="single" w:sz="4" w:space="0" w:color="auto"/>
              <w:left w:val="single" w:sz="4" w:space="0" w:color="auto"/>
              <w:bottom w:val="single" w:sz="4" w:space="0" w:color="auto"/>
              <w:right w:val="single" w:sz="4" w:space="0" w:color="auto"/>
            </w:tcBorders>
          </w:tcPr>
          <w:p w14:paraId="4CD8BD04"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High (due to transitivity issues)</w:t>
            </w:r>
          </w:p>
        </w:tc>
        <w:tc>
          <w:tcPr>
            <w:tcW w:w="570" w:type="pct"/>
            <w:tcBorders>
              <w:top w:val="single" w:sz="4" w:space="0" w:color="auto"/>
              <w:left w:val="single" w:sz="4" w:space="0" w:color="auto"/>
              <w:bottom w:val="single" w:sz="4" w:space="0" w:color="auto"/>
              <w:right w:val="single" w:sz="4" w:space="0" w:color="auto"/>
            </w:tcBorders>
          </w:tcPr>
          <w:p w14:paraId="31D81B78" w14:textId="77777777" w:rsidR="00785C2F" w:rsidRPr="00C15DF8" w:rsidRDefault="00785C2F" w:rsidP="0054042B">
            <w:pPr>
              <w:keepNext/>
              <w:widowControl w:val="0"/>
              <w:spacing w:before="0" w:after="0"/>
              <w:rPr>
                <w:rFonts w:ascii="Arial Narrow" w:hAnsi="Arial Narrow" w:cs="Arial"/>
                <w:color w:val="0D0D0D"/>
                <w:sz w:val="20"/>
              </w:rPr>
            </w:pPr>
            <w:r w:rsidRPr="00C15DF8">
              <w:rPr>
                <w:rFonts w:ascii="Arial Narrow" w:hAnsi="Arial Narrow" w:cs="Arial"/>
                <w:color w:val="0D0D0D"/>
                <w:sz w:val="20"/>
              </w:rPr>
              <w:t>Sensitivity analysis only</w:t>
            </w:r>
          </w:p>
        </w:tc>
      </w:tr>
    </w:tbl>
    <w:p w14:paraId="70EF823F" w14:textId="77777777" w:rsidR="001834D7" w:rsidRDefault="001834D7" w:rsidP="001834D7">
      <w:pPr>
        <w:tabs>
          <w:tab w:val="left" w:pos="284"/>
        </w:tabs>
        <w:spacing w:before="0" w:after="0"/>
        <w:rPr>
          <w:rFonts w:ascii="Arial Narrow" w:eastAsia="Times New Roman" w:hAnsi="Arial Narrow" w:cs="Arial"/>
          <w:snapToGrid w:val="0"/>
          <w:color w:val="0D0D0D"/>
          <w:sz w:val="18"/>
          <w:szCs w:val="18"/>
          <w:lang w:eastAsia="en-AU"/>
        </w:rPr>
      </w:pPr>
      <w:bookmarkStart w:id="23" w:name="_Hlk68276301"/>
      <w:bookmarkEnd w:id="22"/>
      <w:r>
        <w:rPr>
          <w:rFonts w:ascii="Arial Narrow" w:eastAsia="Times New Roman" w:hAnsi="Arial Narrow" w:cs="Arial"/>
          <w:snapToGrid w:val="0"/>
          <w:color w:val="0D0D0D"/>
          <w:sz w:val="18"/>
          <w:szCs w:val="18"/>
          <w:lang w:eastAsia="en-AU"/>
        </w:rPr>
        <w:t>Source:</w:t>
      </w:r>
    </w:p>
    <w:p w14:paraId="5B5495F6" w14:textId="738C85A2" w:rsidR="00785C2F" w:rsidRPr="00FF7704" w:rsidRDefault="00785C2F" w:rsidP="001834D7">
      <w:pPr>
        <w:tabs>
          <w:tab w:val="left" w:pos="284"/>
        </w:tabs>
        <w:spacing w:before="0" w:after="0"/>
        <w:rPr>
          <w:rFonts w:ascii="Arial Narrow" w:eastAsia="Times New Roman" w:hAnsi="Arial Narrow" w:cs="Arial"/>
          <w:snapToGrid w:val="0"/>
          <w:color w:val="0D0D0D"/>
          <w:sz w:val="18"/>
          <w:szCs w:val="18"/>
          <w:lang w:eastAsia="en-AU"/>
        </w:rPr>
      </w:pPr>
      <w:r w:rsidRPr="00FF7704">
        <w:rPr>
          <w:rFonts w:ascii="Arial Narrow" w:eastAsia="Times New Roman" w:hAnsi="Arial Narrow" w:cs="Arial"/>
          <w:snapToGrid w:val="0"/>
          <w:color w:val="0D0D0D"/>
          <w:sz w:val="18"/>
          <w:szCs w:val="18"/>
          <w:lang w:eastAsia="en-AU"/>
        </w:rPr>
        <w:t>k=number of studies, n=number of patients.</w:t>
      </w:r>
      <w:bookmarkEnd w:id="23"/>
    </w:p>
    <w:p w14:paraId="5709EED5" w14:textId="25443DE7" w:rsidR="00785C2F" w:rsidRPr="002E6641" w:rsidRDefault="002E6641" w:rsidP="002E6641">
      <w:pPr>
        <w:pStyle w:val="Heading2"/>
        <w:widowControl w:val="0"/>
        <w:spacing w:after="240"/>
        <w:rPr>
          <w:rFonts w:ascii="Franklin Gothic Medium" w:hAnsi="Franklin Gothic Medium"/>
          <w:b w:val="0"/>
          <w:i w:val="0"/>
          <w:snapToGrid/>
          <w:color w:val="000000" w:themeColor="text1"/>
          <w:sz w:val="32"/>
          <w:szCs w:val="26"/>
        </w:rPr>
      </w:pPr>
      <w:bookmarkStart w:id="24" w:name="_Toc93044767"/>
      <w:bookmarkStart w:id="25" w:name="_Toc93322901"/>
      <w:bookmarkStart w:id="26" w:name="_Toc93044770"/>
      <w:bookmarkStart w:id="27" w:name="_Toc93322904"/>
      <w:bookmarkStart w:id="28" w:name="_Toc93044771"/>
      <w:bookmarkStart w:id="29" w:name="_Toc93322905"/>
      <w:bookmarkStart w:id="30" w:name="_Toc93044772"/>
      <w:bookmarkStart w:id="31" w:name="_Toc93322906"/>
      <w:bookmarkStart w:id="32" w:name="_Toc93044775"/>
      <w:bookmarkStart w:id="33" w:name="_Toc93322909"/>
      <w:bookmarkStart w:id="34" w:name="_Toc163115429"/>
      <w:bookmarkStart w:id="35" w:name="_Toc166763131"/>
      <w:bookmarkEnd w:id="24"/>
      <w:bookmarkEnd w:id="25"/>
      <w:bookmarkEnd w:id="26"/>
      <w:bookmarkEnd w:id="27"/>
      <w:bookmarkEnd w:id="28"/>
      <w:bookmarkEnd w:id="29"/>
      <w:bookmarkEnd w:id="30"/>
      <w:bookmarkEnd w:id="31"/>
      <w:bookmarkEnd w:id="32"/>
      <w:bookmarkEnd w:id="33"/>
      <w:r>
        <w:rPr>
          <w:rFonts w:ascii="Franklin Gothic Medium" w:hAnsi="Franklin Gothic Medium"/>
          <w:b w:val="0"/>
          <w:i w:val="0"/>
          <w:snapToGrid/>
          <w:color w:val="000000" w:themeColor="text1"/>
          <w:sz w:val="32"/>
          <w:szCs w:val="26"/>
        </w:rPr>
        <w:lastRenderedPageBreak/>
        <w:t>11.</w:t>
      </w:r>
      <w:r>
        <w:rPr>
          <w:rFonts w:ascii="Franklin Gothic Medium" w:hAnsi="Franklin Gothic Medium"/>
          <w:b w:val="0"/>
          <w:i w:val="0"/>
          <w:snapToGrid/>
          <w:color w:val="000000" w:themeColor="text1"/>
          <w:sz w:val="32"/>
          <w:szCs w:val="26"/>
        </w:rPr>
        <w:tab/>
      </w:r>
      <w:r w:rsidR="00785C2F" w:rsidRPr="002E6641">
        <w:rPr>
          <w:rFonts w:ascii="Franklin Gothic Medium" w:hAnsi="Franklin Gothic Medium"/>
          <w:b w:val="0"/>
          <w:i w:val="0"/>
          <w:snapToGrid/>
          <w:color w:val="000000" w:themeColor="text1"/>
          <w:sz w:val="32"/>
          <w:szCs w:val="26"/>
        </w:rPr>
        <w:t>Comparative safety</w:t>
      </w:r>
      <w:bookmarkEnd w:id="34"/>
      <w:bookmarkEnd w:id="35"/>
    </w:p>
    <w:p w14:paraId="331C53DF" w14:textId="77777777" w:rsidR="00785C2F" w:rsidRPr="002E6641" w:rsidRDefault="00785C2F" w:rsidP="002E6641">
      <w:pPr>
        <w:keepNext/>
        <w:keepLines/>
        <w:numPr>
          <w:ilvl w:val="6"/>
          <w:numId w:val="3"/>
        </w:numPr>
        <w:spacing w:before="240" w:after="0" w:line="259" w:lineRule="auto"/>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Adverse events from testing</w:t>
      </w:r>
    </w:p>
    <w:p w14:paraId="60CA5A77" w14:textId="29B2CE34" w:rsidR="00785C2F" w:rsidRPr="002E6641" w:rsidRDefault="00914156" w:rsidP="002E6641">
      <w:pPr>
        <w:spacing w:after="240"/>
        <w:rPr>
          <w:rFonts w:ascii="Franklin Gothic Book" w:hAnsi="Franklin Gothic Book"/>
          <w:color w:val="0D0D0D"/>
          <w:sz w:val="22"/>
        </w:rPr>
      </w:pPr>
      <w:r w:rsidRPr="002E6641">
        <w:rPr>
          <w:rFonts w:ascii="Franklin Gothic Book" w:hAnsi="Franklin Gothic Book"/>
          <w:color w:val="0D0D0D"/>
          <w:sz w:val="22"/>
        </w:rPr>
        <w:t>The commentary noted that n</w:t>
      </w:r>
      <w:r w:rsidR="00785C2F" w:rsidRPr="002E6641">
        <w:rPr>
          <w:rFonts w:ascii="Franklin Gothic Book" w:hAnsi="Franklin Gothic Book"/>
          <w:color w:val="0D0D0D"/>
          <w:sz w:val="22"/>
        </w:rPr>
        <w:t xml:space="preserve">o test-related adverse events were mentioned in the submission. If testing for </w:t>
      </w:r>
      <w:r w:rsidR="00785C2F" w:rsidRPr="002E6641">
        <w:rPr>
          <w:rFonts w:ascii="Franklin Gothic Book" w:hAnsi="Franklin Gothic Book" w:cs="Arial"/>
          <w:i/>
          <w:iCs/>
          <w:color w:val="0D0D0D"/>
          <w:sz w:val="22"/>
        </w:rPr>
        <w:t>IDH1</w:t>
      </w:r>
      <w:r w:rsidR="00785C2F" w:rsidRPr="002E6641">
        <w:rPr>
          <w:rFonts w:ascii="Franklin Gothic Book" w:hAnsi="Franklin Gothic Book"/>
          <w:color w:val="0D0D0D"/>
          <w:sz w:val="22"/>
        </w:rPr>
        <w:t xml:space="preserve"> variants is performed on the same tumour tissue used to histologically diagnose CCA, then no incremental adverse events are expected from testing. </w:t>
      </w:r>
    </w:p>
    <w:p w14:paraId="4DFD79DF" w14:textId="4B9D5BDC" w:rsidR="00785C2F" w:rsidRPr="002E6641" w:rsidRDefault="00914156" w:rsidP="002E6641">
      <w:pPr>
        <w:spacing w:after="240"/>
        <w:rPr>
          <w:rFonts w:ascii="Franklin Gothic Book" w:hAnsi="Franklin Gothic Book"/>
          <w:color w:val="0D0D0D"/>
          <w:sz w:val="22"/>
        </w:rPr>
      </w:pPr>
      <w:r w:rsidRPr="002E6641">
        <w:rPr>
          <w:rFonts w:ascii="Franklin Gothic Book" w:hAnsi="Franklin Gothic Book"/>
          <w:color w:val="0D0D0D"/>
          <w:sz w:val="22"/>
        </w:rPr>
        <w:t>The commentary considered t</w:t>
      </w:r>
      <w:r w:rsidR="00785C2F" w:rsidRPr="002E6641">
        <w:rPr>
          <w:rFonts w:ascii="Franklin Gothic Book" w:hAnsi="Franklin Gothic Book"/>
          <w:color w:val="0D0D0D"/>
          <w:sz w:val="22"/>
        </w:rPr>
        <w:t xml:space="preserve">esting at the point of diagnosis should allow efficient use of tumour tissue, so the likelihood of requiring a re-biopsy for the purpose of retrieving tumour tissue for genetic testing is negligible. </w:t>
      </w:r>
    </w:p>
    <w:p w14:paraId="10393668" w14:textId="77777777" w:rsidR="00785C2F" w:rsidRPr="002E6641" w:rsidRDefault="00785C2F" w:rsidP="002E6641">
      <w:pPr>
        <w:keepNext/>
        <w:keepLines/>
        <w:numPr>
          <w:ilvl w:val="6"/>
          <w:numId w:val="3"/>
        </w:numPr>
        <w:spacing w:before="240" w:after="0" w:line="259" w:lineRule="auto"/>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Adverse events from changes in management</w:t>
      </w:r>
    </w:p>
    <w:p w14:paraId="7DE8F7D0" w14:textId="77777777" w:rsidR="00785C2F" w:rsidRPr="002E6641" w:rsidRDefault="00785C2F" w:rsidP="002E6641">
      <w:pPr>
        <w:spacing w:after="240"/>
        <w:rPr>
          <w:rFonts w:ascii="Franklin Gothic Book" w:hAnsi="Franklin Gothic Book"/>
          <w:color w:val="0D0D0D"/>
          <w:sz w:val="22"/>
        </w:rPr>
      </w:pPr>
      <w:r w:rsidRPr="002E6641">
        <w:rPr>
          <w:rFonts w:ascii="Franklin Gothic Book" w:hAnsi="Franklin Gothic Book"/>
          <w:color w:val="0D0D0D"/>
          <w:sz w:val="22"/>
        </w:rPr>
        <w:t xml:space="preserve">The use of </w:t>
      </w:r>
      <w:r w:rsidRPr="002E6641">
        <w:rPr>
          <w:rFonts w:ascii="Franklin Gothic Book" w:hAnsi="Franklin Gothic Book" w:cs="Arial"/>
          <w:i/>
          <w:color w:val="0D0D0D"/>
          <w:sz w:val="22"/>
        </w:rPr>
        <w:t xml:space="preserve">IDH1 </w:t>
      </w:r>
      <w:r w:rsidRPr="002E6641">
        <w:rPr>
          <w:rFonts w:ascii="Franklin Gothic Book" w:hAnsi="Franklin Gothic Book"/>
          <w:color w:val="0D0D0D"/>
          <w:sz w:val="22"/>
        </w:rPr>
        <w:t xml:space="preserve">variant testing would result in the majority of those with tier I variants receiving ivosidenib. </w:t>
      </w:r>
    </w:p>
    <w:p w14:paraId="6D77E411" w14:textId="6306DB80" w:rsidR="00785C2F" w:rsidRPr="002E6641" w:rsidRDefault="00785C2F" w:rsidP="002E6641">
      <w:pPr>
        <w:ind w:hanging="11"/>
        <w:rPr>
          <w:rFonts w:ascii="Franklin Gothic Book" w:hAnsi="Franklin Gothic Book"/>
          <w:color w:val="0D0D0D"/>
          <w:sz w:val="22"/>
        </w:rPr>
      </w:pPr>
      <w:r w:rsidRPr="002E6641">
        <w:rPr>
          <w:rFonts w:ascii="Franklin Gothic Book" w:hAnsi="Franklin Gothic Book"/>
          <w:color w:val="0D0D0D"/>
          <w:sz w:val="22"/>
        </w:rPr>
        <w:t>Safety data from the ivosidenib key trial showed that, for a median treatment duration of 2.8</w:t>
      </w:r>
      <w:r w:rsidR="0054042B">
        <w:rPr>
          <w:rFonts w:ascii="Franklin Gothic Book" w:hAnsi="Franklin Gothic Book"/>
          <w:color w:val="0D0D0D"/>
          <w:sz w:val="22"/>
        </w:rPr>
        <w:t> </w:t>
      </w:r>
      <w:r w:rsidRPr="002E6641">
        <w:rPr>
          <w:rFonts w:ascii="Franklin Gothic Book" w:hAnsi="Franklin Gothic Book"/>
          <w:color w:val="0D0D0D"/>
          <w:sz w:val="22"/>
        </w:rPr>
        <w:t xml:space="preserve">months, </w:t>
      </w:r>
      <w:r w:rsidRPr="002E6641">
        <w:rPr>
          <w:rFonts w:ascii="Franklin Gothic Book" w:hAnsi="Franklin Gothic Book" w:cs="Arial"/>
          <w:color w:val="0D0D0D"/>
          <w:sz w:val="22"/>
        </w:rPr>
        <w:t xml:space="preserve">approximately half (50.4%) of the patients in the ivosidenib arm (not including crossover patients) experienced ≥ Grade 3 treatment-emergent adverse events (TEAEs). Grade 3 or higher grade TEAEs that were most frequently reported (≥ 5%) in patients receiving ivosidenib included: ascites (7.4%), anaemia (6.5%), increased serum bilirubin (5.7%) and hyponatraemia (5.7%). Serious adverse events (SAEs) occurred in 34.1% of patients in the ivosidenib arm. The most common SAEs included pneumonia (3.3%), sepsis (3.3%), ascites (2.4%) and cholangitis (2.4%). TEAEs leading to death occurred in 4.9% of patients in the ivosidenib arm. This compared to 37.3% experiencing </w:t>
      </w:r>
      <w:r w:rsidRPr="002E6641">
        <w:rPr>
          <w:rFonts w:ascii="Franklin Gothic Book" w:hAnsi="Franklin Gothic Book"/>
          <w:color w:val="0D0D0D"/>
          <w:sz w:val="22"/>
        </w:rPr>
        <w:t>≥</w:t>
      </w:r>
      <w:r w:rsidRPr="002E6641">
        <w:rPr>
          <w:rFonts w:ascii="Franklin Gothic Book" w:hAnsi="Franklin Gothic Book" w:cs="Arial"/>
          <w:color w:val="0D0D0D"/>
          <w:sz w:val="22"/>
        </w:rPr>
        <w:t xml:space="preserve"> Grade 3 TEAEs in the palliative care arm over a median duration of 1.6</w:t>
      </w:r>
      <w:r w:rsidR="0054042B">
        <w:rPr>
          <w:rFonts w:ascii="Franklin Gothic Book" w:hAnsi="Franklin Gothic Book" w:cs="Arial"/>
          <w:color w:val="0D0D0D"/>
          <w:sz w:val="22"/>
        </w:rPr>
        <w:t> </w:t>
      </w:r>
      <w:r w:rsidRPr="002E6641">
        <w:rPr>
          <w:rFonts w:ascii="Franklin Gothic Book" w:hAnsi="Franklin Gothic Book" w:cs="Arial"/>
          <w:color w:val="0D0D0D"/>
          <w:sz w:val="22"/>
        </w:rPr>
        <w:t xml:space="preserve">months. Grade 3 or higher grade TEAEs most frequently reported (≥ 5%) in patients receiving palliative care included: </w:t>
      </w:r>
      <w:r w:rsidRPr="002E6641">
        <w:rPr>
          <w:rFonts w:ascii="Franklin Gothic Book" w:hAnsi="Franklin Gothic Book"/>
          <w:color w:val="0D0D0D"/>
          <w:sz w:val="22"/>
        </w:rPr>
        <w:t xml:space="preserve">hyponatraemia (10.2%), ascites (6.8%), </w:t>
      </w:r>
      <w:proofErr w:type="spellStart"/>
      <w:r w:rsidRPr="002E6641">
        <w:rPr>
          <w:rFonts w:ascii="Franklin Gothic Book" w:hAnsi="Franklin Gothic Book"/>
          <w:color w:val="0D0D0D"/>
          <w:sz w:val="22"/>
        </w:rPr>
        <w:t>hypophosphataemia</w:t>
      </w:r>
      <w:proofErr w:type="spellEnd"/>
      <w:r w:rsidRPr="002E6641">
        <w:rPr>
          <w:rFonts w:ascii="Franklin Gothic Book" w:hAnsi="Franklin Gothic Book"/>
          <w:color w:val="0D0D0D"/>
          <w:sz w:val="22"/>
        </w:rPr>
        <w:t xml:space="preserve"> (5.1%), and increased blood alkaline phosphatase (5.1%). </w:t>
      </w:r>
      <w:r w:rsidRPr="002E6641">
        <w:rPr>
          <w:rFonts w:ascii="Franklin Gothic Book" w:hAnsi="Franklin Gothic Book" w:cs="Arial"/>
          <w:color w:val="0D0D0D"/>
          <w:sz w:val="22"/>
        </w:rPr>
        <w:t xml:space="preserve">Serious adverse events (SAEs) occurred in 23.7% of patients in the palliative care arm. The most common SAEs included ascites (3.4%), sepsis (3.4%), hypercalcaemia (3.4%), hyperkalaemia (3.4%), and back pain (3.4%). </w:t>
      </w:r>
      <w:r w:rsidRPr="002E6641">
        <w:rPr>
          <w:rFonts w:ascii="Franklin Gothic Book" w:hAnsi="Franklin Gothic Book"/>
          <w:color w:val="0D0D0D"/>
          <w:sz w:val="22"/>
        </w:rPr>
        <w:t>Other SAEs that occurred in 2 or more ivosidenib patients but not in palliative care patients included hip fracture, vomiting, hyperbilirubinemia, jaundice cholestasis, intestinal obstruction and pleural effusion. No TEAEs causing death occurred in patients receiving palliative care.</w:t>
      </w:r>
    </w:p>
    <w:p w14:paraId="2B75439B" w14:textId="77777777" w:rsidR="00785C2F" w:rsidRPr="002E6641" w:rsidRDefault="00785C2F" w:rsidP="002E6641">
      <w:pPr>
        <w:ind w:hanging="11"/>
        <w:rPr>
          <w:rFonts w:ascii="Franklin Gothic Book" w:hAnsi="Franklin Gothic Book"/>
          <w:color w:val="0D0D0D"/>
          <w:sz w:val="22"/>
        </w:rPr>
      </w:pPr>
      <w:r w:rsidRPr="002E6641">
        <w:rPr>
          <w:rFonts w:ascii="Franklin Gothic Book" w:hAnsi="Franklin Gothic Book"/>
          <w:color w:val="0D0D0D"/>
          <w:sz w:val="22"/>
        </w:rPr>
        <w:t xml:space="preserve">Drug-related AEs occurred in 65.9% (81) patients in the ivosidenib arm (not including crossover patients). The most commonly reported (≥ 5%) ivosidenib-related TEAEs included diarrhoea (22.8%), nausea (22.8%), fatigue (17.1%), vomiting (9.8%), decreased appetite (8.9%), headache (8.1%) and prolongation of corrected QT (QTc) interval (6.5%). Ivosidenib-related TEAEs most frequently affected the gastrointestinal system in trialled patients.  </w:t>
      </w:r>
    </w:p>
    <w:p w14:paraId="4CAF6CA5" w14:textId="37488DBF" w:rsidR="00785C2F" w:rsidRPr="002E6641" w:rsidRDefault="00DD15EA" w:rsidP="002E6641">
      <w:pPr>
        <w:spacing w:after="240"/>
        <w:rPr>
          <w:rFonts w:ascii="Franklin Gothic Book" w:hAnsi="Franklin Gothic Book"/>
          <w:i/>
          <w:iCs/>
          <w:color w:val="0D0D0D"/>
          <w:sz w:val="22"/>
        </w:rPr>
      </w:pPr>
      <w:r w:rsidRPr="002E6641">
        <w:rPr>
          <w:rFonts w:ascii="Franklin Gothic Book" w:hAnsi="Franklin Gothic Book"/>
          <w:color w:val="0D0D0D"/>
          <w:sz w:val="22"/>
        </w:rPr>
        <w:t xml:space="preserve">The commentary </w:t>
      </w:r>
      <w:r w:rsidR="00E72F93" w:rsidRPr="002E6641">
        <w:rPr>
          <w:rFonts w:ascii="Franklin Gothic Book" w:hAnsi="Franklin Gothic Book"/>
          <w:color w:val="0D0D0D"/>
          <w:sz w:val="22"/>
        </w:rPr>
        <w:t>noted that t</w:t>
      </w:r>
      <w:r w:rsidR="00785C2F" w:rsidRPr="002E6641">
        <w:rPr>
          <w:rFonts w:ascii="Franklin Gothic Book" w:hAnsi="Franklin Gothic Book"/>
          <w:color w:val="0D0D0D"/>
          <w:sz w:val="22"/>
        </w:rPr>
        <w:t xml:space="preserve">he MSAC Executive advised that the analytical validity of </w:t>
      </w:r>
      <w:r w:rsidR="00785C2F" w:rsidRPr="002E6641" w:rsidDel="00F058B4">
        <w:rPr>
          <w:rFonts w:ascii="Franklin Gothic Book" w:hAnsi="Franklin Gothic Book"/>
          <w:i/>
          <w:color w:val="0D0D0D"/>
          <w:sz w:val="22"/>
        </w:rPr>
        <w:t>IDH1</w:t>
      </w:r>
      <w:r w:rsidR="00785C2F" w:rsidRPr="002E6641">
        <w:rPr>
          <w:rFonts w:ascii="Franklin Gothic Book" w:hAnsi="Franklin Gothic Book"/>
          <w:color w:val="0D0D0D"/>
          <w:sz w:val="22"/>
        </w:rPr>
        <w:t xml:space="preserve"> variant testing did not need to be assessed. It indicated that no downstream adverse events resulting from false positives or false negatives are expected</w:t>
      </w:r>
      <w:r w:rsidR="00785C2F" w:rsidRPr="002E6641">
        <w:rPr>
          <w:rFonts w:ascii="Franklin Gothic Book" w:hAnsi="Franklin Gothic Book"/>
          <w:i/>
          <w:iCs/>
          <w:color w:val="0D0D0D"/>
          <w:sz w:val="22"/>
        </w:rPr>
        <w:t xml:space="preserve">. </w:t>
      </w:r>
    </w:p>
    <w:p w14:paraId="00E7DFE5" w14:textId="60146337" w:rsidR="00785C2F" w:rsidRPr="002E6641" w:rsidRDefault="002E6641" w:rsidP="002E6641">
      <w:pPr>
        <w:pStyle w:val="Heading2"/>
        <w:widowControl w:val="0"/>
        <w:spacing w:after="240"/>
        <w:rPr>
          <w:rFonts w:ascii="Franklin Gothic Medium" w:hAnsi="Franklin Gothic Medium"/>
          <w:b w:val="0"/>
          <w:i w:val="0"/>
          <w:snapToGrid/>
          <w:color w:val="000000" w:themeColor="text1"/>
          <w:sz w:val="32"/>
          <w:szCs w:val="26"/>
        </w:rPr>
      </w:pPr>
      <w:bookmarkStart w:id="36" w:name="_Toc163115430"/>
      <w:bookmarkStart w:id="37" w:name="_Toc166763132"/>
      <w:r>
        <w:rPr>
          <w:rFonts w:ascii="Franklin Gothic Medium" w:hAnsi="Franklin Gothic Medium"/>
          <w:b w:val="0"/>
          <w:i w:val="0"/>
          <w:snapToGrid/>
          <w:color w:val="000000" w:themeColor="text1"/>
          <w:sz w:val="32"/>
          <w:szCs w:val="26"/>
        </w:rPr>
        <w:t>12.</w:t>
      </w:r>
      <w:r>
        <w:rPr>
          <w:rFonts w:ascii="Franklin Gothic Medium" w:hAnsi="Franklin Gothic Medium"/>
          <w:b w:val="0"/>
          <w:i w:val="0"/>
          <w:snapToGrid/>
          <w:color w:val="000000" w:themeColor="text1"/>
          <w:sz w:val="32"/>
          <w:szCs w:val="26"/>
        </w:rPr>
        <w:tab/>
      </w:r>
      <w:r w:rsidR="00785C2F" w:rsidRPr="002E6641">
        <w:rPr>
          <w:rFonts w:ascii="Franklin Gothic Medium" w:hAnsi="Franklin Gothic Medium"/>
          <w:b w:val="0"/>
          <w:i w:val="0"/>
          <w:snapToGrid/>
          <w:color w:val="000000" w:themeColor="text1"/>
          <w:sz w:val="32"/>
          <w:szCs w:val="26"/>
        </w:rPr>
        <w:t>Comparative effectiveness</w:t>
      </w:r>
      <w:bookmarkEnd w:id="36"/>
      <w:bookmarkEnd w:id="37"/>
    </w:p>
    <w:p w14:paraId="5A850186" w14:textId="77777777" w:rsidR="00785C2F" w:rsidRPr="002E6641" w:rsidRDefault="00785C2F" w:rsidP="00785C2F">
      <w:pPr>
        <w:rPr>
          <w:rFonts w:ascii="Franklin Gothic Book" w:hAnsi="Franklin Gothic Book" w:cs="Arial"/>
          <w:color w:val="0D0D0D"/>
          <w:sz w:val="22"/>
        </w:rPr>
      </w:pPr>
      <w:r w:rsidRPr="002E6641">
        <w:rPr>
          <w:rFonts w:ascii="Franklin Gothic Book" w:hAnsi="Franklin Gothic Book" w:cs="Arial"/>
          <w:color w:val="0D0D0D"/>
          <w:sz w:val="22"/>
        </w:rPr>
        <w:t xml:space="preserve">A summary of the data used to inform the comparisons of test and drug combinations is presented in the table below. </w:t>
      </w:r>
    </w:p>
    <w:p w14:paraId="3B984766" w14:textId="67C0CFD8" w:rsidR="00785C2F" w:rsidRPr="00C15DF8" w:rsidRDefault="00785C2F" w:rsidP="00785C2F">
      <w:pPr>
        <w:keepNext/>
        <w:tabs>
          <w:tab w:val="left" w:pos="1418"/>
        </w:tabs>
        <w:spacing w:before="240" w:after="0" w:line="259" w:lineRule="auto"/>
        <w:ind w:left="1418" w:hanging="1418"/>
        <w:contextualSpacing/>
        <w:rPr>
          <w:rFonts w:ascii="Arial Narrow" w:hAnsi="Arial Narrow" w:cs="Arial"/>
          <w:b/>
          <w:iCs/>
          <w:color w:val="0D0D0D"/>
          <w:sz w:val="20"/>
          <w:szCs w:val="18"/>
        </w:rPr>
      </w:pPr>
      <w:bookmarkStart w:id="38" w:name="_Ref496876353"/>
      <w:r w:rsidRPr="00C15DF8">
        <w:rPr>
          <w:rFonts w:ascii="Arial Narrow" w:hAnsi="Arial Narrow" w:cs="Arial"/>
          <w:b/>
          <w:iCs/>
          <w:color w:val="0D0D0D"/>
          <w:sz w:val="20"/>
          <w:szCs w:val="18"/>
        </w:rPr>
        <w:t>Table MSAC.</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3</w:t>
      </w:r>
      <w:r w:rsidRPr="00C15DF8">
        <w:rPr>
          <w:rFonts w:ascii="Arial Narrow" w:hAnsi="Arial Narrow" w:cs="Arial"/>
          <w:b/>
          <w:iCs/>
          <w:color w:val="0D0D0D"/>
          <w:sz w:val="20"/>
          <w:szCs w:val="18"/>
        </w:rPr>
        <w:fldChar w:fldCharType="end"/>
      </w:r>
      <w:bookmarkEnd w:id="38"/>
      <w:r w:rsidRPr="00C15DF8">
        <w:rPr>
          <w:rFonts w:ascii="Arial Narrow" w:hAnsi="Arial Narrow" w:cs="Arial"/>
          <w:b/>
          <w:iCs/>
          <w:color w:val="0D0D0D"/>
          <w:sz w:val="20"/>
          <w:szCs w:val="18"/>
        </w:rPr>
        <w:tab/>
        <w:t>Data availability to inform comparisons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785C2F" w:rsidRPr="00C15DF8" w14:paraId="453A2302" w14:textId="77777777" w:rsidTr="00322C65">
        <w:trPr>
          <w:cantSplit/>
        </w:trPr>
        <w:tc>
          <w:tcPr>
            <w:tcW w:w="1216" w:type="pct"/>
            <w:tcBorders>
              <w:top w:val="single" w:sz="4" w:space="0" w:color="000000"/>
              <w:left w:val="single" w:sz="4" w:space="0" w:color="000000"/>
              <w:bottom w:val="single" w:sz="4" w:space="0" w:color="000000"/>
              <w:right w:val="single" w:sz="4" w:space="0" w:color="000000"/>
            </w:tcBorders>
          </w:tcPr>
          <w:p w14:paraId="5BF7F190" w14:textId="77777777" w:rsidR="00785C2F" w:rsidRPr="00C15DF8" w:rsidRDefault="00785C2F" w:rsidP="00322C65">
            <w:pPr>
              <w:widowControl w:val="0"/>
              <w:spacing w:before="0" w:after="0"/>
              <w:rPr>
                <w:rFonts w:ascii="Arial Narrow" w:hAnsi="Arial Narrow" w:cs="Arial"/>
                <w:color w:val="0D0D0D"/>
                <w:sz w:val="20"/>
              </w:rPr>
            </w:pPr>
          </w:p>
        </w:tc>
        <w:tc>
          <w:tcPr>
            <w:tcW w:w="1738" w:type="pct"/>
            <w:tcBorders>
              <w:top w:val="single" w:sz="4" w:space="0" w:color="000000"/>
              <w:left w:val="single" w:sz="4" w:space="0" w:color="000000"/>
              <w:bottom w:val="single" w:sz="4" w:space="0" w:color="000000"/>
              <w:right w:val="single" w:sz="4" w:space="0" w:color="000000"/>
            </w:tcBorders>
            <w:hideMark/>
          </w:tcPr>
          <w:p w14:paraId="51FB1587" w14:textId="77777777" w:rsidR="00785C2F" w:rsidRPr="00C15DF8" w:rsidRDefault="00785C2F" w:rsidP="00322C65">
            <w:pPr>
              <w:keepNext/>
              <w:spacing w:before="0"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Ivosidenib</w:t>
            </w:r>
          </w:p>
        </w:tc>
        <w:tc>
          <w:tcPr>
            <w:tcW w:w="2046" w:type="pct"/>
            <w:tcBorders>
              <w:top w:val="single" w:sz="4" w:space="0" w:color="000000"/>
              <w:left w:val="single" w:sz="4" w:space="0" w:color="000000"/>
              <w:bottom w:val="single" w:sz="4" w:space="0" w:color="000000"/>
              <w:right w:val="single" w:sz="4" w:space="0" w:color="000000"/>
            </w:tcBorders>
            <w:hideMark/>
          </w:tcPr>
          <w:p w14:paraId="2875AB52" w14:textId="77777777" w:rsidR="00785C2F" w:rsidRPr="00C15DF8" w:rsidRDefault="00785C2F" w:rsidP="00322C65">
            <w:pPr>
              <w:keepNext/>
              <w:spacing w:before="0"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Comparator drug</w:t>
            </w:r>
          </w:p>
        </w:tc>
      </w:tr>
      <w:tr w:rsidR="00785C2F" w:rsidRPr="00C15DF8" w14:paraId="4A1698C9" w14:textId="77777777" w:rsidTr="00322C65">
        <w:trPr>
          <w:cantSplit/>
        </w:trPr>
        <w:tc>
          <w:tcPr>
            <w:tcW w:w="1216" w:type="pct"/>
            <w:tcBorders>
              <w:top w:val="single" w:sz="4" w:space="0" w:color="000000"/>
              <w:left w:val="single" w:sz="4" w:space="0" w:color="000000"/>
              <w:bottom w:val="single" w:sz="4" w:space="0" w:color="000000"/>
              <w:right w:val="single" w:sz="4" w:space="0" w:color="000000"/>
            </w:tcBorders>
            <w:hideMark/>
          </w:tcPr>
          <w:p w14:paraId="625DE2BC" w14:textId="77777777" w:rsidR="00785C2F" w:rsidRPr="00C15DF8" w:rsidRDefault="00785C2F" w:rsidP="00322C65">
            <w:pPr>
              <w:widowControl w:val="0"/>
              <w:spacing w:before="0" w:after="0"/>
              <w:rPr>
                <w:rFonts w:ascii="Arial Narrow" w:hAnsi="Arial Narrow" w:cs="Arial"/>
                <w:color w:val="0D0D0D"/>
                <w:sz w:val="20"/>
              </w:rPr>
            </w:pPr>
            <w:r w:rsidRPr="00C15DF8">
              <w:rPr>
                <w:rFonts w:ascii="Arial Narrow" w:hAnsi="Arial Narrow" w:cs="Arial"/>
                <w:color w:val="0D0D0D"/>
                <w:sz w:val="20"/>
              </w:rPr>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46D02C6D" w14:textId="77777777" w:rsidR="00785C2F" w:rsidRPr="00C15DF8" w:rsidRDefault="00785C2F" w:rsidP="00322C65">
            <w:pPr>
              <w:widowControl w:val="0"/>
              <w:spacing w:before="0" w:after="0"/>
              <w:rPr>
                <w:rFonts w:ascii="Arial Narrow" w:hAnsi="Arial Narrow" w:cs="Arial"/>
                <w:color w:val="0D0D0D"/>
                <w:sz w:val="20"/>
              </w:rPr>
            </w:pPr>
            <w:proofErr w:type="spellStart"/>
            <w:r w:rsidRPr="00C15DF8">
              <w:rPr>
                <w:rFonts w:ascii="Arial Narrow" w:hAnsi="Arial Narrow" w:cs="Arial"/>
                <w:color w:val="0D0D0D"/>
                <w:sz w:val="20"/>
              </w:rPr>
              <w:t>ClarIDHy</w:t>
            </w:r>
            <w:proofErr w:type="spellEnd"/>
            <w:r w:rsidRPr="00C15DF8">
              <w:rPr>
                <w:rFonts w:ascii="Arial Narrow" w:hAnsi="Arial Narrow" w:cs="Arial"/>
                <w:color w:val="0D0D0D"/>
                <w:sz w:val="20"/>
              </w:rPr>
              <w:t xml:space="preserve"> trial</w:t>
            </w:r>
          </w:p>
          <w:p w14:paraId="3B451B2E" w14:textId="77777777" w:rsidR="00785C2F" w:rsidRPr="00C15DF8" w:rsidRDefault="00785C2F" w:rsidP="00322C65">
            <w:pPr>
              <w:widowControl w:val="0"/>
              <w:spacing w:before="0" w:after="0"/>
              <w:rPr>
                <w:rFonts w:ascii="Arial Narrow" w:hAnsi="Arial Narrow" w:cs="Arial"/>
                <w:color w:val="0D0D0D"/>
                <w:sz w:val="20"/>
              </w:rPr>
            </w:pPr>
          </w:p>
        </w:tc>
        <w:tc>
          <w:tcPr>
            <w:tcW w:w="2046" w:type="pct"/>
            <w:tcBorders>
              <w:top w:val="single" w:sz="4" w:space="0" w:color="000000"/>
              <w:left w:val="single" w:sz="4" w:space="0" w:color="000000"/>
              <w:bottom w:val="single" w:sz="4" w:space="0" w:color="000000"/>
              <w:right w:val="single" w:sz="4" w:space="0" w:color="000000"/>
            </w:tcBorders>
            <w:hideMark/>
          </w:tcPr>
          <w:p w14:paraId="6530756C" w14:textId="77777777" w:rsidR="00785C2F" w:rsidRPr="00C15DF8" w:rsidRDefault="00785C2F" w:rsidP="00322C65">
            <w:pPr>
              <w:widowControl w:val="0"/>
              <w:spacing w:before="0" w:after="0"/>
              <w:rPr>
                <w:rFonts w:ascii="Arial Narrow" w:hAnsi="Arial Narrow" w:cs="Arial"/>
                <w:color w:val="0D0D0D"/>
                <w:sz w:val="20"/>
              </w:rPr>
            </w:pPr>
            <w:proofErr w:type="spellStart"/>
            <w:r w:rsidRPr="00C15DF8">
              <w:rPr>
                <w:rFonts w:ascii="Arial Narrow" w:hAnsi="Arial Narrow" w:cs="Arial"/>
                <w:color w:val="0D0D0D"/>
                <w:sz w:val="20"/>
              </w:rPr>
              <w:t>ClarIDHy</w:t>
            </w:r>
            <w:proofErr w:type="spellEnd"/>
            <w:r w:rsidRPr="00C15DF8">
              <w:rPr>
                <w:rFonts w:ascii="Arial Narrow" w:hAnsi="Arial Narrow" w:cs="Arial"/>
                <w:color w:val="0D0D0D"/>
                <w:sz w:val="20"/>
              </w:rPr>
              <w:t xml:space="preserve"> trial</w:t>
            </w:r>
          </w:p>
          <w:p w14:paraId="0F15958A" w14:textId="77777777" w:rsidR="00785C2F" w:rsidRPr="00C15DF8" w:rsidRDefault="00785C2F" w:rsidP="00322C65">
            <w:pPr>
              <w:widowControl w:val="0"/>
              <w:spacing w:before="0" w:after="0"/>
              <w:rPr>
                <w:rFonts w:ascii="Arial Narrow" w:hAnsi="Arial Narrow" w:cs="Arial"/>
                <w:color w:val="0D0D0D"/>
                <w:sz w:val="20"/>
              </w:rPr>
            </w:pPr>
            <w:r w:rsidRPr="00C15DF8">
              <w:rPr>
                <w:rFonts w:ascii="Arial Narrow" w:hAnsi="Arial Narrow" w:cs="Arial"/>
                <w:color w:val="0D0D0D"/>
                <w:sz w:val="20"/>
              </w:rPr>
              <w:t xml:space="preserve">Prognostic studies </w:t>
            </w:r>
          </w:p>
        </w:tc>
      </w:tr>
      <w:tr w:rsidR="00785C2F" w:rsidRPr="00C15DF8" w14:paraId="16BAB948" w14:textId="77777777" w:rsidTr="00322C65">
        <w:trPr>
          <w:cantSplit/>
        </w:trPr>
        <w:tc>
          <w:tcPr>
            <w:tcW w:w="1216" w:type="pct"/>
            <w:tcBorders>
              <w:top w:val="single" w:sz="4" w:space="0" w:color="000000"/>
              <w:left w:val="single" w:sz="4" w:space="0" w:color="000000"/>
              <w:bottom w:val="single" w:sz="4" w:space="0" w:color="000000"/>
              <w:right w:val="single" w:sz="4" w:space="0" w:color="000000"/>
            </w:tcBorders>
            <w:hideMark/>
          </w:tcPr>
          <w:p w14:paraId="5FF04610" w14:textId="77777777" w:rsidR="00785C2F" w:rsidRPr="00C15DF8" w:rsidRDefault="00785C2F" w:rsidP="00322C65">
            <w:pPr>
              <w:widowControl w:val="0"/>
              <w:spacing w:before="0" w:after="0"/>
              <w:rPr>
                <w:rFonts w:ascii="Arial Narrow" w:hAnsi="Arial Narrow" w:cs="Arial"/>
                <w:color w:val="0D0D0D"/>
                <w:sz w:val="20"/>
              </w:rPr>
            </w:pPr>
            <w:r w:rsidRPr="00C15DF8">
              <w:rPr>
                <w:rFonts w:ascii="Arial Narrow" w:hAnsi="Arial Narrow" w:cs="Arial"/>
                <w:color w:val="0D0D0D"/>
                <w:sz w:val="20"/>
              </w:rPr>
              <w:t xml:space="preserve">Biomarker test negative </w:t>
            </w:r>
          </w:p>
        </w:tc>
        <w:tc>
          <w:tcPr>
            <w:tcW w:w="1738" w:type="pct"/>
            <w:tcBorders>
              <w:top w:val="single" w:sz="4" w:space="0" w:color="000000"/>
              <w:left w:val="single" w:sz="4" w:space="0" w:color="000000"/>
              <w:bottom w:val="single" w:sz="4" w:space="0" w:color="000000"/>
              <w:right w:val="single" w:sz="4" w:space="0" w:color="000000"/>
            </w:tcBorders>
            <w:hideMark/>
          </w:tcPr>
          <w:p w14:paraId="1FBCB4FF" w14:textId="77777777" w:rsidR="00785C2F" w:rsidRPr="00C15DF8" w:rsidRDefault="00785C2F" w:rsidP="00322C65">
            <w:pPr>
              <w:widowControl w:val="0"/>
              <w:spacing w:before="0" w:after="0"/>
              <w:rPr>
                <w:rFonts w:ascii="Arial Narrow" w:hAnsi="Arial Narrow" w:cs="Arial"/>
                <w:color w:val="0D0D0D"/>
                <w:sz w:val="20"/>
              </w:rPr>
            </w:pPr>
            <w:r w:rsidRPr="00C15DF8">
              <w:rPr>
                <w:rFonts w:ascii="Arial Narrow" w:hAnsi="Arial Narrow" w:cs="Arial"/>
                <w:color w:val="0D0D0D"/>
                <w:sz w:val="20"/>
              </w:rPr>
              <w:t>No evidence presented</w:t>
            </w:r>
          </w:p>
        </w:tc>
        <w:tc>
          <w:tcPr>
            <w:tcW w:w="2046" w:type="pct"/>
            <w:tcBorders>
              <w:top w:val="single" w:sz="4" w:space="0" w:color="000000"/>
              <w:left w:val="single" w:sz="4" w:space="0" w:color="000000"/>
              <w:bottom w:val="single" w:sz="4" w:space="0" w:color="000000"/>
              <w:right w:val="single" w:sz="4" w:space="0" w:color="000000"/>
            </w:tcBorders>
            <w:hideMark/>
          </w:tcPr>
          <w:p w14:paraId="257864AB" w14:textId="77777777" w:rsidR="00785C2F" w:rsidRPr="00C15DF8" w:rsidRDefault="00785C2F" w:rsidP="00322C65">
            <w:pPr>
              <w:widowControl w:val="0"/>
              <w:spacing w:before="0" w:after="0"/>
              <w:rPr>
                <w:rFonts w:ascii="Arial Narrow" w:hAnsi="Arial Narrow" w:cs="Arial"/>
                <w:color w:val="0D0D0D"/>
                <w:sz w:val="20"/>
              </w:rPr>
            </w:pPr>
            <w:r w:rsidRPr="00C15DF8">
              <w:rPr>
                <w:rFonts w:ascii="Arial Narrow" w:hAnsi="Arial Narrow" w:cs="Arial"/>
                <w:color w:val="0D0D0D"/>
                <w:sz w:val="20"/>
              </w:rPr>
              <w:t>Prognostic studies</w:t>
            </w:r>
          </w:p>
        </w:tc>
      </w:tr>
    </w:tbl>
    <w:p w14:paraId="1462CBBC" w14:textId="77777777" w:rsidR="00785C2F" w:rsidRPr="00C15DF8" w:rsidRDefault="00785C2F" w:rsidP="00785C2F">
      <w:pPr>
        <w:widowControl w:val="0"/>
        <w:spacing w:after="0"/>
        <w:contextualSpacing/>
        <w:rPr>
          <w:rFonts w:ascii="Arial Narrow" w:eastAsia="Times New Roman" w:hAnsi="Arial Narrow" w:cs="Arial"/>
          <w:snapToGrid w:val="0"/>
          <w:color w:val="0D0D0D"/>
        </w:rPr>
      </w:pPr>
      <w:r w:rsidRPr="00827595">
        <w:rPr>
          <w:rFonts w:ascii="Arial Narrow" w:eastAsia="Times New Roman" w:hAnsi="Arial Narrow" w:cs="Arial"/>
          <w:snapToGrid w:val="0"/>
          <w:color w:val="0D0D0D"/>
          <w:sz w:val="18"/>
          <w:szCs w:val="16"/>
        </w:rPr>
        <w:t xml:space="preserve">Source: </w:t>
      </w:r>
      <w:r w:rsidRPr="00827595">
        <w:rPr>
          <w:rFonts w:ascii="Arial Narrow" w:eastAsia="Times New Roman" w:hAnsi="Arial Narrow" w:cs="Arial"/>
          <w:i/>
          <w:snapToGrid w:val="0"/>
          <w:color w:val="0D0D0D"/>
          <w:sz w:val="18"/>
          <w:szCs w:val="16"/>
        </w:rPr>
        <w:t xml:space="preserve">Developed during the evaluation </w:t>
      </w:r>
    </w:p>
    <w:p w14:paraId="2D2EB733" w14:textId="77777777" w:rsidR="00785C2F" w:rsidRPr="002E6641" w:rsidRDefault="00785C2F" w:rsidP="00864ADF">
      <w:pPr>
        <w:keepNext/>
        <w:keepLines/>
        <w:numPr>
          <w:ilvl w:val="6"/>
          <w:numId w:val="3"/>
        </w:numPr>
        <w:spacing w:before="240" w:after="0" w:line="259" w:lineRule="auto"/>
        <w:outlineLvl w:val="3"/>
        <w:rPr>
          <w:rFonts w:ascii="Franklin Gothic Book" w:eastAsia="SimSun" w:hAnsi="Franklin Gothic Book" w:cs="Times New Roman"/>
          <w:b/>
          <w:color w:val="0D0D0D"/>
          <w:sz w:val="22"/>
          <w:highlight w:val="yellow"/>
        </w:rPr>
      </w:pPr>
      <w:r w:rsidRPr="002E6641">
        <w:rPr>
          <w:rFonts w:ascii="Franklin Gothic Book" w:eastAsia="SimSun" w:hAnsi="Franklin Gothic Book" w:cs="Times New Roman"/>
          <w:b/>
          <w:color w:val="0D0D0D"/>
          <w:sz w:val="22"/>
        </w:rPr>
        <w:lastRenderedPageBreak/>
        <w:t>Comparative accuracy/ test performance</w:t>
      </w:r>
    </w:p>
    <w:p w14:paraId="7436F970" w14:textId="3669F4E5" w:rsidR="00785C2F" w:rsidRPr="002E6641" w:rsidRDefault="00E72F93" w:rsidP="00785C2F">
      <w:pPr>
        <w:rPr>
          <w:rFonts w:ascii="Franklin Gothic Book" w:hAnsi="Franklin Gothic Book" w:cs="Arial"/>
          <w:color w:val="0D0D0D"/>
          <w:sz w:val="22"/>
        </w:rPr>
      </w:pPr>
      <w:r w:rsidRPr="002E6641">
        <w:rPr>
          <w:rFonts w:ascii="Franklin Gothic Book" w:hAnsi="Franklin Gothic Book" w:cs="Arial"/>
          <w:color w:val="0D0D0D"/>
          <w:sz w:val="22"/>
        </w:rPr>
        <w:t>The commentary noted that i</w:t>
      </w:r>
      <w:r w:rsidR="00785C2F" w:rsidRPr="002E6641">
        <w:rPr>
          <w:rFonts w:ascii="Franklin Gothic Book" w:hAnsi="Franklin Gothic Book" w:cs="Arial"/>
          <w:color w:val="0D0D0D"/>
          <w:sz w:val="22"/>
        </w:rPr>
        <w:t>n May 2023, the MSAC Executive advised that it was not necessary to assess comparative analytical performance across the different molecular methods for this application.</w:t>
      </w:r>
    </w:p>
    <w:p w14:paraId="7C0C3CB0" w14:textId="77777777" w:rsidR="00785C2F" w:rsidRPr="002E6641" w:rsidRDefault="00785C2F" w:rsidP="00785C2F">
      <w:pPr>
        <w:rPr>
          <w:rFonts w:ascii="Franklin Gothic Book" w:hAnsi="Franklin Gothic Book" w:cs="Arial"/>
          <w:color w:val="0D0D0D"/>
          <w:sz w:val="22"/>
        </w:rPr>
      </w:pPr>
      <w:r w:rsidRPr="002E6641">
        <w:rPr>
          <w:rFonts w:ascii="Franklin Gothic Book" w:hAnsi="Franklin Gothic Book" w:cs="Arial"/>
          <w:color w:val="0D0D0D"/>
          <w:sz w:val="22"/>
        </w:rPr>
        <w:t xml:space="preserve">The submission still performed a systematic review on the analytical performance of NGS for detecting </w:t>
      </w:r>
      <w:r w:rsidRPr="002E6641">
        <w:rPr>
          <w:rFonts w:ascii="Franklin Gothic Book" w:hAnsi="Franklin Gothic Book" w:cs="Arial"/>
          <w:i/>
          <w:iCs/>
          <w:color w:val="0D0D0D"/>
          <w:sz w:val="22"/>
        </w:rPr>
        <w:t>IDH1</w:t>
      </w:r>
      <w:r w:rsidRPr="002E6641">
        <w:rPr>
          <w:rFonts w:ascii="Franklin Gothic Book" w:hAnsi="Franklin Gothic Book" w:cs="Arial"/>
          <w:color w:val="0D0D0D"/>
          <w:sz w:val="22"/>
        </w:rPr>
        <w:t xml:space="preserve"> variants. A single study was identified, which compared one NGS test against the clinical utility standard (another form of NGS test) and also against Sanger Sequencing (see Tables below). There was a high rate of concordance between the testing methodologies, suggesting that the tests used in Australia are likely to detect the biomarker to a similar extent to the test used in the key trial in similar patient groups. The impact of any false positives or negatives is therefore minimal with the use of these test methods. It is noted that the proposed MBS item is method-agnostic and so there is no guarantee that future testing methods would perform as well as these test methods at identifying</w:t>
      </w:r>
      <w:r w:rsidRPr="002E6641">
        <w:rPr>
          <w:rFonts w:ascii="Franklin Gothic Book" w:hAnsi="Franklin Gothic Book" w:cs="Arial"/>
          <w:i/>
          <w:iCs/>
          <w:color w:val="0D0D0D"/>
          <w:sz w:val="22"/>
        </w:rPr>
        <w:t xml:space="preserve"> IDH1</w:t>
      </w:r>
      <w:r w:rsidRPr="002E6641">
        <w:rPr>
          <w:rFonts w:ascii="Franklin Gothic Book" w:hAnsi="Franklin Gothic Book" w:cs="Arial"/>
          <w:color w:val="0D0D0D"/>
          <w:sz w:val="22"/>
        </w:rPr>
        <w:t xml:space="preserve"> variants</w:t>
      </w:r>
      <w:r w:rsidRPr="002E6641">
        <w:rPr>
          <w:rFonts w:ascii="Franklin Gothic Book" w:hAnsi="Franklin Gothic Book" w:cs="Arial"/>
          <w:i/>
          <w:iCs/>
          <w:color w:val="0D0D0D"/>
          <w:sz w:val="22"/>
        </w:rPr>
        <w:t>.</w:t>
      </w:r>
      <w:r w:rsidRPr="002E6641">
        <w:rPr>
          <w:rFonts w:ascii="Franklin Gothic Book" w:hAnsi="Franklin Gothic Book" w:cs="Arial"/>
          <w:color w:val="0D0D0D"/>
          <w:sz w:val="22"/>
        </w:rPr>
        <w:t xml:space="preserve"> </w:t>
      </w:r>
    </w:p>
    <w:p w14:paraId="7C8127A4" w14:textId="19E4BDE0" w:rsidR="00785C2F" w:rsidRPr="002E6641" w:rsidRDefault="00785C2F" w:rsidP="00785C2F">
      <w:pPr>
        <w:rPr>
          <w:rFonts w:ascii="Franklin Gothic Book" w:hAnsi="Franklin Gothic Book" w:cs="Arial"/>
          <w:i/>
          <w:iCs/>
          <w:color w:val="0D0D0D"/>
          <w:sz w:val="22"/>
        </w:rPr>
      </w:pPr>
      <w:r w:rsidRPr="002E6641">
        <w:rPr>
          <w:rFonts w:ascii="Franklin Gothic Book" w:hAnsi="Franklin Gothic Book" w:cs="Arial"/>
          <w:color w:val="0D0D0D"/>
          <w:sz w:val="22"/>
        </w:rPr>
        <w:t xml:space="preserve">Of the 383 samples tested on either NGS test, there were 9 invalid samples </w:t>
      </w:r>
      <w:r w:rsidRPr="002E6641">
        <w:rPr>
          <w:rFonts w:ascii="Franklin Gothic Book" w:hAnsi="Franklin Gothic Book" w:cs="Arial"/>
          <w:i/>
          <w:iCs/>
          <w:color w:val="0D0D0D"/>
          <w:sz w:val="22"/>
        </w:rPr>
        <w:t>(</w:t>
      </w:r>
      <w:r w:rsidRPr="002E6641">
        <w:rPr>
          <w:rFonts w:ascii="Franklin Gothic Book" w:hAnsi="Franklin Gothic Book" w:cs="Arial"/>
          <w:color w:val="0D0D0D"/>
          <w:sz w:val="22"/>
        </w:rPr>
        <w:t>2.3%</w:t>
      </w:r>
      <w:r w:rsidRPr="002E6641">
        <w:rPr>
          <w:rFonts w:ascii="Franklin Gothic Book" w:hAnsi="Franklin Gothic Book" w:cs="Arial"/>
          <w:i/>
          <w:iCs/>
          <w:color w:val="0D0D0D"/>
          <w:sz w:val="22"/>
        </w:rPr>
        <w:t>)</w:t>
      </w:r>
      <w:r w:rsidRPr="002E6641">
        <w:rPr>
          <w:rFonts w:ascii="Franklin Gothic Book" w:hAnsi="Franklin Gothic Book" w:cs="Arial"/>
          <w:color w:val="0D0D0D"/>
          <w:sz w:val="22"/>
        </w:rPr>
        <w:t xml:space="preserve">, of which one </w:t>
      </w:r>
      <w:r w:rsidRPr="002E6641">
        <w:rPr>
          <w:rFonts w:ascii="Franklin Gothic Book" w:hAnsi="Franklin Gothic Book" w:cs="Arial"/>
          <w:i/>
          <w:iCs/>
          <w:color w:val="0D0D0D"/>
          <w:sz w:val="22"/>
        </w:rPr>
        <w:t>(</w:t>
      </w:r>
      <w:r w:rsidRPr="002E6641">
        <w:rPr>
          <w:rFonts w:ascii="Franklin Gothic Book" w:hAnsi="Franklin Gothic Book" w:cs="Arial"/>
          <w:color w:val="0D0D0D"/>
          <w:sz w:val="22"/>
        </w:rPr>
        <w:t xml:space="preserve">0.3%) could not be retested due to sample availability. The testing was performed as part of the </w:t>
      </w:r>
      <w:proofErr w:type="spellStart"/>
      <w:r w:rsidRPr="002E6641">
        <w:rPr>
          <w:rFonts w:ascii="Franklin Gothic Book" w:hAnsi="Franklin Gothic Book" w:cs="Arial"/>
          <w:color w:val="0D0D0D"/>
          <w:sz w:val="22"/>
        </w:rPr>
        <w:t>ClarIDHy</w:t>
      </w:r>
      <w:proofErr w:type="spellEnd"/>
      <w:r w:rsidRPr="002E6641">
        <w:rPr>
          <w:rFonts w:ascii="Franklin Gothic Book" w:hAnsi="Franklin Gothic Book" w:cs="Arial"/>
          <w:color w:val="0D0D0D"/>
          <w:sz w:val="22"/>
        </w:rPr>
        <w:t xml:space="preserve"> trial, where testing was performed after disease progression from one or two regimens of therapy for advanced disease. Testing performed at the point of diagnosis may make more efficient use of tumour tissue and may feasibly have a lower test failure rate. </w:t>
      </w:r>
      <w:r w:rsidR="00F55A45" w:rsidRPr="002E6641">
        <w:rPr>
          <w:rFonts w:ascii="Franklin Gothic Book" w:hAnsi="Franklin Gothic Book" w:cs="Arial"/>
          <w:color w:val="0D0D0D"/>
          <w:sz w:val="22"/>
        </w:rPr>
        <w:t>The commentary considered that i</w:t>
      </w:r>
      <w:r w:rsidRPr="002E6641">
        <w:rPr>
          <w:rFonts w:ascii="Franklin Gothic Book" w:hAnsi="Franklin Gothic Book" w:cs="Arial"/>
          <w:color w:val="0D0D0D"/>
          <w:sz w:val="22"/>
        </w:rPr>
        <w:t xml:space="preserve">t is unknown what proportion of cases where there is a test failure would undergo a </w:t>
      </w:r>
      <w:proofErr w:type="spellStart"/>
      <w:r w:rsidRPr="002E6641">
        <w:rPr>
          <w:rFonts w:ascii="Franklin Gothic Book" w:hAnsi="Franklin Gothic Book" w:cs="Arial"/>
          <w:color w:val="0D0D0D"/>
          <w:sz w:val="22"/>
        </w:rPr>
        <w:t>rebiopsy</w:t>
      </w:r>
      <w:proofErr w:type="spellEnd"/>
      <w:r w:rsidRPr="002E6641">
        <w:rPr>
          <w:rFonts w:ascii="Franklin Gothic Book" w:hAnsi="Franklin Gothic Book" w:cs="Arial"/>
          <w:color w:val="0D0D0D"/>
          <w:sz w:val="22"/>
        </w:rPr>
        <w:t xml:space="preserve"> so another sample can be gained.</w:t>
      </w:r>
      <w:r w:rsidRPr="002E6641">
        <w:rPr>
          <w:rFonts w:ascii="Franklin Gothic Book" w:hAnsi="Franklin Gothic Book" w:cs="Arial"/>
          <w:i/>
          <w:iCs/>
          <w:color w:val="0D0D0D"/>
          <w:sz w:val="22"/>
        </w:rPr>
        <w:t xml:space="preserve"> </w:t>
      </w:r>
    </w:p>
    <w:p w14:paraId="01DABA97" w14:textId="2CD1ABE4" w:rsidR="00785C2F" w:rsidRPr="00C15DF8" w:rsidRDefault="00785C2F" w:rsidP="00785C2F">
      <w:pPr>
        <w:keepNext/>
        <w:tabs>
          <w:tab w:val="left" w:pos="1276"/>
        </w:tabs>
        <w:spacing w:after="0" w:line="259" w:lineRule="auto"/>
        <w:contextualSpacing/>
        <w:rPr>
          <w:rFonts w:ascii="Arial Narrow" w:hAnsi="Arial Narrow" w:cs="Arial"/>
          <w:b/>
          <w:iCs/>
          <w:color w:val="0D0D0D"/>
          <w:sz w:val="20"/>
          <w:szCs w:val="18"/>
        </w:rPr>
      </w:pPr>
      <w:r w:rsidRPr="00C15DF8">
        <w:rPr>
          <w:rFonts w:ascii="Arial Narrow" w:hAnsi="Arial Narrow" w:cs="Arial"/>
          <w:b/>
          <w:iCs/>
          <w:color w:val="0D0D0D"/>
          <w:sz w:val="20"/>
          <w:szCs w:val="18"/>
        </w:rPr>
        <w:t xml:space="preserve">Table MSAC. </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4</w:t>
      </w:r>
      <w:r w:rsidRPr="00C15DF8">
        <w:rPr>
          <w:rFonts w:ascii="Arial Narrow" w:hAnsi="Arial Narrow" w:cs="Arial"/>
          <w:b/>
          <w:iCs/>
          <w:color w:val="0D0D0D"/>
          <w:sz w:val="20"/>
          <w:szCs w:val="18"/>
        </w:rPr>
        <w:fldChar w:fldCharType="end"/>
      </w:r>
      <w:r w:rsidRPr="00C15DF8">
        <w:rPr>
          <w:rFonts w:ascii="Arial Narrow" w:hAnsi="Arial Narrow" w:cs="Arial"/>
          <w:b/>
          <w:iCs/>
          <w:color w:val="0D0D0D"/>
          <w:sz w:val="20"/>
          <w:szCs w:val="18"/>
        </w:rPr>
        <w:tab/>
        <w:t>Concordance of the Oncomine™ Dx Target Test compared with the clinical utility standard (</w:t>
      </w:r>
      <w:proofErr w:type="spellStart"/>
      <w:r w:rsidRPr="00C15DF8">
        <w:rPr>
          <w:rFonts w:ascii="Arial Narrow" w:hAnsi="Arial Narrow" w:cs="Arial"/>
          <w:b/>
          <w:iCs/>
          <w:color w:val="0D0D0D"/>
          <w:sz w:val="20"/>
          <w:szCs w:val="18"/>
        </w:rPr>
        <w:t>Oncomine™Focus</w:t>
      </w:r>
      <w:proofErr w:type="spellEnd"/>
      <w:r w:rsidRPr="00C15DF8">
        <w:rPr>
          <w:rFonts w:ascii="Arial Narrow" w:hAnsi="Arial Narrow" w:cs="Arial"/>
          <w:b/>
          <w:iCs/>
          <w:color w:val="0D0D0D"/>
          <w:sz w:val="20"/>
          <w:szCs w:val="18"/>
        </w:rPr>
        <w:t xml:space="preserve"> Assay; NGS vs NGS)</w:t>
      </w:r>
    </w:p>
    <w:tbl>
      <w:tblPr>
        <w:tblStyle w:val="Summary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7"/>
        <w:gridCol w:w="2865"/>
        <w:gridCol w:w="2665"/>
        <w:gridCol w:w="938"/>
      </w:tblGrid>
      <w:tr w:rsidR="00785C2F" w:rsidRPr="00C15DF8" w14:paraId="1B9CA535" w14:textId="77777777">
        <w:trPr>
          <w:cnfStyle w:val="100000000000" w:firstRow="1" w:lastRow="0" w:firstColumn="0" w:lastColumn="0" w:oddVBand="0" w:evenVBand="0" w:oddHBand="0" w:evenHBand="0" w:firstRowFirstColumn="0" w:firstRowLastColumn="0" w:lastRowFirstColumn="0" w:lastRowLastColumn="0"/>
        </w:trPr>
        <w:tc>
          <w:tcPr>
            <w:tcW w:w="705" w:type="pct"/>
          </w:tcPr>
          <w:p w14:paraId="3F34D7A5" w14:textId="77777777" w:rsidR="00785C2F" w:rsidRPr="00C15DF8" w:rsidRDefault="00785C2F">
            <w:pPr>
              <w:widowControl w:val="0"/>
              <w:jc w:val="center"/>
              <w:rPr>
                <w:rFonts w:ascii="Arial Narrow" w:hAnsi="Arial Narrow" w:cs="Arial"/>
                <w:color w:val="0D0D0D"/>
                <w:sz w:val="20"/>
              </w:rPr>
            </w:pPr>
          </w:p>
        </w:tc>
        <w:tc>
          <w:tcPr>
            <w:tcW w:w="708" w:type="pct"/>
          </w:tcPr>
          <w:p w14:paraId="6941B5E6" w14:textId="77777777" w:rsidR="00785C2F" w:rsidRPr="00C15DF8" w:rsidRDefault="00785C2F">
            <w:pPr>
              <w:widowControl w:val="0"/>
              <w:jc w:val="center"/>
              <w:rPr>
                <w:rFonts w:ascii="Arial Narrow" w:hAnsi="Arial Narrow" w:cs="Arial"/>
                <w:color w:val="0D0D0D"/>
                <w:sz w:val="20"/>
              </w:rPr>
            </w:pPr>
          </w:p>
        </w:tc>
        <w:tc>
          <w:tcPr>
            <w:tcW w:w="3067" w:type="pct"/>
            <w:gridSpan w:val="2"/>
          </w:tcPr>
          <w:p w14:paraId="18EC2B0C" w14:textId="77777777" w:rsidR="00785C2F" w:rsidRPr="00C15DF8" w:rsidRDefault="00785C2F">
            <w:pPr>
              <w:widowControl w:val="0"/>
              <w:jc w:val="center"/>
              <w:rPr>
                <w:rFonts w:ascii="Arial Narrow" w:hAnsi="Arial Narrow" w:cs="Arial"/>
                <w:color w:val="0D0D0D"/>
                <w:sz w:val="20"/>
              </w:rPr>
            </w:pPr>
            <w:r w:rsidRPr="00C15DF8">
              <w:rPr>
                <w:rFonts w:ascii="Arial Narrow" w:hAnsi="Arial Narrow" w:cs="Arial"/>
                <w:color w:val="0D0D0D"/>
                <w:sz w:val="20"/>
              </w:rPr>
              <w:t>Clinical utility standard</w:t>
            </w:r>
          </w:p>
        </w:tc>
        <w:tc>
          <w:tcPr>
            <w:tcW w:w="520" w:type="pct"/>
          </w:tcPr>
          <w:p w14:paraId="373C33D1" w14:textId="77777777" w:rsidR="00785C2F" w:rsidRPr="00C15DF8" w:rsidRDefault="00785C2F">
            <w:pPr>
              <w:widowControl w:val="0"/>
              <w:jc w:val="center"/>
              <w:rPr>
                <w:rFonts w:ascii="Arial Narrow" w:hAnsi="Arial Narrow" w:cs="Arial"/>
                <w:color w:val="0D0D0D"/>
                <w:sz w:val="20"/>
              </w:rPr>
            </w:pPr>
          </w:p>
        </w:tc>
      </w:tr>
      <w:tr w:rsidR="00785C2F" w:rsidRPr="00C15DF8" w14:paraId="27D12B31" w14:textId="77777777">
        <w:tc>
          <w:tcPr>
            <w:tcW w:w="705" w:type="pct"/>
          </w:tcPr>
          <w:p w14:paraId="637A9248" w14:textId="77777777" w:rsidR="00785C2F" w:rsidRPr="00C15DF8" w:rsidRDefault="00785C2F">
            <w:pPr>
              <w:widowControl w:val="0"/>
              <w:tabs>
                <w:tab w:val="decimal" w:pos="396"/>
              </w:tabs>
              <w:jc w:val="center"/>
              <w:rPr>
                <w:rFonts w:ascii="Arial Narrow" w:hAnsi="Arial Narrow" w:cs="Arial"/>
                <w:color w:val="0D0D0D"/>
                <w:sz w:val="20"/>
              </w:rPr>
            </w:pPr>
          </w:p>
        </w:tc>
        <w:tc>
          <w:tcPr>
            <w:tcW w:w="708" w:type="pct"/>
          </w:tcPr>
          <w:p w14:paraId="704ABE8D" w14:textId="77777777" w:rsidR="00785C2F" w:rsidRPr="00C15DF8" w:rsidRDefault="00785C2F">
            <w:pPr>
              <w:widowControl w:val="0"/>
              <w:tabs>
                <w:tab w:val="decimal" w:pos="396"/>
              </w:tabs>
              <w:jc w:val="center"/>
              <w:rPr>
                <w:rFonts w:ascii="Arial Narrow" w:hAnsi="Arial Narrow" w:cs="Arial"/>
                <w:color w:val="0D0D0D"/>
                <w:sz w:val="20"/>
              </w:rPr>
            </w:pPr>
          </w:p>
        </w:tc>
        <w:tc>
          <w:tcPr>
            <w:tcW w:w="1589" w:type="pct"/>
          </w:tcPr>
          <w:p w14:paraId="7E7D24B9"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Positive</w:t>
            </w:r>
          </w:p>
        </w:tc>
        <w:tc>
          <w:tcPr>
            <w:tcW w:w="1478" w:type="pct"/>
          </w:tcPr>
          <w:p w14:paraId="21F6D701"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Negative</w:t>
            </w:r>
          </w:p>
        </w:tc>
        <w:tc>
          <w:tcPr>
            <w:tcW w:w="520" w:type="pct"/>
          </w:tcPr>
          <w:p w14:paraId="15A2F657"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Total</w:t>
            </w:r>
          </w:p>
        </w:tc>
      </w:tr>
      <w:tr w:rsidR="00785C2F" w:rsidRPr="00C15DF8" w14:paraId="21961E82" w14:textId="77777777">
        <w:tc>
          <w:tcPr>
            <w:tcW w:w="705" w:type="pct"/>
            <w:vMerge w:val="restart"/>
          </w:tcPr>
          <w:p w14:paraId="1E72CA80" w14:textId="77777777" w:rsidR="00785C2F" w:rsidRPr="00C15DF8" w:rsidRDefault="00785C2F">
            <w:pPr>
              <w:widowControl w:val="0"/>
              <w:tabs>
                <w:tab w:val="decimal" w:pos="396"/>
              </w:tabs>
              <w:jc w:val="center"/>
              <w:rPr>
                <w:rFonts w:ascii="Arial Narrow" w:hAnsi="Arial Narrow" w:cs="Arial"/>
                <w:color w:val="0D0D0D"/>
                <w:sz w:val="20"/>
              </w:rPr>
            </w:pPr>
            <w:proofErr w:type="spellStart"/>
            <w:r w:rsidRPr="00C15DF8">
              <w:rPr>
                <w:rFonts w:ascii="Arial Narrow" w:hAnsi="Arial Narrow" w:cs="Arial"/>
                <w:color w:val="0D0D0D"/>
                <w:sz w:val="20"/>
              </w:rPr>
              <w:t>OdxT</w:t>
            </w:r>
            <w:proofErr w:type="spellEnd"/>
            <w:r w:rsidRPr="00C15DF8">
              <w:rPr>
                <w:rFonts w:ascii="Arial Narrow" w:hAnsi="Arial Narrow" w:cs="Arial"/>
                <w:color w:val="0D0D0D"/>
                <w:sz w:val="20"/>
              </w:rPr>
              <w:t xml:space="preserve"> test</w:t>
            </w:r>
          </w:p>
        </w:tc>
        <w:tc>
          <w:tcPr>
            <w:tcW w:w="708" w:type="pct"/>
          </w:tcPr>
          <w:p w14:paraId="34CF3FDB"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 xml:space="preserve">Positive </w:t>
            </w:r>
          </w:p>
        </w:tc>
        <w:tc>
          <w:tcPr>
            <w:tcW w:w="1589" w:type="pct"/>
          </w:tcPr>
          <w:p w14:paraId="0DD1869C"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174</w:t>
            </w:r>
          </w:p>
        </w:tc>
        <w:tc>
          <w:tcPr>
            <w:tcW w:w="1478" w:type="pct"/>
          </w:tcPr>
          <w:p w14:paraId="3A25BE2D"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0</w:t>
            </w:r>
          </w:p>
        </w:tc>
        <w:tc>
          <w:tcPr>
            <w:tcW w:w="520" w:type="pct"/>
          </w:tcPr>
          <w:p w14:paraId="54FDA454"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174</w:t>
            </w:r>
          </w:p>
        </w:tc>
      </w:tr>
      <w:tr w:rsidR="00785C2F" w:rsidRPr="00C15DF8" w14:paraId="69945B09" w14:textId="77777777">
        <w:tc>
          <w:tcPr>
            <w:tcW w:w="705" w:type="pct"/>
            <w:vMerge/>
          </w:tcPr>
          <w:p w14:paraId="171D1B99" w14:textId="77777777" w:rsidR="00785C2F" w:rsidRPr="00C15DF8" w:rsidRDefault="00785C2F">
            <w:pPr>
              <w:widowControl w:val="0"/>
              <w:tabs>
                <w:tab w:val="decimal" w:pos="396"/>
              </w:tabs>
              <w:jc w:val="center"/>
              <w:rPr>
                <w:rFonts w:ascii="Arial Narrow" w:hAnsi="Arial Narrow" w:cs="Arial"/>
                <w:color w:val="0D0D0D"/>
                <w:sz w:val="20"/>
              </w:rPr>
            </w:pPr>
          </w:p>
        </w:tc>
        <w:tc>
          <w:tcPr>
            <w:tcW w:w="708" w:type="pct"/>
          </w:tcPr>
          <w:p w14:paraId="52B8832A"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Negative</w:t>
            </w:r>
          </w:p>
        </w:tc>
        <w:tc>
          <w:tcPr>
            <w:tcW w:w="1589" w:type="pct"/>
          </w:tcPr>
          <w:p w14:paraId="0B8CC026"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w:t>
            </w:r>
          </w:p>
        </w:tc>
        <w:tc>
          <w:tcPr>
            <w:tcW w:w="1478" w:type="pct"/>
          </w:tcPr>
          <w:p w14:paraId="31B415C5"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166</w:t>
            </w:r>
          </w:p>
        </w:tc>
        <w:tc>
          <w:tcPr>
            <w:tcW w:w="520" w:type="pct"/>
          </w:tcPr>
          <w:p w14:paraId="64B40799"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167</w:t>
            </w:r>
          </w:p>
        </w:tc>
      </w:tr>
      <w:tr w:rsidR="00785C2F" w:rsidRPr="00C15DF8" w14:paraId="2AB5268E" w14:textId="77777777">
        <w:tc>
          <w:tcPr>
            <w:tcW w:w="705" w:type="pct"/>
            <w:vMerge/>
          </w:tcPr>
          <w:p w14:paraId="7B755C08" w14:textId="77777777" w:rsidR="00785C2F" w:rsidRPr="00C15DF8" w:rsidRDefault="00785C2F">
            <w:pPr>
              <w:widowControl w:val="0"/>
              <w:tabs>
                <w:tab w:val="decimal" w:pos="396"/>
              </w:tabs>
              <w:jc w:val="center"/>
              <w:rPr>
                <w:rFonts w:ascii="Arial Narrow" w:hAnsi="Arial Narrow" w:cs="Arial"/>
                <w:color w:val="0D0D0D"/>
                <w:sz w:val="20"/>
              </w:rPr>
            </w:pPr>
          </w:p>
        </w:tc>
        <w:tc>
          <w:tcPr>
            <w:tcW w:w="708" w:type="pct"/>
          </w:tcPr>
          <w:p w14:paraId="60589118"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Total</w:t>
            </w:r>
          </w:p>
        </w:tc>
        <w:tc>
          <w:tcPr>
            <w:tcW w:w="1589" w:type="pct"/>
          </w:tcPr>
          <w:p w14:paraId="40C33F07"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175</w:t>
            </w:r>
          </w:p>
        </w:tc>
        <w:tc>
          <w:tcPr>
            <w:tcW w:w="1478" w:type="pct"/>
          </w:tcPr>
          <w:p w14:paraId="1D55CC4E"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166</w:t>
            </w:r>
          </w:p>
        </w:tc>
        <w:tc>
          <w:tcPr>
            <w:tcW w:w="520" w:type="pct"/>
          </w:tcPr>
          <w:p w14:paraId="7F8BA13A"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341</w:t>
            </w:r>
          </w:p>
        </w:tc>
      </w:tr>
      <w:tr w:rsidR="00785C2F" w:rsidRPr="00C15DF8" w14:paraId="1893199C" w14:textId="77777777">
        <w:tc>
          <w:tcPr>
            <w:tcW w:w="705" w:type="pct"/>
          </w:tcPr>
          <w:p w14:paraId="0294F26D" w14:textId="77777777" w:rsidR="00785C2F" w:rsidRPr="00C15DF8" w:rsidRDefault="00785C2F">
            <w:pPr>
              <w:widowControl w:val="0"/>
              <w:tabs>
                <w:tab w:val="decimal" w:pos="396"/>
              </w:tabs>
              <w:jc w:val="center"/>
              <w:rPr>
                <w:rFonts w:ascii="Arial Narrow" w:hAnsi="Arial Narrow" w:cs="Arial"/>
                <w:color w:val="0D0D0D"/>
                <w:sz w:val="20"/>
              </w:rPr>
            </w:pPr>
          </w:p>
        </w:tc>
        <w:tc>
          <w:tcPr>
            <w:tcW w:w="708" w:type="pct"/>
          </w:tcPr>
          <w:p w14:paraId="2724F519" w14:textId="77777777" w:rsidR="00785C2F" w:rsidRPr="00C15DF8" w:rsidRDefault="00785C2F">
            <w:pPr>
              <w:widowControl w:val="0"/>
              <w:tabs>
                <w:tab w:val="decimal" w:pos="396"/>
              </w:tabs>
              <w:jc w:val="center"/>
              <w:rPr>
                <w:rFonts w:ascii="Arial Narrow" w:hAnsi="Arial Narrow" w:cs="Arial"/>
                <w:color w:val="0D0D0D"/>
                <w:sz w:val="20"/>
              </w:rPr>
            </w:pPr>
          </w:p>
        </w:tc>
        <w:tc>
          <w:tcPr>
            <w:tcW w:w="1589" w:type="pct"/>
          </w:tcPr>
          <w:p w14:paraId="4FDB8E16" w14:textId="77777777" w:rsidR="00785C2F" w:rsidRPr="00C15DF8" w:rsidRDefault="00785C2F">
            <w:pPr>
              <w:jc w:val="center"/>
              <w:rPr>
                <w:rFonts w:ascii="Arial Narrow" w:eastAsia="Times New Roman" w:hAnsi="Arial Narrow" w:cs="Times New Roman"/>
                <w:b/>
                <w:bCs/>
                <w:snapToGrid w:val="0"/>
                <w:color w:val="0D0D0D"/>
                <w:sz w:val="20"/>
                <w:szCs w:val="24"/>
                <w:lang w:eastAsia="en-AU"/>
              </w:rPr>
            </w:pPr>
            <w:r w:rsidRPr="00C15DF8">
              <w:rPr>
                <w:rFonts w:ascii="Arial Narrow" w:eastAsia="Times New Roman" w:hAnsi="Arial Narrow" w:cs="Times New Roman"/>
                <w:b/>
                <w:bCs/>
                <w:snapToGrid w:val="0"/>
                <w:color w:val="0D0D0D"/>
                <w:sz w:val="20"/>
                <w:szCs w:val="24"/>
                <w:lang w:eastAsia="en-AU"/>
              </w:rPr>
              <w:t>PPA = 174 / (174 + 1) = 99.4%</w:t>
            </w:r>
          </w:p>
        </w:tc>
        <w:tc>
          <w:tcPr>
            <w:tcW w:w="1478" w:type="pct"/>
          </w:tcPr>
          <w:p w14:paraId="34E6AFD8" w14:textId="77777777" w:rsidR="00785C2F" w:rsidRPr="00C15DF8" w:rsidRDefault="00785C2F">
            <w:pPr>
              <w:widowControl w:val="0"/>
              <w:tabs>
                <w:tab w:val="decimal" w:pos="396"/>
              </w:tabs>
              <w:jc w:val="center"/>
              <w:rPr>
                <w:rFonts w:ascii="Arial Narrow" w:hAnsi="Arial Narrow" w:cs="Arial"/>
                <w:color w:val="0D0D0D"/>
                <w:sz w:val="20"/>
              </w:rPr>
            </w:pPr>
            <w:r w:rsidRPr="00C15DF8">
              <w:rPr>
                <w:rFonts w:ascii="Arial Narrow" w:hAnsi="Arial Narrow" w:cs="Arial"/>
                <w:b/>
                <w:bCs/>
                <w:color w:val="0D0D0D"/>
                <w:sz w:val="20"/>
              </w:rPr>
              <w:t>NPA = 166 / (166 + 0) = 100%</w:t>
            </w:r>
          </w:p>
        </w:tc>
        <w:tc>
          <w:tcPr>
            <w:tcW w:w="520" w:type="pct"/>
          </w:tcPr>
          <w:p w14:paraId="10F4C0BF" w14:textId="77777777" w:rsidR="00785C2F" w:rsidRPr="00C15DF8" w:rsidRDefault="00785C2F">
            <w:pPr>
              <w:widowControl w:val="0"/>
              <w:tabs>
                <w:tab w:val="decimal" w:pos="396"/>
              </w:tabs>
              <w:jc w:val="center"/>
              <w:rPr>
                <w:rFonts w:ascii="Arial Narrow" w:hAnsi="Arial Narrow" w:cs="Arial"/>
                <w:color w:val="0D0D0D"/>
                <w:sz w:val="20"/>
              </w:rPr>
            </w:pPr>
          </w:p>
        </w:tc>
      </w:tr>
    </w:tbl>
    <w:p w14:paraId="5E4A2E51" w14:textId="77777777" w:rsidR="00785C2F" w:rsidRPr="00827595" w:rsidRDefault="00785C2F" w:rsidP="00785C2F">
      <w:pPr>
        <w:widowControl w:val="0"/>
        <w:spacing w:after="0"/>
        <w:contextualSpacing/>
        <w:rPr>
          <w:rFonts w:ascii="Arial Narrow" w:eastAsia="Times New Roman" w:hAnsi="Arial Narrow" w:cs="Arial"/>
          <w:snapToGrid w:val="0"/>
          <w:color w:val="0D0D0D"/>
          <w:sz w:val="18"/>
          <w:szCs w:val="16"/>
        </w:rPr>
      </w:pPr>
      <w:r w:rsidRPr="00827595">
        <w:rPr>
          <w:rFonts w:ascii="Arial Narrow" w:eastAsia="Times New Roman" w:hAnsi="Arial Narrow" w:cs="Arial"/>
          <w:snapToGrid w:val="0"/>
          <w:color w:val="0D0D0D"/>
          <w:sz w:val="18"/>
          <w:szCs w:val="16"/>
        </w:rPr>
        <w:t>Source: Table 2-15, p76 of the submission</w:t>
      </w:r>
    </w:p>
    <w:p w14:paraId="48C4742A" w14:textId="72AB99BF" w:rsidR="00785C2F" w:rsidRPr="00322C65" w:rsidRDefault="00785C2F" w:rsidP="00322C65">
      <w:pPr>
        <w:widowControl w:val="0"/>
        <w:spacing w:before="0" w:after="240"/>
        <w:rPr>
          <w:rFonts w:ascii="Arial Narrow" w:eastAsia="Times New Roman" w:hAnsi="Arial Narrow" w:cs="Arial"/>
          <w:snapToGrid w:val="0"/>
          <w:color w:val="0D0D0D"/>
          <w:sz w:val="18"/>
          <w:szCs w:val="16"/>
        </w:rPr>
      </w:pPr>
      <w:r w:rsidRPr="00827595">
        <w:rPr>
          <w:rFonts w:ascii="Arial Narrow" w:eastAsia="Times New Roman" w:hAnsi="Arial Narrow" w:cs="Arial"/>
          <w:snapToGrid w:val="0"/>
          <w:color w:val="0D0D0D"/>
          <w:sz w:val="18"/>
          <w:szCs w:val="16"/>
        </w:rPr>
        <w:t xml:space="preserve">NPA = negative percent agreement; </w:t>
      </w:r>
      <w:proofErr w:type="spellStart"/>
      <w:r w:rsidRPr="00827595">
        <w:rPr>
          <w:rFonts w:ascii="Arial Narrow" w:eastAsia="Times New Roman" w:hAnsi="Arial Narrow" w:cs="Arial"/>
          <w:snapToGrid w:val="0"/>
          <w:color w:val="0D0D0D"/>
          <w:sz w:val="18"/>
          <w:szCs w:val="16"/>
        </w:rPr>
        <w:t>OdxT</w:t>
      </w:r>
      <w:proofErr w:type="spellEnd"/>
      <w:r w:rsidRPr="00827595">
        <w:rPr>
          <w:rFonts w:ascii="Arial Narrow" w:eastAsia="Times New Roman" w:hAnsi="Arial Narrow" w:cs="Arial"/>
          <w:snapToGrid w:val="0"/>
          <w:color w:val="0D0D0D"/>
          <w:sz w:val="18"/>
          <w:szCs w:val="16"/>
        </w:rPr>
        <w:t xml:space="preserve"> = Oncomine Dx Target Test; PPA = positive percent agreement</w:t>
      </w:r>
    </w:p>
    <w:p w14:paraId="33A95756" w14:textId="085290CA" w:rsidR="00785C2F" w:rsidRPr="00C15DF8" w:rsidRDefault="00785C2F" w:rsidP="00322C65">
      <w:pPr>
        <w:keepNext/>
        <w:keepLines/>
        <w:tabs>
          <w:tab w:val="left" w:pos="1276"/>
        </w:tabs>
        <w:spacing w:before="240" w:after="0" w:line="259" w:lineRule="auto"/>
        <w:rPr>
          <w:rFonts w:ascii="Arial Narrow" w:hAnsi="Arial Narrow" w:cs="Arial"/>
          <w:b/>
          <w:iCs/>
          <w:color w:val="0D0D0D"/>
          <w:sz w:val="20"/>
          <w:szCs w:val="18"/>
        </w:rPr>
      </w:pPr>
      <w:r w:rsidRPr="00C15DF8">
        <w:rPr>
          <w:rFonts w:ascii="Arial Narrow" w:hAnsi="Arial Narrow" w:cs="Arial"/>
          <w:b/>
          <w:iCs/>
          <w:color w:val="0D0D0D"/>
          <w:sz w:val="20"/>
          <w:szCs w:val="18"/>
        </w:rPr>
        <w:t xml:space="preserve">Table MSAC. </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5</w:t>
      </w:r>
      <w:r w:rsidRPr="00C15DF8">
        <w:rPr>
          <w:rFonts w:ascii="Arial Narrow" w:hAnsi="Arial Narrow" w:cs="Arial"/>
          <w:b/>
          <w:iCs/>
          <w:color w:val="0D0D0D"/>
          <w:sz w:val="20"/>
          <w:szCs w:val="18"/>
        </w:rPr>
        <w:fldChar w:fldCharType="end"/>
      </w:r>
      <w:r w:rsidRPr="00C15DF8">
        <w:rPr>
          <w:rFonts w:ascii="Arial Narrow" w:hAnsi="Arial Narrow" w:cs="Arial"/>
          <w:b/>
          <w:iCs/>
          <w:color w:val="0D0D0D"/>
          <w:sz w:val="20"/>
          <w:szCs w:val="18"/>
        </w:rPr>
        <w:tab/>
        <w:t>Concordance of Oncomine™ Dx Target Test compared with Sanger Sequencing</w:t>
      </w:r>
    </w:p>
    <w:tbl>
      <w:tblPr>
        <w:tblStyle w:val="Summary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75"/>
        <w:gridCol w:w="2865"/>
        <w:gridCol w:w="2665"/>
        <w:gridCol w:w="939"/>
      </w:tblGrid>
      <w:tr w:rsidR="00785C2F" w:rsidRPr="00C15DF8" w14:paraId="4A191DAB" w14:textId="77777777">
        <w:trPr>
          <w:cnfStyle w:val="100000000000" w:firstRow="1" w:lastRow="0" w:firstColumn="0" w:lastColumn="0" w:oddVBand="0" w:evenVBand="0" w:oddHBand="0" w:evenHBand="0" w:firstRowFirstColumn="0" w:firstRowLastColumn="0" w:lastRowFirstColumn="0" w:lastRowLastColumn="0"/>
        </w:trPr>
        <w:tc>
          <w:tcPr>
            <w:tcW w:w="705" w:type="pct"/>
          </w:tcPr>
          <w:p w14:paraId="02883D30" w14:textId="77777777" w:rsidR="00785C2F" w:rsidRPr="00C15DF8" w:rsidRDefault="00785C2F" w:rsidP="00AB0371">
            <w:pPr>
              <w:keepNext/>
              <w:keepLines/>
              <w:widowControl w:val="0"/>
              <w:jc w:val="center"/>
              <w:rPr>
                <w:rFonts w:ascii="Arial Narrow" w:hAnsi="Arial Narrow" w:cs="Arial"/>
                <w:color w:val="0D0D0D"/>
                <w:sz w:val="20"/>
              </w:rPr>
            </w:pPr>
          </w:p>
        </w:tc>
        <w:tc>
          <w:tcPr>
            <w:tcW w:w="707" w:type="pct"/>
          </w:tcPr>
          <w:p w14:paraId="3F9FFDBB" w14:textId="77777777" w:rsidR="00785C2F" w:rsidRPr="00C15DF8" w:rsidRDefault="00785C2F" w:rsidP="00AB0371">
            <w:pPr>
              <w:keepNext/>
              <w:keepLines/>
              <w:widowControl w:val="0"/>
              <w:jc w:val="center"/>
              <w:rPr>
                <w:rFonts w:ascii="Arial Narrow" w:hAnsi="Arial Narrow" w:cs="Arial"/>
                <w:color w:val="0D0D0D"/>
                <w:sz w:val="20"/>
              </w:rPr>
            </w:pPr>
          </w:p>
        </w:tc>
        <w:tc>
          <w:tcPr>
            <w:tcW w:w="3067" w:type="pct"/>
            <w:gridSpan w:val="2"/>
          </w:tcPr>
          <w:p w14:paraId="77D5B79D" w14:textId="77777777" w:rsidR="00785C2F" w:rsidRPr="00C15DF8" w:rsidRDefault="00785C2F" w:rsidP="00AB0371">
            <w:pPr>
              <w:keepNext/>
              <w:keepLines/>
              <w:widowControl w:val="0"/>
              <w:jc w:val="center"/>
              <w:rPr>
                <w:rFonts w:ascii="Arial Narrow" w:hAnsi="Arial Narrow" w:cs="Arial"/>
                <w:color w:val="0D0D0D"/>
                <w:sz w:val="20"/>
              </w:rPr>
            </w:pPr>
            <w:r w:rsidRPr="00C15DF8">
              <w:rPr>
                <w:rFonts w:ascii="Arial Narrow" w:hAnsi="Arial Narrow" w:cs="Arial"/>
                <w:color w:val="0D0D0D"/>
                <w:sz w:val="20"/>
              </w:rPr>
              <w:t>Sanger sequencing</w:t>
            </w:r>
          </w:p>
        </w:tc>
        <w:tc>
          <w:tcPr>
            <w:tcW w:w="521" w:type="pct"/>
          </w:tcPr>
          <w:p w14:paraId="5CF1FA38" w14:textId="77777777" w:rsidR="00785C2F" w:rsidRPr="00C15DF8" w:rsidRDefault="00785C2F" w:rsidP="00AB0371">
            <w:pPr>
              <w:keepNext/>
              <w:keepLines/>
              <w:widowControl w:val="0"/>
              <w:jc w:val="center"/>
              <w:rPr>
                <w:rFonts w:ascii="Arial Narrow" w:hAnsi="Arial Narrow" w:cs="Arial"/>
                <w:color w:val="0D0D0D"/>
                <w:sz w:val="20"/>
              </w:rPr>
            </w:pPr>
          </w:p>
        </w:tc>
      </w:tr>
      <w:tr w:rsidR="00785C2F" w:rsidRPr="00C15DF8" w14:paraId="2C6DE8A4" w14:textId="77777777">
        <w:tc>
          <w:tcPr>
            <w:tcW w:w="705" w:type="pct"/>
          </w:tcPr>
          <w:p w14:paraId="40941578"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707" w:type="pct"/>
          </w:tcPr>
          <w:p w14:paraId="0C086919"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1589" w:type="pct"/>
          </w:tcPr>
          <w:p w14:paraId="39B4A904"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Positive</w:t>
            </w:r>
          </w:p>
        </w:tc>
        <w:tc>
          <w:tcPr>
            <w:tcW w:w="1478" w:type="pct"/>
          </w:tcPr>
          <w:p w14:paraId="62C4DC7D"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Negative</w:t>
            </w:r>
          </w:p>
        </w:tc>
        <w:tc>
          <w:tcPr>
            <w:tcW w:w="521" w:type="pct"/>
          </w:tcPr>
          <w:p w14:paraId="354B7FAD"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Total</w:t>
            </w:r>
          </w:p>
        </w:tc>
      </w:tr>
      <w:tr w:rsidR="00785C2F" w:rsidRPr="00C15DF8" w14:paraId="3DBB5845" w14:textId="77777777">
        <w:tc>
          <w:tcPr>
            <w:tcW w:w="705" w:type="pct"/>
            <w:vMerge w:val="restart"/>
          </w:tcPr>
          <w:p w14:paraId="0F82986C"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roofErr w:type="spellStart"/>
            <w:r w:rsidRPr="00C15DF8">
              <w:rPr>
                <w:rFonts w:ascii="Arial Narrow" w:hAnsi="Arial Narrow" w:cs="Arial"/>
                <w:color w:val="0D0D0D"/>
                <w:sz w:val="20"/>
              </w:rPr>
              <w:t>OdxT</w:t>
            </w:r>
            <w:proofErr w:type="spellEnd"/>
            <w:r w:rsidRPr="00C15DF8">
              <w:rPr>
                <w:rFonts w:ascii="Arial Narrow" w:hAnsi="Arial Narrow" w:cs="Arial"/>
                <w:color w:val="0D0D0D"/>
                <w:sz w:val="20"/>
              </w:rPr>
              <w:t xml:space="preserve"> test</w:t>
            </w:r>
          </w:p>
        </w:tc>
        <w:tc>
          <w:tcPr>
            <w:tcW w:w="707" w:type="pct"/>
          </w:tcPr>
          <w:p w14:paraId="201E2D98"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 xml:space="preserve">Positive </w:t>
            </w:r>
          </w:p>
        </w:tc>
        <w:tc>
          <w:tcPr>
            <w:tcW w:w="1589" w:type="pct"/>
          </w:tcPr>
          <w:p w14:paraId="40C7E933"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163</w:t>
            </w:r>
          </w:p>
        </w:tc>
        <w:tc>
          <w:tcPr>
            <w:tcW w:w="1478" w:type="pct"/>
          </w:tcPr>
          <w:p w14:paraId="504A2038"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6</w:t>
            </w:r>
          </w:p>
        </w:tc>
        <w:tc>
          <w:tcPr>
            <w:tcW w:w="521" w:type="pct"/>
          </w:tcPr>
          <w:p w14:paraId="46C2E440"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169</w:t>
            </w:r>
          </w:p>
        </w:tc>
      </w:tr>
      <w:tr w:rsidR="00785C2F" w:rsidRPr="00C15DF8" w14:paraId="28F29F09" w14:textId="77777777">
        <w:tc>
          <w:tcPr>
            <w:tcW w:w="705" w:type="pct"/>
            <w:vMerge/>
          </w:tcPr>
          <w:p w14:paraId="573633EB"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707" w:type="pct"/>
          </w:tcPr>
          <w:p w14:paraId="5572AAF1"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Negative</w:t>
            </w:r>
          </w:p>
        </w:tc>
        <w:tc>
          <w:tcPr>
            <w:tcW w:w="1589" w:type="pct"/>
          </w:tcPr>
          <w:p w14:paraId="2B14C0F6"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w:t>
            </w:r>
          </w:p>
        </w:tc>
        <w:tc>
          <w:tcPr>
            <w:tcW w:w="1478" w:type="pct"/>
          </w:tcPr>
          <w:p w14:paraId="563B55F0"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164</w:t>
            </w:r>
          </w:p>
        </w:tc>
        <w:tc>
          <w:tcPr>
            <w:tcW w:w="521" w:type="pct"/>
          </w:tcPr>
          <w:p w14:paraId="3D5CB759"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165</w:t>
            </w:r>
          </w:p>
        </w:tc>
      </w:tr>
      <w:tr w:rsidR="00785C2F" w:rsidRPr="00C15DF8" w14:paraId="62E6A09D" w14:textId="77777777">
        <w:tc>
          <w:tcPr>
            <w:tcW w:w="705" w:type="pct"/>
            <w:vMerge/>
          </w:tcPr>
          <w:p w14:paraId="7ECBDD9A"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707" w:type="pct"/>
          </w:tcPr>
          <w:p w14:paraId="6E016C21"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Total</w:t>
            </w:r>
          </w:p>
        </w:tc>
        <w:tc>
          <w:tcPr>
            <w:tcW w:w="1589" w:type="pct"/>
          </w:tcPr>
          <w:p w14:paraId="479E32B0"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164</w:t>
            </w:r>
          </w:p>
        </w:tc>
        <w:tc>
          <w:tcPr>
            <w:tcW w:w="1478" w:type="pct"/>
          </w:tcPr>
          <w:p w14:paraId="1B0B57CA"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170</w:t>
            </w:r>
          </w:p>
        </w:tc>
        <w:tc>
          <w:tcPr>
            <w:tcW w:w="521" w:type="pct"/>
          </w:tcPr>
          <w:p w14:paraId="1D33AFA9"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color w:val="0D0D0D"/>
                <w:sz w:val="20"/>
              </w:rPr>
              <w:t>334</w:t>
            </w:r>
          </w:p>
        </w:tc>
      </w:tr>
      <w:tr w:rsidR="00785C2F" w:rsidRPr="00C15DF8" w14:paraId="1B83CCED" w14:textId="77777777">
        <w:tc>
          <w:tcPr>
            <w:tcW w:w="705" w:type="pct"/>
          </w:tcPr>
          <w:p w14:paraId="44AC860B"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707" w:type="pct"/>
          </w:tcPr>
          <w:p w14:paraId="299F3A20"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c>
          <w:tcPr>
            <w:tcW w:w="1589" w:type="pct"/>
          </w:tcPr>
          <w:p w14:paraId="5C85A734" w14:textId="77777777" w:rsidR="00785C2F" w:rsidRPr="00C15DF8" w:rsidRDefault="00785C2F" w:rsidP="00AB0371">
            <w:pPr>
              <w:keepNext/>
              <w:keepLines/>
              <w:jc w:val="center"/>
              <w:rPr>
                <w:rFonts w:ascii="Arial Narrow" w:eastAsia="Times New Roman" w:hAnsi="Arial Narrow" w:cs="Times New Roman"/>
                <w:b/>
                <w:bCs/>
                <w:snapToGrid w:val="0"/>
                <w:color w:val="0D0D0D"/>
                <w:sz w:val="20"/>
                <w:szCs w:val="24"/>
                <w:lang w:eastAsia="en-AU"/>
              </w:rPr>
            </w:pPr>
            <w:r w:rsidRPr="00C15DF8">
              <w:rPr>
                <w:rFonts w:ascii="Arial Narrow" w:eastAsia="Times New Roman" w:hAnsi="Arial Narrow" w:cs="Times New Roman"/>
                <w:b/>
                <w:bCs/>
                <w:snapToGrid w:val="0"/>
                <w:color w:val="0D0D0D"/>
                <w:sz w:val="20"/>
                <w:szCs w:val="24"/>
                <w:lang w:eastAsia="en-AU"/>
              </w:rPr>
              <w:t>PPA = 163 / (163 + 1) = 99.4%</w:t>
            </w:r>
          </w:p>
        </w:tc>
        <w:tc>
          <w:tcPr>
            <w:tcW w:w="1478" w:type="pct"/>
          </w:tcPr>
          <w:p w14:paraId="0E6C5DF8"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r w:rsidRPr="00C15DF8">
              <w:rPr>
                <w:rFonts w:ascii="Arial Narrow" w:hAnsi="Arial Narrow" w:cs="Arial"/>
                <w:b/>
                <w:bCs/>
                <w:color w:val="0D0D0D"/>
                <w:sz w:val="20"/>
              </w:rPr>
              <w:t>NPA = 164 / (164 + 6) = 96.5%</w:t>
            </w:r>
          </w:p>
        </w:tc>
        <w:tc>
          <w:tcPr>
            <w:tcW w:w="521" w:type="pct"/>
          </w:tcPr>
          <w:p w14:paraId="6E5DB208" w14:textId="77777777" w:rsidR="00785C2F" w:rsidRPr="00C15DF8" w:rsidRDefault="00785C2F" w:rsidP="00AB0371">
            <w:pPr>
              <w:keepNext/>
              <w:keepLines/>
              <w:widowControl w:val="0"/>
              <w:tabs>
                <w:tab w:val="decimal" w:pos="396"/>
              </w:tabs>
              <w:jc w:val="center"/>
              <w:rPr>
                <w:rFonts w:ascii="Arial Narrow" w:hAnsi="Arial Narrow" w:cs="Arial"/>
                <w:color w:val="0D0D0D"/>
                <w:sz w:val="20"/>
              </w:rPr>
            </w:pPr>
          </w:p>
        </w:tc>
      </w:tr>
    </w:tbl>
    <w:p w14:paraId="2A5968DB" w14:textId="77777777" w:rsidR="00785C2F" w:rsidRPr="00827595" w:rsidRDefault="00785C2F" w:rsidP="00AB0371">
      <w:pPr>
        <w:keepNext/>
        <w:keepLines/>
        <w:widowControl w:val="0"/>
        <w:spacing w:after="0"/>
        <w:contextualSpacing/>
        <w:rPr>
          <w:rFonts w:ascii="Arial Narrow" w:eastAsia="Times New Roman" w:hAnsi="Arial Narrow" w:cs="Arial"/>
          <w:snapToGrid w:val="0"/>
          <w:color w:val="0D0D0D"/>
          <w:sz w:val="18"/>
          <w:szCs w:val="16"/>
        </w:rPr>
      </w:pPr>
      <w:r w:rsidRPr="00827595">
        <w:rPr>
          <w:rFonts w:ascii="Arial Narrow" w:eastAsia="Times New Roman" w:hAnsi="Arial Narrow" w:cs="Arial"/>
          <w:snapToGrid w:val="0"/>
          <w:color w:val="0D0D0D"/>
          <w:sz w:val="18"/>
          <w:szCs w:val="16"/>
        </w:rPr>
        <w:t>Source: Table 1, p1 of Attachment 2.3 of the submission</w:t>
      </w:r>
    </w:p>
    <w:p w14:paraId="43185B59" w14:textId="77777777" w:rsidR="00785C2F" w:rsidRPr="00827595" w:rsidRDefault="00785C2F" w:rsidP="00AB0371">
      <w:pPr>
        <w:keepNext/>
        <w:keepLines/>
        <w:widowControl w:val="0"/>
        <w:spacing w:after="0"/>
        <w:contextualSpacing/>
        <w:rPr>
          <w:rFonts w:ascii="Arial Narrow" w:eastAsia="Times New Roman" w:hAnsi="Arial Narrow" w:cs="Arial"/>
          <w:snapToGrid w:val="0"/>
          <w:color w:val="0D0D0D"/>
          <w:sz w:val="18"/>
          <w:szCs w:val="16"/>
        </w:rPr>
      </w:pPr>
      <w:r w:rsidRPr="00827595">
        <w:rPr>
          <w:rFonts w:ascii="Arial Narrow" w:eastAsia="Times New Roman" w:hAnsi="Arial Narrow" w:cs="Arial"/>
          <w:snapToGrid w:val="0"/>
          <w:color w:val="0D0D0D"/>
          <w:sz w:val="18"/>
          <w:szCs w:val="16"/>
        </w:rPr>
        <w:t xml:space="preserve">NPA = negative percent agreement; </w:t>
      </w:r>
      <w:proofErr w:type="spellStart"/>
      <w:r w:rsidRPr="00827595">
        <w:rPr>
          <w:rFonts w:ascii="Arial Narrow" w:eastAsia="Times New Roman" w:hAnsi="Arial Narrow" w:cs="Arial"/>
          <w:snapToGrid w:val="0"/>
          <w:color w:val="0D0D0D"/>
          <w:sz w:val="18"/>
          <w:szCs w:val="16"/>
        </w:rPr>
        <w:t>OdxT</w:t>
      </w:r>
      <w:proofErr w:type="spellEnd"/>
      <w:r w:rsidRPr="00827595">
        <w:rPr>
          <w:rFonts w:ascii="Arial Narrow" w:eastAsia="Times New Roman" w:hAnsi="Arial Narrow" w:cs="Arial"/>
          <w:snapToGrid w:val="0"/>
          <w:color w:val="0D0D0D"/>
          <w:sz w:val="18"/>
          <w:szCs w:val="16"/>
        </w:rPr>
        <w:t xml:space="preserve"> = Oncomine Dx Target Test; PPA = positive percent agreement</w:t>
      </w:r>
    </w:p>
    <w:p w14:paraId="18752B3E" w14:textId="77777777" w:rsidR="00785C2F" w:rsidRPr="002E6641" w:rsidRDefault="00785C2F" w:rsidP="00864ADF">
      <w:pPr>
        <w:keepNext/>
        <w:keepLines/>
        <w:numPr>
          <w:ilvl w:val="6"/>
          <w:numId w:val="3"/>
        </w:numPr>
        <w:spacing w:before="240" w:after="0" w:line="259" w:lineRule="auto"/>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Prognostic evidence</w:t>
      </w:r>
    </w:p>
    <w:p w14:paraId="6208AF0E" w14:textId="77777777" w:rsidR="00785C2F" w:rsidRPr="002E6641" w:rsidRDefault="00785C2F" w:rsidP="00785C2F">
      <w:pPr>
        <w:spacing w:after="240"/>
        <w:rPr>
          <w:rFonts w:ascii="Franklin Gothic Book" w:hAnsi="Franklin Gothic Book"/>
          <w:i/>
          <w:color w:val="0D0D0D"/>
          <w:sz w:val="22"/>
        </w:rPr>
      </w:pPr>
      <w:r w:rsidRPr="002E6641">
        <w:rPr>
          <w:rFonts w:ascii="Franklin Gothic Book" w:hAnsi="Franklin Gothic Book"/>
          <w:color w:val="0D0D0D"/>
          <w:sz w:val="22"/>
        </w:rPr>
        <w:t xml:space="preserve">Evidence assessing whether </w:t>
      </w:r>
      <w:r w:rsidRPr="002E6641">
        <w:rPr>
          <w:rFonts w:ascii="Franklin Gothic Book" w:hAnsi="Franklin Gothic Book"/>
          <w:i/>
          <w:iCs/>
          <w:color w:val="0D0D0D"/>
          <w:sz w:val="22"/>
        </w:rPr>
        <w:t xml:space="preserve">IDH1 </w:t>
      </w:r>
      <w:r w:rsidRPr="002E6641">
        <w:rPr>
          <w:rFonts w:ascii="Franklin Gothic Book" w:hAnsi="Franklin Gothic Book"/>
          <w:color w:val="0D0D0D"/>
          <w:sz w:val="22"/>
        </w:rPr>
        <w:t>variant status is a prognostic marker was provided in the submission, with heterogenous findings. Three</w:t>
      </w:r>
      <w:r w:rsidRPr="002E6641">
        <w:rPr>
          <w:rFonts w:ascii="Franklin Gothic Book" w:hAnsi="Franklin Gothic Book"/>
          <w:i/>
          <w:iCs/>
          <w:color w:val="0D0D0D"/>
          <w:sz w:val="22"/>
        </w:rPr>
        <w:t xml:space="preserve"> </w:t>
      </w:r>
      <w:r w:rsidRPr="002E6641">
        <w:rPr>
          <w:rFonts w:ascii="Franklin Gothic Book" w:hAnsi="Franklin Gothic Book"/>
          <w:color w:val="0D0D0D"/>
          <w:sz w:val="22"/>
        </w:rPr>
        <w:t xml:space="preserve">studies were identified in the submission comparing either progression-free survival (PFS) or overall survival (OS) in subgroups of patients whose tumours had </w:t>
      </w:r>
      <w:r w:rsidRPr="002E6641">
        <w:rPr>
          <w:rFonts w:ascii="Franklin Gothic Book" w:hAnsi="Franklin Gothic Book" w:cs="Arial"/>
          <w:i/>
          <w:iCs/>
          <w:color w:val="0D0D0D"/>
          <w:sz w:val="22"/>
        </w:rPr>
        <w:t>IDH1</w:t>
      </w:r>
      <w:r w:rsidRPr="002E6641">
        <w:rPr>
          <w:rFonts w:ascii="Franklin Gothic Book" w:hAnsi="Franklin Gothic Book"/>
          <w:i/>
          <w:iCs/>
          <w:color w:val="0D0D0D"/>
          <w:sz w:val="22"/>
        </w:rPr>
        <w:t xml:space="preserve"> </w:t>
      </w:r>
      <w:r w:rsidRPr="002E6641">
        <w:rPr>
          <w:rFonts w:ascii="Franklin Gothic Book" w:hAnsi="Franklin Gothic Book"/>
          <w:color w:val="0D0D0D"/>
          <w:sz w:val="22"/>
        </w:rPr>
        <w:t xml:space="preserve">variants or were </w:t>
      </w:r>
      <w:r w:rsidRPr="002E6641">
        <w:rPr>
          <w:rFonts w:ascii="Franklin Gothic Book" w:hAnsi="Franklin Gothic Book" w:cs="Arial"/>
          <w:i/>
          <w:iCs/>
          <w:color w:val="0D0D0D"/>
          <w:sz w:val="22"/>
        </w:rPr>
        <w:t>IDH1</w:t>
      </w:r>
      <w:r w:rsidRPr="002E6641">
        <w:rPr>
          <w:rFonts w:ascii="Franklin Gothic Book" w:hAnsi="Franklin Gothic Book"/>
          <w:i/>
          <w:iCs/>
          <w:color w:val="0D0D0D"/>
          <w:sz w:val="22"/>
        </w:rPr>
        <w:t xml:space="preserve"> </w:t>
      </w:r>
      <w:r w:rsidRPr="002E6641">
        <w:rPr>
          <w:rFonts w:ascii="Franklin Gothic Book" w:hAnsi="Franklin Gothic Book"/>
          <w:iCs/>
          <w:color w:val="0D0D0D"/>
          <w:sz w:val="22"/>
        </w:rPr>
        <w:t xml:space="preserve">wildtype. The commentary identified another three studies reporting on the prognostic effect of </w:t>
      </w:r>
      <w:r w:rsidRPr="002E6641">
        <w:rPr>
          <w:rFonts w:ascii="Franklin Gothic Book" w:hAnsi="Franklin Gothic Book"/>
          <w:i/>
          <w:color w:val="0D0D0D"/>
          <w:sz w:val="22"/>
        </w:rPr>
        <w:t xml:space="preserve">IDH1 </w:t>
      </w:r>
      <w:r w:rsidRPr="002E6641">
        <w:rPr>
          <w:rFonts w:ascii="Franklin Gothic Book" w:hAnsi="Franklin Gothic Book"/>
          <w:iCs/>
          <w:color w:val="0D0D0D"/>
          <w:sz w:val="22"/>
        </w:rPr>
        <w:t xml:space="preserve">variants in CCA. Insufficient detail was provided in the submission to know whether these three studies had been identified and excluded, or not </w:t>
      </w:r>
      <w:r w:rsidRPr="002E6641">
        <w:rPr>
          <w:rFonts w:ascii="Franklin Gothic Book" w:hAnsi="Franklin Gothic Book"/>
          <w:iCs/>
          <w:color w:val="0D0D0D"/>
          <w:sz w:val="22"/>
        </w:rPr>
        <w:lastRenderedPageBreak/>
        <w:t>identified, as no inclusion criteria were provided in the submission, and no list of excluded studies was provided</w:t>
      </w:r>
      <w:r w:rsidRPr="002E6641">
        <w:rPr>
          <w:rFonts w:ascii="Franklin Gothic Book" w:hAnsi="Franklin Gothic Book"/>
          <w:i/>
          <w:color w:val="0D0D0D"/>
          <w:sz w:val="22"/>
        </w:rPr>
        <w:t xml:space="preserve">. </w:t>
      </w:r>
    </w:p>
    <w:p w14:paraId="02309B82" w14:textId="77777777" w:rsidR="00785C2F" w:rsidRPr="002E6641" w:rsidRDefault="00785C2F" w:rsidP="00785C2F">
      <w:pPr>
        <w:spacing w:after="240"/>
        <w:rPr>
          <w:rFonts w:ascii="Franklin Gothic Book" w:hAnsi="Franklin Gothic Book"/>
          <w:iCs/>
          <w:color w:val="0D0D0D"/>
          <w:sz w:val="22"/>
        </w:rPr>
      </w:pPr>
      <w:r w:rsidRPr="002E6641">
        <w:rPr>
          <w:rFonts w:ascii="Franklin Gothic Book" w:hAnsi="Franklin Gothic Book"/>
          <w:iCs/>
          <w:color w:val="0D0D0D"/>
          <w:sz w:val="22"/>
        </w:rPr>
        <w:t xml:space="preserve">Two out of six studies reported that the median OS was significantly shorter in those with </w:t>
      </w:r>
      <w:r w:rsidRPr="002E6641">
        <w:rPr>
          <w:rFonts w:ascii="Franklin Gothic Book" w:hAnsi="Franklin Gothic Book"/>
          <w:i/>
          <w:color w:val="0D0D0D"/>
          <w:sz w:val="22"/>
        </w:rPr>
        <w:t xml:space="preserve">IDH1 </w:t>
      </w:r>
      <w:r w:rsidRPr="002E6641">
        <w:rPr>
          <w:rFonts w:ascii="Franklin Gothic Book" w:hAnsi="Franklin Gothic Book"/>
          <w:iCs/>
          <w:color w:val="0D0D0D"/>
          <w:sz w:val="22"/>
        </w:rPr>
        <w:t xml:space="preserve">variants than in </w:t>
      </w:r>
      <w:r w:rsidRPr="002E6641">
        <w:rPr>
          <w:rFonts w:ascii="Franklin Gothic Book" w:hAnsi="Franklin Gothic Book"/>
          <w:i/>
          <w:color w:val="0D0D0D"/>
          <w:sz w:val="22"/>
        </w:rPr>
        <w:t xml:space="preserve">IDH1 </w:t>
      </w:r>
      <w:r w:rsidRPr="002E6641">
        <w:rPr>
          <w:rFonts w:ascii="Franklin Gothic Book" w:hAnsi="Franklin Gothic Book"/>
          <w:iCs/>
          <w:color w:val="0D0D0D"/>
          <w:sz w:val="22"/>
        </w:rPr>
        <w:t xml:space="preserve">wildtype tumours (suggesting that </w:t>
      </w:r>
      <w:r w:rsidRPr="002E6641">
        <w:rPr>
          <w:rFonts w:ascii="Franklin Gothic Book" w:hAnsi="Franklin Gothic Book"/>
          <w:i/>
          <w:color w:val="0D0D0D"/>
          <w:sz w:val="22"/>
        </w:rPr>
        <w:t>IDH1</w:t>
      </w:r>
      <w:r w:rsidRPr="002E6641">
        <w:rPr>
          <w:rFonts w:ascii="Franklin Gothic Book" w:hAnsi="Franklin Gothic Book"/>
          <w:iCs/>
          <w:color w:val="0D0D0D"/>
          <w:sz w:val="22"/>
        </w:rPr>
        <w:t xml:space="preserve"> variants correspond with having a poor prognosis). The remaining four studies reported no significant difference. The study in patients who most closely match the target population (Rimini et al. 2023) did report that those with</w:t>
      </w:r>
      <w:r w:rsidRPr="002E6641">
        <w:rPr>
          <w:rFonts w:ascii="Franklin Gothic Book" w:hAnsi="Franklin Gothic Book"/>
          <w:i/>
          <w:color w:val="0D0D0D"/>
          <w:sz w:val="22"/>
        </w:rPr>
        <w:t xml:space="preserve"> IDH1</w:t>
      </w:r>
      <w:r w:rsidRPr="002E6641">
        <w:rPr>
          <w:rFonts w:ascii="Franklin Gothic Book" w:hAnsi="Franklin Gothic Book"/>
          <w:iCs/>
          <w:color w:val="0D0D0D"/>
          <w:sz w:val="22"/>
        </w:rPr>
        <w:t xml:space="preserve"> variants had significantly worse survival on usual care (second-line chemotherapy or palliative care) than those with wildtype </w:t>
      </w:r>
      <w:r w:rsidRPr="002E6641">
        <w:rPr>
          <w:rFonts w:ascii="Franklin Gothic Book" w:hAnsi="Franklin Gothic Book"/>
          <w:i/>
          <w:color w:val="0D0D0D"/>
          <w:sz w:val="22"/>
        </w:rPr>
        <w:t>IDH1</w:t>
      </w:r>
      <w:r w:rsidRPr="002E6641">
        <w:rPr>
          <w:rFonts w:ascii="Franklin Gothic Book" w:hAnsi="Franklin Gothic Book"/>
          <w:iCs/>
          <w:color w:val="0D0D0D"/>
          <w:sz w:val="22"/>
        </w:rPr>
        <w:t xml:space="preserve"> receiving usual care (HR 1.9, 95%CI 1.2, 3.0, p=0.0047). </w:t>
      </w:r>
      <w:r w:rsidRPr="002E6641">
        <w:rPr>
          <w:rFonts w:ascii="Franklin Gothic Book" w:hAnsi="Franklin Gothic Book"/>
          <w:i/>
          <w:color w:val="0D0D0D"/>
          <w:sz w:val="22"/>
        </w:rPr>
        <w:t>IDH1</w:t>
      </w:r>
      <w:r w:rsidRPr="002E6641">
        <w:rPr>
          <w:rFonts w:ascii="Franklin Gothic Book" w:hAnsi="Franklin Gothic Book"/>
          <w:iCs/>
          <w:color w:val="0D0D0D"/>
          <w:sz w:val="22"/>
        </w:rPr>
        <w:t xml:space="preserve"> variant status may therefore be associated with poorer prognosis, but the evidence is too heterogeneous for any strong conclusion to be made. </w:t>
      </w:r>
    </w:p>
    <w:p w14:paraId="1DCA8187" w14:textId="7F17CC61" w:rsidR="00785C2F" w:rsidRPr="00C15DF8" w:rsidRDefault="00785C2F" w:rsidP="00785C2F">
      <w:pPr>
        <w:keepNext/>
        <w:tabs>
          <w:tab w:val="left" w:pos="1276"/>
        </w:tabs>
        <w:spacing w:after="0" w:line="259" w:lineRule="auto"/>
        <w:contextualSpacing/>
        <w:rPr>
          <w:rFonts w:ascii="Arial Narrow" w:hAnsi="Arial Narrow" w:cs="Arial"/>
          <w:b/>
          <w:iCs/>
          <w:color w:val="0D0D0D"/>
          <w:sz w:val="20"/>
          <w:szCs w:val="18"/>
        </w:rPr>
      </w:pPr>
      <w:r w:rsidRPr="00C15DF8">
        <w:rPr>
          <w:rFonts w:ascii="Arial Narrow" w:hAnsi="Arial Narrow" w:cs="Arial"/>
          <w:b/>
          <w:iCs/>
          <w:color w:val="0D0D0D"/>
          <w:sz w:val="20"/>
          <w:szCs w:val="18"/>
        </w:rPr>
        <w:t xml:space="preserve">Table MSAC. </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6</w:t>
      </w:r>
      <w:r w:rsidRPr="00C15DF8">
        <w:rPr>
          <w:rFonts w:ascii="Arial Narrow" w:hAnsi="Arial Narrow" w:cs="Arial"/>
          <w:b/>
          <w:iCs/>
          <w:color w:val="0D0D0D"/>
          <w:sz w:val="20"/>
          <w:szCs w:val="18"/>
        </w:rPr>
        <w:fldChar w:fldCharType="end"/>
      </w:r>
      <w:r w:rsidRPr="00C15DF8">
        <w:rPr>
          <w:rFonts w:ascii="Arial Narrow" w:hAnsi="Arial Narrow" w:cs="Arial"/>
          <w:b/>
          <w:iCs/>
          <w:color w:val="0D0D0D"/>
          <w:sz w:val="20"/>
          <w:szCs w:val="18"/>
        </w:rPr>
        <w:tab/>
        <w:t>Overview of prognostic studies reporting overall survival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2"/>
        <w:gridCol w:w="1843"/>
        <w:gridCol w:w="990"/>
        <w:gridCol w:w="1417"/>
        <w:gridCol w:w="1277"/>
        <w:gridCol w:w="1300"/>
        <w:gridCol w:w="1057"/>
      </w:tblGrid>
      <w:tr w:rsidR="00785C2F" w:rsidRPr="00C15DF8" w14:paraId="72EB20B9" w14:textId="77777777">
        <w:trPr>
          <w:tblHeader/>
        </w:trPr>
        <w:tc>
          <w:tcPr>
            <w:tcW w:w="628" w:type="pct"/>
            <w:shd w:val="clear" w:color="auto" w:fill="auto"/>
          </w:tcPr>
          <w:p w14:paraId="7CD7CD77"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Study</w:t>
            </w:r>
          </w:p>
        </w:tc>
        <w:tc>
          <w:tcPr>
            <w:tcW w:w="1022" w:type="pct"/>
          </w:tcPr>
          <w:p w14:paraId="7DF252A0"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Patients</w:t>
            </w:r>
          </w:p>
        </w:tc>
        <w:tc>
          <w:tcPr>
            <w:tcW w:w="549" w:type="pct"/>
            <w:shd w:val="clear" w:color="auto" w:fill="auto"/>
          </w:tcPr>
          <w:p w14:paraId="5458C2D4"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Subgroups</w:t>
            </w:r>
          </w:p>
        </w:tc>
        <w:tc>
          <w:tcPr>
            <w:tcW w:w="786" w:type="pct"/>
            <w:shd w:val="clear" w:color="auto" w:fill="auto"/>
          </w:tcPr>
          <w:p w14:paraId="6C371ED9"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Median survival (95%CI)</w:t>
            </w:r>
          </w:p>
        </w:tc>
        <w:tc>
          <w:tcPr>
            <w:tcW w:w="708" w:type="pct"/>
          </w:tcPr>
          <w:p w14:paraId="19A750E3"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Difference in median survival</w:t>
            </w:r>
          </w:p>
        </w:tc>
        <w:tc>
          <w:tcPr>
            <w:tcW w:w="721" w:type="pct"/>
          </w:tcPr>
          <w:p w14:paraId="42D6D73A"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HR (95% CI)</w:t>
            </w:r>
          </w:p>
          <w:p w14:paraId="470B9FD7"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p-value</w:t>
            </w:r>
          </w:p>
        </w:tc>
        <w:tc>
          <w:tcPr>
            <w:tcW w:w="586" w:type="pct"/>
          </w:tcPr>
          <w:p w14:paraId="23FFD7CB"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Adjusted HR (95% CI)</w:t>
            </w:r>
          </w:p>
          <w:p w14:paraId="290654AC"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p-value</w:t>
            </w:r>
          </w:p>
        </w:tc>
      </w:tr>
      <w:tr w:rsidR="00785C2F" w:rsidRPr="00C15DF8" w14:paraId="14DE1379" w14:textId="77777777">
        <w:trPr>
          <w:trHeight w:val="586"/>
          <w:tblHeader/>
        </w:trPr>
        <w:tc>
          <w:tcPr>
            <w:tcW w:w="628" w:type="pct"/>
            <w:vMerge w:val="restart"/>
            <w:shd w:val="clear" w:color="auto" w:fill="auto"/>
            <w:vAlign w:val="center"/>
          </w:tcPr>
          <w:p w14:paraId="41535C08"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Goyal et al </w:t>
            </w:r>
            <w:proofErr w:type="spellStart"/>
            <w:r w:rsidRPr="00C15DF8">
              <w:rPr>
                <w:rFonts w:ascii="Arial Narrow" w:hAnsi="Arial Narrow" w:cs="Arial"/>
                <w:i/>
                <w:iCs/>
                <w:color w:val="0D0D0D"/>
                <w:sz w:val="20"/>
              </w:rPr>
              <w:t>al</w:t>
            </w:r>
            <w:proofErr w:type="spellEnd"/>
            <w:r w:rsidRPr="00C15DF8">
              <w:rPr>
                <w:rFonts w:ascii="Arial Narrow" w:hAnsi="Arial Narrow" w:cs="Arial"/>
                <w:i/>
                <w:iCs/>
                <w:color w:val="0D0D0D"/>
                <w:sz w:val="20"/>
              </w:rPr>
              <w:t>. 2015</w:t>
            </w:r>
          </w:p>
        </w:tc>
        <w:tc>
          <w:tcPr>
            <w:tcW w:w="1022" w:type="pct"/>
            <w:vMerge w:val="restart"/>
            <w:vAlign w:val="center"/>
          </w:tcPr>
          <w:p w14:paraId="35FE7E71"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104 patients with unresectable or metastatic (advanced disease) </w:t>
            </w:r>
            <w:proofErr w:type="spellStart"/>
            <w:r w:rsidRPr="00C15DF8">
              <w:rPr>
                <w:rFonts w:ascii="Arial Narrow" w:hAnsi="Arial Narrow" w:cs="Arial"/>
                <w:i/>
                <w:iCs/>
                <w:color w:val="0D0D0D"/>
                <w:sz w:val="20"/>
              </w:rPr>
              <w:t>iCCA</w:t>
            </w:r>
            <w:proofErr w:type="spellEnd"/>
          </w:p>
        </w:tc>
        <w:tc>
          <w:tcPr>
            <w:tcW w:w="549" w:type="pct"/>
            <w:shd w:val="clear" w:color="auto" w:fill="auto"/>
            <w:vAlign w:val="center"/>
          </w:tcPr>
          <w:p w14:paraId="7F457F3A"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IDH1v</w:t>
            </w:r>
          </w:p>
        </w:tc>
        <w:tc>
          <w:tcPr>
            <w:tcW w:w="786" w:type="pct"/>
            <w:shd w:val="clear" w:color="auto" w:fill="auto"/>
            <w:vAlign w:val="center"/>
          </w:tcPr>
          <w:p w14:paraId="282ECD88"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15.0 months</w:t>
            </w:r>
          </w:p>
        </w:tc>
        <w:tc>
          <w:tcPr>
            <w:tcW w:w="708" w:type="pct"/>
            <w:vMerge w:val="restart"/>
            <w:vAlign w:val="center"/>
          </w:tcPr>
          <w:p w14:paraId="268F9ED1"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-6.1 months</w:t>
            </w:r>
          </w:p>
        </w:tc>
        <w:tc>
          <w:tcPr>
            <w:tcW w:w="721" w:type="pct"/>
            <w:vMerge w:val="restart"/>
            <w:vAlign w:val="center"/>
          </w:tcPr>
          <w:p w14:paraId="6ECC8B8B"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N/A</w:t>
            </w:r>
          </w:p>
          <w:p w14:paraId="3812489C"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p=0.17</w:t>
            </w:r>
          </w:p>
        </w:tc>
        <w:tc>
          <w:tcPr>
            <w:tcW w:w="586" w:type="pct"/>
            <w:vMerge w:val="restart"/>
            <w:vAlign w:val="center"/>
          </w:tcPr>
          <w:p w14:paraId="30785EEA"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r>
      <w:tr w:rsidR="00785C2F" w:rsidRPr="00C15DF8" w14:paraId="630EDFD2" w14:textId="77777777">
        <w:trPr>
          <w:trHeight w:val="586"/>
          <w:tblHeader/>
        </w:trPr>
        <w:tc>
          <w:tcPr>
            <w:tcW w:w="628" w:type="pct"/>
            <w:vMerge/>
            <w:shd w:val="clear" w:color="auto" w:fill="auto"/>
            <w:vAlign w:val="center"/>
          </w:tcPr>
          <w:p w14:paraId="269DC1FB" w14:textId="77777777" w:rsidR="00785C2F" w:rsidRPr="00C15DF8" w:rsidRDefault="00785C2F" w:rsidP="00E94E74">
            <w:pPr>
              <w:widowControl w:val="0"/>
              <w:spacing w:after="0"/>
              <w:jc w:val="left"/>
              <w:rPr>
                <w:rFonts w:ascii="Arial Narrow" w:hAnsi="Arial Narrow" w:cs="Arial"/>
                <w:i/>
                <w:iCs/>
                <w:color w:val="0D0D0D"/>
                <w:sz w:val="20"/>
              </w:rPr>
            </w:pPr>
          </w:p>
        </w:tc>
        <w:tc>
          <w:tcPr>
            <w:tcW w:w="1022" w:type="pct"/>
            <w:vMerge/>
            <w:vAlign w:val="center"/>
          </w:tcPr>
          <w:p w14:paraId="0D27766E" w14:textId="77777777" w:rsidR="00785C2F" w:rsidRPr="00C15DF8" w:rsidRDefault="00785C2F" w:rsidP="00E94E74">
            <w:pPr>
              <w:widowControl w:val="0"/>
              <w:spacing w:after="0"/>
              <w:jc w:val="left"/>
              <w:rPr>
                <w:rFonts w:ascii="Arial Narrow" w:hAnsi="Arial Narrow" w:cs="Arial"/>
                <w:i/>
                <w:iCs/>
                <w:color w:val="0D0D0D"/>
                <w:sz w:val="20"/>
              </w:rPr>
            </w:pPr>
          </w:p>
        </w:tc>
        <w:tc>
          <w:tcPr>
            <w:tcW w:w="549" w:type="pct"/>
            <w:shd w:val="clear" w:color="auto" w:fill="auto"/>
            <w:vAlign w:val="center"/>
          </w:tcPr>
          <w:p w14:paraId="3DF70EF0"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IDH1wt</w:t>
            </w:r>
          </w:p>
        </w:tc>
        <w:tc>
          <w:tcPr>
            <w:tcW w:w="786" w:type="pct"/>
            <w:shd w:val="clear" w:color="auto" w:fill="auto"/>
            <w:vAlign w:val="center"/>
          </w:tcPr>
          <w:p w14:paraId="4A04D0C6"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20.1 months</w:t>
            </w:r>
          </w:p>
        </w:tc>
        <w:tc>
          <w:tcPr>
            <w:tcW w:w="708" w:type="pct"/>
            <w:vMerge/>
            <w:vAlign w:val="center"/>
          </w:tcPr>
          <w:p w14:paraId="35CA0FA0" w14:textId="77777777" w:rsidR="00785C2F" w:rsidRPr="00C15DF8" w:rsidRDefault="00785C2F" w:rsidP="00E94E74">
            <w:pPr>
              <w:widowControl w:val="0"/>
              <w:spacing w:after="0"/>
              <w:jc w:val="left"/>
              <w:rPr>
                <w:rFonts w:ascii="Arial Narrow" w:hAnsi="Arial Narrow" w:cs="Arial"/>
                <w:i/>
                <w:iCs/>
                <w:color w:val="0D0D0D"/>
                <w:sz w:val="20"/>
              </w:rPr>
            </w:pPr>
          </w:p>
        </w:tc>
        <w:tc>
          <w:tcPr>
            <w:tcW w:w="721" w:type="pct"/>
            <w:vMerge/>
            <w:vAlign w:val="center"/>
          </w:tcPr>
          <w:p w14:paraId="23C642D8" w14:textId="77777777" w:rsidR="00785C2F" w:rsidRPr="00C15DF8" w:rsidRDefault="00785C2F">
            <w:pPr>
              <w:widowControl w:val="0"/>
              <w:spacing w:after="0"/>
              <w:rPr>
                <w:rFonts w:ascii="Arial Narrow" w:hAnsi="Arial Narrow" w:cs="Arial"/>
                <w:i/>
                <w:iCs/>
                <w:color w:val="0D0D0D"/>
                <w:sz w:val="20"/>
              </w:rPr>
            </w:pPr>
          </w:p>
        </w:tc>
        <w:tc>
          <w:tcPr>
            <w:tcW w:w="586" w:type="pct"/>
            <w:vMerge/>
            <w:vAlign w:val="center"/>
          </w:tcPr>
          <w:p w14:paraId="07FF2A85" w14:textId="77777777" w:rsidR="00785C2F" w:rsidRPr="00C15DF8" w:rsidRDefault="00785C2F">
            <w:pPr>
              <w:widowControl w:val="0"/>
              <w:spacing w:after="0"/>
              <w:rPr>
                <w:rFonts w:ascii="Arial Narrow" w:hAnsi="Arial Narrow" w:cs="Arial"/>
                <w:i/>
                <w:iCs/>
                <w:color w:val="0D0D0D"/>
                <w:sz w:val="20"/>
              </w:rPr>
            </w:pPr>
          </w:p>
        </w:tc>
      </w:tr>
      <w:tr w:rsidR="00785C2F" w:rsidRPr="00C15DF8" w14:paraId="70AB8295" w14:textId="77777777">
        <w:trPr>
          <w:trHeight w:val="586"/>
          <w:tblHeader/>
        </w:trPr>
        <w:tc>
          <w:tcPr>
            <w:tcW w:w="628" w:type="pct"/>
            <w:vMerge w:val="restart"/>
            <w:shd w:val="clear" w:color="auto" w:fill="auto"/>
            <w:vAlign w:val="center"/>
          </w:tcPr>
          <w:p w14:paraId="4CAD5B46" w14:textId="77777777" w:rsidR="00785C2F" w:rsidRPr="00C15DF8" w:rsidRDefault="00785C2F" w:rsidP="00E94E74">
            <w:pPr>
              <w:widowControl w:val="0"/>
              <w:spacing w:after="0"/>
              <w:jc w:val="left"/>
              <w:rPr>
                <w:rFonts w:ascii="Arial Narrow" w:hAnsi="Arial Narrow" w:cs="Arial"/>
                <w:color w:val="0D0D0D"/>
                <w:sz w:val="20"/>
              </w:rPr>
            </w:pPr>
            <w:r w:rsidRPr="00C15DF8">
              <w:rPr>
                <w:rFonts w:ascii="Arial Narrow" w:hAnsi="Arial Narrow" w:cs="Arial"/>
                <w:color w:val="0D0D0D"/>
                <w:sz w:val="20"/>
              </w:rPr>
              <w:t>Kinzler et al. 2023</w:t>
            </w:r>
          </w:p>
        </w:tc>
        <w:tc>
          <w:tcPr>
            <w:tcW w:w="1022" w:type="pct"/>
            <w:vMerge w:val="restart"/>
            <w:vAlign w:val="center"/>
          </w:tcPr>
          <w:p w14:paraId="31935A0E"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69 patients with </w:t>
            </w:r>
            <w:proofErr w:type="spellStart"/>
            <w:r w:rsidRPr="00C15DF8">
              <w:rPr>
                <w:rFonts w:ascii="Arial Narrow" w:hAnsi="Arial Narrow" w:cs="Arial"/>
                <w:i/>
                <w:iCs/>
                <w:color w:val="0D0D0D"/>
                <w:sz w:val="20"/>
              </w:rPr>
              <w:t>iCCA</w:t>
            </w:r>
            <w:proofErr w:type="spellEnd"/>
            <w:r w:rsidRPr="00C15DF8">
              <w:rPr>
                <w:rFonts w:ascii="Arial Narrow" w:hAnsi="Arial Narrow" w:cs="Arial"/>
                <w:i/>
                <w:iCs/>
                <w:color w:val="0D0D0D"/>
                <w:sz w:val="20"/>
              </w:rPr>
              <w:t xml:space="preserve"> (any stage)</w:t>
            </w:r>
          </w:p>
        </w:tc>
        <w:tc>
          <w:tcPr>
            <w:tcW w:w="549" w:type="pct"/>
            <w:shd w:val="clear" w:color="auto" w:fill="auto"/>
            <w:vAlign w:val="center"/>
          </w:tcPr>
          <w:p w14:paraId="7CF2ABD1"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IDH1v</w:t>
            </w:r>
          </w:p>
        </w:tc>
        <w:tc>
          <w:tcPr>
            <w:tcW w:w="786" w:type="pct"/>
            <w:shd w:val="clear" w:color="auto" w:fill="auto"/>
            <w:vAlign w:val="center"/>
          </w:tcPr>
          <w:p w14:paraId="04B65DE0"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 xml:space="preserve">17.6 months </w:t>
            </w:r>
          </w:p>
          <w:p w14:paraId="633C120B"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(11.5 – 23.6)</w:t>
            </w:r>
          </w:p>
        </w:tc>
        <w:tc>
          <w:tcPr>
            <w:tcW w:w="708" w:type="pct"/>
            <w:vMerge w:val="restart"/>
            <w:vAlign w:val="center"/>
          </w:tcPr>
          <w:p w14:paraId="128D2EA1"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-0.9 months</w:t>
            </w:r>
          </w:p>
        </w:tc>
        <w:tc>
          <w:tcPr>
            <w:tcW w:w="721" w:type="pct"/>
            <w:vMerge w:val="restart"/>
            <w:vAlign w:val="center"/>
          </w:tcPr>
          <w:p w14:paraId="4D4288EA"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N/A</w:t>
            </w:r>
          </w:p>
          <w:p w14:paraId="0C8B5C37"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i/>
                <w:iCs/>
                <w:color w:val="0D0D0D"/>
                <w:sz w:val="20"/>
              </w:rPr>
              <w:t xml:space="preserve"> </w:t>
            </w:r>
            <w:r w:rsidRPr="00C15DF8">
              <w:rPr>
                <w:rFonts w:ascii="Arial Narrow" w:hAnsi="Arial Narrow" w:cs="Arial"/>
                <w:color w:val="0D0D0D"/>
                <w:sz w:val="20"/>
              </w:rPr>
              <w:t>p=0.69</w:t>
            </w:r>
          </w:p>
        </w:tc>
        <w:tc>
          <w:tcPr>
            <w:tcW w:w="586" w:type="pct"/>
            <w:vMerge w:val="restart"/>
            <w:vAlign w:val="center"/>
          </w:tcPr>
          <w:p w14:paraId="595D7056"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r>
      <w:tr w:rsidR="00785C2F" w:rsidRPr="00C15DF8" w14:paraId="20CCB974" w14:textId="77777777">
        <w:trPr>
          <w:tblHeader/>
        </w:trPr>
        <w:tc>
          <w:tcPr>
            <w:tcW w:w="628" w:type="pct"/>
            <w:vMerge/>
            <w:shd w:val="clear" w:color="auto" w:fill="auto"/>
            <w:vAlign w:val="center"/>
          </w:tcPr>
          <w:p w14:paraId="7EBD8B2E" w14:textId="77777777" w:rsidR="00785C2F" w:rsidRPr="00C15DF8" w:rsidRDefault="00785C2F" w:rsidP="00E94E74">
            <w:pPr>
              <w:widowControl w:val="0"/>
              <w:spacing w:after="0"/>
              <w:jc w:val="left"/>
              <w:rPr>
                <w:rFonts w:ascii="Arial Narrow" w:hAnsi="Arial Narrow" w:cs="Arial"/>
                <w:color w:val="0D0D0D"/>
                <w:sz w:val="20"/>
              </w:rPr>
            </w:pPr>
          </w:p>
        </w:tc>
        <w:tc>
          <w:tcPr>
            <w:tcW w:w="1022" w:type="pct"/>
            <w:vMerge/>
            <w:vAlign w:val="center"/>
          </w:tcPr>
          <w:p w14:paraId="48916A0F" w14:textId="77777777" w:rsidR="00785C2F" w:rsidRPr="00C15DF8" w:rsidRDefault="00785C2F" w:rsidP="00E94E74">
            <w:pPr>
              <w:widowControl w:val="0"/>
              <w:spacing w:after="0"/>
              <w:jc w:val="left"/>
              <w:rPr>
                <w:rFonts w:ascii="Arial Narrow" w:hAnsi="Arial Narrow" w:cs="Arial"/>
                <w:i/>
                <w:iCs/>
                <w:color w:val="0D0D0D"/>
                <w:sz w:val="20"/>
              </w:rPr>
            </w:pPr>
          </w:p>
        </w:tc>
        <w:tc>
          <w:tcPr>
            <w:tcW w:w="549" w:type="pct"/>
            <w:shd w:val="clear" w:color="auto" w:fill="auto"/>
            <w:vAlign w:val="center"/>
          </w:tcPr>
          <w:p w14:paraId="0D9E8F27"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IDH1wt</w:t>
            </w:r>
          </w:p>
        </w:tc>
        <w:tc>
          <w:tcPr>
            <w:tcW w:w="786" w:type="pct"/>
            <w:shd w:val="clear" w:color="auto" w:fill="auto"/>
            <w:vAlign w:val="center"/>
          </w:tcPr>
          <w:p w14:paraId="16E68C82"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 xml:space="preserve">18.5 months </w:t>
            </w:r>
          </w:p>
          <w:p w14:paraId="25A919B1"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(13.7 – 23.4)</w:t>
            </w:r>
          </w:p>
        </w:tc>
        <w:tc>
          <w:tcPr>
            <w:tcW w:w="708" w:type="pct"/>
            <w:vMerge/>
            <w:vAlign w:val="center"/>
          </w:tcPr>
          <w:p w14:paraId="634B5332" w14:textId="77777777" w:rsidR="00785C2F" w:rsidRPr="00C15DF8" w:rsidRDefault="00785C2F" w:rsidP="00E94E74">
            <w:pPr>
              <w:widowControl w:val="0"/>
              <w:spacing w:after="0"/>
              <w:jc w:val="left"/>
              <w:rPr>
                <w:rFonts w:ascii="Arial Narrow" w:hAnsi="Arial Narrow" w:cs="Arial"/>
                <w:i/>
                <w:iCs/>
                <w:color w:val="0D0D0D"/>
                <w:sz w:val="20"/>
              </w:rPr>
            </w:pPr>
          </w:p>
        </w:tc>
        <w:tc>
          <w:tcPr>
            <w:tcW w:w="721" w:type="pct"/>
            <w:vMerge/>
            <w:vAlign w:val="center"/>
          </w:tcPr>
          <w:p w14:paraId="5BC39255" w14:textId="77777777" w:rsidR="00785C2F" w:rsidRPr="00C15DF8" w:rsidRDefault="00785C2F">
            <w:pPr>
              <w:widowControl w:val="0"/>
              <w:spacing w:after="0"/>
              <w:rPr>
                <w:rFonts w:ascii="Arial Narrow" w:hAnsi="Arial Narrow" w:cs="Arial"/>
                <w:i/>
                <w:iCs/>
                <w:color w:val="0D0D0D"/>
                <w:sz w:val="20"/>
              </w:rPr>
            </w:pPr>
          </w:p>
        </w:tc>
        <w:tc>
          <w:tcPr>
            <w:tcW w:w="586" w:type="pct"/>
            <w:vMerge/>
            <w:vAlign w:val="center"/>
          </w:tcPr>
          <w:p w14:paraId="78D1B9AA" w14:textId="77777777" w:rsidR="00785C2F" w:rsidRPr="00C15DF8" w:rsidRDefault="00785C2F">
            <w:pPr>
              <w:widowControl w:val="0"/>
              <w:spacing w:after="0"/>
              <w:rPr>
                <w:rFonts w:ascii="Arial Narrow" w:hAnsi="Arial Narrow" w:cs="Arial"/>
                <w:i/>
                <w:iCs/>
                <w:color w:val="0D0D0D"/>
                <w:sz w:val="20"/>
              </w:rPr>
            </w:pPr>
          </w:p>
        </w:tc>
      </w:tr>
      <w:tr w:rsidR="00785C2F" w:rsidRPr="00C15DF8" w14:paraId="6AAB0925" w14:textId="77777777">
        <w:trPr>
          <w:trHeight w:val="690"/>
          <w:tblHeader/>
        </w:trPr>
        <w:tc>
          <w:tcPr>
            <w:tcW w:w="628" w:type="pct"/>
            <w:vMerge w:val="restart"/>
            <w:shd w:val="clear" w:color="auto" w:fill="auto"/>
            <w:vAlign w:val="center"/>
          </w:tcPr>
          <w:p w14:paraId="68F35302" w14:textId="77777777" w:rsidR="00785C2F" w:rsidRPr="00C15DF8" w:rsidRDefault="00785C2F" w:rsidP="00E94E74">
            <w:pPr>
              <w:widowControl w:val="0"/>
              <w:spacing w:after="0"/>
              <w:jc w:val="left"/>
              <w:rPr>
                <w:rFonts w:ascii="Arial Narrow" w:hAnsi="Arial Narrow" w:cs="Arial"/>
                <w:color w:val="0D0D0D"/>
                <w:sz w:val="20"/>
              </w:rPr>
            </w:pPr>
            <w:r w:rsidRPr="00C15DF8">
              <w:rPr>
                <w:rFonts w:ascii="Arial Narrow" w:hAnsi="Arial Narrow" w:cs="Arial"/>
                <w:color w:val="0D0D0D"/>
                <w:sz w:val="20"/>
              </w:rPr>
              <w:t>Rimini et al. 2023</w:t>
            </w:r>
          </w:p>
        </w:tc>
        <w:tc>
          <w:tcPr>
            <w:tcW w:w="1022" w:type="pct"/>
            <w:vMerge w:val="restart"/>
            <w:vAlign w:val="center"/>
          </w:tcPr>
          <w:p w14:paraId="59C45296"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119 patients with advanced </w:t>
            </w:r>
            <w:proofErr w:type="spellStart"/>
            <w:r w:rsidRPr="00C15DF8">
              <w:rPr>
                <w:rFonts w:ascii="Arial Narrow" w:hAnsi="Arial Narrow" w:cs="Arial"/>
                <w:i/>
                <w:iCs/>
                <w:color w:val="0D0D0D"/>
                <w:sz w:val="20"/>
              </w:rPr>
              <w:t>iCCA</w:t>
            </w:r>
            <w:proofErr w:type="spellEnd"/>
            <w:r w:rsidRPr="00C15DF8">
              <w:rPr>
                <w:rFonts w:ascii="Arial Narrow" w:hAnsi="Arial Narrow" w:cs="Arial"/>
                <w:i/>
                <w:iCs/>
                <w:color w:val="0D0D0D"/>
                <w:sz w:val="20"/>
              </w:rPr>
              <w:t xml:space="preserve"> who had progressed on first-line chemotherapy </w:t>
            </w:r>
          </w:p>
        </w:tc>
        <w:tc>
          <w:tcPr>
            <w:tcW w:w="549" w:type="pct"/>
            <w:shd w:val="clear" w:color="auto" w:fill="auto"/>
            <w:vAlign w:val="center"/>
          </w:tcPr>
          <w:p w14:paraId="5BA11CAE"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 xml:space="preserve">IDH1v </w:t>
            </w:r>
          </w:p>
        </w:tc>
        <w:tc>
          <w:tcPr>
            <w:tcW w:w="786" w:type="pct"/>
            <w:shd w:val="clear" w:color="auto" w:fill="auto"/>
            <w:vAlign w:val="center"/>
          </w:tcPr>
          <w:p w14:paraId="4ED63765"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 xml:space="preserve">8.2 months </w:t>
            </w:r>
          </w:p>
        </w:tc>
        <w:tc>
          <w:tcPr>
            <w:tcW w:w="708" w:type="pct"/>
            <w:vMerge w:val="restart"/>
            <w:vAlign w:val="center"/>
          </w:tcPr>
          <w:p w14:paraId="0B180505"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-5.9 months</w:t>
            </w:r>
          </w:p>
        </w:tc>
        <w:tc>
          <w:tcPr>
            <w:tcW w:w="721" w:type="pct"/>
            <w:vMerge w:val="restart"/>
            <w:vAlign w:val="center"/>
          </w:tcPr>
          <w:p w14:paraId="338556CD" w14:textId="77777777" w:rsidR="00785C2F" w:rsidRPr="00C15DF8" w:rsidRDefault="00785C2F">
            <w:pPr>
              <w:widowControl w:val="0"/>
              <w:spacing w:after="0"/>
              <w:rPr>
                <w:rFonts w:ascii="Arial Narrow" w:hAnsi="Arial Narrow" w:cs="Arial"/>
                <w:b/>
                <w:bCs/>
                <w:color w:val="0D0D0D"/>
                <w:sz w:val="20"/>
              </w:rPr>
            </w:pPr>
            <w:r w:rsidRPr="00C15DF8">
              <w:rPr>
                <w:rFonts w:ascii="Arial Narrow" w:hAnsi="Arial Narrow" w:cs="Arial"/>
                <w:b/>
                <w:bCs/>
                <w:color w:val="0D0D0D"/>
                <w:sz w:val="20"/>
              </w:rPr>
              <w:t>1.9 (1.2, 3.0)</w:t>
            </w:r>
          </w:p>
          <w:p w14:paraId="1D5FC2FA" w14:textId="77777777" w:rsidR="00785C2F" w:rsidRPr="00C15DF8" w:rsidRDefault="00785C2F">
            <w:pPr>
              <w:widowControl w:val="0"/>
              <w:spacing w:after="0"/>
              <w:rPr>
                <w:rFonts w:ascii="Arial Narrow" w:hAnsi="Arial Narrow" w:cs="Arial"/>
                <w:b/>
                <w:bCs/>
                <w:color w:val="0D0D0D"/>
                <w:sz w:val="20"/>
              </w:rPr>
            </w:pPr>
            <w:r w:rsidRPr="00C15DF8">
              <w:rPr>
                <w:rFonts w:ascii="Arial Narrow" w:hAnsi="Arial Narrow" w:cs="Arial"/>
                <w:b/>
                <w:bCs/>
                <w:color w:val="0D0D0D"/>
                <w:sz w:val="20"/>
              </w:rPr>
              <w:t>p=0.0047</w:t>
            </w:r>
          </w:p>
        </w:tc>
        <w:tc>
          <w:tcPr>
            <w:tcW w:w="586" w:type="pct"/>
            <w:vMerge w:val="restart"/>
            <w:vAlign w:val="center"/>
          </w:tcPr>
          <w:p w14:paraId="7DC7B5C0" w14:textId="77777777" w:rsidR="00785C2F" w:rsidRPr="00C15DF8" w:rsidRDefault="00785C2F">
            <w:pPr>
              <w:widowControl w:val="0"/>
              <w:spacing w:after="0"/>
              <w:rPr>
                <w:rFonts w:ascii="Arial Narrow" w:hAnsi="Arial Narrow" w:cs="Arial"/>
                <w:b/>
                <w:bCs/>
                <w:color w:val="0D0D0D"/>
                <w:sz w:val="20"/>
              </w:rPr>
            </w:pPr>
            <w:r w:rsidRPr="00C15DF8">
              <w:rPr>
                <w:rFonts w:ascii="Arial Narrow" w:hAnsi="Arial Narrow" w:cs="Arial"/>
                <w:b/>
                <w:bCs/>
                <w:color w:val="0D0D0D"/>
                <w:sz w:val="20"/>
              </w:rPr>
              <w:t>1.7 (1.1, 2.7)</w:t>
            </w:r>
          </w:p>
          <w:p w14:paraId="71948B25" w14:textId="77777777" w:rsidR="00785C2F" w:rsidRPr="00C15DF8" w:rsidRDefault="00785C2F">
            <w:pPr>
              <w:widowControl w:val="0"/>
              <w:spacing w:after="0"/>
              <w:rPr>
                <w:rFonts w:ascii="Arial Narrow" w:hAnsi="Arial Narrow" w:cs="Arial"/>
                <w:b/>
                <w:bCs/>
                <w:color w:val="0D0D0D"/>
                <w:sz w:val="20"/>
              </w:rPr>
            </w:pPr>
            <w:r w:rsidRPr="00C15DF8">
              <w:rPr>
                <w:rFonts w:ascii="Arial Narrow" w:hAnsi="Arial Narrow" w:cs="Arial"/>
                <w:b/>
                <w:bCs/>
                <w:color w:val="0D0D0D"/>
                <w:sz w:val="20"/>
              </w:rPr>
              <w:t>0.0256</w:t>
            </w:r>
          </w:p>
        </w:tc>
      </w:tr>
      <w:tr w:rsidR="00785C2F" w:rsidRPr="00C15DF8" w14:paraId="66C26729" w14:textId="77777777">
        <w:trPr>
          <w:trHeight w:val="420"/>
          <w:tblHeader/>
        </w:trPr>
        <w:tc>
          <w:tcPr>
            <w:tcW w:w="628" w:type="pct"/>
            <w:vMerge/>
            <w:tcBorders>
              <w:bottom w:val="single" w:sz="4" w:space="0" w:color="auto"/>
            </w:tcBorders>
            <w:shd w:val="clear" w:color="auto" w:fill="auto"/>
            <w:vAlign w:val="center"/>
          </w:tcPr>
          <w:p w14:paraId="3E8AB046" w14:textId="77777777" w:rsidR="00785C2F" w:rsidRPr="00C15DF8" w:rsidRDefault="00785C2F" w:rsidP="00E94E74">
            <w:pPr>
              <w:widowControl w:val="0"/>
              <w:spacing w:after="0"/>
              <w:jc w:val="left"/>
              <w:rPr>
                <w:rFonts w:ascii="Arial Narrow" w:hAnsi="Arial Narrow" w:cs="Arial"/>
                <w:i/>
                <w:iCs/>
                <w:color w:val="0D0D0D"/>
                <w:sz w:val="20"/>
              </w:rPr>
            </w:pPr>
          </w:p>
        </w:tc>
        <w:tc>
          <w:tcPr>
            <w:tcW w:w="1022" w:type="pct"/>
            <w:vMerge/>
            <w:tcBorders>
              <w:bottom w:val="single" w:sz="4" w:space="0" w:color="auto"/>
            </w:tcBorders>
            <w:vAlign w:val="center"/>
          </w:tcPr>
          <w:p w14:paraId="6999537B" w14:textId="77777777" w:rsidR="00785C2F" w:rsidRPr="00C15DF8" w:rsidRDefault="00785C2F" w:rsidP="00E94E74">
            <w:pPr>
              <w:widowControl w:val="0"/>
              <w:spacing w:after="0"/>
              <w:jc w:val="left"/>
              <w:rPr>
                <w:rFonts w:ascii="Arial Narrow" w:hAnsi="Arial Narrow" w:cs="Arial"/>
                <w:i/>
                <w:iCs/>
                <w:color w:val="0D0D0D"/>
                <w:sz w:val="20"/>
              </w:rPr>
            </w:pPr>
          </w:p>
        </w:tc>
        <w:tc>
          <w:tcPr>
            <w:tcW w:w="549" w:type="pct"/>
            <w:tcBorders>
              <w:bottom w:val="single" w:sz="4" w:space="0" w:color="auto"/>
            </w:tcBorders>
            <w:shd w:val="clear" w:color="auto" w:fill="auto"/>
            <w:vAlign w:val="center"/>
          </w:tcPr>
          <w:p w14:paraId="3A247EA9"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IDH1wt</w:t>
            </w:r>
          </w:p>
        </w:tc>
        <w:tc>
          <w:tcPr>
            <w:tcW w:w="786" w:type="pct"/>
            <w:tcBorders>
              <w:bottom w:val="single" w:sz="4" w:space="0" w:color="auto"/>
            </w:tcBorders>
            <w:shd w:val="clear" w:color="auto" w:fill="auto"/>
            <w:vAlign w:val="center"/>
          </w:tcPr>
          <w:p w14:paraId="251BDF3B" w14:textId="77777777" w:rsidR="00785C2F" w:rsidRPr="00C15DF8" w:rsidRDefault="00785C2F">
            <w:pPr>
              <w:widowControl w:val="0"/>
              <w:spacing w:after="0"/>
              <w:rPr>
                <w:rFonts w:ascii="Arial Narrow" w:hAnsi="Arial Narrow" w:cs="Arial"/>
                <w:color w:val="0D0D0D"/>
                <w:sz w:val="20"/>
              </w:rPr>
            </w:pPr>
            <w:r w:rsidRPr="00C15DF8">
              <w:rPr>
                <w:rFonts w:ascii="Arial Narrow" w:hAnsi="Arial Narrow" w:cs="Arial"/>
                <w:color w:val="0D0D0D"/>
                <w:sz w:val="20"/>
              </w:rPr>
              <w:t xml:space="preserve">14.1 months </w:t>
            </w:r>
          </w:p>
        </w:tc>
        <w:tc>
          <w:tcPr>
            <w:tcW w:w="708" w:type="pct"/>
            <w:vMerge/>
            <w:tcBorders>
              <w:bottom w:val="single" w:sz="4" w:space="0" w:color="auto"/>
            </w:tcBorders>
            <w:vAlign w:val="center"/>
          </w:tcPr>
          <w:p w14:paraId="394F9900" w14:textId="77777777" w:rsidR="00785C2F" w:rsidRPr="00C15DF8" w:rsidRDefault="00785C2F" w:rsidP="00E94E74">
            <w:pPr>
              <w:widowControl w:val="0"/>
              <w:spacing w:after="0"/>
              <w:jc w:val="left"/>
              <w:rPr>
                <w:rFonts w:ascii="Arial Narrow" w:hAnsi="Arial Narrow" w:cs="Arial"/>
                <w:i/>
                <w:iCs/>
                <w:color w:val="0D0D0D"/>
                <w:sz w:val="20"/>
              </w:rPr>
            </w:pPr>
          </w:p>
        </w:tc>
        <w:tc>
          <w:tcPr>
            <w:tcW w:w="721" w:type="pct"/>
            <w:vMerge/>
            <w:tcBorders>
              <w:bottom w:val="single" w:sz="4" w:space="0" w:color="auto"/>
            </w:tcBorders>
            <w:vAlign w:val="center"/>
          </w:tcPr>
          <w:p w14:paraId="3DAD622D" w14:textId="77777777" w:rsidR="00785C2F" w:rsidRPr="00C15DF8" w:rsidRDefault="00785C2F">
            <w:pPr>
              <w:widowControl w:val="0"/>
              <w:spacing w:after="0"/>
              <w:rPr>
                <w:rFonts w:ascii="Arial Narrow" w:hAnsi="Arial Narrow" w:cs="Arial"/>
                <w:i/>
                <w:iCs/>
                <w:color w:val="0D0D0D"/>
                <w:sz w:val="20"/>
              </w:rPr>
            </w:pPr>
          </w:p>
        </w:tc>
        <w:tc>
          <w:tcPr>
            <w:tcW w:w="586" w:type="pct"/>
            <w:vMerge/>
            <w:tcBorders>
              <w:bottom w:val="single" w:sz="4" w:space="0" w:color="auto"/>
            </w:tcBorders>
            <w:vAlign w:val="center"/>
          </w:tcPr>
          <w:p w14:paraId="3F9C35A2" w14:textId="77777777" w:rsidR="00785C2F" w:rsidRPr="00C15DF8" w:rsidRDefault="00785C2F">
            <w:pPr>
              <w:widowControl w:val="0"/>
              <w:spacing w:after="0"/>
              <w:rPr>
                <w:rFonts w:ascii="Arial Narrow" w:hAnsi="Arial Narrow" w:cs="Arial"/>
                <w:i/>
                <w:iCs/>
                <w:color w:val="0D0D0D"/>
                <w:sz w:val="20"/>
              </w:rPr>
            </w:pPr>
          </w:p>
        </w:tc>
      </w:tr>
      <w:tr w:rsidR="00785C2F" w:rsidRPr="00C15DF8" w14:paraId="5F116ECE" w14:textId="77777777">
        <w:trPr>
          <w:trHeight w:val="365"/>
          <w:tblHeader/>
        </w:trPr>
        <w:tc>
          <w:tcPr>
            <w:tcW w:w="628" w:type="pct"/>
            <w:vMerge w:val="restart"/>
            <w:shd w:val="clear" w:color="auto" w:fill="auto"/>
            <w:vAlign w:val="center"/>
          </w:tcPr>
          <w:p w14:paraId="4AFC6B88" w14:textId="77777777" w:rsidR="00785C2F" w:rsidRPr="00C15DF8" w:rsidRDefault="00785C2F" w:rsidP="00E94E74">
            <w:pPr>
              <w:widowControl w:val="0"/>
              <w:spacing w:after="0"/>
              <w:jc w:val="left"/>
              <w:rPr>
                <w:rFonts w:ascii="Arial Narrow" w:hAnsi="Arial Narrow" w:cs="Arial"/>
                <w:color w:val="0D0D0D"/>
                <w:sz w:val="20"/>
              </w:rPr>
            </w:pPr>
            <w:r w:rsidRPr="00C15DF8">
              <w:rPr>
                <w:rFonts w:ascii="Arial Narrow" w:hAnsi="Arial Narrow" w:cs="Arial"/>
                <w:color w:val="0D0D0D"/>
                <w:sz w:val="20"/>
              </w:rPr>
              <w:t>Rimini et al. 2022</w:t>
            </w:r>
          </w:p>
        </w:tc>
        <w:tc>
          <w:tcPr>
            <w:tcW w:w="1022" w:type="pct"/>
            <w:vMerge w:val="restart"/>
            <w:vAlign w:val="center"/>
          </w:tcPr>
          <w:p w14:paraId="50B61FDD"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284 patients with </w:t>
            </w:r>
            <w:proofErr w:type="spellStart"/>
            <w:r w:rsidRPr="00C15DF8">
              <w:rPr>
                <w:rFonts w:ascii="Arial Narrow" w:hAnsi="Arial Narrow" w:cs="Arial"/>
                <w:i/>
                <w:iCs/>
                <w:color w:val="0D0D0D"/>
                <w:sz w:val="20"/>
              </w:rPr>
              <w:t>iCCA</w:t>
            </w:r>
            <w:proofErr w:type="spellEnd"/>
            <w:r w:rsidRPr="00C15DF8">
              <w:rPr>
                <w:rFonts w:ascii="Arial Narrow" w:hAnsi="Arial Narrow" w:cs="Arial"/>
                <w:i/>
                <w:iCs/>
                <w:color w:val="0D0D0D"/>
                <w:sz w:val="20"/>
              </w:rPr>
              <w:t xml:space="preserve"> (any stage)</w:t>
            </w:r>
          </w:p>
        </w:tc>
        <w:tc>
          <w:tcPr>
            <w:tcW w:w="549" w:type="pct"/>
            <w:shd w:val="clear" w:color="auto" w:fill="auto"/>
            <w:vAlign w:val="center"/>
          </w:tcPr>
          <w:p w14:paraId="75F14ADB"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IDH1v</w:t>
            </w:r>
          </w:p>
        </w:tc>
        <w:tc>
          <w:tcPr>
            <w:tcW w:w="786" w:type="pct"/>
            <w:shd w:val="clear" w:color="auto" w:fill="auto"/>
            <w:vAlign w:val="center"/>
          </w:tcPr>
          <w:p w14:paraId="44D1B123"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c>
          <w:tcPr>
            <w:tcW w:w="708" w:type="pct"/>
            <w:vMerge w:val="restart"/>
            <w:vAlign w:val="center"/>
          </w:tcPr>
          <w:p w14:paraId="3B85760A"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Tendency towards better OS in </w:t>
            </w:r>
            <w:proofErr w:type="spellStart"/>
            <w:r w:rsidRPr="00C15DF8">
              <w:rPr>
                <w:rFonts w:ascii="Arial Narrow" w:hAnsi="Arial Narrow" w:cs="Arial"/>
                <w:i/>
                <w:iCs/>
                <w:color w:val="0D0D0D"/>
                <w:sz w:val="20"/>
              </w:rPr>
              <w:t>wt</w:t>
            </w:r>
            <w:proofErr w:type="spellEnd"/>
            <w:r w:rsidRPr="00C15DF8">
              <w:rPr>
                <w:rFonts w:ascii="Arial Narrow" w:hAnsi="Arial Narrow" w:cs="Arial"/>
                <w:i/>
                <w:iCs/>
                <w:color w:val="0D0D0D"/>
                <w:sz w:val="20"/>
              </w:rPr>
              <w:t xml:space="preserve"> group</w:t>
            </w:r>
          </w:p>
        </w:tc>
        <w:tc>
          <w:tcPr>
            <w:tcW w:w="721" w:type="pct"/>
            <w:vMerge w:val="restart"/>
            <w:vAlign w:val="center"/>
          </w:tcPr>
          <w:p w14:paraId="0A0E2DCF"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1.33 (0.93, 1.91)</w:t>
            </w:r>
          </w:p>
          <w:p w14:paraId="5D001F4F"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p=0.26</w:t>
            </w:r>
          </w:p>
        </w:tc>
        <w:tc>
          <w:tcPr>
            <w:tcW w:w="586" w:type="pct"/>
            <w:vMerge w:val="restart"/>
            <w:vAlign w:val="center"/>
          </w:tcPr>
          <w:p w14:paraId="68BE13FB"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r>
      <w:tr w:rsidR="00785C2F" w:rsidRPr="00C15DF8" w14:paraId="1DF7591E" w14:textId="77777777">
        <w:trPr>
          <w:trHeight w:val="426"/>
          <w:tblHeader/>
        </w:trPr>
        <w:tc>
          <w:tcPr>
            <w:tcW w:w="628" w:type="pct"/>
            <w:vMerge/>
            <w:shd w:val="clear" w:color="auto" w:fill="auto"/>
            <w:vAlign w:val="center"/>
          </w:tcPr>
          <w:p w14:paraId="3AD4C0E2" w14:textId="77777777" w:rsidR="00785C2F" w:rsidRPr="00C15DF8" w:rsidRDefault="00785C2F" w:rsidP="00E94E74">
            <w:pPr>
              <w:widowControl w:val="0"/>
              <w:spacing w:after="0"/>
              <w:jc w:val="left"/>
              <w:rPr>
                <w:rFonts w:ascii="Arial Narrow" w:hAnsi="Arial Narrow" w:cs="Arial"/>
                <w:i/>
                <w:iCs/>
                <w:color w:val="0D0D0D"/>
                <w:sz w:val="20"/>
              </w:rPr>
            </w:pPr>
          </w:p>
        </w:tc>
        <w:tc>
          <w:tcPr>
            <w:tcW w:w="1022" w:type="pct"/>
            <w:vMerge/>
            <w:vAlign w:val="center"/>
          </w:tcPr>
          <w:p w14:paraId="0EF87519" w14:textId="77777777" w:rsidR="00785C2F" w:rsidRPr="00C15DF8" w:rsidRDefault="00785C2F" w:rsidP="00E94E74">
            <w:pPr>
              <w:widowControl w:val="0"/>
              <w:spacing w:after="0"/>
              <w:jc w:val="left"/>
              <w:rPr>
                <w:rFonts w:ascii="Arial Narrow" w:hAnsi="Arial Narrow" w:cs="Arial"/>
                <w:i/>
                <w:iCs/>
                <w:color w:val="0D0D0D"/>
                <w:sz w:val="20"/>
              </w:rPr>
            </w:pPr>
          </w:p>
        </w:tc>
        <w:tc>
          <w:tcPr>
            <w:tcW w:w="549" w:type="pct"/>
            <w:shd w:val="clear" w:color="auto" w:fill="auto"/>
            <w:vAlign w:val="center"/>
          </w:tcPr>
          <w:p w14:paraId="6CB0EF22"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IDH1wt</w:t>
            </w:r>
          </w:p>
        </w:tc>
        <w:tc>
          <w:tcPr>
            <w:tcW w:w="786" w:type="pct"/>
            <w:shd w:val="clear" w:color="auto" w:fill="auto"/>
            <w:vAlign w:val="center"/>
          </w:tcPr>
          <w:p w14:paraId="5AD2EE40"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c>
          <w:tcPr>
            <w:tcW w:w="708" w:type="pct"/>
            <w:vMerge/>
            <w:vAlign w:val="center"/>
          </w:tcPr>
          <w:p w14:paraId="690AF3AD" w14:textId="77777777" w:rsidR="00785C2F" w:rsidRPr="00C15DF8" w:rsidRDefault="00785C2F" w:rsidP="00E94E74">
            <w:pPr>
              <w:widowControl w:val="0"/>
              <w:spacing w:after="0"/>
              <w:jc w:val="left"/>
              <w:rPr>
                <w:rFonts w:ascii="Arial Narrow" w:hAnsi="Arial Narrow" w:cs="Arial"/>
                <w:i/>
                <w:iCs/>
                <w:color w:val="0D0D0D"/>
                <w:sz w:val="20"/>
              </w:rPr>
            </w:pPr>
          </w:p>
        </w:tc>
        <w:tc>
          <w:tcPr>
            <w:tcW w:w="721" w:type="pct"/>
            <w:vMerge/>
            <w:vAlign w:val="center"/>
          </w:tcPr>
          <w:p w14:paraId="6433194C" w14:textId="77777777" w:rsidR="00785C2F" w:rsidRPr="00C15DF8" w:rsidRDefault="00785C2F">
            <w:pPr>
              <w:widowControl w:val="0"/>
              <w:spacing w:after="0"/>
              <w:rPr>
                <w:rFonts w:ascii="Arial Narrow" w:hAnsi="Arial Narrow" w:cs="Arial"/>
                <w:i/>
                <w:iCs/>
                <w:color w:val="0D0D0D"/>
                <w:sz w:val="20"/>
              </w:rPr>
            </w:pPr>
          </w:p>
        </w:tc>
        <w:tc>
          <w:tcPr>
            <w:tcW w:w="586" w:type="pct"/>
            <w:vMerge/>
            <w:vAlign w:val="center"/>
          </w:tcPr>
          <w:p w14:paraId="175E7691" w14:textId="77777777" w:rsidR="00785C2F" w:rsidRPr="00C15DF8" w:rsidRDefault="00785C2F">
            <w:pPr>
              <w:widowControl w:val="0"/>
              <w:spacing w:after="0"/>
              <w:rPr>
                <w:rFonts w:ascii="Arial Narrow" w:hAnsi="Arial Narrow" w:cs="Arial"/>
                <w:i/>
                <w:iCs/>
                <w:color w:val="0D0D0D"/>
                <w:sz w:val="20"/>
              </w:rPr>
            </w:pPr>
          </w:p>
        </w:tc>
      </w:tr>
      <w:tr w:rsidR="00785C2F" w:rsidRPr="00C15DF8" w14:paraId="7A35B1E4" w14:textId="77777777">
        <w:trPr>
          <w:trHeight w:val="359"/>
          <w:tblHeader/>
        </w:trPr>
        <w:tc>
          <w:tcPr>
            <w:tcW w:w="628" w:type="pct"/>
            <w:vMerge w:val="restart"/>
            <w:shd w:val="clear" w:color="auto" w:fill="auto"/>
            <w:vAlign w:val="center"/>
          </w:tcPr>
          <w:p w14:paraId="35228F78" w14:textId="77777777" w:rsidR="00785C2F" w:rsidRPr="00680E8C" w:rsidRDefault="00785C2F" w:rsidP="00E94E74">
            <w:pPr>
              <w:widowControl w:val="0"/>
              <w:spacing w:after="0"/>
              <w:jc w:val="left"/>
              <w:rPr>
                <w:rFonts w:ascii="Arial Narrow" w:hAnsi="Arial Narrow" w:cs="Arial"/>
                <w:i/>
                <w:iCs/>
                <w:color w:val="0D0D0D"/>
                <w:sz w:val="20"/>
                <w:lang w:val="de-DE"/>
              </w:rPr>
            </w:pPr>
            <w:r w:rsidRPr="00680E8C">
              <w:rPr>
                <w:rFonts w:ascii="Arial Narrow" w:hAnsi="Arial Narrow" w:cs="Arial"/>
                <w:i/>
                <w:iCs/>
                <w:color w:val="0D0D0D"/>
                <w:sz w:val="20"/>
                <w:lang w:val="de-DE"/>
              </w:rPr>
              <w:t>Ruzzenente et al. 2016</w:t>
            </w:r>
          </w:p>
          <w:p w14:paraId="09E6B195" w14:textId="77777777" w:rsidR="00785C2F" w:rsidRPr="00680E8C" w:rsidRDefault="00785C2F" w:rsidP="00E94E74">
            <w:pPr>
              <w:widowControl w:val="0"/>
              <w:spacing w:after="0"/>
              <w:jc w:val="left"/>
              <w:rPr>
                <w:rFonts w:ascii="Arial Narrow" w:hAnsi="Arial Narrow" w:cs="Arial"/>
                <w:i/>
                <w:iCs/>
                <w:color w:val="0D0D0D"/>
                <w:sz w:val="20"/>
                <w:lang w:val="de-DE"/>
              </w:rPr>
            </w:pPr>
            <w:r w:rsidRPr="00680E8C">
              <w:rPr>
                <w:rFonts w:ascii="Arial Narrow" w:hAnsi="Arial Narrow" w:cs="Arial"/>
                <w:i/>
                <w:iCs/>
                <w:color w:val="0D0D0D"/>
                <w:sz w:val="20"/>
                <w:lang w:val="de-DE"/>
              </w:rPr>
              <w:t>(n=36 with EH-PCC)</w:t>
            </w:r>
          </w:p>
        </w:tc>
        <w:tc>
          <w:tcPr>
            <w:tcW w:w="1022" w:type="pct"/>
            <w:vMerge w:val="restart"/>
            <w:vAlign w:val="center"/>
          </w:tcPr>
          <w:p w14:paraId="72376370"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36 patients with </w:t>
            </w:r>
            <w:proofErr w:type="spellStart"/>
            <w:r w:rsidRPr="00C15DF8">
              <w:rPr>
                <w:rFonts w:ascii="Arial Narrow" w:hAnsi="Arial Narrow" w:cs="Arial"/>
                <w:i/>
                <w:iCs/>
                <w:color w:val="0D0D0D"/>
                <w:sz w:val="20"/>
              </w:rPr>
              <w:t>epCCA</w:t>
            </w:r>
            <w:proofErr w:type="spellEnd"/>
            <w:r w:rsidRPr="00C15DF8">
              <w:rPr>
                <w:rFonts w:ascii="Arial Narrow" w:hAnsi="Arial Narrow" w:cs="Arial"/>
                <w:i/>
                <w:iCs/>
                <w:color w:val="0D0D0D"/>
                <w:sz w:val="20"/>
              </w:rPr>
              <w:t xml:space="preserve"> (any stage)</w:t>
            </w:r>
          </w:p>
        </w:tc>
        <w:tc>
          <w:tcPr>
            <w:tcW w:w="549" w:type="pct"/>
            <w:shd w:val="clear" w:color="auto" w:fill="auto"/>
            <w:vAlign w:val="center"/>
          </w:tcPr>
          <w:p w14:paraId="51EEB660"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IDH1v</w:t>
            </w:r>
          </w:p>
        </w:tc>
        <w:tc>
          <w:tcPr>
            <w:tcW w:w="786" w:type="pct"/>
            <w:shd w:val="clear" w:color="auto" w:fill="auto"/>
            <w:vAlign w:val="center"/>
          </w:tcPr>
          <w:p w14:paraId="4DD74FED"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9.1 months</w:t>
            </w:r>
          </w:p>
        </w:tc>
        <w:tc>
          <w:tcPr>
            <w:tcW w:w="708" w:type="pct"/>
            <w:vMerge w:val="restart"/>
            <w:vAlign w:val="center"/>
          </w:tcPr>
          <w:p w14:paraId="582202C6"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-20.5 months</w:t>
            </w:r>
          </w:p>
        </w:tc>
        <w:tc>
          <w:tcPr>
            <w:tcW w:w="721" w:type="pct"/>
            <w:vMerge w:val="restart"/>
            <w:vAlign w:val="center"/>
          </w:tcPr>
          <w:p w14:paraId="2BD1514E"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N/A</w:t>
            </w:r>
          </w:p>
          <w:p w14:paraId="1828DBFB" w14:textId="77777777" w:rsidR="00785C2F" w:rsidRPr="00C15DF8" w:rsidRDefault="00785C2F">
            <w:pPr>
              <w:widowControl w:val="0"/>
              <w:spacing w:after="0"/>
              <w:rPr>
                <w:rFonts w:ascii="Arial Narrow" w:hAnsi="Arial Narrow" w:cs="Arial"/>
                <w:b/>
                <w:bCs/>
                <w:i/>
                <w:iCs/>
                <w:color w:val="0D0D0D"/>
                <w:sz w:val="20"/>
              </w:rPr>
            </w:pPr>
            <w:r w:rsidRPr="00C15DF8">
              <w:rPr>
                <w:rFonts w:ascii="Arial Narrow" w:hAnsi="Arial Narrow" w:cs="Arial"/>
                <w:b/>
                <w:bCs/>
                <w:i/>
                <w:iCs/>
                <w:color w:val="0D0D0D"/>
                <w:sz w:val="20"/>
              </w:rPr>
              <w:t>p=0.043</w:t>
            </w:r>
          </w:p>
        </w:tc>
        <w:tc>
          <w:tcPr>
            <w:tcW w:w="586" w:type="pct"/>
            <w:vMerge w:val="restart"/>
            <w:vAlign w:val="center"/>
          </w:tcPr>
          <w:p w14:paraId="728BD9F6"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r>
      <w:tr w:rsidR="00785C2F" w:rsidRPr="00C15DF8" w14:paraId="602C2B60" w14:textId="77777777">
        <w:trPr>
          <w:tblHeader/>
        </w:trPr>
        <w:tc>
          <w:tcPr>
            <w:tcW w:w="628" w:type="pct"/>
            <w:vMerge/>
            <w:shd w:val="clear" w:color="auto" w:fill="auto"/>
            <w:vAlign w:val="center"/>
          </w:tcPr>
          <w:p w14:paraId="78F67E06" w14:textId="77777777" w:rsidR="00785C2F" w:rsidRPr="00C15DF8" w:rsidRDefault="00785C2F" w:rsidP="00E94E74">
            <w:pPr>
              <w:widowControl w:val="0"/>
              <w:spacing w:after="0"/>
              <w:jc w:val="left"/>
              <w:rPr>
                <w:rFonts w:ascii="Arial Narrow" w:hAnsi="Arial Narrow" w:cs="Arial"/>
                <w:i/>
                <w:iCs/>
                <w:color w:val="0D0D0D"/>
                <w:sz w:val="20"/>
              </w:rPr>
            </w:pPr>
          </w:p>
        </w:tc>
        <w:tc>
          <w:tcPr>
            <w:tcW w:w="1022" w:type="pct"/>
            <w:vMerge/>
            <w:vAlign w:val="center"/>
          </w:tcPr>
          <w:p w14:paraId="234D924F" w14:textId="77777777" w:rsidR="00785C2F" w:rsidRPr="00C15DF8" w:rsidRDefault="00785C2F" w:rsidP="00E94E74">
            <w:pPr>
              <w:widowControl w:val="0"/>
              <w:spacing w:after="0"/>
              <w:jc w:val="left"/>
              <w:rPr>
                <w:rFonts w:ascii="Arial Narrow" w:hAnsi="Arial Narrow" w:cs="Arial"/>
                <w:i/>
                <w:iCs/>
                <w:color w:val="0D0D0D"/>
                <w:sz w:val="20"/>
              </w:rPr>
            </w:pPr>
          </w:p>
        </w:tc>
        <w:tc>
          <w:tcPr>
            <w:tcW w:w="549" w:type="pct"/>
            <w:shd w:val="clear" w:color="auto" w:fill="auto"/>
            <w:vAlign w:val="center"/>
          </w:tcPr>
          <w:p w14:paraId="71F2AA5A"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IDH1wt</w:t>
            </w:r>
          </w:p>
        </w:tc>
        <w:tc>
          <w:tcPr>
            <w:tcW w:w="786" w:type="pct"/>
            <w:shd w:val="clear" w:color="auto" w:fill="auto"/>
            <w:vAlign w:val="center"/>
          </w:tcPr>
          <w:p w14:paraId="057E2DBE"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29.6 months</w:t>
            </w:r>
          </w:p>
        </w:tc>
        <w:tc>
          <w:tcPr>
            <w:tcW w:w="708" w:type="pct"/>
            <w:vMerge/>
            <w:vAlign w:val="center"/>
          </w:tcPr>
          <w:p w14:paraId="54AD8CFE" w14:textId="77777777" w:rsidR="00785C2F" w:rsidRPr="00C15DF8" w:rsidRDefault="00785C2F" w:rsidP="00E94E74">
            <w:pPr>
              <w:widowControl w:val="0"/>
              <w:spacing w:after="0"/>
              <w:jc w:val="left"/>
              <w:rPr>
                <w:rFonts w:ascii="Arial Narrow" w:hAnsi="Arial Narrow" w:cs="Arial"/>
                <w:i/>
                <w:iCs/>
                <w:color w:val="0D0D0D"/>
                <w:sz w:val="20"/>
              </w:rPr>
            </w:pPr>
          </w:p>
        </w:tc>
        <w:tc>
          <w:tcPr>
            <w:tcW w:w="721" w:type="pct"/>
            <w:vMerge/>
            <w:vAlign w:val="center"/>
          </w:tcPr>
          <w:p w14:paraId="2106C43E" w14:textId="77777777" w:rsidR="00785C2F" w:rsidRPr="00C15DF8" w:rsidRDefault="00785C2F">
            <w:pPr>
              <w:widowControl w:val="0"/>
              <w:spacing w:after="0"/>
              <w:rPr>
                <w:rFonts w:ascii="Arial Narrow" w:hAnsi="Arial Narrow" w:cs="Arial"/>
                <w:i/>
                <w:iCs/>
                <w:color w:val="0D0D0D"/>
                <w:sz w:val="20"/>
              </w:rPr>
            </w:pPr>
          </w:p>
        </w:tc>
        <w:tc>
          <w:tcPr>
            <w:tcW w:w="586" w:type="pct"/>
            <w:vMerge/>
            <w:vAlign w:val="center"/>
          </w:tcPr>
          <w:p w14:paraId="1BA33B71" w14:textId="77777777" w:rsidR="00785C2F" w:rsidRPr="00C15DF8" w:rsidRDefault="00785C2F">
            <w:pPr>
              <w:widowControl w:val="0"/>
              <w:spacing w:after="0"/>
              <w:rPr>
                <w:rFonts w:ascii="Arial Narrow" w:hAnsi="Arial Narrow" w:cs="Arial"/>
                <w:i/>
                <w:iCs/>
                <w:color w:val="0D0D0D"/>
                <w:sz w:val="20"/>
              </w:rPr>
            </w:pPr>
          </w:p>
        </w:tc>
      </w:tr>
      <w:tr w:rsidR="00785C2F" w:rsidRPr="00C15DF8" w14:paraId="16517B7C" w14:textId="77777777">
        <w:trPr>
          <w:tblHeader/>
        </w:trPr>
        <w:tc>
          <w:tcPr>
            <w:tcW w:w="628" w:type="pct"/>
            <w:vMerge w:val="restart"/>
            <w:shd w:val="clear" w:color="auto" w:fill="auto"/>
            <w:vAlign w:val="center"/>
          </w:tcPr>
          <w:p w14:paraId="1988ED1A"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Zhu et al. 2014</w:t>
            </w:r>
          </w:p>
        </w:tc>
        <w:tc>
          <w:tcPr>
            <w:tcW w:w="1022" w:type="pct"/>
            <w:vMerge w:val="restart"/>
            <w:vAlign w:val="center"/>
          </w:tcPr>
          <w:p w14:paraId="34FCAF26"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 xml:space="preserve">154 patients with </w:t>
            </w:r>
            <w:proofErr w:type="spellStart"/>
            <w:r w:rsidRPr="00C15DF8">
              <w:rPr>
                <w:rFonts w:ascii="Arial Narrow" w:hAnsi="Arial Narrow" w:cs="Arial"/>
                <w:i/>
                <w:iCs/>
                <w:color w:val="0D0D0D"/>
                <w:sz w:val="20"/>
              </w:rPr>
              <w:t>iCCA</w:t>
            </w:r>
            <w:proofErr w:type="spellEnd"/>
            <w:r w:rsidRPr="00C15DF8">
              <w:rPr>
                <w:rFonts w:ascii="Arial Narrow" w:hAnsi="Arial Narrow" w:cs="Arial"/>
                <w:i/>
                <w:iCs/>
                <w:color w:val="0D0D0D"/>
                <w:sz w:val="20"/>
              </w:rPr>
              <w:t xml:space="preserve"> (any stage)</w:t>
            </w:r>
          </w:p>
        </w:tc>
        <w:tc>
          <w:tcPr>
            <w:tcW w:w="549" w:type="pct"/>
            <w:shd w:val="clear" w:color="auto" w:fill="auto"/>
            <w:vAlign w:val="center"/>
          </w:tcPr>
          <w:p w14:paraId="5CD82131"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IDH1v</w:t>
            </w:r>
          </w:p>
        </w:tc>
        <w:tc>
          <w:tcPr>
            <w:tcW w:w="786" w:type="pct"/>
            <w:shd w:val="clear" w:color="auto" w:fill="auto"/>
            <w:vAlign w:val="center"/>
          </w:tcPr>
          <w:p w14:paraId="6A7E2D37"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39.31 months</w:t>
            </w:r>
          </w:p>
        </w:tc>
        <w:tc>
          <w:tcPr>
            <w:tcW w:w="708" w:type="pct"/>
            <w:vMerge w:val="restart"/>
            <w:vAlign w:val="center"/>
          </w:tcPr>
          <w:p w14:paraId="05997DB6" w14:textId="77777777" w:rsidR="00785C2F" w:rsidRPr="00C15DF8" w:rsidRDefault="00785C2F" w:rsidP="00E94E74">
            <w:pPr>
              <w:widowControl w:val="0"/>
              <w:spacing w:after="0"/>
              <w:jc w:val="left"/>
              <w:rPr>
                <w:rFonts w:ascii="Arial Narrow" w:hAnsi="Arial Narrow" w:cs="Arial"/>
                <w:i/>
                <w:iCs/>
                <w:color w:val="0D0D0D"/>
                <w:sz w:val="20"/>
              </w:rPr>
            </w:pPr>
            <w:r w:rsidRPr="00C15DF8">
              <w:rPr>
                <w:rFonts w:ascii="Arial Narrow" w:hAnsi="Arial Narrow" w:cs="Arial"/>
                <w:i/>
                <w:iCs/>
                <w:color w:val="0D0D0D"/>
                <w:sz w:val="20"/>
              </w:rPr>
              <w:t>8.36 months</w:t>
            </w:r>
          </w:p>
        </w:tc>
        <w:tc>
          <w:tcPr>
            <w:tcW w:w="721" w:type="pct"/>
            <w:vMerge w:val="restart"/>
            <w:vAlign w:val="center"/>
          </w:tcPr>
          <w:p w14:paraId="6C7863B7"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0.98 (0.58, 1.65)</w:t>
            </w:r>
          </w:p>
          <w:p w14:paraId="619650F3"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p=0.94</w:t>
            </w:r>
          </w:p>
        </w:tc>
        <w:tc>
          <w:tcPr>
            <w:tcW w:w="586" w:type="pct"/>
            <w:vMerge w:val="restart"/>
            <w:vAlign w:val="center"/>
          </w:tcPr>
          <w:p w14:paraId="5EAC62A7"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color w:val="0D0D0D"/>
                <w:sz w:val="20"/>
              </w:rPr>
              <w:t>N/A</w:t>
            </w:r>
          </w:p>
        </w:tc>
      </w:tr>
      <w:tr w:rsidR="00785C2F" w:rsidRPr="00C15DF8" w14:paraId="48902B8E" w14:textId="77777777">
        <w:trPr>
          <w:tblHeader/>
        </w:trPr>
        <w:tc>
          <w:tcPr>
            <w:tcW w:w="628" w:type="pct"/>
            <w:vMerge/>
            <w:shd w:val="clear" w:color="auto" w:fill="auto"/>
            <w:vAlign w:val="center"/>
          </w:tcPr>
          <w:p w14:paraId="4EFAFD37" w14:textId="77777777" w:rsidR="00785C2F" w:rsidRPr="00C15DF8" w:rsidRDefault="00785C2F">
            <w:pPr>
              <w:widowControl w:val="0"/>
              <w:spacing w:after="0"/>
              <w:rPr>
                <w:rFonts w:ascii="Arial Narrow" w:hAnsi="Arial Narrow" w:cs="Arial"/>
                <w:color w:val="0D0D0D"/>
                <w:sz w:val="20"/>
              </w:rPr>
            </w:pPr>
          </w:p>
        </w:tc>
        <w:tc>
          <w:tcPr>
            <w:tcW w:w="1022" w:type="pct"/>
            <w:vMerge/>
          </w:tcPr>
          <w:p w14:paraId="0DD11787" w14:textId="77777777" w:rsidR="00785C2F" w:rsidRPr="00C15DF8" w:rsidRDefault="00785C2F">
            <w:pPr>
              <w:widowControl w:val="0"/>
              <w:spacing w:after="0"/>
              <w:rPr>
                <w:rFonts w:ascii="Arial Narrow" w:hAnsi="Arial Narrow" w:cs="Arial"/>
                <w:i/>
                <w:iCs/>
                <w:color w:val="0D0D0D"/>
                <w:sz w:val="20"/>
              </w:rPr>
            </w:pPr>
          </w:p>
        </w:tc>
        <w:tc>
          <w:tcPr>
            <w:tcW w:w="549" w:type="pct"/>
            <w:shd w:val="clear" w:color="auto" w:fill="auto"/>
            <w:vAlign w:val="center"/>
          </w:tcPr>
          <w:p w14:paraId="298042C7"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IDH1wt</w:t>
            </w:r>
          </w:p>
        </w:tc>
        <w:tc>
          <w:tcPr>
            <w:tcW w:w="786" w:type="pct"/>
            <w:shd w:val="clear" w:color="auto" w:fill="auto"/>
            <w:vAlign w:val="center"/>
          </w:tcPr>
          <w:p w14:paraId="388E90A1" w14:textId="77777777" w:rsidR="00785C2F" w:rsidRPr="00C15DF8" w:rsidRDefault="00785C2F">
            <w:pPr>
              <w:widowControl w:val="0"/>
              <w:spacing w:after="0"/>
              <w:rPr>
                <w:rFonts w:ascii="Arial Narrow" w:hAnsi="Arial Narrow" w:cs="Arial"/>
                <w:i/>
                <w:iCs/>
                <w:color w:val="0D0D0D"/>
                <w:sz w:val="20"/>
              </w:rPr>
            </w:pPr>
            <w:r w:rsidRPr="00C15DF8">
              <w:rPr>
                <w:rFonts w:ascii="Arial Narrow" w:hAnsi="Arial Narrow" w:cs="Arial"/>
                <w:i/>
                <w:iCs/>
                <w:color w:val="0D0D0D"/>
                <w:sz w:val="20"/>
              </w:rPr>
              <w:t>30.95 months</w:t>
            </w:r>
          </w:p>
        </w:tc>
        <w:tc>
          <w:tcPr>
            <w:tcW w:w="708" w:type="pct"/>
            <w:vMerge/>
          </w:tcPr>
          <w:p w14:paraId="504F3D24" w14:textId="77777777" w:rsidR="00785C2F" w:rsidRPr="00C15DF8" w:rsidRDefault="00785C2F">
            <w:pPr>
              <w:widowControl w:val="0"/>
              <w:spacing w:after="0"/>
              <w:rPr>
                <w:rFonts w:ascii="Arial Narrow" w:hAnsi="Arial Narrow" w:cs="Arial"/>
                <w:color w:val="0D0D0D"/>
                <w:sz w:val="20"/>
              </w:rPr>
            </w:pPr>
          </w:p>
        </w:tc>
        <w:tc>
          <w:tcPr>
            <w:tcW w:w="721" w:type="pct"/>
            <w:vMerge/>
            <w:vAlign w:val="center"/>
          </w:tcPr>
          <w:p w14:paraId="0AE960F4" w14:textId="77777777" w:rsidR="00785C2F" w:rsidRPr="00C15DF8" w:rsidRDefault="00785C2F">
            <w:pPr>
              <w:widowControl w:val="0"/>
              <w:spacing w:after="0"/>
              <w:rPr>
                <w:rFonts w:ascii="Arial Narrow" w:hAnsi="Arial Narrow" w:cs="Arial"/>
                <w:color w:val="0D0D0D"/>
                <w:sz w:val="20"/>
              </w:rPr>
            </w:pPr>
          </w:p>
        </w:tc>
        <w:tc>
          <w:tcPr>
            <w:tcW w:w="586" w:type="pct"/>
            <w:vMerge/>
            <w:vAlign w:val="center"/>
          </w:tcPr>
          <w:p w14:paraId="36392012" w14:textId="77777777" w:rsidR="00785C2F" w:rsidRPr="00C15DF8" w:rsidRDefault="00785C2F">
            <w:pPr>
              <w:widowControl w:val="0"/>
              <w:spacing w:after="0"/>
              <w:rPr>
                <w:rFonts w:ascii="Arial Narrow" w:hAnsi="Arial Narrow" w:cs="Arial"/>
                <w:color w:val="0D0D0D"/>
                <w:sz w:val="20"/>
              </w:rPr>
            </w:pPr>
          </w:p>
        </w:tc>
      </w:tr>
    </w:tbl>
    <w:p w14:paraId="5DE3B855" w14:textId="77777777" w:rsidR="00785C2F" w:rsidRPr="00F058B4" w:rsidRDefault="00785C2F" w:rsidP="00AB0371">
      <w:pPr>
        <w:tabs>
          <w:tab w:val="left" w:pos="284"/>
        </w:tabs>
        <w:spacing w:before="0" w:after="0"/>
        <w:rPr>
          <w:rFonts w:ascii="Arial Narrow" w:eastAsia="Times New Roman" w:hAnsi="Arial Narrow" w:cs="Arial"/>
          <w:snapToGrid w:val="0"/>
          <w:color w:val="0D0D0D"/>
          <w:sz w:val="18"/>
          <w:szCs w:val="16"/>
          <w:lang w:eastAsia="en-AU"/>
        </w:rPr>
      </w:pPr>
      <w:r w:rsidRPr="00F058B4">
        <w:rPr>
          <w:rFonts w:ascii="Arial Narrow" w:eastAsia="Times New Roman" w:hAnsi="Arial Narrow" w:cs="Arial"/>
          <w:snapToGrid w:val="0"/>
          <w:color w:val="0D0D0D"/>
          <w:sz w:val="18"/>
          <w:szCs w:val="16"/>
          <w:lang w:eastAsia="en-AU"/>
        </w:rPr>
        <w:t xml:space="preserve">Source: Table 2-12 p69 of the submission </w:t>
      </w:r>
    </w:p>
    <w:p w14:paraId="0423753E" w14:textId="77777777" w:rsidR="00785C2F" w:rsidRPr="00F058B4" w:rsidRDefault="00785C2F" w:rsidP="00AB0371">
      <w:pPr>
        <w:tabs>
          <w:tab w:val="left" w:pos="284"/>
        </w:tabs>
        <w:spacing w:before="0" w:after="0"/>
        <w:rPr>
          <w:rFonts w:ascii="Arial Narrow" w:eastAsia="Times New Roman" w:hAnsi="Arial Narrow" w:cs="Arial"/>
          <w:snapToGrid w:val="0"/>
          <w:color w:val="0D0D0D"/>
          <w:sz w:val="18"/>
          <w:szCs w:val="16"/>
          <w:lang w:eastAsia="en-AU"/>
        </w:rPr>
      </w:pPr>
      <w:r w:rsidRPr="00F058B4">
        <w:rPr>
          <w:rFonts w:ascii="Arial Narrow" w:eastAsia="Times New Roman" w:hAnsi="Arial Narrow" w:cs="Arial"/>
          <w:snapToGrid w:val="0"/>
          <w:color w:val="0D0D0D"/>
          <w:sz w:val="18"/>
          <w:szCs w:val="16"/>
          <w:lang w:eastAsia="en-AU"/>
        </w:rPr>
        <w:t xml:space="preserve">CI = confidence interval; </w:t>
      </w:r>
      <w:proofErr w:type="spellStart"/>
      <w:r w:rsidRPr="00F058B4">
        <w:rPr>
          <w:rFonts w:ascii="Arial Narrow" w:eastAsia="Times New Roman" w:hAnsi="Arial Narrow" w:cs="Arial"/>
          <w:snapToGrid w:val="0"/>
          <w:color w:val="0D0D0D"/>
          <w:sz w:val="18"/>
          <w:szCs w:val="16"/>
          <w:lang w:eastAsia="en-AU"/>
        </w:rPr>
        <w:t>epCCA</w:t>
      </w:r>
      <w:proofErr w:type="spellEnd"/>
      <w:r w:rsidRPr="00F058B4">
        <w:rPr>
          <w:rFonts w:ascii="Arial Narrow" w:eastAsia="Times New Roman" w:hAnsi="Arial Narrow" w:cs="Arial"/>
          <w:snapToGrid w:val="0"/>
          <w:color w:val="0D0D0D"/>
          <w:sz w:val="18"/>
          <w:szCs w:val="16"/>
          <w:lang w:eastAsia="en-AU"/>
        </w:rPr>
        <w:t xml:space="preserve"> = extrahepatic perihilar cholangiocarcinoma; HR = hazard ratio; </w:t>
      </w:r>
      <w:proofErr w:type="spellStart"/>
      <w:r w:rsidRPr="00F058B4">
        <w:rPr>
          <w:rFonts w:ascii="Arial Narrow" w:eastAsia="Times New Roman" w:hAnsi="Arial Narrow" w:cs="Arial"/>
          <w:snapToGrid w:val="0"/>
          <w:color w:val="0D0D0D"/>
          <w:sz w:val="18"/>
          <w:szCs w:val="16"/>
          <w:lang w:eastAsia="en-AU"/>
        </w:rPr>
        <w:t>iCCA</w:t>
      </w:r>
      <w:proofErr w:type="spellEnd"/>
      <w:r w:rsidRPr="00F058B4">
        <w:rPr>
          <w:rFonts w:ascii="Arial Narrow" w:eastAsia="Times New Roman" w:hAnsi="Arial Narrow" w:cs="Arial"/>
          <w:snapToGrid w:val="0"/>
          <w:color w:val="0D0D0D"/>
          <w:sz w:val="18"/>
          <w:szCs w:val="16"/>
          <w:lang w:eastAsia="en-AU"/>
        </w:rPr>
        <w:t xml:space="preserve"> = intrahepatic cholangiocarcinoma; </w:t>
      </w:r>
      <w:r w:rsidRPr="00F058B4">
        <w:rPr>
          <w:rFonts w:ascii="Arial Narrow" w:eastAsia="Times New Roman" w:hAnsi="Arial Narrow" w:cs="Arial"/>
          <w:i/>
          <w:iCs/>
          <w:snapToGrid w:val="0"/>
          <w:color w:val="0D0D0D"/>
          <w:sz w:val="18"/>
          <w:szCs w:val="16"/>
          <w:lang w:eastAsia="en-AU"/>
        </w:rPr>
        <w:t>IDH1</w:t>
      </w:r>
      <w:r w:rsidRPr="00F058B4">
        <w:rPr>
          <w:rFonts w:ascii="Arial Narrow" w:eastAsia="Times New Roman" w:hAnsi="Arial Narrow" w:cs="Arial"/>
          <w:snapToGrid w:val="0"/>
          <w:color w:val="0D0D0D"/>
          <w:sz w:val="18"/>
          <w:szCs w:val="16"/>
          <w:lang w:eastAsia="en-AU"/>
        </w:rPr>
        <w:t xml:space="preserve">v = isocitrate dehydrogenase 1 variant; </w:t>
      </w:r>
      <w:r w:rsidRPr="00F058B4">
        <w:rPr>
          <w:rFonts w:ascii="Arial Narrow" w:eastAsia="Times New Roman" w:hAnsi="Arial Narrow" w:cs="Arial"/>
          <w:i/>
          <w:iCs/>
          <w:snapToGrid w:val="0"/>
          <w:color w:val="0D0D0D"/>
          <w:sz w:val="18"/>
          <w:szCs w:val="16"/>
          <w:lang w:eastAsia="en-AU"/>
        </w:rPr>
        <w:t>IDH1</w:t>
      </w:r>
      <w:r w:rsidRPr="00F058B4">
        <w:rPr>
          <w:rFonts w:ascii="Arial Narrow" w:eastAsia="Times New Roman" w:hAnsi="Arial Narrow" w:cs="Arial"/>
          <w:snapToGrid w:val="0"/>
          <w:color w:val="0D0D0D"/>
          <w:sz w:val="18"/>
          <w:szCs w:val="16"/>
          <w:lang w:eastAsia="en-AU"/>
        </w:rPr>
        <w:t>wt = isocitrate dehydrogenase 1 wildtype; N/A = not available; OS = overall survival</w:t>
      </w:r>
    </w:p>
    <w:p w14:paraId="6B9A4FD4" w14:textId="0A8CE4BC" w:rsidR="00785C2F" w:rsidRPr="002E6641" w:rsidRDefault="00B85013" w:rsidP="00785C2F">
      <w:pPr>
        <w:spacing w:after="240"/>
        <w:rPr>
          <w:rFonts w:ascii="Franklin Gothic Book" w:hAnsi="Franklin Gothic Book"/>
          <w:color w:val="0D0D0D"/>
          <w:sz w:val="22"/>
        </w:rPr>
      </w:pPr>
      <w:r w:rsidRPr="002E6641">
        <w:rPr>
          <w:rFonts w:ascii="Franklin Gothic Book" w:hAnsi="Franklin Gothic Book"/>
          <w:color w:val="0D0D0D"/>
          <w:sz w:val="22"/>
        </w:rPr>
        <w:t>The commentary noted that b</w:t>
      </w:r>
      <w:r w:rsidR="00785C2F" w:rsidRPr="002E6641">
        <w:rPr>
          <w:rFonts w:ascii="Franklin Gothic Book" w:hAnsi="Franklin Gothic Book"/>
          <w:color w:val="0D0D0D"/>
          <w:sz w:val="22"/>
        </w:rPr>
        <w:t>oth arms of the key trial (</w:t>
      </w:r>
      <w:proofErr w:type="spellStart"/>
      <w:r w:rsidR="00785C2F" w:rsidRPr="002E6641">
        <w:rPr>
          <w:rFonts w:ascii="Franklin Gothic Book" w:hAnsi="Franklin Gothic Book"/>
          <w:color w:val="0D0D0D"/>
          <w:sz w:val="22"/>
        </w:rPr>
        <w:t>ClarIDHy</w:t>
      </w:r>
      <w:proofErr w:type="spellEnd"/>
      <w:r w:rsidR="00785C2F" w:rsidRPr="002E6641">
        <w:rPr>
          <w:rFonts w:ascii="Franklin Gothic Book" w:hAnsi="Franklin Gothic Book"/>
          <w:color w:val="0D0D0D"/>
          <w:sz w:val="22"/>
        </w:rPr>
        <w:t xml:space="preserve">) were in patients with </w:t>
      </w:r>
      <w:r w:rsidR="00785C2F" w:rsidRPr="002E6641">
        <w:rPr>
          <w:rFonts w:ascii="Franklin Gothic Book" w:hAnsi="Franklin Gothic Book"/>
          <w:i/>
          <w:iCs/>
          <w:color w:val="0D0D0D"/>
          <w:sz w:val="22"/>
        </w:rPr>
        <w:t>IDH1</w:t>
      </w:r>
      <w:r w:rsidR="00785C2F" w:rsidRPr="002E6641">
        <w:rPr>
          <w:rFonts w:ascii="Franklin Gothic Book" w:hAnsi="Franklin Gothic Book"/>
          <w:color w:val="0D0D0D"/>
          <w:sz w:val="22"/>
        </w:rPr>
        <w:t xml:space="preserve"> variants, meaning that any differences in health outcomes between treatment arms were not due to presence or absence of the biomarker. </w:t>
      </w:r>
    </w:p>
    <w:p w14:paraId="19F566D6" w14:textId="77777777" w:rsidR="00785C2F" w:rsidRPr="002E6641" w:rsidRDefault="00785C2F" w:rsidP="00864ADF">
      <w:pPr>
        <w:keepNext/>
        <w:keepLines/>
        <w:numPr>
          <w:ilvl w:val="6"/>
          <w:numId w:val="3"/>
        </w:numPr>
        <w:spacing w:before="240" w:after="0" w:line="259" w:lineRule="auto"/>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 xml:space="preserve">Predictive evidence </w:t>
      </w:r>
    </w:p>
    <w:p w14:paraId="7676EC17" w14:textId="5A2FA5D6" w:rsidR="00785C2F" w:rsidRPr="002E6641" w:rsidRDefault="00B85013" w:rsidP="00785C2F">
      <w:pPr>
        <w:spacing w:after="240"/>
        <w:rPr>
          <w:rFonts w:ascii="Franklin Gothic Book" w:hAnsi="Franklin Gothic Book"/>
          <w:color w:val="0D0D0D"/>
          <w:sz w:val="22"/>
        </w:rPr>
      </w:pPr>
      <w:r w:rsidRPr="002E6641">
        <w:rPr>
          <w:rFonts w:ascii="Franklin Gothic Book" w:hAnsi="Franklin Gothic Book"/>
          <w:color w:val="0D0D0D"/>
          <w:sz w:val="22"/>
        </w:rPr>
        <w:t>The commentary noted that n</w:t>
      </w:r>
      <w:r w:rsidR="00785C2F" w:rsidRPr="002E6641">
        <w:rPr>
          <w:rFonts w:ascii="Franklin Gothic Book" w:hAnsi="Franklin Gothic Book"/>
          <w:color w:val="0D0D0D"/>
          <w:sz w:val="22"/>
        </w:rPr>
        <w:t xml:space="preserve">o predictive evidence was provided in the submission (i.e. no clinical evidence was provided showing a differential effect of ivosidenib in those with and without the biomarker). However, there is a biological rationale that ivosidenib is an IDH1 enzyme inhibitor. </w:t>
      </w:r>
    </w:p>
    <w:p w14:paraId="4B4C3214" w14:textId="77777777" w:rsidR="00785C2F" w:rsidRPr="002E6641" w:rsidRDefault="00785C2F" w:rsidP="00785C2F">
      <w:pPr>
        <w:spacing w:after="240"/>
        <w:rPr>
          <w:rFonts w:ascii="Franklin Gothic Book" w:hAnsi="Franklin Gothic Book"/>
          <w:color w:val="0D0D0D"/>
          <w:sz w:val="22"/>
        </w:rPr>
      </w:pPr>
      <w:r w:rsidRPr="002E6641">
        <w:rPr>
          <w:rFonts w:ascii="Franklin Gothic Book" w:hAnsi="Franklin Gothic Book"/>
          <w:color w:val="0D0D0D"/>
          <w:sz w:val="22"/>
        </w:rPr>
        <w:lastRenderedPageBreak/>
        <w:t xml:space="preserve">Preclinical evidence in </w:t>
      </w:r>
      <w:r w:rsidRPr="002E6641">
        <w:rPr>
          <w:rFonts w:ascii="Franklin Gothic Book" w:hAnsi="Franklin Gothic Book"/>
          <w:i/>
          <w:iCs/>
          <w:color w:val="0D0D0D"/>
          <w:sz w:val="22"/>
        </w:rPr>
        <w:t>ex vivo</w:t>
      </w:r>
      <w:r w:rsidRPr="002E6641">
        <w:rPr>
          <w:rFonts w:ascii="Franklin Gothic Book" w:hAnsi="Franklin Gothic Book"/>
          <w:color w:val="0D0D0D"/>
          <w:sz w:val="22"/>
        </w:rPr>
        <w:t xml:space="preserve"> samples (blast cells, bone marrow or peripheral blood samples) from humans with acute myeloid leukaemia with and without R132 variants in the</w:t>
      </w:r>
      <w:r w:rsidRPr="002E6641">
        <w:rPr>
          <w:rFonts w:ascii="Franklin Gothic Book" w:hAnsi="Franklin Gothic Book" w:cs="Arial"/>
          <w:i/>
          <w:color w:val="0D0D0D"/>
          <w:sz w:val="22"/>
        </w:rPr>
        <w:t xml:space="preserve"> IDH1</w:t>
      </w:r>
      <w:r w:rsidRPr="002E6641">
        <w:rPr>
          <w:rFonts w:ascii="Franklin Gothic Book" w:hAnsi="Franklin Gothic Book"/>
          <w:color w:val="0D0D0D"/>
          <w:sz w:val="22"/>
        </w:rPr>
        <w:t xml:space="preserve"> gene showed that ivosidenib reduced the levels of intracellular 2-HG by 96-99.7% in samples with variants in </w:t>
      </w:r>
      <w:r w:rsidRPr="002E6641">
        <w:rPr>
          <w:rFonts w:ascii="Franklin Gothic Book" w:hAnsi="Franklin Gothic Book" w:cs="Arial"/>
          <w:i/>
          <w:color w:val="0D0D0D"/>
          <w:sz w:val="22"/>
        </w:rPr>
        <w:t>IDH1</w:t>
      </w:r>
      <w:r w:rsidRPr="002E6641">
        <w:rPr>
          <w:rFonts w:ascii="Franklin Gothic Book" w:hAnsi="Franklin Gothic Book"/>
          <w:color w:val="0D0D0D"/>
          <w:sz w:val="22"/>
        </w:rPr>
        <w:t>, whe</w:t>
      </w:r>
      <w:r w:rsidRPr="002E6641">
        <w:rPr>
          <w:rFonts w:ascii="Franklin Gothic Book" w:hAnsi="Franklin Gothic Book" w:cs="Arial"/>
          <w:color w:val="0D0D0D"/>
          <w:sz w:val="22"/>
        </w:rPr>
        <w:t>reas 2-HG</w:t>
      </w:r>
      <w:r w:rsidRPr="002E6641">
        <w:rPr>
          <w:rFonts w:ascii="Franklin Gothic Book" w:hAnsi="Franklin Gothic Book"/>
          <w:color w:val="0D0D0D"/>
          <w:sz w:val="22"/>
        </w:rPr>
        <w:t xml:space="preserve"> levels in wildtype samples were undetectable</w:t>
      </w:r>
      <w:r w:rsidRPr="002E6641">
        <w:rPr>
          <w:rFonts w:ascii="Franklin Gothic Book" w:hAnsi="Franklin Gothic Book"/>
          <w:color w:val="0D0D0D"/>
          <w:sz w:val="22"/>
          <w:vertAlign w:val="superscript"/>
        </w:rPr>
        <w:footnoteReference w:id="9"/>
      </w:r>
      <w:r w:rsidRPr="002E6641">
        <w:rPr>
          <w:rFonts w:ascii="Franklin Gothic Book" w:hAnsi="Franklin Gothic Book" w:cs="Arial"/>
          <w:color w:val="0D0D0D"/>
          <w:sz w:val="22"/>
        </w:rPr>
        <w:t xml:space="preserve">. </w:t>
      </w:r>
      <w:r w:rsidRPr="002E6641">
        <w:rPr>
          <w:rFonts w:ascii="Franklin Gothic Book" w:hAnsi="Franklin Gothic Book"/>
          <w:color w:val="0D0D0D"/>
          <w:sz w:val="22"/>
        </w:rPr>
        <w:t xml:space="preserve"> </w:t>
      </w:r>
    </w:p>
    <w:p w14:paraId="08322D63" w14:textId="0C635168" w:rsidR="001769C0" w:rsidRPr="002E6641" w:rsidRDefault="001703A3" w:rsidP="00785C2F">
      <w:pPr>
        <w:spacing w:after="240"/>
        <w:rPr>
          <w:rFonts w:ascii="Franklin Gothic Book" w:hAnsi="Franklin Gothic Book"/>
          <w:color w:val="0D0D0D"/>
          <w:sz w:val="22"/>
        </w:rPr>
      </w:pPr>
      <w:r w:rsidRPr="002E6641">
        <w:rPr>
          <w:rFonts w:ascii="Franklin Gothic Book" w:hAnsi="Franklin Gothic Book"/>
          <w:color w:val="0D0D0D"/>
          <w:sz w:val="22"/>
        </w:rPr>
        <w:t>The commentary considered i</w:t>
      </w:r>
      <w:r w:rsidR="00785C2F" w:rsidRPr="002E6641">
        <w:rPr>
          <w:rFonts w:ascii="Franklin Gothic Book" w:hAnsi="Franklin Gothic Book"/>
          <w:color w:val="0D0D0D"/>
          <w:sz w:val="22"/>
        </w:rPr>
        <w:t xml:space="preserve">t is therefore reasonable to conclude that the presence of an </w:t>
      </w:r>
      <w:r w:rsidR="00785C2F" w:rsidRPr="002E6641">
        <w:rPr>
          <w:rFonts w:ascii="Franklin Gothic Book" w:hAnsi="Franklin Gothic Book"/>
          <w:i/>
          <w:iCs/>
          <w:color w:val="0D0D0D"/>
          <w:sz w:val="22"/>
        </w:rPr>
        <w:t>IDH1</w:t>
      </w:r>
      <w:r w:rsidR="00785C2F" w:rsidRPr="002E6641">
        <w:rPr>
          <w:rFonts w:ascii="Franklin Gothic Book" w:hAnsi="Franklin Gothic Book"/>
          <w:color w:val="0D0D0D"/>
          <w:sz w:val="22"/>
        </w:rPr>
        <w:t xml:space="preserve"> variant would be predictive of a response to ivosidenib. </w:t>
      </w:r>
    </w:p>
    <w:p w14:paraId="79A8DEC0" w14:textId="77777777" w:rsidR="00785C2F" w:rsidRPr="002E6641" w:rsidRDefault="00785C2F" w:rsidP="00864ADF">
      <w:pPr>
        <w:keepNext/>
        <w:keepLines/>
        <w:numPr>
          <w:ilvl w:val="6"/>
          <w:numId w:val="3"/>
        </w:numPr>
        <w:spacing w:before="240" w:after="0" w:line="259" w:lineRule="auto"/>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Change in management in practice</w:t>
      </w:r>
    </w:p>
    <w:p w14:paraId="5E7669B4" w14:textId="3C92F1AC" w:rsidR="00785C2F" w:rsidRPr="002E6641" w:rsidRDefault="001703A3" w:rsidP="00785C2F">
      <w:pPr>
        <w:spacing w:after="240"/>
        <w:rPr>
          <w:rFonts w:ascii="Franklin Gothic Book" w:hAnsi="Franklin Gothic Book"/>
          <w:i/>
          <w:iCs/>
          <w:color w:val="0D0D0D"/>
          <w:sz w:val="22"/>
        </w:rPr>
      </w:pPr>
      <w:r w:rsidRPr="002E6641">
        <w:rPr>
          <w:rFonts w:ascii="Franklin Gothic Book" w:hAnsi="Franklin Gothic Book"/>
          <w:color w:val="0D0D0D"/>
          <w:sz w:val="22"/>
        </w:rPr>
        <w:t xml:space="preserve">The commentary noted </w:t>
      </w:r>
      <w:r w:rsidR="00711855" w:rsidRPr="002E6641">
        <w:rPr>
          <w:rFonts w:ascii="Franklin Gothic Book" w:hAnsi="Franklin Gothic Book"/>
          <w:color w:val="0D0D0D"/>
          <w:sz w:val="22"/>
        </w:rPr>
        <w:t>n</w:t>
      </w:r>
      <w:r w:rsidR="00785C2F" w:rsidRPr="002E6641">
        <w:rPr>
          <w:rFonts w:ascii="Franklin Gothic Book" w:hAnsi="Franklin Gothic Book"/>
          <w:color w:val="0D0D0D"/>
          <w:sz w:val="22"/>
        </w:rPr>
        <w:t xml:space="preserve">o change in management data were presented in the submission. However, given that an </w:t>
      </w:r>
      <w:r w:rsidR="00785C2F" w:rsidRPr="002E6641">
        <w:rPr>
          <w:rFonts w:ascii="Franklin Gothic Book" w:hAnsi="Franklin Gothic Book" w:cs="Arial"/>
          <w:i/>
          <w:iCs/>
          <w:color w:val="0D0D0D"/>
          <w:sz w:val="22"/>
        </w:rPr>
        <w:t xml:space="preserve">IDH1 </w:t>
      </w:r>
      <w:r w:rsidR="00785C2F" w:rsidRPr="002E6641">
        <w:rPr>
          <w:rFonts w:ascii="Franklin Gothic Book" w:hAnsi="Franklin Gothic Book"/>
          <w:color w:val="0D0D0D"/>
          <w:sz w:val="22"/>
        </w:rPr>
        <w:t>variant is required in order to be eligible for ivosidenib</w:t>
      </w:r>
      <w:r w:rsidR="00785C2F" w:rsidRPr="002E6641">
        <w:rPr>
          <w:rFonts w:ascii="Franklin Gothic Book" w:hAnsi="Franklin Gothic Book"/>
          <w:i/>
          <w:iCs/>
          <w:color w:val="0D0D0D"/>
          <w:sz w:val="22"/>
        </w:rPr>
        <w:t xml:space="preserve">, </w:t>
      </w:r>
      <w:r w:rsidR="00785C2F" w:rsidRPr="002E6641">
        <w:rPr>
          <w:rFonts w:ascii="Franklin Gothic Book" w:hAnsi="Franklin Gothic Book"/>
          <w:color w:val="0D0D0D"/>
          <w:sz w:val="22"/>
        </w:rPr>
        <w:t>it is reasonable to assume that the results of</w:t>
      </w:r>
      <w:r w:rsidR="00785C2F" w:rsidRPr="002E6641">
        <w:rPr>
          <w:rFonts w:ascii="Franklin Gothic Book" w:hAnsi="Franklin Gothic Book"/>
          <w:i/>
          <w:iCs/>
          <w:color w:val="0D0D0D"/>
          <w:sz w:val="22"/>
        </w:rPr>
        <w:t xml:space="preserve"> </w:t>
      </w:r>
      <w:r w:rsidR="00785C2F" w:rsidRPr="002E6641">
        <w:rPr>
          <w:rFonts w:ascii="Franklin Gothic Book" w:hAnsi="Franklin Gothic Book" w:cs="Arial"/>
          <w:i/>
          <w:iCs/>
          <w:color w:val="0D0D0D"/>
          <w:sz w:val="22"/>
        </w:rPr>
        <w:t>IDH1</w:t>
      </w:r>
      <w:r w:rsidR="00785C2F" w:rsidRPr="002E6641">
        <w:rPr>
          <w:rFonts w:ascii="Franklin Gothic Book" w:hAnsi="Franklin Gothic Book" w:cs="Arial"/>
          <w:color w:val="0D0D0D"/>
          <w:sz w:val="22"/>
        </w:rPr>
        <w:t xml:space="preserve"> </w:t>
      </w:r>
      <w:r w:rsidR="00785C2F" w:rsidRPr="002E6641">
        <w:rPr>
          <w:rFonts w:ascii="Franklin Gothic Book" w:hAnsi="Franklin Gothic Book"/>
          <w:color w:val="0D0D0D"/>
          <w:sz w:val="22"/>
        </w:rPr>
        <w:t>testing would result in a change in management. That is, that patients who are otherwise eligible for ivosidenib would receive it, if they have a variant that suggests they may benefit from the targeted treatment</w:t>
      </w:r>
      <w:r w:rsidR="00785C2F" w:rsidRPr="002E6641">
        <w:rPr>
          <w:rFonts w:ascii="Franklin Gothic Book" w:hAnsi="Franklin Gothic Book"/>
          <w:i/>
          <w:iCs/>
          <w:color w:val="0D0D0D"/>
          <w:sz w:val="22"/>
        </w:rPr>
        <w:t xml:space="preserve">.  </w:t>
      </w:r>
    </w:p>
    <w:p w14:paraId="7014504F" w14:textId="0F450BB8" w:rsidR="001769C0" w:rsidRPr="002E6641" w:rsidRDefault="00785C2F" w:rsidP="00785C2F">
      <w:pPr>
        <w:spacing w:after="240"/>
        <w:rPr>
          <w:rFonts w:ascii="Franklin Gothic Book" w:hAnsi="Franklin Gothic Book"/>
          <w:color w:val="0D0D0D"/>
          <w:sz w:val="22"/>
        </w:rPr>
      </w:pPr>
      <w:r w:rsidRPr="002E6641">
        <w:rPr>
          <w:rFonts w:ascii="Franklin Gothic Book" w:hAnsi="Franklin Gothic Book"/>
          <w:color w:val="0D0D0D"/>
          <w:sz w:val="22"/>
        </w:rPr>
        <w:t xml:space="preserve">The sponsor estimated that </w:t>
      </w:r>
      <w:r w:rsidR="00D8482A" w:rsidRPr="001F0A5F">
        <w:rPr>
          <w:rFonts w:ascii="Franklin Gothic Book" w:hAnsi="Franklin Gothic Book" w:cs="Arial"/>
          <w:b/>
          <w:bCs/>
          <w:color w:val="0D0D0D"/>
          <w:sz w:val="22"/>
        </w:rPr>
        <w:t>redacted</w:t>
      </w:r>
      <w:r w:rsidRPr="002E6641">
        <w:rPr>
          <w:rFonts w:ascii="Franklin Gothic Book" w:hAnsi="Franklin Gothic Book"/>
          <w:color w:val="0D0D0D"/>
          <w:sz w:val="22"/>
        </w:rPr>
        <w:t xml:space="preserve">% of patients with histologically confirmed CCA would be tested for </w:t>
      </w:r>
      <w:r w:rsidRPr="002E6641">
        <w:rPr>
          <w:rFonts w:ascii="Franklin Gothic Book" w:hAnsi="Franklin Gothic Book"/>
          <w:i/>
          <w:iCs/>
          <w:color w:val="0D0D0D"/>
          <w:sz w:val="22"/>
        </w:rPr>
        <w:t>IDH1</w:t>
      </w:r>
      <w:r w:rsidRPr="002E6641">
        <w:rPr>
          <w:rFonts w:ascii="Franklin Gothic Book" w:hAnsi="Franklin Gothic Book"/>
          <w:color w:val="0D0D0D"/>
          <w:sz w:val="22"/>
        </w:rPr>
        <w:t xml:space="preserve"> variants. It is unclear what this assumption is based on.</w:t>
      </w:r>
      <w:r w:rsidRPr="002E6641">
        <w:rPr>
          <w:rFonts w:ascii="Franklin Gothic Book" w:hAnsi="Franklin Gothic Book"/>
          <w:i/>
          <w:iCs/>
          <w:color w:val="0D0D0D"/>
          <w:sz w:val="22"/>
        </w:rPr>
        <w:t xml:space="preserve"> </w:t>
      </w:r>
      <w:r w:rsidRPr="002E6641">
        <w:rPr>
          <w:rFonts w:ascii="Franklin Gothic Book" w:hAnsi="Franklin Gothic Book"/>
          <w:color w:val="0D0D0D"/>
          <w:sz w:val="22"/>
        </w:rPr>
        <w:t xml:space="preserve">A systematic review by Boscoe et al. 2019, found that the prevalence of </w:t>
      </w:r>
      <w:r w:rsidRPr="002E6641">
        <w:rPr>
          <w:rFonts w:ascii="Franklin Gothic Book" w:hAnsi="Franklin Gothic Book"/>
          <w:i/>
          <w:iCs/>
          <w:color w:val="0D0D0D"/>
          <w:sz w:val="22"/>
        </w:rPr>
        <w:t>IDH1</w:t>
      </w:r>
      <w:r w:rsidRPr="002E6641">
        <w:rPr>
          <w:rFonts w:ascii="Franklin Gothic Book" w:hAnsi="Franklin Gothic Book"/>
          <w:color w:val="0D0D0D"/>
          <w:sz w:val="22"/>
        </w:rPr>
        <w:t xml:space="preserve"> variants in CCA is approximately 9.15%. The sponsor has assumed that </w:t>
      </w:r>
      <w:r w:rsidR="00D8482A" w:rsidRPr="001F0A5F">
        <w:rPr>
          <w:rFonts w:ascii="Franklin Gothic Book" w:hAnsi="Franklin Gothic Book" w:cs="Arial"/>
          <w:b/>
          <w:bCs/>
          <w:color w:val="0D0D0D"/>
          <w:sz w:val="22"/>
        </w:rPr>
        <w:t>redacted</w:t>
      </w:r>
      <w:r w:rsidRPr="002E6641">
        <w:rPr>
          <w:rFonts w:ascii="Franklin Gothic Book" w:hAnsi="Franklin Gothic Book"/>
          <w:color w:val="0D0D0D"/>
          <w:sz w:val="22"/>
        </w:rPr>
        <w:t xml:space="preserve">% of these cases are either diagnosed when the CCA is locally advanced or metastatic, or would progress to having advanced disease. They further assumed that all patients who have first-line systemic therapy for advanced or metastatic disease would progress while on first-line therapy, and require second-line treatment or palliation. </w:t>
      </w:r>
      <w:r w:rsidR="00711855" w:rsidRPr="002E6641">
        <w:rPr>
          <w:rFonts w:ascii="Franklin Gothic Book" w:hAnsi="Franklin Gothic Book"/>
          <w:color w:val="0D0D0D"/>
          <w:sz w:val="22"/>
        </w:rPr>
        <w:t xml:space="preserve">The commentary noted </w:t>
      </w:r>
      <w:r w:rsidR="00D6114C" w:rsidRPr="002E6641">
        <w:rPr>
          <w:rFonts w:ascii="Franklin Gothic Book" w:hAnsi="Franklin Gothic Book"/>
          <w:color w:val="0D0D0D"/>
          <w:sz w:val="22"/>
        </w:rPr>
        <w:t>i</w:t>
      </w:r>
      <w:r w:rsidRPr="002E6641">
        <w:rPr>
          <w:rFonts w:ascii="Franklin Gothic Book" w:hAnsi="Franklin Gothic Book"/>
          <w:color w:val="0D0D0D"/>
          <w:sz w:val="22"/>
        </w:rPr>
        <w:t xml:space="preserve">t </w:t>
      </w:r>
      <w:r w:rsidR="00D6114C" w:rsidRPr="002E6641">
        <w:rPr>
          <w:rFonts w:ascii="Franklin Gothic Book" w:hAnsi="Franklin Gothic Book"/>
          <w:color w:val="0D0D0D"/>
          <w:sz w:val="22"/>
        </w:rPr>
        <w:t>wa</w:t>
      </w:r>
      <w:r w:rsidRPr="002E6641">
        <w:rPr>
          <w:rFonts w:ascii="Franklin Gothic Book" w:hAnsi="Franklin Gothic Book"/>
          <w:color w:val="0D0D0D"/>
          <w:sz w:val="22"/>
        </w:rPr>
        <w:t xml:space="preserve">s unclear what proportion of patients would be well enough after progression on first-line therapy to tolerate second-line chemotherapy or ivosidenib.  If it assumed that 9.15% of patients are </w:t>
      </w:r>
      <w:r w:rsidRPr="002E6641">
        <w:rPr>
          <w:rFonts w:ascii="Franklin Gothic Book" w:hAnsi="Franklin Gothic Book"/>
          <w:i/>
          <w:iCs/>
          <w:color w:val="0D0D0D"/>
          <w:sz w:val="22"/>
        </w:rPr>
        <w:t>IDH1</w:t>
      </w:r>
      <w:r w:rsidRPr="002E6641">
        <w:rPr>
          <w:rFonts w:ascii="Franklin Gothic Book" w:hAnsi="Franklin Gothic Book"/>
          <w:color w:val="0D0D0D"/>
          <w:sz w:val="22"/>
        </w:rPr>
        <w:t xml:space="preserve"> variant positive at CCA diagnosis, 80% have locally advanced or metastatic disease or will progress to it, and that 100% of those who progress on first-line therapy receive ivosidenib, then 6.6% of those with CCA would potentially have a change in management due to the introduction of </w:t>
      </w:r>
      <w:r w:rsidRPr="002E6641">
        <w:rPr>
          <w:rFonts w:ascii="Franklin Gothic Book" w:hAnsi="Franklin Gothic Book"/>
          <w:i/>
          <w:iCs/>
          <w:color w:val="0D0D0D"/>
          <w:sz w:val="22"/>
        </w:rPr>
        <w:t>IDH1</w:t>
      </w:r>
      <w:r w:rsidRPr="002E6641">
        <w:rPr>
          <w:rFonts w:ascii="Franklin Gothic Book" w:hAnsi="Franklin Gothic Book"/>
          <w:color w:val="0D0D0D"/>
          <w:sz w:val="22"/>
        </w:rPr>
        <w:t xml:space="preserve"> variant testing and ivosidenib. </w:t>
      </w:r>
    </w:p>
    <w:p w14:paraId="5150EA9A" w14:textId="614C22B1" w:rsidR="00785C2F" w:rsidRPr="002E6641" w:rsidRDefault="00785C2F" w:rsidP="002E6641">
      <w:pPr>
        <w:keepNext/>
        <w:keepLines/>
        <w:numPr>
          <w:ilvl w:val="6"/>
          <w:numId w:val="3"/>
        </w:numPr>
        <w:spacing w:before="240" w:after="120" w:line="259" w:lineRule="auto"/>
        <w:ind w:left="1298" w:hanging="1298"/>
        <w:outlineLvl w:val="3"/>
        <w:rPr>
          <w:rFonts w:ascii="Franklin Gothic Book" w:eastAsia="SimSun" w:hAnsi="Franklin Gothic Book" w:cs="Times New Roman"/>
          <w:b/>
          <w:color w:val="0D0D0D"/>
          <w:sz w:val="22"/>
        </w:rPr>
      </w:pPr>
      <w:r w:rsidRPr="002E6641">
        <w:rPr>
          <w:rFonts w:ascii="Franklin Gothic Book" w:eastAsia="SimSun" w:hAnsi="Franklin Gothic Book" w:cs="Times New Roman"/>
          <w:b/>
          <w:color w:val="0D0D0D"/>
          <w:sz w:val="22"/>
        </w:rPr>
        <w:t xml:space="preserve">Claim of codependence </w:t>
      </w:r>
    </w:p>
    <w:p w14:paraId="017E6343" w14:textId="0470F64B" w:rsidR="001769C0" w:rsidRPr="002E6641" w:rsidRDefault="002E6641" w:rsidP="002E6641">
      <w:pPr>
        <w:spacing w:after="240"/>
        <w:rPr>
          <w:rFonts w:ascii="Franklin Gothic Book" w:hAnsi="Franklin Gothic Book"/>
          <w:sz w:val="22"/>
        </w:rPr>
      </w:pPr>
      <w:bookmarkStart w:id="39" w:name="_Toc163115431"/>
      <w:bookmarkStart w:id="40" w:name="_Toc166763133"/>
      <w:r w:rsidRPr="002E6641">
        <w:rPr>
          <w:rFonts w:ascii="Franklin Gothic Book" w:hAnsi="Franklin Gothic Book"/>
          <w:sz w:val="22"/>
        </w:rPr>
        <w:t xml:space="preserve">The commentary considered the claim of codependence was not explicitly justified in the submission (i.e. no evidence was provided to demonstrate treatment effect variation in those with/without </w:t>
      </w:r>
      <w:r w:rsidRPr="00AE7B81">
        <w:rPr>
          <w:rFonts w:ascii="Franklin Gothic Book" w:hAnsi="Franklin Gothic Book"/>
          <w:i/>
          <w:sz w:val="22"/>
        </w:rPr>
        <w:t>IDH1</w:t>
      </w:r>
      <w:r w:rsidRPr="002E6641">
        <w:rPr>
          <w:rFonts w:ascii="Franklin Gothic Book" w:hAnsi="Franklin Gothic Book"/>
          <w:sz w:val="22"/>
        </w:rPr>
        <w:t xml:space="preserve"> variants). However, there was a biological rationale for the way in which IDH1 p.R132X variants alter the behaviour of the </w:t>
      </w:r>
      <w:r w:rsidRPr="002E6641">
        <w:rPr>
          <w:rFonts w:ascii="Franklin Gothic Book" w:hAnsi="Franklin Gothic Book"/>
          <w:i/>
          <w:iCs/>
          <w:sz w:val="22"/>
        </w:rPr>
        <w:t>IDH1</w:t>
      </w:r>
      <w:r w:rsidRPr="002E6641">
        <w:rPr>
          <w:rFonts w:ascii="Franklin Gothic Book" w:hAnsi="Franklin Gothic Book"/>
          <w:sz w:val="22"/>
        </w:rPr>
        <w:t xml:space="preserve"> gene, resulting in overexpression of IDH1 enzymes, which causes an excessive accumulation of the oncometabolite D-2-hydroxyglutarate (2-HG). Ivosidenib has been shown to bind to the altered IDH1 enzyme, reducing 2-HG levels (which interfere with cellular metabolism and epigenetic regulation, contributing to oncogenesis). There is therefore some logic for restricting the use of ivosidenib to those with </w:t>
      </w:r>
      <w:r w:rsidRPr="002E6641">
        <w:rPr>
          <w:rFonts w:ascii="Franklin Gothic Book" w:hAnsi="Franklin Gothic Book"/>
          <w:i/>
          <w:iCs/>
          <w:sz w:val="22"/>
        </w:rPr>
        <w:t>IDH1</w:t>
      </w:r>
      <w:r w:rsidRPr="002E6641">
        <w:rPr>
          <w:rFonts w:ascii="Franklin Gothic Book" w:hAnsi="Franklin Gothic Book"/>
          <w:sz w:val="22"/>
        </w:rPr>
        <w:t xml:space="preserve"> variants.</w:t>
      </w:r>
    </w:p>
    <w:p w14:paraId="26C21613" w14:textId="3497E852" w:rsidR="00785C2F" w:rsidRPr="002E6641" w:rsidRDefault="002E6641" w:rsidP="002E6641">
      <w:pPr>
        <w:pStyle w:val="Heading2"/>
        <w:widowControl w:val="0"/>
        <w:spacing w:after="240"/>
        <w:rPr>
          <w:rFonts w:ascii="Franklin Gothic Medium" w:hAnsi="Franklin Gothic Medium"/>
          <w:b w:val="0"/>
          <w:i w:val="0"/>
          <w:snapToGrid/>
          <w:color w:val="000000" w:themeColor="text1"/>
          <w:sz w:val="32"/>
          <w:szCs w:val="26"/>
        </w:rPr>
      </w:pPr>
      <w:r>
        <w:rPr>
          <w:rFonts w:ascii="Franklin Gothic Medium" w:hAnsi="Franklin Gothic Medium"/>
          <w:b w:val="0"/>
          <w:i w:val="0"/>
          <w:snapToGrid/>
          <w:color w:val="000000" w:themeColor="text1"/>
          <w:sz w:val="32"/>
          <w:szCs w:val="26"/>
        </w:rPr>
        <w:t>13.</w:t>
      </w:r>
      <w:r>
        <w:rPr>
          <w:rFonts w:ascii="Franklin Gothic Medium" w:hAnsi="Franklin Gothic Medium"/>
          <w:b w:val="0"/>
          <w:i w:val="0"/>
          <w:snapToGrid/>
          <w:color w:val="000000" w:themeColor="text1"/>
          <w:sz w:val="32"/>
          <w:szCs w:val="26"/>
        </w:rPr>
        <w:tab/>
      </w:r>
      <w:r w:rsidR="00785C2F" w:rsidRPr="002E6641">
        <w:rPr>
          <w:rFonts w:ascii="Franklin Gothic Medium" w:hAnsi="Franklin Gothic Medium"/>
          <w:b w:val="0"/>
          <w:i w:val="0"/>
          <w:snapToGrid/>
          <w:color w:val="000000" w:themeColor="text1"/>
          <w:sz w:val="32"/>
          <w:szCs w:val="26"/>
        </w:rPr>
        <w:t>Economic evaluation</w:t>
      </w:r>
      <w:bookmarkEnd w:id="39"/>
      <w:bookmarkEnd w:id="40"/>
    </w:p>
    <w:p w14:paraId="7ED5916B" w14:textId="77777777" w:rsidR="00785C2F" w:rsidRPr="00431CF2" w:rsidRDefault="00785C2F" w:rsidP="00785C2F">
      <w:pPr>
        <w:rPr>
          <w:rFonts w:ascii="Franklin Gothic Book" w:hAnsi="Franklin Gothic Book" w:cs="Arial"/>
          <w:color w:val="0D0D0D"/>
          <w:sz w:val="22"/>
        </w:rPr>
      </w:pPr>
      <w:bookmarkStart w:id="41" w:name="_Toc163115432"/>
      <w:r w:rsidRPr="00431CF2">
        <w:rPr>
          <w:rFonts w:ascii="Franklin Gothic Book" w:hAnsi="Franklin Gothic Book" w:cs="Arial"/>
          <w:color w:val="0D0D0D"/>
          <w:sz w:val="22"/>
        </w:rPr>
        <w:t xml:space="preserve">The submission presented an economic evaluation comparing ivosidenib with palliative care/best supportive care (BSC) which was based on the </w:t>
      </w:r>
      <w:proofErr w:type="spellStart"/>
      <w:r w:rsidRPr="00431CF2">
        <w:rPr>
          <w:rFonts w:ascii="Franklin Gothic Book" w:hAnsi="Franklin Gothic Book" w:cs="Arial"/>
          <w:color w:val="0D0D0D"/>
          <w:sz w:val="22"/>
        </w:rPr>
        <w:t>ClarIDHy</w:t>
      </w:r>
      <w:proofErr w:type="spellEnd"/>
      <w:r w:rsidRPr="00431CF2">
        <w:rPr>
          <w:rFonts w:ascii="Franklin Gothic Book" w:hAnsi="Franklin Gothic Book" w:cs="Arial"/>
          <w:color w:val="0D0D0D"/>
          <w:sz w:val="22"/>
        </w:rPr>
        <w:t xml:space="preserve"> trial. The </w:t>
      </w:r>
      <w:proofErr w:type="spellStart"/>
      <w:r w:rsidRPr="00431CF2">
        <w:rPr>
          <w:rFonts w:ascii="Franklin Gothic Book" w:hAnsi="Franklin Gothic Book" w:cs="Arial"/>
          <w:color w:val="0D0D0D"/>
          <w:sz w:val="22"/>
        </w:rPr>
        <w:t>ClarIDHy</w:t>
      </w:r>
      <w:proofErr w:type="spellEnd"/>
      <w:r w:rsidRPr="00431CF2">
        <w:rPr>
          <w:rFonts w:ascii="Franklin Gothic Book" w:hAnsi="Franklin Gothic Book" w:cs="Arial"/>
          <w:color w:val="0D0D0D"/>
          <w:sz w:val="22"/>
        </w:rPr>
        <w:t xml:space="preserve"> trial was a randomised trial that compared ivosidenib to placebo in patients with locally advanced or metastatic CCA with IDH1 variants who had disease progression following at least one line of chemotherapy. The economic model also allowed for the inclusion of FOLFOX as a comparator in addition to BSC as a sensitivity analysis. Benefits were modelled from an unanchored matching-adjusted indirect comparison (MAIC) for PFS and from an anchored MAIC for OS, using data from the </w:t>
      </w:r>
      <w:proofErr w:type="spellStart"/>
      <w:r w:rsidRPr="00431CF2">
        <w:rPr>
          <w:rFonts w:ascii="Franklin Gothic Book" w:hAnsi="Franklin Gothic Book" w:cs="Arial"/>
          <w:color w:val="0D0D0D"/>
          <w:sz w:val="22"/>
        </w:rPr>
        <w:t>ClarIDHy</w:t>
      </w:r>
      <w:proofErr w:type="spellEnd"/>
      <w:r w:rsidRPr="00431CF2">
        <w:rPr>
          <w:rFonts w:ascii="Franklin Gothic Book" w:hAnsi="Franklin Gothic Book" w:cs="Arial"/>
          <w:color w:val="0D0D0D"/>
          <w:sz w:val="22"/>
        </w:rPr>
        <w:t xml:space="preserve"> trial (ivosidenib vs. placebo) and the ABC-06 trial (FOLFOX + active symptom control [ASC] vs. ASC </w:t>
      </w:r>
      <w:r w:rsidRPr="00431CF2">
        <w:rPr>
          <w:rFonts w:ascii="Franklin Gothic Book" w:hAnsi="Franklin Gothic Book" w:cs="Arial"/>
          <w:color w:val="0D0D0D"/>
          <w:sz w:val="22"/>
        </w:rPr>
        <w:lastRenderedPageBreak/>
        <w:t xml:space="preserve">alone). Although the inclusion of FOLFOX in the comparator arm was reasonable, the indirect treatment comparisons (ITCs) were based on trials with major transitivity issues. </w:t>
      </w:r>
    </w:p>
    <w:p w14:paraId="6238B0C0" w14:textId="3291A2A8" w:rsidR="00785C2F" w:rsidRPr="00431CF2" w:rsidRDefault="00785C2F" w:rsidP="00785C2F">
      <w:pPr>
        <w:rPr>
          <w:rFonts w:ascii="Franklin Gothic Book" w:hAnsi="Franklin Gothic Book" w:cs="Arial"/>
          <w:i/>
          <w:iCs/>
          <w:color w:val="0D0D0D"/>
          <w:sz w:val="22"/>
        </w:rPr>
      </w:pPr>
      <w:r w:rsidRPr="00431CF2">
        <w:rPr>
          <w:rFonts w:ascii="Franklin Gothic Book" w:hAnsi="Franklin Gothic Book" w:cs="Arial"/>
          <w:color w:val="0D0D0D"/>
          <w:sz w:val="22"/>
        </w:rPr>
        <w:t xml:space="preserve">The types of economic evaluation presented were a cost-utility analysis and a cost-effectiveness analysis. The outcomes were measured in terms of life-years (LYs) gained and quality-adjusted life-years (QALYs) gained. The economic evaluation was a partitioned survival analysis with three health states: progression-free (PF), progressed disease (PD) and death. Allocation to the health states was based on the survival curves for PFS and OS from the </w:t>
      </w:r>
      <w:proofErr w:type="spellStart"/>
      <w:r w:rsidRPr="00431CF2">
        <w:rPr>
          <w:rFonts w:ascii="Franklin Gothic Book" w:hAnsi="Franklin Gothic Book" w:cs="Arial"/>
          <w:color w:val="0D0D0D"/>
          <w:sz w:val="22"/>
        </w:rPr>
        <w:t>ClarIDHy</w:t>
      </w:r>
      <w:proofErr w:type="spellEnd"/>
      <w:r w:rsidRPr="00431CF2">
        <w:rPr>
          <w:rFonts w:ascii="Franklin Gothic Book" w:hAnsi="Franklin Gothic Book" w:cs="Arial"/>
          <w:color w:val="0D0D0D"/>
          <w:sz w:val="22"/>
        </w:rPr>
        <w:t xml:space="preserve"> trial. </w:t>
      </w:r>
      <w:r w:rsidR="00D6114C" w:rsidRPr="00431CF2">
        <w:rPr>
          <w:rFonts w:ascii="Franklin Gothic Book" w:hAnsi="Franklin Gothic Book" w:cs="Arial"/>
          <w:color w:val="0D0D0D"/>
          <w:sz w:val="22"/>
        </w:rPr>
        <w:t>The commentary considered t</w:t>
      </w:r>
      <w:r w:rsidRPr="00431CF2">
        <w:rPr>
          <w:rFonts w:ascii="Franklin Gothic Book" w:hAnsi="Franklin Gothic Book" w:cs="Arial"/>
          <w:color w:val="0D0D0D"/>
          <w:sz w:val="22"/>
        </w:rPr>
        <w:t>his reasonable. However,</w:t>
      </w:r>
      <w:r w:rsidR="000A24EC" w:rsidRPr="00431CF2">
        <w:rPr>
          <w:rFonts w:ascii="Franklin Gothic Book" w:hAnsi="Franklin Gothic Book" w:cs="Arial"/>
          <w:color w:val="0D0D0D"/>
          <w:sz w:val="22"/>
        </w:rPr>
        <w:t xml:space="preserve"> it noted</w:t>
      </w:r>
      <w:r w:rsidRPr="00431CF2">
        <w:rPr>
          <w:rFonts w:ascii="Franklin Gothic Book" w:hAnsi="Franklin Gothic Book" w:cs="Arial"/>
          <w:color w:val="0D0D0D"/>
          <w:sz w:val="22"/>
        </w:rPr>
        <w:t xml:space="preserve"> the KM OS curve for the placebo arm was adjusted for treatment switching using the RPSFT method which is associated with inherent uncertainties. As such, the modelling of the OS curve for the placebo arm, and subsequently, the extrapolation of the OS, </w:t>
      </w:r>
      <w:r w:rsidR="00EF267F" w:rsidRPr="00431CF2">
        <w:rPr>
          <w:rFonts w:ascii="Franklin Gothic Book" w:hAnsi="Franklin Gothic Book" w:cs="Arial"/>
          <w:color w:val="0D0D0D"/>
          <w:sz w:val="22"/>
        </w:rPr>
        <w:t>wa</w:t>
      </w:r>
      <w:r w:rsidRPr="00431CF2">
        <w:rPr>
          <w:rFonts w:ascii="Franklin Gothic Book" w:hAnsi="Franklin Gothic Book" w:cs="Arial"/>
          <w:color w:val="0D0D0D"/>
          <w:sz w:val="22"/>
        </w:rPr>
        <w:t xml:space="preserve">s also uncertain and </w:t>
      </w:r>
      <w:r w:rsidR="00EF267F" w:rsidRPr="00431CF2">
        <w:rPr>
          <w:rFonts w:ascii="Franklin Gothic Book" w:hAnsi="Franklin Gothic Book" w:cs="Arial"/>
          <w:color w:val="0D0D0D"/>
          <w:sz w:val="22"/>
        </w:rPr>
        <w:t xml:space="preserve">considered that it </w:t>
      </w:r>
      <w:r w:rsidRPr="00431CF2">
        <w:rPr>
          <w:rFonts w:ascii="Franklin Gothic Book" w:hAnsi="Franklin Gothic Book" w:cs="Arial"/>
          <w:color w:val="0D0D0D"/>
          <w:sz w:val="22"/>
        </w:rPr>
        <w:t>must be interpreted with caution.</w:t>
      </w:r>
      <w:r w:rsidRPr="00431CF2">
        <w:rPr>
          <w:rFonts w:ascii="Franklin Gothic Book" w:hAnsi="Franklin Gothic Book" w:cs="Arial"/>
          <w:i/>
          <w:iCs/>
          <w:color w:val="0D0D0D"/>
          <w:sz w:val="22"/>
        </w:rPr>
        <w:t xml:space="preserve"> </w:t>
      </w:r>
      <w:r w:rsidRPr="00431CF2">
        <w:rPr>
          <w:rFonts w:ascii="Franklin Gothic Book" w:hAnsi="Franklin Gothic Book" w:cs="Arial"/>
          <w:color w:val="0D0D0D"/>
          <w:sz w:val="22"/>
        </w:rPr>
        <w:t xml:space="preserve">Patients entered the model at the point of testing and in the PF health state. The submission presented the results of the economic evaluation for the population that is tested and then treated, using the codependent technology model. Therefore, the costs and benefits were ‘diluted’ by the large number of patients without </w:t>
      </w:r>
      <w:r w:rsidRPr="00431CF2">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variants within the model. The inclusion of IDH1 negative patients had no impact on the model, as the costs and health outcomes associated with these patients would cancel out in the proposed scenario, apart from the </w:t>
      </w:r>
      <w:r w:rsidRPr="00431CF2">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testing costs. The submission’s economic model could be simplified to a trial (treated) population (as false positives and false positives were assumed to be zero in the model with no downstream effects), which does not include IDH1 negative patients, but takes into account the incremental testing costs between the current and proposed scenarios per trial/treated patient. The ICER from this simplified model was the same as that from the submission’s codependent model.</w:t>
      </w:r>
      <w:r w:rsidRPr="00431CF2">
        <w:rPr>
          <w:rFonts w:ascii="Franklin Gothic Book" w:hAnsi="Franklin Gothic Book" w:cs="Arial"/>
          <w:i/>
          <w:iCs/>
          <w:color w:val="0D0D0D"/>
          <w:sz w:val="22"/>
        </w:rPr>
        <w:t xml:space="preserve"> </w:t>
      </w:r>
    </w:p>
    <w:p w14:paraId="33E1B1C2" w14:textId="1819E166" w:rsidR="00785C2F" w:rsidRPr="00431CF2" w:rsidRDefault="00785C2F" w:rsidP="00785C2F">
      <w:pPr>
        <w:rPr>
          <w:rFonts w:ascii="Franklin Gothic Book" w:hAnsi="Franklin Gothic Book" w:cs="Arial"/>
          <w:i/>
          <w:iCs/>
          <w:color w:val="0D0D0D"/>
          <w:sz w:val="22"/>
        </w:rPr>
      </w:pPr>
      <w:bookmarkStart w:id="42" w:name="_Ref164262849"/>
      <w:r w:rsidRPr="00431CF2">
        <w:rPr>
          <w:rFonts w:ascii="Franklin Gothic Book" w:hAnsi="Franklin Gothic Book" w:cs="Arial"/>
          <w:color w:val="0D0D0D"/>
          <w:sz w:val="22"/>
        </w:rPr>
        <w:t xml:space="preserve">The test parameters utilised in the economic evaluation were: 100% specificity and sensitivity with a </w:t>
      </w:r>
      <w:r w:rsidRPr="00431CF2">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variant prevalence of 9.15%.</w:t>
      </w:r>
      <w:r w:rsidRPr="00431CF2">
        <w:rPr>
          <w:rFonts w:ascii="Franklin Gothic Book" w:hAnsi="Franklin Gothic Book" w:cs="Arial"/>
          <w:i/>
          <w:iCs/>
          <w:color w:val="0D0D0D"/>
          <w:sz w:val="22"/>
        </w:rPr>
        <w:t xml:space="preserve"> </w:t>
      </w:r>
      <w:r w:rsidRPr="00431CF2">
        <w:rPr>
          <w:rFonts w:ascii="Franklin Gothic Book" w:hAnsi="Franklin Gothic Book" w:cs="Arial"/>
          <w:color w:val="0D0D0D"/>
          <w:sz w:val="22"/>
        </w:rPr>
        <w:t xml:space="preserve">Therefore, for a proposed fee of $340 per test, the cost for identifying one patient with an </w:t>
      </w:r>
      <w:r w:rsidRPr="00431CF2">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variant was estimated to be $3,716.68</w:t>
      </w:r>
      <w:r w:rsidRPr="00431CF2">
        <w:rPr>
          <w:rFonts w:ascii="Franklin Gothic Book" w:hAnsi="Franklin Gothic Book" w:cs="Arial"/>
          <w:color w:val="0D0D0D"/>
          <w:sz w:val="22"/>
          <w:vertAlign w:val="superscript"/>
        </w:rPr>
        <w:footnoteReference w:id="10"/>
      </w:r>
      <w:r w:rsidRPr="00431CF2">
        <w:rPr>
          <w:rFonts w:ascii="Franklin Gothic Book" w:hAnsi="Franklin Gothic Book" w:cs="Arial"/>
          <w:color w:val="0D0D0D"/>
          <w:sz w:val="22"/>
        </w:rPr>
        <w:t xml:space="preserve">. </w:t>
      </w:r>
      <w:r w:rsidR="00C03AE7" w:rsidRPr="00431CF2">
        <w:rPr>
          <w:rFonts w:ascii="Franklin Gothic Book" w:hAnsi="Franklin Gothic Book" w:cs="Arial"/>
          <w:color w:val="0D0D0D"/>
          <w:sz w:val="22"/>
        </w:rPr>
        <w:t>The comment</w:t>
      </w:r>
      <w:r w:rsidR="005F0836" w:rsidRPr="00431CF2">
        <w:rPr>
          <w:rFonts w:ascii="Franklin Gothic Book" w:hAnsi="Franklin Gothic Book" w:cs="Arial"/>
          <w:color w:val="0D0D0D"/>
          <w:sz w:val="22"/>
        </w:rPr>
        <w:t>ary considered t</w:t>
      </w:r>
      <w:r w:rsidRPr="00431CF2">
        <w:rPr>
          <w:rFonts w:ascii="Franklin Gothic Book" w:hAnsi="Franklin Gothic Book" w:cs="Arial"/>
          <w:color w:val="0D0D0D"/>
          <w:sz w:val="22"/>
        </w:rPr>
        <w:t xml:space="preserve">his was an underestimate of the cost of testing and identifying one patient eligible for ivosidenib therapy as it did not consider: 1) patients who are diagnosed at an earlier stage of the disease and cured following surgical resection with no recurrence; 2) patients who have locally advanced or metastatic disease but are not suitable for active anticancer therapy and opt to receive palliative care.  However, </w:t>
      </w:r>
      <w:r w:rsidR="005F0836" w:rsidRPr="00431CF2">
        <w:rPr>
          <w:rFonts w:ascii="Franklin Gothic Book" w:hAnsi="Franklin Gothic Book" w:cs="Arial"/>
          <w:color w:val="0D0D0D"/>
          <w:sz w:val="22"/>
        </w:rPr>
        <w:t xml:space="preserve">the commentary noted that </w:t>
      </w:r>
      <w:r w:rsidRPr="00431CF2">
        <w:rPr>
          <w:rFonts w:ascii="Franklin Gothic Book" w:hAnsi="Franklin Gothic Book" w:cs="Arial"/>
          <w:color w:val="0D0D0D"/>
          <w:sz w:val="22"/>
        </w:rPr>
        <w:t>varying this parameter had a minimal impact on the ICER. The probability of false positives and false negatives applied in the economic model was 0%. This was in line with MSAC Executive advice, and accordingly the analytical validity of the test was not investigated.</w:t>
      </w:r>
      <w:r w:rsidRPr="00431CF2">
        <w:rPr>
          <w:rFonts w:ascii="Franklin Gothic Book" w:hAnsi="Franklin Gothic Book" w:cs="Arial"/>
          <w:i/>
          <w:iCs/>
          <w:color w:val="0D0D0D"/>
          <w:sz w:val="22"/>
        </w:rPr>
        <w:t xml:space="preserve"> </w:t>
      </w:r>
    </w:p>
    <w:p w14:paraId="746D2A8D" w14:textId="04E37036"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The submission’s base case economic analysis was for the tested population and resulted in an ICER of $</w:t>
      </w:r>
      <w:r w:rsidR="00DA610A" w:rsidRPr="00DA610A">
        <w:rPr>
          <w:rFonts w:ascii="Franklin Gothic Book" w:hAnsi="Franklin Gothic Book" w:cs="Arial"/>
          <w:color w:val="0D0D0D"/>
          <w:sz w:val="22"/>
        </w:rPr>
        <w:t>95,000&lt;</w:t>
      </w:r>
      <w:r w:rsidR="00DA610A">
        <w:rPr>
          <w:rFonts w:ascii="Franklin Gothic Book" w:hAnsi="Franklin Gothic Book" w:cs="Arial"/>
          <w:color w:val="0D0D0D"/>
          <w:sz w:val="22"/>
        </w:rPr>
        <w:t>$</w:t>
      </w:r>
      <w:r w:rsidR="00DA610A" w:rsidRPr="00DA610A">
        <w:rPr>
          <w:rFonts w:ascii="Franklin Gothic Book" w:hAnsi="Franklin Gothic Book" w:cs="Arial"/>
          <w:color w:val="0D0D0D"/>
          <w:sz w:val="22"/>
        </w:rPr>
        <w:t>115,000</w:t>
      </w:r>
      <w:r w:rsidR="00DA610A" w:rsidRPr="00DA610A" w:rsidDel="00DA610A">
        <w:rPr>
          <w:rFonts w:ascii="Franklin Gothic Book" w:hAnsi="Franklin Gothic Book" w:cs="Arial"/>
          <w:color w:val="0D0D0D"/>
          <w:sz w:val="22"/>
        </w:rPr>
        <w:t xml:space="preserve"> </w:t>
      </w:r>
      <w:r w:rsidRPr="00431CF2">
        <w:rPr>
          <w:rFonts w:ascii="Franklin Gothic Book" w:hAnsi="Franklin Gothic Book" w:cs="Arial"/>
          <w:color w:val="0D0D0D"/>
          <w:sz w:val="22"/>
        </w:rPr>
        <w:t xml:space="preserve">/QALY </w:t>
      </w:r>
      <w:r w:rsidRPr="00431CF2">
        <w:rPr>
          <w:rFonts w:ascii="Franklin Gothic Book" w:hAnsi="Franklin Gothic Book" w:cs="Arial"/>
          <w:sz w:val="22"/>
        </w:rPr>
        <w:t>(</w:t>
      </w:r>
      <w:r w:rsidRPr="00431CF2">
        <w:rPr>
          <w:rFonts w:ascii="Franklin Gothic Book" w:hAnsi="Franklin Gothic Book" w:cs="Arial"/>
          <w:sz w:val="22"/>
        </w:rPr>
        <w:fldChar w:fldCharType="begin"/>
      </w:r>
      <w:r w:rsidRPr="00431CF2">
        <w:rPr>
          <w:rFonts w:ascii="Franklin Gothic Book" w:hAnsi="Franklin Gothic Book" w:cs="Arial"/>
          <w:sz w:val="22"/>
        </w:rPr>
        <w:instrText xml:space="preserve"> REF _Ref166770499 \h  \* MERGEFORMAT </w:instrText>
      </w:r>
      <w:r w:rsidRPr="00431CF2">
        <w:rPr>
          <w:rFonts w:ascii="Franklin Gothic Book" w:hAnsi="Franklin Gothic Book" w:cs="Arial"/>
          <w:sz w:val="22"/>
        </w:rPr>
      </w:r>
      <w:r w:rsidRPr="00431CF2">
        <w:rPr>
          <w:rFonts w:ascii="Franklin Gothic Book" w:hAnsi="Franklin Gothic Book" w:cs="Arial"/>
          <w:sz w:val="22"/>
        </w:rPr>
        <w:fldChar w:fldCharType="separate"/>
      </w:r>
      <w:r w:rsidR="00D94E31" w:rsidRPr="00D94E31">
        <w:rPr>
          <w:rFonts w:ascii="Franklin Gothic Book" w:hAnsi="Franklin Gothic Book" w:cs="Arial"/>
          <w:sz w:val="22"/>
        </w:rPr>
        <w:t>Table MSAC. 7</w:t>
      </w:r>
      <w:r w:rsidRPr="00431CF2">
        <w:rPr>
          <w:rFonts w:ascii="Franklin Gothic Book" w:hAnsi="Franklin Gothic Book" w:cs="Arial"/>
          <w:sz w:val="22"/>
        </w:rPr>
        <w:fldChar w:fldCharType="end"/>
      </w:r>
      <w:r w:rsidRPr="00431CF2">
        <w:rPr>
          <w:rFonts w:ascii="Franklin Gothic Book" w:hAnsi="Franklin Gothic Book" w:cs="Arial"/>
          <w:sz w:val="22"/>
        </w:rPr>
        <w:t>).</w:t>
      </w:r>
      <w:r w:rsidRPr="00431CF2">
        <w:rPr>
          <w:rFonts w:ascii="Franklin Gothic Book" w:hAnsi="Franklin Gothic Book" w:cs="Arial"/>
          <w:color w:val="0D0D0D"/>
          <w:sz w:val="22"/>
        </w:rPr>
        <w:t xml:space="preserve"> The results for the economic analysis in the trial population are presented in </w:t>
      </w:r>
      <w:r w:rsidRPr="00431CF2">
        <w:rPr>
          <w:rFonts w:ascii="Franklin Gothic Book" w:hAnsi="Franklin Gothic Book" w:cs="Arial"/>
          <w:color w:val="0D0D0D"/>
          <w:sz w:val="22"/>
        </w:rPr>
        <w:fldChar w:fldCharType="begin"/>
      </w:r>
      <w:r w:rsidRPr="00431CF2">
        <w:rPr>
          <w:rFonts w:ascii="Franklin Gothic Book" w:hAnsi="Franklin Gothic Book" w:cs="Arial"/>
          <w:color w:val="0D0D0D"/>
          <w:sz w:val="22"/>
        </w:rPr>
        <w:instrText xml:space="preserve"> REF _Ref164262830 \h  \* MERGEFORMAT </w:instrText>
      </w:r>
      <w:r w:rsidRPr="00431CF2">
        <w:rPr>
          <w:rFonts w:ascii="Franklin Gothic Book" w:hAnsi="Franklin Gothic Book" w:cs="Arial"/>
          <w:color w:val="0D0D0D"/>
          <w:sz w:val="22"/>
        </w:rPr>
      </w:r>
      <w:r w:rsidRPr="00431CF2">
        <w:rPr>
          <w:rFonts w:ascii="Franklin Gothic Book" w:hAnsi="Franklin Gothic Book" w:cs="Arial"/>
          <w:color w:val="0D0D0D"/>
          <w:sz w:val="22"/>
        </w:rPr>
        <w:fldChar w:fldCharType="separate"/>
      </w:r>
      <w:r w:rsidR="00D94E31" w:rsidRPr="00D94E31">
        <w:rPr>
          <w:rFonts w:ascii="Franklin Gothic Book" w:hAnsi="Franklin Gothic Book" w:cs="Arial"/>
          <w:color w:val="0D0D0D"/>
          <w:sz w:val="22"/>
        </w:rPr>
        <w:t>Table MSAC. 8</w:t>
      </w:r>
      <w:r w:rsidRPr="00431CF2">
        <w:rPr>
          <w:rFonts w:ascii="Franklin Gothic Book" w:hAnsi="Franklin Gothic Book" w:cs="Arial"/>
          <w:color w:val="0D0D0D"/>
          <w:sz w:val="22"/>
        </w:rPr>
        <w:fldChar w:fldCharType="end"/>
      </w:r>
      <w:r w:rsidRPr="00431CF2">
        <w:rPr>
          <w:rFonts w:ascii="Franklin Gothic Book" w:hAnsi="Franklin Gothic Book" w:cs="Arial"/>
          <w:color w:val="0D0D0D"/>
          <w:sz w:val="22"/>
        </w:rPr>
        <w:t xml:space="preserve">. </w:t>
      </w:r>
    </w:p>
    <w:p w14:paraId="1B066394" w14:textId="05A46337" w:rsidR="00785C2F" w:rsidRPr="00C15DF8" w:rsidRDefault="00785C2F" w:rsidP="00785C2F">
      <w:pPr>
        <w:keepNext/>
        <w:tabs>
          <w:tab w:val="left" w:pos="1276"/>
        </w:tabs>
        <w:spacing w:after="0" w:line="259" w:lineRule="auto"/>
        <w:contextualSpacing/>
        <w:rPr>
          <w:rFonts w:ascii="Arial Narrow" w:hAnsi="Arial Narrow" w:cs="Arial"/>
          <w:b/>
          <w:iCs/>
          <w:sz w:val="20"/>
          <w:szCs w:val="18"/>
        </w:rPr>
      </w:pPr>
      <w:bookmarkStart w:id="44" w:name="_Ref166770499"/>
      <w:r w:rsidRPr="00C15DF8">
        <w:rPr>
          <w:rFonts w:ascii="Arial Narrow" w:hAnsi="Arial Narrow" w:cs="Arial"/>
          <w:b/>
          <w:iCs/>
          <w:sz w:val="20"/>
          <w:szCs w:val="18"/>
        </w:rPr>
        <w:lastRenderedPageBreak/>
        <w:t xml:space="preserve">Table MSAC. </w:t>
      </w:r>
      <w:r w:rsidRPr="00C15DF8">
        <w:rPr>
          <w:rFonts w:ascii="Arial Narrow" w:hAnsi="Arial Narrow" w:cs="Arial"/>
          <w:b/>
          <w:iCs/>
          <w:sz w:val="20"/>
          <w:szCs w:val="18"/>
        </w:rPr>
        <w:fldChar w:fldCharType="begin"/>
      </w:r>
      <w:r w:rsidRPr="00C15DF8">
        <w:rPr>
          <w:rFonts w:ascii="Arial Narrow" w:hAnsi="Arial Narrow" w:cs="Arial"/>
          <w:b/>
          <w:iCs/>
          <w:sz w:val="20"/>
          <w:szCs w:val="18"/>
        </w:rPr>
        <w:instrText xml:space="preserve"> SEQ Table_MSAC. \* ARABIC </w:instrText>
      </w:r>
      <w:r w:rsidRPr="00C15DF8">
        <w:rPr>
          <w:rFonts w:ascii="Arial Narrow" w:hAnsi="Arial Narrow" w:cs="Arial"/>
          <w:b/>
          <w:iCs/>
          <w:sz w:val="20"/>
          <w:szCs w:val="18"/>
        </w:rPr>
        <w:fldChar w:fldCharType="separate"/>
      </w:r>
      <w:r w:rsidR="00D94E31">
        <w:rPr>
          <w:rFonts w:ascii="Arial Narrow" w:hAnsi="Arial Narrow" w:cs="Arial"/>
          <w:b/>
          <w:iCs/>
          <w:noProof/>
          <w:sz w:val="20"/>
          <w:szCs w:val="18"/>
        </w:rPr>
        <w:t>7</w:t>
      </w:r>
      <w:r w:rsidRPr="00C15DF8">
        <w:rPr>
          <w:rFonts w:ascii="Arial Narrow" w:hAnsi="Arial Narrow" w:cs="Arial"/>
          <w:b/>
          <w:iCs/>
          <w:sz w:val="20"/>
          <w:szCs w:val="18"/>
        </w:rPr>
        <w:fldChar w:fldCharType="end"/>
      </w:r>
      <w:bookmarkEnd w:id="42"/>
      <w:bookmarkEnd w:id="44"/>
      <w:r w:rsidRPr="00C15DF8">
        <w:rPr>
          <w:rFonts w:ascii="Arial Narrow" w:hAnsi="Arial Narrow" w:cs="Arial"/>
          <w:b/>
          <w:iCs/>
          <w:sz w:val="20"/>
          <w:szCs w:val="18"/>
        </w:rPr>
        <w:t>: Results of the stepped economic evaluation, in the testing population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785C2F" w:rsidRPr="00C15DF8" w14:paraId="6BD049F7" w14:textId="77777777">
        <w:trPr>
          <w:tblHeader/>
        </w:trPr>
        <w:tc>
          <w:tcPr>
            <w:tcW w:w="1529" w:type="pct"/>
            <w:vAlign w:val="center"/>
          </w:tcPr>
          <w:p w14:paraId="5F26DE16"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Step and component</w:t>
            </w:r>
          </w:p>
        </w:tc>
        <w:tc>
          <w:tcPr>
            <w:tcW w:w="1359" w:type="pct"/>
            <w:vAlign w:val="center"/>
          </w:tcPr>
          <w:p w14:paraId="7122CA1B" w14:textId="77777777" w:rsidR="00785C2F" w:rsidRPr="00C15DF8" w:rsidRDefault="00785C2F">
            <w:pPr>
              <w:keepNext/>
              <w:spacing w:after="0"/>
              <w:jc w:val="center"/>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Ivosidenib</w:t>
            </w:r>
          </w:p>
        </w:tc>
        <w:tc>
          <w:tcPr>
            <w:tcW w:w="1274" w:type="pct"/>
            <w:vAlign w:val="center"/>
          </w:tcPr>
          <w:p w14:paraId="5EB05F06" w14:textId="77777777" w:rsidR="00785C2F" w:rsidRPr="00C15DF8" w:rsidRDefault="00785C2F">
            <w:pPr>
              <w:keepNext/>
              <w:spacing w:after="0"/>
              <w:jc w:val="center"/>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SOC</w:t>
            </w:r>
          </w:p>
        </w:tc>
        <w:tc>
          <w:tcPr>
            <w:tcW w:w="838" w:type="pct"/>
            <w:vAlign w:val="center"/>
          </w:tcPr>
          <w:p w14:paraId="2F3A54B4" w14:textId="77777777" w:rsidR="00785C2F" w:rsidRPr="00C15DF8" w:rsidRDefault="00785C2F">
            <w:pPr>
              <w:keepNext/>
              <w:spacing w:after="0"/>
              <w:jc w:val="center"/>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Increment</w:t>
            </w:r>
          </w:p>
        </w:tc>
      </w:tr>
      <w:tr w:rsidR="00785C2F" w:rsidRPr="00C15DF8" w14:paraId="4A2562A0" w14:textId="77777777">
        <w:tc>
          <w:tcPr>
            <w:tcW w:w="5000" w:type="pct"/>
            <w:gridSpan w:val="4"/>
            <w:vAlign w:val="center"/>
          </w:tcPr>
          <w:p w14:paraId="30B27AFF" w14:textId="77777777" w:rsidR="00785C2F" w:rsidRPr="00C15DF8" w:rsidRDefault="00785C2F">
            <w:pPr>
              <w:keepNext/>
              <w:widowControl w:val="0"/>
              <w:spacing w:after="0"/>
              <w:rPr>
                <w:rFonts w:ascii="Arial Narrow" w:hAnsi="Arial Narrow" w:cs="Arial"/>
                <w:b/>
                <w:bCs/>
                <w:color w:val="0D0D0D"/>
                <w:sz w:val="20"/>
              </w:rPr>
            </w:pPr>
            <w:r w:rsidRPr="00C15DF8">
              <w:rPr>
                <w:rFonts w:ascii="Arial Narrow" w:hAnsi="Arial Narrow" w:cs="Arial"/>
                <w:b/>
                <w:bCs/>
                <w:color w:val="0D0D0D"/>
                <w:sz w:val="20"/>
              </w:rPr>
              <w:t xml:space="preserve">Step 1: trial-based costs and outcomes (36 months) </w:t>
            </w:r>
          </w:p>
        </w:tc>
      </w:tr>
      <w:tr w:rsidR="00785C2F" w:rsidRPr="00C15DF8" w14:paraId="70023DC3" w14:textId="77777777">
        <w:tc>
          <w:tcPr>
            <w:tcW w:w="1529" w:type="pct"/>
            <w:vAlign w:val="center"/>
          </w:tcPr>
          <w:p w14:paraId="174573BC"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Costs</w:t>
            </w:r>
          </w:p>
        </w:tc>
        <w:tc>
          <w:tcPr>
            <w:tcW w:w="1359" w:type="pct"/>
            <w:vAlign w:val="center"/>
          </w:tcPr>
          <w:p w14:paraId="5E75C471" w14:textId="24548BF4"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c>
          <w:tcPr>
            <w:tcW w:w="1274" w:type="pct"/>
            <w:vAlign w:val="center"/>
          </w:tcPr>
          <w:p w14:paraId="66FE1863" w14:textId="77777777"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$24,309</w:t>
            </w:r>
          </w:p>
        </w:tc>
        <w:tc>
          <w:tcPr>
            <w:tcW w:w="838" w:type="pct"/>
            <w:vAlign w:val="center"/>
          </w:tcPr>
          <w:p w14:paraId="3CFA790A" w14:textId="5A89DC4A"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r>
      <w:tr w:rsidR="00785C2F" w:rsidRPr="00C15DF8" w14:paraId="42957F17" w14:textId="77777777">
        <w:tc>
          <w:tcPr>
            <w:tcW w:w="1529" w:type="pct"/>
            <w:vAlign w:val="center"/>
          </w:tcPr>
          <w:p w14:paraId="21084679"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LYs gained</w:t>
            </w:r>
          </w:p>
        </w:tc>
        <w:tc>
          <w:tcPr>
            <w:tcW w:w="1359" w:type="pct"/>
            <w:vAlign w:val="center"/>
          </w:tcPr>
          <w:p w14:paraId="55844155" w14:textId="29C8BEFA"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0.725</w:t>
            </w:r>
          </w:p>
        </w:tc>
        <w:tc>
          <w:tcPr>
            <w:tcW w:w="1274" w:type="pct"/>
            <w:vAlign w:val="center"/>
          </w:tcPr>
          <w:p w14:paraId="4DCB4E9E" w14:textId="244992D9"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0.682</w:t>
            </w:r>
          </w:p>
        </w:tc>
        <w:tc>
          <w:tcPr>
            <w:tcW w:w="838" w:type="pct"/>
            <w:vAlign w:val="center"/>
          </w:tcPr>
          <w:p w14:paraId="0B93DD17" w14:textId="462D6A9E" w:rsidR="00785C2F" w:rsidRPr="00C15DF8" w:rsidRDefault="00785C2F">
            <w:pPr>
              <w:keepNext/>
              <w:widowControl w:val="0"/>
              <w:spacing w:after="0"/>
              <w:jc w:val="center"/>
              <w:rPr>
                <w:rFonts w:ascii="Arial Narrow" w:hAnsi="Arial Narrow" w:cs="Arial"/>
                <w:color w:val="0D0D0D"/>
                <w:sz w:val="20"/>
              </w:rPr>
            </w:pPr>
            <w:r w:rsidRPr="00C15DF8">
              <w:rPr>
                <w:rFonts w:ascii="Arial Narrow" w:hAnsi="Arial Narrow" w:cs="Arial"/>
                <w:color w:val="0D0D0D"/>
                <w:sz w:val="20"/>
              </w:rPr>
              <w:t>0.043</w:t>
            </w:r>
          </w:p>
        </w:tc>
      </w:tr>
      <w:tr w:rsidR="00785C2F" w:rsidRPr="00C15DF8" w14:paraId="02EDC9EA" w14:textId="77777777">
        <w:tc>
          <w:tcPr>
            <w:tcW w:w="4162" w:type="pct"/>
            <w:gridSpan w:val="3"/>
            <w:vAlign w:val="center"/>
          </w:tcPr>
          <w:p w14:paraId="7C3976FC"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Incremental cost/extra LY gained</w:t>
            </w:r>
          </w:p>
        </w:tc>
        <w:tc>
          <w:tcPr>
            <w:tcW w:w="838" w:type="pct"/>
            <w:vAlign w:val="center"/>
          </w:tcPr>
          <w:p w14:paraId="43969563" w14:textId="75D4FC1D"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r w:rsidR="00200622">
              <w:rPr>
                <w:rFonts w:ascii="Arial Narrow" w:hAnsi="Arial Narrow" w:cs="Arial"/>
                <w:b/>
                <w:bCs/>
                <w:color w:val="0D0D0D"/>
                <w:sz w:val="20"/>
                <w:vertAlign w:val="superscript"/>
              </w:rPr>
              <w:t>1</w:t>
            </w:r>
          </w:p>
        </w:tc>
      </w:tr>
      <w:tr w:rsidR="00785C2F" w:rsidRPr="00C15DF8" w14:paraId="641986AD" w14:textId="77777777">
        <w:tc>
          <w:tcPr>
            <w:tcW w:w="5000" w:type="pct"/>
            <w:gridSpan w:val="4"/>
            <w:vAlign w:val="center"/>
          </w:tcPr>
          <w:p w14:paraId="7767CC67"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Step 2: extrapolated to 10 years</w:t>
            </w:r>
          </w:p>
        </w:tc>
      </w:tr>
      <w:tr w:rsidR="00785C2F" w:rsidRPr="00C15DF8" w14:paraId="592201A9" w14:textId="77777777">
        <w:tc>
          <w:tcPr>
            <w:tcW w:w="1529" w:type="pct"/>
            <w:vAlign w:val="center"/>
          </w:tcPr>
          <w:p w14:paraId="425083F9"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Costs</w:t>
            </w:r>
          </w:p>
        </w:tc>
        <w:tc>
          <w:tcPr>
            <w:tcW w:w="1359" w:type="pct"/>
            <w:vAlign w:val="center"/>
          </w:tcPr>
          <w:p w14:paraId="25E3BB3B" w14:textId="06D8E0B2"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c>
          <w:tcPr>
            <w:tcW w:w="1274" w:type="pct"/>
            <w:vAlign w:val="center"/>
          </w:tcPr>
          <w:p w14:paraId="2C927CC2" w14:textId="77777777"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$25,024</w:t>
            </w:r>
          </w:p>
        </w:tc>
        <w:tc>
          <w:tcPr>
            <w:tcW w:w="838" w:type="pct"/>
            <w:vAlign w:val="center"/>
          </w:tcPr>
          <w:p w14:paraId="0AC8EC68" w14:textId="4930BF64"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r>
      <w:tr w:rsidR="00785C2F" w:rsidRPr="00C15DF8" w14:paraId="1F66BFAD" w14:textId="77777777">
        <w:tc>
          <w:tcPr>
            <w:tcW w:w="1529" w:type="pct"/>
            <w:vAlign w:val="center"/>
          </w:tcPr>
          <w:p w14:paraId="08A68CDC"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LYs gained</w:t>
            </w:r>
          </w:p>
        </w:tc>
        <w:tc>
          <w:tcPr>
            <w:tcW w:w="1359" w:type="pct"/>
            <w:vAlign w:val="center"/>
          </w:tcPr>
          <w:p w14:paraId="78768CF0" w14:textId="53221EA1"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0.798</w:t>
            </w:r>
          </w:p>
        </w:tc>
        <w:tc>
          <w:tcPr>
            <w:tcW w:w="1274" w:type="pct"/>
            <w:vAlign w:val="center"/>
          </w:tcPr>
          <w:p w14:paraId="7709DC27" w14:textId="183A10A1"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0.737</w:t>
            </w:r>
          </w:p>
        </w:tc>
        <w:tc>
          <w:tcPr>
            <w:tcW w:w="838" w:type="pct"/>
            <w:vAlign w:val="center"/>
          </w:tcPr>
          <w:p w14:paraId="504FC5DE" w14:textId="1E7B90F6" w:rsidR="00785C2F" w:rsidRPr="00C15DF8" w:rsidRDefault="00785C2F">
            <w:pPr>
              <w:keepNext/>
              <w:widowControl w:val="0"/>
              <w:spacing w:after="0"/>
              <w:jc w:val="center"/>
              <w:rPr>
                <w:rFonts w:ascii="Arial Narrow" w:hAnsi="Arial Narrow" w:cs="Arial"/>
                <w:color w:val="0D0D0D"/>
                <w:sz w:val="20"/>
              </w:rPr>
            </w:pPr>
            <w:r w:rsidRPr="00C15DF8">
              <w:rPr>
                <w:rFonts w:ascii="Arial Narrow" w:hAnsi="Arial Narrow" w:cs="Arial"/>
                <w:color w:val="0D0D0D"/>
                <w:sz w:val="20"/>
              </w:rPr>
              <w:t>0.062</w:t>
            </w:r>
          </w:p>
        </w:tc>
      </w:tr>
      <w:tr w:rsidR="00785C2F" w:rsidRPr="00C15DF8" w14:paraId="74B2FCD6" w14:textId="77777777">
        <w:tc>
          <w:tcPr>
            <w:tcW w:w="4162" w:type="pct"/>
            <w:gridSpan w:val="3"/>
            <w:vAlign w:val="center"/>
          </w:tcPr>
          <w:p w14:paraId="43D40426"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Incremental cost/extra LY gained</w:t>
            </w:r>
          </w:p>
        </w:tc>
        <w:tc>
          <w:tcPr>
            <w:tcW w:w="838" w:type="pct"/>
            <w:vAlign w:val="center"/>
          </w:tcPr>
          <w:p w14:paraId="37AFF767" w14:textId="6E2B380A" w:rsidR="00785C2F" w:rsidRPr="00C15DF8" w:rsidRDefault="00A01384">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r w:rsidR="00200622">
              <w:rPr>
                <w:rFonts w:ascii="Arial Narrow" w:hAnsi="Arial Narrow" w:cs="Arial"/>
                <w:b/>
                <w:bCs/>
                <w:color w:val="0D0D0D"/>
                <w:sz w:val="20"/>
                <w:vertAlign w:val="superscript"/>
              </w:rPr>
              <w:t>2</w:t>
            </w:r>
          </w:p>
        </w:tc>
      </w:tr>
      <w:tr w:rsidR="00785C2F" w:rsidRPr="00C15DF8" w14:paraId="728AAB97" w14:textId="77777777">
        <w:tc>
          <w:tcPr>
            <w:tcW w:w="5000" w:type="pct"/>
            <w:gridSpan w:val="4"/>
            <w:vAlign w:val="center"/>
          </w:tcPr>
          <w:p w14:paraId="119A9674" w14:textId="77777777" w:rsidR="00785C2F" w:rsidRPr="00C15DF8" w:rsidRDefault="00785C2F">
            <w:pPr>
              <w:keepNext/>
              <w:spacing w:after="0"/>
              <w:rPr>
                <w:rFonts w:ascii="Arial Narrow" w:eastAsia="SimSun" w:hAnsi="Arial Narrow" w:cs="Times New Roman"/>
                <w:b/>
                <w:color w:val="0D0D0D"/>
                <w:sz w:val="20"/>
                <w:szCs w:val="24"/>
                <w:lang w:eastAsia="en-AU"/>
              </w:rPr>
            </w:pPr>
            <w:r w:rsidRPr="00C15DF8">
              <w:rPr>
                <w:rFonts w:ascii="Arial Narrow" w:eastAsia="SimSun" w:hAnsi="Arial Narrow" w:cs="Times New Roman"/>
                <w:b/>
                <w:color w:val="0D0D0D"/>
                <w:sz w:val="20"/>
                <w:szCs w:val="24"/>
                <w:lang w:eastAsia="en-AU"/>
              </w:rPr>
              <w:t>Step 3: transformation into QALYs</w:t>
            </w:r>
          </w:p>
        </w:tc>
      </w:tr>
      <w:tr w:rsidR="00785C2F" w:rsidRPr="00C15DF8" w14:paraId="25DEE8BF" w14:textId="77777777">
        <w:tc>
          <w:tcPr>
            <w:tcW w:w="1529" w:type="pct"/>
            <w:vAlign w:val="center"/>
          </w:tcPr>
          <w:p w14:paraId="4CE5BCB0"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Costs</w:t>
            </w:r>
          </w:p>
        </w:tc>
        <w:tc>
          <w:tcPr>
            <w:tcW w:w="1359" w:type="pct"/>
            <w:vAlign w:val="center"/>
          </w:tcPr>
          <w:p w14:paraId="24847718" w14:textId="0B11DA3D" w:rsidR="00785C2F" w:rsidRPr="00C15DF8" w:rsidRDefault="00AD578C">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c>
          <w:tcPr>
            <w:tcW w:w="1274" w:type="pct"/>
            <w:vAlign w:val="center"/>
          </w:tcPr>
          <w:p w14:paraId="08D98E51" w14:textId="77777777"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$25,024</w:t>
            </w:r>
          </w:p>
        </w:tc>
        <w:tc>
          <w:tcPr>
            <w:tcW w:w="838" w:type="pct"/>
            <w:vAlign w:val="center"/>
          </w:tcPr>
          <w:p w14:paraId="1D356E8D" w14:textId="46EDFA5A" w:rsidR="00785C2F" w:rsidRPr="00C15DF8" w:rsidRDefault="00AD578C">
            <w:pPr>
              <w:keepNext/>
              <w:widowControl w:val="0"/>
              <w:spacing w:after="0"/>
              <w:jc w:val="center"/>
              <w:rPr>
                <w:rFonts w:ascii="Times" w:hAnsi="Times" w:cs="Arial"/>
                <w:color w:val="0D0D0D"/>
                <w:sz w:val="20"/>
              </w:rPr>
            </w:pPr>
            <w:r w:rsidRPr="00A01384">
              <w:rPr>
                <w:rFonts w:ascii="Arial Narrow" w:hAnsi="Arial Narrow" w:cs="Arial"/>
                <w:b/>
                <w:bCs/>
                <w:color w:val="0D0D0D"/>
                <w:sz w:val="20"/>
              </w:rPr>
              <w:t>redacted</w:t>
            </w:r>
          </w:p>
        </w:tc>
      </w:tr>
      <w:tr w:rsidR="00785C2F" w:rsidRPr="00C15DF8" w14:paraId="06DEB1FD" w14:textId="77777777">
        <w:tc>
          <w:tcPr>
            <w:tcW w:w="1529" w:type="pct"/>
            <w:vAlign w:val="center"/>
          </w:tcPr>
          <w:p w14:paraId="7393B2D6" w14:textId="77777777" w:rsidR="00785C2F" w:rsidRPr="00C15DF8" w:rsidRDefault="00785C2F">
            <w:pPr>
              <w:keepNext/>
              <w:widowControl w:val="0"/>
              <w:spacing w:after="0"/>
              <w:rPr>
                <w:rFonts w:ascii="Times" w:hAnsi="Times" w:cs="Arial"/>
                <w:color w:val="0D0D0D"/>
                <w:sz w:val="20"/>
              </w:rPr>
            </w:pPr>
            <w:r w:rsidRPr="00C15DF8">
              <w:rPr>
                <w:rFonts w:ascii="Arial Narrow" w:hAnsi="Arial Narrow" w:cs="Arial"/>
                <w:color w:val="0D0D0D"/>
                <w:sz w:val="20"/>
              </w:rPr>
              <w:t>QALYs</w:t>
            </w:r>
          </w:p>
        </w:tc>
        <w:tc>
          <w:tcPr>
            <w:tcW w:w="1359" w:type="pct"/>
            <w:vAlign w:val="center"/>
          </w:tcPr>
          <w:p w14:paraId="0440B894" w14:textId="0BD7592E"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0.650</w:t>
            </w:r>
          </w:p>
        </w:tc>
        <w:tc>
          <w:tcPr>
            <w:tcW w:w="1274" w:type="pct"/>
            <w:vAlign w:val="center"/>
          </w:tcPr>
          <w:p w14:paraId="41F5AA8E" w14:textId="3DA6BD46" w:rsidR="00785C2F" w:rsidRPr="00C15DF8" w:rsidRDefault="00785C2F">
            <w:pPr>
              <w:keepNext/>
              <w:widowControl w:val="0"/>
              <w:spacing w:after="0"/>
              <w:jc w:val="center"/>
              <w:rPr>
                <w:rFonts w:ascii="Times" w:hAnsi="Times" w:cs="Arial"/>
                <w:color w:val="0D0D0D"/>
                <w:sz w:val="20"/>
              </w:rPr>
            </w:pPr>
            <w:r w:rsidRPr="00C15DF8">
              <w:rPr>
                <w:rFonts w:ascii="Arial Narrow" w:hAnsi="Arial Narrow" w:cs="Arial"/>
                <w:color w:val="0D0D0D"/>
                <w:sz w:val="20"/>
              </w:rPr>
              <w:t>0.599</w:t>
            </w:r>
          </w:p>
        </w:tc>
        <w:tc>
          <w:tcPr>
            <w:tcW w:w="838" w:type="pct"/>
            <w:vAlign w:val="center"/>
          </w:tcPr>
          <w:p w14:paraId="089CEA8C" w14:textId="5BA8AF18" w:rsidR="00785C2F" w:rsidRPr="00C15DF8" w:rsidRDefault="00785C2F">
            <w:pPr>
              <w:keepNext/>
              <w:widowControl w:val="0"/>
              <w:spacing w:after="0"/>
              <w:jc w:val="center"/>
              <w:rPr>
                <w:rFonts w:ascii="Arial Narrow" w:hAnsi="Arial Narrow" w:cs="Arial"/>
                <w:color w:val="0D0D0D"/>
                <w:sz w:val="20"/>
              </w:rPr>
            </w:pPr>
            <w:r w:rsidRPr="00C15DF8">
              <w:rPr>
                <w:rFonts w:ascii="Arial Narrow" w:hAnsi="Arial Narrow" w:cs="Arial"/>
                <w:color w:val="0D0D0D"/>
                <w:sz w:val="20"/>
              </w:rPr>
              <w:t>0.051</w:t>
            </w:r>
          </w:p>
        </w:tc>
      </w:tr>
      <w:tr w:rsidR="00785C2F" w:rsidRPr="00C15DF8" w14:paraId="19BAC1BE" w14:textId="77777777">
        <w:tc>
          <w:tcPr>
            <w:tcW w:w="4162" w:type="pct"/>
            <w:gridSpan w:val="3"/>
            <w:vAlign w:val="center"/>
          </w:tcPr>
          <w:p w14:paraId="285EE212" w14:textId="77777777" w:rsidR="00785C2F" w:rsidRPr="00C15DF8" w:rsidRDefault="00785C2F">
            <w:pPr>
              <w:keepNext/>
              <w:widowControl w:val="0"/>
              <w:spacing w:after="0"/>
              <w:rPr>
                <w:rFonts w:ascii="Times" w:hAnsi="Times" w:cs="Arial"/>
                <w:b/>
                <w:color w:val="0D0D0D"/>
                <w:sz w:val="20"/>
              </w:rPr>
            </w:pPr>
            <w:r w:rsidRPr="00C15DF8">
              <w:rPr>
                <w:rFonts w:ascii="Arial Narrow" w:hAnsi="Arial Narrow" w:cs="Arial"/>
                <w:b/>
                <w:color w:val="0D0D0D"/>
                <w:sz w:val="20"/>
              </w:rPr>
              <w:t>Incremental cost/extra QALY gained (base case)</w:t>
            </w:r>
          </w:p>
        </w:tc>
        <w:tc>
          <w:tcPr>
            <w:tcW w:w="838" w:type="pct"/>
            <w:vAlign w:val="center"/>
          </w:tcPr>
          <w:p w14:paraId="5B1397FE" w14:textId="43581329" w:rsidR="00785C2F" w:rsidRPr="00C15DF8" w:rsidRDefault="00AD578C">
            <w:pPr>
              <w:keepNext/>
              <w:widowControl w:val="0"/>
              <w:spacing w:after="0"/>
              <w:jc w:val="center"/>
              <w:rPr>
                <w:rFonts w:ascii="Times" w:hAnsi="Times" w:cs="Arial"/>
                <w:b/>
                <w:color w:val="0D0D0D"/>
                <w:sz w:val="20"/>
              </w:rPr>
            </w:pPr>
            <w:r w:rsidRPr="00A01384">
              <w:rPr>
                <w:rFonts w:ascii="Arial Narrow" w:hAnsi="Arial Narrow" w:cs="Arial"/>
                <w:b/>
                <w:bCs/>
                <w:color w:val="0D0D0D"/>
                <w:sz w:val="20"/>
              </w:rPr>
              <w:t>redacted</w:t>
            </w:r>
            <w:r w:rsidR="00200622">
              <w:rPr>
                <w:rFonts w:ascii="Arial Narrow" w:hAnsi="Arial Narrow" w:cs="Arial"/>
                <w:b/>
                <w:bCs/>
                <w:color w:val="0D0D0D"/>
                <w:sz w:val="20"/>
                <w:vertAlign w:val="superscript"/>
              </w:rPr>
              <w:t>1</w:t>
            </w:r>
          </w:p>
        </w:tc>
      </w:tr>
    </w:tbl>
    <w:p w14:paraId="2CA76107" w14:textId="77777777" w:rsidR="00785C2F" w:rsidRPr="00431CF2" w:rsidRDefault="00785C2F" w:rsidP="00785C2F">
      <w:pPr>
        <w:widowControl w:val="0"/>
        <w:spacing w:before="40" w:after="240"/>
        <w:contextualSpacing/>
        <w:rPr>
          <w:rFonts w:ascii="Arial Narrow" w:eastAsia="Times New Roman" w:hAnsi="Arial Narrow" w:cs="Arial"/>
          <w:snapToGrid w:val="0"/>
          <w:color w:val="0D0D0D"/>
          <w:sz w:val="18"/>
          <w:szCs w:val="18"/>
          <w:lang w:eastAsia="en-AU"/>
        </w:rPr>
      </w:pPr>
      <w:r w:rsidRPr="00431CF2">
        <w:rPr>
          <w:rFonts w:ascii="Arial Narrow" w:eastAsia="Times New Roman" w:hAnsi="Arial Narrow" w:cs="Arial"/>
          <w:snapToGrid w:val="0"/>
          <w:color w:val="0D0D0D"/>
          <w:sz w:val="18"/>
          <w:szCs w:val="18"/>
          <w:lang w:eastAsia="en-AU"/>
        </w:rPr>
        <w:t xml:space="preserve">Note: the numbers may not be exact due to rounding in the “3.1_Ivosidenib cost-effectiveness model” Workbook provided in the submission. </w:t>
      </w:r>
    </w:p>
    <w:p w14:paraId="2C421C91" w14:textId="77777777" w:rsidR="00785C2F" w:rsidRPr="00431CF2" w:rsidRDefault="00785C2F" w:rsidP="00AE1803">
      <w:pPr>
        <w:widowControl w:val="0"/>
        <w:spacing w:before="0" w:after="0"/>
        <w:contextualSpacing/>
        <w:rPr>
          <w:rFonts w:ascii="Arial Narrow" w:eastAsia="Times New Roman" w:hAnsi="Arial Narrow" w:cs="Arial"/>
          <w:snapToGrid w:val="0"/>
          <w:color w:val="0D0D0D"/>
          <w:sz w:val="18"/>
          <w:szCs w:val="18"/>
          <w:lang w:eastAsia="en-AU"/>
        </w:rPr>
      </w:pPr>
      <w:r w:rsidRPr="00431CF2">
        <w:rPr>
          <w:rFonts w:ascii="Arial Narrow" w:eastAsia="Times New Roman" w:hAnsi="Arial Narrow" w:cs="Arial"/>
          <w:snapToGrid w:val="0"/>
          <w:color w:val="0D0D0D"/>
          <w:sz w:val="18"/>
          <w:szCs w:val="18"/>
          <w:lang w:eastAsia="en-AU"/>
        </w:rPr>
        <w:t xml:space="preserve">Source: </w:t>
      </w:r>
      <w:r w:rsidRPr="00431CF2">
        <w:rPr>
          <w:rFonts w:ascii="Arial Narrow" w:eastAsia="Times New Roman" w:hAnsi="Arial Narrow" w:cs="Arial"/>
          <w:i/>
          <w:iCs/>
          <w:snapToGrid w:val="0"/>
          <w:color w:val="0D0D0D"/>
          <w:sz w:val="18"/>
          <w:szCs w:val="18"/>
          <w:lang w:eastAsia="en-AU"/>
        </w:rPr>
        <w:t>Tabulated during the evaluation,</w:t>
      </w:r>
      <w:r w:rsidRPr="00431CF2">
        <w:rPr>
          <w:rFonts w:ascii="Arial Narrow" w:eastAsia="Times New Roman" w:hAnsi="Arial Narrow" w:cs="Arial"/>
          <w:snapToGrid w:val="0"/>
          <w:color w:val="0D0D0D"/>
          <w:sz w:val="18"/>
          <w:szCs w:val="18"/>
          <w:lang w:eastAsia="en-AU"/>
        </w:rPr>
        <w:t xml:space="preserve"> based on Table 3-23, p165 of the submission and the “3.1_Ivosidenib cost-effectiveness model” Workbook provided in the submission. </w:t>
      </w:r>
    </w:p>
    <w:p w14:paraId="06F80AC6" w14:textId="2EEC72B2" w:rsidR="00785C2F" w:rsidRDefault="00785C2F" w:rsidP="00AE1803">
      <w:pPr>
        <w:widowControl w:val="0"/>
        <w:spacing w:before="0" w:after="0"/>
        <w:rPr>
          <w:rFonts w:ascii="Arial Narrow" w:eastAsia="Times New Roman" w:hAnsi="Arial Narrow" w:cs="Arial"/>
          <w:snapToGrid w:val="0"/>
          <w:color w:val="0D0D0D"/>
          <w:sz w:val="18"/>
          <w:szCs w:val="18"/>
        </w:rPr>
      </w:pPr>
      <w:r w:rsidRPr="00431CF2">
        <w:rPr>
          <w:rFonts w:ascii="Arial Narrow" w:eastAsia="Times New Roman" w:hAnsi="Arial Narrow" w:cs="Arial"/>
          <w:snapToGrid w:val="0"/>
          <w:color w:val="0D0D0D"/>
          <w:sz w:val="18"/>
          <w:szCs w:val="18"/>
        </w:rPr>
        <w:t>LYG = life years gained; SOC = standard of care; QALYs = quality adjusted life years</w:t>
      </w:r>
      <w:bookmarkStart w:id="45" w:name="_Hlk164163648"/>
    </w:p>
    <w:p w14:paraId="137E89DC" w14:textId="77777777" w:rsidR="00AE1803" w:rsidRPr="006540F8" w:rsidRDefault="00AE1803" w:rsidP="00AE1803">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6540F8">
        <w:rPr>
          <w:rFonts w:ascii="Arial Narrow" w:eastAsia="Times New Roman" w:hAnsi="Arial Narrow" w:cs="Arial"/>
          <w:i/>
          <w:iCs/>
          <w:snapToGrid w:val="0"/>
          <w:color w:val="0D0D0D" w:themeColor="text1" w:themeTint="F2"/>
          <w:sz w:val="18"/>
          <w:lang w:eastAsia="en-AU"/>
        </w:rPr>
        <w:t>The redacted values correspond to the following ranges:</w:t>
      </w:r>
    </w:p>
    <w:p w14:paraId="787B818E" w14:textId="77777777" w:rsidR="00AE1803" w:rsidRPr="006540F8" w:rsidRDefault="00AE1803" w:rsidP="00AE1803">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E25CF4">
        <w:rPr>
          <w:rFonts w:ascii="Arial Narrow" w:eastAsia="Times New Roman" w:hAnsi="Arial Narrow" w:cs="Arial"/>
          <w:i/>
          <w:iCs/>
          <w:snapToGrid w:val="0"/>
          <w:color w:val="0D0D0D" w:themeColor="text1" w:themeTint="F2"/>
          <w:sz w:val="18"/>
          <w:vertAlign w:val="superscript"/>
          <w:lang w:eastAsia="en-AU"/>
        </w:rPr>
        <w:t>1</w:t>
      </w:r>
      <w:r w:rsidRPr="006540F8">
        <w:rPr>
          <w:rFonts w:ascii="Arial Narrow" w:eastAsia="Times New Roman" w:hAnsi="Arial Narrow" w:cs="Arial"/>
          <w:i/>
          <w:iCs/>
          <w:snapToGrid w:val="0"/>
          <w:color w:val="0D0D0D" w:themeColor="text1" w:themeTint="F2"/>
          <w:sz w:val="18"/>
          <w:lang w:eastAsia="en-AU"/>
        </w:rPr>
        <w:t xml:space="preserve"> $95,000 to &lt; $115,000 </w:t>
      </w:r>
    </w:p>
    <w:p w14:paraId="35260D1D" w14:textId="77777777" w:rsidR="00AE1803" w:rsidRPr="006540F8" w:rsidRDefault="00AE1803" w:rsidP="00AE1803">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E25CF4">
        <w:rPr>
          <w:rFonts w:ascii="Arial Narrow" w:eastAsia="Times New Roman" w:hAnsi="Arial Narrow" w:cs="Arial"/>
          <w:i/>
          <w:iCs/>
          <w:snapToGrid w:val="0"/>
          <w:color w:val="0D0D0D" w:themeColor="text1" w:themeTint="F2"/>
          <w:sz w:val="18"/>
          <w:vertAlign w:val="superscript"/>
          <w:lang w:eastAsia="en-AU"/>
        </w:rPr>
        <w:t xml:space="preserve">2 </w:t>
      </w:r>
      <w:r w:rsidRPr="006540F8">
        <w:rPr>
          <w:rFonts w:ascii="Arial Narrow" w:eastAsia="Times New Roman" w:hAnsi="Arial Narrow" w:cs="Arial"/>
          <w:i/>
          <w:iCs/>
          <w:snapToGrid w:val="0"/>
          <w:color w:val="0D0D0D" w:themeColor="text1" w:themeTint="F2"/>
          <w:sz w:val="18"/>
          <w:lang w:eastAsia="en-AU"/>
        </w:rPr>
        <w:t>$75,000 to &lt; $95,000</w:t>
      </w:r>
    </w:p>
    <w:p w14:paraId="5789E365" w14:textId="77777777" w:rsidR="00AE1803" w:rsidRPr="00431CF2" w:rsidRDefault="00AE1803" w:rsidP="00AE1803">
      <w:pPr>
        <w:widowControl w:val="0"/>
        <w:spacing w:before="0" w:after="0"/>
        <w:rPr>
          <w:rFonts w:ascii="Arial Narrow" w:eastAsia="Times New Roman" w:hAnsi="Arial Narrow" w:cs="Arial"/>
          <w:snapToGrid w:val="0"/>
          <w:color w:val="0D0D0D"/>
          <w:sz w:val="18"/>
          <w:szCs w:val="18"/>
        </w:rPr>
      </w:pPr>
    </w:p>
    <w:p w14:paraId="74C1FA36" w14:textId="184055CC" w:rsidR="00785C2F" w:rsidRPr="00C15DF8" w:rsidRDefault="00785C2F" w:rsidP="00785C2F">
      <w:pPr>
        <w:keepNext/>
        <w:tabs>
          <w:tab w:val="left" w:pos="1276"/>
        </w:tabs>
        <w:spacing w:after="0" w:line="259" w:lineRule="auto"/>
        <w:contextualSpacing/>
        <w:rPr>
          <w:rFonts w:ascii="Arial Narrow" w:hAnsi="Arial Narrow" w:cs="Arial"/>
          <w:b/>
          <w:iCs/>
          <w:sz w:val="20"/>
          <w:szCs w:val="18"/>
        </w:rPr>
      </w:pPr>
      <w:bookmarkStart w:id="46" w:name="_Ref164262830"/>
      <w:r w:rsidRPr="00C15DF8">
        <w:rPr>
          <w:rFonts w:ascii="Arial Narrow" w:hAnsi="Arial Narrow" w:cs="Arial"/>
          <w:b/>
          <w:iCs/>
          <w:sz w:val="20"/>
          <w:szCs w:val="18"/>
        </w:rPr>
        <w:t xml:space="preserve">Table MSAC. </w:t>
      </w:r>
      <w:r w:rsidRPr="00C15DF8">
        <w:rPr>
          <w:rFonts w:ascii="Arial Narrow" w:hAnsi="Arial Narrow" w:cs="Arial"/>
          <w:b/>
          <w:iCs/>
          <w:sz w:val="20"/>
          <w:szCs w:val="18"/>
        </w:rPr>
        <w:fldChar w:fldCharType="begin"/>
      </w:r>
      <w:r w:rsidRPr="00C15DF8">
        <w:rPr>
          <w:rFonts w:ascii="Arial Narrow" w:hAnsi="Arial Narrow" w:cs="Arial"/>
          <w:b/>
          <w:iCs/>
          <w:sz w:val="20"/>
          <w:szCs w:val="18"/>
        </w:rPr>
        <w:instrText xml:space="preserve"> SEQ Table_MSAC. \* ARABIC </w:instrText>
      </w:r>
      <w:r w:rsidRPr="00C15DF8">
        <w:rPr>
          <w:rFonts w:ascii="Arial Narrow" w:hAnsi="Arial Narrow" w:cs="Arial"/>
          <w:b/>
          <w:iCs/>
          <w:sz w:val="20"/>
          <w:szCs w:val="18"/>
        </w:rPr>
        <w:fldChar w:fldCharType="separate"/>
      </w:r>
      <w:r w:rsidR="00D94E31">
        <w:rPr>
          <w:rFonts w:ascii="Arial Narrow" w:hAnsi="Arial Narrow" w:cs="Arial"/>
          <w:b/>
          <w:iCs/>
          <w:noProof/>
          <w:sz w:val="20"/>
          <w:szCs w:val="18"/>
        </w:rPr>
        <w:t>8</w:t>
      </w:r>
      <w:r w:rsidRPr="00C15DF8">
        <w:rPr>
          <w:rFonts w:ascii="Arial Narrow" w:hAnsi="Arial Narrow" w:cs="Arial"/>
          <w:b/>
          <w:iCs/>
          <w:sz w:val="20"/>
          <w:szCs w:val="18"/>
        </w:rPr>
        <w:fldChar w:fldCharType="end"/>
      </w:r>
      <w:bookmarkEnd w:id="46"/>
      <w:r w:rsidRPr="00C15DF8">
        <w:rPr>
          <w:rFonts w:ascii="Arial Narrow" w:hAnsi="Arial Narrow" w:cs="Arial"/>
          <w:b/>
          <w:iCs/>
          <w:sz w:val="20"/>
          <w:szCs w:val="18"/>
        </w:rPr>
        <w:t>: Results of the stepped economic evaluation, in the trial population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785C2F" w:rsidRPr="00C15DF8" w14:paraId="2AF4EB7E" w14:textId="77777777">
        <w:trPr>
          <w:tblHeader/>
        </w:trPr>
        <w:tc>
          <w:tcPr>
            <w:tcW w:w="1529" w:type="pct"/>
            <w:vAlign w:val="center"/>
          </w:tcPr>
          <w:p w14:paraId="50A8D0DE" w14:textId="77777777" w:rsidR="00785C2F" w:rsidRPr="00C15DF8" w:rsidRDefault="00785C2F">
            <w:pPr>
              <w:keepNext/>
              <w:spacing w:after="0"/>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Step and component</w:t>
            </w:r>
          </w:p>
        </w:tc>
        <w:tc>
          <w:tcPr>
            <w:tcW w:w="1359" w:type="pct"/>
            <w:vAlign w:val="center"/>
          </w:tcPr>
          <w:p w14:paraId="7761BA2C" w14:textId="77777777" w:rsidR="00785C2F" w:rsidRPr="00C15DF8" w:rsidRDefault="00785C2F">
            <w:pPr>
              <w:keepNext/>
              <w:spacing w:after="0"/>
              <w:jc w:val="center"/>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Ivosidenib</w:t>
            </w:r>
          </w:p>
        </w:tc>
        <w:tc>
          <w:tcPr>
            <w:tcW w:w="1274" w:type="pct"/>
            <w:vAlign w:val="center"/>
          </w:tcPr>
          <w:p w14:paraId="7B302EE7" w14:textId="77777777" w:rsidR="00785C2F" w:rsidRPr="00C15DF8" w:rsidRDefault="00785C2F">
            <w:pPr>
              <w:keepNext/>
              <w:spacing w:after="0"/>
              <w:jc w:val="center"/>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BSC</w:t>
            </w:r>
          </w:p>
        </w:tc>
        <w:tc>
          <w:tcPr>
            <w:tcW w:w="838" w:type="pct"/>
            <w:vAlign w:val="center"/>
          </w:tcPr>
          <w:p w14:paraId="02845D1E" w14:textId="77777777" w:rsidR="00785C2F" w:rsidRPr="00C15DF8" w:rsidRDefault="00785C2F">
            <w:pPr>
              <w:keepNext/>
              <w:spacing w:after="0"/>
              <w:jc w:val="center"/>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Increment</w:t>
            </w:r>
          </w:p>
        </w:tc>
      </w:tr>
      <w:tr w:rsidR="00785C2F" w:rsidRPr="00C15DF8" w14:paraId="0814316F" w14:textId="77777777">
        <w:tc>
          <w:tcPr>
            <w:tcW w:w="5000" w:type="pct"/>
            <w:gridSpan w:val="4"/>
            <w:vAlign w:val="center"/>
          </w:tcPr>
          <w:p w14:paraId="10FAFEF8" w14:textId="77777777" w:rsidR="00785C2F" w:rsidRPr="00C15DF8" w:rsidRDefault="00785C2F">
            <w:pPr>
              <w:keepNext/>
              <w:widowControl w:val="0"/>
              <w:spacing w:after="0"/>
              <w:rPr>
                <w:rFonts w:ascii="Arial Narrow" w:hAnsi="Arial Narrow" w:cs="Arial"/>
                <w:b/>
                <w:bCs/>
                <w:iCs/>
                <w:color w:val="0D0D0D"/>
                <w:sz w:val="20"/>
              </w:rPr>
            </w:pPr>
            <w:r w:rsidRPr="00C15DF8">
              <w:rPr>
                <w:rFonts w:ascii="Arial Narrow" w:hAnsi="Arial Narrow" w:cs="Arial"/>
                <w:b/>
                <w:bCs/>
                <w:iCs/>
                <w:color w:val="0D0D0D"/>
                <w:sz w:val="20"/>
              </w:rPr>
              <w:t xml:space="preserve">Step 1: trial-based costs and outcomes (36 months) </w:t>
            </w:r>
          </w:p>
        </w:tc>
      </w:tr>
      <w:tr w:rsidR="00785C2F" w:rsidRPr="00C15DF8" w14:paraId="334274DD" w14:textId="77777777">
        <w:tc>
          <w:tcPr>
            <w:tcW w:w="1529" w:type="pct"/>
            <w:vAlign w:val="center"/>
          </w:tcPr>
          <w:p w14:paraId="09B931CA"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 xml:space="preserve">Costs </w:t>
            </w:r>
          </w:p>
        </w:tc>
        <w:tc>
          <w:tcPr>
            <w:tcW w:w="1359" w:type="pct"/>
            <w:vAlign w:val="center"/>
          </w:tcPr>
          <w:p w14:paraId="20B7CA48" w14:textId="24E3DA6C" w:rsidR="00785C2F" w:rsidRPr="00C15DF8" w:rsidRDefault="00AD578C">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c>
          <w:tcPr>
            <w:tcW w:w="1274" w:type="pct"/>
            <w:vAlign w:val="center"/>
          </w:tcPr>
          <w:p w14:paraId="45D7F2F7" w14:textId="77777777"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$24,309</w:t>
            </w:r>
          </w:p>
        </w:tc>
        <w:tc>
          <w:tcPr>
            <w:tcW w:w="838" w:type="pct"/>
            <w:vAlign w:val="center"/>
          </w:tcPr>
          <w:p w14:paraId="0890BA29" w14:textId="543F227F" w:rsidR="00785C2F" w:rsidRPr="00C15DF8" w:rsidRDefault="00AD578C">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r>
      <w:tr w:rsidR="00785C2F" w:rsidRPr="00C15DF8" w14:paraId="1B74C9DC" w14:textId="77777777">
        <w:tc>
          <w:tcPr>
            <w:tcW w:w="1529" w:type="pct"/>
            <w:vAlign w:val="center"/>
          </w:tcPr>
          <w:p w14:paraId="1789FE15"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LYs gained</w:t>
            </w:r>
          </w:p>
        </w:tc>
        <w:tc>
          <w:tcPr>
            <w:tcW w:w="1359" w:type="pct"/>
            <w:vAlign w:val="center"/>
          </w:tcPr>
          <w:p w14:paraId="23E51D29" w14:textId="0131D808"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1.154</w:t>
            </w:r>
          </w:p>
        </w:tc>
        <w:tc>
          <w:tcPr>
            <w:tcW w:w="1274" w:type="pct"/>
            <w:vAlign w:val="center"/>
          </w:tcPr>
          <w:p w14:paraId="279C63D8" w14:textId="71ABFC9C"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0.682</w:t>
            </w:r>
          </w:p>
        </w:tc>
        <w:tc>
          <w:tcPr>
            <w:tcW w:w="838" w:type="pct"/>
            <w:vAlign w:val="center"/>
          </w:tcPr>
          <w:p w14:paraId="35AF26EB" w14:textId="7AA3ED25"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0.473</w:t>
            </w:r>
          </w:p>
        </w:tc>
      </w:tr>
      <w:tr w:rsidR="00785C2F" w:rsidRPr="00C15DF8" w14:paraId="03647DDF" w14:textId="77777777">
        <w:tc>
          <w:tcPr>
            <w:tcW w:w="4162" w:type="pct"/>
            <w:gridSpan w:val="3"/>
            <w:vAlign w:val="center"/>
          </w:tcPr>
          <w:p w14:paraId="6A70B125"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Incremental cost/extra LY gained</w:t>
            </w:r>
          </w:p>
        </w:tc>
        <w:tc>
          <w:tcPr>
            <w:tcW w:w="838" w:type="pct"/>
            <w:vAlign w:val="center"/>
          </w:tcPr>
          <w:p w14:paraId="0048C970" w14:textId="151B43FF" w:rsidR="00785C2F" w:rsidRPr="00D05705" w:rsidRDefault="008C2A27">
            <w:pPr>
              <w:keepNext/>
              <w:widowControl w:val="0"/>
              <w:spacing w:after="0"/>
              <w:jc w:val="center"/>
              <w:rPr>
                <w:rFonts w:ascii="Arial Narrow" w:hAnsi="Arial Narrow" w:cs="Arial"/>
                <w:b/>
                <w:bCs/>
                <w:iCs/>
                <w:color w:val="0D0D0D"/>
                <w:sz w:val="20"/>
              </w:rPr>
            </w:pPr>
            <w:r w:rsidRPr="00D05705">
              <w:rPr>
                <w:rFonts w:ascii="Arial Narrow" w:hAnsi="Arial Narrow" w:cs="Arial"/>
                <w:b/>
                <w:bCs/>
                <w:iCs/>
                <w:color w:val="0D0D0D"/>
                <w:sz w:val="20"/>
              </w:rPr>
              <w:t>redacted</w:t>
            </w:r>
            <w:r w:rsidRPr="00D05705">
              <w:rPr>
                <w:rFonts w:ascii="Arial Narrow" w:hAnsi="Arial Narrow" w:cs="Arial"/>
                <w:b/>
                <w:bCs/>
                <w:iCs/>
                <w:color w:val="0D0D0D"/>
                <w:sz w:val="20"/>
                <w:vertAlign w:val="superscript"/>
              </w:rPr>
              <w:t>1</w:t>
            </w:r>
          </w:p>
        </w:tc>
      </w:tr>
      <w:tr w:rsidR="00785C2F" w:rsidRPr="00C15DF8" w14:paraId="6F55D408" w14:textId="77777777">
        <w:tc>
          <w:tcPr>
            <w:tcW w:w="5000" w:type="pct"/>
            <w:gridSpan w:val="4"/>
            <w:vAlign w:val="center"/>
          </w:tcPr>
          <w:p w14:paraId="413D7F9F" w14:textId="77777777" w:rsidR="00785C2F" w:rsidRPr="00C15DF8" w:rsidRDefault="00785C2F">
            <w:pPr>
              <w:keepNext/>
              <w:spacing w:after="0"/>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Step 2: extrapolated to 10 years</w:t>
            </w:r>
          </w:p>
        </w:tc>
      </w:tr>
      <w:tr w:rsidR="00785C2F" w:rsidRPr="00C15DF8" w14:paraId="32B072E5" w14:textId="77777777">
        <w:tc>
          <w:tcPr>
            <w:tcW w:w="1529" w:type="pct"/>
            <w:vAlign w:val="center"/>
          </w:tcPr>
          <w:p w14:paraId="4AB425BA" w14:textId="77777777" w:rsidR="00785C2F" w:rsidRPr="00C15DF8" w:rsidRDefault="00785C2F">
            <w:pPr>
              <w:keepNext/>
              <w:widowControl w:val="0"/>
              <w:spacing w:after="0"/>
              <w:rPr>
                <w:rFonts w:ascii="Arial Narrow" w:hAnsi="Arial Narrow" w:cs="Arial"/>
                <w:iCs/>
                <w:color w:val="0D0D0D"/>
                <w:sz w:val="20"/>
                <w:vertAlign w:val="superscript"/>
              </w:rPr>
            </w:pPr>
            <w:r w:rsidRPr="00C15DF8">
              <w:rPr>
                <w:rFonts w:ascii="Arial Narrow" w:hAnsi="Arial Narrow" w:cs="Arial"/>
                <w:iCs/>
                <w:color w:val="0D0D0D"/>
                <w:sz w:val="20"/>
              </w:rPr>
              <w:t>Costs</w:t>
            </w:r>
          </w:p>
        </w:tc>
        <w:tc>
          <w:tcPr>
            <w:tcW w:w="1359" w:type="pct"/>
            <w:vAlign w:val="center"/>
          </w:tcPr>
          <w:p w14:paraId="7C181CEB" w14:textId="520C49A7" w:rsidR="00785C2F" w:rsidRPr="00C15DF8" w:rsidRDefault="00AD578C">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c>
          <w:tcPr>
            <w:tcW w:w="1274" w:type="pct"/>
            <w:vAlign w:val="center"/>
          </w:tcPr>
          <w:p w14:paraId="441A6718" w14:textId="77777777"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$25,024</w:t>
            </w:r>
          </w:p>
        </w:tc>
        <w:tc>
          <w:tcPr>
            <w:tcW w:w="838" w:type="pct"/>
            <w:vAlign w:val="center"/>
          </w:tcPr>
          <w:p w14:paraId="43F1EA25" w14:textId="3C727877" w:rsidR="00785C2F" w:rsidRPr="00C15DF8" w:rsidRDefault="00AD578C">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r>
      <w:tr w:rsidR="00785C2F" w:rsidRPr="00C15DF8" w14:paraId="275EF529" w14:textId="77777777">
        <w:tc>
          <w:tcPr>
            <w:tcW w:w="1529" w:type="pct"/>
            <w:vAlign w:val="center"/>
          </w:tcPr>
          <w:p w14:paraId="363492C9"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LYs gained</w:t>
            </w:r>
          </w:p>
        </w:tc>
        <w:tc>
          <w:tcPr>
            <w:tcW w:w="1359" w:type="pct"/>
            <w:vAlign w:val="center"/>
          </w:tcPr>
          <w:p w14:paraId="19EFE976" w14:textId="48CB73DC"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1.413</w:t>
            </w:r>
          </w:p>
        </w:tc>
        <w:tc>
          <w:tcPr>
            <w:tcW w:w="1274" w:type="pct"/>
            <w:vAlign w:val="center"/>
          </w:tcPr>
          <w:p w14:paraId="23DC0F70" w14:textId="3EB51C25"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0.737</w:t>
            </w:r>
          </w:p>
        </w:tc>
        <w:tc>
          <w:tcPr>
            <w:tcW w:w="838" w:type="pct"/>
            <w:vAlign w:val="center"/>
          </w:tcPr>
          <w:p w14:paraId="4C48FEAC" w14:textId="56602B96"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0.676</w:t>
            </w:r>
          </w:p>
        </w:tc>
      </w:tr>
      <w:tr w:rsidR="00785C2F" w:rsidRPr="00C15DF8" w14:paraId="06679B60" w14:textId="77777777">
        <w:tc>
          <w:tcPr>
            <w:tcW w:w="4162" w:type="pct"/>
            <w:gridSpan w:val="3"/>
            <w:vAlign w:val="center"/>
          </w:tcPr>
          <w:p w14:paraId="00EFF639"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Incremental cost/extra LY gained</w:t>
            </w:r>
          </w:p>
        </w:tc>
        <w:tc>
          <w:tcPr>
            <w:tcW w:w="838" w:type="pct"/>
            <w:vAlign w:val="center"/>
          </w:tcPr>
          <w:p w14:paraId="10C59165" w14:textId="0E843D2F" w:rsidR="00785C2F" w:rsidRPr="00C15DF8" w:rsidRDefault="00AD578C">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r w:rsidR="0063534E">
              <w:rPr>
                <w:rFonts w:ascii="Arial Narrow" w:hAnsi="Arial Narrow" w:cs="Arial"/>
                <w:b/>
                <w:bCs/>
                <w:color w:val="0D0D0D"/>
                <w:sz w:val="20"/>
                <w:vertAlign w:val="superscript"/>
              </w:rPr>
              <w:t>2</w:t>
            </w:r>
          </w:p>
        </w:tc>
      </w:tr>
      <w:tr w:rsidR="00785C2F" w:rsidRPr="00C15DF8" w14:paraId="21971F78" w14:textId="77777777">
        <w:tc>
          <w:tcPr>
            <w:tcW w:w="5000" w:type="pct"/>
            <w:gridSpan w:val="4"/>
            <w:vAlign w:val="center"/>
          </w:tcPr>
          <w:p w14:paraId="4FC05C06" w14:textId="77777777" w:rsidR="00785C2F" w:rsidRPr="00C15DF8" w:rsidRDefault="00785C2F">
            <w:pPr>
              <w:keepNext/>
              <w:spacing w:after="0"/>
              <w:rPr>
                <w:rFonts w:ascii="Arial Narrow" w:eastAsia="SimSun" w:hAnsi="Arial Narrow" w:cs="Times New Roman"/>
                <w:b/>
                <w:iCs/>
                <w:color w:val="0D0D0D"/>
                <w:sz w:val="20"/>
                <w:szCs w:val="24"/>
                <w:lang w:eastAsia="en-AU"/>
              </w:rPr>
            </w:pPr>
            <w:r w:rsidRPr="00C15DF8">
              <w:rPr>
                <w:rFonts w:ascii="Arial Narrow" w:eastAsia="SimSun" w:hAnsi="Arial Narrow" w:cs="Times New Roman"/>
                <w:b/>
                <w:iCs/>
                <w:color w:val="0D0D0D"/>
                <w:sz w:val="20"/>
                <w:szCs w:val="24"/>
                <w:lang w:eastAsia="en-AU"/>
              </w:rPr>
              <w:t>Step 3: transformation into QALYs</w:t>
            </w:r>
          </w:p>
        </w:tc>
      </w:tr>
      <w:tr w:rsidR="00785C2F" w:rsidRPr="00C15DF8" w14:paraId="48D02F32" w14:textId="77777777">
        <w:tc>
          <w:tcPr>
            <w:tcW w:w="1529" w:type="pct"/>
            <w:vAlign w:val="center"/>
          </w:tcPr>
          <w:p w14:paraId="3D9F131D" w14:textId="77777777" w:rsidR="00785C2F" w:rsidRPr="00C15DF8" w:rsidRDefault="00785C2F">
            <w:pPr>
              <w:keepNext/>
              <w:widowControl w:val="0"/>
              <w:spacing w:after="0"/>
              <w:rPr>
                <w:rFonts w:ascii="Arial Narrow" w:hAnsi="Arial Narrow" w:cs="Arial"/>
                <w:iCs/>
                <w:color w:val="0D0D0D"/>
                <w:sz w:val="20"/>
                <w:vertAlign w:val="superscript"/>
              </w:rPr>
            </w:pPr>
            <w:r w:rsidRPr="00C15DF8">
              <w:rPr>
                <w:rFonts w:ascii="Arial Narrow" w:hAnsi="Arial Narrow" w:cs="Arial"/>
                <w:iCs/>
                <w:color w:val="0D0D0D"/>
                <w:sz w:val="20"/>
              </w:rPr>
              <w:t>Costs</w:t>
            </w:r>
          </w:p>
        </w:tc>
        <w:tc>
          <w:tcPr>
            <w:tcW w:w="1359" w:type="pct"/>
            <w:vAlign w:val="center"/>
          </w:tcPr>
          <w:p w14:paraId="1AAD152E" w14:textId="022BE049" w:rsidR="00785C2F" w:rsidRPr="00C15DF8" w:rsidRDefault="007B68CE">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c>
          <w:tcPr>
            <w:tcW w:w="1274" w:type="pct"/>
            <w:vAlign w:val="center"/>
          </w:tcPr>
          <w:p w14:paraId="7D1250C9" w14:textId="77777777"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$25,024</w:t>
            </w:r>
          </w:p>
        </w:tc>
        <w:tc>
          <w:tcPr>
            <w:tcW w:w="838" w:type="pct"/>
            <w:vAlign w:val="center"/>
          </w:tcPr>
          <w:p w14:paraId="42B22F5F" w14:textId="68480A70" w:rsidR="00785C2F" w:rsidRPr="00C15DF8" w:rsidRDefault="007B68CE">
            <w:pPr>
              <w:keepNext/>
              <w:widowControl w:val="0"/>
              <w:spacing w:after="0"/>
              <w:jc w:val="center"/>
              <w:rPr>
                <w:rFonts w:ascii="Arial Narrow" w:hAnsi="Arial Narrow" w:cs="Arial"/>
                <w:iCs/>
                <w:color w:val="0D0D0D"/>
                <w:sz w:val="20"/>
              </w:rPr>
            </w:pPr>
            <w:r w:rsidRPr="00A01384">
              <w:rPr>
                <w:rFonts w:ascii="Arial Narrow" w:hAnsi="Arial Narrow" w:cs="Arial"/>
                <w:b/>
                <w:bCs/>
                <w:color w:val="0D0D0D"/>
                <w:sz w:val="20"/>
              </w:rPr>
              <w:t>redacted</w:t>
            </w:r>
          </w:p>
        </w:tc>
      </w:tr>
      <w:tr w:rsidR="00785C2F" w:rsidRPr="00C15DF8" w14:paraId="170B21EC" w14:textId="77777777">
        <w:tc>
          <w:tcPr>
            <w:tcW w:w="1529" w:type="pct"/>
            <w:vAlign w:val="center"/>
          </w:tcPr>
          <w:p w14:paraId="75AF6947" w14:textId="77777777" w:rsidR="00785C2F" w:rsidRPr="00C15DF8" w:rsidRDefault="00785C2F">
            <w:pPr>
              <w:keepNext/>
              <w:widowControl w:val="0"/>
              <w:spacing w:after="0"/>
              <w:rPr>
                <w:rFonts w:ascii="Arial Narrow" w:hAnsi="Arial Narrow" w:cs="Arial"/>
                <w:iCs/>
                <w:color w:val="0D0D0D"/>
                <w:sz w:val="20"/>
              </w:rPr>
            </w:pPr>
            <w:r w:rsidRPr="00C15DF8">
              <w:rPr>
                <w:rFonts w:ascii="Arial Narrow" w:hAnsi="Arial Narrow" w:cs="Arial"/>
                <w:iCs/>
                <w:color w:val="0D0D0D"/>
                <w:sz w:val="20"/>
              </w:rPr>
              <w:t>QALYs</w:t>
            </w:r>
          </w:p>
        </w:tc>
        <w:tc>
          <w:tcPr>
            <w:tcW w:w="1359" w:type="pct"/>
            <w:vAlign w:val="center"/>
          </w:tcPr>
          <w:p w14:paraId="6566BA02" w14:textId="4837980C"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1.159</w:t>
            </w:r>
          </w:p>
        </w:tc>
        <w:tc>
          <w:tcPr>
            <w:tcW w:w="1274" w:type="pct"/>
            <w:vAlign w:val="center"/>
          </w:tcPr>
          <w:p w14:paraId="30FACA40" w14:textId="64C3E702"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0.599</w:t>
            </w:r>
          </w:p>
        </w:tc>
        <w:tc>
          <w:tcPr>
            <w:tcW w:w="838" w:type="pct"/>
            <w:vAlign w:val="center"/>
          </w:tcPr>
          <w:p w14:paraId="202DC5D4" w14:textId="0AEA4D0D" w:rsidR="00785C2F" w:rsidRPr="00C15DF8" w:rsidRDefault="00785C2F">
            <w:pPr>
              <w:keepNext/>
              <w:widowControl w:val="0"/>
              <w:spacing w:after="0"/>
              <w:jc w:val="center"/>
              <w:rPr>
                <w:rFonts w:ascii="Arial Narrow" w:hAnsi="Arial Narrow" w:cs="Arial"/>
                <w:iCs/>
                <w:color w:val="0D0D0D"/>
                <w:sz w:val="20"/>
              </w:rPr>
            </w:pPr>
            <w:r w:rsidRPr="00C15DF8">
              <w:rPr>
                <w:rFonts w:ascii="Arial Narrow" w:hAnsi="Arial Narrow" w:cs="Arial"/>
                <w:iCs/>
                <w:color w:val="0D0D0D"/>
                <w:sz w:val="20"/>
              </w:rPr>
              <w:t>0.560</w:t>
            </w:r>
          </w:p>
        </w:tc>
      </w:tr>
      <w:tr w:rsidR="00785C2F" w:rsidRPr="00C15DF8" w14:paraId="56D6FD29" w14:textId="77777777">
        <w:tc>
          <w:tcPr>
            <w:tcW w:w="4162" w:type="pct"/>
            <w:gridSpan w:val="3"/>
            <w:vAlign w:val="center"/>
          </w:tcPr>
          <w:p w14:paraId="21210E4A" w14:textId="77777777" w:rsidR="00785C2F" w:rsidRPr="00C15DF8" w:rsidRDefault="00785C2F">
            <w:pPr>
              <w:keepNext/>
              <w:widowControl w:val="0"/>
              <w:spacing w:after="0"/>
              <w:rPr>
                <w:rFonts w:ascii="Arial Narrow" w:hAnsi="Arial Narrow" w:cs="Arial"/>
                <w:b/>
                <w:iCs/>
                <w:color w:val="0D0D0D"/>
                <w:sz w:val="20"/>
              </w:rPr>
            </w:pPr>
            <w:r w:rsidRPr="00C15DF8">
              <w:rPr>
                <w:rFonts w:ascii="Arial Narrow" w:hAnsi="Arial Narrow" w:cs="Arial"/>
                <w:b/>
                <w:iCs/>
                <w:color w:val="0D0D0D"/>
                <w:sz w:val="20"/>
              </w:rPr>
              <w:t>Incremental cost/extra QALY gained (base case)</w:t>
            </w:r>
          </w:p>
        </w:tc>
        <w:tc>
          <w:tcPr>
            <w:tcW w:w="838" w:type="pct"/>
            <w:vAlign w:val="center"/>
          </w:tcPr>
          <w:p w14:paraId="0C2DDF2A" w14:textId="633B9CB0" w:rsidR="00785C2F" w:rsidRPr="00C15DF8" w:rsidRDefault="0063534E">
            <w:pPr>
              <w:keepNext/>
              <w:widowControl w:val="0"/>
              <w:spacing w:after="0"/>
              <w:jc w:val="center"/>
              <w:rPr>
                <w:rFonts w:ascii="Arial Narrow" w:hAnsi="Arial Narrow" w:cs="Arial"/>
                <w:b/>
                <w:iCs/>
                <w:color w:val="0D0D0D"/>
                <w:sz w:val="20"/>
              </w:rPr>
            </w:pPr>
            <w:r>
              <w:rPr>
                <w:rFonts w:ascii="Arial Narrow" w:hAnsi="Arial Narrow" w:cs="Arial"/>
                <w:b/>
                <w:iCs/>
                <w:color w:val="0D0D0D"/>
                <w:sz w:val="20"/>
              </w:rPr>
              <w:t>redacted</w:t>
            </w:r>
            <w:r w:rsidR="007B58C6">
              <w:rPr>
                <w:rFonts w:ascii="Arial Narrow" w:hAnsi="Arial Narrow" w:cs="Arial"/>
                <w:b/>
                <w:iCs/>
                <w:color w:val="0D0D0D"/>
                <w:sz w:val="20"/>
                <w:vertAlign w:val="superscript"/>
              </w:rPr>
              <w:t>1</w:t>
            </w:r>
          </w:p>
        </w:tc>
      </w:tr>
    </w:tbl>
    <w:p w14:paraId="10BB02DC" w14:textId="77777777" w:rsidR="00785C2F" w:rsidRPr="004E3292" w:rsidRDefault="00785C2F" w:rsidP="00785C2F">
      <w:pPr>
        <w:widowControl w:val="0"/>
        <w:spacing w:before="40" w:after="240"/>
        <w:contextualSpacing/>
        <w:rPr>
          <w:rFonts w:ascii="Arial Narrow" w:eastAsia="Times New Roman" w:hAnsi="Arial Narrow" w:cs="Arial"/>
          <w:snapToGrid w:val="0"/>
          <w:color w:val="0D0D0D"/>
          <w:sz w:val="18"/>
          <w:szCs w:val="20"/>
          <w:lang w:eastAsia="en-AU"/>
        </w:rPr>
      </w:pPr>
      <w:r w:rsidRPr="004E3292">
        <w:rPr>
          <w:rFonts w:ascii="Arial Narrow" w:eastAsia="Times New Roman" w:hAnsi="Arial Narrow" w:cs="Arial"/>
          <w:snapToGrid w:val="0"/>
          <w:color w:val="0D0D0D"/>
          <w:sz w:val="18"/>
          <w:szCs w:val="20"/>
          <w:lang w:eastAsia="en-AU"/>
        </w:rPr>
        <w:t xml:space="preserve">Note: the numbers may not be exact due to rounding in the “3.1_Ivosidenib cost-effectiveness model” Workbook provided in the submission. </w:t>
      </w:r>
    </w:p>
    <w:p w14:paraId="71697A26" w14:textId="4AD879E3" w:rsidR="00785C2F" w:rsidRPr="004E3292" w:rsidRDefault="00785C2F" w:rsidP="00785C2F">
      <w:pPr>
        <w:widowControl w:val="0"/>
        <w:spacing w:before="40" w:after="240"/>
        <w:contextualSpacing/>
        <w:rPr>
          <w:rFonts w:ascii="Arial Narrow" w:eastAsia="Times New Roman" w:hAnsi="Arial Narrow" w:cs="Arial"/>
          <w:snapToGrid w:val="0"/>
          <w:color w:val="0D0D0D"/>
          <w:sz w:val="18"/>
          <w:szCs w:val="20"/>
        </w:rPr>
      </w:pPr>
      <w:r w:rsidRPr="004E3292">
        <w:rPr>
          <w:rFonts w:ascii="Arial Narrow" w:eastAsia="Times New Roman" w:hAnsi="Arial Narrow" w:cs="Arial"/>
          <w:snapToGrid w:val="0"/>
          <w:color w:val="0D0D0D"/>
          <w:sz w:val="18"/>
          <w:szCs w:val="20"/>
        </w:rPr>
        <w:t>Source: Tabulated during the evaluation, based on the ‘Setting and Results’ and ‘Model</w:t>
      </w:r>
      <w:r w:rsidR="004E3292">
        <w:rPr>
          <w:rFonts w:ascii="Arial Narrow" w:eastAsia="Times New Roman" w:hAnsi="Arial Narrow" w:cs="Arial"/>
          <w:snapToGrid w:val="0"/>
          <w:color w:val="0D0D0D"/>
          <w:sz w:val="18"/>
          <w:szCs w:val="20"/>
        </w:rPr>
        <w:t xml:space="preserve"> </w:t>
      </w:r>
      <w:r w:rsidRPr="004E3292">
        <w:rPr>
          <w:rFonts w:ascii="Arial Narrow" w:eastAsia="Times New Roman" w:hAnsi="Arial Narrow" w:cs="Arial"/>
          <w:snapToGrid w:val="0"/>
          <w:color w:val="0D0D0D"/>
          <w:sz w:val="18"/>
          <w:szCs w:val="20"/>
        </w:rPr>
        <w:t>Tx (TP)’ spreadsheets in the “3.1_Ivosidenib cost-effectiveness model” Workbook provided in the submission.</w:t>
      </w:r>
    </w:p>
    <w:p w14:paraId="768007E6" w14:textId="77777777" w:rsidR="00785C2F" w:rsidRDefault="00785C2F" w:rsidP="00F32A59">
      <w:pPr>
        <w:widowControl w:val="0"/>
        <w:spacing w:before="40" w:after="0"/>
        <w:rPr>
          <w:rFonts w:ascii="Arial Narrow" w:eastAsia="Times New Roman" w:hAnsi="Arial Narrow" w:cs="Arial"/>
          <w:snapToGrid w:val="0"/>
          <w:color w:val="0D0D0D"/>
          <w:sz w:val="18"/>
          <w:szCs w:val="20"/>
        </w:rPr>
      </w:pPr>
      <w:r w:rsidRPr="004E3292">
        <w:rPr>
          <w:rFonts w:ascii="Arial Narrow" w:eastAsia="Times New Roman" w:hAnsi="Arial Narrow" w:cs="Arial"/>
          <w:snapToGrid w:val="0"/>
          <w:color w:val="0D0D0D"/>
          <w:sz w:val="18"/>
          <w:szCs w:val="20"/>
        </w:rPr>
        <w:t>BSC = best supportive care; LYs = life-years; QALYs = quality-adjusted life years</w:t>
      </w:r>
      <w:bookmarkEnd w:id="45"/>
    </w:p>
    <w:p w14:paraId="1C34E794" w14:textId="77777777" w:rsidR="00F32A59" w:rsidRPr="006540F8" w:rsidRDefault="00F32A59" w:rsidP="00F32A59">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6540F8">
        <w:rPr>
          <w:rFonts w:ascii="Arial Narrow" w:eastAsia="Times New Roman" w:hAnsi="Arial Narrow" w:cs="Arial"/>
          <w:i/>
          <w:iCs/>
          <w:snapToGrid w:val="0"/>
          <w:color w:val="0D0D0D" w:themeColor="text1" w:themeTint="F2"/>
          <w:sz w:val="18"/>
          <w:lang w:eastAsia="en-AU"/>
        </w:rPr>
        <w:t>The redacted values correspond to the following ranges:</w:t>
      </w:r>
    </w:p>
    <w:p w14:paraId="34A4D3A9" w14:textId="77777777" w:rsidR="00F32A59" w:rsidRPr="006540F8" w:rsidRDefault="00F32A59" w:rsidP="00F32A59">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1769C0">
        <w:rPr>
          <w:rFonts w:ascii="Arial Narrow" w:eastAsia="Times New Roman" w:hAnsi="Arial Narrow" w:cs="Arial"/>
          <w:i/>
          <w:iCs/>
          <w:snapToGrid w:val="0"/>
          <w:color w:val="0D0D0D" w:themeColor="text1" w:themeTint="F2"/>
          <w:sz w:val="18"/>
          <w:vertAlign w:val="superscript"/>
          <w:lang w:eastAsia="en-AU"/>
        </w:rPr>
        <w:t xml:space="preserve">1 </w:t>
      </w:r>
      <w:r w:rsidRPr="006540F8">
        <w:rPr>
          <w:rFonts w:ascii="Arial Narrow" w:eastAsia="Times New Roman" w:hAnsi="Arial Narrow" w:cs="Arial"/>
          <w:i/>
          <w:iCs/>
          <w:snapToGrid w:val="0"/>
          <w:color w:val="0D0D0D" w:themeColor="text1" w:themeTint="F2"/>
          <w:sz w:val="18"/>
          <w:lang w:eastAsia="en-AU"/>
        </w:rPr>
        <w:t xml:space="preserve">$95,000 to &lt; $115,000 </w:t>
      </w:r>
    </w:p>
    <w:p w14:paraId="69B9EC66" w14:textId="0D96BF60" w:rsidR="00F32A59" w:rsidRPr="000D7644" w:rsidRDefault="00F32A59" w:rsidP="000D7644">
      <w:pPr>
        <w:tabs>
          <w:tab w:val="left" w:pos="284"/>
        </w:tabs>
        <w:spacing w:before="0" w:after="0"/>
        <w:jc w:val="left"/>
        <w:rPr>
          <w:rFonts w:ascii="Arial Narrow" w:eastAsia="Times New Roman" w:hAnsi="Arial Narrow" w:cs="Arial"/>
          <w:i/>
          <w:iCs/>
          <w:snapToGrid w:val="0"/>
          <w:color w:val="0D0D0D" w:themeColor="text1" w:themeTint="F2"/>
          <w:sz w:val="18"/>
          <w:lang w:eastAsia="en-AU"/>
        </w:rPr>
      </w:pPr>
      <w:r w:rsidRPr="001769C0">
        <w:rPr>
          <w:rFonts w:ascii="Arial Narrow" w:eastAsia="Times New Roman" w:hAnsi="Arial Narrow" w:cs="Arial"/>
          <w:i/>
          <w:iCs/>
          <w:snapToGrid w:val="0"/>
          <w:color w:val="0D0D0D" w:themeColor="text1" w:themeTint="F2"/>
          <w:sz w:val="18"/>
          <w:vertAlign w:val="superscript"/>
          <w:lang w:eastAsia="en-AU"/>
        </w:rPr>
        <w:t>2</w:t>
      </w:r>
      <w:r w:rsidRPr="006540F8">
        <w:rPr>
          <w:rFonts w:ascii="Arial Narrow" w:eastAsia="Times New Roman" w:hAnsi="Arial Narrow" w:cs="Arial"/>
          <w:i/>
          <w:iCs/>
          <w:snapToGrid w:val="0"/>
          <w:color w:val="0D0D0D" w:themeColor="text1" w:themeTint="F2"/>
          <w:sz w:val="18"/>
          <w:lang w:eastAsia="en-AU"/>
        </w:rPr>
        <w:t xml:space="preserve"> $75,000 to &lt; $95,000</w:t>
      </w:r>
    </w:p>
    <w:p w14:paraId="293E73F2" w14:textId="318D03EF" w:rsidR="00785C2F" w:rsidRPr="00431CF2" w:rsidRDefault="00431CF2" w:rsidP="00431CF2">
      <w:pPr>
        <w:pStyle w:val="Heading2"/>
        <w:widowControl w:val="0"/>
        <w:spacing w:after="240"/>
        <w:rPr>
          <w:rFonts w:ascii="Franklin Gothic Medium" w:hAnsi="Franklin Gothic Medium"/>
          <w:b w:val="0"/>
          <w:i w:val="0"/>
          <w:snapToGrid/>
          <w:color w:val="000000" w:themeColor="text1"/>
          <w:sz w:val="32"/>
          <w:szCs w:val="26"/>
        </w:rPr>
      </w:pPr>
      <w:bookmarkStart w:id="47" w:name="_Toc166763134"/>
      <w:r>
        <w:rPr>
          <w:rFonts w:ascii="Franklin Gothic Medium" w:hAnsi="Franklin Gothic Medium"/>
          <w:b w:val="0"/>
          <w:i w:val="0"/>
          <w:snapToGrid/>
          <w:color w:val="000000" w:themeColor="text1"/>
          <w:sz w:val="32"/>
          <w:szCs w:val="26"/>
        </w:rPr>
        <w:lastRenderedPageBreak/>
        <w:t>14.</w:t>
      </w:r>
      <w:r>
        <w:rPr>
          <w:rFonts w:ascii="Franklin Gothic Medium" w:hAnsi="Franklin Gothic Medium"/>
          <w:b w:val="0"/>
          <w:i w:val="0"/>
          <w:snapToGrid/>
          <w:color w:val="000000" w:themeColor="text1"/>
          <w:sz w:val="32"/>
          <w:szCs w:val="26"/>
        </w:rPr>
        <w:tab/>
      </w:r>
      <w:r w:rsidR="00785C2F" w:rsidRPr="00431CF2">
        <w:rPr>
          <w:rFonts w:ascii="Franklin Gothic Medium" w:hAnsi="Franklin Gothic Medium"/>
          <w:b w:val="0"/>
          <w:i w:val="0"/>
          <w:snapToGrid/>
          <w:color w:val="000000" w:themeColor="text1"/>
          <w:sz w:val="32"/>
          <w:szCs w:val="26"/>
        </w:rPr>
        <w:t>Financial/budgetary impacts</w:t>
      </w:r>
      <w:bookmarkEnd w:id="41"/>
      <w:bookmarkEnd w:id="47"/>
    </w:p>
    <w:p w14:paraId="5BF2DB9C" w14:textId="32CCF1D3"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 xml:space="preserve">The submission took an epidemiological approach to estimate the number of patients eligible for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variant testing. The cost of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variant testing to the MBS was estimated by assuming that this test would be performed in all patients with CCA, regardless of disease stage. </w:t>
      </w:r>
      <w:r w:rsidR="00DF0D12" w:rsidRPr="00431CF2">
        <w:rPr>
          <w:rFonts w:ascii="Franklin Gothic Book" w:hAnsi="Franklin Gothic Book" w:cs="Arial"/>
          <w:color w:val="0D0D0D"/>
          <w:sz w:val="22"/>
        </w:rPr>
        <w:t>The commentary noted t</w:t>
      </w:r>
      <w:r w:rsidRPr="00431CF2">
        <w:rPr>
          <w:rFonts w:ascii="Franklin Gothic Book" w:hAnsi="Franklin Gothic Book" w:cs="Arial"/>
          <w:color w:val="0D0D0D"/>
          <w:sz w:val="22"/>
        </w:rPr>
        <w:t xml:space="preserve">his was consistent with the requested MBS item description for </w:t>
      </w:r>
      <w:r w:rsidRPr="003F08E9">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testing.</w:t>
      </w:r>
      <w:r w:rsidRPr="00431CF2">
        <w:rPr>
          <w:rFonts w:ascii="Franklin Gothic Book" w:hAnsi="Franklin Gothic Book" w:cs="Arial"/>
          <w:i/>
          <w:iCs/>
          <w:color w:val="0D0D0D"/>
          <w:sz w:val="22"/>
        </w:rPr>
        <w:t xml:space="preserve"> </w:t>
      </w:r>
      <w:r w:rsidRPr="00431CF2">
        <w:rPr>
          <w:rFonts w:ascii="Franklin Gothic Book" w:hAnsi="Franklin Gothic Book" w:cs="Arial"/>
          <w:color w:val="0D0D0D"/>
          <w:sz w:val="22"/>
        </w:rPr>
        <w:t xml:space="preserve">The number of patients diagnosed with CCA in each year following the listing of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testing was estimated on the basis of sponsor-commissioned incidence data from AIHW in 2015-2019, assuming a linear projection from 2019 to 2030 for each of </w:t>
      </w:r>
      <w:proofErr w:type="spellStart"/>
      <w:r w:rsidRPr="00431CF2">
        <w:rPr>
          <w:rFonts w:ascii="Franklin Gothic Book" w:hAnsi="Franklin Gothic Book" w:cs="Arial"/>
          <w:color w:val="0D0D0D"/>
          <w:sz w:val="22"/>
        </w:rPr>
        <w:t>iCCA</w:t>
      </w:r>
      <w:proofErr w:type="spellEnd"/>
      <w:r w:rsidRPr="00431CF2">
        <w:rPr>
          <w:rFonts w:ascii="Franklin Gothic Book" w:hAnsi="Franklin Gothic Book" w:cs="Arial"/>
          <w:color w:val="0D0D0D"/>
          <w:sz w:val="22"/>
        </w:rPr>
        <w:t xml:space="preserve">, </w:t>
      </w:r>
      <w:proofErr w:type="spellStart"/>
      <w:r w:rsidRPr="00431CF2">
        <w:rPr>
          <w:rFonts w:ascii="Franklin Gothic Book" w:hAnsi="Franklin Gothic Book" w:cs="Arial"/>
          <w:color w:val="0D0D0D"/>
          <w:sz w:val="22"/>
        </w:rPr>
        <w:t>eCCA</w:t>
      </w:r>
      <w:proofErr w:type="spellEnd"/>
      <w:r w:rsidRPr="00431CF2">
        <w:rPr>
          <w:rFonts w:ascii="Franklin Gothic Book" w:hAnsi="Franklin Gothic Book" w:cs="Arial"/>
          <w:color w:val="0D0D0D"/>
          <w:sz w:val="22"/>
        </w:rPr>
        <w:t xml:space="preserve"> and biliary tract (not otherwise specified) CCA. </w:t>
      </w:r>
      <w:r w:rsidR="00DF0D12" w:rsidRPr="00431CF2">
        <w:rPr>
          <w:rFonts w:ascii="Franklin Gothic Book" w:hAnsi="Franklin Gothic Book" w:cs="Arial"/>
          <w:color w:val="0D0D0D"/>
          <w:sz w:val="22"/>
        </w:rPr>
        <w:t>The commentary noted t</w:t>
      </w:r>
      <w:r w:rsidRPr="00431CF2">
        <w:rPr>
          <w:rFonts w:ascii="Franklin Gothic Book" w:hAnsi="Franklin Gothic Book" w:cs="Arial"/>
          <w:color w:val="0D0D0D"/>
          <w:sz w:val="22"/>
        </w:rPr>
        <w:t xml:space="preserve">his approach appeared reasonable. </w:t>
      </w:r>
    </w:p>
    <w:p w14:paraId="0EDFE191" w14:textId="710BBCE2"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 xml:space="preserve">The submission assumed a </w:t>
      </w:r>
      <w:r w:rsidR="00720792" w:rsidRPr="001F0A5F">
        <w:rPr>
          <w:rFonts w:ascii="Franklin Gothic Book" w:hAnsi="Franklin Gothic Book" w:cs="Arial"/>
          <w:b/>
          <w:bCs/>
          <w:color w:val="0D0D0D"/>
          <w:sz w:val="22"/>
        </w:rPr>
        <w:t>redacted</w:t>
      </w:r>
      <w:r w:rsidRPr="00431CF2">
        <w:rPr>
          <w:rFonts w:ascii="Franklin Gothic Book" w:hAnsi="Franklin Gothic Book" w:cs="Arial"/>
          <w:color w:val="0D0D0D"/>
          <w:sz w:val="22"/>
        </w:rPr>
        <w:t xml:space="preserve">% uptake rate of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testing, based on clinician feedback which indicates that </w:t>
      </w:r>
      <w:r w:rsidRPr="00431CF2">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testing in CCA is currently being conducted through the Molecular Screening and Therapeutics (</w:t>
      </w:r>
      <w:proofErr w:type="spellStart"/>
      <w:r w:rsidRPr="00431CF2">
        <w:rPr>
          <w:rFonts w:ascii="Franklin Gothic Book" w:hAnsi="Franklin Gothic Book" w:cs="Arial"/>
          <w:color w:val="0D0D0D"/>
          <w:sz w:val="22"/>
        </w:rPr>
        <w:t>MoST</w:t>
      </w:r>
      <w:proofErr w:type="spellEnd"/>
      <w:r w:rsidRPr="00431CF2">
        <w:rPr>
          <w:rFonts w:ascii="Franklin Gothic Book" w:hAnsi="Franklin Gothic Book" w:cs="Arial"/>
          <w:color w:val="0D0D0D"/>
          <w:sz w:val="22"/>
        </w:rPr>
        <w:t xml:space="preserve">) program for some patients and the clinical utility of testing is already well established in Australian clinical practice. </w:t>
      </w:r>
    </w:p>
    <w:p w14:paraId="3DDD2EC0" w14:textId="7B65F72D"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The cost associated with re-biopsy was not considered in the financial analysis.</w:t>
      </w:r>
      <w:r w:rsidRPr="00431CF2">
        <w:rPr>
          <w:rFonts w:ascii="Franklin Gothic Book" w:hAnsi="Franklin Gothic Book" w:cs="Arial"/>
          <w:i/>
          <w:iCs/>
          <w:color w:val="0D0D0D"/>
          <w:sz w:val="22"/>
        </w:rPr>
        <w:t xml:space="preserve"> </w:t>
      </w:r>
      <w:r w:rsidR="00DF0D12" w:rsidRPr="00431CF2">
        <w:rPr>
          <w:rFonts w:ascii="Franklin Gothic Book" w:hAnsi="Franklin Gothic Book" w:cs="Arial"/>
          <w:color w:val="0D0D0D"/>
          <w:sz w:val="22"/>
        </w:rPr>
        <w:t>The commentary considered t</w:t>
      </w:r>
      <w:r w:rsidRPr="00431CF2">
        <w:rPr>
          <w:rFonts w:ascii="Franklin Gothic Book" w:hAnsi="Franklin Gothic Book" w:cs="Arial"/>
          <w:color w:val="0D0D0D"/>
          <w:sz w:val="22"/>
        </w:rPr>
        <w:t xml:space="preserve">his appeared reasonable, as the likelihood of requiring a re-biopsy for the purpose of retrieving tumour tissue for </w:t>
      </w:r>
      <w:r w:rsidRPr="00BD3BD6">
        <w:rPr>
          <w:rFonts w:ascii="Franklin Gothic Book" w:hAnsi="Franklin Gothic Book" w:cs="Arial"/>
          <w:i/>
          <w:iCs/>
          <w:color w:val="0D0D0D"/>
          <w:sz w:val="22"/>
        </w:rPr>
        <w:t>IDH1</w:t>
      </w:r>
      <w:r w:rsidRPr="00431CF2">
        <w:rPr>
          <w:rFonts w:ascii="Franklin Gothic Book" w:hAnsi="Franklin Gothic Book" w:cs="Arial"/>
          <w:color w:val="0D0D0D"/>
          <w:sz w:val="22"/>
        </w:rPr>
        <w:t xml:space="preserve"> testing is negligible given the proposal for testing at the point of diagnosis. </w:t>
      </w:r>
    </w:p>
    <w:p w14:paraId="695742A1" w14:textId="6A5A2C2D"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 xml:space="preserve">The financial analysis included MBS costs associated with electrocardiogram (ECG) monitoring in patients receiving ivosidenib treatment. As ivosidenib therapy is associated with an increased risk of prolongation of QTc interval, the ivosidenib product information recommends performing an ECG prior to treatment initiation, at least weekly during the first 3 weeks of therapy and at least monthly thereafter. Based on the average duration of treatment of 25.1 weeks as modelled in the economic evaluation, the submission assumed an average of 7.77 ECGs per patient treated with ivosidenib. </w:t>
      </w:r>
      <w:r w:rsidR="00E252A8" w:rsidRPr="00431CF2">
        <w:rPr>
          <w:rFonts w:ascii="Franklin Gothic Book" w:hAnsi="Franklin Gothic Book" w:cs="Arial"/>
          <w:color w:val="0D0D0D"/>
          <w:sz w:val="22"/>
        </w:rPr>
        <w:t>The commentary noted t</w:t>
      </w:r>
      <w:r w:rsidRPr="00431CF2">
        <w:rPr>
          <w:rFonts w:ascii="Franklin Gothic Book" w:hAnsi="Franklin Gothic Book" w:cs="Arial"/>
          <w:color w:val="0D0D0D"/>
          <w:sz w:val="22"/>
        </w:rPr>
        <w:t xml:space="preserve">his calculation was correct. However, </w:t>
      </w:r>
      <w:r w:rsidR="00E252A8" w:rsidRPr="00431CF2">
        <w:rPr>
          <w:rFonts w:ascii="Franklin Gothic Book" w:hAnsi="Franklin Gothic Book" w:cs="Arial"/>
          <w:color w:val="0D0D0D"/>
          <w:sz w:val="22"/>
        </w:rPr>
        <w:t xml:space="preserve">it </w:t>
      </w:r>
      <w:r w:rsidR="00A56A13" w:rsidRPr="00431CF2">
        <w:rPr>
          <w:rFonts w:ascii="Franklin Gothic Book" w:hAnsi="Franklin Gothic Book" w:cs="Arial"/>
          <w:color w:val="0D0D0D"/>
          <w:sz w:val="22"/>
        </w:rPr>
        <w:t>note</w:t>
      </w:r>
      <w:r w:rsidR="00E252A8" w:rsidRPr="00431CF2">
        <w:rPr>
          <w:rFonts w:ascii="Franklin Gothic Book" w:hAnsi="Franklin Gothic Book" w:cs="Arial"/>
          <w:color w:val="0D0D0D"/>
          <w:sz w:val="22"/>
        </w:rPr>
        <w:t xml:space="preserve">d that </w:t>
      </w:r>
      <w:r w:rsidRPr="00431CF2">
        <w:rPr>
          <w:rFonts w:ascii="Franklin Gothic Book" w:hAnsi="Franklin Gothic Book" w:cs="Arial"/>
          <w:color w:val="0D0D0D"/>
          <w:sz w:val="22"/>
        </w:rPr>
        <w:t xml:space="preserve">the submission overestimated the number of patients likely to receive ivosidenib treatment, by assuming that 100% of patients with locally advanced or metastatic CCA would be treated with first-line systemic therapy and progress to receive second-line therapy and that </w:t>
      </w:r>
      <w:r w:rsidR="007062B7" w:rsidRPr="007062B7">
        <w:rPr>
          <w:rFonts w:ascii="Franklin Gothic Book" w:hAnsi="Franklin Gothic Book" w:cs="Arial"/>
          <w:b/>
          <w:bCs/>
          <w:color w:val="0D0D0D"/>
          <w:sz w:val="22"/>
        </w:rPr>
        <w:t>redacted</w:t>
      </w:r>
      <w:r w:rsidR="007062B7" w:rsidRPr="007062B7" w:rsidDel="007062B7">
        <w:rPr>
          <w:rFonts w:ascii="Franklin Gothic Book" w:hAnsi="Franklin Gothic Book" w:cs="Arial"/>
          <w:color w:val="0D0D0D"/>
          <w:sz w:val="22"/>
        </w:rPr>
        <w:t xml:space="preserve"> </w:t>
      </w:r>
      <w:r w:rsidRPr="00431CF2">
        <w:rPr>
          <w:rFonts w:ascii="Franklin Gothic Book" w:hAnsi="Franklin Gothic Book" w:cs="Arial"/>
          <w:color w:val="0D0D0D"/>
          <w:sz w:val="22"/>
        </w:rPr>
        <w:t>of these patients would receive ivosidenib, despite the aggressive advanced disease of the proposed target population. Some patients may not be suitable for active anticancer therapy and opt to receive palliative care instead. Thus, the</w:t>
      </w:r>
      <w:r w:rsidR="00A56A13" w:rsidRPr="00431CF2">
        <w:rPr>
          <w:rFonts w:ascii="Franklin Gothic Book" w:hAnsi="Franklin Gothic Book" w:cs="Arial"/>
          <w:color w:val="0D0D0D"/>
          <w:sz w:val="22"/>
        </w:rPr>
        <w:t xml:space="preserve"> commentary considered the</w:t>
      </w:r>
      <w:r w:rsidRPr="00431CF2">
        <w:rPr>
          <w:rFonts w:ascii="Franklin Gothic Book" w:hAnsi="Franklin Gothic Book" w:cs="Arial"/>
          <w:color w:val="0D0D0D"/>
          <w:sz w:val="22"/>
        </w:rPr>
        <w:t xml:space="preserve"> MBS cost associated with ECG monitoring ha</w:t>
      </w:r>
      <w:r w:rsidR="00A56A13" w:rsidRPr="00431CF2">
        <w:rPr>
          <w:rFonts w:ascii="Franklin Gothic Book" w:hAnsi="Franklin Gothic Book" w:cs="Arial"/>
          <w:color w:val="0D0D0D"/>
          <w:sz w:val="22"/>
        </w:rPr>
        <w:t>d</w:t>
      </w:r>
      <w:r w:rsidRPr="00431CF2">
        <w:rPr>
          <w:rFonts w:ascii="Franklin Gothic Book" w:hAnsi="Franklin Gothic Book" w:cs="Arial"/>
          <w:color w:val="0D0D0D"/>
          <w:sz w:val="22"/>
        </w:rPr>
        <w:t xml:space="preserve"> been overestimated. </w:t>
      </w:r>
    </w:p>
    <w:p w14:paraId="53A4143F" w14:textId="77777777"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 xml:space="preserve">The base case financial analysis did not take into account the change in use of FOLFOX due to the listing of ivosidenib. Therefore, the MBS cost for intravenous infusion of chemotherapy (MBS item 13950; schedule fee: $118.30) was not included. Assuming that 45% of patients treated with ivosidenib would otherwise receive FOLFOX, the net MBS cost due to the proposed listing of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testing and ivosidenib would reduce by 13%-15% from the submission’s base case estimate as a result of a decrease in MBS services relating to chemotherapy administration. </w:t>
      </w:r>
    </w:p>
    <w:p w14:paraId="58A99518" w14:textId="6C62D033" w:rsidR="00785C2F" w:rsidRPr="00431CF2" w:rsidRDefault="00785C2F" w:rsidP="00785C2F">
      <w:pPr>
        <w:rPr>
          <w:rFonts w:ascii="Franklin Gothic Book" w:hAnsi="Franklin Gothic Book" w:cs="Arial"/>
          <w:color w:val="0D0D0D"/>
          <w:sz w:val="22"/>
        </w:rPr>
      </w:pPr>
      <w:r w:rsidRPr="00431CF2">
        <w:rPr>
          <w:rFonts w:ascii="Franklin Gothic Book" w:hAnsi="Franklin Gothic Book" w:cs="Arial"/>
          <w:color w:val="0D0D0D"/>
          <w:sz w:val="22"/>
        </w:rPr>
        <w:t xml:space="preserve">In the submission, 80% benefit was assumed for both </w:t>
      </w:r>
      <w:r w:rsidRPr="00431CF2">
        <w:rPr>
          <w:rFonts w:ascii="Franklin Gothic Book" w:hAnsi="Franklin Gothic Book" w:cs="Arial"/>
          <w:i/>
          <w:iCs/>
          <w:color w:val="0D0D0D"/>
          <w:sz w:val="22"/>
        </w:rPr>
        <w:t xml:space="preserve">IDH1 </w:t>
      </w:r>
      <w:r w:rsidRPr="00431CF2">
        <w:rPr>
          <w:rFonts w:ascii="Franklin Gothic Book" w:hAnsi="Franklin Gothic Book" w:cs="Arial"/>
          <w:color w:val="0D0D0D"/>
          <w:sz w:val="22"/>
        </w:rPr>
        <w:t xml:space="preserve">testing and EGC monitoring to estimate the net financial implications to the MBS. </w:t>
      </w:r>
      <w:r w:rsidR="00B830B5" w:rsidRPr="00431CF2">
        <w:rPr>
          <w:rFonts w:ascii="Franklin Gothic Book" w:hAnsi="Franklin Gothic Book" w:cs="Arial"/>
          <w:color w:val="0D0D0D"/>
          <w:sz w:val="22"/>
        </w:rPr>
        <w:t>The commentary noted that f</w:t>
      </w:r>
      <w:r w:rsidRPr="00431CF2">
        <w:rPr>
          <w:rFonts w:ascii="Franklin Gothic Book" w:hAnsi="Franklin Gothic Book" w:cs="Arial"/>
          <w:color w:val="0D0D0D"/>
          <w:sz w:val="22"/>
        </w:rPr>
        <w:t xml:space="preserve">or out of hospital services, the benefit should be 85% of the MBS Schedule fee. </w:t>
      </w:r>
    </w:p>
    <w:p w14:paraId="7CC99C3F" w14:textId="645FAC46" w:rsidR="00785C2F" w:rsidRPr="00C15DF8" w:rsidRDefault="00785C2F" w:rsidP="00785C2F">
      <w:pPr>
        <w:keepNext/>
        <w:tabs>
          <w:tab w:val="left" w:pos="1418"/>
        </w:tabs>
        <w:spacing w:before="240" w:after="0" w:line="259" w:lineRule="auto"/>
        <w:ind w:left="1418" w:hanging="1418"/>
        <w:contextualSpacing/>
        <w:rPr>
          <w:rFonts w:ascii="Arial Narrow" w:hAnsi="Arial Narrow" w:cs="Arial"/>
          <w:b/>
          <w:iCs/>
          <w:color w:val="0D0D0D"/>
          <w:sz w:val="20"/>
          <w:szCs w:val="18"/>
        </w:rPr>
      </w:pPr>
      <w:r w:rsidRPr="00C15DF8">
        <w:rPr>
          <w:rFonts w:ascii="Arial Narrow" w:hAnsi="Arial Narrow" w:cs="Arial"/>
          <w:b/>
          <w:iCs/>
          <w:color w:val="0D0D0D"/>
          <w:sz w:val="20"/>
          <w:szCs w:val="18"/>
        </w:rPr>
        <w:lastRenderedPageBreak/>
        <w:t>Table MSAC.</w:t>
      </w:r>
      <w:r w:rsidRPr="00C15DF8">
        <w:rPr>
          <w:rFonts w:ascii="Arial Narrow" w:hAnsi="Arial Narrow" w:cs="Arial"/>
          <w:b/>
          <w:iCs/>
          <w:color w:val="0D0D0D"/>
          <w:sz w:val="20"/>
          <w:szCs w:val="18"/>
        </w:rPr>
        <w:fldChar w:fldCharType="begin"/>
      </w:r>
      <w:r w:rsidRPr="00C15DF8">
        <w:rPr>
          <w:rFonts w:ascii="Arial Narrow" w:hAnsi="Arial Narrow" w:cs="Arial"/>
          <w:b/>
          <w:iCs/>
          <w:color w:val="0D0D0D"/>
          <w:sz w:val="20"/>
          <w:szCs w:val="18"/>
        </w:rPr>
        <w:instrText xml:space="preserve"> SEQ Table_MSAC. \* ARABIC </w:instrText>
      </w:r>
      <w:r w:rsidRPr="00C15DF8">
        <w:rPr>
          <w:rFonts w:ascii="Arial Narrow" w:hAnsi="Arial Narrow" w:cs="Arial"/>
          <w:b/>
          <w:iCs/>
          <w:color w:val="0D0D0D"/>
          <w:sz w:val="20"/>
          <w:szCs w:val="18"/>
        </w:rPr>
        <w:fldChar w:fldCharType="separate"/>
      </w:r>
      <w:r w:rsidR="00D94E31">
        <w:rPr>
          <w:rFonts w:ascii="Arial Narrow" w:hAnsi="Arial Narrow" w:cs="Arial"/>
          <w:b/>
          <w:iCs/>
          <w:noProof/>
          <w:color w:val="0D0D0D"/>
          <w:sz w:val="20"/>
          <w:szCs w:val="18"/>
        </w:rPr>
        <w:t>9</w:t>
      </w:r>
      <w:r w:rsidRPr="00C15DF8">
        <w:rPr>
          <w:rFonts w:ascii="Arial Narrow" w:hAnsi="Arial Narrow" w:cs="Arial"/>
          <w:b/>
          <w:iCs/>
          <w:color w:val="0D0D0D"/>
          <w:sz w:val="20"/>
          <w:szCs w:val="18"/>
        </w:rPr>
        <w:fldChar w:fldCharType="end"/>
      </w:r>
      <w:r w:rsidRPr="00C15DF8">
        <w:rPr>
          <w:rFonts w:ascii="Arial Narrow" w:hAnsi="Arial Narrow" w:cs="Arial"/>
          <w:b/>
          <w:iCs/>
          <w:color w:val="0D0D0D"/>
          <w:sz w:val="20"/>
          <w:szCs w:val="18"/>
        </w:rPr>
        <w:tab/>
        <w:t>Estimated use and financial implications to the 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50"/>
        <w:gridCol w:w="1165"/>
        <w:gridCol w:w="1165"/>
        <w:gridCol w:w="1165"/>
        <w:gridCol w:w="1165"/>
        <w:gridCol w:w="1165"/>
        <w:gridCol w:w="741"/>
      </w:tblGrid>
      <w:tr w:rsidR="00E4482E" w:rsidRPr="007253A4" w14:paraId="288B88F4" w14:textId="77777777" w:rsidTr="00511658">
        <w:trPr>
          <w:tblHeader/>
        </w:trPr>
        <w:tc>
          <w:tcPr>
            <w:tcW w:w="1359" w:type="pct"/>
            <w:shd w:val="clear" w:color="auto" w:fill="auto"/>
            <w:vAlign w:val="center"/>
          </w:tcPr>
          <w:p w14:paraId="5D7C179E" w14:textId="77777777" w:rsidR="00785C2F" w:rsidRPr="007253A4" w:rsidRDefault="00785C2F" w:rsidP="007253A4">
            <w:pPr>
              <w:keepNext/>
              <w:widowControl w:val="0"/>
              <w:spacing w:after="0"/>
              <w:jc w:val="left"/>
              <w:rPr>
                <w:rFonts w:ascii="Arial Narrow" w:hAnsi="Arial Narrow" w:cs="Arial"/>
                <w:b/>
                <w:color w:val="0D0D0D"/>
                <w:sz w:val="18"/>
                <w:szCs w:val="18"/>
              </w:rPr>
            </w:pPr>
          </w:p>
        </w:tc>
        <w:tc>
          <w:tcPr>
            <w:tcW w:w="646" w:type="pct"/>
            <w:shd w:val="clear" w:color="auto" w:fill="auto"/>
            <w:vAlign w:val="center"/>
          </w:tcPr>
          <w:p w14:paraId="7CA2F69D" w14:textId="77777777" w:rsidR="00785C2F" w:rsidRPr="007253A4" w:rsidRDefault="00785C2F" w:rsidP="002F08C2">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1</w:t>
            </w:r>
          </w:p>
        </w:tc>
        <w:tc>
          <w:tcPr>
            <w:tcW w:w="646" w:type="pct"/>
            <w:shd w:val="clear" w:color="auto" w:fill="auto"/>
            <w:vAlign w:val="center"/>
          </w:tcPr>
          <w:p w14:paraId="12DBECA9" w14:textId="77777777" w:rsidR="00785C2F" w:rsidRPr="007253A4" w:rsidRDefault="00785C2F">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2</w:t>
            </w:r>
          </w:p>
        </w:tc>
        <w:tc>
          <w:tcPr>
            <w:tcW w:w="646" w:type="pct"/>
            <w:shd w:val="clear" w:color="auto" w:fill="auto"/>
            <w:vAlign w:val="center"/>
          </w:tcPr>
          <w:p w14:paraId="1A12BA2E" w14:textId="77777777" w:rsidR="00785C2F" w:rsidRPr="007253A4" w:rsidRDefault="00785C2F">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3</w:t>
            </w:r>
          </w:p>
        </w:tc>
        <w:tc>
          <w:tcPr>
            <w:tcW w:w="646" w:type="pct"/>
            <w:shd w:val="clear" w:color="auto" w:fill="auto"/>
            <w:vAlign w:val="center"/>
          </w:tcPr>
          <w:p w14:paraId="5B7D45AF" w14:textId="77777777" w:rsidR="00785C2F" w:rsidRPr="007253A4" w:rsidRDefault="00785C2F">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4</w:t>
            </w:r>
          </w:p>
        </w:tc>
        <w:tc>
          <w:tcPr>
            <w:tcW w:w="646" w:type="pct"/>
            <w:shd w:val="clear" w:color="auto" w:fill="auto"/>
            <w:vAlign w:val="center"/>
          </w:tcPr>
          <w:p w14:paraId="6FE735A5" w14:textId="77777777" w:rsidR="00785C2F" w:rsidRPr="007253A4" w:rsidRDefault="00785C2F">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5</w:t>
            </w:r>
          </w:p>
        </w:tc>
        <w:tc>
          <w:tcPr>
            <w:tcW w:w="411" w:type="pct"/>
          </w:tcPr>
          <w:p w14:paraId="1401EA70" w14:textId="77777777" w:rsidR="00785C2F" w:rsidRPr="007253A4" w:rsidRDefault="00785C2F">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Year 6</w:t>
            </w:r>
          </w:p>
        </w:tc>
      </w:tr>
      <w:tr w:rsidR="00785C2F" w:rsidRPr="007253A4" w14:paraId="22712E1C" w14:textId="77777777">
        <w:tc>
          <w:tcPr>
            <w:tcW w:w="5000" w:type="pct"/>
            <w:gridSpan w:val="7"/>
            <w:shd w:val="clear" w:color="auto" w:fill="auto"/>
            <w:vAlign w:val="center"/>
          </w:tcPr>
          <w:p w14:paraId="0C11D04F" w14:textId="77777777" w:rsidR="00785C2F" w:rsidRPr="007253A4" w:rsidRDefault="00785C2F" w:rsidP="002F08C2">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 xml:space="preserve">Estimated extent of use of </w:t>
            </w:r>
            <w:r w:rsidRPr="007253A4">
              <w:rPr>
                <w:rFonts w:ascii="Arial Narrow" w:hAnsi="Arial Narrow" w:cs="Arial"/>
                <w:b/>
                <w:i/>
                <w:iCs/>
                <w:color w:val="0D0D0D"/>
                <w:sz w:val="18"/>
                <w:szCs w:val="18"/>
              </w:rPr>
              <w:t xml:space="preserve">IDH1 </w:t>
            </w:r>
            <w:r w:rsidRPr="007253A4">
              <w:rPr>
                <w:rFonts w:ascii="Arial Narrow" w:hAnsi="Arial Narrow" w:cs="Arial"/>
                <w:b/>
                <w:color w:val="0D0D0D"/>
                <w:sz w:val="18"/>
                <w:szCs w:val="18"/>
              </w:rPr>
              <w:t>testing</w:t>
            </w:r>
          </w:p>
        </w:tc>
      </w:tr>
      <w:tr w:rsidR="00E4482E" w:rsidRPr="007253A4" w14:paraId="316CDC43" w14:textId="77777777" w:rsidTr="00511658">
        <w:tc>
          <w:tcPr>
            <w:tcW w:w="1359" w:type="pct"/>
            <w:shd w:val="clear" w:color="auto" w:fill="auto"/>
            <w:vAlign w:val="center"/>
          </w:tcPr>
          <w:p w14:paraId="6B029F9E" w14:textId="77777777" w:rsidR="00785C2F" w:rsidRPr="007253A4" w:rsidRDefault="00785C2F" w:rsidP="007253A4">
            <w:pPr>
              <w:keepNext/>
              <w:widowControl w:val="0"/>
              <w:spacing w:after="0"/>
              <w:jc w:val="left"/>
              <w:rPr>
                <w:rFonts w:ascii="Arial Narrow" w:hAnsi="Arial Narrow" w:cs="Arial"/>
                <w:color w:val="0D0D0D"/>
                <w:sz w:val="18"/>
                <w:szCs w:val="18"/>
              </w:rPr>
            </w:pPr>
            <w:r w:rsidRPr="007253A4">
              <w:rPr>
                <w:rFonts w:ascii="Arial Narrow" w:hAnsi="Arial Narrow" w:cs="Arial"/>
                <w:color w:val="0D0D0D"/>
                <w:sz w:val="18"/>
                <w:szCs w:val="18"/>
              </w:rPr>
              <w:t>Total CCA incidence</w:t>
            </w:r>
          </w:p>
        </w:tc>
        <w:tc>
          <w:tcPr>
            <w:tcW w:w="646" w:type="pct"/>
            <w:shd w:val="clear" w:color="auto" w:fill="auto"/>
          </w:tcPr>
          <w:p w14:paraId="5EB25A1F" w14:textId="205DA0C7" w:rsidR="00785C2F" w:rsidRPr="0064392A" w:rsidRDefault="00590B30" w:rsidP="002F08C2">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c>
          <w:tcPr>
            <w:tcW w:w="646" w:type="pct"/>
            <w:shd w:val="clear" w:color="auto" w:fill="auto"/>
          </w:tcPr>
          <w:p w14:paraId="7B383C7D" w14:textId="42EDB162" w:rsidR="00785C2F" w:rsidRPr="0064392A" w:rsidRDefault="00590B30">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c>
          <w:tcPr>
            <w:tcW w:w="646" w:type="pct"/>
            <w:shd w:val="clear" w:color="auto" w:fill="auto"/>
          </w:tcPr>
          <w:p w14:paraId="37757076" w14:textId="33BAD432" w:rsidR="00785C2F" w:rsidRPr="0064392A" w:rsidRDefault="00590B30">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c>
          <w:tcPr>
            <w:tcW w:w="646" w:type="pct"/>
            <w:shd w:val="clear" w:color="auto" w:fill="auto"/>
          </w:tcPr>
          <w:p w14:paraId="2F682BD2" w14:textId="216B429B" w:rsidR="00785C2F" w:rsidRPr="0064392A" w:rsidRDefault="00590B30">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c>
          <w:tcPr>
            <w:tcW w:w="646" w:type="pct"/>
            <w:shd w:val="clear" w:color="auto" w:fill="auto"/>
          </w:tcPr>
          <w:p w14:paraId="4A65DFAB" w14:textId="2AE6EFE1" w:rsidR="00785C2F" w:rsidRPr="0064392A" w:rsidRDefault="00590B30">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c>
          <w:tcPr>
            <w:tcW w:w="411" w:type="pct"/>
          </w:tcPr>
          <w:p w14:paraId="41428ECB" w14:textId="788D4DB9" w:rsidR="00785C2F" w:rsidRPr="0064392A" w:rsidRDefault="00590B30">
            <w:pPr>
              <w:keepNext/>
              <w:widowControl w:val="0"/>
              <w:tabs>
                <w:tab w:val="decimal" w:pos="396"/>
              </w:tabs>
              <w:spacing w:after="0"/>
              <w:jc w:val="center"/>
              <w:rPr>
                <w:rFonts w:ascii="Arial Narrow" w:hAnsi="Arial Narrow" w:cs="Arial"/>
                <w:color w:val="0D0D0D"/>
                <w:sz w:val="18"/>
                <w:szCs w:val="18"/>
                <w:vertAlign w:val="superscript"/>
              </w:rPr>
            </w:pPr>
            <w:r>
              <w:rPr>
                <w:rFonts w:ascii="Arial Narrow" w:hAnsi="Arial Narrow" w:cs="Arial"/>
                <w:color w:val="0D0D0D"/>
                <w:sz w:val="18"/>
                <w:szCs w:val="18"/>
              </w:rPr>
              <w:t>redacted</w:t>
            </w:r>
            <w:r w:rsidR="0064392A">
              <w:rPr>
                <w:rFonts w:ascii="Arial Narrow" w:hAnsi="Arial Narrow" w:cs="Arial"/>
                <w:color w:val="0D0D0D"/>
                <w:sz w:val="18"/>
                <w:szCs w:val="18"/>
                <w:vertAlign w:val="superscript"/>
              </w:rPr>
              <w:t>2</w:t>
            </w:r>
          </w:p>
        </w:tc>
      </w:tr>
      <w:tr w:rsidR="00E4482E" w:rsidRPr="007253A4" w14:paraId="393741AF" w14:textId="77777777" w:rsidTr="00511658">
        <w:tc>
          <w:tcPr>
            <w:tcW w:w="1359" w:type="pct"/>
            <w:shd w:val="clear" w:color="auto" w:fill="auto"/>
            <w:vAlign w:val="center"/>
          </w:tcPr>
          <w:p w14:paraId="384ABA00" w14:textId="5FEB9AE1"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color w:val="0D0D0D"/>
                <w:sz w:val="18"/>
                <w:szCs w:val="18"/>
              </w:rPr>
              <w:t xml:space="preserve">Number of patients tested (uptake of </w:t>
            </w:r>
            <w:r w:rsidR="00B37DB5">
              <w:rPr>
                <w:rFonts w:ascii="Arial Narrow" w:hAnsi="Arial Narrow" w:cs="Arial"/>
                <w:color w:val="0D0D0D"/>
                <w:sz w:val="18"/>
                <w:szCs w:val="18"/>
              </w:rPr>
              <w:t>redacted</w:t>
            </w:r>
            <w:r w:rsidRPr="007253A4">
              <w:rPr>
                <w:rFonts w:ascii="Arial Narrow" w:hAnsi="Arial Narrow" w:cs="Arial"/>
                <w:color w:val="0D0D0D"/>
                <w:sz w:val="18"/>
                <w:szCs w:val="18"/>
              </w:rPr>
              <w:t>%)</w:t>
            </w:r>
          </w:p>
        </w:tc>
        <w:tc>
          <w:tcPr>
            <w:tcW w:w="646" w:type="pct"/>
            <w:shd w:val="clear" w:color="auto" w:fill="auto"/>
            <w:vAlign w:val="center"/>
          </w:tcPr>
          <w:p w14:paraId="25CE6CAA" w14:textId="0F972485" w:rsidR="00511658" w:rsidRPr="007253A4" w:rsidRDefault="00511658" w:rsidP="002F08C2">
            <w:pPr>
              <w:keepNext/>
              <w:widowControl w:val="0"/>
              <w:tabs>
                <w:tab w:val="decimal" w:pos="396"/>
              </w:tabs>
              <w:spacing w:after="0"/>
              <w:jc w:val="center"/>
              <w:rPr>
                <w:rFonts w:ascii="Arial Narrow" w:hAnsi="Arial Narrow" w:cs="Arial"/>
                <w:color w:val="0D0D0D"/>
                <w:sz w:val="18"/>
                <w:szCs w:val="18"/>
                <w:vertAlign w:val="superscript"/>
              </w:rPr>
            </w:pPr>
            <w:r w:rsidRPr="007253A4">
              <w:rPr>
                <w:rFonts w:ascii="Arial Narrow" w:hAnsi="Arial Narrow" w:cs="Arial"/>
                <w:color w:val="0D0D0D"/>
                <w:sz w:val="18"/>
                <w:szCs w:val="18"/>
              </w:rPr>
              <w:t>redacted</w:t>
            </w:r>
            <w:r w:rsidR="00E4482E" w:rsidRPr="007253A4">
              <w:rPr>
                <w:rFonts w:ascii="Arial Narrow" w:hAnsi="Arial Narrow" w:cs="Arial"/>
                <w:color w:val="0D0D0D"/>
                <w:sz w:val="18"/>
                <w:szCs w:val="18"/>
                <w:vertAlign w:val="superscript"/>
              </w:rPr>
              <w:t>2</w:t>
            </w:r>
          </w:p>
        </w:tc>
        <w:tc>
          <w:tcPr>
            <w:tcW w:w="646" w:type="pct"/>
            <w:shd w:val="clear" w:color="auto" w:fill="auto"/>
            <w:vAlign w:val="center"/>
          </w:tcPr>
          <w:p w14:paraId="7B2B875A" w14:textId="672602F5" w:rsidR="00511658" w:rsidRPr="007253A4" w:rsidRDefault="002F08C2" w:rsidP="00511658">
            <w:pPr>
              <w:keepNext/>
              <w:widowControl w:val="0"/>
              <w:tabs>
                <w:tab w:val="decimal" w:pos="396"/>
              </w:tabs>
              <w:spacing w:after="0"/>
              <w:jc w:val="center"/>
              <w:rPr>
                <w:rFonts w:ascii="Arial Narrow" w:hAnsi="Arial Narrow" w:cs="Arial"/>
                <w:color w:val="0D0D0D"/>
                <w:sz w:val="18"/>
                <w:szCs w:val="18"/>
              </w:rPr>
            </w:pPr>
            <w:r>
              <w:rPr>
                <w:rFonts w:ascii="Arial Narrow" w:hAnsi="Arial Narrow" w:cs="Arial"/>
                <w:color w:val="0D0D0D"/>
                <w:sz w:val="18"/>
                <w:szCs w:val="18"/>
              </w:rPr>
              <w:t>r</w:t>
            </w:r>
            <w:r w:rsidR="00511658" w:rsidRPr="007253A4">
              <w:rPr>
                <w:rFonts w:ascii="Arial Narrow" w:hAnsi="Arial Narrow" w:cs="Arial"/>
                <w:color w:val="0D0D0D"/>
                <w:sz w:val="18"/>
                <w:szCs w:val="18"/>
              </w:rPr>
              <w:t>edacted</w:t>
            </w:r>
            <w:r w:rsidR="00E4482E" w:rsidRPr="007253A4">
              <w:rPr>
                <w:rFonts w:ascii="Arial Narrow" w:hAnsi="Arial Narrow" w:cs="Arial"/>
                <w:color w:val="0D0D0D"/>
                <w:sz w:val="18"/>
                <w:szCs w:val="18"/>
                <w:vertAlign w:val="superscript"/>
              </w:rPr>
              <w:t>2</w:t>
            </w:r>
          </w:p>
        </w:tc>
        <w:tc>
          <w:tcPr>
            <w:tcW w:w="646" w:type="pct"/>
            <w:shd w:val="clear" w:color="auto" w:fill="auto"/>
            <w:vAlign w:val="center"/>
          </w:tcPr>
          <w:p w14:paraId="4FF4807B" w14:textId="63AEEBB4" w:rsidR="00511658" w:rsidRPr="007253A4" w:rsidRDefault="00511658"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00E4482E" w:rsidRPr="007253A4">
              <w:rPr>
                <w:rFonts w:ascii="Arial Narrow" w:hAnsi="Arial Narrow" w:cs="Arial"/>
                <w:color w:val="0D0D0D"/>
                <w:sz w:val="18"/>
                <w:szCs w:val="18"/>
                <w:vertAlign w:val="superscript"/>
              </w:rPr>
              <w:t>2</w:t>
            </w:r>
          </w:p>
        </w:tc>
        <w:tc>
          <w:tcPr>
            <w:tcW w:w="646" w:type="pct"/>
            <w:shd w:val="clear" w:color="auto" w:fill="auto"/>
            <w:vAlign w:val="center"/>
          </w:tcPr>
          <w:p w14:paraId="71F1C107" w14:textId="741DEA61" w:rsidR="00511658" w:rsidRPr="007253A4" w:rsidRDefault="002F08C2" w:rsidP="00511658">
            <w:pPr>
              <w:keepNext/>
              <w:widowControl w:val="0"/>
              <w:tabs>
                <w:tab w:val="decimal" w:pos="396"/>
              </w:tabs>
              <w:spacing w:after="0"/>
              <w:jc w:val="center"/>
              <w:rPr>
                <w:rFonts w:ascii="Arial Narrow" w:hAnsi="Arial Narrow" w:cs="Arial"/>
                <w:color w:val="0D0D0D"/>
                <w:sz w:val="18"/>
                <w:szCs w:val="18"/>
              </w:rPr>
            </w:pPr>
            <w:r>
              <w:rPr>
                <w:rFonts w:ascii="Arial Narrow" w:hAnsi="Arial Narrow" w:cs="Arial"/>
                <w:color w:val="0D0D0D"/>
                <w:sz w:val="18"/>
                <w:szCs w:val="18"/>
              </w:rPr>
              <w:t>r</w:t>
            </w:r>
            <w:r w:rsidR="00511658" w:rsidRPr="007253A4">
              <w:rPr>
                <w:rFonts w:ascii="Arial Narrow" w:hAnsi="Arial Narrow" w:cs="Arial"/>
                <w:color w:val="0D0D0D"/>
                <w:sz w:val="18"/>
                <w:szCs w:val="18"/>
              </w:rPr>
              <w:t>edacted</w:t>
            </w:r>
            <w:r w:rsidR="00E4482E" w:rsidRPr="007253A4">
              <w:rPr>
                <w:rFonts w:ascii="Arial Narrow" w:hAnsi="Arial Narrow" w:cs="Arial"/>
                <w:color w:val="0D0D0D"/>
                <w:sz w:val="18"/>
                <w:szCs w:val="18"/>
                <w:vertAlign w:val="superscript"/>
              </w:rPr>
              <w:t>2</w:t>
            </w:r>
          </w:p>
        </w:tc>
        <w:tc>
          <w:tcPr>
            <w:tcW w:w="646" w:type="pct"/>
            <w:shd w:val="clear" w:color="auto" w:fill="auto"/>
            <w:vAlign w:val="center"/>
          </w:tcPr>
          <w:p w14:paraId="62871B48" w14:textId="5F0CDE51" w:rsidR="00511658" w:rsidRPr="007253A4" w:rsidRDefault="00511658"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00E4482E" w:rsidRPr="007253A4">
              <w:rPr>
                <w:rFonts w:ascii="Arial Narrow" w:hAnsi="Arial Narrow" w:cs="Arial"/>
                <w:color w:val="0D0D0D"/>
                <w:sz w:val="18"/>
                <w:szCs w:val="18"/>
                <w:vertAlign w:val="superscript"/>
              </w:rPr>
              <w:t>2</w:t>
            </w:r>
          </w:p>
        </w:tc>
        <w:tc>
          <w:tcPr>
            <w:tcW w:w="411" w:type="pct"/>
            <w:vAlign w:val="center"/>
          </w:tcPr>
          <w:p w14:paraId="742E8F2A" w14:textId="6EB8B6D8" w:rsidR="00511658" w:rsidRPr="007253A4" w:rsidRDefault="00511658"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00E4482E" w:rsidRPr="007253A4">
              <w:rPr>
                <w:rFonts w:ascii="Arial Narrow" w:hAnsi="Arial Narrow" w:cs="Arial"/>
                <w:color w:val="0D0D0D"/>
                <w:sz w:val="18"/>
                <w:szCs w:val="18"/>
                <w:vertAlign w:val="superscript"/>
              </w:rPr>
              <w:t>2</w:t>
            </w:r>
          </w:p>
        </w:tc>
      </w:tr>
      <w:tr w:rsidR="00E4482E" w:rsidRPr="007253A4" w14:paraId="3BDD6728" w14:textId="77777777" w:rsidTr="00511658">
        <w:tc>
          <w:tcPr>
            <w:tcW w:w="1359" w:type="pct"/>
            <w:shd w:val="clear" w:color="auto" w:fill="auto"/>
            <w:vAlign w:val="center"/>
          </w:tcPr>
          <w:p w14:paraId="17DFA121" w14:textId="3CBF3CDD"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color w:val="0D0D0D"/>
                <w:sz w:val="18"/>
                <w:szCs w:val="18"/>
              </w:rPr>
              <w:t>Number of patients likely to receive a positive test result (9.15% positive rate)</w:t>
            </w:r>
          </w:p>
        </w:tc>
        <w:tc>
          <w:tcPr>
            <w:tcW w:w="646" w:type="pct"/>
            <w:shd w:val="clear" w:color="auto" w:fill="auto"/>
            <w:vAlign w:val="center"/>
          </w:tcPr>
          <w:p w14:paraId="79353E8F" w14:textId="3F4B6212" w:rsidR="00511658" w:rsidRPr="007253A4" w:rsidRDefault="00E4482E" w:rsidP="002F08C2">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c>
          <w:tcPr>
            <w:tcW w:w="646" w:type="pct"/>
            <w:shd w:val="clear" w:color="auto" w:fill="auto"/>
            <w:vAlign w:val="center"/>
          </w:tcPr>
          <w:p w14:paraId="0AADF069" w14:textId="49FE3211" w:rsidR="00511658" w:rsidRPr="007253A4" w:rsidRDefault="00E4482E"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c>
          <w:tcPr>
            <w:tcW w:w="646" w:type="pct"/>
            <w:shd w:val="clear" w:color="auto" w:fill="auto"/>
            <w:vAlign w:val="center"/>
          </w:tcPr>
          <w:p w14:paraId="4DEC9461" w14:textId="37D394BC" w:rsidR="00511658" w:rsidRPr="007253A4" w:rsidRDefault="00E4482E"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c>
          <w:tcPr>
            <w:tcW w:w="646" w:type="pct"/>
            <w:shd w:val="clear" w:color="auto" w:fill="auto"/>
            <w:vAlign w:val="center"/>
          </w:tcPr>
          <w:p w14:paraId="08053BD6" w14:textId="4AFDD2FA" w:rsidR="00511658" w:rsidRPr="007253A4" w:rsidRDefault="00E4482E"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c>
          <w:tcPr>
            <w:tcW w:w="646" w:type="pct"/>
            <w:shd w:val="clear" w:color="auto" w:fill="auto"/>
            <w:vAlign w:val="center"/>
          </w:tcPr>
          <w:p w14:paraId="4BD5381D" w14:textId="0693A321" w:rsidR="00511658" w:rsidRPr="007253A4" w:rsidRDefault="00E4482E"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c>
          <w:tcPr>
            <w:tcW w:w="411" w:type="pct"/>
            <w:vAlign w:val="center"/>
          </w:tcPr>
          <w:p w14:paraId="4DD6934A" w14:textId="68E5E873" w:rsidR="00511658" w:rsidRPr="007253A4" w:rsidRDefault="00E4482E" w:rsidP="00511658">
            <w:pPr>
              <w:keepNext/>
              <w:widowControl w:val="0"/>
              <w:tabs>
                <w:tab w:val="decimal" w:pos="396"/>
              </w:tabs>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1</w:t>
            </w:r>
          </w:p>
        </w:tc>
      </w:tr>
      <w:tr w:rsidR="00511658" w:rsidRPr="007253A4" w14:paraId="0D12379C" w14:textId="77777777">
        <w:tc>
          <w:tcPr>
            <w:tcW w:w="5000" w:type="pct"/>
            <w:gridSpan w:val="7"/>
            <w:tcBorders>
              <w:bottom w:val="single" w:sz="4" w:space="0" w:color="auto"/>
            </w:tcBorders>
            <w:shd w:val="clear" w:color="auto" w:fill="auto"/>
            <w:vAlign w:val="center"/>
          </w:tcPr>
          <w:p w14:paraId="37CB4B3D" w14:textId="77777777" w:rsidR="00511658" w:rsidRPr="007253A4" w:rsidRDefault="00511658" w:rsidP="002F08C2">
            <w:pPr>
              <w:keepNext/>
              <w:widowControl w:val="0"/>
              <w:spacing w:after="0"/>
              <w:jc w:val="center"/>
              <w:rPr>
                <w:rFonts w:ascii="Arial Narrow" w:hAnsi="Arial Narrow" w:cs="Arial"/>
                <w:b/>
                <w:bCs/>
                <w:color w:val="0D0D0D"/>
                <w:sz w:val="18"/>
                <w:szCs w:val="18"/>
              </w:rPr>
            </w:pPr>
            <w:r w:rsidRPr="007253A4">
              <w:rPr>
                <w:rFonts w:ascii="Arial Narrow" w:hAnsi="Arial Narrow" w:cs="Arial"/>
                <w:b/>
                <w:color w:val="0D0D0D"/>
                <w:sz w:val="18"/>
                <w:szCs w:val="18"/>
              </w:rPr>
              <w:t xml:space="preserve">Estimated financial implications of the </w:t>
            </w:r>
            <w:r w:rsidRPr="007253A4">
              <w:rPr>
                <w:rFonts w:ascii="Arial Narrow" w:hAnsi="Arial Narrow" w:cs="Arial"/>
                <w:b/>
                <w:i/>
                <w:iCs/>
                <w:color w:val="0D0D0D"/>
                <w:sz w:val="18"/>
                <w:szCs w:val="18"/>
              </w:rPr>
              <w:t xml:space="preserve">IDH1 </w:t>
            </w:r>
            <w:r w:rsidRPr="007253A4">
              <w:rPr>
                <w:rFonts w:ascii="Arial Narrow" w:hAnsi="Arial Narrow" w:cs="Arial"/>
                <w:b/>
                <w:color w:val="0D0D0D"/>
                <w:sz w:val="18"/>
                <w:szCs w:val="18"/>
              </w:rPr>
              <w:t>testing to the MBS</w:t>
            </w:r>
          </w:p>
        </w:tc>
      </w:tr>
      <w:tr w:rsidR="00E4482E" w:rsidRPr="007253A4" w14:paraId="64DD5FD9" w14:textId="77777777" w:rsidTr="00511658">
        <w:tc>
          <w:tcPr>
            <w:tcW w:w="1359" w:type="pct"/>
            <w:tcBorders>
              <w:bottom w:val="nil"/>
            </w:tcBorders>
            <w:shd w:val="clear" w:color="auto" w:fill="auto"/>
            <w:vAlign w:val="center"/>
          </w:tcPr>
          <w:p w14:paraId="0EEC03FD" w14:textId="77777777"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color w:val="0D0D0D"/>
                <w:sz w:val="18"/>
                <w:szCs w:val="18"/>
              </w:rPr>
              <w:t>Cost to MBS less copayments (80% of the proposed MBS fee)</w:t>
            </w:r>
          </w:p>
        </w:tc>
        <w:tc>
          <w:tcPr>
            <w:tcW w:w="646" w:type="pct"/>
            <w:tcBorders>
              <w:bottom w:val="nil"/>
            </w:tcBorders>
            <w:shd w:val="clear" w:color="auto" w:fill="auto"/>
            <w:vAlign w:val="center"/>
          </w:tcPr>
          <w:p w14:paraId="0F61A9C0" w14:textId="57137E36" w:rsidR="00511658" w:rsidRPr="007253A4" w:rsidRDefault="00BE14A9"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009A5BEA" w:rsidRPr="007253A4">
              <w:rPr>
                <w:rFonts w:ascii="Arial Narrow" w:hAnsi="Arial Narrow" w:cs="Arial"/>
                <w:color w:val="0D0D0D"/>
                <w:sz w:val="18"/>
                <w:szCs w:val="18"/>
                <w:vertAlign w:val="superscript"/>
              </w:rPr>
              <w:t>3</w:t>
            </w:r>
          </w:p>
        </w:tc>
        <w:tc>
          <w:tcPr>
            <w:tcW w:w="646" w:type="pct"/>
            <w:tcBorders>
              <w:bottom w:val="nil"/>
            </w:tcBorders>
            <w:shd w:val="clear" w:color="auto" w:fill="auto"/>
            <w:vAlign w:val="center"/>
          </w:tcPr>
          <w:p w14:paraId="30B9DE01" w14:textId="21DDAFD1"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nil"/>
            </w:tcBorders>
            <w:shd w:val="clear" w:color="auto" w:fill="auto"/>
            <w:vAlign w:val="center"/>
          </w:tcPr>
          <w:p w14:paraId="65868921" w14:textId="50AEA25E"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nil"/>
            </w:tcBorders>
            <w:shd w:val="clear" w:color="auto" w:fill="auto"/>
            <w:vAlign w:val="center"/>
          </w:tcPr>
          <w:p w14:paraId="75479CBD" w14:textId="5697C7E3"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nil"/>
            </w:tcBorders>
            <w:shd w:val="clear" w:color="auto" w:fill="auto"/>
            <w:vAlign w:val="center"/>
          </w:tcPr>
          <w:p w14:paraId="5754F220" w14:textId="17DC4435"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411" w:type="pct"/>
            <w:tcBorders>
              <w:bottom w:val="nil"/>
            </w:tcBorders>
            <w:vAlign w:val="center"/>
          </w:tcPr>
          <w:p w14:paraId="70D98C04" w14:textId="78315894"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r>
      <w:tr w:rsidR="00E4482E" w:rsidRPr="007253A4" w14:paraId="46664BEA" w14:textId="77777777" w:rsidTr="00511658">
        <w:tc>
          <w:tcPr>
            <w:tcW w:w="1359" w:type="pct"/>
            <w:tcBorders>
              <w:bottom w:val="nil"/>
            </w:tcBorders>
            <w:shd w:val="clear" w:color="auto" w:fill="auto"/>
            <w:vAlign w:val="center"/>
          </w:tcPr>
          <w:p w14:paraId="1BB30557" w14:textId="77777777"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i/>
                <w:iCs/>
                <w:color w:val="0D0D0D"/>
                <w:sz w:val="18"/>
                <w:szCs w:val="18"/>
              </w:rPr>
              <w:t>Cost to MBS less copayment (85% of the proposed MBS fee)</w:t>
            </w:r>
            <w:r w:rsidRPr="007253A4">
              <w:rPr>
                <w:rFonts w:ascii="Arial Narrow" w:hAnsi="Arial Narrow" w:cs="Arial"/>
                <w:i/>
                <w:iCs/>
                <w:color w:val="0D0D0D"/>
                <w:sz w:val="18"/>
                <w:szCs w:val="18"/>
                <w:vertAlign w:val="superscript"/>
              </w:rPr>
              <w:t>a</w:t>
            </w:r>
          </w:p>
        </w:tc>
        <w:tc>
          <w:tcPr>
            <w:tcW w:w="646" w:type="pct"/>
            <w:tcBorders>
              <w:bottom w:val="nil"/>
            </w:tcBorders>
            <w:shd w:val="clear" w:color="auto" w:fill="auto"/>
            <w:vAlign w:val="center"/>
          </w:tcPr>
          <w:p w14:paraId="3DE09799" w14:textId="18200FDE"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c>
          <w:tcPr>
            <w:tcW w:w="646" w:type="pct"/>
            <w:tcBorders>
              <w:bottom w:val="nil"/>
            </w:tcBorders>
            <w:shd w:val="clear" w:color="auto" w:fill="auto"/>
            <w:vAlign w:val="center"/>
          </w:tcPr>
          <w:p w14:paraId="6C249CE0" w14:textId="210D72EB"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c>
          <w:tcPr>
            <w:tcW w:w="646" w:type="pct"/>
            <w:tcBorders>
              <w:bottom w:val="nil"/>
            </w:tcBorders>
            <w:shd w:val="clear" w:color="auto" w:fill="auto"/>
            <w:vAlign w:val="center"/>
          </w:tcPr>
          <w:p w14:paraId="53A3247A" w14:textId="1BFE6ED9"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c>
          <w:tcPr>
            <w:tcW w:w="646" w:type="pct"/>
            <w:tcBorders>
              <w:bottom w:val="nil"/>
            </w:tcBorders>
            <w:shd w:val="clear" w:color="auto" w:fill="auto"/>
            <w:vAlign w:val="center"/>
          </w:tcPr>
          <w:p w14:paraId="34BB33C3" w14:textId="0AEF4DA2"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c>
          <w:tcPr>
            <w:tcW w:w="646" w:type="pct"/>
            <w:tcBorders>
              <w:bottom w:val="nil"/>
            </w:tcBorders>
            <w:shd w:val="clear" w:color="auto" w:fill="auto"/>
            <w:vAlign w:val="center"/>
          </w:tcPr>
          <w:p w14:paraId="0CBD98B5" w14:textId="1981E851"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c>
          <w:tcPr>
            <w:tcW w:w="411" w:type="pct"/>
            <w:tcBorders>
              <w:bottom w:val="nil"/>
            </w:tcBorders>
            <w:vAlign w:val="center"/>
          </w:tcPr>
          <w:p w14:paraId="60981B90" w14:textId="27BA2233" w:rsidR="00511658" w:rsidRPr="00EA2647" w:rsidRDefault="002C57D5" w:rsidP="00EA2647">
            <w:pPr>
              <w:keepNext/>
              <w:widowControl w:val="0"/>
              <w:spacing w:after="0"/>
              <w:jc w:val="center"/>
              <w:rPr>
                <w:rFonts w:ascii="Arial Narrow" w:hAnsi="Arial Narrow" w:cs="Arial"/>
                <w:i/>
                <w:iCs/>
                <w:color w:val="0D0D0D"/>
                <w:sz w:val="18"/>
                <w:szCs w:val="18"/>
              </w:rPr>
            </w:pPr>
            <w:r w:rsidRPr="00EA2647">
              <w:rPr>
                <w:rFonts w:ascii="Arial Narrow" w:hAnsi="Arial Narrow" w:cs="Arial"/>
                <w:i/>
                <w:iCs/>
                <w:color w:val="0D0D0D"/>
                <w:sz w:val="18"/>
                <w:szCs w:val="18"/>
              </w:rPr>
              <w:t>redacted</w:t>
            </w:r>
            <w:r w:rsidRPr="00EA2647">
              <w:rPr>
                <w:rFonts w:ascii="Arial Narrow" w:hAnsi="Arial Narrow" w:cs="Arial"/>
                <w:i/>
                <w:iCs/>
                <w:color w:val="0D0D0D"/>
                <w:sz w:val="18"/>
                <w:szCs w:val="18"/>
                <w:vertAlign w:val="superscript"/>
              </w:rPr>
              <w:t>3</w:t>
            </w:r>
          </w:p>
        </w:tc>
      </w:tr>
      <w:tr w:rsidR="00511658" w:rsidRPr="007253A4" w14:paraId="5688D7F4" w14:textId="77777777">
        <w:tc>
          <w:tcPr>
            <w:tcW w:w="5000" w:type="pct"/>
            <w:gridSpan w:val="7"/>
            <w:shd w:val="clear" w:color="auto" w:fill="auto"/>
            <w:vAlign w:val="center"/>
          </w:tcPr>
          <w:p w14:paraId="5D7B195C" w14:textId="77777777" w:rsidR="00511658" w:rsidRPr="007253A4" w:rsidRDefault="00511658" w:rsidP="002F08C2">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Estimated financial implications for ECG monitoring to the MBS</w:t>
            </w:r>
          </w:p>
        </w:tc>
      </w:tr>
      <w:tr w:rsidR="00E4482E" w:rsidRPr="007253A4" w14:paraId="2349E30B" w14:textId="77777777" w:rsidTr="00511658">
        <w:tc>
          <w:tcPr>
            <w:tcW w:w="1359" w:type="pct"/>
            <w:shd w:val="clear" w:color="auto" w:fill="auto"/>
            <w:vAlign w:val="center"/>
          </w:tcPr>
          <w:p w14:paraId="5AD19D4E" w14:textId="77777777"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color w:val="0D0D0D"/>
                <w:sz w:val="18"/>
                <w:szCs w:val="18"/>
              </w:rPr>
              <w:t>Cost to MBS less copayments (80% benefit, MBS item 11704)</w:t>
            </w:r>
          </w:p>
        </w:tc>
        <w:tc>
          <w:tcPr>
            <w:tcW w:w="646" w:type="pct"/>
            <w:shd w:val="clear" w:color="auto" w:fill="auto"/>
            <w:vAlign w:val="center"/>
          </w:tcPr>
          <w:p w14:paraId="368CA83B" w14:textId="2ABECFE7"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4D1EB2AE" w14:textId="753A8E6E"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2DB98F7C" w14:textId="62771708"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42C24C75" w14:textId="0DBB7E87"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32FBF820" w14:textId="6CF1B4BE"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411" w:type="pct"/>
            <w:vAlign w:val="center"/>
          </w:tcPr>
          <w:p w14:paraId="076AB261" w14:textId="0FAFC39B"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r>
      <w:tr w:rsidR="00E4482E" w:rsidRPr="007253A4" w14:paraId="2F06496C" w14:textId="77777777" w:rsidTr="00511658">
        <w:tc>
          <w:tcPr>
            <w:tcW w:w="1359" w:type="pct"/>
            <w:shd w:val="clear" w:color="auto" w:fill="auto"/>
            <w:vAlign w:val="center"/>
          </w:tcPr>
          <w:p w14:paraId="6497F27D" w14:textId="77777777" w:rsidR="00511658" w:rsidRPr="007253A4" w:rsidRDefault="00511658" w:rsidP="007253A4">
            <w:pPr>
              <w:keepNext/>
              <w:widowControl w:val="0"/>
              <w:spacing w:after="0"/>
              <w:jc w:val="left"/>
              <w:rPr>
                <w:rFonts w:ascii="Arial Narrow" w:hAnsi="Arial Narrow" w:cs="Arial"/>
                <w:color w:val="0D0D0D"/>
                <w:sz w:val="18"/>
                <w:szCs w:val="18"/>
              </w:rPr>
            </w:pPr>
            <w:r w:rsidRPr="007253A4">
              <w:rPr>
                <w:rFonts w:ascii="Arial Narrow" w:hAnsi="Arial Narrow" w:cs="Arial"/>
                <w:i/>
                <w:iCs/>
                <w:color w:val="0D0D0D"/>
                <w:sz w:val="18"/>
                <w:szCs w:val="18"/>
              </w:rPr>
              <w:t>Cost to MBS less copayment (85% of the proposed MBS fee)</w:t>
            </w:r>
            <w:r w:rsidRPr="007253A4">
              <w:rPr>
                <w:rFonts w:ascii="Arial Narrow" w:hAnsi="Arial Narrow" w:cs="Arial"/>
                <w:i/>
                <w:iCs/>
                <w:color w:val="0D0D0D"/>
                <w:sz w:val="18"/>
                <w:szCs w:val="18"/>
                <w:vertAlign w:val="superscript"/>
              </w:rPr>
              <w:t>a</w:t>
            </w:r>
          </w:p>
        </w:tc>
        <w:tc>
          <w:tcPr>
            <w:tcW w:w="646" w:type="pct"/>
            <w:shd w:val="clear" w:color="auto" w:fill="auto"/>
            <w:vAlign w:val="center"/>
          </w:tcPr>
          <w:p w14:paraId="343E88EA" w14:textId="64EFB80B"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5E175B3D" w14:textId="5B747AAD"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41141205" w14:textId="1E932248"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3A042202" w14:textId="0D96D90F"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4B99788C" w14:textId="6F11D110"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411" w:type="pct"/>
            <w:vAlign w:val="center"/>
          </w:tcPr>
          <w:p w14:paraId="59B27A2F" w14:textId="198E50FF" w:rsidR="00511658" w:rsidRPr="007253A4" w:rsidRDefault="002C57D5" w:rsidP="00EA2647">
            <w:pPr>
              <w:keepNext/>
              <w:widowControl w:val="0"/>
              <w:spacing w:after="0"/>
              <w:jc w:val="center"/>
              <w:rPr>
                <w:rFonts w:ascii="Arial Narrow" w:hAnsi="Arial Narrow" w:cs="Arial"/>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r>
      <w:tr w:rsidR="00511658" w:rsidRPr="007253A4" w14:paraId="48C69798" w14:textId="77777777">
        <w:tc>
          <w:tcPr>
            <w:tcW w:w="5000" w:type="pct"/>
            <w:gridSpan w:val="7"/>
            <w:tcBorders>
              <w:bottom w:val="single" w:sz="4" w:space="0" w:color="auto"/>
            </w:tcBorders>
            <w:shd w:val="clear" w:color="auto" w:fill="auto"/>
            <w:vAlign w:val="center"/>
          </w:tcPr>
          <w:p w14:paraId="1F3B80BD" w14:textId="3EC97F97" w:rsidR="00511658" w:rsidRPr="007253A4" w:rsidRDefault="00511658" w:rsidP="00EA2647">
            <w:pPr>
              <w:keepNext/>
              <w:widowControl w:val="0"/>
              <w:spacing w:after="0"/>
              <w:jc w:val="center"/>
              <w:rPr>
                <w:rFonts w:ascii="Arial Narrow" w:hAnsi="Arial Narrow" w:cs="Arial"/>
                <w:b/>
                <w:color w:val="0D0D0D"/>
                <w:sz w:val="18"/>
                <w:szCs w:val="18"/>
              </w:rPr>
            </w:pPr>
            <w:r w:rsidRPr="007253A4">
              <w:rPr>
                <w:rFonts w:ascii="Arial Narrow" w:hAnsi="Arial Narrow" w:cs="Arial"/>
                <w:b/>
                <w:color w:val="0D0D0D"/>
                <w:sz w:val="18"/>
                <w:szCs w:val="18"/>
              </w:rPr>
              <w:t>Net financial implications</w:t>
            </w:r>
          </w:p>
        </w:tc>
      </w:tr>
      <w:tr w:rsidR="00E4482E" w:rsidRPr="007253A4" w14:paraId="3FD08F12" w14:textId="77777777" w:rsidTr="00511658">
        <w:tc>
          <w:tcPr>
            <w:tcW w:w="1359" w:type="pct"/>
            <w:shd w:val="clear" w:color="auto" w:fill="auto"/>
            <w:vAlign w:val="center"/>
          </w:tcPr>
          <w:p w14:paraId="05B28042" w14:textId="77777777" w:rsidR="00511658" w:rsidRPr="007253A4" w:rsidRDefault="00511658" w:rsidP="007253A4">
            <w:pPr>
              <w:keepNext/>
              <w:widowControl w:val="0"/>
              <w:spacing w:after="0"/>
              <w:jc w:val="left"/>
              <w:rPr>
                <w:rFonts w:ascii="Times" w:eastAsia="Times New Roman" w:hAnsi="Times" w:cs="Times New Roman"/>
                <w:b/>
                <w:bCs/>
                <w:color w:val="0D0D0D"/>
                <w:sz w:val="18"/>
                <w:szCs w:val="18"/>
              </w:rPr>
            </w:pPr>
            <w:r w:rsidRPr="007253A4">
              <w:rPr>
                <w:rFonts w:ascii="Arial Narrow" w:hAnsi="Arial Narrow" w:cs="Arial"/>
                <w:b/>
                <w:bCs/>
                <w:color w:val="0D0D0D"/>
                <w:sz w:val="18"/>
                <w:szCs w:val="18"/>
              </w:rPr>
              <w:t>Net cost to MBS</w:t>
            </w:r>
          </w:p>
        </w:tc>
        <w:tc>
          <w:tcPr>
            <w:tcW w:w="646" w:type="pct"/>
            <w:shd w:val="clear" w:color="auto" w:fill="auto"/>
            <w:vAlign w:val="center"/>
          </w:tcPr>
          <w:p w14:paraId="2BEF15E1" w14:textId="03C5F59F"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0E273188" w14:textId="5C6C83F7"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10A3EB40" w14:textId="4A0F8534"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7B84BC9B" w14:textId="5075FA00"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shd w:val="clear" w:color="auto" w:fill="auto"/>
            <w:vAlign w:val="center"/>
          </w:tcPr>
          <w:p w14:paraId="2E4475A7" w14:textId="5904B13C"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411" w:type="pct"/>
            <w:vAlign w:val="center"/>
          </w:tcPr>
          <w:p w14:paraId="13625E83" w14:textId="24101F78"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r>
      <w:tr w:rsidR="00E4482E" w:rsidRPr="007253A4" w14:paraId="38CB2E23" w14:textId="77777777" w:rsidTr="00511658">
        <w:tc>
          <w:tcPr>
            <w:tcW w:w="1359" w:type="pct"/>
            <w:tcBorders>
              <w:bottom w:val="single" w:sz="4" w:space="0" w:color="auto"/>
            </w:tcBorders>
            <w:shd w:val="clear" w:color="auto" w:fill="auto"/>
            <w:vAlign w:val="center"/>
          </w:tcPr>
          <w:p w14:paraId="3F0D8A51" w14:textId="77777777" w:rsidR="00511658" w:rsidRPr="007253A4" w:rsidRDefault="00511658" w:rsidP="007253A4">
            <w:pPr>
              <w:keepNext/>
              <w:widowControl w:val="0"/>
              <w:spacing w:after="0"/>
              <w:jc w:val="left"/>
              <w:rPr>
                <w:rFonts w:ascii="Arial Narrow" w:hAnsi="Arial Narrow" w:cs="Arial"/>
                <w:b/>
                <w:bCs/>
                <w:color w:val="0D0D0D"/>
                <w:sz w:val="18"/>
                <w:szCs w:val="18"/>
              </w:rPr>
            </w:pPr>
            <w:r w:rsidRPr="007253A4">
              <w:rPr>
                <w:rFonts w:ascii="Arial Narrow" w:hAnsi="Arial Narrow" w:cs="Arial"/>
                <w:b/>
                <w:bCs/>
                <w:i/>
                <w:iCs/>
                <w:color w:val="0D0D0D"/>
                <w:sz w:val="18"/>
                <w:szCs w:val="18"/>
              </w:rPr>
              <w:t xml:space="preserve">Net cost to MBS, assuming 85% </w:t>
            </w:r>
            <w:proofErr w:type="spellStart"/>
            <w:r w:rsidRPr="007253A4">
              <w:rPr>
                <w:rFonts w:ascii="Arial Narrow" w:hAnsi="Arial Narrow" w:cs="Arial"/>
                <w:b/>
                <w:bCs/>
                <w:i/>
                <w:iCs/>
                <w:color w:val="0D0D0D"/>
                <w:sz w:val="18"/>
                <w:szCs w:val="18"/>
              </w:rPr>
              <w:t>benefit</w:t>
            </w:r>
            <w:r w:rsidRPr="007253A4">
              <w:rPr>
                <w:rFonts w:ascii="Arial Narrow" w:hAnsi="Arial Narrow" w:cs="Arial"/>
                <w:b/>
                <w:bCs/>
                <w:i/>
                <w:iCs/>
                <w:color w:val="0D0D0D"/>
                <w:sz w:val="18"/>
                <w:szCs w:val="18"/>
                <w:vertAlign w:val="superscript"/>
              </w:rPr>
              <w:t>a</w:t>
            </w:r>
            <w:proofErr w:type="spellEnd"/>
          </w:p>
        </w:tc>
        <w:tc>
          <w:tcPr>
            <w:tcW w:w="646" w:type="pct"/>
            <w:tcBorders>
              <w:bottom w:val="single" w:sz="4" w:space="0" w:color="auto"/>
            </w:tcBorders>
            <w:shd w:val="clear" w:color="auto" w:fill="auto"/>
            <w:vAlign w:val="center"/>
          </w:tcPr>
          <w:p w14:paraId="05802B08" w14:textId="1993FBD0"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single" w:sz="4" w:space="0" w:color="auto"/>
            </w:tcBorders>
            <w:shd w:val="clear" w:color="auto" w:fill="auto"/>
            <w:vAlign w:val="center"/>
          </w:tcPr>
          <w:p w14:paraId="20FF9113" w14:textId="5D301D66"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single" w:sz="4" w:space="0" w:color="auto"/>
            </w:tcBorders>
            <w:shd w:val="clear" w:color="auto" w:fill="auto"/>
            <w:vAlign w:val="center"/>
          </w:tcPr>
          <w:p w14:paraId="076D3E1A" w14:textId="19E4ACCC"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single" w:sz="4" w:space="0" w:color="auto"/>
            </w:tcBorders>
            <w:shd w:val="clear" w:color="auto" w:fill="auto"/>
            <w:vAlign w:val="center"/>
          </w:tcPr>
          <w:p w14:paraId="04F427C4" w14:textId="74C5C04F"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646" w:type="pct"/>
            <w:tcBorders>
              <w:bottom w:val="single" w:sz="4" w:space="0" w:color="auto"/>
            </w:tcBorders>
            <w:shd w:val="clear" w:color="auto" w:fill="auto"/>
            <w:vAlign w:val="center"/>
          </w:tcPr>
          <w:p w14:paraId="25A64626" w14:textId="616F8B5C"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c>
          <w:tcPr>
            <w:tcW w:w="411" w:type="pct"/>
            <w:tcBorders>
              <w:bottom w:val="single" w:sz="4" w:space="0" w:color="auto"/>
            </w:tcBorders>
            <w:vAlign w:val="center"/>
          </w:tcPr>
          <w:p w14:paraId="76DDDF44" w14:textId="0F424196" w:rsidR="00511658" w:rsidRPr="007253A4" w:rsidRDefault="002C57D5" w:rsidP="00EA2647">
            <w:pPr>
              <w:keepNext/>
              <w:widowControl w:val="0"/>
              <w:spacing w:after="0"/>
              <w:jc w:val="center"/>
              <w:rPr>
                <w:rFonts w:ascii="Arial Narrow" w:hAnsi="Arial Narrow" w:cs="Arial"/>
                <w:b/>
                <w:bCs/>
                <w:color w:val="0D0D0D"/>
                <w:sz w:val="18"/>
                <w:szCs w:val="18"/>
              </w:rPr>
            </w:pPr>
            <w:r w:rsidRPr="007253A4">
              <w:rPr>
                <w:rFonts w:ascii="Arial Narrow" w:hAnsi="Arial Narrow" w:cs="Arial"/>
                <w:color w:val="0D0D0D"/>
                <w:sz w:val="18"/>
                <w:szCs w:val="18"/>
              </w:rPr>
              <w:t>redacted</w:t>
            </w:r>
            <w:r w:rsidRPr="007253A4">
              <w:rPr>
                <w:rFonts w:ascii="Arial Narrow" w:hAnsi="Arial Narrow" w:cs="Arial"/>
                <w:color w:val="0D0D0D"/>
                <w:sz w:val="18"/>
                <w:szCs w:val="18"/>
                <w:vertAlign w:val="superscript"/>
              </w:rPr>
              <w:t>3</w:t>
            </w:r>
          </w:p>
        </w:tc>
      </w:tr>
    </w:tbl>
    <w:p w14:paraId="65B5C70F" w14:textId="77777777" w:rsidR="00785C2F" w:rsidRPr="00B830B5" w:rsidRDefault="00785C2F" w:rsidP="00B830B5">
      <w:pPr>
        <w:tabs>
          <w:tab w:val="left" w:pos="284"/>
        </w:tabs>
        <w:spacing w:before="0" w:after="0"/>
        <w:rPr>
          <w:rFonts w:ascii="Arial Narrow" w:eastAsia="Times New Roman" w:hAnsi="Arial Narrow" w:cs="Arial"/>
          <w:snapToGrid w:val="0"/>
          <w:color w:val="0D0D0D"/>
          <w:sz w:val="18"/>
          <w:szCs w:val="18"/>
          <w:lang w:eastAsia="en-AU"/>
        </w:rPr>
      </w:pPr>
      <w:r w:rsidRPr="00B830B5">
        <w:rPr>
          <w:rFonts w:ascii="Arial Narrow" w:eastAsia="Times New Roman" w:hAnsi="Arial Narrow" w:cs="Arial"/>
          <w:snapToGrid w:val="0"/>
          <w:color w:val="0D0D0D"/>
          <w:sz w:val="18"/>
          <w:szCs w:val="18"/>
          <w:lang w:eastAsia="en-AU"/>
        </w:rPr>
        <w:t xml:space="preserve">Source: Table 4-19 and Table 4-20, p181 of the submission. </w:t>
      </w:r>
    </w:p>
    <w:p w14:paraId="09A27C32" w14:textId="77777777" w:rsidR="00785C2F" w:rsidRPr="00D94E31" w:rsidRDefault="00785C2F" w:rsidP="00B830B5">
      <w:pPr>
        <w:tabs>
          <w:tab w:val="left" w:pos="284"/>
        </w:tabs>
        <w:spacing w:before="0" w:after="0"/>
        <w:rPr>
          <w:rFonts w:ascii="Arial Narrow" w:eastAsia="Times New Roman" w:hAnsi="Arial Narrow" w:cs="Arial"/>
          <w:snapToGrid w:val="0"/>
          <w:color w:val="0D0D0D"/>
          <w:sz w:val="18"/>
          <w:szCs w:val="18"/>
          <w:lang w:val="pt-PT" w:eastAsia="en-AU"/>
        </w:rPr>
      </w:pPr>
      <w:r w:rsidRPr="00D94E31">
        <w:rPr>
          <w:rFonts w:ascii="Arial Narrow" w:eastAsia="Times New Roman" w:hAnsi="Arial Narrow" w:cs="Arial"/>
          <w:snapToGrid w:val="0"/>
          <w:color w:val="0D0D0D"/>
          <w:sz w:val="18"/>
          <w:szCs w:val="18"/>
          <w:lang w:val="pt-PT" w:eastAsia="en-AU"/>
        </w:rPr>
        <w:t xml:space="preserve">CCA = cholangiocarcinoma; ECG = electrocardiogram; </w:t>
      </w:r>
      <w:r w:rsidRPr="00D94E31">
        <w:rPr>
          <w:rFonts w:ascii="Arial Narrow" w:eastAsia="Times New Roman" w:hAnsi="Arial Narrow" w:cs="Arial"/>
          <w:i/>
          <w:iCs/>
          <w:snapToGrid w:val="0"/>
          <w:color w:val="0D0D0D"/>
          <w:sz w:val="18"/>
          <w:szCs w:val="18"/>
          <w:lang w:val="pt-PT" w:eastAsia="en-AU"/>
        </w:rPr>
        <w:t xml:space="preserve">IDH1 </w:t>
      </w:r>
      <w:r w:rsidRPr="00D94E31">
        <w:rPr>
          <w:rFonts w:ascii="Arial Narrow" w:eastAsia="Times New Roman" w:hAnsi="Arial Narrow" w:cs="Arial"/>
          <w:snapToGrid w:val="0"/>
          <w:color w:val="0D0D0D"/>
          <w:sz w:val="18"/>
          <w:szCs w:val="18"/>
          <w:lang w:val="pt-PT" w:eastAsia="en-AU"/>
        </w:rPr>
        <w:t>= isocitrate dehydrogenase 1</w:t>
      </w:r>
    </w:p>
    <w:p w14:paraId="7953E018" w14:textId="525C8DCE" w:rsidR="00785C2F" w:rsidRPr="00431CF2" w:rsidRDefault="00785C2F" w:rsidP="00431CF2">
      <w:pPr>
        <w:tabs>
          <w:tab w:val="left" w:pos="284"/>
        </w:tabs>
        <w:spacing w:before="0" w:after="240"/>
        <w:rPr>
          <w:rFonts w:ascii="Arial Narrow" w:eastAsia="Times New Roman" w:hAnsi="Arial Narrow" w:cs="Arial"/>
          <w:i/>
          <w:snapToGrid w:val="0"/>
          <w:color w:val="0D0D0D"/>
          <w:sz w:val="18"/>
          <w:szCs w:val="18"/>
          <w:lang w:eastAsia="en-AU"/>
        </w:rPr>
      </w:pPr>
      <w:proofErr w:type="spellStart"/>
      <w:r w:rsidRPr="00B830B5">
        <w:rPr>
          <w:rFonts w:ascii="Arial Narrow" w:eastAsia="Times New Roman" w:hAnsi="Arial Narrow" w:cs="Arial"/>
          <w:i/>
          <w:iCs/>
          <w:snapToGrid w:val="0"/>
          <w:color w:val="0D0D0D"/>
          <w:sz w:val="18"/>
          <w:szCs w:val="18"/>
          <w:vertAlign w:val="superscript"/>
          <w:lang w:eastAsia="en-AU"/>
        </w:rPr>
        <w:t>a</w:t>
      </w:r>
      <w:proofErr w:type="spellEnd"/>
      <w:r w:rsidRPr="00B830B5">
        <w:rPr>
          <w:rFonts w:ascii="Arial Narrow" w:eastAsia="Times New Roman" w:hAnsi="Arial Narrow" w:cs="Arial"/>
          <w:i/>
          <w:iCs/>
          <w:snapToGrid w:val="0"/>
          <w:color w:val="0D0D0D"/>
          <w:sz w:val="18"/>
          <w:szCs w:val="18"/>
          <w:vertAlign w:val="superscript"/>
          <w:lang w:eastAsia="en-AU"/>
        </w:rPr>
        <w:t xml:space="preserve"> </w:t>
      </w:r>
      <w:r w:rsidRPr="00B830B5">
        <w:rPr>
          <w:rFonts w:ascii="Arial Narrow" w:eastAsia="Times New Roman" w:hAnsi="Arial Narrow" w:cs="Arial"/>
          <w:i/>
          <w:snapToGrid w:val="0"/>
          <w:color w:val="0D0D0D"/>
          <w:sz w:val="18"/>
          <w:szCs w:val="18"/>
          <w:lang w:eastAsia="en-AU"/>
        </w:rPr>
        <w:t>Additional analyses performed during the evaluation, by assuming 85% benefit as</w:t>
      </w:r>
      <w:r w:rsidRPr="00B830B5">
        <w:rPr>
          <w:rFonts w:ascii="Arial Narrow" w:eastAsia="Times New Roman" w:hAnsi="Arial Narrow" w:cs="Arial"/>
          <w:snapToGrid w:val="0"/>
          <w:sz w:val="18"/>
          <w:szCs w:val="18"/>
          <w:lang w:eastAsia="en-AU"/>
        </w:rPr>
        <w:t xml:space="preserve"> </w:t>
      </w:r>
      <w:r w:rsidRPr="00B830B5">
        <w:rPr>
          <w:rFonts w:ascii="Arial Narrow" w:eastAsia="Times New Roman" w:hAnsi="Arial Narrow" w:cs="Arial"/>
          <w:i/>
          <w:snapToGrid w:val="0"/>
          <w:color w:val="0D0D0D"/>
          <w:sz w:val="18"/>
          <w:szCs w:val="18"/>
          <w:lang w:eastAsia="en-AU"/>
        </w:rPr>
        <w:t xml:space="preserve">for out of hospital services. </w:t>
      </w:r>
    </w:p>
    <w:p w14:paraId="4AB0A881" w14:textId="77777777" w:rsidR="006A6F22" w:rsidRPr="007E0B5A" w:rsidRDefault="006A6F22" w:rsidP="006A6F22">
      <w:pPr>
        <w:pStyle w:val="TableFigureFooter"/>
        <w:rPr>
          <w:i/>
          <w:iCs/>
        </w:rPr>
      </w:pPr>
      <w:r w:rsidRPr="007E0B5A">
        <w:rPr>
          <w:i/>
          <w:iCs/>
        </w:rPr>
        <w:t>The redacted values correspond to the following ranges:</w:t>
      </w:r>
    </w:p>
    <w:p w14:paraId="0E447B71" w14:textId="77777777" w:rsidR="00E4482E" w:rsidRDefault="00953591" w:rsidP="00E4482E">
      <w:pPr>
        <w:tabs>
          <w:tab w:val="left" w:pos="284"/>
        </w:tabs>
        <w:spacing w:before="0" w:after="0"/>
        <w:rPr>
          <w:rFonts w:ascii="Arial Narrow" w:eastAsia="Times New Roman" w:hAnsi="Arial Narrow" w:cs="Arial"/>
          <w:i/>
          <w:snapToGrid w:val="0"/>
          <w:color w:val="0D0D0D"/>
          <w:sz w:val="18"/>
          <w:szCs w:val="18"/>
          <w:lang w:eastAsia="en-AU"/>
        </w:rPr>
      </w:pPr>
      <w:r>
        <w:rPr>
          <w:rFonts w:ascii="Arial Narrow" w:eastAsia="Times New Roman" w:hAnsi="Arial Narrow" w:cs="Arial"/>
          <w:i/>
          <w:snapToGrid w:val="0"/>
          <w:color w:val="0D0D0D"/>
          <w:sz w:val="18"/>
          <w:szCs w:val="18"/>
          <w:vertAlign w:val="superscript"/>
          <w:lang w:eastAsia="en-AU"/>
        </w:rPr>
        <w:t>1</w:t>
      </w:r>
      <w:r w:rsidR="00E4482E" w:rsidRPr="00E4482E">
        <w:rPr>
          <w:rFonts w:ascii="Arial Narrow" w:eastAsia="Times New Roman" w:hAnsi="Arial Narrow" w:cs="Arial"/>
          <w:i/>
          <w:snapToGrid w:val="0"/>
          <w:color w:val="0D0D0D"/>
          <w:sz w:val="18"/>
          <w:szCs w:val="18"/>
          <w:lang w:eastAsia="en-AU"/>
        </w:rPr>
        <w:t xml:space="preserve">&lt; </w:t>
      </w:r>
      <w:r w:rsidR="00F82DAB" w:rsidRPr="00F82DAB">
        <w:rPr>
          <w:rFonts w:ascii="Arial Narrow" w:eastAsia="Times New Roman" w:hAnsi="Arial Narrow" w:cs="Arial"/>
          <w:i/>
          <w:snapToGrid w:val="0"/>
          <w:color w:val="0D0D0D"/>
          <w:sz w:val="18"/>
          <w:szCs w:val="18"/>
          <w:lang w:eastAsia="en-AU"/>
        </w:rPr>
        <w:t>500</w:t>
      </w:r>
    </w:p>
    <w:p w14:paraId="6A935168" w14:textId="0D5F12AC" w:rsidR="006A6F22" w:rsidRDefault="00E4482E" w:rsidP="00E4482E">
      <w:pPr>
        <w:tabs>
          <w:tab w:val="left" w:pos="284"/>
        </w:tabs>
        <w:spacing w:before="0" w:after="0"/>
        <w:rPr>
          <w:rFonts w:ascii="Arial Narrow" w:eastAsia="Times New Roman" w:hAnsi="Arial Narrow" w:cs="Arial"/>
          <w:i/>
          <w:snapToGrid w:val="0"/>
          <w:color w:val="0D0D0D"/>
          <w:sz w:val="18"/>
          <w:szCs w:val="18"/>
          <w:lang w:eastAsia="en-AU"/>
        </w:rPr>
      </w:pPr>
      <w:r w:rsidRPr="00E4482E">
        <w:rPr>
          <w:rFonts w:ascii="Arial Narrow" w:eastAsia="Times New Roman" w:hAnsi="Arial Narrow" w:cs="Arial"/>
          <w:i/>
          <w:snapToGrid w:val="0"/>
          <w:color w:val="0D0D0D"/>
          <w:sz w:val="18"/>
          <w:szCs w:val="18"/>
          <w:vertAlign w:val="superscript"/>
          <w:lang w:eastAsia="en-AU"/>
        </w:rPr>
        <w:t>2</w:t>
      </w:r>
      <w:r w:rsidRPr="00E4482E">
        <w:rPr>
          <w:rFonts w:ascii="Arial Narrow" w:eastAsia="Times New Roman" w:hAnsi="Arial Narrow" w:cs="Arial"/>
          <w:i/>
          <w:snapToGrid w:val="0"/>
          <w:color w:val="0D0D0D"/>
          <w:sz w:val="18"/>
          <w:szCs w:val="18"/>
          <w:lang w:eastAsia="en-AU"/>
        </w:rPr>
        <w:t>500</w:t>
      </w:r>
      <w:r w:rsidR="00F82DAB" w:rsidRPr="00F82DAB">
        <w:rPr>
          <w:rFonts w:ascii="Arial Narrow" w:eastAsia="Times New Roman" w:hAnsi="Arial Narrow" w:cs="Arial"/>
          <w:i/>
          <w:snapToGrid w:val="0"/>
          <w:color w:val="0D0D0D"/>
          <w:sz w:val="18"/>
          <w:szCs w:val="18"/>
          <w:lang w:eastAsia="en-AU"/>
        </w:rPr>
        <w:t xml:space="preserve"> to &lt; 5,000</w:t>
      </w:r>
    </w:p>
    <w:p w14:paraId="0A80D829" w14:textId="65212888" w:rsidR="00E4482E" w:rsidRPr="00F82DAB" w:rsidRDefault="009A5BEA" w:rsidP="00E4482E">
      <w:pPr>
        <w:tabs>
          <w:tab w:val="left" w:pos="284"/>
        </w:tabs>
        <w:spacing w:before="0" w:after="0"/>
        <w:rPr>
          <w:rFonts w:ascii="Arial Narrow" w:eastAsia="Times New Roman" w:hAnsi="Arial Narrow" w:cs="Arial"/>
          <w:i/>
          <w:snapToGrid w:val="0"/>
          <w:color w:val="0D0D0D"/>
          <w:sz w:val="18"/>
          <w:szCs w:val="18"/>
          <w:lang w:eastAsia="en-AU"/>
        </w:rPr>
      </w:pPr>
      <w:r w:rsidRPr="009A5BEA">
        <w:rPr>
          <w:rFonts w:ascii="Arial Narrow" w:eastAsia="Times New Roman" w:hAnsi="Arial Narrow" w:cs="Arial"/>
          <w:i/>
          <w:snapToGrid w:val="0"/>
          <w:color w:val="0D0D0D"/>
          <w:sz w:val="18"/>
          <w:szCs w:val="18"/>
          <w:vertAlign w:val="superscript"/>
          <w:lang w:eastAsia="en-AU"/>
        </w:rPr>
        <w:t>3</w:t>
      </w:r>
      <w:r w:rsidR="00BE14A9" w:rsidRPr="00BE14A9">
        <w:rPr>
          <w:rFonts w:ascii="Arial Narrow" w:eastAsia="Times New Roman" w:hAnsi="Arial Narrow" w:cs="Arial"/>
          <w:i/>
          <w:snapToGrid w:val="0"/>
          <w:color w:val="0D0D0D"/>
          <w:sz w:val="18"/>
          <w:szCs w:val="18"/>
          <w:lang w:eastAsia="en-AU"/>
        </w:rPr>
        <w:t>$0 to &lt; $10 million</w:t>
      </w:r>
    </w:p>
    <w:p w14:paraId="21C8F1BB" w14:textId="319851A5" w:rsidR="00785C2F" w:rsidRPr="00431CF2" w:rsidRDefault="00431CF2" w:rsidP="00431CF2">
      <w:pPr>
        <w:pStyle w:val="Heading2"/>
        <w:widowControl w:val="0"/>
        <w:spacing w:after="240"/>
        <w:rPr>
          <w:rFonts w:ascii="Franklin Gothic Medium" w:hAnsi="Franklin Gothic Medium"/>
          <w:b w:val="0"/>
          <w:i w:val="0"/>
          <w:snapToGrid/>
          <w:color w:val="000000" w:themeColor="text1"/>
          <w:sz w:val="32"/>
          <w:szCs w:val="26"/>
        </w:rPr>
      </w:pPr>
      <w:bookmarkStart w:id="48" w:name="_Toc163115433"/>
      <w:r>
        <w:rPr>
          <w:rFonts w:ascii="Franklin Gothic Medium" w:hAnsi="Franklin Gothic Medium"/>
          <w:b w:val="0"/>
          <w:i w:val="0"/>
          <w:snapToGrid/>
          <w:color w:val="000000" w:themeColor="text1"/>
          <w:sz w:val="32"/>
          <w:szCs w:val="26"/>
        </w:rPr>
        <w:t>15.</w:t>
      </w:r>
      <w:r>
        <w:rPr>
          <w:rFonts w:ascii="Franklin Gothic Medium" w:hAnsi="Franklin Gothic Medium"/>
          <w:b w:val="0"/>
          <w:i w:val="0"/>
          <w:snapToGrid/>
          <w:color w:val="000000" w:themeColor="text1"/>
          <w:sz w:val="32"/>
          <w:szCs w:val="26"/>
        </w:rPr>
        <w:tab/>
      </w:r>
      <w:r w:rsidR="00785C2F" w:rsidRPr="00431CF2">
        <w:rPr>
          <w:rFonts w:ascii="Franklin Gothic Medium" w:hAnsi="Franklin Gothic Medium"/>
          <w:b w:val="0"/>
          <w:i w:val="0"/>
          <w:snapToGrid/>
          <w:color w:val="000000" w:themeColor="text1"/>
          <w:sz w:val="32"/>
          <w:szCs w:val="26"/>
        </w:rPr>
        <w:t>Other significant factors</w:t>
      </w:r>
      <w:bookmarkEnd w:id="48"/>
    </w:p>
    <w:p w14:paraId="687B6FDB" w14:textId="3B80E9A1" w:rsidR="008F5246" w:rsidRDefault="00785C2F" w:rsidP="008F5246">
      <w:pPr>
        <w:spacing w:after="240"/>
        <w:rPr>
          <w:rFonts w:ascii="Franklin Gothic Book" w:hAnsi="Franklin Gothic Book"/>
          <w:color w:val="0D0D0D"/>
          <w:sz w:val="22"/>
        </w:rPr>
      </w:pPr>
      <w:r w:rsidRPr="00431CF2">
        <w:rPr>
          <w:rFonts w:ascii="Franklin Gothic Book" w:hAnsi="Franklin Gothic Book"/>
          <w:color w:val="0D0D0D"/>
          <w:sz w:val="22"/>
        </w:rPr>
        <w:t>Nil.</w:t>
      </w:r>
    </w:p>
    <w:p w14:paraId="1A1D1241" w14:textId="77777777" w:rsidR="00431CF2" w:rsidRPr="00431CF2" w:rsidRDefault="00431CF2" w:rsidP="00431CF2">
      <w:pPr>
        <w:pStyle w:val="Heading2"/>
        <w:widowControl w:val="0"/>
        <w:spacing w:after="240"/>
        <w:rPr>
          <w:rFonts w:ascii="Franklin Gothic Medium" w:hAnsi="Franklin Gothic Medium"/>
          <w:b w:val="0"/>
          <w:i w:val="0"/>
          <w:snapToGrid/>
          <w:color w:val="000000" w:themeColor="text1"/>
          <w:sz w:val="32"/>
          <w:szCs w:val="26"/>
        </w:rPr>
      </w:pPr>
      <w:bookmarkStart w:id="49" w:name="_Toc145678765"/>
      <w:bookmarkStart w:id="50" w:name="_Toc150172410"/>
      <w:bookmarkStart w:id="51" w:name="_Toc153462785"/>
      <w:r w:rsidRPr="00431CF2">
        <w:rPr>
          <w:rFonts w:ascii="Franklin Gothic Medium" w:hAnsi="Franklin Gothic Medium"/>
          <w:b w:val="0"/>
          <w:i w:val="0"/>
          <w:snapToGrid/>
          <w:color w:val="000000" w:themeColor="text1"/>
          <w:sz w:val="32"/>
          <w:szCs w:val="26"/>
        </w:rPr>
        <w:t>16.</w:t>
      </w:r>
      <w:r w:rsidRPr="00431CF2">
        <w:rPr>
          <w:rFonts w:ascii="Franklin Gothic Medium" w:hAnsi="Franklin Gothic Medium"/>
          <w:b w:val="0"/>
          <w:i w:val="0"/>
          <w:snapToGrid/>
          <w:color w:val="000000" w:themeColor="text1"/>
          <w:sz w:val="32"/>
          <w:szCs w:val="26"/>
        </w:rPr>
        <w:tab/>
        <w:t>Key issues from ESC to MSAC</w:t>
      </w:r>
    </w:p>
    <w:bookmarkEnd w:id="49"/>
    <w:bookmarkEnd w:id="50"/>
    <w:bookmarkEnd w:id="51"/>
    <w:p w14:paraId="036F0AE3" w14:textId="77777777" w:rsidR="008F5246" w:rsidRPr="00431CF2" w:rsidRDefault="008F5246" w:rsidP="008F5246">
      <w:pPr>
        <w:pStyle w:val="4-SubsectionHeading"/>
        <w:rPr>
          <w:rFonts w:ascii="Franklin Gothic Book" w:hAnsi="Franklin Gothic Book"/>
          <w:i w:val="0"/>
          <w:iCs/>
          <w:color w:val="0D0D0D" w:themeColor="text1" w:themeTint="F2"/>
          <w:sz w:val="22"/>
          <w:szCs w:val="22"/>
        </w:rPr>
      </w:pPr>
      <w:r w:rsidRPr="00431CF2">
        <w:rPr>
          <w:rFonts w:ascii="Franklin Gothic Book" w:hAnsi="Franklin Gothic Book"/>
          <w:i w:val="0"/>
          <w:iCs/>
          <w:color w:val="0D0D0D" w:themeColor="text1" w:themeTint="F2"/>
          <w:sz w:val="22"/>
          <w:szCs w:val="22"/>
        </w:rPr>
        <w:t>Main issues for MSAC consideration</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9016"/>
      </w:tblGrid>
      <w:tr w:rsidR="008F5246" w:rsidRPr="00431CF2" w14:paraId="58FF4BB1" w14:textId="77777777" w:rsidTr="002A3EBF">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auto"/>
          </w:tcPr>
          <w:p w14:paraId="56016075" w14:textId="77777777" w:rsidR="008F5246" w:rsidRPr="00431CF2" w:rsidRDefault="008F5246" w:rsidP="002A3EBF">
            <w:pPr>
              <w:rPr>
                <w:rFonts w:ascii="Franklin Gothic Book" w:hAnsi="Franklin Gothic Book"/>
                <w:color w:val="0D0D0D" w:themeColor="text1" w:themeTint="F2"/>
                <w:sz w:val="22"/>
                <w:lang w:val="en-AU"/>
              </w:rPr>
            </w:pPr>
            <w:r w:rsidRPr="00431CF2">
              <w:rPr>
                <w:rFonts w:ascii="Franklin Gothic Book" w:hAnsi="Franklin Gothic Book" w:cstheme="minorHAnsi"/>
                <w:color w:val="0D0D0D" w:themeColor="text1" w:themeTint="F2"/>
                <w:sz w:val="22"/>
                <w:lang w:val="en-AU"/>
              </w:rPr>
              <w:t>Clinical issues</w:t>
            </w:r>
          </w:p>
          <w:p w14:paraId="0DDE58FA" w14:textId="77777777" w:rsidR="008F5246" w:rsidRPr="00431CF2" w:rsidRDefault="008F5246" w:rsidP="00431CF2">
            <w:pPr>
              <w:pStyle w:val="InstructionBulletpoint"/>
              <w:numPr>
                <w:ilvl w:val="0"/>
                <w:numId w:val="20"/>
              </w:numPr>
              <w:rPr>
                <w:rStyle w:val="InstructionalTextChar"/>
                <w:rFonts w:ascii="Franklin Gothic Book" w:hAnsi="Franklin Gothic Book"/>
                <w:b w:val="0"/>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C</w:t>
            </w:r>
            <w:r w:rsidRPr="00431CF2">
              <w:rPr>
                <w:rStyle w:val="InstructionalTextChar"/>
                <w:rFonts w:ascii="Franklin Gothic Book" w:hAnsi="Franklin Gothic Book"/>
                <w:b w:val="0"/>
                <w:color w:val="0D0D0D" w:themeColor="text1" w:themeTint="F2"/>
                <w:sz w:val="22"/>
              </w:rPr>
              <w:t>CA</w:t>
            </w:r>
            <w:r w:rsidRPr="00431CF2">
              <w:rPr>
                <w:rStyle w:val="InstructionalTextChar"/>
                <w:rFonts w:ascii="Franklin Gothic Book" w:hAnsi="Franklin Gothic Book"/>
                <w:b w:val="0"/>
                <w:color w:val="0D0D0D" w:themeColor="text1" w:themeTint="F2"/>
                <w:sz w:val="22"/>
                <w:lang w:val="en-AU"/>
              </w:rPr>
              <w:t xml:space="preserve"> </w:t>
            </w:r>
            <w:r w:rsidRPr="00431CF2">
              <w:rPr>
                <w:rStyle w:val="InstructionalTextChar"/>
                <w:rFonts w:ascii="Franklin Gothic Book" w:hAnsi="Franklin Gothic Book"/>
                <w:b w:val="0"/>
                <w:color w:val="0D0D0D" w:themeColor="text1" w:themeTint="F2"/>
                <w:sz w:val="22"/>
              </w:rPr>
              <w:t xml:space="preserve">diagnosis </w:t>
            </w:r>
            <w:r w:rsidRPr="00431CF2">
              <w:rPr>
                <w:rStyle w:val="InstructionalTextChar"/>
                <w:rFonts w:ascii="Franklin Gothic Book" w:hAnsi="Franklin Gothic Book"/>
                <w:b w:val="0"/>
                <w:color w:val="0D0D0D" w:themeColor="text1" w:themeTint="F2"/>
                <w:sz w:val="22"/>
                <w:lang w:val="en-AU"/>
              </w:rPr>
              <w:t>c</w:t>
            </w:r>
            <w:proofErr w:type="spellStart"/>
            <w:r w:rsidRPr="00431CF2">
              <w:rPr>
                <w:rStyle w:val="InstructionalTextChar"/>
                <w:rFonts w:ascii="Franklin Gothic Book" w:hAnsi="Franklin Gothic Book"/>
                <w:b w:val="0"/>
                <w:color w:val="0D0D0D" w:themeColor="text1" w:themeTint="F2"/>
                <w:sz w:val="22"/>
              </w:rPr>
              <w:t>an</w:t>
            </w:r>
            <w:proofErr w:type="spellEnd"/>
            <w:r w:rsidRPr="00431CF2">
              <w:rPr>
                <w:rStyle w:val="InstructionalTextChar"/>
                <w:rFonts w:ascii="Franklin Gothic Book" w:hAnsi="Franklin Gothic Book"/>
                <w:b w:val="0"/>
                <w:color w:val="0D0D0D" w:themeColor="text1" w:themeTint="F2"/>
                <w:sz w:val="22"/>
              </w:rPr>
              <w:t xml:space="preserve"> be often </w:t>
            </w:r>
            <w:r w:rsidRPr="00431CF2">
              <w:rPr>
                <w:rStyle w:val="InstructionalTextChar"/>
                <w:rFonts w:ascii="Franklin Gothic Book" w:hAnsi="Franklin Gothic Book"/>
                <w:b w:val="0"/>
                <w:color w:val="0D0D0D" w:themeColor="text1" w:themeTint="F2"/>
                <w:sz w:val="22"/>
                <w:lang w:val="en-AU"/>
              </w:rPr>
              <w:t xml:space="preserve">clinically challenging </w:t>
            </w:r>
            <w:r w:rsidRPr="00431CF2">
              <w:rPr>
                <w:rStyle w:val="InstructionalTextChar"/>
                <w:rFonts w:ascii="Franklin Gothic Book" w:hAnsi="Franklin Gothic Book"/>
                <w:b w:val="0"/>
                <w:color w:val="0D0D0D" w:themeColor="text1" w:themeTint="F2"/>
                <w:sz w:val="22"/>
              </w:rPr>
              <w:t>due to overlapping features with pancreatic cancers and carcinoma of unknown primary site. This may lead to ‘diagnostic expansion’ with testing being desired in patients whose primary tumour site is unclear, significantly increasing the population undertaking testing.</w:t>
            </w:r>
            <w:r w:rsidRPr="00431CF2">
              <w:rPr>
                <w:rStyle w:val="InstructionalTextChar"/>
                <w:rFonts w:ascii="Franklin Gothic Book" w:hAnsi="Franklin Gothic Book"/>
                <w:b w:val="0"/>
                <w:color w:val="0D0D0D" w:themeColor="text1" w:themeTint="F2"/>
                <w:sz w:val="22"/>
                <w:lang w:val="en-AU"/>
              </w:rPr>
              <w:t xml:space="preserve"> </w:t>
            </w:r>
          </w:p>
          <w:p w14:paraId="26081496" w14:textId="77777777" w:rsidR="008F5246" w:rsidRPr="00431CF2" w:rsidRDefault="008F5246" w:rsidP="00431CF2">
            <w:pPr>
              <w:pStyle w:val="InstructionBulletpoint"/>
              <w:numPr>
                <w:ilvl w:val="0"/>
                <w:numId w:val="20"/>
              </w:numPr>
              <w:rPr>
                <w:rStyle w:val="InstructionalTextChar"/>
                <w:rFonts w:ascii="Franklin Gothic Book" w:hAnsi="Franklin Gothic Book"/>
                <w:b w:val="0"/>
                <w:color w:val="0D0D0D" w:themeColor="text1" w:themeTint="F2"/>
                <w:sz w:val="22"/>
                <w:lang w:val="en-AU"/>
              </w:rPr>
            </w:pPr>
            <w:r w:rsidRPr="00431CF2">
              <w:rPr>
                <w:rStyle w:val="InstructionalTextChar"/>
                <w:rFonts w:ascii="Franklin Gothic Book" w:hAnsi="Franklin Gothic Book"/>
                <w:b w:val="0"/>
                <w:color w:val="0D0D0D" w:themeColor="text1" w:themeTint="F2"/>
                <w:sz w:val="22"/>
              </w:rPr>
              <w:t>Making the proposed testing pathologist-determinable is likely reasonable, to make best use of minimal biopsy samples.</w:t>
            </w:r>
          </w:p>
          <w:p w14:paraId="1F0A86F3" w14:textId="77777777" w:rsidR="008F5246" w:rsidRPr="00431CF2" w:rsidRDefault="008F5246" w:rsidP="00431CF2">
            <w:pPr>
              <w:pStyle w:val="InstructionBulletpoint"/>
              <w:numPr>
                <w:ilvl w:val="0"/>
                <w:numId w:val="20"/>
              </w:numPr>
              <w:rPr>
                <w:rStyle w:val="InstructionalTextChar"/>
                <w:rFonts w:ascii="Franklin Gothic Book" w:hAnsi="Franklin Gothic Book"/>
                <w:b w:val="0"/>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 xml:space="preserve">Whilst the current application proposed single gene testing of </w:t>
            </w:r>
            <w:r w:rsidRPr="00431CF2">
              <w:rPr>
                <w:rStyle w:val="InstructionalTextChar"/>
                <w:rFonts w:ascii="Franklin Gothic Book" w:hAnsi="Franklin Gothic Book"/>
                <w:b w:val="0"/>
                <w:i/>
                <w:color w:val="0D0D0D" w:themeColor="text1" w:themeTint="F2"/>
                <w:sz w:val="22"/>
                <w:lang w:val="en-AU"/>
              </w:rPr>
              <w:t>IDH1</w:t>
            </w:r>
            <w:r w:rsidRPr="00431CF2">
              <w:rPr>
                <w:rStyle w:val="InstructionalTextChar"/>
                <w:rFonts w:ascii="Franklin Gothic Book" w:hAnsi="Franklin Gothic Book"/>
                <w:b w:val="0"/>
                <w:color w:val="0D0D0D" w:themeColor="text1" w:themeTint="F2"/>
                <w:sz w:val="22"/>
                <w:lang w:val="en-AU"/>
              </w:rPr>
              <w:t xml:space="preserve"> to determine eligibility for ivosidenib, in contemporary clinical practice genetic testing of CCA is performed using a gene panel.</w:t>
            </w:r>
          </w:p>
          <w:p w14:paraId="71E7E48D" w14:textId="77777777" w:rsidR="008F5246" w:rsidRPr="00431CF2" w:rsidRDefault="008F5246" w:rsidP="002A3EBF">
            <w:pPr>
              <w:rPr>
                <w:rFonts w:ascii="Franklin Gothic Book" w:hAnsi="Franklin Gothic Book"/>
                <w:color w:val="0D0D0D" w:themeColor="text1" w:themeTint="F2"/>
                <w:sz w:val="22"/>
                <w:lang w:val="en-AU"/>
              </w:rPr>
            </w:pPr>
            <w:r w:rsidRPr="00431CF2">
              <w:rPr>
                <w:rFonts w:ascii="Franklin Gothic Book" w:hAnsi="Franklin Gothic Book" w:cstheme="minorHAnsi"/>
                <w:color w:val="0D0D0D" w:themeColor="text1" w:themeTint="F2"/>
                <w:sz w:val="22"/>
                <w:lang w:val="en-AU"/>
              </w:rPr>
              <w:lastRenderedPageBreak/>
              <w:t>Economic issues</w:t>
            </w:r>
          </w:p>
          <w:p w14:paraId="6837F1FA" w14:textId="77777777" w:rsidR="008F5246" w:rsidRPr="00431CF2" w:rsidRDefault="008F5246" w:rsidP="00431CF2">
            <w:pPr>
              <w:pStyle w:val="ListParagraph"/>
              <w:numPr>
                <w:ilvl w:val="0"/>
                <w:numId w:val="16"/>
              </w:numPr>
              <w:spacing w:before="0" w:line="256" w:lineRule="auto"/>
              <w:jc w:val="left"/>
              <w:rPr>
                <w:rStyle w:val="InstructionalTextChar"/>
                <w:rFonts w:ascii="Franklin Gothic Book" w:hAnsi="Franklin Gothic Book"/>
                <w:b w:val="0"/>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 xml:space="preserve">The modelling approach was reasonable </w:t>
            </w:r>
            <w:r w:rsidRPr="00431CF2">
              <w:rPr>
                <w:rStyle w:val="InstructionalTextChar"/>
                <w:rFonts w:ascii="Franklin Gothic Book" w:hAnsi="Franklin Gothic Book"/>
                <w:b w:val="0"/>
                <w:bCs/>
                <w:color w:val="0D0D0D" w:themeColor="text1" w:themeTint="F2"/>
                <w:sz w:val="22"/>
              </w:rPr>
              <w:t>overall</w:t>
            </w:r>
            <w:r w:rsidRPr="00431CF2">
              <w:rPr>
                <w:rStyle w:val="InstructionalTextChar"/>
                <w:rFonts w:ascii="Franklin Gothic Book" w:hAnsi="Franklin Gothic Book"/>
                <w:b w:val="0"/>
                <w:color w:val="0D0D0D" w:themeColor="text1" w:themeTint="F2"/>
                <w:sz w:val="22"/>
                <w:lang w:val="en-AU"/>
              </w:rPr>
              <w:t>, h</w:t>
            </w:r>
            <w:proofErr w:type="spellStart"/>
            <w:r w:rsidRPr="00431CF2">
              <w:rPr>
                <w:rStyle w:val="InstructionalTextChar"/>
                <w:rFonts w:ascii="Franklin Gothic Book" w:hAnsi="Franklin Gothic Book"/>
                <w:b w:val="0"/>
                <w:color w:val="0D0D0D" w:themeColor="text1" w:themeTint="F2"/>
                <w:sz w:val="22"/>
              </w:rPr>
              <w:t>owever</w:t>
            </w:r>
            <w:proofErr w:type="spellEnd"/>
            <w:r w:rsidRPr="00431CF2">
              <w:rPr>
                <w:rStyle w:val="InstructionalTextChar"/>
                <w:rFonts w:ascii="Franklin Gothic Book" w:hAnsi="Franklin Gothic Book"/>
                <w:b w:val="0"/>
                <w:color w:val="0D0D0D" w:themeColor="text1" w:themeTint="F2"/>
                <w:sz w:val="22"/>
              </w:rPr>
              <w:t>,</w:t>
            </w:r>
            <w:r w:rsidRPr="00431CF2">
              <w:rPr>
                <w:rStyle w:val="InstructionalTextChar"/>
                <w:rFonts w:ascii="Franklin Gothic Book" w:hAnsi="Franklin Gothic Book"/>
                <w:b w:val="0"/>
                <w:color w:val="0D0D0D" w:themeColor="text1" w:themeTint="F2"/>
                <w:sz w:val="22"/>
                <w:lang w:val="en-AU"/>
              </w:rPr>
              <w:t xml:space="preserve"> the base-case likely underestimated the ICER. A</w:t>
            </w:r>
            <w:proofErr w:type="spellStart"/>
            <w:r w:rsidRPr="00431CF2">
              <w:rPr>
                <w:rStyle w:val="InstructionalTextChar"/>
                <w:rFonts w:ascii="Franklin Gothic Book" w:hAnsi="Franklin Gothic Book"/>
                <w:b w:val="0"/>
                <w:color w:val="0D0D0D" w:themeColor="text1" w:themeTint="F2"/>
                <w:sz w:val="22"/>
              </w:rPr>
              <w:t>ll</w:t>
            </w:r>
            <w:proofErr w:type="spellEnd"/>
            <w:r w:rsidRPr="00431CF2">
              <w:rPr>
                <w:rStyle w:val="InstructionalTextChar"/>
                <w:rFonts w:ascii="Franklin Gothic Book" w:hAnsi="Franklin Gothic Book"/>
                <w:b w:val="0"/>
                <w:color w:val="0D0D0D" w:themeColor="text1" w:themeTint="F2"/>
                <w:sz w:val="22"/>
              </w:rPr>
              <w:t xml:space="preserve"> key drivers (extrapolation of survival for both arms, utilities, time horizon) </w:t>
            </w:r>
            <w:proofErr w:type="spellStart"/>
            <w:r w:rsidRPr="00431CF2">
              <w:rPr>
                <w:rStyle w:val="InstructionalTextChar"/>
                <w:rFonts w:ascii="Franklin Gothic Book" w:hAnsi="Franklin Gothic Book"/>
                <w:b w:val="0"/>
                <w:color w:val="0D0D0D" w:themeColor="text1" w:themeTint="F2"/>
                <w:sz w:val="22"/>
              </w:rPr>
              <w:t>favoured</w:t>
            </w:r>
            <w:proofErr w:type="spellEnd"/>
            <w:r w:rsidRPr="00431CF2">
              <w:rPr>
                <w:rStyle w:val="InstructionalTextChar"/>
                <w:rFonts w:ascii="Franklin Gothic Book" w:hAnsi="Franklin Gothic Book"/>
                <w:b w:val="0"/>
                <w:color w:val="0D0D0D" w:themeColor="text1" w:themeTint="F2"/>
                <w:sz w:val="22"/>
              </w:rPr>
              <w:t xml:space="preserve"> the intervention, making the robustness of the economic results uncertain. A revised base case may be more informative for MSAC and PBAC decision-making.</w:t>
            </w:r>
          </w:p>
          <w:p w14:paraId="5CCA80C3" w14:textId="72244B5D" w:rsidR="001769C0" w:rsidRPr="000D7644" w:rsidRDefault="008F5246" w:rsidP="000D7644">
            <w:pPr>
              <w:pStyle w:val="ListParagraph"/>
              <w:numPr>
                <w:ilvl w:val="0"/>
                <w:numId w:val="16"/>
              </w:numPr>
              <w:spacing w:before="0" w:line="256" w:lineRule="auto"/>
              <w:jc w:val="left"/>
              <w:rPr>
                <w:rStyle w:val="InstructionalTextChar"/>
                <w:rFonts w:ascii="Franklin Gothic Book" w:hAnsi="Franklin Gothic Book"/>
                <w:b w:val="0"/>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 xml:space="preserve">The cost of testing did not </w:t>
            </w:r>
            <w:proofErr w:type="gramStart"/>
            <w:r w:rsidRPr="00431CF2">
              <w:rPr>
                <w:rStyle w:val="InstructionalTextChar"/>
                <w:rFonts w:ascii="Franklin Gothic Book" w:hAnsi="Franklin Gothic Book"/>
                <w:b w:val="0"/>
                <w:color w:val="0D0D0D" w:themeColor="text1" w:themeTint="F2"/>
                <w:sz w:val="22"/>
                <w:lang w:val="en-AU"/>
              </w:rPr>
              <w:t>take into account</w:t>
            </w:r>
            <w:proofErr w:type="gramEnd"/>
            <w:r w:rsidRPr="00431CF2">
              <w:rPr>
                <w:rStyle w:val="InstructionalTextChar"/>
                <w:rFonts w:ascii="Franklin Gothic Book" w:hAnsi="Franklin Gothic Book"/>
                <w:b w:val="0"/>
                <w:color w:val="0D0D0D" w:themeColor="text1" w:themeTint="F2"/>
                <w:sz w:val="22"/>
                <w:lang w:val="en-AU"/>
              </w:rPr>
              <w:t xml:space="preserve"> the potential increase in the population receiving </w:t>
            </w:r>
            <w:r w:rsidRPr="00431CF2">
              <w:rPr>
                <w:rStyle w:val="InstructionalTextChar"/>
                <w:rFonts w:ascii="Franklin Gothic Book" w:hAnsi="Franklin Gothic Book"/>
                <w:b w:val="0"/>
                <w:i/>
                <w:color w:val="0D0D0D" w:themeColor="text1" w:themeTint="F2"/>
                <w:sz w:val="22"/>
                <w:lang w:val="en-AU"/>
              </w:rPr>
              <w:t>IDH1</w:t>
            </w:r>
            <w:r w:rsidRPr="00431CF2">
              <w:rPr>
                <w:rStyle w:val="InstructionalTextChar"/>
                <w:rFonts w:ascii="Franklin Gothic Book" w:hAnsi="Franklin Gothic Book"/>
                <w:b w:val="0"/>
                <w:color w:val="0D0D0D" w:themeColor="text1" w:themeTint="F2"/>
                <w:sz w:val="22"/>
                <w:lang w:val="en-AU"/>
              </w:rPr>
              <w:t xml:space="preserve"> testing if ‘diagnostic expansion’ occurs due to difficulty in clinically distinguishing CCA from carcinoma of unknown primary site, pancreatic carcinoma, and liver metastases of primary tumours located elsewhere.</w:t>
            </w:r>
          </w:p>
          <w:p w14:paraId="66A4915B" w14:textId="77777777" w:rsidR="008F5246" w:rsidRPr="00431CF2" w:rsidRDefault="008F5246" w:rsidP="002A3EBF">
            <w:pPr>
              <w:rPr>
                <w:rFonts w:ascii="Franklin Gothic Book" w:hAnsi="Franklin Gothic Book" w:cstheme="minorHAnsi"/>
                <w:b w:val="0"/>
                <w:color w:val="0D0D0D" w:themeColor="text1" w:themeTint="F2"/>
                <w:sz w:val="22"/>
                <w:lang w:val="en-AU"/>
              </w:rPr>
            </w:pPr>
            <w:r w:rsidRPr="00431CF2">
              <w:rPr>
                <w:rFonts w:ascii="Franklin Gothic Book" w:hAnsi="Franklin Gothic Book" w:cstheme="minorHAnsi"/>
                <w:color w:val="0D0D0D" w:themeColor="text1" w:themeTint="F2"/>
                <w:sz w:val="22"/>
                <w:lang w:val="en-AU"/>
              </w:rPr>
              <w:t>Financial issues</w:t>
            </w:r>
          </w:p>
          <w:p w14:paraId="52692F4B" w14:textId="77777777" w:rsidR="008F5246" w:rsidRPr="00431CF2" w:rsidRDefault="008F5246" w:rsidP="00431CF2">
            <w:pPr>
              <w:pStyle w:val="InstructionBulletpoint"/>
              <w:numPr>
                <w:ilvl w:val="0"/>
                <w:numId w:val="17"/>
              </w:numPr>
              <w:rPr>
                <w:rStyle w:val="InstructionalTextChar"/>
                <w:rFonts w:ascii="Franklin Gothic Book" w:hAnsi="Franklin Gothic Book"/>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The submission overestimated the number of patients likely to be treated with ivosidenib, however</w:t>
            </w:r>
            <w:r w:rsidRPr="00431CF2" w:rsidDel="008A25D8">
              <w:rPr>
                <w:rStyle w:val="InstructionalTextChar"/>
                <w:rFonts w:ascii="Franklin Gothic Book" w:hAnsi="Franklin Gothic Book"/>
                <w:b w:val="0"/>
                <w:color w:val="0D0D0D" w:themeColor="text1" w:themeTint="F2"/>
                <w:sz w:val="22"/>
                <w:lang w:val="en-AU"/>
              </w:rPr>
              <w:t xml:space="preserve"> </w:t>
            </w:r>
            <w:r w:rsidRPr="00431CF2">
              <w:rPr>
                <w:rStyle w:val="InstructionalTextChar"/>
                <w:rFonts w:ascii="Franklin Gothic Book" w:hAnsi="Franklin Gothic Book"/>
                <w:b w:val="0"/>
                <w:color w:val="0D0D0D" w:themeColor="text1" w:themeTint="F2"/>
                <w:sz w:val="22"/>
                <w:lang w:val="en-AU"/>
              </w:rPr>
              <w:t>the commentary’s suggestions for revising the financial analysis were reasonable, and were accepted by the applicant in its pre-ESC response.</w:t>
            </w:r>
          </w:p>
          <w:p w14:paraId="284824EB" w14:textId="77777777" w:rsidR="008F5246" w:rsidRPr="00431CF2" w:rsidRDefault="008F5246" w:rsidP="00431CF2">
            <w:pPr>
              <w:pStyle w:val="InstructionBulletpoint"/>
              <w:numPr>
                <w:ilvl w:val="0"/>
                <w:numId w:val="17"/>
              </w:numPr>
              <w:rPr>
                <w:rStyle w:val="InstructionalTextChar"/>
                <w:rFonts w:ascii="Franklin Gothic Book" w:hAnsi="Franklin Gothic Book"/>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 xml:space="preserve">If ‘diagnostic expansion’ occurs, then the service utilisation estimates and cost to the MBS would be higher than estimated. </w:t>
            </w:r>
          </w:p>
          <w:p w14:paraId="72BD0896" w14:textId="77777777" w:rsidR="008F5246" w:rsidRPr="00431CF2" w:rsidRDefault="008F5246" w:rsidP="000D7644">
            <w:pPr>
              <w:pStyle w:val="InstructionBulletpoint"/>
              <w:numPr>
                <w:ilvl w:val="0"/>
                <w:numId w:val="17"/>
              </w:numPr>
              <w:spacing w:after="0"/>
              <w:rPr>
                <w:rFonts w:ascii="Franklin Gothic Book" w:hAnsi="Franklin Gothic Book"/>
                <w:color w:val="0D0D0D" w:themeColor="text1" w:themeTint="F2"/>
                <w:sz w:val="22"/>
                <w:lang w:val="en-AU"/>
              </w:rPr>
            </w:pPr>
            <w:r w:rsidRPr="00431CF2">
              <w:rPr>
                <w:rStyle w:val="InstructionalTextChar"/>
                <w:rFonts w:ascii="Franklin Gothic Book" w:hAnsi="Franklin Gothic Book"/>
                <w:b w:val="0"/>
                <w:color w:val="0D0D0D" w:themeColor="text1" w:themeTint="F2"/>
                <w:sz w:val="22"/>
                <w:lang w:val="en-AU"/>
              </w:rPr>
              <w:t xml:space="preserve">The proposed MBS fee ($340) aligns with </w:t>
            </w:r>
            <w:r w:rsidRPr="00431CF2">
              <w:rPr>
                <w:rStyle w:val="InstructionalTextChar"/>
                <w:rFonts w:ascii="Franklin Gothic Book" w:hAnsi="Franklin Gothic Book"/>
                <w:b w:val="0"/>
                <w:i/>
                <w:color w:val="0D0D0D" w:themeColor="text1" w:themeTint="F2"/>
                <w:sz w:val="22"/>
                <w:lang w:val="en-AU"/>
              </w:rPr>
              <w:t>IDH1</w:t>
            </w:r>
            <w:r w:rsidRPr="00431CF2">
              <w:rPr>
                <w:rStyle w:val="InstructionalTextChar"/>
                <w:rFonts w:ascii="Franklin Gothic Book" w:hAnsi="Franklin Gothic Book"/>
                <w:b w:val="0"/>
                <w:color w:val="0D0D0D" w:themeColor="text1" w:themeTint="F2"/>
                <w:sz w:val="22"/>
                <w:lang w:val="en-AU"/>
              </w:rPr>
              <w:t xml:space="preserve"> testing in glioma (MBS item 73372), however there is broader inconsistency in the</w:t>
            </w:r>
            <w:r w:rsidRPr="00431CF2">
              <w:rPr>
                <w:rStyle w:val="InstructionalTextChar"/>
                <w:rFonts w:ascii="Franklin Gothic Book" w:hAnsi="Franklin Gothic Book"/>
                <w:sz w:val="22"/>
              </w:rPr>
              <w:t xml:space="preserve"> </w:t>
            </w:r>
            <w:r w:rsidRPr="00431CF2">
              <w:rPr>
                <w:rStyle w:val="InstructionalTextChar"/>
                <w:rFonts w:ascii="Franklin Gothic Book" w:hAnsi="Franklin Gothic Book"/>
                <w:b w:val="0"/>
                <w:color w:val="0D0D0D" w:themeColor="text1" w:themeTint="F2"/>
                <w:sz w:val="22"/>
                <w:lang w:val="en-AU"/>
              </w:rPr>
              <w:t xml:space="preserve">MBS fees of comparable items (e.g., $362.60 for </w:t>
            </w:r>
            <w:r w:rsidRPr="00431CF2">
              <w:rPr>
                <w:rStyle w:val="InstructionalTextChar"/>
                <w:rFonts w:ascii="Franklin Gothic Book" w:hAnsi="Franklin Gothic Book"/>
                <w:b w:val="0"/>
                <w:i/>
                <w:color w:val="0D0D0D" w:themeColor="text1" w:themeTint="F2"/>
                <w:sz w:val="22"/>
                <w:lang w:val="en-AU"/>
              </w:rPr>
              <w:t>KRAS</w:t>
            </w:r>
            <w:r w:rsidRPr="00431CF2">
              <w:rPr>
                <w:rStyle w:val="InstructionalTextChar"/>
                <w:rFonts w:ascii="Franklin Gothic Book" w:hAnsi="Franklin Gothic Book"/>
                <w:b w:val="0"/>
                <w:color w:val="0D0D0D" w:themeColor="text1" w:themeTint="F2"/>
                <w:sz w:val="22"/>
                <w:lang w:val="en-AU"/>
              </w:rPr>
              <w:t xml:space="preserve"> in colorectal cancer (73338), and $397.35 for </w:t>
            </w:r>
            <w:r w:rsidRPr="00431CF2">
              <w:rPr>
                <w:rStyle w:val="InstructionalTextChar"/>
                <w:rFonts w:ascii="Franklin Gothic Book" w:hAnsi="Franklin Gothic Book"/>
                <w:b w:val="0"/>
                <w:i/>
                <w:color w:val="0D0D0D" w:themeColor="text1" w:themeTint="F2"/>
                <w:sz w:val="22"/>
                <w:lang w:val="en-AU"/>
              </w:rPr>
              <w:t>EGFR</w:t>
            </w:r>
            <w:r w:rsidRPr="00431CF2">
              <w:rPr>
                <w:rStyle w:val="InstructionalTextChar"/>
                <w:rFonts w:ascii="Franklin Gothic Book" w:hAnsi="Franklin Gothic Book"/>
                <w:b w:val="0"/>
                <w:color w:val="0D0D0D" w:themeColor="text1" w:themeTint="F2"/>
                <w:sz w:val="22"/>
                <w:lang w:val="en-AU"/>
              </w:rPr>
              <w:t xml:space="preserve"> in lung cancer (73337)). A comparable gene panel test including fusions and sequencing has a fee of $1247 (MBS item 73437). If the fee for </w:t>
            </w:r>
            <w:r w:rsidRPr="00431CF2">
              <w:rPr>
                <w:rStyle w:val="InstructionalTextChar"/>
                <w:rFonts w:ascii="Franklin Gothic Book" w:hAnsi="Franklin Gothic Book"/>
                <w:b w:val="0"/>
                <w:i/>
                <w:color w:val="0D0D0D" w:themeColor="text1" w:themeTint="F2"/>
                <w:sz w:val="22"/>
                <w:lang w:val="en-AU"/>
              </w:rPr>
              <w:t>IDH1</w:t>
            </w:r>
            <w:r w:rsidRPr="00431CF2">
              <w:rPr>
                <w:rStyle w:val="InstructionalTextChar"/>
                <w:rFonts w:ascii="Franklin Gothic Book" w:hAnsi="Franklin Gothic Book"/>
                <w:b w:val="0"/>
                <w:color w:val="0D0D0D" w:themeColor="text1" w:themeTint="F2"/>
                <w:sz w:val="22"/>
                <w:lang w:val="en-AU"/>
              </w:rPr>
              <w:t xml:space="preserve"> testing was increased, this</w:t>
            </w:r>
            <w:r w:rsidRPr="00431CF2" w:rsidDel="00E0244A">
              <w:rPr>
                <w:rStyle w:val="InstructionalTextChar"/>
                <w:rFonts w:ascii="Franklin Gothic Book" w:hAnsi="Franklin Gothic Book"/>
                <w:b w:val="0"/>
                <w:color w:val="0D0D0D" w:themeColor="text1" w:themeTint="F2"/>
                <w:sz w:val="22"/>
                <w:lang w:val="en-AU"/>
              </w:rPr>
              <w:t xml:space="preserve"> </w:t>
            </w:r>
            <w:r w:rsidRPr="00431CF2">
              <w:rPr>
                <w:rStyle w:val="InstructionalTextChar"/>
                <w:rFonts w:ascii="Franklin Gothic Book" w:hAnsi="Franklin Gothic Book"/>
                <w:b w:val="0"/>
                <w:color w:val="0D0D0D" w:themeColor="text1" w:themeTint="F2"/>
                <w:sz w:val="22"/>
                <w:lang w:val="en-AU"/>
              </w:rPr>
              <w:t>would also increase the net financial cost to the MBS.</w:t>
            </w:r>
          </w:p>
        </w:tc>
      </w:tr>
      <w:tr w:rsidR="001769C0" w:rsidRPr="00431CF2" w14:paraId="563D3329" w14:textId="77777777" w:rsidTr="000D7644">
        <w:trPr>
          <w:trHeight w:val="130"/>
        </w:trPr>
        <w:tc>
          <w:tcPr>
            <w:tcW w:w="9242" w:type="dxa"/>
            <w:shd w:val="clear" w:color="auto" w:fill="auto"/>
          </w:tcPr>
          <w:p w14:paraId="4676CA57" w14:textId="77777777" w:rsidR="001769C0" w:rsidRPr="00431CF2" w:rsidRDefault="001769C0" w:rsidP="002A3EBF">
            <w:pPr>
              <w:rPr>
                <w:rFonts w:ascii="Franklin Gothic Book" w:hAnsi="Franklin Gothic Book" w:cstheme="minorHAnsi"/>
                <w:color w:val="0D0D0D" w:themeColor="text1" w:themeTint="F2"/>
                <w:sz w:val="22"/>
              </w:rPr>
            </w:pPr>
          </w:p>
        </w:tc>
      </w:tr>
    </w:tbl>
    <w:p w14:paraId="20937833" w14:textId="30DBE475" w:rsidR="008F5246" w:rsidRPr="00431CF2" w:rsidRDefault="008F5246" w:rsidP="008F5246">
      <w:pPr>
        <w:keepNext/>
        <w:spacing w:before="240"/>
        <w:outlineLvl w:val="1"/>
        <w:rPr>
          <w:rFonts w:ascii="Franklin Gothic Book" w:hAnsi="Franklin Gothic Book" w:cs="Arial"/>
          <w:b/>
          <w:bCs/>
          <w:iCs/>
          <w:sz w:val="22"/>
          <w:lang w:eastAsia="en-AU"/>
        </w:rPr>
      </w:pPr>
      <w:r w:rsidRPr="00431CF2">
        <w:rPr>
          <w:rFonts w:ascii="Franklin Gothic Book" w:hAnsi="Franklin Gothic Book" w:cs="Arial"/>
          <w:b/>
          <w:bCs/>
          <w:iCs/>
          <w:sz w:val="22"/>
          <w:lang w:eastAsia="en-AU"/>
        </w:rPr>
        <w:t>ESCs discussion</w:t>
      </w:r>
    </w:p>
    <w:p w14:paraId="54770AD4"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that the integrated codependent application sought Medicare Benefits Schedule (MBS) listing </w:t>
      </w:r>
      <w:r w:rsidRPr="00431CF2">
        <w:rPr>
          <w:rFonts w:cstheme="minorHAnsi"/>
          <w:i/>
          <w:color w:val="auto"/>
        </w:rPr>
        <w:t>of isocitrate dehydrogenase 1 (IDH1)</w:t>
      </w:r>
      <w:r w:rsidRPr="00431CF2">
        <w:rPr>
          <w:rFonts w:cstheme="minorHAnsi"/>
          <w:color w:val="auto"/>
        </w:rPr>
        <w:t xml:space="preserve"> testing for the evaluation of tier I IDH1 p.R132X variants to determine eligibility for ivosidenib on the Pharmaceutical Benefits Scheme (PBS) for treatment of patients with cholangiocarcinoma (CCA).</w:t>
      </w:r>
    </w:p>
    <w:p w14:paraId="75E739BC"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The ESCs noted CCA is adenocarcinoma of the bile ducts, and it is comprised of a variety of different tumours. The bile ducts are microscopic ducts in the liver that branch and join into bigger ducts to drain bile out of the liver. The duct is joined by the cystic duct out of the gall bladder merging with pancreatic duct in the pancreas to ultimately drain bile to the gastrointestinal tract into the duodenum. CCAs can occur in any of these sites from within the liver to where the bile duct drains through the pancreas into the duodenum. CCAs occurring in the liver arising from the microscopic bile ducts are classified as intrahepatic cholangiocarcinoma (</w:t>
      </w:r>
      <w:proofErr w:type="spellStart"/>
      <w:r w:rsidRPr="00431CF2">
        <w:rPr>
          <w:rFonts w:cstheme="minorHAnsi"/>
          <w:color w:val="auto"/>
        </w:rPr>
        <w:t>iCCA</w:t>
      </w:r>
      <w:proofErr w:type="spellEnd"/>
      <w:r w:rsidRPr="00431CF2">
        <w:rPr>
          <w:rFonts w:cstheme="minorHAnsi"/>
          <w:color w:val="auto"/>
        </w:rPr>
        <w:t>), and those occurring in the perihilar (</w:t>
      </w:r>
      <w:proofErr w:type="spellStart"/>
      <w:r w:rsidRPr="00431CF2">
        <w:rPr>
          <w:rFonts w:cstheme="minorHAnsi"/>
          <w:color w:val="auto"/>
        </w:rPr>
        <w:t>pCCA</w:t>
      </w:r>
      <w:proofErr w:type="spellEnd"/>
      <w:r w:rsidRPr="00431CF2">
        <w:rPr>
          <w:rFonts w:cstheme="minorHAnsi"/>
          <w:color w:val="auto"/>
        </w:rPr>
        <w:t>), or distal portions of the biliary tract (</w:t>
      </w:r>
      <w:proofErr w:type="spellStart"/>
      <w:r w:rsidRPr="00431CF2">
        <w:rPr>
          <w:rFonts w:cstheme="minorHAnsi"/>
          <w:color w:val="auto"/>
        </w:rPr>
        <w:t>dCCA</w:t>
      </w:r>
      <w:proofErr w:type="spellEnd"/>
      <w:r w:rsidRPr="00431CF2">
        <w:rPr>
          <w:rFonts w:cstheme="minorHAnsi"/>
          <w:color w:val="auto"/>
        </w:rPr>
        <w:t>) are classified as extrahepatic cholangiocarcinoma (</w:t>
      </w:r>
      <w:proofErr w:type="spellStart"/>
      <w:r w:rsidRPr="00431CF2">
        <w:rPr>
          <w:rFonts w:cstheme="minorHAnsi"/>
          <w:color w:val="auto"/>
        </w:rPr>
        <w:t>eCCA</w:t>
      </w:r>
      <w:proofErr w:type="spellEnd"/>
      <w:r w:rsidRPr="00431CF2">
        <w:rPr>
          <w:rFonts w:cstheme="minorHAnsi"/>
          <w:color w:val="auto"/>
        </w:rPr>
        <w:t xml:space="preserve">). The ESCs noted that CCAs can harbour a range of genetic alterations, some of which have actionable targets (although the relevant treatment may not be registered in Australia or funded). The majority of tumours that are potentially treatable with targeted therapies lie within the intrahepatic zone, that is, they are intrahepatic </w:t>
      </w:r>
      <w:proofErr w:type="spellStart"/>
      <w:r w:rsidRPr="00431CF2">
        <w:rPr>
          <w:rFonts w:cstheme="minorHAnsi"/>
          <w:color w:val="auto"/>
        </w:rPr>
        <w:t>cholangiocarcinomas</w:t>
      </w:r>
      <w:proofErr w:type="spellEnd"/>
      <w:r w:rsidRPr="00431CF2">
        <w:rPr>
          <w:rFonts w:cstheme="minorHAnsi"/>
          <w:color w:val="auto"/>
        </w:rPr>
        <w:t xml:space="preserve"> (</w:t>
      </w:r>
      <w:proofErr w:type="spellStart"/>
      <w:r w:rsidRPr="00431CF2">
        <w:rPr>
          <w:rFonts w:cstheme="minorHAnsi"/>
          <w:color w:val="auto"/>
        </w:rPr>
        <w:t>iCCA</w:t>
      </w:r>
      <w:proofErr w:type="spellEnd"/>
      <w:r w:rsidRPr="00431CF2">
        <w:rPr>
          <w:rFonts w:cstheme="minorHAnsi"/>
          <w:color w:val="auto"/>
        </w:rPr>
        <w:t xml:space="preserve">). Up to 40% of </w:t>
      </w:r>
      <w:proofErr w:type="spellStart"/>
      <w:r w:rsidRPr="00431CF2">
        <w:rPr>
          <w:rFonts w:cstheme="minorHAnsi"/>
          <w:color w:val="auto"/>
        </w:rPr>
        <w:t>iCCA</w:t>
      </w:r>
      <w:proofErr w:type="spellEnd"/>
      <w:r w:rsidRPr="00431CF2">
        <w:rPr>
          <w:rFonts w:cstheme="minorHAnsi"/>
          <w:color w:val="auto"/>
        </w:rPr>
        <w:t xml:space="preserve"> will have potentially treatable targets identified by molecular testing and of these, the </w:t>
      </w:r>
      <w:r w:rsidRPr="00431CF2">
        <w:rPr>
          <w:rFonts w:cstheme="minorHAnsi"/>
          <w:i/>
          <w:color w:val="auto"/>
        </w:rPr>
        <w:t xml:space="preserve">IDH1 </w:t>
      </w:r>
      <w:r w:rsidRPr="00431CF2">
        <w:rPr>
          <w:rFonts w:cstheme="minorHAnsi"/>
          <w:color w:val="auto"/>
        </w:rPr>
        <w:t xml:space="preserve">variants are most common. </w:t>
      </w:r>
      <w:r w:rsidRPr="00431CF2">
        <w:rPr>
          <w:rFonts w:cstheme="minorHAnsi"/>
          <w:i/>
          <w:iCs/>
          <w:color w:val="auto"/>
        </w:rPr>
        <w:t>IDH1</w:t>
      </w:r>
      <w:r w:rsidRPr="00431CF2">
        <w:rPr>
          <w:rFonts w:cstheme="minorHAnsi"/>
          <w:color w:val="auto"/>
        </w:rPr>
        <w:t xml:space="preserve"> variants occur in ~20% of </w:t>
      </w:r>
      <w:proofErr w:type="spellStart"/>
      <w:r w:rsidRPr="00431CF2">
        <w:rPr>
          <w:rFonts w:cstheme="minorHAnsi"/>
          <w:color w:val="auto"/>
        </w:rPr>
        <w:t>iCCAs</w:t>
      </w:r>
      <w:proofErr w:type="spellEnd"/>
      <w:r w:rsidRPr="00431CF2">
        <w:rPr>
          <w:rFonts w:cstheme="minorHAnsi"/>
          <w:color w:val="auto"/>
        </w:rPr>
        <w:t xml:space="preserve">. However </w:t>
      </w:r>
      <w:r w:rsidRPr="00431CF2">
        <w:rPr>
          <w:rFonts w:cstheme="minorHAnsi"/>
          <w:i/>
          <w:iCs/>
          <w:color w:val="auto"/>
        </w:rPr>
        <w:t>IDH1</w:t>
      </w:r>
      <w:r w:rsidRPr="00431CF2">
        <w:rPr>
          <w:rFonts w:cstheme="minorHAnsi"/>
          <w:color w:val="auto"/>
        </w:rPr>
        <w:t xml:space="preserve"> variants are relatively rare in </w:t>
      </w:r>
      <w:proofErr w:type="spellStart"/>
      <w:r w:rsidRPr="00431CF2">
        <w:rPr>
          <w:rFonts w:cstheme="minorHAnsi"/>
          <w:color w:val="auto"/>
        </w:rPr>
        <w:t>cholangiocarcinomas</w:t>
      </w:r>
      <w:proofErr w:type="spellEnd"/>
      <w:r w:rsidRPr="00431CF2">
        <w:rPr>
          <w:rFonts w:cstheme="minorHAnsi"/>
          <w:color w:val="auto"/>
        </w:rPr>
        <w:t xml:space="preserve"> occurring outside the liver (0 to 3%). The ESCs noted while it could be argued to restrict testing to </w:t>
      </w:r>
      <w:proofErr w:type="spellStart"/>
      <w:r w:rsidRPr="00431CF2">
        <w:rPr>
          <w:rFonts w:cstheme="minorHAnsi"/>
          <w:color w:val="auto"/>
        </w:rPr>
        <w:t>iCCA</w:t>
      </w:r>
      <w:proofErr w:type="spellEnd"/>
      <w:r w:rsidRPr="00431CF2">
        <w:rPr>
          <w:rFonts w:cstheme="minorHAnsi"/>
          <w:color w:val="auto"/>
        </w:rPr>
        <w:t xml:space="preserve"> as the highest incidence of </w:t>
      </w:r>
      <w:r w:rsidRPr="00431CF2">
        <w:rPr>
          <w:rFonts w:cstheme="minorHAnsi"/>
          <w:i/>
          <w:color w:val="auto"/>
        </w:rPr>
        <w:t>IDH1</w:t>
      </w:r>
      <w:r w:rsidRPr="00431CF2">
        <w:rPr>
          <w:rFonts w:cstheme="minorHAnsi"/>
          <w:color w:val="auto"/>
        </w:rPr>
        <w:t xml:space="preserve"> alterations occurs in the intrahepatic region, it considered that it was reasonable to include all CCA subtypes as they can be very difficult to distinguish in clinical practice. </w:t>
      </w:r>
    </w:p>
    <w:p w14:paraId="429ECF84" w14:textId="128E3A8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that in clinical practice in diagnostic pathology, CCA is considered a diagnosis of exclusion and a reasonable amount of clinical work-up (usually immunohistochemistry) is required </w:t>
      </w:r>
      <w:r w:rsidRPr="00431CF2">
        <w:rPr>
          <w:rFonts w:cstheme="minorHAnsi"/>
          <w:color w:val="auto"/>
        </w:rPr>
        <w:lastRenderedPageBreak/>
        <w:t>for cases of adenocarcinoma in the liver to exclude metastasis from elsewhere before suggesting a CCA diagnosis. The ESCs noted that carcinoma of unknown primary (CUP)</w:t>
      </w:r>
      <w:r w:rsidR="00A77B46">
        <w:rPr>
          <w:rFonts w:cstheme="minorHAnsi"/>
          <w:color w:val="auto"/>
        </w:rPr>
        <w:t xml:space="preserve"> </w:t>
      </w:r>
      <w:r w:rsidR="00A77B46" w:rsidRPr="00431CF2">
        <w:rPr>
          <w:rFonts w:cstheme="minorHAnsi"/>
          <w:color w:val="auto"/>
        </w:rPr>
        <w:t>site</w:t>
      </w:r>
      <w:r w:rsidRPr="00431CF2">
        <w:rPr>
          <w:rFonts w:cstheme="minorHAnsi"/>
          <w:color w:val="auto"/>
        </w:rPr>
        <w:t xml:space="preserve"> is often clinically challenging to diagnose as it commonly has a gene expression profile similar to that of CCA and may present in the liver. The ESCs considered it was highly likely that the proposed </w:t>
      </w:r>
      <w:r w:rsidRPr="00431CF2">
        <w:rPr>
          <w:rFonts w:cstheme="minorHAnsi"/>
          <w:i/>
          <w:color w:val="auto"/>
        </w:rPr>
        <w:t>IDH1</w:t>
      </w:r>
      <w:r w:rsidRPr="00431CF2">
        <w:rPr>
          <w:rFonts w:cstheme="minorHAnsi"/>
          <w:color w:val="auto"/>
        </w:rPr>
        <w:t xml:space="preserve"> variant testing would be used in CUP cases to make an appropriate diagnosis. In addition, the ESCs noted the difficulty in distinguishing CCA of the distal common bile duct from the much more common pancreatic carcinoma. It is also common </w:t>
      </w:r>
      <w:r w:rsidRPr="00431CF2">
        <w:rPr>
          <w:rFonts w:cstheme="minorHAnsi"/>
          <w:color w:val="auto"/>
          <w:lang w:val="en-US"/>
        </w:rPr>
        <w:t xml:space="preserve">for pancreatic cancer to present with liver metastasis, and it is the metastasis that is biopsied and thought to be of ‘pancreaticobiliary origin’. </w:t>
      </w:r>
      <w:r w:rsidRPr="00431CF2">
        <w:rPr>
          <w:rFonts w:cstheme="minorHAnsi"/>
          <w:color w:val="auto"/>
        </w:rPr>
        <w:t xml:space="preserve">The ESCs considered that there would be a desire to use this MBS item to access testing when the primary tumour site was unclear, resulting in ‘diagnostic expansion’ </w:t>
      </w:r>
      <w:r w:rsidRPr="00431CF2">
        <w:rPr>
          <w:rFonts w:cstheme="minorHAnsi"/>
          <w:color w:val="auto"/>
          <w:lang w:val="en-US"/>
        </w:rPr>
        <w:t xml:space="preserve">which </w:t>
      </w:r>
      <w:r w:rsidRPr="00431CF2">
        <w:rPr>
          <w:rFonts w:cstheme="minorHAnsi"/>
          <w:color w:val="auto"/>
        </w:rPr>
        <w:t>may potentially lead to significantly larger population and higher testing volumes than had been estimated. The ESCs considered that listing this testing could potentially result in more diagnostic tests, including repeat core biopsies. The ESCs anticipated that diagnostic expansion would also result in an apparent increased incidence of CCA in Australia, if incidence were estimated based on service volumes of this testing.</w:t>
      </w:r>
    </w:p>
    <w:p w14:paraId="618BDC49"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and welcomed consultation input from two (2) consumer organisations and four (4) individuals, all of whom were specialists. </w:t>
      </w:r>
    </w:p>
    <w:p w14:paraId="4D8EB47C"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the </w:t>
      </w:r>
      <w:proofErr w:type="spellStart"/>
      <w:r w:rsidRPr="00431CF2">
        <w:rPr>
          <w:rFonts w:cstheme="minorHAnsi"/>
          <w:color w:val="auto"/>
        </w:rPr>
        <w:t>Pancare</w:t>
      </w:r>
      <w:proofErr w:type="spellEnd"/>
      <w:r w:rsidRPr="00431CF2">
        <w:rPr>
          <w:rFonts w:cstheme="minorHAnsi"/>
          <w:color w:val="auto"/>
        </w:rPr>
        <w:t xml:space="preserve"> Foundation highlighted that patients with CCA have limited access to first line therapies, many of which come with adverse side effects leaving patients with a low quality of life. Thus, patients would benefit from a test to detect </w:t>
      </w:r>
      <w:r w:rsidRPr="00431CF2">
        <w:rPr>
          <w:rFonts w:cstheme="minorHAnsi"/>
          <w:i/>
          <w:color w:val="auto"/>
        </w:rPr>
        <w:t>IDH1</w:t>
      </w:r>
      <w:r w:rsidRPr="00431CF2">
        <w:rPr>
          <w:rFonts w:cstheme="minorHAnsi"/>
          <w:color w:val="auto"/>
        </w:rPr>
        <w:t xml:space="preserve"> variants that would determine eligibility for ivosidenib. Patients living with rare and low-survival cancers such as cholangiocarcinoma, often experience high levels of financial toxicity and out-of-pocket costs including dietician and dietary supplements, physiotherapy services, psychological services, diagnostic testing and medication costs. Access to psychological support is also deemed beneficial for these patients. The ESCs noted specialist comment about the benefit of the test for </w:t>
      </w:r>
      <w:r w:rsidRPr="00431CF2">
        <w:rPr>
          <w:rFonts w:cstheme="minorHAnsi"/>
          <w:i/>
          <w:color w:val="auto"/>
        </w:rPr>
        <w:t xml:space="preserve">IDH1 </w:t>
      </w:r>
      <w:r w:rsidRPr="00431CF2">
        <w:rPr>
          <w:rFonts w:cstheme="minorHAnsi"/>
          <w:color w:val="auto"/>
        </w:rPr>
        <w:t>that</w:t>
      </w:r>
      <w:r w:rsidRPr="00431CF2">
        <w:rPr>
          <w:rFonts w:cstheme="minorHAnsi"/>
          <w:i/>
          <w:color w:val="auto"/>
        </w:rPr>
        <w:t xml:space="preserve"> </w:t>
      </w:r>
      <w:r w:rsidRPr="00431CF2">
        <w:rPr>
          <w:rFonts w:cstheme="minorHAnsi"/>
          <w:color w:val="auto"/>
        </w:rPr>
        <w:t xml:space="preserve">included gaining access to targeted therapy and improving the quality of life for these patients. It would enable them to spend more time with their families and less time will be spent as inpatients in hospitals. Public funding meant more people would have access to the test and the treatment. Another specialist pathologist from a genomics laboratory stated targeted treatments for CCA offers superior results and the molecular test would assist to readily identify the </w:t>
      </w:r>
      <w:r w:rsidRPr="00431CF2">
        <w:rPr>
          <w:rFonts w:cstheme="minorHAnsi"/>
          <w:i/>
          <w:color w:val="auto"/>
        </w:rPr>
        <w:t>IDH1</w:t>
      </w:r>
      <w:r w:rsidRPr="00431CF2">
        <w:rPr>
          <w:rFonts w:cstheme="minorHAnsi"/>
          <w:color w:val="auto"/>
        </w:rPr>
        <w:t xml:space="preserve"> variants to help patients with a condition that has a very poor outlook. The feedback from Cholangiocarcinoma Foundation Australia stated that having access to ivosidenib could prolong disease-free time for patients and availability of the drug on the PBS would ensure it is more accessible while at the same time reducing financial burdens. The ESCs noted input from an oncologist with expertise in hepatobiliary cancers who stated that testing for </w:t>
      </w:r>
      <w:r w:rsidRPr="00431CF2">
        <w:rPr>
          <w:rFonts w:cstheme="minorHAnsi"/>
          <w:i/>
          <w:color w:val="auto"/>
        </w:rPr>
        <w:t>IDH1</w:t>
      </w:r>
      <w:r w:rsidRPr="00431CF2">
        <w:rPr>
          <w:rFonts w:cstheme="minorHAnsi"/>
          <w:color w:val="auto"/>
        </w:rPr>
        <w:t xml:space="preserve"> is best performed as early as possible as it offers options in treatments. In addition, ivosidenib is the new standard of care internationally and the only drawback of </w:t>
      </w:r>
      <w:r w:rsidRPr="00431CF2">
        <w:rPr>
          <w:rFonts w:cstheme="minorHAnsi"/>
          <w:i/>
          <w:color w:val="auto"/>
        </w:rPr>
        <w:t xml:space="preserve">IDH1 </w:t>
      </w:r>
      <w:r w:rsidRPr="00431CF2">
        <w:rPr>
          <w:rFonts w:cstheme="minorHAnsi"/>
          <w:color w:val="auto"/>
        </w:rPr>
        <w:t xml:space="preserve">testing is the cost and access limitations. The oncologist also stated that being able to access personalised therapy such as this would provide the patients with a sense of control, and testing should be done as an individual test or as part of a molecular panel. </w:t>
      </w:r>
    </w:p>
    <w:p w14:paraId="76AEDC53"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the clinical claim was that testing DNA from tumour tissue to detect an IDH1 p.R132X tier I variant, followed by targeted therapy with ivosidenib results in superior health outcomes compared to no testing and untargeted treatment/best supportive care in patients with locally advanced or metastatic CCAs. The ESCs noted that many common </w:t>
      </w:r>
      <w:r w:rsidRPr="00431CF2">
        <w:rPr>
          <w:rFonts w:cstheme="minorHAnsi"/>
          <w:i/>
          <w:color w:val="auto"/>
        </w:rPr>
        <w:t>IDH1</w:t>
      </w:r>
      <w:r w:rsidRPr="00431CF2">
        <w:rPr>
          <w:rFonts w:cstheme="minorHAnsi"/>
          <w:color w:val="auto"/>
        </w:rPr>
        <w:t xml:space="preserve"> variants in CCA occur at codon R132 (e.g., p.</w:t>
      </w:r>
      <w:r w:rsidRPr="00431CF2">
        <w:rPr>
          <w:rFonts w:cstheme="minorHAnsi"/>
          <w:color w:val="auto"/>
          <w:lang w:val="en-US"/>
        </w:rPr>
        <w:t xml:space="preserve">R132C, R132L, R132G, </w:t>
      </w:r>
      <w:r w:rsidRPr="00431CF2">
        <w:rPr>
          <w:rFonts w:cstheme="minorHAnsi"/>
          <w:color w:val="auto"/>
        </w:rPr>
        <w:t>R132H, R132S, and R132F),</w:t>
      </w:r>
      <w:r w:rsidRPr="00431CF2" w:rsidDel="009F0C7D">
        <w:rPr>
          <w:rFonts w:cstheme="minorHAnsi"/>
          <w:color w:val="auto"/>
        </w:rPr>
        <w:t xml:space="preserve"> </w:t>
      </w:r>
      <w:r w:rsidRPr="00431CF2">
        <w:rPr>
          <w:rFonts w:cstheme="minorHAnsi"/>
          <w:color w:val="auto"/>
        </w:rPr>
        <w:t xml:space="preserve">and so considered it was appropriate to test for </w:t>
      </w:r>
      <w:r w:rsidRPr="00431CF2">
        <w:rPr>
          <w:rFonts w:cstheme="minorHAnsi"/>
          <w:i/>
          <w:color w:val="auto"/>
        </w:rPr>
        <w:t xml:space="preserve">IDH1 </w:t>
      </w:r>
      <w:r w:rsidRPr="00431CF2">
        <w:rPr>
          <w:rFonts w:cstheme="minorHAnsi"/>
          <w:color w:val="auto"/>
        </w:rPr>
        <w:t>alterations at this specific locus</w:t>
      </w:r>
      <w:r w:rsidRPr="00431CF2">
        <w:rPr>
          <w:rFonts w:cstheme="minorHAnsi"/>
          <w:color w:val="auto"/>
          <w:lang w:val="en-US"/>
        </w:rPr>
        <w:t>.</w:t>
      </w:r>
    </w:p>
    <w:p w14:paraId="2D474FD8"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considered it was reasonable for the proposed MBS item to be pathologist-determinable as often biopsies obtained from these tumours are very minimal and making it pathologist-determinable to triage the tissue would streamline the process. Noting the low cure rate from surgery in patients with CCA, the ESCs considered testing early on was less likely to lead to wastage of tissue, although also noted testing at diagnosis would encompass the approximately 10-15% of </w:t>
      </w:r>
      <w:r w:rsidRPr="00431CF2">
        <w:rPr>
          <w:rFonts w:cstheme="minorHAnsi"/>
          <w:color w:val="auto"/>
        </w:rPr>
        <w:lastRenderedPageBreak/>
        <w:t>patients who do not progress to advanced disease. On balance, the ESCs considered testing at diagnosis (as proposed) was likely preferable. The ESCs noted that t</w:t>
      </w:r>
      <w:proofErr w:type="spellStart"/>
      <w:r w:rsidRPr="00431CF2">
        <w:rPr>
          <w:rFonts w:cstheme="minorHAnsi"/>
          <w:color w:val="auto"/>
          <w:lang w:val="en-GB"/>
        </w:rPr>
        <w:t>esting</w:t>
      </w:r>
      <w:proofErr w:type="spellEnd"/>
      <w:r w:rsidRPr="00431CF2">
        <w:rPr>
          <w:rFonts w:cstheme="minorHAnsi"/>
          <w:color w:val="auto"/>
          <w:lang w:val="en-GB"/>
        </w:rPr>
        <w:t xml:space="preserve"> can be performed on cytology samples (similar to samples as tested for lung cancer) although core biopsies may be more optimal for testing.</w:t>
      </w:r>
      <w:r w:rsidRPr="00431CF2">
        <w:rPr>
          <w:rFonts w:cstheme="minorHAnsi"/>
          <w:color w:val="auto"/>
        </w:rPr>
        <w:t xml:space="preserve">  </w:t>
      </w:r>
    </w:p>
    <w:p w14:paraId="23CED654"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that despite the proposed </w:t>
      </w:r>
      <w:r w:rsidRPr="00431CF2">
        <w:rPr>
          <w:rFonts w:cstheme="minorHAnsi"/>
          <w:i/>
          <w:color w:val="auto"/>
        </w:rPr>
        <w:t>IDH1</w:t>
      </w:r>
      <w:r w:rsidRPr="00431CF2">
        <w:rPr>
          <w:rFonts w:cstheme="minorHAnsi"/>
          <w:color w:val="auto"/>
        </w:rPr>
        <w:t xml:space="preserve"> testing only referring to a genetic test, the proposed item descriptor defined the biomarker in terms of the corresponding protein variant, and considered the use of protein nomenclature risked creating the misconception that the testing was of protein rather than nucleic acid. The ESCs also noted the proposed item descriptor included “tier I”, the standard nomenclature for classification of these somatic genetic variants. Whilst MSAC is committed to using internationally recognised genetics nomenclature, the ESCs considered that before the test is done, it will be known what genetic location (locus) is to be tested, but the classification of any variant detected would not be known. The ESCs therefore considered it would be more appropriate for the MBS item descriptor to describe the genetic biomarker to be tested without describing the result required for ivosidenib eligibility, i.e. “</w:t>
      </w:r>
      <w:r w:rsidRPr="00431CF2">
        <w:rPr>
          <w:rFonts w:cstheme="minorHAnsi"/>
          <w:i/>
          <w:color w:val="auto"/>
        </w:rPr>
        <w:t>IDH1</w:t>
      </w:r>
      <w:r w:rsidRPr="00431CF2">
        <w:rPr>
          <w:rFonts w:cstheme="minorHAnsi"/>
          <w:color w:val="auto"/>
        </w:rPr>
        <w:t xml:space="preserve"> variant status”. The ESCs considered </w:t>
      </w:r>
      <w:r w:rsidRPr="00431CF2" w:rsidDel="006171E8">
        <w:rPr>
          <w:rFonts w:cstheme="minorHAnsi"/>
          <w:color w:val="auto"/>
        </w:rPr>
        <w:t>the</w:t>
      </w:r>
      <w:r w:rsidRPr="00431CF2">
        <w:rPr>
          <w:rFonts w:cstheme="minorHAnsi"/>
          <w:color w:val="auto"/>
        </w:rPr>
        <w:t xml:space="preserve"> biomarker relevant to PBS treatment eligibility did not need to be included within the MBS item descriptor, and that it was acceptable for this to be defined under the PBS listing for ivosidenib.</w:t>
      </w:r>
    </w:p>
    <w:p w14:paraId="51012B95"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lang w:val="en-US"/>
        </w:rPr>
        <w:t xml:space="preserve">The ESCs noted </w:t>
      </w:r>
      <w:r w:rsidRPr="00431CF2">
        <w:rPr>
          <w:rFonts w:cstheme="minorHAnsi"/>
          <w:color w:val="auto"/>
        </w:rPr>
        <w:t xml:space="preserve">the proposed MBS fee for </w:t>
      </w:r>
      <w:r w:rsidRPr="00431CF2">
        <w:rPr>
          <w:rFonts w:cstheme="minorHAnsi"/>
          <w:i/>
          <w:color w:val="auto"/>
        </w:rPr>
        <w:t>IDH1</w:t>
      </w:r>
      <w:r w:rsidRPr="00431CF2">
        <w:rPr>
          <w:rFonts w:cstheme="minorHAnsi"/>
          <w:color w:val="auto"/>
        </w:rPr>
        <w:t xml:space="preserve"> variant testing was $340, the same fee as the current MBS item 73372 for </w:t>
      </w:r>
      <w:r w:rsidRPr="00431CF2">
        <w:rPr>
          <w:rFonts w:cstheme="minorHAnsi"/>
          <w:i/>
          <w:color w:val="auto"/>
        </w:rPr>
        <w:t>IDH1/2</w:t>
      </w:r>
      <w:r w:rsidRPr="00431CF2">
        <w:rPr>
          <w:rFonts w:cstheme="minorHAnsi"/>
          <w:color w:val="auto"/>
        </w:rPr>
        <w:t xml:space="preserve"> variant testing of tumour tissue from patients diagnosed with glioma or glioblastoma. The ESCs noted that other MBS listings of similar tests for </w:t>
      </w:r>
      <w:r w:rsidRPr="00431CF2">
        <w:rPr>
          <w:rFonts w:cstheme="minorHAnsi"/>
          <w:i/>
          <w:color w:val="auto"/>
        </w:rPr>
        <w:t>Ki-ras2 Kirsten rat sarcoma viral oncogene homolog (KRAS)</w:t>
      </w:r>
      <w:r w:rsidRPr="00431CF2">
        <w:rPr>
          <w:rFonts w:cstheme="minorHAnsi"/>
          <w:color w:val="auto"/>
        </w:rPr>
        <w:t xml:space="preserve"> testing in metastatic colorectal cancer (stage IV) (MBS item 73338, Fee </w:t>
      </w:r>
      <w:r w:rsidRPr="00431CF2">
        <w:rPr>
          <w:rFonts w:cstheme="minorHAnsi"/>
          <w:color w:val="auto"/>
          <w:lang w:val="en-US"/>
        </w:rPr>
        <w:t>$362.60)</w:t>
      </w:r>
      <w:r w:rsidRPr="00431CF2">
        <w:rPr>
          <w:rFonts w:cstheme="minorHAnsi"/>
          <w:color w:val="auto"/>
        </w:rPr>
        <w:t xml:space="preserve"> and </w:t>
      </w:r>
      <w:r w:rsidRPr="00431CF2">
        <w:rPr>
          <w:rFonts w:cstheme="minorHAnsi"/>
          <w:i/>
          <w:color w:val="auto"/>
        </w:rPr>
        <w:t>epidermal growth factor receptor</w:t>
      </w:r>
      <w:r w:rsidRPr="00431CF2">
        <w:rPr>
          <w:rFonts w:cstheme="minorHAnsi"/>
          <w:color w:val="auto"/>
        </w:rPr>
        <w:t xml:space="preserve"> (</w:t>
      </w:r>
      <w:r w:rsidRPr="00431CF2">
        <w:rPr>
          <w:rFonts w:cstheme="minorHAnsi"/>
          <w:i/>
          <w:color w:val="auto"/>
        </w:rPr>
        <w:t>EGFR</w:t>
      </w:r>
      <w:r w:rsidRPr="00431CF2">
        <w:rPr>
          <w:rFonts w:cstheme="minorHAnsi"/>
          <w:color w:val="auto"/>
        </w:rPr>
        <w:t>) testing in non</w:t>
      </w:r>
      <w:r w:rsidRPr="00431CF2">
        <w:rPr>
          <w:rFonts w:ascii="Cambria Math" w:hAnsi="Cambria Math" w:cs="Cambria Math"/>
          <w:color w:val="auto"/>
        </w:rPr>
        <w:t>‑</w:t>
      </w:r>
      <w:r w:rsidRPr="00431CF2">
        <w:rPr>
          <w:rFonts w:cstheme="minorHAnsi"/>
          <w:color w:val="auto"/>
        </w:rPr>
        <w:t xml:space="preserve">small cell lung cancer (MBS item 73337, Fee </w:t>
      </w:r>
      <w:r w:rsidRPr="00431CF2">
        <w:rPr>
          <w:rFonts w:cstheme="minorHAnsi"/>
          <w:color w:val="auto"/>
          <w:lang w:val="en-US"/>
        </w:rPr>
        <w:t>$397.35)</w:t>
      </w:r>
      <w:r w:rsidRPr="00431CF2">
        <w:rPr>
          <w:rFonts w:cstheme="minorHAnsi"/>
          <w:color w:val="auto"/>
        </w:rPr>
        <w:t xml:space="preserve"> have higher fees than the proposed </w:t>
      </w:r>
      <w:r w:rsidRPr="00431CF2">
        <w:rPr>
          <w:rFonts w:cstheme="minorHAnsi"/>
          <w:i/>
          <w:color w:val="auto"/>
        </w:rPr>
        <w:t xml:space="preserve">IDH1 </w:t>
      </w:r>
      <w:r w:rsidRPr="00431CF2">
        <w:rPr>
          <w:rFonts w:cstheme="minorHAnsi"/>
          <w:color w:val="auto"/>
        </w:rPr>
        <w:t xml:space="preserve">single gene testing. The ESCs questioned the inconsistency of currently listed MBS fees for similar tests, and noted that if the fee for </w:t>
      </w:r>
      <w:r w:rsidRPr="00431CF2">
        <w:rPr>
          <w:rFonts w:cstheme="minorHAnsi"/>
          <w:i/>
          <w:color w:val="auto"/>
        </w:rPr>
        <w:t xml:space="preserve">IDH1 </w:t>
      </w:r>
      <w:r w:rsidRPr="00431CF2">
        <w:rPr>
          <w:rFonts w:cstheme="minorHAnsi"/>
          <w:color w:val="auto"/>
        </w:rPr>
        <w:t xml:space="preserve">variant testing was increased from the $340 aligning with other </w:t>
      </w:r>
      <w:r w:rsidRPr="00431CF2">
        <w:rPr>
          <w:rFonts w:cstheme="minorHAnsi"/>
          <w:i/>
          <w:color w:val="auto"/>
        </w:rPr>
        <w:t xml:space="preserve">IDH1 </w:t>
      </w:r>
      <w:r w:rsidRPr="00431CF2">
        <w:rPr>
          <w:rFonts w:cstheme="minorHAnsi"/>
          <w:color w:val="auto"/>
        </w:rPr>
        <w:t>testing to instead align with the MBS fees for other comparable single gene tests then this would increase the cost of testing and reduce its cost-effectiveness.</w:t>
      </w:r>
    </w:p>
    <w:p w14:paraId="34F1CF84" w14:textId="77777777" w:rsidR="008F5246" w:rsidRPr="00431CF2" w:rsidRDefault="008F5246" w:rsidP="008F5246">
      <w:pPr>
        <w:pStyle w:val="Instructionaltext-bullet"/>
        <w:numPr>
          <w:ilvl w:val="0"/>
          <w:numId w:val="0"/>
        </w:numPr>
        <w:spacing w:before="120"/>
        <w:jc w:val="both"/>
        <w:rPr>
          <w:rFonts w:cstheme="minorHAnsi"/>
          <w:color w:val="auto"/>
        </w:rPr>
      </w:pPr>
      <w:r w:rsidRPr="00431CF2">
        <w:rPr>
          <w:rFonts w:cstheme="minorHAnsi"/>
          <w:color w:val="auto"/>
        </w:rPr>
        <w:t xml:space="preserve">The ESCs noted in real world practice, almost all laboratories in Australia undertake testing using gene panels for molecular characterisation of tumours (using the </w:t>
      </w:r>
      <w:r w:rsidRPr="00431CF2">
        <w:rPr>
          <w:rFonts w:cstheme="minorHAnsi"/>
          <w:color w:val="auto"/>
          <w:lang w:val="en-US"/>
        </w:rPr>
        <w:t>same panel for lung and colon cancers),</w:t>
      </w:r>
      <w:r w:rsidRPr="00431CF2">
        <w:rPr>
          <w:rFonts w:cstheme="minorHAnsi"/>
          <w:color w:val="auto"/>
        </w:rPr>
        <w:t xml:space="preserve"> and considered it was unlikely that a single gene test would be used in practice for CCA tumours. The ESCs noted that only undertaking single gene testing would potentially miss other alterations of emerging significance that are currently not funded e.g., </w:t>
      </w:r>
      <w:r w:rsidRPr="00431CF2">
        <w:rPr>
          <w:rFonts w:cstheme="minorHAnsi"/>
          <w:i/>
          <w:color w:val="auto"/>
        </w:rPr>
        <w:t>FGFR/NTRK</w:t>
      </w:r>
      <w:r w:rsidRPr="00431CF2">
        <w:rPr>
          <w:rFonts w:cstheme="minorHAnsi"/>
          <w:color w:val="auto"/>
        </w:rPr>
        <w:t xml:space="preserve"> fusions. The ESCs considered that an MBS item for gene panel testing (including fusion testing) would futureproof testing for patients with CCA as more therapies emerge over time. Gene panel testing could potentially also detect alterations that are mutually exclusive with </w:t>
      </w:r>
      <w:r w:rsidRPr="00431CF2">
        <w:rPr>
          <w:rFonts w:cstheme="minorHAnsi"/>
          <w:i/>
          <w:color w:val="auto"/>
        </w:rPr>
        <w:t xml:space="preserve">IDH1 </w:t>
      </w:r>
      <w:r w:rsidRPr="00431CF2">
        <w:rPr>
          <w:rFonts w:cstheme="minorHAnsi"/>
          <w:color w:val="auto"/>
        </w:rPr>
        <w:t xml:space="preserve">variants, such as </w:t>
      </w:r>
      <w:r w:rsidRPr="00431CF2">
        <w:rPr>
          <w:rFonts w:cstheme="minorHAnsi"/>
          <w:i/>
          <w:color w:val="auto"/>
        </w:rPr>
        <w:t xml:space="preserve">KRAS </w:t>
      </w:r>
      <w:r w:rsidRPr="00431CF2">
        <w:rPr>
          <w:rFonts w:cstheme="minorHAnsi"/>
          <w:color w:val="auto"/>
        </w:rPr>
        <w:t xml:space="preserve">other than p.G12C, which could potentially have ‘value of knowing’. The ESCs noted that comparable (as it includes fusion testing) gene panel testing includes MBS item 73437 for non-small cell lung cancer (MBS fee of $1247). </w:t>
      </w:r>
    </w:p>
    <w:p w14:paraId="3BB2D35E" w14:textId="77777777" w:rsidR="008F5246" w:rsidRPr="00431CF2" w:rsidRDefault="008F5246" w:rsidP="00431CF2">
      <w:pPr>
        <w:pStyle w:val="Instructionaltext-bullet"/>
        <w:numPr>
          <w:ilvl w:val="0"/>
          <w:numId w:val="0"/>
        </w:numPr>
        <w:spacing w:before="120" w:after="240"/>
        <w:jc w:val="both"/>
        <w:rPr>
          <w:rFonts w:cstheme="minorHAnsi"/>
        </w:rPr>
      </w:pPr>
      <w:r w:rsidRPr="00431CF2">
        <w:rPr>
          <w:rFonts w:cstheme="minorHAnsi"/>
          <w:color w:val="auto"/>
        </w:rPr>
        <w:t>ESC’s proposed revisions to the proposed MBS item descriptor are below.</w:t>
      </w:r>
    </w:p>
    <w:p w14:paraId="4792A356" w14:textId="4FA13563" w:rsidR="008F5246" w:rsidRPr="00C15DF8" w:rsidRDefault="008F5246" w:rsidP="00483BFD">
      <w:pPr>
        <w:pStyle w:val="Caption"/>
      </w:pPr>
      <w:r w:rsidRPr="00D15558">
        <w:rPr>
          <w:rFonts w:cs="Arial"/>
          <w:color w:val="0D0D0D"/>
        </w:rPr>
        <w:lastRenderedPageBreak/>
        <w:t>Table MSAC.</w:t>
      </w:r>
      <w:r w:rsidRPr="00D15558">
        <w:rPr>
          <w:rFonts w:cs="Arial"/>
          <w:color w:val="0D0D0D"/>
        </w:rPr>
        <w:fldChar w:fldCharType="begin"/>
      </w:r>
      <w:r w:rsidRPr="00D15558">
        <w:rPr>
          <w:rFonts w:cs="Arial"/>
          <w:color w:val="0D0D0D"/>
        </w:rPr>
        <w:instrText xml:space="preserve"> SEQ Table_MSAC. \* ARABIC </w:instrText>
      </w:r>
      <w:r w:rsidRPr="00D15558">
        <w:rPr>
          <w:rFonts w:cs="Arial"/>
          <w:color w:val="0D0D0D"/>
        </w:rPr>
        <w:fldChar w:fldCharType="separate"/>
      </w:r>
      <w:r w:rsidR="00D94E31">
        <w:rPr>
          <w:rFonts w:cs="Arial"/>
          <w:noProof/>
          <w:color w:val="0D0D0D"/>
        </w:rPr>
        <w:t>10</w:t>
      </w:r>
      <w:r w:rsidRPr="00D15558">
        <w:rPr>
          <w:rFonts w:cs="Arial"/>
          <w:color w:val="0D0D0D"/>
        </w:rPr>
        <w:fldChar w:fldCharType="end"/>
      </w:r>
      <w:r w:rsidRPr="00C15DF8">
        <w:tab/>
      </w:r>
      <w:r w:rsidRPr="00994B53">
        <w:t xml:space="preserve">ESC’s </w:t>
      </w:r>
      <w:r>
        <w:t>proposed</w:t>
      </w:r>
      <w:r w:rsidRPr="00994B53">
        <w:t xml:space="preserve"> revisions to the proposed MBS item descriptor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F5246" w:rsidRPr="00C15DF8" w14:paraId="439311B7" w14:textId="77777777" w:rsidTr="002A3EBF">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5F9107B6" w14:textId="77777777" w:rsidR="008F5246" w:rsidRDefault="008F5246" w:rsidP="00483BFD">
            <w:pPr>
              <w:keepNext/>
              <w:keepLines/>
              <w:widowControl w:val="0"/>
              <w:spacing w:before="0" w:after="0"/>
              <w:jc w:val="right"/>
              <w:rPr>
                <w:rFonts w:ascii="Arial Narrow" w:hAnsi="Arial Narrow" w:cs="Arial"/>
                <w:color w:val="0D0D0D"/>
                <w:sz w:val="20"/>
              </w:rPr>
            </w:pPr>
            <w:r w:rsidRPr="00C15DF8">
              <w:rPr>
                <w:rFonts w:ascii="Arial Narrow" w:hAnsi="Arial Narrow" w:cs="Arial"/>
                <w:color w:val="0D0D0D"/>
                <w:sz w:val="20"/>
              </w:rPr>
              <w:t>Category 6 – PATHOLOGY SERVICES</w:t>
            </w:r>
          </w:p>
          <w:p w14:paraId="59E1B96B" w14:textId="77777777" w:rsidR="008F5246" w:rsidRPr="00C15DF8" w:rsidRDefault="008F5246" w:rsidP="00483BFD">
            <w:pPr>
              <w:keepNext/>
              <w:keepLines/>
              <w:widowControl w:val="0"/>
              <w:spacing w:before="0" w:after="0"/>
              <w:jc w:val="right"/>
              <w:rPr>
                <w:rFonts w:ascii="Arial Narrow" w:hAnsi="Arial Narrow" w:cs="Arial"/>
                <w:color w:val="0D0D0D"/>
              </w:rPr>
            </w:pPr>
            <w:r w:rsidRPr="00884355">
              <w:rPr>
                <w:rFonts w:ascii="Arial Narrow" w:hAnsi="Arial Narrow" w:cs="Arial"/>
                <w:color w:val="0D0D0D"/>
                <w:sz w:val="20"/>
              </w:rPr>
              <w:t xml:space="preserve">Group P7 </w:t>
            </w:r>
            <w:r>
              <w:rPr>
                <w:rFonts w:ascii="Arial Narrow" w:hAnsi="Arial Narrow" w:cs="Arial"/>
                <w:color w:val="0D0D0D"/>
                <w:sz w:val="20"/>
              </w:rPr>
              <w:t>–</w:t>
            </w:r>
            <w:r w:rsidRPr="00884355">
              <w:rPr>
                <w:rFonts w:ascii="Arial Narrow" w:hAnsi="Arial Narrow" w:cs="Arial"/>
                <w:color w:val="0D0D0D"/>
                <w:sz w:val="20"/>
              </w:rPr>
              <w:t xml:space="preserve"> Genetics</w:t>
            </w:r>
          </w:p>
        </w:tc>
      </w:tr>
      <w:tr w:rsidR="008F5246" w:rsidRPr="00C15DF8" w14:paraId="497476A2" w14:textId="77777777" w:rsidTr="002A3EBF">
        <w:tc>
          <w:tcPr>
            <w:tcW w:w="5000" w:type="pct"/>
            <w:tcBorders>
              <w:top w:val="single" w:sz="4" w:space="0" w:color="000000"/>
              <w:left w:val="single" w:sz="4" w:space="0" w:color="000000"/>
              <w:bottom w:val="single" w:sz="4" w:space="0" w:color="000000"/>
              <w:right w:val="single" w:sz="4" w:space="0" w:color="000000"/>
            </w:tcBorders>
            <w:hideMark/>
          </w:tcPr>
          <w:p w14:paraId="7C1B7D22" w14:textId="77777777" w:rsidR="008F5246" w:rsidRPr="00C15DF8" w:rsidRDefault="008F5246" w:rsidP="00483BFD">
            <w:pPr>
              <w:keepNext/>
              <w:keepLines/>
              <w:spacing w:before="0" w:after="120"/>
              <w:rPr>
                <w:rFonts w:ascii="Arial Narrow" w:hAnsi="Arial Narrow" w:cs="Arial"/>
                <w:color w:val="0D0D0D"/>
                <w:sz w:val="20"/>
                <w:lang w:eastAsia="ja-JP"/>
              </w:rPr>
            </w:pPr>
            <w:r w:rsidRPr="00C15DF8">
              <w:rPr>
                <w:rFonts w:ascii="Arial Narrow" w:hAnsi="Arial Narrow" w:cs="Arial"/>
                <w:color w:val="0D0D0D"/>
                <w:sz w:val="20"/>
                <w:lang w:eastAsia="ja-JP"/>
              </w:rPr>
              <w:t>XXXXX</w:t>
            </w:r>
          </w:p>
          <w:p w14:paraId="459C7185" w14:textId="77777777" w:rsidR="008F5246" w:rsidRPr="00C15DF8" w:rsidRDefault="008F5246" w:rsidP="00483BFD">
            <w:pPr>
              <w:keepNext/>
              <w:keepLines/>
              <w:spacing w:before="0" w:after="0"/>
              <w:rPr>
                <w:rFonts w:ascii="Arial Narrow" w:hAnsi="Arial Narrow" w:cs="Arial"/>
                <w:color w:val="0D0D0D"/>
                <w:sz w:val="20"/>
                <w:lang w:eastAsia="ja-JP"/>
              </w:rPr>
            </w:pPr>
            <w:r w:rsidRPr="00C15DF8">
              <w:rPr>
                <w:rFonts w:ascii="Arial Narrow" w:hAnsi="Arial Narrow" w:cs="Arial"/>
                <w:color w:val="0D0D0D"/>
                <w:sz w:val="20"/>
                <w:lang w:eastAsia="ja-JP"/>
              </w:rPr>
              <w:t xml:space="preserve">Detection in tumour tissue of </w:t>
            </w:r>
            <w:r w:rsidRPr="006A7EC7">
              <w:rPr>
                <w:rFonts w:ascii="Arial Narrow" w:hAnsi="Arial Narrow" w:cs="Arial"/>
                <w:i/>
                <w:iCs/>
                <w:color w:val="0D0D0D"/>
                <w:sz w:val="20"/>
                <w:lang w:eastAsia="ja-JP"/>
              </w:rPr>
              <w:t>isocitrate dehydrogenase 1 (IDH1)</w:t>
            </w:r>
            <w:r w:rsidRPr="00C15DF8">
              <w:rPr>
                <w:rFonts w:ascii="Arial Narrow" w:hAnsi="Arial Narrow" w:cs="Arial"/>
                <w:i/>
                <w:iCs/>
                <w:color w:val="0D0D0D"/>
                <w:sz w:val="20"/>
                <w:lang w:eastAsia="ja-JP"/>
              </w:rPr>
              <w:t xml:space="preserve"> </w:t>
            </w:r>
            <w:r w:rsidRPr="00BF11CB">
              <w:rPr>
                <w:rFonts w:ascii="Arial Narrow" w:hAnsi="Arial Narrow" w:cs="Arial"/>
                <w:strike/>
                <w:color w:val="0D0D0D"/>
                <w:sz w:val="20"/>
                <w:lang w:eastAsia="ja-JP"/>
              </w:rPr>
              <w:t>p.R132X tier I</w:t>
            </w:r>
            <w:r w:rsidRPr="00C15DF8">
              <w:rPr>
                <w:rFonts w:ascii="Arial Narrow" w:hAnsi="Arial Narrow" w:cs="Arial"/>
                <w:color w:val="0D0D0D"/>
                <w:sz w:val="20"/>
                <w:lang w:eastAsia="ja-JP"/>
              </w:rPr>
              <w:t xml:space="preserve"> variant status, in a patient with histologically confirmed cholangiocarcinoma, to determine access to an isocitrate dehydrogenase 1 inhibitor under the Pharmaceutical Benefits Scheme (PBS).</w:t>
            </w:r>
          </w:p>
          <w:p w14:paraId="1DBBD203" w14:textId="77777777" w:rsidR="008F5246" w:rsidRPr="00C15DF8" w:rsidRDefault="008F5246" w:rsidP="00483BFD">
            <w:pPr>
              <w:keepNext/>
              <w:keepLines/>
              <w:spacing w:after="0"/>
              <w:rPr>
                <w:rFonts w:ascii="Arial Narrow" w:hAnsi="Arial Narrow" w:cs="Arial"/>
                <w:color w:val="0D0D0D"/>
                <w:sz w:val="20"/>
                <w:lang w:eastAsia="ja-JP"/>
              </w:rPr>
            </w:pPr>
            <w:r w:rsidRPr="00C15DF8">
              <w:rPr>
                <w:rFonts w:ascii="Arial Narrow" w:hAnsi="Arial Narrow" w:cs="Arial"/>
                <w:color w:val="0D0D0D"/>
                <w:sz w:val="20"/>
                <w:lang w:eastAsia="ja-JP"/>
              </w:rPr>
              <w:t>Applicable only once per lifetime</w:t>
            </w:r>
          </w:p>
        </w:tc>
      </w:tr>
      <w:tr w:rsidR="008F5246" w:rsidRPr="00C15DF8" w14:paraId="2ED27CDE" w14:textId="77777777" w:rsidTr="002A3EBF">
        <w:trPr>
          <w:trHeight w:val="7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3F811E0" w14:textId="77777777" w:rsidR="008F5246" w:rsidRPr="00C15DF8" w:rsidRDefault="008F5246" w:rsidP="00483BFD">
            <w:pPr>
              <w:keepNext/>
              <w:keepLines/>
              <w:widowControl w:val="0"/>
              <w:spacing w:before="0" w:after="0"/>
              <w:rPr>
                <w:rFonts w:ascii="Arial Narrow" w:hAnsi="Arial Narrow" w:cs="Arial"/>
                <w:color w:val="0D0D0D"/>
                <w:sz w:val="20"/>
              </w:rPr>
            </w:pPr>
            <w:r w:rsidRPr="00C15DF8">
              <w:rPr>
                <w:rFonts w:ascii="Arial Narrow" w:hAnsi="Arial Narrow" w:cs="Arial"/>
                <w:color w:val="0D0D0D"/>
                <w:sz w:val="20"/>
                <w:lang w:eastAsia="ja-JP"/>
              </w:rPr>
              <w:t xml:space="preserve">Fee: </w:t>
            </w:r>
            <w:r w:rsidRPr="00FD05C0">
              <w:rPr>
                <w:rFonts w:ascii="Arial Narrow" w:hAnsi="Arial Narrow" w:cs="Arial"/>
                <w:color w:val="0D0D0D"/>
                <w:sz w:val="20"/>
                <w:lang w:eastAsia="ja-JP"/>
              </w:rPr>
              <w:t>$</w:t>
            </w:r>
            <w:r w:rsidRPr="00F75D4D">
              <w:rPr>
                <w:rFonts w:ascii="Arial Narrow" w:hAnsi="Arial Narrow" w:cs="Arial"/>
                <w:color w:val="0D0D0D"/>
                <w:sz w:val="20"/>
                <w:lang w:eastAsia="ja-JP"/>
              </w:rPr>
              <w:t>340</w:t>
            </w:r>
            <w:r>
              <w:rPr>
                <w:rFonts w:ascii="Arial Narrow" w:hAnsi="Arial Narrow" w:cs="Arial"/>
                <w:color w:val="0D0D0D"/>
                <w:sz w:val="20"/>
              </w:rPr>
              <w:t xml:space="preserve"> </w:t>
            </w:r>
            <w:r w:rsidRPr="00C15DF8">
              <w:rPr>
                <w:rFonts w:ascii="Arial Narrow" w:hAnsi="Arial Narrow" w:cs="Arial"/>
                <w:color w:val="0D0D0D"/>
                <w:sz w:val="20"/>
              </w:rPr>
              <w:t xml:space="preserve">  Benefit: 75% = </w:t>
            </w:r>
            <w:r w:rsidRPr="00FD05C0">
              <w:rPr>
                <w:rFonts w:ascii="Arial Narrow" w:hAnsi="Arial Narrow" w:cs="Arial"/>
                <w:color w:val="0D0D0D"/>
                <w:sz w:val="20"/>
              </w:rPr>
              <w:t>$</w:t>
            </w:r>
            <w:r w:rsidRPr="00F75D4D">
              <w:rPr>
                <w:rFonts w:ascii="Arial Narrow" w:hAnsi="Arial Narrow" w:cs="Arial"/>
                <w:color w:val="0D0D0D"/>
                <w:sz w:val="20"/>
              </w:rPr>
              <w:t>255.00</w:t>
            </w:r>
            <w:r w:rsidRPr="00C15DF8">
              <w:rPr>
                <w:rFonts w:ascii="Arial Narrow" w:hAnsi="Arial Narrow" w:cs="Arial"/>
                <w:color w:val="0D0D0D"/>
                <w:sz w:val="20"/>
              </w:rPr>
              <w:t xml:space="preserve"> </w:t>
            </w:r>
            <w:r>
              <w:rPr>
                <w:rFonts w:ascii="Arial Narrow" w:hAnsi="Arial Narrow" w:cs="Arial"/>
                <w:color w:val="0D0D0D"/>
                <w:sz w:val="20"/>
              </w:rPr>
              <w:t xml:space="preserve">  </w:t>
            </w:r>
            <w:r w:rsidRPr="00C15DF8">
              <w:rPr>
                <w:rFonts w:ascii="Arial Narrow" w:hAnsi="Arial Narrow" w:cs="Arial"/>
                <w:color w:val="0D0D0D"/>
                <w:sz w:val="20"/>
              </w:rPr>
              <w:t>85% = $</w:t>
            </w:r>
            <w:r w:rsidRPr="00F75D4D">
              <w:rPr>
                <w:rFonts w:ascii="Arial Narrow" w:hAnsi="Arial Narrow" w:cs="Arial"/>
                <w:color w:val="0D0D0D"/>
                <w:sz w:val="20"/>
              </w:rPr>
              <w:t>289.00</w:t>
            </w:r>
          </w:p>
        </w:tc>
      </w:tr>
    </w:tbl>
    <w:p w14:paraId="5C0D16DB" w14:textId="77777777" w:rsidR="008F5246" w:rsidRPr="000D406A" w:rsidRDefault="008F5246" w:rsidP="00483BFD">
      <w:pPr>
        <w:pStyle w:val="Instructionaltext-bullet"/>
        <w:keepNext/>
        <w:keepLines/>
        <w:numPr>
          <w:ilvl w:val="0"/>
          <w:numId w:val="0"/>
        </w:numPr>
        <w:rPr>
          <w:rFonts w:ascii="Arial Narrow" w:eastAsia="Times New Roman" w:hAnsi="Arial Narrow" w:cs="Arial"/>
          <w:snapToGrid w:val="0"/>
          <w:color w:val="auto"/>
          <w:sz w:val="18"/>
          <w:szCs w:val="20"/>
        </w:rPr>
      </w:pPr>
      <w:r w:rsidRPr="000D406A">
        <w:rPr>
          <w:rFonts w:ascii="Arial Narrow" w:eastAsia="Times New Roman" w:hAnsi="Arial Narrow" w:cs="Arial"/>
          <w:snapToGrid w:val="0"/>
          <w:color w:val="auto"/>
          <w:sz w:val="18"/>
          <w:szCs w:val="20"/>
        </w:rPr>
        <w:t>ESC’s deletions in strikethrough text.</w:t>
      </w:r>
    </w:p>
    <w:p w14:paraId="7D32B0F6" w14:textId="77777777" w:rsidR="008F5246" w:rsidRPr="00994B53" w:rsidRDefault="008F5246" w:rsidP="00483BFD">
      <w:pPr>
        <w:keepNext/>
        <w:keepLines/>
        <w:widowControl w:val="0"/>
        <w:spacing w:before="0" w:after="0"/>
        <w:contextualSpacing/>
        <w:rPr>
          <w:rFonts w:ascii="Arial Narrow" w:eastAsia="Times New Roman" w:hAnsi="Arial Narrow" w:cs="Arial"/>
          <w:snapToGrid w:val="0"/>
          <w:sz w:val="18"/>
          <w:szCs w:val="20"/>
        </w:rPr>
      </w:pPr>
      <w:r w:rsidRPr="00994B53">
        <w:rPr>
          <w:rFonts w:ascii="Arial Narrow" w:eastAsia="Times New Roman" w:hAnsi="Arial Narrow" w:cs="Arial"/>
          <w:snapToGrid w:val="0"/>
          <w:sz w:val="18"/>
          <w:szCs w:val="20"/>
        </w:rPr>
        <w:t>Source: ESC</w:t>
      </w:r>
    </w:p>
    <w:p w14:paraId="1CBBD2AB" w14:textId="7BDABFF3"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 xml:space="preserve">Overall, the ESCs considered the economic model structure was reasonable, and noted the base case incremental cost-effectiveness ratio (ICER) was </w:t>
      </w:r>
      <w:r w:rsidR="00657A7D" w:rsidRPr="00657A7D">
        <w:rPr>
          <w:rFonts w:cstheme="minorHAnsi"/>
          <w:color w:val="auto"/>
        </w:rPr>
        <w:t>$95,000 &lt; $115,000</w:t>
      </w:r>
      <w:r w:rsidR="003B5AB3">
        <w:rPr>
          <w:rFonts w:cstheme="minorHAnsi"/>
          <w:color w:val="auto"/>
        </w:rPr>
        <w:t xml:space="preserve"> </w:t>
      </w:r>
      <w:r w:rsidRPr="00131F40">
        <w:rPr>
          <w:rFonts w:cstheme="minorHAnsi"/>
          <w:color w:val="auto"/>
        </w:rPr>
        <w:t xml:space="preserve">per quality-adjusted life year (QALY). The ESCs noted the economic analysis used a partitioned survival model with a time horizon of 10 years, which was substantially longer than median follow-up in key </w:t>
      </w:r>
      <w:proofErr w:type="spellStart"/>
      <w:r w:rsidRPr="00131F40">
        <w:rPr>
          <w:rFonts w:cstheme="minorHAnsi"/>
          <w:color w:val="auto"/>
        </w:rPr>
        <w:t>ClarIDHy</w:t>
      </w:r>
      <w:proofErr w:type="spellEnd"/>
      <w:r w:rsidRPr="00131F40">
        <w:rPr>
          <w:rFonts w:cstheme="minorHAnsi"/>
          <w:color w:val="auto"/>
        </w:rPr>
        <w:t xml:space="preserve"> trial (OS of 20.5-24.4 months) and the expected life expectancy of the patient cohort. The ESCs considered a time horizon of 7.5 years had been used in previous similar applications, although as the CCA patient cohort has more advanced disease a time horizon of 5 years would be more appropriate, which increased the ICER. The ESCs noted that the ICER was highly sensitive to the utility weights applied. The ESCs considered that the utility weights (derived from the </w:t>
      </w:r>
      <w:proofErr w:type="spellStart"/>
      <w:r w:rsidRPr="00131F40">
        <w:rPr>
          <w:rFonts w:cstheme="minorHAnsi"/>
          <w:color w:val="auto"/>
        </w:rPr>
        <w:t>ClarIDHy</w:t>
      </w:r>
      <w:proofErr w:type="spellEnd"/>
      <w:r w:rsidRPr="00131F40">
        <w:rPr>
          <w:rFonts w:cstheme="minorHAnsi"/>
          <w:color w:val="auto"/>
        </w:rPr>
        <w:t xml:space="preserve"> trial) appeared to be unusually high and clinically implausible for such a severe condition (with the value for the PFS state only just lower than the average health in recently reported Australian general population studies for this instrument), and considered that although the methodological approach to derive them had been appropriate, the resulting utility values lacked face validity.</w:t>
      </w:r>
    </w:p>
    <w:p w14:paraId="6C8DA2FD" w14:textId="359DC482"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 xml:space="preserve">In relation to the test, the ESCs agreed with the commentary that the cost of testing and identifying one patient eligible for ivosidenib had been underestimated. This stemmed from the assumption that all patients testing positive would proceed to treatment and did not take into account patients who undergo </w:t>
      </w:r>
      <w:r w:rsidRPr="00131F40">
        <w:rPr>
          <w:rFonts w:cstheme="minorHAnsi"/>
          <w:i/>
          <w:color w:val="auto"/>
        </w:rPr>
        <w:t>IDH1</w:t>
      </w:r>
      <w:r w:rsidRPr="00131F40">
        <w:rPr>
          <w:rFonts w:cstheme="minorHAnsi"/>
          <w:color w:val="auto"/>
        </w:rPr>
        <w:t xml:space="preserve"> testing at an early stage of CCA and are subsequently cured, as well as those who may opt to receive palliative care for this aggressive condition. The ESCs noted that correcting this resulted in a small increase in the ICER (ranging </w:t>
      </w:r>
      <w:r w:rsidR="00C165CD">
        <w:rPr>
          <w:rFonts w:cstheme="minorHAnsi"/>
          <w:color w:val="auto"/>
        </w:rPr>
        <w:t>between</w:t>
      </w:r>
      <w:r w:rsidR="00C165CD" w:rsidRPr="00131F40">
        <w:rPr>
          <w:rFonts w:cstheme="minorHAnsi"/>
          <w:color w:val="auto"/>
        </w:rPr>
        <w:t xml:space="preserve"> </w:t>
      </w:r>
      <w:r w:rsidR="009D49E5" w:rsidRPr="00657A7D">
        <w:rPr>
          <w:rFonts w:cstheme="minorHAnsi"/>
          <w:color w:val="auto"/>
        </w:rPr>
        <w:t>$95,000 &lt; $115,000</w:t>
      </w:r>
      <w:r w:rsidR="00374DFD">
        <w:rPr>
          <w:rFonts w:cstheme="minorHAnsi"/>
          <w:color w:val="auto"/>
        </w:rPr>
        <w:t>-</w:t>
      </w:r>
      <w:r w:rsidRPr="00131F40">
        <w:rPr>
          <w:rFonts w:cstheme="minorHAnsi"/>
          <w:color w:val="auto"/>
        </w:rPr>
        <w:t>) depending on how many patients were assumed to not receive ivosidenib</w:t>
      </w:r>
      <w:r w:rsidRPr="00131F40">
        <w:rPr>
          <w:rFonts w:cstheme="minorHAnsi"/>
          <w:b/>
          <w:color w:val="auto"/>
        </w:rPr>
        <w:t xml:space="preserve"> </w:t>
      </w:r>
      <w:r w:rsidRPr="00131F40">
        <w:rPr>
          <w:rFonts w:cstheme="minorHAnsi"/>
          <w:color w:val="auto"/>
        </w:rPr>
        <w:t xml:space="preserve">in scenarios evaluated by the commentary. </w:t>
      </w:r>
    </w:p>
    <w:p w14:paraId="10B2BEF2" w14:textId="77777777"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 xml:space="preserve">Furthermore, the ESCs considered the impact on the ICER could be significant if a ‘diagnostic expansion’ occurred leading to a significantly larger population receiving this testing. </w:t>
      </w:r>
    </w:p>
    <w:p w14:paraId="34540748" w14:textId="77777777"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The ESCs noted that the key drivers of the model (extrapolation of survival for both arms, utility weights and time horizon) all favoured the intervention, which the ESCs considered reduced the robustness of the results, making a respecified economic base case potentially informative for MSAC and PBAC decision-making.</w:t>
      </w:r>
    </w:p>
    <w:p w14:paraId="16A825EF" w14:textId="111BE18F"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 xml:space="preserve">The ESCs noted that listing of </w:t>
      </w:r>
      <w:r w:rsidRPr="00131F40">
        <w:rPr>
          <w:rFonts w:cstheme="minorHAnsi"/>
          <w:i/>
          <w:color w:val="auto"/>
        </w:rPr>
        <w:t>IDH1</w:t>
      </w:r>
      <w:r w:rsidRPr="00131F40">
        <w:rPr>
          <w:rFonts w:cstheme="minorHAnsi"/>
          <w:color w:val="auto"/>
        </w:rPr>
        <w:t xml:space="preserve"> testing for CCA patients was estimated to result in a net cost of </w:t>
      </w:r>
      <w:r w:rsidR="00C165CD" w:rsidRPr="00C165CD">
        <w:rPr>
          <w:rFonts w:cstheme="minorHAnsi"/>
          <w:color w:val="auto"/>
        </w:rPr>
        <w:t>$0 to &lt; $10 million</w:t>
      </w:r>
      <w:r w:rsidR="00C165CD">
        <w:rPr>
          <w:rFonts w:cstheme="minorHAnsi"/>
          <w:color w:val="auto"/>
        </w:rPr>
        <w:t xml:space="preserve"> </w:t>
      </w:r>
      <w:r w:rsidRPr="00131F40">
        <w:rPr>
          <w:rFonts w:cstheme="minorHAnsi"/>
          <w:color w:val="auto"/>
        </w:rPr>
        <w:t xml:space="preserve">in Year 1 to </w:t>
      </w:r>
      <w:r w:rsidR="00C165CD" w:rsidRPr="00C165CD">
        <w:rPr>
          <w:rFonts w:cstheme="minorHAnsi"/>
          <w:color w:val="auto"/>
        </w:rPr>
        <w:t>$0 to &lt; $10 million</w:t>
      </w:r>
      <w:r w:rsidR="00C165CD">
        <w:rPr>
          <w:rFonts w:cstheme="minorHAnsi"/>
          <w:color w:val="auto"/>
        </w:rPr>
        <w:t xml:space="preserve"> </w:t>
      </w:r>
      <w:r w:rsidRPr="00131F40">
        <w:rPr>
          <w:rFonts w:cstheme="minorHAnsi"/>
          <w:color w:val="auto"/>
        </w:rPr>
        <w:t>in Year 6 to the MBS. The ESCs noted that an epidemiological approach was utilised to estimate the number of patients who would receive treatment based on the CCA incidence data from the Australian Institute of Health and Welfare (AIHW) and historical growth rate. The ESCs agreed with the commentary that the Applicant Developed Assessment Report (ADAR) had overestimated the number of patients likely to be treated with ivosidenib. Consequently, the MBS costs for electrocardiograms (ECGs) to monitor patients receiving ivosidenib were likely to be lower than estimated. The ESCs noted the ADAR’s overestimation was accepted by the applicant in its pre-ESC response.</w:t>
      </w:r>
    </w:p>
    <w:p w14:paraId="4BC3EDF5" w14:textId="77777777" w:rsidR="008F5246" w:rsidRPr="00131F40" w:rsidRDefault="008F5246" w:rsidP="008F5246">
      <w:pPr>
        <w:pStyle w:val="Instructionaltext-bullet"/>
        <w:numPr>
          <w:ilvl w:val="0"/>
          <w:numId w:val="0"/>
        </w:numPr>
        <w:spacing w:before="120"/>
        <w:jc w:val="both"/>
        <w:rPr>
          <w:rFonts w:cstheme="minorHAnsi"/>
          <w:color w:val="auto"/>
        </w:rPr>
      </w:pPr>
      <w:r w:rsidRPr="00131F40">
        <w:rPr>
          <w:rFonts w:cstheme="minorHAnsi"/>
          <w:color w:val="auto"/>
        </w:rPr>
        <w:t xml:space="preserve">The ESCs noted that sensitivity analyses indicated the financial results were largely stable under the scenarios tested. However, the ESCs also considered that potential increases in testing could </w:t>
      </w:r>
      <w:r w:rsidRPr="00131F40">
        <w:rPr>
          <w:rFonts w:cstheme="minorHAnsi"/>
          <w:color w:val="auto"/>
        </w:rPr>
        <w:lastRenderedPageBreak/>
        <w:t xml:space="preserve">occur due to a “diagnostic expansion’. The ESCs considered that if the MBS fee for the proposed item were raised from aligning with other </w:t>
      </w:r>
      <w:r w:rsidRPr="00131F40">
        <w:rPr>
          <w:rFonts w:cstheme="minorHAnsi"/>
          <w:i/>
          <w:color w:val="auto"/>
        </w:rPr>
        <w:t xml:space="preserve">IDH1 </w:t>
      </w:r>
      <w:r w:rsidRPr="00131F40">
        <w:rPr>
          <w:rFonts w:cstheme="minorHAnsi"/>
          <w:color w:val="auto"/>
        </w:rPr>
        <w:t>testing to instead aligned with other comparable MBS items, this would also increase the net financial cost to the MBS. Similarly, if the testing were implemented as a gene panel test to futureproof testing for patients with CCA, then this would likely be at a higher cost than $340 per test.</w:t>
      </w:r>
    </w:p>
    <w:p w14:paraId="4A1985BF" w14:textId="77777777" w:rsidR="00131F40" w:rsidRPr="00131F40" w:rsidRDefault="00131F40" w:rsidP="00131F40">
      <w:pPr>
        <w:pStyle w:val="Heading2"/>
        <w:widowControl w:val="0"/>
        <w:spacing w:after="240"/>
        <w:rPr>
          <w:rFonts w:ascii="Franklin Gothic Medium" w:hAnsi="Franklin Gothic Medium"/>
          <w:b w:val="0"/>
          <w:i w:val="0"/>
          <w:snapToGrid/>
          <w:color w:val="000000" w:themeColor="text1"/>
          <w:sz w:val="32"/>
          <w:szCs w:val="26"/>
        </w:rPr>
      </w:pPr>
      <w:r w:rsidRPr="00131F40">
        <w:rPr>
          <w:rFonts w:ascii="Franklin Gothic Medium" w:hAnsi="Franklin Gothic Medium"/>
          <w:b w:val="0"/>
          <w:i w:val="0"/>
          <w:snapToGrid/>
          <w:color w:val="000000" w:themeColor="text1"/>
          <w:sz w:val="32"/>
          <w:szCs w:val="26"/>
        </w:rPr>
        <w:t>17.</w:t>
      </w:r>
      <w:r w:rsidRPr="00131F40">
        <w:rPr>
          <w:rFonts w:ascii="Franklin Gothic Medium" w:hAnsi="Franklin Gothic Medium"/>
          <w:b w:val="0"/>
          <w:i w:val="0"/>
          <w:snapToGrid/>
          <w:color w:val="000000" w:themeColor="text1"/>
          <w:sz w:val="32"/>
          <w:szCs w:val="26"/>
        </w:rPr>
        <w:tab/>
        <w:t>Applicant comments on MSAC’s Public Summary Document</w:t>
      </w:r>
    </w:p>
    <w:p w14:paraId="502CD577" w14:textId="0593B275" w:rsidR="00131F40" w:rsidRPr="00E05B24" w:rsidRDefault="002D6369" w:rsidP="00131F40">
      <w:pPr>
        <w:spacing w:after="240"/>
        <w:rPr>
          <w:rFonts w:ascii="Franklin Gothic Book" w:hAnsi="Franklin Gothic Book"/>
          <w:sz w:val="22"/>
        </w:rPr>
      </w:pPr>
      <w:r w:rsidRPr="00E05B24">
        <w:rPr>
          <w:rFonts w:ascii="Franklin Gothic Book" w:hAnsi="Franklin Gothic Book"/>
          <w:sz w:val="22"/>
        </w:rPr>
        <w:t xml:space="preserve"> The applicant had no comment</w:t>
      </w:r>
      <w:r w:rsidR="00366572" w:rsidRPr="00E05B24">
        <w:rPr>
          <w:rFonts w:ascii="Franklin Gothic Book" w:hAnsi="Franklin Gothic Book"/>
          <w:sz w:val="22"/>
        </w:rPr>
        <w:t>.</w:t>
      </w:r>
    </w:p>
    <w:p w14:paraId="63061157" w14:textId="77777777" w:rsidR="00131F40" w:rsidRPr="00131F40" w:rsidRDefault="00131F40" w:rsidP="00131F40">
      <w:pPr>
        <w:pStyle w:val="Heading2"/>
        <w:widowControl w:val="0"/>
        <w:spacing w:after="240"/>
        <w:rPr>
          <w:rFonts w:ascii="Franklin Gothic Medium" w:hAnsi="Franklin Gothic Medium"/>
          <w:b w:val="0"/>
          <w:i w:val="0"/>
          <w:snapToGrid/>
          <w:color w:val="000000" w:themeColor="text1"/>
          <w:sz w:val="32"/>
          <w:szCs w:val="26"/>
        </w:rPr>
      </w:pPr>
      <w:r w:rsidRPr="00131F40">
        <w:rPr>
          <w:rFonts w:ascii="Franklin Gothic Medium" w:hAnsi="Franklin Gothic Medium"/>
          <w:b w:val="0"/>
          <w:i w:val="0"/>
          <w:snapToGrid/>
          <w:color w:val="000000" w:themeColor="text1"/>
          <w:sz w:val="32"/>
          <w:szCs w:val="26"/>
        </w:rPr>
        <w:t>18.</w:t>
      </w:r>
      <w:r w:rsidRPr="00131F40">
        <w:rPr>
          <w:rFonts w:ascii="Franklin Gothic Medium" w:hAnsi="Franklin Gothic Medium"/>
          <w:b w:val="0"/>
          <w:i w:val="0"/>
          <w:snapToGrid/>
          <w:color w:val="000000" w:themeColor="text1"/>
          <w:sz w:val="32"/>
          <w:szCs w:val="26"/>
        </w:rPr>
        <w:tab/>
        <w:t>Further information on MSAC</w:t>
      </w:r>
    </w:p>
    <w:p w14:paraId="4216E57F" w14:textId="2E59F17B" w:rsidR="008F5246" w:rsidRPr="00131F40" w:rsidRDefault="00131F40" w:rsidP="00131F40">
      <w:pPr>
        <w:pStyle w:val="BodyText"/>
        <w:rPr>
          <w:rFonts w:ascii="Franklin Gothic Book" w:hAnsi="Franklin Gothic Book"/>
          <w:b/>
          <w:bCs/>
          <w:i/>
          <w:iCs/>
          <w:sz w:val="22"/>
        </w:rPr>
      </w:pPr>
      <w:r w:rsidRPr="00131F40">
        <w:rPr>
          <w:rFonts w:ascii="Franklin Gothic Book" w:hAnsi="Franklin Gothic Book"/>
          <w:bCs/>
          <w:iCs/>
          <w:sz w:val="22"/>
        </w:rPr>
        <w:t xml:space="preserve">MSAC Terms of Reference and other information are available on the MSAC Website: </w:t>
      </w:r>
      <w:hyperlink r:id="rId9" w:tooltip="Link to the MSAC website" w:history="1">
        <w:r w:rsidRPr="00131F40">
          <w:rPr>
            <w:rStyle w:val="Hyperlink"/>
            <w:rFonts w:ascii="Franklin Gothic Book" w:hAnsi="Franklin Gothic Book"/>
            <w:iCs/>
            <w:sz w:val="22"/>
          </w:rPr>
          <w:t>visit the MSAC website</w:t>
        </w:r>
      </w:hyperlink>
    </w:p>
    <w:sectPr w:rsidR="008F5246" w:rsidRPr="00131F4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0D659" w14:textId="77777777" w:rsidR="00C45761" w:rsidRPr="009467C0" w:rsidRDefault="00C45761" w:rsidP="00BA3306">
      <w:pPr>
        <w:spacing w:before="0" w:after="0"/>
      </w:pPr>
      <w:r w:rsidRPr="009467C0">
        <w:separator/>
      </w:r>
    </w:p>
    <w:p w14:paraId="1C1C168F" w14:textId="77777777" w:rsidR="00C45761" w:rsidRPr="009467C0" w:rsidRDefault="00C45761"/>
  </w:endnote>
  <w:endnote w:type="continuationSeparator" w:id="0">
    <w:p w14:paraId="43B3BC3B" w14:textId="77777777" w:rsidR="00C45761" w:rsidRPr="009467C0" w:rsidRDefault="00C45761" w:rsidP="00BA3306">
      <w:pPr>
        <w:spacing w:before="0" w:after="0"/>
      </w:pPr>
      <w:r w:rsidRPr="009467C0">
        <w:continuationSeparator/>
      </w:r>
    </w:p>
    <w:p w14:paraId="6148F3AE" w14:textId="77777777" w:rsidR="00C45761" w:rsidRPr="009467C0" w:rsidRDefault="00C45761"/>
  </w:endnote>
  <w:endnote w:type="continuationNotice" w:id="1">
    <w:p w14:paraId="4D2524D4" w14:textId="77777777" w:rsidR="00C45761" w:rsidRPr="009467C0" w:rsidRDefault="00C457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Body)">
    <w:altName w:val="Calibri"/>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432BE" w14:textId="77777777" w:rsidR="002909A7" w:rsidRDefault="00290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09044"/>
      <w:docPartObj>
        <w:docPartGallery w:val="Page Numbers (Bottom of Page)"/>
        <w:docPartUnique/>
      </w:docPartObj>
    </w:sdtPr>
    <w:sdtEndPr>
      <w:rPr>
        <w:noProof/>
      </w:rPr>
    </w:sdtEndPr>
    <w:sdtContent>
      <w:p w14:paraId="32E45C3C" w14:textId="6EF39DAA" w:rsidR="00227D10" w:rsidRPr="008F5246" w:rsidRDefault="008F5246" w:rsidP="00431C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6CD65" w14:textId="77777777" w:rsidR="002909A7" w:rsidRDefault="00290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A5340" w14:textId="77777777" w:rsidR="00C45761" w:rsidRPr="009467C0" w:rsidRDefault="00C45761" w:rsidP="00890334">
      <w:pPr>
        <w:spacing w:before="0" w:after="0"/>
      </w:pPr>
      <w:r w:rsidRPr="009467C0">
        <w:separator/>
      </w:r>
    </w:p>
  </w:footnote>
  <w:footnote w:type="continuationSeparator" w:id="0">
    <w:p w14:paraId="0109CB18" w14:textId="77777777" w:rsidR="00C45761" w:rsidRPr="009467C0" w:rsidRDefault="00C45761" w:rsidP="00BA3306">
      <w:pPr>
        <w:spacing w:before="0" w:after="0"/>
      </w:pPr>
      <w:r w:rsidRPr="009467C0">
        <w:continuationSeparator/>
      </w:r>
    </w:p>
    <w:p w14:paraId="6FC10B1E" w14:textId="77777777" w:rsidR="00C45761" w:rsidRPr="009467C0" w:rsidRDefault="00C45761"/>
  </w:footnote>
  <w:footnote w:type="continuationNotice" w:id="1">
    <w:p w14:paraId="7FB1E2DA" w14:textId="77777777" w:rsidR="00C45761" w:rsidRPr="009467C0" w:rsidRDefault="00C45761">
      <w:pPr>
        <w:spacing w:before="0" w:after="0"/>
      </w:pPr>
    </w:p>
  </w:footnote>
  <w:footnote w:id="2">
    <w:p w14:paraId="22E1E4BF" w14:textId="77777777" w:rsidR="006E37DA" w:rsidRPr="00AA7F1D" w:rsidRDefault="006E37DA" w:rsidP="006E37DA">
      <w:pPr>
        <w:pStyle w:val="FootnoteText"/>
        <w:rPr>
          <w:rFonts w:cstheme="minorHAnsi"/>
        </w:rPr>
      </w:pPr>
      <w:r w:rsidRPr="00AA7F1D">
        <w:rPr>
          <w:rStyle w:val="FootnoteReference"/>
          <w:rFonts w:cstheme="minorHAnsi"/>
          <w:sz w:val="16"/>
          <w:szCs w:val="18"/>
        </w:rPr>
        <w:footnoteRef/>
      </w:r>
      <w:r w:rsidRPr="00AA7F1D">
        <w:rPr>
          <w:rFonts w:cstheme="minorHAnsi"/>
          <w:sz w:val="16"/>
          <w:szCs w:val="18"/>
        </w:rPr>
        <w:t xml:space="preserve"> MSAC Application 1779, available at: </w:t>
      </w:r>
      <w:hyperlink r:id="rId1" w:history="1">
        <w:r w:rsidRPr="0048240E">
          <w:rPr>
            <w:rStyle w:val="Hyperlink"/>
            <w:rFonts w:cstheme="minorHAnsi"/>
            <w:sz w:val="16"/>
            <w:szCs w:val="18"/>
          </w:rPr>
          <w:t>http://www.msac.gov.au/internet/msac/publishing.nsf/Content/1779-public</w:t>
        </w:r>
      </w:hyperlink>
      <w:r w:rsidRPr="0048240E">
        <w:rPr>
          <w:rFonts w:cstheme="minorHAnsi"/>
          <w:color w:val="00B0F0"/>
          <w:sz w:val="16"/>
          <w:szCs w:val="18"/>
        </w:rPr>
        <w:t xml:space="preserve"> </w:t>
      </w:r>
    </w:p>
  </w:footnote>
  <w:footnote w:id="3">
    <w:p w14:paraId="4D6F4B17" w14:textId="0BA202D6" w:rsidR="00AC62C6" w:rsidRPr="00AA7F1D" w:rsidRDefault="00AC62C6">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w:t>
      </w:r>
      <w:r w:rsidR="00A473DB" w:rsidRPr="00AA7F1D">
        <w:rPr>
          <w:rFonts w:cstheme="minorHAnsi"/>
          <w:sz w:val="16"/>
          <w:szCs w:val="16"/>
        </w:rPr>
        <w:t xml:space="preserve">MSAC Application 1527, available at: </w:t>
      </w:r>
      <w:hyperlink r:id="rId2" w:history="1">
        <w:r w:rsidR="00A473DB" w:rsidRPr="00AA7F1D">
          <w:rPr>
            <w:rStyle w:val="Hyperlink"/>
            <w:rFonts w:cstheme="minorHAnsi"/>
            <w:sz w:val="16"/>
            <w:szCs w:val="16"/>
          </w:rPr>
          <w:t>http://www.msac.gov.au/internet/msac/publishing.nsf/Content/1527-public</w:t>
        </w:r>
      </w:hyperlink>
      <w:r w:rsidR="00A473DB" w:rsidRPr="00AA7F1D">
        <w:rPr>
          <w:rFonts w:cstheme="minorHAnsi"/>
          <w:sz w:val="16"/>
          <w:szCs w:val="16"/>
        </w:rPr>
        <w:t xml:space="preserve"> </w:t>
      </w:r>
    </w:p>
  </w:footnote>
  <w:footnote w:id="4">
    <w:p w14:paraId="4BD4C521" w14:textId="3F4838AF" w:rsidR="00321C9D" w:rsidRPr="00AA7F1D" w:rsidRDefault="00321C9D">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w:t>
      </w:r>
      <w:r w:rsidR="00A473DB" w:rsidRPr="00AA7F1D">
        <w:rPr>
          <w:rFonts w:cstheme="minorHAnsi"/>
          <w:sz w:val="16"/>
          <w:szCs w:val="18"/>
        </w:rPr>
        <w:t xml:space="preserve">MSAC Application 1709, available at: </w:t>
      </w:r>
      <w:hyperlink r:id="rId3" w:history="1">
        <w:r w:rsidR="00A473DB" w:rsidRPr="00AA7F1D">
          <w:rPr>
            <w:rStyle w:val="Hyperlink"/>
            <w:rFonts w:cstheme="minorHAnsi"/>
            <w:sz w:val="16"/>
            <w:szCs w:val="16"/>
          </w:rPr>
          <w:t>http://www.msac.gov.au/internet/msac/publishing.nsf/Content/1709-public</w:t>
        </w:r>
      </w:hyperlink>
      <w:r w:rsidR="00A473DB" w:rsidRPr="00AA7F1D">
        <w:rPr>
          <w:rFonts w:cstheme="minorHAnsi"/>
          <w:sz w:val="16"/>
          <w:szCs w:val="16"/>
        </w:rPr>
        <w:t xml:space="preserve"> </w:t>
      </w:r>
    </w:p>
  </w:footnote>
  <w:footnote w:id="5">
    <w:p w14:paraId="146BC469" w14:textId="07BF256F" w:rsidR="00EA30C0" w:rsidRPr="00AA7F1D" w:rsidRDefault="00EA30C0">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w:t>
      </w:r>
      <w:r w:rsidR="00A473DB" w:rsidRPr="00AA7F1D">
        <w:rPr>
          <w:rFonts w:cstheme="minorHAnsi"/>
          <w:sz w:val="16"/>
          <w:szCs w:val="18"/>
        </w:rPr>
        <w:t xml:space="preserve">MSAC Application 1684, available at: </w:t>
      </w:r>
      <w:hyperlink r:id="rId4" w:history="1">
        <w:r w:rsidR="00A473DB" w:rsidRPr="00AA7F1D">
          <w:rPr>
            <w:rStyle w:val="Hyperlink"/>
            <w:rFonts w:cstheme="minorHAnsi"/>
            <w:sz w:val="16"/>
            <w:szCs w:val="16"/>
          </w:rPr>
          <w:t>http://www.msac.gov.au/internet/msac/publishing.nsf/Content/1684-public</w:t>
        </w:r>
      </w:hyperlink>
      <w:r w:rsidR="00A473DB" w:rsidRPr="00AA7F1D">
        <w:rPr>
          <w:rFonts w:cstheme="minorHAnsi"/>
          <w:sz w:val="16"/>
          <w:szCs w:val="16"/>
        </w:rPr>
        <w:t xml:space="preserve"> </w:t>
      </w:r>
    </w:p>
  </w:footnote>
  <w:footnote w:id="6">
    <w:p w14:paraId="3615648A" w14:textId="77777777" w:rsidR="00785C2F" w:rsidRPr="00AA7F1D" w:rsidRDefault="00785C2F" w:rsidP="00785C2F">
      <w:pPr>
        <w:pStyle w:val="FootnoteText"/>
        <w:rPr>
          <w:rFonts w:cstheme="minorHAnsi"/>
          <w:sz w:val="16"/>
          <w:szCs w:val="16"/>
        </w:rPr>
      </w:pPr>
      <w:r w:rsidRPr="00AA7F1D">
        <w:rPr>
          <w:rStyle w:val="FootnoteReference"/>
          <w:rFonts w:cstheme="minorHAnsi"/>
          <w:sz w:val="16"/>
          <w:szCs w:val="16"/>
        </w:rPr>
        <w:footnoteRef/>
      </w:r>
      <w:r w:rsidRPr="00AA7F1D">
        <w:rPr>
          <w:rFonts w:cstheme="minorHAnsi"/>
          <w:sz w:val="16"/>
          <w:szCs w:val="16"/>
        </w:rPr>
        <w:t xml:space="preserve"> Therapeutic Goods Administration (2018). </w:t>
      </w:r>
      <w:r w:rsidRPr="00AA7F1D">
        <w:rPr>
          <w:rFonts w:cstheme="minorHAnsi"/>
          <w:i/>
          <w:sz w:val="16"/>
          <w:szCs w:val="16"/>
        </w:rPr>
        <w:t>Regulatory requirements for in-house IVDs</w:t>
      </w:r>
      <w:r w:rsidRPr="00AA7F1D">
        <w:rPr>
          <w:rFonts w:cstheme="minorHAnsi"/>
          <w:sz w:val="16"/>
          <w:szCs w:val="16"/>
        </w:rPr>
        <w:t>. Version 2.2. Australian Department of Health</w:t>
      </w:r>
    </w:p>
  </w:footnote>
  <w:footnote w:id="7">
    <w:p w14:paraId="6DBECEA2" w14:textId="0F8712DE" w:rsidR="00785C2F" w:rsidRPr="00F40F64" w:rsidRDefault="00785C2F" w:rsidP="00785C2F">
      <w:pPr>
        <w:pStyle w:val="FootnoteText"/>
        <w:rPr>
          <w:rFonts w:cstheme="minorHAnsi"/>
        </w:rPr>
      </w:pPr>
      <w:r w:rsidRPr="00F40F64">
        <w:rPr>
          <w:rStyle w:val="FootnoteReference"/>
          <w:rFonts w:cstheme="minorHAnsi"/>
        </w:rPr>
        <w:footnoteRef/>
      </w:r>
      <w:r w:rsidRPr="00F40F64">
        <w:rPr>
          <w:rFonts w:cstheme="minorHAnsi"/>
        </w:rPr>
        <w:t xml:space="preserve"> Boscoe AN, </w:t>
      </w:r>
      <w:r w:rsidR="00B27059">
        <w:rPr>
          <w:rFonts w:cstheme="minorHAnsi"/>
        </w:rPr>
        <w:t>et al (2019)</w:t>
      </w:r>
      <w:r w:rsidRPr="00F40F64">
        <w:rPr>
          <w:rFonts w:cstheme="minorHAnsi"/>
        </w:rPr>
        <w:t xml:space="preserve">. Frequency and prognostic significance of isocitrate dehydrogenase 1 mutations in cholangiocarcinoma: a systematic literature review. </w:t>
      </w:r>
      <w:r w:rsidRPr="00F058B4">
        <w:rPr>
          <w:rFonts w:cstheme="minorHAnsi"/>
          <w:i/>
          <w:iCs/>
        </w:rPr>
        <w:t xml:space="preserve">J </w:t>
      </w:r>
      <w:r w:rsidRPr="00F058B4">
        <w:rPr>
          <w:rFonts w:cstheme="minorHAnsi"/>
          <w:i/>
          <w:iCs/>
        </w:rPr>
        <w:t>Gastrointest Oncol</w:t>
      </w:r>
      <w:r w:rsidRPr="00F40F64">
        <w:rPr>
          <w:rFonts w:cstheme="minorHAnsi"/>
        </w:rPr>
        <w:t>. 2019;10(4):751-65.</w:t>
      </w:r>
    </w:p>
  </w:footnote>
  <w:footnote w:id="8">
    <w:p w14:paraId="4C0A0826" w14:textId="250E55BF" w:rsidR="00785C2F" w:rsidRPr="009467C0" w:rsidRDefault="00785C2F" w:rsidP="00785C2F">
      <w:pPr>
        <w:pStyle w:val="FootnoteText"/>
      </w:pPr>
      <w:r w:rsidRPr="00F40F64">
        <w:rPr>
          <w:rStyle w:val="FootnoteReference"/>
          <w:rFonts w:cstheme="minorHAnsi"/>
        </w:rPr>
        <w:footnoteRef/>
      </w:r>
      <w:r w:rsidRPr="00F40F64">
        <w:rPr>
          <w:rFonts w:cstheme="minorHAnsi"/>
        </w:rPr>
        <w:t xml:space="preserve"> Rimini M, et al.</w:t>
      </w:r>
      <w:r w:rsidR="00F058B4">
        <w:rPr>
          <w:rFonts w:cstheme="minorHAnsi"/>
        </w:rPr>
        <w:t xml:space="preserve"> (</w:t>
      </w:r>
      <w:r w:rsidR="00F058B4" w:rsidRPr="00F40F64">
        <w:rPr>
          <w:rFonts w:cstheme="minorHAnsi"/>
        </w:rPr>
        <w:t>2023</w:t>
      </w:r>
      <w:r w:rsidR="00F058B4">
        <w:rPr>
          <w:rFonts w:cstheme="minorHAnsi"/>
        </w:rPr>
        <w:t>).</w:t>
      </w:r>
      <w:r w:rsidRPr="00F40F64">
        <w:rPr>
          <w:rFonts w:cstheme="minorHAnsi"/>
        </w:rPr>
        <w:t xml:space="preserve"> Clinical Outcomes After Progression on First-Line Therapies in IDH1 Mutated Versus Wild-Type Intrahepatic Cholangiocarcinoma Patients. </w:t>
      </w:r>
      <w:r w:rsidRPr="00F058B4">
        <w:rPr>
          <w:rFonts w:cstheme="minorHAnsi"/>
          <w:i/>
          <w:iCs/>
        </w:rPr>
        <w:t>Target Oncol.</w:t>
      </w:r>
      <w:r w:rsidRPr="00F40F64">
        <w:rPr>
          <w:rFonts w:cstheme="minorHAnsi"/>
        </w:rPr>
        <w:t xml:space="preserve"> Jan;18(1):139-45</w:t>
      </w:r>
    </w:p>
  </w:footnote>
  <w:footnote w:id="9">
    <w:p w14:paraId="37E777D7" w14:textId="7B3227B7" w:rsidR="00785C2F" w:rsidRPr="009467C0" w:rsidRDefault="00785C2F" w:rsidP="00785C2F">
      <w:pPr>
        <w:pStyle w:val="FootnoteText"/>
      </w:pPr>
      <w:r w:rsidRPr="009467C0">
        <w:rPr>
          <w:rStyle w:val="FootnoteReference"/>
        </w:rPr>
        <w:footnoteRef/>
      </w:r>
      <w:r w:rsidRPr="009467C0">
        <w:t xml:space="preserve"> </w:t>
      </w:r>
      <w:r w:rsidRPr="00E804BF">
        <w:rPr>
          <w:rFonts w:cstheme="minorHAnsi"/>
        </w:rPr>
        <w:t>Popovici-Muller Jet al.</w:t>
      </w:r>
      <w:r w:rsidR="00B830B5">
        <w:rPr>
          <w:rFonts w:cstheme="minorHAnsi"/>
        </w:rPr>
        <w:t xml:space="preserve"> (2018)</w:t>
      </w:r>
      <w:r w:rsidRPr="00E804BF">
        <w:rPr>
          <w:rFonts w:cstheme="minorHAnsi"/>
        </w:rPr>
        <w:t xml:space="preserve"> Discovery of AG-120 (Ivosidenib): A First-in-Class Mutant IDH1 Inhibitor for the Treatment of IDH1 Mutant Cancers. </w:t>
      </w:r>
      <w:r w:rsidRPr="00E804BF">
        <w:rPr>
          <w:rFonts w:cstheme="minorHAnsi"/>
          <w:i/>
        </w:rPr>
        <w:t>ACS Med Chem Lett</w:t>
      </w:r>
      <w:r w:rsidRPr="00E804BF">
        <w:rPr>
          <w:rFonts w:cstheme="minorHAnsi"/>
        </w:rPr>
        <w:t>. 2018 Apr 12;9(4):300-5</w:t>
      </w:r>
    </w:p>
  </w:footnote>
  <w:footnote w:id="10">
    <w:p w14:paraId="45ED4B5F" w14:textId="77777777" w:rsidR="00785C2F" w:rsidRPr="007530FF" w:rsidRDefault="00785C2F" w:rsidP="00785C2F">
      <w:pPr>
        <w:pStyle w:val="FootnoteText"/>
        <w:rPr>
          <w:rFonts w:cstheme="minorHAnsi"/>
        </w:rPr>
      </w:pPr>
      <w:r w:rsidRPr="007530FF">
        <w:rPr>
          <w:rStyle w:val="FootnoteReference"/>
          <w:rFonts w:cstheme="minorHAnsi"/>
        </w:rPr>
        <w:footnoteRef/>
      </w:r>
      <w:r w:rsidRPr="007530FF">
        <w:rPr>
          <w:rFonts w:cstheme="minorHAnsi"/>
        </w:rPr>
        <w:t xml:space="preserve"> </w:t>
      </w:r>
      <w:bookmarkStart w:id="43" w:name="_Hlk164163685"/>
      <w:r w:rsidRPr="007530FF">
        <w:rPr>
          <w:rFonts w:cstheme="minorHAnsi"/>
        </w:rPr>
        <w:t xml:space="preserve">Cost of testing and identifying one patient = $340 ÷ 9.15% </w:t>
      </w:r>
      <w:bookmarkEnd w:id="4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11FA" w14:textId="77777777" w:rsidR="002909A7" w:rsidRDefault="00290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076F" w14:textId="77777777" w:rsidR="00227D10" w:rsidRPr="009467C0" w:rsidRDefault="00227D10" w:rsidP="00C317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D487" w14:textId="77777777" w:rsidR="002909A7" w:rsidRDefault="00290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22106"/>
    <w:multiLevelType w:val="hybridMultilevel"/>
    <w:tmpl w:val="18083A6C"/>
    <w:lvl w:ilvl="0" w:tplc="F2BCADCC">
      <w:start w:val="1"/>
      <w:numFmt w:val="decimal"/>
      <w:pStyle w:val="1Tablelist"/>
      <w:lvlText w:val="%1."/>
      <w:lvlJc w:val="left"/>
      <w:pPr>
        <w:ind w:left="522" w:hanging="360"/>
      </w:pPr>
      <w:rPr>
        <w:rFonts w:ascii="Calibri" w:hAnsi="Calibri" w:hint="default"/>
        <w:sz w:val="17"/>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09617AC2"/>
    <w:multiLevelType w:val="multilevel"/>
    <w:tmpl w:val="92846974"/>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935A7"/>
    <w:multiLevelType w:val="hybridMultilevel"/>
    <w:tmpl w:val="8C82C8A0"/>
    <w:lvl w:ilvl="0" w:tplc="5F9EC3C6">
      <w:start w:val="1"/>
      <w:numFmt w:val="bullet"/>
      <w:pStyle w:val="Bullet1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C098C"/>
    <w:multiLevelType w:val="hybridMultilevel"/>
    <w:tmpl w:val="E39A3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76E1B2C"/>
    <w:multiLevelType w:val="hybridMultilevel"/>
    <w:tmpl w:val="3252E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Restart w:val="1"/>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DE63FE6"/>
    <w:multiLevelType w:val="hybridMultilevel"/>
    <w:tmpl w:val="15DABFC8"/>
    <w:lvl w:ilvl="0" w:tplc="40B85570">
      <w:start w:val="1"/>
      <w:numFmt w:val="bullet"/>
      <w:pStyle w:val="Dash12"/>
      <w:lvlText w:val="-"/>
      <w:lvlJc w:val="left"/>
      <w:pPr>
        <w:ind w:left="1074" w:hanging="360"/>
      </w:pPr>
      <w:rPr>
        <w:rFonts w:ascii="Calibri" w:hAnsi="Calibri"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0"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7E60A2"/>
    <w:multiLevelType w:val="hybridMultilevel"/>
    <w:tmpl w:val="4E7C5508"/>
    <w:lvl w:ilvl="0" w:tplc="83605EF4">
      <w:start w:val="1"/>
      <w:numFmt w:val="decimal"/>
      <w:pStyle w:val="ListNos12"/>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8B2B75"/>
    <w:multiLevelType w:val="hybridMultilevel"/>
    <w:tmpl w:val="068CA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096A79"/>
    <w:multiLevelType w:val="multilevel"/>
    <w:tmpl w:val="54C0B3FC"/>
    <w:styleLink w:val="Style3"/>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7F391F"/>
    <w:multiLevelType w:val="hybridMultilevel"/>
    <w:tmpl w:val="174AC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AA741F"/>
    <w:multiLevelType w:val="multilevel"/>
    <w:tmpl w:val="7C8CA8C4"/>
    <w:lvl w:ilvl="0">
      <w:start w:val="1"/>
      <w:numFmt w:val="decimal"/>
      <w:pStyle w:val="ES1"/>
      <w:lvlText w:val="ES.%1"/>
      <w:lvlJc w:val="left"/>
      <w:pPr>
        <w:tabs>
          <w:tab w:val="num" w:pos="397"/>
        </w:tabs>
        <w:ind w:left="357" w:hanging="357"/>
      </w:pPr>
      <w:rPr>
        <w:rFonts w:hint="default"/>
      </w:rPr>
    </w:lvl>
    <w:lvl w:ilvl="1">
      <w:start w:val="1"/>
      <w:numFmt w:val="decimal"/>
      <w:pStyle w:val="ES2"/>
      <w:lvlText w:val="ES.%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0A2872"/>
    <w:multiLevelType w:val="hybridMultilevel"/>
    <w:tmpl w:val="21C6FD1E"/>
    <w:lvl w:ilvl="0" w:tplc="6362FD4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750B9A"/>
    <w:multiLevelType w:val="hybridMultilevel"/>
    <w:tmpl w:val="71DC5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6C72"/>
    <w:multiLevelType w:val="hybridMultilevel"/>
    <w:tmpl w:val="6BB0B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8470A18"/>
    <w:multiLevelType w:val="hybridMultilevel"/>
    <w:tmpl w:val="BC72D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46332AF"/>
    <w:multiLevelType w:val="hybridMultilevel"/>
    <w:tmpl w:val="47285D50"/>
    <w:lvl w:ilvl="0" w:tplc="1A52FD5C">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075CD0"/>
    <w:multiLevelType w:val="hybridMultilevel"/>
    <w:tmpl w:val="4E8A857A"/>
    <w:lvl w:ilvl="0" w:tplc="DFFED0A2">
      <w:start w:val="5"/>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6337DEC"/>
    <w:multiLevelType w:val="hybridMultilevel"/>
    <w:tmpl w:val="C7CA4236"/>
    <w:lvl w:ilvl="0" w:tplc="8430A1B6">
      <w:start w:val="1"/>
      <w:numFmt w:val="decimal"/>
      <w:pStyle w:val="TableListNo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84D033C"/>
    <w:multiLevelType w:val="multilevel"/>
    <w:tmpl w:val="F30465CA"/>
    <w:lvl w:ilvl="0">
      <w:start w:val="1"/>
      <w:numFmt w:val="decimal"/>
      <w:pStyle w:val="PBACESHeading1"/>
      <w:lvlText w:val="%1"/>
      <w:lvlJc w:val="left"/>
      <w:pPr>
        <w:ind w:left="720" w:hanging="720"/>
      </w:pPr>
      <w:rPr>
        <w:rFonts w:hint="default"/>
        <w:b/>
      </w:rPr>
    </w:lvl>
    <w:lvl w:ilvl="1">
      <w:start w:val="1"/>
      <w:numFmt w:val="none"/>
      <w:pStyle w:val="PBACESHeadingCAPS"/>
      <w:suff w:val="nothing"/>
      <w:lvlText w:val=""/>
      <w:lvlJc w:val="left"/>
      <w:pPr>
        <w:ind w:left="720" w:hanging="720"/>
      </w:pPr>
      <w:rPr>
        <w:rFonts w:hint="default"/>
      </w:rPr>
    </w:lvl>
    <w:lvl w:ilvl="2">
      <w:start w:val="1"/>
      <w:numFmt w:val="none"/>
      <w:lvlRestart w:val="1"/>
      <w:pStyle w:val="PBACESHeading2"/>
      <w:suff w:val="nothing"/>
      <w:lvlText w:val=""/>
      <w:lvlJc w:val="left"/>
      <w:pPr>
        <w:ind w:left="720" w:hanging="720"/>
      </w:pPr>
      <w:rPr>
        <w:rFonts w:hint="default"/>
      </w:rPr>
    </w:lvl>
    <w:lvl w:ilvl="3">
      <w:start w:val="1"/>
      <w:numFmt w:val="none"/>
      <w:lvlRestart w:val="1"/>
      <w:pStyle w:val="PBACESHeading3"/>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67C63"/>
    <w:multiLevelType w:val="hybridMultilevel"/>
    <w:tmpl w:val="9B5A7674"/>
    <w:lvl w:ilvl="0" w:tplc="C1F6AB02">
      <w:start w:val="1"/>
      <w:numFmt w:val="bullet"/>
      <w:pStyle w:val="Tabledash"/>
      <w:lvlText w:val="-"/>
      <w:lvlJc w:val="left"/>
      <w:pPr>
        <w:ind w:left="786"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2364557">
    <w:abstractNumId w:val="27"/>
  </w:num>
  <w:num w:numId="2" w16cid:durableId="160004574">
    <w:abstractNumId w:val="10"/>
  </w:num>
  <w:num w:numId="3" w16cid:durableId="1264609250">
    <w:abstractNumId w:val="8"/>
  </w:num>
  <w:num w:numId="4" w16cid:durableId="450052433">
    <w:abstractNumId w:val="6"/>
  </w:num>
  <w:num w:numId="5" w16cid:durableId="1562056890">
    <w:abstractNumId w:val="27"/>
  </w:num>
  <w:num w:numId="6" w16cid:durableId="1538588986">
    <w:abstractNumId w:val="22"/>
  </w:num>
  <w:num w:numId="7" w16cid:durableId="785082837">
    <w:abstractNumId w:val="2"/>
  </w:num>
  <w:num w:numId="8" w16cid:durableId="186792209">
    <w:abstractNumId w:val="24"/>
  </w:num>
  <w:num w:numId="9" w16cid:durableId="418719457">
    <w:abstractNumId w:val="0"/>
  </w:num>
  <w:num w:numId="10" w16cid:durableId="1643459686">
    <w:abstractNumId w:val="28"/>
  </w:num>
  <w:num w:numId="11" w16cid:durableId="1524711340">
    <w:abstractNumId w:val="13"/>
  </w:num>
  <w:num w:numId="12" w16cid:durableId="1408721746">
    <w:abstractNumId w:val="20"/>
  </w:num>
  <w:num w:numId="13" w16cid:durableId="594633872">
    <w:abstractNumId w:val="18"/>
  </w:num>
  <w:num w:numId="14" w16cid:durableId="1532693584">
    <w:abstractNumId w:val="3"/>
  </w:num>
  <w:num w:numId="15" w16cid:durableId="1968465805">
    <w:abstractNumId w:val="19"/>
  </w:num>
  <w:num w:numId="16" w16cid:durableId="1094087165">
    <w:abstractNumId w:val="16"/>
  </w:num>
  <w:num w:numId="17" w16cid:durableId="1172069106">
    <w:abstractNumId w:val="17"/>
  </w:num>
  <w:num w:numId="18" w16cid:durableId="1371417102">
    <w:abstractNumId w:val="7"/>
  </w:num>
  <w:num w:numId="19" w16cid:durableId="444077338">
    <w:abstractNumId w:val="21"/>
  </w:num>
  <w:num w:numId="20" w16cid:durableId="1684473088">
    <w:abstractNumId w:val="5"/>
  </w:num>
  <w:num w:numId="21" w16cid:durableId="268703532">
    <w:abstractNumId w:val="23"/>
  </w:num>
  <w:num w:numId="22" w16cid:durableId="207032726">
    <w:abstractNumId w:val="4"/>
  </w:num>
  <w:num w:numId="23" w16cid:durableId="1762096278">
    <w:abstractNumId w:val="11"/>
  </w:num>
  <w:num w:numId="24" w16cid:durableId="391513144">
    <w:abstractNumId w:val="26"/>
  </w:num>
  <w:num w:numId="25" w16cid:durableId="2023237378">
    <w:abstractNumId w:val="9"/>
  </w:num>
  <w:num w:numId="26" w16cid:durableId="749547262">
    <w:abstractNumId w:val="30"/>
  </w:num>
  <w:num w:numId="27" w16cid:durableId="338046572">
    <w:abstractNumId w:val="1"/>
  </w:num>
  <w:num w:numId="28" w16cid:durableId="717513549">
    <w:abstractNumId w:val="15"/>
  </w:num>
  <w:num w:numId="29" w16cid:durableId="1214729475">
    <w:abstractNumId w:val="12"/>
  </w:num>
  <w:num w:numId="30" w16cid:durableId="1785542380">
    <w:abstractNumId w:val="14"/>
  </w:num>
  <w:num w:numId="31" w16cid:durableId="638463868">
    <w:abstractNumId w:val="25"/>
  </w:num>
  <w:num w:numId="32" w16cid:durableId="8147598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d9tfa96d9rw9ep50i5a0feaz5appf95d2s&quot;&gt;1750 codep_OC_SN&lt;record-ids&gt;&lt;item&gt;1&lt;/item&gt;&lt;item&gt;5&lt;/item&gt;&lt;item&gt;6&lt;/item&gt;&lt;item&gt;7&lt;/item&gt;&lt;item&gt;8&lt;/item&gt;&lt;item&gt;9&lt;/item&gt;&lt;item&gt;10&lt;/item&gt;&lt;item&gt;11&lt;/item&gt;&lt;item&gt;12&lt;/item&gt;&lt;item&gt;13&lt;/item&gt;&lt;item&gt;14&lt;/item&gt;&lt;item&gt;15&lt;/item&gt;&lt;item&gt;18&lt;/item&gt;&lt;item&gt;19&lt;/item&gt;&lt;item&gt;20&lt;/item&gt;&lt;item&gt;21&lt;/item&gt;&lt;item&gt;22&lt;/item&gt;&lt;item&gt;23&lt;/item&gt;&lt;item&gt;28&lt;/item&gt;&lt;item&gt;30&lt;/item&gt;&lt;item&gt;31&lt;/item&gt;&lt;item&gt;33&lt;/item&gt;&lt;item&gt;36&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record-ids&gt;&lt;/item&gt;&lt;/Libraries&gt;"/>
    <w:docVar w:name="EN.UseJSCitationFormat" w:val="False"/>
  </w:docVars>
  <w:rsids>
    <w:rsidRoot w:val="00AB2274"/>
    <w:rsid w:val="00000755"/>
    <w:rsid w:val="00000B37"/>
    <w:rsid w:val="00000B3D"/>
    <w:rsid w:val="00000B5F"/>
    <w:rsid w:val="00001349"/>
    <w:rsid w:val="00001563"/>
    <w:rsid w:val="00001682"/>
    <w:rsid w:val="000017B1"/>
    <w:rsid w:val="0000186C"/>
    <w:rsid w:val="0000196F"/>
    <w:rsid w:val="00001A41"/>
    <w:rsid w:val="00001AB4"/>
    <w:rsid w:val="00001DC1"/>
    <w:rsid w:val="00001EEA"/>
    <w:rsid w:val="0000202D"/>
    <w:rsid w:val="0000212C"/>
    <w:rsid w:val="00002BEA"/>
    <w:rsid w:val="00002DB7"/>
    <w:rsid w:val="00002EE0"/>
    <w:rsid w:val="00003116"/>
    <w:rsid w:val="000031F6"/>
    <w:rsid w:val="000032A4"/>
    <w:rsid w:val="000035B9"/>
    <w:rsid w:val="00003EF2"/>
    <w:rsid w:val="000040FB"/>
    <w:rsid w:val="000042E7"/>
    <w:rsid w:val="00004646"/>
    <w:rsid w:val="0000472D"/>
    <w:rsid w:val="00004C86"/>
    <w:rsid w:val="00004DB1"/>
    <w:rsid w:val="00005D58"/>
    <w:rsid w:val="00005FF0"/>
    <w:rsid w:val="00006057"/>
    <w:rsid w:val="000062E0"/>
    <w:rsid w:val="000070AB"/>
    <w:rsid w:val="000071B1"/>
    <w:rsid w:val="00007321"/>
    <w:rsid w:val="0001066F"/>
    <w:rsid w:val="0001072C"/>
    <w:rsid w:val="00010ED1"/>
    <w:rsid w:val="000118ED"/>
    <w:rsid w:val="00011A94"/>
    <w:rsid w:val="00012055"/>
    <w:rsid w:val="0001281E"/>
    <w:rsid w:val="00012991"/>
    <w:rsid w:val="00012F74"/>
    <w:rsid w:val="000131C9"/>
    <w:rsid w:val="00013222"/>
    <w:rsid w:val="0001369A"/>
    <w:rsid w:val="00013927"/>
    <w:rsid w:val="00013AE7"/>
    <w:rsid w:val="00013E19"/>
    <w:rsid w:val="000142C1"/>
    <w:rsid w:val="000147DF"/>
    <w:rsid w:val="0001491A"/>
    <w:rsid w:val="00014978"/>
    <w:rsid w:val="000149EC"/>
    <w:rsid w:val="00014EC4"/>
    <w:rsid w:val="00015263"/>
    <w:rsid w:val="00015290"/>
    <w:rsid w:val="0001548D"/>
    <w:rsid w:val="000158C9"/>
    <w:rsid w:val="00016361"/>
    <w:rsid w:val="00016752"/>
    <w:rsid w:val="000168CB"/>
    <w:rsid w:val="00016BCB"/>
    <w:rsid w:val="00016E29"/>
    <w:rsid w:val="000170E1"/>
    <w:rsid w:val="0001716E"/>
    <w:rsid w:val="000171F4"/>
    <w:rsid w:val="000176B5"/>
    <w:rsid w:val="00017775"/>
    <w:rsid w:val="00017883"/>
    <w:rsid w:val="000179CD"/>
    <w:rsid w:val="000200E4"/>
    <w:rsid w:val="0002045C"/>
    <w:rsid w:val="0002095B"/>
    <w:rsid w:val="00020A1C"/>
    <w:rsid w:val="00020DA2"/>
    <w:rsid w:val="000210A3"/>
    <w:rsid w:val="0002135E"/>
    <w:rsid w:val="00021378"/>
    <w:rsid w:val="000215E2"/>
    <w:rsid w:val="00021606"/>
    <w:rsid w:val="0002166E"/>
    <w:rsid w:val="00021844"/>
    <w:rsid w:val="00021C2E"/>
    <w:rsid w:val="00022029"/>
    <w:rsid w:val="000224E3"/>
    <w:rsid w:val="000225D3"/>
    <w:rsid w:val="000226D8"/>
    <w:rsid w:val="00022A3F"/>
    <w:rsid w:val="00023139"/>
    <w:rsid w:val="0002332E"/>
    <w:rsid w:val="00023606"/>
    <w:rsid w:val="000239BE"/>
    <w:rsid w:val="00023D04"/>
    <w:rsid w:val="0002425F"/>
    <w:rsid w:val="0002501A"/>
    <w:rsid w:val="000252D1"/>
    <w:rsid w:val="00025347"/>
    <w:rsid w:val="000255EF"/>
    <w:rsid w:val="00025735"/>
    <w:rsid w:val="000258DD"/>
    <w:rsid w:val="0002598A"/>
    <w:rsid w:val="00025AEE"/>
    <w:rsid w:val="00025B1B"/>
    <w:rsid w:val="00025BAE"/>
    <w:rsid w:val="00025DAD"/>
    <w:rsid w:val="0002606D"/>
    <w:rsid w:val="000260CE"/>
    <w:rsid w:val="000261F8"/>
    <w:rsid w:val="000264CB"/>
    <w:rsid w:val="0002650A"/>
    <w:rsid w:val="00026BC6"/>
    <w:rsid w:val="00026CB8"/>
    <w:rsid w:val="00026CEA"/>
    <w:rsid w:val="00027625"/>
    <w:rsid w:val="00027AC5"/>
    <w:rsid w:val="00027ED2"/>
    <w:rsid w:val="00027F11"/>
    <w:rsid w:val="00030258"/>
    <w:rsid w:val="0003029F"/>
    <w:rsid w:val="0003087B"/>
    <w:rsid w:val="00030D9F"/>
    <w:rsid w:val="00030DC1"/>
    <w:rsid w:val="00031108"/>
    <w:rsid w:val="000319E9"/>
    <w:rsid w:val="0003201A"/>
    <w:rsid w:val="000325C3"/>
    <w:rsid w:val="00032867"/>
    <w:rsid w:val="00033626"/>
    <w:rsid w:val="00033744"/>
    <w:rsid w:val="000337A3"/>
    <w:rsid w:val="00033CE1"/>
    <w:rsid w:val="00034404"/>
    <w:rsid w:val="00034949"/>
    <w:rsid w:val="0003497C"/>
    <w:rsid w:val="000359BA"/>
    <w:rsid w:val="00035BE6"/>
    <w:rsid w:val="00035F6C"/>
    <w:rsid w:val="00036004"/>
    <w:rsid w:val="00036051"/>
    <w:rsid w:val="0003620F"/>
    <w:rsid w:val="000363B8"/>
    <w:rsid w:val="00036951"/>
    <w:rsid w:val="0003764D"/>
    <w:rsid w:val="00037F3F"/>
    <w:rsid w:val="00040603"/>
    <w:rsid w:val="00041EC5"/>
    <w:rsid w:val="00041EDF"/>
    <w:rsid w:val="00042544"/>
    <w:rsid w:val="000436BC"/>
    <w:rsid w:val="000438AF"/>
    <w:rsid w:val="00044409"/>
    <w:rsid w:val="0004441D"/>
    <w:rsid w:val="000449E3"/>
    <w:rsid w:val="0004515C"/>
    <w:rsid w:val="00045171"/>
    <w:rsid w:val="0004565A"/>
    <w:rsid w:val="000456F5"/>
    <w:rsid w:val="000459EE"/>
    <w:rsid w:val="00045D47"/>
    <w:rsid w:val="000461CF"/>
    <w:rsid w:val="00046A58"/>
    <w:rsid w:val="00046AAA"/>
    <w:rsid w:val="00046EA0"/>
    <w:rsid w:val="0004758F"/>
    <w:rsid w:val="00047867"/>
    <w:rsid w:val="00047A90"/>
    <w:rsid w:val="00050647"/>
    <w:rsid w:val="00050BA4"/>
    <w:rsid w:val="000513FE"/>
    <w:rsid w:val="00051DCF"/>
    <w:rsid w:val="00051E0E"/>
    <w:rsid w:val="000521F3"/>
    <w:rsid w:val="000522EE"/>
    <w:rsid w:val="00052BCD"/>
    <w:rsid w:val="000538AF"/>
    <w:rsid w:val="00053E32"/>
    <w:rsid w:val="00053F94"/>
    <w:rsid w:val="00054171"/>
    <w:rsid w:val="00054A23"/>
    <w:rsid w:val="00054C63"/>
    <w:rsid w:val="00054C98"/>
    <w:rsid w:val="000552BC"/>
    <w:rsid w:val="00055575"/>
    <w:rsid w:val="0005566C"/>
    <w:rsid w:val="0005590E"/>
    <w:rsid w:val="00055DCD"/>
    <w:rsid w:val="0005730B"/>
    <w:rsid w:val="000575F1"/>
    <w:rsid w:val="000578D9"/>
    <w:rsid w:val="00057A8C"/>
    <w:rsid w:val="00057B1E"/>
    <w:rsid w:val="00057F71"/>
    <w:rsid w:val="00061070"/>
    <w:rsid w:val="00062018"/>
    <w:rsid w:val="00062067"/>
    <w:rsid w:val="000624D5"/>
    <w:rsid w:val="0006287B"/>
    <w:rsid w:val="00062882"/>
    <w:rsid w:val="00062944"/>
    <w:rsid w:val="00062C6F"/>
    <w:rsid w:val="00062DD6"/>
    <w:rsid w:val="00062FA7"/>
    <w:rsid w:val="00063478"/>
    <w:rsid w:val="000643FA"/>
    <w:rsid w:val="0006442F"/>
    <w:rsid w:val="0006444E"/>
    <w:rsid w:val="00064D04"/>
    <w:rsid w:val="00064E7A"/>
    <w:rsid w:val="00064E95"/>
    <w:rsid w:val="00064F41"/>
    <w:rsid w:val="0006562D"/>
    <w:rsid w:val="00065C29"/>
    <w:rsid w:val="00065C62"/>
    <w:rsid w:val="00065CDE"/>
    <w:rsid w:val="00065E8E"/>
    <w:rsid w:val="00065F4A"/>
    <w:rsid w:val="000661AB"/>
    <w:rsid w:val="000676E5"/>
    <w:rsid w:val="000677DE"/>
    <w:rsid w:val="00067DD0"/>
    <w:rsid w:val="0007028F"/>
    <w:rsid w:val="00070332"/>
    <w:rsid w:val="0007063B"/>
    <w:rsid w:val="000708AA"/>
    <w:rsid w:val="00070D75"/>
    <w:rsid w:val="00070F13"/>
    <w:rsid w:val="00070F2E"/>
    <w:rsid w:val="0007101F"/>
    <w:rsid w:val="000718A5"/>
    <w:rsid w:val="00071FCE"/>
    <w:rsid w:val="000721FB"/>
    <w:rsid w:val="000723F8"/>
    <w:rsid w:val="00072690"/>
    <w:rsid w:val="000726F1"/>
    <w:rsid w:val="00072EA4"/>
    <w:rsid w:val="00072F6D"/>
    <w:rsid w:val="00072FC2"/>
    <w:rsid w:val="000730C1"/>
    <w:rsid w:val="0007323C"/>
    <w:rsid w:val="00073278"/>
    <w:rsid w:val="0007394A"/>
    <w:rsid w:val="000739F5"/>
    <w:rsid w:val="00073FA7"/>
    <w:rsid w:val="00074365"/>
    <w:rsid w:val="00075239"/>
    <w:rsid w:val="0007566C"/>
    <w:rsid w:val="000758A9"/>
    <w:rsid w:val="00075B88"/>
    <w:rsid w:val="00075D99"/>
    <w:rsid w:val="00075FB7"/>
    <w:rsid w:val="00076825"/>
    <w:rsid w:val="000779AF"/>
    <w:rsid w:val="00077C19"/>
    <w:rsid w:val="00077F17"/>
    <w:rsid w:val="00077F1E"/>
    <w:rsid w:val="00077FE1"/>
    <w:rsid w:val="00080023"/>
    <w:rsid w:val="0008049F"/>
    <w:rsid w:val="00080570"/>
    <w:rsid w:val="00080813"/>
    <w:rsid w:val="0008088B"/>
    <w:rsid w:val="00080FF3"/>
    <w:rsid w:val="000816DF"/>
    <w:rsid w:val="00081717"/>
    <w:rsid w:val="00082099"/>
    <w:rsid w:val="00082422"/>
    <w:rsid w:val="000825CE"/>
    <w:rsid w:val="000825EF"/>
    <w:rsid w:val="00082652"/>
    <w:rsid w:val="00082696"/>
    <w:rsid w:val="0008269E"/>
    <w:rsid w:val="00082868"/>
    <w:rsid w:val="000829F7"/>
    <w:rsid w:val="00082CF1"/>
    <w:rsid w:val="0008352B"/>
    <w:rsid w:val="0008379A"/>
    <w:rsid w:val="00083E6F"/>
    <w:rsid w:val="00083F6A"/>
    <w:rsid w:val="00083FCB"/>
    <w:rsid w:val="000843DE"/>
    <w:rsid w:val="00084412"/>
    <w:rsid w:val="00084581"/>
    <w:rsid w:val="00084626"/>
    <w:rsid w:val="00084655"/>
    <w:rsid w:val="000847FE"/>
    <w:rsid w:val="0008493E"/>
    <w:rsid w:val="00084B18"/>
    <w:rsid w:val="00085A7A"/>
    <w:rsid w:val="00085C2F"/>
    <w:rsid w:val="00086133"/>
    <w:rsid w:val="00086318"/>
    <w:rsid w:val="0008633B"/>
    <w:rsid w:val="000865A7"/>
    <w:rsid w:val="00086969"/>
    <w:rsid w:val="000872F5"/>
    <w:rsid w:val="0008757D"/>
    <w:rsid w:val="000876F3"/>
    <w:rsid w:val="00090395"/>
    <w:rsid w:val="000906E8"/>
    <w:rsid w:val="00090CAC"/>
    <w:rsid w:val="000911A2"/>
    <w:rsid w:val="00091481"/>
    <w:rsid w:val="000917F3"/>
    <w:rsid w:val="00091995"/>
    <w:rsid w:val="000919C2"/>
    <w:rsid w:val="00091A43"/>
    <w:rsid w:val="00091BC3"/>
    <w:rsid w:val="0009237C"/>
    <w:rsid w:val="00092727"/>
    <w:rsid w:val="00092940"/>
    <w:rsid w:val="00092945"/>
    <w:rsid w:val="00092DD7"/>
    <w:rsid w:val="0009390D"/>
    <w:rsid w:val="00093E6C"/>
    <w:rsid w:val="000942DA"/>
    <w:rsid w:val="00094450"/>
    <w:rsid w:val="000944DD"/>
    <w:rsid w:val="00094AC3"/>
    <w:rsid w:val="00094B1B"/>
    <w:rsid w:val="00094CDE"/>
    <w:rsid w:val="00094D72"/>
    <w:rsid w:val="00094FDD"/>
    <w:rsid w:val="000955E6"/>
    <w:rsid w:val="00095DD8"/>
    <w:rsid w:val="00096099"/>
    <w:rsid w:val="00096359"/>
    <w:rsid w:val="000965EC"/>
    <w:rsid w:val="000966C8"/>
    <w:rsid w:val="0009688E"/>
    <w:rsid w:val="0009689E"/>
    <w:rsid w:val="00096905"/>
    <w:rsid w:val="00096BCD"/>
    <w:rsid w:val="0009714A"/>
    <w:rsid w:val="00097A35"/>
    <w:rsid w:val="00097E47"/>
    <w:rsid w:val="00097F70"/>
    <w:rsid w:val="000A027E"/>
    <w:rsid w:val="000A0CF1"/>
    <w:rsid w:val="000A0ED9"/>
    <w:rsid w:val="000A1063"/>
    <w:rsid w:val="000A10F9"/>
    <w:rsid w:val="000A1426"/>
    <w:rsid w:val="000A170D"/>
    <w:rsid w:val="000A1831"/>
    <w:rsid w:val="000A1F7B"/>
    <w:rsid w:val="000A24EC"/>
    <w:rsid w:val="000A259B"/>
    <w:rsid w:val="000A2694"/>
    <w:rsid w:val="000A26DE"/>
    <w:rsid w:val="000A2BBC"/>
    <w:rsid w:val="000A2DFD"/>
    <w:rsid w:val="000A2EF1"/>
    <w:rsid w:val="000A331B"/>
    <w:rsid w:val="000A3533"/>
    <w:rsid w:val="000A3BE8"/>
    <w:rsid w:val="000A3D99"/>
    <w:rsid w:val="000A3F4C"/>
    <w:rsid w:val="000A46A0"/>
    <w:rsid w:val="000A49D8"/>
    <w:rsid w:val="000A4ABE"/>
    <w:rsid w:val="000A4C52"/>
    <w:rsid w:val="000A5153"/>
    <w:rsid w:val="000A523D"/>
    <w:rsid w:val="000A5757"/>
    <w:rsid w:val="000A58C0"/>
    <w:rsid w:val="000A5D44"/>
    <w:rsid w:val="000A5E79"/>
    <w:rsid w:val="000A648D"/>
    <w:rsid w:val="000A6A5B"/>
    <w:rsid w:val="000A6D37"/>
    <w:rsid w:val="000A6FBD"/>
    <w:rsid w:val="000A7333"/>
    <w:rsid w:val="000A75A7"/>
    <w:rsid w:val="000A78B1"/>
    <w:rsid w:val="000A7A96"/>
    <w:rsid w:val="000A7EA5"/>
    <w:rsid w:val="000B003E"/>
    <w:rsid w:val="000B0073"/>
    <w:rsid w:val="000B1194"/>
    <w:rsid w:val="000B124A"/>
    <w:rsid w:val="000B13B7"/>
    <w:rsid w:val="000B178A"/>
    <w:rsid w:val="000B1950"/>
    <w:rsid w:val="000B1D94"/>
    <w:rsid w:val="000B229E"/>
    <w:rsid w:val="000B2995"/>
    <w:rsid w:val="000B2AC7"/>
    <w:rsid w:val="000B2BE3"/>
    <w:rsid w:val="000B35EA"/>
    <w:rsid w:val="000B38C0"/>
    <w:rsid w:val="000B3A71"/>
    <w:rsid w:val="000B3A9F"/>
    <w:rsid w:val="000B3EDE"/>
    <w:rsid w:val="000B414F"/>
    <w:rsid w:val="000B4AE7"/>
    <w:rsid w:val="000B4AEF"/>
    <w:rsid w:val="000B4B0F"/>
    <w:rsid w:val="000B56CD"/>
    <w:rsid w:val="000B579B"/>
    <w:rsid w:val="000B5B18"/>
    <w:rsid w:val="000B5CD0"/>
    <w:rsid w:val="000B5F4A"/>
    <w:rsid w:val="000B626D"/>
    <w:rsid w:val="000B627C"/>
    <w:rsid w:val="000B62B8"/>
    <w:rsid w:val="000B6450"/>
    <w:rsid w:val="000B6B69"/>
    <w:rsid w:val="000B6C30"/>
    <w:rsid w:val="000B6D86"/>
    <w:rsid w:val="000B7AED"/>
    <w:rsid w:val="000B7D9A"/>
    <w:rsid w:val="000B7F4D"/>
    <w:rsid w:val="000C00CD"/>
    <w:rsid w:val="000C0142"/>
    <w:rsid w:val="000C0207"/>
    <w:rsid w:val="000C0601"/>
    <w:rsid w:val="000C11CC"/>
    <w:rsid w:val="000C15CB"/>
    <w:rsid w:val="000C16B6"/>
    <w:rsid w:val="000C28B9"/>
    <w:rsid w:val="000C2A21"/>
    <w:rsid w:val="000C3227"/>
    <w:rsid w:val="000C39A5"/>
    <w:rsid w:val="000C3CC1"/>
    <w:rsid w:val="000C3DD3"/>
    <w:rsid w:val="000C3EE4"/>
    <w:rsid w:val="000C4027"/>
    <w:rsid w:val="000C406D"/>
    <w:rsid w:val="000C42CA"/>
    <w:rsid w:val="000C44E2"/>
    <w:rsid w:val="000C4D49"/>
    <w:rsid w:val="000C4E91"/>
    <w:rsid w:val="000C52BE"/>
    <w:rsid w:val="000C570C"/>
    <w:rsid w:val="000C57F2"/>
    <w:rsid w:val="000C580E"/>
    <w:rsid w:val="000C58AD"/>
    <w:rsid w:val="000C5B68"/>
    <w:rsid w:val="000C5EE4"/>
    <w:rsid w:val="000C668E"/>
    <w:rsid w:val="000C66CF"/>
    <w:rsid w:val="000C6A40"/>
    <w:rsid w:val="000C6CB4"/>
    <w:rsid w:val="000C6DB2"/>
    <w:rsid w:val="000C7883"/>
    <w:rsid w:val="000C793A"/>
    <w:rsid w:val="000C7B1E"/>
    <w:rsid w:val="000C7D66"/>
    <w:rsid w:val="000D0002"/>
    <w:rsid w:val="000D0023"/>
    <w:rsid w:val="000D03C9"/>
    <w:rsid w:val="000D0478"/>
    <w:rsid w:val="000D05BB"/>
    <w:rsid w:val="000D0A81"/>
    <w:rsid w:val="000D0CCD"/>
    <w:rsid w:val="000D1401"/>
    <w:rsid w:val="000D169F"/>
    <w:rsid w:val="000D1749"/>
    <w:rsid w:val="000D1AB4"/>
    <w:rsid w:val="000D1B42"/>
    <w:rsid w:val="000D2195"/>
    <w:rsid w:val="000D2313"/>
    <w:rsid w:val="000D2417"/>
    <w:rsid w:val="000D2942"/>
    <w:rsid w:val="000D2978"/>
    <w:rsid w:val="000D37D8"/>
    <w:rsid w:val="000D3865"/>
    <w:rsid w:val="000D39EF"/>
    <w:rsid w:val="000D406A"/>
    <w:rsid w:val="000D4166"/>
    <w:rsid w:val="000D4490"/>
    <w:rsid w:val="000D45DE"/>
    <w:rsid w:val="000D46D7"/>
    <w:rsid w:val="000D4793"/>
    <w:rsid w:val="000D4B89"/>
    <w:rsid w:val="000D5375"/>
    <w:rsid w:val="000D5C50"/>
    <w:rsid w:val="000D5F91"/>
    <w:rsid w:val="000D5FF6"/>
    <w:rsid w:val="000D6822"/>
    <w:rsid w:val="000D6A35"/>
    <w:rsid w:val="000D6A50"/>
    <w:rsid w:val="000D6B21"/>
    <w:rsid w:val="000D7063"/>
    <w:rsid w:val="000D7358"/>
    <w:rsid w:val="000D749B"/>
    <w:rsid w:val="000D7581"/>
    <w:rsid w:val="000D7644"/>
    <w:rsid w:val="000D7724"/>
    <w:rsid w:val="000D7729"/>
    <w:rsid w:val="000D7914"/>
    <w:rsid w:val="000D7A9C"/>
    <w:rsid w:val="000D7C19"/>
    <w:rsid w:val="000D7CB5"/>
    <w:rsid w:val="000D7FE2"/>
    <w:rsid w:val="000E0135"/>
    <w:rsid w:val="000E0162"/>
    <w:rsid w:val="000E0624"/>
    <w:rsid w:val="000E07CD"/>
    <w:rsid w:val="000E08F8"/>
    <w:rsid w:val="000E0CFD"/>
    <w:rsid w:val="000E0E6C"/>
    <w:rsid w:val="000E0EC5"/>
    <w:rsid w:val="000E1470"/>
    <w:rsid w:val="000E35A0"/>
    <w:rsid w:val="000E477D"/>
    <w:rsid w:val="000E496A"/>
    <w:rsid w:val="000E5493"/>
    <w:rsid w:val="000E5C82"/>
    <w:rsid w:val="000E6352"/>
    <w:rsid w:val="000E663E"/>
    <w:rsid w:val="000E6AC2"/>
    <w:rsid w:val="000E6D8B"/>
    <w:rsid w:val="000E6DB0"/>
    <w:rsid w:val="000E6E20"/>
    <w:rsid w:val="000E7019"/>
    <w:rsid w:val="000E79E0"/>
    <w:rsid w:val="000E7B14"/>
    <w:rsid w:val="000E7D76"/>
    <w:rsid w:val="000E7ECD"/>
    <w:rsid w:val="000F0148"/>
    <w:rsid w:val="000F015A"/>
    <w:rsid w:val="000F08AD"/>
    <w:rsid w:val="000F1120"/>
    <w:rsid w:val="000F114A"/>
    <w:rsid w:val="000F1AF1"/>
    <w:rsid w:val="000F1B2A"/>
    <w:rsid w:val="000F1EC6"/>
    <w:rsid w:val="000F1F6A"/>
    <w:rsid w:val="000F2340"/>
    <w:rsid w:val="000F243A"/>
    <w:rsid w:val="000F2534"/>
    <w:rsid w:val="000F313A"/>
    <w:rsid w:val="000F3652"/>
    <w:rsid w:val="000F3AD3"/>
    <w:rsid w:val="000F3B06"/>
    <w:rsid w:val="000F414E"/>
    <w:rsid w:val="000F4C0C"/>
    <w:rsid w:val="000F4C3A"/>
    <w:rsid w:val="000F4EDE"/>
    <w:rsid w:val="000F58C1"/>
    <w:rsid w:val="000F66A1"/>
    <w:rsid w:val="000F6AD9"/>
    <w:rsid w:val="000F724D"/>
    <w:rsid w:val="000F74E0"/>
    <w:rsid w:val="0010002A"/>
    <w:rsid w:val="00100448"/>
    <w:rsid w:val="0010086D"/>
    <w:rsid w:val="00100AB0"/>
    <w:rsid w:val="00100F7D"/>
    <w:rsid w:val="00101412"/>
    <w:rsid w:val="001018A8"/>
    <w:rsid w:val="00101C7C"/>
    <w:rsid w:val="00101C8F"/>
    <w:rsid w:val="00101D25"/>
    <w:rsid w:val="00102D9B"/>
    <w:rsid w:val="00102DD6"/>
    <w:rsid w:val="00102F3F"/>
    <w:rsid w:val="00102F68"/>
    <w:rsid w:val="00103555"/>
    <w:rsid w:val="00103689"/>
    <w:rsid w:val="00103EDA"/>
    <w:rsid w:val="00104A1D"/>
    <w:rsid w:val="00104DA8"/>
    <w:rsid w:val="00104EF6"/>
    <w:rsid w:val="00104F65"/>
    <w:rsid w:val="00105149"/>
    <w:rsid w:val="001054F7"/>
    <w:rsid w:val="00105751"/>
    <w:rsid w:val="001059D6"/>
    <w:rsid w:val="00105C72"/>
    <w:rsid w:val="001069A7"/>
    <w:rsid w:val="0011036D"/>
    <w:rsid w:val="00110569"/>
    <w:rsid w:val="001105C2"/>
    <w:rsid w:val="00110E1A"/>
    <w:rsid w:val="00110F22"/>
    <w:rsid w:val="001110B6"/>
    <w:rsid w:val="0011115E"/>
    <w:rsid w:val="00111468"/>
    <w:rsid w:val="00111667"/>
    <w:rsid w:val="00111951"/>
    <w:rsid w:val="00111E42"/>
    <w:rsid w:val="00111E4F"/>
    <w:rsid w:val="00112849"/>
    <w:rsid w:val="00112D9C"/>
    <w:rsid w:val="00112E3E"/>
    <w:rsid w:val="00112F1A"/>
    <w:rsid w:val="00113379"/>
    <w:rsid w:val="00113419"/>
    <w:rsid w:val="001136A7"/>
    <w:rsid w:val="00113A9A"/>
    <w:rsid w:val="00113F5C"/>
    <w:rsid w:val="00113FAA"/>
    <w:rsid w:val="0011459E"/>
    <w:rsid w:val="001148DF"/>
    <w:rsid w:val="00114AD5"/>
    <w:rsid w:val="00114E33"/>
    <w:rsid w:val="00115000"/>
    <w:rsid w:val="00115801"/>
    <w:rsid w:val="00115D20"/>
    <w:rsid w:val="001161D9"/>
    <w:rsid w:val="001167BB"/>
    <w:rsid w:val="0011686E"/>
    <w:rsid w:val="00116C2E"/>
    <w:rsid w:val="00116FEE"/>
    <w:rsid w:val="00117426"/>
    <w:rsid w:val="001175AC"/>
    <w:rsid w:val="00120537"/>
    <w:rsid w:val="00120C20"/>
    <w:rsid w:val="00120CFF"/>
    <w:rsid w:val="00120DA8"/>
    <w:rsid w:val="0012176C"/>
    <w:rsid w:val="00122C04"/>
    <w:rsid w:val="00123C35"/>
    <w:rsid w:val="00123C63"/>
    <w:rsid w:val="0012417D"/>
    <w:rsid w:val="001244BB"/>
    <w:rsid w:val="0012457E"/>
    <w:rsid w:val="0012508B"/>
    <w:rsid w:val="0012523C"/>
    <w:rsid w:val="001252BE"/>
    <w:rsid w:val="00125673"/>
    <w:rsid w:val="001258F8"/>
    <w:rsid w:val="001265A3"/>
    <w:rsid w:val="001266FC"/>
    <w:rsid w:val="0012684C"/>
    <w:rsid w:val="0012701F"/>
    <w:rsid w:val="00127290"/>
    <w:rsid w:val="0012777E"/>
    <w:rsid w:val="001279AE"/>
    <w:rsid w:val="00127FBD"/>
    <w:rsid w:val="001305E8"/>
    <w:rsid w:val="001307F0"/>
    <w:rsid w:val="00130E4F"/>
    <w:rsid w:val="00131A5D"/>
    <w:rsid w:val="00131CB1"/>
    <w:rsid w:val="00131E0F"/>
    <w:rsid w:val="00131F40"/>
    <w:rsid w:val="001323D6"/>
    <w:rsid w:val="00132402"/>
    <w:rsid w:val="001325EA"/>
    <w:rsid w:val="001332A6"/>
    <w:rsid w:val="0013338C"/>
    <w:rsid w:val="00133437"/>
    <w:rsid w:val="00133B1C"/>
    <w:rsid w:val="00133B54"/>
    <w:rsid w:val="00133D9F"/>
    <w:rsid w:val="0013420E"/>
    <w:rsid w:val="0013456D"/>
    <w:rsid w:val="00134762"/>
    <w:rsid w:val="001349D0"/>
    <w:rsid w:val="00134A3E"/>
    <w:rsid w:val="00134C30"/>
    <w:rsid w:val="00135050"/>
    <w:rsid w:val="0013554C"/>
    <w:rsid w:val="00135C09"/>
    <w:rsid w:val="00135D65"/>
    <w:rsid w:val="00136399"/>
    <w:rsid w:val="00136597"/>
    <w:rsid w:val="00136E76"/>
    <w:rsid w:val="00136F0F"/>
    <w:rsid w:val="001371BB"/>
    <w:rsid w:val="001372C4"/>
    <w:rsid w:val="00137B30"/>
    <w:rsid w:val="00137FB4"/>
    <w:rsid w:val="001402F7"/>
    <w:rsid w:val="0014035D"/>
    <w:rsid w:val="0014042F"/>
    <w:rsid w:val="00140534"/>
    <w:rsid w:val="00140A20"/>
    <w:rsid w:val="00140D6D"/>
    <w:rsid w:val="00140F5C"/>
    <w:rsid w:val="00141580"/>
    <w:rsid w:val="00141A95"/>
    <w:rsid w:val="00141B8C"/>
    <w:rsid w:val="00141EFB"/>
    <w:rsid w:val="00142A34"/>
    <w:rsid w:val="00142D1D"/>
    <w:rsid w:val="00143583"/>
    <w:rsid w:val="00143B06"/>
    <w:rsid w:val="00144BFB"/>
    <w:rsid w:val="00144DFE"/>
    <w:rsid w:val="00145457"/>
    <w:rsid w:val="00145B4D"/>
    <w:rsid w:val="00146008"/>
    <w:rsid w:val="001467A7"/>
    <w:rsid w:val="001468C6"/>
    <w:rsid w:val="00146C47"/>
    <w:rsid w:val="0014731A"/>
    <w:rsid w:val="001477F1"/>
    <w:rsid w:val="00147F8C"/>
    <w:rsid w:val="00150743"/>
    <w:rsid w:val="00150B22"/>
    <w:rsid w:val="00150BFB"/>
    <w:rsid w:val="00150D1B"/>
    <w:rsid w:val="00150DAA"/>
    <w:rsid w:val="00151010"/>
    <w:rsid w:val="001511F2"/>
    <w:rsid w:val="0015150F"/>
    <w:rsid w:val="00151A21"/>
    <w:rsid w:val="00152130"/>
    <w:rsid w:val="0015218E"/>
    <w:rsid w:val="0015247C"/>
    <w:rsid w:val="00152635"/>
    <w:rsid w:val="0015291B"/>
    <w:rsid w:val="00153A3C"/>
    <w:rsid w:val="00153E0E"/>
    <w:rsid w:val="0015419A"/>
    <w:rsid w:val="0015427F"/>
    <w:rsid w:val="00154735"/>
    <w:rsid w:val="00154F1C"/>
    <w:rsid w:val="00156108"/>
    <w:rsid w:val="00156260"/>
    <w:rsid w:val="001563C1"/>
    <w:rsid w:val="001568A9"/>
    <w:rsid w:val="0015692C"/>
    <w:rsid w:val="00156AE0"/>
    <w:rsid w:val="00156D31"/>
    <w:rsid w:val="00156D95"/>
    <w:rsid w:val="00156FC5"/>
    <w:rsid w:val="00157470"/>
    <w:rsid w:val="00157CFF"/>
    <w:rsid w:val="00157FB2"/>
    <w:rsid w:val="00160176"/>
    <w:rsid w:val="001609A4"/>
    <w:rsid w:val="0016139D"/>
    <w:rsid w:val="001613EF"/>
    <w:rsid w:val="00161C16"/>
    <w:rsid w:val="0016322D"/>
    <w:rsid w:val="00163598"/>
    <w:rsid w:val="00163971"/>
    <w:rsid w:val="001639E9"/>
    <w:rsid w:val="001640D9"/>
    <w:rsid w:val="001643AF"/>
    <w:rsid w:val="001646D3"/>
    <w:rsid w:val="00164787"/>
    <w:rsid w:val="00164FDA"/>
    <w:rsid w:val="00165405"/>
    <w:rsid w:val="00165A49"/>
    <w:rsid w:val="00165C9C"/>
    <w:rsid w:val="00165CE4"/>
    <w:rsid w:val="00165CF8"/>
    <w:rsid w:val="00165FE3"/>
    <w:rsid w:val="001667A9"/>
    <w:rsid w:val="00166F90"/>
    <w:rsid w:val="00167629"/>
    <w:rsid w:val="001678EE"/>
    <w:rsid w:val="001703A3"/>
    <w:rsid w:val="001709D4"/>
    <w:rsid w:val="00170F6A"/>
    <w:rsid w:val="001711A2"/>
    <w:rsid w:val="00171C68"/>
    <w:rsid w:val="00171D35"/>
    <w:rsid w:val="00172309"/>
    <w:rsid w:val="00172612"/>
    <w:rsid w:val="00172C74"/>
    <w:rsid w:val="0017311A"/>
    <w:rsid w:val="00173577"/>
    <w:rsid w:val="0017366F"/>
    <w:rsid w:val="0017394D"/>
    <w:rsid w:val="00173B7E"/>
    <w:rsid w:val="00173DEE"/>
    <w:rsid w:val="00173E55"/>
    <w:rsid w:val="00174058"/>
    <w:rsid w:val="001741C7"/>
    <w:rsid w:val="00174E01"/>
    <w:rsid w:val="00174E75"/>
    <w:rsid w:val="00175B6E"/>
    <w:rsid w:val="00175FFA"/>
    <w:rsid w:val="00176581"/>
    <w:rsid w:val="001765D8"/>
    <w:rsid w:val="00176658"/>
    <w:rsid w:val="001767AB"/>
    <w:rsid w:val="001769C0"/>
    <w:rsid w:val="00176AA5"/>
    <w:rsid w:val="00176BB1"/>
    <w:rsid w:val="001770A7"/>
    <w:rsid w:val="001770E4"/>
    <w:rsid w:val="0017720E"/>
    <w:rsid w:val="001772CC"/>
    <w:rsid w:val="00177893"/>
    <w:rsid w:val="00177F50"/>
    <w:rsid w:val="00180193"/>
    <w:rsid w:val="00180217"/>
    <w:rsid w:val="0018066D"/>
    <w:rsid w:val="00180A36"/>
    <w:rsid w:val="00180FB9"/>
    <w:rsid w:val="0018141A"/>
    <w:rsid w:val="00181AD0"/>
    <w:rsid w:val="00181B1F"/>
    <w:rsid w:val="00181E03"/>
    <w:rsid w:val="00182CBB"/>
    <w:rsid w:val="001834D7"/>
    <w:rsid w:val="0018373E"/>
    <w:rsid w:val="001838D4"/>
    <w:rsid w:val="00183910"/>
    <w:rsid w:val="00183988"/>
    <w:rsid w:val="001839C0"/>
    <w:rsid w:val="00183A1A"/>
    <w:rsid w:val="00183A87"/>
    <w:rsid w:val="00183E62"/>
    <w:rsid w:val="00184221"/>
    <w:rsid w:val="0018443E"/>
    <w:rsid w:val="00184565"/>
    <w:rsid w:val="00185481"/>
    <w:rsid w:val="001854C0"/>
    <w:rsid w:val="00185C35"/>
    <w:rsid w:val="00185E7C"/>
    <w:rsid w:val="00185F33"/>
    <w:rsid w:val="001861AD"/>
    <w:rsid w:val="00186307"/>
    <w:rsid w:val="001863F7"/>
    <w:rsid w:val="001865E4"/>
    <w:rsid w:val="0018675E"/>
    <w:rsid w:val="00186EBC"/>
    <w:rsid w:val="00187569"/>
    <w:rsid w:val="001902B0"/>
    <w:rsid w:val="00190323"/>
    <w:rsid w:val="00190BE2"/>
    <w:rsid w:val="00190CBF"/>
    <w:rsid w:val="00191334"/>
    <w:rsid w:val="001914DF"/>
    <w:rsid w:val="001916C0"/>
    <w:rsid w:val="0019173B"/>
    <w:rsid w:val="00191A15"/>
    <w:rsid w:val="00191B1A"/>
    <w:rsid w:val="00192AFB"/>
    <w:rsid w:val="00193417"/>
    <w:rsid w:val="00193872"/>
    <w:rsid w:val="00193A8C"/>
    <w:rsid w:val="00193BD7"/>
    <w:rsid w:val="00193C2A"/>
    <w:rsid w:val="00194082"/>
    <w:rsid w:val="0019465B"/>
    <w:rsid w:val="00194A4E"/>
    <w:rsid w:val="00194DA1"/>
    <w:rsid w:val="001952BB"/>
    <w:rsid w:val="0019597A"/>
    <w:rsid w:val="00195980"/>
    <w:rsid w:val="00195CEA"/>
    <w:rsid w:val="00195DA4"/>
    <w:rsid w:val="0019611E"/>
    <w:rsid w:val="00196E51"/>
    <w:rsid w:val="00196F93"/>
    <w:rsid w:val="0019736F"/>
    <w:rsid w:val="001976EB"/>
    <w:rsid w:val="001977F7"/>
    <w:rsid w:val="00197D31"/>
    <w:rsid w:val="001A0142"/>
    <w:rsid w:val="001A0687"/>
    <w:rsid w:val="001A0AC8"/>
    <w:rsid w:val="001A0ACC"/>
    <w:rsid w:val="001A0C01"/>
    <w:rsid w:val="001A0D5A"/>
    <w:rsid w:val="001A1935"/>
    <w:rsid w:val="001A1BB2"/>
    <w:rsid w:val="001A1C2D"/>
    <w:rsid w:val="001A2049"/>
    <w:rsid w:val="001A20DC"/>
    <w:rsid w:val="001A2AB6"/>
    <w:rsid w:val="001A2D7B"/>
    <w:rsid w:val="001A33A4"/>
    <w:rsid w:val="001A3DC9"/>
    <w:rsid w:val="001A4320"/>
    <w:rsid w:val="001A44CD"/>
    <w:rsid w:val="001A4505"/>
    <w:rsid w:val="001A45B9"/>
    <w:rsid w:val="001A4866"/>
    <w:rsid w:val="001A48ED"/>
    <w:rsid w:val="001A4BA0"/>
    <w:rsid w:val="001A4C76"/>
    <w:rsid w:val="001A5072"/>
    <w:rsid w:val="001A5CCB"/>
    <w:rsid w:val="001A5D70"/>
    <w:rsid w:val="001A6C0B"/>
    <w:rsid w:val="001A6CE4"/>
    <w:rsid w:val="001A6ECF"/>
    <w:rsid w:val="001A6FEF"/>
    <w:rsid w:val="001A720A"/>
    <w:rsid w:val="001A7250"/>
    <w:rsid w:val="001A7332"/>
    <w:rsid w:val="001A757A"/>
    <w:rsid w:val="001A7699"/>
    <w:rsid w:val="001B0013"/>
    <w:rsid w:val="001B00CE"/>
    <w:rsid w:val="001B0140"/>
    <w:rsid w:val="001B065D"/>
    <w:rsid w:val="001B081F"/>
    <w:rsid w:val="001B12A9"/>
    <w:rsid w:val="001B18A7"/>
    <w:rsid w:val="001B1C91"/>
    <w:rsid w:val="001B1D3E"/>
    <w:rsid w:val="001B2427"/>
    <w:rsid w:val="001B2429"/>
    <w:rsid w:val="001B259E"/>
    <w:rsid w:val="001B25C0"/>
    <w:rsid w:val="001B338F"/>
    <w:rsid w:val="001B342C"/>
    <w:rsid w:val="001B3B34"/>
    <w:rsid w:val="001B40B5"/>
    <w:rsid w:val="001B49A8"/>
    <w:rsid w:val="001B4FA7"/>
    <w:rsid w:val="001B5B6B"/>
    <w:rsid w:val="001B5CA0"/>
    <w:rsid w:val="001B5D05"/>
    <w:rsid w:val="001B636D"/>
    <w:rsid w:val="001B6389"/>
    <w:rsid w:val="001B7292"/>
    <w:rsid w:val="001B74B7"/>
    <w:rsid w:val="001B7CE8"/>
    <w:rsid w:val="001B7D43"/>
    <w:rsid w:val="001C04CC"/>
    <w:rsid w:val="001C051E"/>
    <w:rsid w:val="001C06AA"/>
    <w:rsid w:val="001C1183"/>
    <w:rsid w:val="001C15F6"/>
    <w:rsid w:val="001C17DB"/>
    <w:rsid w:val="001C1F50"/>
    <w:rsid w:val="001C2213"/>
    <w:rsid w:val="001C2325"/>
    <w:rsid w:val="001C247D"/>
    <w:rsid w:val="001C2616"/>
    <w:rsid w:val="001C28FD"/>
    <w:rsid w:val="001C3342"/>
    <w:rsid w:val="001C3386"/>
    <w:rsid w:val="001C3532"/>
    <w:rsid w:val="001C3593"/>
    <w:rsid w:val="001C37B1"/>
    <w:rsid w:val="001C3AD4"/>
    <w:rsid w:val="001C3BF7"/>
    <w:rsid w:val="001C3C96"/>
    <w:rsid w:val="001C3D46"/>
    <w:rsid w:val="001C3EAD"/>
    <w:rsid w:val="001C40A1"/>
    <w:rsid w:val="001C41CB"/>
    <w:rsid w:val="001C42F7"/>
    <w:rsid w:val="001C43FE"/>
    <w:rsid w:val="001C46D8"/>
    <w:rsid w:val="001C53B3"/>
    <w:rsid w:val="001C5473"/>
    <w:rsid w:val="001C69D7"/>
    <w:rsid w:val="001C6CEC"/>
    <w:rsid w:val="001C6DA4"/>
    <w:rsid w:val="001C7497"/>
    <w:rsid w:val="001C7587"/>
    <w:rsid w:val="001C7705"/>
    <w:rsid w:val="001C796E"/>
    <w:rsid w:val="001C7B60"/>
    <w:rsid w:val="001C7BD7"/>
    <w:rsid w:val="001C7D17"/>
    <w:rsid w:val="001C7D1B"/>
    <w:rsid w:val="001D02F4"/>
    <w:rsid w:val="001D03B6"/>
    <w:rsid w:val="001D0CD7"/>
    <w:rsid w:val="001D0E72"/>
    <w:rsid w:val="001D161C"/>
    <w:rsid w:val="001D19DE"/>
    <w:rsid w:val="001D1B78"/>
    <w:rsid w:val="001D1C20"/>
    <w:rsid w:val="001D1CAE"/>
    <w:rsid w:val="001D2089"/>
    <w:rsid w:val="001D2107"/>
    <w:rsid w:val="001D268B"/>
    <w:rsid w:val="001D2A34"/>
    <w:rsid w:val="001D2AB4"/>
    <w:rsid w:val="001D31B3"/>
    <w:rsid w:val="001D33AB"/>
    <w:rsid w:val="001D34D8"/>
    <w:rsid w:val="001D3530"/>
    <w:rsid w:val="001D40D5"/>
    <w:rsid w:val="001D411B"/>
    <w:rsid w:val="001D4181"/>
    <w:rsid w:val="001D4603"/>
    <w:rsid w:val="001D4C82"/>
    <w:rsid w:val="001D54C9"/>
    <w:rsid w:val="001D556E"/>
    <w:rsid w:val="001D5D47"/>
    <w:rsid w:val="001D5DE3"/>
    <w:rsid w:val="001D6209"/>
    <w:rsid w:val="001D640F"/>
    <w:rsid w:val="001D6553"/>
    <w:rsid w:val="001D6BF3"/>
    <w:rsid w:val="001D6C15"/>
    <w:rsid w:val="001D6F1D"/>
    <w:rsid w:val="001D7324"/>
    <w:rsid w:val="001D7CF1"/>
    <w:rsid w:val="001E0218"/>
    <w:rsid w:val="001E0622"/>
    <w:rsid w:val="001E079E"/>
    <w:rsid w:val="001E0994"/>
    <w:rsid w:val="001E0A82"/>
    <w:rsid w:val="001E0B0D"/>
    <w:rsid w:val="001E1378"/>
    <w:rsid w:val="001E1827"/>
    <w:rsid w:val="001E25EC"/>
    <w:rsid w:val="001E26E2"/>
    <w:rsid w:val="001E2E10"/>
    <w:rsid w:val="001E3023"/>
    <w:rsid w:val="001E3256"/>
    <w:rsid w:val="001E3939"/>
    <w:rsid w:val="001E3D77"/>
    <w:rsid w:val="001E4457"/>
    <w:rsid w:val="001E4E98"/>
    <w:rsid w:val="001E518C"/>
    <w:rsid w:val="001E5442"/>
    <w:rsid w:val="001E5896"/>
    <w:rsid w:val="001E5918"/>
    <w:rsid w:val="001E594E"/>
    <w:rsid w:val="001E59BC"/>
    <w:rsid w:val="001E5EBF"/>
    <w:rsid w:val="001E6852"/>
    <w:rsid w:val="001E6C6D"/>
    <w:rsid w:val="001E6F2A"/>
    <w:rsid w:val="001E6FB7"/>
    <w:rsid w:val="001E7962"/>
    <w:rsid w:val="001E79E5"/>
    <w:rsid w:val="001E7EE0"/>
    <w:rsid w:val="001F025D"/>
    <w:rsid w:val="001F0488"/>
    <w:rsid w:val="001F073C"/>
    <w:rsid w:val="001F0A5F"/>
    <w:rsid w:val="001F0A6B"/>
    <w:rsid w:val="001F0D0A"/>
    <w:rsid w:val="001F1471"/>
    <w:rsid w:val="001F16AC"/>
    <w:rsid w:val="001F1726"/>
    <w:rsid w:val="001F206D"/>
    <w:rsid w:val="001F20EF"/>
    <w:rsid w:val="001F229E"/>
    <w:rsid w:val="001F2779"/>
    <w:rsid w:val="001F277C"/>
    <w:rsid w:val="001F2912"/>
    <w:rsid w:val="001F2C1C"/>
    <w:rsid w:val="001F2CE4"/>
    <w:rsid w:val="001F2D08"/>
    <w:rsid w:val="001F2F47"/>
    <w:rsid w:val="001F3208"/>
    <w:rsid w:val="001F3652"/>
    <w:rsid w:val="001F3796"/>
    <w:rsid w:val="001F3BED"/>
    <w:rsid w:val="001F3D42"/>
    <w:rsid w:val="001F4362"/>
    <w:rsid w:val="001F4617"/>
    <w:rsid w:val="001F475D"/>
    <w:rsid w:val="001F47E5"/>
    <w:rsid w:val="001F4E81"/>
    <w:rsid w:val="001F4FC8"/>
    <w:rsid w:val="001F5016"/>
    <w:rsid w:val="001F65A7"/>
    <w:rsid w:val="001F6896"/>
    <w:rsid w:val="001F68D2"/>
    <w:rsid w:val="001F6D90"/>
    <w:rsid w:val="001F70C9"/>
    <w:rsid w:val="001F71D8"/>
    <w:rsid w:val="002001B1"/>
    <w:rsid w:val="00200296"/>
    <w:rsid w:val="00200394"/>
    <w:rsid w:val="0020059D"/>
    <w:rsid w:val="00200622"/>
    <w:rsid w:val="00200B96"/>
    <w:rsid w:val="0020183A"/>
    <w:rsid w:val="00201ADB"/>
    <w:rsid w:val="00201B89"/>
    <w:rsid w:val="002022ED"/>
    <w:rsid w:val="00202906"/>
    <w:rsid w:val="00202C2F"/>
    <w:rsid w:val="00202D3B"/>
    <w:rsid w:val="002032AF"/>
    <w:rsid w:val="00203679"/>
    <w:rsid w:val="002036A4"/>
    <w:rsid w:val="00203D3F"/>
    <w:rsid w:val="00203D8B"/>
    <w:rsid w:val="00203DD3"/>
    <w:rsid w:val="00203DEA"/>
    <w:rsid w:val="00203E8F"/>
    <w:rsid w:val="0020486A"/>
    <w:rsid w:val="00204B6C"/>
    <w:rsid w:val="00204D5B"/>
    <w:rsid w:val="00204EC5"/>
    <w:rsid w:val="002052A9"/>
    <w:rsid w:val="002058E5"/>
    <w:rsid w:val="0020617C"/>
    <w:rsid w:val="00206BAF"/>
    <w:rsid w:val="00206EC3"/>
    <w:rsid w:val="00207009"/>
    <w:rsid w:val="0020775A"/>
    <w:rsid w:val="002079CD"/>
    <w:rsid w:val="00207DC1"/>
    <w:rsid w:val="00207EC3"/>
    <w:rsid w:val="00207F85"/>
    <w:rsid w:val="002102F1"/>
    <w:rsid w:val="002104D2"/>
    <w:rsid w:val="00210747"/>
    <w:rsid w:val="00210D93"/>
    <w:rsid w:val="00210DBA"/>
    <w:rsid w:val="00210FAA"/>
    <w:rsid w:val="0021128B"/>
    <w:rsid w:val="00211340"/>
    <w:rsid w:val="00211F51"/>
    <w:rsid w:val="002126F3"/>
    <w:rsid w:val="002128B3"/>
    <w:rsid w:val="00212903"/>
    <w:rsid w:val="00212D4B"/>
    <w:rsid w:val="0021313E"/>
    <w:rsid w:val="0021331C"/>
    <w:rsid w:val="00213394"/>
    <w:rsid w:val="002134FB"/>
    <w:rsid w:val="002139A9"/>
    <w:rsid w:val="002139FC"/>
    <w:rsid w:val="00213F30"/>
    <w:rsid w:val="0021441C"/>
    <w:rsid w:val="00214438"/>
    <w:rsid w:val="002149AE"/>
    <w:rsid w:val="00214C3E"/>
    <w:rsid w:val="00214C53"/>
    <w:rsid w:val="00214CFF"/>
    <w:rsid w:val="0021540F"/>
    <w:rsid w:val="002155D7"/>
    <w:rsid w:val="00215787"/>
    <w:rsid w:val="002164A1"/>
    <w:rsid w:val="00216816"/>
    <w:rsid w:val="00217830"/>
    <w:rsid w:val="00217A70"/>
    <w:rsid w:val="00217FF1"/>
    <w:rsid w:val="00220092"/>
    <w:rsid w:val="002205EB"/>
    <w:rsid w:val="0022095B"/>
    <w:rsid w:val="00220B54"/>
    <w:rsid w:val="00220C10"/>
    <w:rsid w:val="00220F67"/>
    <w:rsid w:val="00220FE5"/>
    <w:rsid w:val="0022112C"/>
    <w:rsid w:val="002214A9"/>
    <w:rsid w:val="0022190D"/>
    <w:rsid w:val="00222047"/>
    <w:rsid w:val="0022222A"/>
    <w:rsid w:val="002224DB"/>
    <w:rsid w:val="0022254D"/>
    <w:rsid w:val="00222C06"/>
    <w:rsid w:val="002234A6"/>
    <w:rsid w:val="0022386E"/>
    <w:rsid w:val="00223CC6"/>
    <w:rsid w:val="00223E68"/>
    <w:rsid w:val="002248EC"/>
    <w:rsid w:val="002250C2"/>
    <w:rsid w:val="002253D3"/>
    <w:rsid w:val="0022571D"/>
    <w:rsid w:val="00225C0A"/>
    <w:rsid w:val="00225E37"/>
    <w:rsid w:val="00225FCB"/>
    <w:rsid w:val="0022624F"/>
    <w:rsid w:val="00226531"/>
    <w:rsid w:val="002268CB"/>
    <w:rsid w:val="00226E45"/>
    <w:rsid w:val="00227BB7"/>
    <w:rsid w:val="00227D10"/>
    <w:rsid w:val="00230533"/>
    <w:rsid w:val="00230841"/>
    <w:rsid w:val="00230AF0"/>
    <w:rsid w:val="00230FDB"/>
    <w:rsid w:val="002319E9"/>
    <w:rsid w:val="00231DFC"/>
    <w:rsid w:val="002324DC"/>
    <w:rsid w:val="00232AC7"/>
    <w:rsid w:val="00232CDE"/>
    <w:rsid w:val="00232E31"/>
    <w:rsid w:val="0023325F"/>
    <w:rsid w:val="00233296"/>
    <w:rsid w:val="002333F3"/>
    <w:rsid w:val="00233714"/>
    <w:rsid w:val="00233B8E"/>
    <w:rsid w:val="00233E53"/>
    <w:rsid w:val="00233F95"/>
    <w:rsid w:val="00234259"/>
    <w:rsid w:val="002342E1"/>
    <w:rsid w:val="002347C7"/>
    <w:rsid w:val="00235E69"/>
    <w:rsid w:val="00235F43"/>
    <w:rsid w:val="00236156"/>
    <w:rsid w:val="00236A99"/>
    <w:rsid w:val="0023741E"/>
    <w:rsid w:val="00237980"/>
    <w:rsid w:val="00237C1A"/>
    <w:rsid w:val="00240D91"/>
    <w:rsid w:val="002418BD"/>
    <w:rsid w:val="002419A6"/>
    <w:rsid w:val="002425EA"/>
    <w:rsid w:val="00242A25"/>
    <w:rsid w:val="00242E24"/>
    <w:rsid w:val="00242EA0"/>
    <w:rsid w:val="00242ED5"/>
    <w:rsid w:val="00243685"/>
    <w:rsid w:val="00243694"/>
    <w:rsid w:val="00243951"/>
    <w:rsid w:val="00243E2D"/>
    <w:rsid w:val="00243EC7"/>
    <w:rsid w:val="00243F24"/>
    <w:rsid w:val="002442F8"/>
    <w:rsid w:val="0024459C"/>
    <w:rsid w:val="00244652"/>
    <w:rsid w:val="00244676"/>
    <w:rsid w:val="00244C1C"/>
    <w:rsid w:val="00245535"/>
    <w:rsid w:val="002456A1"/>
    <w:rsid w:val="0024583B"/>
    <w:rsid w:val="00245AD1"/>
    <w:rsid w:val="00245AD9"/>
    <w:rsid w:val="00245E87"/>
    <w:rsid w:val="00246300"/>
    <w:rsid w:val="00246724"/>
    <w:rsid w:val="00246BDF"/>
    <w:rsid w:val="00246C0A"/>
    <w:rsid w:val="00246E58"/>
    <w:rsid w:val="002470BB"/>
    <w:rsid w:val="00247A7A"/>
    <w:rsid w:val="00247E11"/>
    <w:rsid w:val="002507D7"/>
    <w:rsid w:val="00250992"/>
    <w:rsid w:val="00250C27"/>
    <w:rsid w:val="00250DA0"/>
    <w:rsid w:val="00250F41"/>
    <w:rsid w:val="0025192A"/>
    <w:rsid w:val="00251CE7"/>
    <w:rsid w:val="0025237B"/>
    <w:rsid w:val="002525E6"/>
    <w:rsid w:val="00252A14"/>
    <w:rsid w:val="00252C35"/>
    <w:rsid w:val="00252D61"/>
    <w:rsid w:val="002530E7"/>
    <w:rsid w:val="002532B4"/>
    <w:rsid w:val="00253FFF"/>
    <w:rsid w:val="00254637"/>
    <w:rsid w:val="00254791"/>
    <w:rsid w:val="0025487C"/>
    <w:rsid w:val="00254AE2"/>
    <w:rsid w:val="00254EEB"/>
    <w:rsid w:val="0025553E"/>
    <w:rsid w:val="00255766"/>
    <w:rsid w:val="0025613F"/>
    <w:rsid w:val="002563A0"/>
    <w:rsid w:val="00256B2A"/>
    <w:rsid w:val="00256DA6"/>
    <w:rsid w:val="00257645"/>
    <w:rsid w:val="0025769C"/>
    <w:rsid w:val="00257C43"/>
    <w:rsid w:val="00257E25"/>
    <w:rsid w:val="00257F57"/>
    <w:rsid w:val="00257F91"/>
    <w:rsid w:val="00260284"/>
    <w:rsid w:val="00260477"/>
    <w:rsid w:val="00260795"/>
    <w:rsid w:val="002607AA"/>
    <w:rsid w:val="00260B21"/>
    <w:rsid w:val="00260B9D"/>
    <w:rsid w:val="002619BF"/>
    <w:rsid w:val="00261CCD"/>
    <w:rsid w:val="00261D30"/>
    <w:rsid w:val="00261DC6"/>
    <w:rsid w:val="0026274F"/>
    <w:rsid w:val="00262836"/>
    <w:rsid w:val="00262C13"/>
    <w:rsid w:val="00263A45"/>
    <w:rsid w:val="00263B1A"/>
    <w:rsid w:val="00264623"/>
    <w:rsid w:val="00264773"/>
    <w:rsid w:val="002647D9"/>
    <w:rsid w:val="002649C2"/>
    <w:rsid w:val="00264E52"/>
    <w:rsid w:val="002653DB"/>
    <w:rsid w:val="0026670E"/>
    <w:rsid w:val="00266C5F"/>
    <w:rsid w:val="00266E1B"/>
    <w:rsid w:val="00267036"/>
    <w:rsid w:val="00267C73"/>
    <w:rsid w:val="00267D57"/>
    <w:rsid w:val="00270BBC"/>
    <w:rsid w:val="00270DCA"/>
    <w:rsid w:val="00271F20"/>
    <w:rsid w:val="00272486"/>
    <w:rsid w:val="002725C6"/>
    <w:rsid w:val="002726A3"/>
    <w:rsid w:val="0027288C"/>
    <w:rsid w:val="002730C0"/>
    <w:rsid w:val="0027331C"/>
    <w:rsid w:val="00275684"/>
    <w:rsid w:val="0027575E"/>
    <w:rsid w:val="00275799"/>
    <w:rsid w:val="00275F67"/>
    <w:rsid w:val="00276C8A"/>
    <w:rsid w:val="00276C8F"/>
    <w:rsid w:val="00276FA4"/>
    <w:rsid w:val="00276FE3"/>
    <w:rsid w:val="00276FE8"/>
    <w:rsid w:val="0027754C"/>
    <w:rsid w:val="00277A3D"/>
    <w:rsid w:val="00277D40"/>
    <w:rsid w:val="00280092"/>
    <w:rsid w:val="002801F4"/>
    <w:rsid w:val="00280B5B"/>
    <w:rsid w:val="00280D8D"/>
    <w:rsid w:val="00281079"/>
    <w:rsid w:val="002816E4"/>
    <w:rsid w:val="00281708"/>
    <w:rsid w:val="00281CD2"/>
    <w:rsid w:val="00281D2A"/>
    <w:rsid w:val="00281DCF"/>
    <w:rsid w:val="002822D5"/>
    <w:rsid w:val="00282AE7"/>
    <w:rsid w:val="00282B65"/>
    <w:rsid w:val="00282D34"/>
    <w:rsid w:val="00282D4C"/>
    <w:rsid w:val="002833C1"/>
    <w:rsid w:val="002836DF"/>
    <w:rsid w:val="00283A6E"/>
    <w:rsid w:val="0028462D"/>
    <w:rsid w:val="00284A54"/>
    <w:rsid w:val="00284D06"/>
    <w:rsid w:val="00284D2A"/>
    <w:rsid w:val="00285A55"/>
    <w:rsid w:val="00285ACB"/>
    <w:rsid w:val="00286061"/>
    <w:rsid w:val="002861AB"/>
    <w:rsid w:val="00286264"/>
    <w:rsid w:val="0028643B"/>
    <w:rsid w:val="002866D8"/>
    <w:rsid w:val="00286957"/>
    <w:rsid w:val="00286C3A"/>
    <w:rsid w:val="0028723C"/>
    <w:rsid w:val="00287253"/>
    <w:rsid w:val="0028752E"/>
    <w:rsid w:val="00287596"/>
    <w:rsid w:val="002875DF"/>
    <w:rsid w:val="00287716"/>
    <w:rsid w:val="0028777E"/>
    <w:rsid w:val="00287A46"/>
    <w:rsid w:val="00287E1E"/>
    <w:rsid w:val="00287EB4"/>
    <w:rsid w:val="0029000F"/>
    <w:rsid w:val="002909A7"/>
    <w:rsid w:val="002910E4"/>
    <w:rsid w:val="00291838"/>
    <w:rsid w:val="002918EF"/>
    <w:rsid w:val="00291928"/>
    <w:rsid w:val="0029194F"/>
    <w:rsid w:val="00291C26"/>
    <w:rsid w:val="00291C97"/>
    <w:rsid w:val="002923DF"/>
    <w:rsid w:val="0029289C"/>
    <w:rsid w:val="002928F4"/>
    <w:rsid w:val="002929E8"/>
    <w:rsid w:val="002929F2"/>
    <w:rsid w:val="00292B97"/>
    <w:rsid w:val="00292C42"/>
    <w:rsid w:val="00292E99"/>
    <w:rsid w:val="002930A0"/>
    <w:rsid w:val="0029330B"/>
    <w:rsid w:val="00293426"/>
    <w:rsid w:val="0029374B"/>
    <w:rsid w:val="00293A1D"/>
    <w:rsid w:val="00293CEC"/>
    <w:rsid w:val="002945E4"/>
    <w:rsid w:val="00294A22"/>
    <w:rsid w:val="002954E4"/>
    <w:rsid w:val="002955D7"/>
    <w:rsid w:val="00295796"/>
    <w:rsid w:val="002957A0"/>
    <w:rsid w:val="00295F1A"/>
    <w:rsid w:val="0029642F"/>
    <w:rsid w:val="002968A9"/>
    <w:rsid w:val="00296F79"/>
    <w:rsid w:val="00296FFE"/>
    <w:rsid w:val="00297DDD"/>
    <w:rsid w:val="00297E94"/>
    <w:rsid w:val="002A00B0"/>
    <w:rsid w:val="002A019D"/>
    <w:rsid w:val="002A069B"/>
    <w:rsid w:val="002A0E16"/>
    <w:rsid w:val="002A0E66"/>
    <w:rsid w:val="002A107F"/>
    <w:rsid w:val="002A10D5"/>
    <w:rsid w:val="002A1699"/>
    <w:rsid w:val="002A1D9D"/>
    <w:rsid w:val="002A1DA9"/>
    <w:rsid w:val="002A291F"/>
    <w:rsid w:val="002A2C50"/>
    <w:rsid w:val="002A2D05"/>
    <w:rsid w:val="002A2D5C"/>
    <w:rsid w:val="002A361A"/>
    <w:rsid w:val="002A391F"/>
    <w:rsid w:val="002A3D3A"/>
    <w:rsid w:val="002A3EBF"/>
    <w:rsid w:val="002A3F02"/>
    <w:rsid w:val="002A4503"/>
    <w:rsid w:val="002A4552"/>
    <w:rsid w:val="002A46D7"/>
    <w:rsid w:val="002A46E3"/>
    <w:rsid w:val="002A49CF"/>
    <w:rsid w:val="002A5066"/>
    <w:rsid w:val="002A538F"/>
    <w:rsid w:val="002A53E0"/>
    <w:rsid w:val="002A5465"/>
    <w:rsid w:val="002A5A12"/>
    <w:rsid w:val="002A6017"/>
    <w:rsid w:val="002A6A61"/>
    <w:rsid w:val="002A6B61"/>
    <w:rsid w:val="002A78B9"/>
    <w:rsid w:val="002A7EEB"/>
    <w:rsid w:val="002B01A5"/>
    <w:rsid w:val="002B02F9"/>
    <w:rsid w:val="002B05B8"/>
    <w:rsid w:val="002B0A2C"/>
    <w:rsid w:val="002B1A0F"/>
    <w:rsid w:val="002B1BD6"/>
    <w:rsid w:val="002B237B"/>
    <w:rsid w:val="002B23E0"/>
    <w:rsid w:val="002B24D8"/>
    <w:rsid w:val="002B2842"/>
    <w:rsid w:val="002B29B5"/>
    <w:rsid w:val="002B2C3A"/>
    <w:rsid w:val="002B2E4E"/>
    <w:rsid w:val="002B3BB7"/>
    <w:rsid w:val="002B43B2"/>
    <w:rsid w:val="002B4842"/>
    <w:rsid w:val="002B48E5"/>
    <w:rsid w:val="002B4941"/>
    <w:rsid w:val="002B4FAA"/>
    <w:rsid w:val="002B5108"/>
    <w:rsid w:val="002B51E2"/>
    <w:rsid w:val="002B5D74"/>
    <w:rsid w:val="002B5F2E"/>
    <w:rsid w:val="002B6292"/>
    <w:rsid w:val="002B67CA"/>
    <w:rsid w:val="002B6817"/>
    <w:rsid w:val="002B7ADB"/>
    <w:rsid w:val="002B7ED2"/>
    <w:rsid w:val="002C00F5"/>
    <w:rsid w:val="002C071D"/>
    <w:rsid w:val="002C0D2A"/>
    <w:rsid w:val="002C117E"/>
    <w:rsid w:val="002C14D7"/>
    <w:rsid w:val="002C14F6"/>
    <w:rsid w:val="002C1543"/>
    <w:rsid w:val="002C17C7"/>
    <w:rsid w:val="002C1B23"/>
    <w:rsid w:val="002C1D1D"/>
    <w:rsid w:val="002C1D2F"/>
    <w:rsid w:val="002C206E"/>
    <w:rsid w:val="002C2123"/>
    <w:rsid w:val="002C2710"/>
    <w:rsid w:val="002C28BA"/>
    <w:rsid w:val="002C33EC"/>
    <w:rsid w:val="002C349E"/>
    <w:rsid w:val="002C37E8"/>
    <w:rsid w:val="002C43CE"/>
    <w:rsid w:val="002C4522"/>
    <w:rsid w:val="002C4524"/>
    <w:rsid w:val="002C4647"/>
    <w:rsid w:val="002C4F2E"/>
    <w:rsid w:val="002C4F71"/>
    <w:rsid w:val="002C50BD"/>
    <w:rsid w:val="002C54A6"/>
    <w:rsid w:val="002C57D5"/>
    <w:rsid w:val="002C5A14"/>
    <w:rsid w:val="002C5F23"/>
    <w:rsid w:val="002C63F7"/>
    <w:rsid w:val="002C66B0"/>
    <w:rsid w:val="002C693B"/>
    <w:rsid w:val="002C6C6E"/>
    <w:rsid w:val="002C6CF1"/>
    <w:rsid w:val="002C6E7A"/>
    <w:rsid w:val="002C6F79"/>
    <w:rsid w:val="002C719E"/>
    <w:rsid w:val="002C736A"/>
    <w:rsid w:val="002C7C13"/>
    <w:rsid w:val="002D01AA"/>
    <w:rsid w:val="002D0B35"/>
    <w:rsid w:val="002D0C9F"/>
    <w:rsid w:val="002D0D89"/>
    <w:rsid w:val="002D0EF2"/>
    <w:rsid w:val="002D1242"/>
    <w:rsid w:val="002D125F"/>
    <w:rsid w:val="002D171D"/>
    <w:rsid w:val="002D23E6"/>
    <w:rsid w:val="002D24AC"/>
    <w:rsid w:val="002D25B5"/>
    <w:rsid w:val="002D2CCA"/>
    <w:rsid w:val="002D2F82"/>
    <w:rsid w:val="002D2FCA"/>
    <w:rsid w:val="002D320F"/>
    <w:rsid w:val="002D366F"/>
    <w:rsid w:val="002D37CF"/>
    <w:rsid w:val="002D3B05"/>
    <w:rsid w:val="002D3EBE"/>
    <w:rsid w:val="002D3F40"/>
    <w:rsid w:val="002D493E"/>
    <w:rsid w:val="002D4A9B"/>
    <w:rsid w:val="002D5D0A"/>
    <w:rsid w:val="002D6369"/>
    <w:rsid w:val="002D657C"/>
    <w:rsid w:val="002D6CCD"/>
    <w:rsid w:val="002D7207"/>
    <w:rsid w:val="002D7823"/>
    <w:rsid w:val="002D7AFF"/>
    <w:rsid w:val="002D7C00"/>
    <w:rsid w:val="002E00BC"/>
    <w:rsid w:val="002E0126"/>
    <w:rsid w:val="002E0138"/>
    <w:rsid w:val="002E13B5"/>
    <w:rsid w:val="002E14F7"/>
    <w:rsid w:val="002E1AA2"/>
    <w:rsid w:val="002E1C51"/>
    <w:rsid w:val="002E36B7"/>
    <w:rsid w:val="002E389F"/>
    <w:rsid w:val="002E3BEB"/>
    <w:rsid w:val="002E3DB5"/>
    <w:rsid w:val="002E3DDE"/>
    <w:rsid w:val="002E4293"/>
    <w:rsid w:val="002E473E"/>
    <w:rsid w:val="002E47DD"/>
    <w:rsid w:val="002E4A18"/>
    <w:rsid w:val="002E4C2D"/>
    <w:rsid w:val="002E4F58"/>
    <w:rsid w:val="002E5285"/>
    <w:rsid w:val="002E52BB"/>
    <w:rsid w:val="002E5721"/>
    <w:rsid w:val="002E5761"/>
    <w:rsid w:val="002E5DEA"/>
    <w:rsid w:val="002E5E94"/>
    <w:rsid w:val="002E6641"/>
    <w:rsid w:val="002E6B22"/>
    <w:rsid w:val="002E6FCA"/>
    <w:rsid w:val="002E724A"/>
    <w:rsid w:val="002E77F0"/>
    <w:rsid w:val="002E78EB"/>
    <w:rsid w:val="002F032A"/>
    <w:rsid w:val="002F078A"/>
    <w:rsid w:val="002F08C2"/>
    <w:rsid w:val="002F153D"/>
    <w:rsid w:val="002F1AF4"/>
    <w:rsid w:val="002F26E6"/>
    <w:rsid w:val="002F28EC"/>
    <w:rsid w:val="002F311E"/>
    <w:rsid w:val="002F313A"/>
    <w:rsid w:val="002F31E7"/>
    <w:rsid w:val="002F345B"/>
    <w:rsid w:val="002F3ABA"/>
    <w:rsid w:val="002F3D7A"/>
    <w:rsid w:val="002F4515"/>
    <w:rsid w:val="002F4E77"/>
    <w:rsid w:val="002F4F83"/>
    <w:rsid w:val="002F5AF4"/>
    <w:rsid w:val="002F5CEF"/>
    <w:rsid w:val="002F5FEC"/>
    <w:rsid w:val="002F6680"/>
    <w:rsid w:val="002F683D"/>
    <w:rsid w:val="002F71B8"/>
    <w:rsid w:val="002F71F4"/>
    <w:rsid w:val="002F7964"/>
    <w:rsid w:val="002F7BB3"/>
    <w:rsid w:val="00300718"/>
    <w:rsid w:val="00300EEC"/>
    <w:rsid w:val="003013D7"/>
    <w:rsid w:val="003019A6"/>
    <w:rsid w:val="00301A36"/>
    <w:rsid w:val="00301E2F"/>
    <w:rsid w:val="00301E9D"/>
    <w:rsid w:val="00301EA1"/>
    <w:rsid w:val="00301F26"/>
    <w:rsid w:val="00301F5B"/>
    <w:rsid w:val="0030213E"/>
    <w:rsid w:val="00302A6A"/>
    <w:rsid w:val="00302C93"/>
    <w:rsid w:val="00302CC1"/>
    <w:rsid w:val="00302FCC"/>
    <w:rsid w:val="00303807"/>
    <w:rsid w:val="00303C26"/>
    <w:rsid w:val="00304886"/>
    <w:rsid w:val="00305238"/>
    <w:rsid w:val="003058E8"/>
    <w:rsid w:val="003062AE"/>
    <w:rsid w:val="00306590"/>
    <w:rsid w:val="00306FD7"/>
    <w:rsid w:val="003073E1"/>
    <w:rsid w:val="0030750F"/>
    <w:rsid w:val="003075C6"/>
    <w:rsid w:val="00307AB7"/>
    <w:rsid w:val="00307B95"/>
    <w:rsid w:val="0031033B"/>
    <w:rsid w:val="00310844"/>
    <w:rsid w:val="00310894"/>
    <w:rsid w:val="003109E1"/>
    <w:rsid w:val="00310B1E"/>
    <w:rsid w:val="00310E37"/>
    <w:rsid w:val="003114CA"/>
    <w:rsid w:val="003120FD"/>
    <w:rsid w:val="0031217F"/>
    <w:rsid w:val="0031241B"/>
    <w:rsid w:val="00312491"/>
    <w:rsid w:val="003128BF"/>
    <w:rsid w:val="00312933"/>
    <w:rsid w:val="00312CAE"/>
    <w:rsid w:val="00312E91"/>
    <w:rsid w:val="00312FE2"/>
    <w:rsid w:val="003131AA"/>
    <w:rsid w:val="003140B9"/>
    <w:rsid w:val="0031458D"/>
    <w:rsid w:val="0031471A"/>
    <w:rsid w:val="0031480D"/>
    <w:rsid w:val="00314993"/>
    <w:rsid w:val="00314BFC"/>
    <w:rsid w:val="00314F55"/>
    <w:rsid w:val="003154F9"/>
    <w:rsid w:val="00315514"/>
    <w:rsid w:val="00315719"/>
    <w:rsid w:val="0031587F"/>
    <w:rsid w:val="00316016"/>
    <w:rsid w:val="003162EB"/>
    <w:rsid w:val="003175B1"/>
    <w:rsid w:val="0031765D"/>
    <w:rsid w:val="00317E18"/>
    <w:rsid w:val="00320688"/>
    <w:rsid w:val="003208AE"/>
    <w:rsid w:val="00320B85"/>
    <w:rsid w:val="00321C9D"/>
    <w:rsid w:val="0032220E"/>
    <w:rsid w:val="003223E0"/>
    <w:rsid w:val="00322612"/>
    <w:rsid w:val="003226E9"/>
    <w:rsid w:val="003229D8"/>
    <w:rsid w:val="00322C65"/>
    <w:rsid w:val="00322D9C"/>
    <w:rsid w:val="0032307B"/>
    <w:rsid w:val="003236D9"/>
    <w:rsid w:val="00323CDD"/>
    <w:rsid w:val="00323DC1"/>
    <w:rsid w:val="00324141"/>
    <w:rsid w:val="0032465E"/>
    <w:rsid w:val="0032490A"/>
    <w:rsid w:val="00324B79"/>
    <w:rsid w:val="003250CA"/>
    <w:rsid w:val="00325219"/>
    <w:rsid w:val="003254DD"/>
    <w:rsid w:val="00325739"/>
    <w:rsid w:val="00325DA1"/>
    <w:rsid w:val="00325DAC"/>
    <w:rsid w:val="003270E4"/>
    <w:rsid w:val="003279BC"/>
    <w:rsid w:val="00327C33"/>
    <w:rsid w:val="00327F75"/>
    <w:rsid w:val="00330770"/>
    <w:rsid w:val="00331556"/>
    <w:rsid w:val="003315DC"/>
    <w:rsid w:val="00331805"/>
    <w:rsid w:val="00331A16"/>
    <w:rsid w:val="00331BA6"/>
    <w:rsid w:val="00331FEC"/>
    <w:rsid w:val="00332034"/>
    <w:rsid w:val="00332639"/>
    <w:rsid w:val="003327F2"/>
    <w:rsid w:val="003328F9"/>
    <w:rsid w:val="0033297A"/>
    <w:rsid w:val="00333C84"/>
    <w:rsid w:val="00333CE4"/>
    <w:rsid w:val="00333DDD"/>
    <w:rsid w:val="003344D4"/>
    <w:rsid w:val="0033491A"/>
    <w:rsid w:val="00334ACF"/>
    <w:rsid w:val="003350E5"/>
    <w:rsid w:val="00335423"/>
    <w:rsid w:val="003354A6"/>
    <w:rsid w:val="003354BC"/>
    <w:rsid w:val="00335D4A"/>
    <w:rsid w:val="003364DA"/>
    <w:rsid w:val="00336E4D"/>
    <w:rsid w:val="00336E9E"/>
    <w:rsid w:val="00337433"/>
    <w:rsid w:val="003374D6"/>
    <w:rsid w:val="00337A6B"/>
    <w:rsid w:val="00337AB3"/>
    <w:rsid w:val="00340377"/>
    <w:rsid w:val="003404BC"/>
    <w:rsid w:val="003405D8"/>
    <w:rsid w:val="00341046"/>
    <w:rsid w:val="003415E1"/>
    <w:rsid w:val="00341907"/>
    <w:rsid w:val="00341A14"/>
    <w:rsid w:val="0034260A"/>
    <w:rsid w:val="003427C2"/>
    <w:rsid w:val="003428BB"/>
    <w:rsid w:val="003429D1"/>
    <w:rsid w:val="0034384C"/>
    <w:rsid w:val="00343C53"/>
    <w:rsid w:val="00343E9F"/>
    <w:rsid w:val="00343FB7"/>
    <w:rsid w:val="0034429B"/>
    <w:rsid w:val="003444D0"/>
    <w:rsid w:val="0034458E"/>
    <w:rsid w:val="00344F14"/>
    <w:rsid w:val="00345864"/>
    <w:rsid w:val="00345E01"/>
    <w:rsid w:val="003461D7"/>
    <w:rsid w:val="0034660C"/>
    <w:rsid w:val="00346F3F"/>
    <w:rsid w:val="0035045D"/>
    <w:rsid w:val="0035096F"/>
    <w:rsid w:val="00350DF1"/>
    <w:rsid w:val="00350E2F"/>
    <w:rsid w:val="00351381"/>
    <w:rsid w:val="0035213C"/>
    <w:rsid w:val="0035224F"/>
    <w:rsid w:val="0035228D"/>
    <w:rsid w:val="003522B1"/>
    <w:rsid w:val="003523D8"/>
    <w:rsid w:val="003530A6"/>
    <w:rsid w:val="00353627"/>
    <w:rsid w:val="0035363F"/>
    <w:rsid w:val="00354589"/>
    <w:rsid w:val="00354851"/>
    <w:rsid w:val="00354868"/>
    <w:rsid w:val="0035495E"/>
    <w:rsid w:val="0035538A"/>
    <w:rsid w:val="00355773"/>
    <w:rsid w:val="00355CDE"/>
    <w:rsid w:val="00355DF6"/>
    <w:rsid w:val="00355F15"/>
    <w:rsid w:val="00355F72"/>
    <w:rsid w:val="00356127"/>
    <w:rsid w:val="00356422"/>
    <w:rsid w:val="00356A6D"/>
    <w:rsid w:val="00356EEE"/>
    <w:rsid w:val="003571C3"/>
    <w:rsid w:val="003575A2"/>
    <w:rsid w:val="00357657"/>
    <w:rsid w:val="003579D6"/>
    <w:rsid w:val="00357A52"/>
    <w:rsid w:val="00357AD9"/>
    <w:rsid w:val="00357E32"/>
    <w:rsid w:val="0036003A"/>
    <w:rsid w:val="00360326"/>
    <w:rsid w:val="00360550"/>
    <w:rsid w:val="003608FE"/>
    <w:rsid w:val="00360A77"/>
    <w:rsid w:val="00360AB4"/>
    <w:rsid w:val="00360BD5"/>
    <w:rsid w:val="003618EF"/>
    <w:rsid w:val="00362882"/>
    <w:rsid w:val="00362C7B"/>
    <w:rsid w:val="0036300D"/>
    <w:rsid w:val="00363067"/>
    <w:rsid w:val="00363487"/>
    <w:rsid w:val="003635C1"/>
    <w:rsid w:val="003639A6"/>
    <w:rsid w:val="00364270"/>
    <w:rsid w:val="003645D5"/>
    <w:rsid w:val="00364B3F"/>
    <w:rsid w:val="00364CE0"/>
    <w:rsid w:val="00364D3B"/>
    <w:rsid w:val="0036545A"/>
    <w:rsid w:val="00365833"/>
    <w:rsid w:val="00366572"/>
    <w:rsid w:val="00366624"/>
    <w:rsid w:val="00366755"/>
    <w:rsid w:val="00366E23"/>
    <w:rsid w:val="003672B0"/>
    <w:rsid w:val="003679AE"/>
    <w:rsid w:val="00367CF7"/>
    <w:rsid w:val="00367F6C"/>
    <w:rsid w:val="00370688"/>
    <w:rsid w:val="00370AA6"/>
    <w:rsid w:val="003714BA"/>
    <w:rsid w:val="003714E3"/>
    <w:rsid w:val="00371C14"/>
    <w:rsid w:val="00371FDC"/>
    <w:rsid w:val="003728B9"/>
    <w:rsid w:val="003730AD"/>
    <w:rsid w:val="003735B4"/>
    <w:rsid w:val="00374123"/>
    <w:rsid w:val="0037425F"/>
    <w:rsid w:val="003746AA"/>
    <w:rsid w:val="003747ED"/>
    <w:rsid w:val="00374DFD"/>
    <w:rsid w:val="00374F79"/>
    <w:rsid w:val="00375145"/>
    <w:rsid w:val="0037516A"/>
    <w:rsid w:val="00376304"/>
    <w:rsid w:val="00376372"/>
    <w:rsid w:val="00376732"/>
    <w:rsid w:val="00376946"/>
    <w:rsid w:val="00376CE2"/>
    <w:rsid w:val="00376D4C"/>
    <w:rsid w:val="003771B5"/>
    <w:rsid w:val="003772AC"/>
    <w:rsid w:val="00377721"/>
    <w:rsid w:val="0037797F"/>
    <w:rsid w:val="00377A2A"/>
    <w:rsid w:val="00377EF4"/>
    <w:rsid w:val="003802AE"/>
    <w:rsid w:val="003802CE"/>
    <w:rsid w:val="0038045A"/>
    <w:rsid w:val="00380D79"/>
    <w:rsid w:val="00380E71"/>
    <w:rsid w:val="00380E9A"/>
    <w:rsid w:val="00380EA7"/>
    <w:rsid w:val="00381A55"/>
    <w:rsid w:val="00381E78"/>
    <w:rsid w:val="003821DA"/>
    <w:rsid w:val="00382458"/>
    <w:rsid w:val="0038281C"/>
    <w:rsid w:val="00382C39"/>
    <w:rsid w:val="0038315B"/>
    <w:rsid w:val="00383816"/>
    <w:rsid w:val="00383A6A"/>
    <w:rsid w:val="0038438B"/>
    <w:rsid w:val="00385059"/>
    <w:rsid w:val="003850C6"/>
    <w:rsid w:val="0038516B"/>
    <w:rsid w:val="00385A64"/>
    <w:rsid w:val="00385F52"/>
    <w:rsid w:val="00386256"/>
    <w:rsid w:val="0038663C"/>
    <w:rsid w:val="0038686D"/>
    <w:rsid w:val="00386D1A"/>
    <w:rsid w:val="00387A2E"/>
    <w:rsid w:val="00387BA4"/>
    <w:rsid w:val="003901BE"/>
    <w:rsid w:val="00390300"/>
    <w:rsid w:val="0039045D"/>
    <w:rsid w:val="00390C7D"/>
    <w:rsid w:val="00390F8F"/>
    <w:rsid w:val="00391198"/>
    <w:rsid w:val="00391479"/>
    <w:rsid w:val="00391513"/>
    <w:rsid w:val="00391717"/>
    <w:rsid w:val="0039182E"/>
    <w:rsid w:val="00391872"/>
    <w:rsid w:val="00391C6D"/>
    <w:rsid w:val="00392396"/>
    <w:rsid w:val="00392455"/>
    <w:rsid w:val="00392699"/>
    <w:rsid w:val="00392826"/>
    <w:rsid w:val="00392E4B"/>
    <w:rsid w:val="00392F09"/>
    <w:rsid w:val="00392F34"/>
    <w:rsid w:val="0039342B"/>
    <w:rsid w:val="00393832"/>
    <w:rsid w:val="00393C77"/>
    <w:rsid w:val="00394636"/>
    <w:rsid w:val="00394B86"/>
    <w:rsid w:val="00394BA7"/>
    <w:rsid w:val="00394C83"/>
    <w:rsid w:val="00394D2F"/>
    <w:rsid w:val="00394F07"/>
    <w:rsid w:val="003958A6"/>
    <w:rsid w:val="003959AF"/>
    <w:rsid w:val="00396339"/>
    <w:rsid w:val="00396404"/>
    <w:rsid w:val="00396D17"/>
    <w:rsid w:val="00397170"/>
    <w:rsid w:val="0039738C"/>
    <w:rsid w:val="00397CAB"/>
    <w:rsid w:val="00397D69"/>
    <w:rsid w:val="00397F0D"/>
    <w:rsid w:val="003A04B8"/>
    <w:rsid w:val="003A096A"/>
    <w:rsid w:val="003A09C7"/>
    <w:rsid w:val="003A0CBA"/>
    <w:rsid w:val="003A0D8C"/>
    <w:rsid w:val="003A2801"/>
    <w:rsid w:val="003A292D"/>
    <w:rsid w:val="003A2B24"/>
    <w:rsid w:val="003A31C5"/>
    <w:rsid w:val="003A322A"/>
    <w:rsid w:val="003A3433"/>
    <w:rsid w:val="003A3436"/>
    <w:rsid w:val="003A389A"/>
    <w:rsid w:val="003A4110"/>
    <w:rsid w:val="003A4193"/>
    <w:rsid w:val="003A46C2"/>
    <w:rsid w:val="003A537E"/>
    <w:rsid w:val="003A5456"/>
    <w:rsid w:val="003A56B5"/>
    <w:rsid w:val="003A56BA"/>
    <w:rsid w:val="003A57CD"/>
    <w:rsid w:val="003A59F1"/>
    <w:rsid w:val="003A5D43"/>
    <w:rsid w:val="003A5DA5"/>
    <w:rsid w:val="003A618E"/>
    <w:rsid w:val="003A6209"/>
    <w:rsid w:val="003A660F"/>
    <w:rsid w:val="003A693E"/>
    <w:rsid w:val="003A6D1E"/>
    <w:rsid w:val="003A6EEB"/>
    <w:rsid w:val="003A74CD"/>
    <w:rsid w:val="003A7539"/>
    <w:rsid w:val="003A7595"/>
    <w:rsid w:val="003A7618"/>
    <w:rsid w:val="003A79A4"/>
    <w:rsid w:val="003B006B"/>
    <w:rsid w:val="003B0305"/>
    <w:rsid w:val="003B0341"/>
    <w:rsid w:val="003B095E"/>
    <w:rsid w:val="003B146D"/>
    <w:rsid w:val="003B1661"/>
    <w:rsid w:val="003B1DBE"/>
    <w:rsid w:val="003B23E0"/>
    <w:rsid w:val="003B2769"/>
    <w:rsid w:val="003B2858"/>
    <w:rsid w:val="003B28EF"/>
    <w:rsid w:val="003B2930"/>
    <w:rsid w:val="003B2941"/>
    <w:rsid w:val="003B2C70"/>
    <w:rsid w:val="003B2F38"/>
    <w:rsid w:val="003B37A4"/>
    <w:rsid w:val="003B3834"/>
    <w:rsid w:val="003B3C35"/>
    <w:rsid w:val="003B3DCC"/>
    <w:rsid w:val="003B4143"/>
    <w:rsid w:val="003B4714"/>
    <w:rsid w:val="003B4872"/>
    <w:rsid w:val="003B4A02"/>
    <w:rsid w:val="003B4DEB"/>
    <w:rsid w:val="003B55CB"/>
    <w:rsid w:val="003B5AB3"/>
    <w:rsid w:val="003B606C"/>
    <w:rsid w:val="003B6906"/>
    <w:rsid w:val="003B6DFD"/>
    <w:rsid w:val="003B718F"/>
    <w:rsid w:val="003B7303"/>
    <w:rsid w:val="003B74D9"/>
    <w:rsid w:val="003B7519"/>
    <w:rsid w:val="003B7656"/>
    <w:rsid w:val="003B772F"/>
    <w:rsid w:val="003B77FC"/>
    <w:rsid w:val="003C0127"/>
    <w:rsid w:val="003C0314"/>
    <w:rsid w:val="003C055D"/>
    <w:rsid w:val="003C05A9"/>
    <w:rsid w:val="003C0690"/>
    <w:rsid w:val="003C0D06"/>
    <w:rsid w:val="003C0EAF"/>
    <w:rsid w:val="003C0F86"/>
    <w:rsid w:val="003C10D8"/>
    <w:rsid w:val="003C15DB"/>
    <w:rsid w:val="003C1700"/>
    <w:rsid w:val="003C18E0"/>
    <w:rsid w:val="003C1A9F"/>
    <w:rsid w:val="003C1AD2"/>
    <w:rsid w:val="003C217B"/>
    <w:rsid w:val="003C268E"/>
    <w:rsid w:val="003C272E"/>
    <w:rsid w:val="003C2902"/>
    <w:rsid w:val="003C3342"/>
    <w:rsid w:val="003C342C"/>
    <w:rsid w:val="003C3A86"/>
    <w:rsid w:val="003C3EB7"/>
    <w:rsid w:val="003C3EED"/>
    <w:rsid w:val="003C4BF2"/>
    <w:rsid w:val="003C4D97"/>
    <w:rsid w:val="003C547F"/>
    <w:rsid w:val="003C549A"/>
    <w:rsid w:val="003C54D2"/>
    <w:rsid w:val="003C56A9"/>
    <w:rsid w:val="003C5D46"/>
    <w:rsid w:val="003C696A"/>
    <w:rsid w:val="003C6A73"/>
    <w:rsid w:val="003C6B93"/>
    <w:rsid w:val="003C768B"/>
    <w:rsid w:val="003C777E"/>
    <w:rsid w:val="003C77FE"/>
    <w:rsid w:val="003C7DC2"/>
    <w:rsid w:val="003C7E44"/>
    <w:rsid w:val="003C7ED8"/>
    <w:rsid w:val="003D00CE"/>
    <w:rsid w:val="003D01AB"/>
    <w:rsid w:val="003D050A"/>
    <w:rsid w:val="003D06AF"/>
    <w:rsid w:val="003D0BF6"/>
    <w:rsid w:val="003D11A9"/>
    <w:rsid w:val="003D1451"/>
    <w:rsid w:val="003D14FC"/>
    <w:rsid w:val="003D1B8B"/>
    <w:rsid w:val="003D1FB3"/>
    <w:rsid w:val="003D2A23"/>
    <w:rsid w:val="003D2A37"/>
    <w:rsid w:val="003D3337"/>
    <w:rsid w:val="003D3E6A"/>
    <w:rsid w:val="003D3EFE"/>
    <w:rsid w:val="003D41F3"/>
    <w:rsid w:val="003D4F8D"/>
    <w:rsid w:val="003D501B"/>
    <w:rsid w:val="003D5658"/>
    <w:rsid w:val="003D5800"/>
    <w:rsid w:val="003D6100"/>
    <w:rsid w:val="003D69AA"/>
    <w:rsid w:val="003D69EF"/>
    <w:rsid w:val="003D69FF"/>
    <w:rsid w:val="003D6AE9"/>
    <w:rsid w:val="003D7D91"/>
    <w:rsid w:val="003D9066"/>
    <w:rsid w:val="003E0089"/>
    <w:rsid w:val="003E03CA"/>
    <w:rsid w:val="003E0910"/>
    <w:rsid w:val="003E0D10"/>
    <w:rsid w:val="003E0EDB"/>
    <w:rsid w:val="003E0F12"/>
    <w:rsid w:val="003E1A63"/>
    <w:rsid w:val="003E1A87"/>
    <w:rsid w:val="003E24F8"/>
    <w:rsid w:val="003E27E3"/>
    <w:rsid w:val="003E29E8"/>
    <w:rsid w:val="003E3B7B"/>
    <w:rsid w:val="003E3D21"/>
    <w:rsid w:val="003E49B7"/>
    <w:rsid w:val="003E4A7A"/>
    <w:rsid w:val="003E4DC9"/>
    <w:rsid w:val="003E4E4A"/>
    <w:rsid w:val="003E561B"/>
    <w:rsid w:val="003E57E4"/>
    <w:rsid w:val="003E582E"/>
    <w:rsid w:val="003E5858"/>
    <w:rsid w:val="003E5905"/>
    <w:rsid w:val="003E5ACE"/>
    <w:rsid w:val="003E6196"/>
    <w:rsid w:val="003E6475"/>
    <w:rsid w:val="003E6597"/>
    <w:rsid w:val="003E668E"/>
    <w:rsid w:val="003E69FD"/>
    <w:rsid w:val="003E70E4"/>
    <w:rsid w:val="003E7195"/>
    <w:rsid w:val="003E749D"/>
    <w:rsid w:val="003E7758"/>
    <w:rsid w:val="003E797D"/>
    <w:rsid w:val="003E7A79"/>
    <w:rsid w:val="003E7D4E"/>
    <w:rsid w:val="003E7E1A"/>
    <w:rsid w:val="003F0615"/>
    <w:rsid w:val="003F08BD"/>
    <w:rsid w:val="003F08E9"/>
    <w:rsid w:val="003F105A"/>
    <w:rsid w:val="003F1213"/>
    <w:rsid w:val="003F14B5"/>
    <w:rsid w:val="003F17A7"/>
    <w:rsid w:val="003F204B"/>
    <w:rsid w:val="003F2101"/>
    <w:rsid w:val="003F2344"/>
    <w:rsid w:val="003F25DC"/>
    <w:rsid w:val="003F2BC4"/>
    <w:rsid w:val="003F2CC6"/>
    <w:rsid w:val="003F2F6D"/>
    <w:rsid w:val="003F2FA7"/>
    <w:rsid w:val="003F330E"/>
    <w:rsid w:val="003F41B5"/>
    <w:rsid w:val="003F4238"/>
    <w:rsid w:val="003F485C"/>
    <w:rsid w:val="003F4E41"/>
    <w:rsid w:val="003F54E9"/>
    <w:rsid w:val="003F5787"/>
    <w:rsid w:val="003F57E6"/>
    <w:rsid w:val="003F5B4D"/>
    <w:rsid w:val="003F6199"/>
    <w:rsid w:val="003F6458"/>
    <w:rsid w:val="003F660E"/>
    <w:rsid w:val="003F67DE"/>
    <w:rsid w:val="003F67E3"/>
    <w:rsid w:val="003F6819"/>
    <w:rsid w:val="003F6B3E"/>
    <w:rsid w:val="003F7E1D"/>
    <w:rsid w:val="004001BD"/>
    <w:rsid w:val="004004ED"/>
    <w:rsid w:val="00400898"/>
    <w:rsid w:val="00400BFE"/>
    <w:rsid w:val="00400CDC"/>
    <w:rsid w:val="00400F45"/>
    <w:rsid w:val="00401140"/>
    <w:rsid w:val="00401226"/>
    <w:rsid w:val="00401482"/>
    <w:rsid w:val="00401AD4"/>
    <w:rsid w:val="00401E77"/>
    <w:rsid w:val="00401F14"/>
    <w:rsid w:val="004020D4"/>
    <w:rsid w:val="004023A5"/>
    <w:rsid w:val="00402A56"/>
    <w:rsid w:val="004031A9"/>
    <w:rsid w:val="004033BF"/>
    <w:rsid w:val="004035A6"/>
    <w:rsid w:val="004038DD"/>
    <w:rsid w:val="00403C05"/>
    <w:rsid w:val="004044F2"/>
    <w:rsid w:val="00404517"/>
    <w:rsid w:val="00404A63"/>
    <w:rsid w:val="00404B7C"/>
    <w:rsid w:val="00404C3E"/>
    <w:rsid w:val="004050B3"/>
    <w:rsid w:val="004050D2"/>
    <w:rsid w:val="0040562C"/>
    <w:rsid w:val="00405D25"/>
    <w:rsid w:val="00405D5B"/>
    <w:rsid w:val="00405E2C"/>
    <w:rsid w:val="0040607B"/>
    <w:rsid w:val="004066C2"/>
    <w:rsid w:val="004067E0"/>
    <w:rsid w:val="00406870"/>
    <w:rsid w:val="00406921"/>
    <w:rsid w:val="00406C0F"/>
    <w:rsid w:val="00407262"/>
    <w:rsid w:val="004073DC"/>
    <w:rsid w:val="004102DF"/>
    <w:rsid w:val="004111D8"/>
    <w:rsid w:val="004112C2"/>
    <w:rsid w:val="00411ADB"/>
    <w:rsid w:val="00411D0E"/>
    <w:rsid w:val="00411F2D"/>
    <w:rsid w:val="0041202D"/>
    <w:rsid w:val="0041277E"/>
    <w:rsid w:val="0041307B"/>
    <w:rsid w:val="004135DA"/>
    <w:rsid w:val="00413FE6"/>
    <w:rsid w:val="00414755"/>
    <w:rsid w:val="0041484A"/>
    <w:rsid w:val="0041498A"/>
    <w:rsid w:val="004149FC"/>
    <w:rsid w:val="00414FDC"/>
    <w:rsid w:val="004150E3"/>
    <w:rsid w:val="004157D2"/>
    <w:rsid w:val="004160FA"/>
    <w:rsid w:val="00416182"/>
    <w:rsid w:val="00416479"/>
    <w:rsid w:val="00416761"/>
    <w:rsid w:val="0041685C"/>
    <w:rsid w:val="004168AE"/>
    <w:rsid w:val="00416F0B"/>
    <w:rsid w:val="0041703B"/>
    <w:rsid w:val="004200C2"/>
    <w:rsid w:val="00420540"/>
    <w:rsid w:val="00420869"/>
    <w:rsid w:val="00421450"/>
    <w:rsid w:val="00421860"/>
    <w:rsid w:val="004221EF"/>
    <w:rsid w:val="00422B3A"/>
    <w:rsid w:val="00422CB8"/>
    <w:rsid w:val="00422F23"/>
    <w:rsid w:val="00423291"/>
    <w:rsid w:val="00423F3A"/>
    <w:rsid w:val="00423F92"/>
    <w:rsid w:val="00423FC5"/>
    <w:rsid w:val="00424088"/>
    <w:rsid w:val="00424520"/>
    <w:rsid w:val="00424BC8"/>
    <w:rsid w:val="00425029"/>
    <w:rsid w:val="00425894"/>
    <w:rsid w:val="00425956"/>
    <w:rsid w:val="00426090"/>
    <w:rsid w:val="0042664D"/>
    <w:rsid w:val="004266E1"/>
    <w:rsid w:val="00426C29"/>
    <w:rsid w:val="00426CD0"/>
    <w:rsid w:val="00426CF2"/>
    <w:rsid w:val="00426DEF"/>
    <w:rsid w:val="004273AD"/>
    <w:rsid w:val="004274C8"/>
    <w:rsid w:val="00427E55"/>
    <w:rsid w:val="004301F4"/>
    <w:rsid w:val="0043037A"/>
    <w:rsid w:val="00430CB1"/>
    <w:rsid w:val="0043129D"/>
    <w:rsid w:val="0043178C"/>
    <w:rsid w:val="00431969"/>
    <w:rsid w:val="00431CF2"/>
    <w:rsid w:val="0043224E"/>
    <w:rsid w:val="004323B6"/>
    <w:rsid w:val="004325D3"/>
    <w:rsid w:val="00432AFF"/>
    <w:rsid w:val="00432CD2"/>
    <w:rsid w:val="0043305D"/>
    <w:rsid w:val="00433236"/>
    <w:rsid w:val="004339F3"/>
    <w:rsid w:val="00433E30"/>
    <w:rsid w:val="00433FEF"/>
    <w:rsid w:val="004340E7"/>
    <w:rsid w:val="004354F7"/>
    <w:rsid w:val="00435542"/>
    <w:rsid w:val="004364A8"/>
    <w:rsid w:val="00436A0D"/>
    <w:rsid w:val="00437052"/>
    <w:rsid w:val="0043751E"/>
    <w:rsid w:val="00437548"/>
    <w:rsid w:val="004376F3"/>
    <w:rsid w:val="00437984"/>
    <w:rsid w:val="00437BB5"/>
    <w:rsid w:val="00440142"/>
    <w:rsid w:val="00440C32"/>
    <w:rsid w:val="00440D57"/>
    <w:rsid w:val="00440E08"/>
    <w:rsid w:val="004410CF"/>
    <w:rsid w:val="00441460"/>
    <w:rsid w:val="0044163A"/>
    <w:rsid w:val="00441962"/>
    <w:rsid w:val="00441FEB"/>
    <w:rsid w:val="004428CA"/>
    <w:rsid w:val="00442E59"/>
    <w:rsid w:val="0044317E"/>
    <w:rsid w:val="00443439"/>
    <w:rsid w:val="00443AF8"/>
    <w:rsid w:val="00443D3F"/>
    <w:rsid w:val="0044591C"/>
    <w:rsid w:val="00445CA2"/>
    <w:rsid w:val="00445CCC"/>
    <w:rsid w:val="00446358"/>
    <w:rsid w:val="00446421"/>
    <w:rsid w:val="00446551"/>
    <w:rsid w:val="00447026"/>
    <w:rsid w:val="00447243"/>
    <w:rsid w:val="004475B2"/>
    <w:rsid w:val="00447873"/>
    <w:rsid w:val="004501F2"/>
    <w:rsid w:val="00450486"/>
    <w:rsid w:val="004504BA"/>
    <w:rsid w:val="004506DF"/>
    <w:rsid w:val="004507D3"/>
    <w:rsid w:val="00450DFB"/>
    <w:rsid w:val="00451140"/>
    <w:rsid w:val="00451150"/>
    <w:rsid w:val="004511AA"/>
    <w:rsid w:val="0045143E"/>
    <w:rsid w:val="00451449"/>
    <w:rsid w:val="00451D8C"/>
    <w:rsid w:val="00451DFE"/>
    <w:rsid w:val="0045210E"/>
    <w:rsid w:val="0045225F"/>
    <w:rsid w:val="004525E5"/>
    <w:rsid w:val="004526FE"/>
    <w:rsid w:val="00452AAF"/>
    <w:rsid w:val="00452E68"/>
    <w:rsid w:val="00453170"/>
    <w:rsid w:val="00453743"/>
    <w:rsid w:val="0045389C"/>
    <w:rsid w:val="00453BAE"/>
    <w:rsid w:val="00453D59"/>
    <w:rsid w:val="004541CB"/>
    <w:rsid w:val="0045444E"/>
    <w:rsid w:val="004548E9"/>
    <w:rsid w:val="00454945"/>
    <w:rsid w:val="00454B7E"/>
    <w:rsid w:val="00454E49"/>
    <w:rsid w:val="00455147"/>
    <w:rsid w:val="00455209"/>
    <w:rsid w:val="00455430"/>
    <w:rsid w:val="00455A32"/>
    <w:rsid w:val="00455F43"/>
    <w:rsid w:val="00456087"/>
    <w:rsid w:val="00456242"/>
    <w:rsid w:val="00456420"/>
    <w:rsid w:val="00456665"/>
    <w:rsid w:val="00456BBE"/>
    <w:rsid w:val="00456C99"/>
    <w:rsid w:val="00457516"/>
    <w:rsid w:val="00457C18"/>
    <w:rsid w:val="00457F14"/>
    <w:rsid w:val="0046005E"/>
    <w:rsid w:val="004606DD"/>
    <w:rsid w:val="00460B6A"/>
    <w:rsid w:val="00460B94"/>
    <w:rsid w:val="00460D64"/>
    <w:rsid w:val="00460DDB"/>
    <w:rsid w:val="004619BB"/>
    <w:rsid w:val="00461B49"/>
    <w:rsid w:val="00462043"/>
    <w:rsid w:val="004631F8"/>
    <w:rsid w:val="0046364D"/>
    <w:rsid w:val="004636F1"/>
    <w:rsid w:val="00464548"/>
    <w:rsid w:val="00465862"/>
    <w:rsid w:val="0046592A"/>
    <w:rsid w:val="00465D3F"/>
    <w:rsid w:val="0046600B"/>
    <w:rsid w:val="0046621E"/>
    <w:rsid w:val="0046629F"/>
    <w:rsid w:val="004664D8"/>
    <w:rsid w:val="00466612"/>
    <w:rsid w:val="004667FB"/>
    <w:rsid w:val="004668D8"/>
    <w:rsid w:val="004670CF"/>
    <w:rsid w:val="004673FD"/>
    <w:rsid w:val="004674DF"/>
    <w:rsid w:val="00470A1C"/>
    <w:rsid w:val="00471661"/>
    <w:rsid w:val="00471679"/>
    <w:rsid w:val="004726AF"/>
    <w:rsid w:val="00472726"/>
    <w:rsid w:val="00472C05"/>
    <w:rsid w:val="00472CCE"/>
    <w:rsid w:val="00472D4D"/>
    <w:rsid w:val="00473128"/>
    <w:rsid w:val="00473668"/>
    <w:rsid w:val="004738A4"/>
    <w:rsid w:val="00473949"/>
    <w:rsid w:val="00473C2C"/>
    <w:rsid w:val="004741E4"/>
    <w:rsid w:val="00474B6B"/>
    <w:rsid w:val="00474D08"/>
    <w:rsid w:val="00474D11"/>
    <w:rsid w:val="00474E48"/>
    <w:rsid w:val="004754BF"/>
    <w:rsid w:val="00475722"/>
    <w:rsid w:val="004757C0"/>
    <w:rsid w:val="00475C4C"/>
    <w:rsid w:val="00475CEF"/>
    <w:rsid w:val="004762F8"/>
    <w:rsid w:val="00476A4F"/>
    <w:rsid w:val="00476AD4"/>
    <w:rsid w:val="00476C6D"/>
    <w:rsid w:val="00476E08"/>
    <w:rsid w:val="004777FD"/>
    <w:rsid w:val="00477B77"/>
    <w:rsid w:val="00480008"/>
    <w:rsid w:val="0048074D"/>
    <w:rsid w:val="00480A1A"/>
    <w:rsid w:val="00480A39"/>
    <w:rsid w:val="00480A5D"/>
    <w:rsid w:val="00480BD0"/>
    <w:rsid w:val="00481248"/>
    <w:rsid w:val="00481549"/>
    <w:rsid w:val="00481712"/>
    <w:rsid w:val="00481D68"/>
    <w:rsid w:val="004821E8"/>
    <w:rsid w:val="004822FA"/>
    <w:rsid w:val="0048231C"/>
    <w:rsid w:val="0048240E"/>
    <w:rsid w:val="00482AA8"/>
    <w:rsid w:val="00482B3D"/>
    <w:rsid w:val="00482E37"/>
    <w:rsid w:val="00483079"/>
    <w:rsid w:val="00483BFD"/>
    <w:rsid w:val="00484424"/>
    <w:rsid w:val="0048451F"/>
    <w:rsid w:val="0048478C"/>
    <w:rsid w:val="0048486C"/>
    <w:rsid w:val="00484E51"/>
    <w:rsid w:val="00485226"/>
    <w:rsid w:val="00485252"/>
    <w:rsid w:val="0048598F"/>
    <w:rsid w:val="00486A02"/>
    <w:rsid w:val="0048761C"/>
    <w:rsid w:val="00487831"/>
    <w:rsid w:val="004878AA"/>
    <w:rsid w:val="00487EF1"/>
    <w:rsid w:val="004902F9"/>
    <w:rsid w:val="0049058A"/>
    <w:rsid w:val="00490666"/>
    <w:rsid w:val="004908B7"/>
    <w:rsid w:val="00490A71"/>
    <w:rsid w:val="00490B98"/>
    <w:rsid w:val="00491130"/>
    <w:rsid w:val="004911B0"/>
    <w:rsid w:val="00491410"/>
    <w:rsid w:val="0049141C"/>
    <w:rsid w:val="004919DD"/>
    <w:rsid w:val="00491DC9"/>
    <w:rsid w:val="00492156"/>
    <w:rsid w:val="004921F0"/>
    <w:rsid w:val="00492305"/>
    <w:rsid w:val="0049249C"/>
    <w:rsid w:val="00492B58"/>
    <w:rsid w:val="00492F86"/>
    <w:rsid w:val="0049315C"/>
    <w:rsid w:val="004933D9"/>
    <w:rsid w:val="0049348E"/>
    <w:rsid w:val="004935EF"/>
    <w:rsid w:val="00493D3D"/>
    <w:rsid w:val="00493E58"/>
    <w:rsid w:val="00493EE5"/>
    <w:rsid w:val="004943A5"/>
    <w:rsid w:val="00494C8D"/>
    <w:rsid w:val="00494F7C"/>
    <w:rsid w:val="004953C7"/>
    <w:rsid w:val="00495D13"/>
    <w:rsid w:val="0049657F"/>
    <w:rsid w:val="00496AA3"/>
    <w:rsid w:val="00496F76"/>
    <w:rsid w:val="00496FAB"/>
    <w:rsid w:val="004971D4"/>
    <w:rsid w:val="004975F2"/>
    <w:rsid w:val="00497DC9"/>
    <w:rsid w:val="00497EA6"/>
    <w:rsid w:val="00497EDE"/>
    <w:rsid w:val="004A0C6D"/>
    <w:rsid w:val="004A1AB5"/>
    <w:rsid w:val="004A1E0D"/>
    <w:rsid w:val="004A20A4"/>
    <w:rsid w:val="004A2819"/>
    <w:rsid w:val="004A28D5"/>
    <w:rsid w:val="004A2DCA"/>
    <w:rsid w:val="004A2DF5"/>
    <w:rsid w:val="004A3A07"/>
    <w:rsid w:val="004A45CF"/>
    <w:rsid w:val="004A478F"/>
    <w:rsid w:val="004A497E"/>
    <w:rsid w:val="004A4EF3"/>
    <w:rsid w:val="004A522A"/>
    <w:rsid w:val="004A54AC"/>
    <w:rsid w:val="004A5746"/>
    <w:rsid w:val="004A5989"/>
    <w:rsid w:val="004A5A64"/>
    <w:rsid w:val="004A5D5A"/>
    <w:rsid w:val="004A6350"/>
    <w:rsid w:val="004A6587"/>
    <w:rsid w:val="004A7C34"/>
    <w:rsid w:val="004A7D36"/>
    <w:rsid w:val="004B010F"/>
    <w:rsid w:val="004B0273"/>
    <w:rsid w:val="004B039B"/>
    <w:rsid w:val="004B0570"/>
    <w:rsid w:val="004B0FD3"/>
    <w:rsid w:val="004B1787"/>
    <w:rsid w:val="004B181B"/>
    <w:rsid w:val="004B1F2A"/>
    <w:rsid w:val="004B207F"/>
    <w:rsid w:val="004B2983"/>
    <w:rsid w:val="004B2CC0"/>
    <w:rsid w:val="004B3006"/>
    <w:rsid w:val="004B3018"/>
    <w:rsid w:val="004B3061"/>
    <w:rsid w:val="004B32C4"/>
    <w:rsid w:val="004B386E"/>
    <w:rsid w:val="004B3C00"/>
    <w:rsid w:val="004B3FF2"/>
    <w:rsid w:val="004B5048"/>
    <w:rsid w:val="004B545F"/>
    <w:rsid w:val="004B664F"/>
    <w:rsid w:val="004B6891"/>
    <w:rsid w:val="004B6AB2"/>
    <w:rsid w:val="004B6E79"/>
    <w:rsid w:val="004B7423"/>
    <w:rsid w:val="004B7569"/>
    <w:rsid w:val="004B790A"/>
    <w:rsid w:val="004B7D80"/>
    <w:rsid w:val="004C000E"/>
    <w:rsid w:val="004C02FA"/>
    <w:rsid w:val="004C0777"/>
    <w:rsid w:val="004C0DF5"/>
    <w:rsid w:val="004C18E8"/>
    <w:rsid w:val="004C1D0C"/>
    <w:rsid w:val="004C1E2B"/>
    <w:rsid w:val="004C1EA0"/>
    <w:rsid w:val="004C2FF3"/>
    <w:rsid w:val="004C3013"/>
    <w:rsid w:val="004C34E8"/>
    <w:rsid w:val="004C352B"/>
    <w:rsid w:val="004C37B3"/>
    <w:rsid w:val="004C3B63"/>
    <w:rsid w:val="004C3E37"/>
    <w:rsid w:val="004C41BC"/>
    <w:rsid w:val="004C4451"/>
    <w:rsid w:val="004C445C"/>
    <w:rsid w:val="004C495D"/>
    <w:rsid w:val="004C4A1D"/>
    <w:rsid w:val="004C4A28"/>
    <w:rsid w:val="004C4DBA"/>
    <w:rsid w:val="004C53DC"/>
    <w:rsid w:val="004C559B"/>
    <w:rsid w:val="004C5A75"/>
    <w:rsid w:val="004C5C5E"/>
    <w:rsid w:val="004C5EAD"/>
    <w:rsid w:val="004C5F62"/>
    <w:rsid w:val="004C6700"/>
    <w:rsid w:val="004C6906"/>
    <w:rsid w:val="004C6990"/>
    <w:rsid w:val="004C6F43"/>
    <w:rsid w:val="004C7917"/>
    <w:rsid w:val="004C7940"/>
    <w:rsid w:val="004D0B59"/>
    <w:rsid w:val="004D0D99"/>
    <w:rsid w:val="004D1006"/>
    <w:rsid w:val="004D1A12"/>
    <w:rsid w:val="004D1A4F"/>
    <w:rsid w:val="004D21A6"/>
    <w:rsid w:val="004D35B9"/>
    <w:rsid w:val="004D3B15"/>
    <w:rsid w:val="004D3DDD"/>
    <w:rsid w:val="004D3E9B"/>
    <w:rsid w:val="004D3F5F"/>
    <w:rsid w:val="004D45DF"/>
    <w:rsid w:val="004D4A9C"/>
    <w:rsid w:val="004D4D0E"/>
    <w:rsid w:val="004D51FF"/>
    <w:rsid w:val="004D5202"/>
    <w:rsid w:val="004D52E0"/>
    <w:rsid w:val="004D5428"/>
    <w:rsid w:val="004D5466"/>
    <w:rsid w:val="004D64AF"/>
    <w:rsid w:val="004D6B08"/>
    <w:rsid w:val="004D6C41"/>
    <w:rsid w:val="004D6C6C"/>
    <w:rsid w:val="004D6DEE"/>
    <w:rsid w:val="004D7406"/>
    <w:rsid w:val="004D7A2A"/>
    <w:rsid w:val="004D7B81"/>
    <w:rsid w:val="004D7F30"/>
    <w:rsid w:val="004E058E"/>
    <w:rsid w:val="004E06ED"/>
    <w:rsid w:val="004E08D8"/>
    <w:rsid w:val="004E0A79"/>
    <w:rsid w:val="004E0BCD"/>
    <w:rsid w:val="004E0C0B"/>
    <w:rsid w:val="004E10AA"/>
    <w:rsid w:val="004E1239"/>
    <w:rsid w:val="004E1780"/>
    <w:rsid w:val="004E17CB"/>
    <w:rsid w:val="004E1C35"/>
    <w:rsid w:val="004E1C4F"/>
    <w:rsid w:val="004E1CD4"/>
    <w:rsid w:val="004E2059"/>
    <w:rsid w:val="004E2125"/>
    <w:rsid w:val="004E2C90"/>
    <w:rsid w:val="004E2CFD"/>
    <w:rsid w:val="004E2EA2"/>
    <w:rsid w:val="004E3292"/>
    <w:rsid w:val="004E346E"/>
    <w:rsid w:val="004E422C"/>
    <w:rsid w:val="004E4467"/>
    <w:rsid w:val="004E48E7"/>
    <w:rsid w:val="004E53EF"/>
    <w:rsid w:val="004E54EB"/>
    <w:rsid w:val="004E5502"/>
    <w:rsid w:val="004E5587"/>
    <w:rsid w:val="004E56EE"/>
    <w:rsid w:val="004E578F"/>
    <w:rsid w:val="004E5D09"/>
    <w:rsid w:val="004E5DAC"/>
    <w:rsid w:val="004E5F8F"/>
    <w:rsid w:val="004E63AE"/>
    <w:rsid w:val="004E641C"/>
    <w:rsid w:val="004E677C"/>
    <w:rsid w:val="004E6CFF"/>
    <w:rsid w:val="004E6D75"/>
    <w:rsid w:val="004E6E90"/>
    <w:rsid w:val="004E6FC2"/>
    <w:rsid w:val="004E7232"/>
    <w:rsid w:val="004E723C"/>
    <w:rsid w:val="004E747E"/>
    <w:rsid w:val="004E7921"/>
    <w:rsid w:val="004E7A1B"/>
    <w:rsid w:val="004E7AD4"/>
    <w:rsid w:val="004F1802"/>
    <w:rsid w:val="004F2248"/>
    <w:rsid w:val="004F2608"/>
    <w:rsid w:val="004F2D84"/>
    <w:rsid w:val="004F3232"/>
    <w:rsid w:val="004F337E"/>
    <w:rsid w:val="004F3531"/>
    <w:rsid w:val="004F3688"/>
    <w:rsid w:val="004F3A92"/>
    <w:rsid w:val="004F3AAE"/>
    <w:rsid w:val="004F3CAC"/>
    <w:rsid w:val="004F3DD0"/>
    <w:rsid w:val="004F40ED"/>
    <w:rsid w:val="004F4253"/>
    <w:rsid w:val="004F4794"/>
    <w:rsid w:val="004F4849"/>
    <w:rsid w:val="004F4875"/>
    <w:rsid w:val="004F4BDE"/>
    <w:rsid w:val="004F67F3"/>
    <w:rsid w:val="004F6A75"/>
    <w:rsid w:val="004F71E3"/>
    <w:rsid w:val="004F7326"/>
    <w:rsid w:val="004F7AEB"/>
    <w:rsid w:val="004F7CAC"/>
    <w:rsid w:val="004F7E57"/>
    <w:rsid w:val="004F7E81"/>
    <w:rsid w:val="00500376"/>
    <w:rsid w:val="005005DB"/>
    <w:rsid w:val="005007C3"/>
    <w:rsid w:val="0050086B"/>
    <w:rsid w:val="00500A09"/>
    <w:rsid w:val="0050100C"/>
    <w:rsid w:val="00501047"/>
    <w:rsid w:val="00501108"/>
    <w:rsid w:val="0050175A"/>
    <w:rsid w:val="00501B54"/>
    <w:rsid w:val="00501F76"/>
    <w:rsid w:val="00502229"/>
    <w:rsid w:val="00502803"/>
    <w:rsid w:val="00502933"/>
    <w:rsid w:val="00502A5F"/>
    <w:rsid w:val="00502D6C"/>
    <w:rsid w:val="00502F93"/>
    <w:rsid w:val="00503200"/>
    <w:rsid w:val="005033BE"/>
    <w:rsid w:val="0050376D"/>
    <w:rsid w:val="00503A66"/>
    <w:rsid w:val="00503E77"/>
    <w:rsid w:val="0050405D"/>
    <w:rsid w:val="00504DA3"/>
    <w:rsid w:val="00504E76"/>
    <w:rsid w:val="00504E7C"/>
    <w:rsid w:val="0050531A"/>
    <w:rsid w:val="005054DF"/>
    <w:rsid w:val="005056E8"/>
    <w:rsid w:val="005059F7"/>
    <w:rsid w:val="00505CF5"/>
    <w:rsid w:val="00506512"/>
    <w:rsid w:val="00506717"/>
    <w:rsid w:val="0050680A"/>
    <w:rsid w:val="00506D46"/>
    <w:rsid w:val="005073EC"/>
    <w:rsid w:val="00507521"/>
    <w:rsid w:val="0050764E"/>
    <w:rsid w:val="0050790E"/>
    <w:rsid w:val="005079A2"/>
    <w:rsid w:val="00507C48"/>
    <w:rsid w:val="0051055F"/>
    <w:rsid w:val="00511101"/>
    <w:rsid w:val="00511320"/>
    <w:rsid w:val="00511658"/>
    <w:rsid w:val="005119C9"/>
    <w:rsid w:val="005119E0"/>
    <w:rsid w:val="0051225E"/>
    <w:rsid w:val="0051283A"/>
    <w:rsid w:val="0051304B"/>
    <w:rsid w:val="005131B3"/>
    <w:rsid w:val="00513692"/>
    <w:rsid w:val="00513762"/>
    <w:rsid w:val="0051391D"/>
    <w:rsid w:val="00513B6F"/>
    <w:rsid w:val="005143F9"/>
    <w:rsid w:val="00514E56"/>
    <w:rsid w:val="00514F53"/>
    <w:rsid w:val="0051546E"/>
    <w:rsid w:val="00515AEE"/>
    <w:rsid w:val="005163BE"/>
    <w:rsid w:val="00516566"/>
    <w:rsid w:val="00517B35"/>
    <w:rsid w:val="00517D5E"/>
    <w:rsid w:val="00517EA2"/>
    <w:rsid w:val="00520423"/>
    <w:rsid w:val="00520C14"/>
    <w:rsid w:val="00520D42"/>
    <w:rsid w:val="00521070"/>
    <w:rsid w:val="00521109"/>
    <w:rsid w:val="00521828"/>
    <w:rsid w:val="005218C3"/>
    <w:rsid w:val="00522193"/>
    <w:rsid w:val="00522AA4"/>
    <w:rsid w:val="00523462"/>
    <w:rsid w:val="0052366E"/>
    <w:rsid w:val="00523BA4"/>
    <w:rsid w:val="00523FA6"/>
    <w:rsid w:val="00524070"/>
    <w:rsid w:val="005240DF"/>
    <w:rsid w:val="005243D6"/>
    <w:rsid w:val="005249C5"/>
    <w:rsid w:val="00524A3B"/>
    <w:rsid w:val="00524D8F"/>
    <w:rsid w:val="00525182"/>
    <w:rsid w:val="00525265"/>
    <w:rsid w:val="0052582E"/>
    <w:rsid w:val="00525BB2"/>
    <w:rsid w:val="00526059"/>
    <w:rsid w:val="00526085"/>
    <w:rsid w:val="0052612B"/>
    <w:rsid w:val="00526494"/>
    <w:rsid w:val="00526AF7"/>
    <w:rsid w:val="00526B4A"/>
    <w:rsid w:val="00526C79"/>
    <w:rsid w:val="00526FD8"/>
    <w:rsid w:val="005270A4"/>
    <w:rsid w:val="0052758B"/>
    <w:rsid w:val="00527920"/>
    <w:rsid w:val="00530115"/>
    <w:rsid w:val="00530303"/>
    <w:rsid w:val="00531214"/>
    <w:rsid w:val="0053136B"/>
    <w:rsid w:val="0053193D"/>
    <w:rsid w:val="00531C11"/>
    <w:rsid w:val="00531CAB"/>
    <w:rsid w:val="0053211C"/>
    <w:rsid w:val="00532176"/>
    <w:rsid w:val="0053244B"/>
    <w:rsid w:val="005324A1"/>
    <w:rsid w:val="00532698"/>
    <w:rsid w:val="005327AE"/>
    <w:rsid w:val="0053299F"/>
    <w:rsid w:val="00532AA5"/>
    <w:rsid w:val="0053350B"/>
    <w:rsid w:val="00533F66"/>
    <w:rsid w:val="00533FB2"/>
    <w:rsid w:val="00535187"/>
    <w:rsid w:val="00535282"/>
    <w:rsid w:val="00535585"/>
    <w:rsid w:val="00535C74"/>
    <w:rsid w:val="00535E53"/>
    <w:rsid w:val="0053618E"/>
    <w:rsid w:val="005361AB"/>
    <w:rsid w:val="00536BA2"/>
    <w:rsid w:val="0053759C"/>
    <w:rsid w:val="005378CA"/>
    <w:rsid w:val="005379D9"/>
    <w:rsid w:val="0054026C"/>
    <w:rsid w:val="0054042B"/>
    <w:rsid w:val="0054091A"/>
    <w:rsid w:val="005415DF"/>
    <w:rsid w:val="005416CF"/>
    <w:rsid w:val="0054178B"/>
    <w:rsid w:val="00541D43"/>
    <w:rsid w:val="00541EDD"/>
    <w:rsid w:val="00542068"/>
    <w:rsid w:val="0054214B"/>
    <w:rsid w:val="0054222E"/>
    <w:rsid w:val="005423E7"/>
    <w:rsid w:val="005423FC"/>
    <w:rsid w:val="0054259D"/>
    <w:rsid w:val="005426F0"/>
    <w:rsid w:val="00542840"/>
    <w:rsid w:val="00542928"/>
    <w:rsid w:val="00542BBA"/>
    <w:rsid w:val="00542BF2"/>
    <w:rsid w:val="00542CCC"/>
    <w:rsid w:val="00543131"/>
    <w:rsid w:val="005434CD"/>
    <w:rsid w:val="00543643"/>
    <w:rsid w:val="005439E5"/>
    <w:rsid w:val="00543AF9"/>
    <w:rsid w:val="00543C73"/>
    <w:rsid w:val="0054408D"/>
    <w:rsid w:val="005442D0"/>
    <w:rsid w:val="00544662"/>
    <w:rsid w:val="00544791"/>
    <w:rsid w:val="00544B0C"/>
    <w:rsid w:val="00544C74"/>
    <w:rsid w:val="00544C91"/>
    <w:rsid w:val="00544DE1"/>
    <w:rsid w:val="00544DF5"/>
    <w:rsid w:val="005457B2"/>
    <w:rsid w:val="00545978"/>
    <w:rsid w:val="00546701"/>
    <w:rsid w:val="005469B9"/>
    <w:rsid w:val="00546AE9"/>
    <w:rsid w:val="00547732"/>
    <w:rsid w:val="00547738"/>
    <w:rsid w:val="00547C8D"/>
    <w:rsid w:val="00547CD2"/>
    <w:rsid w:val="00547FC0"/>
    <w:rsid w:val="005503E0"/>
    <w:rsid w:val="0055072B"/>
    <w:rsid w:val="00550D24"/>
    <w:rsid w:val="00550E95"/>
    <w:rsid w:val="00550FCF"/>
    <w:rsid w:val="00551046"/>
    <w:rsid w:val="00551869"/>
    <w:rsid w:val="00551DCF"/>
    <w:rsid w:val="00551EFF"/>
    <w:rsid w:val="0055202D"/>
    <w:rsid w:val="00552033"/>
    <w:rsid w:val="00552A90"/>
    <w:rsid w:val="00552E23"/>
    <w:rsid w:val="0055323C"/>
    <w:rsid w:val="005532FE"/>
    <w:rsid w:val="005535A0"/>
    <w:rsid w:val="00553730"/>
    <w:rsid w:val="00554077"/>
    <w:rsid w:val="005542EB"/>
    <w:rsid w:val="00554EBC"/>
    <w:rsid w:val="00554F4D"/>
    <w:rsid w:val="00555101"/>
    <w:rsid w:val="0055532F"/>
    <w:rsid w:val="005553A1"/>
    <w:rsid w:val="005558A9"/>
    <w:rsid w:val="00555CB0"/>
    <w:rsid w:val="00555FC4"/>
    <w:rsid w:val="0055645A"/>
    <w:rsid w:val="0055672C"/>
    <w:rsid w:val="0055683B"/>
    <w:rsid w:val="00556915"/>
    <w:rsid w:val="005569C1"/>
    <w:rsid w:val="00556C1D"/>
    <w:rsid w:val="005575C5"/>
    <w:rsid w:val="00557628"/>
    <w:rsid w:val="0055780A"/>
    <w:rsid w:val="00557A2A"/>
    <w:rsid w:val="00560033"/>
    <w:rsid w:val="005602B1"/>
    <w:rsid w:val="00560A3E"/>
    <w:rsid w:val="00560B4A"/>
    <w:rsid w:val="00560BC3"/>
    <w:rsid w:val="00560D73"/>
    <w:rsid w:val="00560EA3"/>
    <w:rsid w:val="005612F3"/>
    <w:rsid w:val="005617DF"/>
    <w:rsid w:val="00561D24"/>
    <w:rsid w:val="00561E1C"/>
    <w:rsid w:val="00561E9B"/>
    <w:rsid w:val="00562029"/>
    <w:rsid w:val="005622C5"/>
    <w:rsid w:val="0056281B"/>
    <w:rsid w:val="00562D1E"/>
    <w:rsid w:val="005632E9"/>
    <w:rsid w:val="005634F3"/>
    <w:rsid w:val="0056350C"/>
    <w:rsid w:val="005635E0"/>
    <w:rsid w:val="00563AC8"/>
    <w:rsid w:val="0056429D"/>
    <w:rsid w:val="005642DF"/>
    <w:rsid w:val="0056455B"/>
    <w:rsid w:val="00564718"/>
    <w:rsid w:val="005649CF"/>
    <w:rsid w:val="00564F72"/>
    <w:rsid w:val="0056509D"/>
    <w:rsid w:val="005651B4"/>
    <w:rsid w:val="0056545C"/>
    <w:rsid w:val="005654F4"/>
    <w:rsid w:val="00565598"/>
    <w:rsid w:val="00565A06"/>
    <w:rsid w:val="00566442"/>
    <w:rsid w:val="0056684A"/>
    <w:rsid w:val="00566926"/>
    <w:rsid w:val="00566AA9"/>
    <w:rsid w:val="00566BB4"/>
    <w:rsid w:val="0056762B"/>
    <w:rsid w:val="0056772B"/>
    <w:rsid w:val="0056794B"/>
    <w:rsid w:val="00567CB1"/>
    <w:rsid w:val="00567D03"/>
    <w:rsid w:val="00567D35"/>
    <w:rsid w:val="005702A9"/>
    <w:rsid w:val="0057079E"/>
    <w:rsid w:val="00570841"/>
    <w:rsid w:val="00570936"/>
    <w:rsid w:val="005709B1"/>
    <w:rsid w:val="00570F4A"/>
    <w:rsid w:val="0057143B"/>
    <w:rsid w:val="00571769"/>
    <w:rsid w:val="00571980"/>
    <w:rsid w:val="00571D72"/>
    <w:rsid w:val="00572934"/>
    <w:rsid w:val="00572C75"/>
    <w:rsid w:val="00572FC3"/>
    <w:rsid w:val="0057324A"/>
    <w:rsid w:val="005738A6"/>
    <w:rsid w:val="005739BE"/>
    <w:rsid w:val="005747BE"/>
    <w:rsid w:val="00574941"/>
    <w:rsid w:val="00575488"/>
    <w:rsid w:val="00575770"/>
    <w:rsid w:val="00575B51"/>
    <w:rsid w:val="00575C12"/>
    <w:rsid w:val="005769ED"/>
    <w:rsid w:val="00576ADE"/>
    <w:rsid w:val="00576B3C"/>
    <w:rsid w:val="00576FA1"/>
    <w:rsid w:val="005770BA"/>
    <w:rsid w:val="00577112"/>
    <w:rsid w:val="005771C9"/>
    <w:rsid w:val="0057748A"/>
    <w:rsid w:val="0057763C"/>
    <w:rsid w:val="00577726"/>
    <w:rsid w:val="00577941"/>
    <w:rsid w:val="00577C63"/>
    <w:rsid w:val="00577CD9"/>
    <w:rsid w:val="00577CE2"/>
    <w:rsid w:val="00577CFD"/>
    <w:rsid w:val="00577DEF"/>
    <w:rsid w:val="00581343"/>
    <w:rsid w:val="005816FD"/>
    <w:rsid w:val="0058197A"/>
    <w:rsid w:val="005824F0"/>
    <w:rsid w:val="0058298D"/>
    <w:rsid w:val="005836B5"/>
    <w:rsid w:val="00584190"/>
    <w:rsid w:val="005841B8"/>
    <w:rsid w:val="00584A91"/>
    <w:rsid w:val="00584ED8"/>
    <w:rsid w:val="00584EF8"/>
    <w:rsid w:val="00585415"/>
    <w:rsid w:val="00585F2D"/>
    <w:rsid w:val="0058605C"/>
    <w:rsid w:val="0058692E"/>
    <w:rsid w:val="00586C6C"/>
    <w:rsid w:val="005870B5"/>
    <w:rsid w:val="005874CD"/>
    <w:rsid w:val="005875AF"/>
    <w:rsid w:val="00587E21"/>
    <w:rsid w:val="0058CD50"/>
    <w:rsid w:val="00590386"/>
    <w:rsid w:val="00590555"/>
    <w:rsid w:val="00590B30"/>
    <w:rsid w:val="00590BB5"/>
    <w:rsid w:val="00590C3E"/>
    <w:rsid w:val="00592442"/>
    <w:rsid w:val="0059287C"/>
    <w:rsid w:val="00592978"/>
    <w:rsid w:val="00592FC3"/>
    <w:rsid w:val="00593217"/>
    <w:rsid w:val="0059330B"/>
    <w:rsid w:val="00593FCE"/>
    <w:rsid w:val="00594244"/>
    <w:rsid w:val="00594688"/>
    <w:rsid w:val="005947DC"/>
    <w:rsid w:val="00594B5E"/>
    <w:rsid w:val="005952FF"/>
    <w:rsid w:val="005953C2"/>
    <w:rsid w:val="0059562E"/>
    <w:rsid w:val="0059592F"/>
    <w:rsid w:val="00595C9E"/>
    <w:rsid w:val="00595D59"/>
    <w:rsid w:val="00595FB5"/>
    <w:rsid w:val="005961B7"/>
    <w:rsid w:val="00596666"/>
    <w:rsid w:val="00596BB4"/>
    <w:rsid w:val="00596EF8"/>
    <w:rsid w:val="00597972"/>
    <w:rsid w:val="00597B4C"/>
    <w:rsid w:val="00597DCC"/>
    <w:rsid w:val="00597FAB"/>
    <w:rsid w:val="005A064B"/>
    <w:rsid w:val="005A08FA"/>
    <w:rsid w:val="005A09A0"/>
    <w:rsid w:val="005A0FD2"/>
    <w:rsid w:val="005A121C"/>
    <w:rsid w:val="005A148D"/>
    <w:rsid w:val="005A1622"/>
    <w:rsid w:val="005A1719"/>
    <w:rsid w:val="005A1C69"/>
    <w:rsid w:val="005A1D9F"/>
    <w:rsid w:val="005A2D38"/>
    <w:rsid w:val="005A2FCF"/>
    <w:rsid w:val="005A3281"/>
    <w:rsid w:val="005A4203"/>
    <w:rsid w:val="005A4627"/>
    <w:rsid w:val="005A4AF2"/>
    <w:rsid w:val="005A4C43"/>
    <w:rsid w:val="005A5E7E"/>
    <w:rsid w:val="005A612E"/>
    <w:rsid w:val="005A61E2"/>
    <w:rsid w:val="005A62E0"/>
    <w:rsid w:val="005A6461"/>
    <w:rsid w:val="005A73ED"/>
    <w:rsid w:val="005A79C3"/>
    <w:rsid w:val="005B01E8"/>
    <w:rsid w:val="005B06C9"/>
    <w:rsid w:val="005B0D21"/>
    <w:rsid w:val="005B0D49"/>
    <w:rsid w:val="005B0D65"/>
    <w:rsid w:val="005B104C"/>
    <w:rsid w:val="005B2375"/>
    <w:rsid w:val="005B24E8"/>
    <w:rsid w:val="005B3495"/>
    <w:rsid w:val="005B3934"/>
    <w:rsid w:val="005B3A24"/>
    <w:rsid w:val="005B3D18"/>
    <w:rsid w:val="005B3D70"/>
    <w:rsid w:val="005B435C"/>
    <w:rsid w:val="005B43F3"/>
    <w:rsid w:val="005B4780"/>
    <w:rsid w:val="005B4C56"/>
    <w:rsid w:val="005B4CD3"/>
    <w:rsid w:val="005B5336"/>
    <w:rsid w:val="005B546C"/>
    <w:rsid w:val="005B5498"/>
    <w:rsid w:val="005B5505"/>
    <w:rsid w:val="005B5944"/>
    <w:rsid w:val="005B5D4F"/>
    <w:rsid w:val="005B5DED"/>
    <w:rsid w:val="005B61EA"/>
    <w:rsid w:val="005B724B"/>
    <w:rsid w:val="005B74D3"/>
    <w:rsid w:val="005B7989"/>
    <w:rsid w:val="005B7A71"/>
    <w:rsid w:val="005B7BB1"/>
    <w:rsid w:val="005C0C21"/>
    <w:rsid w:val="005C0CDF"/>
    <w:rsid w:val="005C14C3"/>
    <w:rsid w:val="005C2085"/>
    <w:rsid w:val="005C20E2"/>
    <w:rsid w:val="005C2D50"/>
    <w:rsid w:val="005C34AB"/>
    <w:rsid w:val="005C35BD"/>
    <w:rsid w:val="005C3846"/>
    <w:rsid w:val="005C3A10"/>
    <w:rsid w:val="005C3C73"/>
    <w:rsid w:val="005C3D40"/>
    <w:rsid w:val="005C407E"/>
    <w:rsid w:val="005C40D6"/>
    <w:rsid w:val="005C4817"/>
    <w:rsid w:val="005C60EF"/>
    <w:rsid w:val="005C6325"/>
    <w:rsid w:val="005C6A66"/>
    <w:rsid w:val="005C6AA8"/>
    <w:rsid w:val="005C6C16"/>
    <w:rsid w:val="005C6C45"/>
    <w:rsid w:val="005C6C85"/>
    <w:rsid w:val="005C6CA0"/>
    <w:rsid w:val="005C6CFC"/>
    <w:rsid w:val="005C741A"/>
    <w:rsid w:val="005C7936"/>
    <w:rsid w:val="005C793C"/>
    <w:rsid w:val="005C7FA5"/>
    <w:rsid w:val="005D0044"/>
    <w:rsid w:val="005D05E9"/>
    <w:rsid w:val="005D0BC0"/>
    <w:rsid w:val="005D0F0C"/>
    <w:rsid w:val="005D105B"/>
    <w:rsid w:val="005D121F"/>
    <w:rsid w:val="005D17F2"/>
    <w:rsid w:val="005D1948"/>
    <w:rsid w:val="005D1CE4"/>
    <w:rsid w:val="005D1D61"/>
    <w:rsid w:val="005D1F5B"/>
    <w:rsid w:val="005D2320"/>
    <w:rsid w:val="005D2565"/>
    <w:rsid w:val="005D3257"/>
    <w:rsid w:val="005D453C"/>
    <w:rsid w:val="005D52F1"/>
    <w:rsid w:val="005D5510"/>
    <w:rsid w:val="005D5BA1"/>
    <w:rsid w:val="005D5E6E"/>
    <w:rsid w:val="005D6948"/>
    <w:rsid w:val="005D697E"/>
    <w:rsid w:val="005D6EAF"/>
    <w:rsid w:val="005D75BB"/>
    <w:rsid w:val="005D7786"/>
    <w:rsid w:val="005E01A0"/>
    <w:rsid w:val="005E09C9"/>
    <w:rsid w:val="005E0E1A"/>
    <w:rsid w:val="005E133C"/>
    <w:rsid w:val="005E140C"/>
    <w:rsid w:val="005E1696"/>
    <w:rsid w:val="005E1BC7"/>
    <w:rsid w:val="005E1F50"/>
    <w:rsid w:val="005E1FCE"/>
    <w:rsid w:val="005E208B"/>
    <w:rsid w:val="005E25C3"/>
    <w:rsid w:val="005E278D"/>
    <w:rsid w:val="005E2EB0"/>
    <w:rsid w:val="005E39E0"/>
    <w:rsid w:val="005E4489"/>
    <w:rsid w:val="005E45D5"/>
    <w:rsid w:val="005E4821"/>
    <w:rsid w:val="005E49B2"/>
    <w:rsid w:val="005E4A24"/>
    <w:rsid w:val="005E4B6B"/>
    <w:rsid w:val="005E4C1B"/>
    <w:rsid w:val="005E4E50"/>
    <w:rsid w:val="005E5099"/>
    <w:rsid w:val="005E5615"/>
    <w:rsid w:val="005E5673"/>
    <w:rsid w:val="005E589A"/>
    <w:rsid w:val="005E6358"/>
    <w:rsid w:val="005E64BF"/>
    <w:rsid w:val="005E6A87"/>
    <w:rsid w:val="005E6C9C"/>
    <w:rsid w:val="005E6D07"/>
    <w:rsid w:val="005E6F55"/>
    <w:rsid w:val="005E6FCA"/>
    <w:rsid w:val="005F0118"/>
    <w:rsid w:val="005F0527"/>
    <w:rsid w:val="005F0836"/>
    <w:rsid w:val="005F0AAF"/>
    <w:rsid w:val="005F0AE8"/>
    <w:rsid w:val="005F1A32"/>
    <w:rsid w:val="005F1BD7"/>
    <w:rsid w:val="005F1C55"/>
    <w:rsid w:val="005F1FD6"/>
    <w:rsid w:val="005F21E0"/>
    <w:rsid w:val="005F233D"/>
    <w:rsid w:val="005F2515"/>
    <w:rsid w:val="005F2616"/>
    <w:rsid w:val="005F2A6B"/>
    <w:rsid w:val="005F3366"/>
    <w:rsid w:val="005F3389"/>
    <w:rsid w:val="005F3A06"/>
    <w:rsid w:val="005F405B"/>
    <w:rsid w:val="005F40C1"/>
    <w:rsid w:val="005F43E4"/>
    <w:rsid w:val="005F4586"/>
    <w:rsid w:val="005F4A60"/>
    <w:rsid w:val="005F4C7C"/>
    <w:rsid w:val="005F4DAB"/>
    <w:rsid w:val="005F5928"/>
    <w:rsid w:val="005F59B5"/>
    <w:rsid w:val="005F5B71"/>
    <w:rsid w:val="005F5F9E"/>
    <w:rsid w:val="005F6207"/>
    <w:rsid w:val="005F6724"/>
    <w:rsid w:val="005F67E0"/>
    <w:rsid w:val="005F6AB4"/>
    <w:rsid w:val="005F6E3D"/>
    <w:rsid w:val="005F7173"/>
    <w:rsid w:val="005F730F"/>
    <w:rsid w:val="005F73A4"/>
    <w:rsid w:val="005F7E33"/>
    <w:rsid w:val="0060008A"/>
    <w:rsid w:val="0060017A"/>
    <w:rsid w:val="00600715"/>
    <w:rsid w:val="00600871"/>
    <w:rsid w:val="006008E0"/>
    <w:rsid w:val="00600A39"/>
    <w:rsid w:val="00600CB1"/>
    <w:rsid w:val="00600D6D"/>
    <w:rsid w:val="006018B6"/>
    <w:rsid w:val="00601A3E"/>
    <w:rsid w:val="00601AD1"/>
    <w:rsid w:val="00601B28"/>
    <w:rsid w:val="00601BDC"/>
    <w:rsid w:val="00601CF5"/>
    <w:rsid w:val="00601D85"/>
    <w:rsid w:val="00601E5B"/>
    <w:rsid w:val="006024D3"/>
    <w:rsid w:val="006027A3"/>
    <w:rsid w:val="00603926"/>
    <w:rsid w:val="00603A49"/>
    <w:rsid w:val="00603B6F"/>
    <w:rsid w:val="00603E6D"/>
    <w:rsid w:val="00603EE7"/>
    <w:rsid w:val="00604524"/>
    <w:rsid w:val="0060498F"/>
    <w:rsid w:val="00605736"/>
    <w:rsid w:val="00605C9F"/>
    <w:rsid w:val="006067B5"/>
    <w:rsid w:val="00606C09"/>
    <w:rsid w:val="00606C1E"/>
    <w:rsid w:val="00606EF9"/>
    <w:rsid w:val="0060701A"/>
    <w:rsid w:val="0060706A"/>
    <w:rsid w:val="00607317"/>
    <w:rsid w:val="00607758"/>
    <w:rsid w:val="00607B6E"/>
    <w:rsid w:val="006100C9"/>
    <w:rsid w:val="00610582"/>
    <w:rsid w:val="00610674"/>
    <w:rsid w:val="00610D5E"/>
    <w:rsid w:val="006110E8"/>
    <w:rsid w:val="00611187"/>
    <w:rsid w:val="006112E3"/>
    <w:rsid w:val="00611A1D"/>
    <w:rsid w:val="00611A67"/>
    <w:rsid w:val="00612656"/>
    <w:rsid w:val="00612EA9"/>
    <w:rsid w:val="00613101"/>
    <w:rsid w:val="00613467"/>
    <w:rsid w:val="00613512"/>
    <w:rsid w:val="006141AB"/>
    <w:rsid w:val="00614BAE"/>
    <w:rsid w:val="00614D26"/>
    <w:rsid w:val="00614FB4"/>
    <w:rsid w:val="006154EE"/>
    <w:rsid w:val="006158BB"/>
    <w:rsid w:val="00615CB9"/>
    <w:rsid w:val="006162F9"/>
    <w:rsid w:val="00616C56"/>
    <w:rsid w:val="00616E11"/>
    <w:rsid w:val="006171E3"/>
    <w:rsid w:val="006171E8"/>
    <w:rsid w:val="00617A87"/>
    <w:rsid w:val="0062027A"/>
    <w:rsid w:val="0062047E"/>
    <w:rsid w:val="00620E16"/>
    <w:rsid w:val="0062129E"/>
    <w:rsid w:val="006212A9"/>
    <w:rsid w:val="006213E3"/>
    <w:rsid w:val="006213F2"/>
    <w:rsid w:val="0062190C"/>
    <w:rsid w:val="00621DA4"/>
    <w:rsid w:val="00621E91"/>
    <w:rsid w:val="00622C26"/>
    <w:rsid w:val="00622DC0"/>
    <w:rsid w:val="00623092"/>
    <w:rsid w:val="0062337C"/>
    <w:rsid w:val="00623454"/>
    <w:rsid w:val="00623694"/>
    <w:rsid w:val="0062398E"/>
    <w:rsid w:val="00623A83"/>
    <w:rsid w:val="00624315"/>
    <w:rsid w:val="00624328"/>
    <w:rsid w:val="0062446D"/>
    <w:rsid w:val="006245AB"/>
    <w:rsid w:val="00624672"/>
    <w:rsid w:val="00624778"/>
    <w:rsid w:val="00624897"/>
    <w:rsid w:val="006253A1"/>
    <w:rsid w:val="0062545B"/>
    <w:rsid w:val="0062552A"/>
    <w:rsid w:val="00625CCA"/>
    <w:rsid w:val="006261E9"/>
    <w:rsid w:val="00626393"/>
    <w:rsid w:val="0062660A"/>
    <w:rsid w:val="00626781"/>
    <w:rsid w:val="00626A02"/>
    <w:rsid w:val="0062724A"/>
    <w:rsid w:val="0062726F"/>
    <w:rsid w:val="006273EE"/>
    <w:rsid w:val="0062756C"/>
    <w:rsid w:val="00627625"/>
    <w:rsid w:val="00627CBD"/>
    <w:rsid w:val="00627E1D"/>
    <w:rsid w:val="00630295"/>
    <w:rsid w:val="00630496"/>
    <w:rsid w:val="00630552"/>
    <w:rsid w:val="00630861"/>
    <w:rsid w:val="00631486"/>
    <w:rsid w:val="00631A24"/>
    <w:rsid w:val="00631BDE"/>
    <w:rsid w:val="0063222D"/>
    <w:rsid w:val="00632A38"/>
    <w:rsid w:val="00633246"/>
    <w:rsid w:val="006332BE"/>
    <w:rsid w:val="006333C5"/>
    <w:rsid w:val="0063353E"/>
    <w:rsid w:val="00633A39"/>
    <w:rsid w:val="006340EC"/>
    <w:rsid w:val="0063429B"/>
    <w:rsid w:val="00634AC5"/>
    <w:rsid w:val="00634ACE"/>
    <w:rsid w:val="00635042"/>
    <w:rsid w:val="0063534E"/>
    <w:rsid w:val="0063554C"/>
    <w:rsid w:val="0063614D"/>
    <w:rsid w:val="006365C7"/>
    <w:rsid w:val="006368F8"/>
    <w:rsid w:val="00636933"/>
    <w:rsid w:val="00636ACB"/>
    <w:rsid w:val="00636D93"/>
    <w:rsid w:val="0063759B"/>
    <w:rsid w:val="00637659"/>
    <w:rsid w:val="00637A94"/>
    <w:rsid w:val="00637C5B"/>
    <w:rsid w:val="00640144"/>
    <w:rsid w:val="006408C3"/>
    <w:rsid w:val="00640E65"/>
    <w:rsid w:val="00640F90"/>
    <w:rsid w:val="0064146F"/>
    <w:rsid w:val="006416E4"/>
    <w:rsid w:val="00641F9D"/>
    <w:rsid w:val="006420E1"/>
    <w:rsid w:val="006428AF"/>
    <w:rsid w:val="0064290C"/>
    <w:rsid w:val="00642DEF"/>
    <w:rsid w:val="0064344A"/>
    <w:rsid w:val="006436B7"/>
    <w:rsid w:val="00643736"/>
    <w:rsid w:val="0064392A"/>
    <w:rsid w:val="00643A6F"/>
    <w:rsid w:val="00643DC2"/>
    <w:rsid w:val="0064406D"/>
    <w:rsid w:val="006448C0"/>
    <w:rsid w:val="00644B1E"/>
    <w:rsid w:val="00644BB9"/>
    <w:rsid w:val="00644D2A"/>
    <w:rsid w:val="00644F78"/>
    <w:rsid w:val="006454BB"/>
    <w:rsid w:val="00645AB3"/>
    <w:rsid w:val="00645C21"/>
    <w:rsid w:val="006460BB"/>
    <w:rsid w:val="0064620D"/>
    <w:rsid w:val="00646E76"/>
    <w:rsid w:val="00646F56"/>
    <w:rsid w:val="0064715D"/>
    <w:rsid w:val="0064719A"/>
    <w:rsid w:val="006479B5"/>
    <w:rsid w:val="00650584"/>
    <w:rsid w:val="006505D1"/>
    <w:rsid w:val="00651445"/>
    <w:rsid w:val="006515B4"/>
    <w:rsid w:val="006519DF"/>
    <w:rsid w:val="00651ACF"/>
    <w:rsid w:val="00651D87"/>
    <w:rsid w:val="006521B8"/>
    <w:rsid w:val="0065226B"/>
    <w:rsid w:val="006526F1"/>
    <w:rsid w:val="00652A39"/>
    <w:rsid w:val="00652C69"/>
    <w:rsid w:val="00652C8F"/>
    <w:rsid w:val="00652EE6"/>
    <w:rsid w:val="006531C5"/>
    <w:rsid w:val="006537B5"/>
    <w:rsid w:val="00653CE3"/>
    <w:rsid w:val="00653DDF"/>
    <w:rsid w:val="00653EB7"/>
    <w:rsid w:val="00653EE3"/>
    <w:rsid w:val="00653FDE"/>
    <w:rsid w:val="006541B2"/>
    <w:rsid w:val="006545E6"/>
    <w:rsid w:val="00654AAB"/>
    <w:rsid w:val="00654E86"/>
    <w:rsid w:val="00655158"/>
    <w:rsid w:val="00655760"/>
    <w:rsid w:val="00655A53"/>
    <w:rsid w:val="00655E7E"/>
    <w:rsid w:val="00656159"/>
    <w:rsid w:val="006567D4"/>
    <w:rsid w:val="006568AF"/>
    <w:rsid w:val="00656A27"/>
    <w:rsid w:val="006572B9"/>
    <w:rsid w:val="00657754"/>
    <w:rsid w:val="006577DF"/>
    <w:rsid w:val="00657A7D"/>
    <w:rsid w:val="0066184F"/>
    <w:rsid w:val="006618AA"/>
    <w:rsid w:val="006626E6"/>
    <w:rsid w:val="00662B8C"/>
    <w:rsid w:val="00662D80"/>
    <w:rsid w:val="00662DFF"/>
    <w:rsid w:val="00662EE0"/>
    <w:rsid w:val="006631D9"/>
    <w:rsid w:val="00663705"/>
    <w:rsid w:val="00663770"/>
    <w:rsid w:val="00663C52"/>
    <w:rsid w:val="00663E86"/>
    <w:rsid w:val="0066404A"/>
    <w:rsid w:val="00664297"/>
    <w:rsid w:val="00664356"/>
    <w:rsid w:val="00664929"/>
    <w:rsid w:val="00664A44"/>
    <w:rsid w:val="00664AC8"/>
    <w:rsid w:val="00664D0B"/>
    <w:rsid w:val="00664E44"/>
    <w:rsid w:val="006654AE"/>
    <w:rsid w:val="006654C7"/>
    <w:rsid w:val="00665770"/>
    <w:rsid w:val="00665772"/>
    <w:rsid w:val="006659C4"/>
    <w:rsid w:val="00665FC6"/>
    <w:rsid w:val="006660E8"/>
    <w:rsid w:val="006665AB"/>
    <w:rsid w:val="00666DE4"/>
    <w:rsid w:val="00667104"/>
    <w:rsid w:val="006672C4"/>
    <w:rsid w:val="006675B7"/>
    <w:rsid w:val="006678E6"/>
    <w:rsid w:val="00667993"/>
    <w:rsid w:val="00667A7B"/>
    <w:rsid w:val="00667B00"/>
    <w:rsid w:val="00667BC5"/>
    <w:rsid w:val="00667CBF"/>
    <w:rsid w:val="00667D95"/>
    <w:rsid w:val="00670F2C"/>
    <w:rsid w:val="006716CD"/>
    <w:rsid w:val="006718A3"/>
    <w:rsid w:val="006718CA"/>
    <w:rsid w:val="00671E88"/>
    <w:rsid w:val="00672120"/>
    <w:rsid w:val="00672285"/>
    <w:rsid w:val="0067247C"/>
    <w:rsid w:val="006729FE"/>
    <w:rsid w:val="00672C43"/>
    <w:rsid w:val="006731D9"/>
    <w:rsid w:val="0067327D"/>
    <w:rsid w:val="0067334E"/>
    <w:rsid w:val="00673352"/>
    <w:rsid w:val="00673595"/>
    <w:rsid w:val="00673843"/>
    <w:rsid w:val="00674199"/>
    <w:rsid w:val="006746B0"/>
    <w:rsid w:val="00674731"/>
    <w:rsid w:val="006748C5"/>
    <w:rsid w:val="00675883"/>
    <w:rsid w:val="00675901"/>
    <w:rsid w:val="0067620F"/>
    <w:rsid w:val="006762CE"/>
    <w:rsid w:val="00676E15"/>
    <w:rsid w:val="00676FCC"/>
    <w:rsid w:val="006770D5"/>
    <w:rsid w:val="006775EC"/>
    <w:rsid w:val="006776F1"/>
    <w:rsid w:val="006777E5"/>
    <w:rsid w:val="00677E9F"/>
    <w:rsid w:val="00677F4F"/>
    <w:rsid w:val="00680133"/>
    <w:rsid w:val="006803FC"/>
    <w:rsid w:val="00680E8C"/>
    <w:rsid w:val="006816A3"/>
    <w:rsid w:val="006818DF"/>
    <w:rsid w:val="00681A7D"/>
    <w:rsid w:val="00681C5B"/>
    <w:rsid w:val="0068205B"/>
    <w:rsid w:val="006821E7"/>
    <w:rsid w:val="00682278"/>
    <w:rsid w:val="00682324"/>
    <w:rsid w:val="00682500"/>
    <w:rsid w:val="00682964"/>
    <w:rsid w:val="0068368C"/>
    <w:rsid w:val="00683AD6"/>
    <w:rsid w:val="00684159"/>
    <w:rsid w:val="0068446B"/>
    <w:rsid w:val="00684995"/>
    <w:rsid w:val="00684F01"/>
    <w:rsid w:val="00685142"/>
    <w:rsid w:val="00685D09"/>
    <w:rsid w:val="00685FB0"/>
    <w:rsid w:val="00686012"/>
    <w:rsid w:val="0068650C"/>
    <w:rsid w:val="00686731"/>
    <w:rsid w:val="00686A20"/>
    <w:rsid w:val="00686A71"/>
    <w:rsid w:val="006871A1"/>
    <w:rsid w:val="006874F5"/>
    <w:rsid w:val="006878F2"/>
    <w:rsid w:val="00687970"/>
    <w:rsid w:val="00687997"/>
    <w:rsid w:val="0069123E"/>
    <w:rsid w:val="00691913"/>
    <w:rsid w:val="00691969"/>
    <w:rsid w:val="00691D27"/>
    <w:rsid w:val="0069227F"/>
    <w:rsid w:val="00692479"/>
    <w:rsid w:val="0069249B"/>
    <w:rsid w:val="00692509"/>
    <w:rsid w:val="00692768"/>
    <w:rsid w:val="00692C87"/>
    <w:rsid w:val="00693399"/>
    <w:rsid w:val="00693605"/>
    <w:rsid w:val="0069363C"/>
    <w:rsid w:val="0069404C"/>
    <w:rsid w:val="00694434"/>
    <w:rsid w:val="00694555"/>
    <w:rsid w:val="0069459C"/>
    <w:rsid w:val="006946EC"/>
    <w:rsid w:val="00694790"/>
    <w:rsid w:val="00694977"/>
    <w:rsid w:val="006951E0"/>
    <w:rsid w:val="00695AEB"/>
    <w:rsid w:val="00695C65"/>
    <w:rsid w:val="00695C80"/>
    <w:rsid w:val="00695E07"/>
    <w:rsid w:val="006963A8"/>
    <w:rsid w:val="00696927"/>
    <w:rsid w:val="00696EDE"/>
    <w:rsid w:val="0069725F"/>
    <w:rsid w:val="006972FB"/>
    <w:rsid w:val="006978FA"/>
    <w:rsid w:val="00697DC4"/>
    <w:rsid w:val="00697F74"/>
    <w:rsid w:val="006A0220"/>
    <w:rsid w:val="006A027A"/>
    <w:rsid w:val="006A0DD1"/>
    <w:rsid w:val="006A138B"/>
    <w:rsid w:val="006A1569"/>
    <w:rsid w:val="006A15B9"/>
    <w:rsid w:val="006A19AD"/>
    <w:rsid w:val="006A1BD8"/>
    <w:rsid w:val="006A1C0C"/>
    <w:rsid w:val="006A1F59"/>
    <w:rsid w:val="006A239A"/>
    <w:rsid w:val="006A23E5"/>
    <w:rsid w:val="006A2EE1"/>
    <w:rsid w:val="006A31EC"/>
    <w:rsid w:val="006A3BED"/>
    <w:rsid w:val="006A4218"/>
    <w:rsid w:val="006A49C0"/>
    <w:rsid w:val="006A4B94"/>
    <w:rsid w:val="006A4BE6"/>
    <w:rsid w:val="006A4C05"/>
    <w:rsid w:val="006A54C2"/>
    <w:rsid w:val="006A58BC"/>
    <w:rsid w:val="006A5E9B"/>
    <w:rsid w:val="006A6568"/>
    <w:rsid w:val="006A6F22"/>
    <w:rsid w:val="006A70B8"/>
    <w:rsid w:val="006A78E0"/>
    <w:rsid w:val="006A7AF4"/>
    <w:rsid w:val="006A7E16"/>
    <w:rsid w:val="006A7EC3"/>
    <w:rsid w:val="006A7EC7"/>
    <w:rsid w:val="006B0294"/>
    <w:rsid w:val="006B0480"/>
    <w:rsid w:val="006B07B1"/>
    <w:rsid w:val="006B0B2B"/>
    <w:rsid w:val="006B1124"/>
    <w:rsid w:val="006B140A"/>
    <w:rsid w:val="006B1EF1"/>
    <w:rsid w:val="006B2413"/>
    <w:rsid w:val="006B2CE2"/>
    <w:rsid w:val="006B304C"/>
    <w:rsid w:val="006B32AD"/>
    <w:rsid w:val="006B37AA"/>
    <w:rsid w:val="006B4492"/>
    <w:rsid w:val="006B46AD"/>
    <w:rsid w:val="006B4C06"/>
    <w:rsid w:val="006B5142"/>
    <w:rsid w:val="006B53A7"/>
    <w:rsid w:val="006B5476"/>
    <w:rsid w:val="006B5856"/>
    <w:rsid w:val="006B5D01"/>
    <w:rsid w:val="006B5D29"/>
    <w:rsid w:val="006B5E86"/>
    <w:rsid w:val="006B5F97"/>
    <w:rsid w:val="006B6044"/>
    <w:rsid w:val="006B6336"/>
    <w:rsid w:val="006B63BD"/>
    <w:rsid w:val="006B6801"/>
    <w:rsid w:val="006B6DE4"/>
    <w:rsid w:val="006B7471"/>
    <w:rsid w:val="006B7877"/>
    <w:rsid w:val="006B7FCF"/>
    <w:rsid w:val="006C014A"/>
    <w:rsid w:val="006C0312"/>
    <w:rsid w:val="006C0598"/>
    <w:rsid w:val="006C086E"/>
    <w:rsid w:val="006C0974"/>
    <w:rsid w:val="006C0C50"/>
    <w:rsid w:val="006C1E3D"/>
    <w:rsid w:val="006C2633"/>
    <w:rsid w:val="006C3761"/>
    <w:rsid w:val="006C444A"/>
    <w:rsid w:val="006C48A5"/>
    <w:rsid w:val="006C4906"/>
    <w:rsid w:val="006C504B"/>
    <w:rsid w:val="006C5837"/>
    <w:rsid w:val="006C5D4C"/>
    <w:rsid w:val="006C6AA6"/>
    <w:rsid w:val="006C7455"/>
    <w:rsid w:val="006C748A"/>
    <w:rsid w:val="006C75ED"/>
    <w:rsid w:val="006C7824"/>
    <w:rsid w:val="006C7B56"/>
    <w:rsid w:val="006D005E"/>
    <w:rsid w:val="006D00D1"/>
    <w:rsid w:val="006D0173"/>
    <w:rsid w:val="006D0240"/>
    <w:rsid w:val="006D042D"/>
    <w:rsid w:val="006D052E"/>
    <w:rsid w:val="006D09EE"/>
    <w:rsid w:val="006D0DE6"/>
    <w:rsid w:val="006D1204"/>
    <w:rsid w:val="006D1234"/>
    <w:rsid w:val="006D128B"/>
    <w:rsid w:val="006D14E5"/>
    <w:rsid w:val="006D1EE9"/>
    <w:rsid w:val="006D235C"/>
    <w:rsid w:val="006D2565"/>
    <w:rsid w:val="006D25D6"/>
    <w:rsid w:val="006D2651"/>
    <w:rsid w:val="006D2FE9"/>
    <w:rsid w:val="006D3135"/>
    <w:rsid w:val="006D3271"/>
    <w:rsid w:val="006D33C5"/>
    <w:rsid w:val="006D3609"/>
    <w:rsid w:val="006D3797"/>
    <w:rsid w:val="006D3933"/>
    <w:rsid w:val="006D3B35"/>
    <w:rsid w:val="006D3ED7"/>
    <w:rsid w:val="006D47E4"/>
    <w:rsid w:val="006D4A59"/>
    <w:rsid w:val="006D4BF2"/>
    <w:rsid w:val="006D4E1F"/>
    <w:rsid w:val="006D5A96"/>
    <w:rsid w:val="006D5B82"/>
    <w:rsid w:val="006D5D03"/>
    <w:rsid w:val="006D5D09"/>
    <w:rsid w:val="006D5F43"/>
    <w:rsid w:val="006D5FFE"/>
    <w:rsid w:val="006D6238"/>
    <w:rsid w:val="006D68B4"/>
    <w:rsid w:val="006D690A"/>
    <w:rsid w:val="006D766E"/>
    <w:rsid w:val="006D7D25"/>
    <w:rsid w:val="006D7DDB"/>
    <w:rsid w:val="006E05CC"/>
    <w:rsid w:val="006E1477"/>
    <w:rsid w:val="006E14C9"/>
    <w:rsid w:val="006E1B4C"/>
    <w:rsid w:val="006E247A"/>
    <w:rsid w:val="006E273F"/>
    <w:rsid w:val="006E277E"/>
    <w:rsid w:val="006E2832"/>
    <w:rsid w:val="006E2993"/>
    <w:rsid w:val="006E329F"/>
    <w:rsid w:val="006E371D"/>
    <w:rsid w:val="006E37DA"/>
    <w:rsid w:val="006E3B7D"/>
    <w:rsid w:val="006E452A"/>
    <w:rsid w:val="006E4B3F"/>
    <w:rsid w:val="006E4C75"/>
    <w:rsid w:val="006E4DDC"/>
    <w:rsid w:val="006E4FE7"/>
    <w:rsid w:val="006E5396"/>
    <w:rsid w:val="006E567F"/>
    <w:rsid w:val="006E59C7"/>
    <w:rsid w:val="006E5D51"/>
    <w:rsid w:val="006E6110"/>
    <w:rsid w:val="006E613C"/>
    <w:rsid w:val="006E67BA"/>
    <w:rsid w:val="006E6998"/>
    <w:rsid w:val="006E6E89"/>
    <w:rsid w:val="006E7302"/>
    <w:rsid w:val="006E7604"/>
    <w:rsid w:val="006E7A92"/>
    <w:rsid w:val="006F00ED"/>
    <w:rsid w:val="006F0295"/>
    <w:rsid w:val="006F0458"/>
    <w:rsid w:val="006F077F"/>
    <w:rsid w:val="006F0B32"/>
    <w:rsid w:val="006F132A"/>
    <w:rsid w:val="006F157D"/>
    <w:rsid w:val="006F1602"/>
    <w:rsid w:val="006F161E"/>
    <w:rsid w:val="006F18B6"/>
    <w:rsid w:val="006F18EF"/>
    <w:rsid w:val="006F1BB3"/>
    <w:rsid w:val="006F1DCB"/>
    <w:rsid w:val="006F201E"/>
    <w:rsid w:val="006F21CC"/>
    <w:rsid w:val="006F240F"/>
    <w:rsid w:val="006F2547"/>
    <w:rsid w:val="006F260A"/>
    <w:rsid w:val="006F2998"/>
    <w:rsid w:val="006F2BC3"/>
    <w:rsid w:val="006F306C"/>
    <w:rsid w:val="006F350A"/>
    <w:rsid w:val="006F3589"/>
    <w:rsid w:val="006F359B"/>
    <w:rsid w:val="006F3814"/>
    <w:rsid w:val="006F39AC"/>
    <w:rsid w:val="006F3C88"/>
    <w:rsid w:val="006F3E4B"/>
    <w:rsid w:val="006F42CA"/>
    <w:rsid w:val="006F49C8"/>
    <w:rsid w:val="006F4D37"/>
    <w:rsid w:val="006F518A"/>
    <w:rsid w:val="006F519D"/>
    <w:rsid w:val="006F53E8"/>
    <w:rsid w:val="006F6150"/>
    <w:rsid w:val="006F6737"/>
    <w:rsid w:val="006F67B2"/>
    <w:rsid w:val="006F6908"/>
    <w:rsid w:val="006F6A28"/>
    <w:rsid w:val="006F6A8E"/>
    <w:rsid w:val="006F7038"/>
    <w:rsid w:val="006F7160"/>
    <w:rsid w:val="006F76DF"/>
    <w:rsid w:val="006F7B3D"/>
    <w:rsid w:val="006F7ED1"/>
    <w:rsid w:val="007004E7"/>
    <w:rsid w:val="0070089C"/>
    <w:rsid w:val="0070093E"/>
    <w:rsid w:val="00700AEF"/>
    <w:rsid w:val="00700FE7"/>
    <w:rsid w:val="007010F2"/>
    <w:rsid w:val="007014C4"/>
    <w:rsid w:val="007017EB"/>
    <w:rsid w:val="00701EBE"/>
    <w:rsid w:val="00701F01"/>
    <w:rsid w:val="007021BA"/>
    <w:rsid w:val="007026C6"/>
    <w:rsid w:val="00703027"/>
    <w:rsid w:val="00703371"/>
    <w:rsid w:val="00703401"/>
    <w:rsid w:val="00703418"/>
    <w:rsid w:val="0070369A"/>
    <w:rsid w:val="007039E6"/>
    <w:rsid w:val="00703E1C"/>
    <w:rsid w:val="00704323"/>
    <w:rsid w:val="0070437D"/>
    <w:rsid w:val="0070466B"/>
    <w:rsid w:val="007048E8"/>
    <w:rsid w:val="00704B64"/>
    <w:rsid w:val="007050E4"/>
    <w:rsid w:val="007051F1"/>
    <w:rsid w:val="0070587C"/>
    <w:rsid w:val="00705B4D"/>
    <w:rsid w:val="0070619F"/>
    <w:rsid w:val="007061AA"/>
    <w:rsid w:val="007062B7"/>
    <w:rsid w:val="00706307"/>
    <w:rsid w:val="007063D3"/>
    <w:rsid w:val="00706CB4"/>
    <w:rsid w:val="00706CFC"/>
    <w:rsid w:val="00706F01"/>
    <w:rsid w:val="0070714C"/>
    <w:rsid w:val="0070736A"/>
    <w:rsid w:val="007076FC"/>
    <w:rsid w:val="0070775A"/>
    <w:rsid w:val="00707E20"/>
    <w:rsid w:val="00707F62"/>
    <w:rsid w:val="00707F64"/>
    <w:rsid w:val="007100C8"/>
    <w:rsid w:val="00710485"/>
    <w:rsid w:val="00710991"/>
    <w:rsid w:val="007109D8"/>
    <w:rsid w:val="00710AE0"/>
    <w:rsid w:val="007110AF"/>
    <w:rsid w:val="00711515"/>
    <w:rsid w:val="007115E8"/>
    <w:rsid w:val="007115FA"/>
    <w:rsid w:val="007116F4"/>
    <w:rsid w:val="00711855"/>
    <w:rsid w:val="007119E4"/>
    <w:rsid w:val="00711E0D"/>
    <w:rsid w:val="00712055"/>
    <w:rsid w:val="00712C73"/>
    <w:rsid w:val="0071303D"/>
    <w:rsid w:val="00713074"/>
    <w:rsid w:val="0071362E"/>
    <w:rsid w:val="007136F9"/>
    <w:rsid w:val="007147AA"/>
    <w:rsid w:val="0071495A"/>
    <w:rsid w:val="00714A51"/>
    <w:rsid w:val="00714E0D"/>
    <w:rsid w:val="00715033"/>
    <w:rsid w:val="00715041"/>
    <w:rsid w:val="00715551"/>
    <w:rsid w:val="00716000"/>
    <w:rsid w:val="00716040"/>
    <w:rsid w:val="007166B9"/>
    <w:rsid w:val="0071694E"/>
    <w:rsid w:val="00716F0F"/>
    <w:rsid w:val="00716F6C"/>
    <w:rsid w:val="0071719A"/>
    <w:rsid w:val="007176D4"/>
    <w:rsid w:val="00717955"/>
    <w:rsid w:val="00717B30"/>
    <w:rsid w:val="00717C8E"/>
    <w:rsid w:val="00717CD0"/>
    <w:rsid w:val="00720792"/>
    <w:rsid w:val="00720E59"/>
    <w:rsid w:val="00720EF0"/>
    <w:rsid w:val="00721551"/>
    <w:rsid w:val="007216CD"/>
    <w:rsid w:val="00721B35"/>
    <w:rsid w:val="00722107"/>
    <w:rsid w:val="007222B7"/>
    <w:rsid w:val="00722446"/>
    <w:rsid w:val="00722883"/>
    <w:rsid w:val="00723075"/>
    <w:rsid w:val="007231BA"/>
    <w:rsid w:val="007233D8"/>
    <w:rsid w:val="00723E1E"/>
    <w:rsid w:val="00723E93"/>
    <w:rsid w:val="00724B00"/>
    <w:rsid w:val="00724B30"/>
    <w:rsid w:val="007251B6"/>
    <w:rsid w:val="007253A4"/>
    <w:rsid w:val="00725B55"/>
    <w:rsid w:val="00725B65"/>
    <w:rsid w:val="00725E28"/>
    <w:rsid w:val="007262C3"/>
    <w:rsid w:val="0072630F"/>
    <w:rsid w:val="0072682D"/>
    <w:rsid w:val="0072685C"/>
    <w:rsid w:val="00726954"/>
    <w:rsid w:val="00726AAE"/>
    <w:rsid w:val="00726AD5"/>
    <w:rsid w:val="00726AED"/>
    <w:rsid w:val="0072761F"/>
    <w:rsid w:val="00727640"/>
    <w:rsid w:val="00727785"/>
    <w:rsid w:val="00727FE9"/>
    <w:rsid w:val="00730621"/>
    <w:rsid w:val="00730D7F"/>
    <w:rsid w:val="00731021"/>
    <w:rsid w:val="00731064"/>
    <w:rsid w:val="00731A0D"/>
    <w:rsid w:val="0073204A"/>
    <w:rsid w:val="00732E0B"/>
    <w:rsid w:val="00732F4B"/>
    <w:rsid w:val="00733247"/>
    <w:rsid w:val="007338BA"/>
    <w:rsid w:val="00733B5F"/>
    <w:rsid w:val="00733B9F"/>
    <w:rsid w:val="00733C60"/>
    <w:rsid w:val="007344D5"/>
    <w:rsid w:val="00734B0C"/>
    <w:rsid w:val="00735846"/>
    <w:rsid w:val="00735AF8"/>
    <w:rsid w:val="00735CF7"/>
    <w:rsid w:val="00735D15"/>
    <w:rsid w:val="00736286"/>
    <w:rsid w:val="007362FF"/>
    <w:rsid w:val="007365B9"/>
    <w:rsid w:val="0073693A"/>
    <w:rsid w:val="00736EC4"/>
    <w:rsid w:val="00736F40"/>
    <w:rsid w:val="00736F62"/>
    <w:rsid w:val="0073711C"/>
    <w:rsid w:val="0073736A"/>
    <w:rsid w:val="00737525"/>
    <w:rsid w:val="0074029C"/>
    <w:rsid w:val="007408F2"/>
    <w:rsid w:val="00741182"/>
    <w:rsid w:val="0074128B"/>
    <w:rsid w:val="00741BD7"/>
    <w:rsid w:val="00741C60"/>
    <w:rsid w:val="00741F54"/>
    <w:rsid w:val="00742619"/>
    <w:rsid w:val="00742C65"/>
    <w:rsid w:val="00742C91"/>
    <w:rsid w:val="00742D01"/>
    <w:rsid w:val="007430F8"/>
    <w:rsid w:val="007431E2"/>
    <w:rsid w:val="007432AD"/>
    <w:rsid w:val="00743999"/>
    <w:rsid w:val="007439D0"/>
    <w:rsid w:val="00743B80"/>
    <w:rsid w:val="00743BE7"/>
    <w:rsid w:val="00744331"/>
    <w:rsid w:val="00744443"/>
    <w:rsid w:val="007444D4"/>
    <w:rsid w:val="0074465D"/>
    <w:rsid w:val="00744A57"/>
    <w:rsid w:val="00744ACA"/>
    <w:rsid w:val="00744C85"/>
    <w:rsid w:val="00744CEF"/>
    <w:rsid w:val="00744F67"/>
    <w:rsid w:val="00744F7C"/>
    <w:rsid w:val="00745110"/>
    <w:rsid w:val="0074650E"/>
    <w:rsid w:val="00746844"/>
    <w:rsid w:val="007471F5"/>
    <w:rsid w:val="00747380"/>
    <w:rsid w:val="0074799C"/>
    <w:rsid w:val="00747C80"/>
    <w:rsid w:val="00747E10"/>
    <w:rsid w:val="007501A4"/>
    <w:rsid w:val="007503C5"/>
    <w:rsid w:val="00750420"/>
    <w:rsid w:val="00750683"/>
    <w:rsid w:val="00750779"/>
    <w:rsid w:val="0075082C"/>
    <w:rsid w:val="007509A6"/>
    <w:rsid w:val="00750B5A"/>
    <w:rsid w:val="00750BC9"/>
    <w:rsid w:val="00750D32"/>
    <w:rsid w:val="00750EA8"/>
    <w:rsid w:val="00750EFF"/>
    <w:rsid w:val="00750F9F"/>
    <w:rsid w:val="007512D5"/>
    <w:rsid w:val="007515A2"/>
    <w:rsid w:val="0075183E"/>
    <w:rsid w:val="00751C6B"/>
    <w:rsid w:val="00751D3D"/>
    <w:rsid w:val="00751E53"/>
    <w:rsid w:val="00751F15"/>
    <w:rsid w:val="00752309"/>
    <w:rsid w:val="00752655"/>
    <w:rsid w:val="007530FD"/>
    <w:rsid w:val="007533BF"/>
    <w:rsid w:val="007534E1"/>
    <w:rsid w:val="007537C5"/>
    <w:rsid w:val="0075435B"/>
    <w:rsid w:val="00754946"/>
    <w:rsid w:val="00754E85"/>
    <w:rsid w:val="0075501F"/>
    <w:rsid w:val="007553F6"/>
    <w:rsid w:val="007558FA"/>
    <w:rsid w:val="00755C13"/>
    <w:rsid w:val="00756AD4"/>
    <w:rsid w:val="00756CB5"/>
    <w:rsid w:val="007570A8"/>
    <w:rsid w:val="007573C3"/>
    <w:rsid w:val="00757AAD"/>
    <w:rsid w:val="00757DA1"/>
    <w:rsid w:val="00757E54"/>
    <w:rsid w:val="007601A2"/>
    <w:rsid w:val="007601D7"/>
    <w:rsid w:val="0076069F"/>
    <w:rsid w:val="00760776"/>
    <w:rsid w:val="007607E4"/>
    <w:rsid w:val="0076165E"/>
    <w:rsid w:val="00761A4F"/>
    <w:rsid w:val="00761C00"/>
    <w:rsid w:val="00761EAD"/>
    <w:rsid w:val="007620EF"/>
    <w:rsid w:val="00762373"/>
    <w:rsid w:val="00762857"/>
    <w:rsid w:val="00762A9A"/>
    <w:rsid w:val="00762E9D"/>
    <w:rsid w:val="007631CA"/>
    <w:rsid w:val="00763452"/>
    <w:rsid w:val="00763501"/>
    <w:rsid w:val="00763A9E"/>
    <w:rsid w:val="00763B87"/>
    <w:rsid w:val="00763F19"/>
    <w:rsid w:val="00764468"/>
    <w:rsid w:val="0076446C"/>
    <w:rsid w:val="00764FE0"/>
    <w:rsid w:val="007654A4"/>
    <w:rsid w:val="007656F5"/>
    <w:rsid w:val="00765848"/>
    <w:rsid w:val="00765B81"/>
    <w:rsid w:val="00765DCD"/>
    <w:rsid w:val="00765EA3"/>
    <w:rsid w:val="00766169"/>
    <w:rsid w:val="00766415"/>
    <w:rsid w:val="007665F5"/>
    <w:rsid w:val="00766DC4"/>
    <w:rsid w:val="00766E07"/>
    <w:rsid w:val="0076734F"/>
    <w:rsid w:val="00767721"/>
    <w:rsid w:val="007702E6"/>
    <w:rsid w:val="00770798"/>
    <w:rsid w:val="007707BE"/>
    <w:rsid w:val="00770966"/>
    <w:rsid w:val="00770BE5"/>
    <w:rsid w:val="00771684"/>
    <w:rsid w:val="00771C28"/>
    <w:rsid w:val="00771D09"/>
    <w:rsid w:val="00771DB9"/>
    <w:rsid w:val="007725AB"/>
    <w:rsid w:val="00772C70"/>
    <w:rsid w:val="00772CE3"/>
    <w:rsid w:val="00772D45"/>
    <w:rsid w:val="00772DCB"/>
    <w:rsid w:val="00773517"/>
    <w:rsid w:val="00773613"/>
    <w:rsid w:val="00773A91"/>
    <w:rsid w:val="00773E69"/>
    <w:rsid w:val="00773EA6"/>
    <w:rsid w:val="00773EAD"/>
    <w:rsid w:val="007740C5"/>
    <w:rsid w:val="00774461"/>
    <w:rsid w:val="0077448E"/>
    <w:rsid w:val="0077461A"/>
    <w:rsid w:val="007748FF"/>
    <w:rsid w:val="00774EFC"/>
    <w:rsid w:val="0077548D"/>
    <w:rsid w:val="00775490"/>
    <w:rsid w:val="007758C4"/>
    <w:rsid w:val="00775BBE"/>
    <w:rsid w:val="00775E36"/>
    <w:rsid w:val="00775F6F"/>
    <w:rsid w:val="007769E0"/>
    <w:rsid w:val="00776D79"/>
    <w:rsid w:val="00777118"/>
    <w:rsid w:val="007773E7"/>
    <w:rsid w:val="00777812"/>
    <w:rsid w:val="00777868"/>
    <w:rsid w:val="00777ADA"/>
    <w:rsid w:val="00777C67"/>
    <w:rsid w:val="007800D3"/>
    <w:rsid w:val="00780107"/>
    <w:rsid w:val="007803B2"/>
    <w:rsid w:val="00780731"/>
    <w:rsid w:val="00781455"/>
    <w:rsid w:val="00781777"/>
    <w:rsid w:val="007817CB"/>
    <w:rsid w:val="00781EC7"/>
    <w:rsid w:val="00781F4B"/>
    <w:rsid w:val="0078218C"/>
    <w:rsid w:val="007825BF"/>
    <w:rsid w:val="00782750"/>
    <w:rsid w:val="00782B8C"/>
    <w:rsid w:val="00782E3F"/>
    <w:rsid w:val="00783A96"/>
    <w:rsid w:val="00783AF4"/>
    <w:rsid w:val="0078462C"/>
    <w:rsid w:val="007847FA"/>
    <w:rsid w:val="00784C34"/>
    <w:rsid w:val="00784D0A"/>
    <w:rsid w:val="00785BBE"/>
    <w:rsid w:val="00785C2F"/>
    <w:rsid w:val="00786243"/>
    <w:rsid w:val="00786669"/>
    <w:rsid w:val="0078689F"/>
    <w:rsid w:val="00786B16"/>
    <w:rsid w:val="00786E18"/>
    <w:rsid w:val="00787060"/>
    <w:rsid w:val="00787107"/>
    <w:rsid w:val="00787332"/>
    <w:rsid w:val="007902B0"/>
    <w:rsid w:val="007902CE"/>
    <w:rsid w:val="00790414"/>
    <w:rsid w:val="00790868"/>
    <w:rsid w:val="00790910"/>
    <w:rsid w:val="00790C20"/>
    <w:rsid w:val="00791480"/>
    <w:rsid w:val="00791DE1"/>
    <w:rsid w:val="007927F5"/>
    <w:rsid w:val="0079293E"/>
    <w:rsid w:val="007929B0"/>
    <w:rsid w:val="00793389"/>
    <w:rsid w:val="007934EC"/>
    <w:rsid w:val="0079375E"/>
    <w:rsid w:val="00793B0E"/>
    <w:rsid w:val="00793F58"/>
    <w:rsid w:val="00793FB6"/>
    <w:rsid w:val="0079428D"/>
    <w:rsid w:val="00794BF1"/>
    <w:rsid w:val="00794DDD"/>
    <w:rsid w:val="0079515E"/>
    <w:rsid w:val="00795405"/>
    <w:rsid w:val="0079593E"/>
    <w:rsid w:val="00795C52"/>
    <w:rsid w:val="00795CC4"/>
    <w:rsid w:val="00796507"/>
    <w:rsid w:val="00796B98"/>
    <w:rsid w:val="00796F72"/>
    <w:rsid w:val="007971F3"/>
    <w:rsid w:val="00797BB2"/>
    <w:rsid w:val="00797D22"/>
    <w:rsid w:val="00797D36"/>
    <w:rsid w:val="00797FD1"/>
    <w:rsid w:val="007A0218"/>
    <w:rsid w:val="007A0658"/>
    <w:rsid w:val="007A0667"/>
    <w:rsid w:val="007A070D"/>
    <w:rsid w:val="007A072E"/>
    <w:rsid w:val="007A0942"/>
    <w:rsid w:val="007A098B"/>
    <w:rsid w:val="007A0BCB"/>
    <w:rsid w:val="007A0C94"/>
    <w:rsid w:val="007A117E"/>
    <w:rsid w:val="007A15B8"/>
    <w:rsid w:val="007A1AEB"/>
    <w:rsid w:val="007A1D2B"/>
    <w:rsid w:val="007A21F5"/>
    <w:rsid w:val="007A26D8"/>
    <w:rsid w:val="007A286F"/>
    <w:rsid w:val="007A2961"/>
    <w:rsid w:val="007A2BD5"/>
    <w:rsid w:val="007A2EAC"/>
    <w:rsid w:val="007A2F3D"/>
    <w:rsid w:val="007A321D"/>
    <w:rsid w:val="007A33D1"/>
    <w:rsid w:val="007A37CF"/>
    <w:rsid w:val="007A37EA"/>
    <w:rsid w:val="007A3984"/>
    <w:rsid w:val="007A3A8C"/>
    <w:rsid w:val="007A4500"/>
    <w:rsid w:val="007A4E83"/>
    <w:rsid w:val="007A4EC3"/>
    <w:rsid w:val="007A5EC2"/>
    <w:rsid w:val="007A5FB6"/>
    <w:rsid w:val="007A6254"/>
    <w:rsid w:val="007A6435"/>
    <w:rsid w:val="007A6A93"/>
    <w:rsid w:val="007A6DBD"/>
    <w:rsid w:val="007A6DC1"/>
    <w:rsid w:val="007A6EEE"/>
    <w:rsid w:val="007A782A"/>
    <w:rsid w:val="007B0A5B"/>
    <w:rsid w:val="007B0D0F"/>
    <w:rsid w:val="007B0E0C"/>
    <w:rsid w:val="007B0E40"/>
    <w:rsid w:val="007B0F8F"/>
    <w:rsid w:val="007B14A5"/>
    <w:rsid w:val="007B1720"/>
    <w:rsid w:val="007B17BC"/>
    <w:rsid w:val="007B1CB8"/>
    <w:rsid w:val="007B20D7"/>
    <w:rsid w:val="007B23AF"/>
    <w:rsid w:val="007B2843"/>
    <w:rsid w:val="007B29A3"/>
    <w:rsid w:val="007B2AF8"/>
    <w:rsid w:val="007B3135"/>
    <w:rsid w:val="007B3537"/>
    <w:rsid w:val="007B3555"/>
    <w:rsid w:val="007B41C9"/>
    <w:rsid w:val="007B4865"/>
    <w:rsid w:val="007B4A3C"/>
    <w:rsid w:val="007B58C6"/>
    <w:rsid w:val="007B597B"/>
    <w:rsid w:val="007B6825"/>
    <w:rsid w:val="007B68CE"/>
    <w:rsid w:val="007B7D63"/>
    <w:rsid w:val="007C018F"/>
    <w:rsid w:val="007C06A1"/>
    <w:rsid w:val="007C07A7"/>
    <w:rsid w:val="007C090F"/>
    <w:rsid w:val="007C0941"/>
    <w:rsid w:val="007C0D0E"/>
    <w:rsid w:val="007C0F10"/>
    <w:rsid w:val="007C106E"/>
    <w:rsid w:val="007C1165"/>
    <w:rsid w:val="007C1A19"/>
    <w:rsid w:val="007C1BC6"/>
    <w:rsid w:val="007C1CFA"/>
    <w:rsid w:val="007C22D3"/>
    <w:rsid w:val="007C249F"/>
    <w:rsid w:val="007C26E5"/>
    <w:rsid w:val="007C3348"/>
    <w:rsid w:val="007C3C68"/>
    <w:rsid w:val="007C4424"/>
    <w:rsid w:val="007C53CB"/>
    <w:rsid w:val="007C5A99"/>
    <w:rsid w:val="007C5DEC"/>
    <w:rsid w:val="007C6311"/>
    <w:rsid w:val="007C6346"/>
    <w:rsid w:val="007C6B1D"/>
    <w:rsid w:val="007C720A"/>
    <w:rsid w:val="007C7499"/>
    <w:rsid w:val="007C7832"/>
    <w:rsid w:val="007C7903"/>
    <w:rsid w:val="007C7A8E"/>
    <w:rsid w:val="007C7CB5"/>
    <w:rsid w:val="007D1092"/>
    <w:rsid w:val="007D118C"/>
    <w:rsid w:val="007D12AA"/>
    <w:rsid w:val="007D1924"/>
    <w:rsid w:val="007D1E41"/>
    <w:rsid w:val="007D229F"/>
    <w:rsid w:val="007D23AF"/>
    <w:rsid w:val="007D2621"/>
    <w:rsid w:val="007D276D"/>
    <w:rsid w:val="007D2935"/>
    <w:rsid w:val="007D30B0"/>
    <w:rsid w:val="007D3155"/>
    <w:rsid w:val="007D34A6"/>
    <w:rsid w:val="007D356F"/>
    <w:rsid w:val="007D357E"/>
    <w:rsid w:val="007D3BFB"/>
    <w:rsid w:val="007D3D48"/>
    <w:rsid w:val="007D41A2"/>
    <w:rsid w:val="007D42C6"/>
    <w:rsid w:val="007D46F7"/>
    <w:rsid w:val="007D49A1"/>
    <w:rsid w:val="007D4DE0"/>
    <w:rsid w:val="007D4ECE"/>
    <w:rsid w:val="007D5576"/>
    <w:rsid w:val="007D557A"/>
    <w:rsid w:val="007D5C63"/>
    <w:rsid w:val="007D5CA8"/>
    <w:rsid w:val="007D6298"/>
    <w:rsid w:val="007D6B9E"/>
    <w:rsid w:val="007D6BDD"/>
    <w:rsid w:val="007D6F6F"/>
    <w:rsid w:val="007D6F71"/>
    <w:rsid w:val="007D7334"/>
    <w:rsid w:val="007D7553"/>
    <w:rsid w:val="007D76D1"/>
    <w:rsid w:val="007D7AE6"/>
    <w:rsid w:val="007D7F3E"/>
    <w:rsid w:val="007E004A"/>
    <w:rsid w:val="007E0727"/>
    <w:rsid w:val="007E0CAF"/>
    <w:rsid w:val="007E1193"/>
    <w:rsid w:val="007E1363"/>
    <w:rsid w:val="007E1676"/>
    <w:rsid w:val="007E1751"/>
    <w:rsid w:val="007E1A43"/>
    <w:rsid w:val="007E1DAC"/>
    <w:rsid w:val="007E2198"/>
    <w:rsid w:val="007E2438"/>
    <w:rsid w:val="007E2D8C"/>
    <w:rsid w:val="007E2F09"/>
    <w:rsid w:val="007E2FBF"/>
    <w:rsid w:val="007E3100"/>
    <w:rsid w:val="007E3253"/>
    <w:rsid w:val="007E3409"/>
    <w:rsid w:val="007E376D"/>
    <w:rsid w:val="007E3EDE"/>
    <w:rsid w:val="007E3F9B"/>
    <w:rsid w:val="007E42A4"/>
    <w:rsid w:val="007E495D"/>
    <w:rsid w:val="007E5023"/>
    <w:rsid w:val="007E519A"/>
    <w:rsid w:val="007E52FE"/>
    <w:rsid w:val="007E5312"/>
    <w:rsid w:val="007E58EB"/>
    <w:rsid w:val="007E58F5"/>
    <w:rsid w:val="007E5C23"/>
    <w:rsid w:val="007E5D9A"/>
    <w:rsid w:val="007E61D5"/>
    <w:rsid w:val="007E69E4"/>
    <w:rsid w:val="007E711E"/>
    <w:rsid w:val="007E74F5"/>
    <w:rsid w:val="007E76F3"/>
    <w:rsid w:val="007E7AAF"/>
    <w:rsid w:val="007F04BA"/>
    <w:rsid w:val="007F050D"/>
    <w:rsid w:val="007F0554"/>
    <w:rsid w:val="007F08CA"/>
    <w:rsid w:val="007F0CE5"/>
    <w:rsid w:val="007F1399"/>
    <w:rsid w:val="007F1F9E"/>
    <w:rsid w:val="007F23FB"/>
    <w:rsid w:val="007F2A98"/>
    <w:rsid w:val="007F2FBE"/>
    <w:rsid w:val="007F301F"/>
    <w:rsid w:val="007F32BB"/>
    <w:rsid w:val="007F39BE"/>
    <w:rsid w:val="007F3B67"/>
    <w:rsid w:val="007F3B6E"/>
    <w:rsid w:val="007F465A"/>
    <w:rsid w:val="007F48E1"/>
    <w:rsid w:val="007F4B7D"/>
    <w:rsid w:val="007F4DBD"/>
    <w:rsid w:val="007F5E76"/>
    <w:rsid w:val="007F6C6A"/>
    <w:rsid w:val="007F7158"/>
    <w:rsid w:val="007F7AC2"/>
    <w:rsid w:val="008009B2"/>
    <w:rsid w:val="008013F6"/>
    <w:rsid w:val="008015AD"/>
    <w:rsid w:val="008023F2"/>
    <w:rsid w:val="00802418"/>
    <w:rsid w:val="00802A55"/>
    <w:rsid w:val="00802B63"/>
    <w:rsid w:val="00802CBC"/>
    <w:rsid w:val="00802D31"/>
    <w:rsid w:val="00803C98"/>
    <w:rsid w:val="008041BF"/>
    <w:rsid w:val="008044AA"/>
    <w:rsid w:val="00804C63"/>
    <w:rsid w:val="008051D9"/>
    <w:rsid w:val="00805582"/>
    <w:rsid w:val="00805902"/>
    <w:rsid w:val="00805F5D"/>
    <w:rsid w:val="00806434"/>
    <w:rsid w:val="00806600"/>
    <w:rsid w:val="00806F68"/>
    <w:rsid w:val="00807559"/>
    <w:rsid w:val="00807F46"/>
    <w:rsid w:val="008100D6"/>
    <w:rsid w:val="00810DEE"/>
    <w:rsid w:val="008113EE"/>
    <w:rsid w:val="008115C2"/>
    <w:rsid w:val="0081169D"/>
    <w:rsid w:val="008117BF"/>
    <w:rsid w:val="008118AB"/>
    <w:rsid w:val="0081192D"/>
    <w:rsid w:val="00811ABA"/>
    <w:rsid w:val="0081223A"/>
    <w:rsid w:val="008127AA"/>
    <w:rsid w:val="00812896"/>
    <w:rsid w:val="00813288"/>
    <w:rsid w:val="008133DE"/>
    <w:rsid w:val="0081362C"/>
    <w:rsid w:val="00813A04"/>
    <w:rsid w:val="0081523F"/>
    <w:rsid w:val="00815411"/>
    <w:rsid w:val="0081573E"/>
    <w:rsid w:val="00815CB1"/>
    <w:rsid w:val="00816235"/>
    <w:rsid w:val="00816A48"/>
    <w:rsid w:val="00817447"/>
    <w:rsid w:val="008174AF"/>
    <w:rsid w:val="0082026B"/>
    <w:rsid w:val="008209DA"/>
    <w:rsid w:val="008212F5"/>
    <w:rsid w:val="008213E6"/>
    <w:rsid w:val="008214CA"/>
    <w:rsid w:val="00821553"/>
    <w:rsid w:val="00821A29"/>
    <w:rsid w:val="00821E97"/>
    <w:rsid w:val="00821EB7"/>
    <w:rsid w:val="00822AE8"/>
    <w:rsid w:val="00822F44"/>
    <w:rsid w:val="00823233"/>
    <w:rsid w:val="008239B8"/>
    <w:rsid w:val="00824426"/>
    <w:rsid w:val="008246D7"/>
    <w:rsid w:val="00824981"/>
    <w:rsid w:val="00824B0E"/>
    <w:rsid w:val="00824C9D"/>
    <w:rsid w:val="00824E76"/>
    <w:rsid w:val="00825399"/>
    <w:rsid w:val="00825553"/>
    <w:rsid w:val="00825B7D"/>
    <w:rsid w:val="008260B8"/>
    <w:rsid w:val="00826580"/>
    <w:rsid w:val="0082677D"/>
    <w:rsid w:val="00826B87"/>
    <w:rsid w:val="00826EAE"/>
    <w:rsid w:val="00827126"/>
    <w:rsid w:val="008271D7"/>
    <w:rsid w:val="00827344"/>
    <w:rsid w:val="0082751C"/>
    <w:rsid w:val="00827595"/>
    <w:rsid w:val="00827A37"/>
    <w:rsid w:val="00827F91"/>
    <w:rsid w:val="00830217"/>
    <w:rsid w:val="0083045F"/>
    <w:rsid w:val="008304F7"/>
    <w:rsid w:val="0083050A"/>
    <w:rsid w:val="0083057D"/>
    <w:rsid w:val="00830597"/>
    <w:rsid w:val="0083063A"/>
    <w:rsid w:val="008307F7"/>
    <w:rsid w:val="00830E52"/>
    <w:rsid w:val="00830EE1"/>
    <w:rsid w:val="00830F51"/>
    <w:rsid w:val="00831ABE"/>
    <w:rsid w:val="00831B23"/>
    <w:rsid w:val="00831F7A"/>
    <w:rsid w:val="00831FCC"/>
    <w:rsid w:val="0083233F"/>
    <w:rsid w:val="008324E3"/>
    <w:rsid w:val="0083280E"/>
    <w:rsid w:val="00832AE3"/>
    <w:rsid w:val="00832DA7"/>
    <w:rsid w:val="00833533"/>
    <w:rsid w:val="00833B9F"/>
    <w:rsid w:val="00833E59"/>
    <w:rsid w:val="00833F3D"/>
    <w:rsid w:val="00834226"/>
    <w:rsid w:val="00834368"/>
    <w:rsid w:val="00834B99"/>
    <w:rsid w:val="00834F39"/>
    <w:rsid w:val="008352B2"/>
    <w:rsid w:val="008354B5"/>
    <w:rsid w:val="00835B16"/>
    <w:rsid w:val="00835EB8"/>
    <w:rsid w:val="008361E5"/>
    <w:rsid w:val="008366F0"/>
    <w:rsid w:val="0083672A"/>
    <w:rsid w:val="0083698D"/>
    <w:rsid w:val="00836BE3"/>
    <w:rsid w:val="00836E8D"/>
    <w:rsid w:val="00837356"/>
    <w:rsid w:val="0083737C"/>
    <w:rsid w:val="00837565"/>
    <w:rsid w:val="008378F0"/>
    <w:rsid w:val="00837CD9"/>
    <w:rsid w:val="00837E7A"/>
    <w:rsid w:val="008404C6"/>
    <w:rsid w:val="00840BEB"/>
    <w:rsid w:val="00840CB8"/>
    <w:rsid w:val="00840F92"/>
    <w:rsid w:val="0084115A"/>
    <w:rsid w:val="008417FD"/>
    <w:rsid w:val="00842475"/>
    <w:rsid w:val="00842AAE"/>
    <w:rsid w:val="00842FC4"/>
    <w:rsid w:val="008435B7"/>
    <w:rsid w:val="00843824"/>
    <w:rsid w:val="00843AAD"/>
    <w:rsid w:val="00844223"/>
    <w:rsid w:val="00844347"/>
    <w:rsid w:val="0084437F"/>
    <w:rsid w:val="008448DC"/>
    <w:rsid w:val="00844BDF"/>
    <w:rsid w:val="008450F3"/>
    <w:rsid w:val="008452C7"/>
    <w:rsid w:val="0084551C"/>
    <w:rsid w:val="00845946"/>
    <w:rsid w:val="00846015"/>
    <w:rsid w:val="0084688A"/>
    <w:rsid w:val="00846960"/>
    <w:rsid w:val="00846D57"/>
    <w:rsid w:val="00846EF2"/>
    <w:rsid w:val="008476A0"/>
    <w:rsid w:val="00847AD5"/>
    <w:rsid w:val="00850067"/>
    <w:rsid w:val="0085028E"/>
    <w:rsid w:val="0085031A"/>
    <w:rsid w:val="0085041B"/>
    <w:rsid w:val="0085081E"/>
    <w:rsid w:val="008509E0"/>
    <w:rsid w:val="00850AAE"/>
    <w:rsid w:val="00850B7F"/>
    <w:rsid w:val="008510AB"/>
    <w:rsid w:val="00851993"/>
    <w:rsid w:val="00851C5E"/>
    <w:rsid w:val="00851D91"/>
    <w:rsid w:val="008520F5"/>
    <w:rsid w:val="0085242A"/>
    <w:rsid w:val="00852AE9"/>
    <w:rsid w:val="00852F38"/>
    <w:rsid w:val="00852F57"/>
    <w:rsid w:val="008530DB"/>
    <w:rsid w:val="00853665"/>
    <w:rsid w:val="00853C0C"/>
    <w:rsid w:val="00854444"/>
    <w:rsid w:val="008545CF"/>
    <w:rsid w:val="00854B43"/>
    <w:rsid w:val="00854C12"/>
    <w:rsid w:val="00854EF0"/>
    <w:rsid w:val="008550FA"/>
    <w:rsid w:val="008554C0"/>
    <w:rsid w:val="008555EB"/>
    <w:rsid w:val="00856976"/>
    <w:rsid w:val="00856C34"/>
    <w:rsid w:val="008572AD"/>
    <w:rsid w:val="008574A3"/>
    <w:rsid w:val="00857718"/>
    <w:rsid w:val="00857B80"/>
    <w:rsid w:val="00857ED0"/>
    <w:rsid w:val="008601B4"/>
    <w:rsid w:val="00860B59"/>
    <w:rsid w:val="0086103B"/>
    <w:rsid w:val="008621C6"/>
    <w:rsid w:val="00862B69"/>
    <w:rsid w:val="00862D68"/>
    <w:rsid w:val="008631B5"/>
    <w:rsid w:val="00863AAE"/>
    <w:rsid w:val="00863E95"/>
    <w:rsid w:val="00864244"/>
    <w:rsid w:val="008647B8"/>
    <w:rsid w:val="00864ADF"/>
    <w:rsid w:val="008650FC"/>
    <w:rsid w:val="00865546"/>
    <w:rsid w:val="00865DC1"/>
    <w:rsid w:val="0086651A"/>
    <w:rsid w:val="00866E61"/>
    <w:rsid w:val="00866F1C"/>
    <w:rsid w:val="00866F59"/>
    <w:rsid w:val="00866FDD"/>
    <w:rsid w:val="008671C1"/>
    <w:rsid w:val="00867284"/>
    <w:rsid w:val="00867E67"/>
    <w:rsid w:val="00867F77"/>
    <w:rsid w:val="00870112"/>
    <w:rsid w:val="008702BA"/>
    <w:rsid w:val="00870C8E"/>
    <w:rsid w:val="008710A7"/>
    <w:rsid w:val="008710CA"/>
    <w:rsid w:val="00871A3E"/>
    <w:rsid w:val="008728FA"/>
    <w:rsid w:val="00872A37"/>
    <w:rsid w:val="0087365A"/>
    <w:rsid w:val="0087372B"/>
    <w:rsid w:val="008743C7"/>
    <w:rsid w:val="008749C0"/>
    <w:rsid w:val="00874F1F"/>
    <w:rsid w:val="008750F9"/>
    <w:rsid w:val="00875341"/>
    <w:rsid w:val="0087536F"/>
    <w:rsid w:val="008754AF"/>
    <w:rsid w:val="00875AB6"/>
    <w:rsid w:val="00876178"/>
    <w:rsid w:val="00876247"/>
    <w:rsid w:val="00876E01"/>
    <w:rsid w:val="008773CC"/>
    <w:rsid w:val="00877F9C"/>
    <w:rsid w:val="008800B0"/>
    <w:rsid w:val="008809E0"/>
    <w:rsid w:val="00880A40"/>
    <w:rsid w:val="008810DB"/>
    <w:rsid w:val="0088146D"/>
    <w:rsid w:val="00881C81"/>
    <w:rsid w:val="008822D5"/>
    <w:rsid w:val="008826FF"/>
    <w:rsid w:val="00882C06"/>
    <w:rsid w:val="00882CC7"/>
    <w:rsid w:val="00882DEC"/>
    <w:rsid w:val="00883066"/>
    <w:rsid w:val="00883170"/>
    <w:rsid w:val="00883332"/>
    <w:rsid w:val="0088346E"/>
    <w:rsid w:val="00883B8F"/>
    <w:rsid w:val="00883CC3"/>
    <w:rsid w:val="00884013"/>
    <w:rsid w:val="00884355"/>
    <w:rsid w:val="008849D7"/>
    <w:rsid w:val="00884F99"/>
    <w:rsid w:val="00885925"/>
    <w:rsid w:val="00885E3F"/>
    <w:rsid w:val="008869F4"/>
    <w:rsid w:val="00887035"/>
    <w:rsid w:val="0088765B"/>
    <w:rsid w:val="008902A2"/>
    <w:rsid w:val="00890334"/>
    <w:rsid w:val="0089041F"/>
    <w:rsid w:val="00890F48"/>
    <w:rsid w:val="00890F95"/>
    <w:rsid w:val="0089101B"/>
    <w:rsid w:val="008911CB"/>
    <w:rsid w:val="00891EFB"/>
    <w:rsid w:val="008923F8"/>
    <w:rsid w:val="00892CD1"/>
    <w:rsid w:val="0089315F"/>
    <w:rsid w:val="008938EA"/>
    <w:rsid w:val="00893A0F"/>
    <w:rsid w:val="00893DFB"/>
    <w:rsid w:val="00893EEF"/>
    <w:rsid w:val="0089425C"/>
    <w:rsid w:val="008947C9"/>
    <w:rsid w:val="00894B58"/>
    <w:rsid w:val="00895199"/>
    <w:rsid w:val="008952DC"/>
    <w:rsid w:val="00895513"/>
    <w:rsid w:val="0089554E"/>
    <w:rsid w:val="008955EC"/>
    <w:rsid w:val="008958B3"/>
    <w:rsid w:val="00895A9B"/>
    <w:rsid w:val="00896360"/>
    <w:rsid w:val="00896AD7"/>
    <w:rsid w:val="00896F23"/>
    <w:rsid w:val="008970F6"/>
    <w:rsid w:val="00897489"/>
    <w:rsid w:val="008975A2"/>
    <w:rsid w:val="00897B51"/>
    <w:rsid w:val="00897C52"/>
    <w:rsid w:val="00897E51"/>
    <w:rsid w:val="00897E7C"/>
    <w:rsid w:val="00897F83"/>
    <w:rsid w:val="00897FB9"/>
    <w:rsid w:val="008A0638"/>
    <w:rsid w:val="008A06E7"/>
    <w:rsid w:val="008A106C"/>
    <w:rsid w:val="008A121F"/>
    <w:rsid w:val="008A12B3"/>
    <w:rsid w:val="008A14CB"/>
    <w:rsid w:val="008A184F"/>
    <w:rsid w:val="008A1A13"/>
    <w:rsid w:val="008A21EF"/>
    <w:rsid w:val="008A25D8"/>
    <w:rsid w:val="008A2820"/>
    <w:rsid w:val="008A29AE"/>
    <w:rsid w:val="008A2C24"/>
    <w:rsid w:val="008A2C57"/>
    <w:rsid w:val="008A2C5C"/>
    <w:rsid w:val="008A2C72"/>
    <w:rsid w:val="008A341D"/>
    <w:rsid w:val="008A3425"/>
    <w:rsid w:val="008A38B9"/>
    <w:rsid w:val="008A3932"/>
    <w:rsid w:val="008A3ADD"/>
    <w:rsid w:val="008A40BC"/>
    <w:rsid w:val="008A40DD"/>
    <w:rsid w:val="008A415B"/>
    <w:rsid w:val="008A41CD"/>
    <w:rsid w:val="008A4880"/>
    <w:rsid w:val="008A4CBA"/>
    <w:rsid w:val="008A52B1"/>
    <w:rsid w:val="008A556E"/>
    <w:rsid w:val="008A5754"/>
    <w:rsid w:val="008A5B29"/>
    <w:rsid w:val="008A5E0E"/>
    <w:rsid w:val="008A61E4"/>
    <w:rsid w:val="008A650A"/>
    <w:rsid w:val="008A7303"/>
    <w:rsid w:val="008A735F"/>
    <w:rsid w:val="008A76E1"/>
    <w:rsid w:val="008A7F82"/>
    <w:rsid w:val="008B0138"/>
    <w:rsid w:val="008B050C"/>
    <w:rsid w:val="008B0C53"/>
    <w:rsid w:val="008B0E46"/>
    <w:rsid w:val="008B0FF1"/>
    <w:rsid w:val="008B1D72"/>
    <w:rsid w:val="008B1FFD"/>
    <w:rsid w:val="008B2287"/>
    <w:rsid w:val="008B23CA"/>
    <w:rsid w:val="008B2B48"/>
    <w:rsid w:val="008B2C31"/>
    <w:rsid w:val="008B2E71"/>
    <w:rsid w:val="008B3786"/>
    <w:rsid w:val="008B474F"/>
    <w:rsid w:val="008B4EA4"/>
    <w:rsid w:val="008B5032"/>
    <w:rsid w:val="008B56A2"/>
    <w:rsid w:val="008B5B32"/>
    <w:rsid w:val="008B621D"/>
    <w:rsid w:val="008B622F"/>
    <w:rsid w:val="008B6359"/>
    <w:rsid w:val="008B639A"/>
    <w:rsid w:val="008B646A"/>
    <w:rsid w:val="008B6949"/>
    <w:rsid w:val="008B6AA7"/>
    <w:rsid w:val="008B6D06"/>
    <w:rsid w:val="008B725E"/>
    <w:rsid w:val="008B7703"/>
    <w:rsid w:val="008B7801"/>
    <w:rsid w:val="008B79FA"/>
    <w:rsid w:val="008C063E"/>
    <w:rsid w:val="008C08E3"/>
    <w:rsid w:val="008C10CE"/>
    <w:rsid w:val="008C161E"/>
    <w:rsid w:val="008C19AA"/>
    <w:rsid w:val="008C19C7"/>
    <w:rsid w:val="008C1ADA"/>
    <w:rsid w:val="008C2094"/>
    <w:rsid w:val="008C22D5"/>
    <w:rsid w:val="008C2989"/>
    <w:rsid w:val="008C2A27"/>
    <w:rsid w:val="008C2D1E"/>
    <w:rsid w:val="008C2D74"/>
    <w:rsid w:val="008C32FC"/>
    <w:rsid w:val="008C3447"/>
    <w:rsid w:val="008C34E0"/>
    <w:rsid w:val="008C3552"/>
    <w:rsid w:val="008C3D0F"/>
    <w:rsid w:val="008C41AB"/>
    <w:rsid w:val="008C4429"/>
    <w:rsid w:val="008C460D"/>
    <w:rsid w:val="008C49A7"/>
    <w:rsid w:val="008C4A64"/>
    <w:rsid w:val="008C4E47"/>
    <w:rsid w:val="008C5043"/>
    <w:rsid w:val="008C519A"/>
    <w:rsid w:val="008C5BA1"/>
    <w:rsid w:val="008C5D48"/>
    <w:rsid w:val="008C6339"/>
    <w:rsid w:val="008C6469"/>
    <w:rsid w:val="008C67E8"/>
    <w:rsid w:val="008C69C5"/>
    <w:rsid w:val="008C6B00"/>
    <w:rsid w:val="008C6BA0"/>
    <w:rsid w:val="008C6E8A"/>
    <w:rsid w:val="008C73F2"/>
    <w:rsid w:val="008C75CC"/>
    <w:rsid w:val="008C7725"/>
    <w:rsid w:val="008C7E98"/>
    <w:rsid w:val="008C7FCA"/>
    <w:rsid w:val="008D09DD"/>
    <w:rsid w:val="008D0B9C"/>
    <w:rsid w:val="008D1784"/>
    <w:rsid w:val="008D184D"/>
    <w:rsid w:val="008D1AE0"/>
    <w:rsid w:val="008D24B3"/>
    <w:rsid w:val="008D269A"/>
    <w:rsid w:val="008D2760"/>
    <w:rsid w:val="008D2B73"/>
    <w:rsid w:val="008D306B"/>
    <w:rsid w:val="008D3168"/>
    <w:rsid w:val="008D32E3"/>
    <w:rsid w:val="008D3A62"/>
    <w:rsid w:val="008D3CE1"/>
    <w:rsid w:val="008D3E21"/>
    <w:rsid w:val="008D412A"/>
    <w:rsid w:val="008D4204"/>
    <w:rsid w:val="008D4426"/>
    <w:rsid w:val="008D475B"/>
    <w:rsid w:val="008D47B3"/>
    <w:rsid w:val="008D55DB"/>
    <w:rsid w:val="008D573A"/>
    <w:rsid w:val="008D5CC1"/>
    <w:rsid w:val="008D6DD9"/>
    <w:rsid w:val="008D7164"/>
    <w:rsid w:val="008D723D"/>
    <w:rsid w:val="008D78FF"/>
    <w:rsid w:val="008D796F"/>
    <w:rsid w:val="008D7BF5"/>
    <w:rsid w:val="008E00BD"/>
    <w:rsid w:val="008E0266"/>
    <w:rsid w:val="008E0FD6"/>
    <w:rsid w:val="008E107A"/>
    <w:rsid w:val="008E112E"/>
    <w:rsid w:val="008E1862"/>
    <w:rsid w:val="008E19DE"/>
    <w:rsid w:val="008E1B71"/>
    <w:rsid w:val="008E2AD7"/>
    <w:rsid w:val="008E2B10"/>
    <w:rsid w:val="008E2E09"/>
    <w:rsid w:val="008E320A"/>
    <w:rsid w:val="008E3601"/>
    <w:rsid w:val="008E3722"/>
    <w:rsid w:val="008E3AA2"/>
    <w:rsid w:val="008E3E91"/>
    <w:rsid w:val="008E4399"/>
    <w:rsid w:val="008E4E1B"/>
    <w:rsid w:val="008E5081"/>
    <w:rsid w:val="008E561E"/>
    <w:rsid w:val="008E5656"/>
    <w:rsid w:val="008E5A7D"/>
    <w:rsid w:val="008E5AB1"/>
    <w:rsid w:val="008E642C"/>
    <w:rsid w:val="008E671F"/>
    <w:rsid w:val="008E7763"/>
    <w:rsid w:val="008E7779"/>
    <w:rsid w:val="008E7BA7"/>
    <w:rsid w:val="008E7C15"/>
    <w:rsid w:val="008F00E1"/>
    <w:rsid w:val="008F01C9"/>
    <w:rsid w:val="008F01FB"/>
    <w:rsid w:val="008F07FC"/>
    <w:rsid w:val="008F09F1"/>
    <w:rsid w:val="008F0AB4"/>
    <w:rsid w:val="008F0B9C"/>
    <w:rsid w:val="008F0C55"/>
    <w:rsid w:val="008F0EF9"/>
    <w:rsid w:val="008F102A"/>
    <w:rsid w:val="008F1804"/>
    <w:rsid w:val="008F18FD"/>
    <w:rsid w:val="008F21C2"/>
    <w:rsid w:val="008F2AC8"/>
    <w:rsid w:val="008F3260"/>
    <w:rsid w:val="008F340E"/>
    <w:rsid w:val="008F3519"/>
    <w:rsid w:val="008F36C0"/>
    <w:rsid w:val="008F3797"/>
    <w:rsid w:val="008F4273"/>
    <w:rsid w:val="008F4A7E"/>
    <w:rsid w:val="008F4B02"/>
    <w:rsid w:val="008F4B86"/>
    <w:rsid w:val="008F50D8"/>
    <w:rsid w:val="008F5246"/>
    <w:rsid w:val="008F5299"/>
    <w:rsid w:val="008F57B6"/>
    <w:rsid w:val="008F5C5A"/>
    <w:rsid w:val="008F5D93"/>
    <w:rsid w:val="008F5E12"/>
    <w:rsid w:val="008F5E79"/>
    <w:rsid w:val="008F5EDC"/>
    <w:rsid w:val="008F607B"/>
    <w:rsid w:val="008F6081"/>
    <w:rsid w:val="008F703E"/>
    <w:rsid w:val="00900174"/>
    <w:rsid w:val="00900387"/>
    <w:rsid w:val="009003BE"/>
    <w:rsid w:val="0090062C"/>
    <w:rsid w:val="00900948"/>
    <w:rsid w:val="009010FB"/>
    <w:rsid w:val="009015E1"/>
    <w:rsid w:val="00901C26"/>
    <w:rsid w:val="0090239D"/>
    <w:rsid w:val="009023B3"/>
    <w:rsid w:val="00902EA4"/>
    <w:rsid w:val="009038F3"/>
    <w:rsid w:val="00903AD7"/>
    <w:rsid w:val="00903F33"/>
    <w:rsid w:val="00903F6A"/>
    <w:rsid w:val="009041A3"/>
    <w:rsid w:val="00904276"/>
    <w:rsid w:val="009044AA"/>
    <w:rsid w:val="00904E8B"/>
    <w:rsid w:val="009051DA"/>
    <w:rsid w:val="00905278"/>
    <w:rsid w:val="00905532"/>
    <w:rsid w:val="00905766"/>
    <w:rsid w:val="00905A66"/>
    <w:rsid w:val="00905B31"/>
    <w:rsid w:val="00905DEA"/>
    <w:rsid w:val="00906103"/>
    <w:rsid w:val="0090682F"/>
    <w:rsid w:val="009069A7"/>
    <w:rsid w:val="009069BF"/>
    <w:rsid w:val="00906C2F"/>
    <w:rsid w:val="0090734D"/>
    <w:rsid w:val="00907899"/>
    <w:rsid w:val="0091053C"/>
    <w:rsid w:val="00910C6D"/>
    <w:rsid w:val="00910D69"/>
    <w:rsid w:val="00911194"/>
    <w:rsid w:val="0091164E"/>
    <w:rsid w:val="00911924"/>
    <w:rsid w:val="00911D4C"/>
    <w:rsid w:val="0091206B"/>
    <w:rsid w:val="0091238F"/>
    <w:rsid w:val="009124A4"/>
    <w:rsid w:val="009124ED"/>
    <w:rsid w:val="00912867"/>
    <w:rsid w:val="00912A67"/>
    <w:rsid w:val="00912B8D"/>
    <w:rsid w:val="00912D67"/>
    <w:rsid w:val="00912E3E"/>
    <w:rsid w:val="00912E67"/>
    <w:rsid w:val="0091392B"/>
    <w:rsid w:val="00914156"/>
    <w:rsid w:val="00914779"/>
    <w:rsid w:val="009147F0"/>
    <w:rsid w:val="00914BD7"/>
    <w:rsid w:val="00914CF8"/>
    <w:rsid w:val="00914DA7"/>
    <w:rsid w:val="00915D60"/>
    <w:rsid w:val="00915E2C"/>
    <w:rsid w:val="00915F63"/>
    <w:rsid w:val="00916634"/>
    <w:rsid w:val="00916AFA"/>
    <w:rsid w:val="00916B00"/>
    <w:rsid w:val="00916EDA"/>
    <w:rsid w:val="00916F62"/>
    <w:rsid w:val="009170B8"/>
    <w:rsid w:val="00917540"/>
    <w:rsid w:val="009177E9"/>
    <w:rsid w:val="009178F7"/>
    <w:rsid w:val="00917904"/>
    <w:rsid w:val="00917AA8"/>
    <w:rsid w:val="00917F2E"/>
    <w:rsid w:val="0092124B"/>
    <w:rsid w:val="00921475"/>
    <w:rsid w:val="00921F47"/>
    <w:rsid w:val="009221AD"/>
    <w:rsid w:val="00922A50"/>
    <w:rsid w:val="00922A8B"/>
    <w:rsid w:val="00922B6B"/>
    <w:rsid w:val="00922C6C"/>
    <w:rsid w:val="00923366"/>
    <w:rsid w:val="00923941"/>
    <w:rsid w:val="00923C92"/>
    <w:rsid w:val="00923DF6"/>
    <w:rsid w:val="00923E5F"/>
    <w:rsid w:val="00923FE0"/>
    <w:rsid w:val="009240B7"/>
    <w:rsid w:val="00924262"/>
    <w:rsid w:val="00924362"/>
    <w:rsid w:val="009245DB"/>
    <w:rsid w:val="00924774"/>
    <w:rsid w:val="00924988"/>
    <w:rsid w:val="00924EB6"/>
    <w:rsid w:val="00925559"/>
    <w:rsid w:val="00925663"/>
    <w:rsid w:val="0092600B"/>
    <w:rsid w:val="0092600F"/>
    <w:rsid w:val="00926072"/>
    <w:rsid w:val="0092642B"/>
    <w:rsid w:val="009265C7"/>
    <w:rsid w:val="009268C2"/>
    <w:rsid w:val="00926DD5"/>
    <w:rsid w:val="00926DD7"/>
    <w:rsid w:val="00926F12"/>
    <w:rsid w:val="00927C10"/>
    <w:rsid w:val="00927F5A"/>
    <w:rsid w:val="009308E1"/>
    <w:rsid w:val="00930947"/>
    <w:rsid w:val="00930B71"/>
    <w:rsid w:val="00930C9C"/>
    <w:rsid w:val="00930D09"/>
    <w:rsid w:val="009311C2"/>
    <w:rsid w:val="009314B6"/>
    <w:rsid w:val="00931BE7"/>
    <w:rsid w:val="00932332"/>
    <w:rsid w:val="009328C9"/>
    <w:rsid w:val="00932D70"/>
    <w:rsid w:val="009331CF"/>
    <w:rsid w:val="009331D0"/>
    <w:rsid w:val="009334AC"/>
    <w:rsid w:val="00933F16"/>
    <w:rsid w:val="00934060"/>
    <w:rsid w:val="009340A5"/>
    <w:rsid w:val="0093426A"/>
    <w:rsid w:val="00934564"/>
    <w:rsid w:val="00935130"/>
    <w:rsid w:val="00935704"/>
    <w:rsid w:val="00935828"/>
    <w:rsid w:val="0093582B"/>
    <w:rsid w:val="00935E03"/>
    <w:rsid w:val="00935F9B"/>
    <w:rsid w:val="009364E3"/>
    <w:rsid w:val="009365EE"/>
    <w:rsid w:val="009376AE"/>
    <w:rsid w:val="00937A58"/>
    <w:rsid w:val="00937E04"/>
    <w:rsid w:val="00937E53"/>
    <w:rsid w:val="0094061F"/>
    <w:rsid w:val="0094071B"/>
    <w:rsid w:val="00940847"/>
    <w:rsid w:val="009408EF"/>
    <w:rsid w:val="00940C69"/>
    <w:rsid w:val="00941293"/>
    <w:rsid w:val="0094134D"/>
    <w:rsid w:val="0094146D"/>
    <w:rsid w:val="009414B5"/>
    <w:rsid w:val="009416E1"/>
    <w:rsid w:val="009419AF"/>
    <w:rsid w:val="00941A22"/>
    <w:rsid w:val="00941BE2"/>
    <w:rsid w:val="00941EB2"/>
    <w:rsid w:val="00941ED9"/>
    <w:rsid w:val="00942010"/>
    <w:rsid w:val="009421CF"/>
    <w:rsid w:val="009423B6"/>
    <w:rsid w:val="009424BD"/>
    <w:rsid w:val="0094257A"/>
    <w:rsid w:val="00942700"/>
    <w:rsid w:val="00942922"/>
    <w:rsid w:val="00942DFB"/>
    <w:rsid w:val="00942F53"/>
    <w:rsid w:val="00942F9A"/>
    <w:rsid w:val="0094320A"/>
    <w:rsid w:val="00943911"/>
    <w:rsid w:val="00943B34"/>
    <w:rsid w:val="009443F4"/>
    <w:rsid w:val="009445D6"/>
    <w:rsid w:val="009447C5"/>
    <w:rsid w:val="00944DD5"/>
    <w:rsid w:val="00944E4A"/>
    <w:rsid w:val="00944F91"/>
    <w:rsid w:val="00945600"/>
    <w:rsid w:val="0094562C"/>
    <w:rsid w:val="009457FF"/>
    <w:rsid w:val="00945A89"/>
    <w:rsid w:val="00945C2C"/>
    <w:rsid w:val="009460B4"/>
    <w:rsid w:val="009467C0"/>
    <w:rsid w:val="009474DD"/>
    <w:rsid w:val="00947582"/>
    <w:rsid w:val="00947A0E"/>
    <w:rsid w:val="00947BE1"/>
    <w:rsid w:val="0095085F"/>
    <w:rsid w:val="00950B44"/>
    <w:rsid w:val="00950C62"/>
    <w:rsid w:val="0095170D"/>
    <w:rsid w:val="009518BD"/>
    <w:rsid w:val="00951AF4"/>
    <w:rsid w:val="00951BF6"/>
    <w:rsid w:val="00952079"/>
    <w:rsid w:val="00952294"/>
    <w:rsid w:val="009522B5"/>
    <w:rsid w:val="00952632"/>
    <w:rsid w:val="00952959"/>
    <w:rsid w:val="009529ED"/>
    <w:rsid w:val="0095307F"/>
    <w:rsid w:val="00953591"/>
    <w:rsid w:val="00953632"/>
    <w:rsid w:val="00953A32"/>
    <w:rsid w:val="00953B61"/>
    <w:rsid w:val="00954308"/>
    <w:rsid w:val="00954616"/>
    <w:rsid w:val="009548FF"/>
    <w:rsid w:val="00954B3B"/>
    <w:rsid w:val="00955526"/>
    <w:rsid w:val="009557D5"/>
    <w:rsid w:val="00955FFB"/>
    <w:rsid w:val="00956BD8"/>
    <w:rsid w:val="009572E9"/>
    <w:rsid w:val="00957B43"/>
    <w:rsid w:val="00957B98"/>
    <w:rsid w:val="00957D86"/>
    <w:rsid w:val="00957FD5"/>
    <w:rsid w:val="00960296"/>
    <w:rsid w:val="009608CA"/>
    <w:rsid w:val="00960C86"/>
    <w:rsid w:val="00960CD5"/>
    <w:rsid w:val="0096134F"/>
    <w:rsid w:val="00961475"/>
    <w:rsid w:val="009618DE"/>
    <w:rsid w:val="0096213A"/>
    <w:rsid w:val="009624F6"/>
    <w:rsid w:val="00962538"/>
    <w:rsid w:val="00962790"/>
    <w:rsid w:val="009629D7"/>
    <w:rsid w:val="00963057"/>
    <w:rsid w:val="009630A1"/>
    <w:rsid w:val="00963511"/>
    <w:rsid w:val="009636EC"/>
    <w:rsid w:val="00963701"/>
    <w:rsid w:val="00963791"/>
    <w:rsid w:val="00963F8A"/>
    <w:rsid w:val="0096405D"/>
    <w:rsid w:val="00965269"/>
    <w:rsid w:val="009655CE"/>
    <w:rsid w:val="00965BDD"/>
    <w:rsid w:val="0096609B"/>
    <w:rsid w:val="00966219"/>
    <w:rsid w:val="0096631D"/>
    <w:rsid w:val="00966389"/>
    <w:rsid w:val="009667AB"/>
    <w:rsid w:val="00966C09"/>
    <w:rsid w:val="00967116"/>
    <w:rsid w:val="00967CE3"/>
    <w:rsid w:val="0097007A"/>
    <w:rsid w:val="009700A1"/>
    <w:rsid w:val="00970BCC"/>
    <w:rsid w:val="00970C65"/>
    <w:rsid w:val="00970D2E"/>
    <w:rsid w:val="00971451"/>
    <w:rsid w:val="0097187B"/>
    <w:rsid w:val="00971F4E"/>
    <w:rsid w:val="0097219F"/>
    <w:rsid w:val="0097232F"/>
    <w:rsid w:val="009732E6"/>
    <w:rsid w:val="0097389B"/>
    <w:rsid w:val="00973C65"/>
    <w:rsid w:val="00973E9B"/>
    <w:rsid w:val="00973FDA"/>
    <w:rsid w:val="00974095"/>
    <w:rsid w:val="00974104"/>
    <w:rsid w:val="00974DD3"/>
    <w:rsid w:val="00974E5F"/>
    <w:rsid w:val="0097529C"/>
    <w:rsid w:val="00975A73"/>
    <w:rsid w:val="00975CD7"/>
    <w:rsid w:val="009766DB"/>
    <w:rsid w:val="0097670E"/>
    <w:rsid w:val="00976C7F"/>
    <w:rsid w:val="00977E1A"/>
    <w:rsid w:val="00980F87"/>
    <w:rsid w:val="009810BB"/>
    <w:rsid w:val="00981427"/>
    <w:rsid w:val="00981467"/>
    <w:rsid w:val="009818EC"/>
    <w:rsid w:val="00981B61"/>
    <w:rsid w:val="00981F72"/>
    <w:rsid w:val="00981FE8"/>
    <w:rsid w:val="0098206B"/>
    <w:rsid w:val="00982542"/>
    <w:rsid w:val="0098271A"/>
    <w:rsid w:val="009829C2"/>
    <w:rsid w:val="00983016"/>
    <w:rsid w:val="00983478"/>
    <w:rsid w:val="00983668"/>
    <w:rsid w:val="00983D63"/>
    <w:rsid w:val="00983EDD"/>
    <w:rsid w:val="00983F06"/>
    <w:rsid w:val="00984387"/>
    <w:rsid w:val="00984441"/>
    <w:rsid w:val="009844CF"/>
    <w:rsid w:val="00984527"/>
    <w:rsid w:val="00984916"/>
    <w:rsid w:val="00984DD8"/>
    <w:rsid w:val="00984E5F"/>
    <w:rsid w:val="009850A1"/>
    <w:rsid w:val="009851C1"/>
    <w:rsid w:val="009855DC"/>
    <w:rsid w:val="00985C81"/>
    <w:rsid w:val="0098630F"/>
    <w:rsid w:val="009863CE"/>
    <w:rsid w:val="0098697A"/>
    <w:rsid w:val="00986C3E"/>
    <w:rsid w:val="00987AD5"/>
    <w:rsid w:val="00987BF0"/>
    <w:rsid w:val="0099085F"/>
    <w:rsid w:val="00990EDF"/>
    <w:rsid w:val="00991574"/>
    <w:rsid w:val="00991604"/>
    <w:rsid w:val="00991915"/>
    <w:rsid w:val="00991B92"/>
    <w:rsid w:val="00991BCD"/>
    <w:rsid w:val="00991D86"/>
    <w:rsid w:val="0099247B"/>
    <w:rsid w:val="009925DB"/>
    <w:rsid w:val="009925DF"/>
    <w:rsid w:val="00992B9E"/>
    <w:rsid w:val="0099300F"/>
    <w:rsid w:val="00993114"/>
    <w:rsid w:val="00993AF0"/>
    <w:rsid w:val="00993B18"/>
    <w:rsid w:val="00993B36"/>
    <w:rsid w:val="00993B4F"/>
    <w:rsid w:val="00993B72"/>
    <w:rsid w:val="00993B88"/>
    <w:rsid w:val="00993C7A"/>
    <w:rsid w:val="00993CC9"/>
    <w:rsid w:val="00993EA9"/>
    <w:rsid w:val="009940A4"/>
    <w:rsid w:val="009940FF"/>
    <w:rsid w:val="00994224"/>
    <w:rsid w:val="00994B53"/>
    <w:rsid w:val="00994FB0"/>
    <w:rsid w:val="00995127"/>
    <w:rsid w:val="009951ED"/>
    <w:rsid w:val="00995AD7"/>
    <w:rsid w:val="00995C98"/>
    <w:rsid w:val="00995CA9"/>
    <w:rsid w:val="0099652E"/>
    <w:rsid w:val="00996679"/>
    <w:rsid w:val="009968D1"/>
    <w:rsid w:val="00996BBE"/>
    <w:rsid w:val="00996D0B"/>
    <w:rsid w:val="00996D5F"/>
    <w:rsid w:val="00997A15"/>
    <w:rsid w:val="00997AC5"/>
    <w:rsid w:val="009A006D"/>
    <w:rsid w:val="009A02A0"/>
    <w:rsid w:val="009A072C"/>
    <w:rsid w:val="009A0884"/>
    <w:rsid w:val="009A09BD"/>
    <w:rsid w:val="009A0B78"/>
    <w:rsid w:val="009A0C91"/>
    <w:rsid w:val="009A0D27"/>
    <w:rsid w:val="009A1166"/>
    <w:rsid w:val="009A147C"/>
    <w:rsid w:val="009A1605"/>
    <w:rsid w:val="009A1740"/>
    <w:rsid w:val="009A2003"/>
    <w:rsid w:val="009A20F8"/>
    <w:rsid w:val="009A2132"/>
    <w:rsid w:val="009A2266"/>
    <w:rsid w:val="009A23F4"/>
    <w:rsid w:val="009A2406"/>
    <w:rsid w:val="009A2548"/>
    <w:rsid w:val="009A261A"/>
    <w:rsid w:val="009A27A9"/>
    <w:rsid w:val="009A2902"/>
    <w:rsid w:val="009A3550"/>
    <w:rsid w:val="009A3A07"/>
    <w:rsid w:val="009A3ACA"/>
    <w:rsid w:val="009A3C92"/>
    <w:rsid w:val="009A3E7C"/>
    <w:rsid w:val="009A4305"/>
    <w:rsid w:val="009A436C"/>
    <w:rsid w:val="009A479B"/>
    <w:rsid w:val="009A4976"/>
    <w:rsid w:val="009A4C56"/>
    <w:rsid w:val="009A4EAE"/>
    <w:rsid w:val="009A54C0"/>
    <w:rsid w:val="009A557C"/>
    <w:rsid w:val="009A580E"/>
    <w:rsid w:val="009A5979"/>
    <w:rsid w:val="009A5BEA"/>
    <w:rsid w:val="009A5CE7"/>
    <w:rsid w:val="009A6717"/>
    <w:rsid w:val="009A6A4D"/>
    <w:rsid w:val="009A6E8E"/>
    <w:rsid w:val="009A6F74"/>
    <w:rsid w:val="009A76CC"/>
    <w:rsid w:val="009B04A9"/>
    <w:rsid w:val="009B0768"/>
    <w:rsid w:val="009B1170"/>
    <w:rsid w:val="009B1751"/>
    <w:rsid w:val="009B2138"/>
    <w:rsid w:val="009B23D0"/>
    <w:rsid w:val="009B25F6"/>
    <w:rsid w:val="009B2B6B"/>
    <w:rsid w:val="009B2C39"/>
    <w:rsid w:val="009B32F1"/>
    <w:rsid w:val="009B3567"/>
    <w:rsid w:val="009B361C"/>
    <w:rsid w:val="009B3F83"/>
    <w:rsid w:val="009B3FF1"/>
    <w:rsid w:val="009B40C0"/>
    <w:rsid w:val="009B46A2"/>
    <w:rsid w:val="009B5591"/>
    <w:rsid w:val="009B56C8"/>
    <w:rsid w:val="009B56F6"/>
    <w:rsid w:val="009B5AC4"/>
    <w:rsid w:val="009B5E7F"/>
    <w:rsid w:val="009B62A9"/>
    <w:rsid w:val="009B65DA"/>
    <w:rsid w:val="009B6EA6"/>
    <w:rsid w:val="009B714D"/>
    <w:rsid w:val="009B7525"/>
    <w:rsid w:val="009B7AE5"/>
    <w:rsid w:val="009B7DC8"/>
    <w:rsid w:val="009B7E6A"/>
    <w:rsid w:val="009C0202"/>
    <w:rsid w:val="009C0CC4"/>
    <w:rsid w:val="009C0F03"/>
    <w:rsid w:val="009C1203"/>
    <w:rsid w:val="009C293A"/>
    <w:rsid w:val="009C3553"/>
    <w:rsid w:val="009C3837"/>
    <w:rsid w:val="009C3866"/>
    <w:rsid w:val="009C3CF7"/>
    <w:rsid w:val="009C3E5E"/>
    <w:rsid w:val="009C43C0"/>
    <w:rsid w:val="009C44F3"/>
    <w:rsid w:val="009C4D08"/>
    <w:rsid w:val="009C4E04"/>
    <w:rsid w:val="009C4F22"/>
    <w:rsid w:val="009C5068"/>
    <w:rsid w:val="009C5241"/>
    <w:rsid w:val="009C54F5"/>
    <w:rsid w:val="009C56BF"/>
    <w:rsid w:val="009C5A94"/>
    <w:rsid w:val="009C68D5"/>
    <w:rsid w:val="009C6BFD"/>
    <w:rsid w:val="009C6C4F"/>
    <w:rsid w:val="009C6C64"/>
    <w:rsid w:val="009C7710"/>
    <w:rsid w:val="009C7D6A"/>
    <w:rsid w:val="009D03E9"/>
    <w:rsid w:val="009D0493"/>
    <w:rsid w:val="009D05E6"/>
    <w:rsid w:val="009D06E2"/>
    <w:rsid w:val="009D0A54"/>
    <w:rsid w:val="009D0BD1"/>
    <w:rsid w:val="009D12DC"/>
    <w:rsid w:val="009D166F"/>
    <w:rsid w:val="009D178B"/>
    <w:rsid w:val="009D1D2E"/>
    <w:rsid w:val="009D23D6"/>
    <w:rsid w:val="009D2770"/>
    <w:rsid w:val="009D2798"/>
    <w:rsid w:val="009D2D82"/>
    <w:rsid w:val="009D2ED8"/>
    <w:rsid w:val="009D320D"/>
    <w:rsid w:val="009D3237"/>
    <w:rsid w:val="009D3310"/>
    <w:rsid w:val="009D341C"/>
    <w:rsid w:val="009D360C"/>
    <w:rsid w:val="009D3628"/>
    <w:rsid w:val="009D3A27"/>
    <w:rsid w:val="009D49E5"/>
    <w:rsid w:val="009D4C14"/>
    <w:rsid w:val="009D4C2A"/>
    <w:rsid w:val="009D4D1C"/>
    <w:rsid w:val="009D5632"/>
    <w:rsid w:val="009D5F2D"/>
    <w:rsid w:val="009D6914"/>
    <w:rsid w:val="009D6B12"/>
    <w:rsid w:val="009D6C36"/>
    <w:rsid w:val="009D6F7F"/>
    <w:rsid w:val="009D70FD"/>
    <w:rsid w:val="009D7326"/>
    <w:rsid w:val="009D75F9"/>
    <w:rsid w:val="009D796F"/>
    <w:rsid w:val="009D7D9A"/>
    <w:rsid w:val="009D7DB1"/>
    <w:rsid w:val="009E0B07"/>
    <w:rsid w:val="009E0EFF"/>
    <w:rsid w:val="009E123E"/>
    <w:rsid w:val="009E17AF"/>
    <w:rsid w:val="009E17D9"/>
    <w:rsid w:val="009E1A3C"/>
    <w:rsid w:val="009E1C22"/>
    <w:rsid w:val="009E1D52"/>
    <w:rsid w:val="009E1ECA"/>
    <w:rsid w:val="009E2239"/>
    <w:rsid w:val="009E236C"/>
    <w:rsid w:val="009E2481"/>
    <w:rsid w:val="009E2636"/>
    <w:rsid w:val="009E3403"/>
    <w:rsid w:val="009E34F6"/>
    <w:rsid w:val="009E37E4"/>
    <w:rsid w:val="009E3C7E"/>
    <w:rsid w:val="009E3D44"/>
    <w:rsid w:val="009E3E2A"/>
    <w:rsid w:val="009E3EC3"/>
    <w:rsid w:val="009E40D7"/>
    <w:rsid w:val="009E43E8"/>
    <w:rsid w:val="009E454F"/>
    <w:rsid w:val="009E46CD"/>
    <w:rsid w:val="009E47F2"/>
    <w:rsid w:val="009E4C70"/>
    <w:rsid w:val="009E4D21"/>
    <w:rsid w:val="009E4DB0"/>
    <w:rsid w:val="009E5132"/>
    <w:rsid w:val="009E51F6"/>
    <w:rsid w:val="009E52D4"/>
    <w:rsid w:val="009E5AEE"/>
    <w:rsid w:val="009E5DC6"/>
    <w:rsid w:val="009E62A7"/>
    <w:rsid w:val="009E63D5"/>
    <w:rsid w:val="009E65AD"/>
    <w:rsid w:val="009E6E04"/>
    <w:rsid w:val="009E7059"/>
    <w:rsid w:val="009E7696"/>
    <w:rsid w:val="009E7A04"/>
    <w:rsid w:val="009E7DEE"/>
    <w:rsid w:val="009E7F5B"/>
    <w:rsid w:val="009F0381"/>
    <w:rsid w:val="009F0C7D"/>
    <w:rsid w:val="009F0CAA"/>
    <w:rsid w:val="009F15A4"/>
    <w:rsid w:val="009F193A"/>
    <w:rsid w:val="009F1CFD"/>
    <w:rsid w:val="009F2041"/>
    <w:rsid w:val="009F2509"/>
    <w:rsid w:val="009F261E"/>
    <w:rsid w:val="009F2A6E"/>
    <w:rsid w:val="009F2B71"/>
    <w:rsid w:val="009F3631"/>
    <w:rsid w:val="009F363C"/>
    <w:rsid w:val="009F3790"/>
    <w:rsid w:val="009F39EC"/>
    <w:rsid w:val="009F441E"/>
    <w:rsid w:val="009F476C"/>
    <w:rsid w:val="009F4E74"/>
    <w:rsid w:val="009F514C"/>
    <w:rsid w:val="009F54B1"/>
    <w:rsid w:val="009F586C"/>
    <w:rsid w:val="009F5B31"/>
    <w:rsid w:val="009F5C8B"/>
    <w:rsid w:val="009F5D30"/>
    <w:rsid w:val="009F6182"/>
    <w:rsid w:val="009F619B"/>
    <w:rsid w:val="009F623E"/>
    <w:rsid w:val="009F62B0"/>
    <w:rsid w:val="009F62B1"/>
    <w:rsid w:val="009F6309"/>
    <w:rsid w:val="009F6724"/>
    <w:rsid w:val="009F685A"/>
    <w:rsid w:val="009F6B2D"/>
    <w:rsid w:val="009F6D44"/>
    <w:rsid w:val="009F6DB2"/>
    <w:rsid w:val="009F75A5"/>
    <w:rsid w:val="009F7814"/>
    <w:rsid w:val="009F7A90"/>
    <w:rsid w:val="009F7CEB"/>
    <w:rsid w:val="009F7E6E"/>
    <w:rsid w:val="009F7E95"/>
    <w:rsid w:val="00A00313"/>
    <w:rsid w:val="00A0043D"/>
    <w:rsid w:val="00A005C5"/>
    <w:rsid w:val="00A00D48"/>
    <w:rsid w:val="00A01384"/>
    <w:rsid w:val="00A01543"/>
    <w:rsid w:val="00A02171"/>
    <w:rsid w:val="00A0262C"/>
    <w:rsid w:val="00A027F2"/>
    <w:rsid w:val="00A02878"/>
    <w:rsid w:val="00A03256"/>
    <w:rsid w:val="00A03258"/>
    <w:rsid w:val="00A0371B"/>
    <w:rsid w:val="00A040FD"/>
    <w:rsid w:val="00A0426A"/>
    <w:rsid w:val="00A04290"/>
    <w:rsid w:val="00A04B6A"/>
    <w:rsid w:val="00A04C0D"/>
    <w:rsid w:val="00A04C26"/>
    <w:rsid w:val="00A05676"/>
    <w:rsid w:val="00A0583C"/>
    <w:rsid w:val="00A06263"/>
    <w:rsid w:val="00A066BD"/>
    <w:rsid w:val="00A0679B"/>
    <w:rsid w:val="00A07109"/>
    <w:rsid w:val="00A0719E"/>
    <w:rsid w:val="00A07327"/>
    <w:rsid w:val="00A073FB"/>
    <w:rsid w:val="00A1015A"/>
    <w:rsid w:val="00A103D7"/>
    <w:rsid w:val="00A10422"/>
    <w:rsid w:val="00A10FBF"/>
    <w:rsid w:val="00A11368"/>
    <w:rsid w:val="00A118B0"/>
    <w:rsid w:val="00A124E0"/>
    <w:rsid w:val="00A12A44"/>
    <w:rsid w:val="00A13423"/>
    <w:rsid w:val="00A13447"/>
    <w:rsid w:val="00A14859"/>
    <w:rsid w:val="00A14A9C"/>
    <w:rsid w:val="00A14ED7"/>
    <w:rsid w:val="00A16638"/>
    <w:rsid w:val="00A16752"/>
    <w:rsid w:val="00A17490"/>
    <w:rsid w:val="00A17543"/>
    <w:rsid w:val="00A17960"/>
    <w:rsid w:val="00A179C8"/>
    <w:rsid w:val="00A17EB5"/>
    <w:rsid w:val="00A20641"/>
    <w:rsid w:val="00A20B1A"/>
    <w:rsid w:val="00A216F9"/>
    <w:rsid w:val="00A2185E"/>
    <w:rsid w:val="00A21A6E"/>
    <w:rsid w:val="00A21BE6"/>
    <w:rsid w:val="00A224AC"/>
    <w:rsid w:val="00A22A39"/>
    <w:rsid w:val="00A22B17"/>
    <w:rsid w:val="00A22E70"/>
    <w:rsid w:val="00A2315A"/>
    <w:rsid w:val="00A23410"/>
    <w:rsid w:val="00A23F64"/>
    <w:rsid w:val="00A24224"/>
    <w:rsid w:val="00A247C5"/>
    <w:rsid w:val="00A2513E"/>
    <w:rsid w:val="00A25208"/>
    <w:rsid w:val="00A252BE"/>
    <w:rsid w:val="00A25D07"/>
    <w:rsid w:val="00A26145"/>
    <w:rsid w:val="00A2672F"/>
    <w:rsid w:val="00A26E4A"/>
    <w:rsid w:val="00A2722B"/>
    <w:rsid w:val="00A27A5F"/>
    <w:rsid w:val="00A27C22"/>
    <w:rsid w:val="00A305B5"/>
    <w:rsid w:val="00A3062B"/>
    <w:rsid w:val="00A3086E"/>
    <w:rsid w:val="00A30D37"/>
    <w:rsid w:val="00A311BB"/>
    <w:rsid w:val="00A3143C"/>
    <w:rsid w:val="00A32BCC"/>
    <w:rsid w:val="00A3338F"/>
    <w:rsid w:val="00A34031"/>
    <w:rsid w:val="00A34222"/>
    <w:rsid w:val="00A343EE"/>
    <w:rsid w:val="00A34436"/>
    <w:rsid w:val="00A3464C"/>
    <w:rsid w:val="00A34670"/>
    <w:rsid w:val="00A34B18"/>
    <w:rsid w:val="00A34C98"/>
    <w:rsid w:val="00A35527"/>
    <w:rsid w:val="00A3658D"/>
    <w:rsid w:val="00A36703"/>
    <w:rsid w:val="00A370F3"/>
    <w:rsid w:val="00A371D8"/>
    <w:rsid w:val="00A376BA"/>
    <w:rsid w:val="00A40440"/>
    <w:rsid w:val="00A40599"/>
    <w:rsid w:val="00A40ABB"/>
    <w:rsid w:val="00A40CB9"/>
    <w:rsid w:val="00A40EED"/>
    <w:rsid w:val="00A41083"/>
    <w:rsid w:val="00A41951"/>
    <w:rsid w:val="00A41E5D"/>
    <w:rsid w:val="00A42031"/>
    <w:rsid w:val="00A42145"/>
    <w:rsid w:val="00A4246F"/>
    <w:rsid w:val="00A42DB9"/>
    <w:rsid w:val="00A435F2"/>
    <w:rsid w:val="00A4361A"/>
    <w:rsid w:val="00A43ED9"/>
    <w:rsid w:val="00A45200"/>
    <w:rsid w:val="00A45378"/>
    <w:rsid w:val="00A4541E"/>
    <w:rsid w:val="00A45A0A"/>
    <w:rsid w:val="00A45F1E"/>
    <w:rsid w:val="00A464B6"/>
    <w:rsid w:val="00A4663F"/>
    <w:rsid w:val="00A46A74"/>
    <w:rsid w:val="00A46B4C"/>
    <w:rsid w:val="00A46CD1"/>
    <w:rsid w:val="00A47365"/>
    <w:rsid w:val="00A473DB"/>
    <w:rsid w:val="00A5043A"/>
    <w:rsid w:val="00A506E3"/>
    <w:rsid w:val="00A50A89"/>
    <w:rsid w:val="00A50B1D"/>
    <w:rsid w:val="00A514BE"/>
    <w:rsid w:val="00A51560"/>
    <w:rsid w:val="00A522B8"/>
    <w:rsid w:val="00A52D84"/>
    <w:rsid w:val="00A535FB"/>
    <w:rsid w:val="00A53686"/>
    <w:rsid w:val="00A5372B"/>
    <w:rsid w:val="00A53F36"/>
    <w:rsid w:val="00A53FA8"/>
    <w:rsid w:val="00A53FD7"/>
    <w:rsid w:val="00A541F8"/>
    <w:rsid w:val="00A5453C"/>
    <w:rsid w:val="00A548C8"/>
    <w:rsid w:val="00A54B2D"/>
    <w:rsid w:val="00A54C48"/>
    <w:rsid w:val="00A54C50"/>
    <w:rsid w:val="00A54DB9"/>
    <w:rsid w:val="00A54DD5"/>
    <w:rsid w:val="00A54FC4"/>
    <w:rsid w:val="00A550AE"/>
    <w:rsid w:val="00A55999"/>
    <w:rsid w:val="00A559FB"/>
    <w:rsid w:val="00A55A8A"/>
    <w:rsid w:val="00A55F59"/>
    <w:rsid w:val="00A56616"/>
    <w:rsid w:val="00A56A13"/>
    <w:rsid w:val="00A56AAB"/>
    <w:rsid w:val="00A56D33"/>
    <w:rsid w:val="00A56F3E"/>
    <w:rsid w:val="00A5786A"/>
    <w:rsid w:val="00A57EBE"/>
    <w:rsid w:val="00A60929"/>
    <w:rsid w:val="00A61328"/>
    <w:rsid w:val="00A6138B"/>
    <w:rsid w:val="00A61B06"/>
    <w:rsid w:val="00A61F8A"/>
    <w:rsid w:val="00A625E9"/>
    <w:rsid w:val="00A62942"/>
    <w:rsid w:val="00A62978"/>
    <w:rsid w:val="00A62E60"/>
    <w:rsid w:val="00A63591"/>
    <w:rsid w:val="00A63630"/>
    <w:rsid w:val="00A6374D"/>
    <w:rsid w:val="00A64348"/>
    <w:rsid w:val="00A64CBB"/>
    <w:rsid w:val="00A65070"/>
    <w:rsid w:val="00A6517D"/>
    <w:rsid w:val="00A65211"/>
    <w:rsid w:val="00A65323"/>
    <w:rsid w:val="00A658C3"/>
    <w:rsid w:val="00A65C1F"/>
    <w:rsid w:val="00A65ECE"/>
    <w:rsid w:val="00A66588"/>
    <w:rsid w:val="00A66FF6"/>
    <w:rsid w:val="00A6707F"/>
    <w:rsid w:val="00A672E2"/>
    <w:rsid w:val="00A67A08"/>
    <w:rsid w:val="00A67A68"/>
    <w:rsid w:val="00A7006B"/>
    <w:rsid w:val="00A7011B"/>
    <w:rsid w:val="00A707D6"/>
    <w:rsid w:val="00A708B9"/>
    <w:rsid w:val="00A70998"/>
    <w:rsid w:val="00A70D35"/>
    <w:rsid w:val="00A71110"/>
    <w:rsid w:val="00A71207"/>
    <w:rsid w:val="00A712C7"/>
    <w:rsid w:val="00A72654"/>
    <w:rsid w:val="00A72B7D"/>
    <w:rsid w:val="00A73A9C"/>
    <w:rsid w:val="00A73F3F"/>
    <w:rsid w:val="00A73FC6"/>
    <w:rsid w:val="00A74E0E"/>
    <w:rsid w:val="00A75112"/>
    <w:rsid w:val="00A752F5"/>
    <w:rsid w:val="00A752FD"/>
    <w:rsid w:val="00A75851"/>
    <w:rsid w:val="00A75B6A"/>
    <w:rsid w:val="00A75DA1"/>
    <w:rsid w:val="00A75DD6"/>
    <w:rsid w:val="00A762AD"/>
    <w:rsid w:val="00A76927"/>
    <w:rsid w:val="00A76EA4"/>
    <w:rsid w:val="00A779F6"/>
    <w:rsid w:val="00A77B46"/>
    <w:rsid w:val="00A77BDE"/>
    <w:rsid w:val="00A77CBB"/>
    <w:rsid w:val="00A77E41"/>
    <w:rsid w:val="00A77F64"/>
    <w:rsid w:val="00A808C1"/>
    <w:rsid w:val="00A80951"/>
    <w:rsid w:val="00A80B4C"/>
    <w:rsid w:val="00A8101F"/>
    <w:rsid w:val="00A8140B"/>
    <w:rsid w:val="00A81E5A"/>
    <w:rsid w:val="00A81F82"/>
    <w:rsid w:val="00A82437"/>
    <w:rsid w:val="00A841B0"/>
    <w:rsid w:val="00A843C4"/>
    <w:rsid w:val="00A84D4E"/>
    <w:rsid w:val="00A84EAA"/>
    <w:rsid w:val="00A85377"/>
    <w:rsid w:val="00A853B5"/>
    <w:rsid w:val="00A85790"/>
    <w:rsid w:val="00A85A2B"/>
    <w:rsid w:val="00A85C18"/>
    <w:rsid w:val="00A85C2C"/>
    <w:rsid w:val="00A85D38"/>
    <w:rsid w:val="00A85FCE"/>
    <w:rsid w:val="00A86148"/>
    <w:rsid w:val="00A8632E"/>
    <w:rsid w:val="00A867C4"/>
    <w:rsid w:val="00A8693A"/>
    <w:rsid w:val="00A86C2F"/>
    <w:rsid w:val="00A86E7D"/>
    <w:rsid w:val="00A87916"/>
    <w:rsid w:val="00A9012E"/>
    <w:rsid w:val="00A906AF"/>
    <w:rsid w:val="00A912FA"/>
    <w:rsid w:val="00A91A7F"/>
    <w:rsid w:val="00A91EF2"/>
    <w:rsid w:val="00A91F81"/>
    <w:rsid w:val="00A9222B"/>
    <w:rsid w:val="00A9345C"/>
    <w:rsid w:val="00A93543"/>
    <w:rsid w:val="00A93982"/>
    <w:rsid w:val="00A93F16"/>
    <w:rsid w:val="00A93F6B"/>
    <w:rsid w:val="00A9406E"/>
    <w:rsid w:val="00A942D9"/>
    <w:rsid w:val="00A94A13"/>
    <w:rsid w:val="00A94E97"/>
    <w:rsid w:val="00A94EC9"/>
    <w:rsid w:val="00A94EFC"/>
    <w:rsid w:val="00A95184"/>
    <w:rsid w:val="00A956D0"/>
    <w:rsid w:val="00A95CC8"/>
    <w:rsid w:val="00A9603A"/>
    <w:rsid w:val="00A9639F"/>
    <w:rsid w:val="00A963DD"/>
    <w:rsid w:val="00A9644D"/>
    <w:rsid w:val="00A96D89"/>
    <w:rsid w:val="00A96E14"/>
    <w:rsid w:val="00A97395"/>
    <w:rsid w:val="00AA0062"/>
    <w:rsid w:val="00AA01B2"/>
    <w:rsid w:val="00AA04CB"/>
    <w:rsid w:val="00AA053C"/>
    <w:rsid w:val="00AA0794"/>
    <w:rsid w:val="00AA07C1"/>
    <w:rsid w:val="00AA0BAE"/>
    <w:rsid w:val="00AA0EA4"/>
    <w:rsid w:val="00AA1044"/>
    <w:rsid w:val="00AA1681"/>
    <w:rsid w:val="00AA171B"/>
    <w:rsid w:val="00AA1CEE"/>
    <w:rsid w:val="00AA1E9F"/>
    <w:rsid w:val="00AA2000"/>
    <w:rsid w:val="00AA225C"/>
    <w:rsid w:val="00AA2C07"/>
    <w:rsid w:val="00AA2FA1"/>
    <w:rsid w:val="00AA3AB9"/>
    <w:rsid w:val="00AA3B73"/>
    <w:rsid w:val="00AA3F53"/>
    <w:rsid w:val="00AA43ED"/>
    <w:rsid w:val="00AA458F"/>
    <w:rsid w:val="00AA47B7"/>
    <w:rsid w:val="00AA49DF"/>
    <w:rsid w:val="00AA4B86"/>
    <w:rsid w:val="00AA51C1"/>
    <w:rsid w:val="00AA5A5D"/>
    <w:rsid w:val="00AA5B87"/>
    <w:rsid w:val="00AA612F"/>
    <w:rsid w:val="00AA6156"/>
    <w:rsid w:val="00AA6B66"/>
    <w:rsid w:val="00AA6D62"/>
    <w:rsid w:val="00AA6E4E"/>
    <w:rsid w:val="00AA73AC"/>
    <w:rsid w:val="00AA75D9"/>
    <w:rsid w:val="00AA75DD"/>
    <w:rsid w:val="00AA7B77"/>
    <w:rsid w:val="00AA7EEC"/>
    <w:rsid w:val="00AA7F1D"/>
    <w:rsid w:val="00AA7FA1"/>
    <w:rsid w:val="00AB033D"/>
    <w:rsid w:val="00AB0371"/>
    <w:rsid w:val="00AB04CC"/>
    <w:rsid w:val="00AB0583"/>
    <w:rsid w:val="00AB07C1"/>
    <w:rsid w:val="00AB11A8"/>
    <w:rsid w:val="00AB1837"/>
    <w:rsid w:val="00AB187A"/>
    <w:rsid w:val="00AB19C0"/>
    <w:rsid w:val="00AB1A19"/>
    <w:rsid w:val="00AB1AA5"/>
    <w:rsid w:val="00AB1BA9"/>
    <w:rsid w:val="00AB1E76"/>
    <w:rsid w:val="00AB1EB6"/>
    <w:rsid w:val="00AB222B"/>
    <w:rsid w:val="00AB2274"/>
    <w:rsid w:val="00AB287D"/>
    <w:rsid w:val="00AB2883"/>
    <w:rsid w:val="00AB2D2E"/>
    <w:rsid w:val="00AB2D8C"/>
    <w:rsid w:val="00AB2E2F"/>
    <w:rsid w:val="00AB2F6D"/>
    <w:rsid w:val="00AB3422"/>
    <w:rsid w:val="00AB3456"/>
    <w:rsid w:val="00AB3721"/>
    <w:rsid w:val="00AB38E3"/>
    <w:rsid w:val="00AB3CE7"/>
    <w:rsid w:val="00AB44B0"/>
    <w:rsid w:val="00AB4746"/>
    <w:rsid w:val="00AB4D02"/>
    <w:rsid w:val="00AB514A"/>
    <w:rsid w:val="00AB51F6"/>
    <w:rsid w:val="00AB534F"/>
    <w:rsid w:val="00AB5374"/>
    <w:rsid w:val="00AB58EC"/>
    <w:rsid w:val="00AB616D"/>
    <w:rsid w:val="00AB6758"/>
    <w:rsid w:val="00AB6EEF"/>
    <w:rsid w:val="00AB712C"/>
    <w:rsid w:val="00AB7573"/>
    <w:rsid w:val="00AB7646"/>
    <w:rsid w:val="00AB7C61"/>
    <w:rsid w:val="00AC000C"/>
    <w:rsid w:val="00AC0168"/>
    <w:rsid w:val="00AC0929"/>
    <w:rsid w:val="00AC0968"/>
    <w:rsid w:val="00AC0DCD"/>
    <w:rsid w:val="00AC11BD"/>
    <w:rsid w:val="00AC198D"/>
    <w:rsid w:val="00AC19D3"/>
    <w:rsid w:val="00AC1E12"/>
    <w:rsid w:val="00AC1FDF"/>
    <w:rsid w:val="00AC22A6"/>
    <w:rsid w:val="00AC2D2E"/>
    <w:rsid w:val="00AC3041"/>
    <w:rsid w:val="00AC363D"/>
    <w:rsid w:val="00AC3A8C"/>
    <w:rsid w:val="00AC50E3"/>
    <w:rsid w:val="00AC512D"/>
    <w:rsid w:val="00AC52D9"/>
    <w:rsid w:val="00AC5360"/>
    <w:rsid w:val="00AC58E7"/>
    <w:rsid w:val="00AC59CF"/>
    <w:rsid w:val="00AC5DB0"/>
    <w:rsid w:val="00AC5E6A"/>
    <w:rsid w:val="00AC5F3C"/>
    <w:rsid w:val="00AC6253"/>
    <w:rsid w:val="00AC62C6"/>
    <w:rsid w:val="00AC6E3B"/>
    <w:rsid w:val="00AC6F1E"/>
    <w:rsid w:val="00AC758E"/>
    <w:rsid w:val="00AC75BF"/>
    <w:rsid w:val="00AD01D0"/>
    <w:rsid w:val="00AD043E"/>
    <w:rsid w:val="00AD0776"/>
    <w:rsid w:val="00AD0B0A"/>
    <w:rsid w:val="00AD0BC3"/>
    <w:rsid w:val="00AD1051"/>
    <w:rsid w:val="00AD165D"/>
    <w:rsid w:val="00AD1B5C"/>
    <w:rsid w:val="00AD1D8D"/>
    <w:rsid w:val="00AD260C"/>
    <w:rsid w:val="00AD2C83"/>
    <w:rsid w:val="00AD35BC"/>
    <w:rsid w:val="00AD3651"/>
    <w:rsid w:val="00AD36D4"/>
    <w:rsid w:val="00AD4161"/>
    <w:rsid w:val="00AD454C"/>
    <w:rsid w:val="00AD45D5"/>
    <w:rsid w:val="00AD4613"/>
    <w:rsid w:val="00AD476E"/>
    <w:rsid w:val="00AD4FB2"/>
    <w:rsid w:val="00AD51C9"/>
    <w:rsid w:val="00AD52B5"/>
    <w:rsid w:val="00AD542F"/>
    <w:rsid w:val="00AD5620"/>
    <w:rsid w:val="00AD578C"/>
    <w:rsid w:val="00AD57D2"/>
    <w:rsid w:val="00AD64CD"/>
    <w:rsid w:val="00AD66E5"/>
    <w:rsid w:val="00AD670C"/>
    <w:rsid w:val="00AD6823"/>
    <w:rsid w:val="00AD6D89"/>
    <w:rsid w:val="00AD7C68"/>
    <w:rsid w:val="00AD7D85"/>
    <w:rsid w:val="00AD7E09"/>
    <w:rsid w:val="00AD7FFD"/>
    <w:rsid w:val="00AE06C7"/>
    <w:rsid w:val="00AE074A"/>
    <w:rsid w:val="00AE0AE4"/>
    <w:rsid w:val="00AE0F01"/>
    <w:rsid w:val="00AE1385"/>
    <w:rsid w:val="00AE1803"/>
    <w:rsid w:val="00AE1A51"/>
    <w:rsid w:val="00AE2135"/>
    <w:rsid w:val="00AE2182"/>
    <w:rsid w:val="00AE2A68"/>
    <w:rsid w:val="00AE34ED"/>
    <w:rsid w:val="00AE36AC"/>
    <w:rsid w:val="00AE3A5A"/>
    <w:rsid w:val="00AE3C3F"/>
    <w:rsid w:val="00AE43FA"/>
    <w:rsid w:val="00AE45DD"/>
    <w:rsid w:val="00AE469B"/>
    <w:rsid w:val="00AE4757"/>
    <w:rsid w:val="00AE4881"/>
    <w:rsid w:val="00AE4BCA"/>
    <w:rsid w:val="00AE4BF6"/>
    <w:rsid w:val="00AE4E43"/>
    <w:rsid w:val="00AE4EBB"/>
    <w:rsid w:val="00AE544E"/>
    <w:rsid w:val="00AE5749"/>
    <w:rsid w:val="00AE59F7"/>
    <w:rsid w:val="00AE65CA"/>
    <w:rsid w:val="00AE6759"/>
    <w:rsid w:val="00AE69D4"/>
    <w:rsid w:val="00AE772D"/>
    <w:rsid w:val="00AE7B81"/>
    <w:rsid w:val="00AE7BDA"/>
    <w:rsid w:val="00AF04E2"/>
    <w:rsid w:val="00AF0A0D"/>
    <w:rsid w:val="00AF0C6F"/>
    <w:rsid w:val="00AF0DF9"/>
    <w:rsid w:val="00AF12EA"/>
    <w:rsid w:val="00AF1836"/>
    <w:rsid w:val="00AF1A88"/>
    <w:rsid w:val="00AF1F79"/>
    <w:rsid w:val="00AF2089"/>
    <w:rsid w:val="00AF2CE1"/>
    <w:rsid w:val="00AF2F92"/>
    <w:rsid w:val="00AF31C1"/>
    <w:rsid w:val="00AF4412"/>
    <w:rsid w:val="00AF44B5"/>
    <w:rsid w:val="00AF49A2"/>
    <w:rsid w:val="00AF4BE4"/>
    <w:rsid w:val="00AF4C16"/>
    <w:rsid w:val="00AF4DD9"/>
    <w:rsid w:val="00AF5DE6"/>
    <w:rsid w:val="00AF61C0"/>
    <w:rsid w:val="00AF6656"/>
    <w:rsid w:val="00AF6BD5"/>
    <w:rsid w:val="00AF7178"/>
    <w:rsid w:val="00AF72DE"/>
    <w:rsid w:val="00AF7AD4"/>
    <w:rsid w:val="00AF7E3C"/>
    <w:rsid w:val="00B009E3"/>
    <w:rsid w:val="00B00DC9"/>
    <w:rsid w:val="00B00F2F"/>
    <w:rsid w:val="00B012A1"/>
    <w:rsid w:val="00B01B8D"/>
    <w:rsid w:val="00B01F5D"/>
    <w:rsid w:val="00B020A5"/>
    <w:rsid w:val="00B02189"/>
    <w:rsid w:val="00B0230D"/>
    <w:rsid w:val="00B02479"/>
    <w:rsid w:val="00B02906"/>
    <w:rsid w:val="00B02EC9"/>
    <w:rsid w:val="00B0338F"/>
    <w:rsid w:val="00B03F1A"/>
    <w:rsid w:val="00B04788"/>
    <w:rsid w:val="00B0529B"/>
    <w:rsid w:val="00B05A6C"/>
    <w:rsid w:val="00B05B76"/>
    <w:rsid w:val="00B05CD6"/>
    <w:rsid w:val="00B05E21"/>
    <w:rsid w:val="00B05FD4"/>
    <w:rsid w:val="00B06293"/>
    <w:rsid w:val="00B06BFC"/>
    <w:rsid w:val="00B06CF4"/>
    <w:rsid w:val="00B07553"/>
    <w:rsid w:val="00B07685"/>
    <w:rsid w:val="00B07DD9"/>
    <w:rsid w:val="00B07DF0"/>
    <w:rsid w:val="00B10316"/>
    <w:rsid w:val="00B104BF"/>
    <w:rsid w:val="00B1069C"/>
    <w:rsid w:val="00B10E1D"/>
    <w:rsid w:val="00B117D3"/>
    <w:rsid w:val="00B11C83"/>
    <w:rsid w:val="00B11E12"/>
    <w:rsid w:val="00B11EA0"/>
    <w:rsid w:val="00B12318"/>
    <w:rsid w:val="00B12553"/>
    <w:rsid w:val="00B12F2A"/>
    <w:rsid w:val="00B13003"/>
    <w:rsid w:val="00B13338"/>
    <w:rsid w:val="00B138BA"/>
    <w:rsid w:val="00B13CF6"/>
    <w:rsid w:val="00B143FF"/>
    <w:rsid w:val="00B14402"/>
    <w:rsid w:val="00B145D5"/>
    <w:rsid w:val="00B14E0D"/>
    <w:rsid w:val="00B1542E"/>
    <w:rsid w:val="00B15948"/>
    <w:rsid w:val="00B15B97"/>
    <w:rsid w:val="00B15E8E"/>
    <w:rsid w:val="00B16F9E"/>
    <w:rsid w:val="00B17131"/>
    <w:rsid w:val="00B172E7"/>
    <w:rsid w:val="00B1731B"/>
    <w:rsid w:val="00B17840"/>
    <w:rsid w:val="00B1794B"/>
    <w:rsid w:val="00B17FDB"/>
    <w:rsid w:val="00B204D4"/>
    <w:rsid w:val="00B2138A"/>
    <w:rsid w:val="00B2189F"/>
    <w:rsid w:val="00B21BB1"/>
    <w:rsid w:val="00B21C4A"/>
    <w:rsid w:val="00B2240A"/>
    <w:rsid w:val="00B225D0"/>
    <w:rsid w:val="00B22DB9"/>
    <w:rsid w:val="00B22EA7"/>
    <w:rsid w:val="00B23001"/>
    <w:rsid w:val="00B231D6"/>
    <w:rsid w:val="00B235C9"/>
    <w:rsid w:val="00B23AF6"/>
    <w:rsid w:val="00B23CBD"/>
    <w:rsid w:val="00B2447F"/>
    <w:rsid w:val="00B24658"/>
    <w:rsid w:val="00B259DF"/>
    <w:rsid w:val="00B25B36"/>
    <w:rsid w:val="00B25BC2"/>
    <w:rsid w:val="00B25BD3"/>
    <w:rsid w:val="00B25D68"/>
    <w:rsid w:val="00B25F57"/>
    <w:rsid w:val="00B266F3"/>
    <w:rsid w:val="00B26AEA"/>
    <w:rsid w:val="00B26BF6"/>
    <w:rsid w:val="00B27059"/>
    <w:rsid w:val="00B2777B"/>
    <w:rsid w:val="00B27A69"/>
    <w:rsid w:val="00B30120"/>
    <w:rsid w:val="00B301F0"/>
    <w:rsid w:val="00B30448"/>
    <w:rsid w:val="00B30D73"/>
    <w:rsid w:val="00B32234"/>
    <w:rsid w:val="00B32554"/>
    <w:rsid w:val="00B32AC6"/>
    <w:rsid w:val="00B33189"/>
    <w:rsid w:val="00B33914"/>
    <w:rsid w:val="00B33A0E"/>
    <w:rsid w:val="00B34021"/>
    <w:rsid w:val="00B344E3"/>
    <w:rsid w:val="00B35413"/>
    <w:rsid w:val="00B357BC"/>
    <w:rsid w:val="00B36384"/>
    <w:rsid w:val="00B367E2"/>
    <w:rsid w:val="00B3772E"/>
    <w:rsid w:val="00B3795A"/>
    <w:rsid w:val="00B37AB2"/>
    <w:rsid w:val="00B37C81"/>
    <w:rsid w:val="00B37DB5"/>
    <w:rsid w:val="00B37FE0"/>
    <w:rsid w:val="00B4041C"/>
    <w:rsid w:val="00B406D7"/>
    <w:rsid w:val="00B407F3"/>
    <w:rsid w:val="00B40E6F"/>
    <w:rsid w:val="00B41734"/>
    <w:rsid w:val="00B4182D"/>
    <w:rsid w:val="00B41B4F"/>
    <w:rsid w:val="00B4220C"/>
    <w:rsid w:val="00B429AB"/>
    <w:rsid w:val="00B4316D"/>
    <w:rsid w:val="00B4402F"/>
    <w:rsid w:val="00B446C2"/>
    <w:rsid w:val="00B448B0"/>
    <w:rsid w:val="00B44C7C"/>
    <w:rsid w:val="00B45305"/>
    <w:rsid w:val="00B454EA"/>
    <w:rsid w:val="00B4559E"/>
    <w:rsid w:val="00B45AB6"/>
    <w:rsid w:val="00B45BD5"/>
    <w:rsid w:val="00B46092"/>
    <w:rsid w:val="00B4656A"/>
    <w:rsid w:val="00B469D9"/>
    <w:rsid w:val="00B46B74"/>
    <w:rsid w:val="00B46C63"/>
    <w:rsid w:val="00B470ED"/>
    <w:rsid w:val="00B4792A"/>
    <w:rsid w:val="00B47D94"/>
    <w:rsid w:val="00B47E51"/>
    <w:rsid w:val="00B50495"/>
    <w:rsid w:val="00B507BE"/>
    <w:rsid w:val="00B512E3"/>
    <w:rsid w:val="00B51E22"/>
    <w:rsid w:val="00B52021"/>
    <w:rsid w:val="00B520CE"/>
    <w:rsid w:val="00B523A5"/>
    <w:rsid w:val="00B529E9"/>
    <w:rsid w:val="00B52B28"/>
    <w:rsid w:val="00B52FBC"/>
    <w:rsid w:val="00B536E1"/>
    <w:rsid w:val="00B5390C"/>
    <w:rsid w:val="00B5481E"/>
    <w:rsid w:val="00B5592C"/>
    <w:rsid w:val="00B55CAC"/>
    <w:rsid w:val="00B55EB2"/>
    <w:rsid w:val="00B56195"/>
    <w:rsid w:val="00B56B32"/>
    <w:rsid w:val="00B56BE2"/>
    <w:rsid w:val="00B56D6A"/>
    <w:rsid w:val="00B5768D"/>
    <w:rsid w:val="00B57705"/>
    <w:rsid w:val="00B6070F"/>
    <w:rsid w:val="00B60C6B"/>
    <w:rsid w:val="00B60CEE"/>
    <w:rsid w:val="00B60D03"/>
    <w:rsid w:val="00B60F2C"/>
    <w:rsid w:val="00B611D9"/>
    <w:rsid w:val="00B61448"/>
    <w:rsid w:val="00B614BE"/>
    <w:rsid w:val="00B615C6"/>
    <w:rsid w:val="00B6207D"/>
    <w:rsid w:val="00B6220E"/>
    <w:rsid w:val="00B62302"/>
    <w:rsid w:val="00B62727"/>
    <w:rsid w:val="00B629A8"/>
    <w:rsid w:val="00B62B99"/>
    <w:rsid w:val="00B62C02"/>
    <w:rsid w:val="00B6302D"/>
    <w:rsid w:val="00B63460"/>
    <w:rsid w:val="00B634D0"/>
    <w:rsid w:val="00B63555"/>
    <w:rsid w:val="00B64002"/>
    <w:rsid w:val="00B6434A"/>
    <w:rsid w:val="00B643E7"/>
    <w:rsid w:val="00B648ED"/>
    <w:rsid w:val="00B64C39"/>
    <w:rsid w:val="00B64C8A"/>
    <w:rsid w:val="00B64EFF"/>
    <w:rsid w:val="00B65385"/>
    <w:rsid w:val="00B663CA"/>
    <w:rsid w:val="00B669E8"/>
    <w:rsid w:val="00B66B50"/>
    <w:rsid w:val="00B66C04"/>
    <w:rsid w:val="00B66C37"/>
    <w:rsid w:val="00B67119"/>
    <w:rsid w:val="00B700E3"/>
    <w:rsid w:val="00B70522"/>
    <w:rsid w:val="00B70E18"/>
    <w:rsid w:val="00B70F1B"/>
    <w:rsid w:val="00B71675"/>
    <w:rsid w:val="00B71AC2"/>
    <w:rsid w:val="00B71B62"/>
    <w:rsid w:val="00B71F04"/>
    <w:rsid w:val="00B721CA"/>
    <w:rsid w:val="00B723BD"/>
    <w:rsid w:val="00B7286C"/>
    <w:rsid w:val="00B7287E"/>
    <w:rsid w:val="00B72A67"/>
    <w:rsid w:val="00B72CBF"/>
    <w:rsid w:val="00B737DF"/>
    <w:rsid w:val="00B73987"/>
    <w:rsid w:val="00B744DB"/>
    <w:rsid w:val="00B745F1"/>
    <w:rsid w:val="00B748F5"/>
    <w:rsid w:val="00B74F6A"/>
    <w:rsid w:val="00B75286"/>
    <w:rsid w:val="00B75869"/>
    <w:rsid w:val="00B75BC0"/>
    <w:rsid w:val="00B75E9B"/>
    <w:rsid w:val="00B76056"/>
    <w:rsid w:val="00B760B8"/>
    <w:rsid w:val="00B7636B"/>
    <w:rsid w:val="00B7645E"/>
    <w:rsid w:val="00B76492"/>
    <w:rsid w:val="00B764D0"/>
    <w:rsid w:val="00B7679C"/>
    <w:rsid w:val="00B769A2"/>
    <w:rsid w:val="00B76DB9"/>
    <w:rsid w:val="00B77211"/>
    <w:rsid w:val="00B77445"/>
    <w:rsid w:val="00B77612"/>
    <w:rsid w:val="00B7796D"/>
    <w:rsid w:val="00B77BE3"/>
    <w:rsid w:val="00B77D67"/>
    <w:rsid w:val="00B77E70"/>
    <w:rsid w:val="00B80B83"/>
    <w:rsid w:val="00B81014"/>
    <w:rsid w:val="00B81391"/>
    <w:rsid w:val="00B8152E"/>
    <w:rsid w:val="00B816E7"/>
    <w:rsid w:val="00B81DD6"/>
    <w:rsid w:val="00B82171"/>
    <w:rsid w:val="00B8254D"/>
    <w:rsid w:val="00B827FF"/>
    <w:rsid w:val="00B82CB2"/>
    <w:rsid w:val="00B830B5"/>
    <w:rsid w:val="00B832EA"/>
    <w:rsid w:val="00B83300"/>
    <w:rsid w:val="00B8479E"/>
    <w:rsid w:val="00B847CA"/>
    <w:rsid w:val="00B84AE5"/>
    <w:rsid w:val="00B84B48"/>
    <w:rsid w:val="00B84C0B"/>
    <w:rsid w:val="00B84FBF"/>
    <w:rsid w:val="00B85013"/>
    <w:rsid w:val="00B8560C"/>
    <w:rsid w:val="00B85E9C"/>
    <w:rsid w:val="00B862EC"/>
    <w:rsid w:val="00B863A0"/>
    <w:rsid w:val="00B866A4"/>
    <w:rsid w:val="00B866EE"/>
    <w:rsid w:val="00B87361"/>
    <w:rsid w:val="00B8778B"/>
    <w:rsid w:val="00B87BAB"/>
    <w:rsid w:val="00B90BC7"/>
    <w:rsid w:val="00B90C99"/>
    <w:rsid w:val="00B91151"/>
    <w:rsid w:val="00B911C2"/>
    <w:rsid w:val="00B9189F"/>
    <w:rsid w:val="00B919CC"/>
    <w:rsid w:val="00B91CE9"/>
    <w:rsid w:val="00B91CF1"/>
    <w:rsid w:val="00B926D1"/>
    <w:rsid w:val="00B92A3D"/>
    <w:rsid w:val="00B92E83"/>
    <w:rsid w:val="00B92F9B"/>
    <w:rsid w:val="00B93103"/>
    <w:rsid w:val="00B93567"/>
    <w:rsid w:val="00B93A75"/>
    <w:rsid w:val="00B93CCD"/>
    <w:rsid w:val="00B940F0"/>
    <w:rsid w:val="00B94D7C"/>
    <w:rsid w:val="00B94E70"/>
    <w:rsid w:val="00B94F88"/>
    <w:rsid w:val="00B955B6"/>
    <w:rsid w:val="00B95BEF"/>
    <w:rsid w:val="00B964FB"/>
    <w:rsid w:val="00B97788"/>
    <w:rsid w:val="00BA006D"/>
    <w:rsid w:val="00BA01AB"/>
    <w:rsid w:val="00BA0443"/>
    <w:rsid w:val="00BA0C3D"/>
    <w:rsid w:val="00BA0FED"/>
    <w:rsid w:val="00BA105D"/>
    <w:rsid w:val="00BA1302"/>
    <w:rsid w:val="00BA1368"/>
    <w:rsid w:val="00BA1487"/>
    <w:rsid w:val="00BA1965"/>
    <w:rsid w:val="00BA1C95"/>
    <w:rsid w:val="00BA2804"/>
    <w:rsid w:val="00BA2FC7"/>
    <w:rsid w:val="00BA3272"/>
    <w:rsid w:val="00BA3306"/>
    <w:rsid w:val="00BA3B68"/>
    <w:rsid w:val="00BA3D70"/>
    <w:rsid w:val="00BA3FC4"/>
    <w:rsid w:val="00BA41E2"/>
    <w:rsid w:val="00BA4368"/>
    <w:rsid w:val="00BA4581"/>
    <w:rsid w:val="00BA4B08"/>
    <w:rsid w:val="00BA4C96"/>
    <w:rsid w:val="00BA4FD6"/>
    <w:rsid w:val="00BA53AD"/>
    <w:rsid w:val="00BA5724"/>
    <w:rsid w:val="00BA5A60"/>
    <w:rsid w:val="00BA60A7"/>
    <w:rsid w:val="00BA674F"/>
    <w:rsid w:val="00BA6D97"/>
    <w:rsid w:val="00BA6F23"/>
    <w:rsid w:val="00BA73EE"/>
    <w:rsid w:val="00BA7A49"/>
    <w:rsid w:val="00BB006F"/>
    <w:rsid w:val="00BB0C7A"/>
    <w:rsid w:val="00BB0E85"/>
    <w:rsid w:val="00BB1487"/>
    <w:rsid w:val="00BB201E"/>
    <w:rsid w:val="00BB2329"/>
    <w:rsid w:val="00BB2687"/>
    <w:rsid w:val="00BB270F"/>
    <w:rsid w:val="00BB27E6"/>
    <w:rsid w:val="00BB2A81"/>
    <w:rsid w:val="00BB2D92"/>
    <w:rsid w:val="00BB3110"/>
    <w:rsid w:val="00BB3804"/>
    <w:rsid w:val="00BB4519"/>
    <w:rsid w:val="00BB4B34"/>
    <w:rsid w:val="00BB4C24"/>
    <w:rsid w:val="00BB4C2B"/>
    <w:rsid w:val="00BB4F4F"/>
    <w:rsid w:val="00BB50AD"/>
    <w:rsid w:val="00BB5135"/>
    <w:rsid w:val="00BB54A6"/>
    <w:rsid w:val="00BB54C4"/>
    <w:rsid w:val="00BB5A34"/>
    <w:rsid w:val="00BB5FF9"/>
    <w:rsid w:val="00BB621C"/>
    <w:rsid w:val="00BB6423"/>
    <w:rsid w:val="00BB6875"/>
    <w:rsid w:val="00BB6C6D"/>
    <w:rsid w:val="00BB7354"/>
    <w:rsid w:val="00BB7358"/>
    <w:rsid w:val="00BB7717"/>
    <w:rsid w:val="00BC0383"/>
    <w:rsid w:val="00BC0424"/>
    <w:rsid w:val="00BC0703"/>
    <w:rsid w:val="00BC071C"/>
    <w:rsid w:val="00BC0A5B"/>
    <w:rsid w:val="00BC145F"/>
    <w:rsid w:val="00BC19B1"/>
    <w:rsid w:val="00BC1C72"/>
    <w:rsid w:val="00BC1CAF"/>
    <w:rsid w:val="00BC1DD2"/>
    <w:rsid w:val="00BC1ECD"/>
    <w:rsid w:val="00BC2197"/>
    <w:rsid w:val="00BC233E"/>
    <w:rsid w:val="00BC26F2"/>
    <w:rsid w:val="00BC288D"/>
    <w:rsid w:val="00BC2DA0"/>
    <w:rsid w:val="00BC2EC9"/>
    <w:rsid w:val="00BC2FB3"/>
    <w:rsid w:val="00BC357C"/>
    <w:rsid w:val="00BC3791"/>
    <w:rsid w:val="00BC3798"/>
    <w:rsid w:val="00BC3EE0"/>
    <w:rsid w:val="00BC40F7"/>
    <w:rsid w:val="00BC4B28"/>
    <w:rsid w:val="00BC5086"/>
    <w:rsid w:val="00BC542F"/>
    <w:rsid w:val="00BC5965"/>
    <w:rsid w:val="00BC59AA"/>
    <w:rsid w:val="00BC5AF0"/>
    <w:rsid w:val="00BC5B69"/>
    <w:rsid w:val="00BC5F1C"/>
    <w:rsid w:val="00BC6351"/>
    <w:rsid w:val="00BC6669"/>
    <w:rsid w:val="00BC6677"/>
    <w:rsid w:val="00BC6723"/>
    <w:rsid w:val="00BC68C9"/>
    <w:rsid w:val="00BC6BD3"/>
    <w:rsid w:val="00BC71DA"/>
    <w:rsid w:val="00BC7242"/>
    <w:rsid w:val="00BC7C1C"/>
    <w:rsid w:val="00BD01A3"/>
    <w:rsid w:val="00BD01F9"/>
    <w:rsid w:val="00BD0330"/>
    <w:rsid w:val="00BD03EC"/>
    <w:rsid w:val="00BD0424"/>
    <w:rsid w:val="00BD043B"/>
    <w:rsid w:val="00BD0612"/>
    <w:rsid w:val="00BD0851"/>
    <w:rsid w:val="00BD0E48"/>
    <w:rsid w:val="00BD1540"/>
    <w:rsid w:val="00BD155B"/>
    <w:rsid w:val="00BD1ABA"/>
    <w:rsid w:val="00BD1E97"/>
    <w:rsid w:val="00BD227E"/>
    <w:rsid w:val="00BD25DF"/>
    <w:rsid w:val="00BD275E"/>
    <w:rsid w:val="00BD2C63"/>
    <w:rsid w:val="00BD3167"/>
    <w:rsid w:val="00BD3631"/>
    <w:rsid w:val="00BD3914"/>
    <w:rsid w:val="00BD3BD6"/>
    <w:rsid w:val="00BD5012"/>
    <w:rsid w:val="00BD52F7"/>
    <w:rsid w:val="00BD533D"/>
    <w:rsid w:val="00BD53AA"/>
    <w:rsid w:val="00BD590A"/>
    <w:rsid w:val="00BD599C"/>
    <w:rsid w:val="00BD61C9"/>
    <w:rsid w:val="00BD639D"/>
    <w:rsid w:val="00BD681D"/>
    <w:rsid w:val="00BD686D"/>
    <w:rsid w:val="00BD6970"/>
    <w:rsid w:val="00BD79AD"/>
    <w:rsid w:val="00BD7AB9"/>
    <w:rsid w:val="00BD7C11"/>
    <w:rsid w:val="00BE012E"/>
    <w:rsid w:val="00BE07C5"/>
    <w:rsid w:val="00BE0EDE"/>
    <w:rsid w:val="00BE14A9"/>
    <w:rsid w:val="00BE1516"/>
    <w:rsid w:val="00BE172A"/>
    <w:rsid w:val="00BE18C4"/>
    <w:rsid w:val="00BE1A3D"/>
    <w:rsid w:val="00BE1B99"/>
    <w:rsid w:val="00BE212F"/>
    <w:rsid w:val="00BE23D9"/>
    <w:rsid w:val="00BE24F6"/>
    <w:rsid w:val="00BE2685"/>
    <w:rsid w:val="00BE359A"/>
    <w:rsid w:val="00BE371F"/>
    <w:rsid w:val="00BE37E9"/>
    <w:rsid w:val="00BE37F1"/>
    <w:rsid w:val="00BE3A11"/>
    <w:rsid w:val="00BE3CAA"/>
    <w:rsid w:val="00BE3D49"/>
    <w:rsid w:val="00BE3E5F"/>
    <w:rsid w:val="00BE40BF"/>
    <w:rsid w:val="00BE4F57"/>
    <w:rsid w:val="00BE5772"/>
    <w:rsid w:val="00BE583A"/>
    <w:rsid w:val="00BE5B78"/>
    <w:rsid w:val="00BE5E2B"/>
    <w:rsid w:val="00BE6325"/>
    <w:rsid w:val="00BE64BB"/>
    <w:rsid w:val="00BE6C75"/>
    <w:rsid w:val="00BE70A4"/>
    <w:rsid w:val="00BE77DB"/>
    <w:rsid w:val="00BE7A11"/>
    <w:rsid w:val="00BE7BBD"/>
    <w:rsid w:val="00BF08E6"/>
    <w:rsid w:val="00BF0ABA"/>
    <w:rsid w:val="00BF10F5"/>
    <w:rsid w:val="00BF11CB"/>
    <w:rsid w:val="00BF1A98"/>
    <w:rsid w:val="00BF1D69"/>
    <w:rsid w:val="00BF21F7"/>
    <w:rsid w:val="00BF23A8"/>
    <w:rsid w:val="00BF25D9"/>
    <w:rsid w:val="00BF283B"/>
    <w:rsid w:val="00BF2B59"/>
    <w:rsid w:val="00BF2FF5"/>
    <w:rsid w:val="00BF329F"/>
    <w:rsid w:val="00BF3515"/>
    <w:rsid w:val="00BF3E00"/>
    <w:rsid w:val="00BF4173"/>
    <w:rsid w:val="00BF4188"/>
    <w:rsid w:val="00BF4C2C"/>
    <w:rsid w:val="00BF537B"/>
    <w:rsid w:val="00BF5643"/>
    <w:rsid w:val="00BF57F0"/>
    <w:rsid w:val="00BF5B93"/>
    <w:rsid w:val="00BF62B4"/>
    <w:rsid w:val="00BF64CC"/>
    <w:rsid w:val="00BF693C"/>
    <w:rsid w:val="00BF696E"/>
    <w:rsid w:val="00BF6BD1"/>
    <w:rsid w:val="00BF7431"/>
    <w:rsid w:val="00BF781E"/>
    <w:rsid w:val="00BF7A17"/>
    <w:rsid w:val="00BF7D77"/>
    <w:rsid w:val="00BF7D96"/>
    <w:rsid w:val="00BF7E30"/>
    <w:rsid w:val="00C000F9"/>
    <w:rsid w:val="00C00A26"/>
    <w:rsid w:val="00C00FAE"/>
    <w:rsid w:val="00C01353"/>
    <w:rsid w:val="00C01561"/>
    <w:rsid w:val="00C01614"/>
    <w:rsid w:val="00C016C6"/>
    <w:rsid w:val="00C01817"/>
    <w:rsid w:val="00C01C59"/>
    <w:rsid w:val="00C01F14"/>
    <w:rsid w:val="00C025B2"/>
    <w:rsid w:val="00C02E7D"/>
    <w:rsid w:val="00C02FC6"/>
    <w:rsid w:val="00C031FA"/>
    <w:rsid w:val="00C0342C"/>
    <w:rsid w:val="00C03AE7"/>
    <w:rsid w:val="00C03B03"/>
    <w:rsid w:val="00C03B5E"/>
    <w:rsid w:val="00C03E8C"/>
    <w:rsid w:val="00C03F05"/>
    <w:rsid w:val="00C0408D"/>
    <w:rsid w:val="00C04322"/>
    <w:rsid w:val="00C0466E"/>
    <w:rsid w:val="00C047DA"/>
    <w:rsid w:val="00C04DBA"/>
    <w:rsid w:val="00C04F13"/>
    <w:rsid w:val="00C053BC"/>
    <w:rsid w:val="00C05835"/>
    <w:rsid w:val="00C05E71"/>
    <w:rsid w:val="00C05EB4"/>
    <w:rsid w:val="00C06045"/>
    <w:rsid w:val="00C0607F"/>
    <w:rsid w:val="00C06354"/>
    <w:rsid w:val="00C06459"/>
    <w:rsid w:val="00C06468"/>
    <w:rsid w:val="00C064CB"/>
    <w:rsid w:val="00C064D9"/>
    <w:rsid w:val="00C070D5"/>
    <w:rsid w:val="00C07417"/>
    <w:rsid w:val="00C078D1"/>
    <w:rsid w:val="00C07BBA"/>
    <w:rsid w:val="00C07C84"/>
    <w:rsid w:val="00C10407"/>
    <w:rsid w:val="00C10833"/>
    <w:rsid w:val="00C10B20"/>
    <w:rsid w:val="00C10B79"/>
    <w:rsid w:val="00C10CAE"/>
    <w:rsid w:val="00C10FB3"/>
    <w:rsid w:val="00C111D9"/>
    <w:rsid w:val="00C115F0"/>
    <w:rsid w:val="00C11A01"/>
    <w:rsid w:val="00C11A8C"/>
    <w:rsid w:val="00C11C12"/>
    <w:rsid w:val="00C12102"/>
    <w:rsid w:val="00C12870"/>
    <w:rsid w:val="00C12A48"/>
    <w:rsid w:val="00C12AEB"/>
    <w:rsid w:val="00C12CC8"/>
    <w:rsid w:val="00C12F38"/>
    <w:rsid w:val="00C12F94"/>
    <w:rsid w:val="00C139B1"/>
    <w:rsid w:val="00C13BD0"/>
    <w:rsid w:val="00C13E36"/>
    <w:rsid w:val="00C13EF8"/>
    <w:rsid w:val="00C14703"/>
    <w:rsid w:val="00C15216"/>
    <w:rsid w:val="00C15791"/>
    <w:rsid w:val="00C15EDC"/>
    <w:rsid w:val="00C162DF"/>
    <w:rsid w:val="00C164A4"/>
    <w:rsid w:val="00C165CD"/>
    <w:rsid w:val="00C169CD"/>
    <w:rsid w:val="00C16ACC"/>
    <w:rsid w:val="00C17105"/>
    <w:rsid w:val="00C17155"/>
    <w:rsid w:val="00C1717B"/>
    <w:rsid w:val="00C204F8"/>
    <w:rsid w:val="00C20528"/>
    <w:rsid w:val="00C2162A"/>
    <w:rsid w:val="00C21653"/>
    <w:rsid w:val="00C2177C"/>
    <w:rsid w:val="00C21DB1"/>
    <w:rsid w:val="00C21FA3"/>
    <w:rsid w:val="00C221BF"/>
    <w:rsid w:val="00C222C3"/>
    <w:rsid w:val="00C2292A"/>
    <w:rsid w:val="00C22C26"/>
    <w:rsid w:val="00C2368F"/>
    <w:rsid w:val="00C23FEA"/>
    <w:rsid w:val="00C240D9"/>
    <w:rsid w:val="00C2411E"/>
    <w:rsid w:val="00C251D1"/>
    <w:rsid w:val="00C25A8B"/>
    <w:rsid w:val="00C262DC"/>
    <w:rsid w:val="00C26397"/>
    <w:rsid w:val="00C264A8"/>
    <w:rsid w:val="00C268CF"/>
    <w:rsid w:val="00C26983"/>
    <w:rsid w:val="00C26AA5"/>
    <w:rsid w:val="00C26B9B"/>
    <w:rsid w:val="00C26F8A"/>
    <w:rsid w:val="00C271CE"/>
    <w:rsid w:val="00C2736E"/>
    <w:rsid w:val="00C30D55"/>
    <w:rsid w:val="00C30DDC"/>
    <w:rsid w:val="00C311AF"/>
    <w:rsid w:val="00C313EB"/>
    <w:rsid w:val="00C317F3"/>
    <w:rsid w:val="00C318BA"/>
    <w:rsid w:val="00C319BF"/>
    <w:rsid w:val="00C31AE5"/>
    <w:rsid w:val="00C32157"/>
    <w:rsid w:val="00C32226"/>
    <w:rsid w:val="00C322BD"/>
    <w:rsid w:val="00C322EA"/>
    <w:rsid w:val="00C32343"/>
    <w:rsid w:val="00C326A9"/>
    <w:rsid w:val="00C326B4"/>
    <w:rsid w:val="00C32A1F"/>
    <w:rsid w:val="00C32ABF"/>
    <w:rsid w:val="00C32B5B"/>
    <w:rsid w:val="00C32CB1"/>
    <w:rsid w:val="00C32E48"/>
    <w:rsid w:val="00C33649"/>
    <w:rsid w:val="00C3372C"/>
    <w:rsid w:val="00C3388F"/>
    <w:rsid w:val="00C338BD"/>
    <w:rsid w:val="00C339CC"/>
    <w:rsid w:val="00C33F95"/>
    <w:rsid w:val="00C341E1"/>
    <w:rsid w:val="00C34494"/>
    <w:rsid w:val="00C349C2"/>
    <w:rsid w:val="00C35A28"/>
    <w:rsid w:val="00C35DA2"/>
    <w:rsid w:val="00C3604A"/>
    <w:rsid w:val="00C361F4"/>
    <w:rsid w:val="00C363C0"/>
    <w:rsid w:val="00C36B6F"/>
    <w:rsid w:val="00C36B94"/>
    <w:rsid w:val="00C36E1F"/>
    <w:rsid w:val="00C3705F"/>
    <w:rsid w:val="00C3730E"/>
    <w:rsid w:val="00C379B7"/>
    <w:rsid w:val="00C379BD"/>
    <w:rsid w:val="00C37E1A"/>
    <w:rsid w:val="00C40282"/>
    <w:rsid w:val="00C4049F"/>
    <w:rsid w:val="00C40B02"/>
    <w:rsid w:val="00C40E9A"/>
    <w:rsid w:val="00C411C6"/>
    <w:rsid w:val="00C41D24"/>
    <w:rsid w:val="00C420A6"/>
    <w:rsid w:val="00C42422"/>
    <w:rsid w:val="00C42D1A"/>
    <w:rsid w:val="00C4365E"/>
    <w:rsid w:val="00C4397F"/>
    <w:rsid w:val="00C439E3"/>
    <w:rsid w:val="00C44709"/>
    <w:rsid w:val="00C44A34"/>
    <w:rsid w:val="00C44C37"/>
    <w:rsid w:val="00C44DDB"/>
    <w:rsid w:val="00C45761"/>
    <w:rsid w:val="00C457C8"/>
    <w:rsid w:val="00C4626D"/>
    <w:rsid w:val="00C46ABB"/>
    <w:rsid w:val="00C46AE5"/>
    <w:rsid w:val="00C4733D"/>
    <w:rsid w:val="00C47374"/>
    <w:rsid w:val="00C47472"/>
    <w:rsid w:val="00C4752D"/>
    <w:rsid w:val="00C4753F"/>
    <w:rsid w:val="00C47654"/>
    <w:rsid w:val="00C476CC"/>
    <w:rsid w:val="00C47E70"/>
    <w:rsid w:val="00C50B74"/>
    <w:rsid w:val="00C50D8A"/>
    <w:rsid w:val="00C51369"/>
    <w:rsid w:val="00C51799"/>
    <w:rsid w:val="00C51BD3"/>
    <w:rsid w:val="00C51CB0"/>
    <w:rsid w:val="00C51EB3"/>
    <w:rsid w:val="00C52BE0"/>
    <w:rsid w:val="00C530CF"/>
    <w:rsid w:val="00C5320D"/>
    <w:rsid w:val="00C53440"/>
    <w:rsid w:val="00C5364C"/>
    <w:rsid w:val="00C540E7"/>
    <w:rsid w:val="00C556E7"/>
    <w:rsid w:val="00C557C4"/>
    <w:rsid w:val="00C55949"/>
    <w:rsid w:val="00C55BA3"/>
    <w:rsid w:val="00C56093"/>
    <w:rsid w:val="00C5632F"/>
    <w:rsid w:val="00C56E1F"/>
    <w:rsid w:val="00C57146"/>
    <w:rsid w:val="00C576C7"/>
    <w:rsid w:val="00C57E4D"/>
    <w:rsid w:val="00C60302"/>
    <w:rsid w:val="00C606DA"/>
    <w:rsid w:val="00C60D47"/>
    <w:rsid w:val="00C60F68"/>
    <w:rsid w:val="00C610E3"/>
    <w:rsid w:val="00C614B0"/>
    <w:rsid w:val="00C616B4"/>
    <w:rsid w:val="00C6191D"/>
    <w:rsid w:val="00C6215F"/>
    <w:rsid w:val="00C622A3"/>
    <w:rsid w:val="00C623FD"/>
    <w:rsid w:val="00C626E2"/>
    <w:rsid w:val="00C628C8"/>
    <w:rsid w:val="00C62A56"/>
    <w:rsid w:val="00C62C40"/>
    <w:rsid w:val="00C62D3E"/>
    <w:rsid w:val="00C62E49"/>
    <w:rsid w:val="00C633FD"/>
    <w:rsid w:val="00C63577"/>
    <w:rsid w:val="00C6362A"/>
    <w:rsid w:val="00C638A5"/>
    <w:rsid w:val="00C64271"/>
    <w:rsid w:val="00C6499E"/>
    <w:rsid w:val="00C64C0B"/>
    <w:rsid w:val="00C64D07"/>
    <w:rsid w:val="00C64DFC"/>
    <w:rsid w:val="00C65334"/>
    <w:rsid w:val="00C65A38"/>
    <w:rsid w:val="00C65D7B"/>
    <w:rsid w:val="00C6609F"/>
    <w:rsid w:val="00C660A6"/>
    <w:rsid w:val="00C665E7"/>
    <w:rsid w:val="00C66867"/>
    <w:rsid w:val="00C66B2D"/>
    <w:rsid w:val="00C673F8"/>
    <w:rsid w:val="00C67430"/>
    <w:rsid w:val="00C67C4B"/>
    <w:rsid w:val="00C67F27"/>
    <w:rsid w:val="00C7026F"/>
    <w:rsid w:val="00C70918"/>
    <w:rsid w:val="00C70EC5"/>
    <w:rsid w:val="00C7100E"/>
    <w:rsid w:val="00C711B7"/>
    <w:rsid w:val="00C71952"/>
    <w:rsid w:val="00C71A5D"/>
    <w:rsid w:val="00C71A72"/>
    <w:rsid w:val="00C71D85"/>
    <w:rsid w:val="00C71DFE"/>
    <w:rsid w:val="00C721CC"/>
    <w:rsid w:val="00C72494"/>
    <w:rsid w:val="00C725B2"/>
    <w:rsid w:val="00C727EE"/>
    <w:rsid w:val="00C728DF"/>
    <w:rsid w:val="00C72947"/>
    <w:rsid w:val="00C72B9B"/>
    <w:rsid w:val="00C72EAE"/>
    <w:rsid w:val="00C731DD"/>
    <w:rsid w:val="00C73340"/>
    <w:rsid w:val="00C7357B"/>
    <w:rsid w:val="00C73624"/>
    <w:rsid w:val="00C736A8"/>
    <w:rsid w:val="00C736E7"/>
    <w:rsid w:val="00C738EF"/>
    <w:rsid w:val="00C73940"/>
    <w:rsid w:val="00C73D34"/>
    <w:rsid w:val="00C73DE5"/>
    <w:rsid w:val="00C74E0B"/>
    <w:rsid w:val="00C7519E"/>
    <w:rsid w:val="00C751C4"/>
    <w:rsid w:val="00C752AC"/>
    <w:rsid w:val="00C758B5"/>
    <w:rsid w:val="00C76062"/>
    <w:rsid w:val="00C768DB"/>
    <w:rsid w:val="00C7700F"/>
    <w:rsid w:val="00C771EE"/>
    <w:rsid w:val="00C77BF4"/>
    <w:rsid w:val="00C80AA2"/>
    <w:rsid w:val="00C810D1"/>
    <w:rsid w:val="00C810E1"/>
    <w:rsid w:val="00C81A12"/>
    <w:rsid w:val="00C82261"/>
    <w:rsid w:val="00C824E4"/>
    <w:rsid w:val="00C8296F"/>
    <w:rsid w:val="00C829C7"/>
    <w:rsid w:val="00C82D6D"/>
    <w:rsid w:val="00C830A8"/>
    <w:rsid w:val="00C83408"/>
    <w:rsid w:val="00C8369D"/>
    <w:rsid w:val="00C83828"/>
    <w:rsid w:val="00C83A9E"/>
    <w:rsid w:val="00C8401D"/>
    <w:rsid w:val="00C84229"/>
    <w:rsid w:val="00C84388"/>
    <w:rsid w:val="00C844AB"/>
    <w:rsid w:val="00C84661"/>
    <w:rsid w:val="00C846BE"/>
    <w:rsid w:val="00C84796"/>
    <w:rsid w:val="00C84C02"/>
    <w:rsid w:val="00C84EF7"/>
    <w:rsid w:val="00C8533A"/>
    <w:rsid w:val="00C8557F"/>
    <w:rsid w:val="00C85687"/>
    <w:rsid w:val="00C858D2"/>
    <w:rsid w:val="00C85F65"/>
    <w:rsid w:val="00C862CC"/>
    <w:rsid w:val="00C86474"/>
    <w:rsid w:val="00C86D42"/>
    <w:rsid w:val="00C86D76"/>
    <w:rsid w:val="00C87120"/>
    <w:rsid w:val="00C871FF"/>
    <w:rsid w:val="00C87744"/>
    <w:rsid w:val="00C87767"/>
    <w:rsid w:val="00C87F5E"/>
    <w:rsid w:val="00C87FDF"/>
    <w:rsid w:val="00C90336"/>
    <w:rsid w:val="00C90CA0"/>
    <w:rsid w:val="00C9153B"/>
    <w:rsid w:val="00C9161F"/>
    <w:rsid w:val="00C918A6"/>
    <w:rsid w:val="00C920A1"/>
    <w:rsid w:val="00C926B8"/>
    <w:rsid w:val="00C92B1E"/>
    <w:rsid w:val="00C92D49"/>
    <w:rsid w:val="00C931DE"/>
    <w:rsid w:val="00C93488"/>
    <w:rsid w:val="00C934DC"/>
    <w:rsid w:val="00C93787"/>
    <w:rsid w:val="00C939C9"/>
    <w:rsid w:val="00C94967"/>
    <w:rsid w:val="00C94B6B"/>
    <w:rsid w:val="00C958C1"/>
    <w:rsid w:val="00C958F0"/>
    <w:rsid w:val="00C963DE"/>
    <w:rsid w:val="00C968F3"/>
    <w:rsid w:val="00C97189"/>
    <w:rsid w:val="00C972D0"/>
    <w:rsid w:val="00C97B81"/>
    <w:rsid w:val="00C97B86"/>
    <w:rsid w:val="00CA06E7"/>
    <w:rsid w:val="00CA09CB"/>
    <w:rsid w:val="00CA0C26"/>
    <w:rsid w:val="00CA16A3"/>
    <w:rsid w:val="00CA1BA1"/>
    <w:rsid w:val="00CA20AF"/>
    <w:rsid w:val="00CA2137"/>
    <w:rsid w:val="00CA26B5"/>
    <w:rsid w:val="00CA2A70"/>
    <w:rsid w:val="00CA2B9C"/>
    <w:rsid w:val="00CA2CFF"/>
    <w:rsid w:val="00CA31B3"/>
    <w:rsid w:val="00CA3888"/>
    <w:rsid w:val="00CA44FC"/>
    <w:rsid w:val="00CA4A1C"/>
    <w:rsid w:val="00CA4C8D"/>
    <w:rsid w:val="00CA4CFB"/>
    <w:rsid w:val="00CA526C"/>
    <w:rsid w:val="00CA63CB"/>
    <w:rsid w:val="00CA69AC"/>
    <w:rsid w:val="00CA71F1"/>
    <w:rsid w:val="00CA741B"/>
    <w:rsid w:val="00CA75B3"/>
    <w:rsid w:val="00CA767C"/>
    <w:rsid w:val="00CA7884"/>
    <w:rsid w:val="00CA79DF"/>
    <w:rsid w:val="00CB006B"/>
    <w:rsid w:val="00CB04D1"/>
    <w:rsid w:val="00CB0619"/>
    <w:rsid w:val="00CB0764"/>
    <w:rsid w:val="00CB07A8"/>
    <w:rsid w:val="00CB0A82"/>
    <w:rsid w:val="00CB0BA5"/>
    <w:rsid w:val="00CB0C64"/>
    <w:rsid w:val="00CB126F"/>
    <w:rsid w:val="00CB141E"/>
    <w:rsid w:val="00CB14F7"/>
    <w:rsid w:val="00CB1811"/>
    <w:rsid w:val="00CB1831"/>
    <w:rsid w:val="00CB196A"/>
    <w:rsid w:val="00CB1D34"/>
    <w:rsid w:val="00CB2072"/>
    <w:rsid w:val="00CB280E"/>
    <w:rsid w:val="00CB28DB"/>
    <w:rsid w:val="00CB2C1D"/>
    <w:rsid w:val="00CB2DE9"/>
    <w:rsid w:val="00CB3009"/>
    <w:rsid w:val="00CB3268"/>
    <w:rsid w:val="00CB39BD"/>
    <w:rsid w:val="00CB3CF2"/>
    <w:rsid w:val="00CB4014"/>
    <w:rsid w:val="00CB40D6"/>
    <w:rsid w:val="00CB5389"/>
    <w:rsid w:val="00CB6C28"/>
    <w:rsid w:val="00CB759C"/>
    <w:rsid w:val="00CB7F52"/>
    <w:rsid w:val="00CC046F"/>
    <w:rsid w:val="00CC0811"/>
    <w:rsid w:val="00CC0B3B"/>
    <w:rsid w:val="00CC10E1"/>
    <w:rsid w:val="00CC162F"/>
    <w:rsid w:val="00CC16C3"/>
    <w:rsid w:val="00CC2217"/>
    <w:rsid w:val="00CC2D60"/>
    <w:rsid w:val="00CC2F05"/>
    <w:rsid w:val="00CC2F86"/>
    <w:rsid w:val="00CC336F"/>
    <w:rsid w:val="00CC3543"/>
    <w:rsid w:val="00CC38E7"/>
    <w:rsid w:val="00CC3EAB"/>
    <w:rsid w:val="00CC3FE6"/>
    <w:rsid w:val="00CC45DC"/>
    <w:rsid w:val="00CC48D3"/>
    <w:rsid w:val="00CC49E7"/>
    <w:rsid w:val="00CC5910"/>
    <w:rsid w:val="00CC5999"/>
    <w:rsid w:val="00CC603D"/>
    <w:rsid w:val="00CC63BA"/>
    <w:rsid w:val="00CC665A"/>
    <w:rsid w:val="00CC6886"/>
    <w:rsid w:val="00CC757C"/>
    <w:rsid w:val="00CC77AB"/>
    <w:rsid w:val="00CC79A7"/>
    <w:rsid w:val="00CC7A25"/>
    <w:rsid w:val="00CC7F13"/>
    <w:rsid w:val="00CD044C"/>
    <w:rsid w:val="00CD0586"/>
    <w:rsid w:val="00CD05BD"/>
    <w:rsid w:val="00CD12E3"/>
    <w:rsid w:val="00CD1473"/>
    <w:rsid w:val="00CD154F"/>
    <w:rsid w:val="00CD168D"/>
    <w:rsid w:val="00CD1D70"/>
    <w:rsid w:val="00CD1EC4"/>
    <w:rsid w:val="00CD20D7"/>
    <w:rsid w:val="00CD210F"/>
    <w:rsid w:val="00CD2268"/>
    <w:rsid w:val="00CD228E"/>
    <w:rsid w:val="00CD2376"/>
    <w:rsid w:val="00CD24E6"/>
    <w:rsid w:val="00CD2EC1"/>
    <w:rsid w:val="00CD35D5"/>
    <w:rsid w:val="00CD38F6"/>
    <w:rsid w:val="00CD3934"/>
    <w:rsid w:val="00CD5119"/>
    <w:rsid w:val="00CD5849"/>
    <w:rsid w:val="00CD5BEE"/>
    <w:rsid w:val="00CD5CF3"/>
    <w:rsid w:val="00CD617E"/>
    <w:rsid w:val="00CD6327"/>
    <w:rsid w:val="00CD6742"/>
    <w:rsid w:val="00CD6A45"/>
    <w:rsid w:val="00CD6E62"/>
    <w:rsid w:val="00CD6F90"/>
    <w:rsid w:val="00CD70C6"/>
    <w:rsid w:val="00CD7135"/>
    <w:rsid w:val="00CD7377"/>
    <w:rsid w:val="00CD7385"/>
    <w:rsid w:val="00CD7445"/>
    <w:rsid w:val="00CD7847"/>
    <w:rsid w:val="00CD78EA"/>
    <w:rsid w:val="00CD7A48"/>
    <w:rsid w:val="00CD7EB4"/>
    <w:rsid w:val="00CD7EFC"/>
    <w:rsid w:val="00CE03B7"/>
    <w:rsid w:val="00CE080D"/>
    <w:rsid w:val="00CE0A3D"/>
    <w:rsid w:val="00CE0F6C"/>
    <w:rsid w:val="00CE119E"/>
    <w:rsid w:val="00CE2018"/>
    <w:rsid w:val="00CE2987"/>
    <w:rsid w:val="00CE2B78"/>
    <w:rsid w:val="00CE2BED"/>
    <w:rsid w:val="00CE3013"/>
    <w:rsid w:val="00CE353B"/>
    <w:rsid w:val="00CE3861"/>
    <w:rsid w:val="00CE39A5"/>
    <w:rsid w:val="00CE3B08"/>
    <w:rsid w:val="00CE3B19"/>
    <w:rsid w:val="00CE43DE"/>
    <w:rsid w:val="00CE4842"/>
    <w:rsid w:val="00CE4885"/>
    <w:rsid w:val="00CE4CCE"/>
    <w:rsid w:val="00CE50C4"/>
    <w:rsid w:val="00CE5717"/>
    <w:rsid w:val="00CE5848"/>
    <w:rsid w:val="00CE607F"/>
    <w:rsid w:val="00CE647D"/>
    <w:rsid w:val="00CE6CD2"/>
    <w:rsid w:val="00CE702F"/>
    <w:rsid w:val="00CE7141"/>
    <w:rsid w:val="00CE7280"/>
    <w:rsid w:val="00CE74A3"/>
    <w:rsid w:val="00CE7A3F"/>
    <w:rsid w:val="00CF0130"/>
    <w:rsid w:val="00CF1245"/>
    <w:rsid w:val="00CF147C"/>
    <w:rsid w:val="00CF15B1"/>
    <w:rsid w:val="00CF257C"/>
    <w:rsid w:val="00CF261E"/>
    <w:rsid w:val="00CF288E"/>
    <w:rsid w:val="00CF2AA5"/>
    <w:rsid w:val="00CF2B76"/>
    <w:rsid w:val="00CF3095"/>
    <w:rsid w:val="00CF347C"/>
    <w:rsid w:val="00CF3881"/>
    <w:rsid w:val="00CF3A4F"/>
    <w:rsid w:val="00CF40B4"/>
    <w:rsid w:val="00CF41A8"/>
    <w:rsid w:val="00CF4240"/>
    <w:rsid w:val="00CF437B"/>
    <w:rsid w:val="00CF45E5"/>
    <w:rsid w:val="00CF483E"/>
    <w:rsid w:val="00CF49A7"/>
    <w:rsid w:val="00CF4BAE"/>
    <w:rsid w:val="00CF53B7"/>
    <w:rsid w:val="00CF545F"/>
    <w:rsid w:val="00CF56A8"/>
    <w:rsid w:val="00CF56DC"/>
    <w:rsid w:val="00CF5CDE"/>
    <w:rsid w:val="00CF6112"/>
    <w:rsid w:val="00CF6178"/>
    <w:rsid w:val="00CF676D"/>
    <w:rsid w:val="00CF6B4D"/>
    <w:rsid w:val="00CF701A"/>
    <w:rsid w:val="00CF7090"/>
    <w:rsid w:val="00CF74CE"/>
    <w:rsid w:val="00D0037F"/>
    <w:rsid w:val="00D00996"/>
    <w:rsid w:val="00D015A9"/>
    <w:rsid w:val="00D019D1"/>
    <w:rsid w:val="00D01B4E"/>
    <w:rsid w:val="00D01CC1"/>
    <w:rsid w:val="00D02045"/>
    <w:rsid w:val="00D026F7"/>
    <w:rsid w:val="00D026FB"/>
    <w:rsid w:val="00D02F9E"/>
    <w:rsid w:val="00D034DD"/>
    <w:rsid w:val="00D037AF"/>
    <w:rsid w:val="00D037BC"/>
    <w:rsid w:val="00D042C7"/>
    <w:rsid w:val="00D04742"/>
    <w:rsid w:val="00D04952"/>
    <w:rsid w:val="00D04D26"/>
    <w:rsid w:val="00D04E5A"/>
    <w:rsid w:val="00D05500"/>
    <w:rsid w:val="00D05705"/>
    <w:rsid w:val="00D05BB9"/>
    <w:rsid w:val="00D05CEE"/>
    <w:rsid w:val="00D060ED"/>
    <w:rsid w:val="00D0616D"/>
    <w:rsid w:val="00D062FA"/>
    <w:rsid w:val="00D06301"/>
    <w:rsid w:val="00D066B9"/>
    <w:rsid w:val="00D06761"/>
    <w:rsid w:val="00D06A16"/>
    <w:rsid w:val="00D06DB7"/>
    <w:rsid w:val="00D076A0"/>
    <w:rsid w:val="00D076D9"/>
    <w:rsid w:val="00D07706"/>
    <w:rsid w:val="00D07A59"/>
    <w:rsid w:val="00D07D11"/>
    <w:rsid w:val="00D104F8"/>
    <w:rsid w:val="00D1054E"/>
    <w:rsid w:val="00D1078F"/>
    <w:rsid w:val="00D10E60"/>
    <w:rsid w:val="00D10F6C"/>
    <w:rsid w:val="00D110DF"/>
    <w:rsid w:val="00D1111A"/>
    <w:rsid w:val="00D11C13"/>
    <w:rsid w:val="00D12362"/>
    <w:rsid w:val="00D124F0"/>
    <w:rsid w:val="00D12550"/>
    <w:rsid w:val="00D128E3"/>
    <w:rsid w:val="00D12CD2"/>
    <w:rsid w:val="00D12F22"/>
    <w:rsid w:val="00D13204"/>
    <w:rsid w:val="00D13505"/>
    <w:rsid w:val="00D136A4"/>
    <w:rsid w:val="00D13D0D"/>
    <w:rsid w:val="00D14577"/>
    <w:rsid w:val="00D14649"/>
    <w:rsid w:val="00D14A3E"/>
    <w:rsid w:val="00D14D23"/>
    <w:rsid w:val="00D1527C"/>
    <w:rsid w:val="00D15558"/>
    <w:rsid w:val="00D15755"/>
    <w:rsid w:val="00D159C8"/>
    <w:rsid w:val="00D159EC"/>
    <w:rsid w:val="00D15C52"/>
    <w:rsid w:val="00D15D8B"/>
    <w:rsid w:val="00D15D8C"/>
    <w:rsid w:val="00D17565"/>
    <w:rsid w:val="00D17984"/>
    <w:rsid w:val="00D17EC0"/>
    <w:rsid w:val="00D205E4"/>
    <w:rsid w:val="00D20B1C"/>
    <w:rsid w:val="00D211AA"/>
    <w:rsid w:val="00D21551"/>
    <w:rsid w:val="00D21766"/>
    <w:rsid w:val="00D217EA"/>
    <w:rsid w:val="00D21977"/>
    <w:rsid w:val="00D21A7F"/>
    <w:rsid w:val="00D21CE1"/>
    <w:rsid w:val="00D21EC8"/>
    <w:rsid w:val="00D222A2"/>
    <w:rsid w:val="00D2272E"/>
    <w:rsid w:val="00D22926"/>
    <w:rsid w:val="00D22969"/>
    <w:rsid w:val="00D22F3D"/>
    <w:rsid w:val="00D22F94"/>
    <w:rsid w:val="00D23207"/>
    <w:rsid w:val="00D232AB"/>
    <w:rsid w:val="00D23353"/>
    <w:rsid w:val="00D2373A"/>
    <w:rsid w:val="00D23A71"/>
    <w:rsid w:val="00D23ADA"/>
    <w:rsid w:val="00D242F1"/>
    <w:rsid w:val="00D244C2"/>
    <w:rsid w:val="00D2452D"/>
    <w:rsid w:val="00D24638"/>
    <w:rsid w:val="00D24D4B"/>
    <w:rsid w:val="00D24DAD"/>
    <w:rsid w:val="00D2538C"/>
    <w:rsid w:val="00D25719"/>
    <w:rsid w:val="00D25916"/>
    <w:rsid w:val="00D25A0F"/>
    <w:rsid w:val="00D2613C"/>
    <w:rsid w:val="00D265B1"/>
    <w:rsid w:val="00D269B9"/>
    <w:rsid w:val="00D26D97"/>
    <w:rsid w:val="00D26E87"/>
    <w:rsid w:val="00D26F4A"/>
    <w:rsid w:val="00D27A3C"/>
    <w:rsid w:val="00D3047E"/>
    <w:rsid w:val="00D30AA5"/>
    <w:rsid w:val="00D311D0"/>
    <w:rsid w:val="00D31645"/>
    <w:rsid w:val="00D3167B"/>
    <w:rsid w:val="00D316F9"/>
    <w:rsid w:val="00D31A17"/>
    <w:rsid w:val="00D31DB9"/>
    <w:rsid w:val="00D31EF8"/>
    <w:rsid w:val="00D31F26"/>
    <w:rsid w:val="00D31F57"/>
    <w:rsid w:val="00D32734"/>
    <w:rsid w:val="00D32793"/>
    <w:rsid w:val="00D32841"/>
    <w:rsid w:val="00D3299C"/>
    <w:rsid w:val="00D329E6"/>
    <w:rsid w:val="00D33005"/>
    <w:rsid w:val="00D3319B"/>
    <w:rsid w:val="00D3321B"/>
    <w:rsid w:val="00D340C0"/>
    <w:rsid w:val="00D3417B"/>
    <w:rsid w:val="00D34436"/>
    <w:rsid w:val="00D34C11"/>
    <w:rsid w:val="00D35333"/>
    <w:rsid w:val="00D35BE9"/>
    <w:rsid w:val="00D35C65"/>
    <w:rsid w:val="00D36099"/>
    <w:rsid w:val="00D36294"/>
    <w:rsid w:val="00D363E1"/>
    <w:rsid w:val="00D3642E"/>
    <w:rsid w:val="00D3666A"/>
    <w:rsid w:val="00D3696A"/>
    <w:rsid w:val="00D36A22"/>
    <w:rsid w:val="00D374D6"/>
    <w:rsid w:val="00D37972"/>
    <w:rsid w:val="00D37B4A"/>
    <w:rsid w:val="00D401A2"/>
    <w:rsid w:val="00D4024B"/>
    <w:rsid w:val="00D40425"/>
    <w:rsid w:val="00D40896"/>
    <w:rsid w:val="00D40D02"/>
    <w:rsid w:val="00D41173"/>
    <w:rsid w:val="00D41534"/>
    <w:rsid w:val="00D4155F"/>
    <w:rsid w:val="00D41569"/>
    <w:rsid w:val="00D41743"/>
    <w:rsid w:val="00D4177A"/>
    <w:rsid w:val="00D417A0"/>
    <w:rsid w:val="00D41855"/>
    <w:rsid w:val="00D419C3"/>
    <w:rsid w:val="00D41CC5"/>
    <w:rsid w:val="00D41FC4"/>
    <w:rsid w:val="00D42476"/>
    <w:rsid w:val="00D42713"/>
    <w:rsid w:val="00D428AF"/>
    <w:rsid w:val="00D42CE3"/>
    <w:rsid w:val="00D42D71"/>
    <w:rsid w:val="00D42F46"/>
    <w:rsid w:val="00D43369"/>
    <w:rsid w:val="00D434FF"/>
    <w:rsid w:val="00D437CB"/>
    <w:rsid w:val="00D44253"/>
    <w:rsid w:val="00D448A3"/>
    <w:rsid w:val="00D44C22"/>
    <w:rsid w:val="00D44D78"/>
    <w:rsid w:val="00D44DF5"/>
    <w:rsid w:val="00D44F9D"/>
    <w:rsid w:val="00D44FD2"/>
    <w:rsid w:val="00D451FC"/>
    <w:rsid w:val="00D45C3D"/>
    <w:rsid w:val="00D45D0B"/>
    <w:rsid w:val="00D45E32"/>
    <w:rsid w:val="00D46B97"/>
    <w:rsid w:val="00D473B2"/>
    <w:rsid w:val="00D47411"/>
    <w:rsid w:val="00D502B9"/>
    <w:rsid w:val="00D505D4"/>
    <w:rsid w:val="00D50B4F"/>
    <w:rsid w:val="00D50F47"/>
    <w:rsid w:val="00D51664"/>
    <w:rsid w:val="00D51CB5"/>
    <w:rsid w:val="00D52207"/>
    <w:rsid w:val="00D5238F"/>
    <w:rsid w:val="00D52D1B"/>
    <w:rsid w:val="00D53073"/>
    <w:rsid w:val="00D535CF"/>
    <w:rsid w:val="00D53B2C"/>
    <w:rsid w:val="00D53E4F"/>
    <w:rsid w:val="00D53F67"/>
    <w:rsid w:val="00D53F99"/>
    <w:rsid w:val="00D5467F"/>
    <w:rsid w:val="00D55DA3"/>
    <w:rsid w:val="00D55E0F"/>
    <w:rsid w:val="00D55EDD"/>
    <w:rsid w:val="00D55F55"/>
    <w:rsid w:val="00D56A07"/>
    <w:rsid w:val="00D56DFF"/>
    <w:rsid w:val="00D579FE"/>
    <w:rsid w:val="00D57D43"/>
    <w:rsid w:val="00D60338"/>
    <w:rsid w:val="00D60424"/>
    <w:rsid w:val="00D6060D"/>
    <w:rsid w:val="00D60C88"/>
    <w:rsid w:val="00D60E1B"/>
    <w:rsid w:val="00D60F0B"/>
    <w:rsid w:val="00D610B3"/>
    <w:rsid w:val="00D6114C"/>
    <w:rsid w:val="00D612ED"/>
    <w:rsid w:val="00D618AD"/>
    <w:rsid w:val="00D61F15"/>
    <w:rsid w:val="00D621ED"/>
    <w:rsid w:val="00D6238A"/>
    <w:rsid w:val="00D624C9"/>
    <w:rsid w:val="00D629C9"/>
    <w:rsid w:val="00D62AB2"/>
    <w:rsid w:val="00D62AC4"/>
    <w:rsid w:val="00D62B94"/>
    <w:rsid w:val="00D633FA"/>
    <w:rsid w:val="00D63936"/>
    <w:rsid w:val="00D63B43"/>
    <w:rsid w:val="00D63C31"/>
    <w:rsid w:val="00D63C48"/>
    <w:rsid w:val="00D64289"/>
    <w:rsid w:val="00D644DE"/>
    <w:rsid w:val="00D64772"/>
    <w:rsid w:val="00D64BE7"/>
    <w:rsid w:val="00D65178"/>
    <w:rsid w:val="00D65A39"/>
    <w:rsid w:val="00D65B02"/>
    <w:rsid w:val="00D65FA0"/>
    <w:rsid w:val="00D662B5"/>
    <w:rsid w:val="00D6667B"/>
    <w:rsid w:val="00D66790"/>
    <w:rsid w:val="00D667BE"/>
    <w:rsid w:val="00D669D6"/>
    <w:rsid w:val="00D674C8"/>
    <w:rsid w:val="00D67CEC"/>
    <w:rsid w:val="00D67F86"/>
    <w:rsid w:val="00D70497"/>
    <w:rsid w:val="00D70DD2"/>
    <w:rsid w:val="00D70DDB"/>
    <w:rsid w:val="00D70EC0"/>
    <w:rsid w:val="00D71194"/>
    <w:rsid w:val="00D711B6"/>
    <w:rsid w:val="00D71400"/>
    <w:rsid w:val="00D7174E"/>
    <w:rsid w:val="00D71ACF"/>
    <w:rsid w:val="00D71CF7"/>
    <w:rsid w:val="00D721DA"/>
    <w:rsid w:val="00D7296B"/>
    <w:rsid w:val="00D732A7"/>
    <w:rsid w:val="00D73505"/>
    <w:rsid w:val="00D73EAD"/>
    <w:rsid w:val="00D74167"/>
    <w:rsid w:val="00D742BD"/>
    <w:rsid w:val="00D74A49"/>
    <w:rsid w:val="00D74C1B"/>
    <w:rsid w:val="00D7507C"/>
    <w:rsid w:val="00D7566F"/>
    <w:rsid w:val="00D75E52"/>
    <w:rsid w:val="00D75ED3"/>
    <w:rsid w:val="00D766C1"/>
    <w:rsid w:val="00D769CA"/>
    <w:rsid w:val="00D76A75"/>
    <w:rsid w:val="00D7747A"/>
    <w:rsid w:val="00D77A34"/>
    <w:rsid w:val="00D77B52"/>
    <w:rsid w:val="00D77C52"/>
    <w:rsid w:val="00D77E5C"/>
    <w:rsid w:val="00D801C5"/>
    <w:rsid w:val="00D80278"/>
    <w:rsid w:val="00D813B8"/>
    <w:rsid w:val="00D81711"/>
    <w:rsid w:val="00D818F3"/>
    <w:rsid w:val="00D81B09"/>
    <w:rsid w:val="00D81E38"/>
    <w:rsid w:val="00D826CE"/>
    <w:rsid w:val="00D829A7"/>
    <w:rsid w:val="00D82AF4"/>
    <w:rsid w:val="00D82BEA"/>
    <w:rsid w:val="00D82D12"/>
    <w:rsid w:val="00D82F89"/>
    <w:rsid w:val="00D834C1"/>
    <w:rsid w:val="00D83574"/>
    <w:rsid w:val="00D83633"/>
    <w:rsid w:val="00D8366C"/>
    <w:rsid w:val="00D836DA"/>
    <w:rsid w:val="00D83CE3"/>
    <w:rsid w:val="00D8441F"/>
    <w:rsid w:val="00D8482A"/>
    <w:rsid w:val="00D84944"/>
    <w:rsid w:val="00D84B6C"/>
    <w:rsid w:val="00D84BD4"/>
    <w:rsid w:val="00D84C29"/>
    <w:rsid w:val="00D84E54"/>
    <w:rsid w:val="00D84EAF"/>
    <w:rsid w:val="00D8521C"/>
    <w:rsid w:val="00D855C1"/>
    <w:rsid w:val="00D862BD"/>
    <w:rsid w:val="00D8631D"/>
    <w:rsid w:val="00D864F8"/>
    <w:rsid w:val="00D86D99"/>
    <w:rsid w:val="00D87141"/>
    <w:rsid w:val="00D874E3"/>
    <w:rsid w:val="00D87686"/>
    <w:rsid w:val="00D87B45"/>
    <w:rsid w:val="00D87E74"/>
    <w:rsid w:val="00D902F2"/>
    <w:rsid w:val="00D9060E"/>
    <w:rsid w:val="00D908F3"/>
    <w:rsid w:val="00D90D1F"/>
    <w:rsid w:val="00D90D4D"/>
    <w:rsid w:val="00D90E9D"/>
    <w:rsid w:val="00D90F46"/>
    <w:rsid w:val="00D914C8"/>
    <w:rsid w:val="00D91848"/>
    <w:rsid w:val="00D91B8D"/>
    <w:rsid w:val="00D91C77"/>
    <w:rsid w:val="00D91E0D"/>
    <w:rsid w:val="00D92653"/>
    <w:rsid w:val="00D92680"/>
    <w:rsid w:val="00D92866"/>
    <w:rsid w:val="00D932C5"/>
    <w:rsid w:val="00D93937"/>
    <w:rsid w:val="00D93B10"/>
    <w:rsid w:val="00D93B51"/>
    <w:rsid w:val="00D93BA0"/>
    <w:rsid w:val="00D93D75"/>
    <w:rsid w:val="00D9435A"/>
    <w:rsid w:val="00D94AAB"/>
    <w:rsid w:val="00D94E31"/>
    <w:rsid w:val="00D951C3"/>
    <w:rsid w:val="00D95394"/>
    <w:rsid w:val="00D95564"/>
    <w:rsid w:val="00D957FB"/>
    <w:rsid w:val="00D960DA"/>
    <w:rsid w:val="00D962F4"/>
    <w:rsid w:val="00D96DF9"/>
    <w:rsid w:val="00D97047"/>
    <w:rsid w:val="00D970E7"/>
    <w:rsid w:val="00D970E8"/>
    <w:rsid w:val="00D976AC"/>
    <w:rsid w:val="00D9799C"/>
    <w:rsid w:val="00D97A0F"/>
    <w:rsid w:val="00D97B9E"/>
    <w:rsid w:val="00D97BBC"/>
    <w:rsid w:val="00D97D6D"/>
    <w:rsid w:val="00DA003C"/>
    <w:rsid w:val="00DA01E5"/>
    <w:rsid w:val="00DA023B"/>
    <w:rsid w:val="00DA032B"/>
    <w:rsid w:val="00DA0456"/>
    <w:rsid w:val="00DA0587"/>
    <w:rsid w:val="00DA05A4"/>
    <w:rsid w:val="00DA0655"/>
    <w:rsid w:val="00DA07D3"/>
    <w:rsid w:val="00DA082B"/>
    <w:rsid w:val="00DA09AC"/>
    <w:rsid w:val="00DA1BB7"/>
    <w:rsid w:val="00DA1DE8"/>
    <w:rsid w:val="00DA210D"/>
    <w:rsid w:val="00DA2B06"/>
    <w:rsid w:val="00DA2E69"/>
    <w:rsid w:val="00DA2F79"/>
    <w:rsid w:val="00DA2F8F"/>
    <w:rsid w:val="00DA31E8"/>
    <w:rsid w:val="00DA3328"/>
    <w:rsid w:val="00DA3565"/>
    <w:rsid w:val="00DA3691"/>
    <w:rsid w:val="00DA3792"/>
    <w:rsid w:val="00DA39A3"/>
    <w:rsid w:val="00DA4B0F"/>
    <w:rsid w:val="00DA55BB"/>
    <w:rsid w:val="00DA59E8"/>
    <w:rsid w:val="00DA5A1C"/>
    <w:rsid w:val="00DA610A"/>
    <w:rsid w:val="00DA6316"/>
    <w:rsid w:val="00DA63D6"/>
    <w:rsid w:val="00DA6A70"/>
    <w:rsid w:val="00DA6BC9"/>
    <w:rsid w:val="00DA70D4"/>
    <w:rsid w:val="00DA73EE"/>
    <w:rsid w:val="00DA7767"/>
    <w:rsid w:val="00DA7C67"/>
    <w:rsid w:val="00DA7EA2"/>
    <w:rsid w:val="00DB00A2"/>
    <w:rsid w:val="00DB0361"/>
    <w:rsid w:val="00DB07AA"/>
    <w:rsid w:val="00DB0CB8"/>
    <w:rsid w:val="00DB0DEB"/>
    <w:rsid w:val="00DB15B1"/>
    <w:rsid w:val="00DB167A"/>
    <w:rsid w:val="00DB1AE8"/>
    <w:rsid w:val="00DB1C09"/>
    <w:rsid w:val="00DB22AD"/>
    <w:rsid w:val="00DB23B5"/>
    <w:rsid w:val="00DB26E0"/>
    <w:rsid w:val="00DB2777"/>
    <w:rsid w:val="00DB2A0F"/>
    <w:rsid w:val="00DB2F4B"/>
    <w:rsid w:val="00DB34DA"/>
    <w:rsid w:val="00DB401A"/>
    <w:rsid w:val="00DB43A2"/>
    <w:rsid w:val="00DB46D0"/>
    <w:rsid w:val="00DB4F52"/>
    <w:rsid w:val="00DB59DB"/>
    <w:rsid w:val="00DB59E4"/>
    <w:rsid w:val="00DB5CAB"/>
    <w:rsid w:val="00DB6218"/>
    <w:rsid w:val="00DB64BA"/>
    <w:rsid w:val="00DB6987"/>
    <w:rsid w:val="00DB6BC4"/>
    <w:rsid w:val="00DB713E"/>
    <w:rsid w:val="00DB7211"/>
    <w:rsid w:val="00DB78EB"/>
    <w:rsid w:val="00DB7B28"/>
    <w:rsid w:val="00DB7B2B"/>
    <w:rsid w:val="00DB7B87"/>
    <w:rsid w:val="00DB7F14"/>
    <w:rsid w:val="00DB7F65"/>
    <w:rsid w:val="00DC099D"/>
    <w:rsid w:val="00DC09BB"/>
    <w:rsid w:val="00DC0BB0"/>
    <w:rsid w:val="00DC1743"/>
    <w:rsid w:val="00DC1929"/>
    <w:rsid w:val="00DC1BF4"/>
    <w:rsid w:val="00DC273B"/>
    <w:rsid w:val="00DC27CF"/>
    <w:rsid w:val="00DC2A4D"/>
    <w:rsid w:val="00DC3040"/>
    <w:rsid w:val="00DC307E"/>
    <w:rsid w:val="00DC335E"/>
    <w:rsid w:val="00DC3689"/>
    <w:rsid w:val="00DC4661"/>
    <w:rsid w:val="00DC46BA"/>
    <w:rsid w:val="00DC4B33"/>
    <w:rsid w:val="00DC4CC9"/>
    <w:rsid w:val="00DC55E4"/>
    <w:rsid w:val="00DC5B82"/>
    <w:rsid w:val="00DC62BB"/>
    <w:rsid w:val="00DC6806"/>
    <w:rsid w:val="00DC6E0B"/>
    <w:rsid w:val="00DC6F32"/>
    <w:rsid w:val="00DC7746"/>
    <w:rsid w:val="00DD053B"/>
    <w:rsid w:val="00DD15EA"/>
    <w:rsid w:val="00DD1765"/>
    <w:rsid w:val="00DD1823"/>
    <w:rsid w:val="00DD1B2E"/>
    <w:rsid w:val="00DD210D"/>
    <w:rsid w:val="00DD2365"/>
    <w:rsid w:val="00DD2374"/>
    <w:rsid w:val="00DD2409"/>
    <w:rsid w:val="00DD2E6C"/>
    <w:rsid w:val="00DD3049"/>
    <w:rsid w:val="00DD30CC"/>
    <w:rsid w:val="00DD373C"/>
    <w:rsid w:val="00DD3A12"/>
    <w:rsid w:val="00DD3BA5"/>
    <w:rsid w:val="00DD3EB6"/>
    <w:rsid w:val="00DD48F3"/>
    <w:rsid w:val="00DD4AB8"/>
    <w:rsid w:val="00DD4B67"/>
    <w:rsid w:val="00DD55AB"/>
    <w:rsid w:val="00DD5714"/>
    <w:rsid w:val="00DD59AD"/>
    <w:rsid w:val="00DD5C56"/>
    <w:rsid w:val="00DD5CB6"/>
    <w:rsid w:val="00DD624A"/>
    <w:rsid w:val="00DD6B39"/>
    <w:rsid w:val="00DD70BF"/>
    <w:rsid w:val="00DD716C"/>
    <w:rsid w:val="00DD73CD"/>
    <w:rsid w:val="00DD7812"/>
    <w:rsid w:val="00DD7E93"/>
    <w:rsid w:val="00DE073D"/>
    <w:rsid w:val="00DE0832"/>
    <w:rsid w:val="00DE0ADC"/>
    <w:rsid w:val="00DE1201"/>
    <w:rsid w:val="00DE1236"/>
    <w:rsid w:val="00DE16BC"/>
    <w:rsid w:val="00DE16ED"/>
    <w:rsid w:val="00DE1F52"/>
    <w:rsid w:val="00DE29DA"/>
    <w:rsid w:val="00DE30E2"/>
    <w:rsid w:val="00DE3158"/>
    <w:rsid w:val="00DE33BF"/>
    <w:rsid w:val="00DE3A9A"/>
    <w:rsid w:val="00DE429F"/>
    <w:rsid w:val="00DE4D93"/>
    <w:rsid w:val="00DE4E6E"/>
    <w:rsid w:val="00DE5087"/>
    <w:rsid w:val="00DE6421"/>
    <w:rsid w:val="00DE6C5B"/>
    <w:rsid w:val="00DE7004"/>
    <w:rsid w:val="00DE706B"/>
    <w:rsid w:val="00DE72F3"/>
    <w:rsid w:val="00DE74A7"/>
    <w:rsid w:val="00DE7C0F"/>
    <w:rsid w:val="00DE7CE2"/>
    <w:rsid w:val="00DF0202"/>
    <w:rsid w:val="00DF0235"/>
    <w:rsid w:val="00DF02C1"/>
    <w:rsid w:val="00DF0689"/>
    <w:rsid w:val="00DF0D12"/>
    <w:rsid w:val="00DF0F10"/>
    <w:rsid w:val="00DF1102"/>
    <w:rsid w:val="00DF150E"/>
    <w:rsid w:val="00DF16C0"/>
    <w:rsid w:val="00DF1A90"/>
    <w:rsid w:val="00DF1F63"/>
    <w:rsid w:val="00DF2084"/>
    <w:rsid w:val="00DF2744"/>
    <w:rsid w:val="00DF2D1A"/>
    <w:rsid w:val="00DF2D46"/>
    <w:rsid w:val="00DF3109"/>
    <w:rsid w:val="00DF3121"/>
    <w:rsid w:val="00DF3593"/>
    <w:rsid w:val="00DF38F3"/>
    <w:rsid w:val="00DF39F8"/>
    <w:rsid w:val="00DF3A42"/>
    <w:rsid w:val="00DF3A75"/>
    <w:rsid w:val="00DF3B71"/>
    <w:rsid w:val="00DF4695"/>
    <w:rsid w:val="00DF5224"/>
    <w:rsid w:val="00DF548B"/>
    <w:rsid w:val="00DF67D2"/>
    <w:rsid w:val="00DF68A4"/>
    <w:rsid w:val="00DF6957"/>
    <w:rsid w:val="00DF70CC"/>
    <w:rsid w:val="00DF7133"/>
    <w:rsid w:val="00DF7153"/>
    <w:rsid w:val="00DF7427"/>
    <w:rsid w:val="00DF769A"/>
    <w:rsid w:val="00E00088"/>
    <w:rsid w:val="00E009A0"/>
    <w:rsid w:val="00E00D64"/>
    <w:rsid w:val="00E013C0"/>
    <w:rsid w:val="00E01465"/>
    <w:rsid w:val="00E0182C"/>
    <w:rsid w:val="00E018B1"/>
    <w:rsid w:val="00E01D22"/>
    <w:rsid w:val="00E01DD8"/>
    <w:rsid w:val="00E020D6"/>
    <w:rsid w:val="00E02243"/>
    <w:rsid w:val="00E0244A"/>
    <w:rsid w:val="00E02AAB"/>
    <w:rsid w:val="00E02F2B"/>
    <w:rsid w:val="00E03877"/>
    <w:rsid w:val="00E03D23"/>
    <w:rsid w:val="00E041E4"/>
    <w:rsid w:val="00E0425A"/>
    <w:rsid w:val="00E0455C"/>
    <w:rsid w:val="00E048DD"/>
    <w:rsid w:val="00E0550A"/>
    <w:rsid w:val="00E05B24"/>
    <w:rsid w:val="00E05FBC"/>
    <w:rsid w:val="00E06776"/>
    <w:rsid w:val="00E06B94"/>
    <w:rsid w:val="00E06BEE"/>
    <w:rsid w:val="00E06F48"/>
    <w:rsid w:val="00E06FAE"/>
    <w:rsid w:val="00E07DBE"/>
    <w:rsid w:val="00E07DC7"/>
    <w:rsid w:val="00E10B7D"/>
    <w:rsid w:val="00E115A7"/>
    <w:rsid w:val="00E115F3"/>
    <w:rsid w:val="00E119ED"/>
    <w:rsid w:val="00E11C6F"/>
    <w:rsid w:val="00E11D20"/>
    <w:rsid w:val="00E11F22"/>
    <w:rsid w:val="00E127D9"/>
    <w:rsid w:val="00E12A60"/>
    <w:rsid w:val="00E133FA"/>
    <w:rsid w:val="00E135A9"/>
    <w:rsid w:val="00E14055"/>
    <w:rsid w:val="00E1437B"/>
    <w:rsid w:val="00E146E6"/>
    <w:rsid w:val="00E147EC"/>
    <w:rsid w:val="00E149EA"/>
    <w:rsid w:val="00E14CD3"/>
    <w:rsid w:val="00E1558B"/>
    <w:rsid w:val="00E16675"/>
    <w:rsid w:val="00E16D85"/>
    <w:rsid w:val="00E16E89"/>
    <w:rsid w:val="00E16E93"/>
    <w:rsid w:val="00E16F88"/>
    <w:rsid w:val="00E17115"/>
    <w:rsid w:val="00E1728F"/>
    <w:rsid w:val="00E17508"/>
    <w:rsid w:val="00E1783A"/>
    <w:rsid w:val="00E178B0"/>
    <w:rsid w:val="00E206D1"/>
    <w:rsid w:val="00E20705"/>
    <w:rsid w:val="00E207FC"/>
    <w:rsid w:val="00E211A7"/>
    <w:rsid w:val="00E21483"/>
    <w:rsid w:val="00E21D6C"/>
    <w:rsid w:val="00E223FF"/>
    <w:rsid w:val="00E22447"/>
    <w:rsid w:val="00E22615"/>
    <w:rsid w:val="00E2267B"/>
    <w:rsid w:val="00E227EA"/>
    <w:rsid w:val="00E22BA2"/>
    <w:rsid w:val="00E2311A"/>
    <w:rsid w:val="00E23349"/>
    <w:rsid w:val="00E23426"/>
    <w:rsid w:val="00E23660"/>
    <w:rsid w:val="00E236E3"/>
    <w:rsid w:val="00E23B97"/>
    <w:rsid w:val="00E23C32"/>
    <w:rsid w:val="00E24529"/>
    <w:rsid w:val="00E24688"/>
    <w:rsid w:val="00E24770"/>
    <w:rsid w:val="00E24D47"/>
    <w:rsid w:val="00E24E86"/>
    <w:rsid w:val="00E252A8"/>
    <w:rsid w:val="00E25BDB"/>
    <w:rsid w:val="00E25CF4"/>
    <w:rsid w:val="00E25F0C"/>
    <w:rsid w:val="00E260D2"/>
    <w:rsid w:val="00E261E7"/>
    <w:rsid w:val="00E261EE"/>
    <w:rsid w:val="00E264A6"/>
    <w:rsid w:val="00E26D31"/>
    <w:rsid w:val="00E27342"/>
    <w:rsid w:val="00E2761D"/>
    <w:rsid w:val="00E27C0E"/>
    <w:rsid w:val="00E30900"/>
    <w:rsid w:val="00E30C2E"/>
    <w:rsid w:val="00E30E7F"/>
    <w:rsid w:val="00E310F6"/>
    <w:rsid w:val="00E312D5"/>
    <w:rsid w:val="00E31326"/>
    <w:rsid w:val="00E31A1E"/>
    <w:rsid w:val="00E31B9C"/>
    <w:rsid w:val="00E320F4"/>
    <w:rsid w:val="00E32406"/>
    <w:rsid w:val="00E32416"/>
    <w:rsid w:val="00E32C18"/>
    <w:rsid w:val="00E32D01"/>
    <w:rsid w:val="00E32F42"/>
    <w:rsid w:val="00E33731"/>
    <w:rsid w:val="00E3424C"/>
    <w:rsid w:val="00E34484"/>
    <w:rsid w:val="00E34718"/>
    <w:rsid w:val="00E3506D"/>
    <w:rsid w:val="00E360E9"/>
    <w:rsid w:val="00E36373"/>
    <w:rsid w:val="00E368AF"/>
    <w:rsid w:val="00E37424"/>
    <w:rsid w:val="00E378BF"/>
    <w:rsid w:val="00E37FA9"/>
    <w:rsid w:val="00E403E9"/>
    <w:rsid w:val="00E40541"/>
    <w:rsid w:val="00E40A43"/>
    <w:rsid w:val="00E411EE"/>
    <w:rsid w:val="00E41295"/>
    <w:rsid w:val="00E412CC"/>
    <w:rsid w:val="00E4182B"/>
    <w:rsid w:val="00E4237C"/>
    <w:rsid w:val="00E4242D"/>
    <w:rsid w:val="00E4350E"/>
    <w:rsid w:val="00E436AB"/>
    <w:rsid w:val="00E43AC1"/>
    <w:rsid w:val="00E43FD2"/>
    <w:rsid w:val="00E4427A"/>
    <w:rsid w:val="00E4482E"/>
    <w:rsid w:val="00E4493A"/>
    <w:rsid w:val="00E44A26"/>
    <w:rsid w:val="00E44C0B"/>
    <w:rsid w:val="00E44EBE"/>
    <w:rsid w:val="00E44ECB"/>
    <w:rsid w:val="00E45180"/>
    <w:rsid w:val="00E45305"/>
    <w:rsid w:val="00E45391"/>
    <w:rsid w:val="00E4581C"/>
    <w:rsid w:val="00E45AAA"/>
    <w:rsid w:val="00E45E7E"/>
    <w:rsid w:val="00E4694B"/>
    <w:rsid w:val="00E46AC9"/>
    <w:rsid w:val="00E46BDC"/>
    <w:rsid w:val="00E47022"/>
    <w:rsid w:val="00E4718D"/>
    <w:rsid w:val="00E4727E"/>
    <w:rsid w:val="00E47761"/>
    <w:rsid w:val="00E47DD6"/>
    <w:rsid w:val="00E47EB9"/>
    <w:rsid w:val="00E500C5"/>
    <w:rsid w:val="00E5082A"/>
    <w:rsid w:val="00E509FD"/>
    <w:rsid w:val="00E50E63"/>
    <w:rsid w:val="00E50E6A"/>
    <w:rsid w:val="00E51AC5"/>
    <w:rsid w:val="00E51D65"/>
    <w:rsid w:val="00E51F3B"/>
    <w:rsid w:val="00E52028"/>
    <w:rsid w:val="00E5322F"/>
    <w:rsid w:val="00E53407"/>
    <w:rsid w:val="00E53DB6"/>
    <w:rsid w:val="00E53E47"/>
    <w:rsid w:val="00E54ACA"/>
    <w:rsid w:val="00E54D24"/>
    <w:rsid w:val="00E54D85"/>
    <w:rsid w:val="00E54FB3"/>
    <w:rsid w:val="00E5518B"/>
    <w:rsid w:val="00E5520D"/>
    <w:rsid w:val="00E5523C"/>
    <w:rsid w:val="00E554FD"/>
    <w:rsid w:val="00E55904"/>
    <w:rsid w:val="00E55E72"/>
    <w:rsid w:val="00E55FD1"/>
    <w:rsid w:val="00E56009"/>
    <w:rsid w:val="00E560F2"/>
    <w:rsid w:val="00E5642D"/>
    <w:rsid w:val="00E569BD"/>
    <w:rsid w:val="00E57021"/>
    <w:rsid w:val="00E570DE"/>
    <w:rsid w:val="00E574B6"/>
    <w:rsid w:val="00E57521"/>
    <w:rsid w:val="00E57AD3"/>
    <w:rsid w:val="00E57C46"/>
    <w:rsid w:val="00E60005"/>
    <w:rsid w:val="00E6031F"/>
    <w:rsid w:val="00E6034E"/>
    <w:rsid w:val="00E604CD"/>
    <w:rsid w:val="00E604ED"/>
    <w:rsid w:val="00E6058C"/>
    <w:rsid w:val="00E60616"/>
    <w:rsid w:val="00E60C19"/>
    <w:rsid w:val="00E60C9C"/>
    <w:rsid w:val="00E6157A"/>
    <w:rsid w:val="00E617F4"/>
    <w:rsid w:val="00E61BB1"/>
    <w:rsid w:val="00E62185"/>
    <w:rsid w:val="00E628DC"/>
    <w:rsid w:val="00E62BEB"/>
    <w:rsid w:val="00E62D06"/>
    <w:rsid w:val="00E62D9F"/>
    <w:rsid w:val="00E6346D"/>
    <w:rsid w:val="00E64002"/>
    <w:rsid w:val="00E64005"/>
    <w:rsid w:val="00E640AA"/>
    <w:rsid w:val="00E64A31"/>
    <w:rsid w:val="00E64ABA"/>
    <w:rsid w:val="00E65AD8"/>
    <w:rsid w:val="00E65E10"/>
    <w:rsid w:val="00E66115"/>
    <w:rsid w:val="00E662A7"/>
    <w:rsid w:val="00E66614"/>
    <w:rsid w:val="00E6675A"/>
    <w:rsid w:val="00E66924"/>
    <w:rsid w:val="00E66B50"/>
    <w:rsid w:val="00E66F2C"/>
    <w:rsid w:val="00E673BA"/>
    <w:rsid w:val="00E67C6F"/>
    <w:rsid w:val="00E70127"/>
    <w:rsid w:val="00E70282"/>
    <w:rsid w:val="00E70344"/>
    <w:rsid w:val="00E70771"/>
    <w:rsid w:val="00E70978"/>
    <w:rsid w:val="00E7176C"/>
    <w:rsid w:val="00E71836"/>
    <w:rsid w:val="00E7199D"/>
    <w:rsid w:val="00E71CEB"/>
    <w:rsid w:val="00E722AF"/>
    <w:rsid w:val="00E72502"/>
    <w:rsid w:val="00E72CCC"/>
    <w:rsid w:val="00E72F93"/>
    <w:rsid w:val="00E731C6"/>
    <w:rsid w:val="00E7359D"/>
    <w:rsid w:val="00E7398B"/>
    <w:rsid w:val="00E73D12"/>
    <w:rsid w:val="00E74154"/>
    <w:rsid w:val="00E742CC"/>
    <w:rsid w:val="00E747D7"/>
    <w:rsid w:val="00E74B15"/>
    <w:rsid w:val="00E74BE7"/>
    <w:rsid w:val="00E750FA"/>
    <w:rsid w:val="00E75B63"/>
    <w:rsid w:val="00E75C25"/>
    <w:rsid w:val="00E76381"/>
    <w:rsid w:val="00E76A74"/>
    <w:rsid w:val="00E76ABB"/>
    <w:rsid w:val="00E76B0B"/>
    <w:rsid w:val="00E80035"/>
    <w:rsid w:val="00E80311"/>
    <w:rsid w:val="00E8043B"/>
    <w:rsid w:val="00E81615"/>
    <w:rsid w:val="00E81A34"/>
    <w:rsid w:val="00E81E54"/>
    <w:rsid w:val="00E823A1"/>
    <w:rsid w:val="00E8269B"/>
    <w:rsid w:val="00E83093"/>
    <w:rsid w:val="00E83417"/>
    <w:rsid w:val="00E83875"/>
    <w:rsid w:val="00E84065"/>
    <w:rsid w:val="00E840E1"/>
    <w:rsid w:val="00E84563"/>
    <w:rsid w:val="00E85860"/>
    <w:rsid w:val="00E85DDB"/>
    <w:rsid w:val="00E85E13"/>
    <w:rsid w:val="00E86123"/>
    <w:rsid w:val="00E872DB"/>
    <w:rsid w:val="00E8752B"/>
    <w:rsid w:val="00E87847"/>
    <w:rsid w:val="00E87C8E"/>
    <w:rsid w:val="00E87FC2"/>
    <w:rsid w:val="00E90129"/>
    <w:rsid w:val="00E90A5A"/>
    <w:rsid w:val="00E90ADC"/>
    <w:rsid w:val="00E90EE7"/>
    <w:rsid w:val="00E911DF"/>
    <w:rsid w:val="00E914AE"/>
    <w:rsid w:val="00E91DCE"/>
    <w:rsid w:val="00E91EBE"/>
    <w:rsid w:val="00E92926"/>
    <w:rsid w:val="00E92B30"/>
    <w:rsid w:val="00E92DCF"/>
    <w:rsid w:val="00E9309E"/>
    <w:rsid w:val="00E930FA"/>
    <w:rsid w:val="00E93170"/>
    <w:rsid w:val="00E93202"/>
    <w:rsid w:val="00E932D5"/>
    <w:rsid w:val="00E93601"/>
    <w:rsid w:val="00E93801"/>
    <w:rsid w:val="00E94248"/>
    <w:rsid w:val="00E94301"/>
    <w:rsid w:val="00E9457E"/>
    <w:rsid w:val="00E945C7"/>
    <w:rsid w:val="00E94A66"/>
    <w:rsid w:val="00E94E74"/>
    <w:rsid w:val="00E94E8B"/>
    <w:rsid w:val="00E9596B"/>
    <w:rsid w:val="00E960FD"/>
    <w:rsid w:val="00E96143"/>
    <w:rsid w:val="00E9628F"/>
    <w:rsid w:val="00E96615"/>
    <w:rsid w:val="00E96F6A"/>
    <w:rsid w:val="00E971C3"/>
    <w:rsid w:val="00E97287"/>
    <w:rsid w:val="00E976DF"/>
    <w:rsid w:val="00E97A0B"/>
    <w:rsid w:val="00E97BD3"/>
    <w:rsid w:val="00E97EEF"/>
    <w:rsid w:val="00EA07C0"/>
    <w:rsid w:val="00EA0D94"/>
    <w:rsid w:val="00EA1417"/>
    <w:rsid w:val="00EA1668"/>
    <w:rsid w:val="00EA1B29"/>
    <w:rsid w:val="00EA1F7F"/>
    <w:rsid w:val="00EA2647"/>
    <w:rsid w:val="00EA2851"/>
    <w:rsid w:val="00EA2B07"/>
    <w:rsid w:val="00EA2E94"/>
    <w:rsid w:val="00EA3015"/>
    <w:rsid w:val="00EA30C0"/>
    <w:rsid w:val="00EA344A"/>
    <w:rsid w:val="00EA351C"/>
    <w:rsid w:val="00EA3720"/>
    <w:rsid w:val="00EA3C0F"/>
    <w:rsid w:val="00EA450C"/>
    <w:rsid w:val="00EA467D"/>
    <w:rsid w:val="00EA488D"/>
    <w:rsid w:val="00EA4CAB"/>
    <w:rsid w:val="00EA5552"/>
    <w:rsid w:val="00EA55C0"/>
    <w:rsid w:val="00EA591E"/>
    <w:rsid w:val="00EA5F60"/>
    <w:rsid w:val="00EA655D"/>
    <w:rsid w:val="00EA66E6"/>
    <w:rsid w:val="00EA6BA8"/>
    <w:rsid w:val="00EA6D94"/>
    <w:rsid w:val="00EA701D"/>
    <w:rsid w:val="00EA7144"/>
    <w:rsid w:val="00EA72B2"/>
    <w:rsid w:val="00EA7DEA"/>
    <w:rsid w:val="00EB22EA"/>
    <w:rsid w:val="00EB295A"/>
    <w:rsid w:val="00EB2E11"/>
    <w:rsid w:val="00EB3003"/>
    <w:rsid w:val="00EB360C"/>
    <w:rsid w:val="00EB3F8D"/>
    <w:rsid w:val="00EB426B"/>
    <w:rsid w:val="00EB46C3"/>
    <w:rsid w:val="00EB4778"/>
    <w:rsid w:val="00EB47B0"/>
    <w:rsid w:val="00EB4B96"/>
    <w:rsid w:val="00EB4E02"/>
    <w:rsid w:val="00EB4F9F"/>
    <w:rsid w:val="00EB51A6"/>
    <w:rsid w:val="00EB5242"/>
    <w:rsid w:val="00EB5355"/>
    <w:rsid w:val="00EB538B"/>
    <w:rsid w:val="00EB5E6D"/>
    <w:rsid w:val="00EB7D92"/>
    <w:rsid w:val="00EB7E88"/>
    <w:rsid w:val="00EC05A2"/>
    <w:rsid w:val="00EC05CF"/>
    <w:rsid w:val="00EC07D9"/>
    <w:rsid w:val="00EC0FDD"/>
    <w:rsid w:val="00EC1219"/>
    <w:rsid w:val="00EC128E"/>
    <w:rsid w:val="00EC1458"/>
    <w:rsid w:val="00EC1535"/>
    <w:rsid w:val="00EC1592"/>
    <w:rsid w:val="00EC1AC8"/>
    <w:rsid w:val="00EC2610"/>
    <w:rsid w:val="00EC2E20"/>
    <w:rsid w:val="00EC300D"/>
    <w:rsid w:val="00EC32A5"/>
    <w:rsid w:val="00EC3649"/>
    <w:rsid w:val="00EC366B"/>
    <w:rsid w:val="00EC3B49"/>
    <w:rsid w:val="00EC4758"/>
    <w:rsid w:val="00EC4915"/>
    <w:rsid w:val="00EC57D3"/>
    <w:rsid w:val="00EC5A54"/>
    <w:rsid w:val="00EC5EB6"/>
    <w:rsid w:val="00EC63C6"/>
    <w:rsid w:val="00EC6741"/>
    <w:rsid w:val="00EC6B5C"/>
    <w:rsid w:val="00EC757D"/>
    <w:rsid w:val="00EC7E7E"/>
    <w:rsid w:val="00EC7F0F"/>
    <w:rsid w:val="00ED01B0"/>
    <w:rsid w:val="00ED0202"/>
    <w:rsid w:val="00ED0A3F"/>
    <w:rsid w:val="00ED0EF9"/>
    <w:rsid w:val="00ED0FA2"/>
    <w:rsid w:val="00ED1174"/>
    <w:rsid w:val="00ED13F4"/>
    <w:rsid w:val="00ED1721"/>
    <w:rsid w:val="00ED1831"/>
    <w:rsid w:val="00ED1E76"/>
    <w:rsid w:val="00ED293C"/>
    <w:rsid w:val="00ED29A2"/>
    <w:rsid w:val="00ED2F72"/>
    <w:rsid w:val="00ED36EC"/>
    <w:rsid w:val="00ED3ACC"/>
    <w:rsid w:val="00ED3FFF"/>
    <w:rsid w:val="00ED471B"/>
    <w:rsid w:val="00ED5042"/>
    <w:rsid w:val="00ED50F3"/>
    <w:rsid w:val="00ED5B3F"/>
    <w:rsid w:val="00ED5B85"/>
    <w:rsid w:val="00ED5BB3"/>
    <w:rsid w:val="00ED5D08"/>
    <w:rsid w:val="00ED5D4B"/>
    <w:rsid w:val="00ED5E38"/>
    <w:rsid w:val="00ED630B"/>
    <w:rsid w:val="00ED6762"/>
    <w:rsid w:val="00ED68E5"/>
    <w:rsid w:val="00ED68EC"/>
    <w:rsid w:val="00ED6BC3"/>
    <w:rsid w:val="00ED7366"/>
    <w:rsid w:val="00ED7509"/>
    <w:rsid w:val="00ED75B9"/>
    <w:rsid w:val="00ED778D"/>
    <w:rsid w:val="00ED7997"/>
    <w:rsid w:val="00EE04CE"/>
    <w:rsid w:val="00EE10BD"/>
    <w:rsid w:val="00EE1BC4"/>
    <w:rsid w:val="00EE1BEE"/>
    <w:rsid w:val="00EE223E"/>
    <w:rsid w:val="00EE23E0"/>
    <w:rsid w:val="00EE2570"/>
    <w:rsid w:val="00EE2852"/>
    <w:rsid w:val="00EE2867"/>
    <w:rsid w:val="00EE2AC8"/>
    <w:rsid w:val="00EE2AE8"/>
    <w:rsid w:val="00EE2B53"/>
    <w:rsid w:val="00EE2FDE"/>
    <w:rsid w:val="00EE35E8"/>
    <w:rsid w:val="00EE3652"/>
    <w:rsid w:val="00EE380A"/>
    <w:rsid w:val="00EE3AE7"/>
    <w:rsid w:val="00EE3E02"/>
    <w:rsid w:val="00EE442D"/>
    <w:rsid w:val="00EE4796"/>
    <w:rsid w:val="00EE5014"/>
    <w:rsid w:val="00EE5921"/>
    <w:rsid w:val="00EE5A28"/>
    <w:rsid w:val="00EE65F2"/>
    <w:rsid w:val="00EE6E59"/>
    <w:rsid w:val="00EE7208"/>
    <w:rsid w:val="00EE75EA"/>
    <w:rsid w:val="00EE79CC"/>
    <w:rsid w:val="00EE7AD2"/>
    <w:rsid w:val="00EF0646"/>
    <w:rsid w:val="00EF0F6E"/>
    <w:rsid w:val="00EF1E97"/>
    <w:rsid w:val="00EF1E9D"/>
    <w:rsid w:val="00EF202D"/>
    <w:rsid w:val="00EF207E"/>
    <w:rsid w:val="00EF2639"/>
    <w:rsid w:val="00EF267F"/>
    <w:rsid w:val="00EF2CCB"/>
    <w:rsid w:val="00EF2DBA"/>
    <w:rsid w:val="00EF2E8B"/>
    <w:rsid w:val="00EF3237"/>
    <w:rsid w:val="00EF3278"/>
    <w:rsid w:val="00EF334D"/>
    <w:rsid w:val="00EF3E8B"/>
    <w:rsid w:val="00EF4178"/>
    <w:rsid w:val="00EF44F8"/>
    <w:rsid w:val="00EF53A6"/>
    <w:rsid w:val="00EF5743"/>
    <w:rsid w:val="00EF58AD"/>
    <w:rsid w:val="00EF5D94"/>
    <w:rsid w:val="00EF61E0"/>
    <w:rsid w:val="00EF71CE"/>
    <w:rsid w:val="00EF795C"/>
    <w:rsid w:val="00EF7AEE"/>
    <w:rsid w:val="00EF7BB3"/>
    <w:rsid w:val="00F00678"/>
    <w:rsid w:val="00F0119B"/>
    <w:rsid w:val="00F01278"/>
    <w:rsid w:val="00F0152D"/>
    <w:rsid w:val="00F015D0"/>
    <w:rsid w:val="00F01723"/>
    <w:rsid w:val="00F01E55"/>
    <w:rsid w:val="00F02140"/>
    <w:rsid w:val="00F02C12"/>
    <w:rsid w:val="00F02FF6"/>
    <w:rsid w:val="00F03559"/>
    <w:rsid w:val="00F03602"/>
    <w:rsid w:val="00F0394F"/>
    <w:rsid w:val="00F03B61"/>
    <w:rsid w:val="00F040BA"/>
    <w:rsid w:val="00F043FC"/>
    <w:rsid w:val="00F04509"/>
    <w:rsid w:val="00F0487D"/>
    <w:rsid w:val="00F049EC"/>
    <w:rsid w:val="00F04ED0"/>
    <w:rsid w:val="00F04F1F"/>
    <w:rsid w:val="00F052DF"/>
    <w:rsid w:val="00F0542E"/>
    <w:rsid w:val="00F058B4"/>
    <w:rsid w:val="00F05B01"/>
    <w:rsid w:val="00F05CCB"/>
    <w:rsid w:val="00F05EAE"/>
    <w:rsid w:val="00F05F09"/>
    <w:rsid w:val="00F06019"/>
    <w:rsid w:val="00F0645B"/>
    <w:rsid w:val="00F06509"/>
    <w:rsid w:val="00F06849"/>
    <w:rsid w:val="00F06CAD"/>
    <w:rsid w:val="00F06CD3"/>
    <w:rsid w:val="00F07156"/>
    <w:rsid w:val="00F0735A"/>
    <w:rsid w:val="00F07903"/>
    <w:rsid w:val="00F0799A"/>
    <w:rsid w:val="00F07ECB"/>
    <w:rsid w:val="00F07F53"/>
    <w:rsid w:val="00F07FE7"/>
    <w:rsid w:val="00F100B1"/>
    <w:rsid w:val="00F10159"/>
    <w:rsid w:val="00F1025A"/>
    <w:rsid w:val="00F105DE"/>
    <w:rsid w:val="00F106B1"/>
    <w:rsid w:val="00F106E6"/>
    <w:rsid w:val="00F10FE2"/>
    <w:rsid w:val="00F1131A"/>
    <w:rsid w:val="00F117E1"/>
    <w:rsid w:val="00F11C78"/>
    <w:rsid w:val="00F125CB"/>
    <w:rsid w:val="00F128F2"/>
    <w:rsid w:val="00F12ED0"/>
    <w:rsid w:val="00F134F8"/>
    <w:rsid w:val="00F13CFE"/>
    <w:rsid w:val="00F13D03"/>
    <w:rsid w:val="00F13FA6"/>
    <w:rsid w:val="00F14040"/>
    <w:rsid w:val="00F145A6"/>
    <w:rsid w:val="00F14CEF"/>
    <w:rsid w:val="00F1546C"/>
    <w:rsid w:val="00F1547C"/>
    <w:rsid w:val="00F15A89"/>
    <w:rsid w:val="00F1661A"/>
    <w:rsid w:val="00F1670A"/>
    <w:rsid w:val="00F1680C"/>
    <w:rsid w:val="00F16853"/>
    <w:rsid w:val="00F1716B"/>
    <w:rsid w:val="00F1759B"/>
    <w:rsid w:val="00F17922"/>
    <w:rsid w:val="00F17A3F"/>
    <w:rsid w:val="00F17E8D"/>
    <w:rsid w:val="00F205EE"/>
    <w:rsid w:val="00F20706"/>
    <w:rsid w:val="00F20AFF"/>
    <w:rsid w:val="00F21192"/>
    <w:rsid w:val="00F21AF1"/>
    <w:rsid w:val="00F21BAC"/>
    <w:rsid w:val="00F21CFF"/>
    <w:rsid w:val="00F226A1"/>
    <w:rsid w:val="00F226B0"/>
    <w:rsid w:val="00F22A91"/>
    <w:rsid w:val="00F22AD8"/>
    <w:rsid w:val="00F22BF0"/>
    <w:rsid w:val="00F22C87"/>
    <w:rsid w:val="00F233AA"/>
    <w:rsid w:val="00F234A1"/>
    <w:rsid w:val="00F23AAE"/>
    <w:rsid w:val="00F23AD7"/>
    <w:rsid w:val="00F23AEA"/>
    <w:rsid w:val="00F24CB2"/>
    <w:rsid w:val="00F24D0D"/>
    <w:rsid w:val="00F24FA3"/>
    <w:rsid w:val="00F24FC4"/>
    <w:rsid w:val="00F25369"/>
    <w:rsid w:val="00F25862"/>
    <w:rsid w:val="00F26024"/>
    <w:rsid w:val="00F260B3"/>
    <w:rsid w:val="00F26B4B"/>
    <w:rsid w:val="00F26BF8"/>
    <w:rsid w:val="00F26C70"/>
    <w:rsid w:val="00F26DFE"/>
    <w:rsid w:val="00F26EBD"/>
    <w:rsid w:val="00F26F37"/>
    <w:rsid w:val="00F2706C"/>
    <w:rsid w:val="00F2707B"/>
    <w:rsid w:val="00F2733E"/>
    <w:rsid w:val="00F2779B"/>
    <w:rsid w:val="00F27CDA"/>
    <w:rsid w:val="00F30020"/>
    <w:rsid w:val="00F30248"/>
    <w:rsid w:val="00F30372"/>
    <w:rsid w:val="00F3093B"/>
    <w:rsid w:val="00F3094A"/>
    <w:rsid w:val="00F30CB8"/>
    <w:rsid w:val="00F3112C"/>
    <w:rsid w:val="00F31FD5"/>
    <w:rsid w:val="00F31FEB"/>
    <w:rsid w:val="00F324CB"/>
    <w:rsid w:val="00F32A59"/>
    <w:rsid w:val="00F32E15"/>
    <w:rsid w:val="00F32E2B"/>
    <w:rsid w:val="00F32F0C"/>
    <w:rsid w:val="00F33131"/>
    <w:rsid w:val="00F3350A"/>
    <w:rsid w:val="00F335E5"/>
    <w:rsid w:val="00F33A49"/>
    <w:rsid w:val="00F345E6"/>
    <w:rsid w:val="00F3473B"/>
    <w:rsid w:val="00F34DF3"/>
    <w:rsid w:val="00F34FF1"/>
    <w:rsid w:val="00F35158"/>
    <w:rsid w:val="00F35447"/>
    <w:rsid w:val="00F35C45"/>
    <w:rsid w:val="00F35D29"/>
    <w:rsid w:val="00F35DEB"/>
    <w:rsid w:val="00F35F84"/>
    <w:rsid w:val="00F36331"/>
    <w:rsid w:val="00F365A2"/>
    <w:rsid w:val="00F3660D"/>
    <w:rsid w:val="00F369FE"/>
    <w:rsid w:val="00F36E0C"/>
    <w:rsid w:val="00F36FE3"/>
    <w:rsid w:val="00F370C2"/>
    <w:rsid w:val="00F37659"/>
    <w:rsid w:val="00F37706"/>
    <w:rsid w:val="00F37864"/>
    <w:rsid w:val="00F37935"/>
    <w:rsid w:val="00F37A01"/>
    <w:rsid w:val="00F37F0B"/>
    <w:rsid w:val="00F40291"/>
    <w:rsid w:val="00F40635"/>
    <w:rsid w:val="00F40E1B"/>
    <w:rsid w:val="00F413ED"/>
    <w:rsid w:val="00F42095"/>
    <w:rsid w:val="00F420DB"/>
    <w:rsid w:val="00F42663"/>
    <w:rsid w:val="00F42D66"/>
    <w:rsid w:val="00F42F7C"/>
    <w:rsid w:val="00F430C5"/>
    <w:rsid w:val="00F432FC"/>
    <w:rsid w:val="00F4333B"/>
    <w:rsid w:val="00F43C9E"/>
    <w:rsid w:val="00F44296"/>
    <w:rsid w:val="00F4445A"/>
    <w:rsid w:val="00F44664"/>
    <w:rsid w:val="00F44744"/>
    <w:rsid w:val="00F44DA3"/>
    <w:rsid w:val="00F452BF"/>
    <w:rsid w:val="00F4548A"/>
    <w:rsid w:val="00F45718"/>
    <w:rsid w:val="00F4595F"/>
    <w:rsid w:val="00F46127"/>
    <w:rsid w:val="00F4613A"/>
    <w:rsid w:val="00F46342"/>
    <w:rsid w:val="00F4691D"/>
    <w:rsid w:val="00F4699F"/>
    <w:rsid w:val="00F46C74"/>
    <w:rsid w:val="00F46C7C"/>
    <w:rsid w:val="00F46FCD"/>
    <w:rsid w:val="00F47548"/>
    <w:rsid w:val="00F477A6"/>
    <w:rsid w:val="00F47DC5"/>
    <w:rsid w:val="00F47DFC"/>
    <w:rsid w:val="00F500E8"/>
    <w:rsid w:val="00F50C67"/>
    <w:rsid w:val="00F51274"/>
    <w:rsid w:val="00F512F7"/>
    <w:rsid w:val="00F51396"/>
    <w:rsid w:val="00F51C65"/>
    <w:rsid w:val="00F52E0E"/>
    <w:rsid w:val="00F52FAD"/>
    <w:rsid w:val="00F53C45"/>
    <w:rsid w:val="00F54D86"/>
    <w:rsid w:val="00F55068"/>
    <w:rsid w:val="00F55095"/>
    <w:rsid w:val="00F5526D"/>
    <w:rsid w:val="00F556DA"/>
    <w:rsid w:val="00F5576D"/>
    <w:rsid w:val="00F55A24"/>
    <w:rsid w:val="00F55A45"/>
    <w:rsid w:val="00F56314"/>
    <w:rsid w:val="00F56832"/>
    <w:rsid w:val="00F56C65"/>
    <w:rsid w:val="00F56D50"/>
    <w:rsid w:val="00F57308"/>
    <w:rsid w:val="00F573E3"/>
    <w:rsid w:val="00F574AD"/>
    <w:rsid w:val="00F57679"/>
    <w:rsid w:val="00F5785E"/>
    <w:rsid w:val="00F57948"/>
    <w:rsid w:val="00F57E97"/>
    <w:rsid w:val="00F60222"/>
    <w:rsid w:val="00F60CA9"/>
    <w:rsid w:val="00F60D83"/>
    <w:rsid w:val="00F6103F"/>
    <w:rsid w:val="00F61201"/>
    <w:rsid w:val="00F6165C"/>
    <w:rsid w:val="00F616E4"/>
    <w:rsid w:val="00F6177B"/>
    <w:rsid w:val="00F61E14"/>
    <w:rsid w:val="00F61E38"/>
    <w:rsid w:val="00F61F28"/>
    <w:rsid w:val="00F62572"/>
    <w:rsid w:val="00F625F2"/>
    <w:rsid w:val="00F6284A"/>
    <w:rsid w:val="00F630C9"/>
    <w:rsid w:val="00F632AD"/>
    <w:rsid w:val="00F636DF"/>
    <w:rsid w:val="00F63DE1"/>
    <w:rsid w:val="00F63FE1"/>
    <w:rsid w:val="00F64E48"/>
    <w:rsid w:val="00F6529F"/>
    <w:rsid w:val="00F65327"/>
    <w:rsid w:val="00F6573F"/>
    <w:rsid w:val="00F65B73"/>
    <w:rsid w:val="00F65F50"/>
    <w:rsid w:val="00F660AA"/>
    <w:rsid w:val="00F663F9"/>
    <w:rsid w:val="00F66EF8"/>
    <w:rsid w:val="00F66F12"/>
    <w:rsid w:val="00F672C1"/>
    <w:rsid w:val="00F672D6"/>
    <w:rsid w:val="00F6739D"/>
    <w:rsid w:val="00F677D9"/>
    <w:rsid w:val="00F678FB"/>
    <w:rsid w:val="00F67AFA"/>
    <w:rsid w:val="00F67B3C"/>
    <w:rsid w:val="00F67B8C"/>
    <w:rsid w:val="00F67BDF"/>
    <w:rsid w:val="00F67F38"/>
    <w:rsid w:val="00F70B26"/>
    <w:rsid w:val="00F71565"/>
    <w:rsid w:val="00F71602"/>
    <w:rsid w:val="00F71A83"/>
    <w:rsid w:val="00F71AA4"/>
    <w:rsid w:val="00F71E0A"/>
    <w:rsid w:val="00F71E4C"/>
    <w:rsid w:val="00F72669"/>
    <w:rsid w:val="00F72736"/>
    <w:rsid w:val="00F72808"/>
    <w:rsid w:val="00F72B42"/>
    <w:rsid w:val="00F72BB2"/>
    <w:rsid w:val="00F72BF2"/>
    <w:rsid w:val="00F730C9"/>
    <w:rsid w:val="00F733E9"/>
    <w:rsid w:val="00F733F3"/>
    <w:rsid w:val="00F735A6"/>
    <w:rsid w:val="00F7385C"/>
    <w:rsid w:val="00F73A39"/>
    <w:rsid w:val="00F73B15"/>
    <w:rsid w:val="00F73E47"/>
    <w:rsid w:val="00F73F8C"/>
    <w:rsid w:val="00F74FA0"/>
    <w:rsid w:val="00F74FCF"/>
    <w:rsid w:val="00F75033"/>
    <w:rsid w:val="00F751D6"/>
    <w:rsid w:val="00F75469"/>
    <w:rsid w:val="00F758FF"/>
    <w:rsid w:val="00F75D3A"/>
    <w:rsid w:val="00F75D4D"/>
    <w:rsid w:val="00F7777F"/>
    <w:rsid w:val="00F77B95"/>
    <w:rsid w:val="00F77E41"/>
    <w:rsid w:val="00F80139"/>
    <w:rsid w:val="00F80360"/>
    <w:rsid w:val="00F805FC"/>
    <w:rsid w:val="00F80B40"/>
    <w:rsid w:val="00F80B87"/>
    <w:rsid w:val="00F80D27"/>
    <w:rsid w:val="00F8142F"/>
    <w:rsid w:val="00F814D5"/>
    <w:rsid w:val="00F815C5"/>
    <w:rsid w:val="00F8231E"/>
    <w:rsid w:val="00F82446"/>
    <w:rsid w:val="00F825B5"/>
    <w:rsid w:val="00F82848"/>
    <w:rsid w:val="00F82DAB"/>
    <w:rsid w:val="00F82EA5"/>
    <w:rsid w:val="00F83B5D"/>
    <w:rsid w:val="00F840ED"/>
    <w:rsid w:val="00F841CA"/>
    <w:rsid w:val="00F84787"/>
    <w:rsid w:val="00F84BF2"/>
    <w:rsid w:val="00F853C7"/>
    <w:rsid w:val="00F86053"/>
    <w:rsid w:val="00F86902"/>
    <w:rsid w:val="00F86F6C"/>
    <w:rsid w:val="00F876B9"/>
    <w:rsid w:val="00F87B93"/>
    <w:rsid w:val="00F87C31"/>
    <w:rsid w:val="00F87F22"/>
    <w:rsid w:val="00F902B7"/>
    <w:rsid w:val="00F903E4"/>
    <w:rsid w:val="00F907EA"/>
    <w:rsid w:val="00F908E2"/>
    <w:rsid w:val="00F9133C"/>
    <w:rsid w:val="00F916D0"/>
    <w:rsid w:val="00F9212E"/>
    <w:rsid w:val="00F9241F"/>
    <w:rsid w:val="00F928C9"/>
    <w:rsid w:val="00F9296E"/>
    <w:rsid w:val="00F929CC"/>
    <w:rsid w:val="00F929FB"/>
    <w:rsid w:val="00F935BB"/>
    <w:rsid w:val="00F937C3"/>
    <w:rsid w:val="00F93BA5"/>
    <w:rsid w:val="00F94016"/>
    <w:rsid w:val="00F940AD"/>
    <w:rsid w:val="00F9445F"/>
    <w:rsid w:val="00F94945"/>
    <w:rsid w:val="00F94CBA"/>
    <w:rsid w:val="00F95055"/>
    <w:rsid w:val="00F954CC"/>
    <w:rsid w:val="00F95696"/>
    <w:rsid w:val="00F95E04"/>
    <w:rsid w:val="00F95F0A"/>
    <w:rsid w:val="00F960C3"/>
    <w:rsid w:val="00F9687B"/>
    <w:rsid w:val="00F96B87"/>
    <w:rsid w:val="00F96E21"/>
    <w:rsid w:val="00F97247"/>
    <w:rsid w:val="00F973FE"/>
    <w:rsid w:val="00F97453"/>
    <w:rsid w:val="00F9752D"/>
    <w:rsid w:val="00F977EF"/>
    <w:rsid w:val="00F97818"/>
    <w:rsid w:val="00F9786F"/>
    <w:rsid w:val="00F97BA7"/>
    <w:rsid w:val="00FA0329"/>
    <w:rsid w:val="00FA0481"/>
    <w:rsid w:val="00FA06B7"/>
    <w:rsid w:val="00FA087C"/>
    <w:rsid w:val="00FA1087"/>
    <w:rsid w:val="00FA1462"/>
    <w:rsid w:val="00FA16C8"/>
    <w:rsid w:val="00FA1878"/>
    <w:rsid w:val="00FA1A77"/>
    <w:rsid w:val="00FA1F0E"/>
    <w:rsid w:val="00FA27B6"/>
    <w:rsid w:val="00FA27F7"/>
    <w:rsid w:val="00FA2BA5"/>
    <w:rsid w:val="00FA2D75"/>
    <w:rsid w:val="00FA30B2"/>
    <w:rsid w:val="00FA33A6"/>
    <w:rsid w:val="00FA3738"/>
    <w:rsid w:val="00FA39F2"/>
    <w:rsid w:val="00FA3A45"/>
    <w:rsid w:val="00FA3A7E"/>
    <w:rsid w:val="00FA3E24"/>
    <w:rsid w:val="00FA45DB"/>
    <w:rsid w:val="00FA49E4"/>
    <w:rsid w:val="00FA500A"/>
    <w:rsid w:val="00FA5106"/>
    <w:rsid w:val="00FA5504"/>
    <w:rsid w:val="00FA5721"/>
    <w:rsid w:val="00FA6B7E"/>
    <w:rsid w:val="00FA7560"/>
    <w:rsid w:val="00FA780C"/>
    <w:rsid w:val="00FA7AF8"/>
    <w:rsid w:val="00FB08DA"/>
    <w:rsid w:val="00FB0916"/>
    <w:rsid w:val="00FB0BC0"/>
    <w:rsid w:val="00FB0EA8"/>
    <w:rsid w:val="00FB11B0"/>
    <w:rsid w:val="00FB1446"/>
    <w:rsid w:val="00FB16B6"/>
    <w:rsid w:val="00FB1AEB"/>
    <w:rsid w:val="00FB1CA5"/>
    <w:rsid w:val="00FB1DAA"/>
    <w:rsid w:val="00FB1F42"/>
    <w:rsid w:val="00FB30C1"/>
    <w:rsid w:val="00FB361A"/>
    <w:rsid w:val="00FB3957"/>
    <w:rsid w:val="00FB4286"/>
    <w:rsid w:val="00FB466F"/>
    <w:rsid w:val="00FB495B"/>
    <w:rsid w:val="00FB4FC6"/>
    <w:rsid w:val="00FB545E"/>
    <w:rsid w:val="00FB55D1"/>
    <w:rsid w:val="00FB57DB"/>
    <w:rsid w:val="00FB6153"/>
    <w:rsid w:val="00FB6321"/>
    <w:rsid w:val="00FB6669"/>
    <w:rsid w:val="00FB66B1"/>
    <w:rsid w:val="00FB6976"/>
    <w:rsid w:val="00FB6F38"/>
    <w:rsid w:val="00FB717B"/>
    <w:rsid w:val="00FB76C0"/>
    <w:rsid w:val="00FB7864"/>
    <w:rsid w:val="00FB78CB"/>
    <w:rsid w:val="00FB78CF"/>
    <w:rsid w:val="00FB7A19"/>
    <w:rsid w:val="00FB7B63"/>
    <w:rsid w:val="00FC0074"/>
    <w:rsid w:val="00FC0556"/>
    <w:rsid w:val="00FC06E3"/>
    <w:rsid w:val="00FC0C40"/>
    <w:rsid w:val="00FC0E64"/>
    <w:rsid w:val="00FC0F4A"/>
    <w:rsid w:val="00FC14B0"/>
    <w:rsid w:val="00FC1AE9"/>
    <w:rsid w:val="00FC213C"/>
    <w:rsid w:val="00FC22AB"/>
    <w:rsid w:val="00FC272E"/>
    <w:rsid w:val="00FC294A"/>
    <w:rsid w:val="00FC2B62"/>
    <w:rsid w:val="00FC30A6"/>
    <w:rsid w:val="00FC30F3"/>
    <w:rsid w:val="00FC329C"/>
    <w:rsid w:val="00FC3479"/>
    <w:rsid w:val="00FC35EB"/>
    <w:rsid w:val="00FC368B"/>
    <w:rsid w:val="00FC409C"/>
    <w:rsid w:val="00FC4403"/>
    <w:rsid w:val="00FC482A"/>
    <w:rsid w:val="00FC48E5"/>
    <w:rsid w:val="00FC4DBD"/>
    <w:rsid w:val="00FC4ED2"/>
    <w:rsid w:val="00FC512B"/>
    <w:rsid w:val="00FC5150"/>
    <w:rsid w:val="00FC54B5"/>
    <w:rsid w:val="00FC56BE"/>
    <w:rsid w:val="00FC5700"/>
    <w:rsid w:val="00FC591A"/>
    <w:rsid w:val="00FC594B"/>
    <w:rsid w:val="00FC5D79"/>
    <w:rsid w:val="00FC5FAF"/>
    <w:rsid w:val="00FC6068"/>
    <w:rsid w:val="00FC6238"/>
    <w:rsid w:val="00FC6AED"/>
    <w:rsid w:val="00FC6C6B"/>
    <w:rsid w:val="00FC6E6F"/>
    <w:rsid w:val="00FC7119"/>
    <w:rsid w:val="00FC7DDB"/>
    <w:rsid w:val="00FC7E42"/>
    <w:rsid w:val="00FC7EF4"/>
    <w:rsid w:val="00FD05C0"/>
    <w:rsid w:val="00FD05CD"/>
    <w:rsid w:val="00FD06DE"/>
    <w:rsid w:val="00FD07C6"/>
    <w:rsid w:val="00FD0AAD"/>
    <w:rsid w:val="00FD0DA5"/>
    <w:rsid w:val="00FD1088"/>
    <w:rsid w:val="00FD141D"/>
    <w:rsid w:val="00FD19C9"/>
    <w:rsid w:val="00FD1D54"/>
    <w:rsid w:val="00FD2394"/>
    <w:rsid w:val="00FD2DE0"/>
    <w:rsid w:val="00FD2E62"/>
    <w:rsid w:val="00FD304D"/>
    <w:rsid w:val="00FD32E1"/>
    <w:rsid w:val="00FD3578"/>
    <w:rsid w:val="00FD35D7"/>
    <w:rsid w:val="00FD3A0A"/>
    <w:rsid w:val="00FD4211"/>
    <w:rsid w:val="00FD4505"/>
    <w:rsid w:val="00FD46EA"/>
    <w:rsid w:val="00FD4B66"/>
    <w:rsid w:val="00FD513E"/>
    <w:rsid w:val="00FD5726"/>
    <w:rsid w:val="00FD5A76"/>
    <w:rsid w:val="00FD5FAA"/>
    <w:rsid w:val="00FD626D"/>
    <w:rsid w:val="00FD64CF"/>
    <w:rsid w:val="00FD69E4"/>
    <w:rsid w:val="00FD6CDD"/>
    <w:rsid w:val="00FD6CF2"/>
    <w:rsid w:val="00FD6F99"/>
    <w:rsid w:val="00FD7280"/>
    <w:rsid w:val="00FD7841"/>
    <w:rsid w:val="00FE066A"/>
    <w:rsid w:val="00FE104B"/>
    <w:rsid w:val="00FE152D"/>
    <w:rsid w:val="00FE17C6"/>
    <w:rsid w:val="00FE1B08"/>
    <w:rsid w:val="00FE1E9E"/>
    <w:rsid w:val="00FE2412"/>
    <w:rsid w:val="00FE2431"/>
    <w:rsid w:val="00FE25CA"/>
    <w:rsid w:val="00FE30AE"/>
    <w:rsid w:val="00FE3937"/>
    <w:rsid w:val="00FE43B3"/>
    <w:rsid w:val="00FE47AC"/>
    <w:rsid w:val="00FE4BF4"/>
    <w:rsid w:val="00FE4C58"/>
    <w:rsid w:val="00FE51BC"/>
    <w:rsid w:val="00FE55EF"/>
    <w:rsid w:val="00FE58A4"/>
    <w:rsid w:val="00FE6114"/>
    <w:rsid w:val="00FE6746"/>
    <w:rsid w:val="00FE67AB"/>
    <w:rsid w:val="00FE6A1D"/>
    <w:rsid w:val="00FE74F4"/>
    <w:rsid w:val="00FE775C"/>
    <w:rsid w:val="00FE7DA6"/>
    <w:rsid w:val="00FE7EE9"/>
    <w:rsid w:val="00FE7F8A"/>
    <w:rsid w:val="00FF0350"/>
    <w:rsid w:val="00FF03E3"/>
    <w:rsid w:val="00FF0405"/>
    <w:rsid w:val="00FF0B31"/>
    <w:rsid w:val="00FF19C1"/>
    <w:rsid w:val="00FF1AE1"/>
    <w:rsid w:val="00FF2293"/>
    <w:rsid w:val="00FF2550"/>
    <w:rsid w:val="00FF28BB"/>
    <w:rsid w:val="00FF2D71"/>
    <w:rsid w:val="00FF321A"/>
    <w:rsid w:val="00FF3592"/>
    <w:rsid w:val="00FF3D90"/>
    <w:rsid w:val="00FF41D7"/>
    <w:rsid w:val="00FF47A7"/>
    <w:rsid w:val="00FF5299"/>
    <w:rsid w:val="00FF5547"/>
    <w:rsid w:val="00FF57C4"/>
    <w:rsid w:val="00FF5B47"/>
    <w:rsid w:val="00FF610D"/>
    <w:rsid w:val="00FF686F"/>
    <w:rsid w:val="00FF68D0"/>
    <w:rsid w:val="00FF6B2B"/>
    <w:rsid w:val="00FF6F84"/>
    <w:rsid w:val="00FF6F8B"/>
    <w:rsid w:val="00FF70BD"/>
    <w:rsid w:val="00FF73D9"/>
    <w:rsid w:val="00FF74DE"/>
    <w:rsid w:val="00FF75D2"/>
    <w:rsid w:val="00FF7704"/>
    <w:rsid w:val="00FF7BFC"/>
    <w:rsid w:val="00FF7E34"/>
    <w:rsid w:val="01ADC506"/>
    <w:rsid w:val="029F91A1"/>
    <w:rsid w:val="0364ABFA"/>
    <w:rsid w:val="039DC650"/>
    <w:rsid w:val="03A4C210"/>
    <w:rsid w:val="03F579FD"/>
    <w:rsid w:val="0469ECF5"/>
    <w:rsid w:val="0527E643"/>
    <w:rsid w:val="063F2653"/>
    <w:rsid w:val="0745CD32"/>
    <w:rsid w:val="0765366F"/>
    <w:rsid w:val="083D4D92"/>
    <w:rsid w:val="0AB71D1E"/>
    <w:rsid w:val="0AE28926"/>
    <w:rsid w:val="0C317E71"/>
    <w:rsid w:val="0C8FD635"/>
    <w:rsid w:val="0EDEFF4E"/>
    <w:rsid w:val="10734C41"/>
    <w:rsid w:val="10BE1225"/>
    <w:rsid w:val="12CEE167"/>
    <w:rsid w:val="13FDB8D6"/>
    <w:rsid w:val="144CEC92"/>
    <w:rsid w:val="147B697D"/>
    <w:rsid w:val="147E1D74"/>
    <w:rsid w:val="14C1D8AA"/>
    <w:rsid w:val="159664ED"/>
    <w:rsid w:val="159B9960"/>
    <w:rsid w:val="15E8B55B"/>
    <w:rsid w:val="17116E3F"/>
    <w:rsid w:val="18D79CC3"/>
    <w:rsid w:val="1E6591E7"/>
    <w:rsid w:val="22DE3016"/>
    <w:rsid w:val="24075563"/>
    <w:rsid w:val="240E2D64"/>
    <w:rsid w:val="243CC9DC"/>
    <w:rsid w:val="2493B8A7"/>
    <w:rsid w:val="24EFF52C"/>
    <w:rsid w:val="28296423"/>
    <w:rsid w:val="28C38E6E"/>
    <w:rsid w:val="297CCD5E"/>
    <w:rsid w:val="2AE7B637"/>
    <w:rsid w:val="2C3B96B3"/>
    <w:rsid w:val="2CDE1437"/>
    <w:rsid w:val="2DFD17E0"/>
    <w:rsid w:val="2E9CB88B"/>
    <w:rsid w:val="2FB3933C"/>
    <w:rsid w:val="31F8B0FD"/>
    <w:rsid w:val="325BACED"/>
    <w:rsid w:val="333A808F"/>
    <w:rsid w:val="33B3F1AD"/>
    <w:rsid w:val="348BEF5E"/>
    <w:rsid w:val="3514827C"/>
    <w:rsid w:val="356DD71C"/>
    <w:rsid w:val="35A1A68C"/>
    <w:rsid w:val="35C69A99"/>
    <w:rsid w:val="35EFFA60"/>
    <w:rsid w:val="35FD09C3"/>
    <w:rsid w:val="36813605"/>
    <w:rsid w:val="379859F2"/>
    <w:rsid w:val="38B53A75"/>
    <w:rsid w:val="3A61A8EE"/>
    <w:rsid w:val="3AE7EB72"/>
    <w:rsid w:val="3B1A5689"/>
    <w:rsid w:val="3B21C475"/>
    <w:rsid w:val="3B93DFE9"/>
    <w:rsid w:val="3C27845D"/>
    <w:rsid w:val="3D8C3BC7"/>
    <w:rsid w:val="3DE0D46E"/>
    <w:rsid w:val="3DF9064E"/>
    <w:rsid w:val="3F683420"/>
    <w:rsid w:val="407EEDFF"/>
    <w:rsid w:val="432D9F6D"/>
    <w:rsid w:val="43C2808B"/>
    <w:rsid w:val="474657B6"/>
    <w:rsid w:val="483FFD7E"/>
    <w:rsid w:val="49F81007"/>
    <w:rsid w:val="4A392C2B"/>
    <w:rsid w:val="4AEB62D2"/>
    <w:rsid w:val="4B6EA114"/>
    <w:rsid w:val="4CD903F3"/>
    <w:rsid w:val="4F56CE5A"/>
    <w:rsid w:val="4F841791"/>
    <w:rsid w:val="501CF7BB"/>
    <w:rsid w:val="518125A7"/>
    <w:rsid w:val="526CF4CF"/>
    <w:rsid w:val="529876B3"/>
    <w:rsid w:val="533DC82F"/>
    <w:rsid w:val="53A85286"/>
    <w:rsid w:val="53A94CAC"/>
    <w:rsid w:val="557E8A50"/>
    <w:rsid w:val="564BA250"/>
    <w:rsid w:val="590DAAE1"/>
    <w:rsid w:val="59A081D6"/>
    <w:rsid w:val="5B37F72E"/>
    <w:rsid w:val="5C7786F2"/>
    <w:rsid w:val="5E50F0AE"/>
    <w:rsid w:val="5F319C2C"/>
    <w:rsid w:val="611D1A0F"/>
    <w:rsid w:val="61AB49DD"/>
    <w:rsid w:val="62E0246A"/>
    <w:rsid w:val="6323EC69"/>
    <w:rsid w:val="640FDD21"/>
    <w:rsid w:val="65B44F80"/>
    <w:rsid w:val="674BA522"/>
    <w:rsid w:val="68272032"/>
    <w:rsid w:val="6AC13218"/>
    <w:rsid w:val="6B3D51AE"/>
    <w:rsid w:val="6BB2EED6"/>
    <w:rsid w:val="6E3A3932"/>
    <w:rsid w:val="6F0F1220"/>
    <w:rsid w:val="71BF619C"/>
    <w:rsid w:val="752CFA39"/>
    <w:rsid w:val="7567C61B"/>
    <w:rsid w:val="75FF4A80"/>
    <w:rsid w:val="774EE0BE"/>
    <w:rsid w:val="7936D699"/>
    <w:rsid w:val="79C6582A"/>
    <w:rsid w:val="7A9AFFEE"/>
    <w:rsid w:val="7CB3DFD1"/>
    <w:rsid w:val="7D3B779D"/>
    <w:rsid w:val="7D8CDA2D"/>
    <w:rsid w:val="7E0AF3A7"/>
    <w:rsid w:val="7E3695CD"/>
    <w:rsid w:val="7EC20252"/>
    <w:rsid w:val="7F18D2A5"/>
    <w:rsid w:val="7F531B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2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10" w:unhideWhenUsed="1"/>
    <w:lsdException w:name="heading 6" w:semiHidden="1" w:uiPriority="12" w:unhideWhenUsed="1"/>
    <w:lsdException w:name="heading 7" w:semiHidden="1" w:uiPriority="12" w:unhideWhenUsed="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uiPriority="8"/>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qFormat="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0"/>
    <w:lsdException w:name="Table Theme" w:semiHidden="1" w:uiPriority="0"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6"/>
    <w:lsdException w:name="Bibliography" w:semiHidden="1" w:uiPriority="37" w:unhideWhenUsed="1"/>
    <w:lsdException w:name="TOC Heading" w:semiHidden="1" w:uiPriority="4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26"/>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9"/>
    <w:qFormat/>
    <w:rsid w:val="004A5746"/>
    <w:pPr>
      <w:keepNext/>
      <w:keepLines/>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rsid w:val="003B095E"/>
    <w:pPr>
      <w:outlineLvl w:val="4"/>
    </w:pPr>
  </w:style>
  <w:style w:type="paragraph" w:styleId="Heading6">
    <w:name w:val="heading 6"/>
    <w:aliases w:val="Heading 3 - Body"/>
    <w:basedOn w:val="Heading3"/>
    <w:next w:val="Normal"/>
    <w:link w:val="Heading6Char"/>
    <w:uiPriority w:val="12"/>
    <w:rsid w:val="00624315"/>
    <w:pPr>
      <w:outlineLvl w:val="5"/>
    </w:pPr>
    <w:rPr>
      <w:sz w:val="24"/>
    </w:rPr>
  </w:style>
  <w:style w:type="paragraph" w:styleId="Heading7">
    <w:name w:val="heading 7"/>
    <w:basedOn w:val="Heading1"/>
    <w:next w:val="Normal"/>
    <w:link w:val="Heading7Char"/>
    <w:uiPriority w:val="12"/>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9"/>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Styl moj,Akapit z listą11,ES Paragraph,PBAC normal points,Bullet List,Figure_name"/>
    <w:basedOn w:val="Normal"/>
    <w:link w:val="ListParagraphChar"/>
    <w:uiPriority w:val="34"/>
    <w:qFormat/>
    <w:rsid w:val="004908B7"/>
    <w:pPr>
      <w:numPr>
        <w:ilvl w:val="4"/>
        <w:numId w:val="5"/>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rsid w:val="00481549"/>
    <w:rPr>
      <w:rFonts w:eastAsiaTheme="majorEastAsia" w:cstheme="majorBidi"/>
      <w:b/>
      <w:sz w:val="24"/>
      <w:szCs w:val="28"/>
    </w:rPr>
  </w:style>
  <w:style w:type="character" w:customStyle="1" w:styleId="Heading7Char">
    <w:name w:val="Heading 7 Char"/>
    <w:basedOn w:val="DefaultParagraphFont"/>
    <w:link w:val="Heading7"/>
    <w:uiPriority w:val="12"/>
    <w:rsid w:val="00481549"/>
    <w:rPr>
      <w:rFonts w:eastAsiaTheme="majorEastAsia" w:cstheme="majorBidi"/>
      <w:b/>
      <w:i/>
      <w:sz w:val="24"/>
      <w:szCs w:val="24"/>
    </w:rPr>
  </w:style>
  <w:style w:type="character" w:customStyle="1" w:styleId="Heading8Char">
    <w:name w:val="Heading 8 Char"/>
    <w:basedOn w:val="DefaultParagraphFont"/>
    <w:link w:val="Heading8"/>
    <w:uiPriority w:val="7"/>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PBAC table,Legemiddelverket 3,HTAtableplain,Table Grid nm,Dossier table,Summary Table,HealthConsult,Conclusion box,PHE Table Grid,Lash Style Table"/>
    <w:basedOn w:val="TableNormal"/>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
    <w:next w:val="Normal"/>
    <w:link w:val="CaptionChar"/>
    <w:autoRedefine/>
    <w:uiPriority w:val="99"/>
    <w:qFormat/>
    <w:rsid w:val="004726AF"/>
    <w:pPr>
      <w:keepNext/>
      <w:keepLines/>
      <w:tabs>
        <w:tab w:val="left" w:pos="1276"/>
      </w:tabs>
      <w:spacing w:after="0"/>
      <w:contextualSpacing/>
      <w:jc w:val="both"/>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rsid w:val="00BA3306"/>
    <w:rPr>
      <w:color w:val="00B0F0"/>
      <w:u w:val="single"/>
    </w:rPr>
  </w:style>
  <w:style w:type="paragraph" w:styleId="FootnoteText">
    <w:name w:val="footnote text"/>
    <w:basedOn w:val="Normal"/>
    <w:link w:val="FootnoteTextChar"/>
    <w:uiPriority w:val="99"/>
    <w:semiHidden/>
    <w:rsid w:val="00BA3306"/>
    <w:pPr>
      <w:spacing w:before="0" w:after="0"/>
    </w:pPr>
    <w:rPr>
      <w:sz w:val="18"/>
      <w:szCs w:val="20"/>
    </w:rPr>
  </w:style>
  <w:style w:type="character" w:customStyle="1" w:styleId="FootnoteTextChar">
    <w:name w:val="Footnote Text Char"/>
    <w:basedOn w:val="DefaultParagraphFont"/>
    <w:link w:val="FootnoteText"/>
    <w:uiPriority w:val="99"/>
    <w:semiHidden/>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99"/>
    <w:qFormat/>
    <w:rsid w:val="004726AF"/>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qFormat/>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A27F7"/>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A27F7"/>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0"/>
    <w:rsid w:val="00C317F3"/>
    <w:pPr>
      <w:widowControl w:val="0"/>
      <w:spacing w:after="0" w:line="240" w:lineRule="auto"/>
      <w:jc w:val="both"/>
    </w:pPr>
    <w:rPr>
      <w:rFonts w:ascii="Arial" w:eastAsia="Times New Roman" w:hAnsi="Arial" w:cs="Arial"/>
      <w:snapToGrid w:val="0"/>
      <w:szCs w:val="20"/>
    </w:rPr>
  </w:style>
  <w:style w:type="paragraph" w:styleId="NormalWeb">
    <w:name w:val="Normal (Web)"/>
    <w:basedOn w:val="Normal"/>
    <w:uiPriority w:val="99"/>
    <w:semiHidden/>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42"/>
    <w:semiHidden/>
    <w:qFormat/>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Styl moj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pPr>
      <w:numPr>
        <w:numId w:val="2"/>
      </w:numPr>
    </w:pPr>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Yu Gothic UI" w:hAnsi="Yu Gothic UI"/>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Yu Gothic UI" w:hAnsi="Yu Gothic UI"/>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Yu Gothic UI" w:hAnsi="Yu Gothic UI"/>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2"/>
        <w:numId w:val="5"/>
      </w:numPr>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Id w:val="1"/>
      </w:numPr>
    </w:pPr>
    <w:rPr>
      <w:i w:val="0"/>
      <w:smallCaps/>
      <w:sz w:val="32"/>
    </w:rPr>
  </w:style>
  <w:style w:type="paragraph" w:customStyle="1" w:styleId="PBACESHeading3">
    <w:name w:val="PBAC ES Heading 3"/>
    <w:basedOn w:val="PBACESHeading2"/>
    <w:link w:val="PBACESHeading3Char"/>
    <w:uiPriority w:val="1"/>
    <w:qFormat/>
    <w:rsid w:val="00396339"/>
    <w:pPr>
      <w:numPr>
        <w:ilvl w:val="3"/>
        <w:numId w:val="1"/>
      </w:numPr>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5"/>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5"/>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6"/>
      </w:numPr>
    </w:pPr>
  </w:style>
  <w:style w:type="paragraph" w:customStyle="1" w:styleId="MainBodyBulletPoint">
    <w:name w:val="MainBody Bullet Point"/>
    <w:basedOn w:val="InstructionBulletpoint"/>
    <w:link w:val="MainBodyBulletPointChar"/>
    <w:uiPriority w:val="1"/>
    <w:qFormat/>
    <w:rsid w:val="002532B4"/>
    <w:pPr>
      <w:numPr>
        <w:numId w:val="7"/>
      </w:numPr>
      <w:ind w:left="714" w:hanging="357"/>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0"/>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rsid w:val="003D1FB3"/>
    <w:rPr>
      <w:i/>
      <w:iCs/>
    </w:rPr>
  </w:style>
  <w:style w:type="numbering" w:customStyle="1" w:styleId="Style3">
    <w:name w:val="Style3"/>
    <w:uiPriority w:val="99"/>
    <w:rsid w:val="0076446C"/>
    <w:pPr>
      <w:numPr>
        <w:numId w:val="11"/>
      </w:numPr>
    </w:pPr>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basedOn w:val="Normal"/>
    <w:link w:val="CommentTextChar"/>
    <w:uiPriority w:val="99"/>
    <w:unhideWhenUsed/>
    <w:rsid w:val="001952BB"/>
    <w:rPr>
      <w:sz w:val="20"/>
      <w:szCs w:val="20"/>
    </w:rPr>
  </w:style>
  <w:style w:type="character" w:customStyle="1" w:styleId="CommentTextChar">
    <w:name w:val="Comment Text Char"/>
    <w:basedOn w:val="DefaultParagraphFont"/>
    <w:link w:val="CommentText"/>
    <w:uiPriority w:val="99"/>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qFormat/>
    <w:rsid w:val="00FD07C6"/>
    <w:pPr>
      <w:numPr>
        <w:numId w:val="12"/>
      </w:numPr>
      <w:spacing w:before="0" w:after="0"/>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4"/>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uiPriority w:val="4"/>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uiPriority w:val="4"/>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5"/>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basedOn w:val="Normal"/>
    <w:link w:val="BodyTextChar"/>
    <w:uiPriority w:val="4"/>
    <w:unhideWhenUsed/>
    <w:qFormat/>
    <w:rsid w:val="009E2636"/>
    <w:pPr>
      <w:spacing w:after="120"/>
    </w:pPr>
  </w:style>
  <w:style w:type="character" w:customStyle="1" w:styleId="BodyTextChar">
    <w:name w:val="Body Text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C15EDC"/>
    <w:pPr>
      <w:keepLines w:val="0"/>
      <w:spacing w:before="120"/>
      <w:jc w:val="both"/>
    </w:pPr>
    <w:rPr>
      <w:snapToGrid/>
      <w:spacing w:val="5"/>
      <w:kern w:val="28"/>
      <w:szCs w:val="36"/>
      <w:lang w:eastAsia="en-AU"/>
    </w:rPr>
  </w:style>
  <w:style w:type="character" w:customStyle="1" w:styleId="4-SubsectionHeadingChar">
    <w:name w:val="4-Subsection Heading Char"/>
    <w:basedOn w:val="Heading2Char"/>
    <w:link w:val="4-SubsectionHeading"/>
    <w:rsid w:val="00C15EDC"/>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Tabletext8pt">
    <w:name w:val="Table text 8pt"/>
    <w:basedOn w:val="Tabletext0"/>
    <w:qFormat/>
    <w:rsid w:val="00306590"/>
    <w:pPr>
      <w:keepNext/>
      <w:keepLines/>
      <w:spacing w:before="20" w:after="20"/>
    </w:pPr>
    <w:rPr>
      <w:rFonts w:ascii="Montserrat" w:eastAsia="Calibri" w:hAnsi="Montserrat" w:cs="Calibri"/>
      <w:snapToGrid/>
      <w:sz w:val="16"/>
      <w:szCs w:val="16"/>
      <w:lang w:eastAsia="en-US"/>
    </w:rPr>
  </w:style>
  <w:style w:type="paragraph" w:customStyle="1" w:styleId="Tablenotes">
    <w:name w:val="Tablenotes"/>
    <w:basedOn w:val="Normal"/>
    <w:link w:val="TablenotesChar"/>
    <w:qFormat/>
    <w:rsid w:val="00D82BEA"/>
    <w:pPr>
      <w:widowControl w:val="0"/>
      <w:spacing w:before="40" w:after="240"/>
      <w:contextualSpacing/>
    </w:pPr>
    <w:rPr>
      <w:rFonts w:ascii="Arial Narrow" w:eastAsia="Times New Roman" w:hAnsi="Arial Narrow" w:cs="Arial"/>
      <w:snapToGrid w:val="0"/>
      <w:color w:val="000000" w:themeColor="text1"/>
      <w:sz w:val="20"/>
    </w:rPr>
  </w:style>
  <w:style w:type="character" w:customStyle="1" w:styleId="TablenotesChar">
    <w:name w:val="Tablenotes Char"/>
    <w:basedOn w:val="DefaultParagraphFont"/>
    <w:link w:val="Tablenotes"/>
    <w:rsid w:val="00D82BEA"/>
    <w:rPr>
      <w:rFonts w:ascii="Arial Narrow" w:eastAsia="Times New Roman" w:hAnsi="Arial Narrow" w:cs="Arial"/>
      <w:snapToGrid w:val="0"/>
      <w:color w:val="000000" w:themeColor="text1"/>
      <w:sz w:val="20"/>
    </w:rPr>
  </w:style>
  <w:style w:type="paragraph" w:styleId="EndnoteText">
    <w:name w:val="endnote text"/>
    <w:basedOn w:val="Normal"/>
    <w:link w:val="EndnoteTextChar"/>
    <w:uiPriority w:val="99"/>
    <w:semiHidden/>
    <w:rsid w:val="006212A9"/>
    <w:pPr>
      <w:spacing w:before="0" w:after="0"/>
    </w:pPr>
    <w:rPr>
      <w:sz w:val="20"/>
      <w:szCs w:val="20"/>
    </w:rPr>
  </w:style>
  <w:style w:type="character" w:customStyle="1" w:styleId="EndnoteTextChar">
    <w:name w:val="Endnote Text Char"/>
    <w:basedOn w:val="DefaultParagraphFont"/>
    <w:link w:val="EndnoteText"/>
    <w:uiPriority w:val="99"/>
    <w:semiHidden/>
    <w:rsid w:val="006212A9"/>
    <w:rPr>
      <w:sz w:val="20"/>
      <w:szCs w:val="20"/>
    </w:rPr>
  </w:style>
  <w:style w:type="character" w:styleId="EndnoteReference">
    <w:name w:val="endnote reference"/>
    <w:basedOn w:val="DefaultParagraphFont"/>
    <w:uiPriority w:val="99"/>
    <w:semiHidden/>
    <w:rsid w:val="006212A9"/>
    <w:rPr>
      <w:vertAlign w:val="superscript"/>
    </w:rPr>
  </w:style>
  <w:style w:type="character" w:styleId="UnresolvedMention">
    <w:name w:val="Unresolved Mention"/>
    <w:basedOn w:val="DefaultParagraphFont"/>
    <w:uiPriority w:val="99"/>
    <w:semiHidden/>
    <w:unhideWhenUsed/>
    <w:rsid w:val="00DE0ADC"/>
    <w:rPr>
      <w:color w:val="605E5C"/>
      <w:shd w:val="clear" w:color="auto" w:fill="E1DFDD"/>
    </w:rPr>
  </w:style>
  <w:style w:type="paragraph" w:customStyle="1" w:styleId="TableH28pt">
    <w:name w:val="Table H2 8pt"/>
    <w:basedOn w:val="Normal"/>
    <w:qFormat/>
    <w:rsid w:val="00E260D2"/>
    <w:pPr>
      <w:keepNext/>
      <w:keepLines/>
      <w:spacing w:before="20" w:after="20"/>
      <w:contextualSpacing/>
      <w:jc w:val="left"/>
    </w:pPr>
    <w:rPr>
      <w:rFonts w:ascii="Montserrat" w:eastAsia="Calibri" w:hAnsi="Montserrat" w:cs="Calibri"/>
      <w:b/>
      <w:sz w:val="16"/>
      <w:szCs w:val="20"/>
    </w:rPr>
  </w:style>
  <w:style w:type="paragraph" w:customStyle="1" w:styleId="TableFigNotes18">
    <w:name w:val="TableFigNotes+18"/>
    <w:basedOn w:val="ListParagraph"/>
    <w:next w:val="BodyText"/>
    <w:link w:val="TableFigNotes18Char"/>
    <w:uiPriority w:val="4"/>
    <w:qFormat/>
    <w:rsid w:val="007601A2"/>
    <w:pPr>
      <w:numPr>
        <w:ilvl w:val="0"/>
        <w:numId w:val="0"/>
      </w:numPr>
      <w:spacing w:before="60" w:after="360" w:line="276" w:lineRule="auto"/>
      <w:contextualSpacing/>
      <w:jc w:val="left"/>
    </w:pPr>
    <w:rPr>
      <w:rFonts w:ascii="Montserrat" w:eastAsia="Calibri" w:hAnsi="Montserrat" w:cs="Calibri"/>
      <w:color w:val="auto"/>
      <w:sz w:val="15"/>
      <w:szCs w:val="20"/>
    </w:rPr>
  </w:style>
  <w:style w:type="character" w:customStyle="1" w:styleId="TableFigNotes18Char">
    <w:name w:val="TableFigNotes+18 Char"/>
    <w:basedOn w:val="DefaultParagraphFont"/>
    <w:link w:val="TableFigNotes18"/>
    <w:uiPriority w:val="4"/>
    <w:locked/>
    <w:rsid w:val="007601A2"/>
    <w:rPr>
      <w:rFonts w:ascii="Montserrat" w:eastAsia="Calibri" w:hAnsi="Montserrat" w:cs="Calibri"/>
      <w:sz w:val="15"/>
      <w:szCs w:val="20"/>
    </w:rPr>
  </w:style>
  <w:style w:type="table" w:styleId="TableSimple1">
    <w:name w:val="Table Simple 1"/>
    <w:basedOn w:val="TableNormal"/>
    <w:rsid w:val="00DA7767"/>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table" w:customStyle="1" w:styleId="Evideratable">
    <w:name w:val="Evidera table"/>
    <w:basedOn w:val="TableNormal"/>
    <w:rsid w:val="00E76B0B"/>
    <w:pPr>
      <w:spacing w:before="40" w:after="40" w:line="240" w:lineRule="auto"/>
    </w:pPr>
    <w:rPr>
      <w:rFonts w:eastAsia="Times New Roman" w:cs="Times New Roman"/>
      <w:sz w:val="20"/>
      <w:szCs w:val="20"/>
      <w:lang w:val="en-GB" w:eastAsia="en-GB"/>
    </w:rPr>
    <w:tblPr>
      <w:tblStyleRowBandSize w:val="1"/>
      <w:tblInd w:w="0" w:type="nil"/>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8" w:space="0" w:color="E7E6E6" w:themeColor="background2"/>
        <w:insideV w:val="dotted" w:sz="8" w:space="0" w:color="E7E6E6" w:themeColor="background2"/>
      </w:tblBorders>
    </w:tblPr>
    <w:tblStylePr w:type="firstRow">
      <w:rPr>
        <w:rFonts w:asciiTheme="majorHAnsi" w:hAnsiTheme="majorHAnsi" w:cs="Calibri Light" w:hint="default"/>
        <w:b/>
        <w:sz w:val="18"/>
        <w:szCs w:val="18"/>
      </w:rPr>
      <w:tblPr/>
      <w:tcPr>
        <w:tcBorders>
          <w:top w:val="single" w:sz="4" w:space="0" w:color="E7E6E6" w:themeColor="background2"/>
          <w:left w:val="single" w:sz="4" w:space="0" w:color="E7E6E6" w:themeColor="background2"/>
          <w:bottom w:val="single" w:sz="18" w:space="0" w:color="4472C4" w:themeColor="accent5"/>
          <w:right w:val="single" w:sz="4" w:space="0" w:color="E7E6E6" w:themeColor="background2"/>
          <w:insideH w:val="single" w:sz="18" w:space="0" w:color="4472C4" w:themeColor="accent5"/>
          <w:insideV w:val="dotted" w:sz="4" w:space="0" w:color="E7E6E6" w:themeColor="background2"/>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8" w:space="0" w:color="C00000"/>
          <w:right w:val="nil"/>
          <w:insideH w:val="nil"/>
          <w:insideV w:val="nil"/>
          <w:tl2br w:val="nil"/>
          <w:tr2bl w:val="nil"/>
        </w:tcBorders>
      </w:tcPr>
    </w:tblStylePr>
    <w:tblStylePr w:type="firstCol">
      <w:tblPr/>
      <w:tcPr>
        <w:tcBorders>
          <w:left w:val="single" w:sz="4" w:space="0" w:color="E7E6E6" w:themeColor="background2"/>
        </w:tcBorders>
      </w:tcPr>
    </w:tblStylePr>
    <w:tblStylePr w:type="lastCol">
      <w:tblPr/>
      <w:tcPr>
        <w:tcBorders>
          <w:left w:val="nil"/>
          <w:right w:val="single" w:sz="4" w:space="0" w:color="E7E6E6" w:themeColor="background2"/>
        </w:tcBorders>
      </w:tcPr>
    </w:tblStylePr>
    <w:tblStylePr w:type="band1Horz">
      <w:tblPr/>
      <w:tcPr>
        <w:tcBorders>
          <w:insideV w:val="dotted" w:sz="4" w:space="0" w:color="E7E6E6" w:themeColor="background2"/>
        </w:tcBorders>
      </w:tcPr>
    </w:tblStylePr>
    <w:tblStylePr w:type="seCell">
      <w:tblPr/>
      <w:tcPr>
        <w:tcBorders>
          <w:right w:val="single" w:sz="4" w:space="0" w:color="E7E6E6" w:themeColor="background2"/>
        </w:tcBorders>
      </w:tcPr>
    </w:tblStylePr>
    <w:tblStylePr w:type="swCell">
      <w:tblPr/>
      <w:tcPr>
        <w:tcBorders>
          <w:left w:val="single" w:sz="4" w:space="0" w:color="E7E6E6" w:themeColor="background2"/>
        </w:tcBorders>
      </w:tcPr>
    </w:tblStylePr>
  </w:style>
  <w:style w:type="table" w:customStyle="1" w:styleId="RTIAMCPTable3">
    <w:name w:val="RTI AMCP Table3"/>
    <w:basedOn w:val="TableNormal"/>
    <w:next w:val="TableGrid"/>
    <w:uiPriority w:val="39"/>
    <w:rsid w:val="0002166E"/>
    <w:pPr>
      <w:spacing w:after="0" w:line="240" w:lineRule="auto"/>
    </w:pPr>
    <w:rPr>
      <w:rFonts w:cs="Calibri (Body)"/>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character" w:customStyle="1" w:styleId="cf01">
    <w:name w:val="cf01"/>
    <w:basedOn w:val="DefaultParagraphFont"/>
    <w:rsid w:val="00DE33BF"/>
    <w:rPr>
      <w:rFonts w:ascii="Segoe UI" w:hAnsi="Segoe UI" w:cs="Segoe UI" w:hint="default"/>
      <w:sz w:val="18"/>
      <w:szCs w:val="18"/>
    </w:rPr>
  </w:style>
  <w:style w:type="paragraph" w:customStyle="1" w:styleId="COMH3">
    <w:name w:val="COM H3"/>
    <w:basedOn w:val="Normal"/>
    <w:next w:val="Normal"/>
    <w:link w:val="COMH3Char"/>
    <w:qFormat/>
    <w:rsid w:val="00EF3237"/>
    <w:pPr>
      <w:keepNext/>
      <w:spacing w:before="0" w:after="240"/>
    </w:pPr>
    <w:rPr>
      <w:rFonts w:ascii="Calibri" w:eastAsia="Times New Roman" w:hAnsi="Calibri" w:cs="Arial"/>
      <w:b/>
      <w:iCs/>
      <w:sz w:val="28"/>
      <w:szCs w:val="24"/>
      <w:lang w:eastAsia="en-AU"/>
    </w:rPr>
  </w:style>
  <w:style w:type="character" w:customStyle="1" w:styleId="COMH3Char">
    <w:name w:val="COM H3 Char"/>
    <w:basedOn w:val="DefaultParagraphFont"/>
    <w:link w:val="COMH3"/>
    <w:rsid w:val="00EF3237"/>
    <w:rPr>
      <w:rFonts w:ascii="Calibri" w:eastAsia="Times New Roman" w:hAnsi="Calibri" w:cs="Arial"/>
      <w:b/>
      <w:iCs/>
      <w:sz w:val="28"/>
      <w:szCs w:val="24"/>
      <w:lang w:eastAsia="en-AU"/>
    </w:rPr>
  </w:style>
  <w:style w:type="table" w:customStyle="1" w:styleId="RTIAMCPTable1">
    <w:name w:val="RTI AMCP Table1"/>
    <w:basedOn w:val="TableNormal"/>
    <w:next w:val="TableGrid"/>
    <w:uiPriority w:val="39"/>
    <w:rsid w:val="00F04ED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28ptCentered">
    <w:name w:val="Table H2 8pt + Centered"/>
    <w:basedOn w:val="Normal"/>
    <w:qFormat/>
    <w:rsid w:val="00F67F38"/>
    <w:pPr>
      <w:keepNext/>
      <w:keepLines/>
      <w:spacing w:before="20" w:after="20"/>
      <w:contextualSpacing/>
      <w:jc w:val="center"/>
    </w:pPr>
    <w:rPr>
      <w:rFonts w:ascii="Montserrat" w:eastAsia="Calibri" w:hAnsi="Montserrat" w:cs="Calibri"/>
      <w:b/>
      <w:sz w:val="16"/>
      <w:szCs w:val="20"/>
    </w:rPr>
  </w:style>
  <w:style w:type="paragraph" w:customStyle="1" w:styleId="Tabletext8ptCentered">
    <w:name w:val="Table text 8pt + Centered"/>
    <w:basedOn w:val="Tabletext8pt"/>
    <w:qFormat/>
    <w:rsid w:val="00F67F38"/>
    <w:pPr>
      <w:jc w:val="center"/>
    </w:pPr>
  </w:style>
  <w:style w:type="paragraph" w:customStyle="1" w:styleId="Tablebullet">
    <w:name w:val="Table bullet"/>
    <w:uiPriority w:val="4"/>
    <w:rsid w:val="009170B8"/>
    <w:pPr>
      <w:numPr>
        <w:numId w:val="21"/>
      </w:numPr>
      <w:spacing w:before="40" w:after="60" w:line="240" w:lineRule="auto"/>
    </w:pPr>
    <w:rPr>
      <w:rFonts w:ascii="Montserrat" w:eastAsia="Times New Roman" w:hAnsi="Montserrat" w:cs="Calibri"/>
      <w:bCs/>
      <w:color w:val="000000"/>
      <w:sz w:val="16"/>
      <w:szCs w:val="26"/>
    </w:rPr>
  </w:style>
  <w:style w:type="table" w:customStyle="1" w:styleId="PBACTableStyle1">
    <w:name w:val="PBAC Table Style1"/>
    <w:basedOn w:val="TableGrid1"/>
    <w:uiPriority w:val="99"/>
    <w:rsid w:val="00C46ABB"/>
    <w:pPr>
      <w:widowControl w:val="0"/>
      <w:spacing w:after="0"/>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Segoe UI Emoji" w:hAnsi="Segoe UI Emoji"/>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Segoe UI Emoji" w:hAnsi="Segoe UI Emoji"/>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Segoe UI Emoji" w:hAnsi="Segoe UI Emoji"/>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paragraph" w:customStyle="1" w:styleId="EndNoteBibliographyTitle">
    <w:name w:val="EndNote Bibliography Title"/>
    <w:basedOn w:val="Normal"/>
    <w:link w:val="EndNoteBibliographyTitleChar"/>
    <w:rsid w:val="00A762A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762AD"/>
    <w:rPr>
      <w:rFonts w:ascii="Calibri" w:hAnsi="Calibri" w:cs="Calibri"/>
      <w:noProof/>
      <w:sz w:val="24"/>
      <w:lang w:val="en-US"/>
    </w:rPr>
  </w:style>
  <w:style w:type="paragraph" w:customStyle="1" w:styleId="EndNoteBibliography">
    <w:name w:val="EndNote Bibliography"/>
    <w:basedOn w:val="Normal"/>
    <w:link w:val="EndNoteBibliographyChar"/>
    <w:rsid w:val="00A762AD"/>
    <w:rPr>
      <w:rFonts w:ascii="Calibri" w:hAnsi="Calibri" w:cs="Calibri"/>
      <w:noProof/>
      <w:lang w:val="en-US"/>
    </w:rPr>
  </w:style>
  <w:style w:type="character" w:customStyle="1" w:styleId="EndNoteBibliographyChar">
    <w:name w:val="EndNote Bibliography Char"/>
    <w:basedOn w:val="DefaultParagraphFont"/>
    <w:link w:val="EndNoteBibliography"/>
    <w:rsid w:val="00A762AD"/>
    <w:rPr>
      <w:rFonts w:ascii="Calibri" w:hAnsi="Calibri" w:cs="Calibri"/>
      <w:noProof/>
      <w:sz w:val="24"/>
      <w:lang w:val="en-US"/>
    </w:rPr>
  </w:style>
  <w:style w:type="character" w:styleId="Mention">
    <w:name w:val="Mention"/>
    <w:basedOn w:val="DefaultParagraphFont"/>
    <w:uiPriority w:val="99"/>
    <w:unhideWhenUsed/>
    <w:rsid w:val="0062190C"/>
    <w:rPr>
      <w:color w:val="2B579A"/>
      <w:shd w:val="clear" w:color="auto" w:fill="E1DFDD"/>
    </w:rPr>
  </w:style>
  <w:style w:type="paragraph" w:customStyle="1" w:styleId="1-MainHeading">
    <w:name w:val="1-Main Heading"/>
    <w:link w:val="1-MainHeadingChar"/>
    <w:qFormat/>
    <w:rsid w:val="00181B1F"/>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181B1F"/>
    <w:rPr>
      <w:rFonts w:eastAsiaTheme="majorEastAsia" w:cstheme="majorBidi"/>
      <w:b/>
      <w:spacing w:val="5"/>
      <w:kern w:val="28"/>
      <w:sz w:val="36"/>
      <w:szCs w:val="36"/>
      <w:lang w:eastAsia="en-AU"/>
    </w:rPr>
  </w:style>
  <w:style w:type="paragraph" w:customStyle="1" w:styleId="Checklist">
    <w:name w:val="Checklist"/>
    <w:basedOn w:val="Normal"/>
    <w:qFormat/>
    <w:rsid w:val="00785C2F"/>
    <w:pPr>
      <w:spacing w:before="0" w:after="120"/>
      <w:ind w:left="709" w:hanging="709"/>
      <w:jc w:val="left"/>
    </w:pPr>
    <w:rPr>
      <w:rFonts w:ascii="Montserrat" w:eastAsia="Times New Roman" w:hAnsi="Montserrat" w:cs="Times New Roman"/>
      <w:color w:val="333333"/>
      <w:sz w:val="16"/>
    </w:rPr>
  </w:style>
  <w:style w:type="paragraph" w:styleId="DocumentMap">
    <w:name w:val="Document Map"/>
    <w:basedOn w:val="Normal"/>
    <w:link w:val="DocumentMapChar"/>
    <w:uiPriority w:val="99"/>
    <w:semiHidden/>
    <w:rsid w:val="00785C2F"/>
    <w:pPr>
      <w:spacing w:before="0" w:after="120" w:line="276" w:lineRule="auto"/>
      <w:jc w:val="left"/>
    </w:pPr>
    <w:rPr>
      <w:rFonts w:ascii="Tahoma" w:eastAsia="Calibri" w:hAnsi="Tahoma" w:cs="Tahoma"/>
      <w:sz w:val="20"/>
      <w:szCs w:val="16"/>
    </w:rPr>
  </w:style>
  <w:style w:type="character" w:customStyle="1" w:styleId="DocumentMapChar">
    <w:name w:val="Document Map Char"/>
    <w:basedOn w:val="DefaultParagraphFont"/>
    <w:link w:val="DocumentMap"/>
    <w:uiPriority w:val="99"/>
    <w:semiHidden/>
    <w:rsid w:val="00785C2F"/>
    <w:rPr>
      <w:rFonts w:ascii="Tahoma" w:eastAsia="Calibri" w:hAnsi="Tahoma" w:cs="Tahoma"/>
      <w:sz w:val="20"/>
      <w:szCs w:val="16"/>
    </w:rPr>
  </w:style>
  <w:style w:type="paragraph" w:customStyle="1" w:styleId="Pic">
    <w:name w:val="Pic"/>
    <w:next w:val="ListParagraph"/>
    <w:uiPriority w:val="9"/>
    <w:rsid w:val="00785C2F"/>
    <w:pPr>
      <w:keepNext/>
      <w:spacing w:after="0" w:line="240" w:lineRule="auto"/>
    </w:pPr>
    <w:rPr>
      <w:rFonts w:ascii="Montserrat" w:eastAsia="Calibri" w:hAnsi="Montserrat" w:cs="Calibri"/>
      <w:sz w:val="20"/>
      <w:szCs w:val="20"/>
    </w:rPr>
  </w:style>
  <w:style w:type="character" w:styleId="PlaceholderText">
    <w:name w:val="Placeholder Text"/>
    <w:basedOn w:val="DefaultParagraphFont"/>
    <w:uiPriority w:val="99"/>
    <w:semiHidden/>
    <w:rsid w:val="00785C2F"/>
    <w:rPr>
      <w:rFonts w:cs="Times New Roman"/>
      <w:color w:val="808080"/>
    </w:rPr>
  </w:style>
  <w:style w:type="paragraph" w:customStyle="1" w:styleId="References">
    <w:name w:val="References"/>
    <w:uiPriority w:val="9"/>
    <w:qFormat/>
    <w:rsid w:val="00785C2F"/>
    <w:pPr>
      <w:spacing w:before="120" w:after="0" w:line="240" w:lineRule="auto"/>
      <w:ind w:left="425" w:hanging="425"/>
    </w:pPr>
    <w:rPr>
      <w:rFonts w:ascii="Montserrat" w:eastAsia="Calibri" w:hAnsi="Montserrat" w:cs="Calibri"/>
      <w:sz w:val="16"/>
      <w:szCs w:val="12"/>
    </w:rPr>
  </w:style>
  <w:style w:type="paragraph" w:customStyle="1" w:styleId="1Tablelist">
    <w:name w:val="1. Table list"/>
    <w:basedOn w:val="BodyText"/>
    <w:qFormat/>
    <w:rsid w:val="00785C2F"/>
    <w:pPr>
      <w:keepLines/>
      <w:numPr>
        <w:numId w:val="27"/>
      </w:numPr>
      <w:spacing w:before="20"/>
      <w:ind w:right="113"/>
      <w:jc w:val="left"/>
    </w:pPr>
    <w:rPr>
      <w:rFonts w:ascii="Montserrat" w:eastAsia="Calibri" w:hAnsi="Montserrat" w:cs="Calibri"/>
      <w:sz w:val="18"/>
      <w:szCs w:val="20"/>
    </w:rPr>
  </w:style>
  <w:style w:type="paragraph" w:styleId="TableofFigures">
    <w:name w:val="table of figures"/>
    <w:basedOn w:val="BodyText"/>
    <w:next w:val="BodyText"/>
    <w:uiPriority w:val="99"/>
    <w:unhideWhenUsed/>
    <w:rsid w:val="00785C2F"/>
    <w:pPr>
      <w:keepLines/>
      <w:spacing w:before="0" w:line="288" w:lineRule="auto"/>
      <w:ind w:left="442" w:hanging="442"/>
      <w:jc w:val="left"/>
    </w:pPr>
    <w:rPr>
      <w:rFonts w:ascii="Montserrat" w:eastAsia="Calibri" w:hAnsi="Montserrat" w:cs="Calibri"/>
      <w:sz w:val="18"/>
      <w:szCs w:val="20"/>
    </w:rPr>
  </w:style>
  <w:style w:type="paragraph" w:customStyle="1" w:styleId="AbbreviationsList">
    <w:name w:val="Abbreviations List"/>
    <w:uiPriority w:val="9"/>
    <w:rsid w:val="00785C2F"/>
    <w:pPr>
      <w:tabs>
        <w:tab w:val="left" w:pos="2268"/>
      </w:tabs>
      <w:spacing w:before="2" w:after="0" w:line="240" w:lineRule="auto"/>
      <w:ind w:left="851"/>
    </w:pPr>
    <w:rPr>
      <w:rFonts w:ascii="Montserrat" w:eastAsia="Calibri" w:hAnsi="Montserrat" w:cs="Calibri"/>
      <w:sz w:val="18"/>
      <w:szCs w:val="20"/>
    </w:rPr>
  </w:style>
  <w:style w:type="paragraph" w:styleId="Title">
    <w:name w:val="Title"/>
    <w:basedOn w:val="BodyText"/>
    <w:next w:val="BodyText"/>
    <w:link w:val="TitleChar"/>
    <w:uiPriority w:val="10"/>
    <w:qFormat/>
    <w:rsid w:val="00785C2F"/>
    <w:pPr>
      <w:keepLines/>
      <w:spacing w:before="0" w:line="500" w:lineRule="auto"/>
      <w:jc w:val="left"/>
    </w:pPr>
    <w:rPr>
      <w:rFonts w:ascii="Montserrat" w:eastAsia="Calibri" w:hAnsi="Montserrat" w:cs="Tahoma"/>
      <w:sz w:val="40"/>
      <w:szCs w:val="20"/>
      <w:lang w:val="en-US"/>
    </w:rPr>
  </w:style>
  <w:style w:type="character" w:customStyle="1" w:styleId="TitleChar">
    <w:name w:val="Title Char"/>
    <w:basedOn w:val="DefaultParagraphFont"/>
    <w:link w:val="Title"/>
    <w:uiPriority w:val="10"/>
    <w:rsid w:val="00785C2F"/>
    <w:rPr>
      <w:rFonts w:ascii="Montserrat" w:eastAsia="Calibri" w:hAnsi="Montserrat" w:cs="Tahoma"/>
      <w:sz w:val="40"/>
      <w:szCs w:val="20"/>
      <w:lang w:val="en-US"/>
    </w:rPr>
  </w:style>
  <w:style w:type="paragraph" w:styleId="Date">
    <w:name w:val="Date"/>
    <w:aliases w:val="Front page text"/>
    <w:basedOn w:val="Normal"/>
    <w:next w:val="BodyText"/>
    <w:link w:val="DateChar"/>
    <w:uiPriority w:val="99"/>
    <w:unhideWhenUsed/>
    <w:rsid w:val="00785C2F"/>
    <w:pPr>
      <w:keepNext/>
      <w:spacing w:before="0" w:after="240" w:line="276" w:lineRule="auto"/>
      <w:jc w:val="left"/>
    </w:pPr>
    <w:rPr>
      <w:rFonts w:ascii="Montserrat" w:eastAsia="Calibri" w:hAnsi="Montserrat" w:cs="Tahoma"/>
      <w:sz w:val="32"/>
      <w:szCs w:val="28"/>
    </w:rPr>
  </w:style>
  <w:style w:type="character" w:customStyle="1" w:styleId="DateChar">
    <w:name w:val="Date Char"/>
    <w:aliases w:val="Front page text Char"/>
    <w:basedOn w:val="DefaultParagraphFont"/>
    <w:link w:val="Date"/>
    <w:uiPriority w:val="99"/>
    <w:rsid w:val="00785C2F"/>
    <w:rPr>
      <w:rFonts w:ascii="Montserrat" w:eastAsia="Calibri" w:hAnsi="Montserrat" w:cs="Tahoma"/>
      <w:sz w:val="32"/>
      <w:szCs w:val="28"/>
    </w:rPr>
  </w:style>
  <w:style w:type="paragraph" w:customStyle="1" w:styleId="BoxHeading">
    <w:name w:val="BoxHeading"/>
    <w:basedOn w:val="BodyText"/>
    <w:uiPriority w:val="3"/>
    <w:rsid w:val="00785C2F"/>
    <w:pPr>
      <w:keepLines/>
      <w:pBdr>
        <w:top w:val="single" w:sz="6" w:space="1" w:color="000000"/>
        <w:left w:val="single" w:sz="6" w:space="4" w:color="000000"/>
        <w:bottom w:val="single" w:sz="6" w:space="1" w:color="000000"/>
        <w:right w:val="single" w:sz="6" w:space="4" w:color="000000"/>
      </w:pBdr>
      <w:tabs>
        <w:tab w:val="left" w:pos="1418"/>
      </w:tabs>
      <w:spacing w:before="0"/>
      <w:jc w:val="left"/>
    </w:pPr>
    <w:rPr>
      <w:rFonts w:ascii="Montserrat" w:eastAsia="Times New Roman" w:hAnsi="Montserrat" w:cs="Calibri"/>
      <w:b/>
      <w:bCs/>
      <w:sz w:val="18"/>
      <w:szCs w:val="20"/>
      <w:lang w:val="en-US"/>
    </w:rPr>
  </w:style>
  <w:style w:type="paragraph" w:customStyle="1" w:styleId="BoxText">
    <w:name w:val="BoxText"/>
    <w:basedOn w:val="BodyText"/>
    <w:uiPriority w:val="3"/>
    <w:rsid w:val="00785C2F"/>
    <w:pPr>
      <w:keepLines/>
      <w:pBdr>
        <w:top w:val="single" w:sz="6" w:space="1" w:color="000000"/>
        <w:left w:val="single" w:sz="6" w:space="4" w:color="000000"/>
        <w:bottom w:val="single" w:sz="6" w:space="1" w:color="000000"/>
        <w:right w:val="single" w:sz="6" w:space="4" w:color="000000"/>
      </w:pBdr>
      <w:spacing w:before="0" w:after="240"/>
      <w:jc w:val="left"/>
    </w:pPr>
    <w:rPr>
      <w:rFonts w:ascii="Montserrat" w:eastAsia="Times New Roman" w:hAnsi="Montserrat" w:cs="Calibri"/>
      <w:sz w:val="18"/>
      <w:szCs w:val="24"/>
      <w:lang w:val="en-US"/>
    </w:rPr>
  </w:style>
  <w:style w:type="paragraph" w:customStyle="1" w:styleId="BoxName">
    <w:name w:val="BoxName"/>
    <w:basedOn w:val="BoxText"/>
    <w:uiPriority w:val="3"/>
    <w:rsid w:val="00785C2F"/>
    <w:pPr>
      <w:keepNext/>
      <w:pBdr>
        <w:top w:val="none" w:sz="0" w:space="0" w:color="auto"/>
        <w:left w:val="none" w:sz="0" w:space="0" w:color="auto"/>
        <w:bottom w:val="none" w:sz="0" w:space="0" w:color="auto"/>
        <w:right w:val="none" w:sz="0" w:space="0" w:color="auto"/>
      </w:pBdr>
      <w:spacing w:before="180"/>
      <w:ind w:left="1886" w:hanging="1080"/>
    </w:pPr>
    <w:rPr>
      <w:rFonts w:asciiTheme="minorHAnsi" w:hAnsiTheme="minorHAnsi"/>
      <w:b/>
      <w:bCs/>
    </w:rPr>
  </w:style>
  <w:style w:type="paragraph" w:customStyle="1" w:styleId="Bulletintro">
    <w:name w:val="Bullet intro"/>
    <w:basedOn w:val="BodyText"/>
    <w:uiPriority w:val="2"/>
    <w:rsid w:val="00785C2F"/>
    <w:pPr>
      <w:keepLines/>
      <w:spacing w:before="0"/>
      <w:jc w:val="left"/>
    </w:pPr>
    <w:rPr>
      <w:rFonts w:ascii="Montserrat" w:eastAsia="Times New Roman" w:hAnsi="Montserrat" w:cs="Arial"/>
      <w:sz w:val="18"/>
      <w:szCs w:val="24"/>
      <w:lang w:val="en-US"/>
    </w:rPr>
  </w:style>
  <w:style w:type="paragraph" w:customStyle="1" w:styleId="Bullet12">
    <w:name w:val="Bullet+12"/>
    <w:basedOn w:val="Normal"/>
    <w:uiPriority w:val="2"/>
    <w:qFormat/>
    <w:rsid w:val="00785C2F"/>
    <w:pPr>
      <w:keepLines/>
      <w:numPr>
        <w:numId w:val="22"/>
      </w:numPr>
      <w:tabs>
        <w:tab w:val="left" w:pos="765"/>
      </w:tabs>
      <w:spacing w:before="0" w:after="120" w:line="288" w:lineRule="auto"/>
      <w:contextualSpacing/>
      <w:jc w:val="left"/>
    </w:pPr>
    <w:rPr>
      <w:rFonts w:ascii="Montserrat" w:eastAsia="Calibri" w:hAnsi="Montserrat" w:cs="Calibri"/>
      <w:sz w:val="18"/>
      <w:szCs w:val="20"/>
    </w:rPr>
  </w:style>
  <w:style w:type="paragraph" w:customStyle="1" w:styleId="Company">
    <w:name w:val="Company"/>
    <w:basedOn w:val="Subtitle"/>
    <w:uiPriority w:val="8"/>
    <w:rsid w:val="00785C2F"/>
    <w:pPr>
      <w:spacing w:line="240" w:lineRule="auto"/>
      <w:jc w:val="right"/>
    </w:pPr>
    <w:rPr>
      <w:rFonts w:eastAsia="Times New Roman" w:cs="Times New Roman"/>
      <w:bCs/>
      <w:szCs w:val="28"/>
      <w:lang w:eastAsia="en-GB"/>
    </w:rPr>
  </w:style>
  <w:style w:type="paragraph" w:styleId="Subtitle">
    <w:name w:val="Subtitle"/>
    <w:basedOn w:val="Normal"/>
    <w:next w:val="BodyText"/>
    <w:link w:val="SubtitleChar"/>
    <w:uiPriority w:val="11"/>
    <w:qFormat/>
    <w:rsid w:val="00785C2F"/>
    <w:pPr>
      <w:spacing w:before="0" w:after="0" w:line="270" w:lineRule="auto"/>
      <w:jc w:val="left"/>
    </w:pPr>
    <w:rPr>
      <w:rFonts w:ascii="Montserrat" w:eastAsia="Calibri" w:hAnsi="Montserrat" w:cs="Tahoma"/>
      <w:b/>
      <w:sz w:val="28"/>
      <w:szCs w:val="20"/>
      <w:lang w:val="en-US"/>
    </w:rPr>
  </w:style>
  <w:style w:type="character" w:customStyle="1" w:styleId="SubtitleChar">
    <w:name w:val="Subtitle Char"/>
    <w:basedOn w:val="DefaultParagraphFont"/>
    <w:link w:val="Subtitle"/>
    <w:uiPriority w:val="11"/>
    <w:rsid w:val="00785C2F"/>
    <w:rPr>
      <w:rFonts w:ascii="Montserrat" w:eastAsia="Calibri" w:hAnsi="Montserrat" w:cs="Tahoma"/>
      <w:b/>
      <w:sz w:val="28"/>
      <w:szCs w:val="20"/>
      <w:lang w:val="en-US"/>
    </w:rPr>
  </w:style>
  <w:style w:type="paragraph" w:customStyle="1" w:styleId="CompanyAddress">
    <w:name w:val="CompanyAddress"/>
    <w:basedOn w:val="Company"/>
    <w:uiPriority w:val="8"/>
    <w:qFormat/>
    <w:rsid w:val="00785C2F"/>
    <w:rPr>
      <w:b w:val="0"/>
    </w:rPr>
  </w:style>
  <w:style w:type="paragraph" w:customStyle="1" w:styleId="Dash12">
    <w:name w:val="Dash+12"/>
    <w:basedOn w:val="Normal"/>
    <w:uiPriority w:val="2"/>
    <w:rsid w:val="00785C2F"/>
    <w:pPr>
      <w:keepLines/>
      <w:numPr>
        <w:numId w:val="25"/>
      </w:numPr>
      <w:tabs>
        <w:tab w:val="left" w:pos="765"/>
      </w:tabs>
      <w:spacing w:before="0" w:after="240" w:line="288" w:lineRule="auto"/>
      <w:jc w:val="left"/>
    </w:pPr>
    <w:rPr>
      <w:rFonts w:ascii="Montserrat" w:eastAsia="Calibri" w:hAnsi="Montserrat" w:cs="Calibri"/>
      <w:sz w:val="20"/>
      <w:szCs w:val="20"/>
    </w:rPr>
  </w:style>
  <w:style w:type="paragraph" w:customStyle="1" w:styleId="Drugname">
    <w:name w:val="Drug name"/>
    <w:basedOn w:val="Normal"/>
    <w:next w:val="Normal"/>
    <w:semiHidden/>
    <w:qFormat/>
    <w:rsid w:val="00785C2F"/>
    <w:pPr>
      <w:spacing w:before="0" w:after="0"/>
      <w:jc w:val="right"/>
    </w:pPr>
    <w:rPr>
      <w:rFonts w:ascii="Helvetica" w:eastAsia="Times New Roman" w:hAnsi="Helvetica" w:cs="Calibri"/>
      <w:b/>
      <w:bCs/>
      <w:caps/>
      <w:sz w:val="36"/>
      <w:szCs w:val="36"/>
      <w:lang w:eastAsia="en-GB"/>
    </w:rPr>
  </w:style>
  <w:style w:type="paragraph" w:customStyle="1" w:styleId="Figurename">
    <w:name w:val="Figure name"/>
    <w:basedOn w:val="BodyText"/>
    <w:next w:val="BodyText"/>
    <w:uiPriority w:val="5"/>
    <w:rsid w:val="00785C2F"/>
    <w:pPr>
      <w:keepNext/>
      <w:keepLines/>
      <w:tabs>
        <w:tab w:val="left" w:pos="1418"/>
      </w:tabs>
      <w:spacing w:before="0"/>
      <w:ind w:left="1418" w:hanging="1418"/>
      <w:jc w:val="left"/>
    </w:pPr>
    <w:rPr>
      <w:rFonts w:ascii="Montserrat" w:eastAsia="Times New Roman" w:hAnsi="Montserrat" w:cs="Calibri"/>
      <w:b/>
      <w:bCs/>
      <w:sz w:val="18"/>
      <w:szCs w:val="20"/>
      <w:lang w:val="en-US"/>
    </w:rPr>
  </w:style>
  <w:style w:type="paragraph" w:customStyle="1" w:styleId="H1no">
    <w:name w:val="H1 no#"/>
    <w:basedOn w:val="Heading1"/>
    <w:next w:val="BodyText"/>
    <w:uiPriority w:val="1"/>
    <w:rsid w:val="00785C2F"/>
    <w:pPr>
      <w:pageBreakBefore/>
      <w:numPr>
        <w:numId w:val="0"/>
      </w:numPr>
      <w:spacing w:before="0" w:after="360" w:line="288" w:lineRule="auto"/>
    </w:pPr>
    <w:rPr>
      <w:rFonts w:ascii="Montserrat" w:hAnsi="Montserrat" w:cs="Calibri"/>
      <w:b w:val="0"/>
      <w:bCs/>
      <w:color w:val="053341"/>
    </w:rPr>
  </w:style>
  <w:style w:type="paragraph" w:customStyle="1" w:styleId="H1notoc">
    <w:name w:val="H1 no toc"/>
    <w:basedOn w:val="Heading1"/>
    <w:next w:val="BodyText"/>
    <w:uiPriority w:val="1"/>
    <w:rsid w:val="00785C2F"/>
    <w:pPr>
      <w:pageBreakBefore/>
      <w:numPr>
        <w:numId w:val="0"/>
      </w:numPr>
      <w:spacing w:before="20" w:after="20" w:line="288" w:lineRule="auto"/>
      <w:ind w:left="431" w:hanging="431"/>
    </w:pPr>
    <w:rPr>
      <w:rFonts w:ascii="Montserrat" w:hAnsi="Montserrat" w:cstheme="minorHAnsi"/>
      <w:b w:val="0"/>
      <w:bCs/>
      <w:color w:val="053341"/>
    </w:rPr>
  </w:style>
  <w:style w:type="paragraph" w:customStyle="1" w:styleId="H2notoc">
    <w:name w:val="H2 no toc"/>
    <w:basedOn w:val="Heading2"/>
    <w:next w:val="BodyText"/>
    <w:link w:val="H2notocChar"/>
    <w:uiPriority w:val="1"/>
    <w:rsid w:val="00785C2F"/>
    <w:pPr>
      <w:spacing w:before="240" w:line="288" w:lineRule="auto"/>
      <w:outlineLvl w:val="9"/>
    </w:pPr>
    <w:rPr>
      <w:rFonts w:ascii="Montserrat" w:eastAsia="Times New Roman" w:hAnsi="Montserrat" w:cs="Calibri"/>
      <w:b w:val="0"/>
      <w:bCs/>
      <w:i w:val="0"/>
      <w:snapToGrid/>
      <w:color w:val="006579"/>
      <w:szCs w:val="26"/>
    </w:rPr>
  </w:style>
  <w:style w:type="paragraph" w:customStyle="1" w:styleId="H3notoc">
    <w:name w:val="H3 no toc"/>
    <w:basedOn w:val="Heading3"/>
    <w:next w:val="BodyText"/>
    <w:link w:val="H3notocChar"/>
    <w:uiPriority w:val="1"/>
    <w:rsid w:val="00785C2F"/>
    <w:pPr>
      <w:numPr>
        <w:ilvl w:val="0"/>
        <w:numId w:val="0"/>
      </w:numPr>
      <w:spacing w:before="200" w:line="288" w:lineRule="auto"/>
      <w:jc w:val="left"/>
      <w:outlineLvl w:val="9"/>
    </w:pPr>
    <w:rPr>
      <w:rFonts w:ascii="Montserrat" w:eastAsia="Times New Roman" w:hAnsi="Montserrat" w:cs="Calibri"/>
      <w:b w:val="0"/>
      <w:bCs/>
      <w:color w:val="00968F"/>
      <w:sz w:val="24"/>
      <w:szCs w:val="20"/>
    </w:rPr>
  </w:style>
  <w:style w:type="paragraph" w:customStyle="1" w:styleId="QuoteBodyText">
    <w:name w:val="QuoteBodyText"/>
    <w:basedOn w:val="BodyText"/>
    <w:next w:val="BodyText"/>
    <w:uiPriority w:val="6"/>
    <w:rsid w:val="00785C2F"/>
    <w:pPr>
      <w:keepLines/>
      <w:spacing w:before="0" w:after="0"/>
      <w:ind w:left="567" w:right="662"/>
      <w:jc w:val="left"/>
    </w:pPr>
    <w:rPr>
      <w:rFonts w:ascii="Montserrat" w:eastAsia="Calibri" w:hAnsi="Montserrat" w:cs="Calibri"/>
      <w:i/>
      <w:sz w:val="18"/>
      <w:szCs w:val="18"/>
    </w:rPr>
  </w:style>
  <w:style w:type="paragraph" w:customStyle="1" w:styleId="QuoteSmallText">
    <w:name w:val="QuoteSmallText"/>
    <w:basedOn w:val="QuoteBodyText"/>
    <w:next w:val="BodyText"/>
    <w:uiPriority w:val="6"/>
    <w:rsid w:val="00785C2F"/>
    <w:pPr>
      <w:spacing w:before="120"/>
    </w:pPr>
  </w:style>
  <w:style w:type="paragraph" w:customStyle="1" w:styleId="Tabledash">
    <w:name w:val="Table dash"/>
    <w:basedOn w:val="BodyText"/>
    <w:uiPriority w:val="4"/>
    <w:qFormat/>
    <w:rsid w:val="00785C2F"/>
    <w:pPr>
      <w:keepNext/>
      <w:keepLines/>
      <w:numPr>
        <w:numId w:val="26"/>
      </w:numPr>
      <w:tabs>
        <w:tab w:val="left" w:pos="993"/>
      </w:tabs>
      <w:spacing w:before="20" w:after="20"/>
      <w:jc w:val="left"/>
    </w:pPr>
    <w:rPr>
      <w:rFonts w:ascii="Montserrat" w:eastAsia="Times New Roman" w:hAnsi="Montserrat" w:cs="Calibri"/>
      <w:bCs/>
      <w:color w:val="000000"/>
      <w:sz w:val="18"/>
      <w:szCs w:val="26"/>
    </w:rPr>
  </w:style>
  <w:style w:type="paragraph" w:customStyle="1" w:styleId="TableH1">
    <w:name w:val="Table H1"/>
    <w:basedOn w:val="BodyText"/>
    <w:uiPriority w:val="4"/>
    <w:qFormat/>
    <w:rsid w:val="00785C2F"/>
    <w:pPr>
      <w:keepNext/>
      <w:keepLines/>
      <w:spacing w:before="20" w:after="20"/>
      <w:jc w:val="left"/>
    </w:pPr>
    <w:rPr>
      <w:rFonts w:ascii="Montserrat" w:eastAsia="Calibri" w:hAnsi="Montserrat" w:cs="Calibri"/>
      <w:b/>
      <w:sz w:val="18"/>
      <w:szCs w:val="16"/>
      <w:lang w:val="en-US"/>
    </w:rPr>
  </w:style>
  <w:style w:type="paragraph" w:customStyle="1" w:styleId="TableH29pt">
    <w:name w:val="Table H2 9pt"/>
    <w:basedOn w:val="BodyText"/>
    <w:next w:val="Tabletext0"/>
    <w:uiPriority w:val="4"/>
    <w:qFormat/>
    <w:rsid w:val="00785C2F"/>
    <w:pPr>
      <w:keepNext/>
      <w:keepLines/>
      <w:spacing w:before="20" w:after="20"/>
      <w:contextualSpacing/>
      <w:jc w:val="left"/>
    </w:pPr>
    <w:rPr>
      <w:rFonts w:ascii="Montserrat" w:eastAsia="Calibri" w:hAnsi="Montserrat" w:cs="Calibri"/>
      <w:b/>
      <w:sz w:val="18"/>
      <w:szCs w:val="20"/>
    </w:rPr>
  </w:style>
  <w:style w:type="paragraph" w:customStyle="1" w:styleId="TableH3italic">
    <w:name w:val="Table H3 italic"/>
    <w:basedOn w:val="TableH29pt"/>
    <w:next w:val="Tabletext0"/>
    <w:uiPriority w:val="4"/>
    <w:rsid w:val="00785C2F"/>
    <w:rPr>
      <w:i/>
      <w:color w:val="595959" w:themeColor="text1" w:themeTint="A6"/>
      <w:sz w:val="16"/>
      <w:szCs w:val="16"/>
    </w:rPr>
  </w:style>
  <w:style w:type="paragraph" w:customStyle="1" w:styleId="H2no">
    <w:name w:val="H2 no#"/>
    <w:basedOn w:val="H2notoc"/>
    <w:rsid w:val="00785C2F"/>
    <w:rPr>
      <w:bCs w:val="0"/>
      <w:color w:val="ED7D31" w:themeColor="accent2"/>
    </w:rPr>
  </w:style>
  <w:style w:type="paragraph" w:customStyle="1" w:styleId="ListNos12">
    <w:name w:val="ListNos+12"/>
    <w:basedOn w:val="Normal"/>
    <w:next w:val="BodyText"/>
    <w:uiPriority w:val="2"/>
    <w:qFormat/>
    <w:rsid w:val="00785C2F"/>
    <w:pPr>
      <w:keepLines/>
      <w:numPr>
        <w:numId w:val="23"/>
      </w:numPr>
      <w:spacing w:before="0" w:after="240" w:line="288" w:lineRule="auto"/>
      <w:jc w:val="left"/>
    </w:pPr>
    <w:rPr>
      <w:rFonts w:ascii="Montserrat" w:eastAsia="Calibri" w:hAnsi="Montserrat" w:cs="Calibri"/>
      <w:sz w:val="18"/>
      <w:szCs w:val="20"/>
    </w:rPr>
  </w:style>
  <w:style w:type="paragraph" w:customStyle="1" w:styleId="Notes">
    <w:name w:val="Notes"/>
    <w:next w:val="BodyText"/>
    <w:uiPriority w:val="6"/>
    <w:qFormat/>
    <w:rsid w:val="00785C2F"/>
    <w:pPr>
      <w:spacing w:after="120" w:line="240" w:lineRule="auto"/>
    </w:pPr>
    <w:rPr>
      <w:rFonts w:ascii="Montserrat" w:eastAsia="Times New Roman" w:hAnsi="Montserrat" w:cs="Times New Roman"/>
      <w:color w:val="C00000"/>
      <w:szCs w:val="24"/>
    </w:rPr>
  </w:style>
  <w:style w:type="character" w:styleId="PageNumber">
    <w:name w:val="page number"/>
    <w:basedOn w:val="DefaultParagraphFont"/>
    <w:uiPriority w:val="8"/>
    <w:rsid w:val="00785C2F"/>
    <w:rPr>
      <w:rFonts w:ascii="Calibri" w:hAnsi="Calibri"/>
      <w:b w:val="0"/>
      <w:color w:val="808080" w:themeColor="background1" w:themeShade="80"/>
      <w:sz w:val="18"/>
    </w:rPr>
  </w:style>
  <w:style w:type="table" w:customStyle="1" w:styleId="StandardTable">
    <w:name w:val="Standard Table"/>
    <w:basedOn w:val="TableNormal"/>
    <w:semiHidden/>
    <w:rsid w:val="00785C2F"/>
    <w:pPr>
      <w:spacing w:after="0" w:line="240" w:lineRule="auto"/>
    </w:pPr>
    <w:rPr>
      <w:rFonts w:ascii="Garamond" w:eastAsia="Times New Roman" w:hAnsi="Garamond" w:cs="Times New Roman"/>
      <w:sz w:val="18"/>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paragraph" w:customStyle="1" w:styleId="Table-columnheadings">
    <w:name w:val="Table - column headings"/>
    <w:basedOn w:val="Normal"/>
    <w:semiHidden/>
    <w:unhideWhenUsed/>
    <w:rsid w:val="00785C2F"/>
    <w:pPr>
      <w:spacing w:before="0" w:after="240"/>
      <w:ind w:left="720"/>
      <w:jc w:val="center"/>
    </w:pPr>
    <w:rPr>
      <w:rFonts w:ascii="Montserrat" w:eastAsia="Times New Roman" w:hAnsi="Montserrat" w:cs="Arial"/>
      <w:b/>
      <w:color w:val="000000"/>
      <w:sz w:val="20"/>
      <w:szCs w:val="24"/>
      <w:lang w:val="en-US" w:eastAsia="en-AU"/>
    </w:rPr>
  </w:style>
  <w:style w:type="table" w:customStyle="1" w:styleId="TableNoBorders">
    <w:name w:val="Table No Borders"/>
    <w:basedOn w:val="TableNormal"/>
    <w:rsid w:val="00785C2F"/>
    <w:pPr>
      <w:spacing w:before="40" w:after="20" w:line="240" w:lineRule="auto"/>
    </w:pPr>
    <w:rPr>
      <w:rFonts w:ascii="Garamond" w:eastAsia="Times New Roman" w:hAnsi="Garamond" w:cs="Times New Roman"/>
      <w:lang w:eastAsia="en-AU"/>
    </w:rPr>
    <w:tblPr/>
  </w:style>
  <w:style w:type="table" w:customStyle="1" w:styleId="TableHTAStandard">
    <w:name w:val="Table HTA Standard"/>
    <w:basedOn w:val="TableNoBorders"/>
    <w:rsid w:val="00785C2F"/>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ListNos">
    <w:name w:val="Table ListNos"/>
    <w:basedOn w:val="BodyText"/>
    <w:uiPriority w:val="4"/>
    <w:qFormat/>
    <w:rsid w:val="00785C2F"/>
    <w:pPr>
      <w:keepLines/>
      <w:numPr>
        <w:numId w:val="24"/>
      </w:numPr>
      <w:spacing w:before="0" w:line="288" w:lineRule="auto"/>
      <w:jc w:val="left"/>
    </w:pPr>
    <w:rPr>
      <w:rFonts w:ascii="Montserrat" w:eastAsia="Calibri" w:hAnsi="Montserrat" w:cs="Calibri"/>
      <w:sz w:val="18"/>
      <w:szCs w:val="20"/>
    </w:rPr>
  </w:style>
  <w:style w:type="paragraph" w:customStyle="1" w:styleId="Tabletextindent">
    <w:name w:val="Table text indent"/>
    <w:basedOn w:val="Tabletext0"/>
    <w:uiPriority w:val="4"/>
    <w:qFormat/>
    <w:rsid w:val="00785C2F"/>
    <w:pPr>
      <w:keepNext/>
      <w:keepLines/>
      <w:spacing w:before="20" w:after="20"/>
      <w:ind w:left="284"/>
    </w:pPr>
    <w:rPr>
      <w:rFonts w:ascii="Montserrat" w:eastAsia="Calibri" w:hAnsi="Montserrat" w:cs="Calibri"/>
      <w:snapToGrid/>
      <w:sz w:val="18"/>
      <w:szCs w:val="16"/>
      <w:lang w:eastAsia="en-US"/>
    </w:rPr>
  </w:style>
  <w:style w:type="table" w:styleId="TableTheme">
    <w:name w:val="Table Theme"/>
    <w:basedOn w:val="TableNormal"/>
    <w:semiHidden/>
    <w:rsid w:val="00785C2F"/>
    <w:pPr>
      <w:spacing w:after="0" w:line="240" w:lineRule="auto"/>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nonocol">
    <w:name w:val="H2 no#nocol"/>
    <w:basedOn w:val="Heading2"/>
    <w:next w:val="BodyText"/>
    <w:link w:val="H2nonocolChar"/>
    <w:uiPriority w:val="1"/>
    <w:rsid w:val="00785C2F"/>
    <w:pPr>
      <w:spacing w:before="240" w:line="288" w:lineRule="auto"/>
    </w:pPr>
    <w:rPr>
      <w:rFonts w:ascii="Montserrat" w:eastAsia="Times New Roman" w:hAnsi="Montserrat" w:cs="Calibri"/>
      <w:b w:val="0"/>
      <w:bCs/>
      <w:i w:val="0"/>
      <w:snapToGrid/>
      <w:color w:val="7F7F7F" w:themeColor="text1" w:themeTint="80"/>
      <w:szCs w:val="26"/>
    </w:rPr>
  </w:style>
  <w:style w:type="paragraph" w:customStyle="1" w:styleId="H3-nonocol">
    <w:name w:val="H3-no#nocol"/>
    <w:basedOn w:val="Heading3"/>
    <w:next w:val="BodyText"/>
    <w:link w:val="H3-nonocolChar"/>
    <w:uiPriority w:val="1"/>
    <w:rsid w:val="00785C2F"/>
    <w:pPr>
      <w:numPr>
        <w:ilvl w:val="0"/>
        <w:numId w:val="0"/>
      </w:numPr>
      <w:spacing w:before="200" w:line="288" w:lineRule="auto"/>
      <w:jc w:val="left"/>
    </w:pPr>
    <w:rPr>
      <w:rFonts w:ascii="Montserrat" w:eastAsia="Times New Roman" w:hAnsi="Montserrat" w:cs="Calibri"/>
      <w:b w:val="0"/>
      <w:bCs/>
      <w:color w:val="808080" w:themeColor="background1" w:themeShade="80"/>
      <w:sz w:val="24"/>
      <w:szCs w:val="20"/>
    </w:rPr>
  </w:style>
  <w:style w:type="paragraph" w:customStyle="1" w:styleId="H4-nonocol">
    <w:name w:val="H4-no#nocol"/>
    <w:basedOn w:val="Heading4"/>
    <w:next w:val="BodyText"/>
    <w:uiPriority w:val="1"/>
    <w:rsid w:val="00785C2F"/>
    <w:pPr>
      <w:numPr>
        <w:ilvl w:val="0"/>
        <w:numId w:val="0"/>
      </w:numPr>
      <w:spacing w:before="200" w:line="288" w:lineRule="auto"/>
    </w:pPr>
    <w:rPr>
      <w:rFonts w:ascii="Montserrat" w:eastAsia="Times New Roman" w:hAnsi="Montserrat" w:cs="Calibri"/>
      <w:b w:val="0"/>
      <w:bCs/>
      <w:iCs/>
      <w:color w:val="BFBFBF" w:themeColor="background1" w:themeShade="BF"/>
      <w:szCs w:val="20"/>
    </w:rPr>
  </w:style>
  <w:style w:type="character" w:styleId="IntenseEmphasis">
    <w:name w:val="Intense Emphasis"/>
    <w:basedOn w:val="DefaultParagraphFont"/>
    <w:uiPriority w:val="21"/>
    <w:rsid w:val="00785C2F"/>
    <w:rPr>
      <w:rFonts w:ascii="Montserrat" w:hAnsi="Montserrat"/>
      <w:i/>
      <w:iCs/>
      <w:color w:val="595959" w:themeColor="text1" w:themeTint="A6"/>
      <w:sz w:val="18"/>
    </w:rPr>
  </w:style>
  <w:style w:type="character" w:customStyle="1" w:styleId="H2notocChar">
    <w:name w:val="H2 no toc Char"/>
    <w:basedOn w:val="Heading2Char"/>
    <w:link w:val="H2notoc"/>
    <w:uiPriority w:val="1"/>
    <w:rsid w:val="00785C2F"/>
    <w:rPr>
      <w:rFonts w:ascii="Montserrat" w:eastAsia="Times New Roman" w:hAnsi="Montserrat" w:cs="Calibri"/>
      <w:b w:val="0"/>
      <w:bCs/>
      <w:i w:val="0"/>
      <w:snapToGrid/>
      <w:color w:val="006579"/>
      <w:sz w:val="28"/>
      <w:szCs w:val="26"/>
    </w:rPr>
  </w:style>
  <w:style w:type="character" w:customStyle="1" w:styleId="H2nonocolChar">
    <w:name w:val="H2 no#nocol Char"/>
    <w:basedOn w:val="Heading2Char"/>
    <w:link w:val="H2nonocol"/>
    <w:uiPriority w:val="1"/>
    <w:rsid w:val="00785C2F"/>
    <w:rPr>
      <w:rFonts w:ascii="Montserrat" w:eastAsia="Times New Roman" w:hAnsi="Montserrat" w:cs="Calibri"/>
      <w:b w:val="0"/>
      <w:bCs/>
      <w:i w:val="0"/>
      <w:snapToGrid/>
      <w:color w:val="7F7F7F" w:themeColor="text1" w:themeTint="80"/>
      <w:sz w:val="28"/>
      <w:szCs w:val="26"/>
    </w:rPr>
  </w:style>
  <w:style w:type="character" w:customStyle="1" w:styleId="H3notocChar">
    <w:name w:val="H3 no toc Char"/>
    <w:basedOn w:val="Heading3Char"/>
    <w:link w:val="H3notoc"/>
    <w:uiPriority w:val="1"/>
    <w:rsid w:val="00785C2F"/>
    <w:rPr>
      <w:rFonts w:ascii="Montserrat" w:eastAsia="Times New Roman" w:hAnsi="Montserrat" w:cs="Calibri"/>
      <w:b w:val="0"/>
      <w:bCs/>
      <w:color w:val="00968F"/>
      <w:sz w:val="24"/>
      <w:szCs w:val="20"/>
    </w:rPr>
  </w:style>
  <w:style w:type="character" w:customStyle="1" w:styleId="H3-nonocolChar">
    <w:name w:val="H3-no#nocol Char"/>
    <w:basedOn w:val="Heading3Char"/>
    <w:link w:val="H3-nonocol"/>
    <w:uiPriority w:val="1"/>
    <w:rsid w:val="00785C2F"/>
    <w:rPr>
      <w:rFonts w:ascii="Montserrat" w:eastAsia="Times New Roman" w:hAnsi="Montserrat" w:cs="Calibri"/>
      <w:b w:val="0"/>
      <w:bCs/>
      <w:color w:val="808080" w:themeColor="background1" w:themeShade="80"/>
      <w:sz w:val="24"/>
      <w:szCs w:val="20"/>
    </w:rPr>
  </w:style>
  <w:style w:type="character" w:styleId="SubtleEmphasis">
    <w:name w:val="Subtle Emphasis"/>
    <w:basedOn w:val="DefaultParagraphFont"/>
    <w:uiPriority w:val="19"/>
    <w:rsid w:val="00785C2F"/>
    <w:rPr>
      <w:rFonts w:ascii="Montserrat" w:hAnsi="Montserrat"/>
      <w:i/>
      <w:iCs/>
      <w:color w:val="404040" w:themeColor="text1" w:themeTint="BF"/>
      <w:sz w:val="18"/>
    </w:rPr>
  </w:style>
  <w:style w:type="character" w:styleId="Strong">
    <w:name w:val="Strong"/>
    <w:uiPriority w:val="22"/>
    <w:rsid w:val="00785C2F"/>
    <w:rPr>
      <w:rFonts w:ascii="Montserrat" w:hAnsi="Montserrat"/>
    </w:rPr>
  </w:style>
  <w:style w:type="paragraph" w:customStyle="1" w:styleId="H1nonocol">
    <w:name w:val="H1 no#nocol"/>
    <w:basedOn w:val="H1no"/>
    <w:rsid w:val="00785C2F"/>
    <w:rPr>
      <w:color w:val="404040" w:themeColor="text1" w:themeTint="BF"/>
    </w:rPr>
  </w:style>
  <w:style w:type="paragraph" w:customStyle="1" w:styleId="TableH29ptCentered">
    <w:name w:val="Table H2 9pt + Centered"/>
    <w:basedOn w:val="TableH29pt"/>
    <w:rsid w:val="00785C2F"/>
    <w:pPr>
      <w:jc w:val="center"/>
    </w:pPr>
  </w:style>
  <w:style w:type="paragraph" w:styleId="IntenseQuote">
    <w:name w:val="Intense Quote"/>
    <w:basedOn w:val="Normal"/>
    <w:next w:val="Normal"/>
    <w:link w:val="IntenseQuoteChar"/>
    <w:uiPriority w:val="30"/>
    <w:qFormat/>
    <w:rsid w:val="00785C2F"/>
    <w:pPr>
      <w:pBdr>
        <w:top w:val="single" w:sz="4" w:space="10" w:color="5B9BD5" w:themeColor="accent1"/>
        <w:bottom w:val="single" w:sz="4" w:space="10" w:color="5B9BD5" w:themeColor="accent1"/>
      </w:pBdr>
      <w:spacing w:before="360" w:after="360" w:line="276" w:lineRule="auto"/>
      <w:ind w:left="864" w:right="864"/>
      <w:jc w:val="center"/>
    </w:pPr>
    <w:rPr>
      <w:rFonts w:ascii="Montserrat" w:eastAsia="Calibri" w:hAnsi="Montserrat" w:cs="Calibri"/>
      <w:i/>
      <w:iCs/>
      <w:color w:val="5B9BD5" w:themeColor="accent1"/>
      <w:sz w:val="18"/>
      <w:szCs w:val="20"/>
    </w:rPr>
  </w:style>
  <w:style w:type="character" w:customStyle="1" w:styleId="IntenseQuoteChar">
    <w:name w:val="Intense Quote Char"/>
    <w:basedOn w:val="DefaultParagraphFont"/>
    <w:link w:val="IntenseQuote"/>
    <w:uiPriority w:val="30"/>
    <w:rsid w:val="00785C2F"/>
    <w:rPr>
      <w:rFonts w:ascii="Montserrat" w:eastAsia="Calibri" w:hAnsi="Montserrat" w:cs="Calibri"/>
      <w:i/>
      <w:iCs/>
      <w:color w:val="5B9BD5" w:themeColor="accent1"/>
      <w:sz w:val="18"/>
      <w:szCs w:val="20"/>
    </w:rPr>
  </w:style>
  <w:style w:type="paragraph" w:customStyle="1" w:styleId="Tabletext9pt">
    <w:name w:val="Table text 9pt"/>
    <w:basedOn w:val="Tabletext0"/>
    <w:rsid w:val="00785C2F"/>
    <w:pPr>
      <w:keepNext/>
      <w:keepLines/>
      <w:spacing w:before="20" w:after="20"/>
    </w:pPr>
    <w:rPr>
      <w:rFonts w:ascii="Montserrat" w:eastAsia="Calibri" w:hAnsi="Montserrat" w:cs="Calibri"/>
      <w:snapToGrid/>
      <w:sz w:val="18"/>
      <w:szCs w:val="16"/>
      <w:lang w:eastAsia="en-US"/>
    </w:rPr>
  </w:style>
  <w:style w:type="table" w:styleId="PlainTable1">
    <w:name w:val="Plain Table 1"/>
    <w:basedOn w:val="TableNormal"/>
    <w:uiPriority w:val="41"/>
    <w:rsid w:val="00785C2F"/>
    <w:pPr>
      <w:spacing w:after="0" w:line="240" w:lineRule="auto"/>
    </w:pPr>
    <w:rPr>
      <w:rFonts w:eastAsia="Calibri"/>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85C2F"/>
    <w:pPr>
      <w:spacing w:after="0" w:line="240" w:lineRule="auto"/>
    </w:pPr>
    <w:rPr>
      <w:rFonts w:eastAsia="Calibri"/>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785C2F"/>
    <w:pPr>
      <w:spacing w:after="0" w:line="240" w:lineRule="auto"/>
    </w:pPr>
    <w:rPr>
      <w:rFonts w:eastAsia="Calibri"/>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85C2F"/>
    <w:pPr>
      <w:spacing w:after="0" w:line="240" w:lineRule="auto"/>
    </w:pPr>
    <w:rPr>
      <w:rFonts w:eastAsia="Calibri"/>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Heading1caps">
    <w:name w:val="Heading 1 caps"/>
    <w:basedOn w:val="Heading1"/>
    <w:link w:val="Heading1capsChar"/>
    <w:qFormat/>
    <w:rsid w:val="00785C2F"/>
    <w:pPr>
      <w:pageBreakBefore/>
      <w:numPr>
        <w:numId w:val="0"/>
      </w:numPr>
      <w:spacing w:before="0" w:after="360" w:line="288" w:lineRule="auto"/>
    </w:pPr>
    <w:rPr>
      <w:rFonts w:ascii="Montserrat" w:eastAsia="Times New Roman" w:hAnsi="Montserrat" w:cs="Calibri"/>
      <w:b w:val="0"/>
      <w:bCs/>
      <w:caps/>
      <w:color w:val="053341"/>
    </w:rPr>
  </w:style>
  <w:style w:type="paragraph" w:customStyle="1" w:styleId="Heading2caps">
    <w:name w:val="Heading 2 caps"/>
    <w:basedOn w:val="Heading2"/>
    <w:qFormat/>
    <w:rsid w:val="00785C2F"/>
    <w:pPr>
      <w:spacing w:before="240" w:line="288" w:lineRule="auto"/>
    </w:pPr>
    <w:rPr>
      <w:rFonts w:ascii="Montserrat" w:eastAsia="Times New Roman" w:hAnsi="Montserrat" w:cs="Calibri"/>
      <w:b w:val="0"/>
      <w:bCs/>
      <w:i w:val="0"/>
      <w:caps/>
      <w:snapToGrid/>
      <w:color w:val="006579"/>
      <w:szCs w:val="26"/>
    </w:rPr>
  </w:style>
  <w:style w:type="character" w:customStyle="1" w:styleId="Heading1capsChar">
    <w:name w:val="Heading 1 caps Char"/>
    <w:basedOn w:val="Heading1Char"/>
    <w:link w:val="Heading1caps"/>
    <w:rsid w:val="00785C2F"/>
    <w:rPr>
      <w:rFonts w:ascii="Montserrat" w:eastAsia="Times New Roman" w:hAnsi="Montserrat" w:cs="Calibri"/>
      <w:b w:val="0"/>
      <w:bCs/>
      <w:caps/>
      <w:color w:val="053341"/>
      <w:sz w:val="32"/>
      <w:szCs w:val="28"/>
    </w:rPr>
  </w:style>
  <w:style w:type="paragraph" w:customStyle="1" w:styleId="Heading3caps">
    <w:name w:val="Heading 3 caps"/>
    <w:basedOn w:val="Heading3"/>
    <w:qFormat/>
    <w:rsid w:val="00785C2F"/>
    <w:pPr>
      <w:numPr>
        <w:ilvl w:val="0"/>
        <w:numId w:val="0"/>
      </w:numPr>
      <w:spacing w:before="200" w:line="288" w:lineRule="auto"/>
      <w:jc w:val="left"/>
    </w:pPr>
    <w:rPr>
      <w:rFonts w:ascii="Montserrat" w:eastAsia="Times New Roman" w:hAnsi="Montserrat" w:cs="Calibri"/>
      <w:b w:val="0"/>
      <w:bCs/>
      <w:caps/>
      <w:color w:val="00968F"/>
      <w:sz w:val="24"/>
      <w:szCs w:val="20"/>
    </w:rPr>
  </w:style>
  <w:style w:type="paragraph" w:styleId="Quote">
    <w:name w:val="Quote"/>
    <w:basedOn w:val="Normal"/>
    <w:next w:val="Normal"/>
    <w:link w:val="QuoteChar"/>
    <w:uiPriority w:val="29"/>
    <w:qFormat/>
    <w:rsid w:val="00785C2F"/>
    <w:pPr>
      <w:spacing w:before="200" w:line="276" w:lineRule="auto"/>
      <w:ind w:left="864" w:right="864"/>
      <w:jc w:val="center"/>
    </w:pPr>
    <w:rPr>
      <w:rFonts w:ascii="Montserrat" w:eastAsia="Calibri" w:hAnsi="Montserrat" w:cs="Calibri"/>
      <w:i/>
      <w:iCs/>
      <w:color w:val="404040" w:themeColor="text1" w:themeTint="BF"/>
      <w:sz w:val="18"/>
      <w:szCs w:val="20"/>
    </w:rPr>
  </w:style>
  <w:style w:type="character" w:customStyle="1" w:styleId="QuoteChar">
    <w:name w:val="Quote Char"/>
    <w:basedOn w:val="DefaultParagraphFont"/>
    <w:link w:val="Quote"/>
    <w:uiPriority w:val="29"/>
    <w:rsid w:val="00785C2F"/>
    <w:rPr>
      <w:rFonts w:ascii="Montserrat" w:eastAsia="Calibri" w:hAnsi="Montserrat" w:cs="Calibri"/>
      <w:i/>
      <w:iCs/>
      <w:color w:val="404040" w:themeColor="text1" w:themeTint="BF"/>
      <w:sz w:val="18"/>
      <w:szCs w:val="20"/>
    </w:rPr>
  </w:style>
  <w:style w:type="character" w:styleId="IntenseReference">
    <w:name w:val="Intense Reference"/>
    <w:basedOn w:val="DefaultParagraphFont"/>
    <w:uiPriority w:val="32"/>
    <w:qFormat/>
    <w:rsid w:val="00785C2F"/>
    <w:rPr>
      <w:b/>
      <w:bCs/>
      <w:smallCaps/>
      <w:color w:val="5B9BD5" w:themeColor="accent1"/>
      <w:spacing w:val="5"/>
    </w:rPr>
  </w:style>
  <w:style w:type="character" w:styleId="SubtleReference">
    <w:name w:val="Subtle Reference"/>
    <w:basedOn w:val="DefaultParagraphFont"/>
    <w:uiPriority w:val="31"/>
    <w:rsid w:val="00785C2F"/>
    <w:rPr>
      <w:smallCaps/>
      <w:color w:val="5A5A5A" w:themeColor="text1" w:themeTint="A5"/>
    </w:rPr>
  </w:style>
  <w:style w:type="paragraph" w:customStyle="1" w:styleId="ES1">
    <w:name w:val="ES 1"/>
    <w:basedOn w:val="Heading1caps"/>
    <w:next w:val="BodyText"/>
    <w:rsid w:val="00785C2F"/>
    <w:pPr>
      <w:pageBreakBefore w:val="0"/>
      <w:numPr>
        <w:numId w:val="28"/>
      </w:numPr>
      <w:tabs>
        <w:tab w:val="clear" w:pos="397"/>
      </w:tabs>
      <w:spacing w:after="120"/>
      <w:ind w:left="717" w:hanging="360"/>
    </w:pPr>
    <w:rPr>
      <w:color w:val="auto"/>
      <w:sz w:val="24"/>
    </w:rPr>
  </w:style>
  <w:style w:type="paragraph" w:customStyle="1" w:styleId="ES2">
    <w:name w:val="ES 2"/>
    <w:basedOn w:val="Heading2"/>
    <w:next w:val="BodyText"/>
    <w:rsid w:val="00785C2F"/>
    <w:pPr>
      <w:numPr>
        <w:ilvl w:val="1"/>
        <w:numId w:val="28"/>
      </w:numPr>
      <w:spacing w:before="0" w:line="288" w:lineRule="auto"/>
    </w:pPr>
    <w:rPr>
      <w:rFonts w:ascii="Montserrat" w:eastAsia="Times New Roman" w:hAnsi="Montserrat" w:cs="Calibri"/>
      <w:b w:val="0"/>
      <w:bCs/>
      <w:i w:val="0"/>
      <w:snapToGrid/>
      <w:sz w:val="22"/>
      <w:szCs w:val="26"/>
    </w:rPr>
  </w:style>
  <w:style w:type="paragraph" w:customStyle="1" w:styleId="pf0">
    <w:name w:val="pf0"/>
    <w:basedOn w:val="Normal"/>
    <w:rsid w:val="00785C2F"/>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11">
    <w:name w:val="cf11"/>
    <w:basedOn w:val="DefaultParagraphFont"/>
    <w:rsid w:val="00785C2F"/>
    <w:rPr>
      <w:rFonts w:ascii="Segoe UI" w:hAnsi="Segoe UI" w:cs="Segoe UI" w:hint="default"/>
      <w:i/>
      <w:iCs/>
      <w:sz w:val="18"/>
      <w:szCs w:val="18"/>
    </w:rPr>
  </w:style>
  <w:style w:type="numbering" w:customStyle="1" w:styleId="Style11">
    <w:name w:val="Style11"/>
    <w:uiPriority w:val="99"/>
    <w:rsid w:val="00785C2F"/>
  </w:style>
  <w:style w:type="numbering" w:customStyle="1" w:styleId="NoList1">
    <w:name w:val="No List1"/>
    <w:next w:val="NoList"/>
    <w:uiPriority w:val="99"/>
    <w:semiHidden/>
    <w:unhideWhenUsed/>
    <w:rsid w:val="00785C2F"/>
  </w:style>
  <w:style w:type="table" w:customStyle="1" w:styleId="SummaryTable1">
    <w:name w:val="Summary Table1"/>
    <w:basedOn w:val="TableNormal"/>
    <w:next w:val="TableGrid"/>
    <w:uiPriority w:val="59"/>
    <w:rsid w:val="00785C2F"/>
    <w:pPr>
      <w:spacing w:after="0" w:line="240" w:lineRule="auto"/>
    </w:pPr>
    <w:rPr>
      <w:rFonts w:eastAsia="Calibri"/>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11">
    <w:name w:val="Table Grid 11"/>
    <w:basedOn w:val="TableNormal"/>
    <w:next w:val="TableGrid1"/>
    <w:uiPriority w:val="99"/>
    <w:semiHidden/>
    <w:unhideWhenUsed/>
    <w:rsid w:val="00785C2F"/>
    <w:pPr>
      <w:spacing w:before="120" w:line="240" w:lineRule="auto"/>
      <w:jc w:val="both"/>
    </w:pPr>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EndnoteText1">
    <w:name w:val="Endnote Text1"/>
    <w:basedOn w:val="Normal"/>
    <w:next w:val="EndnoteText"/>
    <w:uiPriority w:val="99"/>
    <w:semiHidden/>
    <w:rsid w:val="00785C2F"/>
    <w:pPr>
      <w:spacing w:before="0" w:after="0"/>
    </w:pPr>
    <w:rPr>
      <w:rFonts w:eastAsia="Calibri"/>
      <w:sz w:val="20"/>
      <w:szCs w:val="20"/>
      <w:lang w:val="de-DE"/>
    </w:rPr>
  </w:style>
  <w:style w:type="table" w:customStyle="1" w:styleId="TableSimple11">
    <w:name w:val="Table Simple 11"/>
    <w:basedOn w:val="TableNormal"/>
    <w:next w:val="TableSimple1"/>
    <w:rsid w:val="00785C2F"/>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insideH w:val="single" w:sz="4" w:space="0" w:color="auto"/>
      </w:tblBorders>
    </w:tblPr>
    <w:tcPr>
      <w:shd w:val="clear" w:color="auto" w:fill="auto"/>
    </w:tcPr>
    <w:tblStylePr w:type="firstRow">
      <w:tblPr/>
      <w:tcPr>
        <w:tcBorders>
          <w:bottom w:val="nil"/>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character" w:customStyle="1" w:styleId="EndnoteTextChar1">
    <w:name w:val="Endnote Text Char1"/>
    <w:basedOn w:val="DefaultParagraphFont"/>
    <w:uiPriority w:val="99"/>
    <w:semiHidden/>
    <w:rsid w:val="00785C2F"/>
    <w:rPr>
      <w:rFonts w:ascii="Montserrat" w:hAnsi="Montserrat" w:cs="Calibri"/>
      <w:sz w:val="20"/>
      <w:szCs w:val="20"/>
      <w:lang w:val="en-AU"/>
    </w:rPr>
  </w:style>
  <w:style w:type="paragraph" w:customStyle="1" w:styleId="Default">
    <w:name w:val="Default"/>
    <w:rsid w:val="002E6641"/>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2E6641"/>
  </w:style>
  <w:style w:type="character" w:customStyle="1" w:styleId="eop">
    <w:name w:val="eop"/>
    <w:basedOn w:val="DefaultParagraphFont"/>
    <w:rsid w:val="002E6641"/>
  </w:style>
  <w:style w:type="paragraph" w:customStyle="1" w:styleId="BulletBeforeDash">
    <w:name w:val="BulletBeforeDash"/>
    <w:basedOn w:val="Normal"/>
    <w:rsid w:val="00DC3040"/>
    <w:pPr>
      <w:numPr>
        <w:numId w:val="32"/>
      </w:numPr>
      <w:spacing w:before="0" w:after="0"/>
      <w:jc w:val="left"/>
    </w:pPr>
    <w:rPr>
      <w:rFonts w:ascii="Times New Roman" w:eastAsia="Times New Roman" w:hAnsi="Times New Roman" w:cs="Times New Roman"/>
      <w:color w:val="00000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96044182">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21529487">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6607303">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517351859">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40885607">
      <w:bodyDiv w:val="1"/>
      <w:marLeft w:val="0"/>
      <w:marRight w:val="0"/>
      <w:marTop w:val="0"/>
      <w:marBottom w:val="0"/>
      <w:divBdr>
        <w:top w:val="none" w:sz="0" w:space="0" w:color="auto"/>
        <w:left w:val="none" w:sz="0" w:space="0" w:color="auto"/>
        <w:bottom w:val="none" w:sz="0" w:space="0" w:color="auto"/>
        <w:right w:val="none" w:sz="0" w:space="0" w:color="auto"/>
      </w:divBdr>
      <w:divsChild>
        <w:div w:id="508060360">
          <w:marLeft w:val="288"/>
          <w:marRight w:val="0"/>
          <w:marTop w:val="96"/>
          <w:marBottom w:val="0"/>
          <w:divBdr>
            <w:top w:val="none" w:sz="0" w:space="0" w:color="auto"/>
            <w:left w:val="none" w:sz="0" w:space="0" w:color="auto"/>
            <w:bottom w:val="none" w:sz="0" w:space="0" w:color="auto"/>
            <w:right w:val="none" w:sz="0" w:space="0" w:color="auto"/>
          </w:divBdr>
        </w:div>
      </w:divsChild>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979">
      <w:bodyDiv w:val="1"/>
      <w:marLeft w:val="0"/>
      <w:marRight w:val="0"/>
      <w:marTop w:val="0"/>
      <w:marBottom w:val="0"/>
      <w:divBdr>
        <w:top w:val="none" w:sz="0" w:space="0" w:color="auto"/>
        <w:left w:val="none" w:sz="0" w:space="0" w:color="auto"/>
        <w:bottom w:val="none" w:sz="0" w:space="0" w:color="auto"/>
        <w:right w:val="none" w:sz="0" w:space="0" w:color="auto"/>
      </w:divBdr>
      <w:divsChild>
        <w:div w:id="1836189594">
          <w:marLeft w:val="288"/>
          <w:marRight w:val="0"/>
          <w:marTop w:val="96"/>
          <w:marBottom w:val="0"/>
          <w:divBdr>
            <w:top w:val="none" w:sz="0" w:space="0" w:color="auto"/>
            <w:left w:val="none" w:sz="0" w:space="0" w:color="auto"/>
            <w:bottom w:val="none" w:sz="0" w:space="0" w:color="auto"/>
            <w:right w:val="none" w:sz="0" w:space="0" w:color="auto"/>
          </w:divBdr>
        </w:div>
      </w:divsChild>
    </w:div>
    <w:div w:id="741411018">
      <w:bodyDiv w:val="1"/>
      <w:marLeft w:val="0"/>
      <w:marRight w:val="0"/>
      <w:marTop w:val="0"/>
      <w:marBottom w:val="0"/>
      <w:divBdr>
        <w:top w:val="none" w:sz="0" w:space="0" w:color="auto"/>
        <w:left w:val="none" w:sz="0" w:space="0" w:color="auto"/>
        <w:bottom w:val="none" w:sz="0" w:space="0" w:color="auto"/>
        <w:right w:val="none" w:sz="0" w:space="0" w:color="auto"/>
      </w:divBdr>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80430962">
      <w:bodyDiv w:val="1"/>
      <w:marLeft w:val="0"/>
      <w:marRight w:val="0"/>
      <w:marTop w:val="0"/>
      <w:marBottom w:val="0"/>
      <w:divBdr>
        <w:top w:val="none" w:sz="0" w:space="0" w:color="auto"/>
        <w:left w:val="none" w:sz="0" w:space="0" w:color="auto"/>
        <w:bottom w:val="none" w:sz="0" w:space="0" w:color="auto"/>
        <w:right w:val="none" w:sz="0" w:space="0" w:color="auto"/>
      </w:divBdr>
      <w:divsChild>
        <w:div w:id="915630487">
          <w:marLeft w:val="720"/>
          <w:marRight w:val="0"/>
          <w:marTop w:val="96"/>
          <w:marBottom w:val="0"/>
          <w:divBdr>
            <w:top w:val="none" w:sz="0" w:space="0" w:color="auto"/>
            <w:left w:val="none" w:sz="0" w:space="0" w:color="auto"/>
            <w:bottom w:val="none" w:sz="0" w:space="0" w:color="auto"/>
            <w:right w:val="none" w:sz="0" w:space="0" w:color="auto"/>
          </w:divBdr>
        </w:div>
      </w:divsChild>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1469786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77780665">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msac.gov.au/internet/msac/publishing.nsf/Content/1709-public" TargetMode="External"/><Relationship Id="rId2" Type="http://schemas.openxmlformats.org/officeDocument/2006/relationships/hyperlink" Target="http://www.msac.gov.au/internet/msac/publishing.nsf/Content/1527-public" TargetMode="External"/><Relationship Id="rId1" Type="http://schemas.openxmlformats.org/officeDocument/2006/relationships/hyperlink" Target="http://www.msac.gov.au/internet/msac/publishing.nsf/Content/1779-public" TargetMode="External"/><Relationship Id="rId4" Type="http://schemas.openxmlformats.org/officeDocument/2006/relationships/hyperlink" Target="http://www.msac.gov.au/internet/msac/publishing.nsf/Content/1684-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239F-1674-44D9-9079-07753DDDE27E}">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10678</Words>
  <Characters>60870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71406</CharactersWithSpaces>
  <SharedDoc>false</SharedDoc>
  <HLinks>
    <vt:vector size="36" baseType="variant">
      <vt:variant>
        <vt:i4>6684716</vt:i4>
      </vt:variant>
      <vt:variant>
        <vt:i4>48</vt:i4>
      </vt:variant>
      <vt:variant>
        <vt:i4>0</vt:i4>
      </vt:variant>
      <vt:variant>
        <vt:i4>5</vt:i4>
      </vt:variant>
      <vt:variant>
        <vt:lpwstr>http://msac.gov.au/internet/msac/publishing.nsf/Content/Home-1</vt:lpwstr>
      </vt:variant>
      <vt:variant>
        <vt:lpwstr/>
      </vt:variant>
      <vt:variant>
        <vt:i4>3997744</vt:i4>
      </vt:variant>
      <vt:variant>
        <vt:i4>0</vt:i4>
      </vt:variant>
      <vt:variant>
        <vt:i4>0</vt:i4>
      </vt:variant>
      <vt:variant>
        <vt:i4>5</vt:i4>
      </vt:variant>
      <vt:variant>
        <vt:lpwstr>http://www.msac.gov.au/</vt:lpwstr>
      </vt:variant>
      <vt:variant>
        <vt:lpwstr/>
      </vt:variant>
      <vt:variant>
        <vt:i4>2359392</vt:i4>
      </vt:variant>
      <vt:variant>
        <vt:i4>9</vt:i4>
      </vt:variant>
      <vt:variant>
        <vt:i4>0</vt:i4>
      </vt:variant>
      <vt:variant>
        <vt:i4>5</vt:i4>
      </vt:variant>
      <vt:variant>
        <vt:lpwstr>http://www.msac.gov.au/internet/msac/publishing.nsf/Content/1684-public</vt:lpwstr>
      </vt:variant>
      <vt:variant>
        <vt:lpwstr/>
      </vt:variant>
      <vt:variant>
        <vt:i4>2621544</vt:i4>
      </vt:variant>
      <vt:variant>
        <vt:i4>6</vt:i4>
      </vt:variant>
      <vt:variant>
        <vt:i4>0</vt:i4>
      </vt:variant>
      <vt:variant>
        <vt:i4>5</vt:i4>
      </vt:variant>
      <vt:variant>
        <vt:lpwstr>http://www.msac.gov.au/internet/msac/publishing.nsf/Content/1709-public</vt:lpwstr>
      </vt:variant>
      <vt:variant>
        <vt:lpwstr/>
      </vt:variant>
      <vt:variant>
        <vt:i4>2359402</vt:i4>
      </vt:variant>
      <vt:variant>
        <vt:i4>3</vt:i4>
      </vt:variant>
      <vt:variant>
        <vt:i4>0</vt:i4>
      </vt:variant>
      <vt:variant>
        <vt:i4>5</vt:i4>
      </vt:variant>
      <vt:variant>
        <vt:lpwstr>http://www.msac.gov.au/internet/msac/publishing.nsf/Content/1527-public</vt:lpwstr>
      </vt:variant>
      <vt:variant>
        <vt:lpwstr/>
      </vt:variant>
      <vt:variant>
        <vt:i4>2621551</vt:i4>
      </vt:variant>
      <vt:variant>
        <vt:i4>0</vt:i4>
      </vt:variant>
      <vt:variant>
        <vt:i4>0</vt:i4>
      </vt:variant>
      <vt:variant>
        <vt:i4>5</vt:i4>
      </vt:variant>
      <vt:variant>
        <vt:lpwstr>http://www.msac.gov.au/internet/msac/publishing.nsf/Content/1779-public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2024-11-11T03:10:00Z</dcterms:created>
  <dcterms:modified xsi:type="dcterms:W3CDTF">2024-11-11T03:11:00Z</dcterms:modified>
</cp:coreProperties>
</file>