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3BFBD" w14:textId="042A37FF" w:rsidR="00D64159" w:rsidRPr="004C6591" w:rsidRDefault="00BB0FFB" w:rsidP="00D64159">
      <w:pPr>
        <w:pStyle w:val="Heading10"/>
        <w:spacing w:before="2880"/>
        <w:jc w:val="center"/>
        <w:rPr>
          <w:sz w:val="48"/>
          <w:szCs w:val="48"/>
          <w:lang w:val="en-AU"/>
        </w:rPr>
      </w:pPr>
      <w:r w:rsidRPr="004C6591">
        <w:rPr>
          <w:sz w:val="48"/>
          <w:szCs w:val="48"/>
          <w:lang w:val="en-AU"/>
        </w:rPr>
        <w:t xml:space="preserve">MSAC </w:t>
      </w:r>
      <w:r w:rsidR="006478E7" w:rsidRPr="004C6591">
        <w:rPr>
          <w:sz w:val="48"/>
          <w:szCs w:val="48"/>
          <w:lang w:val="en-AU"/>
        </w:rPr>
        <w:t xml:space="preserve">Application </w:t>
      </w:r>
      <w:r w:rsidR="00A3230E" w:rsidRPr="004C6591">
        <w:rPr>
          <w:sz w:val="48"/>
          <w:szCs w:val="48"/>
          <w:lang w:val="en-AU"/>
        </w:rPr>
        <w:t>1783</w:t>
      </w:r>
    </w:p>
    <w:p w14:paraId="05DE0643" w14:textId="77777777" w:rsidR="00D64159" w:rsidRPr="004C6591" w:rsidRDefault="00D64159" w:rsidP="00477EE1">
      <w:pPr>
        <w:pStyle w:val="Heading10"/>
        <w:jc w:val="center"/>
        <w:rPr>
          <w:color w:val="548DD4"/>
          <w:sz w:val="24"/>
          <w:szCs w:val="24"/>
          <w:lang w:val="en-AU"/>
        </w:rPr>
      </w:pPr>
    </w:p>
    <w:p w14:paraId="7A69B1FD" w14:textId="42D28A56" w:rsidR="00A3230E" w:rsidRPr="004C6591" w:rsidRDefault="00A3230E" w:rsidP="00477EE1">
      <w:pPr>
        <w:pStyle w:val="Heading10"/>
        <w:jc w:val="center"/>
        <w:rPr>
          <w:color w:val="548DD4"/>
          <w:sz w:val="48"/>
          <w:szCs w:val="48"/>
          <w:lang w:val="en-AU"/>
        </w:rPr>
      </w:pPr>
      <w:r w:rsidRPr="004C6591">
        <w:rPr>
          <w:color w:val="548DD4"/>
          <w:sz w:val="48"/>
          <w:szCs w:val="48"/>
          <w:lang w:val="en-AU"/>
        </w:rPr>
        <w:t xml:space="preserve">Genetic testing to detect </w:t>
      </w:r>
      <w:r w:rsidRPr="00C65136">
        <w:rPr>
          <w:i/>
          <w:color w:val="548DD4"/>
          <w:sz w:val="48"/>
          <w:lang w:val="en-AU"/>
        </w:rPr>
        <w:t>PIK3CA</w:t>
      </w:r>
      <w:r w:rsidRPr="004C6591">
        <w:rPr>
          <w:color w:val="548DD4"/>
          <w:sz w:val="48"/>
          <w:szCs w:val="48"/>
          <w:lang w:val="en-AU"/>
        </w:rPr>
        <w:t xml:space="preserve"> mutations in patients with hormone receptor (HR)-positive, HER-2 negative, locally advanced or metastatic breast cancer, to determine eligibility for treatment </w:t>
      </w:r>
      <w:r w:rsidRPr="005C753D">
        <w:rPr>
          <w:color w:val="548DD4"/>
          <w:sz w:val="48"/>
          <w:szCs w:val="48"/>
          <w:lang w:val="en-AU"/>
        </w:rPr>
        <w:t>with PBS subsidised</w:t>
      </w:r>
      <w:r w:rsidRPr="004C6591">
        <w:rPr>
          <w:color w:val="548DD4"/>
          <w:sz w:val="48"/>
          <w:szCs w:val="48"/>
          <w:lang w:val="en-AU"/>
        </w:rPr>
        <w:t xml:space="preserve"> inavolisib</w:t>
      </w:r>
    </w:p>
    <w:p w14:paraId="4FDC1E04" w14:textId="77777777" w:rsidR="00D64159" w:rsidRPr="004C6591" w:rsidRDefault="00D64159" w:rsidP="00477EE1">
      <w:pPr>
        <w:pStyle w:val="Heading10"/>
        <w:jc w:val="center"/>
        <w:rPr>
          <w:color w:val="5B9BD5" w:themeColor="accent1"/>
          <w:sz w:val="40"/>
          <w:szCs w:val="40"/>
          <w:lang w:val="en-AU"/>
        </w:rPr>
      </w:pPr>
    </w:p>
    <w:p w14:paraId="44FD303D" w14:textId="31A2DBEF" w:rsidR="00477EE1" w:rsidRPr="005C753D" w:rsidRDefault="00D47F16" w:rsidP="00477EE1">
      <w:pPr>
        <w:pStyle w:val="Heading10"/>
        <w:jc w:val="center"/>
        <w:rPr>
          <w:color w:val="548DD4"/>
          <w:sz w:val="40"/>
          <w:szCs w:val="40"/>
          <w:lang w:val="en-AU"/>
        </w:rPr>
      </w:pPr>
      <w:r w:rsidRPr="005C753D">
        <w:rPr>
          <w:color w:val="548DD4"/>
          <w:sz w:val="40"/>
          <w:szCs w:val="40"/>
          <w:lang w:val="en-AU"/>
        </w:rPr>
        <w:t>Applicant:</w:t>
      </w:r>
      <w:r w:rsidR="00A3230E" w:rsidRPr="005C753D">
        <w:rPr>
          <w:color w:val="548DD4"/>
          <w:sz w:val="40"/>
          <w:szCs w:val="40"/>
          <w:lang w:val="en-AU"/>
        </w:rPr>
        <w:t xml:space="preserve"> Roche Products Pty Ltd</w:t>
      </w:r>
    </w:p>
    <w:p w14:paraId="23900CA0" w14:textId="6585BD1E" w:rsidR="006478E7" w:rsidRPr="004C6591" w:rsidRDefault="008020CA" w:rsidP="00BB0FFB">
      <w:pPr>
        <w:pStyle w:val="Heading1"/>
        <w:rPr>
          <w:lang w:val="en-AU"/>
        </w:rPr>
      </w:pPr>
      <w:r w:rsidRPr="004C6591">
        <w:rPr>
          <w:lang w:val="en-AU"/>
        </w:rPr>
        <w:t>PICO Confirmation</w:t>
      </w:r>
      <w:r w:rsidR="006478E7" w:rsidRPr="004C6591">
        <w:rPr>
          <w:lang w:val="en-AU"/>
        </w:rPr>
        <w:br w:type="page"/>
      </w:r>
    </w:p>
    <w:p w14:paraId="219312C8" w14:textId="77777777" w:rsidR="006478E7" w:rsidRPr="004C6591" w:rsidRDefault="006478E7" w:rsidP="00BB0FFB">
      <w:pPr>
        <w:pStyle w:val="Heading2"/>
      </w:pPr>
      <w:r w:rsidRPr="004C6591">
        <w:lastRenderedPageBreak/>
        <w:t>Summary of PI</w:t>
      </w:r>
      <w:r w:rsidR="00235B21" w:rsidRPr="004C6591">
        <w:t xml:space="preserve">CO/PPICO criteria to define </w:t>
      </w:r>
      <w:r w:rsidRPr="004C6591">
        <w:t>question(s) to be addressed in an Assessment Report to the Medical Services Advisory Committee (MSAC)</w:t>
      </w:r>
    </w:p>
    <w:p w14:paraId="224459F3" w14:textId="4AB895EE" w:rsidR="00D52956" w:rsidRPr="004C6591" w:rsidRDefault="00D52956" w:rsidP="00D52956">
      <w:pPr>
        <w:pStyle w:val="Caption"/>
        <w:rPr>
          <w:lang w:val="en-AU"/>
        </w:rPr>
      </w:pPr>
      <w:bookmarkStart w:id="0" w:name="_Ref69732160"/>
      <w:bookmarkStart w:id="1" w:name="_Ref69732155"/>
      <w:r w:rsidRPr="004C6591">
        <w:rPr>
          <w:lang w:val="en-AU"/>
        </w:rPr>
        <w:t>Table</w:t>
      </w:r>
      <w:r w:rsidR="00FD4C65" w:rsidRPr="004C6591">
        <w:rPr>
          <w:lang w:val="en-AU"/>
        </w:rPr>
        <w:t> </w:t>
      </w:r>
      <w:r w:rsidRPr="004C6591">
        <w:rPr>
          <w:lang w:val="en-AU"/>
        </w:rPr>
        <w:fldChar w:fldCharType="begin"/>
      </w:r>
      <w:r w:rsidRPr="004C6591">
        <w:rPr>
          <w:lang w:val="en-AU"/>
        </w:rPr>
        <w:instrText xml:space="preserve"> SEQ Table \* ARABIC </w:instrText>
      </w:r>
      <w:r w:rsidRPr="004C6591">
        <w:rPr>
          <w:lang w:val="en-AU"/>
        </w:rPr>
        <w:fldChar w:fldCharType="separate"/>
      </w:r>
      <w:r w:rsidR="005451AD" w:rsidRPr="004C6591">
        <w:rPr>
          <w:lang w:val="en-AU"/>
        </w:rPr>
        <w:t>1</w:t>
      </w:r>
      <w:r w:rsidRPr="004C6591">
        <w:rPr>
          <w:lang w:val="en-AU"/>
        </w:rPr>
        <w:fldChar w:fldCharType="end"/>
      </w:r>
      <w:bookmarkEnd w:id="0"/>
      <w:r w:rsidRPr="004C6591">
        <w:rPr>
          <w:lang w:val="en-AU"/>
        </w:rPr>
        <w:tab/>
        <w:t xml:space="preserve">PICO for </w:t>
      </w:r>
      <w:r w:rsidR="006B6E80" w:rsidRPr="004C6591">
        <w:rPr>
          <w:lang w:val="en-AU"/>
        </w:rPr>
        <w:t>g</w:t>
      </w:r>
      <w:r w:rsidR="00C30382" w:rsidRPr="004C6591">
        <w:rPr>
          <w:lang w:val="en-AU"/>
        </w:rPr>
        <w:t xml:space="preserve">enetic testing to detect </w:t>
      </w:r>
      <w:r w:rsidR="00C30382" w:rsidRPr="004C6591">
        <w:rPr>
          <w:i/>
          <w:iCs/>
          <w:lang w:val="en-AU"/>
        </w:rPr>
        <w:t>PIK3CA</w:t>
      </w:r>
      <w:r w:rsidR="00C30382" w:rsidRPr="004C6591">
        <w:rPr>
          <w:lang w:val="en-AU"/>
        </w:rPr>
        <w:t xml:space="preserve"> </w:t>
      </w:r>
      <w:r w:rsidR="00FB755D" w:rsidRPr="004C6591">
        <w:rPr>
          <w:lang w:val="en-AU"/>
        </w:rPr>
        <w:t>variant</w:t>
      </w:r>
      <w:r w:rsidR="00291985" w:rsidRPr="004C6591">
        <w:rPr>
          <w:lang w:val="en-AU"/>
        </w:rPr>
        <w:t>s</w:t>
      </w:r>
      <w:r w:rsidR="00C30382" w:rsidRPr="004C6591">
        <w:rPr>
          <w:lang w:val="en-AU"/>
        </w:rPr>
        <w:t xml:space="preserve"> in patients with HR+/HER2-, locally advanced or metastatic breast cancer</w:t>
      </w:r>
      <w:bookmarkEnd w:id="1"/>
      <w:r w:rsidR="0035341F" w:rsidRPr="004C6591">
        <w:rPr>
          <w:lang w:val="en-AU"/>
        </w:rPr>
        <w:t>.</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Caption w:val="PICO for genetic testing to detect PIK3CA variants in patients with HR+/HER2-, locally advanced or metastatic breast cancer."/>
      </w:tblPr>
      <w:tblGrid>
        <w:gridCol w:w="1550"/>
        <w:gridCol w:w="8016"/>
      </w:tblGrid>
      <w:tr w:rsidR="006478E7" w:rsidRPr="004C6591" w14:paraId="2A509B30" w14:textId="77777777" w:rsidTr="00435CBD">
        <w:trPr>
          <w:trHeight w:val="372"/>
          <w:tblHeader/>
        </w:trPr>
        <w:tc>
          <w:tcPr>
            <w:tcW w:w="810" w:type="pct"/>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333B8A35" w14:textId="77777777" w:rsidR="006478E7" w:rsidRPr="004C6591" w:rsidRDefault="006478E7" w:rsidP="00C54349">
            <w:pPr>
              <w:spacing w:before="20" w:after="20" w:line="240" w:lineRule="auto"/>
              <w:rPr>
                <w:b/>
              </w:rPr>
            </w:pPr>
            <w:bookmarkStart w:id="2" w:name="Title_Table1" w:colFirst="0" w:colLast="0"/>
            <w:r w:rsidRPr="004C6591">
              <w:rPr>
                <w:b/>
              </w:rPr>
              <w:t>Component</w:t>
            </w:r>
          </w:p>
        </w:tc>
        <w:tc>
          <w:tcPr>
            <w:tcW w:w="41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1DF4F" w14:textId="77777777" w:rsidR="006478E7" w:rsidRPr="004C6591" w:rsidRDefault="006478E7" w:rsidP="00C54349">
            <w:pPr>
              <w:spacing w:before="20" w:after="20" w:line="240" w:lineRule="auto"/>
              <w:rPr>
                <w:b/>
              </w:rPr>
            </w:pPr>
            <w:r w:rsidRPr="004C6591">
              <w:rPr>
                <w:b/>
              </w:rPr>
              <w:t>Description</w:t>
            </w:r>
          </w:p>
        </w:tc>
      </w:tr>
      <w:bookmarkEnd w:id="2"/>
      <w:tr w:rsidR="006478E7" w:rsidRPr="004C6591" w14:paraId="78E0BB65" w14:textId="77777777" w:rsidTr="00435CBD">
        <w:tc>
          <w:tcPr>
            <w:tcW w:w="810" w:type="pct"/>
            <w:tcBorders>
              <w:top w:val="single" w:sz="8" w:space="0" w:color="auto"/>
              <w:left w:val="single" w:sz="8" w:space="0" w:color="auto"/>
              <w:bottom w:val="single" w:sz="4" w:space="0" w:color="auto"/>
              <w:right w:val="single" w:sz="4" w:space="0" w:color="auto"/>
            </w:tcBorders>
            <w:hideMark/>
          </w:tcPr>
          <w:p w14:paraId="715E50D5" w14:textId="74EB4863" w:rsidR="006478E7" w:rsidRPr="004C6591" w:rsidRDefault="00F660E8" w:rsidP="00E01349">
            <w:pPr>
              <w:spacing w:before="120" w:after="120" w:line="240" w:lineRule="auto"/>
              <w:rPr>
                <w:rFonts w:cs="Arial"/>
              </w:rPr>
            </w:pPr>
            <w:r w:rsidRPr="004C6591">
              <w:rPr>
                <w:rFonts w:cs="Arial"/>
              </w:rPr>
              <w:t>Population</w:t>
            </w:r>
          </w:p>
        </w:tc>
        <w:tc>
          <w:tcPr>
            <w:tcW w:w="4190" w:type="pct"/>
            <w:tcBorders>
              <w:top w:val="single" w:sz="4" w:space="0" w:color="auto"/>
              <w:left w:val="single" w:sz="4" w:space="0" w:color="auto"/>
              <w:bottom w:val="single" w:sz="4" w:space="0" w:color="auto"/>
              <w:right w:val="single" w:sz="4" w:space="0" w:color="auto"/>
            </w:tcBorders>
            <w:hideMark/>
          </w:tcPr>
          <w:p w14:paraId="6FE8A0E1" w14:textId="77777777" w:rsidR="00C30382" w:rsidRPr="004C6591" w:rsidRDefault="00C30382" w:rsidP="00435CBD">
            <w:pPr>
              <w:spacing w:before="120" w:after="120" w:line="240" w:lineRule="auto"/>
              <w:rPr>
                <w:b/>
                <w:bCs/>
              </w:rPr>
            </w:pPr>
            <w:r w:rsidRPr="004C6591">
              <w:rPr>
                <w:b/>
                <w:bCs/>
              </w:rPr>
              <w:t>Test population</w:t>
            </w:r>
          </w:p>
          <w:p w14:paraId="2A3A7E72" w14:textId="3E9ECE4A" w:rsidR="00C30382" w:rsidRPr="004C6591" w:rsidRDefault="00EB6C11" w:rsidP="00D336E7">
            <w:r w:rsidRPr="004C6591">
              <w:t>Adults</w:t>
            </w:r>
            <w:r w:rsidR="00A6773B" w:rsidRPr="004C6591">
              <w:t xml:space="preserve"> with </w:t>
            </w:r>
            <w:r w:rsidR="001F00F5" w:rsidRPr="004C6591">
              <w:t>hormone receptor</w:t>
            </w:r>
            <w:r w:rsidR="1DBBB24D" w:rsidRPr="004C6591">
              <w:t>-</w:t>
            </w:r>
            <w:r w:rsidR="001F00F5" w:rsidRPr="004C6591">
              <w:t>positive</w:t>
            </w:r>
            <w:r w:rsidR="00DD59CB" w:rsidRPr="004C6591">
              <w:t xml:space="preserve"> (HR</w:t>
            </w:r>
            <w:r w:rsidR="00257370" w:rsidRPr="004C6591">
              <w:t xml:space="preserve">+), </w:t>
            </w:r>
            <w:r w:rsidR="001F00F5" w:rsidRPr="004C6591">
              <w:t>human epidermal growth factor receptor 2</w:t>
            </w:r>
            <w:r w:rsidR="27E84BE3" w:rsidRPr="004C6591">
              <w:t>-</w:t>
            </w:r>
            <w:r w:rsidR="001F00F5" w:rsidRPr="004C6591">
              <w:t>negative (HER2-)</w:t>
            </w:r>
            <w:r w:rsidR="008A401C" w:rsidRPr="004C6591">
              <w:t xml:space="preserve"> </w:t>
            </w:r>
            <w:r w:rsidR="00A6773B" w:rsidRPr="004C6591">
              <w:t>locally advanced or metastatic breast cancer</w:t>
            </w:r>
            <w:bookmarkStart w:id="3" w:name="_Hlk168474863"/>
            <w:r w:rsidR="00532C0B" w:rsidRPr="004C6591">
              <w:t xml:space="preserve">, whose disease progressed during adjuvant </w:t>
            </w:r>
            <w:r w:rsidR="00F15399" w:rsidRPr="004C6591">
              <w:t xml:space="preserve">endocrine </w:t>
            </w:r>
            <w:r w:rsidR="00532C0B" w:rsidRPr="004C6591">
              <w:t xml:space="preserve">therapy or within 12 months of completing adjuvant </w:t>
            </w:r>
            <w:r w:rsidR="00F15399" w:rsidRPr="004C6591">
              <w:t xml:space="preserve">endocrine </w:t>
            </w:r>
            <w:r w:rsidR="00532C0B" w:rsidRPr="004C6591">
              <w:t>therapy.</w:t>
            </w:r>
          </w:p>
          <w:bookmarkEnd w:id="3"/>
          <w:p w14:paraId="25F48BE5" w14:textId="77777777" w:rsidR="00C30382" w:rsidRPr="004C6591" w:rsidRDefault="00C30382" w:rsidP="00435CBD">
            <w:pPr>
              <w:spacing w:before="120" w:after="120" w:line="240" w:lineRule="auto"/>
              <w:rPr>
                <w:b/>
                <w:bCs/>
              </w:rPr>
            </w:pPr>
            <w:r w:rsidRPr="004C6591">
              <w:rPr>
                <w:b/>
                <w:bCs/>
              </w:rPr>
              <w:t>Treatment population</w:t>
            </w:r>
          </w:p>
          <w:p w14:paraId="4A4FF7C2" w14:textId="3407D641" w:rsidR="00A6773B" w:rsidRPr="004C6591" w:rsidRDefault="00A6773B" w:rsidP="00C30382">
            <w:r w:rsidRPr="004C6591">
              <w:t xml:space="preserve">Patients in the test population with </w:t>
            </w:r>
            <w:r w:rsidR="00AB280B" w:rsidRPr="004C6591">
              <w:t xml:space="preserve">one or more </w:t>
            </w:r>
            <w:r w:rsidRPr="004C6591">
              <w:rPr>
                <w:i/>
                <w:iCs/>
              </w:rPr>
              <w:t>PIK3CA</w:t>
            </w:r>
            <w:r w:rsidRPr="004C6591">
              <w:t xml:space="preserve"> variant</w:t>
            </w:r>
            <w:r w:rsidR="00AB280B" w:rsidRPr="004C6591">
              <w:t>s</w:t>
            </w:r>
            <w:r w:rsidRPr="004C6591">
              <w:t xml:space="preserve">, for first line treatment </w:t>
            </w:r>
            <w:r w:rsidR="00977572" w:rsidRPr="004C6591">
              <w:t>with inavolisib</w:t>
            </w:r>
            <w:r w:rsidR="00532C0B" w:rsidRPr="004C6591">
              <w:t>.</w:t>
            </w:r>
            <w:r w:rsidR="39F49ADD" w:rsidRPr="004C6591">
              <w:t xml:space="preserve"> </w:t>
            </w:r>
          </w:p>
        </w:tc>
      </w:tr>
      <w:tr w:rsidR="006478E7" w:rsidRPr="004C6591" w14:paraId="2A9CC9A6" w14:textId="77777777" w:rsidTr="00435CBD">
        <w:tc>
          <w:tcPr>
            <w:tcW w:w="810" w:type="pct"/>
            <w:tcBorders>
              <w:top w:val="single" w:sz="8" w:space="0" w:color="auto"/>
              <w:left w:val="single" w:sz="8" w:space="0" w:color="auto"/>
              <w:bottom w:val="single" w:sz="4" w:space="0" w:color="auto"/>
              <w:right w:val="single" w:sz="4" w:space="0" w:color="auto"/>
            </w:tcBorders>
            <w:hideMark/>
          </w:tcPr>
          <w:p w14:paraId="75E49351" w14:textId="7A012736" w:rsidR="006478E7" w:rsidRPr="004C6591" w:rsidRDefault="006478E7" w:rsidP="00E01349">
            <w:pPr>
              <w:spacing w:before="120" w:after="120" w:line="240" w:lineRule="auto"/>
              <w:rPr>
                <w:rFonts w:cs="Arial"/>
              </w:rPr>
            </w:pPr>
            <w:r w:rsidRPr="004C6591">
              <w:rPr>
                <w:rFonts w:cs="Arial"/>
              </w:rPr>
              <w:t>Prior tests</w:t>
            </w:r>
            <w:r w:rsidR="00C54349" w:rsidRPr="004C6591">
              <w:rPr>
                <w:rFonts w:cs="Arial"/>
              </w:rPr>
              <w:t xml:space="preserve"> </w:t>
            </w:r>
            <w:r w:rsidR="00C54349" w:rsidRPr="004C6591">
              <w:rPr>
                <w:rFonts w:cs="Arial"/>
              </w:rPr>
              <w:br/>
            </w:r>
          </w:p>
        </w:tc>
        <w:tc>
          <w:tcPr>
            <w:tcW w:w="4190" w:type="pct"/>
            <w:tcBorders>
              <w:top w:val="single" w:sz="4" w:space="0" w:color="auto"/>
              <w:left w:val="single" w:sz="4" w:space="0" w:color="auto"/>
              <w:bottom w:val="single" w:sz="4" w:space="0" w:color="auto"/>
              <w:right w:val="single" w:sz="4" w:space="0" w:color="auto"/>
            </w:tcBorders>
            <w:hideMark/>
          </w:tcPr>
          <w:p w14:paraId="5C53E900" w14:textId="31E59717" w:rsidR="00087C38" w:rsidRPr="004C6591" w:rsidRDefault="00087C38" w:rsidP="00435CBD">
            <w:pPr>
              <w:pStyle w:val="ListParagraph"/>
              <w:numPr>
                <w:ilvl w:val="0"/>
                <w:numId w:val="2"/>
              </w:numPr>
              <w:spacing w:before="120" w:after="120" w:line="240" w:lineRule="auto"/>
              <w:ind w:left="714" w:hanging="357"/>
            </w:pPr>
            <w:r w:rsidRPr="004C6591">
              <w:t>Tests required to confirm diagnosis of breast cancer (i.e. biopsy)</w:t>
            </w:r>
            <w:r w:rsidR="00CC2348" w:rsidRPr="004C6591">
              <w:t>.</w:t>
            </w:r>
          </w:p>
          <w:p w14:paraId="1A1E7A92" w14:textId="11C5EC5A" w:rsidR="00087C38" w:rsidRPr="004C6591" w:rsidRDefault="00087C38" w:rsidP="00435CBD">
            <w:pPr>
              <w:pStyle w:val="ListParagraph"/>
              <w:numPr>
                <w:ilvl w:val="0"/>
                <w:numId w:val="2"/>
              </w:numPr>
              <w:spacing w:before="120" w:after="120" w:line="240" w:lineRule="auto"/>
              <w:ind w:left="714" w:hanging="357"/>
            </w:pPr>
            <w:r w:rsidRPr="004C6591">
              <w:t>Tests required to confirm stage of cancer (i.e. mammogram or ultrasound, lymph node assessment, computed tomography, magnetic resonance imaging)</w:t>
            </w:r>
            <w:r w:rsidR="00CC2348" w:rsidRPr="004C6591">
              <w:t>.</w:t>
            </w:r>
            <w:r w:rsidRPr="004C6591">
              <w:t xml:space="preserve"> </w:t>
            </w:r>
          </w:p>
          <w:p w14:paraId="5CF47E43" w14:textId="4B1FE01B" w:rsidR="00087C38" w:rsidRPr="004C6591" w:rsidRDefault="00087C38" w:rsidP="00435CBD">
            <w:pPr>
              <w:pStyle w:val="ListParagraph"/>
              <w:numPr>
                <w:ilvl w:val="0"/>
                <w:numId w:val="2"/>
              </w:numPr>
              <w:spacing w:before="120" w:after="120" w:line="240" w:lineRule="auto"/>
              <w:ind w:left="714" w:hanging="357"/>
            </w:pPr>
            <w:r w:rsidRPr="004C6591">
              <w:t>Tests required to confirm biomarker status</w:t>
            </w:r>
            <w:r w:rsidR="00274204" w:rsidRPr="004C6591">
              <w:t xml:space="preserve">: </w:t>
            </w:r>
            <w:r w:rsidRPr="004C6591">
              <w:t>oestrogen receptor (ER)</w:t>
            </w:r>
            <w:r w:rsidR="00274204" w:rsidRPr="004C6591">
              <w:t xml:space="preserve">, </w:t>
            </w:r>
            <w:r w:rsidRPr="004C6591">
              <w:t>progesterone receptor</w:t>
            </w:r>
            <w:r w:rsidR="00274204" w:rsidRPr="004C6591">
              <w:t xml:space="preserve"> </w:t>
            </w:r>
            <w:r w:rsidRPr="004C6591">
              <w:t>(PR)</w:t>
            </w:r>
            <w:r w:rsidR="00274204" w:rsidRPr="004C6591">
              <w:t xml:space="preserve"> to define HR status, and </w:t>
            </w:r>
            <w:r w:rsidRPr="004C6591">
              <w:t>HER2</w:t>
            </w:r>
            <w:r w:rsidR="00274204" w:rsidRPr="004C6591">
              <w:t xml:space="preserve"> status</w:t>
            </w:r>
            <w:r w:rsidR="00CC2348" w:rsidRPr="004C6591">
              <w:t>.</w:t>
            </w:r>
          </w:p>
        </w:tc>
      </w:tr>
      <w:tr w:rsidR="006478E7" w:rsidRPr="004C6591" w14:paraId="654E13A9" w14:textId="77777777" w:rsidTr="00435CBD">
        <w:tc>
          <w:tcPr>
            <w:tcW w:w="810" w:type="pct"/>
            <w:tcBorders>
              <w:top w:val="single" w:sz="4" w:space="0" w:color="auto"/>
              <w:left w:val="single" w:sz="8" w:space="0" w:color="auto"/>
              <w:bottom w:val="single" w:sz="4" w:space="0" w:color="auto"/>
              <w:right w:val="single" w:sz="4" w:space="0" w:color="auto"/>
            </w:tcBorders>
            <w:hideMark/>
          </w:tcPr>
          <w:p w14:paraId="5BF0C211" w14:textId="77777777" w:rsidR="006478E7" w:rsidRPr="004C6591" w:rsidRDefault="006478E7" w:rsidP="00E01349">
            <w:pPr>
              <w:spacing w:before="120" w:after="120" w:line="240" w:lineRule="auto"/>
              <w:rPr>
                <w:rFonts w:cs="Arial"/>
              </w:rPr>
            </w:pPr>
            <w:r w:rsidRPr="004C6591">
              <w:rPr>
                <w:rFonts w:cs="Arial"/>
              </w:rPr>
              <w:t>Intervention</w:t>
            </w:r>
          </w:p>
        </w:tc>
        <w:tc>
          <w:tcPr>
            <w:tcW w:w="4190" w:type="pct"/>
            <w:tcBorders>
              <w:top w:val="single" w:sz="4" w:space="0" w:color="auto"/>
              <w:left w:val="single" w:sz="4" w:space="0" w:color="auto"/>
              <w:bottom w:val="single" w:sz="4" w:space="0" w:color="auto"/>
              <w:right w:val="single" w:sz="4" w:space="0" w:color="auto"/>
            </w:tcBorders>
            <w:hideMark/>
          </w:tcPr>
          <w:p w14:paraId="54FC88AD" w14:textId="1CAB72FE" w:rsidR="00A624E9" w:rsidRPr="004C6591" w:rsidRDefault="005A0694" w:rsidP="00435CBD">
            <w:pPr>
              <w:spacing w:before="120" w:after="120" w:line="240" w:lineRule="auto"/>
            </w:pPr>
            <w:r w:rsidRPr="004C6591">
              <w:rPr>
                <w:b/>
                <w:bCs/>
              </w:rPr>
              <w:t>Test</w:t>
            </w:r>
            <w:r w:rsidRPr="004C6591">
              <w:t xml:space="preserve">: </w:t>
            </w:r>
            <w:r w:rsidR="008604D9" w:rsidRPr="004C6591">
              <w:t>C</w:t>
            </w:r>
            <w:r w:rsidR="00930AC7" w:rsidRPr="004C6591">
              <w:t>irculating tumour DNA</w:t>
            </w:r>
            <w:r w:rsidR="005B4945" w:rsidRPr="004C6591">
              <w:t xml:space="preserve"> </w:t>
            </w:r>
            <w:r w:rsidR="00313B36" w:rsidRPr="004C6591">
              <w:t xml:space="preserve">(ctDNA) </w:t>
            </w:r>
            <w:r w:rsidR="00A624E9" w:rsidRPr="004C6591">
              <w:t xml:space="preserve">or tumour tissue testing using Next Generation Sequencing (NGS) to characterise </w:t>
            </w:r>
            <w:r w:rsidR="00A624E9" w:rsidRPr="004C6591">
              <w:rPr>
                <w:i/>
                <w:iCs/>
              </w:rPr>
              <w:t>PIK3CA</w:t>
            </w:r>
            <w:r w:rsidR="00A624E9" w:rsidRPr="004C6591">
              <w:t xml:space="preserve"> variant</w:t>
            </w:r>
            <w:r w:rsidR="007B306C" w:rsidRPr="004C6591">
              <w:t>s</w:t>
            </w:r>
            <w:r w:rsidR="00A624E9" w:rsidRPr="004C6591">
              <w:t>.</w:t>
            </w:r>
          </w:p>
          <w:p w14:paraId="3E51DB12" w14:textId="42178CB2" w:rsidR="006478E7" w:rsidRPr="004C6591" w:rsidRDefault="005A0694" w:rsidP="00435CBD">
            <w:pPr>
              <w:spacing w:before="120" w:after="120" w:line="240" w:lineRule="auto"/>
            </w:pPr>
            <w:r w:rsidRPr="004C6591">
              <w:rPr>
                <w:b/>
                <w:bCs/>
              </w:rPr>
              <w:t>Treatment</w:t>
            </w:r>
            <w:r w:rsidRPr="004C6591">
              <w:t xml:space="preserve">: </w:t>
            </w:r>
            <w:r w:rsidR="00930AC7" w:rsidRPr="004C6591">
              <w:t>Inavolisib + palbociclib</w:t>
            </w:r>
            <w:r w:rsidRPr="004C6591">
              <w:t xml:space="preserve"> + fulvestrant for patients found to have</w:t>
            </w:r>
            <w:r w:rsidR="007B306C" w:rsidRPr="004C6591">
              <w:t xml:space="preserve"> one or more</w:t>
            </w:r>
            <w:r w:rsidRPr="004C6591">
              <w:t xml:space="preserve"> </w:t>
            </w:r>
            <w:r w:rsidR="00930AC7" w:rsidRPr="004C6591">
              <w:rPr>
                <w:i/>
                <w:iCs/>
              </w:rPr>
              <w:t>PIK3CA</w:t>
            </w:r>
            <w:r w:rsidR="00930AC7" w:rsidRPr="004C6591">
              <w:t xml:space="preserve"> </w:t>
            </w:r>
            <w:r w:rsidR="007B306C" w:rsidRPr="004C6591">
              <w:t>variants.</w:t>
            </w:r>
          </w:p>
        </w:tc>
      </w:tr>
      <w:tr w:rsidR="006478E7" w:rsidRPr="004C6591" w14:paraId="1F5647C3" w14:textId="77777777" w:rsidTr="00435CBD">
        <w:tc>
          <w:tcPr>
            <w:tcW w:w="810" w:type="pct"/>
            <w:tcBorders>
              <w:top w:val="single" w:sz="4" w:space="0" w:color="auto"/>
              <w:left w:val="single" w:sz="8" w:space="0" w:color="auto"/>
              <w:bottom w:val="single" w:sz="4" w:space="0" w:color="auto"/>
              <w:right w:val="single" w:sz="4" w:space="0" w:color="auto"/>
            </w:tcBorders>
            <w:hideMark/>
          </w:tcPr>
          <w:p w14:paraId="7F55173A" w14:textId="77777777" w:rsidR="006478E7" w:rsidRPr="004C6591" w:rsidRDefault="006478E7" w:rsidP="00E01349">
            <w:pPr>
              <w:spacing w:before="120" w:after="120" w:line="240" w:lineRule="auto"/>
              <w:rPr>
                <w:rFonts w:cs="Arial"/>
              </w:rPr>
            </w:pPr>
            <w:r w:rsidRPr="004C6591">
              <w:rPr>
                <w:rFonts w:cs="Arial"/>
              </w:rPr>
              <w:t>Comparator</w:t>
            </w:r>
            <w:r w:rsidR="00D83062" w:rsidRPr="004C6591">
              <w:rPr>
                <w:rFonts w:cs="Arial"/>
              </w:rPr>
              <w:t>/s</w:t>
            </w:r>
          </w:p>
        </w:tc>
        <w:tc>
          <w:tcPr>
            <w:tcW w:w="4190" w:type="pct"/>
            <w:tcBorders>
              <w:top w:val="single" w:sz="4" w:space="0" w:color="auto"/>
              <w:left w:val="single" w:sz="4" w:space="0" w:color="auto"/>
              <w:bottom w:val="single" w:sz="4" w:space="0" w:color="auto"/>
              <w:right w:val="single" w:sz="4" w:space="0" w:color="auto"/>
            </w:tcBorders>
            <w:hideMark/>
          </w:tcPr>
          <w:p w14:paraId="11881CC7" w14:textId="3F3F735E" w:rsidR="005A0694" w:rsidRPr="004C6591" w:rsidRDefault="005A0694" w:rsidP="00435CBD">
            <w:pPr>
              <w:spacing w:before="120" w:after="120" w:line="240" w:lineRule="auto"/>
            </w:pPr>
            <w:r w:rsidRPr="004C6591">
              <w:rPr>
                <w:b/>
                <w:bCs/>
              </w:rPr>
              <w:t>Test comparator</w:t>
            </w:r>
            <w:r w:rsidRPr="004C6591">
              <w:t xml:space="preserve">: No </w:t>
            </w:r>
            <w:r w:rsidR="00430FBF" w:rsidRPr="004C6591">
              <w:t>genetic</w:t>
            </w:r>
            <w:r w:rsidRPr="004C6591">
              <w:t xml:space="preserve"> testing for </w:t>
            </w:r>
            <w:r w:rsidRPr="004C6591">
              <w:rPr>
                <w:i/>
                <w:iCs/>
              </w:rPr>
              <w:t>PIK3CA</w:t>
            </w:r>
            <w:r w:rsidRPr="004C6591">
              <w:t xml:space="preserve"> genetic variation </w:t>
            </w:r>
          </w:p>
          <w:p w14:paraId="7E1A6936" w14:textId="23726A3D" w:rsidR="00052005" w:rsidRPr="004C6591" w:rsidRDefault="005A0694" w:rsidP="00435CBD">
            <w:pPr>
              <w:spacing w:before="120" w:after="120" w:line="240" w:lineRule="auto"/>
              <w:rPr>
                <w:b/>
                <w:bCs/>
              </w:rPr>
            </w:pPr>
            <w:r w:rsidRPr="004C6591">
              <w:rPr>
                <w:b/>
                <w:bCs/>
              </w:rPr>
              <w:t>Treatment comparator</w:t>
            </w:r>
            <w:r w:rsidR="00430FBF" w:rsidRPr="004C6591">
              <w:rPr>
                <w:b/>
                <w:bCs/>
              </w:rPr>
              <w:t>:</w:t>
            </w:r>
            <w:r w:rsidR="00052005" w:rsidRPr="004C6591">
              <w:t xml:space="preserve"> </w:t>
            </w:r>
            <w:r w:rsidR="00A96C3A" w:rsidRPr="004C6591">
              <w:t>Current standard of care</w:t>
            </w:r>
            <w:r w:rsidR="00052005" w:rsidRPr="004C6591">
              <w:t>.</w:t>
            </w:r>
            <w:r w:rsidR="002B10DB" w:rsidRPr="004C6591">
              <w:t xml:space="preserve"> </w:t>
            </w:r>
          </w:p>
          <w:p w14:paraId="7E690E4B" w14:textId="3EB342E7" w:rsidR="00332EFD" w:rsidRPr="004C6591" w:rsidRDefault="002B10DB" w:rsidP="00435CBD">
            <w:pPr>
              <w:spacing w:before="120" w:after="120" w:line="240" w:lineRule="auto"/>
            </w:pPr>
            <w:r w:rsidRPr="004C6591">
              <w:t>E</w:t>
            </w:r>
            <w:r w:rsidR="008A579B" w:rsidRPr="004C6591">
              <w:t>ndocrine therapy</w:t>
            </w:r>
            <w:r w:rsidRPr="004C6591">
              <w:t xml:space="preserve"> with or without CDK4/6 inhibitor is the current standard of care</w:t>
            </w:r>
            <w:r w:rsidR="00282994" w:rsidRPr="004C6591">
              <w:t>.</w:t>
            </w:r>
            <w:r w:rsidR="00430FBF" w:rsidRPr="004C6591">
              <w:t xml:space="preserve"> </w:t>
            </w:r>
            <w:r w:rsidR="00282994" w:rsidRPr="004C6591">
              <w:t>P</w:t>
            </w:r>
            <w:r w:rsidR="00430FBF" w:rsidRPr="004C6591">
              <w:t>albociclib + fulvestrant</w:t>
            </w:r>
            <w:r w:rsidR="00332EFD" w:rsidRPr="004C6591">
              <w:t xml:space="preserve"> </w:t>
            </w:r>
            <w:r w:rsidR="001417BA" w:rsidRPr="004C6591">
              <w:t>(</w:t>
            </w:r>
            <w:r w:rsidR="000940E6" w:rsidRPr="004C6591">
              <w:t xml:space="preserve">which is a </w:t>
            </w:r>
            <w:r w:rsidR="001417BA" w:rsidRPr="004C6591">
              <w:t xml:space="preserve">CDK4/6 inhibitor </w:t>
            </w:r>
            <w:r w:rsidR="000940E6" w:rsidRPr="004C6591">
              <w:t xml:space="preserve">and </w:t>
            </w:r>
            <w:r w:rsidR="007F5359" w:rsidRPr="004C6591">
              <w:t>endocrine therapy</w:t>
            </w:r>
            <w:r w:rsidR="000940E6" w:rsidRPr="004C6591">
              <w:t>, respectively</w:t>
            </w:r>
            <w:r w:rsidR="001417BA" w:rsidRPr="004C6591">
              <w:t>)</w:t>
            </w:r>
            <w:r w:rsidR="000940E6" w:rsidRPr="004C6591">
              <w:t xml:space="preserve"> </w:t>
            </w:r>
            <w:r w:rsidR="00301440" w:rsidRPr="004C6591">
              <w:t>wa</w:t>
            </w:r>
            <w:r w:rsidRPr="004C6591">
              <w:t>s nominated</w:t>
            </w:r>
            <w:r w:rsidR="00BF3C8D" w:rsidRPr="004C6591">
              <w:t xml:space="preserve"> </w:t>
            </w:r>
            <w:r w:rsidR="00642F9B" w:rsidRPr="004C6591">
              <w:t xml:space="preserve">as the comparator </w:t>
            </w:r>
            <w:r w:rsidR="00BF3C8D" w:rsidRPr="004C6591">
              <w:t xml:space="preserve">by </w:t>
            </w:r>
            <w:r w:rsidR="00F90A45" w:rsidRPr="004C6591">
              <w:t xml:space="preserve">the </w:t>
            </w:r>
            <w:r w:rsidR="00BF3C8D" w:rsidRPr="004C6591">
              <w:t>applicant</w:t>
            </w:r>
            <w:r w:rsidR="001417BA" w:rsidRPr="004C6591">
              <w:t xml:space="preserve">, as per </w:t>
            </w:r>
            <w:r w:rsidR="005B4BCE" w:rsidRPr="004C6591">
              <w:t xml:space="preserve">the </w:t>
            </w:r>
            <w:r w:rsidR="001417BA" w:rsidRPr="004C6591">
              <w:t>INAVO120 trial</w:t>
            </w:r>
            <w:r w:rsidR="00BF3C8D" w:rsidRPr="004C6591">
              <w:t>.</w:t>
            </w:r>
          </w:p>
        </w:tc>
      </w:tr>
      <w:tr w:rsidR="00C64764" w:rsidRPr="004C6591" w14:paraId="7B9D3F1A" w14:textId="77777777" w:rsidTr="00435CBD">
        <w:tc>
          <w:tcPr>
            <w:tcW w:w="810" w:type="pct"/>
            <w:tcBorders>
              <w:top w:val="single" w:sz="4" w:space="0" w:color="auto"/>
              <w:left w:val="single" w:sz="8" w:space="0" w:color="auto"/>
              <w:bottom w:val="single" w:sz="4" w:space="0" w:color="auto"/>
              <w:right w:val="single" w:sz="4" w:space="0" w:color="auto"/>
            </w:tcBorders>
          </w:tcPr>
          <w:p w14:paraId="4C0BC8B3" w14:textId="04253FC4" w:rsidR="00C64764" w:rsidRPr="004C6591" w:rsidRDefault="00C64764" w:rsidP="00E01349">
            <w:pPr>
              <w:spacing w:before="120" w:after="120" w:line="240" w:lineRule="auto"/>
              <w:rPr>
                <w:rFonts w:cs="Arial"/>
              </w:rPr>
            </w:pPr>
            <w:r w:rsidRPr="004C6591">
              <w:rPr>
                <w:rFonts w:cs="Arial"/>
              </w:rPr>
              <w:t xml:space="preserve">Reference standard </w:t>
            </w:r>
          </w:p>
        </w:tc>
        <w:tc>
          <w:tcPr>
            <w:tcW w:w="4190" w:type="pct"/>
            <w:tcBorders>
              <w:top w:val="single" w:sz="4" w:space="0" w:color="auto"/>
              <w:left w:val="single" w:sz="4" w:space="0" w:color="auto"/>
              <w:bottom w:val="single" w:sz="4" w:space="0" w:color="auto"/>
              <w:right w:val="single" w:sz="4" w:space="0" w:color="auto"/>
            </w:tcBorders>
          </w:tcPr>
          <w:p w14:paraId="7B1F5217" w14:textId="4232628A" w:rsidR="00C64764" w:rsidRPr="004C6591" w:rsidRDefault="00841548" w:rsidP="00435CBD">
            <w:pPr>
              <w:spacing w:before="120" w:after="120" w:line="240" w:lineRule="auto"/>
            </w:pPr>
            <w:r w:rsidRPr="004C6591">
              <w:t xml:space="preserve">No reference standard </w:t>
            </w:r>
            <w:r w:rsidR="00CF4628" w:rsidRPr="004C6591">
              <w:t xml:space="preserve">available </w:t>
            </w:r>
            <w:r w:rsidRPr="004C6591">
              <w:t xml:space="preserve">for </w:t>
            </w:r>
            <w:r w:rsidRPr="004C6591">
              <w:rPr>
                <w:i/>
                <w:iCs/>
              </w:rPr>
              <w:t>PIK3CA</w:t>
            </w:r>
            <w:r w:rsidRPr="004C6591">
              <w:t xml:space="preserve"> genetic variation testing in Australia</w:t>
            </w:r>
            <w:r w:rsidR="00262DCC" w:rsidRPr="004C6591">
              <w:t xml:space="preserve">. </w:t>
            </w:r>
          </w:p>
        </w:tc>
      </w:tr>
      <w:tr w:rsidR="00C64764" w:rsidRPr="004C6591" w14:paraId="13D8130D" w14:textId="77777777" w:rsidTr="00435CBD">
        <w:tc>
          <w:tcPr>
            <w:tcW w:w="810" w:type="pct"/>
            <w:tcBorders>
              <w:top w:val="single" w:sz="4" w:space="0" w:color="auto"/>
              <w:left w:val="single" w:sz="8" w:space="0" w:color="auto"/>
              <w:bottom w:val="single" w:sz="4" w:space="0" w:color="auto"/>
              <w:right w:val="single" w:sz="4" w:space="0" w:color="auto"/>
            </w:tcBorders>
          </w:tcPr>
          <w:p w14:paraId="5A8AC74C" w14:textId="3AD270DD" w:rsidR="00C64764" w:rsidRPr="004C6591" w:rsidRDefault="00C64764" w:rsidP="00E01349">
            <w:pPr>
              <w:spacing w:before="120" w:after="120" w:line="240" w:lineRule="auto"/>
              <w:rPr>
                <w:rFonts w:cs="Arial"/>
              </w:rPr>
            </w:pPr>
            <w:r w:rsidRPr="004C6591">
              <w:rPr>
                <w:rFonts w:cs="Arial"/>
              </w:rPr>
              <w:t xml:space="preserve">Clinical utility standard </w:t>
            </w:r>
            <w:r w:rsidR="0065205D" w:rsidRPr="004C6591">
              <w:rPr>
                <w:rFonts w:cs="Arial"/>
              </w:rPr>
              <w:br/>
            </w:r>
          </w:p>
        </w:tc>
        <w:tc>
          <w:tcPr>
            <w:tcW w:w="4190" w:type="pct"/>
            <w:tcBorders>
              <w:top w:val="single" w:sz="4" w:space="0" w:color="auto"/>
              <w:left w:val="single" w:sz="4" w:space="0" w:color="auto"/>
              <w:bottom w:val="single" w:sz="4" w:space="0" w:color="auto"/>
              <w:right w:val="single" w:sz="4" w:space="0" w:color="auto"/>
            </w:tcBorders>
          </w:tcPr>
          <w:p w14:paraId="190C9C62" w14:textId="34BAD536" w:rsidR="00C64764" w:rsidRPr="004C6591" w:rsidRDefault="0058239A" w:rsidP="00435CBD">
            <w:pPr>
              <w:spacing w:before="120" w:after="120" w:line="240" w:lineRule="auto"/>
            </w:pPr>
            <w:r w:rsidRPr="004C6591">
              <w:t xml:space="preserve">FoundationOne® Liquid CDx was </w:t>
            </w:r>
            <w:r w:rsidR="00CA11A5" w:rsidRPr="004C6591">
              <w:t>the</w:t>
            </w:r>
            <w:r w:rsidRPr="004C6591">
              <w:t xml:space="preserve"> clinical utility standard as it was the most</w:t>
            </w:r>
            <w:r w:rsidR="00DE42C5">
              <w:t xml:space="preserve"> frequently</w:t>
            </w:r>
            <w:r w:rsidRPr="004C6591">
              <w:t xml:space="preserve"> used method in the INAVO120 trial.</w:t>
            </w:r>
          </w:p>
        </w:tc>
      </w:tr>
      <w:tr w:rsidR="009B7B4D" w:rsidRPr="004C6591" w14:paraId="591B1D2D" w14:textId="77777777" w:rsidTr="00435CBD">
        <w:tc>
          <w:tcPr>
            <w:tcW w:w="810" w:type="pct"/>
            <w:tcBorders>
              <w:top w:val="single" w:sz="4" w:space="0" w:color="auto"/>
              <w:left w:val="single" w:sz="8" w:space="0" w:color="auto"/>
              <w:bottom w:val="single" w:sz="4" w:space="0" w:color="auto"/>
              <w:right w:val="single" w:sz="4" w:space="0" w:color="auto"/>
            </w:tcBorders>
            <w:hideMark/>
          </w:tcPr>
          <w:p w14:paraId="635F9D15" w14:textId="77777777" w:rsidR="009B7B4D" w:rsidRPr="004C6591" w:rsidRDefault="009B7B4D" w:rsidP="009B7B4D">
            <w:pPr>
              <w:spacing w:before="120" w:after="120" w:line="240" w:lineRule="auto"/>
              <w:rPr>
                <w:rFonts w:cs="Arial"/>
              </w:rPr>
            </w:pPr>
            <w:r w:rsidRPr="004C6591">
              <w:rPr>
                <w:rFonts w:cs="Arial"/>
              </w:rPr>
              <w:lastRenderedPageBreak/>
              <w:t>Outcomes</w:t>
            </w:r>
          </w:p>
        </w:tc>
        <w:tc>
          <w:tcPr>
            <w:tcW w:w="4190" w:type="pct"/>
            <w:tcBorders>
              <w:top w:val="single" w:sz="4" w:space="0" w:color="auto"/>
              <w:left w:val="single" w:sz="4" w:space="0" w:color="auto"/>
              <w:bottom w:val="single" w:sz="4" w:space="0" w:color="auto"/>
              <w:right w:val="single" w:sz="4" w:space="0" w:color="auto"/>
            </w:tcBorders>
            <w:hideMark/>
          </w:tcPr>
          <w:p w14:paraId="58B64F13" w14:textId="77777777" w:rsidR="009B7B4D" w:rsidRPr="004C6591" w:rsidRDefault="009B7B4D" w:rsidP="00435CBD">
            <w:pPr>
              <w:spacing w:before="120" w:after="120" w:line="240" w:lineRule="auto"/>
              <w:rPr>
                <w:rStyle w:val="SubtleEmphasis"/>
                <w:b/>
                <w:bCs/>
                <w:i w:val="0"/>
                <w:iCs w:val="0"/>
              </w:rPr>
            </w:pPr>
            <w:bookmarkStart w:id="4" w:name="_Hlk169523777"/>
            <w:r w:rsidRPr="004C6591">
              <w:rPr>
                <w:rStyle w:val="SubtleEmphasis"/>
                <w:b/>
                <w:bCs/>
              </w:rPr>
              <w:t>Test outcomes</w:t>
            </w:r>
          </w:p>
          <w:p w14:paraId="65047AFB" w14:textId="77777777" w:rsidR="009B7B4D" w:rsidRPr="004C6591" w:rsidRDefault="009B7B4D" w:rsidP="00435CBD">
            <w:pPr>
              <w:spacing w:before="120" w:after="120" w:line="240" w:lineRule="auto"/>
              <w:rPr>
                <w:rStyle w:val="SubtleEmphasis"/>
              </w:rPr>
            </w:pPr>
            <w:r w:rsidRPr="004C6591">
              <w:rPr>
                <w:rStyle w:val="SubtleEmphasis"/>
              </w:rPr>
              <w:t>Efficacy/effectiveness</w:t>
            </w:r>
          </w:p>
          <w:p w14:paraId="77EEE711" w14:textId="6ECB41A9" w:rsidR="009B7B4D" w:rsidRPr="004C6591" w:rsidRDefault="009B7B4D" w:rsidP="00435CBD">
            <w:pPr>
              <w:pStyle w:val="ListParagraph"/>
              <w:numPr>
                <w:ilvl w:val="0"/>
                <w:numId w:val="3"/>
              </w:numPr>
              <w:spacing w:before="120" w:after="120" w:line="240" w:lineRule="auto"/>
            </w:pPr>
            <w:r w:rsidRPr="004C6591">
              <w:t xml:space="preserve">Analytical performance, diagnostic and predictive accuracy of </w:t>
            </w:r>
            <w:r w:rsidR="003A26D0" w:rsidRPr="004C6591">
              <w:t xml:space="preserve">the proposed </w:t>
            </w:r>
            <w:r w:rsidRPr="004C6591">
              <w:rPr>
                <w:i/>
                <w:iCs/>
              </w:rPr>
              <w:t>PIK3CA</w:t>
            </w:r>
            <w:r w:rsidRPr="004C6591">
              <w:t xml:space="preserve"> varia</w:t>
            </w:r>
            <w:r w:rsidR="0048258D" w:rsidRPr="004C6591">
              <w:t>nt</w:t>
            </w:r>
            <w:r w:rsidR="006617D8" w:rsidRPr="004C6591">
              <w:t>s</w:t>
            </w:r>
            <w:r w:rsidRPr="004C6591">
              <w:t xml:space="preserve"> testing using NGS (sensitivity, specificity, positive predictive value (PPV), and negative predictive value (NPV)).</w:t>
            </w:r>
          </w:p>
          <w:p w14:paraId="1737543E" w14:textId="1585F12B" w:rsidR="00A80F42" w:rsidRPr="004C6591" w:rsidRDefault="009B7B4D" w:rsidP="00435CBD">
            <w:pPr>
              <w:pStyle w:val="ListParagraph"/>
              <w:numPr>
                <w:ilvl w:val="0"/>
                <w:numId w:val="3"/>
              </w:numPr>
              <w:spacing w:before="120" w:after="120" w:line="240" w:lineRule="auto"/>
            </w:pPr>
            <w:r w:rsidRPr="004C6591">
              <w:t xml:space="preserve">Comparison of the analytical performance (concordance and discordance) of the proposed </w:t>
            </w:r>
            <w:r w:rsidRPr="004C6591">
              <w:rPr>
                <w:i/>
                <w:iCs/>
              </w:rPr>
              <w:t xml:space="preserve">PIK3CA </w:t>
            </w:r>
            <w:r w:rsidRPr="004C6591">
              <w:t>varia</w:t>
            </w:r>
            <w:r w:rsidR="00205227" w:rsidRPr="004C6591">
              <w:t>n</w:t>
            </w:r>
            <w:r w:rsidRPr="004C6591">
              <w:t>t</w:t>
            </w:r>
            <w:r w:rsidR="006617D8" w:rsidRPr="004C6591">
              <w:t>s</w:t>
            </w:r>
            <w:r w:rsidRPr="004C6591">
              <w:t xml:space="preserve"> testing</w:t>
            </w:r>
            <w:r w:rsidR="00A80F42" w:rsidRPr="004C6591">
              <w:t xml:space="preserve"> using NGS</w:t>
            </w:r>
            <w:r w:rsidRPr="004C6591">
              <w:t xml:space="preserve"> </w:t>
            </w:r>
            <w:r w:rsidR="00721A16" w:rsidRPr="004C6591">
              <w:t>(</w:t>
            </w:r>
            <w:r w:rsidR="00A80F42" w:rsidRPr="004C6591">
              <w:t xml:space="preserve">for </w:t>
            </w:r>
            <w:r w:rsidR="00721A16" w:rsidRPr="004C6591">
              <w:t xml:space="preserve">both ctDNA and tumour tissue) </w:t>
            </w:r>
            <w:r w:rsidR="00E752B2" w:rsidRPr="004C6591">
              <w:t>to the clinical utility standard (no reference standard)</w:t>
            </w:r>
            <w:r w:rsidR="00A80F42" w:rsidRPr="004C6591">
              <w:t>.</w:t>
            </w:r>
            <w:r w:rsidR="00E752B2" w:rsidRPr="004C6591">
              <w:t xml:space="preserve"> </w:t>
            </w:r>
          </w:p>
          <w:p w14:paraId="576566B8" w14:textId="262208A0" w:rsidR="009B7B4D" w:rsidRPr="004C6591" w:rsidRDefault="00B834CA" w:rsidP="00435CBD">
            <w:pPr>
              <w:pStyle w:val="ListParagraph"/>
              <w:numPr>
                <w:ilvl w:val="0"/>
                <w:numId w:val="3"/>
              </w:numPr>
              <w:spacing w:before="120" w:after="120" w:line="240" w:lineRule="auto"/>
            </w:pPr>
            <w:r w:rsidRPr="004C6591">
              <w:t xml:space="preserve">Comparison of </w:t>
            </w:r>
            <w:r w:rsidRPr="004C6591">
              <w:rPr>
                <w:i/>
                <w:iCs/>
              </w:rPr>
              <w:t>PIK3CA</w:t>
            </w:r>
            <w:r w:rsidRPr="004C6591">
              <w:t xml:space="preserve"> </w:t>
            </w:r>
            <w:r w:rsidR="00214D87" w:rsidRPr="004C6591">
              <w:t>variant</w:t>
            </w:r>
            <w:r w:rsidR="006617D8" w:rsidRPr="004C6591">
              <w:t>s</w:t>
            </w:r>
            <w:r w:rsidR="00214D87" w:rsidRPr="004C6591">
              <w:t xml:space="preserve"> </w:t>
            </w:r>
            <w:r w:rsidRPr="004C6591">
              <w:t>test</w:t>
            </w:r>
            <w:r w:rsidR="00361FC3" w:rsidRPr="004C6591">
              <w:t>s</w:t>
            </w:r>
            <w:r w:rsidR="00E752B2" w:rsidRPr="004C6591">
              <w:t xml:space="preserve"> </w:t>
            </w:r>
            <w:r w:rsidR="009B7B4D" w:rsidRPr="004C6591">
              <w:t>using NGS</w:t>
            </w:r>
            <w:r w:rsidR="00CD28D3" w:rsidRPr="004C6591">
              <w:t xml:space="preserve"> (commercial and in-house developed), that are likely to be used</w:t>
            </w:r>
            <w:r w:rsidRPr="004C6591">
              <w:t xml:space="preserve"> in Australia</w:t>
            </w:r>
            <w:r w:rsidR="00CD28D3" w:rsidRPr="004C6591">
              <w:t>, considering both ctDNA and tumour tissue testing.</w:t>
            </w:r>
          </w:p>
          <w:p w14:paraId="3A4BB062" w14:textId="0ED08E7B" w:rsidR="00956513" w:rsidRPr="004C6591" w:rsidRDefault="00956513" w:rsidP="00435CBD">
            <w:pPr>
              <w:pStyle w:val="ListParagraph"/>
              <w:numPr>
                <w:ilvl w:val="0"/>
                <w:numId w:val="3"/>
              </w:numPr>
              <w:spacing w:before="120" w:after="120" w:line="240" w:lineRule="auto"/>
            </w:pPr>
            <w:r w:rsidRPr="004C6591">
              <w:t xml:space="preserve">Comparative </w:t>
            </w:r>
            <w:r w:rsidR="00B834CA" w:rsidRPr="004C6591">
              <w:t>diagnostic accuracy</w:t>
            </w:r>
            <w:r w:rsidRPr="004C6591">
              <w:t xml:space="preserve"> </w:t>
            </w:r>
            <w:r w:rsidR="008D054C" w:rsidRPr="004C6591">
              <w:t>between</w:t>
            </w:r>
            <w:r w:rsidRPr="004C6591">
              <w:t xml:space="preserve"> ctDN</w:t>
            </w:r>
            <w:r w:rsidR="00C03A16" w:rsidRPr="004C6591">
              <w:t>A</w:t>
            </w:r>
            <w:r w:rsidR="00503292" w:rsidRPr="004C6591">
              <w:t xml:space="preserve"> from blood sample and</w:t>
            </w:r>
            <w:r w:rsidRPr="004C6591">
              <w:t xml:space="preserve"> tumour tissue </w:t>
            </w:r>
            <w:r w:rsidR="00503292" w:rsidRPr="004C6591">
              <w:t>sample</w:t>
            </w:r>
            <w:r w:rsidR="00E5427F" w:rsidRPr="004C6591">
              <w:t xml:space="preserve"> </w:t>
            </w:r>
            <w:r w:rsidR="00AC3C94" w:rsidRPr="004C6591">
              <w:t xml:space="preserve">(fresh/archival/primary/metastasis sample) </w:t>
            </w:r>
            <w:r w:rsidR="008D054C" w:rsidRPr="004C6591">
              <w:t xml:space="preserve">in the </w:t>
            </w:r>
            <w:r w:rsidRPr="004C6591">
              <w:t>identif</w:t>
            </w:r>
            <w:r w:rsidR="008D054C" w:rsidRPr="004C6591">
              <w:t>ication of</w:t>
            </w:r>
            <w:r w:rsidRPr="004C6591">
              <w:t xml:space="preserve"> </w:t>
            </w:r>
            <w:r w:rsidRPr="004C6591">
              <w:rPr>
                <w:i/>
                <w:iCs/>
              </w:rPr>
              <w:t>PIK3CA</w:t>
            </w:r>
            <w:r w:rsidRPr="004C6591">
              <w:t xml:space="preserve"> variant</w:t>
            </w:r>
            <w:r w:rsidR="006617D8" w:rsidRPr="004C6591">
              <w:t>s</w:t>
            </w:r>
            <w:r w:rsidRPr="004C6591">
              <w:t>.</w:t>
            </w:r>
          </w:p>
          <w:p w14:paraId="6AA1E2B3" w14:textId="77777777" w:rsidR="009B7B4D" w:rsidRPr="004C6591" w:rsidRDefault="009B7B4D" w:rsidP="00435CBD">
            <w:pPr>
              <w:pStyle w:val="ListParagraph"/>
              <w:numPr>
                <w:ilvl w:val="0"/>
                <w:numId w:val="3"/>
              </w:numPr>
              <w:spacing w:before="120" w:after="120" w:line="240" w:lineRule="auto"/>
            </w:pPr>
            <w:r w:rsidRPr="004C6591">
              <w:t>Clinical validity of test:</w:t>
            </w:r>
          </w:p>
          <w:p w14:paraId="5D6259E5" w14:textId="1F3255E4" w:rsidR="009B7B4D" w:rsidRPr="004C6591" w:rsidRDefault="009B7B4D" w:rsidP="00435CBD">
            <w:pPr>
              <w:pStyle w:val="ListParagraph"/>
              <w:numPr>
                <w:ilvl w:val="1"/>
                <w:numId w:val="3"/>
              </w:numPr>
              <w:spacing w:before="120" w:after="120" w:line="240" w:lineRule="auto"/>
            </w:pPr>
            <w:r w:rsidRPr="004C6591">
              <w:t xml:space="preserve">Differential prognostic effect of the </w:t>
            </w:r>
            <w:r w:rsidR="00DA0ED0" w:rsidRPr="004C6591">
              <w:t xml:space="preserve">proposed </w:t>
            </w:r>
            <w:r w:rsidR="00DA0ED0" w:rsidRPr="004C6591">
              <w:rPr>
                <w:i/>
                <w:iCs/>
              </w:rPr>
              <w:t>PIK3CA</w:t>
            </w:r>
            <w:r w:rsidR="00DA0ED0" w:rsidRPr="004C6591">
              <w:t xml:space="preserve"> </w:t>
            </w:r>
            <w:r w:rsidR="0048258D" w:rsidRPr="004C6591">
              <w:t>variant</w:t>
            </w:r>
            <w:r w:rsidR="006617D8" w:rsidRPr="004C6591">
              <w:t>s</w:t>
            </w:r>
            <w:r w:rsidR="0048258D" w:rsidRPr="004C6591">
              <w:t xml:space="preserve"> </w:t>
            </w:r>
            <w:r w:rsidR="00DA0ED0" w:rsidRPr="004C6591">
              <w:t xml:space="preserve">testing </w:t>
            </w:r>
            <w:r w:rsidRPr="004C6591">
              <w:t xml:space="preserve">in </w:t>
            </w:r>
            <w:r w:rsidR="6041E545" w:rsidRPr="004C6591">
              <w:t xml:space="preserve">locally advanced or </w:t>
            </w:r>
            <w:r w:rsidR="1AB3972F" w:rsidRPr="004C6591">
              <w:t xml:space="preserve">metastatic breast cancer </w:t>
            </w:r>
            <w:r w:rsidR="6507A81F" w:rsidRPr="004C6591">
              <w:t>(</w:t>
            </w:r>
            <w:r w:rsidR="05C91B37" w:rsidRPr="004C6591">
              <w:t>LA/</w:t>
            </w:r>
            <w:r w:rsidR="001C1FC6" w:rsidRPr="004C6591">
              <w:t>m</w:t>
            </w:r>
            <w:r w:rsidR="006A463B" w:rsidRPr="004C6591">
              <w:t>BC</w:t>
            </w:r>
            <w:r w:rsidR="127D7142" w:rsidRPr="004C6591">
              <w:t>)</w:t>
            </w:r>
            <w:r w:rsidRPr="004C6591">
              <w:t xml:space="preserve">, particularly including an assessment of whether this prognostic effect varies further according to whether the patient is positive or negative for </w:t>
            </w:r>
            <w:r w:rsidR="00DA0ED0" w:rsidRPr="004C6591">
              <w:rPr>
                <w:i/>
                <w:iCs/>
              </w:rPr>
              <w:t>PIK3CA</w:t>
            </w:r>
            <w:r w:rsidR="00DA0ED0" w:rsidRPr="004C6591">
              <w:t xml:space="preserve"> variant</w:t>
            </w:r>
            <w:r w:rsidR="00ED6BA5" w:rsidRPr="004C6591">
              <w:t>s</w:t>
            </w:r>
            <w:r w:rsidR="005C5234" w:rsidRPr="004C6591">
              <w:t>.</w:t>
            </w:r>
          </w:p>
          <w:p w14:paraId="7F20FEE8" w14:textId="7A6A5455" w:rsidR="0048258D" w:rsidRPr="004C6591" w:rsidRDefault="009B7B4D" w:rsidP="00435CBD">
            <w:pPr>
              <w:pStyle w:val="ListParagraph"/>
              <w:numPr>
                <w:ilvl w:val="0"/>
                <w:numId w:val="3"/>
              </w:numPr>
              <w:spacing w:before="120" w:after="120" w:line="240" w:lineRule="auto"/>
            </w:pPr>
            <w:r w:rsidRPr="004C6591">
              <w:t>Clinical utility of test:</w:t>
            </w:r>
          </w:p>
          <w:p w14:paraId="430F02CB" w14:textId="76E9768E" w:rsidR="006267EA" w:rsidRPr="004C6591" w:rsidRDefault="009B7B4D" w:rsidP="00435CBD">
            <w:pPr>
              <w:pStyle w:val="ListParagraph"/>
              <w:numPr>
                <w:ilvl w:val="1"/>
                <w:numId w:val="3"/>
              </w:numPr>
              <w:spacing w:before="120" w:after="120" w:line="240" w:lineRule="auto"/>
            </w:pPr>
            <w:r w:rsidRPr="004C6591">
              <w:t xml:space="preserve">Treatment effect modification of </w:t>
            </w:r>
            <w:r w:rsidR="0048258D" w:rsidRPr="004C6591">
              <w:t>inavolisib</w:t>
            </w:r>
            <w:r w:rsidRPr="004C6591">
              <w:t xml:space="preserve"> as a consequence of </w:t>
            </w:r>
            <w:r w:rsidRPr="004C6591">
              <w:rPr>
                <w:i/>
                <w:iCs/>
              </w:rPr>
              <w:t>PIK3CA</w:t>
            </w:r>
            <w:r w:rsidRPr="004C6591">
              <w:t xml:space="preserve"> status</w:t>
            </w:r>
            <w:r w:rsidR="00503292" w:rsidRPr="004C6591">
              <w:t xml:space="preserve"> from testing using ctDNA or </w:t>
            </w:r>
            <w:r w:rsidR="00D525BA" w:rsidRPr="004C6591">
              <w:t xml:space="preserve">tumour </w:t>
            </w:r>
            <w:r w:rsidR="00503292" w:rsidRPr="004C6591">
              <w:t>tissue sample</w:t>
            </w:r>
          </w:p>
          <w:p w14:paraId="4CE79774" w14:textId="77777777" w:rsidR="00642F19" w:rsidRPr="004C6591" w:rsidRDefault="009B7B4D" w:rsidP="00435CBD">
            <w:pPr>
              <w:pStyle w:val="ListParagraph"/>
              <w:numPr>
                <w:ilvl w:val="0"/>
                <w:numId w:val="3"/>
              </w:numPr>
              <w:spacing w:before="120" w:after="120" w:line="240" w:lineRule="auto"/>
            </w:pPr>
            <w:r w:rsidRPr="004C6591">
              <w:t>Other test related considerations:</w:t>
            </w:r>
          </w:p>
          <w:p w14:paraId="46D087DB" w14:textId="77777777" w:rsidR="00956513" w:rsidRPr="004C6591" w:rsidRDefault="009B7B4D" w:rsidP="00435CBD">
            <w:pPr>
              <w:pStyle w:val="ListParagraph"/>
              <w:numPr>
                <w:ilvl w:val="1"/>
                <w:numId w:val="3"/>
              </w:numPr>
              <w:spacing w:before="120" w:after="120" w:line="240" w:lineRule="auto"/>
            </w:pPr>
            <w:r w:rsidRPr="004C6591">
              <w:t>Test turnaround time.</w:t>
            </w:r>
          </w:p>
          <w:p w14:paraId="33BB4233" w14:textId="6C088DC3" w:rsidR="009B7B4D" w:rsidRPr="004C6591" w:rsidRDefault="009B7B4D" w:rsidP="00435CBD">
            <w:pPr>
              <w:pStyle w:val="ListParagraph"/>
              <w:numPr>
                <w:ilvl w:val="1"/>
                <w:numId w:val="3"/>
              </w:numPr>
              <w:spacing w:before="120" w:after="120" w:line="240" w:lineRule="auto"/>
            </w:pPr>
            <w:r w:rsidRPr="004C6591">
              <w:t>Test failure rates and re-biopsy rates</w:t>
            </w:r>
            <w:r w:rsidR="00E64290" w:rsidRPr="004C6591">
              <w:t xml:space="preserve"> (if tumour tissue sample)</w:t>
            </w:r>
            <w:r w:rsidRPr="004C6591">
              <w:t xml:space="preserve">. </w:t>
            </w:r>
          </w:p>
          <w:p w14:paraId="31E77479" w14:textId="77777777" w:rsidR="009B7B4D" w:rsidRPr="004C6591" w:rsidRDefault="009B7B4D" w:rsidP="00435CBD">
            <w:pPr>
              <w:spacing w:before="120" w:after="120" w:line="240" w:lineRule="auto"/>
              <w:rPr>
                <w:rStyle w:val="SubtleEmphasis"/>
              </w:rPr>
            </w:pPr>
            <w:r w:rsidRPr="004C6591">
              <w:rPr>
                <w:rStyle w:val="SubtleEmphasis"/>
              </w:rPr>
              <w:t>Safety outcomes</w:t>
            </w:r>
          </w:p>
          <w:p w14:paraId="176C068C" w14:textId="5A199BAC" w:rsidR="009B7B4D" w:rsidRPr="004C6591" w:rsidRDefault="009B7B4D" w:rsidP="00435CBD">
            <w:pPr>
              <w:pStyle w:val="ListParagraph"/>
              <w:numPr>
                <w:ilvl w:val="0"/>
                <w:numId w:val="4"/>
              </w:numPr>
              <w:spacing w:before="120" w:after="120" w:line="240" w:lineRule="auto"/>
            </w:pPr>
            <w:r w:rsidRPr="004C6591">
              <w:t>Adverse events associated with</w:t>
            </w:r>
            <w:r w:rsidR="00B00845" w:rsidRPr="004C6591">
              <w:t xml:space="preserve"> collection of plasma sample for ctDNA analysis</w:t>
            </w:r>
            <w:r w:rsidR="5417CF79" w:rsidRPr="004C6591">
              <w:t>,</w:t>
            </w:r>
            <w:r w:rsidR="00B00845" w:rsidRPr="004C6591">
              <w:t xml:space="preserve"> </w:t>
            </w:r>
            <w:r w:rsidRPr="004C6591">
              <w:t>biopsy</w:t>
            </w:r>
            <w:r w:rsidR="668D2223" w:rsidRPr="004C6591">
              <w:t xml:space="preserve"> for tumour tissue testing, </w:t>
            </w:r>
            <w:r w:rsidR="7BEB61E9" w:rsidRPr="004C6591">
              <w:t xml:space="preserve">and </w:t>
            </w:r>
            <w:r w:rsidRPr="004C6591">
              <w:t xml:space="preserve">re-biopsy </w:t>
            </w:r>
            <w:r w:rsidR="758C75A9" w:rsidRPr="004C6591">
              <w:t xml:space="preserve">(e.g. </w:t>
            </w:r>
            <w:r w:rsidRPr="004C6591">
              <w:t xml:space="preserve">for patients with </w:t>
            </w:r>
            <w:r w:rsidR="00A10FB0" w:rsidRPr="004C6591">
              <w:t xml:space="preserve">an </w:t>
            </w:r>
            <w:r w:rsidRPr="004C6591">
              <w:t xml:space="preserve">inadequate tissue </w:t>
            </w:r>
            <w:r w:rsidR="00A10FB0" w:rsidRPr="004C6591">
              <w:t xml:space="preserve">sample </w:t>
            </w:r>
            <w:r w:rsidRPr="004C6591">
              <w:t>for tumour testing</w:t>
            </w:r>
            <w:r w:rsidR="404BA555" w:rsidRPr="004C6591">
              <w:t>)</w:t>
            </w:r>
            <w:r w:rsidRPr="004C6591">
              <w:t>.</w:t>
            </w:r>
          </w:p>
          <w:p w14:paraId="2643F25E" w14:textId="77777777" w:rsidR="009B7B4D" w:rsidRPr="004C6591" w:rsidRDefault="009B7B4D" w:rsidP="00435CBD">
            <w:pPr>
              <w:spacing w:before="120" w:after="120" w:line="240" w:lineRule="auto"/>
              <w:rPr>
                <w:rStyle w:val="SubtleEmphasis"/>
              </w:rPr>
            </w:pPr>
            <w:r w:rsidRPr="004C6591">
              <w:rPr>
                <w:rStyle w:val="SubtleEmphasis"/>
              </w:rPr>
              <w:t xml:space="preserve">Healthcare resources </w:t>
            </w:r>
          </w:p>
          <w:p w14:paraId="6A4496F6" w14:textId="77777777" w:rsidR="00495C99" w:rsidRPr="004C6591" w:rsidRDefault="009B7B4D" w:rsidP="00435CBD">
            <w:pPr>
              <w:pStyle w:val="ListParagraph"/>
              <w:numPr>
                <w:ilvl w:val="0"/>
                <w:numId w:val="4"/>
              </w:numPr>
              <w:spacing w:before="120" w:after="120" w:line="240" w:lineRule="auto"/>
            </w:pPr>
            <w:r w:rsidRPr="004C6591">
              <w:t>Estimated number of patients to be tested.</w:t>
            </w:r>
          </w:p>
          <w:p w14:paraId="062E2E38" w14:textId="77777777" w:rsidR="00495C99" w:rsidRPr="004C6591" w:rsidRDefault="009B7B4D" w:rsidP="00435CBD">
            <w:pPr>
              <w:pStyle w:val="ListParagraph"/>
              <w:numPr>
                <w:ilvl w:val="0"/>
                <w:numId w:val="4"/>
              </w:numPr>
              <w:spacing w:before="120" w:after="120" w:line="240" w:lineRule="auto"/>
            </w:pPr>
            <w:r w:rsidRPr="004C6591">
              <w:t>Cost of test intervention and associated delivery cost.</w:t>
            </w:r>
          </w:p>
          <w:p w14:paraId="21F5E731" w14:textId="4C35B6F2" w:rsidR="00CC6BB2" w:rsidRPr="004C6591" w:rsidRDefault="00CC6BB2" w:rsidP="00435CBD">
            <w:pPr>
              <w:pStyle w:val="ListParagraph"/>
              <w:numPr>
                <w:ilvl w:val="0"/>
                <w:numId w:val="4"/>
              </w:numPr>
              <w:spacing w:before="120" w:after="120" w:line="240" w:lineRule="auto"/>
            </w:pPr>
            <w:r w:rsidRPr="004C6591">
              <w:t>Cost of blood plasma collection</w:t>
            </w:r>
            <w:r w:rsidR="00390D5B" w:rsidRPr="004C6591">
              <w:t>.</w:t>
            </w:r>
          </w:p>
          <w:p w14:paraId="3EE5F701" w14:textId="7F391709" w:rsidR="00495C99" w:rsidRPr="004C6591" w:rsidRDefault="009B7B4D" w:rsidP="00435CBD">
            <w:pPr>
              <w:pStyle w:val="ListParagraph"/>
              <w:numPr>
                <w:ilvl w:val="0"/>
                <w:numId w:val="4"/>
              </w:numPr>
              <w:spacing w:before="120" w:after="120" w:line="240" w:lineRule="auto"/>
            </w:pPr>
            <w:r w:rsidRPr="004C6591">
              <w:t>Cost of re-biopsy</w:t>
            </w:r>
            <w:r w:rsidR="00390D5B" w:rsidRPr="004C6591">
              <w:t xml:space="preserve"> (if tumour tissue sample).</w:t>
            </w:r>
          </w:p>
          <w:p w14:paraId="5DE2EF1D" w14:textId="23D3F912" w:rsidR="009B7B4D" w:rsidRPr="004C6591" w:rsidRDefault="009B7B4D" w:rsidP="00435CBD">
            <w:pPr>
              <w:pStyle w:val="ListParagraph"/>
              <w:numPr>
                <w:ilvl w:val="0"/>
                <w:numId w:val="4"/>
              </w:numPr>
              <w:spacing w:before="120" w:after="120" w:line="240" w:lineRule="auto"/>
            </w:pPr>
            <w:r w:rsidRPr="004C6591">
              <w:t>Cost of re-test</w:t>
            </w:r>
            <w:r w:rsidR="00B51014" w:rsidRPr="004C6591">
              <w:t xml:space="preserve"> (</w:t>
            </w:r>
            <w:r w:rsidR="00497CCC" w:rsidRPr="004C6591">
              <w:t>i</w:t>
            </w:r>
            <w:r w:rsidR="00AB6CF0" w:rsidRPr="004C6591">
              <w:t>.</w:t>
            </w:r>
            <w:r w:rsidR="00497CCC" w:rsidRPr="004C6591">
              <w:t>e. the cost of</w:t>
            </w:r>
            <w:r w:rsidR="00B51014" w:rsidRPr="004C6591">
              <w:t xml:space="preserve"> tumour tissue testing</w:t>
            </w:r>
            <w:r w:rsidR="00497CCC" w:rsidRPr="004C6591">
              <w:t xml:space="preserve"> if this</w:t>
            </w:r>
            <w:r w:rsidR="00B51014" w:rsidRPr="004C6591">
              <w:t xml:space="preserve"> is conducted after </w:t>
            </w:r>
            <w:r w:rsidR="00553D91" w:rsidRPr="004C6591">
              <w:t xml:space="preserve">a </w:t>
            </w:r>
            <w:r w:rsidR="00B51014" w:rsidRPr="004C6591">
              <w:t>negative ctDNA test)</w:t>
            </w:r>
            <w:r w:rsidRPr="004C6591">
              <w:t>.</w:t>
            </w:r>
          </w:p>
          <w:p w14:paraId="65FC1A0D" w14:textId="77777777" w:rsidR="009B7B4D" w:rsidRPr="004C6591" w:rsidRDefault="009B7B4D" w:rsidP="00435CBD">
            <w:pPr>
              <w:spacing w:before="120" w:after="120" w:line="240" w:lineRule="auto"/>
              <w:rPr>
                <w:rStyle w:val="SubtleEmphasis"/>
                <w:b/>
                <w:bCs/>
                <w:i w:val="0"/>
                <w:iCs w:val="0"/>
              </w:rPr>
            </w:pPr>
            <w:r w:rsidRPr="004C6591">
              <w:rPr>
                <w:rStyle w:val="SubtleEmphasis"/>
                <w:b/>
                <w:bCs/>
              </w:rPr>
              <w:t>Treatment outcomes</w:t>
            </w:r>
          </w:p>
          <w:p w14:paraId="138061DB" w14:textId="77777777" w:rsidR="009B7B4D" w:rsidRPr="004C6591" w:rsidRDefault="009B7B4D" w:rsidP="00435CBD">
            <w:pPr>
              <w:spacing w:before="120" w:after="120" w:line="240" w:lineRule="auto"/>
              <w:rPr>
                <w:rStyle w:val="SubtleEmphasis"/>
              </w:rPr>
            </w:pPr>
            <w:r w:rsidRPr="004C6591">
              <w:rPr>
                <w:rStyle w:val="SubtleEmphasis"/>
              </w:rPr>
              <w:t>Efficacy/effectiveness</w:t>
            </w:r>
          </w:p>
          <w:p w14:paraId="3B41F94E" w14:textId="709D79FA" w:rsidR="00FA2696" w:rsidRPr="004C6591" w:rsidRDefault="009B7B4D" w:rsidP="00435CBD">
            <w:pPr>
              <w:pStyle w:val="ListParagraph"/>
              <w:numPr>
                <w:ilvl w:val="0"/>
                <w:numId w:val="5"/>
              </w:numPr>
              <w:spacing w:before="120" w:after="120" w:line="240" w:lineRule="auto"/>
            </w:pPr>
            <w:r w:rsidRPr="004C6591">
              <w:t>Progression free survival.</w:t>
            </w:r>
          </w:p>
          <w:p w14:paraId="6733EFCC" w14:textId="3F2572A6" w:rsidR="00FA2696" w:rsidRPr="004C6591" w:rsidRDefault="009B7B4D" w:rsidP="00435CBD">
            <w:pPr>
              <w:pStyle w:val="ListParagraph"/>
              <w:numPr>
                <w:ilvl w:val="0"/>
                <w:numId w:val="5"/>
              </w:numPr>
              <w:spacing w:before="120" w:after="120" w:line="240" w:lineRule="auto"/>
            </w:pPr>
            <w:r w:rsidRPr="004C6591">
              <w:t>Overall survival.</w:t>
            </w:r>
          </w:p>
          <w:p w14:paraId="03D1EC9C" w14:textId="76849114" w:rsidR="00FA2696" w:rsidRPr="004C6591" w:rsidRDefault="009B7B4D" w:rsidP="00435CBD">
            <w:pPr>
              <w:pStyle w:val="ListParagraph"/>
              <w:numPr>
                <w:ilvl w:val="0"/>
                <w:numId w:val="5"/>
              </w:numPr>
              <w:spacing w:before="120" w:after="120" w:line="240" w:lineRule="auto"/>
            </w:pPr>
            <w:r w:rsidRPr="004C6591">
              <w:t>Response rate</w:t>
            </w:r>
            <w:r w:rsidR="00292188" w:rsidRPr="004C6591">
              <w:t xml:space="preserve">. </w:t>
            </w:r>
          </w:p>
          <w:p w14:paraId="62F6009C" w14:textId="77777777" w:rsidR="00FA2696" w:rsidRPr="004C6591" w:rsidRDefault="009B7B4D" w:rsidP="00435CBD">
            <w:pPr>
              <w:pStyle w:val="ListParagraph"/>
              <w:numPr>
                <w:ilvl w:val="0"/>
                <w:numId w:val="5"/>
              </w:numPr>
              <w:spacing w:before="120" w:after="120" w:line="240" w:lineRule="auto"/>
            </w:pPr>
            <w:r w:rsidRPr="004C6591">
              <w:lastRenderedPageBreak/>
              <w:t xml:space="preserve">Quality of life. </w:t>
            </w:r>
          </w:p>
          <w:p w14:paraId="630CB940" w14:textId="1606E343" w:rsidR="009B7B4D" w:rsidRPr="004C6591" w:rsidRDefault="00FA2696" w:rsidP="00435CBD">
            <w:pPr>
              <w:pStyle w:val="ListParagraph"/>
              <w:numPr>
                <w:ilvl w:val="0"/>
                <w:numId w:val="5"/>
              </w:numPr>
              <w:spacing w:before="120" w:after="120" w:line="240" w:lineRule="auto"/>
            </w:pPr>
            <w:r w:rsidRPr="004C6591">
              <w:t>C</w:t>
            </w:r>
            <w:r w:rsidR="009B7B4D" w:rsidRPr="004C6591">
              <w:t>omparative effectiveness of treatment based on tumour and ctDNA variant status.</w:t>
            </w:r>
          </w:p>
          <w:p w14:paraId="7A2BAD21" w14:textId="77777777" w:rsidR="009B7B4D" w:rsidRPr="004C6591" w:rsidRDefault="009B7B4D" w:rsidP="00435CBD">
            <w:pPr>
              <w:spacing w:before="120" w:after="120" w:line="240" w:lineRule="auto"/>
              <w:rPr>
                <w:rStyle w:val="SubtleEmphasis"/>
              </w:rPr>
            </w:pPr>
            <w:r w:rsidRPr="004C6591">
              <w:rPr>
                <w:rStyle w:val="SubtleEmphasis"/>
              </w:rPr>
              <w:t>Safety Outcomes</w:t>
            </w:r>
          </w:p>
          <w:p w14:paraId="789DC5DE" w14:textId="50F362FA" w:rsidR="009B7B4D" w:rsidRPr="004C6591" w:rsidRDefault="009B7B4D" w:rsidP="00435CBD">
            <w:pPr>
              <w:pStyle w:val="ListParagraph"/>
              <w:numPr>
                <w:ilvl w:val="0"/>
                <w:numId w:val="6"/>
              </w:numPr>
              <w:spacing w:before="120" w:after="120" w:line="240" w:lineRule="auto"/>
            </w:pPr>
            <w:r w:rsidRPr="004C6591">
              <w:t xml:space="preserve">Comparative safety and tolerability of </w:t>
            </w:r>
            <w:r w:rsidR="00FA2696" w:rsidRPr="004C6591">
              <w:t>inavolisib</w:t>
            </w:r>
            <w:r w:rsidRPr="004C6591">
              <w:t xml:space="preserve"> </w:t>
            </w:r>
            <w:r w:rsidR="0054531D" w:rsidRPr="004C6591">
              <w:t>(in combination with</w:t>
            </w:r>
            <w:r w:rsidRPr="004C6591">
              <w:t xml:space="preserve"> </w:t>
            </w:r>
            <w:r w:rsidR="00FA2696" w:rsidRPr="004C6591">
              <w:t>palbociclib + fulvestrant</w:t>
            </w:r>
            <w:r w:rsidR="0054531D" w:rsidRPr="004C6591">
              <w:t>)</w:t>
            </w:r>
            <w:r w:rsidRPr="004C6591">
              <w:t xml:space="preserve">, compared to </w:t>
            </w:r>
            <w:r w:rsidR="0054531D" w:rsidRPr="004C6591">
              <w:t>alternative first line treatments</w:t>
            </w:r>
            <w:r w:rsidRPr="004C6591">
              <w:t xml:space="preserve"> in patients with/without </w:t>
            </w:r>
            <w:r w:rsidR="00FA2696" w:rsidRPr="004C6591">
              <w:rPr>
                <w:i/>
                <w:iCs/>
              </w:rPr>
              <w:t>PIK3CA</w:t>
            </w:r>
            <w:r w:rsidR="00FA2696" w:rsidRPr="004C6591">
              <w:t xml:space="preserve"> variant</w:t>
            </w:r>
            <w:r w:rsidR="00291985" w:rsidRPr="004C6591">
              <w:t>s</w:t>
            </w:r>
            <w:r w:rsidRPr="004C6591">
              <w:t>, assessed by adverse events, discontinuation rates, deaths and collection of clinical chemistry/haematology parameters.</w:t>
            </w:r>
          </w:p>
          <w:p w14:paraId="57BCD1A7" w14:textId="77777777" w:rsidR="009B7B4D" w:rsidRPr="004C6591" w:rsidRDefault="009B7B4D" w:rsidP="00435CBD">
            <w:pPr>
              <w:spacing w:before="120" w:after="120" w:line="240" w:lineRule="auto"/>
              <w:rPr>
                <w:rStyle w:val="SubtleEmphasis"/>
              </w:rPr>
            </w:pPr>
            <w:r w:rsidRPr="004C6591">
              <w:rPr>
                <w:rStyle w:val="SubtleEmphasis"/>
              </w:rPr>
              <w:t xml:space="preserve">Healthcare resources </w:t>
            </w:r>
          </w:p>
          <w:p w14:paraId="01C3E530" w14:textId="77777777" w:rsidR="009B7B4D" w:rsidRPr="004C6591" w:rsidRDefault="009B7B4D" w:rsidP="00435CBD">
            <w:pPr>
              <w:pStyle w:val="ListParagraph"/>
              <w:numPr>
                <w:ilvl w:val="0"/>
                <w:numId w:val="6"/>
              </w:numPr>
              <w:spacing w:before="120" w:after="120" w:line="240" w:lineRule="auto"/>
            </w:pPr>
            <w:r w:rsidRPr="004C6591">
              <w:t>Cost of treatment intervention.</w:t>
            </w:r>
          </w:p>
          <w:p w14:paraId="533C1D08" w14:textId="77777777" w:rsidR="009B7B4D" w:rsidRPr="004C6591" w:rsidRDefault="009B7B4D" w:rsidP="00435CBD">
            <w:pPr>
              <w:spacing w:before="120" w:after="120" w:line="240" w:lineRule="auto"/>
              <w:rPr>
                <w:rStyle w:val="SubtleEmphasis"/>
              </w:rPr>
            </w:pPr>
            <w:r w:rsidRPr="004C6591">
              <w:rPr>
                <w:rStyle w:val="SubtleEmphasis"/>
              </w:rPr>
              <w:t xml:space="preserve">Total Australian Government Healthcare costs </w:t>
            </w:r>
          </w:p>
          <w:p w14:paraId="44329765" w14:textId="77777777" w:rsidR="009B7B4D" w:rsidRPr="004C6591" w:rsidRDefault="009B7B4D" w:rsidP="00435CBD">
            <w:pPr>
              <w:pStyle w:val="ListParagraph"/>
              <w:numPr>
                <w:ilvl w:val="0"/>
                <w:numId w:val="6"/>
              </w:numPr>
              <w:spacing w:before="120" w:after="120" w:line="240" w:lineRule="auto"/>
            </w:pPr>
            <w:r w:rsidRPr="004C6591">
              <w:t xml:space="preserve">Total cost to the Medicare Benefits Schedule (MBS). </w:t>
            </w:r>
          </w:p>
          <w:p w14:paraId="63E6E637" w14:textId="77777777" w:rsidR="009B7B4D" w:rsidRPr="004C6591" w:rsidRDefault="009B7B4D" w:rsidP="00435CBD">
            <w:pPr>
              <w:pStyle w:val="ListParagraph"/>
              <w:numPr>
                <w:ilvl w:val="0"/>
                <w:numId w:val="6"/>
              </w:numPr>
              <w:spacing w:before="120" w:after="120" w:line="240" w:lineRule="auto"/>
            </w:pPr>
            <w:r w:rsidRPr="004C6591">
              <w:t xml:space="preserve">Total cost to the Pharmaceutical Benefits Scheme (PBS). </w:t>
            </w:r>
          </w:p>
          <w:p w14:paraId="6F9242D7" w14:textId="2C1AB4BB" w:rsidR="009B7B4D" w:rsidRPr="004C6591" w:rsidRDefault="009B7B4D" w:rsidP="00435CBD">
            <w:pPr>
              <w:pStyle w:val="ListParagraph"/>
              <w:numPr>
                <w:ilvl w:val="0"/>
                <w:numId w:val="6"/>
              </w:numPr>
              <w:spacing w:before="120" w:after="120" w:line="240" w:lineRule="auto"/>
            </w:pPr>
            <w:r w:rsidRPr="004C6591">
              <w:t>Total cost to other healthcare services.</w:t>
            </w:r>
            <w:bookmarkEnd w:id="4"/>
          </w:p>
        </w:tc>
      </w:tr>
      <w:tr w:rsidR="009B7B4D" w:rsidRPr="004C6591" w14:paraId="4A55FFDB" w14:textId="77777777" w:rsidTr="00435CBD">
        <w:tc>
          <w:tcPr>
            <w:tcW w:w="810" w:type="pct"/>
            <w:tcBorders>
              <w:top w:val="single" w:sz="4" w:space="0" w:color="auto"/>
              <w:left w:val="single" w:sz="8" w:space="0" w:color="auto"/>
              <w:bottom w:val="single" w:sz="8" w:space="0" w:color="auto"/>
              <w:right w:val="single" w:sz="4" w:space="0" w:color="auto"/>
            </w:tcBorders>
          </w:tcPr>
          <w:p w14:paraId="003B36EC" w14:textId="77777777" w:rsidR="009B7B4D" w:rsidRPr="004C6591" w:rsidRDefault="009B7B4D" w:rsidP="009B7B4D">
            <w:pPr>
              <w:spacing w:before="120" w:after="120" w:line="240" w:lineRule="auto"/>
              <w:rPr>
                <w:rFonts w:cs="Arial"/>
              </w:rPr>
            </w:pPr>
            <w:r w:rsidRPr="004C6591">
              <w:rPr>
                <w:rFonts w:cs="Arial"/>
              </w:rPr>
              <w:lastRenderedPageBreak/>
              <w:t>Assessment questions</w:t>
            </w:r>
          </w:p>
        </w:tc>
        <w:tc>
          <w:tcPr>
            <w:tcW w:w="4190" w:type="pct"/>
            <w:tcBorders>
              <w:top w:val="single" w:sz="4" w:space="0" w:color="auto"/>
              <w:left w:val="single" w:sz="4" w:space="0" w:color="auto"/>
              <w:bottom w:val="single" w:sz="4" w:space="0" w:color="auto"/>
              <w:right w:val="single" w:sz="4" w:space="0" w:color="auto"/>
            </w:tcBorders>
          </w:tcPr>
          <w:p w14:paraId="5005ABB1" w14:textId="2256B50D" w:rsidR="001415CE" w:rsidRPr="004C6591" w:rsidRDefault="009B7B4D" w:rsidP="00536FAA">
            <w:pPr>
              <w:spacing w:before="120" w:after="120" w:line="240" w:lineRule="auto"/>
              <w:rPr>
                <w:color w:val="000000" w:themeColor="text1"/>
              </w:rPr>
            </w:pPr>
            <w:r w:rsidRPr="004C6591">
              <w:rPr>
                <w:color w:val="000000" w:themeColor="text1"/>
              </w:rPr>
              <w:t>What is the safety, effectiveness</w:t>
            </w:r>
            <w:r w:rsidR="007D05C9" w:rsidRPr="004C6591">
              <w:rPr>
                <w:color w:val="000000" w:themeColor="text1"/>
              </w:rPr>
              <w:t>,</w:t>
            </w:r>
            <w:r w:rsidRPr="004C6591">
              <w:rPr>
                <w:color w:val="000000" w:themeColor="text1"/>
              </w:rPr>
              <w:t xml:space="preserve"> cost-effectiveness </w:t>
            </w:r>
            <w:r w:rsidR="007D05C9" w:rsidRPr="004C6591">
              <w:rPr>
                <w:color w:val="000000" w:themeColor="text1"/>
              </w:rPr>
              <w:t xml:space="preserve">and total costs of a genetic test to detect </w:t>
            </w:r>
            <w:r w:rsidR="007D05C9" w:rsidRPr="004C6591">
              <w:rPr>
                <w:i/>
                <w:iCs/>
                <w:color w:val="000000" w:themeColor="text1"/>
              </w:rPr>
              <w:t xml:space="preserve">PIK3CA </w:t>
            </w:r>
            <w:r w:rsidR="007D05C9" w:rsidRPr="004C6591">
              <w:rPr>
                <w:color w:val="000000" w:themeColor="text1"/>
              </w:rPr>
              <w:t>variant</w:t>
            </w:r>
            <w:r w:rsidR="0022113A" w:rsidRPr="004C6591">
              <w:rPr>
                <w:color w:val="000000" w:themeColor="text1"/>
              </w:rPr>
              <w:t>s</w:t>
            </w:r>
            <w:r w:rsidR="00515025" w:rsidRPr="004C6591">
              <w:rPr>
                <w:color w:val="000000" w:themeColor="text1"/>
              </w:rPr>
              <w:t xml:space="preserve"> and treatment with </w:t>
            </w:r>
            <w:r w:rsidR="001415CE" w:rsidRPr="004C6591">
              <w:t xml:space="preserve">inavolisib </w:t>
            </w:r>
            <w:r w:rsidR="0054531D" w:rsidRPr="004C6591">
              <w:t xml:space="preserve">(in combination with </w:t>
            </w:r>
            <w:r w:rsidR="001415CE" w:rsidRPr="004C6591">
              <w:t>palbociclib + fulvestrant</w:t>
            </w:r>
            <w:r w:rsidR="00A11D52" w:rsidRPr="004C6591">
              <w:t>)</w:t>
            </w:r>
            <w:r w:rsidR="007D05C9" w:rsidRPr="004C6591">
              <w:rPr>
                <w:color w:val="000000" w:themeColor="text1"/>
              </w:rPr>
              <w:t>, versus no testing</w:t>
            </w:r>
            <w:r w:rsidR="001415CE" w:rsidRPr="004C6591">
              <w:rPr>
                <w:color w:val="000000" w:themeColor="text1"/>
              </w:rPr>
              <w:t xml:space="preserve"> and treatment with </w:t>
            </w:r>
            <w:r w:rsidR="00A11D52" w:rsidRPr="004C6591">
              <w:t>an alternative first line treatment</w:t>
            </w:r>
            <w:r w:rsidR="007D05C9" w:rsidRPr="004C6591">
              <w:rPr>
                <w:color w:val="000000" w:themeColor="text1"/>
              </w:rPr>
              <w:t xml:space="preserve">, </w:t>
            </w:r>
            <w:r w:rsidRPr="004C6591">
              <w:rPr>
                <w:color w:val="000000" w:themeColor="text1"/>
              </w:rPr>
              <w:t xml:space="preserve">in </w:t>
            </w:r>
            <w:r w:rsidR="00A061FD" w:rsidRPr="004C6591">
              <w:rPr>
                <w:color w:val="000000" w:themeColor="text1"/>
              </w:rPr>
              <w:t xml:space="preserve">a </w:t>
            </w:r>
            <w:r w:rsidR="007D05C9" w:rsidRPr="004C6591">
              <w:rPr>
                <w:color w:val="000000" w:themeColor="text1"/>
              </w:rPr>
              <w:t xml:space="preserve">patient with HR+/HER2- </w:t>
            </w:r>
            <w:r w:rsidR="0054531D" w:rsidRPr="004C6591">
              <w:rPr>
                <w:color w:val="000000" w:themeColor="text1"/>
              </w:rPr>
              <w:t>LA/mBC</w:t>
            </w:r>
            <w:r w:rsidRPr="004C6591">
              <w:rPr>
                <w:color w:val="000000" w:themeColor="text1"/>
              </w:rPr>
              <w:t>?</w:t>
            </w:r>
          </w:p>
          <w:p w14:paraId="7AB69A9A" w14:textId="25E745D7" w:rsidR="001415CE" w:rsidRPr="004C6591" w:rsidRDefault="001415CE" w:rsidP="00536FAA">
            <w:pPr>
              <w:spacing w:before="120" w:after="120" w:line="240" w:lineRule="auto"/>
              <w:rPr>
                <w:color w:val="000000" w:themeColor="text1"/>
              </w:rPr>
            </w:pPr>
            <w:r w:rsidRPr="004C6591">
              <w:rPr>
                <w:color w:val="000000" w:themeColor="text1"/>
              </w:rPr>
              <w:t xml:space="preserve">Does testing for </w:t>
            </w:r>
            <w:r w:rsidRPr="004C6591">
              <w:rPr>
                <w:i/>
                <w:iCs/>
                <w:color w:val="000000" w:themeColor="text1"/>
              </w:rPr>
              <w:t xml:space="preserve">PIK3CA </w:t>
            </w:r>
            <w:r w:rsidRPr="004C6591">
              <w:rPr>
                <w:color w:val="000000" w:themeColor="text1"/>
              </w:rPr>
              <w:t>variants</w:t>
            </w:r>
            <w:r w:rsidR="00915D1A" w:rsidRPr="004C6591">
              <w:rPr>
                <w:color w:val="000000" w:themeColor="text1"/>
              </w:rPr>
              <w:t xml:space="preserve"> predict a treatm</w:t>
            </w:r>
            <w:r w:rsidR="006435B9" w:rsidRPr="004C6591">
              <w:rPr>
                <w:color w:val="000000" w:themeColor="text1"/>
              </w:rPr>
              <w:t xml:space="preserve">ent effect modification with </w:t>
            </w:r>
            <w:r w:rsidR="002D4E66" w:rsidRPr="004C6591">
              <w:t xml:space="preserve">inavolisib </w:t>
            </w:r>
            <w:r w:rsidR="0054531D" w:rsidRPr="004C6591">
              <w:t xml:space="preserve">(in combination with </w:t>
            </w:r>
            <w:r w:rsidR="002D4E66" w:rsidRPr="004C6591">
              <w:t>palbociclib + fulvestrant</w:t>
            </w:r>
            <w:r w:rsidR="009F62B8" w:rsidRPr="004C6591">
              <w:t>)</w:t>
            </w:r>
            <w:r w:rsidR="002D4E66" w:rsidRPr="004C6591">
              <w:t>?</w:t>
            </w:r>
          </w:p>
        </w:tc>
      </w:tr>
    </w:tbl>
    <w:p w14:paraId="5D5376EF" w14:textId="77777777" w:rsidR="006478E7" w:rsidRPr="004C6591" w:rsidRDefault="006478E7" w:rsidP="00E01349">
      <w:r w:rsidRPr="004C6591">
        <w:br w:type="page"/>
      </w:r>
    </w:p>
    <w:p w14:paraId="53297713" w14:textId="1C141E55" w:rsidR="00912660" w:rsidRPr="004C6591" w:rsidRDefault="00912660" w:rsidP="00713728">
      <w:pPr>
        <w:pStyle w:val="Heading2"/>
      </w:pPr>
      <w:r w:rsidRPr="004C6591">
        <w:lastRenderedPageBreak/>
        <w:t>Purpose of application</w:t>
      </w:r>
    </w:p>
    <w:p w14:paraId="4F7F9BCB" w14:textId="13282DD2" w:rsidR="0089232E" w:rsidRPr="004C6591" w:rsidRDefault="0089232E" w:rsidP="00753C62">
      <w:r w:rsidRPr="004C6591">
        <w:t>The codependent application</w:t>
      </w:r>
      <w:r w:rsidR="5A94371F" w:rsidRPr="004C6591">
        <w:t xml:space="preserve"> was received by the Department of Health and Aged Care from Roche Product</w:t>
      </w:r>
      <w:r w:rsidR="00864D8F" w:rsidRPr="004C6591">
        <w:t>s</w:t>
      </w:r>
      <w:r w:rsidR="5A94371F" w:rsidRPr="004C6591">
        <w:t xml:space="preserve"> Pty Ltd, and</w:t>
      </w:r>
      <w:r w:rsidRPr="004C6591" w:rsidDel="0089232E">
        <w:t xml:space="preserve"> </w:t>
      </w:r>
      <w:r w:rsidRPr="004C6591">
        <w:t>requested:</w:t>
      </w:r>
    </w:p>
    <w:p w14:paraId="3762E78A" w14:textId="14FDD34B" w:rsidR="0089232E" w:rsidRPr="004C6591" w:rsidRDefault="0089232E" w:rsidP="00BD7374">
      <w:pPr>
        <w:pStyle w:val="ListParagraph"/>
        <w:numPr>
          <w:ilvl w:val="0"/>
          <w:numId w:val="22"/>
        </w:numPr>
      </w:pPr>
      <w:r w:rsidRPr="004C6591">
        <w:t xml:space="preserve">Medicare Benefits Schedule (MBS) listing of genetic testing to detect </w:t>
      </w:r>
      <w:r w:rsidRPr="004C6591">
        <w:rPr>
          <w:i/>
        </w:rPr>
        <w:t>PIK3CA</w:t>
      </w:r>
      <w:r w:rsidRPr="004C6591">
        <w:t xml:space="preserve"> variant</w:t>
      </w:r>
      <w:r w:rsidR="00D40AE4" w:rsidRPr="004C6591">
        <w:t>s</w:t>
      </w:r>
      <w:r w:rsidRPr="004C6591">
        <w:t xml:space="preserve"> for the determination of patient eligibility for treatment; and</w:t>
      </w:r>
    </w:p>
    <w:p w14:paraId="6DD37A75" w14:textId="38D43CFF" w:rsidR="00E925C1" w:rsidRPr="004C6591" w:rsidRDefault="0089232E" w:rsidP="000330F1">
      <w:pPr>
        <w:pStyle w:val="ListParagraph"/>
        <w:numPr>
          <w:ilvl w:val="0"/>
          <w:numId w:val="22"/>
        </w:numPr>
      </w:pPr>
      <w:r w:rsidRPr="004C6591">
        <w:t>Pharmaceutical Benefits Scheme (PBS) Authority Required listing of inavolisib, in addition to palbociclib and fulvestrant, for the treatment of hormone receptor</w:t>
      </w:r>
      <w:r w:rsidR="32ABB976" w:rsidRPr="004C6591">
        <w:t>-</w:t>
      </w:r>
      <w:r w:rsidRPr="004C6591">
        <w:t>positive</w:t>
      </w:r>
      <w:r w:rsidR="00864D8F" w:rsidRPr="004C6591">
        <w:t xml:space="preserve"> (HR+)</w:t>
      </w:r>
      <w:r w:rsidRPr="004C6591">
        <w:t>/human epidermal growth factor receptor 2</w:t>
      </w:r>
      <w:r w:rsidR="2A0821EA" w:rsidRPr="004C6591">
        <w:t>-</w:t>
      </w:r>
      <w:r w:rsidRPr="004C6591">
        <w:t xml:space="preserve">negative </w:t>
      </w:r>
      <w:r w:rsidR="00E338C5" w:rsidRPr="004C6591">
        <w:t xml:space="preserve">(HER2-) </w:t>
      </w:r>
      <w:r w:rsidRPr="004C6591">
        <w:t>locally advanced</w:t>
      </w:r>
      <w:r w:rsidR="00345D85" w:rsidRPr="004C6591">
        <w:t xml:space="preserve"> (LA)</w:t>
      </w:r>
      <w:r w:rsidRPr="004C6591">
        <w:t xml:space="preserve"> or metastatic breast cancer</w:t>
      </w:r>
      <w:r w:rsidR="00345D85" w:rsidRPr="004C6591">
        <w:t xml:space="preserve"> (mBC)</w:t>
      </w:r>
      <w:r w:rsidR="00391497" w:rsidRPr="004C6591">
        <w:t>, in patients w</w:t>
      </w:r>
      <w:r w:rsidR="009C2B9F" w:rsidRPr="004C6591">
        <w:t>hose</w:t>
      </w:r>
      <w:r w:rsidR="008869ED" w:rsidRPr="004C6591">
        <w:t xml:space="preserve"> disease progres</w:t>
      </w:r>
      <w:r w:rsidR="00391497" w:rsidRPr="004C6591">
        <w:t>s</w:t>
      </w:r>
      <w:r w:rsidR="009C2B9F" w:rsidRPr="004C6591">
        <w:t>ed</w:t>
      </w:r>
      <w:r w:rsidR="008869ED" w:rsidRPr="004C6591">
        <w:t xml:space="preserve"> during </w:t>
      </w:r>
      <w:r w:rsidR="003C0749" w:rsidRPr="004C6591">
        <w:t xml:space="preserve">treatment </w:t>
      </w:r>
      <w:r w:rsidR="00391497" w:rsidRPr="004C6591">
        <w:t>o</w:t>
      </w:r>
      <w:r w:rsidR="008869ED" w:rsidRPr="004C6591">
        <w:t>r within 12 months of completing adjuvant endocrine therapy (ET)</w:t>
      </w:r>
      <w:r w:rsidRPr="004C6591">
        <w:t>.</w:t>
      </w:r>
    </w:p>
    <w:p w14:paraId="01485174" w14:textId="6EBCF036" w:rsidR="00E93C45" w:rsidRPr="004C6591" w:rsidRDefault="00E925C1" w:rsidP="09A5E110">
      <w:pPr>
        <w:rPr>
          <w:rFonts w:asciiTheme="minorHAnsi" w:eastAsiaTheme="minorEastAsia" w:hAnsiTheme="minorHAnsi" w:cstheme="minorBidi"/>
        </w:rPr>
      </w:pPr>
      <w:r w:rsidRPr="004C6591">
        <w:t xml:space="preserve">The </w:t>
      </w:r>
      <w:r w:rsidR="001E0A9E" w:rsidRPr="004C6591">
        <w:t xml:space="preserve">applicant’s </w:t>
      </w:r>
      <w:r w:rsidRPr="004C6591">
        <w:t>overall clai</w:t>
      </w:r>
      <w:r w:rsidR="00EE4F62" w:rsidRPr="004C6591">
        <w:t xml:space="preserve">m </w:t>
      </w:r>
      <w:r w:rsidR="00AA7F45" w:rsidRPr="004C6591">
        <w:t xml:space="preserve">is </w:t>
      </w:r>
      <w:r w:rsidR="00A100D1" w:rsidRPr="004C6591">
        <w:t xml:space="preserve">that </w:t>
      </w:r>
      <w:r w:rsidR="00A100D1" w:rsidRPr="004C6591">
        <w:rPr>
          <w:i/>
          <w:iCs/>
        </w:rPr>
        <w:t>PIK</w:t>
      </w:r>
      <w:r w:rsidR="17104CFF" w:rsidRPr="004C6591">
        <w:rPr>
          <w:i/>
          <w:iCs/>
        </w:rPr>
        <w:t>3CA</w:t>
      </w:r>
      <w:r w:rsidR="17104CFF" w:rsidRPr="004C6591">
        <w:rPr>
          <w:rFonts w:asciiTheme="minorHAnsi" w:eastAsiaTheme="minorEastAsia" w:hAnsiTheme="minorHAnsi" w:cstheme="minorBidi"/>
        </w:rPr>
        <w:t xml:space="preserve"> testing followed by inavolisib in combination with palbociclib and fulvestrant in patients with </w:t>
      </w:r>
      <w:r w:rsidR="00300333" w:rsidRPr="004C6591">
        <w:rPr>
          <w:rFonts w:asciiTheme="minorHAnsi" w:eastAsiaTheme="minorEastAsia" w:hAnsiTheme="minorHAnsi" w:cstheme="minorBidi"/>
        </w:rPr>
        <w:t>detected</w:t>
      </w:r>
      <w:r w:rsidR="17104CFF" w:rsidRPr="004C6591">
        <w:rPr>
          <w:rFonts w:asciiTheme="minorHAnsi" w:eastAsiaTheme="minorEastAsia" w:hAnsiTheme="minorHAnsi" w:cstheme="minorBidi"/>
        </w:rPr>
        <w:t xml:space="preserve"> </w:t>
      </w:r>
      <w:r w:rsidR="17104CFF" w:rsidRPr="004C6591">
        <w:rPr>
          <w:rFonts w:asciiTheme="minorHAnsi" w:eastAsiaTheme="minorEastAsia" w:hAnsiTheme="minorHAnsi" w:cstheme="minorBidi"/>
          <w:i/>
          <w:iCs/>
        </w:rPr>
        <w:t>PIK3CA</w:t>
      </w:r>
      <w:r w:rsidR="17104CFF" w:rsidRPr="004C6591">
        <w:rPr>
          <w:rFonts w:asciiTheme="minorHAnsi" w:eastAsiaTheme="minorEastAsia" w:hAnsiTheme="minorHAnsi" w:cstheme="minorBidi"/>
        </w:rPr>
        <w:t xml:space="preserve"> </w:t>
      </w:r>
      <w:r w:rsidR="00300333" w:rsidRPr="004C6591">
        <w:rPr>
          <w:rFonts w:asciiTheme="minorHAnsi" w:eastAsiaTheme="minorEastAsia" w:hAnsiTheme="minorHAnsi" w:cstheme="minorBidi"/>
        </w:rPr>
        <w:t>variants</w:t>
      </w:r>
      <w:r w:rsidR="17104CFF" w:rsidRPr="004C6591">
        <w:rPr>
          <w:rFonts w:asciiTheme="minorHAnsi" w:eastAsiaTheme="minorEastAsia" w:hAnsiTheme="minorHAnsi" w:cstheme="minorBidi"/>
        </w:rPr>
        <w:t xml:space="preserve"> is superior to no </w:t>
      </w:r>
      <w:r w:rsidR="17104CFF" w:rsidRPr="004C6591">
        <w:rPr>
          <w:rFonts w:asciiTheme="minorHAnsi" w:eastAsiaTheme="minorEastAsia" w:hAnsiTheme="minorHAnsi" w:cstheme="minorBidi"/>
          <w:i/>
          <w:iCs/>
        </w:rPr>
        <w:t>PIK3CA</w:t>
      </w:r>
      <w:r w:rsidR="17104CFF" w:rsidRPr="004C6591">
        <w:rPr>
          <w:rFonts w:asciiTheme="minorHAnsi" w:eastAsiaTheme="minorEastAsia" w:hAnsiTheme="minorHAnsi" w:cstheme="minorBidi"/>
        </w:rPr>
        <w:t xml:space="preserve"> testing and treatment with palbociclib plus fulvestrant</w:t>
      </w:r>
      <w:r w:rsidR="00EE4F62" w:rsidRPr="004C6591">
        <w:rPr>
          <w:rFonts w:asciiTheme="minorHAnsi" w:eastAsiaTheme="minorEastAsia" w:hAnsiTheme="minorHAnsi" w:cstheme="minorBidi"/>
        </w:rPr>
        <w:t xml:space="preserve">. </w:t>
      </w:r>
    </w:p>
    <w:p w14:paraId="35F2E5ED" w14:textId="1041C7B9" w:rsidR="00F03642" w:rsidRPr="004C6591" w:rsidRDefault="00EE4F62" w:rsidP="00EE3505">
      <w:r w:rsidRPr="004C6591">
        <w:t xml:space="preserve">Based on the INAVO120 </w:t>
      </w:r>
      <w:r w:rsidR="00F80ACE" w:rsidRPr="004C6591">
        <w:t>trial primary analysis</w:t>
      </w:r>
      <w:r w:rsidRPr="004C6591">
        <w:t xml:space="preserve">, patients </w:t>
      </w:r>
      <w:r w:rsidR="00B71BDB" w:rsidRPr="004C6591">
        <w:t>with d</w:t>
      </w:r>
      <w:r w:rsidR="00030136" w:rsidRPr="004C6591">
        <w:t>etected</w:t>
      </w:r>
      <w:r w:rsidRPr="004C6591">
        <w:t xml:space="preserve"> </w:t>
      </w:r>
      <w:r w:rsidRPr="004C6591">
        <w:rPr>
          <w:i/>
        </w:rPr>
        <w:t>PIK3CA</w:t>
      </w:r>
      <w:r w:rsidRPr="004C6591">
        <w:t xml:space="preserve"> variant</w:t>
      </w:r>
      <w:r w:rsidR="00340EE4" w:rsidRPr="004C6591">
        <w:t>s</w:t>
      </w:r>
      <w:r w:rsidRPr="004C6591">
        <w:t xml:space="preserve"> and treated with </w:t>
      </w:r>
      <w:r w:rsidR="00C75BF6" w:rsidRPr="004C6591">
        <w:t>inavolisib + palbociclib + fulvestrant</w:t>
      </w:r>
      <w:r w:rsidR="000968EB" w:rsidRPr="004C6591">
        <w:t xml:space="preserve"> </w:t>
      </w:r>
      <w:r w:rsidRPr="004C6591">
        <w:t xml:space="preserve">experienced significant improvement in progression free survival (PFS) </w:t>
      </w:r>
      <w:r w:rsidR="00B6509E" w:rsidRPr="004C6591">
        <w:t>with a stratified hazard ratio (HR) of 0.43 (95% CI: 0.32-0.59)</w:t>
      </w:r>
      <w:r w:rsidR="007F24D2" w:rsidRPr="004C6591">
        <w:t>,</w:t>
      </w:r>
      <w:r w:rsidR="00524DCD" w:rsidRPr="004C6591">
        <w:t xml:space="preserve"> </w:t>
      </w:r>
      <w:r w:rsidRPr="004C6591">
        <w:t xml:space="preserve">and </w:t>
      </w:r>
      <w:r w:rsidR="005B54F9" w:rsidRPr="004C6591">
        <w:t xml:space="preserve">an </w:t>
      </w:r>
      <w:r w:rsidR="00AF11D2" w:rsidRPr="004C6591">
        <w:t xml:space="preserve">interim analysis of </w:t>
      </w:r>
      <w:r w:rsidRPr="004C6591">
        <w:t>overall survival (OS)</w:t>
      </w:r>
      <w:r w:rsidR="00524DCD" w:rsidRPr="004C6591">
        <w:t xml:space="preserve"> </w:t>
      </w:r>
      <w:r w:rsidR="008C5F34" w:rsidRPr="004C6591">
        <w:t xml:space="preserve">with </w:t>
      </w:r>
      <w:r w:rsidR="00241349" w:rsidRPr="004C6591">
        <w:t xml:space="preserve">a </w:t>
      </w:r>
      <w:r w:rsidR="008C5F34" w:rsidRPr="004C6591">
        <w:t>stratified</w:t>
      </w:r>
      <w:r w:rsidR="00B6509E" w:rsidRPr="004C6591">
        <w:t xml:space="preserve"> </w:t>
      </w:r>
      <w:r w:rsidR="00205DED" w:rsidRPr="004C6591">
        <w:t>HR</w:t>
      </w:r>
      <w:r w:rsidR="008C5F34" w:rsidRPr="004C6591">
        <w:t xml:space="preserve"> of </w:t>
      </w:r>
      <w:r w:rsidR="00205DED" w:rsidRPr="004C6591">
        <w:t>0.64</w:t>
      </w:r>
      <w:r w:rsidR="00E93C45" w:rsidRPr="004C6591">
        <w:t xml:space="preserve"> (</w:t>
      </w:r>
      <w:r w:rsidR="008C5F34" w:rsidRPr="004C6591">
        <w:t>95% CI: 0.43-0.97</w:t>
      </w:r>
      <w:r w:rsidR="00E93C45" w:rsidRPr="004C6591">
        <w:t>)</w:t>
      </w:r>
      <w:r w:rsidR="00205DED" w:rsidRPr="004C6591">
        <w:t>,</w:t>
      </w:r>
      <w:r w:rsidR="000142A1" w:rsidRPr="004C6591">
        <w:t xml:space="preserve"> compared to </w:t>
      </w:r>
      <w:r w:rsidR="63D817AB" w:rsidRPr="004C6591">
        <w:t>the</w:t>
      </w:r>
      <w:r w:rsidR="000142A1" w:rsidRPr="004C6591">
        <w:t xml:space="preserve"> </w:t>
      </w:r>
      <w:r w:rsidR="004B46F8" w:rsidRPr="004C6591">
        <w:t>control group (</w:t>
      </w:r>
      <w:r w:rsidR="004D2DCD" w:rsidRPr="004C6591">
        <w:t xml:space="preserve">placebo </w:t>
      </w:r>
      <w:r w:rsidR="002F58BD" w:rsidRPr="004C6591">
        <w:t>+</w:t>
      </w:r>
      <w:r w:rsidR="004D2DCD" w:rsidRPr="004C6591">
        <w:t xml:space="preserve"> </w:t>
      </w:r>
      <w:r w:rsidR="00C75BF6" w:rsidRPr="004C6591">
        <w:t>palbociclib + fulvestrant</w:t>
      </w:r>
      <w:r w:rsidR="004B46F8" w:rsidRPr="004C6591">
        <w:t>)</w:t>
      </w:r>
      <w:r w:rsidR="002D0696" w:rsidRPr="004C6591">
        <w:t xml:space="preserve"> </w:t>
      </w:r>
      <w:r w:rsidR="002D0696" w:rsidRPr="004C6591">
        <w:fldChar w:fldCharType="begin"/>
      </w:r>
      <w:r w:rsidR="00CA34B8" w:rsidRPr="004C6591">
        <w:instrText xml:space="preserve"> ADDIN EN.CITE &lt;EndNote&gt;&lt;Cite ExcludeAuth="1" ExcludeYear="1"&gt;&lt;Author&gt;Jhaveri&lt;/Author&gt;&lt;Year&gt;2023&lt;/Year&gt;&lt;RecNum&gt;44&lt;/RecNum&gt;&lt;Prefix&gt;Jhaveri KL et al 2023&lt;/Prefix&gt;&lt;DisplayText&gt;(Jhaveri KL et al 2023)&lt;/DisplayText&gt;&lt;record&gt;&lt;rec-number&gt;44&lt;/rec-number&gt;&lt;foreign-keys&gt;&lt;key app="EN" db-id="dw2s0a0pxte05aexpvnx2awre9s0vxdepfat" timestamp="1718758425"&gt;44&lt;/key&gt;&lt;/foreign-keys&gt;&lt;ref-type name="Conference Paper"&gt;47&lt;/ref-type&gt;&lt;contributors&gt;&lt;authors&gt;&lt;author&gt;K L Jhaveri&lt;/author&gt;&lt;author&gt;S Im&lt;/author&gt;&lt;author&gt;C Saura&lt;/author&gt;&lt;author&gt;D Juric&lt;/author&gt;&lt;author&gt;S Loibl&lt;/author&gt;&lt;author&gt;K Kalinsky&lt;/author&gt;&lt;author&gt;P Schmid&lt;/author&gt;&lt;author&gt;S Loi&lt;/author&gt;&lt;author&gt;E Thanopoulou&lt;/author&gt;&lt;author&gt;N Shankar&lt;/author&gt;&lt;author&gt;G Le&lt;/author&gt;&lt;author&gt;T Stout&lt;/author&gt;&lt;author&gt;KE Hutchinson&lt;/author&gt;&lt;author&gt;J Schutzman&lt;/author&gt;&lt;author&gt;C Song&lt;/author&gt;&lt;author&gt;NC Turne&lt;/author&gt;&lt;/authors&gt;&lt;/contributors&gt;&lt;titles&gt;&lt;title&gt;Inavolisib or placebo in combination with palbociclib and fulvestrant in patients with PIK3CA-mutated, hormone receptor-positive, HER2-negative locally advanced or metastatic breast cancer: Phase III INAVO120 primary analysis&lt;/title&gt;&lt;secondary-title&gt;San Antonio Breast Cancer Symposium&lt;/secondary-title&gt;&lt;/titles&gt;&lt;dates&gt;&lt;year&gt;2023&lt;/year&gt;&lt;/dates&gt;&lt;urls&gt;&lt;related-urls&gt;&lt;url&gt;https://medically.roche.com/content/dam/pdmahub/restricted/oncology/sabcs-2023/SABCS-2023-presentation-jhaveri-inavolisib-or-placebo-in-combination-with-palbociclib.pdf&lt;/url&gt;&lt;/related-urls&gt;&lt;/urls&gt;&lt;access-date&gt;2024 June 5&lt;/access-date&gt;&lt;/record&gt;&lt;/Cite&gt;&lt;/EndNote&gt;</w:instrText>
      </w:r>
      <w:r w:rsidR="002D0696" w:rsidRPr="004C6591">
        <w:fldChar w:fldCharType="separate"/>
      </w:r>
      <w:r w:rsidR="005C3242" w:rsidRPr="004C6591">
        <w:t>(Jhaveri KL et al 2023)</w:t>
      </w:r>
      <w:r w:rsidR="002D0696" w:rsidRPr="004C6591">
        <w:fldChar w:fldCharType="end"/>
      </w:r>
      <w:r w:rsidR="000142A1" w:rsidRPr="004C6591">
        <w:t xml:space="preserve">. All patients enrolled in the INAVO120 trial were assessed </w:t>
      </w:r>
      <w:r w:rsidR="00AA7F45" w:rsidRPr="004C6591">
        <w:t xml:space="preserve">for </w:t>
      </w:r>
      <w:r w:rsidR="000142A1" w:rsidRPr="004C6591">
        <w:t xml:space="preserve">having </w:t>
      </w:r>
      <w:r w:rsidR="000142A1" w:rsidRPr="004C6591">
        <w:rPr>
          <w:i/>
        </w:rPr>
        <w:t>PIK3CA</w:t>
      </w:r>
      <w:r w:rsidR="000142A1" w:rsidRPr="004C6591">
        <w:t xml:space="preserve"> variant</w:t>
      </w:r>
      <w:r w:rsidR="006C646C" w:rsidRPr="004C6591">
        <w:t>s</w:t>
      </w:r>
      <w:r w:rsidR="000142A1" w:rsidRPr="004C6591">
        <w:t xml:space="preserve"> by testing of circulating </w:t>
      </w:r>
      <w:r w:rsidR="00097BDE" w:rsidRPr="004C6591">
        <w:t xml:space="preserve">tumour </w:t>
      </w:r>
      <w:r w:rsidR="008B4283" w:rsidRPr="004C6591">
        <w:t>deoxyribonucleic acid</w:t>
      </w:r>
      <w:r w:rsidR="000142A1" w:rsidRPr="004C6591">
        <w:t xml:space="preserve"> (ctDNA) or tumour tissue sample.</w:t>
      </w:r>
      <w:r w:rsidR="00F80ACE" w:rsidRPr="004C6591">
        <w:t xml:space="preserve"> It was noted that grade 3-5 adverse events were</w:t>
      </w:r>
      <w:r w:rsidR="008C5F34" w:rsidRPr="004C6591">
        <w:t xml:space="preserve"> more</w:t>
      </w:r>
      <w:r w:rsidR="00F80ACE" w:rsidRPr="004C6591">
        <w:t xml:space="preserve"> frequent </w:t>
      </w:r>
      <w:r w:rsidR="000968EB" w:rsidRPr="004C6591">
        <w:t xml:space="preserve">in </w:t>
      </w:r>
      <w:r w:rsidR="00DA31A5" w:rsidRPr="004C6591">
        <w:t xml:space="preserve">the </w:t>
      </w:r>
      <w:r w:rsidR="000968EB" w:rsidRPr="004C6591">
        <w:t xml:space="preserve">treatment group </w:t>
      </w:r>
      <w:r w:rsidR="00F80ACE" w:rsidRPr="004C6591">
        <w:t xml:space="preserve">(92% in </w:t>
      </w:r>
      <w:r w:rsidR="000968EB" w:rsidRPr="004C6591">
        <w:t>the treatment</w:t>
      </w:r>
      <w:r w:rsidR="00F80ACE" w:rsidRPr="004C6591">
        <w:t xml:space="preserve"> group vs 83.3% in </w:t>
      </w:r>
      <w:r w:rsidR="42686F1B" w:rsidRPr="004C6591">
        <w:t xml:space="preserve">the </w:t>
      </w:r>
      <w:r w:rsidR="000968EB" w:rsidRPr="004C6591">
        <w:t>control</w:t>
      </w:r>
      <w:r w:rsidR="00F80ACE" w:rsidRPr="004C6591">
        <w:t xml:space="preserve"> group).</w:t>
      </w:r>
      <w:r w:rsidR="00026F71" w:rsidRPr="004C6591">
        <w:t xml:space="preserve"> </w:t>
      </w:r>
      <w:r w:rsidR="7698B78A" w:rsidRPr="004C6591">
        <w:t>However</w:t>
      </w:r>
      <w:r w:rsidR="00F03642" w:rsidRPr="004C6591">
        <w:t xml:space="preserve">, </w:t>
      </w:r>
      <w:r w:rsidR="00E93C45" w:rsidRPr="004C6591">
        <w:t xml:space="preserve">the results of INAVO120 have not </w:t>
      </w:r>
      <w:r w:rsidR="2FA5BB38" w:rsidRPr="004C6591">
        <w:t xml:space="preserve">yet </w:t>
      </w:r>
      <w:r w:rsidR="00E93C45" w:rsidRPr="004C6591">
        <w:t xml:space="preserve">been published in a peer reviewed journal. </w:t>
      </w:r>
      <w:r w:rsidR="004B46F8" w:rsidRPr="004C6591">
        <w:t>Communication received from</w:t>
      </w:r>
      <w:r w:rsidR="00E93C45" w:rsidRPr="004C6591">
        <w:t xml:space="preserve"> </w:t>
      </w:r>
      <w:r w:rsidR="00F03642" w:rsidRPr="004C6591">
        <w:t xml:space="preserve">the </w:t>
      </w:r>
      <w:r w:rsidR="00E668FA" w:rsidRPr="004C6591">
        <w:t>a</w:t>
      </w:r>
      <w:r w:rsidR="00026F71" w:rsidRPr="004C6591">
        <w:t xml:space="preserve">pplicant </w:t>
      </w:r>
      <w:r w:rsidR="004B46F8" w:rsidRPr="004C6591">
        <w:t>at the pre-PASC stage</w:t>
      </w:r>
      <w:r w:rsidR="00026F71" w:rsidRPr="004C6591">
        <w:t xml:space="preserve"> </w:t>
      </w:r>
      <w:r w:rsidR="00E93C45" w:rsidRPr="004C6591">
        <w:t>stated</w:t>
      </w:r>
      <w:r w:rsidR="00026F71" w:rsidRPr="004C6591">
        <w:t xml:space="preserve"> that the </w:t>
      </w:r>
      <w:r w:rsidR="00F03642" w:rsidRPr="004C6591">
        <w:t>manuscript reporting the results of the INAVO120 trial ha</w:t>
      </w:r>
      <w:r w:rsidR="00FE2D9A" w:rsidRPr="004C6591">
        <w:t>d</w:t>
      </w:r>
      <w:r w:rsidR="00F03642" w:rsidRPr="004C6591">
        <w:t xml:space="preserve"> been submitted to </w:t>
      </w:r>
      <w:r w:rsidR="004B46F8" w:rsidRPr="004C6591">
        <w:t>a journal with publication anticipated in the third quarter of 2024</w:t>
      </w:r>
      <w:r w:rsidR="00E93C45" w:rsidRPr="004C6591">
        <w:t>.</w:t>
      </w:r>
      <w:r w:rsidR="00F03642" w:rsidRPr="004C6591">
        <w:t xml:space="preserve"> </w:t>
      </w:r>
    </w:p>
    <w:p w14:paraId="765355B3" w14:textId="480A808D" w:rsidR="0098368F" w:rsidRPr="004C6591" w:rsidRDefault="00DB770B" w:rsidP="00EE3505">
      <w:r w:rsidRPr="004C6591">
        <w:t xml:space="preserve">Inavolisib was granted Priority Review by the United States </w:t>
      </w:r>
      <w:r w:rsidR="006C44A6" w:rsidRPr="004C6591">
        <w:t>F</w:t>
      </w:r>
      <w:r w:rsidRPr="004C6591">
        <w:t xml:space="preserve">ood and Drug Administration (US FDA) and the target action date for FDA’s decision is 27 November 2024 </w:t>
      </w:r>
      <w:r w:rsidRPr="004C6591">
        <w:fldChar w:fldCharType="begin"/>
      </w:r>
      <w:r w:rsidR="00493D71" w:rsidRPr="004C6591">
        <w:instrText xml:space="preserve"> ADDIN EN.CITE &lt;EndNote&gt;&lt;Cite&gt;&lt;Author&gt;Genentech&lt;/Author&gt;&lt;Year&gt;2024&lt;/Year&gt;&lt;RecNum&gt;1&lt;/RecNum&gt;&lt;DisplayText&gt;(Genentech 2024)&lt;/DisplayText&gt;&lt;record&gt;&lt;rec-number&gt;1&lt;/rec-number&gt;&lt;foreign-keys&gt;&lt;key app="EN" db-id="dw2s0a0pxte05aexpvnx2awre9s0vxdepfat" timestamp="1717550878"&gt;1&lt;/key&gt;&lt;/foreign-keys&gt;&lt;ref-type name="Press Release"&gt;63&lt;/ref-type&gt;&lt;contributors&gt;&lt;authors&gt;&lt;author&gt;Genentech&lt;/author&gt;&lt;/authors&gt;&lt;/contributors&gt;&lt;titles&gt;&lt;title&gt;FDA Grants Priority Review to Genentech’s Inavolisib for Advanced Hormone Receptor-Positive, HER2-Negative Breast Cancer With a PIK3CA Mutation&lt;/title&gt;&lt;/titles&gt;&lt;dates&gt;&lt;year&gt;2024&lt;/year&gt;&lt;pub-dates&gt;&lt;date&gt;28 May&lt;/date&gt;&lt;/pub-dates&gt;&lt;/dates&gt;&lt;work-type&gt;press release&lt;/work-type&gt;&lt;urls&gt;&lt;related-urls&gt;&lt;url&gt;https://www.gene.com/media/press-releases/15026/2024-05-28/fda-grants-priority-review-to-genentechs&lt;/url&gt;&lt;/related-urls&gt;&lt;/urls&gt;&lt;access-date&gt;5 June 2024&lt;/access-date&gt;&lt;/record&gt;&lt;/Cite&gt;&lt;/EndNote&gt;</w:instrText>
      </w:r>
      <w:r w:rsidRPr="004C6591">
        <w:fldChar w:fldCharType="separate"/>
      </w:r>
      <w:r w:rsidRPr="004C6591">
        <w:t>(Genentech 2024)</w:t>
      </w:r>
      <w:r w:rsidRPr="004C6591">
        <w:fldChar w:fldCharType="end"/>
      </w:r>
      <w:r w:rsidRPr="004C6591">
        <w:t>.</w:t>
      </w:r>
      <w:r w:rsidR="00D45366" w:rsidRPr="004C6591">
        <w:t xml:space="preserve"> Inavolisib is also currently under accelerated assessment by</w:t>
      </w:r>
      <w:r w:rsidR="24FE6008" w:rsidRPr="004C6591">
        <w:t xml:space="preserve"> the</w:t>
      </w:r>
      <w:r w:rsidR="00D45366" w:rsidRPr="004C6591">
        <w:t xml:space="preserve"> European Medicine</w:t>
      </w:r>
      <w:r w:rsidR="769A32D1" w:rsidRPr="004C6591">
        <w:t>s</w:t>
      </w:r>
      <w:r w:rsidR="00D45366" w:rsidRPr="004C6591">
        <w:t xml:space="preserve"> Agency </w:t>
      </w:r>
      <w:r w:rsidR="00D45366" w:rsidRPr="004C6591">
        <w:fldChar w:fldCharType="begin"/>
      </w:r>
      <w:r w:rsidR="00D45366" w:rsidRPr="004C6591">
        <w:instrText xml:space="preserve"> ADDIN EN.CITE &lt;EndNote&gt;&lt;Cite ExcludeAuth="1"&gt;&lt;Author&gt;EMA (European Medicines Agency)&lt;/Author&gt;&lt;Year&gt;2024&lt;/Year&gt;&lt;RecNum&gt;2&lt;/RecNum&gt;&lt;Prefix&gt;EMA &lt;/Prefix&gt;&lt;DisplayText&gt;(EMA 2024)&lt;/DisplayText&gt;&lt;record&gt;&lt;rec-number&gt;2&lt;/rec-number&gt;&lt;foreign-keys&gt;&lt;key app="EN" db-id="dw2s0a0pxte05aexpvnx2awre9s0vxdepfat" timestamp="1717553665"&gt;2&lt;/key&gt;&lt;/foreign-keys&gt;&lt;ref-type name="Report"&gt;27&lt;/ref-type&gt;&lt;contributors&gt;&lt;authors&gt;&lt;author&gt;EMA (European Medicines Agency),&lt;/author&gt;&lt;/authors&gt;&lt;tertiary-authors&gt;&lt;author&gt;EMA&lt;/author&gt;&lt;/tertiary-authors&gt;&lt;/contributors&gt;&lt;titles&gt;&lt;title&gt;Committee for medicinal products for human use (CHMP)&lt;/title&gt;&lt;/titles&gt;&lt;dates&gt;&lt;year&gt;2024&lt;/year&gt;&lt;/dates&gt;&lt;urls&gt;&lt;related-urls&gt;&lt;url&gt;https://www.ema.europa.eu/en/documents/agenda/agenda-chmp-meeting-22-25-april-2024_en.pdf&lt;/url&gt;&lt;/related-urls&gt;&lt;/urls&gt;&lt;access-date&gt;5 June 2024&lt;/access-date&gt;&lt;/record&gt;&lt;/Cite&gt;&lt;/EndNote&gt;</w:instrText>
      </w:r>
      <w:r w:rsidR="00D45366" w:rsidRPr="004C6591">
        <w:fldChar w:fldCharType="separate"/>
      </w:r>
      <w:r w:rsidR="00D45366" w:rsidRPr="004C6591">
        <w:t>(EMA 2024)</w:t>
      </w:r>
      <w:r w:rsidR="00D45366" w:rsidRPr="004C6591">
        <w:fldChar w:fldCharType="end"/>
      </w:r>
      <w:r w:rsidR="00D45366" w:rsidRPr="004C6591">
        <w:t>.</w:t>
      </w:r>
      <w:r w:rsidR="00433015" w:rsidRPr="004C6591">
        <w:t xml:space="preserve"> </w:t>
      </w:r>
      <w:r w:rsidR="0098368F" w:rsidRPr="004C6591">
        <w:t>The applicant advised that</w:t>
      </w:r>
      <w:r w:rsidR="007C1843" w:rsidRPr="004C6591">
        <w:t xml:space="preserve"> the Therapeutic Goods Administration</w:t>
      </w:r>
      <w:r w:rsidR="0098368F" w:rsidRPr="004C6591">
        <w:t xml:space="preserve"> </w:t>
      </w:r>
      <w:r w:rsidR="007C1843" w:rsidRPr="004C6591">
        <w:t>(</w:t>
      </w:r>
      <w:r w:rsidR="0098368F" w:rsidRPr="004C6591">
        <w:t>TGA</w:t>
      </w:r>
      <w:r w:rsidR="007C1843" w:rsidRPr="004C6591">
        <w:t>)</w:t>
      </w:r>
      <w:r w:rsidR="0098368F" w:rsidRPr="004C6591">
        <w:t xml:space="preserve"> </w:t>
      </w:r>
      <w:r w:rsidR="5AF36340" w:rsidRPr="004C6591">
        <w:t xml:space="preserve">has </w:t>
      </w:r>
      <w:r w:rsidR="0098368F" w:rsidRPr="004C6591">
        <w:t xml:space="preserve">accepted the Australian inavolisib dossier for evaluation under the Project Orbis collaborative regulatory pathway. The TGA decision is expected in </w:t>
      </w:r>
      <w:r w:rsidR="00134759" w:rsidRPr="004C6591">
        <w:t xml:space="preserve">May 2025, </w:t>
      </w:r>
      <w:r w:rsidR="00213AEE" w:rsidRPr="004C6591">
        <w:t>and if successful</w:t>
      </w:r>
      <w:r w:rsidR="00433015" w:rsidRPr="004C6591">
        <w:t xml:space="preserve">, registration </w:t>
      </w:r>
      <w:r w:rsidR="00340759" w:rsidRPr="004C6591">
        <w:t>o</w:t>
      </w:r>
      <w:r w:rsidR="00433015" w:rsidRPr="004C6591">
        <w:t>n the</w:t>
      </w:r>
      <w:r w:rsidR="00213AEE" w:rsidRPr="004C6591">
        <w:t xml:space="preserve"> </w:t>
      </w:r>
      <w:r w:rsidR="00AB3DF7" w:rsidRPr="004C6591">
        <w:t>Australian Register of Therapeutic Goods (</w:t>
      </w:r>
      <w:r w:rsidR="00134759" w:rsidRPr="004C6591">
        <w:t>ARTG</w:t>
      </w:r>
      <w:r w:rsidR="00AB3DF7" w:rsidRPr="004C6591">
        <w:t>)</w:t>
      </w:r>
      <w:r w:rsidR="00134759" w:rsidRPr="004C6591">
        <w:t xml:space="preserve"> </w:t>
      </w:r>
      <w:r w:rsidR="00F27BBC" w:rsidRPr="004C6591">
        <w:t xml:space="preserve">is expected </w:t>
      </w:r>
      <w:r w:rsidR="00134759" w:rsidRPr="004C6591">
        <w:t>in June 2025.</w:t>
      </w:r>
    </w:p>
    <w:p w14:paraId="625B159F" w14:textId="5C4AABDC" w:rsidR="003B63DF" w:rsidRPr="004C6591" w:rsidRDefault="003B63DF" w:rsidP="00EE3505">
      <w:r w:rsidRPr="004C6591">
        <w:t>The proposed therapeutic indication of inavolisib to the TGA was:</w:t>
      </w:r>
    </w:p>
    <w:p w14:paraId="385901DF" w14:textId="7D34C55B" w:rsidR="003B63DF" w:rsidRPr="004C6591" w:rsidRDefault="003B63DF" w:rsidP="00BD7374">
      <w:pPr>
        <w:pStyle w:val="ListParagraph"/>
        <w:numPr>
          <w:ilvl w:val="0"/>
          <w:numId w:val="13"/>
        </w:numPr>
        <w:spacing w:after="240"/>
        <w:rPr>
          <w:iCs/>
        </w:rPr>
      </w:pPr>
      <w:r w:rsidRPr="004C6591">
        <w:rPr>
          <w:iCs/>
        </w:rPr>
        <w:t xml:space="preserve">[TRADENAME], in combination with palbociclib and endocrine therapy, is indicated for the treatment of adult patients with </w:t>
      </w:r>
      <w:r w:rsidRPr="004C6591">
        <w:rPr>
          <w:i/>
        </w:rPr>
        <w:t>PIK3CA</w:t>
      </w:r>
      <w:r w:rsidRPr="004C6591">
        <w:rPr>
          <w:iCs/>
        </w:rPr>
        <w:t xml:space="preserve">-mutated, hormone receptor (HR)-positive, human epidermal growth factor receptor 2 (HER2)-negative, locally advanced or metastatic breast cancer, following recurrence on or after adjuvant therapy or progression on an endocrine-based regimen in the metastatic setting. </w:t>
      </w:r>
    </w:p>
    <w:p w14:paraId="767A3A91" w14:textId="08C44BD6" w:rsidR="003B63DF" w:rsidRPr="004C6591" w:rsidRDefault="003B63DF" w:rsidP="00BD7374">
      <w:pPr>
        <w:pStyle w:val="ListParagraph"/>
        <w:numPr>
          <w:ilvl w:val="0"/>
          <w:numId w:val="13"/>
        </w:numPr>
        <w:spacing w:after="240"/>
        <w:rPr>
          <w:iCs/>
        </w:rPr>
      </w:pPr>
      <w:r w:rsidRPr="004C6591">
        <w:rPr>
          <w:iCs/>
        </w:rPr>
        <w:lastRenderedPageBreak/>
        <w:t xml:space="preserve">Patients with HR-positive, HER2-negative, locally advanced or metastatic breast cancer should be selected for treatment with [TRADENAME] based on the presence of one or more </w:t>
      </w:r>
      <w:r w:rsidRPr="004C6591">
        <w:rPr>
          <w:i/>
        </w:rPr>
        <w:t>PIK3CA</w:t>
      </w:r>
      <w:r w:rsidRPr="004C6591">
        <w:rPr>
          <w:iCs/>
        </w:rPr>
        <w:t xml:space="preserve"> mutations using a validated assay. </w:t>
      </w:r>
      <w:r w:rsidRPr="004C6591">
        <w:rPr>
          <w:i/>
        </w:rPr>
        <w:t>PIK3CA</w:t>
      </w:r>
      <w:r w:rsidRPr="004C6591">
        <w:rPr>
          <w:iCs/>
        </w:rPr>
        <w:t xml:space="preserve"> mutation status should be established prior to initiation of [TRADENAME] therapy.</w:t>
      </w:r>
    </w:p>
    <w:p w14:paraId="6E26869A" w14:textId="4A9330C0" w:rsidR="0045503A" w:rsidRPr="004C6591" w:rsidRDefault="0045503A" w:rsidP="00435CBD">
      <w:pPr>
        <w:autoSpaceDE w:val="0"/>
        <w:autoSpaceDN w:val="0"/>
        <w:adjustRightInd w:val="0"/>
        <w:spacing w:line="23" w:lineRule="atLeast"/>
        <w:rPr>
          <w:rFonts w:asciiTheme="minorHAnsi" w:hAnsiTheme="minorHAnsi" w:cstheme="minorBidi"/>
          <w:i/>
          <w:iCs/>
        </w:rPr>
      </w:pPr>
      <w:r w:rsidRPr="004C6591">
        <w:rPr>
          <w:rFonts w:asciiTheme="minorHAnsi" w:hAnsiTheme="minorHAnsi" w:cstheme="minorBidi"/>
          <w:i/>
          <w:iCs/>
        </w:rPr>
        <w:t xml:space="preserve">The applicant stated that the proposed TGA indication for inavolisib was currently aligned with the submission to the FDA, but it may be subject to amendment throughout the assessment period depending on the TGA’s final decision on the population. </w:t>
      </w:r>
    </w:p>
    <w:p w14:paraId="1C35C00C" w14:textId="08531DD4" w:rsidR="006521FD" w:rsidRPr="004C6591" w:rsidRDefault="00DE42C5" w:rsidP="00E925C1">
      <w:pPr>
        <w:spacing w:after="240"/>
        <w:rPr>
          <w:iCs/>
        </w:rPr>
      </w:pPr>
      <w:r>
        <w:rPr>
          <w:iCs/>
        </w:rPr>
        <w:t>T</w:t>
      </w:r>
      <w:r w:rsidR="00187D0F" w:rsidRPr="004C6591">
        <w:rPr>
          <w:iCs/>
        </w:rPr>
        <w:t xml:space="preserve">here </w:t>
      </w:r>
      <w:r w:rsidR="00D45366" w:rsidRPr="004C6591">
        <w:rPr>
          <w:iCs/>
        </w:rPr>
        <w:t xml:space="preserve">are </w:t>
      </w:r>
      <w:r w:rsidR="009D5D03">
        <w:rPr>
          <w:iCs/>
        </w:rPr>
        <w:t>several</w:t>
      </w:r>
      <w:r w:rsidR="009D5D03" w:rsidRPr="004C6591">
        <w:rPr>
          <w:iCs/>
        </w:rPr>
        <w:t xml:space="preserve"> </w:t>
      </w:r>
      <w:r w:rsidR="4119CD0B" w:rsidRPr="004C6591">
        <w:t xml:space="preserve">other </w:t>
      </w:r>
      <w:r w:rsidR="00026F71" w:rsidRPr="004C6591">
        <w:t>MSAC</w:t>
      </w:r>
      <w:r w:rsidR="00026F71" w:rsidRPr="004C6591">
        <w:rPr>
          <w:iCs/>
        </w:rPr>
        <w:t xml:space="preserve"> </w:t>
      </w:r>
      <w:r w:rsidR="006521FD" w:rsidRPr="004C6591">
        <w:rPr>
          <w:iCs/>
        </w:rPr>
        <w:t>applications</w:t>
      </w:r>
      <w:r w:rsidR="00026F71" w:rsidRPr="004C6591">
        <w:rPr>
          <w:iCs/>
        </w:rPr>
        <w:t xml:space="preserve"> related to </w:t>
      </w:r>
      <w:r w:rsidR="00026F71" w:rsidRPr="004C6591">
        <w:rPr>
          <w:i/>
        </w:rPr>
        <w:t xml:space="preserve">PIK3CA </w:t>
      </w:r>
      <w:r w:rsidR="00026F71" w:rsidRPr="004C6591">
        <w:rPr>
          <w:iCs/>
        </w:rPr>
        <w:t>testing</w:t>
      </w:r>
      <w:r w:rsidR="009D5D03">
        <w:rPr>
          <w:iCs/>
        </w:rPr>
        <w:t>, ctDNA testing, and</w:t>
      </w:r>
      <w:r w:rsidR="004522B0">
        <w:rPr>
          <w:iCs/>
        </w:rPr>
        <w:t>/or</w:t>
      </w:r>
      <w:r w:rsidR="009D5D03">
        <w:rPr>
          <w:iCs/>
        </w:rPr>
        <w:t xml:space="preserve"> the same target population</w:t>
      </w:r>
      <w:r w:rsidR="006521FD" w:rsidRPr="004C6591">
        <w:rPr>
          <w:iCs/>
        </w:rPr>
        <w:t>:</w:t>
      </w:r>
    </w:p>
    <w:p w14:paraId="3D336335" w14:textId="70DE57EB" w:rsidR="003506E2" w:rsidRPr="004C6591" w:rsidRDefault="00CD5E60" w:rsidP="00BD7374">
      <w:pPr>
        <w:pStyle w:val="ListParagraph"/>
        <w:numPr>
          <w:ilvl w:val="0"/>
          <w:numId w:val="7"/>
        </w:numPr>
        <w:spacing w:after="240"/>
        <w:rPr>
          <w:iCs/>
        </w:rPr>
      </w:pPr>
      <w:r w:rsidRPr="004C6591">
        <w:rPr>
          <w:iCs/>
        </w:rPr>
        <w:t xml:space="preserve">MSAC </w:t>
      </w:r>
      <w:r w:rsidR="00187D0F" w:rsidRPr="004C6591">
        <w:rPr>
          <w:iCs/>
        </w:rPr>
        <w:t>application 1604</w:t>
      </w:r>
      <w:r w:rsidR="00CC1ED4" w:rsidRPr="004C6591">
        <w:rPr>
          <w:iCs/>
        </w:rPr>
        <w:t xml:space="preserve"> (</w:t>
      </w:r>
      <w:r w:rsidR="555DDD3A" w:rsidRPr="004C6591">
        <w:t>considered</w:t>
      </w:r>
      <w:r w:rsidR="55326933" w:rsidRPr="004C6591">
        <w:t xml:space="preserve"> by PASC at its December 2019 meeting</w:t>
      </w:r>
      <w:r w:rsidR="00CC1ED4" w:rsidRPr="004C6591">
        <w:t>)</w:t>
      </w:r>
      <w:r w:rsidR="00187D0F" w:rsidRPr="004C6591">
        <w:rPr>
          <w:iCs/>
        </w:rPr>
        <w:t xml:space="preserve"> </w:t>
      </w:r>
      <w:r w:rsidR="006521FD" w:rsidRPr="004C6591">
        <w:rPr>
          <w:iCs/>
        </w:rPr>
        <w:t xml:space="preserve">- </w:t>
      </w:r>
      <w:r w:rsidR="00187D0F" w:rsidRPr="004C6591">
        <w:rPr>
          <w:i/>
        </w:rPr>
        <w:t>PIK3CA</w:t>
      </w:r>
      <w:r w:rsidR="00187D0F" w:rsidRPr="004C6591">
        <w:rPr>
          <w:iCs/>
        </w:rPr>
        <w:t xml:space="preserve"> mutation testing in postmenopausal women or men with advanced breast cancer who have progressed during</w:t>
      </w:r>
      <w:r w:rsidR="007648E5" w:rsidRPr="004C6591">
        <w:rPr>
          <w:iCs/>
        </w:rPr>
        <w:t xml:space="preserve"> or </w:t>
      </w:r>
      <w:r w:rsidR="00187D0F" w:rsidRPr="004C6591">
        <w:rPr>
          <w:iCs/>
        </w:rPr>
        <w:t>following treatment with an aromatase inhibitor.</w:t>
      </w:r>
      <w:r w:rsidR="008F267D" w:rsidRPr="004C6591">
        <w:rPr>
          <w:iCs/>
        </w:rPr>
        <w:t xml:space="preserve"> </w:t>
      </w:r>
      <w:r w:rsidR="008F267D" w:rsidRPr="004C6591">
        <w:t xml:space="preserve">This application </w:t>
      </w:r>
      <w:r w:rsidR="002E4D2C" w:rsidRPr="004C6591">
        <w:t xml:space="preserve">did </w:t>
      </w:r>
      <w:r w:rsidR="008F267D" w:rsidRPr="004C6591">
        <w:t>not progress to the assessment phase.</w:t>
      </w:r>
    </w:p>
    <w:p w14:paraId="7C526F8F" w14:textId="1E02BF6D" w:rsidR="00AB3EF8" w:rsidRDefault="00CD5E60" w:rsidP="00BD7374">
      <w:pPr>
        <w:pStyle w:val="ListParagraph"/>
        <w:numPr>
          <w:ilvl w:val="0"/>
          <w:numId w:val="7"/>
        </w:numPr>
        <w:spacing w:after="240"/>
        <w:rPr>
          <w:iCs/>
        </w:rPr>
      </w:pPr>
      <w:r w:rsidRPr="004C6591">
        <w:rPr>
          <w:iCs/>
        </w:rPr>
        <w:t xml:space="preserve">MSAC </w:t>
      </w:r>
      <w:r w:rsidR="00AB3EF8" w:rsidRPr="004C6591">
        <w:rPr>
          <w:iCs/>
        </w:rPr>
        <w:t>application 1766</w:t>
      </w:r>
      <w:r w:rsidR="00CC1ED4" w:rsidRPr="004C6591">
        <w:rPr>
          <w:iCs/>
        </w:rPr>
        <w:t xml:space="preserve"> (</w:t>
      </w:r>
      <w:r w:rsidR="38136AD6" w:rsidRPr="004C6591">
        <w:t xml:space="preserve">considered by PASC at its </w:t>
      </w:r>
      <w:r w:rsidR="00CC1ED4" w:rsidRPr="004C6591">
        <w:rPr>
          <w:iCs/>
        </w:rPr>
        <w:t>April 2024</w:t>
      </w:r>
      <w:r w:rsidR="74974D54" w:rsidRPr="004C6591">
        <w:t xml:space="preserve"> meeting</w:t>
      </w:r>
      <w:r w:rsidR="00CC1ED4" w:rsidRPr="004C6591">
        <w:rPr>
          <w:iCs/>
        </w:rPr>
        <w:t>)</w:t>
      </w:r>
      <w:r w:rsidR="00AB3EF8" w:rsidRPr="004C6591">
        <w:rPr>
          <w:iCs/>
        </w:rPr>
        <w:t xml:space="preserve"> – Genetic testing to detect AKT-pathway alterations (</w:t>
      </w:r>
      <w:r w:rsidR="00AB3EF8" w:rsidRPr="004C6591">
        <w:rPr>
          <w:i/>
        </w:rPr>
        <w:t>PIK3CA, PTEN</w:t>
      </w:r>
      <w:r w:rsidR="00AB3EF8" w:rsidRPr="004C6591">
        <w:rPr>
          <w:iCs/>
        </w:rPr>
        <w:t xml:space="preserve"> and </w:t>
      </w:r>
      <w:r w:rsidR="00AB3EF8" w:rsidRPr="004C6591">
        <w:rPr>
          <w:i/>
        </w:rPr>
        <w:t>AKT1</w:t>
      </w:r>
      <w:r w:rsidR="00AB3EF8" w:rsidRPr="004C6591">
        <w:rPr>
          <w:iCs/>
        </w:rPr>
        <w:t>) in patients with HR+/HER2- advanced breast cancer, to determine eligibility for PBS subsidised capivasertib treatment.</w:t>
      </w:r>
      <w:r w:rsidR="008F267D" w:rsidRPr="004C6591">
        <w:rPr>
          <w:iCs/>
        </w:rPr>
        <w:t xml:space="preserve"> This application has progressed to the assessment phase and is </w:t>
      </w:r>
      <w:r w:rsidR="00153510" w:rsidRPr="004C6591">
        <w:rPr>
          <w:iCs/>
        </w:rPr>
        <w:t>due</w:t>
      </w:r>
      <w:r w:rsidR="008F267D" w:rsidRPr="004C6591">
        <w:rPr>
          <w:iCs/>
        </w:rPr>
        <w:t xml:space="preserve"> for consideration by </w:t>
      </w:r>
      <w:r w:rsidR="004875AD" w:rsidRPr="004C6591">
        <w:rPr>
          <w:iCs/>
        </w:rPr>
        <w:t>MSAC in November 2024</w:t>
      </w:r>
      <w:r w:rsidR="008F267D" w:rsidRPr="004C6591">
        <w:rPr>
          <w:iCs/>
        </w:rPr>
        <w:t>.</w:t>
      </w:r>
    </w:p>
    <w:p w14:paraId="162F7DB9" w14:textId="2E64D6DF" w:rsidR="009D5D03" w:rsidRPr="004C6591" w:rsidRDefault="009D5D03" w:rsidP="00BD7374">
      <w:pPr>
        <w:pStyle w:val="ListParagraph"/>
        <w:numPr>
          <w:ilvl w:val="0"/>
          <w:numId w:val="7"/>
        </w:numPr>
        <w:spacing w:after="240"/>
        <w:rPr>
          <w:iCs/>
        </w:rPr>
      </w:pPr>
      <w:r>
        <w:rPr>
          <w:iCs/>
        </w:rPr>
        <w:t xml:space="preserve">MSAC application 1782 </w:t>
      </w:r>
      <w:r w:rsidR="00CA162C">
        <w:rPr>
          <w:iCs/>
        </w:rPr>
        <w:t>(</w:t>
      </w:r>
      <w:r w:rsidRPr="004C6591">
        <w:t xml:space="preserve">considered by PASC at its </w:t>
      </w:r>
      <w:r>
        <w:t>A</w:t>
      </w:r>
      <w:r>
        <w:rPr>
          <w:iCs/>
        </w:rPr>
        <w:t>ugust</w:t>
      </w:r>
      <w:r w:rsidRPr="004C6591">
        <w:rPr>
          <w:iCs/>
        </w:rPr>
        <w:t xml:space="preserve"> 2024</w:t>
      </w:r>
      <w:r w:rsidRPr="004C6591">
        <w:t xml:space="preserve"> meeting</w:t>
      </w:r>
      <w:r w:rsidRPr="004C6591">
        <w:rPr>
          <w:iCs/>
        </w:rPr>
        <w:t>)</w:t>
      </w:r>
      <w:r>
        <w:rPr>
          <w:iCs/>
        </w:rPr>
        <w:t xml:space="preserve"> </w:t>
      </w:r>
      <w:r w:rsidR="00CA162C">
        <w:rPr>
          <w:iCs/>
        </w:rPr>
        <w:t>-</w:t>
      </w:r>
      <w:r w:rsidR="00752ABF">
        <w:rPr>
          <w:iCs/>
        </w:rPr>
        <w:t xml:space="preserve"> </w:t>
      </w:r>
      <w:r w:rsidR="00752ABF" w:rsidRPr="00752ABF">
        <w:rPr>
          <w:iCs/>
        </w:rPr>
        <w:t>Genetic testing to detect estrogen receptor 1 mutations in patients with estrogen receptor positive, HER2-negative, locally advanced or metastatic breast cancer, to determine eligibility for treatment with PBS subsidised elacestrant</w:t>
      </w:r>
      <w:r w:rsidR="00C17DFD">
        <w:rPr>
          <w:iCs/>
        </w:rPr>
        <w:t>.</w:t>
      </w:r>
    </w:p>
    <w:p w14:paraId="18E66948" w14:textId="77777777" w:rsidR="00D73332" w:rsidRPr="004C6591" w:rsidRDefault="00D73332" w:rsidP="00FD4C65">
      <w:pPr>
        <w:pStyle w:val="Heading2"/>
      </w:pPr>
      <w:r w:rsidRPr="004C6591">
        <w:t xml:space="preserve">PICO </w:t>
      </w:r>
      <w:r w:rsidR="00FD4E33" w:rsidRPr="004C6591">
        <w:t xml:space="preserve">criteria </w:t>
      </w:r>
    </w:p>
    <w:p w14:paraId="06B30611" w14:textId="77777777" w:rsidR="007D6B83" w:rsidRPr="004C6591" w:rsidRDefault="007D6B83" w:rsidP="007D6B83">
      <w:pPr>
        <w:pStyle w:val="Heading3"/>
      </w:pPr>
      <w:r w:rsidRPr="004C6591">
        <w:t>Population</w:t>
      </w:r>
    </w:p>
    <w:p w14:paraId="6E0D3541" w14:textId="1D4F550D" w:rsidR="004D6C48" w:rsidRPr="004C6591" w:rsidRDefault="004D6C48" w:rsidP="000E60C4">
      <w:r w:rsidRPr="004C6591">
        <w:t xml:space="preserve">The applicant’s proposed </w:t>
      </w:r>
      <w:r w:rsidR="00112140" w:rsidRPr="004C6591">
        <w:t xml:space="preserve">test </w:t>
      </w:r>
      <w:r w:rsidRPr="004C6591">
        <w:t xml:space="preserve">population </w:t>
      </w:r>
      <w:r w:rsidR="00DE42C5">
        <w:t>is</w:t>
      </w:r>
      <w:r w:rsidRPr="004C6591">
        <w:t xml:space="preserve"> patients with HR+/HER2- LA/mBC</w:t>
      </w:r>
      <w:r w:rsidR="00982996" w:rsidRPr="004C6591">
        <w:t>, based on the communication provided during the pre-PASC stage</w:t>
      </w:r>
      <w:r w:rsidRPr="004C6591">
        <w:t xml:space="preserve">. </w:t>
      </w:r>
      <w:r w:rsidR="008D08DA" w:rsidRPr="004C6591">
        <w:t xml:space="preserve">The HER2- subtype includes HER2 with </w:t>
      </w:r>
      <w:r w:rsidR="08AE83DE" w:rsidRPr="004C6591">
        <w:t>an</w:t>
      </w:r>
      <w:r w:rsidR="008D08DA" w:rsidRPr="004C6591">
        <w:t xml:space="preserve"> </w:t>
      </w:r>
      <w:r w:rsidR="00741B08" w:rsidRPr="004C6591">
        <w:t>i</w:t>
      </w:r>
      <w:r w:rsidR="008D08DA" w:rsidRPr="004C6591">
        <w:t>mmuno</w:t>
      </w:r>
      <w:r w:rsidR="00741B08" w:rsidRPr="004C6591">
        <w:t>h</w:t>
      </w:r>
      <w:r w:rsidR="008D08DA" w:rsidRPr="004C6591">
        <w:t>isto</w:t>
      </w:r>
      <w:r w:rsidR="00741B08" w:rsidRPr="004C6591">
        <w:t>c</w:t>
      </w:r>
      <w:r w:rsidR="008D08DA" w:rsidRPr="004C6591">
        <w:t>hemistry</w:t>
      </w:r>
      <w:r w:rsidR="0035677F" w:rsidRPr="004C6591">
        <w:t xml:space="preserve"> (IHC)</w:t>
      </w:r>
      <w:r w:rsidR="008D08DA" w:rsidRPr="004C6591">
        <w:t xml:space="preserve"> score of 0</w:t>
      </w:r>
      <w:r w:rsidR="44026963" w:rsidRPr="004C6591">
        <w:t xml:space="preserve"> and</w:t>
      </w:r>
      <w:r w:rsidR="008D08DA" w:rsidRPr="004C6591">
        <w:t xml:space="preserve"> 1</w:t>
      </w:r>
      <w:r w:rsidR="00741B08" w:rsidRPr="004C6591">
        <w:t>+</w:t>
      </w:r>
      <w:r w:rsidR="008D08DA" w:rsidRPr="004C6591">
        <w:t xml:space="preserve">, </w:t>
      </w:r>
      <w:r w:rsidR="00741B08" w:rsidRPr="004C6591">
        <w:t xml:space="preserve">or an IHC score of </w:t>
      </w:r>
      <w:r w:rsidR="008D08DA" w:rsidRPr="004C6591">
        <w:t>2</w:t>
      </w:r>
      <w:r w:rsidR="00741B08" w:rsidRPr="004C6591">
        <w:t>+</w:t>
      </w:r>
      <w:r w:rsidR="008D08DA" w:rsidRPr="004C6591">
        <w:t xml:space="preserve"> accompanied by </w:t>
      </w:r>
      <w:r w:rsidR="2F604465" w:rsidRPr="004C6591">
        <w:t xml:space="preserve">a </w:t>
      </w:r>
      <w:r w:rsidR="008D08DA" w:rsidRPr="004C6591">
        <w:t xml:space="preserve">negative </w:t>
      </w:r>
      <w:r w:rsidR="3178386A" w:rsidRPr="004C6591">
        <w:t>in</w:t>
      </w:r>
      <w:r w:rsidR="494B8C26" w:rsidRPr="004C6591">
        <w:t xml:space="preserve"> </w:t>
      </w:r>
      <w:r w:rsidR="008D08DA" w:rsidRPr="004C6591">
        <w:t xml:space="preserve">situ </w:t>
      </w:r>
      <w:r w:rsidR="00D45366" w:rsidRPr="004C6591">
        <w:t xml:space="preserve">hybridisation </w:t>
      </w:r>
      <w:r w:rsidR="1BD8B229" w:rsidRPr="004C6591">
        <w:t>(ISH)</w:t>
      </w:r>
      <w:r w:rsidR="00D45366" w:rsidRPr="004C6591">
        <w:t xml:space="preserve"> </w:t>
      </w:r>
      <w:r w:rsidR="008D08DA" w:rsidRPr="004C6591">
        <w:t xml:space="preserve">test. </w:t>
      </w:r>
      <w:r w:rsidR="00112140" w:rsidRPr="004C6591">
        <w:t xml:space="preserve">The proposed treatment population </w:t>
      </w:r>
      <w:r w:rsidR="00DE42C5">
        <w:t>i</w:t>
      </w:r>
      <w:r w:rsidR="00112140" w:rsidRPr="004C6591">
        <w:t xml:space="preserve">s </w:t>
      </w:r>
      <w:r w:rsidR="00836445" w:rsidRPr="004C6591">
        <w:t>the test population with</w:t>
      </w:r>
      <w:r w:rsidR="00112140" w:rsidRPr="004C6591">
        <w:t xml:space="preserve"> </w:t>
      </w:r>
      <w:r w:rsidR="00FB1CEE" w:rsidRPr="004C6591">
        <w:t xml:space="preserve">one or more </w:t>
      </w:r>
      <w:r w:rsidR="008D08DA" w:rsidRPr="004C6591">
        <w:rPr>
          <w:i/>
          <w:iCs/>
        </w:rPr>
        <w:t>PIK3CA</w:t>
      </w:r>
      <w:r w:rsidR="008D08DA" w:rsidRPr="004C6591">
        <w:t xml:space="preserve"> variant</w:t>
      </w:r>
      <w:r w:rsidR="00C04E51" w:rsidRPr="004C6591">
        <w:t>s</w:t>
      </w:r>
      <w:r w:rsidR="00C32ADF" w:rsidRPr="004C6591">
        <w:t>, who had</w:t>
      </w:r>
      <w:r w:rsidR="00112140" w:rsidRPr="004C6591">
        <w:t xml:space="preserve"> disease progression during adjuvant therapy or within 12 months of adjuvant therapy,</w:t>
      </w:r>
      <w:r w:rsidR="008D08DA" w:rsidRPr="004C6591">
        <w:t xml:space="preserve"> for treatment with inavolisib, in addition to palbociclib and fulvestrant.</w:t>
      </w:r>
    </w:p>
    <w:p w14:paraId="3E4D05B3" w14:textId="29829782" w:rsidR="00092E01" w:rsidRPr="004C6591" w:rsidRDefault="00FA204A" w:rsidP="0039370F">
      <w:r w:rsidRPr="004C6591">
        <w:t xml:space="preserve">Referring to the INAVO120 study design, the study population included HR+/HER2- </w:t>
      </w:r>
      <w:r w:rsidR="00C75D78" w:rsidRPr="004C6591">
        <w:t>LA/mBC</w:t>
      </w:r>
      <w:r w:rsidRPr="004C6591">
        <w:t xml:space="preserve"> patients with </w:t>
      </w:r>
      <w:r w:rsidR="004A5D3D" w:rsidRPr="004C6591">
        <w:rPr>
          <w:i/>
          <w:iCs/>
        </w:rPr>
        <w:t>PIK3CA</w:t>
      </w:r>
      <w:r w:rsidR="004A5D3D" w:rsidRPr="004C6591">
        <w:t xml:space="preserve"> </w:t>
      </w:r>
      <w:r w:rsidR="007D6A93" w:rsidRPr="004C6591">
        <w:t>variants</w:t>
      </w:r>
      <w:r w:rsidR="004A5D3D" w:rsidRPr="004C6591">
        <w:t xml:space="preserve"> and </w:t>
      </w:r>
      <w:r w:rsidRPr="004C6591">
        <w:t xml:space="preserve">disease progression during or within 12 months of adjuvant ET </w:t>
      </w:r>
      <w:r w:rsidR="007262A4" w:rsidRPr="004C6591">
        <w:t>completion</w:t>
      </w:r>
      <w:r w:rsidR="003904F5" w:rsidRPr="004C6591">
        <w:t xml:space="preserve"> </w:t>
      </w:r>
      <w:r w:rsidR="003904F5" w:rsidRPr="004C6591">
        <w:fldChar w:fldCharType="begin">
          <w:fldData xml:space="preserve">PEVuZE5vdGU+PENpdGU+PEF1dGhvcj5KdXJpYzwvQXV0aG9yPjxZZWFyPjIwMjQ8L1llYXI+PFJl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</w:fldData>
        </w:fldChar>
      </w:r>
      <w:r w:rsidR="00CA34B8" w:rsidRPr="004C6591">
        <w:instrText xml:space="preserve"> ADDIN EN.CITE </w:instrText>
      </w:r>
      <w:r w:rsidR="00CA34B8" w:rsidRPr="004C6591">
        <w:fldChar w:fldCharType="begin">
          <w:fldData xml:space="preserve">PEVuZE5vdGU+PENpdGU+PEF1dGhvcj5KdXJpYzwvQXV0aG9yPjxZZWFyPjIwMjQ8L1llYXI+PFJl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</w:fldData>
        </w:fldChar>
      </w:r>
      <w:r w:rsidR="00CA34B8" w:rsidRPr="004C6591">
        <w:instrText xml:space="preserve"> ADDIN EN.CITE.DATA </w:instrText>
      </w:r>
      <w:r w:rsidR="00CA34B8" w:rsidRPr="004C6591">
        <w:fldChar w:fldCharType="end"/>
      </w:r>
      <w:r w:rsidR="003904F5" w:rsidRPr="004C6591">
        <w:fldChar w:fldCharType="separate"/>
      </w:r>
      <w:r w:rsidR="00D172EC" w:rsidRPr="004C6591">
        <w:t>(Jhaveri et al. 2023; Juric et al. 2024)</w:t>
      </w:r>
      <w:r w:rsidR="003904F5" w:rsidRPr="004C6591">
        <w:fldChar w:fldCharType="end"/>
      </w:r>
      <w:r w:rsidRPr="004C6591">
        <w:t>.</w:t>
      </w:r>
      <w:r w:rsidR="004A5D3D" w:rsidRPr="004C6591">
        <w:t xml:space="preserve"> Treatment with </w:t>
      </w:r>
      <w:r w:rsidR="2FA2E7A1" w:rsidRPr="004C6591">
        <w:t>inavolisib + palbociclib + fulvestrant</w:t>
      </w:r>
      <w:r w:rsidR="004A5D3D" w:rsidRPr="004C6591">
        <w:t xml:space="preserve"> was positioned as first-line </w:t>
      </w:r>
      <w:r w:rsidR="002F1FC0" w:rsidRPr="004C6591">
        <w:t xml:space="preserve">(1L) </w:t>
      </w:r>
      <w:r w:rsidR="004A5D3D" w:rsidRPr="004C6591">
        <w:t xml:space="preserve">therapy in </w:t>
      </w:r>
      <w:r w:rsidR="00D46B2D" w:rsidRPr="004C6591">
        <w:t xml:space="preserve">HR+/HER2- LA/mBC with </w:t>
      </w:r>
      <w:r w:rsidR="00D46B2D" w:rsidRPr="004C6591">
        <w:rPr>
          <w:i/>
          <w:iCs/>
        </w:rPr>
        <w:t>PIK3CA</w:t>
      </w:r>
      <w:r w:rsidR="00D46B2D" w:rsidRPr="004C6591">
        <w:t xml:space="preserve"> variant</w:t>
      </w:r>
      <w:r w:rsidR="00C04E51" w:rsidRPr="004C6591">
        <w:t>s</w:t>
      </w:r>
      <w:r w:rsidR="00D46B2D" w:rsidRPr="004C6591">
        <w:t>.</w:t>
      </w:r>
      <w:r w:rsidR="00643A07" w:rsidRPr="004C6591">
        <w:t xml:space="preserve"> The applicant’s proposed test population was broader than the study population in </w:t>
      </w:r>
      <w:r w:rsidR="141F1845" w:rsidRPr="004C6591">
        <w:t xml:space="preserve">the </w:t>
      </w:r>
      <w:r w:rsidR="00643A07" w:rsidRPr="004C6591">
        <w:t>INAVO120 trial</w:t>
      </w:r>
      <w:r w:rsidR="00B7292A" w:rsidRPr="004C6591">
        <w:t>,</w:t>
      </w:r>
      <w:r w:rsidR="00643A07" w:rsidRPr="004C6591">
        <w:t xml:space="preserve"> </w:t>
      </w:r>
      <w:r w:rsidR="003F118D" w:rsidRPr="004C6591">
        <w:t>suggesting</w:t>
      </w:r>
      <w:r w:rsidR="24017185" w:rsidRPr="004C6591">
        <w:t xml:space="preserve"> </w:t>
      </w:r>
      <w:r w:rsidR="00643A07" w:rsidRPr="004C6591">
        <w:t>all patients with HR+/HER2- LA/mBC</w:t>
      </w:r>
      <w:r w:rsidR="009D0D7C" w:rsidRPr="004C6591">
        <w:t xml:space="preserve"> would be eligible for</w:t>
      </w:r>
      <w:r w:rsidR="00643A07" w:rsidRPr="004C6591">
        <w:t xml:space="preserve"> </w:t>
      </w:r>
      <w:r w:rsidR="00643A07" w:rsidRPr="004C6591">
        <w:rPr>
          <w:i/>
          <w:iCs/>
        </w:rPr>
        <w:t>PIK3CA</w:t>
      </w:r>
      <w:r w:rsidR="00643A07" w:rsidRPr="004C6591">
        <w:t xml:space="preserve"> variant</w:t>
      </w:r>
      <w:r w:rsidR="001135B3" w:rsidRPr="004C6591">
        <w:t>s</w:t>
      </w:r>
      <w:r w:rsidR="00522E60" w:rsidRPr="004C6591">
        <w:t xml:space="preserve"> testing</w:t>
      </w:r>
      <w:r w:rsidR="003A1E37" w:rsidRPr="004C6591">
        <w:t xml:space="preserve"> </w:t>
      </w:r>
      <w:r w:rsidR="00EE5991" w:rsidRPr="004C6591">
        <w:t>(</w:t>
      </w:r>
      <w:r w:rsidR="00FB3866" w:rsidRPr="004C6591">
        <w:t>i.e.</w:t>
      </w:r>
      <w:r w:rsidR="00EE5991" w:rsidRPr="004C6591">
        <w:t xml:space="preserve"> </w:t>
      </w:r>
      <w:r w:rsidR="00500918" w:rsidRPr="004C6591">
        <w:t xml:space="preserve">without </w:t>
      </w:r>
      <w:r w:rsidR="003A1E37" w:rsidRPr="004C6591">
        <w:t>applying the restriction</w:t>
      </w:r>
      <w:r w:rsidR="00500918" w:rsidRPr="004C6591">
        <w:t xml:space="preserve"> </w:t>
      </w:r>
      <w:r w:rsidR="003A1E37" w:rsidRPr="004C6591">
        <w:t xml:space="preserve">that </w:t>
      </w:r>
      <w:r w:rsidR="003722F8" w:rsidRPr="004C6591">
        <w:t xml:space="preserve">a patient </w:t>
      </w:r>
      <w:r w:rsidR="005D4373" w:rsidRPr="004C6591">
        <w:t>had</w:t>
      </w:r>
      <w:r w:rsidR="003722F8" w:rsidRPr="004C6591">
        <w:t xml:space="preserve"> </w:t>
      </w:r>
      <w:r w:rsidR="00CC6616" w:rsidRPr="004C6591">
        <w:t>progressed</w:t>
      </w:r>
      <w:r w:rsidR="00C54B48" w:rsidRPr="004C6591">
        <w:t xml:space="preserve"> during or within 12 months of adjuvant ET completion)</w:t>
      </w:r>
      <w:r w:rsidR="00643A07" w:rsidRPr="004C6591">
        <w:t xml:space="preserve">. </w:t>
      </w:r>
      <w:r w:rsidR="00D20F5B" w:rsidRPr="004C6591">
        <w:t>This</w:t>
      </w:r>
      <w:r w:rsidR="00643A07" w:rsidRPr="004C6591">
        <w:t xml:space="preserve"> discrepancy between </w:t>
      </w:r>
      <w:r w:rsidR="00462DDB" w:rsidRPr="004C6591">
        <w:t>the proposed test population and</w:t>
      </w:r>
      <w:r w:rsidR="00643A07" w:rsidRPr="004C6591">
        <w:t xml:space="preserve"> the population in the key clinical trial </w:t>
      </w:r>
      <w:r w:rsidR="00D20F5B" w:rsidRPr="004C6591">
        <w:t xml:space="preserve">may mean that the clinical outcomes </w:t>
      </w:r>
      <w:r w:rsidR="00D20F5B" w:rsidRPr="004C6591">
        <w:lastRenderedPageBreak/>
        <w:t>reported in the INAVO120 trial may not be generalisable to the proposed test population. Notably</w:t>
      </w:r>
      <w:r w:rsidR="00643A07" w:rsidRPr="004C6591">
        <w:t xml:space="preserve">, the population remains uncertain given that inavolisib is not yet approved by the US FDA or TGA. </w:t>
      </w:r>
      <w:r w:rsidR="00092E01" w:rsidRPr="004C6591">
        <w:t xml:space="preserve">The applicant advised that the proposed population will be refined and aligned to </w:t>
      </w:r>
      <w:r w:rsidR="00BF2D83" w:rsidRPr="004C6591">
        <w:t xml:space="preserve">the populations approved by the </w:t>
      </w:r>
      <w:r w:rsidR="00092E01" w:rsidRPr="004C6591">
        <w:t>US FDA and Australian TGA</w:t>
      </w:r>
      <w:r w:rsidR="0079735A" w:rsidRPr="004C6591">
        <w:t xml:space="preserve">, once </w:t>
      </w:r>
      <w:r w:rsidR="00C13A2F" w:rsidRPr="004C6591">
        <w:t>this information is</w:t>
      </w:r>
      <w:r w:rsidR="0079735A" w:rsidRPr="004C6591">
        <w:t xml:space="preserve"> available</w:t>
      </w:r>
      <w:r w:rsidR="00092E01" w:rsidRPr="004C6591">
        <w:t>.</w:t>
      </w:r>
    </w:p>
    <w:p w14:paraId="43248102" w14:textId="4816B108" w:rsidR="00CC6971" w:rsidRPr="004C6591" w:rsidRDefault="00A02407" w:rsidP="0039370F">
      <w:r w:rsidRPr="004C6591">
        <w:t xml:space="preserve">PASC’s advice </w:t>
      </w:r>
      <w:r w:rsidR="00D177C5" w:rsidRPr="004C6591">
        <w:t xml:space="preserve">regarding </w:t>
      </w:r>
      <w:r w:rsidR="00EF1688" w:rsidRPr="004C6591">
        <w:t>the most appropriate test population</w:t>
      </w:r>
      <w:r w:rsidRPr="004C6591">
        <w:t xml:space="preserve"> </w:t>
      </w:r>
      <w:r w:rsidR="00D65275" w:rsidRPr="004C6591">
        <w:t xml:space="preserve">was </w:t>
      </w:r>
      <w:r w:rsidR="007162B5" w:rsidRPr="004C6591">
        <w:t>requested</w:t>
      </w:r>
      <w:r w:rsidR="00EF1688" w:rsidRPr="004C6591">
        <w:t xml:space="preserve">, i.e. whether or not the </w:t>
      </w:r>
      <w:r w:rsidR="002079E1" w:rsidRPr="004C6591">
        <w:t xml:space="preserve">test </w:t>
      </w:r>
      <w:r w:rsidR="00EF1688" w:rsidRPr="004C6591">
        <w:t>population shou</w:t>
      </w:r>
      <w:r w:rsidR="00A32088" w:rsidRPr="004C6591">
        <w:t>ld include the</w:t>
      </w:r>
      <w:r w:rsidR="0033007C" w:rsidRPr="004C6591">
        <w:t xml:space="preserve"> restriction to</w:t>
      </w:r>
      <w:r w:rsidRPr="004C6591">
        <w:t xml:space="preserve"> </w:t>
      </w:r>
      <w:r w:rsidR="00CC6971" w:rsidRPr="004C6591">
        <w:t xml:space="preserve">patients whose disease progressed during treatment or within 12 months of completing adjuvant </w:t>
      </w:r>
      <w:r w:rsidR="00D07D6C" w:rsidRPr="004C6591">
        <w:t>ET</w:t>
      </w:r>
      <w:r w:rsidR="00053EBB" w:rsidRPr="004C6591">
        <w:t xml:space="preserve"> (as in the INAVO120 trial)</w:t>
      </w:r>
      <w:r w:rsidR="00F37E07" w:rsidRPr="004C6591">
        <w:t>.</w:t>
      </w:r>
    </w:p>
    <w:p w14:paraId="77B693BD" w14:textId="121BC898" w:rsidR="00657DDE" w:rsidRPr="004C6591" w:rsidRDefault="00657DDE" w:rsidP="00657DDE">
      <w:pPr>
        <w:autoSpaceDE w:val="0"/>
        <w:autoSpaceDN w:val="0"/>
        <w:adjustRightInd w:val="0"/>
        <w:spacing w:line="23" w:lineRule="atLeast"/>
        <w:rPr>
          <w:rFonts w:asciiTheme="minorHAnsi" w:hAnsiTheme="minorHAnsi" w:cstheme="minorBidi"/>
          <w:i/>
          <w:iCs/>
        </w:rPr>
      </w:pPr>
      <w:r w:rsidRPr="004C6591">
        <w:rPr>
          <w:rFonts w:asciiTheme="minorHAnsi" w:hAnsiTheme="minorHAnsi" w:cstheme="minorBidi"/>
          <w:i/>
          <w:iCs/>
        </w:rPr>
        <w:t xml:space="preserve">PASC noted that the INAVO120 study population (those randomised to receive inavolisib or the comparator treatment) were patients with HR+/HER2- LA/mBC with one or more </w:t>
      </w:r>
      <w:r w:rsidRPr="00C65136">
        <w:rPr>
          <w:rFonts w:asciiTheme="minorHAnsi" w:hAnsiTheme="minorHAnsi"/>
        </w:rPr>
        <w:t>PIK3CA</w:t>
      </w:r>
      <w:r w:rsidRPr="004C6591">
        <w:rPr>
          <w:rFonts w:asciiTheme="minorHAnsi" w:hAnsiTheme="minorHAnsi" w:cstheme="minorBidi"/>
          <w:i/>
          <w:iCs/>
        </w:rPr>
        <w:t xml:space="preserve"> variant(s), with disease progression during or within 12 months of adjuvant </w:t>
      </w:r>
      <w:r w:rsidR="00F15399" w:rsidRPr="004C6591">
        <w:rPr>
          <w:rFonts w:asciiTheme="minorHAnsi" w:hAnsiTheme="minorHAnsi" w:cstheme="minorBidi"/>
          <w:i/>
          <w:iCs/>
        </w:rPr>
        <w:t>ET</w:t>
      </w:r>
      <w:r w:rsidRPr="004C6591">
        <w:rPr>
          <w:rFonts w:asciiTheme="minorHAnsi" w:hAnsiTheme="minorHAnsi" w:cstheme="minorBidi"/>
          <w:i/>
          <w:iCs/>
        </w:rPr>
        <w:t xml:space="preserve"> completion. </w:t>
      </w:r>
    </w:p>
    <w:p w14:paraId="158CD93E" w14:textId="537E7EB4" w:rsidR="001537CF" w:rsidRPr="004C6591" w:rsidRDefault="001537CF" w:rsidP="00AA6A6E">
      <w:pPr>
        <w:autoSpaceDE w:val="0"/>
        <w:autoSpaceDN w:val="0"/>
        <w:adjustRightInd w:val="0"/>
        <w:spacing w:line="23" w:lineRule="atLeast"/>
      </w:pPr>
      <w:r w:rsidRPr="004C6591">
        <w:rPr>
          <w:rFonts w:asciiTheme="minorHAnsi" w:hAnsiTheme="minorHAnsi" w:cstheme="minorBidi"/>
          <w:i/>
          <w:iCs/>
        </w:rPr>
        <w:t>PASC noted that the test population</w:t>
      </w:r>
      <w:r w:rsidR="00E235AB" w:rsidRPr="004C6591">
        <w:rPr>
          <w:rFonts w:asciiTheme="minorHAnsi" w:hAnsiTheme="minorHAnsi" w:cstheme="minorBidi"/>
          <w:i/>
          <w:iCs/>
        </w:rPr>
        <w:t xml:space="preserve"> proposed in the pre-PASC PICO</w:t>
      </w:r>
      <w:r w:rsidRPr="004C6591">
        <w:rPr>
          <w:rFonts w:asciiTheme="minorHAnsi" w:hAnsiTheme="minorHAnsi" w:cstheme="minorBidi"/>
          <w:i/>
          <w:iCs/>
        </w:rPr>
        <w:t xml:space="preserve"> was restricted to patients </w:t>
      </w:r>
      <w:r w:rsidR="00E235AB" w:rsidRPr="004C6591">
        <w:rPr>
          <w:rFonts w:asciiTheme="minorHAnsi" w:hAnsiTheme="minorHAnsi" w:cstheme="minorBidi"/>
          <w:i/>
          <w:iCs/>
        </w:rPr>
        <w:t>‘</w:t>
      </w:r>
      <w:r w:rsidRPr="004C6591">
        <w:rPr>
          <w:rFonts w:asciiTheme="minorHAnsi" w:hAnsiTheme="minorHAnsi" w:cstheme="minorBidi"/>
          <w:i/>
          <w:iCs/>
        </w:rPr>
        <w:t xml:space="preserve">following recurrence or progression on or after adjuvant </w:t>
      </w:r>
      <w:r w:rsidR="00E235AB" w:rsidRPr="004C6591">
        <w:rPr>
          <w:rFonts w:asciiTheme="minorHAnsi" w:hAnsiTheme="minorHAnsi" w:cstheme="minorBidi"/>
          <w:i/>
          <w:iCs/>
        </w:rPr>
        <w:t>ET’</w:t>
      </w:r>
      <w:r w:rsidRPr="004C6591">
        <w:rPr>
          <w:rFonts w:asciiTheme="minorHAnsi" w:hAnsiTheme="minorHAnsi" w:cstheme="minorBidi"/>
          <w:i/>
          <w:iCs/>
        </w:rPr>
        <w:t xml:space="preserve"> and noted </w:t>
      </w:r>
      <w:r w:rsidR="00AE486C" w:rsidRPr="004C6591">
        <w:rPr>
          <w:rFonts w:asciiTheme="minorHAnsi" w:hAnsiTheme="minorHAnsi" w:cstheme="minorBidi"/>
          <w:i/>
          <w:iCs/>
        </w:rPr>
        <w:t xml:space="preserve">that the applicant proposed </w:t>
      </w:r>
      <w:r w:rsidR="0092589B">
        <w:rPr>
          <w:rFonts w:asciiTheme="minorHAnsi" w:hAnsiTheme="minorHAnsi" w:cstheme="minorBidi"/>
          <w:i/>
          <w:iCs/>
        </w:rPr>
        <w:t>that</w:t>
      </w:r>
      <w:r w:rsidR="0092589B" w:rsidRPr="004C6591">
        <w:rPr>
          <w:rFonts w:asciiTheme="minorHAnsi" w:hAnsiTheme="minorHAnsi" w:cstheme="minorBidi"/>
          <w:i/>
          <w:iCs/>
        </w:rPr>
        <w:t xml:space="preserve"> </w:t>
      </w:r>
      <w:r w:rsidR="00AE486C" w:rsidRPr="004C6591">
        <w:rPr>
          <w:rFonts w:asciiTheme="minorHAnsi" w:hAnsiTheme="minorHAnsi" w:cstheme="minorBidi"/>
          <w:i/>
          <w:iCs/>
        </w:rPr>
        <w:t>this restriction be removed.</w:t>
      </w:r>
      <w:r w:rsidR="00F051C9" w:rsidRPr="004C6591">
        <w:rPr>
          <w:rFonts w:asciiTheme="minorHAnsi" w:hAnsiTheme="minorHAnsi" w:cstheme="minorBidi"/>
          <w:i/>
          <w:iCs/>
        </w:rPr>
        <w:t xml:space="preserve"> PASC noted that there are arguments for and against </w:t>
      </w:r>
      <w:r w:rsidR="00F051C9" w:rsidRPr="00C65136">
        <w:rPr>
          <w:rFonts w:asciiTheme="minorHAnsi" w:hAnsiTheme="minorHAnsi"/>
        </w:rPr>
        <w:t>PIK3CA</w:t>
      </w:r>
      <w:r w:rsidR="00F051C9" w:rsidRPr="004C6591">
        <w:rPr>
          <w:rFonts w:asciiTheme="minorHAnsi" w:hAnsiTheme="minorHAnsi" w:cstheme="minorBidi"/>
          <w:i/>
          <w:iCs/>
        </w:rPr>
        <w:t xml:space="preserve"> testing at BC diagnosis vs.</w:t>
      </w:r>
      <w:r w:rsidR="00A14EF1" w:rsidRPr="004C6591">
        <w:rPr>
          <w:rFonts w:asciiTheme="minorHAnsi" w:hAnsiTheme="minorHAnsi" w:cstheme="minorBidi"/>
          <w:i/>
          <w:iCs/>
        </w:rPr>
        <w:t xml:space="preserve"> at</w:t>
      </w:r>
      <w:r w:rsidR="00F051C9" w:rsidRPr="004C6591">
        <w:rPr>
          <w:rFonts w:asciiTheme="minorHAnsi" w:hAnsiTheme="minorHAnsi" w:cstheme="minorBidi"/>
          <w:i/>
          <w:iCs/>
        </w:rPr>
        <w:t xml:space="preserve"> </w:t>
      </w:r>
      <w:r w:rsidR="00CB7B08" w:rsidRPr="004C6591">
        <w:rPr>
          <w:rFonts w:asciiTheme="minorHAnsi" w:hAnsiTheme="minorHAnsi" w:cstheme="minorBidi"/>
          <w:i/>
          <w:iCs/>
        </w:rPr>
        <w:t>LA/mBC</w:t>
      </w:r>
      <w:r w:rsidR="00F051C9" w:rsidRPr="004C6591">
        <w:rPr>
          <w:rFonts w:asciiTheme="minorHAnsi" w:hAnsiTheme="minorHAnsi" w:cstheme="minorBidi"/>
          <w:i/>
          <w:iCs/>
        </w:rPr>
        <w:t xml:space="preserve"> disease</w:t>
      </w:r>
      <w:r w:rsidR="00CB7B08" w:rsidRPr="004C6591">
        <w:rPr>
          <w:rFonts w:asciiTheme="minorHAnsi" w:hAnsiTheme="minorHAnsi" w:cstheme="minorBidi"/>
          <w:i/>
          <w:iCs/>
        </w:rPr>
        <w:t xml:space="preserve"> stage following progression on or after adjuvant ET</w:t>
      </w:r>
      <w:r w:rsidR="00F051C9" w:rsidRPr="004C6591">
        <w:rPr>
          <w:rFonts w:asciiTheme="minorHAnsi" w:hAnsiTheme="minorHAnsi" w:cstheme="minorBidi"/>
          <w:i/>
          <w:iCs/>
        </w:rPr>
        <w:t xml:space="preserve"> when inavolisib is intended for use.</w:t>
      </w:r>
      <w:r w:rsidR="00AE486C" w:rsidRPr="004C6591">
        <w:rPr>
          <w:rFonts w:asciiTheme="minorHAnsi" w:hAnsiTheme="minorHAnsi" w:cstheme="minorBidi"/>
          <w:i/>
          <w:iCs/>
        </w:rPr>
        <w:t xml:space="preserve"> PASC noted </w:t>
      </w:r>
      <w:r w:rsidRPr="004C6591">
        <w:rPr>
          <w:rFonts w:asciiTheme="minorHAnsi" w:hAnsiTheme="minorHAnsi" w:cstheme="minorBidi"/>
          <w:i/>
          <w:iCs/>
        </w:rPr>
        <w:t xml:space="preserve">the applicant’s concern that this restriction </w:t>
      </w:r>
      <w:r w:rsidR="0092589B">
        <w:rPr>
          <w:rFonts w:asciiTheme="minorHAnsi" w:hAnsiTheme="minorHAnsi" w:cstheme="minorBidi"/>
          <w:i/>
          <w:iCs/>
        </w:rPr>
        <w:t>c</w:t>
      </w:r>
      <w:r w:rsidR="0092589B" w:rsidRPr="004C6591">
        <w:rPr>
          <w:rFonts w:asciiTheme="minorHAnsi" w:hAnsiTheme="minorHAnsi" w:cstheme="minorBidi"/>
          <w:i/>
          <w:iCs/>
        </w:rPr>
        <w:t xml:space="preserve">ould </w:t>
      </w:r>
      <w:r w:rsidR="0092589B">
        <w:rPr>
          <w:rFonts w:asciiTheme="minorHAnsi" w:hAnsiTheme="minorHAnsi" w:cstheme="minorBidi"/>
          <w:i/>
          <w:iCs/>
        </w:rPr>
        <w:t>prevent</w:t>
      </w:r>
      <w:r w:rsidR="00EC4CE9" w:rsidRPr="004C6591">
        <w:rPr>
          <w:rFonts w:asciiTheme="minorHAnsi" w:hAnsiTheme="minorHAnsi" w:cstheme="minorBidi"/>
          <w:i/>
          <w:iCs/>
        </w:rPr>
        <w:t xml:space="preserve"> </w:t>
      </w:r>
      <w:r w:rsidRPr="004C6591">
        <w:rPr>
          <w:rFonts w:asciiTheme="minorHAnsi" w:hAnsiTheme="minorHAnsi" w:cstheme="minorBidi"/>
          <w:i/>
          <w:iCs/>
        </w:rPr>
        <w:t xml:space="preserve">efficient use of tumour tissue, because it would mean that </w:t>
      </w:r>
      <w:r w:rsidRPr="00C65136">
        <w:rPr>
          <w:rFonts w:asciiTheme="minorHAnsi" w:hAnsiTheme="minorHAnsi"/>
        </w:rPr>
        <w:t>PIK3CA</w:t>
      </w:r>
      <w:r w:rsidRPr="004C6591">
        <w:rPr>
          <w:rFonts w:asciiTheme="minorHAnsi" w:hAnsiTheme="minorHAnsi" w:cstheme="minorBidi"/>
          <w:i/>
          <w:iCs/>
        </w:rPr>
        <w:t xml:space="preserve"> testing cannot be performed at the same time as testing for HR/HER2 status.</w:t>
      </w:r>
      <w:r w:rsidR="00F051C9" w:rsidRPr="004C6591">
        <w:rPr>
          <w:rFonts w:asciiTheme="minorHAnsi" w:hAnsiTheme="minorHAnsi" w:cstheme="minorBidi"/>
          <w:i/>
          <w:iCs/>
        </w:rPr>
        <w:t xml:space="preserve"> </w:t>
      </w:r>
      <w:r w:rsidRPr="004C6591">
        <w:rPr>
          <w:rFonts w:asciiTheme="minorHAnsi" w:hAnsiTheme="minorHAnsi" w:cstheme="minorBidi"/>
          <w:i/>
          <w:iCs/>
        </w:rPr>
        <w:t xml:space="preserve">The applicant noted that this restriction </w:t>
      </w:r>
      <w:r w:rsidR="00DE42C5">
        <w:rPr>
          <w:rFonts w:asciiTheme="minorHAnsi" w:hAnsiTheme="minorHAnsi" w:cstheme="minorBidi"/>
          <w:i/>
          <w:iCs/>
        </w:rPr>
        <w:t>may</w:t>
      </w:r>
      <w:r w:rsidRPr="004C6591">
        <w:rPr>
          <w:rFonts w:asciiTheme="minorHAnsi" w:hAnsiTheme="minorHAnsi" w:cstheme="minorBidi"/>
          <w:i/>
          <w:iCs/>
        </w:rPr>
        <w:t xml:space="preserve"> prevent clinicians from obtaining </w:t>
      </w:r>
      <w:r w:rsidR="0092589B">
        <w:rPr>
          <w:rFonts w:asciiTheme="minorHAnsi" w:hAnsiTheme="minorHAnsi" w:cstheme="minorBidi"/>
          <w:i/>
          <w:iCs/>
        </w:rPr>
        <w:t>the best possible</w:t>
      </w:r>
      <w:r w:rsidR="0092589B" w:rsidRPr="004C6591">
        <w:rPr>
          <w:rFonts w:asciiTheme="minorHAnsi" w:hAnsiTheme="minorHAnsi" w:cstheme="minorBidi"/>
          <w:i/>
          <w:iCs/>
        </w:rPr>
        <w:t xml:space="preserve"> </w:t>
      </w:r>
      <w:r w:rsidRPr="004C6591">
        <w:rPr>
          <w:rFonts w:asciiTheme="minorHAnsi" w:hAnsiTheme="minorHAnsi" w:cstheme="minorBidi"/>
          <w:i/>
          <w:iCs/>
        </w:rPr>
        <w:t>understanding of the tumour biology in the early course of disease and would delay treatment initiation with inavolisib</w:t>
      </w:r>
      <w:r w:rsidR="00E235AB" w:rsidRPr="004C6591">
        <w:rPr>
          <w:rFonts w:asciiTheme="minorHAnsi" w:hAnsiTheme="minorHAnsi" w:cstheme="minorBidi"/>
          <w:i/>
          <w:iCs/>
        </w:rPr>
        <w:t xml:space="preserve"> in eligible patients</w:t>
      </w:r>
      <w:r w:rsidRPr="004C6591">
        <w:rPr>
          <w:rFonts w:asciiTheme="minorHAnsi" w:hAnsiTheme="minorHAnsi" w:cstheme="minorBidi"/>
          <w:i/>
          <w:iCs/>
        </w:rPr>
        <w:t xml:space="preserve">, given the laboratory turnaround time for </w:t>
      </w:r>
      <w:r w:rsidRPr="00C65136">
        <w:rPr>
          <w:rFonts w:asciiTheme="minorHAnsi" w:hAnsiTheme="minorHAnsi"/>
        </w:rPr>
        <w:t>PIK3CA</w:t>
      </w:r>
      <w:r w:rsidRPr="004C6591">
        <w:rPr>
          <w:rFonts w:asciiTheme="minorHAnsi" w:hAnsiTheme="minorHAnsi" w:cstheme="minorBidi"/>
          <w:i/>
          <w:iCs/>
        </w:rPr>
        <w:t xml:space="preserve"> testing </w:t>
      </w:r>
      <w:r w:rsidR="00DE42C5">
        <w:rPr>
          <w:rFonts w:asciiTheme="minorHAnsi" w:hAnsiTheme="minorHAnsi" w:cstheme="minorBidi"/>
          <w:i/>
          <w:iCs/>
        </w:rPr>
        <w:t>may be delayed</w:t>
      </w:r>
      <w:r w:rsidRPr="004C6591">
        <w:rPr>
          <w:rFonts w:asciiTheme="minorHAnsi" w:hAnsiTheme="minorHAnsi" w:cstheme="minorBidi"/>
          <w:i/>
          <w:iCs/>
        </w:rPr>
        <w:t xml:space="preserve">. </w:t>
      </w:r>
      <w:r w:rsidR="00445696" w:rsidRPr="004C6591">
        <w:rPr>
          <w:rFonts w:asciiTheme="minorHAnsi" w:hAnsiTheme="minorHAnsi" w:cstheme="minorBidi"/>
          <w:i/>
          <w:iCs/>
        </w:rPr>
        <w:t xml:space="preserve">In arguments in support of the restriction, </w:t>
      </w:r>
      <w:r w:rsidR="00F051C9" w:rsidRPr="004C6591">
        <w:rPr>
          <w:rFonts w:asciiTheme="minorHAnsi" w:hAnsiTheme="minorHAnsi" w:cstheme="minorBidi"/>
          <w:i/>
          <w:iCs/>
        </w:rPr>
        <w:t xml:space="preserve">PASC considered that scarcity of </w:t>
      </w:r>
      <w:r w:rsidR="00445696" w:rsidRPr="004C6591">
        <w:rPr>
          <w:rFonts w:asciiTheme="minorHAnsi" w:hAnsiTheme="minorHAnsi" w:cstheme="minorBidi"/>
          <w:i/>
          <w:iCs/>
        </w:rPr>
        <w:t xml:space="preserve">tumour </w:t>
      </w:r>
      <w:r w:rsidR="00F051C9" w:rsidRPr="004C6591">
        <w:rPr>
          <w:rFonts w:asciiTheme="minorHAnsi" w:hAnsiTheme="minorHAnsi" w:cstheme="minorBidi"/>
          <w:i/>
          <w:iCs/>
        </w:rPr>
        <w:t xml:space="preserve">tissue is generally not a concern for </w:t>
      </w:r>
      <w:r w:rsidR="00A32FA7" w:rsidRPr="004C6591">
        <w:rPr>
          <w:rFonts w:asciiTheme="minorHAnsi" w:hAnsiTheme="minorHAnsi" w:cstheme="minorBidi"/>
          <w:i/>
          <w:iCs/>
        </w:rPr>
        <w:t>breast cancer</w:t>
      </w:r>
      <w:r w:rsidR="00F051C9" w:rsidRPr="004C6591">
        <w:rPr>
          <w:rFonts w:asciiTheme="minorHAnsi" w:hAnsiTheme="minorHAnsi" w:cstheme="minorBidi"/>
          <w:i/>
          <w:iCs/>
        </w:rPr>
        <w:t xml:space="preserve"> compared </w:t>
      </w:r>
      <w:r w:rsidR="0092589B">
        <w:rPr>
          <w:rFonts w:asciiTheme="minorHAnsi" w:hAnsiTheme="minorHAnsi" w:cstheme="minorBidi"/>
          <w:i/>
          <w:iCs/>
        </w:rPr>
        <w:t>with</w:t>
      </w:r>
      <w:r w:rsidR="0092589B" w:rsidRPr="004C6591">
        <w:rPr>
          <w:rFonts w:asciiTheme="minorHAnsi" w:hAnsiTheme="minorHAnsi" w:cstheme="minorBidi"/>
          <w:i/>
          <w:iCs/>
        </w:rPr>
        <w:t xml:space="preserve"> </w:t>
      </w:r>
      <w:r w:rsidR="00445696" w:rsidRPr="004C6591">
        <w:rPr>
          <w:rFonts w:asciiTheme="minorHAnsi" w:hAnsiTheme="minorHAnsi" w:cstheme="minorBidi"/>
          <w:i/>
          <w:iCs/>
        </w:rPr>
        <w:t xml:space="preserve">that </w:t>
      </w:r>
      <w:r w:rsidR="0092589B">
        <w:rPr>
          <w:rFonts w:asciiTheme="minorHAnsi" w:hAnsiTheme="minorHAnsi" w:cstheme="minorBidi"/>
          <w:i/>
          <w:iCs/>
        </w:rPr>
        <w:t>for</w:t>
      </w:r>
      <w:r w:rsidR="0092589B" w:rsidRPr="004C6591">
        <w:rPr>
          <w:rFonts w:asciiTheme="minorHAnsi" w:hAnsiTheme="minorHAnsi" w:cstheme="minorBidi"/>
          <w:i/>
          <w:iCs/>
        </w:rPr>
        <w:t xml:space="preserve"> </w:t>
      </w:r>
      <w:r w:rsidR="0092589B">
        <w:rPr>
          <w:rFonts w:asciiTheme="minorHAnsi" w:hAnsiTheme="minorHAnsi" w:cstheme="minorBidi"/>
          <w:i/>
          <w:iCs/>
        </w:rPr>
        <w:t xml:space="preserve">many </w:t>
      </w:r>
      <w:r w:rsidR="00445696" w:rsidRPr="004C6591">
        <w:rPr>
          <w:rFonts w:asciiTheme="minorHAnsi" w:hAnsiTheme="minorHAnsi" w:cstheme="minorBidi"/>
          <w:i/>
          <w:iCs/>
        </w:rPr>
        <w:t>other cancers (</w:t>
      </w:r>
      <w:r w:rsidR="0092589B">
        <w:rPr>
          <w:rFonts w:asciiTheme="minorHAnsi" w:hAnsiTheme="minorHAnsi" w:cstheme="minorBidi"/>
          <w:i/>
          <w:iCs/>
        </w:rPr>
        <w:t>e.g.</w:t>
      </w:r>
      <w:r w:rsidR="0092589B" w:rsidRPr="004C6591">
        <w:rPr>
          <w:rFonts w:asciiTheme="minorHAnsi" w:hAnsiTheme="minorHAnsi" w:cstheme="minorBidi"/>
          <w:i/>
          <w:iCs/>
        </w:rPr>
        <w:t xml:space="preserve"> </w:t>
      </w:r>
      <w:r w:rsidR="00445696" w:rsidRPr="004C6591">
        <w:rPr>
          <w:rFonts w:asciiTheme="minorHAnsi" w:hAnsiTheme="minorHAnsi" w:cstheme="minorBidi"/>
          <w:i/>
          <w:iCs/>
        </w:rPr>
        <w:t>cholangiocarcinoma)</w:t>
      </w:r>
      <w:r w:rsidR="002013C0" w:rsidRPr="004C6591">
        <w:rPr>
          <w:rFonts w:asciiTheme="minorHAnsi" w:hAnsiTheme="minorHAnsi" w:cstheme="minorBidi"/>
          <w:i/>
          <w:iCs/>
        </w:rPr>
        <w:t xml:space="preserve"> and </w:t>
      </w:r>
      <w:r w:rsidR="00445696" w:rsidRPr="004C6591">
        <w:rPr>
          <w:rFonts w:asciiTheme="minorHAnsi" w:hAnsiTheme="minorHAnsi" w:cstheme="minorBidi"/>
          <w:i/>
          <w:iCs/>
        </w:rPr>
        <w:t xml:space="preserve">considered that testing at the time of treatment </w:t>
      </w:r>
      <w:r w:rsidR="00DE42C5">
        <w:rPr>
          <w:rFonts w:asciiTheme="minorHAnsi" w:hAnsiTheme="minorHAnsi" w:cstheme="minorBidi"/>
          <w:i/>
          <w:iCs/>
        </w:rPr>
        <w:t xml:space="preserve">rather than diagnosis </w:t>
      </w:r>
      <w:r w:rsidR="002013C0" w:rsidRPr="004C6591">
        <w:rPr>
          <w:rFonts w:asciiTheme="minorHAnsi" w:hAnsiTheme="minorHAnsi" w:cstheme="minorBidi"/>
          <w:i/>
          <w:iCs/>
        </w:rPr>
        <w:t xml:space="preserve">may address concerns of change in tumour </w:t>
      </w:r>
      <w:r w:rsidR="00563972" w:rsidRPr="00C65136">
        <w:rPr>
          <w:rFonts w:asciiTheme="minorHAnsi" w:hAnsiTheme="minorHAnsi"/>
        </w:rPr>
        <w:t>PIK3CA</w:t>
      </w:r>
      <w:r w:rsidR="002013C0" w:rsidRPr="004C6591">
        <w:rPr>
          <w:rFonts w:asciiTheme="minorHAnsi" w:hAnsiTheme="minorHAnsi" w:cstheme="minorBidi"/>
          <w:i/>
          <w:iCs/>
        </w:rPr>
        <w:t xml:space="preserve"> status over time</w:t>
      </w:r>
      <w:r w:rsidR="00F051C9" w:rsidRPr="004C6591">
        <w:rPr>
          <w:rFonts w:asciiTheme="minorHAnsi" w:hAnsiTheme="minorHAnsi" w:cstheme="minorBidi"/>
          <w:i/>
          <w:iCs/>
        </w:rPr>
        <w:t xml:space="preserve">. </w:t>
      </w:r>
      <w:r w:rsidR="00445696" w:rsidRPr="004C6591">
        <w:rPr>
          <w:rFonts w:asciiTheme="minorHAnsi" w:hAnsiTheme="minorHAnsi" w:cstheme="minorBidi"/>
          <w:i/>
          <w:iCs/>
        </w:rPr>
        <w:t xml:space="preserve">PASC </w:t>
      </w:r>
      <w:r w:rsidR="002013C0" w:rsidRPr="004C6591">
        <w:rPr>
          <w:rFonts w:asciiTheme="minorHAnsi" w:hAnsiTheme="minorHAnsi" w:cstheme="minorBidi"/>
          <w:i/>
          <w:iCs/>
        </w:rPr>
        <w:t>also considered that testing</w:t>
      </w:r>
      <w:r w:rsidR="00D847B9" w:rsidRPr="004C6591">
        <w:rPr>
          <w:rFonts w:asciiTheme="minorHAnsi" w:hAnsiTheme="minorHAnsi" w:cstheme="minorBidi"/>
          <w:i/>
          <w:iCs/>
        </w:rPr>
        <w:t xml:space="preserve"> a broader population</w:t>
      </w:r>
      <w:r w:rsidR="002013C0" w:rsidRPr="004C6591">
        <w:rPr>
          <w:rFonts w:asciiTheme="minorHAnsi" w:hAnsiTheme="minorHAnsi" w:cstheme="minorBidi"/>
          <w:i/>
          <w:iCs/>
        </w:rPr>
        <w:t xml:space="preserve"> at diagnosis will likely lead to significant redundancy and costs associated with testing</w:t>
      </w:r>
      <w:r w:rsidR="00DE42C5">
        <w:rPr>
          <w:rFonts w:asciiTheme="minorHAnsi" w:hAnsiTheme="minorHAnsi" w:cstheme="minorBidi"/>
          <w:i/>
          <w:iCs/>
        </w:rPr>
        <w:t xml:space="preserve"> that has no influence on subsequent management</w:t>
      </w:r>
      <w:r w:rsidR="002013C0" w:rsidRPr="004C6591">
        <w:rPr>
          <w:rFonts w:asciiTheme="minorHAnsi" w:hAnsiTheme="minorHAnsi" w:cstheme="minorBidi"/>
          <w:i/>
          <w:iCs/>
        </w:rPr>
        <w:t xml:space="preserve">. Taking all these </w:t>
      </w:r>
      <w:r w:rsidR="0092589B">
        <w:rPr>
          <w:rFonts w:asciiTheme="minorHAnsi" w:hAnsiTheme="minorHAnsi" w:cstheme="minorBidi"/>
          <w:i/>
          <w:iCs/>
        </w:rPr>
        <w:t xml:space="preserve">issues </w:t>
      </w:r>
      <w:r w:rsidR="002013C0" w:rsidRPr="004C6591">
        <w:rPr>
          <w:rFonts w:asciiTheme="minorHAnsi" w:hAnsiTheme="minorHAnsi" w:cstheme="minorBidi"/>
          <w:i/>
          <w:iCs/>
        </w:rPr>
        <w:t xml:space="preserve">into consideration, </w:t>
      </w:r>
      <w:r w:rsidR="00D92127" w:rsidRPr="004C6591">
        <w:rPr>
          <w:rFonts w:asciiTheme="minorHAnsi" w:hAnsiTheme="minorHAnsi" w:cstheme="minorBidi"/>
          <w:i/>
          <w:iCs/>
        </w:rPr>
        <w:t xml:space="preserve">PASC advised that the test population should be patients with HR+/HER2- LA/mBC who have relapsed during or after </w:t>
      </w:r>
      <w:r w:rsidR="002013C0" w:rsidRPr="004C6591">
        <w:rPr>
          <w:rFonts w:asciiTheme="minorHAnsi" w:hAnsiTheme="minorHAnsi" w:cstheme="minorBidi"/>
          <w:i/>
          <w:iCs/>
        </w:rPr>
        <w:t xml:space="preserve">adjuvant </w:t>
      </w:r>
      <w:r w:rsidR="00E0072E" w:rsidRPr="004C6591">
        <w:rPr>
          <w:rFonts w:asciiTheme="minorHAnsi" w:hAnsiTheme="minorHAnsi" w:cstheme="minorBidi"/>
          <w:i/>
          <w:iCs/>
        </w:rPr>
        <w:t>ET</w:t>
      </w:r>
      <w:r w:rsidR="00D92127" w:rsidRPr="004C6591">
        <w:rPr>
          <w:rFonts w:asciiTheme="minorHAnsi" w:hAnsiTheme="minorHAnsi" w:cstheme="minorBidi"/>
          <w:i/>
          <w:iCs/>
        </w:rPr>
        <w:t>, so that the test can inform treatment decisions</w:t>
      </w:r>
      <w:r w:rsidR="003F5D1B" w:rsidRPr="004C6591">
        <w:rPr>
          <w:rFonts w:asciiTheme="minorHAnsi" w:hAnsiTheme="minorHAnsi" w:cstheme="minorBidi"/>
          <w:i/>
          <w:iCs/>
        </w:rPr>
        <w:t xml:space="preserve"> </w:t>
      </w:r>
      <w:r w:rsidR="002013C0" w:rsidRPr="004C6591">
        <w:rPr>
          <w:rFonts w:asciiTheme="minorHAnsi" w:hAnsiTheme="minorHAnsi" w:cstheme="minorBidi"/>
          <w:i/>
          <w:iCs/>
        </w:rPr>
        <w:t xml:space="preserve">at the </w:t>
      </w:r>
      <w:r w:rsidR="00A32FA7" w:rsidRPr="004C6591">
        <w:rPr>
          <w:rFonts w:asciiTheme="minorHAnsi" w:hAnsiTheme="minorHAnsi" w:cstheme="minorBidi"/>
          <w:i/>
          <w:iCs/>
        </w:rPr>
        <w:t>stage</w:t>
      </w:r>
      <w:r w:rsidR="002013C0" w:rsidRPr="004C6591">
        <w:rPr>
          <w:rFonts w:asciiTheme="minorHAnsi" w:hAnsiTheme="minorHAnsi" w:cstheme="minorBidi"/>
          <w:i/>
          <w:iCs/>
        </w:rPr>
        <w:t xml:space="preserve"> when </w:t>
      </w:r>
      <w:r w:rsidR="003F5D1B" w:rsidRPr="004C6591">
        <w:rPr>
          <w:rFonts w:asciiTheme="minorHAnsi" w:hAnsiTheme="minorHAnsi" w:cstheme="minorBidi"/>
          <w:i/>
          <w:iCs/>
        </w:rPr>
        <w:t>inavolisib</w:t>
      </w:r>
      <w:r w:rsidR="002013C0" w:rsidRPr="004C6591">
        <w:rPr>
          <w:rFonts w:asciiTheme="minorHAnsi" w:hAnsiTheme="minorHAnsi" w:cstheme="minorBidi"/>
          <w:i/>
          <w:iCs/>
        </w:rPr>
        <w:t xml:space="preserve"> is intended for use</w:t>
      </w:r>
      <w:r w:rsidR="00D92127" w:rsidRPr="004C6591">
        <w:rPr>
          <w:rFonts w:asciiTheme="minorHAnsi" w:hAnsiTheme="minorHAnsi" w:cstheme="minorBidi"/>
          <w:i/>
          <w:iCs/>
        </w:rPr>
        <w:t>.</w:t>
      </w:r>
    </w:p>
    <w:p w14:paraId="45B8A8DD" w14:textId="041F0042" w:rsidR="0039370F" w:rsidRPr="004C6591" w:rsidRDefault="0039370F" w:rsidP="0039370F">
      <w:pPr>
        <w:pStyle w:val="Heading4"/>
      </w:pPr>
      <w:r w:rsidRPr="004C6591">
        <w:t>Background</w:t>
      </w:r>
    </w:p>
    <w:p w14:paraId="24490A37" w14:textId="1EF192A2" w:rsidR="0039370F" w:rsidRPr="004C6591" w:rsidRDefault="006364A6" w:rsidP="0039370F">
      <w:pPr>
        <w:rPr>
          <w:color w:val="5B9BD5" w:themeColor="accent1"/>
        </w:rPr>
      </w:pPr>
      <w:r w:rsidRPr="004C6591">
        <w:t>B</w:t>
      </w:r>
      <w:r w:rsidR="00B22FE3" w:rsidRPr="004C6591">
        <w:t xml:space="preserve">reast cancer </w:t>
      </w:r>
      <w:r w:rsidR="00BD528C" w:rsidRPr="004C6591">
        <w:t xml:space="preserve">(BC) </w:t>
      </w:r>
      <w:r w:rsidR="00B22FE3" w:rsidRPr="004C6591">
        <w:t xml:space="preserve">is </w:t>
      </w:r>
      <w:r w:rsidRPr="004C6591">
        <w:t xml:space="preserve">one of the </w:t>
      </w:r>
      <w:r w:rsidR="00B22FE3" w:rsidRPr="004C6591">
        <w:t>most common cancer diagnos</w:t>
      </w:r>
      <w:r w:rsidRPr="004C6591">
        <w:t>e</w:t>
      </w:r>
      <w:r w:rsidR="00B22FE3" w:rsidRPr="004C6591">
        <w:t xml:space="preserve">s </w:t>
      </w:r>
      <w:r w:rsidRPr="004C6591">
        <w:t>in Australia</w:t>
      </w:r>
      <w:r w:rsidR="00B22FE3" w:rsidRPr="004C6591">
        <w:t xml:space="preserve"> </w:t>
      </w:r>
      <w:r w:rsidR="00B22FE3" w:rsidRPr="004C6591">
        <w:fldChar w:fldCharType="begin"/>
      </w:r>
      <w:r w:rsidR="001B7FB5" w:rsidRPr="004C6591">
        <w:instrText xml:space="preserve"> ADDIN EN.CITE &lt;EndNote&gt;&lt;Cite ExcludeAuth="1"&gt;&lt;Author&gt;AIHW (Australian Institute of Health and Welfare)&lt;/Author&gt;&lt;Year&gt;2023&lt;/Year&gt;&lt;RecNum&gt;3&lt;/RecNum&gt;&lt;Prefix&gt;AIHW &lt;/Prefix&gt;&lt;DisplayText&gt;(AIHW 2023)&lt;/DisplayText&gt;&lt;record&gt;&lt;rec-number&gt;3&lt;/rec-number&gt;&lt;foreign-keys&gt;&lt;key app="EN" db-id="dw2s0a0pxte05aexpvnx2awre9s0vxdepfat" timestamp="1717560938"&gt;3&lt;/key&gt;&lt;/foreign-keys&gt;&lt;ref-type name="Web Page"&gt;12&lt;/ref-type&gt;&lt;contributors&gt;&lt;authors&gt;&lt;author&gt;AIHW (Australian Institute of Health and Welfare),&lt;/author&gt;&lt;/authors&gt;&lt;/contributors&gt;&lt;titles&gt;&lt;title&gt;Cancer data in Australia&lt;/title&gt;&lt;/titles&gt;&lt;volume&gt;2024&lt;/volume&gt;&lt;number&gt;6 May&lt;/number&gt;&lt;dates&gt;&lt;year&gt;2023&lt;/year&gt;&lt;/dates&gt;&lt;pub-location&gt;Canberra&lt;/pub-location&gt;&lt;publisher&gt;AIHW&lt;/publisher&gt;&lt;work-type&gt;Internet&lt;/work-type&gt;&lt;urls&gt;&lt;related-urls&gt;&lt;url&gt;https://www.aihw.gov.au/reports/cancer/cancer-data-in-australia/&lt;/url&gt;&lt;/related-urls&gt;&lt;/urls&gt;&lt;remote-database-name&gt;AIHW Australian Cancer Database 2019&lt;/remote-database-name&gt;&lt;/record&gt;&lt;/Cite&gt;&lt;/EndNote&gt;</w:instrText>
      </w:r>
      <w:r w:rsidR="00B22FE3" w:rsidRPr="004C6591">
        <w:fldChar w:fldCharType="separate"/>
      </w:r>
      <w:r w:rsidR="00E35001" w:rsidRPr="004C6591">
        <w:t>(AIHW 2023)</w:t>
      </w:r>
      <w:r w:rsidR="00B22FE3" w:rsidRPr="004C6591">
        <w:fldChar w:fldCharType="end"/>
      </w:r>
      <w:r w:rsidR="00B22FE3" w:rsidRPr="004C6591">
        <w:t>.</w:t>
      </w:r>
      <w:r w:rsidR="00DE5966" w:rsidRPr="004C6591">
        <w:t xml:space="preserve"> </w:t>
      </w:r>
      <w:r w:rsidR="6DB3D043" w:rsidRPr="004C6591">
        <w:t>Between 1982 and</w:t>
      </w:r>
      <w:r w:rsidR="00C612DF" w:rsidRPr="004C6591">
        <w:t xml:space="preserve"> the end of 2018, 253,623 people had been diagnosed with </w:t>
      </w:r>
      <w:r w:rsidR="00BD528C" w:rsidRPr="004C6591">
        <w:t>BC</w:t>
      </w:r>
      <w:r w:rsidR="00C612DF" w:rsidRPr="004C6591">
        <w:t xml:space="preserve"> </w:t>
      </w:r>
      <w:r w:rsidRPr="004C6591">
        <w:fldChar w:fldCharType="begin"/>
      </w:r>
      <w:r w:rsidR="001B7FB5" w:rsidRPr="004C6591">
        <w:instrText xml:space="preserve"> ADDIN EN.CITE &lt;EndNote&gt;&lt;Cite ExcludeAuth="1"&gt;&lt;Author&gt;AIHW (Australian Institute of Health and Welfare)&lt;/Author&gt;&lt;Year&gt;2023&lt;/Year&gt;&lt;RecNum&gt;3&lt;/RecNum&gt;&lt;Prefix&gt;AIHW &lt;/Prefix&gt;&lt;DisplayText&gt;(AIHW 2023)&lt;/DisplayText&gt;&lt;record&gt;&lt;rec-number&gt;3&lt;/rec-number&gt;&lt;foreign-keys&gt;&lt;key app="EN" db-id="dw2s0a0pxte05aexpvnx2awre9s0vxdepfat" timestamp="1717560938"&gt;3&lt;/key&gt;&lt;/foreign-keys&gt;&lt;ref-type name="Web Page"&gt;12&lt;/ref-type&gt;&lt;contributors&gt;&lt;authors&gt;&lt;author&gt;AIHW (Australian Institute of Health and Welfare),&lt;/author&gt;&lt;/authors&gt;&lt;/contributors&gt;&lt;titles&gt;&lt;title&gt;Cancer data in Australia&lt;/title&gt;&lt;/titles&gt;&lt;volume&gt;2024&lt;/volume&gt;&lt;number&gt;6 May&lt;/number&gt;&lt;dates&gt;&lt;year&gt;2023&lt;/year&gt;&lt;/dates&gt;&lt;pub-location&gt;Canberra&lt;/pub-location&gt;&lt;publisher&gt;AIHW&lt;/publisher&gt;&lt;work-type&gt;Internet&lt;/work-type&gt;&lt;urls&gt;&lt;related-urls&gt;&lt;url&gt;https://www.aihw.gov.au/reports/cancer/cancer-data-in-australia/&lt;/url&gt;&lt;/related-urls&gt;&lt;/urls&gt;&lt;remote-database-name&gt;AIHW Australian Cancer Database 2019&lt;/remote-database-name&gt;&lt;/record&gt;&lt;/Cite&gt;&lt;/EndNote&gt;</w:instrText>
      </w:r>
      <w:r w:rsidRPr="004C6591">
        <w:fldChar w:fldCharType="separate"/>
      </w:r>
      <w:r w:rsidRPr="004C6591">
        <w:t>(AIHW 2023)</w:t>
      </w:r>
      <w:r w:rsidRPr="004C6591">
        <w:fldChar w:fldCharType="end"/>
      </w:r>
      <w:r w:rsidRPr="004C6591">
        <w:t xml:space="preserve">. </w:t>
      </w:r>
      <w:r w:rsidR="008A3C9F" w:rsidRPr="004C6591">
        <w:t xml:space="preserve">About 20-30% of patients with </w:t>
      </w:r>
      <w:r w:rsidR="001D6641" w:rsidRPr="004C6591">
        <w:t>early-stage</w:t>
      </w:r>
      <w:r w:rsidR="008A3C9F" w:rsidRPr="004C6591">
        <w:t xml:space="preserve"> </w:t>
      </w:r>
      <w:r w:rsidR="67806E64" w:rsidRPr="004C6591">
        <w:t>BC</w:t>
      </w:r>
      <w:r w:rsidR="008A3C9F" w:rsidRPr="004C6591">
        <w:t xml:space="preserve"> will experience disease recurrence with distant metastases </w:t>
      </w:r>
      <w:r w:rsidR="008F16FA" w:rsidRPr="004C6591">
        <w:fldChar w:fldCharType="begin">
          <w:fldData xml:space="preserve">PEVuZE5vdGU+PENpdGU+PEF1dGhvcj5DYXJzb248L0F1dGhvcj48WWVhcj4yMDE5PC9ZZWFyPjxS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</w:fldData>
        </w:fldChar>
      </w:r>
      <w:r w:rsidR="008343A5" w:rsidRPr="004C6591">
        <w:instrText xml:space="preserve"> ADDIN EN.CITE </w:instrText>
      </w:r>
      <w:r w:rsidR="008343A5" w:rsidRPr="004C6591">
        <w:fldChar w:fldCharType="begin">
          <w:fldData xml:space="preserve">PEVuZE5vdGU+PENpdGU+PEF1dGhvcj5DYXJzb248L0F1dGhvcj48WWVhcj4yMDE5PC9ZZWFyPjxS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</w:fldData>
        </w:fldChar>
      </w:r>
      <w:r w:rsidR="008343A5" w:rsidRPr="004C6591">
        <w:instrText xml:space="preserve"> ADDIN EN.CITE.DATA </w:instrText>
      </w:r>
      <w:r w:rsidR="008343A5" w:rsidRPr="004C6591">
        <w:fldChar w:fldCharType="end"/>
      </w:r>
      <w:r w:rsidR="008F16FA" w:rsidRPr="004C6591">
        <w:fldChar w:fldCharType="separate"/>
      </w:r>
      <w:r w:rsidR="008343A5" w:rsidRPr="004C6591">
        <w:t>(Carson and Dear 2019; Peto et al. 2012)</w:t>
      </w:r>
      <w:r w:rsidR="008F16FA" w:rsidRPr="004C6591">
        <w:fldChar w:fldCharType="end"/>
      </w:r>
      <w:r w:rsidR="008A3C9F" w:rsidRPr="004C6591">
        <w:t>.</w:t>
      </w:r>
      <w:r w:rsidR="00215D6E" w:rsidRPr="004C6591">
        <w:t xml:space="preserve"> </w:t>
      </w:r>
      <w:r w:rsidR="00DE5966" w:rsidRPr="004C6591">
        <w:t xml:space="preserve">The </w:t>
      </w:r>
      <w:r w:rsidR="00531044" w:rsidRPr="004C6591">
        <w:t>Australian Institute of Health and Welfare (</w:t>
      </w:r>
      <w:r w:rsidR="00DE5966" w:rsidRPr="004C6591">
        <w:t>AIHW</w:t>
      </w:r>
      <w:r w:rsidR="00531044" w:rsidRPr="004C6591">
        <w:t>)</w:t>
      </w:r>
      <w:r w:rsidR="00DE5966" w:rsidRPr="004C6591">
        <w:t xml:space="preserve"> </w:t>
      </w:r>
      <w:r w:rsidR="00594BBD" w:rsidRPr="004C6591">
        <w:t xml:space="preserve">further </w:t>
      </w:r>
      <w:r w:rsidR="00DE5966" w:rsidRPr="004C6591">
        <w:t>estimated 20,</w:t>
      </w:r>
      <w:r w:rsidR="009410DD" w:rsidRPr="004C6591">
        <w:t>771</w:t>
      </w:r>
      <w:r w:rsidR="00DE5966" w:rsidRPr="004C6591">
        <w:t xml:space="preserve"> </w:t>
      </w:r>
      <w:r w:rsidR="53540093" w:rsidRPr="004C6591">
        <w:t>people</w:t>
      </w:r>
      <w:r w:rsidR="00DE5966" w:rsidRPr="004C6591">
        <w:t xml:space="preserve"> will be diagnosed with BC in 2024</w:t>
      </w:r>
      <w:r w:rsidR="00A01B17" w:rsidRPr="004C6591">
        <w:t xml:space="preserve">, </w:t>
      </w:r>
      <w:r w:rsidR="00440950" w:rsidRPr="004C6591">
        <w:t xml:space="preserve">with </w:t>
      </w:r>
      <w:r w:rsidR="5C8AD02C" w:rsidRPr="004C6591">
        <w:t>an</w:t>
      </w:r>
      <w:r w:rsidR="00A01B17" w:rsidRPr="004C6591">
        <w:t xml:space="preserve"> annual increase</w:t>
      </w:r>
      <w:r w:rsidR="18AE6EBC" w:rsidRPr="004C6591">
        <w:t xml:space="preserve"> of ~2%</w:t>
      </w:r>
      <w:r w:rsidR="00A01B17" w:rsidRPr="004C6591">
        <w:t xml:space="preserve"> in the long-term incidence projection for BC </w:t>
      </w:r>
      <w:r w:rsidR="00A01B17" w:rsidRPr="004C6591">
        <w:fldChar w:fldCharType="begin"/>
      </w:r>
      <w:r w:rsidR="001B7FB5" w:rsidRPr="004C6591">
        <w:instrText xml:space="preserve"> ADDIN EN.CITE &lt;EndNote&gt;&lt;Cite ExcludeAuth="1"&gt;&lt;Author&gt;AIHW (Australian Institute of Health and Welfare)&lt;/Author&gt;&lt;Year&gt;2023&lt;/Year&gt;&lt;RecNum&gt;3&lt;/RecNum&gt;&lt;Prefix&gt;AIHW &lt;/Prefix&gt;&lt;DisplayText&gt;(AIHW 2023)&lt;/DisplayText&gt;&lt;record&gt;&lt;rec-number&gt;3&lt;/rec-number&gt;&lt;foreign-keys&gt;&lt;key app="EN" db-id="dw2s0a0pxte05aexpvnx2awre9s0vxdepfat" timestamp="1717560938"&gt;3&lt;/key&gt;&lt;/foreign-keys&gt;&lt;ref-type name="Web Page"&gt;12&lt;/ref-type&gt;&lt;contributors&gt;&lt;authors&gt;&lt;author&gt;AIHW (Australian Institute of Health and Welfare),&lt;/author&gt;&lt;/authors&gt;&lt;/contributors&gt;&lt;titles&gt;&lt;title&gt;Cancer data in Australia&lt;/title&gt;&lt;/titles&gt;&lt;volume&gt;2024&lt;/volume&gt;&lt;number&gt;6 May&lt;/number&gt;&lt;dates&gt;&lt;year&gt;2023&lt;/year&gt;&lt;/dates&gt;&lt;pub-location&gt;Canberra&lt;/pub-location&gt;&lt;publisher&gt;AIHW&lt;/publisher&gt;&lt;work-type&gt;Internet&lt;/work-type&gt;&lt;urls&gt;&lt;related-urls&gt;&lt;url&gt;https://www.aihw.gov.au/reports/cancer/cancer-data-in-australia/&lt;/url&gt;&lt;/related-urls&gt;&lt;/urls&gt;&lt;remote-database-name&gt;AIHW Australian Cancer Database 2019&lt;/remote-database-name&gt;&lt;/record&gt;&lt;/Cite&gt;&lt;/EndNote&gt;</w:instrText>
      </w:r>
      <w:r w:rsidR="00A01B17" w:rsidRPr="004C6591">
        <w:fldChar w:fldCharType="separate"/>
      </w:r>
      <w:r w:rsidR="00A01B17" w:rsidRPr="004C6591">
        <w:t>(AIHW 2023)</w:t>
      </w:r>
      <w:r w:rsidR="00A01B17" w:rsidRPr="004C6591">
        <w:fldChar w:fldCharType="end"/>
      </w:r>
      <w:r w:rsidR="00A01B17" w:rsidRPr="004C6591">
        <w:t>.</w:t>
      </w:r>
      <w:r w:rsidR="00DE5966" w:rsidRPr="004C6591">
        <w:t xml:space="preserve"> </w:t>
      </w:r>
      <w:r w:rsidR="00705798" w:rsidRPr="004C6591">
        <w:t>Based on the incidence of BC reported in Australia in 2011, a</w:t>
      </w:r>
      <w:r w:rsidR="00D7613E" w:rsidRPr="004C6591">
        <w:t xml:space="preserve">pproximately </w:t>
      </w:r>
      <w:r w:rsidR="00E64809" w:rsidRPr="004C6591">
        <w:t>16.7%</w:t>
      </w:r>
      <w:r w:rsidR="00D7613E" w:rsidRPr="004C6591">
        <w:t xml:space="preserve"> of </w:t>
      </w:r>
      <w:r w:rsidR="2612AAD2" w:rsidRPr="004C6591">
        <w:t>patients</w:t>
      </w:r>
      <w:r w:rsidR="00D7613E" w:rsidRPr="004C6591">
        <w:t xml:space="preserve"> </w:t>
      </w:r>
      <w:r w:rsidR="00073446" w:rsidRPr="004C6591">
        <w:t>were</w:t>
      </w:r>
      <w:r w:rsidR="00D7613E" w:rsidRPr="004C6591">
        <w:t xml:space="preserve"> diagnosed with </w:t>
      </w:r>
      <w:r w:rsidR="002933B1" w:rsidRPr="004C6591">
        <w:t>LA</w:t>
      </w:r>
      <w:r w:rsidR="00E64809" w:rsidRPr="004C6591">
        <w:t xml:space="preserve"> </w:t>
      </w:r>
      <w:r w:rsidR="180D56DE" w:rsidRPr="004C6591">
        <w:t xml:space="preserve">BC </w:t>
      </w:r>
      <w:r w:rsidR="00E64809" w:rsidRPr="004C6591">
        <w:t>(stage III)</w:t>
      </w:r>
      <w:r w:rsidR="00D7613E" w:rsidRPr="004C6591">
        <w:t xml:space="preserve"> or </w:t>
      </w:r>
      <w:r w:rsidR="005D16EE" w:rsidRPr="004C6591">
        <w:t>m</w:t>
      </w:r>
      <w:r w:rsidR="00D7613E" w:rsidRPr="004C6591">
        <w:t>BC</w:t>
      </w:r>
      <w:r w:rsidR="00E64809" w:rsidRPr="004C6591">
        <w:t xml:space="preserve"> (stage IV)</w:t>
      </w:r>
      <w:r w:rsidR="00740355" w:rsidRPr="004C6591">
        <w:t xml:space="preserve">, </w:t>
      </w:r>
      <w:r w:rsidR="005B70D2" w:rsidRPr="004C6591">
        <w:t xml:space="preserve">and </w:t>
      </w:r>
      <w:r w:rsidR="003018F0" w:rsidRPr="004C6591">
        <w:t>mortality rate</w:t>
      </w:r>
      <w:r w:rsidR="134EE484" w:rsidRPr="004C6591">
        <w:t>s</w:t>
      </w:r>
      <w:r w:rsidR="00845C7F" w:rsidRPr="004C6591">
        <w:t xml:space="preserve"> </w:t>
      </w:r>
      <w:r w:rsidR="26040AA7" w:rsidRPr="004C6591">
        <w:t>increased</w:t>
      </w:r>
      <w:r w:rsidR="005B70D2" w:rsidRPr="004C6591">
        <w:t xml:space="preserve"> in later stage</w:t>
      </w:r>
      <w:r w:rsidR="00E0640A" w:rsidRPr="004C6591">
        <w:t>s</w:t>
      </w:r>
      <w:r w:rsidR="005B70D2" w:rsidRPr="004C6591">
        <w:t xml:space="preserve"> of BC, </w:t>
      </w:r>
      <w:r w:rsidR="00E0640A" w:rsidRPr="004C6591">
        <w:t xml:space="preserve">older patients, </w:t>
      </w:r>
      <w:r w:rsidR="005B70D2" w:rsidRPr="004C6591">
        <w:t xml:space="preserve">and with </w:t>
      </w:r>
      <w:r w:rsidR="0DFB520F" w:rsidRPr="004C6591">
        <w:t>time</w:t>
      </w:r>
      <w:r w:rsidR="005B70D2" w:rsidRPr="004C6591">
        <w:t xml:space="preserve"> since diagnosis</w:t>
      </w:r>
      <w:r w:rsidR="003018F0" w:rsidRPr="004C6591">
        <w:t xml:space="preserve"> </w:t>
      </w:r>
      <w:r w:rsidR="003018F0" w:rsidRPr="004C6591">
        <w:fldChar w:fldCharType="begin"/>
      </w:r>
      <w:r w:rsidR="001B7FB5" w:rsidRPr="004C6591">
        <w:instrText xml:space="preserve"> ADDIN EN.CITE &lt;EndNote&gt;&lt;Cite ExcludeAuth="1"&gt;&lt;Author&gt;AIHW (Australian Institute of Health and Welfare)&lt;/Author&gt;&lt;Year&gt;2023&lt;/Year&gt;&lt;RecNum&gt;3&lt;/RecNum&gt;&lt;Prefix&gt;AIHW &lt;/Prefix&gt;&lt;DisplayText&gt;(AIHW 2023)&lt;/DisplayText&gt;&lt;record&gt;&lt;rec-number&gt;3&lt;/rec-number&gt;&lt;foreign-keys&gt;&lt;key app="EN" db-id="dw2s0a0pxte05aexpvnx2awre9s0vxdepfat" timestamp="1717560938"&gt;3&lt;/key&gt;&lt;/foreign-keys&gt;&lt;ref-type name="Web Page"&gt;12&lt;/ref-type&gt;&lt;contributors&gt;&lt;authors&gt;&lt;author&gt;AIHW (Australian Institute of Health and Welfare),&lt;/author&gt;&lt;/authors&gt;&lt;/contributors&gt;&lt;titles&gt;&lt;title&gt;Cancer data in Australia&lt;/title&gt;&lt;/titles&gt;&lt;volume&gt;2024&lt;/volume&gt;&lt;number&gt;6 May&lt;/number&gt;&lt;dates&gt;&lt;year&gt;2023&lt;/year&gt;&lt;/dates&gt;&lt;pub-location&gt;Canberra&lt;/pub-location&gt;&lt;publisher&gt;AIHW&lt;/publisher&gt;&lt;work-type&gt;Internet&lt;/work-type&gt;&lt;urls&gt;&lt;related-urls&gt;&lt;url&gt;https://www.aihw.gov.au/reports/cancer/cancer-data-in-australia/&lt;/url&gt;&lt;/related-urls&gt;&lt;/urls&gt;&lt;remote-database-name&gt;AIHW Australian Cancer Database 2019&lt;/remote-database-name&gt;&lt;/record&gt;&lt;/Cite&gt;&lt;/EndNote&gt;</w:instrText>
      </w:r>
      <w:r w:rsidR="003018F0" w:rsidRPr="004C6591">
        <w:fldChar w:fldCharType="separate"/>
      </w:r>
      <w:r w:rsidR="003018F0" w:rsidRPr="004C6591">
        <w:t>(AIHW 2023)</w:t>
      </w:r>
      <w:r w:rsidR="003018F0" w:rsidRPr="004C6591">
        <w:fldChar w:fldCharType="end"/>
      </w:r>
      <w:r w:rsidR="005B70D2" w:rsidRPr="004C6591">
        <w:t>. The 5-year relative survi</w:t>
      </w:r>
      <w:r w:rsidR="003018F0" w:rsidRPr="004C6591">
        <w:t>v</w:t>
      </w:r>
      <w:r w:rsidR="005B70D2" w:rsidRPr="004C6591">
        <w:t xml:space="preserve">al rate for </w:t>
      </w:r>
      <w:r w:rsidR="00701119" w:rsidRPr="004C6591">
        <w:t>m</w:t>
      </w:r>
      <w:r w:rsidR="005B70D2" w:rsidRPr="004C6591">
        <w:t xml:space="preserve">BC </w:t>
      </w:r>
      <w:r w:rsidR="00073446" w:rsidRPr="004C6591">
        <w:t>wa</w:t>
      </w:r>
      <w:r w:rsidR="005B70D2" w:rsidRPr="004C6591">
        <w:t>s 32%</w:t>
      </w:r>
      <w:r w:rsidR="00215D6E" w:rsidRPr="004C6591">
        <w:t>, as compared to &gt;95% for stage I and II BC</w:t>
      </w:r>
      <w:r w:rsidR="005B70D2" w:rsidRPr="004C6591">
        <w:t xml:space="preserve"> </w:t>
      </w:r>
      <w:r w:rsidR="009E67CB" w:rsidRPr="004C6591">
        <w:fldChar w:fldCharType="begin"/>
      </w:r>
      <w:r w:rsidR="001B7FB5" w:rsidRPr="004C6591">
        <w:instrText xml:space="preserve"> ADDIN EN.CITE &lt;EndNote&gt;&lt;Cite ExcludeAuth="1"&gt;&lt;Author&gt;AIHW (Australian Institute of Health and Welfare)&lt;/Author&gt;&lt;Year&gt;2023&lt;/Year&gt;&lt;RecNum&gt;3&lt;/RecNum&gt;&lt;Prefix&gt;AIHW &lt;/Prefix&gt;&lt;DisplayText&gt;(AIHW 2023)&lt;/DisplayText&gt;&lt;record&gt;&lt;rec-number&gt;3&lt;/rec-number&gt;&lt;foreign-keys&gt;&lt;key app="EN" db-id="dw2s0a0pxte05aexpvnx2awre9s0vxdepfat" timestamp="1717560938"&gt;3&lt;/key&gt;&lt;/foreign-keys&gt;&lt;ref-type name="Web Page"&gt;12&lt;/ref-type&gt;&lt;contributors&gt;&lt;authors&gt;&lt;author&gt;AIHW (Australian Institute of Health and Welfare),&lt;/author&gt;&lt;/authors&gt;&lt;/contributors&gt;&lt;titles&gt;&lt;title&gt;Cancer data in Australia&lt;/title&gt;&lt;/titles&gt;&lt;volume&gt;2024&lt;/volume&gt;&lt;number&gt;6 May&lt;/number&gt;&lt;dates&gt;&lt;year&gt;2023&lt;/year&gt;&lt;/dates&gt;&lt;pub-location&gt;Canberra&lt;/pub-location&gt;&lt;publisher&gt;AIHW&lt;/publisher&gt;&lt;work-type&gt;Internet&lt;/work-type&gt;&lt;urls&gt;&lt;related-urls&gt;&lt;url&gt;https://www.aihw.gov.au/reports/cancer/cancer-data-in-australia/&lt;/url&gt;&lt;/related-urls&gt;&lt;/urls&gt;&lt;remote-database-name&gt;AIHW Australian Cancer Database 2019&lt;/remote-database-name&gt;&lt;/record&gt;&lt;/Cite&gt;&lt;/EndNote&gt;</w:instrText>
      </w:r>
      <w:r w:rsidR="009E67CB" w:rsidRPr="004C6591">
        <w:fldChar w:fldCharType="separate"/>
      </w:r>
      <w:r w:rsidR="009E67CB" w:rsidRPr="004C6591">
        <w:t>(AIHW 2023)</w:t>
      </w:r>
      <w:r w:rsidR="009E67CB" w:rsidRPr="004C6591">
        <w:fldChar w:fldCharType="end"/>
      </w:r>
      <w:r w:rsidR="009E67CB" w:rsidRPr="004C6591">
        <w:t>.</w:t>
      </w:r>
      <w:r w:rsidR="00385C3D" w:rsidRPr="004C6591">
        <w:rPr>
          <w:color w:val="5B9BD5" w:themeColor="accent1"/>
        </w:rPr>
        <w:t xml:space="preserve"> </w:t>
      </w:r>
    </w:p>
    <w:p w14:paraId="499ECDD7" w14:textId="0CEB5432" w:rsidR="00532949" w:rsidRPr="004C6591" w:rsidRDefault="0057525C" w:rsidP="0039370F">
      <w:r w:rsidRPr="004C6591">
        <w:t xml:space="preserve">HR+/HER2- is the most common subtype, accounting for 78% of </w:t>
      </w:r>
      <w:r w:rsidR="00465208" w:rsidRPr="004C6591">
        <w:t>m</w:t>
      </w:r>
      <w:r w:rsidRPr="004C6591">
        <w:t xml:space="preserve">BC cases, based on the Australian Metastatic Breast Circulating Biomarker study </w:t>
      </w:r>
      <w:r w:rsidRPr="004C6591">
        <w:fldChar w:fldCharType="begin"/>
      </w:r>
      <w:r w:rsidR="00A00489" w:rsidRPr="004C6591">
        <w:instrText xml:space="preserve"> ADDIN EN.CITE &lt;EndNote&gt;&lt;Cite&gt;&lt;Author&gt;Bujak&lt;/Author&gt;&lt;Year&gt;2020&lt;/Year&gt;&lt;RecNum&gt;5&lt;/RecNum&gt;&lt;DisplayText&gt;(Bujak et al. 2020)&lt;/DisplayText&gt;&lt;record&gt;&lt;rec-number&gt;5&lt;/rec-number&gt;&lt;foreign-keys&gt;&lt;key app="EN" db-id="dw2s0a0pxte05aexpvnx2awre9s0vxdepfat" timestamp="1717564696"&gt;5&lt;/key&gt;&lt;/foreign-keys&gt;&lt;ref-type name="Journal Article"&gt;17&lt;/ref-type&gt;&lt;contributors&gt;&lt;authors&gt;&lt;author&gt;A Z Bujak&lt;/author&gt;&lt;author&gt;C F Weng&lt;/author&gt;&lt;author&gt;Maria João Silva&lt;/author&gt;&lt;author&gt;Miriam Yeung&lt;/author&gt;&lt;author&gt;Louisa Lo&lt;/author&gt;&lt;author&gt;Sarah Ftouni&lt;/author&gt;&lt;author&gt;Cassandra Litchfield&lt;/author&gt;&lt;author&gt;Yi-An Ko&lt;/author&gt;&lt;author&gt;Keilly Kuykhoven&lt;/author&gt;&lt;author&gt;Courtney Van Geelen&lt;/author&gt;&lt;author&gt;Sushma Chandrashekar&lt;/author&gt;&lt;author&gt;Mark A. Dawson&lt;/author&gt;&lt;author&gt;Sherene Loi&lt;/author&gt;&lt;author&gt;Stephen Q. Wong&lt;/author&gt;&lt;author&gt;Sarah-Jane Dawson&lt;/author&gt;&lt;/authors&gt;&lt;/contributors&gt;&lt;titles&gt;&lt;title&gt;Circulating tumour DNA in metastatic breast cancer to guide clinical trial enrolment and precision oncology: A cohort study&lt;/title&gt;&lt;secondary-title&gt;PLOS Medicine&lt;/secondary-title&gt;&lt;/titles&gt;&lt;periodical&gt;&lt;full-title&gt;PLOS Medicine&lt;/full-title&gt;&lt;/periodical&gt;&lt;pages&gt;e1003363&lt;/pages&gt;&lt;volume&gt;17&lt;/volume&gt;&lt;number&gt;10&lt;/number&gt;&lt;dates&gt;&lt;year&gt;2020&lt;/year&gt;&lt;/dates&gt;&lt;publisher&gt;Public Library of Science (PLoS)&lt;/publisher&gt;&lt;isbn&gt;1549-1676&lt;/isbn&gt;&lt;urls&gt;&lt;related-urls&gt;&lt;url&gt;https://dx.doi.org/10.1371/journal.pmed.1003363&lt;/url&gt;&lt;/related-urls&gt;&lt;/urls&gt;&lt;electronic-resource-num&gt;10.1371/journal.pmed.1003363&lt;/electronic-resource-num&gt;&lt;/record&gt;&lt;/Cite&gt;&lt;/EndNote&gt;</w:instrText>
      </w:r>
      <w:r w:rsidRPr="004C6591">
        <w:fldChar w:fldCharType="separate"/>
      </w:r>
      <w:r w:rsidR="00A00489" w:rsidRPr="004C6591">
        <w:t>(Bujak et al. 2020)</w:t>
      </w:r>
      <w:r w:rsidRPr="004C6591">
        <w:fldChar w:fldCharType="end"/>
      </w:r>
      <w:r w:rsidRPr="004C6591">
        <w:t>.</w:t>
      </w:r>
      <w:r w:rsidR="00043D01" w:rsidRPr="004C6591">
        <w:t xml:space="preserve"> </w:t>
      </w:r>
      <w:r w:rsidR="009410DD" w:rsidRPr="004C6591">
        <w:t xml:space="preserve">While ET is </w:t>
      </w:r>
      <w:r w:rsidR="00ED56CE" w:rsidRPr="004C6591">
        <w:t xml:space="preserve">the </w:t>
      </w:r>
      <w:r w:rsidR="009410DD" w:rsidRPr="004C6591">
        <w:t xml:space="preserve">standard therapy in the management of HR+ BC, </w:t>
      </w:r>
      <w:r w:rsidR="00977B52" w:rsidRPr="004C6591">
        <w:t>a</w:t>
      </w:r>
      <w:r w:rsidR="00F96F39" w:rsidRPr="004C6591">
        <w:t>bout 15-</w:t>
      </w:r>
      <w:r w:rsidR="00977B52" w:rsidRPr="004C6591">
        <w:t xml:space="preserve">40% of patients </w:t>
      </w:r>
      <w:r w:rsidR="015D10C7" w:rsidRPr="004C6591">
        <w:t>with BC</w:t>
      </w:r>
      <w:r w:rsidR="00977B52" w:rsidRPr="004C6591">
        <w:t xml:space="preserve"> develop resistance to ET</w:t>
      </w:r>
      <w:r w:rsidR="00F96F39" w:rsidRPr="004C6591">
        <w:t xml:space="preserve"> </w:t>
      </w:r>
      <w:r w:rsidR="00F96F39" w:rsidRPr="004C6591">
        <w:fldChar w:fldCharType="begin">
          <w:fldData xml:space="preserve">PEVuZE5vdGU+PENpdGU+PEF1dGhvcj5IYXF1ZTwvQXV0aG9yPjxZZWFyPjIwMTk8L1llYXI+PFJl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</w:fldData>
        </w:fldChar>
      </w:r>
      <w:r w:rsidR="008343A5" w:rsidRPr="004C6591">
        <w:instrText xml:space="preserve"> ADDIN EN.CITE </w:instrText>
      </w:r>
      <w:r w:rsidR="008343A5" w:rsidRPr="004C6591">
        <w:fldChar w:fldCharType="begin">
          <w:fldData xml:space="preserve">PEVuZE5vdGU+PENpdGU+PEF1dGhvcj5IYXF1ZTwvQXV0aG9yPjxZZWFyPjIwMTk8L1llYXI+PFJl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</w:fldData>
        </w:fldChar>
      </w:r>
      <w:r w:rsidR="008343A5" w:rsidRPr="004C6591">
        <w:instrText xml:space="preserve"> ADDIN EN.CITE.DATA </w:instrText>
      </w:r>
      <w:r w:rsidR="008343A5" w:rsidRPr="004C6591">
        <w:fldChar w:fldCharType="end"/>
      </w:r>
      <w:r w:rsidR="00F96F39" w:rsidRPr="004C6591">
        <w:fldChar w:fldCharType="separate"/>
      </w:r>
      <w:r w:rsidR="008343A5" w:rsidRPr="004C6591">
        <w:t>(Haque and Desai 2019; Lei et al. 2019; Murphy and Dickler 2016; Schagerholm et al. 2024)</w:t>
      </w:r>
      <w:r w:rsidR="00F96F39" w:rsidRPr="004C6591">
        <w:fldChar w:fldCharType="end"/>
      </w:r>
      <w:r w:rsidR="00977B52" w:rsidRPr="004C6591">
        <w:t>.</w:t>
      </w:r>
      <w:r w:rsidR="00DE2F58" w:rsidRPr="004C6591">
        <w:t xml:space="preserve"> Mechanisms of endocrine </w:t>
      </w:r>
      <w:r w:rsidR="00DE2F58" w:rsidRPr="004C6591">
        <w:lastRenderedPageBreak/>
        <w:t xml:space="preserve">resistance include abnormalities in the oestrogen/progesterone pathway, </w:t>
      </w:r>
      <w:r w:rsidR="00DE2F58" w:rsidRPr="004C6591">
        <w:rPr>
          <w:i/>
          <w:iCs/>
        </w:rPr>
        <w:t>ESR1</w:t>
      </w:r>
      <w:r w:rsidR="00DE2F58" w:rsidRPr="004C6591">
        <w:t xml:space="preserve"> gene</w:t>
      </w:r>
      <w:r w:rsidR="002933B1" w:rsidRPr="004C6591">
        <w:t xml:space="preserve"> variants</w:t>
      </w:r>
      <w:r w:rsidR="00DE2F58" w:rsidRPr="004C6591">
        <w:t xml:space="preserve"> and alterations in the PI3K/AKT </w:t>
      </w:r>
      <w:r w:rsidR="00E910FB" w:rsidRPr="004C6591">
        <w:t>signalling</w:t>
      </w:r>
      <w:r w:rsidR="00DE2F58" w:rsidRPr="004C6591">
        <w:t xml:space="preserve"> pathway </w:t>
      </w:r>
      <w:r w:rsidR="00DE2F58" w:rsidRPr="004C6591">
        <w:fldChar w:fldCharType="begin"/>
      </w:r>
      <w:r w:rsidR="00DE2F58" w:rsidRPr="004C6591">
        <w:instrText xml:space="preserve"> ADDIN EN.CITE &lt;EndNote&gt;&lt;Cite&gt;&lt;Author&gt;Hartkopf&lt;/Author&gt;&lt;Year&gt;2020&lt;/Year&gt;&lt;RecNum&gt;7&lt;/RecNum&gt;&lt;DisplayText&gt;(Hartkopf et al. 2020)&lt;/DisplayText&gt;&lt;record&gt;&lt;rec-number&gt;7&lt;/rec-number&gt;&lt;foreign-keys&gt;&lt;key app="EN" db-id="dw2s0a0pxte05aexpvnx2awre9s0vxdepfat" timestamp="1717635129"&gt;7&lt;/key&gt;&lt;/foreign-keys&gt;&lt;ref-type name="Journal Article"&gt;17&lt;/ref-type&gt;&lt;contributors&gt;&lt;authors&gt;&lt;author&gt;Andreas D Hartkopf&lt;/author&gt;&lt;author&gt;Eva-Maria Grischke&lt;/author&gt;&lt;author&gt;Sara Y Brucker&lt;/author&gt;&lt;/authors&gt;&lt;/contributors&gt;&lt;titles&gt;&lt;title&gt;Endocrine-Resistant Breast Cancer: Mechanisms and Treatment&lt;/title&gt;&lt;secondary-title&gt;Breast Care&lt;/secondary-title&gt;&lt;/titles&gt;&lt;periodical&gt;&lt;full-title&gt;Breast Care&lt;/full-title&gt;&lt;/periodical&gt;&lt;pages&gt;347-354&lt;/pages&gt;&lt;volume&gt;15&lt;/volume&gt;&lt;number&gt;4&lt;/number&gt;&lt;dates&gt;&lt;year&gt;2020&lt;/year&gt;&lt;/dates&gt;&lt;publisher&gt;S. Karger AG&lt;/publisher&gt;&lt;isbn&gt;1661-3791&lt;/isbn&gt;&lt;urls&gt;&lt;related-urls&gt;&lt;url&gt;https://dx.doi.org/10.1159/000508675&lt;/url&gt;&lt;/related-urls&gt;&lt;/urls&gt;&lt;electronic-resource-num&gt;10.1159/000508675&lt;/electronic-resource-num&gt;&lt;/record&gt;&lt;/Cite&gt;&lt;/EndNote&gt;</w:instrText>
      </w:r>
      <w:r w:rsidR="00DE2F58" w:rsidRPr="004C6591">
        <w:fldChar w:fldCharType="separate"/>
      </w:r>
      <w:r w:rsidR="00DE2F58" w:rsidRPr="004C6591">
        <w:t>(Hartkopf et al. 2020)</w:t>
      </w:r>
      <w:r w:rsidR="00DE2F58" w:rsidRPr="004C6591">
        <w:fldChar w:fldCharType="end"/>
      </w:r>
      <w:r w:rsidR="00DE2F58" w:rsidRPr="004C6591">
        <w:t>.</w:t>
      </w:r>
      <w:r w:rsidR="00C970AC" w:rsidRPr="004C6591">
        <w:t xml:space="preserve"> </w:t>
      </w:r>
    </w:p>
    <w:p w14:paraId="05E8FC01" w14:textId="61BC6F15" w:rsidR="0039370F" w:rsidRPr="004C6591" w:rsidRDefault="00D9148D" w:rsidP="0039370F">
      <w:pPr>
        <w:pStyle w:val="Heading4"/>
      </w:pPr>
      <w:r w:rsidRPr="004C6591">
        <w:t xml:space="preserve">Phosphatidylinositol 3-Kinase (PI3K) Pathway </w:t>
      </w:r>
    </w:p>
    <w:p w14:paraId="53668179" w14:textId="6933FED7" w:rsidR="00D9148D" w:rsidRPr="004C6591" w:rsidRDefault="003F1628" w:rsidP="00D9148D">
      <w:r w:rsidRPr="004C6591">
        <w:t>The PI3K</w:t>
      </w:r>
      <w:r w:rsidR="00643A07" w:rsidRPr="004C6591">
        <w:t xml:space="preserve"> pathway</w:t>
      </w:r>
      <w:r w:rsidRPr="004C6591">
        <w:t xml:space="preserve"> </w:t>
      </w:r>
      <w:r w:rsidR="00FE5941" w:rsidRPr="004C6591">
        <w:t>has a central role in the</w:t>
      </w:r>
      <w:r w:rsidRPr="004C6591">
        <w:t xml:space="preserve"> PI3K/AKT/mTOR pathway</w:t>
      </w:r>
      <w:r w:rsidR="063F1C83" w:rsidRPr="004C6591">
        <w:t>,</w:t>
      </w:r>
      <w:r w:rsidRPr="004C6591">
        <w:t xml:space="preserve"> </w:t>
      </w:r>
      <w:r w:rsidR="005E46E4" w:rsidRPr="004C6591">
        <w:t>which regulates</w:t>
      </w:r>
      <w:r w:rsidR="006A0252" w:rsidRPr="004C6591">
        <w:t xml:space="preserve"> </w:t>
      </w:r>
      <w:r w:rsidR="00FE5941" w:rsidRPr="004C6591">
        <w:t xml:space="preserve">intracellular </w:t>
      </w:r>
      <w:r w:rsidR="00433B6A" w:rsidRPr="004C6591">
        <w:t>signalling</w:t>
      </w:r>
      <w:r w:rsidR="00FE5941" w:rsidRPr="004C6591">
        <w:t xml:space="preserve"> processes </w:t>
      </w:r>
      <w:r w:rsidR="006A0252" w:rsidRPr="004C6591">
        <w:t>such as</w:t>
      </w:r>
      <w:r w:rsidR="00FE5941" w:rsidRPr="004C6591">
        <w:t xml:space="preserve"> cell proliferation, growth and metabolism </w:t>
      </w:r>
      <w:r w:rsidR="00FE5941" w:rsidRPr="004C6591">
        <w:fldChar w:fldCharType="begin"/>
      </w:r>
      <w:r w:rsidR="008343A5" w:rsidRPr="004C6591">
        <w:instrText xml:space="preserve"> ADDIN EN.CITE &lt;EndNote&gt;&lt;Cite&gt;&lt;Author&gt;Paplomata&lt;/Author&gt;&lt;Year&gt;2014&lt;/Year&gt;&lt;RecNum&gt;21&lt;/RecNum&gt;&lt;DisplayText&gt;(Paplomata and O&amp;apos;Regan 2014)&lt;/DisplayText&gt;&lt;record&gt;&lt;rec-number&gt;21&lt;/rec-number&gt;&lt;foreign-keys&gt;&lt;key app="EN" db-id="dw2s0a0pxte05aexpvnx2awre9s0vxdepfat" timestamp="1717979144"&gt;21&lt;/key&gt;&lt;/foreign-keys&gt;&lt;ref-type name="Journal Article"&gt;17&lt;/ref-type&gt;&lt;contributors&gt;&lt;authors&gt;&lt;author&gt;Paplomata, E.&lt;/author&gt;&lt;author&gt;O&amp;apos;Regan, R.&lt;/author&gt;&lt;/authors&gt;&lt;/contributors&gt;&lt;auth-address&gt;Winship Cancer Institute of Emory University, Atlanta, GA, USA.&amp;#xD;Winship Cancer Institute of Emory University, 1365C Clifton Road, Atlanta, GA 30329, USA.&lt;/auth-address&gt;&lt;titles&gt;&lt;title&gt;The PI3K/AKT/mTOR pathway in breast cancer: targets, trials and biomarkers&lt;/title&gt;&lt;secondary-title&gt;Ther Adv Med Oncol&lt;/secondary-title&gt;&lt;/titles&gt;&lt;periodical&gt;&lt;full-title&gt;Ther Adv Med Oncol&lt;/full-title&gt;&lt;/periodical&gt;&lt;pages&gt;154-66&lt;/pages&gt;&lt;volume&gt;6&lt;/volume&gt;&lt;number&gt;4&lt;/number&gt;&lt;keywords&gt;&lt;keyword&gt;Akt&lt;/keyword&gt;&lt;keyword&gt;Pik3ca&lt;/keyword&gt;&lt;keyword&gt;breast cancer&lt;/keyword&gt;&lt;keyword&gt;endocrine resistance&lt;/keyword&gt;&lt;keyword&gt;everolimus&lt;/keyword&gt;&lt;keyword&gt;mammalian (or mechanistic) target of rapamycin&lt;/keyword&gt;&lt;keyword&gt;phosphatase and tensin homolog&lt;/keyword&gt;&lt;keyword&gt;phosphoinositide 3 kinase&lt;/keyword&gt;&lt;/keywords&gt;&lt;dates&gt;&lt;year&gt;2014&lt;/year&gt;&lt;pub-dates&gt;&lt;date&gt;Jul&lt;/date&gt;&lt;/pub-dates&gt;&lt;/dates&gt;&lt;isbn&gt;1758-8340 (Print)&amp;#xD;1758-8340&lt;/isbn&gt;&lt;accession-num&gt;25057302&lt;/accession-num&gt;&lt;urls&gt;&lt;/urls&gt;&lt;custom1&gt;Conflict of interest statement: ROR declares that she has acted as a paid consultant for Novartis over the last 12 months (less than US$5000) and receives research funding from Novartis and Genentech. EP has no conflicts to declare&lt;/custom1&gt;&lt;custom2&gt;PMC4107712&lt;/custom2&gt;&lt;electronic-resource-num&gt;10.1177/1758834014530023&lt;/electronic-resource-num&gt;&lt;remote-database-provider&gt;NLM&lt;/remote-database-provider&gt;&lt;language&gt;eng&lt;/language&gt;&lt;/record&gt;&lt;/Cite&gt;&lt;/EndNote&gt;</w:instrText>
      </w:r>
      <w:r w:rsidR="00FE5941" w:rsidRPr="004C6591">
        <w:fldChar w:fldCharType="separate"/>
      </w:r>
      <w:r w:rsidR="008343A5" w:rsidRPr="004C6591">
        <w:t>(Paplomata and O'Regan 2014)</w:t>
      </w:r>
      <w:r w:rsidR="00FE5941" w:rsidRPr="004C6591">
        <w:fldChar w:fldCharType="end"/>
      </w:r>
      <w:r w:rsidR="00FE5941" w:rsidRPr="004C6591">
        <w:t>.</w:t>
      </w:r>
      <w:r w:rsidR="006A0252" w:rsidRPr="004C6591">
        <w:t xml:space="preserve"> </w:t>
      </w:r>
      <w:r w:rsidR="00E77117" w:rsidRPr="004C6591">
        <w:t>PI3K</w:t>
      </w:r>
      <w:r w:rsidR="005306B7" w:rsidRPr="004C6591">
        <w:rPr>
          <w:rFonts w:cs="Calibri"/>
        </w:rPr>
        <w:t>α</w:t>
      </w:r>
      <w:r w:rsidR="00225B2D" w:rsidRPr="004C6591">
        <w:t>,</w:t>
      </w:r>
      <w:r w:rsidR="00E77117" w:rsidRPr="004C6591">
        <w:t xml:space="preserve"> </w:t>
      </w:r>
      <w:r w:rsidR="00D9148D" w:rsidRPr="004C6591">
        <w:t>consist</w:t>
      </w:r>
      <w:r w:rsidR="00225B2D" w:rsidRPr="004C6591">
        <w:t>ing</w:t>
      </w:r>
      <w:r w:rsidR="00D9148D" w:rsidRPr="004C6591">
        <w:t xml:space="preserve"> of </w:t>
      </w:r>
      <w:r w:rsidR="00936156" w:rsidRPr="004C6591">
        <w:t>a</w:t>
      </w:r>
      <w:r w:rsidR="00D9148D" w:rsidRPr="004C6591">
        <w:t xml:space="preserve"> p110</w:t>
      </w:r>
      <w:r w:rsidR="005306B7" w:rsidRPr="004C6591">
        <w:rPr>
          <w:rFonts w:cs="Calibri"/>
        </w:rPr>
        <w:t>α</w:t>
      </w:r>
      <w:r w:rsidR="00D9148D" w:rsidRPr="004C6591">
        <w:t xml:space="preserve"> catalytic subunit and</w:t>
      </w:r>
      <w:r w:rsidR="00936156" w:rsidRPr="004C6591">
        <w:t xml:space="preserve"> a</w:t>
      </w:r>
      <w:r w:rsidR="00D9148D" w:rsidRPr="004C6591">
        <w:t xml:space="preserve"> p85</w:t>
      </w:r>
      <w:r w:rsidR="005306B7" w:rsidRPr="004C6591">
        <w:rPr>
          <w:rFonts w:cs="Calibri"/>
        </w:rPr>
        <w:t>α</w:t>
      </w:r>
      <w:r w:rsidR="00D9148D" w:rsidRPr="004C6591">
        <w:t xml:space="preserve"> regulatory subunit</w:t>
      </w:r>
      <w:r w:rsidR="00225B2D" w:rsidRPr="004C6591">
        <w:t xml:space="preserve">, receives </w:t>
      </w:r>
      <w:r w:rsidR="00D9148D" w:rsidRPr="004C6591">
        <w:t>upstream activation signals from the receptor tyrosine kinases</w:t>
      </w:r>
      <w:r w:rsidR="00936156" w:rsidRPr="004C6591">
        <w:t xml:space="preserve"> (RTK), </w:t>
      </w:r>
      <w:r w:rsidR="006D5E94" w:rsidRPr="004C6591">
        <w:t>and results in the</w:t>
      </w:r>
      <w:r w:rsidR="00E77117" w:rsidRPr="004C6591">
        <w:t xml:space="preserve"> </w:t>
      </w:r>
      <w:r w:rsidR="00936156" w:rsidRPr="004C6591">
        <w:t>phosphorylat</w:t>
      </w:r>
      <w:r w:rsidR="00E77117" w:rsidRPr="004C6591">
        <w:t>ion</w:t>
      </w:r>
      <w:r w:rsidR="00936156" w:rsidRPr="004C6591">
        <w:t xml:space="preserve"> </w:t>
      </w:r>
      <w:r w:rsidR="00E77117" w:rsidRPr="004C6591">
        <w:t xml:space="preserve">of </w:t>
      </w:r>
      <w:r w:rsidR="00936156" w:rsidRPr="004C6591">
        <w:t>phosphatidylinositol 4,5-bisphosphate (PIP2) to phosphatidylinositol 3,4,5-triphosphate (PIP3)</w:t>
      </w:r>
      <w:r w:rsidR="00771D63" w:rsidRPr="004C6591">
        <w:t xml:space="preserve"> </w:t>
      </w:r>
      <w:r w:rsidR="009F4ED4" w:rsidRPr="004C6591">
        <w:fldChar w:fldCharType="begin"/>
      </w:r>
      <w:r w:rsidR="00A00489" w:rsidRPr="004C6591">
        <w:instrText xml:space="preserve"> ADDIN EN.CITE &lt;EndNote&gt;&lt;Cite&gt;&lt;Author&gt;Vasan&lt;/Author&gt;&lt;Year&gt;2019&lt;/Year&gt;&lt;RecNum&gt;20&lt;/RecNum&gt;&lt;DisplayText&gt;(Vasan et al. 2019)&lt;/DisplayText&gt;&lt;record&gt;&lt;rec-number&gt;20&lt;/rec-number&gt;&lt;foreign-keys&gt;&lt;key app="EN" db-id="dw2s0a0pxte05aexpvnx2awre9s0vxdepfat" timestamp="1717740747"&gt;20&lt;/key&gt;&lt;/foreign-keys&gt;&lt;ref-type name="Journal Article"&gt;17&lt;/ref-type&gt;&lt;contributors&gt;&lt;authors&gt;&lt;author&gt;Vasan, N.&lt;/author&gt;&lt;author&gt;Toska, E.&lt;/author&gt;&lt;author&gt;Scaltriti, M.&lt;/author&gt;&lt;/authors&gt;&lt;/contributors&gt;&lt;titles&gt;&lt;title&gt;Overview of the relevance of PI3K pathway in HR-positive breast cancer&lt;/title&gt;&lt;secondary-title&gt;Annals of Oncology&lt;/secondary-title&gt;&lt;/titles&gt;&lt;periodical&gt;&lt;full-title&gt;Annals of Oncology&lt;/full-title&gt;&lt;/periodical&gt;&lt;pages&gt;x3-x11&lt;/pages&gt;&lt;volume&gt;30&lt;/volume&gt;&lt;keywords&gt;&lt;keyword&gt;PI3K pathway&lt;/keyword&gt;&lt;keyword&gt;estrogen receptor&lt;/keyword&gt;&lt;keyword&gt;breast cancer&lt;/keyword&gt;&lt;keyword&gt;PI3K inhibitors&lt;/keyword&gt;&lt;keyword&gt;PIK3CA&lt;/keyword&gt;&lt;keyword&gt;AKT&lt;/keyword&gt;&lt;/keywords&gt;&lt;dates&gt;&lt;year&gt;2019&lt;/year&gt;&lt;pub-dates&gt;&lt;date&gt;2019/12/01/&lt;/date&gt;&lt;/pub-dates&gt;&lt;/dates&gt;&lt;isbn&gt;0923-7534&lt;/isbn&gt;&lt;urls&gt;&lt;related-urls&gt;&lt;url&gt;https://www.sciencedirect.com/science/article/pii/S0923753420343738&lt;/url&gt;&lt;/related-urls&gt;&lt;/urls&gt;&lt;electronic-resource-num&gt;10.1093/annonc/mdz281&lt;/electronic-resource-num&gt;&lt;/record&gt;&lt;/Cite&gt;&lt;/EndNote&gt;</w:instrText>
      </w:r>
      <w:r w:rsidR="009F4ED4" w:rsidRPr="004C6591">
        <w:fldChar w:fldCharType="separate"/>
      </w:r>
      <w:r w:rsidR="009F4ED4" w:rsidRPr="004C6591">
        <w:t>(Vasan et al. 2019)</w:t>
      </w:r>
      <w:r w:rsidR="009F4ED4" w:rsidRPr="004C6591">
        <w:fldChar w:fldCharType="end"/>
      </w:r>
      <w:r w:rsidR="009F4ED4" w:rsidRPr="004C6591">
        <w:t xml:space="preserve">. </w:t>
      </w:r>
      <w:r w:rsidR="00936156" w:rsidRPr="004C6591">
        <w:t xml:space="preserve">The </w:t>
      </w:r>
      <w:r w:rsidR="00E25337" w:rsidRPr="004C6591">
        <w:t xml:space="preserve">accumulation of </w:t>
      </w:r>
      <w:r w:rsidR="00936156" w:rsidRPr="004C6591">
        <w:t>PIP3</w:t>
      </w:r>
      <w:r w:rsidR="00E25337" w:rsidRPr="004C6591">
        <w:t xml:space="preserve"> at the plasma membrane</w:t>
      </w:r>
      <w:r w:rsidR="006D5E94" w:rsidRPr="004C6591">
        <w:t xml:space="preserve"> </w:t>
      </w:r>
      <w:r w:rsidR="00936156" w:rsidRPr="004C6591">
        <w:t>activates protein kinase B (AKT), which stimulates downstream</w:t>
      </w:r>
      <w:r w:rsidR="009F4ED4" w:rsidRPr="004C6591">
        <w:t xml:space="preserve"> cascade</w:t>
      </w:r>
      <w:r w:rsidR="00936156" w:rsidRPr="004C6591">
        <w:t xml:space="preserve"> effects of cell growth, proliferation, metabolism and survival</w:t>
      </w:r>
      <w:r w:rsidR="00771D63" w:rsidRPr="004C6591">
        <w:t xml:space="preserve"> </w:t>
      </w:r>
      <w:r w:rsidR="009F4ED4" w:rsidRPr="004C6591">
        <w:fldChar w:fldCharType="begin"/>
      </w:r>
      <w:r w:rsidR="00A00489" w:rsidRPr="004C6591">
        <w:instrText xml:space="preserve"> ADDIN EN.CITE &lt;EndNote&gt;&lt;Cite&gt;&lt;Author&gt;Vasan&lt;/Author&gt;&lt;Year&gt;2019&lt;/Year&gt;&lt;RecNum&gt;20&lt;/RecNum&gt;&lt;DisplayText&gt;(Vasan et al. 2019)&lt;/DisplayText&gt;&lt;record&gt;&lt;rec-number&gt;20&lt;/rec-number&gt;&lt;foreign-keys&gt;&lt;key app="EN" db-id="dw2s0a0pxte05aexpvnx2awre9s0vxdepfat" timestamp="1717740747"&gt;20&lt;/key&gt;&lt;/foreign-keys&gt;&lt;ref-type name="Journal Article"&gt;17&lt;/ref-type&gt;&lt;contributors&gt;&lt;authors&gt;&lt;author&gt;Vasan, N.&lt;/author&gt;&lt;author&gt;Toska, E.&lt;/author&gt;&lt;author&gt;Scaltriti, M.&lt;/author&gt;&lt;/authors&gt;&lt;/contributors&gt;&lt;titles&gt;&lt;title&gt;Overview of the relevance of PI3K pathway in HR-positive breast cancer&lt;/title&gt;&lt;secondary-title&gt;Annals of Oncology&lt;/secondary-title&gt;&lt;/titles&gt;&lt;periodical&gt;&lt;full-title&gt;Annals of Oncology&lt;/full-title&gt;&lt;/periodical&gt;&lt;pages&gt;x3-x11&lt;/pages&gt;&lt;volume&gt;30&lt;/volume&gt;&lt;keywords&gt;&lt;keyword&gt;PI3K pathway&lt;/keyword&gt;&lt;keyword&gt;estrogen receptor&lt;/keyword&gt;&lt;keyword&gt;breast cancer&lt;/keyword&gt;&lt;keyword&gt;PI3K inhibitors&lt;/keyword&gt;&lt;keyword&gt;PIK3CA&lt;/keyword&gt;&lt;keyword&gt;AKT&lt;/keyword&gt;&lt;/keywords&gt;&lt;dates&gt;&lt;year&gt;2019&lt;/year&gt;&lt;pub-dates&gt;&lt;date&gt;2019/12/01/&lt;/date&gt;&lt;/pub-dates&gt;&lt;/dates&gt;&lt;isbn&gt;0923-7534&lt;/isbn&gt;&lt;urls&gt;&lt;related-urls&gt;&lt;url&gt;https://www.sciencedirect.com/science/article/pii/S0923753420343738&lt;/url&gt;&lt;/related-urls&gt;&lt;/urls&gt;&lt;electronic-resource-num&gt;10.1093/annonc/mdz281&lt;/electronic-resource-num&gt;&lt;/record&gt;&lt;/Cite&gt;&lt;/EndNote&gt;</w:instrText>
      </w:r>
      <w:r w:rsidR="009F4ED4" w:rsidRPr="004C6591">
        <w:fldChar w:fldCharType="separate"/>
      </w:r>
      <w:r w:rsidR="009F4ED4" w:rsidRPr="004C6591">
        <w:t>(Vasan et al. 2019)</w:t>
      </w:r>
      <w:r w:rsidR="009F4ED4" w:rsidRPr="004C6591">
        <w:fldChar w:fldCharType="end"/>
      </w:r>
      <w:r w:rsidR="009F4ED4" w:rsidRPr="004C6591">
        <w:t>.</w:t>
      </w:r>
      <w:r w:rsidR="007729EC" w:rsidRPr="004C6591">
        <w:t xml:space="preserve"> </w:t>
      </w:r>
    </w:p>
    <w:p w14:paraId="25A37130" w14:textId="77777777" w:rsidR="00D84867" w:rsidRPr="004C6591" w:rsidRDefault="00D84867" w:rsidP="00D84867">
      <w:pPr>
        <w:pStyle w:val="Caption"/>
        <w:rPr>
          <w:lang w:val="en-AU"/>
        </w:rPr>
      </w:pPr>
      <w:bookmarkStart w:id="5" w:name="_Ref170372270"/>
      <w:r w:rsidRPr="004C6591">
        <w:rPr>
          <w:noProof/>
          <w:lang w:val="en-AU"/>
        </w:rPr>
        <w:drawing>
          <wp:inline distT="0" distB="0" distL="0" distR="0" wp14:anchorId="0F0D6B79" wp14:editId="126669AE">
            <wp:extent cx="4000500" cy="2844721"/>
            <wp:effectExtent l="19050" t="19050" r="19050" b="13335"/>
            <wp:docPr id="1644547346" name="Picture 1644547346" descr="Figure 1: Activation of the phosphatidylinositol 3-kinase (PI3K) pathway leads to downstream signalling cascade through the PI3K/AKT/mTOR. The PI3K/AKT/mTOR pathway is activated by various growth factor receptors such as HER2, fibroblast growth factor receptor 1, insulin-like growth factor 1 R among others. PI3K proteins are recruited to the plasma membrane, leading to phosphorylation of phosphatidylinositol 4,5bisphosphate (PIP2) to generate phosphatidylinositol 3,4,5-trisphosphate (PIP3). PIP3 recruits to the membrane the AKT kinases that, once activated by PDK1 and mTORC2 phosphorylation, are able to phosphorylate TSC2 and negatively regulate the activity of the kinase mTOR. mTORC1 also phosphorylates and activates S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47346" name="Picture 1644547346" descr="Figure 1: Activation of the phosphatidylinositol 3-kinase (PI3K) pathway leads to downstream signalling cascade through the PI3K/AKT/mTOR. The PI3K/AKT/mTOR pathway is activated by various growth factor receptors such as HER2, fibroblast growth factor receptor 1, insulin-like growth factor 1 R among others. PI3K proteins are recruited to the plasma membrane, leading to phosphorylation of phosphatidylinositol 4,5bisphosphate (PIP2) to generate phosphatidylinositol 3,4,5-trisphosphate (PIP3). PIP3 recruits to the membrane the AKT kinases that, once activated by PDK1 and mTORC2 phosphorylation, are able to phosphorylate TSC2 and negatively regulate the activity of the kinase mTOR. mTORC1 also phosphorylates and activates S6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3464" cy="2861050"/>
                    </a:xfrm>
                    <a:prstGeom prst="rect">
                      <a:avLst/>
                    </a:prstGeom>
                    <a:noFill/>
                    <a:ln>
                      <a:solidFill>
                        <a:schemeClr val="tx1"/>
                      </a:solidFill>
                    </a:ln>
                  </pic:spPr>
                </pic:pic>
              </a:graphicData>
            </a:graphic>
          </wp:inline>
        </w:drawing>
      </w:r>
    </w:p>
    <w:p w14:paraId="0EAE17E3" w14:textId="7D361C1E" w:rsidR="006D32E3" w:rsidRPr="004C6591" w:rsidRDefault="00AF37F0" w:rsidP="00AF37F0">
      <w:pPr>
        <w:pStyle w:val="Caption"/>
        <w:rPr>
          <w:lang w:val="en-AU"/>
        </w:rPr>
      </w:pPr>
      <w:bookmarkStart w:id="6" w:name="_Ref170818602"/>
      <w:r w:rsidRPr="004C6591">
        <w:rPr>
          <w:lang w:val="en-AU"/>
        </w:rPr>
        <w:t xml:space="preserve">Figure </w:t>
      </w:r>
      <w:r w:rsidRPr="004C6591">
        <w:rPr>
          <w:lang w:val="en-AU"/>
        </w:rPr>
        <w:fldChar w:fldCharType="begin"/>
      </w:r>
      <w:r w:rsidRPr="004C6591">
        <w:rPr>
          <w:lang w:val="en-AU"/>
        </w:rPr>
        <w:instrText xml:space="preserve"> SEQ Figure \* ARABIC </w:instrText>
      </w:r>
      <w:r w:rsidRPr="004C6591">
        <w:rPr>
          <w:lang w:val="en-AU"/>
        </w:rPr>
        <w:fldChar w:fldCharType="separate"/>
      </w:r>
      <w:r w:rsidR="0061475D" w:rsidRPr="004C6591">
        <w:rPr>
          <w:lang w:val="en-AU"/>
        </w:rPr>
        <w:t>1</w:t>
      </w:r>
      <w:r w:rsidRPr="004C6591">
        <w:rPr>
          <w:lang w:val="en-AU"/>
        </w:rPr>
        <w:fldChar w:fldCharType="end"/>
      </w:r>
      <w:bookmarkEnd w:id="5"/>
      <w:bookmarkEnd w:id="6"/>
      <w:r w:rsidR="000F3BFA" w:rsidRPr="004C6591">
        <w:rPr>
          <w:lang w:val="en-AU"/>
        </w:rPr>
        <w:t xml:space="preserve"> Activation of the phosphatidylinositol 3-kinase (PI3K) pathway leads to downstream signalling cascade through the PI3K/AKT/mTOR</w:t>
      </w:r>
      <w:r w:rsidR="00902632" w:rsidRPr="004C6591">
        <w:rPr>
          <w:lang w:val="en-AU"/>
        </w:rPr>
        <w:t>.</w:t>
      </w:r>
    </w:p>
    <w:p w14:paraId="5DD35061" w14:textId="53355A7F" w:rsidR="001B7B5A" w:rsidRPr="004C6591" w:rsidRDefault="001B7B5A" w:rsidP="00950EC7">
      <w:pPr>
        <w:pStyle w:val="Tablenotes"/>
        <w:jc w:val="left"/>
        <w:rPr>
          <w:lang w:eastAsia="ja-JP"/>
        </w:rPr>
      </w:pPr>
      <w:r w:rsidRPr="004C6591">
        <w:rPr>
          <w:lang w:eastAsia="ja-JP"/>
        </w:rPr>
        <w:t>Source: Adapted from Overview of the relevance of PI3K pathway in HR-positive breast cancer (Vasan N et al</w:t>
      </w:r>
      <w:r w:rsidR="00514312" w:rsidRPr="004C6591">
        <w:rPr>
          <w:lang w:eastAsia="ja-JP"/>
        </w:rPr>
        <w:t xml:space="preserve"> 2019</w:t>
      </w:r>
      <w:r w:rsidRPr="004C6591">
        <w:rPr>
          <w:lang w:eastAsia="ja-JP"/>
        </w:rPr>
        <w:t xml:space="preserve">) an open-access article distributed under the terms of the Creative Commons Attribution </w:t>
      </w:r>
      <w:r w:rsidR="00514312" w:rsidRPr="004C6591">
        <w:rPr>
          <w:lang w:eastAsia="ja-JP"/>
        </w:rPr>
        <w:t xml:space="preserve">Non-Commercial </w:t>
      </w:r>
      <w:r w:rsidRPr="004C6591">
        <w:rPr>
          <w:lang w:eastAsia="ja-JP"/>
        </w:rPr>
        <w:t>License (CC BY</w:t>
      </w:r>
      <w:r w:rsidR="00514312" w:rsidRPr="004C6591">
        <w:rPr>
          <w:lang w:eastAsia="ja-JP"/>
        </w:rPr>
        <w:t>-NC</w:t>
      </w:r>
      <w:r w:rsidRPr="004C6591">
        <w:rPr>
          <w:lang w:eastAsia="ja-JP"/>
        </w:rPr>
        <w:t>).</w:t>
      </w:r>
    </w:p>
    <w:p w14:paraId="03CBA674" w14:textId="45EBE185" w:rsidR="00514312" w:rsidRPr="004C6591" w:rsidRDefault="00514312" w:rsidP="00950EC7">
      <w:pPr>
        <w:pStyle w:val="Tablenotes"/>
        <w:jc w:val="left"/>
        <w:rPr>
          <w:lang w:eastAsia="ja-JP"/>
        </w:rPr>
      </w:pPr>
      <w:r w:rsidRPr="004C6591">
        <w:rPr>
          <w:lang w:eastAsia="ja-JP"/>
        </w:rPr>
        <w:t xml:space="preserve">Abbreviations: </w:t>
      </w:r>
      <w:r w:rsidR="00D84867" w:rsidRPr="004C6591">
        <w:rPr>
          <w:lang w:eastAsia="ja-JP"/>
        </w:rPr>
        <w:t>AKT=serine/threonine kinase;</w:t>
      </w:r>
      <w:r w:rsidR="00950EC7" w:rsidRPr="004C6591">
        <w:rPr>
          <w:lang w:eastAsia="ja-JP"/>
        </w:rPr>
        <w:t xml:space="preserve"> </w:t>
      </w:r>
      <w:r w:rsidR="00D84867" w:rsidRPr="004C6591">
        <w:rPr>
          <w:lang w:eastAsia="ja-JP"/>
        </w:rPr>
        <w:t>mTOR</w:t>
      </w:r>
      <w:r w:rsidR="008139DD" w:rsidRPr="004C6591">
        <w:rPr>
          <w:lang w:eastAsia="ja-JP"/>
        </w:rPr>
        <w:t>C2</w:t>
      </w:r>
      <w:r w:rsidR="00D84867" w:rsidRPr="004C6591">
        <w:rPr>
          <w:lang w:eastAsia="ja-JP"/>
        </w:rPr>
        <w:t>=mammalian target of rapamycin</w:t>
      </w:r>
      <w:r w:rsidR="008139DD" w:rsidRPr="004C6591">
        <w:rPr>
          <w:lang w:eastAsia="ja-JP"/>
        </w:rPr>
        <w:t xml:space="preserve"> complex 2</w:t>
      </w:r>
      <w:r w:rsidR="00D84867" w:rsidRPr="004C6591">
        <w:rPr>
          <w:lang w:eastAsia="ja-JP"/>
        </w:rPr>
        <w:t>;</w:t>
      </w:r>
      <w:r w:rsidR="00950EC7" w:rsidRPr="004C6591">
        <w:rPr>
          <w:lang w:eastAsia="ja-JP"/>
        </w:rPr>
        <w:t xml:space="preserve"> </w:t>
      </w:r>
      <w:r w:rsidR="001C3748" w:rsidRPr="004C6591">
        <w:rPr>
          <w:lang w:eastAsia="ja-JP"/>
        </w:rPr>
        <w:t xml:space="preserve">P=phosphorus; </w:t>
      </w:r>
      <w:r w:rsidR="00950EC7" w:rsidRPr="004C6591">
        <w:rPr>
          <w:lang w:eastAsia="ja-JP"/>
        </w:rPr>
        <w:t>p85=</w:t>
      </w:r>
      <w:r w:rsidR="00082E9B" w:rsidRPr="004C6591">
        <w:rPr>
          <w:lang w:eastAsia="ja-JP"/>
        </w:rPr>
        <w:t xml:space="preserve">regulatory </w:t>
      </w:r>
      <w:r w:rsidR="00950EC7" w:rsidRPr="004C6591">
        <w:rPr>
          <w:lang w:eastAsia="ja-JP"/>
        </w:rPr>
        <w:t>subunit</w:t>
      </w:r>
      <w:r w:rsidR="00082E9B" w:rsidRPr="004C6591">
        <w:rPr>
          <w:lang w:eastAsia="ja-JP"/>
        </w:rPr>
        <w:t xml:space="preserve"> of PI3K</w:t>
      </w:r>
      <w:r w:rsidR="00950EC7" w:rsidRPr="004C6591">
        <w:rPr>
          <w:lang w:eastAsia="ja-JP"/>
        </w:rPr>
        <w:t>; p110=</w:t>
      </w:r>
      <w:r w:rsidR="00082E9B" w:rsidRPr="004C6591">
        <w:rPr>
          <w:lang w:eastAsia="ja-JP"/>
        </w:rPr>
        <w:t xml:space="preserve">catalytic </w:t>
      </w:r>
      <w:r w:rsidR="00950EC7" w:rsidRPr="004C6591">
        <w:rPr>
          <w:lang w:eastAsia="ja-JP"/>
        </w:rPr>
        <w:t>subunit</w:t>
      </w:r>
      <w:r w:rsidR="00082E9B" w:rsidRPr="004C6591">
        <w:rPr>
          <w:lang w:eastAsia="ja-JP"/>
        </w:rPr>
        <w:t xml:space="preserve"> of PI3K</w:t>
      </w:r>
      <w:r w:rsidR="00950EC7" w:rsidRPr="004C6591">
        <w:rPr>
          <w:lang w:eastAsia="ja-JP"/>
        </w:rPr>
        <w:t xml:space="preserve">; </w:t>
      </w:r>
      <w:r w:rsidR="00D84867" w:rsidRPr="004C6591">
        <w:rPr>
          <w:lang w:eastAsia="ja-JP"/>
        </w:rPr>
        <w:t>PDK1=phosphoinositide-dependent kinase 1; PI3K= phosphoinositide 3-kinase; PIP2=phosphatidyl-inositol-diphosphate; PIP3=phosphatidylinositol-triphosphate; RTK=receptor tyrosine kinases</w:t>
      </w:r>
      <w:r w:rsidR="00950EC7" w:rsidRPr="004C6591">
        <w:rPr>
          <w:lang w:eastAsia="ja-JP"/>
        </w:rPr>
        <w:t xml:space="preserve">; </w:t>
      </w:r>
      <w:r w:rsidR="00AB61B9" w:rsidRPr="004C6591">
        <w:rPr>
          <w:lang w:eastAsia="ja-JP"/>
        </w:rPr>
        <w:t xml:space="preserve">S6K=ribosomal s6 protein kinase; </w:t>
      </w:r>
      <w:r w:rsidR="00950EC7" w:rsidRPr="004C6591">
        <w:rPr>
          <w:lang w:eastAsia="ja-JP"/>
        </w:rPr>
        <w:t>TSC2=</w:t>
      </w:r>
      <w:r w:rsidR="00950EC7" w:rsidRPr="004C6591">
        <w:t xml:space="preserve"> </w:t>
      </w:r>
      <w:r w:rsidR="00950EC7" w:rsidRPr="004C6591">
        <w:rPr>
          <w:lang w:eastAsia="ja-JP"/>
        </w:rPr>
        <w:t>tuberous sclerosis complex 2</w:t>
      </w:r>
    </w:p>
    <w:p w14:paraId="192A3D52" w14:textId="06ED20EB" w:rsidR="006D32E3" w:rsidRPr="004C6591" w:rsidRDefault="006D32E3" w:rsidP="00D9148D">
      <w:r w:rsidRPr="004C6591">
        <w:t xml:space="preserve">In BC, dysregulation in the PI3K/AKT/mTOR pathway occurs </w:t>
      </w:r>
      <w:r w:rsidR="00003938" w:rsidRPr="004C6591">
        <w:t>due to</w:t>
      </w:r>
      <w:r w:rsidRPr="004C6591">
        <w:t xml:space="preserve"> </w:t>
      </w:r>
      <w:r w:rsidR="00082E9B" w:rsidRPr="004C6591">
        <w:t>genetic varia</w:t>
      </w:r>
      <w:r w:rsidR="004F15A9" w:rsidRPr="004C6591">
        <w:t>nts</w:t>
      </w:r>
      <w:r w:rsidR="00082E9B" w:rsidRPr="004C6591">
        <w:t xml:space="preserve"> in </w:t>
      </w:r>
      <w:r w:rsidRPr="004C6591">
        <w:rPr>
          <w:i/>
          <w:iCs/>
        </w:rPr>
        <w:t>PIK3CA</w:t>
      </w:r>
      <w:r w:rsidR="00082E9B" w:rsidRPr="004C6591">
        <w:rPr>
          <w:i/>
          <w:iCs/>
        </w:rPr>
        <w:t xml:space="preserve"> </w:t>
      </w:r>
      <w:r w:rsidR="00082E9B" w:rsidRPr="004C6591">
        <w:t>(catalytic subunit of PI3K)</w:t>
      </w:r>
      <w:r w:rsidR="00B0743F" w:rsidRPr="004C6591">
        <w:t xml:space="preserve"> and</w:t>
      </w:r>
      <w:r w:rsidR="0009352E" w:rsidRPr="004C6591">
        <w:t>/or</w:t>
      </w:r>
      <w:r w:rsidR="00B0743F" w:rsidRPr="004C6591">
        <w:t xml:space="preserve"> </w:t>
      </w:r>
      <w:r w:rsidRPr="004C6591">
        <w:rPr>
          <w:i/>
          <w:iCs/>
        </w:rPr>
        <w:t>AKT</w:t>
      </w:r>
      <w:r w:rsidR="00B0743F" w:rsidRPr="004C6591">
        <w:t>,</w:t>
      </w:r>
      <w:r w:rsidR="00981B49" w:rsidRPr="004C6591">
        <w:t xml:space="preserve"> </w:t>
      </w:r>
      <w:r w:rsidRPr="004C6591">
        <w:t xml:space="preserve">RTK </w:t>
      </w:r>
      <w:r w:rsidR="00063B3C" w:rsidRPr="004C6591">
        <w:t>overexpression</w:t>
      </w:r>
      <w:r w:rsidRPr="004C6591">
        <w:t xml:space="preserve"> and</w:t>
      </w:r>
      <w:r w:rsidR="0009352E" w:rsidRPr="004C6591">
        <w:t>/or</w:t>
      </w:r>
      <w:r w:rsidRPr="004C6591">
        <w:t xml:space="preserve"> loss of function of PTEN tumour suppressor </w:t>
      </w:r>
      <w:r w:rsidRPr="004C6591">
        <w:fldChar w:fldCharType="begin"/>
      </w:r>
      <w:r w:rsidR="00A00489" w:rsidRPr="004C6591">
        <w:instrText xml:space="preserve"> ADDIN EN.CITE &lt;EndNote&gt;&lt;Cite&gt;&lt;Author&gt;Vasan&lt;/Author&gt;&lt;Year&gt;2019&lt;/Year&gt;&lt;RecNum&gt;20&lt;/RecNum&gt;&lt;DisplayText&gt;(Vasan et al. 2019)&lt;/DisplayText&gt;&lt;record&gt;&lt;rec-number&gt;20&lt;/rec-number&gt;&lt;foreign-keys&gt;&lt;key app="EN" db-id="dw2s0a0pxte05aexpvnx2awre9s0vxdepfat" timestamp="1717740747"&gt;20&lt;/key&gt;&lt;/foreign-keys&gt;&lt;ref-type name="Journal Article"&gt;17&lt;/ref-type&gt;&lt;contributors&gt;&lt;authors&gt;&lt;author&gt;Vasan, N.&lt;/author&gt;&lt;author&gt;Toska, E.&lt;/author&gt;&lt;author&gt;Scaltriti, M.&lt;/author&gt;&lt;/authors&gt;&lt;/contributors&gt;&lt;titles&gt;&lt;title&gt;Overview of the relevance of PI3K pathway in HR-positive breast cancer&lt;/title&gt;&lt;secondary-title&gt;Annals of Oncology&lt;/secondary-title&gt;&lt;/titles&gt;&lt;periodical&gt;&lt;full-title&gt;Annals of Oncology&lt;/full-title&gt;&lt;/periodical&gt;&lt;pages&gt;x3-x11&lt;/pages&gt;&lt;volume&gt;30&lt;/volume&gt;&lt;keywords&gt;&lt;keyword&gt;PI3K pathway&lt;/keyword&gt;&lt;keyword&gt;estrogen receptor&lt;/keyword&gt;&lt;keyword&gt;breast cancer&lt;/keyword&gt;&lt;keyword&gt;PI3K inhibitors&lt;/keyword&gt;&lt;keyword&gt;PIK3CA&lt;/keyword&gt;&lt;keyword&gt;AKT&lt;/keyword&gt;&lt;/keywords&gt;&lt;dates&gt;&lt;year&gt;2019&lt;/year&gt;&lt;pub-dates&gt;&lt;date&gt;2019/12/01/&lt;/date&gt;&lt;/pub-dates&gt;&lt;/dates&gt;&lt;isbn&gt;0923-7534&lt;/isbn&gt;&lt;urls&gt;&lt;related-urls&gt;&lt;url&gt;https://www.sciencedirect.com/science/article/pii/S0923753420343738&lt;/url&gt;&lt;/related-urls&gt;&lt;/urls&gt;&lt;electronic-resource-num&gt;10.1093/annonc/mdz281&lt;/electronic-resource-num&gt;&lt;/record&gt;&lt;/Cite&gt;&lt;/EndNote&gt;</w:instrText>
      </w:r>
      <w:r w:rsidRPr="004C6591">
        <w:fldChar w:fldCharType="separate"/>
      </w:r>
      <w:r w:rsidRPr="004C6591">
        <w:t>(Vasan et al. 2019)</w:t>
      </w:r>
      <w:r w:rsidRPr="004C6591">
        <w:fldChar w:fldCharType="end"/>
      </w:r>
      <w:r w:rsidRPr="004C6591">
        <w:t>.</w:t>
      </w:r>
      <w:r w:rsidR="00955F99" w:rsidRPr="004C6591">
        <w:t xml:space="preserve"> PTEN </w:t>
      </w:r>
      <w:r w:rsidR="00F74B20" w:rsidRPr="004C6591">
        <w:t>abrogates PI3K activation by converting PIP3 back to PIP2</w:t>
      </w:r>
      <w:r w:rsidR="00416D02" w:rsidRPr="004C6591">
        <w:t>,</w:t>
      </w:r>
      <w:r w:rsidR="00F74B20" w:rsidRPr="004C6591">
        <w:t xml:space="preserve"> and decreased </w:t>
      </w:r>
      <w:r w:rsidR="00F74B20" w:rsidRPr="004C6591">
        <w:rPr>
          <w:i/>
          <w:iCs/>
        </w:rPr>
        <w:t>PTEN</w:t>
      </w:r>
      <w:r w:rsidR="00F74B20" w:rsidRPr="004C6591">
        <w:t xml:space="preserve"> expression lead</w:t>
      </w:r>
      <w:r w:rsidR="00416D02" w:rsidRPr="004C6591">
        <w:t>s</w:t>
      </w:r>
      <w:r w:rsidR="00F74B20" w:rsidRPr="004C6591">
        <w:t xml:space="preserve"> to activation of </w:t>
      </w:r>
      <w:r w:rsidR="00F86B04" w:rsidRPr="004C6591">
        <w:t>the</w:t>
      </w:r>
      <w:r w:rsidR="00F74B20" w:rsidRPr="004C6591">
        <w:t xml:space="preserve"> </w:t>
      </w:r>
      <w:r w:rsidR="00BD1562" w:rsidRPr="004C6591">
        <w:t xml:space="preserve">PI3K/AKT/mTOR </w:t>
      </w:r>
      <w:r w:rsidR="00F74B20" w:rsidRPr="004C6591">
        <w:t xml:space="preserve">pathway and </w:t>
      </w:r>
      <w:r w:rsidR="005533B0" w:rsidRPr="004C6591">
        <w:t xml:space="preserve">increased </w:t>
      </w:r>
      <w:r w:rsidR="00F74B20" w:rsidRPr="004C6591">
        <w:t>downstream signalling cellular activities</w:t>
      </w:r>
      <w:r w:rsidR="00416D02" w:rsidRPr="004C6591">
        <w:t xml:space="preserve"> </w:t>
      </w:r>
      <w:r w:rsidR="00416D02" w:rsidRPr="004C6591">
        <w:fldChar w:fldCharType="begin">
          <w:fldData xml:space="preserve">PEVuZE5vdGU+PENpdGU+PEF1dGhvcj5SZWluaGFyZHQ8L0F1dGhvcj48WWVhcj4yMDIyPC9ZZWFy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=
</w:fldData>
        </w:fldChar>
      </w:r>
      <w:r w:rsidR="00416D02" w:rsidRPr="004C6591">
        <w:instrText xml:space="preserve"> ADDIN EN.CITE </w:instrText>
      </w:r>
      <w:r w:rsidR="00416D02" w:rsidRPr="004C6591">
        <w:fldChar w:fldCharType="begin">
          <w:fldData xml:space="preserve">PEVuZE5vdGU+PENpdGU+PEF1dGhvcj5SZWluaGFyZHQ8L0F1dGhvcj48WWVhcj4yMDIyPC9ZZWFy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=
</w:fldData>
        </w:fldChar>
      </w:r>
      <w:r w:rsidR="00416D02" w:rsidRPr="004C6591">
        <w:instrText xml:space="preserve"> ADDIN EN.CITE.DATA </w:instrText>
      </w:r>
      <w:r w:rsidR="00416D02" w:rsidRPr="004C6591">
        <w:fldChar w:fldCharType="end"/>
      </w:r>
      <w:r w:rsidR="00416D02" w:rsidRPr="004C6591">
        <w:fldChar w:fldCharType="separate"/>
      </w:r>
      <w:r w:rsidR="00416D02" w:rsidRPr="004C6591">
        <w:t>(Reinhardt et al. 2022)</w:t>
      </w:r>
      <w:r w:rsidR="00416D02" w:rsidRPr="004C6591">
        <w:fldChar w:fldCharType="end"/>
      </w:r>
      <w:r w:rsidR="00F74B20" w:rsidRPr="004C6591">
        <w:t>.</w:t>
      </w:r>
    </w:p>
    <w:p w14:paraId="65243AD8" w14:textId="7CC395FF" w:rsidR="009D67DA" w:rsidRPr="004C6591" w:rsidRDefault="009D67DA" w:rsidP="00C65136">
      <w:pPr>
        <w:keepNext/>
        <w:keepLines/>
        <w:spacing w:after="0"/>
        <w:rPr>
          <w:rStyle w:val="Heading4Char"/>
        </w:rPr>
      </w:pPr>
      <w:r w:rsidRPr="00C65136">
        <w:rPr>
          <w:rStyle w:val="Heading4Char"/>
          <w:i w:val="0"/>
        </w:rPr>
        <w:lastRenderedPageBreak/>
        <w:t>PIK3CA</w:t>
      </w:r>
      <w:r w:rsidRPr="004C6591">
        <w:rPr>
          <w:rStyle w:val="Heading4Char"/>
        </w:rPr>
        <w:t xml:space="preserve"> </w:t>
      </w:r>
      <w:r w:rsidR="00C658D1" w:rsidRPr="004C6591">
        <w:rPr>
          <w:rStyle w:val="Heading4Char"/>
        </w:rPr>
        <w:t>variants</w:t>
      </w:r>
      <w:r w:rsidRPr="004C6591">
        <w:rPr>
          <w:rStyle w:val="Heading4Char"/>
        </w:rPr>
        <w:t xml:space="preserve"> </w:t>
      </w:r>
    </w:p>
    <w:p w14:paraId="368849FF" w14:textId="1F14EED9" w:rsidR="00470401" w:rsidRPr="004C6591" w:rsidRDefault="00470401" w:rsidP="00C65136">
      <w:pPr>
        <w:keepNext/>
        <w:keepLines/>
        <w:spacing w:after="0"/>
      </w:pPr>
      <w:r w:rsidRPr="004C6591">
        <w:t xml:space="preserve">The </w:t>
      </w:r>
      <w:r w:rsidRPr="004C6591">
        <w:rPr>
          <w:i/>
          <w:iCs/>
        </w:rPr>
        <w:t>PIK3CA</w:t>
      </w:r>
      <w:r w:rsidRPr="004C6591">
        <w:t xml:space="preserve"> gene encodes for the p110</w:t>
      </w:r>
      <w:r w:rsidRPr="004C6591">
        <w:rPr>
          <w:rFonts w:cs="Calibri"/>
        </w:rPr>
        <w:t>α</w:t>
      </w:r>
      <w:r w:rsidRPr="004C6591">
        <w:t xml:space="preserve"> catalytic subunit</w:t>
      </w:r>
      <w:r w:rsidR="00126B64" w:rsidRPr="004C6591">
        <w:t>,</w:t>
      </w:r>
      <w:r w:rsidRPr="004C6591">
        <w:t xml:space="preserve"> and </w:t>
      </w:r>
      <w:r w:rsidR="4E6BB2FA" w:rsidRPr="004C6591">
        <w:t>its</w:t>
      </w:r>
      <w:r w:rsidRPr="004C6591">
        <w:t xml:space="preserve"> genetic </w:t>
      </w:r>
      <w:r w:rsidR="00C658D1" w:rsidRPr="004C6591">
        <w:t xml:space="preserve">variation </w:t>
      </w:r>
      <w:r w:rsidRPr="004C6591">
        <w:t>result</w:t>
      </w:r>
      <w:r w:rsidR="003C18A4" w:rsidRPr="004C6591">
        <w:t>s</w:t>
      </w:r>
      <w:r w:rsidRPr="004C6591">
        <w:t xml:space="preserve"> in constitutive enzymatic activity and unregulated activation of the </w:t>
      </w:r>
      <w:r w:rsidR="00FC3241" w:rsidRPr="004C6591">
        <w:t xml:space="preserve">PI3K </w:t>
      </w:r>
      <w:r w:rsidRPr="004C6591">
        <w:t xml:space="preserve">pathway </w:t>
      </w:r>
      <w:r w:rsidRPr="004C6591">
        <w:fldChar w:fldCharType="begin"/>
      </w:r>
      <w:r w:rsidR="00A00489" w:rsidRPr="004C6591">
        <w:instrText xml:space="preserve"> ADDIN EN.CITE &lt;EndNote&gt;&lt;Cite&gt;&lt;Author&gt;Vasan&lt;/Author&gt;&lt;Year&gt;2019&lt;/Year&gt;&lt;RecNum&gt;20&lt;/RecNum&gt;&lt;DisplayText&gt;(Vasan et al. 2019)&lt;/DisplayText&gt;&lt;record&gt;&lt;rec-number&gt;20&lt;/rec-number&gt;&lt;foreign-keys&gt;&lt;key app="EN" db-id="dw2s0a0pxte05aexpvnx2awre9s0vxdepfat" timestamp="1717740747"&gt;20&lt;/key&gt;&lt;/foreign-keys&gt;&lt;ref-type name="Journal Article"&gt;17&lt;/ref-type&gt;&lt;contributors&gt;&lt;authors&gt;&lt;author&gt;Vasan, N.&lt;/author&gt;&lt;author&gt;Toska, E.&lt;/author&gt;&lt;author&gt;Scaltriti, M.&lt;/author&gt;&lt;/authors&gt;&lt;/contributors&gt;&lt;titles&gt;&lt;title&gt;Overview of the relevance of PI3K pathway in HR-positive breast cancer&lt;/title&gt;&lt;secondary-title&gt;Annals of Oncology&lt;/secondary-title&gt;&lt;/titles&gt;&lt;periodical&gt;&lt;full-title&gt;Annals of Oncology&lt;/full-title&gt;&lt;/periodical&gt;&lt;pages&gt;x3-x11&lt;/pages&gt;&lt;volume&gt;30&lt;/volume&gt;&lt;keywords&gt;&lt;keyword&gt;PI3K pathway&lt;/keyword&gt;&lt;keyword&gt;estrogen receptor&lt;/keyword&gt;&lt;keyword&gt;breast cancer&lt;/keyword&gt;&lt;keyword&gt;PI3K inhibitors&lt;/keyword&gt;&lt;keyword&gt;PIK3CA&lt;/keyword&gt;&lt;keyword&gt;AKT&lt;/keyword&gt;&lt;/keywords&gt;&lt;dates&gt;&lt;year&gt;2019&lt;/year&gt;&lt;pub-dates&gt;&lt;date&gt;2019/12/01/&lt;/date&gt;&lt;/pub-dates&gt;&lt;/dates&gt;&lt;isbn&gt;0923-7534&lt;/isbn&gt;&lt;urls&gt;&lt;related-urls&gt;&lt;url&gt;https://www.sciencedirect.com/science/article/pii/S0923753420343738&lt;/url&gt;&lt;/related-urls&gt;&lt;/urls&gt;&lt;electronic-resource-num&gt;10.1093/annonc/mdz281&lt;/electronic-resource-num&gt;&lt;/record&gt;&lt;/Cite&gt;&lt;/EndNote&gt;</w:instrText>
      </w:r>
      <w:r w:rsidRPr="004C6591">
        <w:fldChar w:fldCharType="separate"/>
      </w:r>
      <w:r w:rsidRPr="004C6591">
        <w:t>(Vasan et al. 2019)</w:t>
      </w:r>
      <w:r w:rsidRPr="004C6591">
        <w:fldChar w:fldCharType="end"/>
      </w:r>
      <w:r w:rsidRPr="004C6591">
        <w:t xml:space="preserve">. </w:t>
      </w:r>
      <w:r w:rsidR="00BA0EF6" w:rsidRPr="004C6591">
        <w:rPr>
          <w:i/>
          <w:iCs/>
        </w:rPr>
        <w:t>PIK3CA</w:t>
      </w:r>
      <w:r w:rsidR="005306B7" w:rsidRPr="004C6591">
        <w:t xml:space="preserve"> </w:t>
      </w:r>
      <w:r w:rsidR="005E2BD4" w:rsidRPr="004C6591">
        <w:t xml:space="preserve">variation </w:t>
      </w:r>
      <w:r w:rsidR="00BA0EF6" w:rsidRPr="004C6591">
        <w:t xml:space="preserve">is the most common cause of PI3K pathway </w:t>
      </w:r>
      <w:r w:rsidR="00A2327D" w:rsidRPr="004C6591">
        <w:t xml:space="preserve">variations </w:t>
      </w:r>
      <w:r w:rsidR="005E46E4" w:rsidRPr="004C6591">
        <w:t>in BC</w:t>
      </w:r>
      <w:r w:rsidR="005B64F2" w:rsidRPr="004C6591">
        <w:t xml:space="preserve"> and </w:t>
      </w:r>
      <w:r w:rsidR="006D32E3" w:rsidRPr="004C6591">
        <w:t>affect</w:t>
      </w:r>
      <w:r w:rsidR="005B64F2" w:rsidRPr="004C6591">
        <w:t>s</w:t>
      </w:r>
      <w:r w:rsidR="006D32E3" w:rsidRPr="004C6591">
        <w:t xml:space="preserve"> up to 40% of patients with HR+/HER2- BC</w:t>
      </w:r>
      <w:r w:rsidR="005E46E4" w:rsidRPr="004C6591">
        <w:t xml:space="preserve"> </w:t>
      </w:r>
      <w:r w:rsidR="005E46E4" w:rsidRPr="004C6591">
        <w:fldChar w:fldCharType="begin">
          <w:fldData xml:space="preserve">PEVuZE5vdGU+PENpdGU+PEF1dGhvcj5WYXNhbjwvQXV0aG9yPjxZZWFyPjIwMTk8L1llYXI+PFJl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</w:fldData>
        </w:fldChar>
      </w:r>
      <w:r w:rsidR="00A00489" w:rsidRPr="004C6591">
        <w:instrText xml:space="preserve"> ADDIN EN.CITE </w:instrText>
      </w:r>
      <w:r w:rsidR="00A00489" w:rsidRPr="004C6591">
        <w:fldChar w:fldCharType="begin">
          <w:fldData xml:space="preserve">PEVuZE5vdGU+PENpdGU+PEF1dGhvcj5WYXNhbjwvQXV0aG9yPjxZZWFyPjIwMTk8L1llYXI+PFJl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</w:fldData>
        </w:fldChar>
      </w:r>
      <w:r w:rsidR="00A00489" w:rsidRPr="004C6591">
        <w:instrText xml:space="preserve"> ADDIN EN.CITE.DATA </w:instrText>
      </w:r>
      <w:r w:rsidR="00A00489" w:rsidRPr="004C6591">
        <w:fldChar w:fldCharType="end"/>
      </w:r>
      <w:r w:rsidR="005E46E4" w:rsidRPr="004C6591">
        <w:fldChar w:fldCharType="separate"/>
      </w:r>
      <w:r w:rsidR="00107D90" w:rsidRPr="004C6591">
        <w:t>(Schagerholm et al. 2024; Vasan et al. 2019)</w:t>
      </w:r>
      <w:r w:rsidR="005E46E4" w:rsidRPr="004C6591">
        <w:fldChar w:fldCharType="end"/>
      </w:r>
      <w:r w:rsidR="005306B7" w:rsidRPr="004C6591">
        <w:t>.</w:t>
      </w:r>
      <w:r w:rsidR="00BA0EF6" w:rsidRPr="004C6591">
        <w:t xml:space="preserve"> </w:t>
      </w:r>
      <w:r w:rsidR="00F24BD8" w:rsidRPr="004C6591">
        <w:t xml:space="preserve">In Australia, </w:t>
      </w:r>
      <w:r w:rsidR="00E81F30" w:rsidRPr="004C6591">
        <w:rPr>
          <w:i/>
          <w:iCs/>
        </w:rPr>
        <w:t>PIK3CA</w:t>
      </w:r>
      <w:r w:rsidR="00E81F30" w:rsidRPr="004C6591">
        <w:t xml:space="preserve"> variant</w:t>
      </w:r>
      <w:r w:rsidR="00280D07" w:rsidRPr="004C6591">
        <w:t>s</w:t>
      </w:r>
      <w:r w:rsidR="00E81F30" w:rsidRPr="004C6591">
        <w:t xml:space="preserve"> </w:t>
      </w:r>
      <w:r w:rsidR="00280D07" w:rsidRPr="004C6591">
        <w:t>are</w:t>
      </w:r>
      <w:r w:rsidR="00E81F30" w:rsidRPr="004C6591">
        <w:t xml:space="preserve"> found in 30% of patients</w:t>
      </w:r>
      <w:r w:rsidR="2D09E749" w:rsidRPr="004C6591">
        <w:t xml:space="preserve"> with BC</w:t>
      </w:r>
      <w:r w:rsidR="004F0829" w:rsidRPr="004C6591">
        <w:t xml:space="preserve"> and the concordance between primary and metastatic samples </w:t>
      </w:r>
      <w:r w:rsidR="00395368" w:rsidRPr="004C6591">
        <w:t>is</w:t>
      </w:r>
      <w:r w:rsidR="004F0829" w:rsidRPr="004C6591">
        <w:t xml:space="preserve"> 69% (n=20/29 patients)</w:t>
      </w:r>
      <w:r w:rsidR="00E81F30" w:rsidRPr="004C6591">
        <w:t xml:space="preserve"> </w:t>
      </w:r>
      <w:r w:rsidR="00E81F30" w:rsidRPr="004C6591">
        <w:fldChar w:fldCharType="begin">
          <w:fldData xml:space="preserve">PEVuZE5vdGU+PENpdGU+PEF1dGhvcj52YW4gR2VlbGVuPC9BdXRob3I+PFllYXI+MjAyMDwvWWVh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</w:fldData>
        </w:fldChar>
      </w:r>
      <w:r w:rsidR="00E81F30" w:rsidRPr="004C6591">
        <w:instrText xml:space="preserve"> ADDIN EN.CITE </w:instrText>
      </w:r>
      <w:r w:rsidR="00E81F30" w:rsidRPr="004C6591">
        <w:fldChar w:fldCharType="begin">
          <w:fldData xml:space="preserve">PEVuZE5vdGU+PENpdGU+PEF1dGhvcj52YW4gR2VlbGVuPC9BdXRob3I+PFllYXI+MjAyMDwvWWVh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</w:fldData>
        </w:fldChar>
      </w:r>
      <w:r w:rsidR="00E81F30" w:rsidRPr="004C6591">
        <w:instrText xml:space="preserve"> ADDIN EN.CITE.DATA </w:instrText>
      </w:r>
      <w:r w:rsidR="00E81F30" w:rsidRPr="004C6591">
        <w:fldChar w:fldCharType="end"/>
      </w:r>
      <w:r w:rsidR="00E81F30" w:rsidRPr="004C6591">
        <w:fldChar w:fldCharType="separate"/>
      </w:r>
      <w:r w:rsidR="00E81F30" w:rsidRPr="004C6591">
        <w:t>(van Geelen et al. 2020)</w:t>
      </w:r>
      <w:r w:rsidR="00E81F30" w:rsidRPr="004C6591">
        <w:fldChar w:fldCharType="end"/>
      </w:r>
      <w:r w:rsidR="00E81F30" w:rsidRPr="004C6591">
        <w:t xml:space="preserve">. </w:t>
      </w:r>
      <w:r w:rsidR="5075E77B" w:rsidRPr="004C6591">
        <w:t>P</w:t>
      </w:r>
      <w:r w:rsidR="009D67DA" w:rsidRPr="004C6591">
        <w:t>atients</w:t>
      </w:r>
      <w:r w:rsidR="7669C134" w:rsidRPr="004C6591">
        <w:t xml:space="preserve"> who have BC</w:t>
      </w:r>
      <w:r w:rsidR="009D67DA" w:rsidRPr="004C6591">
        <w:t xml:space="preserve"> with </w:t>
      </w:r>
      <w:r w:rsidR="0534A300" w:rsidRPr="004C6591">
        <w:t>a</w:t>
      </w:r>
      <w:r w:rsidR="009D67DA" w:rsidRPr="004C6591">
        <w:t xml:space="preserve"> </w:t>
      </w:r>
      <w:r w:rsidR="009D67DA" w:rsidRPr="004C6591">
        <w:rPr>
          <w:i/>
          <w:iCs/>
        </w:rPr>
        <w:t>PIK3CA</w:t>
      </w:r>
      <w:r w:rsidR="009D67DA" w:rsidRPr="004C6591">
        <w:t xml:space="preserve"> </w:t>
      </w:r>
      <w:r w:rsidR="00A2327D" w:rsidRPr="004C6591">
        <w:t xml:space="preserve">variant </w:t>
      </w:r>
      <w:r w:rsidR="00395368" w:rsidRPr="004C6591">
        <w:t>can</w:t>
      </w:r>
      <w:r w:rsidR="009D67DA" w:rsidRPr="004C6591">
        <w:t xml:space="preserve"> exhibit a single hotspot </w:t>
      </w:r>
      <w:r w:rsidR="004F15A9" w:rsidRPr="004C6591">
        <w:t>variant</w:t>
      </w:r>
      <w:r w:rsidR="009D67DA" w:rsidRPr="004C6591">
        <w:t>, a single non</w:t>
      </w:r>
      <w:r w:rsidR="005D1E3B" w:rsidRPr="004C6591">
        <w:t>-</w:t>
      </w:r>
      <w:r w:rsidR="009D67DA" w:rsidRPr="004C6591">
        <w:t xml:space="preserve">hotspot </w:t>
      </w:r>
      <w:r w:rsidR="004F15A9" w:rsidRPr="004C6591">
        <w:t xml:space="preserve">variant </w:t>
      </w:r>
      <w:r w:rsidR="009D67DA" w:rsidRPr="004C6591">
        <w:t xml:space="preserve">or multiple </w:t>
      </w:r>
      <w:r w:rsidR="004F15A9" w:rsidRPr="004C6591">
        <w:t>variants</w:t>
      </w:r>
      <w:r w:rsidR="009D67DA" w:rsidRPr="004C6591">
        <w:t>.</w:t>
      </w:r>
      <w:r w:rsidR="002024F4" w:rsidRPr="004C6591">
        <w:t xml:space="preserve"> </w:t>
      </w:r>
      <w:r w:rsidRPr="004C6591">
        <w:t xml:space="preserve">The most common </w:t>
      </w:r>
      <w:r w:rsidR="00AA6137" w:rsidRPr="004C6591">
        <w:t xml:space="preserve">single hotspot </w:t>
      </w:r>
      <w:r w:rsidR="004F15A9" w:rsidRPr="004C6591">
        <w:t>variant</w:t>
      </w:r>
      <w:r w:rsidRPr="004C6591">
        <w:t xml:space="preserve"> was at H1047 (35-41%), followed by E545 (19-23%) and E542 (7-13%)</w:t>
      </w:r>
      <w:r w:rsidR="00AA6137" w:rsidRPr="004C6591">
        <w:t xml:space="preserve"> </w:t>
      </w:r>
      <w:r w:rsidR="00AA6137" w:rsidRPr="004C6591">
        <w:fldChar w:fldCharType="begin"/>
      </w:r>
      <w:r w:rsidR="00AA6137" w:rsidRPr="004C6591">
        <w:instrText xml:space="preserve"> ADDIN EN.CITE &lt;EndNote&gt;&lt;Cite&gt;&lt;Author&gt;Chen&lt;/Author&gt;&lt;Year&gt;2022&lt;/Year&gt;&lt;RecNum&gt;29&lt;/RecNum&gt;&lt;DisplayText&gt;(Chen et al. 2022)&lt;/DisplayText&gt;&lt;record&gt;&lt;rec-number&gt;29&lt;/rec-number&gt;&lt;foreign-keys&gt;&lt;key app="EN" db-id="dw2s0a0pxte05aexpvnx2awre9s0vxdepfat" timestamp="1718083400"&gt;29&lt;/key&gt;&lt;/foreign-keys&gt;&lt;ref-type name="Journal Article"&gt;17&lt;/ref-type&gt;&lt;contributors&gt;&lt;authors&gt;&lt;author&gt;Jessica W. Chen&lt;/author&gt;&lt;author&gt;Karthikeyan Murugesan&lt;/author&gt;&lt;author&gt;Justin Y. Newberg&lt;/author&gt;&lt;author&gt;Ethan S. Sokol&lt;/author&gt;&lt;author&gt;Heidi M. Savage&lt;/author&gt;&lt;author&gt;Thomas J. Stout&lt;/author&gt;&lt;author&gt;Sophia L. Maund&lt;/author&gt;&lt;author&gt;Katherine E. Hutchinson&lt;/author&gt;&lt;/authors&gt;&lt;/contributors&gt;&lt;titles&gt;&lt;title&gt;Comparison of PIK3CA Mutation Prevalence in Breast Cancer Across Predicted Ancestry Populations&lt;/title&gt;&lt;secondary-title&gt;JCO Precision Oncology&lt;/secondary-title&gt;&lt;/titles&gt;&lt;periodical&gt;&lt;full-title&gt;JCO Precision Oncology&lt;/full-title&gt;&lt;/periodical&gt;&lt;pages&gt;e2200341&lt;/pages&gt;&lt;number&gt;6&lt;/number&gt;&lt;dates&gt;&lt;year&gt;2022&lt;/year&gt;&lt;/dates&gt;&lt;accession-num&gt;36446041&lt;/accession-num&gt;&lt;urls&gt;&lt;related-urls&gt;&lt;url&gt;https://ascopubs.org/doi/abs/10.1200/PO.22.00341&lt;/url&gt;&lt;/related-urls&gt;&lt;/urls&gt;&lt;electronic-resource-num&gt;10.1200/po.22.00341&lt;/electronic-resource-num&gt;&lt;/record&gt;&lt;/Cite&gt;&lt;/EndNote&gt;</w:instrText>
      </w:r>
      <w:r w:rsidR="00AA6137" w:rsidRPr="004C6591">
        <w:fldChar w:fldCharType="separate"/>
      </w:r>
      <w:r w:rsidR="00AA6137" w:rsidRPr="004C6591">
        <w:t>(Chen et al. 2022)</w:t>
      </w:r>
      <w:r w:rsidR="00AA6137" w:rsidRPr="004C6591">
        <w:fldChar w:fldCharType="end"/>
      </w:r>
      <w:r w:rsidRPr="004C6591">
        <w:t xml:space="preserve">. </w:t>
      </w:r>
    </w:p>
    <w:p w14:paraId="79D48438" w14:textId="19BA8B05" w:rsidR="009D67DA" w:rsidRPr="004C6591" w:rsidRDefault="00991C01" w:rsidP="009E518E">
      <w:r w:rsidRPr="004C6591">
        <w:t>P</w:t>
      </w:r>
      <w:r w:rsidR="00533BC9" w:rsidRPr="004C6591">
        <w:t xml:space="preserve">atients with </w:t>
      </w:r>
      <w:r w:rsidR="00533BC9" w:rsidRPr="004C6591">
        <w:rPr>
          <w:i/>
          <w:iCs/>
        </w:rPr>
        <w:t>PIK3CA</w:t>
      </w:r>
      <w:r w:rsidR="00533BC9" w:rsidRPr="004C6591">
        <w:t xml:space="preserve"> variant</w:t>
      </w:r>
      <w:r w:rsidR="00AC1A51" w:rsidRPr="004C6591">
        <w:t>s</w:t>
      </w:r>
      <w:r w:rsidR="00533BC9" w:rsidRPr="004C6591">
        <w:t xml:space="preserve"> and HR+/HER2-</w:t>
      </w:r>
      <w:r w:rsidR="00036AF6" w:rsidRPr="004C6591">
        <w:t xml:space="preserve"> </w:t>
      </w:r>
      <w:r w:rsidR="00120D13" w:rsidRPr="004C6591">
        <w:t>m</w:t>
      </w:r>
      <w:r w:rsidR="00036AF6" w:rsidRPr="004C6591">
        <w:t>BC</w:t>
      </w:r>
      <w:r w:rsidR="00533BC9" w:rsidRPr="004C6591">
        <w:t xml:space="preserve"> a</w:t>
      </w:r>
      <w:r w:rsidR="00036AF6" w:rsidRPr="004C6591">
        <w:t xml:space="preserve">ppeared to be resistant to chemotherapy and </w:t>
      </w:r>
      <w:r w:rsidR="006A5BBF" w:rsidRPr="004C6591">
        <w:t>h</w:t>
      </w:r>
      <w:r w:rsidR="00036AF6" w:rsidRPr="004C6591">
        <w:t xml:space="preserve">ad worse overall survival, compared to </w:t>
      </w:r>
      <w:r w:rsidR="00280D07" w:rsidRPr="004C6591">
        <w:t>patients with wild-type</w:t>
      </w:r>
      <w:r w:rsidR="00036AF6" w:rsidRPr="004C6591">
        <w:t xml:space="preserve"> </w:t>
      </w:r>
      <w:r w:rsidR="00036AF6" w:rsidRPr="004C6591">
        <w:rPr>
          <w:i/>
          <w:iCs/>
        </w:rPr>
        <w:t>PIK3CA</w:t>
      </w:r>
      <w:r w:rsidR="00036AF6" w:rsidRPr="004C6591">
        <w:t xml:space="preserve"> </w:t>
      </w:r>
      <w:r w:rsidR="00463BE5" w:rsidRPr="004C6591">
        <w:fldChar w:fldCharType="begin">
          <w:fldData xml:space="preserve">PEVuZE5vdGU+PENpdGU+PEF1dGhvcj5Nb3NlbGU8L0F1dGhvcj48WWVhcj4yMDIwPC9ZZWFyPjxS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</w:fldData>
        </w:fldChar>
      </w:r>
      <w:r w:rsidR="00463BE5" w:rsidRPr="004C6591">
        <w:instrText xml:space="preserve"> ADDIN EN.CITE </w:instrText>
      </w:r>
      <w:r w:rsidR="00463BE5" w:rsidRPr="004C6591">
        <w:fldChar w:fldCharType="begin">
          <w:fldData xml:space="preserve">PEVuZE5vdGU+PENpdGU+PEF1dGhvcj5Nb3NlbGU8L0F1dGhvcj48WWVhcj4yMDIwPC9ZZWFyPjxS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</w:fldData>
        </w:fldChar>
      </w:r>
      <w:r w:rsidR="00463BE5" w:rsidRPr="004C6591">
        <w:instrText xml:space="preserve"> ADDIN EN.CITE.DATA </w:instrText>
      </w:r>
      <w:r w:rsidR="00463BE5" w:rsidRPr="004C6591">
        <w:fldChar w:fldCharType="end"/>
      </w:r>
      <w:r w:rsidR="00463BE5" w:rsidRPr="004C6591">
        <w:fldChar w:fldCharType="separate"/>
      </w:r>
      <w:r w:rsidR="00463BE5" w:rsidRPr="004C6591">
        <w:t>(Mosele et al. 2020)</w:t>
      </w:r>
      <w:r w:rsidR="00463BE5" w:rsidRPr="004C6591">
        <w:fldChar w:fldCharType="end"/>
      </w:r>
      <w:r w:rsidR="00036AF6" w:rsidRPr="004C6591">
        <w:t xml:space="preserve">. </w:t>
      </w:r>
      <w:r w:rsidR="002C1689" w:rsidRPr="004C6591">
        <w:t>Furthermore</w:t>
      </w:r>
      <w:r w:rsidR="00012502" w:rsidRPr="004C6591">
        <w:t xml:space="preserve">, patients with </w:t>
      </w:r>
      <w:r w:rsidR="00012502" w:rsidRPr="004C6591">
        <w:rPr>
          <w:i/>
          <w:iCs/>
        </w:rPr>
        <w:t>PIK3CA</w:t>
      </w:r>
      <w:r w:rsidR="00012502" w:rsidRPr="004C6591">
        <w:t xml:space="preserve"> variant</w:t>
      </w:r>
      <w:r w:rsidR="00733A32" w:rsidRPr="004C6591">
        <w:t>s</w:t>
      </w:r>
      <w:r w:rsidR="00012502" w:rsidRPr="004C6591">
        <w:t xml:space="preserve">, HR+/HER2- </w:t>
      </w:r>
      <w:r w:rsidR="005051B8" w:rsidRPr="004C6591">
        <w:t xml:space="preserve">early-stage </w:t>
      </w:r>
      <w:r w:rsidR="00012502" w:rsidRPr="004C6591">
        <w:t>BC</w:t>
      </w:r>
      <w:r w:rsidRPr="004C6591">
        <w:t>,</w:t>
      </w:r>
      <w:r w:rsidR="00012502" w:rsidRPr="004C6591">
        <w:t xml:space="preserve"> and </w:t>
      </w:r>
      <w:r w:rsidRPr="004C6591">
        <w:t>treated with</w:t>
      </w:r>
      <w:r w:rsidR="00012502" w:rsidRPr="004C6591">
        <w:t xml:space="preserve"> aromatase inhibitor (AI) as adjuvant therapy, </w:t>
      </w:r>
      <w:r w:rsidR="00280D07" w:rsidRPr="004C6591">
        <w:t xml:space="preserve">were </w:t>
      </w:r>
      <w:r w:rsidR="00012502" w:rsidRPr="004C6591">
        <w:t xml:space="preserve">associated with worse prognostic impacts, when compared to </w:t>
      </w:r>
      <w:r w:rsidR="004C080C" w:rsidRPr="004C6591">
        <w:t xml:space="preserve">patients with </w:t>
      </w:r>
      <w:r w:rsidR="00280D07" w:rsidRPr="004C6591">
        <w:t xml:space="preserve">wild-type </w:t>
      </w:r>
      <w:r w:rsidR="004C080C" w:rsidRPr="004C6591">
        <w:rPr>
          <w:i/>
          <w:iCs/>
        </w:rPr>
        <w:t>PIK3CA</w:t>
      </w:r>
      <w:r w:rsidR="004C080C" w:rsidRPr="004C6591">
        <w:t xml:space="preserve"> </w:t>
      </w:r>
      <w:r w:rsidR="00012502" w:rsidRPr="004C6591">
        <w:fldChar w:fldCharType="begin">
          <w:fldData xml:space="preserve">PEVuZE5vdGU+PENpdGU+PEF1dGhvcj5SZWluaGFyZHQ8L0F1dGhvcj48WWVhcj4yMDIyPC9ZZWFy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=
</w:fldData>
        </w:fldChar>
      </w:r>
      <w:r w:rsidR="00012502" w:rsidRPr="004C6591">
        <w:instrText xml:space="preserve"> ADDIN EN.CITE </w:instrText>
      </w:r>
      <w:r w:rsidR="00012502" w:rsidRPr="004C6591">
        <w:fldChar w:fldCharType="begin">
          <w:fldData xml:space="preserve">PEVuZE5vdGU+PENpdGU+PEF1dGhvcj5SZWluaGFyZHQ8L0F1dGhvcj48WWVhcj4yMDIyPC9ZZWFy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=
</w:fldData>
        </w:fldChar>
      </w:r>
      <w:r w:rsidR="00012502" w:rsidRPr="004C6591">
        <w:instrText xml:space="preserve"> ADDIN EN.CITE.DATA </w:instrText>
      </w:r>
      <w:r w:rsidR="00012502" w:rsidRPr="004C6591">
        <w:fldChar w:fldCharType="end"/>
      </w:r>
      <w:r w:rsidR="00012502" w:rsidRPr="004C6591">
        <w:fldChar w:fldCharType="separate"/>
      </w:r>
      <w:r w:rsidR="00012502" w:rsidRPr="004C6591">
        <w:t>(Reinhardt et al. 2022)</w:t>
      </w:r>
      <w:r w:rsidR="00012502" w:rsidRPr="004C6591">
        <w:fldChar w:fldCharType="end"/>
      </w:r>
      <w:r w:rsidR="00012502" w:rsidRPr="004C6591">
        <w:t>.</w:t>
      </w:r>
      <w:r w:rsidR="004C080C" w:rsidRPr="004C6591">
        <w:t xml:space="preserve"> This suggests </w:t>
      </w:r>
      <w:r w:rsidR="004C080C" w:rsidRPr="004C6591">
        <w:rPr>
          <w:i/>
          <w:iCs/>
        </w:rPr>
        <w:t>PIK3CA</w:t>
      </w:r>
      <w:r w:rsidR="004C080C" w:rsidRPr="004C6591">
        <w:t xml:space="preserve"> </w:t>
      </w:r>
      <w:r w:rsidR="00455A80" w:rsidRPr="004C6591">
        <w:t xml:space="preserve">variation </w:t>
      </w:r>
      <w:r w:rsidR="004C080C" w:rsidRPr="004C6591">
        <w:t xml:space="preserve">is associated with resistance to AI therapy </w:t>
      </w:r>
      <w:r w:rsidR="004C080C" w:rsidRPr="004C6591">
        <w:fldChar w:fldCharType="begin">
          <w:fldData xml:space="preserve">PEVuZE5vdGU+PENpdGU+PEF1dGhvcj5SZWluaGFyZHQ8L0F1dGhvcj48WWVhcj4yMDIyPC9ZZWFy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=
</w:fldData>
        </w:fldChar>
      </w:r>
      <w:r w:rsidR="004C080C" w:rsidRPr="004C6591">
        <w:instrText xml:space="preserve"> ADDIN EN.CITE </w:instrText>
      </w:r>
      <w:r w:rsidR="004C080C" w:rsidRPr="004C6591">
        <w:fldChar w:fldCharType="begin">
          <w:fldData xml:space="preserve">PEVuZE5vdGU+PENpdGU+PEF1dGhvcj5SZWluaGFyZHQ8L0F1dGhvcj48WWVhcj4yMDIyPC9ZZWFy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=
</w:fldData>
        </w:fldChar>
      </w:r>
      <w:r w:rsidR="004C080C" w:rsidRPr="004C6591">
        <w:instrText xml:space="preserve"> ADDIN EN.CITE.DATA </w:instrText>
      </w:r>
      <w:r w:rsidR="004C080C" w:rsidRPr="004C6591">
        <w:fldChar w:fldCharType="end"/>
      </w:r>
      <w:r w:rsidR="004C080C" w:rsidRPr="004C6591">
        <w:fldChar w:fldCharType="separate"/>
      </w:r>
      <w:r w:rsidR="004C080C" w:rsidRPr="004C6591">
        <w:t>(Reinhardt et al. 2022)</w:t>
      </w:r>
      <w:r w:rsidR="004C080C" w:rsidRPr="004C6591">
        <w:fldChar w:fldCharType="end"/>
      </w:r>
      <w:r w:rsidR="004C080C" w:rsidRPr="004C6591">
        <w:t>.</w:t>
      </w:r>
      <w:r w:rsidR="005051B8" w:rsidRPr="004C6591">
        <w:t xml:space="preserve"> </w:t>
      </w:r>
    </w:p>
    <w:p w14:paraId="1EDCBDED" w14:textId="70F1D11A" w:rsidR="0039370F" w:rsidRPr="004C6591" w:rsidRDefault="0039370F" w:rsidP="0039370F">
      <w:pPr>
        <w:pStyle w:val="Heading4"/>
      </w:pPr>
      <w:r w:rsidRPr="004C6591">
        <w:t>Treatment options</w:t>
      </w:r>
    </w:p>
    <w:p w14:paraId="39252859" w14:textId="2C181CAE" w:rsidR="003E5613" w:rsidRPr="004C6591" w:rsidRDefault="002C1689" w:rsidP="00A03FC3">
      <w:r w:rsidRPr="004C6591">
        <w:t xml:space="preserve">In Australia, the 1L treatment for HR+/HER2- </w:t>
      </w:r>
      <w:r w:rsidR="00120D13" w:rsidRPr="004C6591">
        <w:t>m</w:t>
      </w:r>
      <w:r w:rsidRPr="004C6591">
        <w:t xml:space="preserve">BC is ET with or without </w:t>
      </w:r>
      <w:r w:rsidR="00055A02" w:rsidRPr="004C6591">
        <w:t>a cyclin-dependent kinase 4 and 6 (</w:t>
      </w:r>
      <w:r w:rsidRPr="004C6591">
        <w:t>CDK4/6</w:t>
      </w:r>
      <w:r w:rsidR="00055A02" w:rsidRPr="004C6591">
        <w:t>)</w:t>
      </w:r>
      <w:r w:rsidRPr="004C6591">
        <w:t xml:space="preserve"> inhibitor </w:t>
      </w:r>
      <w:r w:rsidRPr="004C6591">
        <w:fldChar w:fldCharType="begin"/>
      </w:r>
      <w:r w:rsidRPr="004C6591">
        <w:instrText xml:space="preserve"> ADDIN EN.CITE &lt;EndNote&gt;&lt;Cite ExcludeAuth="1"&gt;&lt;Author&gt;BCNA (Breast Cancer Network Australia)&lt;/Author&gt;&lt;Year&gt;2020&lt;/Year&gt;&lt;RecNum&gt;24&lt;/RecNum&gt;&lt;Prefix&gt;BCNA &lt;/Prefix&gt;&lt;DisplayText&gt;(BCNA 2020)&lt;/DisplayText&gt;&lt;record&gt;&lt;rec-number&gt;24&lt;/rec-number&gt;&lt;foreign-keys&gt;&lt;key app="EN" db-id="dw2s0a0pxte05aexpvnx2awre9s0vxdepfat" timestamp="1717999282"&gt;24&lt;/key&gt;&lt;/foreign-keys&gt;&lt;ref-type name="Web Page"&gt;12&lt;/ref-type&gt;&lt;contributors&gt;&lt;authors&gt;&lt;author&gt;BCNA (Breast Cancer Network Australia),&lt;/author&gt;&lt;/authors&gt;&lt;/contributors&gt;&lt;titles&gt;&lt;title&gt;Metastatic Breast Cancer: Hope &amp;amp; Hurdles Information Guide&lt;/title&gt;&lt;/titles&gt;&lt;volume&gt;2024&lt;/volume&gt;&lt;number&gt;10 June&lt;/number&gt;&lt;dates&gt;&lt;year&gt;2020&lt;/year&gt;&lt;/dates&gt;&lt;publisher&gt;BCNA&lt;/publisher&gt;&lt;work-type&gt;Internet&lt;/work-type&gt;&lt;urls&gt;&lt;related-urls&gt;&lt;url&gt;https://www.bcna.org.au/media/3xceny14/hah_mbc-information_guide_2020.pdf&lt;/url&gt;&lt;/related-urls&gt;&lt;/urls&gt;&lt;/record&gt;&lt;/Cite&gt;&lt;/EndNote&gt;</w:instrText>
      </w:r>
      <w:r w:rsidRPr="004C6591">
        <w:fldChar w:fldCharType="separate"/>
      </w:r>
      <w:r w:rsidRPr="004C6591">
        <w:t>(BCNA 2020)</w:t>
      </w:r>
      <w:r w:rsidRPr="004C6591">
        <w:fldChar w:fldCharType="end"/>
      </w:r>
      <w:r w:rsidRPr="004C6591">
        <w:t>. ET includes tamoxifen, fulvestrant, toremifene and AI (such as anastrozole, letrozole, exemestane)</w:t>
      </w:r>
      <w:r w:rsidR="005954C3" w:rsidRPr="004C6591">
        <w:t>.</w:t>
      </w:r>
      <w:r w:rsidRPr="004C6591">
        <w:t xml:space="preserve"> CDK4/6 </w:t>
      </w:r>
      <w:r w:rsidR="698EA7DA" w:rsidRPr="004C6591">
        <w:t>inhibitor</w:t>
      </w:r>
      <w:r w:rsidR="2FBD0F0A" w:rsidRPr="004C6591">
        <w:t>s</w:t>
      </w:r>
      <w:r w:rsidRPr="004C6591">
        <w:t xml:space="preserve"> include palbociclib, ribociclib and abemaciclib </w:t>
      </w:r>
      <w:r w:rsidRPr="004C6591">
        <w:fldChar w:fldCharType="begin"/>
      </w:r>
      <w:r w:rsidRPr="004C6591">
        <w:instrText xml:space="preserve"> ADDIN EN.CITE &lt;EndNote&gt;&lt;Cite ExcludeAuth="1"&gt;&lt;Author&gt;BCNA (Breast Cancer Network Australia)&lt;/Author&gt;&lt;Year&gt;2020&lt;/Year&gt;&lt;RecNum&gt;24&lt;/RecNum&gt;&lt;Prefix&gt;BCNA &lt;/Prefix&gt;&lt;DisplayText&gt;(BCNA 2020)&lt;/DisplayText&gt;&lt;record&gt;&lt;rec-number&gt;24&lt;/rec-number&gt;&lt;foreign-keys&gt;&lt;key app="EN" db-id="dw2s0a0pxte05aexpvnx2awre9s0vxdepfat" timestamp="1717999282"&gt;24&lt;/key&gt;&lt;/foreign-keys&gt;&lt;ref-type name="Web Page"&gt;12&lt;/ref-type&gt;&lt;contributors&gt;&lt;authors&gt;&lt;author&gt;BCNA (Breast Cancer Network Australia),&lt;/author&gt;&lt;/authors&gt;&lt;/contributors&gt;&lt;titles&gt;&lt;title&gt;Metastatic Breast Cancer: Hope &amp;amp; Hurdles Information Guide&lt;/title&gt;&lt;/titles&gt;&lt;volume&gt;2024&lt;/volume&gt;&lt;number&gt;10 June&lt;/number&gt;&lt;dates&gt;&lt;year&gt;2020&lt;/year&gt;&lt;/dates&gt;&lt;publisher&gt;BCNA&lt;/publisher&gt;&lt;work-type&gt;Internet&lt;/work-type&gt;&lt;urls&gt;&lt;related-urls&gt;&lt;url&gt;https://www.bcna.org.au/media/3xceny14/hah_mbc-information_guide_2020.pdf&lt;/url&gt;&lt;/related-urls&gt;&lt;/urls&gt;&lt;/record&gt;&lt;/Cite&gt;&lt;/EndNote&gt;</w:instrText>
      </w:r>
      <w:r w:rsidRPr="004C6591">
        <w:fldChar w:fldCharType="separate"/>
      </w:r>
      <w:r w:rsidRPr="004C6591">
        <w:t>(BCNA 2020)</w:t>
      </w:r>
      <w:r w:rsidRPr="004C6591">
        <w:fldChar w:fldCharType="end"/>
      </w:r>
      <w:r w:rsidRPr="004C6591">
        <w:t>. Ribociclib/abemaciclib + AI/fulvestrant are TGA-approved and PBS-listed as initial</w:t>
      </w:r>
      <w:r w:rsidR="0017248E" w:rsidRPr="004C6591">
        <w:t xml:space="preserve"> therapy</w:t>
      </w:r>
      <w:r w:rsidRPr="004C6591">
        <w:t xml:space="preserve"> </w:t>
      </w:r>
      <w:r w:rsidR="009F0FD3" w:rsidRPr="004C6591">
        <w:t xml:space="preserve">or </w:t>
      </w:r>
      <w:r w:rsidRPr="004C6591">
        <w:t>subsequent therapy following prior ET</w:t>
      </w:r>
      <w:r w:rsidR="006377DA" w:rsidRPr="004C6591">
        <w:t xml:space="preserve"> for </w:t>
      </w:r>
      <w:r w:rsidR="00AD4641" w:rsidRPr="004C6591">
        <w:t xml:space="preserve">HR+/HER2- </w:t>
      </w:r>
      <w:r w:rsidR="009F0FD3" w:rsidRPr="004C6591">
        <w:t>LA/mBC</w:t>
      </w:r>
      <w:r w:rsidRPr="004C6591">
        <w:t xml:space="preserve"> </w:t>
      </w:r>
      <w:r w:rsidRPr="004C6591">
        <w:fldChar w:fldCharType="begin"/>
      </w:r>
      <w:r w:rsidR="00DA7FFC" w:rsidRPr="004C6591">
        <w:instrText xml:space="preserve"> ADDIN EN.CITE &lt;EndNote&gt;&lt;Cite ExcludeAuth="1"&gt;&lt;Author&gt;DHAC (Department of Health and Aged Care)&lt;/Author&gt;&lt;Year&gt;2022&lt;/Year&gt;&lt;RecNum&gt;25&lt;/RecNum&gt;&lt;Prefix&gt;DHAC  &lt;/Prefix&gt;&lt;DisplayText&gt;(DHAC 2021; DHAC  2022)&lt;/DisplayText&gt;&lt;record&gt;&lt;rec-number&gt;25&lt;/rec-number&gt;&lt;foreign-keys&gt;&lt;key app="EN" db-id="dw2s0a0pxte05aexpvnx2awre9s0vxdepfat" timestamp="1718003198"&gt;25&lt;/key&gt;&lt;/foreign-keys&gt;&lt;ref-type name="Report"&gt;27&lt;/ref-type&gt;&lt;contributors&gt;&lt;authors&gt;&lt;author&gt;DHAC (Department of Health and Aged Care),&lt;/author&gt;&lt;/authors&gt;&lt;tertiary-authors&gt;&lt;author&gt;DHAC&lt;/author&gt;&lt;/tertiary-authors&gt;&lt;/contributors&gt;&lt;titles&gt;&lt;title&gt;Palbociclib public summary document (PSD)&lt;/title&gt;&lt;/titles&gt;&lt;dates&gt;&lt;year&gt;2022&lt;/year&gt;&lt;/dates&gt;&lt;urls&gt;&lt;related-urls&gt;&lt;url&gt;https://www.pbs.gov.au/industry/listing/elements/pbac-meetings/psd/2022-03/files/palbociclib-psd-march-2022.pdf&lt;/url&gt;&lt;/related-urls&gt;&lt;/urls&gt;&lt;access-date&gt;11 June 2024&lt;/access-date&gt;&lt;/record&gt;&lt;/Cite&gt;&lt;Cite ExcludeAuth="1" ExcludeYear="1"&gt;&lt;Author&gt;DHAC (Department of Health and Aged Care)&lt;/Author&gt;&lt;Year&gt;2021&lt;/Year&gt;&lt;RecNum&gt;50&lt;/RecNum&gt;&lt;Prefix&gt;DHAC 2021&lt;/Prefix&gt;&lt;record&gt;&lt;rec-number&gt;50&lt;/rec-number&gt;&lt;foreign-keys&gt;&lt;key app="EN" db-id="dw2s0a0pxte05aexpvnx2awre9s0vxdepfat" timestamp="1721195023"&gt;50&lt;/key&gt;&lt;/foreign-keys&gt;&lt;ref-type name="Report"&gt;27&lt;/ref-type&gt;&lt;contributors&gt;&lt;authors&gt;&lt;author&gt;DHAC (Department of Health and Aged Care),&lt;/author&gt;&lt;/authors&gt;&lt;tertiary-authors&gt;&lt;author&gt;DHAC&lt;/author&gt;&lt;/tertiary-authors&gt;&lt;/contributors&gt;&lt;titles&gt;&lt;title&gt;Abemaciclib public summary document (PSD)&lt;/title&gt;&lt;/titles&gt;&lt;dates&gt;&lt;year&gt;2021&lt;/year&gt;&lt;/dates&gt;&lt;urls&gt;&lt;related-urls&gt;&lt;url&gt;https://www.pbs.gov.au/industry/listing/elements/pbac-meetings/psd/2021-03/files/abemaciclib-psd-mar-2021.pdf&lt;/url&gt;&lt;/related-urls&gt;&lt;/urls&gt;&lt;access-date&gt;17 July 2024&lt;/access-date&gt;&lt;/record&gt;&lt;/Cite&gt;&lt;/EndNote&gt;</w:instrText>
      </w:r>
      <w:r w:rsidRPr="004C6591">
        <w:fldChar w:fldCharType="separate"/>
      </w:r>
      <w:r w:rsidR="00DA7FFC" w:rsidRPr="004C6591">
        <w:t>(DHAC 2021; DHAC  2022)</w:t>
      </w:r>
      <w:r w:rsidRPr="004C6591">
        <w:fldChar w:fldCharType="end"/>
      </w:r>
      <w:r w:rsidRPr="004C6591">
        <w:t xml:space="preserve">. </w:t>
      </w:r>
      <w:r w:rsidR="00C02182" w:rsidRPr="004C6591">
        <w:t>F</w:t>
      </w:r>
      <w:r w:rsidR="00617B0D" w:rsidRPr="004C6591">
        <w:t>ulvestrant</w:t>
      </w:r>
      <w:r w:rsidR="004F4444" w:rsidRPr="004C6591">
        <w:t xml:space="preserve"> + palbociclib</w:t>
      </w:r>
      <w:r w:rsidR="000B72B9" w:rsidRPr="004C6591">
        <w:t xml:space="preserve"> </w:t>
      </w:r>
      <w:r w:rsidR="00980D8A" w:rsidRPr="004C6591">
        <w:t>is also</w:t>
      </w:r>
      <w:r w:rsidR="00554B9D" w:rsidRPr="004C6591">
        <w:t xml:space="preserve"> </w:t>
      </w:r>
      <w:r w:rsidR="00CA437F" w:rsidRPr="004C6591">
        <w:t>TGA-</w:t>
      </w:r>
      <w:r w:rsidR="00554B9D" w:rsidRPr="004C6591">
        <w:t>approved and</w:t>
      </w:r>
      <w:r w:rsidR="00980D8A" w:rsidRPr="004C6591">
        <w:t xml:space="preserve"> PBS-listed as an initial </w:t>
      </w:r>
      <w:r w:rsidR="00C02182" w:rsidRPr="004C6591">
        <w:t>therapy</w:t>
      </w:r>
      <w:r w:rsidR="0010209B" w:rsidRPr="004C6591">
        <w:t xml:space="preserve"> or continuing therapy, noting that it may only be used as an initial therapy </w:t>
      </w:r>
      <w:r w:rsidR="002C6F46" w:rsidRPr="004C6591">
        <w:t xml:space="preserve">for patients who have </w:t>
      </w:r>
      <w:r w:rsidR="00D70BB3" w:rsidRPr="004C6591">
        <w:t>recurrence or progressive disease despite prior ET for advanced or metastatic disease</w:t>
      </w:r>
      <w:r w:rsidR="002C6F46" w:rsidRPr="004C6591">
        <w:t xml:space="preserve"> </w:t>
      </w:r>
      <w:r w:rsidR="008C32D7" w:rsidRPr="004C6591">
        <w:t>with fulvestrant only</w:t>
      </w:r>
      <w:r w:rsidR="00CA08EA" w:rsidRPr="004C6591">
        <w:t xml:space="preserve"> </w:t>
      </w:r>
      <w:r w:rsidR="002C6F46" w:rsidRPr="004C6591">
        <w:t>(DHAC 2022).</w:t>
      </w:r>
      <w:r w:rsidR="004F4444" w:rsidRPr="004C6591">
        <w:t xml:space="preserve"> </w:t>
      </w:r>
      <w:r w:rsidR="005451AD" w:rsidRPr="004C6591">
        <w:fldChar w:fldCharType="begin"/>
      </w:r>
      <w:r w:rsidR="005451AD" w:rsidRPr="004C6591">
        <w:instrText xml:space="preserve"> REF _Ref172300738 \h </w:instrText>
      </w:r>
      <w:r w:rsidR="005451AD" w:rsidRPr="004C6591">
        <w:fldChar w:fldCharType="separate"/>
      </w:r>
      <w:r w:rsidR="005451AD" w:rsidRPr="004C6591">
        <w:t>Table 2</w:t>
      </w:r>
      <w:r w:rsidR="005451AD" w:rsidRPr="004C6591">
        <w:fldChar w:fldCharType="end"/>
      </w:r>
      <w:r w:rsidR="005451AD" w:rsidRPr="004C6591">
        <w:t xml:space="preserve"> summarises the </w:t>
      </w:r>
      <w:r w:rsidR="00CA437F" w:rsidRPr="004C6591">
        <w:t>1L</w:t>
      </w:r>
      <w:r w:rsidR="005451AD" w:rsidRPr="004C6591">
        <w:t xml:space="preserve"> treatment options based on</w:t>
      </w:r>
      <w:r w:rsidR="005016B4" w:rsidRPr="004C6591">
        <w:t xml:space="preserve"> the</w:t>
      </w:r>
      <w:r w:rsidR="005451AD" w:rsidRPr="004C6591">
        <w:t xml:space="preserve"> ESMO guidelines (2021) and NCCN Breast Cancer guidelines (2024).</w:t>
      </w:r>
    </w:p>
    <w:p w14:paraId="56EC2399" w14:textId="77777777" w:rsidR="00AE11B9" w:rsidRDefault="00AE11B9">
      <w:pPr>
        <w:spacing w:after="160" w:line="259" w:lineRule="auto"/>
        <w:rPr>
          <w:rFonts w:ascii="Arial Narrow" w:eastAsia="Times New Roman" w:hAnsi="Arial Narrow" w:cs="Tahoma"/>
          <w:b/>
          <w:sz w:val="20"/>
          <w:szCs w:val="20"/>
          <w:lang w:eastAsia="ja-JP"/>
        </w:rPr>
      </w:pPr>
      <w:bookmarkStart w:id="7" w:name="_Ref172287122"/>
      <w:bookmarkStart w:id="8" w:name="_Ref172300738"/>
      <w:r>
        <w:br w:type="page"/>
      </w:r>
    </w:p>
    <w:p w14:paraId="77DEEDDD" w14:textId="4B7EB4D5" w:rsidR="00CE7413" w:rsidRPr="004C6591" w:rsidRDefault="00CE7413" w:rsidP="00CE7413">
      <w:pPr>
        <w:pStyle w:val="Caption"/>
        <w:rPr>
          <w:lang w:val="en-AU"/>
        </w:rPr>
      </w:pPr>
      <w:r w:rsidRPr="004C6591">
        <w:rPr>
          <w:lang w:val="en-AU"/>
        </w:rPr>
        <w:lastRenderedPageBreak/>
        <w:t xml:space="preserve">Table </w:t>
      </w:r>
      <w:r w:rsidRPr="004C6591">
        <w:rPr>
          <w:lang w:val="en-AU"/>
        </w:rPr>
        <w:fldChar w:fldCharType="begin"/>
      </w:r>
      <w:r w:rsidRPr="004C6591">
        <w:rPr>
          <w:lang w:val="en-AU"/>
        </w:rPr>
        <w:instrText xml:space="preserve"> SEQ Table \* ARABIC </w:instrText>
      </w:r>
      <w:r w:rsidRPr="004C6591">
        <w:rPr>
          <w:lang w:val="en-AU"/>
        </w:rPr>
        <w:fldChar w:fldCharType="separate"/>
      </w:r>
      <w:r w:rsidRPr="004C6591">
        <w:rPr>
          <w:lang w:val="en-AU"/>
        </w:rPr>
        <w:t>2</w:t>
      </w:r>
      <w:r w:rsidRPr="004C6591">
        <w:rPr>
          <w:lang w:val="en-AU"/>
        </w:rPr>
        <w:fldChar w:fldCharType="end"/>
      </w:r>
      <w:bookmarkEnd w:id="7"/>
      <w:r w:rsidRPr="004C6591">
        <w:rPr>
          <w:lang w:val="en-AU"/>
        </w:rPr>
        <w:t xml:space="preserve"> First line treatment options for </w:t>
      </w:r>
      <w:r w:rsidR="00902632" w:rsidRPr="004C6591">
        <w:rPr>
          <w:lang w:val="en-AU"/>
        </w:rPr>
        <w:t xml:space="preserve">patients with </w:t>
      </w:r>
      <w:r w:rsidRPr="004C6591">
        <w:rPr>
          <w:lang w:val="en-AU"/>
        </w:rPr>
        <w:t xml:space="preserve">HR+/HER2- </w:t>
      </w:r>
      <w:r w:rsidR="00371F0A" w:rsidRPr="004C6591">
        <w:rPr>
          <w:lang w:val="en-AU"/>
        </w:rPr>
        <w:t>locally advanced or metastatic breast cancer</w:t>
      </w:r>
      <w:r w:rsidR="00902632" w:rsidRPr="004C6591">
        <w:rPr>
          <w:lang w:val="en-AU"/>
        </w:rPr>
        <w:t>.</w:t>
      </w:r>
    </w:p>
    <w:tbl>
      <w:tblPr>
        <w:tblStyle w:val="TableGrid"/>
        <w:tblW w:w="4885" w:type="pct"/>
        <w:tblInd w:w="0" w:type="dxa"/>
        <w:tblLook w:val="04A0" w:firstRow="1" w:lastRow="0" w:firstColumn="1" w:lastColumn="0" w:noHBand="0" w:noVBand="1"/>
      </w:tblPr>
      <w:tblGrid>
        <w:gridCol w:w="3191"/>
        <w:gridCol w:w="6160"/>
      </w:tblGrid>
      <w:tr w:rsidR="004C3598" w:rsidRPr="004C6591" w14:paraId="2B688986" w14:textId="77777777" w:rsidTr="004C3598">
        <w:tc>
          <w:tcPr>
            <w:tcW w:w="1706" w:type="pct"/>
          </w:tcPr>
          <w:p w14:paraId="3E582488" w14:textId="77777777" w:rsidR="004C3598" w:rsidRPr="004C6591" w:rsidRDefault="004C3598">
            <w:pPr>
              <w:pStyle w:val="TableText0"/>
            </w:pPr>
            <w:r w:rsidRPr="004C6591">
              <w:rPr>
                <w:b/>
                <w:bCs/>
              </w:rPr>
              <w:t>Setting/Guidelines</w:t>
            </w:r>
          </w:p>
        </w:tc>
        <w:tc>
          <w:tcPr>
            <w:tcW w:w="3294" w:type="pct"/>
          </w:tcPr>
          <w:p w14:paraId="567E48F3" w14:textId="77777777" w:rsidR="004C3598" w:rsidRPr="004C6591" w:rsidRDefault="004C3598">
            <w:pPr>
              <w:pStyle w:val="TableText0"/>
            </w:pPr>
            <w:r w:rsidRPr="004C6591">
              <w:rPr>
                <w:b/>
                <w:bCs/>
              </w:rPr>
              <w:t xml:space="preserve">First line treatment options </w:t>
            </w:r>
          </w:p>
        </w:tc>
      </w:tr>
      <w:tr w:rsidR="004C3598" w:rsidRPr="004C6591" w14:paraId="3B77E86D" w14:textId="77777777" w:rsidTr="005F5725">
        <w:tc>
          <w:tcPr>
            <w:tcW w:w="1706" w:type="pct"/>
          </w:tcPr>
          <w:p w14:paraId="6470AECC" w14:textId="77777777" w:rsidR="004C3598" w:rsidRPr="004C6591" w:rsidRDefault="004C3598">
            <w:pPr>
              <w:pStyle w:val="TableText0"/>
            </w:pPr>
            <w:r w:rsidRPr="004C6591">
              <w:t>Australian clinical practice</w:t>
            </w:r>
          </w:p>
        </w:tc>
        <w:tc>
          <w:tcPr>
            <w:tcW w:w="3294" w:type="pct"/>
            <w:shd w:val="clear" w:color="auto" w:fill="auto"/>
          </w:tcPr>
          <w:p w14:paraId="51EEAF23" w14:textId="77777777" w:rsidR="004C3598" w:rsidRPr="004C6591" w:rsidRDefault="004C3598">
            <w:pPr>
              <w:pStyle w:val="TableText0"/>
              <w:rPr>
                <w:vertAlign w:val="superscript"/>
              </w:rPr>
            </w:pPr>
            <w:r w:rsidRPr="004C6591">
              <w:rPr>
                <w:highlight w:val="lightGray"/>
              </w:rPr>
              <w:t>ET</w:t>
            </w:r>
            <w:r w:rsidRPr="004C6591">
              <w:rPr>
                <w:highlight w:val="lightGray"/>
                <w:vertAlign w:val="superscript"/>
              </w:rPr>
              <w:t>a</w:t>
            </w:r>
            <w:r w:rsidRPr="004C6591">
              <w:rPr>
                <w:highlight w:val="lightGray"/>
              </w:rPr>
              <w:t xml:space="preserve"> +/- CDK4/6 inhibitor</w:t>
            </w:r>
            <w:r w:rsidRPr="004C6591">
              <w:rPr>
                <w:highlight w:val="lightGray"/>
                <w:vertAlign w:val="superscript"/>
              </w:rPr>
              <w:t>b</w:t>
            </w:r>
          </w:p>
        </w:tc>
      </w:tr>
      <w:tr w:rsidR="004C3598" w:rsidRPr="004C6591" w14:paraId="068DB61B" w14:textId="77777777" w:rsidTr="004C3598">
        <w:tc>
          <w:tcPr>
            <w:tcW w:w="1706" w:type="pct"/>
            <w:vMerge w:val="restart"/>
          </w:tcPr>
          <w:p w14:paraId="021C610A" w14:textId="77777777" w:rsidR="004C3598" w:rsidRPr="004C6591" w:rsidRDefault="004C3598">
            <w:pPr>
              <w:pStyle w:val="TableText0"/>
            </w:pPr>
            <w:r w:rsidRPr="004C6591">
              <w:t>ESMO guidelines (2021)</w:t>
            </w:r>
          </w:p>
        </w:tc>
        <w:tc>
          <w:tcPr>
            <w:tcW w:w="3294" w:type="pct"/>
          </w:tcPr>
          <w:p w14:paraId="15C35C08" w14:textId="77777777" w:rsidR="004C3598" w:rsidRPr="004C6591" w:rsidRDefault="004C3598">
            <w:pPr>
              <w:pStyle w:val="TableText0"/>
            </w:pPr>
            <w:r w:rsidRPr="004C6591">
              <w:t>Preferred:</w:t>
            </w:r>
          </w:p>
          <w:p w14:paraId="02AE5682" w14:textId="77777777" w:rsidR="004C3598" w:rsidRPr="004C6591" w:rsidRDefault="004C3598">
            <w:pPr>
              <w:pStyle w:val="TableText0"/>
              <w:numPr>
                <w:ilvl w:val="0"/>
                <w:numId w:val="30"/>
              </w:numPr>
            </w:pPr>
            <w:r w:rsidRPr="004C6591">
              <w:t>AI</w:t>
            </w:r>
            <w:r w:rsidRPr="004C6591">
              <w:rPr>
                <w:vertAlign w:val="superscript"/>
              </w:rPr>
              <w:t>c</w:t>
            </w:r>
            <w:r w:rsidRPr="004C6591">
              <w:t xml:space="preserve"> + CDK4/6 inhibitor</w:t>
            </w:r>
          </w:p>
          <w:p w14:paraId="75397B29" w14:textId="77777777" w:rsidR="004C3598" w:rsidRPr="004C6591" w:rsidRDefault="004C3598">
            <w:pPr>
              <w:pStyle w:val="TableText0"/>
              <w:numPr>
                <w:ilvl w:val="0"/>
                <w:numId w:val="30"/>
              </w:numPr>
            </w:pPr>
            <w:r w:rsidRPr="004C6591">
              <w:rPr>
                <w:highlight w:val="lightGray"/>
              </w:rPr>
              <w:t>Fulvestrant + CDK4/6 inhibitor</w:t>
            </w:r>
          </w:p>
        </w:tc>
      </w:tr>
      <w:tr w:rsidR="004C3598" w:rsidRPr="004C6591" w14:paraId="47AAFE59" w14:textId="77777777" w:rsidTr="004C3598">
        <w:tc>
          <w:tcPr>
            <w:tcW w:w="1706" w:type="pct"/>
            <w:vMerge/>
          </w:tcPr>
          <w:p w14:paraId="058FEA8D" w14:textId="77777777" w:rsidR="004C3598" w:rsidRPr="004C6591" w:rsidRDefault="004C3598">
            <w:pPr>
              <w:pStyle w:val="TableText0"/>
            </w:pPr>
          </w:p>
        </w:tc>
        <w:tc>
          <w:tcPr>
            <w:tcW w:w="3294" w:type="pct"/>
          </w:tcPr>
          <w:p w14:paraId="7D25D44C" w14:textId="77777777" w:rsidR="004C3598" w:rsidRPr="004C6591" w:rsidRDefault="004C3598">
            <w:pPr>
              <w:pStyle w:val="TableText0"/>
            </w:pPr>
            <w:r w:rsidRPr="004C6591">
              <w:t>Others:</w:t>
            </w:r>
          </w:p>
          <w:p w14:paraId="2F4E66D7" w14:textId="77777777" w:rsidR="004C3598" w:rsidRPr="004C6591" w:rsidRDefault="004C3598">
            <w:pPr>
              <w:pStyle w:val="TableText0"/>
              <w:numPr>
                <w:ilvl w:val="0"/>
                <w:numId w:val="37"/>
              </w:numPr>
            </w:pPr>
            <w:r w:rsidRPr="004C6591">
              <w:t>ET monotherapy</w:t>
            </w:r>
          </w:p>
        </w:tc>
      </w:tr>
      <w:tr w:rsidR="004C3598" w:rsidRPr="004C6591" w14:paraId="0775C287" w14:textId="77777777" w:rsidTr="004C3598">
        <w:tc>
          <w:tcPr>
            <w:tcW w:w="1706" w:type="pct"/>
            <w:vMerge w:val="restart"/>
          </w:tcPr>
          <w:p w14:paraId="05EC83F6" w14:textId="77777777" w:rsidR="004C3598" w:rsidRPr="004C6591" w:rsidRDefault="004C3598">
            <w:pPr>
              <w:pStyle w:val="TableText0"/>
            </w:pPr>
            <w:r w:rsidRPr="004C6591">
              <w:t>NCCN Breast Cancer guidelines (2024)</w:t>
            </w:r>
          </w:p>
        </w:tc>
        <w:tc>
          <w:tcPr>
            <w:tcW w:w="3294" w:type="pct"/>
          </w:tcPr>
          <w:p w14:paraId="5D8F2FDC" w14:textId="77777777" w:rsidR="004C3598" w:rsidRPr="004C6591" w:rsidRDefault="004C3598">
            <w:pPr>
              <w:pStyle w:val="TableText0"/>
            </w:pPr>
            <w:r w:rsidRPr="004C6591">
              <w:t>Preferred:</w:t>
            </w:r>
          </w:p>
          <w:p w14:paraId="592BED4D" w14:textId="77777777" w:rsidR="004C3598" w:rsidRPr="004C6591" w:rsidRDefault="004C3598">
            <w:pPr>
              <w:pStyle w:val="TableText0"/>
              <w:numPr>
                <w:ilvl w:val="0"/>
                <w:numId w:val="35"/>
              </w:numPr>
            </w:pPr>
            <w:r w:rsidRPr="004C6591">
              <w:t>AI + CDK4/6 inhibitor</w:t>
            </w:r>
          </w:p>
          <w:p w14:paraId="053B8FC6" w14:textId="77777777" w:rsidR="004C3598" w:rsidRPr="004C6591" w:rsidRDefault="004C3598">
            <w:pPr>
              <w:pStyle w:val="TableText0"/>
              <w:numPr>
                <w:ilvl w:val="0"/>
                <w:numId w:val="35"/>
              </w:numPr>
            </w:pPr>
            <w:r w:rsidRPr="004C6591">
              <w:rPr>
                <w:highlight w:val="lightGray"/>
              </w:rPr>
              <w:t>Fulvestrant + CDK4/6 inhibitor</w:t>
            </w:r>
          </w:p>
        </w:tc>
      </w:tr>
      <w:tr w:rsidR="004C3598" w:rsidRPr="004C6591" w14:paraId="02C1E2B5" w14:textId="77777777" w:rsidTr="004C3598">
        <w:tc>
          <w:tcPr>
            <w:tcW w:w="1706" w:type="pct"/>
            <w:vMerge/>
          </w:tcPr>
          <w:p w14:paraId="4BB46EF6" w14:textId="77777777" w:rsidR="004C3598" w:rsidRPr="004C6591" w:rsidRDefault="004C3598">
            <w:pPr>
              <w:pStyle w:val="TableText0"/>
            </w:pPr>
          </w:p>
        </w:tc>
        <w:tc>
          <w:tcPr>
            <w:tcW w:w="3294" w:type="pct"/>
          </w:tcPr>
          <w:p w14:paraId="6411BCDD" w14:textId="77777777" w:rsidR="004C3598" w:rsidRPr="004C6591" w:rsidRDefault="004C3598">
            <w:pPr>
              <w:pStyle w:val="TableText0"/>
            </w:pPr>
            <w:r w:rsidRPr="004C6591">
              <w:t>Others:</w:t>
            </w:r>
          </w:p>
          <w:p w14:paraId="178760E6" w14:textId="77777777" w:rsidR="004C3598" w:rsidRPr="004C6591" w:rsidRDefault="004C3598">
            <w:pPr>
              <w:pStyle w:val="TableText0"/>
              <w:numPr>
                <w:ilvl w:val="0"/>
                <w:numId w:val="36"/>
              </w:numPr>
            </w:pPr>
            <w:r w:rsidRPr="004C6591">
              <w:t>Fulvestrant + AI</w:t>
            </w:r>
          </w:p>
          <w:p w14:paraId="3F9D1FA3" w14:textId="77777777" w:rsidR="004C3598" w:rsidRPr="004C6591" w:rsidRDefault="004C3598">
            <w:pPr>
              <w:pStyle w:val="TableText0"/>
              <w:numPr>
                <w:ilvl w:val="0"/>
                <w:numId w:val="36"/>
              </w:numPr>
            </w:pPr>
            <w:r w:rsidRPr="004C6591">
              <w:t>Fulvestrant monotherapy</w:t>
            </w:r>
          </w:p>
          <w:p w14:paraId="09D38004" w14:textId="77777777" w:rsidR="004C3598" w:rsidRPr="004C6591" w:rsidRDefault="004C3598">
            <w:pPr>
              <w:pStyle w:val="TableText0"/>
              <w:numPr>
                <w:ilvl w:val="0"/>
                <w:numId w:val="36"/>
              </w:numPr>
            </w:pPr>
            <w:r w:rsidRPr="004C6591">
              <w:t>AI monotherapy</w:t>
            </w:r>
          </w:p>
          <w:p w14:paraId="11E2DE17" w14:textId="77777777" w:rsidR="004C3598" w:rsidRPr="004C6591" w:rsidRDefault="004C3598">
            <w:pPr>
              <w:pStyle w:val="TableText0"/>
              <w:numPr>
                <w:ilvl w:val="0"/>
                <w:numId w:val="36"/>
              </w:numPr>
            </w:pPr>
            <w:r w:rsidRPr="004C6591">
              <w:t>SERM monotherapy</w:t>
            </w:r>
          </w:p>
        </w:tc>
      </w:tr>
    </w:tbl>
    <w:p w14:paraId="6322EAAE" w14:textId="0AB3AAAC" w:rsidR="00CE7413" w:rsidRPr="004C6591" w:rsidRDefault="00CE7413" w:rsidP="00CE7413">
      <w:pPr>
        <w:pStyle w:val="Tablenotes"/>
      </w:pPr>
      <w:r w:rsidRPr="004C6591">
        <w:t xml:space="preserve">Abbreviations: AI=aromatase inhibitor; ET=endocrine therapy; </w:t>
      </w:r>
      <w:r w:rsidR="006C269E" w:rsidRPr="004C6591">
        <w:t xml:space="preserve">ESMO = European Society for Medical Oncology; </w:t>
      </w:r>
      <w:r w:rsidRPr="004C6591">
        <w:t>CDK=cyclin D-dependent kinase; HR+/HER2-= hormone receptor positive, human epidermal growth factor receptor 2 negative;</w:t>
      </w:r>
      <w:r w:rsidR="001F0CD2" w:rsidRPr="004C6591">
        <w:t xml:space="preserve"> </w:t>
      </w:r>
      <w:r w:rsidR="006C269E" w:rsidRPr="004C6591">
        <w:t>NCCN = National Comprehensive Cancer Network</w:t>
      </w:r>
      <w:r w:rsidR="00F7250C" w:rsidRPr="004C6591">
        <w:t xml:space="preserve">; </w:t>
      </w:r>
      <w:r w:rsidRPr="004C6591">
        <w:t>SERM=selective estrogen receptor modulator</w:t>
      </w:r>
      <w:r w:rsidR="00D5284E" w:rsidRPr="004C6591">
        <w:t>.</w:t>
      </w:r>
    </w:p>
    <w:p w14:paraId="4D920681" w14:textId="31512403" w:rsidR="00CE7413" w:rsidRPr="004C6591" w:rsidRDefault="00CE7413" w:rsidP="00CE7413">
      <w:pPr>
        <w:pStyle w:val="Tablenotes"/>
      </w:pPr>
      <w:r w:rsidRPr="004C6591">
        <w:t>Note: Grey shad</w:t>
      </w:r>
      <w:r w:rsidR="008F7586" w:rsidRPr="004C6591">
        <w:t>ing</w:t>
      </w:r>
      <w:r w:rsidRPr="004C6591">
        <w:t xml:space="preserve"> indicates applicant’s proposed comparator, as aligned with key trial INAVO120.</w:t>
      </w:r>
    </w:p>
    <w:p w14:paraId="761065EA" w14:textId="77777777" w:rsidR="00CE7413" w:rsidRPr="004C6591" w:rsidRDefault="00CE7413" w:rsidP="0057498A">
      <w:pPr>
        <w:pStyle w:val="Tablenotes"/>
        <w:contextualSpacing/>
      </w:pPr>
      <w:r w:rsidRPr="004C6591">
        <w:rPr>
          <w:vertAlign w:val="superscript"/>
        </w:rPr>
        <w:t>a</w:t>
      </w:r>
      <w:r w:rsidRPr="004C6591">
        <w:t xml:space="preserve"> Endocrine therapy includes aromatase inhibitor, fulvestrant and tamoxifen (SERM).</w:t>
      </w:r>
    </w:p>
    <w:p w14:paraId="6E22C727" w14:textId="77777777" w:rsidR="00CE7413" w:rsidRPr="004C6591" w:rsidRDefault="00CE7413" w:rsidP="0057498A">
      <w:pPr>
        <w:pStyle w:val="Tablenotes"/>
        <w:contextualSpacing/>
      </w:pPr>
      <w:r w:rsidRPr="004C6591">
        <w:rPr>
          <w:vertAlign w:val="superscript"/>
        </w:rPr>
        <w:t>b</w:t>
      </w:r>
      <w:r w:rsidRPr="004C6591">
        <w:t xml:space="preserve"> CDK4/6 inhibitor includes palbociclib, ribociclib and abemaciclib.</w:t>
      </w:r>
    </w:p>
    <w:p w14:paraId="473F1AD4" w14:textId="77777777" w:rsidR="00CE7413" w:rsidRPr="004C6591" w:rsidRDefault="00CE7413" w:rsidP="0057498A">
      <w:pPr>
        <w:pStyle w:val="Tablenotes"/>
        <w:contextualSpacing/>
      </w:pPr>
      <w:r w:rsidRPr="004C6591">
        <w:rPr>
          <w:vertAlign w:val="superscript"/>
        </w:rPr>
        <w:t>c</w:t>
      </w:r>
      <w:r w:rsidRPr="004C6591">
        <w:t xml:space="preserve"> Aromatase inhibitor includes anastrozole, letrozole and exemestane.</w:t>
      </w:r>
    </w:p>
    <w:bookmarkEnd w:id="8"/>
    <w:p w14:paraId="395F068E" w14:textId="1234ADC1" w:rsidR="002A29F3" w:rsidRPr="004C6591" w:rsidRDefault="009F197F" w:rsidP="002A29F3">
      <w:r w:rsidRPr="004C6591">
        <w:t xml:space="preserve">Targeted treatment </w:t>
      </w:r>
      <w:r w:rsidR="00B337F6" w:rsidRPr="004C6591">
        <w:t xml:space="preserve">for patients with </w:t>
      </w:r>
      <w:r w:rsidRPr="004C6591">
        <w:rPr>
          <w:i/>
          <w:iCs/>
        </w:rPr>
        <w:t>PIK3CA</w:t>
      </w:r>
      <w:r w:rsidRPr="004C6591">
        <w:t xml:space="preserve"> </w:t>
      </w:r>
      <w:r w:rsidR="00455A80" w:rsidRPr="004C6591">
        <w:t xml:space="preserve">variants </w:t>
      </w:r>
      <w:r w:rsidRPr="004C6591">
        <w:t xml:space="preserve">is recommended as </w:t>
      </w:r>
      <w:r w:rsidR="1496E0C5" w:rsidRPr="004C6591">
        <w:t>second</w:t>
      </w:r>
      <w:r w:rsidR="006F5643" w:rsidRPr="004C6591">
        <w:t xml:space="preserve"> line</w:t>
      </w:r>
      <w:r w:rsidRPr="004C6591">
        <w:t xml:space="preserve"> </w:t>
      </w:r>
      <w:r w:rsidR="1496E0C5" w:rsidRPr="004C6591">
        <w:t>(</w:t>
      </w:r>
      <w:r w:rsidR="7655DAFE" w:rsidRPr="004C6591">
        <w:t>2L</w:t>
      </w:r>
      <w:r w:rsidR="3F1E2AE9" w:rsidRPr="004C6591">
        <w:t>)</w:t>
      </w:r>
      <w:r w:rsidR="714807B2" w:rsidRPr="004C6591">
        <w:t xml:space="preserve"> and subsequent line</w:t>
      </w:r>
      <w:r w:rsidR="7655DAFE" w:rsidRPr="004C6591">
        <w:t xml:space="preserve"> </w:t>
      </w:r>
      <w:r w:rsidRPr="004C6591">
        <w:t>therapy</w:t>
      </w:r>
      <w:r w:rsidR="000A2C00" w:rsidRPr="004C6591">
        <w:t xml:space="preserve"> for HR+/HER2- mBC</w:t>
      </w:r>
      <w:r w:rsidRPr="004C6591">
        <w:t xml:space="preserve"> in most guidelines. </w:t>
      </w:r>
      <w:r w:rsidR="00242F70" w:rsidRPr="004C6591">
        <w:t xml:space="preserve">The National Institute for Health and Care Excellence </w:t>
      </w:r>
      <w:r w:rsidR="00242F70" w:rsidRPr="004C6591">
        <w:fldChar w:fldCharType="begin"/>
      </w:r>
      <w:r w:rsidR="00A00489" w:rsidRPr="004C6591">
        <w:instrText xml:space="preserve"> ADDIN EN.CITE &lt;EndNote&gt;&lt;Cite ExcludeAuth="1" ExcludeYear="1"&gt;&lt;Author&gt;NICE (National Institure for Health and Care Excellence)&lt;/Author&gt;&lt;Year&gt;2022&lt;/Year&gt;&lt;RecNum&gt;23&lt;/RecNum&gt;&lt;Prefix&gt;NICE 2022&lt;/Prefix&gt;&lt;DisplayText&gt;(NICE 2022)&lt;/DisplayText&gt;&lt;record&gt;&lt;rec-number&gt;23&lt;/rec-number&gt;&lt;foreign-keys&gt;&lt;key app="EN" db-id="dw2s0a0pxte05aexpvnx2awre9s0vxdepfat" timestamp="1717991681"&gt;23&lt;/key&gt;&lt;/foreign-keys&gt;&lt;ref-type name="Report"&gt;27&lt;/ref-type&gt;&lt;contributors&gt;&lt;authors&gt;&lt;author&gt;NICE (National Institure for Health and Care Excellence),&lt;/author&gt;&lt;/authors&gt;&lt;/contributors&gt;&lt;titles&gt;&lt;title&gt;Final appraisal document - Alpelisib with fulvestrant for treating hormone receptor-positive, HER2-negative, PIK3CAmutated advanced breast cancer [ID3929]&lt;/title&gt;&lt;/titles&gt;&lt;dates&gt;&lt;year&gt;2022&lt;/year&gt;&lt;/dates&gt;&lt;urls&gt;&lt;related-urls&gt;&lt;url&gt;https://www.nice.org.uk/guidance/ta816/documents/final-appraisal-determination-document#:~:text=Alpelisib%20plus%20fulvestrant%20meets%20NICE&amp;apos;s,alpelisib%20plus%20fulvestrant%20is%20recommended.&lt;/url&gt;&lt;/related-urls&gt;&lt;/urls&gt;&lt;/record&gt;&lt;/Cite&gt;&lt;/EndNote&gt;</w:instrText>
      </w:r>
      <w:r w:rsidR="00242F70" w:rsidRPr="004C6591">
        <w:fldChar w:fldCharType="separate"/>
      </w:r>
      <w:r w:rsidR="00242F70" w:rsidRPr="004C6591">
        <w:t>(NICE 2022)</w:t>
      </w:r>
      <w:r w:rsidR="00242F70" w:rsidRPr="004C6591">
        <w:fldChar w:fldCharType="end"/>
      </w:r>
      <w:r w:rsidRPr="004C6591">
        <w:t>, ESMO</w:t>
      </w:r>
      <w:r w:rsidR="0075591F" w:rsidRPr="004C6591">
        <w:t xml:space="preserve"> guidelines</w:t>
      </w:r>
      <w:r w:rsidRPr="004C6591">
        <w:t xml:space="preserve"> </w:t>
      </w:r>
      <w:r w:rsidR="005E407F" w:rsidRPr="004C6591">
        <w:t>(</w:t>
      </w:r>
      <w:r w:rsidRPr="004C6591">
        <w:t>2021</w:t>
      </w:r>
      <w:r w:rsidR="005E407F" w:rsidRPr="004C6591">
        <w:t>)</w:t>
      </w:r>
      <w:r w:rsidRPr="004C6591">
        <w:t xml:space="preserve"> and NCCN</w:t>
      </w:r>
      <w:r w:rsidR="00E34ED8" w:rsidRPr="004C6591">
        <w:t xml:space="preserve"> Breast Cancer</w:t>
      </w:r>
      <w:r w:rsidR="0075591F" w:rsidRPr="004C6591">
        <w:t xml:space="preserve"> guidelines</w:t>
      </w:r>
      <w:r w:rsidRPr="004C6591">
        <w:t xml:space="preserve"> </w:t>
      </w:r>
      <w:r w:rsidR="005E407F" w:rsidRPr="004C6591">
        <w:t>(</w:t>
      </w:r>
      <w:r w:rsidRPr="004C6591">
        <w:t>2024</w:t>
      </w:r>
      <w:r w:rsidR="005E407F" w:rsidRPr="004C6591">
        <w:t>)</w:t>
      </w:r>
      <w:r w:rsidR="00242F70" w:rsidRPr="004C6591">
        <w:t xml:space="preserve"> recommended alpelisib + fulvestrant as a 2L treatment option in patients with HR+/HER2- </w:t>
      </w:r>
      <w:r w:rsidR="00E44F9C" w:rsidRPr="004C6591">
        <w:t>LA/m</w:t>
      </w:r>
      <w:r w:rsidR="00242F70" w:rsidRPr="004C6591">
        <w:t xml:space="preserve">BC with </w:t>
      </w:r>
      <w:r w:rsidR="00242F70" w:rsidRPr="004C6591">
        <w:rPr>
          <w:i/>
          <w:iCs/>
        </w:rPr>
        <w:t>PIK3CA</w:t>
      </w:r>
      <w:r w:rsidR="00242F70" w:rsidRPr="004C6591">
        <w:t xml:space="preserve"> variant</w:t>
      </w:r>
      <w:r w:rsidR="008C5C79" w:rsidRPr="004C6591">
        <w:t>s</w:t>
      </w:r>
      <w:r w:rsidR="00242F70" w:rsidRPr="004C6591">
        <w:t xml:space="preserve">, after disease progression with AI + CDK4/6 inhibitor. </w:t>
      </w:r>
      <w:r w:rsidR="00CF6070" w:rsidRPr="004C6591">
        <w:t>A</w:t>
      </w:r>
      <w:r w:rsidR="00242F70" w:rsidRPr="004C6591">
        <w:t xml:space="preserve">lpelisib is </w:t>
      </w:r>
      <w:r w:rsidR="008C2A58" w:rsidRPr="004C6591">
        <w:t xml:space="preserve">the first </w:t>
      </w:r>
      <w:r w:rsidR="00242F70" w:rsidRPr="004C6591">
        <w:t>PI</w:t>
      </w:r>
      <w:r w:rsidR="008C2A58" w:rsidRPr="004C6591">
        <w:t>3K</w:t>
      </w:r>
      <w:r w:rsidR="00242F70" w:rsidRPr="004C6591">
        <w:t xml:space="preserve"> inhibitor</w:t>
      </w:r>
      <w:r w:rsidR="008C2A58" w:rsidRPr="004C6591">
        <w:t xml:space="preserve"> </w:t>
      </w:r>
      <w:r w:rsidR="00B97D32" w:rsidRPr="004C6591">
        <w:t xml:space="preserve">licensed </w:t>
      </w:r>
      <w:r w:rsidR="008C2A58" w:rsidRPr="004C6591">
        <w:t>w</w:t>
      </w:r>
      <w:r w:rsidR="00821265" w:rsidRPr="004C6591">
        <w:t>ith</w:t>
      </w:r>
      <w:r w:rsidR="001025A2" w:rsidRPr="004C6591">
        <w:t xml:space="preserve"> the United Kingdom’s Medicines and Healthcare </w:t>
      </w:r>
      <w:r w:rsidR="00C85CC8" w:rsidRPr="004C6591">
        <w:t>P</w:t>
      </w:r>
      <w:r w:rsidR="001025A2" w:rsidRPr="004C6591">
        <w:t>roducts Regulatory Agency</w:t>
      </w:r>
      <w:r w:rsidR="00B97D32" w:rsidRPr="004C6591">
        <w:t>,</w:t>
      </w:r>
      <w:r w:rsidR="001025A2" w:rsidRPr="004C6591">
        <w:t xml:space="preserve"> and </w:t>
      </w:r>
      <w:r w:rsidR="00B97D32" w:rsidRPr="004C6591">
        <w:t>it</w:t>
      </w:r>
      <w:r w:rsidR="001025A2" w:rsidRPr="004C6591">
        <w:t xml:space="preserve"> has</w:t>
      </w:r>
      <w:r w:rsidR="008C2A58" w:rsidRPr="004C6591">
        <w:t xml:space="preserve"> high selectiv</w:t>
      </w:r>
      <w:r w:rsidR="00821265" w:rsidRPr="004C6591">
        <w:t>ity for</w:t>
      </w:r>
      <w:r w:rsidR="008C2A58" w:rsidRPr="004C6591">
        <w:t xml:space="preserve"> the catalytic subunit alpha of PI3K</w:t>
      </w:r>
      <w:r w:rsidR="005B53CE" w:rsidRPr="004C6591">
        <w:t xml:space="preserve">, for targeted treatment of HR+/HER2- </w:t>
      </w:r>
      <w:r w:rsidR="009F0232" w:rsidRPr="004C6591">
        <w:t>LA/</w:t>
      </w:r>
      <w:r w:rsidR="005B53CE" w:rsidRPr="004C6591">
        <w:t xml:space="preserve">mBC with </w:t>
      </w:r>
      <w:r w:rsidR="005B53CE" w:rsidRPr="004C6591">
        <w:rPr>
          <w:i/>
          <w:iCs/>
        </w:rPr>
        <w:t>PIK3CA</w:t>
      </w:r>
      <w:r w:rsidR="005B53CE" w:rsidRPr="004C6591">
        <w:t xml:space="preserve"> variant</w:t>
      </w:r>
      <w:r w:rsidR="008C5C79" w:rsidRPr="004C6591">
        <w:t>s</w:t>
      </w:r>
      <w:r w:rsidR="008C2A58" w:rsidRPr="004C6591">
        <w:t xml:space="preserve"> </w:t>
      </w:r>
      <w:r w:rsidR="008C2A58" w:rsidRPr="004C6591">
        <w:fldChar w:fldCharType="begin"/>
      </w:r>
      <w:r w:rsidR="00A00489" w:rsidRPr="004C6591">
        <w:instrText xml:space="preserve"> ADDIN EN.CITE &lt;EndNote&gt;&lt;Cite ExcludeAuth="1" ExcludeYear="1"&gt;&lt;Author&gt;NICE (National Institure for Health and Care Excellence)&lt;/Author&gt;&lt;Year&gt;2022&lt;/Year&gt;&lt;RecNum&gt;23&lt;/RecNum&gt;&lt;Prefix&gt;NICE 2022&lt;/Prefix&gt;&lt;DisplayText&gt;(NICE 2022)&lt;/DisplayText&gt;&lt;record&gt;&lt;rec-number&gt;23&lt;/rec-number&gt;&lt;foreign-keys&gt;&lt;key app="EN" db-id="dw2s0a0pxte05aexpvnx2awre9s0vxdepfat" timestamp="1717991681"&gt;23&lt;/key&gt;&lt;/foreign-keys&gt;&lt;ref-type name="Report"&gt;27&lt;/ref-type&gt;&lt;contributors&gt;&lt;authors&gt;&lt;author&gt;NICE (National Institure for Health and Care Excellence),&lt;/author&gt;&lt;/authors&gt;&lt;/contributors&gt;&lt;titles&gt;&lt;title&gt;Final appraisal document - Alpelisib with fulvestrant for treating hormone receptor-positive, HER2-negative, PIK3CAmutated advanced breast cancer [ID3929]&lt;/title&gt;&lt;/titles&gt;&lt;dates&gt;&lt;year&gt;2022&lt;/year&gt;&lt;/dates&gt;&lt;urls&gt;&lt;related-urls&gt;&lt;url&gt;https://www.nice.org.uk/guidance/ta816/documents/final-appraisal-determination-document#:~:text=Alpelisib%20plus%20fulvestrant%20meets%20NICE&amp;apos;s,alpelisib%20plus%20fulvestrant%20is%20recommended.&lt;/url&gt;&lt;/related-urls&gt;&lt;/urls&gt;&lt;/record&gt;&lt;/Cite&gt;&lt;/EndNote&gt;</w:instrText>
      </w:r>
      <w:r w:rsidR="008C2A58" w:rsidRPr="004C6591">
        <w:fldChar w:fldCharType="separate"/>
      </w:r>
      <w:r w:rsidR="008C2A58" w:rsidRPr="004C6591">
        <w:t>(NICE 2022)</w:t>
      </w:r>
      <w:r w:rsidR="008C2A58" w:rsidRPr="004C6591">
        <w:fldChar w:fldCharType="end"/>
      </w:r>
      <w:r w:rsidR="008C2A58" w:rsidRPr="004C6591">
        <w:t>.</w:t>
      </w:r>
      <w:r w:rsidR="005B36CD" w:rsidRPr="004C6591">
        <w:t xml:space="preserve"> </w:t>
      </w:r>
      <w:r w:rsidR="006C54D4" w:rsidRPr="004C6591">
        <w:t xml:space="preserve">The recommendation </w:t>
      </w:r>
      <w:r w:rsidR="00C310BC" w:rsidRPr="004C6591">
        <w:t>of alpelisib</w:t>
      </w:r>
      <w:r w:rsidR="006C54D4" w:rsidRPr="004C6591">
        <w:t xml:space="preserve"> was based on </w:t>
      </w:r>
      <w:r w:rsidR="0057302E" w:rsidRPr="004C6591">
        <w:t>SOLAR-1</w:t>
      </w:r>
      <w:r w:rsidR="0010110A" w:rsidRPr="004C6591">
        <w:t>, a</w:t>
      </w:r>
      <w:r w:rsidR="006C54D4" w:rsidRPr="004C6591">
        <w:t xml:space="preserve"> phase three randomised controlled trial</w:t>
      </w:r>
      <w:r w:rsidR="0057302E" w:rsidRPr="004C6591">
        <w:t xml:space="preserve">, where patients with </w:t>
      </w:r>
      <w:r w:rsidR="0057302E" w:rsidRPr="004C6591">
        <w:rPr>
          <w:i/>
          <w:iCs/>
        </w:rPr>
        <w:t>PIK3CA</w:t>
      </w:r>
      <w:r w:rsidR="0057302E" w:rsidRPr="004C6591">
        <w:t xml:space="preserve"> variant</w:t>
      </w:r>
      <w:r w:rsidR="005D3267" w:rsidRPr="004C6591">
        <w:t>s</w:t>
      </w:r>
      <w:r w:rsidR="0057302E" w:rsidRPr="004C6591">
        <w:t xml:space="preserve"> </w:t>
      </w:r>
      <w:r w:rsidR="005D3267" w:rsidRPr="004C6591">
        <w:t xml:space="preserve">and treated with alpelisib and fulvestrant </w:t>
      </w:r>
      <w:r w:rsidR="0057302E" w:rsidRPr="004C6591">
        <w:t>showed improve</w:t>
      </w:r>
      <w:r w:rsidR="00CD3DBE" w:rsidRPr="004C6591">
        <w:t>ment in</w:t>
      </w:r>
      <w:r w:rsidR="0057302E" w:rsidRPr="004C6591">
        <w:t xml:space="preserve"> PFS </w:t>
      </w:r>
      <w:r w:rsidR="00E75D5C" w:rsidRPr="004C6591">
        <w:t>with a HR of 0.65 (95% CI: 0.50-0.85)</w:t>
      </w:r>
      <w:r w:rsidR="005D3267" w:rsidRPr="004C6591">
        <w:t xml:space="preserve"> when compared to placebo and fulvestrant</w:t>
      </w:r>
      <w:r w:rsidR="0057302E" w:rsidRPr="004C6591">
        <w:t xml:space="preserve"> </w:t>
      </w:r>
      <w:r w:rsidR="0057302E" w:rsidRPr="004C6591">
        <w:fldChar w:fldCharType="begin"/>
      </w:r>
      <w:r w:rsidR="0057302E" w:rsidRPr="004C6591">
        <w:instrText xml:space="preserve"> ADDIN EN.CITE &lt;EndNote&gt;&lt;Cite&gt;&lt;Author&gt;Gennari&lt;/Author&gt;&lt;Year&gt;2021&lt;/Year&gt;&lt;RecNum&gt;13&lt;/RecNum&gt;&lt;DisplayText&gt;(Gennari et al. 2021)&lt;/DisplayText&gt;&lt;record&gt;&lt;rec-number&gt;13&lt;/rec-number&gt;&lt;foreign-keys&gt;&lt;key app="EN" db-id="dw2s0a0pxte05aexpvnx2awre9s0vxdepfat" timestamp="1717656019"&gt;13&lt;/key&gt;&lt;/foreign-keys&gt;&lt;ref-type name="Journal Article"&gt;17&lt;/ref-type&gt;&lt;contributors&gt;&lt;authors&gt;&lt;author&gt;Gennari, A.&lt;/author&gt;&lt;author&gt;André, F.&lt;/author&gt;&lt;author&gt;Barrios, C. H.&lt;/author&gt;&lt;author&gt;Cortés, J.&lt;/author&gt;&lt;author&gt;De Azambuja, E.&lt;/author&gt;&lt;author&gt;Demichele, A.&lt;/author&gt;&lt;author&gt;Dent, R.&lt;/author&gt;&lt;author&gt;Fenlon, D.&lt;/author&gt;&lt;author&gt;Gligorov, J.&lt;/author&gt;&lt;author&gt;Hurvitz, S. A.&lt;/author&gt;&lt;author&gt;Im, S. A.&lt;/author&gt;&lt;author&gt;Krug, D.&lt;/author&gt;&lt;author&gt;Kunz, W. G.&lt;/author&gt;&lt;author&gt;Loi, S.&lt;/author&gt;&lt;author&gt;Penault-Llorca, F.&lt;/author&gt;&lt;author&gt;Ricke, J.&lt;/author&gt;&lt;author&gt;Robson, M.&lt;/author&gt;&lt;author&gt;Rugo, H. S.&lt;/author&gt;&lt;author&gt;Saura, C.&lt;/author&gt;&lt;author&gt;Schmid, P.&lt;/author&gt;&lt;author&gt;Singer, C. F.&lt;/author&gt;&lt;author&gt;Spanic, T.&lt;/author&gt;&lt;author&gt;Tolaney, S. M.&lt;/author&gt;&lt;author&gt;Turner, N. C.&lt;/author&gt;&lt;author&gt;Curigliano, G.&lt;/author&gt;&lt;author&gt;Loibl, S.&lt;/author&gt;&lt;author&gt;Paluch-Shimon, S.&lt;/author&gt;&lt;author&gt;Harbeck, N.&lt;/author&gt;&lt;/authors&gt;&lt;/contributors&gt;&lt;titles&gt;&lt;title&gt;ESMO Clinical Practice Guideline for the diagnosis, staging and treatment of patients with metastatic breast cancer&lt;/title&gt;&lt;secondary-title&gt;Annals of Oncology&lt;/secondary-title&gt;&lt;/titles&gt;&lt;periodical&gt;&lt;full-title&gt;Annals of Oncology&lt;/full-title&gt;&lt;/periodical&gt;&lt;pages&gt;1475-1495&lt;/pages&gt;&lt;volume&gt;32&lt;/volume&gt;&lt;number&gt;12&lt;/number&gt;&lt;dates&gt;&lt;year&gt;2021&lt;/year&gt;&lt;/dates&gt;&lt;publisher&gt;Elsevier BV&lt;/publisher&gt;&lt;isbn&gt;0923-7534&lt;/isbn&gt;&lt;urls&gt;&lt;related-urls&gt;&lt;url&gt;https://dx.doi.org/10.1016/j.annonc.2021.09.019&lt;/url&gt;&lt;/related-urls&gt;&lt;/urls&gt;&lt;electronic-resource-num&gt;10.1016/j.annonc.2021.09.019&lt;/electronic-resource-num&gt;&lt;/record&gt;&lt;/Cite&gt;&lt;/EndNote&gt;</w:instrText>
      </w:r>
      <w:r w:rsidR="0057302E" w:rsidRPr="004C6591">
        <w:fldChar w:fldCharType="separate"/>
      </w:r>
      <w:r w:rsidR="0057302E" w:rsidRPr="004C6591">
        <w:t>(Gennari et al. 2021)</w:t>
      </w:r>
      <w:r w:rsidR="0057302E" w:rsidRPr="004C6591">
        <w:fldChar w:fldCharType="end"/>
      </w:r>
      <w:r w:rsidR="0057302E" w:rsidRPr="004C6591">
        <w:t>.</w:t>
      </w:r>
      <w:r w:rsidR="00997CE5" w:rsidRPr="004C6591">
        <w:t xml:space="preserve"> Furthermore, alpelisib + fulvestrant was advised as</w:t>
      </w:r>
      <w:r w:rsidR="004B17C4" w:rsidRPr="004C6591">
        <w:t xml:space="preserve"> a</w:t>
      </w:r>
      <w:r w:rsidR="00997CE5" w:rsidRPr="004C6591">
        <w:t xml:space="preserve"> 2L therapy </w:t>
      </w:r>
      <w:r w:rsidR="00A343E6" w:rsidRPr="004C6591">
        <w:t>as a result</w:t>
      </w:r>
      <w:r w:rsidR="00997CE5" w:rsidRPr="004C6591">
        <w:t xml:space="preserve"> of favourable efficacy/toxicity</w:t>
      </w:r>
      <w:r w:rsidR="00DA779B" w:rsidRPr="004C6591">
        <w:t xml:space="preserve"> demonstrated</w:t>
      </w:r>
      <w:r w:rsidR="00997CE5" w:rsidRPr="004C6591">
        <w:t xml:space="preserve"> by ET + CDK4/6 inhibitor</w:t>
      </w:r>
      <w:r w:rsidR="00B337F6" w:rsidRPr="004C6591">
        <w:t xml:space="preserve"> as 1L therapy</w:t>
      </w:r>
      <w:r w:rsidR="00997CE5" w:rsidRPr="004C6591">
        <w:t xml:space="preserve"> </w:t>
      </w:r>
      <w:r w:rsidR="00997CE5" w:rsidRPr="004C6591">
        <w:fldChar w:fldCharType="begin"/>
      </w:r>
      <w:r w:rsidR="00997CE5" w:rsidRPr="004C6591">
        <w:instrText xml:space="preserve"> ADDIN EN.CITE &lt;EndNote&gt;&lt;Cite&gt;&lt;Author&gt;Gennari&lt;/Author&gt;&lt;Year&gt;2021&lt;/Year&gt;&lt;RecNum&gt;13&lt;/RecNum&gt;&lt;DisplayText&gt;(Gennari et al. 2021)&lt;/DisplayText&gt;&lt;record&gt;&lt;rec-number&gt;13&lt;/rec-number&gt;&lt;foreign-keys&gt;&lt;key app="EN" db-id="dw2s0a0pxte05aexpvnx2awre9s0vxdepfat" timestamp="1717656019"&gt;13&lt;/key&gt;&lt;/foreign-keys&gt;&lt;ref-type name="Journal Article"&gt;17&lt;/ref-type&gt;&lt;contributors&gt;&lt;authors&gt;&lt;author&gt;Gennari, A.&lt;/author&gt;&lt;author&gt;André, F.&lt;/author&gt;&lt;author&gt;Barrios, C. H.&lt;/author&gt;&lt;author&gt;Cortés, J.&lt;/author&gt;&lt;author&gt;De Azambuja, E.&lt;/author&gt;&lt;author&gt;Demichele, A.&lt;/author&gt;&lt;author&gt;Dent, R.&lt;/author&gt;&lt;author&gt;Fenlon, D.&lt;/author&gt;&lt;author&gt;Gligorov, J.&lt;/author&gt;&lt;author&gt;Hurvitz, S. A.&lt;/author&gt;&lt;author&gt;Im, S. A.&lt;/author&gt;&lt;author&gt;Krug, D.&lt;/author&gt;&lt;author&gt;Kunz, W. G.&lt;/author&gt;&lt;author&gt;Loi, S.&lt;/author&gt;&lt;author&gt;Penault-Llorca, F.&lt;/author&gt;&lt;author&gt;Ricke, J.&lt;/author&gt;&lt;author&gt;Robson, M.&lt;/author&gt;&lt;author&gt;Rugo, H. S.&lt;/author&gt;&lt;author&gt;Saura, C.&lt;/author&gt;&lt;author&gt;Schmid, P.&lt;/author&gt;&lt;author&gt;Singer, C. F.&lt;/author&gt;&lt;author&gt;Spanic, T.&lt;/author&gt;&lt;author&gt;Tolaney, S. M.&lt;/author&gt;&lt;author&gt;Turner, N. C.&lt;/author&gt;&lt;author&gt;Curigliano, G.&lt;/author&gt;&lt;author&gt;Loibl, S.&lt;/author&gt;&lt;author&gt;Paluch-Shimon, S.&lt;/author&gt;&lt;author&gt;Harbeck, N.&lt;/author&gt;&lt;/authors&gt;&lt;/contributors&gt;&lt;titles&gt;&lt;title&gt;ESMO Clinical Practice Guideline for the diagnosis, staging and treatment of patients with metastatic breast cancer&lt;/title&gt;&lt;secondary-title&gt;Annals of Oncology&lt;/secondary-title&gt;&lt;/titles&gt;&lt;periodical&gt;&lt;full-title&gt;Annals of Oncology&lt;/full-title&gt;&lt;/periodical&gt;&lt;pages&gt;1475-1495&lt;/pages&gt;&lt;volume&gt;32&lt;/volume&gt;&lt;number&gt;12&lt;/number&gt;&lt;dates&gt;&lt;year&gt;2021&lt;/year&gt;&lt;/dates&gt;&lt;publisher&gt;Elsevier BV&lt;/publisher&gt;&lt;isbn&gt;0923-7534&lt;/isbn&gt;&lt;urls&gt;&lt;related-urls&gt;&lt;url&gt;https://dx.doi.org/10.1016/j.annonc.2021.09.019&lt;/url&gt;&lt;/related-urls&gt;&lt;/urls&gt;&lt;electronic-resource-num&gt;10.1016/j.annonc.2021.09.019&lt;/electronic-resource-num&gt;&lt;/record&gt;&lt;/Cite&gt;&lt;/EndNote&gt;</w:instrText>
      </w:r>
      <w:r w:rsidR="00997CE5" w:rsidRPr="004C6591">
        <w:fldChar w:fldCharType="separate"/>
      </w:r>
      <w:r w:rsidR="00997CE5" w:rsidRPr="004C6591">
        <w:t>(Gennari et al. 2021)</w:t>
      </w:r>
      <w:r w:rsidR="00997CE5" w:rsidRPr="004C6591">
        <w:fldChar w:fldCharType="end"/>
      </w:r>
      <w:r w:rsidR="00997CE5" w:rsidRPr="004C6591">
        <w:t>.</w:t>
      </w:r>
      <w:r w:rsidR="002A29F3" w:rsidRPr="004C6591">
        <w:t xml:space="preserve"> </w:t>
      </w:r>
    </w:p>
    <w:p w14:paraId="4735CBC8" w14:textId="7A5C4781" w:rsidR="0053024F" w:rsidRPr="004C6591" w:rsidRDefault="002A29F3" w:rsidP="00036AF6">
      <w:r w:rsidRPr="004C6591">
        <w:t xml:space="preserve">Alpelisib + fulvestrant was TGA-approved and indicated for the treatment of postmenopausal women and men with HR+/HER2- advanced or </w:t>
      </w:r>
      <w:r w:rsidR="006F5DBA" w:rsidRPr="004C6591">
        <w:t>m</w:t>
      </w:r>
      <w:r w:rsidRPr="004C6591">
        <w:t xml:space="preserve">BC with a </w:t>
      </w:r>
      <w:r w:rsidRPr="004C6591">
        <w:rPr>
          <w:i/>
          <w:iCs/>
        </w:rPr>
        <w:t>PIK3CA</w:t>
      </w:r>
      <w:r w:rsidRPr="004C6591">
        <w:t xml:space="preserve"> mutation as detected by a validated test following </w:t>
      </w:r>
      <w:r w:rsidR="4419DF55" w:rsidRPr="004C6591">
        <w:t xml:space="preserve">progression </w:t>
      </w:r>
      <w:r w:rsidRPr="004C6591">
        <w:t xml:space="preserve">on or after an endocrine-based regimen </w:t>
      </w:r>
      <w:r w:rsidRPr="004C6591">
        <w:fldChar w:fldCharType="begin"/>
      </w:r>
      <w:r w:rsidR="00985559" w:rsidRPr="004C6591">
        <w:instrText xml:space="preserve"> ADDIN EN.CITE &lt;EndNote&gt;&lt;Cite ExcludeAuth="1"&gt;&lt;Author&gt;DHAC (Department of Health and Aged Care)&lt;/Author&gt;&lt;Year&gt;2024&lt;/Year&gt;&lt;RecNum&gt;26&lt;/RecNum&gt;&lt;Prefix&gt;DHAC &lt;/Prefix&gt;&lt;DisplayText&gt;(DHAC 2024)&lt;/DisplayText&gt;&lt;record&gt;&lt;rec-number&gt;26&lt;/rec-number&gt;&lt;foreign-keys&gt;&lt;key app="EN" db-id="dw2s0a0pxte05aexpvnx2awre9s0vxdepfat" timestamp="1718004397"&gt;26&lt;/key&gt;&lt;/foreign-keys&gt;&lt;ref-type name="Web Page"&gt;12&lt;/ref-type&gt;&lt;contributors&gt;&lt;authors&gt;&lt;author&gt;DHAC (Department of Health and Aged Care),&lt;/author&gt;&lt;/authors&gt;&lt;/contributors&gt;&lt;titles&gt;&lt;title&gt;ARTG Search Visualisation Tool&lt;/title&gt;&lt;/titles&gt;&lt;volume&gt;2024&lt;/volume&gt;&lt;number&gt;18 June&lt;/number&gt;&lt;dates&gt;&lt;year&gt;2024&lt;/year&gt;&lt;/dates&gt;&lt;publisher&gt;Commonwealth of Australia&lt;/publisher&gt;&lt;work-type&gt;Internet&lt;/work-type&gt;&lt;urls&gt;&lt;related-urls&gt;&lt;url&gt;https://www.tga.gov.au/resources/auspmd/piqray&lt;/url&gt;&lt;/related-urls&gt;&lt;/urls&gt;&lt;/record&gt;&lt;/Cite&gt;&lt;/EndNote&gt;</w:instrText>
      </w:r>
      <w:r w:rsidRPr="004C6591">
        <w:fldChar w:fldCharType="separate"/>
      </w:r>
      <w:r w:rsidR="00052699" w:rsidRPr="004C6591">
        <w:t>(DHAC 2024)</w:t>
      </w:r>
      <w:r w:rsidRPr="004C6591">
        <w:fldChar w:fldCharType="end"/>
      </w:r>
      <w:r w:rsidRPr="004C6591">
        <w:t xml:space="preserve">. </w:t>
      </w:r>
      <w:r w:rsidR="271AFE72" w:rsidRPr="004C6591">
        <w:t xml:space="preserve">However, </w:t>
      </w:r>
      <w:r w:rsidR="21BE3FDC" w:rsidRPr="004C6591">
        <w:t xml:space="preserve">neither </w:t>
      </w:r>
      <w:r w:rsidR="271AFE72" w:rsidRPr="004C6591">
        <w:t xml:space="preserve">alpelisib </w:t>
      </w:r>
      <w:r w:rsidR="56D44808" w:rsidRPr="004C6591">
        <w:t>n</w:t>
      </w:r>
      <w:r w:rsidR="271AFE72" w:rsidRPr="004C6591">
        <w:t>or</w:t>
      </w:r>
      <w:r w:rsidRPr="004C6591">
        <w:t xml:space="preserve"> any</w:t>
      </w:r>
      <w:r w:rsidR="59D9E981" w:rsidRPr="004C6591">
        <w:t xml:space="preserve"> other</w:t>
      </w:r>
      <w:r w:rsidRPr="004C6591">
        <w:t xml:space="preserve"> </w:t>
      </w:r>
      <w:r w:rsidRPr="004C6591">
        <w:rPr>
          <w:i/>
          <w:iCs/>
        </w:rPr>
        <w:t xml:space="preserve">PIK3CA </w:t>
      </w:r>
      <w:r w:rsidRPr="004C6591">
        <w:t>inhibitor is currently PBS-listed in Australia.</w:t>
      </w:r>
      <w:r w:rsidR="00A537A0" w:rsidRPr="004C6591">
        <w:t xml:space="preserve"> </w:t>
      </w:r>
      <w:r w:rsidR="006B66FC" w:rsidRPr="004C6591">
        <w:t>NCCN</w:t>
      </w:r>
      <w:r w:rsidR="00E34ED8" w:rsidRPr="004C6591">
        <w:t xml:space="preserve"> Breast Cancer</w:t>
      </w:r>
      <w:r w:rsidR="006B66FC" w:rsidRPr="004C6591">
        <w:t xml:space="preserve"> </w:t>
      </w:r>
      <w:r w:rsidR="0075591F" w:rsidRPr="004C6591">
        <w:t xml:space="preserve">guidelines </w:t>
      </w:r>
      <w:r w:rsidR="006B66FC" w:rsidRPr="004C6591">
        <w:t xml:space="preserve">(2024) recommended capivasertib + fulvestrant as 2L and subsequent line therapy in </w:t>
      </w:r>
      <w:r w:rsidR="3DB72B1E" w:rsidRPr="004C6591">
        <w:t xml:space="preserve">patients with </w:t>
      </w:r>
      <w:r w:rsidR="02C46B5E" w:rsidRPr="004C6591">
        <w:t>HR</w:t>
      </w:r>
      <w:r w:rsidR="006B66FC" w:rsidRPr="004C6591">
        <w:t xml:space="preserve">+/HER2- mBC with </w:t>
      </w:r>
      <w:r w:rsidR="006B66FC" w:rsidRPr="004C6591">
        <w:rPr>
          <w:i/>
          <w:iCs/>
        </w:rPr>
        <w:t>PIK3CA</w:t>
      </w:r>
      <w:r w:rsidR="2D67137F" w:rsidRPr="004C6591">
        <w:rPr>
          <w:i/>
          <w:iCs/>
        </w:rPr>
        <w:t>,</w:t>
      </w:r>
      <w:r w:rsidR="006B66FC" w:rsidRPr="004C6591">
        <w:rPr>
          <w:i/>
          <w:iCs/>
        </w:rPr>
        <w:t xml:space="preserve"> AKT1</w:t>
      </w:r>
      <w:r w:rsidR="006B66FC" w:rsidRPr="004C6591">
        <w:t xml:space="preserve"> or </w:t>
      </w:r>
      <w:r w:rsidR="006B66FC" w:rsidRPr="004C6591">
        <w:rPr>
          <w:i/>
          <w:iCs/>
        </w:rPr>
        <w:t>PTEN</w:t>
      </w:r>
      <w:r w:rsidR="006B66FC" w:rsidRPr="004C6591">
        <w:t xml:space="preserve"> </w:t>
      </w:r>
      <w:r w:rsidR="4419DF55" w:rsidRPr="004C6591">
        <w:t>variants</w:t>
      </w:r>
      <w:r w:rsidR="54FD4C5E" w:rsidRPr="004C6591">
        <w:t>.</w:t>
      </w:r>
      <w:r w:rsidR="0053024F" w:rsidRPr="004C6591">
        <w:t xml:space="preserve"> The recommendation was based on the CAPItello-291 trial, where</w:t>
      </w:r>
      <w:r w:rsidR="007247AE" w:rsidRPr="004C6591">
        <w:t xml:space="preserve"> </w:t>
      </w:r>
      <w:r w:rsidR="0053024F" w:rsidRPr="004C6591">
        <w:t>the addition of capivasertib to fulvestrant treatment significantly improved PFS</w:t>
      </w:r>
      <w:r w:rsidR="004A2B64" w:rsidRPr="004C6591">
        <w:t xml:space="preserve"> with a HR of 0.50 (95% CI: 0.38-0.65) a</w:t>
      </w:r>
      <w:r w:rsidR="0053024F" w:rsidRPr="004C6591">
        <w:t xml:space="preserve">mong patients with AKT-pathway altered tumours and HR+/HER2- advanced </w:t>
      </w:r>
      <w:r w:rsidR="76B82D65" w:rsidRPr="004C6591">
        <w:t>BC</w:t>
      </w:r>
      <w:r w:rsidR="0053024F" w:rsidRPr="004C6591">
        <w:t xml:space="preserve">, who </w:t>
      </w:r>
      <w:r w:rsidR="0053024F" w:rsidRPr="004C6591">
        <w:lastRenderedPageBreak/>
        <w:t>had disease progression during or after previous AI therapy, with or without a CDK4/6 inhibitor, when compared to treatment with fulvestrant alone (Turner et al. 2023).</w:t>
      </w:r>
    </w:p>
    <w:p w14:paraId="2C63F8DE" w14:textId="6FA27555" w:rsidR="0039370F" w:rsidRPr="004C6591" w:rsidRDefault="007247AE" w:rsidP="0039370F">
      <w:r w:rsidRPr="004C6591">
        <w:t xml:space="preserve">Capivasertib was </w:t>
      </w:r>
      <w:r w:rsidR="005D0CBA" w:rsidRPr="004C6591">
        <w:t>registered on the ARTG on 9</w:t>
      </w:r>
      <w:r w:rsidR="005D0CBA" w:rsidRPr="004C6591">
        <w:rPr>
          <w:vertAlign w:val="superscript"/>
        </w:rPr>
        <w:t>th</w:t>
      </w:r>
      <w:r w:rsidR="005D0CBA" w:rsidRPr="004C6591">
        <w:t xml:space="preserve"> May 2024</w:t>
      </w:r>
      <w:r w:rsidRPr="004C6591">
        <w:t xml:space="preserve"> </w:t>
      </w:r>
      <w:r w:rsidR="00340759" w:rsidRPr="004C6591">
        <w:t>with the following indication</w:t>
      </w:r>
      <w:r w:rsidR="0027103B" w:rsidRPr="004C6591">
        <w:t>:</w:t>
      </w:r>
      <w:r w:rsidR="00340759" w:rsidRPr="004C6591">
        <w:t xml:space="preserve"> </w:t>
      </w:r>
      <w:r w:rsidR="0027103B" w:rsidRPr="004C6591">
        <w:t>‘</w:t>
      </w:r>
      <w:r w:rsidR="00340759" w:rsidRPr="004C6591">
        <w:t>Capivasertib</w:t>
      </w:r>
      <w:r w:rsidRPr="004C6591">
        <w:t xml:space="preserve"> </w:t>
      </w:r>
      <w:r w:rsidR="00340759" w:rsidRPr="004C6591">
        <w:t xml:space="preserve">is </w:t>
      </w:r>
      <w:r w:rsidRPr="004C6591">
        <w:t xml:space="preserve">indicated </w:t>
      </w:r>
      <w:r w:rsidR="00340759" w:rsidRPr="004C6591">
        <w:t>in combination with fulvestrant</w:t>
      </w:r>
      <w:r w:rsidRPr="004C6591">
        <w:t xml:space="preserve"> for the treatment of adult patients with HR+</w:t>
      </w:r>
      <w:r w:rsidR="00340759" w:rsidRPr="004C6591">
        <w:t xml:space="preserve">, </w:t>
      </w:r>
      <w:r w:rsidRPr="004C6591">
        <w:t xml:space="preserve">HER2- (defined as IHC 0 or 1+, or IHC 2+/ISH-) </w:t>
      </w:r>
      <w:r w:rsidR="3EBD9E7C" w:rsidRPr="004C6591">
        <w:t>LA/</w:t>
      </w:r>
      <w:r w:rsidR="6989CAD2" w:rsidRPr="004C6591">
        <w:t>mBC</w:t>
      </w:r>
      <w:r w:rsidRPr="004C6591">
        <w:t xml:space="preserve"> following recurrence or progression on or after an endocrine based regimen</w:t>
      </w:r>
      <w:r w:rsidR="0027103B" w:rsidRPr="004C6591">
        <w:t>’</w:t>
      </w:r>
      <w:r w:rsidR="00052699" w:rsidRPr="004C6591">
        <w:t xml:space="preserve"> </w:t>
      </w:r>
      <w:r w:rsidR="00052699" w:rsidRPr="004C6591">
        <w:fldChar w:fldCharType="begin"/>
      </w:r>
      <w:r w:rsidR="00985559" w:rsidRPr="004C6591">
        <w:instrText xml:space="preserve"> ADDIN EN.CITE &lt;EndNote&gt;&lt;Cite ExcludeAuth="1"&gt;&lt;Author&gt;DHAC (Department of Health and Aged Care)&lt;/Author&gt;&lt;Year&gt;2024&lt;/Year&gt;&lt;RecNum&gt;26&lt;/RecNum&gt;&lt;Prefix&gt;DHAC &lt;/Prefix&gt;&lt;DisplayText&gt;(DHAC 2024)&lt;/DisplayText&gt;&lt;record&gt;&lt;rec-number&gt;26&lt;/rec-number&gt;&lt;foreign-keys&gt;&lt;key app="EN" db-id="dw2s0a0pxte05aexpvnx2awre9s0vxdepfat" timestamp="1718004397"&gt;26&lt;/key&gt;&lt;/foreign-keys&gt;&lt;ref-type name="Web Page"&gt;12&lt;/ref-type&gt;&lt;contributors&gt;&lt;authors&gt;&lt;author&gt;DHAC (Department of Health and Aged Care),&lt;/author&gt;&lt;/authors&gt;&lt;/contributors&gt;&lt;titles&gt;&lt;title&gt;ARTG Search Visualisation Tool&lt;/title&gt;&lt;/titles&gt;&lt;volume&gt;2024&lt;/volume&gt;&lt;number&gt;18 June&lt;/number&gt;&lt;dates&gt;&lt;year&gt;2024&lt;/year&gt;&lt;/dates&gt;&lt;publisher&gt;Commonwealth of Australia&lt;/publisher&gt;&lt;work-type&gt;Internet&lt;/work-type&gt;&lt;urls&gt;&lt;related-urls&gt;&lt;url&gt;https://www.tga.gov.au/resources/auspmd/piqray&lt;/url&gt;&lt;/related-urls&gt;&lt;/urls&gt;&lt;/record&gt;&lt;/Cite&gt;&lt;/EndNote&gt;</w:instrText>
      </w:r>
      <w:r w:rsidR="00052699" w:rsidRPr="004C6591">
        <w:fldChar w:fldCharType="separate"/>
      </w:r>
      <w:r w:rsidR="00052699" w:rsidRPr="004C6591">
        <w:t>(DHAC 2024)</w:t>
      </w:r>
      <w:r w:rsidR="00052699" w:rsidRPr="004C6591">
        <w:fldChar w:fldCharType="end"/>
      </w:r>
      <w:r w:rsidRPr="004C6591">
        <w:t>.</w:t>
      </w:r>
      <w:r w:rsidR="004E44B6" w:rsidRPr="004C6591">
        <w:t xml:space="preserve"> </w:t>
      </w:r>
      <w:r w:rsidR="37D71499" w:rsidRPr="004C6591">
        <w:t>Neither</w:t>
      </w:r>
      <w:r w:rsidR="004E44B6" w:rsidRPr="004C6591">
        <w:t xml:space="preserve"> capivasertib </w:t>
      </w:r>
      <w:r w:rsidR="710FF702" w:rsidRPr="004C6591">
        <w:t>n</w:t>
      </w:r>
      <w:r w:rsidR="4FDF3ED5" w:rsidRPr="004C6591">
        <w:t>or</w:t>
      </w:r>
      <w:r w:rsidR="004E44B6" w:rsidRPr="004C6591">
        <w:t xml:space="preserve"> any</w:t>
      </w:r>
      <w:r w:rsidR="1B48DCCA" w:rsidRPr="004C6591">
        <w:t xml:space="preserve"> other</w:t>
      </w:r>
      <w:r w:rsidR="004E44B6" w:rsidRPr="004C6591">
        <w:t xml:space="preserve"> AKT-pathway inhibitor is currently PBS-listed in Australia.</w:t>
      </w:r>
    </w:p>
    <w:p w14:paraId="591FF51C" w14:textId="5C5731B9" w:rsidR="00A03FC3" w:rsidRPr="004C6591" w:rsidRDefault="00BF07C3" w:rsidP="0039370F">
      <w:r w:rsidRPr="004C6591">
        <w:t>Referring to the INAVO120 study design,</w:t>
      </w:r>
      <w:r w:rsidR="006D07E4" w:rsidRPr="004C6591">
        <w:t xml:space="preserve"> patients with</w:t>
      </w:r>
      <w:r w:rsidRPr="004C6591">
        <w:t xml:space="preserve"> </w:t>
      </w:r>
      <w:r w:rsidR="00E529E2" w:rsidRPr="004C6591">
        <w:t xml:space="preserve">HR+/HER2- LA/mBC with </w:t>
      </w:r>
      <w:r w:rsidR="00E529E2" w:rsidRPr="004C6591">
        <w:rPr>
          <w:i/>
          <w:iCs/>
        </w:rPr>
        <w:t>PIK3CA</w:t>
      </w:r>
      <w:r w:rsidR="00E529E2" w:rsidRPr="004C6591">
        <w:t xml:space="preserve"> variants received </w:t>
      </w:r>
      <w:r w:rsidR="00CA34B8" w:rsidRPr="004C6591">
        <w:t xml:space="preserve">either </w:t>
      </w:r>
      <w:r w:rsidR="00E529E2" w:rsidRPr="004C6591">
        <w:t>inavolisib, in addition to palbociclib and fulvestrant</w:t>
      </w:r>
      <w:r w:rsidR="00CA34B8" w:rsidRPr="004C6591">
        <w:t>,</w:t>
      </w:r>
      <w:r w:rsidRPr="004C6591">
        <w:t xml:space="preserve"> </w:t>
      </w:r>
      <w:r w:rsidR="00CA34B8" w:rsidRPr="004C6591">
        <w:t>or palbocic</w:t>
      </w:r>
      <w:r w:rsidR="00E53C60" w:rsidRPr="004C6591">
        <w:t>l</w:t>
      </w:r>
      <w:r w:rsidR="00CA34B8" w:rsidRPr="004C6591">
        <w:t xml:space="preserve">ib and fulvestrant alone </w:t>
      </w:r>
      <w:r w:rsidR="00CA34B8" w:rsidRPr="004C6591">
        <w:fldChar w:fldCharType="begin"/>
      </w:r>
      <w:r w:rsidR="00CA34B8" w:rsidRPr="004C6591">
        <w:instrText xml:space="preserve"> ADDIN EN.CITE &lt;EndNote&gt;&lt;Cite&gt;&lt;Author&gt;Jhaveri&lt;/Author&gt;&lt;Year&gt;2023&lt;/Year&gt;&lt;RecNum&gt;44&lt;/RecNum&gt;&lt;DisplayText&gt;(Jhaveri et al. 2023)&lt;/DisplayText&gt;&lt;record&gt;&lt;rec-number&gt;44&lt;/rec-number&gt;&lt;foreign-keys&gt;&lt;key app="EN" db-id="dw2s0a0pxte05aexpvnx2awre9s0vxdepfat" timestamp="1718758425"&gt;44&lt;/key&gt;&lt;/foreign-keys&gt;&lt;ref-type name="Conference Paper"&gt;47&lt;/ref-type&gt;&lt;contributors&gt;&lt;authors&gt;&lt;author&gt;K L Jhaveri&lt;/author&gt;&lt;author&gt;S Im&lt;/author&gt;&lt;author&gt;C Saura&lt;/author&gt;&lt;author&gt;D Juric&lt;/author&gt;&lt;author&gt;S Loibl&lt;/author&gt;&lt;author&gt;K Kalinsky&lt;/author&gt;&lt;author&gt;P Schmid&lt;/author&gt;&lt;author&gt;S Loi&lt;/author&gt;&lt;author&gt;E Thanopoulou&lt;/author&gt;&lt;author&gt;N Shankar&lt;/author&gt;&lt;author&gt;G Le&lt;/author&gt;&lt;author&gt;T Stout&lt;/author&gt;&lt;author&gt;KE Hutchinson&lt;/author&gt;&lt;author&gt;J Schutzman&lt;/author&gt;&lt;author&gt;C Song&lt;/author&gt;&lt;author&gt;NC Turne&lt;/author&gt;&lt;/authors&gt;&lt;/contributors&gt;&lt;titles&gt;&lt;title&gt;Inavolisib or placebo in combination with palbociclib and fulvestrant in patients with PIK3CA-mutated, hormone receptor-positive, HER2-negative locally advanced or metastatic breast cancer: Phase III INAVO120 primary analysis&lt;/title&gt;&lt;secondary-title&gt;San Antonio Breast Cancer Symposium&lt;/secondary-title&gt;&lt;/titles&gt;&lt;dates&gt;&lt;year&gt;2023&lt;/year&gt;&lt;/dates&gt;&lt;urls&gt;&lt;related-urls&gt;&lt;url&gt;https://medically.roche.com/content/dam/pdmahub/restricted/oncology/sabcs-2023/SABCS-2023-presentation-jhaveri-inavolisib-or-placebo-in-combination-with-palbociclib.pdf&lt;/url&gt;&lt;/related-urls&gt;&lt;/urls&gt;&lt;access-date&gt;2024 June 5&lt;/access-date&gt;&lt;/record&gt;&lt;/Cite&gt;&lt;/EndNote&gt;</w:instrText>
      </w:r>
      <w:r w:rsidR="00CA34B8" w:rsidRPr="004C6591">
        <w:fldChar w:fldCharType="separate"/>
      </w:r>
      <w:r w:rsidR="00CA34B8" w:rsidRPr="004C6591">
        <w:t>(Jhaveri et al. 2023)</w:t>
      </w:r>
      <w:r w:rsidR="00CA34B8" w:rsidRPr="004C6591">
        <w:fldChar w:fldCharType="end"/>
      </w:r>
      <w:r w:rsidR="00CA34B8" w:rsidRPr="004C6591">
        <w:t>.</w:t>
      </w:r>
      <w:r w:rsidR="00AA212E" w:rsidRPr="004C6591">
        <w:t xml:space="preserve"> Treatment with palbociclib and fulvestrant was </w:t>
      </w:r>
      <w:r w:rsidR="00275E1C" w:rsidRPr="004C6591">
        <w:t>reasonable</w:t>
      </w:r>
      <w:r w:rsidR="00C66C36" w:rsidRPr="004C6591">
        <w:t xml:space="preserve"> and </w:t>
      </w:r>
      <w:r w:rsidR="00AA212E" w:rsidRPr="004C6591">
        <w:t xml:space="preserve">aligned with Australian local clinical practice, ESMO guidelines (2021), </w:t>
      </w:r>
      <w:r w:rsidR="007F20BD" w:rsidRPr="004C6591">
        <w:t xml:space="preserve">and </w:t>
      </w:r>
      <w:r w:rsidR="00AA212E" w:rsidRPr="004C6591">
        <w:t xml:space="preserve">NCCN </w:t>
      </w:r>
      <w:r w:rsidR="00CB3443" w:rsidRPr="004C6591">
        <w:t>B</w:t>
      </w:r>
      <w:r w:rsidR="00AA212E" w:rsidRPr="004C6591">
        <w:t xml:space="preserve">reast </w:t>
      </w:r>
      <w:r w:rsidR="00CB3443" w:rsidRPr="004C6591">
        <w:t>C</w:t>
      </w:r>
      <w:r w:rsidR="00AA212E" w:rsidRPr="004C6591">
        <w:t xml:space="preserve">ancer guidelines (2024). </w:t>
      </w:r>
    </w:p>
    <w:p w14:paraId="03F895F1" w14:textId="381EFE56" w:rsidR="0039370F" w:rsidRPr="004C6591" w:rsidRDefault="0039370F" w:rsidP="0039370F">
      <w:pPr>
        <w:pStyle w:val="Heading4"/>
      </w:pPr>
      <w:r w:rsidRPr="004C6591">
        <w:t>Estimates for the size of testing population</w:t>
      </w:r>
    </w:p>
    <w:p w14:paraId="39DB9832" w14:textId="6CB6843D" w:rsidR="0039370F" w:rsidRPr="004C6591" w:rsidRDefault="00617DF5" w:rsidP="0039370F">
      <w:r w:rsidRPr="004C6591">
        <w:t xml:space="preserve">The applicant presented the estimated utilisation by the proposed population, as summarised in </w:t>
      </w:r>
      <w:r w:rsidR="00C90D14" w:rsidRPr="004C6591">
        <w:fldChar w:fldCharType="begin"/>
      </w:r>
      <w:r w:rsidR="00C90D14" w:rsidRPr="004C6591">
        <w:instrText xml:space="preserve"> REF _Ref170388309 \h </w:instrText>
      </w:r>
      <w:r w:rsidR="00C90D14" w:rsidRPr="004C6591">
        <w:fldChar w:fldCharType="separate"/>
      </w:r>
      <w:r w:rsidR="00C90D14" w:rsidRPr="004C6591">
        <w:t>Table 3</w:t>
      </w:r>
      <w:r w:rsidR="00C90D14" w:rsidRPr="004C6591">
        <w:fldChar w:fldCharType="end"/>
      </w:r>
      <w:r w:rsidR="00C90D14" w:rsidRPr="004C6591">
        <w:t xml:space="preserve"> </w:t>
      </w:r>
      <w:r w:rsidRPr="004C6591">
        <w:t>below</w:t>
      </w:r>
      <w:r w:rsidR="00F52E0C" w:rsidRPr="004C6591">
        <w:t>.</w:t>
      </w:r>
    </w:p>
    <w:p w14:paraId="0E4AAE6A" w14:textId="45C1D59D" w:rsidR="00A42597" w:rsidRPr="004C6591" w:rsidRDefault="00A42597" w:rsidP="00A42597">
      <w:pPr>
        <w:pStyle w:val="Caption"/>
        <w:rPr>
          <w:lang w:val="en-AU"/>
        </w:rPr>
      </w:pPr>
      <w:bookmarkStart w:id="9" w:name="_Ref170388309"/>
      <w:r w:rsidRPr="004C6591">
        <w:rPr>
          <w:lang w:val="en-AU"/>
        </w:rPr>
        <w:t xml:space="preserve">Table </w:t>
      </w:r>
      <w:r w:rsidRPr="004C6591">
        <w:rPr>
          <w:lang w:val="en-AU"/>
        </w:rPr>
        <w:fldChar w:fldCharType="begin"/>
      </w:r>
      <w:r w:rsidRPr="004C6591">
        <w:rPr>
          <w:lang w:val="en-AU"/>
        </w:rPr>
        <w:instrText xml:space="preserve"> SEQ Table \* ARABIC </w:instrText>
      </w:r>
      <w:r w:rsidRPr="004C6591">
        <w:rPr>
          <w:lang w:val="en-AU"/>
        </w:rPr>
        <w:fldChar w:fldCharType="separate"/>
      </w:r>
      <w:r w:rsidR="00D5284E" w:rsidRPr="004C6591">
        <w:rPr>
          <w:lang w:val="en-AU"/>
        </w:rPr>
        <w:t>3</w:t>
      </w:r>
      <w:r w:rsidRPr="004C6591">
        <w:rPr>
          <w:lang w:val="en-AU"/>
        </w:rPr>
        <w:fldChar w:fldCharType="end"/>
      </w:r>
      <w:bookmarkEnd w:id="9"/>
      <w:r w:rsidRPr="004C6591">
        <w:rPr>
          <w:lang w:val="en-AU"/>
        </w:rPr>
        <w:t xml:space="preserve"> Estimated utilisation by the proposed population</w:t>
      </w:r>
      <w:r w:rsidR="0075406C" w:rsidRPr="004C6591">
        <w:rPr>
          <w:lang w:val="en-AU"/>
        </w:rPr>
        <w:t xml:space="preserve"> in 2024</w:t>
      </w:r>
    </w:p>
    <w:tbl>
      <w:tblPr>
        <w:tblStyle w:val="TableGrid"/>
        <w:tblW w:w="0" w:type="auto"/>
        <w:tblInd w:w="0" w:type="dxa"/>
        <w:tblLook w:val="04A0" w:firstRow="1" w:lastRow="0" w:firstColumn="1" w:lastColumn="0" w:noHBand="0" w:noVBand="1"/>
        <w:tblCaption w:val="Estimated utilisation by the proposed population in 2024"/>
        <w:tblDescription w:val="Population A is incidence of breast cancer in year 2024 with the estimate of 20,771. Population B is patients who relapsed after surgery or adjuvant therapy with the estimate of 25%. Population C is patients in population B with HR+/HER2- subtype and an estimate of 78%. Population D is patients in population C who will have primary or secondary endocrine resistance and the estimate is 30%. Population E is the estimate uptake in year 1 to 3 and the estimate is 100%. Population F is the number of patients who will utilise the proposed technology in year 1 (2024)&#10;F = A*B*C*D*E&#10;"/>
      </w:tblPr>
      <w:tblGrid>
        <w:gridCol w:w="1064"/>
        <w:gridCol w:w="4910"/>
        <w:gridCol w:w="1109"/>
        <w:gridCol w:w="2488"/>
      </w:tblGrid>
      <w:tr w:rsidR="00617DF5" w:rsidRPr="004C6591" w14:paraId="4159C72C" w14:textId="77777777" w:rsidTr="00435CBD">
        <w:tc>
          <w:tcPr>
            <w:tcW w:w="1064" w:type="dxa"/>
          </w:tcPr>
          <w:p w14:paraId="7F3E821F" w14:textId="0C4CE9EB" w:rsidR="00617DF5" w:rsidRPr="004C6591" w:rsidRDefault="00617DF5" w:rsidP="00617DF5">
            <w:pPr>
              <w:pStyle w:val="TableText0"/>
              <w:rPr>
                <w:b/>
                <w:bCs/>
              </w:rPr>
            </w:pPr>
            <w:r w:rsidRPr="004C6591">
              <w:rPr>
                <w:b/>
                <w:bCs/>
              </w:rPr>
              <w:t>Population</w:t>
            </w:r>
          </w:p>
        </w:tc>
        <w:tc>
          <w:tcPr>
            <w:tcW w:w="4910" w:type="dxa"/>
          </w:tcPr>
          <w:p w14:paraId="1C12D5F3" w14:textId="5B05154D" w:rsidR="00617DF5" w:rsidRPr="004C6591" w:rsidRDefault="00617DF5" w:rsidP="00617DF5">
            <w:pPr>
              <w:pStyle w:val="TableText0"/>
              <w:rPr>
                <w:b/>
                <w:bCs/>
              </w:rPr>
            </w:pPr>
            <w:r w:rsidRPr="004C6591">
              <w:rPr>
                <w:b/>
                <w:bCs/>
              </w:rPr>
              <w:t>Parameter</w:t>
            </w:r>
          </w:p>
        </w:tc>
        <w:tc>
          <w:tcPr>
            <w:tcW w:w="1109" w:type="dxa"/>
          </w:tcPr>
          <w:p w14:paraId="19A69A54" w14:textId="471E9966" w:rsidR="00617DF5" w:rsidRPr="004C6591" w:rsidRDefault="00617DF5" w:rsidP="00617DF5">
            <w:pPr>
              <w:pStyle w:val="TableText0"/>
              <w:rPr>
                <w:b/>
                <w:bCs/>
              </w:rPr>
            </w:pPr>
            <w:r w:rsidRPr="004C6591">
              <w:rPr>
                <w:b/>
                <w:bCs/>
              </w:rPr>
              <w:t>Estimates</w:t>
            </w:r>
          </w:p>
        </w:tc>
        <w:tc>
          <w:tcPr>
            <w:tcW w:w="2488" w:type="dxa"/>
          </w:tcPr>
          <w:p w14:paraId="277B5432" w14:textId="7C308A95" w:rsidR="00617DF5" w:rsidRPr="004C6591" w:rsidRDefault="00617DF5" w:rsidP="00617DF5">
            <w:pPr>
              <w:pStyle w:val="TableText0"/>
              <w:rPr>
                <w:b/>
                <w:bCs/>
              </w:rPr>
            </w:pPr>
            <w:r w:rsidRPr="004C6591">
              <w:rPr>
                <w:b/>
                <w:bCs/>
              </w:rPr>
              <w:t>Sources</w:t>
            </w:r>
          </w:p>
        </w:tc>
      </w:tr>
      <w:tr w:rsidR="00617DF5" w:rsidRPr="004C6591" w14:paraId="05BEB5F2" w14:textId="77777777" w:rsidTr="00435CBD">
        <w:tc>
          <w:tcPr>
            <w:tcW w:w="1064" w:type="dxa"/>
          </w:tcPr>
          <w:p w14:paraId="2C3AC7FD" w14:textId="1B8C2C60" w:rsidR="00617DF5" w:rsidRPr="004C6591" w:rsidRDefault="00AA63A2" w:rsidP="00617DF5">
            <w:pPr>
              <w:pStyle w:val="TableText0"/>
            </w:pPr>
            <w:r w:rsidRPr="004C6591">
              <w:t>A</w:t>
            </w:r>
          </w:p>
        </w:tc>
        <w:tc>
          <w:tcPr>
            <w:tcW w:w="4910" w:type="dxa"/>
          </w:tcPr>
          <w:p w14:paraId="6617090D" w14:textId="2EE1575B" w:rsidR="00617DF5" w:rsidRPr="004C6591" w:rsidRDefault="00617DF5" w:rsidP="00617DF5">
            <w:pPr>
              <w:pStyle w:val="TableText0"/>
            </w:pPr>
            <w:r w:rsidRPr="004C6591">
              <w:t>Incidence of BC in 2024</w:t>
            </w:r>
          </w:p>
        </w:tc>
        <w:tc>
          <w:tcPr>
            <w:tcW w:w="1109" w:type="dxa"/>
          </w:tcPr>
          <w:p w14:paraId="1CC33741" w14:textId="352B56D5" w:rsidR="00617DF5" w:rsidRPr="004C6591" w:rsidRDefault="00617DF5" w:rsidP="000F267B">
            <w:pPr>
              <w:pStyle w:val="TableText0"/>
              <w:jc w:val="right"/>
            </w:pPr>
            <w:r w:rsidRPr="004C6591">
              <w:t>20,771</w:t>
            </w:r>
          </w:p>
        </w:tc>
        <w:tc>
          <w:tcPr>
            <w:tcW w:w="2488" w:type="dxa"/>
          </w:tcPr>
          <w:p w14:paraId="082B71F0" w14:textId="56AFFC48" w:rsidR="00617DF5" w:rsidRPr="004C6591" w:rsidRDefault="00617DF5" w:rsidP="00617DF5">
            <w:pPr>
              <w:pStyle w:val="TableText0"/>
            </w:pPr>
            <w:r w:rsidRPr="004C6591">
              <w:fldChar w:fldCharType="begin"/>
            </w:r>
            <w:r w:rsidR="001B7FB5" w:rsidRPr="004C6591">
              <w:instrText xml:space="preserve"> ADDIN EN.CITE &lt;EndNote&gt;&lt;Cite ExcludeAuth="1"&gt;&lt;Author&gt;AIHW (Australian Institute of Health and Welfare)&lt;/Author&gt;&lt;Year&gt;2023&lt;/Year&gt;&lt;RecNum&gt;3&lt;/RecNum&gt;&lt;Prefix&gt;AIHW &lt;/Prefix&gt;&lt;DisplayText&gt;(AIHW 2023)&lt;/DisplayText&gt;&lt;record&gt;&lt;rec-number&gt;3&lt;/rec-number&gt;&lt;foreign-keys&gt;&lt;key app="EN" db-id="dw2s0a0pxte05aexpvnx2awre9s0vxdepfat" timestamp="1717560938"&gt;3&lt;/key&gt;&lt;/foreign-keys&gt;&lt;ref-type name="Web Page"&gt;12&lt;/ref-type&gt;&lt;contributors&gt;&lt;authors&gt;&lt;author&gt;AIHW (Australian Institute of Health and Welfare),&lt;/author&gt;&lt;/authors&gt;&lt;/contributors&gt;&lt;titles&gt;&lt;title&gt;Cancer data in Australia&lt;/title&gt;&lt;/titles&gt;&lt;volume&gt;2024&lt;/volume&gt;&lt;number&gt;6 May&lt;/number&gt;&lt;dates&gt;&lt;year&gt;2023&lt;/year&gt;&lt;/dates&gt;&lt;pub-location&gt;Canberra&lt;/pub-location&gt;&lt;publisher&gt;AIHW&lt;/publisher&gt;&lt;work-type&gt;Internet&lt;/work-type&gt;&lt;urls&gt;&lt;related-urls&gt;&lt;url&gt;https://www.aihw.gov.au/reports/cancer/cancer-data-in-australia/&lt;/url&gt;&lt;/related-urls&gt;&lt;/urls&gt;&lt;remote-database-name&gt;AIHW Australian Cancer Database 2019&lt;/remote-database-name&gt;&lt;/record&gt;&lt;/Cite&gt;&lt;/EndNote&gt;</w:instrText>
            </w:r>
            <w:r w:rsidRPr="004C6591">
              <w:fldChar w:fldCharType="separate"/>
            </w:r>
            <w:r w:rsidRPr="004C6591">
              <w:t>(AIHW 2023)</w:t>
            </w:r>
            <w:r w:rsidRPr="004C6591">
              <w:fldChar w:fldCharType="end"/>
            </w:r>
          </w:p>
        </w:tc>
      </w:tr>
      <w:tr w:rsidR="00485E88" w:rsidRPr="004C6591" w14:paraId="759DF2EB" w14:textId="77777777" w:rsidTr="00435CBD">
        <w:tc>
          <w:tcPr>
            <w:tcW w:w="1064" w:type="dxa"/>
          </w:tcPr>
          <w:p w14:paraId="1E86F5AD" w14:textId="15E114C1" w:rsidR="00485E88" w:rsidRPr="004C6591" w:rsidRDefault="00CA01C4" w:rsidP="00485E88">
            <w:pPr>
              <w:pStyle w:val="TableText0"/>
            </w:pPr>
            <w:r w:rsidRPr="004C6591">
              <w:t>B</w:t>
            </w:r>
          </w:p>
        </w:tc>
        <w:tc>
          <w:tcPr>
            <w:tcW w:w="4910" w:type="dxa"/>
          </w:tcPr>
          <w:p w14:paraId="3A8B9EA0" w14:textId="475579BF" w:rsidR="00485E88" w:rsidRPr="004C6591" w:rsidRDefault="00485E88" w:rsidP="00485E88">
            <w:pPr>
              <w:pStyle w:val="TableText0"/>
            </w:pPr>
            <w:r w:rsidRPr="004C6591">
              <w:t>Patients who relapsed after surgery or adjuvant therapy</w:t>
            </w:r>
          </w:p>
        </w:tc>
        <w:tc>
          <w:tcPr>
            <w:tcW w:w="1109" w:type="dxa"/>
          </w:tcPr>
          <w:p w14:paraId="1951437C" w14:textId="352C762B" w:rsidR="00485E88" w:rsidRPr="004C6591" w:rsidRDefault="00485E88" w:rsidP="00485E88">
            <w:pPr>
              <w:pStyle w:val="TableText0"/>
              <w:jc w:val="right"/>
            </w:pPr>
            <w:r w:rsidRPr="004C6591">
              <w:t>25%</w:t>
            </w:r>
          </w:p>
        </w:tc>
        <w:tc>
          <w:tcPr>
            <w:tcW w:w="2488" w:type="dxa"/>
          </w:tcPr>
          <w:p w14:paraId="5D9699FA" w14:textId="05BE2B0A" w:rsidR="00485E88" w:rsidRPr="004C6591" w:rsidRDefault="00485E88" w:rsidP="00485E88">
            <w:pPr>
              <w:pStyle w:val="TableText0"/>
            </w:pPr>
            <w:r w:rsidRPr="004C6591">
              <w:fldChar w:fldCharType="begin"/>
            </w:r>
            <w:r w:rsidRPr="004C6591">
              <w:instrText xml:space="preserve"> ADDIN EN.CITE &lt;EndNote&gt;&lt;Cite&gt;&lt;Author&gt;González-Hurtado&lt;/Author&gt;&lt;Year&gt;2023&lt;/Year&gt;&lt;RecNum&gt;6&lt;/RecNum&gt;&lt;DisplayText&gt;(González-Hurtado et al. 2023)&lt;/DisplayText&gt;&lt;record&gt;&lt;rec-number&gt;6&lt;/rec-number&gt;&lt;foreign-keys&gt;&lt;key app="EN" db-id="dw2s0a0pxte05aexpvnx2awre9s0vxdepfat" timestamp="1717565591"&gt;6&lt;/key&gt;&lt;/foreign-keys&gt;&lt;ref-type name="Journal Article"&gt;17&lt;/ref-type&gt;&lt;contributors&gt;&lt;authors&gt;&lt;author&gt;González-Hurtado, Daniel&lt;/author&gt;&lt;author&gt;Rivero, Sergio&lt;/author&gt;&lt;author&gt;Samamé Pérez-Vargas, Juan Carlos&lt;/author&gt;&lt;author&gt;Petracci, Fernando E.&lt;/author&gt;&lt;/authors&gt;&lt;/contributors&gt;&lt;titles&gt;&lt;title&gt;Hormone Receptor-Positive / HER2-Negative Early Breast Cancer High-Risk Population: An Algorithm for Optimization Systemic Adjuvant Treatment Based on 2022 Updates&lt;/title&gt;&lt;secondary-title&gt;Breast Cancer: Basic and Clinical Research&lt;/secondary-title&gt;&lt;/titles&gt;&lt;periodical&gt;&lt;full-title&gt;Breast Cancer: Basic and Clinical Research&lt;/full-title&gt;&lt;/periodical&gt;&lt;volume&gt;17&lt;/volume&gt;&lt;dates&gt;&lt;year&gt;2023&lt;/year&gt;&lt;/dates&gt;&lt;publisher&gt;SAGE Publications&lt;/publisher&gt;&lt;isbn&gt;1178-2234&lt;/isbn&gt;&lt;urls&gt;&lt;related-urls&gt;&lt;url&gt;https://dx.doi.org/10.1177/11782234231192780&lt;/url&gt;&lt;/related-urls&gt;&lt;/urls&gt;&lt;electronic-resource-num&gt;10.1177/11782234231192780&lt;/electronic-resource-num&gt;&lt;/record&gt;&lt;/Cite&gt;&lt;/EndNote&gt;</w:instrText>
            </w:r>
            <w:r w:rsidRPr="004C6591">
              <w:fldChar w:fldCharType="separate"/>
            </w:r>
            <w:r w:rsidRPr="004C6591">
              <w:t>(González-Hurtado et al. 2023)</w:t>
            </w:r>
            <w:r w:rsidRPr="004C6591">
              <w:fldChar w:fldCharType="end"/>
            </w:r>
          </w:p>
        </w:tc>
      </w:tr>
      <w:tr w:rsidR="00485E88" w:rsidRPr="004C6591" w14:paraId="3E5001D6" w14:textId="77777777" w:rsidTr="00435CBD">
        <w:tc>
          <w:tcPr>
            <w:tcW w:w="1064" w:type="dxa"/>
          </w:tcPr>
          <w:p w14:paraId="0056A969" w14:textId="76E5E9A8" w:rsidR="00485E88" w:rsidRPr="004C6591" w:rsidRDefault="00CA01C4" w:rsidP="00485E88">
            <w:pPr>
              <w:pStyle w:val="TableText0"/>
            </w:pPr>
            <w:r w:rsidRPr="004C6591">
              <w:t>C</w:t>
            </w:r>
          </w:p>
        </w:tc>
        <w:tc>
          <w:tcPr>
            <w:tcW w:w="4910" w:type="dxa"/>
          </w:tcPr>
          <w:p w14:paraId="17ADBFDE" w14:textId="30FBF78C" w:rsidR="00485E88" w:rsidRPr="004C6591" w:rsidRDefault="00485E88" w:rsidP="00485E88">
            <w:pPr>
              <w:pStyle w:val="TableText0"/>
            </w:pPr>
            <w:r w:rsidRPr="004C6591">
              <w:t xml:space="preserve">Patients in population B with HR+/HER2- </w:t>
            </w:r>
            <w:r w:rsidR="00C567A1" w:rsidRPr="004C6591">
              <w:t>subtype</w:t>
            </w:r>
            <w:r w:rsidRPr="004C6591">
              <w:t xml:space="preserve"> </w:t>
            </w:r>
          </w:p>
        </w:tc>
        <w:tc>
          <w:tcPr>
            <w:tcW w:w="1109" w:type="dxa"/>
          </w:tcPr>
          <w:p w14:paraId="7FA66D41" w14:textId="29A6571F" w:rsidR="00485E88" w:rsidRPr="004C6591" w:rsidRDefault="00485E88" w:rsidP="00485E88">
            <w:pPr>
              <w:pStyle w:val="TableText0"/>
              <w:jc w:val="right"/>
            </w:pPr>
            <w:r w:rsidRPr="004C6591">
              <w:t>78%</w:t>
            </w:r>
          </w:p>
        </w:tc>
        <w:tc>
          <w:tcPr>
            <w:tcW w:w="2488" w:type="dxa"/>
          </w:tcPr>
          <w:p w14:paraId="2EBA5B5E" w14:textId="636D51B5" w:rsidR="00485E88" w:rsidRPr="004C6591" w:rsidRDefault="00485E88" w:rsidP="00485E88">
            <w:pPr>
              <w:pStyle w:val="TableText0"/>
            </w:pPr>
            <w:r w:rsidRPr="004C6591">
              <w:fldChar w:fldCharType="begin"/>
            </w:r>
            <w:r w:rsidR="00A00489" w:rsidRPr="004C6591">
              <w:instrText xml:space="preserve"> ADDIN EN.CITE &lt;EndNote&gt;&lt;Cite&gt;&lt;Author&gt;Bujak&lt;/Author&gt;&lt;Year&gt;2020&lt;/Year&gt;&lt;RecNum&gt;5&lt;/RecNum&gt;&lt;DisplayText&gt;(Bujak et al. 2020)&lt;/DisplayText&gt;&lt;record&gt;&lt;rec-number&gt;5&lt;/rec-number&gt;&lt;foreign-keys&gt;&lt;key app="EN" db-id="dw2s0a0pxte05aexpvnx2awre9s0vxdepfat" timestamp="1717564696"&gt;5&lt;/key&gt;&lt;/foreign-keys&gt;&lt;ref-type name="Journal Article"&gt;17&lt;/ref-type&gt;&lt;contributors&gt;&lt;authors&gt;&lt;author&gt;A Z Bujak&lt;/author&gt;&lt;author&gt;C F Weng&lt;/author&gt;&lt;author&gt;Maria João Silva&lt;/author&gt;&lt;author&gt;Miriam Yeung&lt;/author&gt;&lt;author&gt;Louisa Lo&lt;/author&gt;&lt;author&gt;Sarah Ftouni&lt;/author&gt;&lt;author&gt;Cassandra Litchfield&lt;/author&gt;&lt;author&gt;Yi-An Ko&lt;/author&gt;&lt;author&gt;Keilly Kuykhoven&lt;/author&gt;&lt;author&gt;Courtney Van Geelen&lt;/author&gt;&lt;author&gt;Sushma Chandrashekar&lt;/author&gt;&lt;author&gt;Mark A. Dawson&lt;/author&gt;&lt;author&gt;Sherene Loi&lt;/author&gt;&lt;author&gt;Stephen Q. Wong&lt;/author&gt;&lt;author&gt;Sarah-Jane Dawson&lt;/author&gt;&lt;/authors&gt;&lt;/contributors&gt;&lt;titles&gt;&lt;title&gt;Circulating tumour DNA in metastatic breast cancer to guide clinical trial enrolment and precision oncology: A cohort study&lt;/title&gt;&lt;secondary-title&gt;PLOS Medicine&lt;/secondary-title&gt;&lt;/titles&gt;&lt;periodical&gt;&lt;full-title&gt;PLOS Medicine&lt;/full-title&gt;&lt;/periodical&gt;&lt;pages&gt;e1003363&lt;/pages&gt;&lt;volume&gt;17&lt;/volume&gt;&lt;number&gt;10&lt;/number&gt;&lt;dates&gt;&lt;year&gt;2020&lt;/year&gt;&lt;/dates&gt;&lt;publisher&gt;Public Library of Science (PLoS)&lt;/publisher&gt;&lt;isbn&gt;1549-1676&lt;/isbn&gt;&lt;urls&gt;&lt;related-urls&gt;&lt;url&gt;https://dx.doi.org/10.1371/journal.pmed.1003363&lt;/url&gt;&lt;/related-urls&gt;&lt;/urls&gt;&lt;electronic-resource-num&gt;10.1371/journal.pmed.1003363&lt;/electronic-resource-num&gt;&lt;/record&gt;&lt;/Cite&gt;&lt;/EndNote&gt;</w:instrText>
            </w:r>
            <w:r w:rsidRPr="004C6591">
              <w:fldChar w:fldCharType="separate"/>
            </w:r>
            <w:r w:rsidR="00A00489" w:rsidRPr="004C6591">
              <w:t>(Bujak et al. 2020)</w:t>
            </w:r>
            <w:r w:rsidRPr="004C6591">
              <w:fldChar w:fldCharType="end"/>
            </w:r>
          </w:p>
        </w:tc>
      </w:tr>
      <w:tr w:rsidR="00485E88" w:rsidRPr="004C6591" w14:paraId="13E0385A" w14:textId="77777777" w:rsidTr="00435CBD">
        <w:tc>
          <w:tcPr>
            <w:tcW w:w="1064" w:type="dxa"/>
          </w:tcPr>
          <w:p w14:paraId="1BEE26FA" w14:textId="0E4B3AA8" w:rsidR="00485E88" w:rsidRPr="004C6591" w:rsidRDefault="00CA01C4" w:rsidP="00485E88">
            <w:pPr>
              <w:pStyle w:val="TableText0"/>
            </w:pPr>
            <w:r w:rsidRPr="004C6591">
              <w:t>D</w:t>
            </w:r>
          </w:p>
        </w:tc>
        <w:tc>
          <w:tcPr>
            <w:tcW w:w="4910" w:type="dxa"/>
          </w:tcPr>
          <w:p w14:paraId="1A59FF6B" w14:textId="3B077DD6" w:rsidR="00485E88" w:rsidRPr="004C6591" w:rsidRDefault="00485E88" w:rsidP="00485E88">
            <w:pPr>
              <w:pStyle w:val="TableText0"/>
            </w:pPr>
            <w:r w:rsidRPr="004C6591">
              <w:t>Patients in population C who will have primary or secondary endocrine resistance</w:t>
            </w:r>
          </w:p>
        </w:tc>
        <w:tc>
          <w:tcPr>
            <w:tcW w:w="1109" w:type="dxa"/>
          </w:tcPr>
          <w:p w14:paraId="09A86100" w14:textId="45DFE93E" w:rsidR="00485E88" w:rsidRPr="004C6591" w:rsidRDefault="00485E88" w:rsidP="00485E88">
            <w:pPr>
              <w:pStyle w:val="TableText0"/>
              <w:jc w:val="right"/>
            </w:pPr>
            <w:r w:rsidRPr="004C6591">
              <w:t>30%</w:t>
            </w:r>
          </w:p>
        </w:tc>
        <w:tc>
          <w:tcPr>
            <w:tcW w:w="2488" w:type="dxa"/>
          </w:tcPr>
          <w:p w14:paraId="1B9DE829" w14:textId="3673200F" w:rsidR="00485E88" w:rsidRPr="004C6591" w:rsidRDefault="00485E88" w:rsidP="00485E88">
            <w:pPr>
              <w:pStyle w:val="TableText0"/>
            </w:pPr>
            <w:r w:rsidRPr="004C6591">
              <w:fldChar w:fldCharType="begin"/>
            </w:r>
            <w:r w:rsidRPr="004C6591">
              <w:instrText xml:space="preserve"> ADDIN EN.CITE &lt;EndNote&gt;&lt;Cite&gt;&lt;Author&gt;Hartkopf&lt;/Author&gt;&lt;Year&gt;2020&lt;/Year&gt;&lt;RecNum&gt;7&lt;/RecNum&gt;&lt;DisplayText&gt;(Hartkopf et al. 2020)&lt;/DisplayText&gt;&lt;record&gt;&lt;rec-number&gt;7&lt;/rec-number&gt;&lt;foreign-keys&gt;&lt;key app="EN" db-id="dw2s0a0pxte05aexpvnx2awre9s0vxdepfat" timestamp="1717635129"&gt;7&lt;/key&gt;&lt;/foreign-keys&gt;&lt;ref-type name="Journal Article"&gt;17&lt;/ref-type&gt;&lt;contributors&gt;&lt;authors&gt;&lt;author&gt;Andreas D Hartkopf&lt;/author&gt;&lt;author&gt;Eva-Maria Grischke&lt;/author&gt;&lt;author&gt;Sara Y Brucker&lt;/author&gt;&lt;/authors&gt;&lt;/contributors&gt;&lt;titles&gt;&lt;title&gt;Endocrine-Resistant Breast Cancer: Mechanisms and Treatment&lt;/title&gt;&lt;secondary-title&gt;Breast Care&lt;/secondary-title&gt;&lt;/titles&gt;&lt;periodical&gt;&lt;full-title&gt;Breast Care&lt;/full-title&gt;&lt;/periodical&gt;&lt;pages&gt;347-354&lt;/pages&gt;&lt;volume&gt;15&lt;/volume&gt;&lt;number&gt;4&lt;/number&gt;&lt;dates&gt;&lt;year&gt;2020&lt;/year&gt;&lt;/dates&gt;&lt;publisher&gt;S. Karger AG&lt;/publisher&gt;&lt;isbn&gt;1661-3791&lt;/isbn&gt;&lt;urls&gt;&lt;related-urls&gt;&lt;url&gt;https://dx.doi.org/10.1159/000508675&lt;/url&gt;&lt;/related-urls&gt;&lt;/urls&gt;&lt;electronic-resource-num&gt;10.1159/000508675&lt;/electronic-resource-num&gt;&lt;/record&gt;&lt;/Cite&gt;&lt;/EndNote&gt;</w:instrText>
            </w:r>
            <w:r w:rsidRPr="004C6591">
              <w:fldChar w:fldCharType="separate"/>
            </w:r>
            <w:r w:rsidRPr="004C6591">
              <w:t>(Hartkopf et al. 2020)</w:t>
            </w:r>
            <w:r w:rsidRPr="004C6591">
              <w:fldChar w:fldCharType="end"/>
            </w:r>
          </w:p>
        </w:tc>
      </w:tr>
      <w:tr w:rsidR="00485E88" w:rsidRPr="004C6591" w14:paraId="5776CB39" w14:textId="77777777" w:rsidTr="00435CBD">
        <w:tc>
          <w:tcPr>
            <w:tcW w:w="1064" w:type="dxa"/>
          </w:tcPr>
          <w:p w14:paraId="2FB5FEAF" w14:textId="7715E5EA" w:rsidR="00485E88" w:rsidRPr="004C6591" w:rsidRDefault="00CA01C4" w:rsidP="00485E88">
            <w:pPr>
              <w:pStyle w:val="TableText0"/>
            </w:pPr>
            <w:r w:rsidRPr="004C6591">
              <w:t>E</w:t>
            </w:r>
          </w:p>
        </w:tc>
        <w:tc>
          <w:tcPr>
            <w:tcW w:w="4910" w:type="dxa"/>
          </w:tcPr>
          <w:p w14:paraId="73F859B6" w14:textId="7FD8311D" w:rsidR="00485E88" w:rsidRPr="004C6591" w:rsidRDefault="00485E88" w:rsidP="00485E88">
            <w:pPr>
              <w:pStyle w:val="TableText0"/>
            </w:pPr>
            <w:r w:rsidRPr="004C6591">
              <w:t>Estimate uptake in year 1-3</w:t>
            </w:r>
          </w:p>
        </w:tc>
        <w:tc>
          <w:tcPr>
            <w:tcW w:w="1109" w:type="dxa"/>
          </w:tcPr>
          <w:p w14:paraId="199688AA" w14:textId="7903B451" w:rsidR="00485E88" w:rsidRPr="004C6591" w:rsidRDefault="00485E88" w:rsidP="00485E88">
            <w:pPr>
              <w:pStyle w:val="TableText0"/>
              <w:jc w:val="right"/>
            </w:pPr>
            <w:r w:rsidRPr="004C6591">
              <w:t>100%</w:t>
            </w:r>
          </w:p>
        </w:tc>
        <w:tc>
          <w:tcPr>
            <w:tcW w:w="2488" w:type="dxa"/>
          </w:tcPr>
          <w:p w14:paraId="3F05AAD0" w14:textId="324E4C1A" w:rsidR="00485E88" w:rsidRPr="004C6591" w:rsidRDefault="00485E88" w:rsidP="00485E88">
            <w:pPr>
              <w:pStyle w:val="TableText0"/>
            </w:pPr>
            <w:r w:rsidRPr="004C6591">
              <w:t>Applicant’s estimate</w:t>
            </w:r>
          </w:p>
        </w:tc>
      </w:tr>
      <w:tr w:rsidR="00485E88" w:rsidRPr="004C6591" w14:paraId="1C4C0A6D" w14:textId="77777777" w:rsidTr="00435CBD">
        <w:tc>
          <w:tcPr>
            <w:tcW w:w="1064" w:type="dxa"/>
          </w:tcPr>
          <w:p w14:paraId="523A68B1" w14:textId="1E224CA1" w:rsidR="00485E88" w:rsidRPr="004C6591" w:rsidRDefault="00CA01C4" w:rsidP="00485E88">
            <w:pPr>
              <w:pStyle w:val="TableText0"/>
            </w:pPr>
            <w:r w:rsidRPr="004C6591">
              <w:t>F</w:t>
            </w:r>
          </w:p>
        </w:tc>
        <w:tc>
          <w:tcPr>
            <w:tcW w:w="4910" w:type="dxa"/>
          </w:tcPr>
          <w:p w14:paraId="3D45963A" w14:textId="77777777" w:rsidR="00485E88" w:rsidRPr="004C6591" w:rsidRDefault="00485E88" w:rsidP="00485E88">
            <w:pPr>
              <w:pStyle w:val="TableText0"/>
            </w:pPr>
            <w:r w:rsidRPr="004C6591">
              <w:t>Number of patients who will utilise the proposed technology in year 1 (2024)</w:t>
            </w:r>
          </w:p>
          <w:p w14:paraId="25CF363A" w14:textId="7211169E" w:rsidR="00485E88" w:rsidRPr="004C6591" w:rsidRDefault="00CA01C4" w:rsidP="00485E88">
            <w:pPr>
              <w:pStyle w:val="TableText0"/>
            </w:pPr>
            <w:r w:rsidRPr="004C6591">
              <w:t xml:space="preserve">F </w:t>
            </w:r>
            <w:r w:rsidR="00485E88" w:rsidRPr="004C6591">
              <w:t>= A*</w:t>
            </w:r>
            <w:r w:rsidRPr="004C6591">
              <w:t>B*</w:t>
            </w:r>
            <w:r w:rsidR="00485E88" w:rsidRPr="004C6591">
              <w:t>C*D*E</w:t>
            </w:r>
          </w:p>
        </w:tc>
        <w:tc>
          <w:tcPr>
            <w:tcW w:w="1109" w:type="dxa"/>
          </w:tcPr>
          <w:p w14:paraId="19602670" w14:textId="7C61BA5A" w:rsidR="00485E88" w:rsidRPr="004C6591" w:rsidRDefault="00485E88" w:rsidP="00485E88">
            <w:pPr>
              <w:pStyle w:val="TableText0"/>
              <w:jc w:val="right"/>
            </w:pPr>
            <w:r w:rsidRPr="004C6591">
              <w:t>1,215</w:t>
            </w:r>
          </w:p>
        </w:tc>
        <w:tc>
          <w:tcPr>
            <w:tcW w:w="2488" w:type="dxa"/>
          </w:tcPr>
          <w:p w14:paraId="18AF6896" w14:textId="62697C41" w:rsidR="00485E88" w:rsidRPr="004C6591" w:rsidRDefault="00E60391" w:rsidP="00485E88">
            <w:pPr>
              <w:pStyle w:val="TableText0"/>
            </w:pPr>
            <w:bookmarkStart w:id="10" w:name="_Hlk170388008"/>
            <w:r w:rsidRPr="004C6591">
              <w:t xml:space="preserve">p8 of MSAC application </w:t>
            </w:r>
            <w:bookmarkEnd w:id="10"/>
            <w:r w:rsidR="005F73A9">
              <w:t>1783</w:t>
            </w:r>
          </w:p>
        </w:tc>
      </w:tr>
    </w:tbl>
    <w:p w14:paraId="67BA6D0B" w14:textId="059C47B4" w:rsidR="00617DF5" w:rsidRPr="004C6591" w:rsidRDefault="002B3164" w:rsidP="002B3164">
      <w:pPr>
        <w:pStyle w:val="Tablenotes"/>
      </w:pPr>
      <w:r w:rsidRPr="004C6591">
        <w:t xml:space="preserve">Source: p8 of MSAC application </w:t>
      </w:r>
      <w:r w:rsidR="005F73A9">
        <w:t>1783</w:t>
      </w:r>
    </w:p>
    <w:p w14:paraId="5F744A87" w14:textId="11317430" w:rsidR="002A222F" w:rsidRPr="004C6591" w:rsidRDefault="002A222F" w:rsidP="002B3164">
      <w:pPr>
        <w:pStyle w:val="Tablenotes"/>
      </w:pPr>
      <w:r w:rsidRPr="004C6591">
        <w:t>Abbreviations: AIHW=Australian Institute of Health and Welfare; BC=breast cancer;</w:t>
      </w:r>
      <w:r w:rsidR="007B7336" w:rsidRPr="004C6591">
        <w:t xml:space="preserve"> </w:t>
      </w:r>
      <w:r w:rsidRPr="004C6591">
        <w:t>HR+/HER2-=hormone receptor positive, human epidermal growth factor receptor 2 negative;</w:t>
      </w:r>
      <w:r w:rsidR="00687527" w:rsidRPr="004C6591">
        <w:t xml:space="preserve"> MSAC=Medical Services Advisory Committee</w:t>
      </w:r>
      <w:r w:rsidR="00B170E2" w:rsidRPr="004C6591">
        <w:t>.</w:t>
      </w:r>
    </w:p>
    <w:p w14:paraId="4B3471C7" w14:textId="17F1492B" w:rsidR="009F3881" w:rsidRPr="004C6591" w:rsidRDefault="007F196A" w:rsidP="003C2C3E">
      <w:r w:rsidRPr="004C6591">
        <w:t xml:space="preserve">The population estimates provided in the application were considered uncertain because </w:t>
      </w:r>
      <w:r w:rsidR="00852A67" w:rsidRPr="004C6591">
        <w:t xml:space="preserve">estimates of </w:t>
      </w:r>
      <w:r w:rsidR="00CF7A97" w:rsidRPr="004C6591">
        <w:t>patients who relapsed after surgery or adjuvant therapy (</w:t>
      </w:r>
      <w:r w:rsidR="003C2C3E" w:rsidRPr="004C6591">
        <w:t>p</w:t>
      </w:r>
      <w:r w:rsidR="009F3881" w:rsidRPr="004C6591">
        <w:t xml:space="preserve">opulation </w:t>
      </w:r>
      <w:r w:rsidR="0007406C" w:rsidRPr="004C6591">
        <w:t>B</w:t>
      </w:r>
      <w:r w:rsidR="00CF7A97" w:rsidRPr="004C6591">
        <w:t>)</w:t>
      </w:r>
      <w:r w:rsidR="006F6AB5" w:rsidRPr="004C6591">
        <w:t xml:space="preserve"> </w:t>
      </w:r>
      <w:r w:rsidR="00852A67" w:rsidRPr="004C6591">
        <w:t>and estimates of patients</w:t>
      </w:r>
      <w:r w:rsidR="006F6AB5" w:rsidRPr="004C6591">
        <w:t xml:space="preserve"> who will</w:t>
      </w:r>
      <w:r w:rsidR="00CF7A97" w:rsidRPr="004C6591">
        <w:t xml:space="preserve"> have primary or secondary endocrine resistance (population </w:t>
      </w:r>
      <w:r w:rsidR="0007406C" w:rsidRPr="004C6591">
        <w:t>D</w:t>
      </w:r>
      <w:r w:rsidR="00CF7A97" w:rsidRPr="004C6591">
        <w:t>)</w:t>
      </w:r>
      <w:r w:rsidR="006F6AB5" w:rsidRPr="004C6591">
        <w:t>,</w:t>
      </w:r>
      <w:r w:rsidR="009F3881" w:rsidRPr="004C6591">
        <w:t xml:space="preserve"> were not verifiable against the sources provided</w:t>
      </w:r>
      <w:r w:rsidR="003C2C3E" w:rsidRPr="004C6591">
        <w:t xml:space="preserve">. </w:t>
      </w:r>
      <w:r w:rsidR="007224D7" w:rsidRPr="004C6591">
        <w:t xml:space="preserve">It was </w:t>
      </w:r>
      <w:r w:rsidR="0092589B">
        <w:t xml:space="preserve">also </w:t>
      </w:r>
      <w:r w:rsidR="007224D7" w:rsidRPr="004C6591">
        <w:t xml:space="preserve">uncertain whether estimates for population </w:t>
      </w:r>
      <w:r w:rsidR="0007406C" w:rsidRPr="004C6591">
        <w:t>B</w:t>
      </w:r>
      <w:r w:rsidR="007224D7" w:rsidRPr="004C6591">
        <w:t xml:space="preserve"> refer</w:t>
      </w:r>
      <w:r w:rsidR="003F3F79" w:rsidRPr="004C6591">
        <w:t xml:space="preserve"> to</w:t>
      </w:r>
      <w:r w:rsidR="007224D7" w:rsidRPr="004C6591">
        <w:t xml:space="preserve"> patients with </w:t>
      </w:r>
      <w:r w:rsidR="00334A91" w:rsidRPr="004C6591">
        <w:t>LA/</w:t>
      </w:r>
      <w:r w:rsidR="007224D7" w:rsidRPr="004C6591">
        <w:t xml:space="preserve">mBC. </w:t>
      </w:r>
    </w:p>
    <w:p w14:paraId="28EBEBCC" w14:textId="4DD51738" w:rsidR="00F166B1" w:rsidRPr="004C6591" w:rsidRDefault="00B974CF" w:rsidP="0039370F">
      <w:r w:rsidRPr="004C6591">
        <w:t>The applicant advised that full assessment of the financial considerations, including the estimates on the proportion of metastatic and endocrine resistant patients, will be provided in the reimbursement submission lodged for MSAC and PBAC consideration.</w:t>
      </w:r>
    </w:p>
    <w:p w14:paraId="55D71025" w14:textId="0CCC0A63" w:rsidR="00D92127" w:rsidRPr="004C6591" w:rsidRDefault="00D92127" w:rsidP="00435CBD">
      <w:pPr>
        <w:spacing w:line="23" w:lineRule="atLeast"/>
        <w:rPr>
          <w:rFonts w:asciiTheme="minorHAnsi" w:hAnsiTheme="minorHAnsi" w:cstheme="minorBidi"/>
          <w:i/>
          <w:iCs/>
        </w:rPr>
      </w:pPr>
      <w:r w:rsidRPr="004C6591">
        <w:rPr>
          <w:rFonts w:asciiTheme="minorHAnsi" w:hAnsiTheme="minorHAnsi" w:cstheme="minorBidi"/>
          <w:i/>
          <w:iCs/>
        </w:rPr>
        <w:t xml:space="preserve">PASC noted </w:t>
      </w:r>
      <w:r w:rsidR="00F06D2F" w:rsidRPr="004C6591">
        <w:rPr>
          <w:rFonts w:asciiTheme="minorHAnsi" w:hAnsiTheme="minorHAnsi" w:cstheme="minorBidi"/>
          <w:i/>
          <w:iCs/>
        </w:rPr>
        <w:t xml:space="preserve">that </w:t>
      </w:r>
      <w:r w:rsidR="00DE42C5">
        <w:rPr>
          <w:rFonts w:asciiTheme="minorHAnsi" w:hAnsiTheme="minorHAnsi" w:cstheme="minorBidi"/>
          <w:i/>
          <w:iCs/>
        </w:rPr>
        <w:t xml:space="preserve">it is estimated that </w:t>
      </w:r>
      <w:r w:rsidR="00F06D2F" w:rsidRPr="004C6591">
        <w:rPr>
          <w:rFonts w:asciiTheme="minorHAnsi" w:hAnsiTheme="minorHAnsi" w:cstheme="minorBidi"/>
          <w:i/>
          <w:iCs/>
        </w:rPr>
        <w:t>approximately</w:t>
      </w:r>
      <w:r w:rsidRPr="004C6591">
        <w:rPr>
          <w:rFonts w:asciiTheme="minorHAnsi" w:hAnsiTheme="minorHAnsi" w:cstheme="minorBidi"/>
          <w:i/>
          <w:iCs/>
        </w:rPr>
        <w:t xml:space="preserve"> 1,200 patients per year would utilise the proposed </w:t>
      </w:r>
      <w:r w:rsidRPr="00C65136">
        <w:rPr>
          <w:rFonts w:asciiTheme="minorHAnsi" w:hAnsiTheme="minorHAnsi"/>
        </w:rPr>
        <w:t>PIK3CA</w:t>
      </w:r>
      <w:r w:rsidRPr="004C6591">
        <w:rPr>
          <w:rFonts w:asciiTheme="minorHAnsi" w:hAnsiTheme="minorHAnsi" w:cstheme="minorBidi"/>
          <w:i/>
          <w:iCs/>
        </w:rPr>
        <w:t xml:space="preserve"> testing (refer to </w:t>
      </w:r>
      <w:r w:rsidRPr="004C6591">
        <w:rPr>
          <w:rFonts w:asciiTheme="minorHAnsi" w:hAnsiTheme="minorHAnsi" w:cstheme="minorBidi"/>
          <w:i/>
          <w:iCs/>
        </w:rPr>
        <w:fldChar w:fldCharType="begin"/>
      </w:r>
      <w:r w:rsidRPr="004C6591">
        <w:rPr>
          <w:rFonts w:asciiTheme="minorHAnsi" w:hAnsiTheme="minorHAnsi" w:cstheme="minorBidi"/>
          <w:i/>
          <w:iCs/>
        </w:rPr>
        <w:instrText xml:space="preserve"> REF _Ref170388309 \h  \* MERGEFORMAT </w:instrText>
      </w:r>
      <w:r w:rsidRPr="004C6591">
        <w:rPr>
          <w:rFonts w:asciiTheme="minorHAnsi" w:hAnsiTheme="minorHAnsi" w:cstheme="minorBidi"/>
          <w:i/>
          <w:iCs/>
        </w:rPr>
      </w:r>
      <w:r w:rsidRPr="004C6591">
        <w:rPr>
          <w:rFonts w:asciiTheme="minorHAnsi" w:hAnsiTheme="minorHAnsi" w:cstheme="minorBidi"/>
          <w:i/>
          <w:iCs/>
        </w:rPr>
        <w:fldChar w:fldCharType="separate"/>
      </w:r>
      <w:r w:rsidRPr="004C6591">
        <w:rPr>
          <w:i/>
          <w:iCs/>
        </w:rPr>
        <w:t>Table 3</w:t>
      </w:r>
      <w:r w:rsidRPr="004C6591">
        <w:rPr>
          <w:rFonts w:asciiTheme="minorHAnsi" w:hAnsiTheme="minorHAnsi" w:cstheme="minorBidi"/>
          <w:i/>
          <w:iCs/>
        </w:rPr>
        <w:fldChar w:fldCharType="end"/>
      </w:r>
      <w:r w:rsidRPr="004C6591">
        <w:rPr>
          <w:rFonts w:asciiTheme="minorHAnsi" w:hAnsiTheme="minorHAnsi" w:cstheme="minorBidi"/>
          <w:i/>
          <w:iCs/>
        </w:rPr>
        <w:t xml:space="preserve"> for more detail</w:t>
      </w:r>
      <w:r w:rsidR="00BC54D8">
        <w:rPr>
          <w:rFonts w:asciiTheme="minorHAnsi" w:hAnsiTheme="minorHAnsi" w:cstheme="minorBidi"/>
          <w:i/>
          <w:iCs/>
        </w:rPr>
        <w:t xml:space="preserve">, and to the </w:t>
      </w:r>
      <w:r w:rsidR="00AC7FC4" w:rsidRPr="00AC7FC4">
        <w:rPr>
          <w:rFonts w:asciiTheme="minorHAnsi" w:hAnsiTheme="minorHAnsi" w:cstheme="minorBidi"/>
          <w:i/>
          <w:iCs/>
        </w:rPr>
        <w:t>‘Estimates for</w:t>
      </w:r>
      <w:r w:rsidR="00BC54D8">
        <w:rPr>
          <w:rFonts w:asciiTheme="minorHAnsi" w:hAnsiTheme="minorHAnsi" w:cstheme="minorBidi"/>
          <w:i/>
          <w:iCs/>
        </w:rPr>
        <w:t xml:space="preserve"> the </w:t>
      </w:r>
      <w:r w:rsidR="00AC7FC4" w:rsidRPr="00AC7FC4">
        <w:rPr>
          <w:rFonts w:asciiTheme="minorHAnsi" w:hAnsiTheme="minorHAnsi" w:cstheme="minorBidi"/>
          <w:i/>
          <w:iCs/>
        </w:rPr>
        <w:t>size of testing population’ section of this PICO</w:t>
      </w:r>
      <w:r w:rsidR="00AC7FC4">
        <w:rPr>
          <w:rStyle w:val="cf11"/>
        </w:rPr>
        <w:t xml:space="preserve"> </w:t>
      </w:r>
      <w:r w:rsidR="00BC54D8">
        <w:rPr>
          <w:rFonts w:asciiTheme="minorHAnsi" w:hAnsiTheme="minorHAnsi" w:cstheme="minorBidi"/>
          <w:i/>
          <w:iCs/>
        </w:rPr>
        <w:t>alluding to the uncertainty in these estimates</w:t>
      </w:r>
      <w:r w:rsidRPr="004C6591">
        <w:rPr>
          <w:rFonts w:asciiTheme="minorHAnsi" w:hAnsiTheme="minorHAnsi" w:cstheme="minorBidi"/>
          <w:i/>
          <w:iCs/>
        </w:rPr>
        <w:t xml:space="preserve">). </w:t>
      </w:r>
      <w:r w:rsidR="00BC54D8">
        <w:rPr>
          <w:rFonts w:asciiTheme="minorHAnsi" w:hAnsiTheme="minorHAnsi" w:cstheme="minorBidi"/>
          <w:i/>
          <w:iCs/>
        </w:rPr>
        <w:t>In addition, a</w:t>
      </w:r>
      <w:r w:rsidR="00BC54D8" w:rsidRPr="004C6591">
        <w:rPr>
          <w:rFonts w:asciiTheme="minorHAnsi" w:hAnsiTheme="minorHAnsi" w:cstheme="minorBidi"/>
          <w:i/>
          <w:iCs/>
        </w:rPr>
        <w:t xml:space="preserve"> </w:t>
      </w:r>
      <w:r w:rsidRPr="004C6591">
        <w:rPr>
          <w:rFonts w:asciiTheme="minorHAnsi" w:hAnsiTheme="minorHAnsi" w:cstheme="minorBidi"/>
          <w:i/>
          <w:iCs/>
        </w:rPr>
        <w:t xml:space="preserve">different estimate of approximately 1,700 patients was also presented </w:t>
      </w:r>
      <w:r w:rsidRPr="004C6591" w:rsidDel="00884104">
        <w:rPr>
          <w:rFonts w:asciiTheme="minorHAnsi" w:hAnsiTheme="minorHAnsi" w:cstheme="minorBidi"/>
          <w:i/>
          <w:iCs/>
        </w:rPr>
        <w:t xml:space="preserve">in </w:t>
      </w:r>
      <w:r w:rsidRPr="004C6591">
        <w:rPr>
          <w:rFonts w:asciiTheme="minorHAnsi" w:hAnsiTheme="minorHAnsi" w:cstheme="minorBidi"/>
          <w:i/>
          <w:iCs/>
        </w:rPr>
        <w:t>the application</w:t>
      </w:r>
      <w:r w:rsidR="00A64AC6">
        <w:rPr>
          <w:rFonts w:asciiTheme="minorHAnsi" w:hAnsiTheme="minorHAnsi" w:cstheme="minorBidi"/>
          <w:i/>
          <w:iCs/>
        </w:rPr>
        <w:t>;</w:t>
      </w:r>
      <w:r w:rsidR="00A64AC6" w:rsidRPr="004C6591">
        <w:rPr>
          <w:rFonts w:asciiTheme="minorHAnsi" w:hAnsiTheme="minorHAnsi" w:cstheme="minorBidi"/>
          <w:i/>
          <w:iCs/>
        </w:rPr>
        <w:t xml:space="preserve"> </w:t>
      </w:r>
      <w:r w:rsidR="00A64AC6">
        <w:rPr>
          <w:rFonts w:asciiTheme="minorHAnsi" w:hAnsiTheme="minorHAnsi" w:cstheme="minorBidi"/>
          <w:i/>
          <w:iCs/>
        </w:rPr>
        <w:t>in summary</w:t>
      </w:r>
      <w:r w:rsidR="00A64AC6" w:rsidRPr="004C6591">
        <w:rPr>
          <w:rFonts w:asciiTheme="minorHAnsi" w:hAnsiTheme="minorHAnsi" w:cstheme="minorBidi"/>
          <w:i/>
          <w:iCs/>
        </w:rPr>
        <w:t xml:space="preserve"> </w:t>
      </w:r>
      <w:r w:rsidR="00A64AC6">
        <w:rPr>
          <w:rFonts w:asciiTheme="minorHAnsi" w:hAnsiTheme="minorHAnsi" w:cstheme="minorBidi"/>
          <w:i/>
          <w:iCs/>
        </w:rPr>
        <w:t>the</w:t>
      </w:r>
      <w:r w:rsidR="00A64AC6" w:rsidRPr="004C6591">
        <w:rPr>
          <w:rFonts w:asciiTheme="minorHAnsi" w:hAnsiTheme="minorHAnsi" w:cstheme="minorBidi"/>
          <w:i/>
          <w:iCs/>
        </w:rPr>
        <w:t xml:space="preserve"> </w:t>
      </w:r>
      <w:r w:rsidRPr="004C6591">
        <w:rPr>
          <w:rFonts w:asciiTheme="minorHAnsi" w:hAnsiTheme="minorHAnsi" w:cstheme="minorBidi"/>
          <w:i/>
          <w:iCs/>
        </w:rPr>
        <w:t xml:space="preserve">utilisation </w:t>
      </w:r>
      <w:r w:rsidR="00C86E6E">
        <w:rPr>
          <w:rFonts w:asciiTheme="minorHAnsi" w:hAnsiTheme="minorHAnsi" w:cstheme="minorBidi"/>
          <w:i/>
          <w:iCs/>
        </w:rPr>
        <w:t xml:space="preserve">estimates </w:t>
      </w:r>
      <w:r w:rsidR="00DE42C5">
        <w:rPr>
          <w:rFonts w:asciiTheme="minorHAnsi" w:hAnsiTheme="minorHAnsi" w:cstheme="minorBidi"/>
          <w:i/>
          <w:iCs/>
        </w:rPr>
        <w:lastRenderedPageBreak/>
        <w:t>remain</w:t>
      </w:r>
      <w:r w:rsidR="00C86E6E" w:rsidRPr="004C6591">
        <w:rPr>
          <w:rFonts w:asciiTheme="minorHAnsi" w:hAnsiTheme="minorHAnsi" w:cstheme="minorBidi"/>
          <w:i/>
          <w:iCs/>
        </w:rPr>
        <w:t xml:space="preserve"> </w:t>
      </w:r>
      <w:r w:rsidRPr="004C6591">
        <w:rPr>
          <w:rFonts w:asciiTheme="minorHAnsi" w:hAnsiTheme="minorHAnsi" w:cstheme="minorBidi"/>
          <w:i/>
          <w:iCs/>
        </w:rPr>
        <w:t xml:space="preserve">uncertain. Despite </w:t>
      </w:r>
      <w:r w:rsidR="00D566E1" w:rsidRPr="004C6591">
        <w:rPr>
          <w:rFonts w:asciiTheme="minorHAnsi" w:hAnsiTheme="minorHAnsi" w:cstheme="minorBidi"/>
          <w:i/>
          <w:iCs/>
        </w:rPr>
        <w:t xml:space="preserve">the </w:t>
      </w:r>
      <w:r w:rsidRPr="004C6591">
        <w:rPr>
          <w:rFonts w:asciiTheme="minorHAnsi" w:hAnsiTheme="minorHAnsi" w:cstheme="minorBidi"/>
          <w:i/>
          <w:iCs/>
        </w:rPr>
        <w:t xml:space="preserve">uncertainty in the utilisation estimates, PASC considered that the incremental population growth (and therefore associated cost increase) over time </w:t>
      </w:r>
      <w:r w:rsidR="00FF79A5">
        <w:rPr>
          <w:rFonts w:asciiTheme="minorHAnsi" w:hAnsiTheme="minorHAnsi" w:cstheme="minorBidi"/>
          <w:i/>
          <w:iCs/>
        </w:rPr>
        <w:t>is likely to</w:t>
      </w:r>
      <w:r w:rsidRPr="004C6591">
        <w:rPr>
          <w:rFonts w:asciiTheme="minorHAnsi" w:hAnsiTheme="minorHAnsi" w:cstheme="minorBidi"/>
          <w:i/>
          <w:iCs/>
        </w:rPr>
        <w:t xml:space="preserve"> be small. The cost to </w:t>
      </w:r>
      <w:r w:rsidR="00F06D2F" w:rsidRPr="004C6591">
        <w:rPr>
          <w:rFonts w:asciiTheme="minorHAnsi" w:hAnsiTheme="minorHAnsi" w:cstheme="minorBidi"/>
          <w:i/>
          <w:iCs/>
        </w:rPr>
        <w:t xml:space="preserve">the MBS </w:t>
      </w:r>
      <w:r w:rsidRPr="004C6591">
        <w:rPr>
          <w:rFonts w:asciiTheme="minorHAnsi" w:hAnsiTheme="minorHAnsi" w:cstheme="minorBidi"/>
          <w:i/>
          <w:iCs/>
        </w:rPr>
        <w:t xml:space="preserve">was estimated to be </w:t>
      </w:r>
      <w:r w:rsidR="0051352C" w:rsidRPr="004C6591">
        <w:rPr>
          <w:rFonts w:asciiTheme="minorHAnsi" w:hAnsiTheme="minorHAnsi" w:cstheme="minorBidi"/>
          <w:i/>
          <w:iCs/>
        </w:rPr>
        <w:t xml:space="preserve">approximately </w:t>
      </w:r>
      <w:r w:rsidRPr="004C6591">
        <w:rPr>
          <w:rFonts w:asciiTheme="minorHAnsi" w:hAnsiTheme="minorHAnsi" w:cstheme="minorBidi"/>
          <w:i/>
          <w:iCs/>
        </w:rPr>
        <w:t xml:space="preserve">$600,000-$700,000 per year if the cost of the MBS item was $400, although PASC considered that this cost was uncertain and expected that testing using ctDNA would </w:t>
      </w:r>
      <w:r w:rsidR="00884104" w:rsidRPr="004C6591">
        <w:rPr>
          <w:rFonts w:asciiTheme="minorHAnsi" w:hAnsiTheme="minorHAnsi" w:cstheme="minorBidi"/>
          <w:i/>
          <w:iCs/>
        </w:rPr>
        <w:t xml:space="preserve">likely </w:t>
      </w:r>
      <w:r w:rsidRPr="004C6591">
        <w:rPr>
          <w:rFonts w:asciiTheme="minorHAnsi" w:hAnsiTheme="minorHAnsi" w:cstheme="minorBidi"/>
          <w:i/>
          <w:iCs/>
        </w:rPr>
        <w:t xml:space="preserve">have a higher cost. PASC also noted that the population estimates were applicable only if the </w:t>
      </w:r>
      <w:r w:rsidRPr="00C65136">
        <w:rPr>
          <w:rFonts w:asciiTheme="minorHAnsi" w:hAnsiTheme="minorHAnsi"/>
        </w:rPr>
        <w:t xml:space="preserve">PIK3CA </w:t>
      </w:r>
      <w:r w:rsidRPr="004C6591">
        <w:rPr>
          <w:rFonts w:asciiTheme="minorHAnsi" w:hAnsiTheme="minorHAnsi" w:cstheme="minorBidi"/>
          <w:i/>
          <w:iCs/>
        </w:rPr>
        <w:t>test was conducted in patients with HR+/HER2- BC following treatment failure. PASC noted that this population was different from the applicant’s proposed test population, which does not include the restriction to patients who have experienced treatment failure. PASC noted that the</w:t>
      </w:r>
      <w:r w:rsidRPr="004C6591" w:rsidDel="654231EB">
        <w:rPr>
          <w:rFonts w:asciiTheme="minorHAnsi" w:hAnsiTheme="minorHAnsi" w:cstheme="minorBidi"/>
          <w:i/>
          <w:iCs/>
        </w:rPr>
        <w:t xml:space="preserve"> </w:t>
      </w:r>
      <w:r w:rsidRPr="004C6591">
        <w:rPr>
          <w:rFonts w:asciiTheme="minorHAnsi" w:hAnsiTheme="minorHAnsi" w:cstheme="minorBidi"/>
          <w:i/>
          <w:iCs/>
        </w:rPr>
        <w:t xml:space="preserve">utilisation estimates may not be applicable if the </w:t>
      </w:r>
      <w:r w:rsidRPr="00C65136">
        <w:rPr>
          <w:rFonts w:asciiTheme="minorHAnsi" w:hAnsiTheme="minorHAnsi"/>
        </w:rPr>
        <w:t>PIK3CA</w:t>
      </w:r>
      <w:r w:rsidRPr="004C6591">
        <w:rPr>
          <w:rFonts w:asciiTheme="minorHAnsi" w:hAnsiTheme="minorHAnsi" w:cstheme="minorBidi"/>
          <w:i/>
          <w:iCs/>
        </w:rPr>
        <w:t xml:space="preserve"> testing were to be conducted in th</w:t>
      </w:r>
      <w:r w:rsidR="00EC347B" w:rsidRPr="004C6591">
        <w:rPr>
          <w:rFonts w:asciiTheme="minorHAnsi" w:hAnsiTheme="minorHAnsi" w:cstheme="minorBidi"/>
          <w:i/>
          <w:iCs/>
        </w:rPr>
        <w:t>e</w:t>
      </w:r>
      <w:r w:rsidRPr="004C6591">
        <w:rPr>
          <w:rFonts w:asciiTheme="minorHAnsi" w:hAnsiTheme="minorHAnsi" w:cstheme="minorBidi"/>
          <w:i/>
          <w:iCs/>
        </w:rPr>
        <w:t xml:space="preserve"> broader population proposed by the applicant. PASC advised that it was best to target the test to the most appropriate patients who could benefit from the testing</w:t>
      </w:r>
      <w:r w:rsidR="00F06D2F" w:rsidRPr="004C6591">
        <w:rPr>
          <w:rFonts w:asciiTheme="minorHAnsi" w:hAnsiTheme="minorHAnsi" w:cstheme="minorBidi"/>
          <w:i/>
          <w:iCs/>
        </w:rPr>
        <w:t xml:space="preserve"> (i.e. patients with HR+/HER2- LA/mBC who have relapsed during or after adjuvant endocrine therapy)</w:t>
      </w:r>
      <w:r w:rsidRPr="004C6591">
        <w:rPr>
          <w:rFonts w:asciiTheme="minorHAnsi" w:hAnsiTheme="minorHAnsi" w:cstheme="minorBidi"/>
          <w:i/>
          <w:iCs/>
        </w:rPr>
        <w:t xml:space="preserve"> due to the cost implication with a broader test population.</w:t>
      </w:r>
    </w:p>
    <w:p w14:paraId="4DE66CB1" w14:textId="5129DAA9" w:rsidR="0039370F" w:rsidRPr="004C6591" w:rsidRDefault="0039370F" w:rsidP="0039370F">
      <w:pPr>
        <w:pStyle w:val="Heading4"/>
      </w:pPr>
      <w:r w:rsidRPr="004C6591">
        <w:t>Prior tests</w:t>
      </w:r>
    </w:p>
    <w:p w14:paraId="62D2319F" w14:textId="4F0719F4" w:rsidR="0039370F" w:rsidRPr="004C6591" w:rsidRDefault="0039370F" w:rsidP="00BD7374">
      <w:pPr>
        <w:pStyle w:val="ListParagraph"/>
        <w:numPr>
          <w:ilvl w:val="0"/>
          <w:numId w:val="8"/>
        </w:numPr>
      </w:pPr>
      <w:r w:rsidRPr="004C6591">
        <w:t>Biopsy and imaging (mammogram, ultrasound, or magnetic resonance imaging) to confirm diagnosis of BC.</w:t>
      </w:r>
    </w:p>
    <w:p w14:paraId="34C683F8" w14:textId="43BF38E1" w:rsidR="0039370F" w:rsidRPr="004C6591" w:rsidRDefault="0039370F" w:rsidP="00BD7374">
      <w:pPr>
        <w:pStyle w:val="ListParagraph"/>
        <w:numPr>
          <w:ilvl w:val="0"/>
          <w:numId w:val="8"/>
        </w:numPr>
      </w:pPr>
      <w:r w:rsidRPr="004C6591">
        <w:t>Staging workup, which is guided by symptoms and may include clinical and ultrasound assessment of lymph nodes, computed tomography, bone scan, x-rays, magnetic resonance imaging, and fluorodeoxyglucose positron emission tomography–computed tomography.</w:t>
      </w:r>
    </w:p>
    <w:p w14:paraId="68E62D2A" w14:textId="0BB5316E" w:rsidR="0039370F" w:rsidRPr="004C6591" w:rsidRDefault="0039370F" w:rsidP="00BD7374">
      <w:pPr>
        <w:pStyle w:val="ListParagraph"/>
        <w:numPr>
          <w:ilvl w:val="0"/>
          <w:numId w:val="8"/>
        </w:numPr>
      </w:pPr>
      <w:r w:rsidRPr="004C6591">
        <w:t>Molecular diagnostic studies including immunohistochemical evaluation of HR status and immunohistochemical evaluation to determine HER2 status.</w:t>
      </w:r>
    </w:p>
    <w:p w14:paraId="0E38780D" w14:textId="77777777" w:rsidR="007A66C8" w:rsidRPr="004C6591" w:rsidRDefault="007A66C8" w:rsidP="00713728">
      <w:pPr>
        <w:pStyle w:val="Heading3"/>
      </w:pPr>
      <w:r w:rsidRPr="004C6591">
        <w:t>Intervention</w:t>
      </w:r>
    </w:p>
    <w:p w14:paraId="767D65C6" w14:textId="36E0314D" w:rsidR="009B06A9" w:rsidRPr="004C6591" w:rsidRDefault="0057013F" w:rsidP="009B06A9">
      <w:r w:rsidRPr="004C6591">
        <w:t xml:space="preserve">The proposed intervention is a codependent health technology </w:t>
      </w:r>
      <w:r w:rsidR="00C94A42" w:rsidRPr="004C6591">
        <w:t>to</w:t>
      </w:r>
      <w:r w:rsidRPr="004C6591">
        <w:t xml:space="preserve"> identify </w:t>
      </w:r>
      <w:r w:rsidR="0092589B">
        <w:t>whether a</w:t>
      </w:r>
      <w:r w:rsidR="0092589B" w:rsidRPr="004C6591">
        <w:t xml:space="preserve"> </w:t>
      </w:r>
      <w:r w:rsidRPr="004C6591">
        <w:t xml:space="preserve">patient </w:t>
      </w:r>
      <w:r w:rsidR="0092589B">
        <w:t>is</w:t>
      </w:r>
      <w:r w:rsidR="0092589B" w:rsidRPr="004C6591">
        <w:t xml:space="preserve"> </w:t>
      </w:r>
      <w:r w:rsidRPr="004C6591">
        <w:t xml:space="preserve">suitable for a </w:t>
      </w:r>
      <w:r w:rsidR="0092589B">
        <w:t xml:space="preserve">particular </w:t>
      </w:r>
      <w:r w:rsidRPr="004C6591">
        <w:t xml:space="preserve">pharmacological treatment. The proposed investigative technology is somatic genetic testing which uses NGS to detect </w:t>
      </w:r>
      <w:r w:rsidRPr="004C6591">
        <w:rPr>
          <w:i/>
          <w:iCs/>
        </w:rPr>
        <w:t>PIK3CA</w:t>
      </w:r>
      <w:r w:rsidRPr="004C6591">
        <w:t xml:space="preserve"> </w:t>
      </w:r>
      <w:r w:rsidR="00AB41C7" w:rsidRPr="004C6591">
        <w:t>variants</w:t>
      </w:r>
      <w:r w:rsidRPr="004C6591">
        <w:t xml:space="preserve"> in ctDNA</w:t>
      </w:r>
      <w:r w:rsidR="002D2E67" w:rsidRPr="004C6591">
        <w:t xml:space="preserve"> (derived from blood sample)</w:t>
      </w:r>
      <w:r w:rsidRPr="004C6591">
        <w:t xml:space="preserve"> or tumour tissue from patients with HR+/HER2- </w:t>
      </w:r>
      <w:r w:rsidR="004E44B6" w:rsidRPr="004C6591">
        <w:t>LA/mBC</w:t>
      </w:r>
      <w:r w:rsidRPr="004C6591">
        <w:t xml:space="preserve">. </w:t>
      </w:r>
      <w:r w:rsidR="003D54ED" w:rsidRPr="004C6591">
        <w:t>T</w:t>
      </w:r>
      <w:r w:rsidR="00E937F3" w:rsidRPr="004C6591">
        <w:t xml:space="preserve">he use of a trademarked assay for the NGS testing to characterise the </w:t>
      </w:r>
      <w:r w:rsidR="00E937F3" w:rsidRPr="004C6591">
        <w:rPr>
          <w:i/>
          <w:iCs/>
        </w:rPr>
        <w:t>PIK3CA</w:t>
      </w:r>
      <w:r w:rsidR="00E937F3" w:rsidRPr="004C6591">
        <w:t xml:space="preserve"> variant</w:t>
      </w:r>
      <w:r w:rsidR="009E5045" w:rsidRPr="004C6591">
        <w:t>s</w:t>
      </w:r>
      <w:r w:rsidR="003D54ED" w:rsidRPr="004C6591">
        <w:t xml:space="preserve"> was not </w:t>
      </w:r>
      <w:r w:rsidR="00690B16" w:rsidRPr="004C6591">
        <w:t>specified.</w:t>
      </w:r>
      <w:r w:rsidR="001C7BDB" w:rsidRPr="004C6591">
        <w:t xml:space="preserve"> </w:t>
      </w:r>
      <w:r w:rsidR="00F05B7A" w:rsidRPr="004C6591">
        <w:t>Detection</w:t>
      </w:r>
      <w:r w:rsidRPr="004C6591">
        <w:t xml:space="preserve"> of </w:t>
      </w:r>
      <w:r w:rsidRPr="004C6591">
        <w:rPr>
          <w:i/>
          <w:iCs/>
        </w:rPr>
        <w:t>PIK</w:t>
      </w:r>
      <w:r w:rsidR="00AF72F4" w:rsidRPr="004C6591">
        <w:rPr>
          <w:i/>
          <w:iCs/>
        </w:rPr>
        <w:t>3</w:t>
      </w:r>
      <w:r w:rsidRPr="004C6591">
        <w:rPr>
          <w:i/>
          <w:iCs/>
        </w:rPr>
        <w:t>CA</w:t>
      </w:r>
      <w:r w:rsidRPr="004C6591">
        <w:t xml:space="preserve"> variant</w:t>
      </w:r>
      <w:r w:rsidR="009E5045" w:rsidRPr="004C6591">
        <w:t>s</w:t>
      </w:r>
      <w:r w:rsidRPr="004C6591">
        <w:t xml:space="preserve"> </w:t>
      </w:r>
      <w:r w:rsidR="001D36B0" w:rsidRPr="004C6591">
        <w:t>w</w:t>
      </w:r>
      <w:r w:rsidR="00F05B7A" w:rsidRPr="004C6591">
        <w:t>ould</w:t>
      </w:r>
      <w:r w:rsidRPr="004C6591">
        <w:t xml:space="preserve"> </w:t>
      </w:r>
      <w:r w:rsidR="00F05B7A" w:rsidRPr="004C6591">
        <w:t>inform</w:t>
      </w:r>
      <w:r w:rsidRPr="004C6591">
        <w:t xml:space="preserve"> treatment with </w:t>
      </w:r>
      <w:r w:rsidR="00D27097" w:rsidRPr="004C6591">
        <w:t>inavolisib</w:t>
      </w:r>
      <w:r w:rsidRPr="004C6591">
        <w:t xml:space="preserve"> (a</w:t>
      </w:r>
      <w:r w:rsidR="00D27097" w:rsidRPr="004C6591">
        <w:t xml:space="preserve"> PIK3CA </w:t>
      </w:r>
      <w:r w:rsidRPr="004C6591">
        <w:t>inhibitor)</w:t>
      </w:r>
      <w:r w:rsidR="008E399A" w:rsidRPr="004C6591">
        <w:t>.</w:t>
      </w:r>
      <w:r w:rsidRPr="004C6591">
        <w:t xml:space="preserve"> </w:t>
      </w:r>
      <w:r w:rsidR="00D27097" w:rsidRPr="004C6591">
        <w:t xml:space="preserve">Based on the INAVO120 trial primary analysis, patients tested with </w:t>
      </w:r>
      <w:r w:rsidR="007C10C4" w:rsidRPr="004C6591">
        <w:t xml:space="preserve">one or more </w:t>
      </w:r>
      <w:r w:rsidR="00D27097" w:rsidRPr="004C6591">
        <w:rPr>
          <w:i/>
          <w:iCs/>
        </w:rPr>
        <w:t>PIK3CA</w:t>
      </w:r>
      <w:r w:rsidR="00D27097" w:rsidRPr="004C6591">
        <w:t xml:space="preserve"> variant</w:t>
      </w:r>
      <w:r w:rsidR="009E5045" w:rsidRPr="004C6591">
        <w:t>s</w:t>
      </w:r>
      <w:r w:rsidR="00D27097" w:rsidRPr="004C6591">
        <w:t xml:space="preserve"> and treated with</w:t>
      </w:r>
      <w:r w:rsidR="00695C5D" w:rsidRPr="004C6591">
        <w:t xml:space="preserve"> </w:t>
      </w:r>
      <w:r w:rsidR="00C75BF6" w:rsidRPr="004C6591">
        <w:t>inavolisib + palbociclib + fulvestrant</w:t>
      </w:r>
      <w:r w:rsidR="00695C5D" w:rsidRPr="004C6591">
        <w:t xml:space="preserve"> </w:t>
      </w:r>
      <w:r w:rsidR="00D27097" w:rsidRPr="004C6591">
        <w:t>experienced significant improvement in PFS and OS</w:t>
      </w:r>
      <w:r w:rsidR="008E71DB" w:rsidRPr="004C6591">
        <w:t xml:space="preserve">, </w:t>
      </w:r>
      <w:r w:rsidR="00D27097" w:rsidRPr="004C6591">
        <w:t xml:space="preserve">compared to treatment with </w:t>
      </w:r>
      <w:r w:rsidR="00C473C7" w:rsidRPr="004C6591">
        <w:t>p</w:t>
      </w:r>
      <w:r w:rsidR="00AB41C7" w:rsidRPr="004C6591">
        <w:t>lace</w:t>
      </w:r>
      <w:r w:rsidR="004E44B6" w:rsidRPr="004C6591">
        <w:t>bo+</w:t>
      </w:r>
      <w:r w:rsidR="00C75BF6" w:rsidRPr="004C6591">
        <w:t xml:space="preserve"> palbociclib + fulvestrant</w:t>
      </w:r>
      <w:r w:rsidR="00292188" w:rsidRPr="004C6591">
        <w:t xml:space="preserve">. </w:t>
      </w:r>
    </w:p>
    <w:p w14:paraId="4C252F08" w14:textId="0FF07912" w:rsidR="00AE04DA" w:rsidRPr="004C6591" w:rsidRDefault="00AE04DA" w:rsidP="009B06A9">
      <w:r w:rsidRPr="004C6591">
        <w:rPr>
          <w:rFonts w:asciiTheme="minorHAnsi" w:hAnsiTheme="minorHAnsi" w:cstheme="minorBidi"/>
          <w:i/>
          <w:iCs/>
        </w:rPr>
        <w:t xml:space="preserve">PASC agreed on the test intervention being </w:t>
      </w:r>
      <w:r w:rsidRPr="00C65136">
        <w:rPr>
          <w:rFonts w:asciiTheme="minorHAnsi" w:hAnsiTheme="minorHAnsi"/>
        </w:rPr>
        <w:t>PIK3CA</w:t>
      </w:r>
      <w:r w:rsidRPr="004C6591">
        <w:rPr>
          <w:rFonts w:asciiTheme="minorHAnsi" w:hAnsiTheme="minorHAnsi" w:cstheme="minorBidi"/>
          <w:i/>
          <w:iCs/>
        </w:rPr>
        <w:t xml:space="preserve"> testing (method agnostic) and treatment intervention with inavolisib in eligible patients </w:t>
      </w:r>
      <w:r w:rsidR="00FF79A5">
        <w:rPr>
          <w:rFonts w:asciiTheme="minorHAnsi" w:hAnsiTheme="minorHAnsi" w:cstheme="minorBidi"/>
          <w:i/>
          <w:iCs/>
        </w:rPr>
        <w:t xml:space="preserve">who have </w:t>
      </w:r>
      <w:r w:rsidRPr="004C6591">
        <w:rPr>
          <w:rFonts w:asciiTheme="minorHAnsi" w:hAnsiTheme="minorHAnsi" w:cstheme="minorBidi"/>
          <w:i/>
          <w:iCs/>
        </w:rPr>
        <w:t xml:space="preserve">tested </w:t>
      </w:r>
      <w:r w:rsidR="00D566E1" w:rsidRPr="004C6591">
        <w:rPr>
          <w:rFonts w:asciiTheme="minorHAnsi" w:hAnsiTheme="minorHAnsi" w:cstheme="minorBidi"/>
          <w:i/>
          <w:iCs/>
        </w:rPr>
        <w:t xml:space="preserve">positive for </w:t>
      </w:r>
      <w:r w:rsidRPr="00C65136">
        <w:rPr>
          <w:rFonts w:asciiTheme="minorHAnsi" w:hAnsiTheme="minorHAnsi"/>
        </w:rPr>
        <w:t>PIK3CA</w:t>
      </w:r>
      <w:r w:rsidRPr="004C6591">
        <w:rPr>
          <w:rFonts w:asciiTheme="minorHAnsi" w:hAnsiTheme="minorHAnsi" w:cstheme="minorBidi"/>
          <w:i/>
          <w:iCs/>
        </w:rPr>
        <w:t xml:space="preserve"> variants.</w:t>
      </w:r>
    </w:p>
    <w:p w14:paraId="4ED84761" w14:textId="266B61DB" w:rsidR="008A3A85" w:rsidRPr="004C6591" w:rsidRDefault="009B06A9" w:rsidP="008A3A85">
      <w:r w:rsidRPr="004C6591">
        <w:t xml:space="preserve">The applicant advised that biopsy of tumour tissue sample for the purpose of pathological assessment is </w:t>
      </w:r>
      <w:r w:rsidR="00F606BB" w:rsidRPr="004C6591">
        <w:t xml:space="preserve">part of </w:t>
      </w:r>
      <w:r w:rsidRPr="004C6591">
        <w:t xml:space="preserve">routine clinical practice. A re-biopsy may be performed to obtain adequate tumour tissue sample for </w:t>
      </w:r>
      <w:r w:rsidRPr="004C6591">
        <w:rPr>
          <w:i/>
          <w:iCs/>
        </w:rPr>
        <w:t>PIK3CA</w:t>
      </w:r>
      <w:r w:rsidRPr="004C6591">
        <w:t xml:space="preserve"> testing</w:t>
      </w:r>
      <w:r w:rsidR="0049221D" w:rsidRPr="004C6591">
        <w:t xml:space="preserve"> </w:t>
      </w:r>
      <w:r w:rsidRPr="004C6591">
        <w:t xml:space="preserve">in the event of insufficient quality of the original biopsy sample or when the original biopsy is exhausted from prior pathological assessments. For </w:t>
      </w:r>
      <w:r w:rsidRPr="004C6591">
        <w:rPr>
          <w:i/>
          <w:iCs/>
        </w:rPr>
        <w:t>PIK3CA</w:t>
      </w:r>
      <w:r w:rsidRPr="004C6591">
        <w:t xml:space="preserve"> testing using ctDNA, collection of a plasma sample is required. The applicant proposed </w:t>
      </w:r>
      <w:r w:rsidR="003C412C" w:rsidRPr="004C6591">
        <w:t xml:space="preserve">in their application </w:t>
      </w:r>
      <w:r w:rsidRPr="004C6591">
        <w:t>that general practitioners or medical oncologists would provide referral</w:t>
      </w:r>
      <w:r w:rsidR="35B150A3" w:rsidRPr="004C6591">
        <w:t>s</w:t>
      </w:r>
      <w:r w:rsidRPr="004C6591">
        <w:t xml:space="preserve"> for pathological assessments </w:t>
      </w:r>
      <w:r w:rsidR="044F2878" w:rsidRPr="004C6591">
        <w:t>to</w:t>
      </w:r>
      <w:r w:rsidRPr="004C6591">
        <w:t xml:space="preserve"> inform</w:t>
      </w:r>
      <w:r w:rsidR="009A35FB" w:rsidRPr="004C6591">
        <w:t xml:space="preserve"> </w:t>
      </w:r>
      <w:r w:rsidR="1388B2CD" w:rsidRPr="004C6591">
        <w:t>decision</w:t>
      </w:r>
      <w:r w:rsidR="044F2878" w:rsidRPr="004C6591">
        <w:t>s</w:t>
      </w:r>
      <w:r w:rsidRPr="004C6591">
        <w:t xml:space="preserve"> on treatment selection in patients with </w:t>
      </w:r>
      <w:r w:rsidR="4D6C3A9F" w:rsidRPr="004C6591">
        <w:t>LA/</w:t>
      </w:r>
      <w:r w:rsidR="00120D13" w:rsidRPr="004C6591">
        <w:t>m</w:t>
      </w:r>
      <w:r w:rsidRPr="004C6591">
        <w:t>BC.</w:t>
      </w:r>
      <w:r w:rsidR="00702AFF" w:rsidRPr="004C6591">
        <w:t xml:space="preserve"> </w:t>
      </w:r>
      <w:r w:rsidR="004B2545" w:rsidRPr="004C6591">
        <w:t xml:space="preserve">However, in their draft item descriptor </w:t>
      </w:r>
      <w:r w:rsidR="006754FB" w:rsidRPr="004C6591">
        <w:t>the applicant</w:t>
      </w:r>
      <w:r w:rsidR="004B2545" w:rsidRPr="004C6591">
        <w:t xml:space="preserve"> </w:t>
      </w:r>
      <w:r w:rsidR="00996CEE" w:rsidRPr="004C6591">
        <w:t>suggested</w:t>
      </w:r>
      <w:r w:rsidR="00F85B23" w:rsidRPr="004C6591">
        <w:t xml:space="preserve"> ‘specialist and consultant physicians’</w:t>
      </w:r>
      <w:r w:rsidR="00996CEE" w:rsidRPr="004C6591">
        <w:t xml:space="preserve"> as the </w:t>
      </w:r>
      <w:r w:rsidR="009201B4" w:rsidRPr="004C6591">
        <w:t xml:space="preserve">most appropriate </w:t>
      </w:r>
      <w:r w:rsidR="00996CEE" w:rsidRPr="004C6591">
        <w:t>referrers</w:t>
      </w:r>
      <w:r w:rsidR="00207C55" w:rsidRPr="004C6591">
        <w:t>.</w:t>
      </w:r>
      <w:r w:rsidR="00525CA3" w:rsidRPr="004C6591">
        <w:t xml:space="preserve"> </w:t>
      </w:r>
      <w:r w:rsidR="044F2878" w:rsidRPr="004C6591">
        <w:t xml:space="preserve">In the event </w:t>
      </w:r>
      <w:r w:rsidR="0063736B" w:rsidRPr="004C6591">
        <w:t>that</w:t>
      </w:r>
      <w:r w:rsidR="044F2878" w:rsidRPr="004C6591">
        <w:t xml:space="preserve"> a laboratory does not have the equipment required to perform NGS analysis, t</w:t>
      </w:r>
      <w:r w:rsidR="1388B2CD" w:rsidRPr="004C6591">
        <w:t>he</w:t>
      </w:r>
      <w:r w:rsidRPr="004C6591">
        <w:t xml:space="preserve"> pathologist may refer </w:t>
      </w:r>
      <w:r w:rsidRPr="004C6591">
        <w:rPr>
          <w:i/>
          <w:iCs/>
        </w:rPr>
        <w:t xml:space="preserve">PIK3CA </w:t>
      </w:r>
      <w:r w:rsidRPr="004C6591">
        <w:t xml:space="preserve">testing to a speciality molecular pathology laboratory. </w:t>
      </w:r>
      <w:r w:rsidRPr="004C6591">
        <w:rPr>
          <w:i/>
          <w:iCs/>
        </w:rPr>
        <w:t>PIK3CA</w:t>
      </w:r>
      <w:r w:rsidRPr="004C6591">
        <w:t xml:space="preserve"> testing </w:t>
      </w:r>
      <w:r w:rsidR="000330F0" w:rsidRPr="004C6591">
        <w:t xml:space="preserve">is </w:t>
      </w:r>
      <w:r w:rsidRPr="004C6591">
        <w:t xml:space="preserve">to be performed in a pathology laboratory by a </w:t>
      </w:r>
      <w:r w:rsidRPr="004C6591">
        <w:lastRenderedPageBreak/>
        <w:t xml:space="preserve">molecular pathologist, or laboratory staff working under the direct supervision of the pathologist. All personnel performing molecular pathology testing must be suitably qualified and testing laboratories must hold the appropriate accreditations to offer pathology testing in Australia. These training and accreditation requirements apply to all cancer biomarker tests and </w:t>
      </w:r>
      <w:r w:rsidR="4135ACE6" w:rsidRPr="004C6591">
        <w:t xml:space="preserve">are </w:t>
      </w:r>
      <w:r w:rsidRPr="004C6591">
        <w:t xml:space="preserve">not specific to </w:t>
      </w:r>
      <w:r w:rsidRPr="004C6591">
        <w:rPr>
          <w:i/>
          <w:iCs/>
        </w:rPr>
        <w:t>PIK3CA</w:t>
      </w:r>
      <w:r w:rsidRPr="004C6591">
        <w:t xml:space="preserve"> testing. </w:t>
      </w:r>
    </w:p>
    <w:p w14:paraId="7B21B2E3" w14:textId="6DC9EF44" w:rsidR="008A3A85" w:rsidRPr="004C6591" w:rsidRDefault="008A3A85" w:rsidP="008A3A85">
      <w:r w:rsidRPr="004C6591">
        <w:t xml:space="preserve">The applicant suggested that the identification of </w:t>
      </w:r>
      <w:r w:rsidRPr="004C6591">
        <w:rPr>
          <w:i/>
          <w:iCs/>
        </w:rPr>
        <w:t>PIK3CA</w:t>
      </w:r>
      <w:r w:rsidRPr="004C6591">
        <w:t xml:space="preserve"> variant</w:t>
      </w:r>
      <w:r w:rsidR="0003333B" w:rsidRPr="004C6591">
        <w:t>s</w:t>
      </w:r>
      <w:r w:rsidRPr="004C6591">
        <w:t xml:space="preserve"> using a NGS assay is similar to that of other genes such as </w:t>
      </w:r>
      <w:r w:rsidR="00BF6451" w:rsidRPr="004C6591">
        <w:t>the</w:t>
      </w:r>
      <w:r w:rsidR="00BF6451" w:rsidRPr="004C6591">
        <w:rPr>
          <w:i/>
          <w:iCs/>
        </w:rPr>
        <w:t xml:space="preserve"> epidermal growth factor receptor</w:t>
      </w:r>
      <w:r w:rsidRPr="004C6591">
        <w:t xml:space="preserve"> variant</w:t>
      </w:r>
      <w:r w:rsidR="1FE37734" w:rsidRPr="004C6591">
        <w:t>s</w:t>
      </w:r>
      <w:r w:rsidRPr="004C6591">
        <w:t xml:space="preserve">. The key steps undertaken in the assessment of </w:t>
      </w:r>
      <w:r w:rsidR="00FC7FB8" w:rsidRPr="004C6591">
        <w:t>variants</w:t>
      </w:r>
      <w:r w:rsidRPr="004C6591">
        <w:t xml:space="preserve"> using a NGS assay include:</w:t>
      </w:r>
    </w:p>
    <w:p w14:paraId="56D8AD78" w14:textId="61878FE9" w:rsidR="008A3A85" w:rsidRPr="004C6591" w:rsidRDefault="008A3A85" w:rsidP="008A3A85">
      <w:pPr>
        <w:pStyle w:val="ListParagraph"/>
        <w:numPr>
          <w:ilvl w:val="0"/>
          <w:numId w:val="9"/>
        </w:numPr>
      </w:pPr>
      <w:r w:rsidRPr="004C6591">
        <w:t xml:space="preserve">Isolation of DNA and/or </w:t>
      </w:r>
      <w:r w:rsidR="00441D76" w:rsidRPr="004C6591">
        <w:t>ribonucleic acid (</w:t>
      </w:r>
      <w:r w:rsidRPr="004C6591">
        <w:t>RNA</w:t>
      </w:r>
      <w:r w:rsidR="00441D76" w:rsidRPr="004C6591">
        <w:t>)</w:t>
      </w:r>
      <w:r w:rsidRPr="004C6591">
        <w:t xml:space="preserve"> from </w:t>
      </w:r>
      <w:r w:rsidR="40885636" w:rsidRPr="004C6591">
        <w:t xml:space="preserve">a </w:t>
      </w:r>
      <w:r w:rsidRPr="004C6591">
        <w:t xml:space="preserve">blood plasma sample (ctDNA analysis) or </w:t>
      </w:r>
      <w:r w:rsidR="21E81EFD" w:rsidRPr="004C6591">
        <w:t>a</w:t>
      </w:r>
      <w:r w:rsidRPr="004C6591">
        <w:t xml:space="preserve"> formalin-fixed, paraffin-embedded tumour sample (tissue analysis)</w:t>
      </w:r>
    </w:p>
    <w:p w14:paraId="5183A9F0" w14:textId="77777777" w:rsidR="008A3A85" w:rsidRPr="004C6591" w:rsidRDefault="008A3A85" w:rsidP="008A3A85">
      <w:pPr>
        <w:pStyle w:val="ListParagraph"/>
        <w:numPr>
          <w:ilvl w:val="0"/>
          <w:numId w:val="9"/>
        </w:numPr>
      </w:pPr>
      <w:r w:rsidRPr="004C6591">
        <w:t>Preparation of sequencing libraries</w:t>
      </w:r>
    </w:p>
    <w:p w14:paraId="431B31C1" w14:textId="2577FB86" w:rsidR="008A3A85" w:rsidRPr="004C6591" w:rsidRDefault="008A3A85" w:rsidP="008A3A85">
      <w:pPr>
        <w:pStyle w:val="ListParagraph"/>
        <w:numPr>
          <w:ilvl w:val="0"/>
          <w:numId w:val="9"/>
        </w:numPr>
        <w:rPr>
          <w:rFonts w:ascii="Segoe UI" w:eastAsiaTheme="minorHAnsi" w:hAnsi="Segoe UI"/>
        </w:rPr>
      </w:pPr>
      <w:r w:rsidRPr="004C6591">
        <w:t xml:space="preserve">Enrichment of sequencing libraries for </w:t>
      </w:r>
      <w:r w:rsidRPr="004C6591">
        <w:rPr>
          <w:i/>
          <w:iCs/>
        </w:rPr>
        <w:t xml:space="preserve">PIK3CA </w:t>
      </w:r>
    </w:p>
    <w:p w14:paraId="4DA9FFC2" w14:textId="7997D662" w:rsidR="008076D7" w:rsidRPr="004C6591" w:rsidRDefault="008A3A85" w:rsidP="008076D7">
      <w:pPr>
        <w:pStyle w:val="ListParagraph"/>
        <w:numPr>
          <w:ilvl w:val="0"/>
          <w:numId w:val="9"/>
        </w:numPr>
      </w:pPr>
      <w:r w:rsidRPr="004C6591">
        <w:t xml:space="preserve">Analysis and reporting of test results to </w:t>
      </w:r>
      <w:r w:rsidR="4203B1F6" w:rsidRPr="004C6591">
        <w:t>the</w:t>
      </w:r>
      <w:r w:rsidRPr="004C6591">
        <w:t xml:space="preserve"> referring clinician.</w:t>
      </w:r>
      <w:r w:rsidR="008076D7" w:rsidRPr="004C6591">
        <w:t xml:space="preserve"> </w:t>
      </w:r>
    </w:p>
    <w:p w14:paraId="64839251" w14:textId="5D02BC98" w:rsidR="006B4041" w:rsidRPr="004C6591" w:rsidRDefault="008076D7" w:rsidP="006B4041">
      <w:r w:rsidRPr="004C6591">
        <w:t xml:space="preserve">There </w:t>
      </w:r>
      <w:r w:rsidR="6C9C0179" w:rsidRPr="004C6591">
        <w:t>is</w:t>
      </w:r>
      <w:r w:rsidRPr="004C6591">
        <w:t xml:space="preserve"> growing evidence on the use of ctDNA in the assessment of </w:t>
      </w:r>
      <w:r w:rsidRPr="004C6591">
        <w:rPr>
          <w:i/>
          <w:iCs/>
        </w:rPr>
        <w:t>PIK3CA</w:t>
      </w:r>
      <w:r w:rsidRPr="004C6591">
        <w:t xml:space="preserve"> variant</w:t>
      </w:r>
      <w:r w:rsidR="00ED625C" w:rsidRPr="004C6591">
        <w:t>s</w:t>
      </w:r>
      <w:r w:rsidRPr="004C6591">
        <w:t xml:space="preserve"> in BC. The overall ctDNA sensitivity and specificity were 0.73 (95% CI: 0.70-0.77) and 0.87 (95% CI: 0.85-0.89)</w:t>
      </w:r>
      <w:r w:rsidR="00C3220E" w:rsidRPr="004C6591">
        <w:t xml:space="preserve"> respectively</w:t>
      </w:r>
      <w:r w:rsidRPr="004C6591">
        <w:t>, with reference to tissue biopsy, based on an individual patient data meta-</w:t>
      </w:r>
      <w:r w:rsidR="00604CC6" w:rsidRPr="004C6591">
        <w:t>analysis</w:t>
      </w:r>
      <w:r w:rsidRPr="004C6591">
        <w:t xml:space="preserve"> (Galvano et al. 2022). Subgroup analysis showed greater sensitivity and specificity with NGS, </w:t>
      </w:r>
      <w:r w:rsidR="006B1FCA">
        <w:t>as compared with the</w:t>
      </w:r>
      <w:r w:rsidR="006B1FCA" w:rsidRPr="004C6591">
        <w:t xml:space="preserve"> </w:t>
      </w:r>
      <w:r w:rsidR="00F51060" w:rsidRPr="004C6591">
        <w:t>polymerase chain reaction-based (</w:t>
      </w:r>
      <w:r w:rsidRPr="004C6591">
        <w:t>PCR</w:t>
      </w:r>
      <w:r w:rsidR="00F51060" w:rsidRPr="004C6591">
        <w:t>)</w:t>
      </w:r>
      <w:r w:rsidRPr="004C6591">
        <w:t xml:space="preserve"> method. The pooled results were comparable between early and advanced tumour burden</w:t>
      </w:r>
      <w:r w:rsidR="00FA20E2" w:rsidRPr="004C6591">
        <w:t>,</w:t>
      </w:r>
      <w:r w:rsidRPr="004C6591">
        <w:t xml:space="preserve"> as well as between hotspot </w:t>
      </w:r>
      <w:r w:rsidR="00C3220E" w:rsidRPr="004C6591">
        <w:t xml:space="preserve">variants </w:t>
      </w:r>
      <w:r w:rsidRPr="004C6591">
        <w:t>of E542</w:t>
      </w:r>
      <w:r w:rsidR="00BD6E2E" w:rsidRPr="004C6591">
        <w:t>X</w:t>
      </w:r>
      <w:r w:rsidRPr="004C6591">
        <w:t>/</w:t>
      </w:r>
      <w:r w:rsidR="00BD6E2E" w:rsidRPr="004C6591">
        <w:t>E</w:t>
      </w:r>
      <w:r w:rsidRPr="004C6591">
        <w:t xml:space="preserve">545X versus H1047X. </w:t>
      </w:r>
    </w:p>
    <w:p w14:paraId="55BC93DD" w14:textId="637580FF" w:rsidR="00324F51" w:rsidRPr="004C6591" w:rsidRDefault="00324F51" w:rsidP="006B4041">
      <w:pPr>
        <w:pStyle w:val="Heading4"/>
      </w:pPr>
      <w:r w:rsidRPr="00C65136">
        <w:rPr>
          <w:i w:val="0"/>
        </w:rPr>
        <w:t>PIK3CA</w:t>
      </w:r>
      <w:r w:rsidRPr="004C6591">
        <w:t xml:space="preserve"> testing</w:t>
      </w:r>
      <w:r w:rsidR="00FB7AEB" w:rsidRPr="004C6591">
        <w:t xml:space="preserve"> based on INAVO120 trial</w:t>
      </w:r>
    </w:p>
    <w:p w14:paraId="742705A7" w14:textId="5A714A99" w:rsidR="00324F51" w:rsidRPr="004C6591" w:rsidRDefault="6BD61D03" w:rsidP="00324F51">
      <w:r w:rsidRPr="004C6591">
        <w:t>In the</w:t>
      </w:r>
      <w:r w:rsidR="00324F51" w:rsidRPr="004C6591">
        <w:t xml:space="preserve"> INAVO120 trial, all patients were assessed as having </w:t>
      </w:r>
      <w:r w:rsidR="00324F51" w:rsidRPr="004C6591">
        <w:rPr>
          <w:i/>
          <w:iCs/>
        </w:rPr>
        <w:t xml:space="preserve">PIK3CA </w:t>
      </w:r>
      <w:r w:rsidR="00324F51" w:rsidRPr="004C6591">
        <w:t>variant</w:t>
      </w:r>
      <w:r w:rsidR="000D339F" w:rsidRPr="004C6591">
        <w:t>s</w:t>
      </w:r>
      <w:r w:rsidR="00324F51" w:rsidRPr="004C6591">
        <w:t xml:space="preserve"> by testing of </w:t>
      </w:r>
      <w:r w:rsidR="6F791A4A" w:rsidRPr="004C6591">
        <w:t>either</w:t>
      </w:r>
      <w:r w:rsidR="1EF854A7" w:rsidRPr="004C6591">
        <w:t xml:space="preserve"> </w:t>
      </w:r>
      <w:r w:rsidR="00324F51" w:rsidRPr="004C6591">
        <w:t xml:space="preserve">ctDNA or tumour tissue sample. Of note, 92.6% of the patients in the INAVO120 trial were enrolled using ctDNA testing and 7.4% were enrolled per local tissue testing. </w:t>
      </w:r>
      <w:r w:rsidR="767D623E" w:rsidRPr="004C6591">
        <w:t xml:space="preserve">The </w:t>
      </w:r>
      <w:r w:rsidR="1EF854A7" w:rsidRPr="004C6591">
        <w:t>INAVO120</w:t>
      </w:r>
      <w:r w:rsidR="00324F51" w:rsidRPr="004C6591">
        <w:t xml:space="preserve"> trial was a multinational study including Australia and China. Most of the ctDNA testing was conducted centrally (</w:t>
      </w:r>
      <w:r w:rsidR="00492989">
        <w:t>REDACTED</w:t>
      </w:r>
      <w:r w:rsidR="00324F51" w:rsidRPr="004C6591">
        <w:t>%) using FoundationOne</w:t>
      </w:r>
      <w:r w:rsidR="00324F51" w:rsidRPr="004C6591">
        <w:rPr>
          <w:rFonts w:cs="Calibri"/>
        </w:rPr>
        <w:t>®</w:t>
      </w:r>
      <w:r w:rsidR="00324F51" w:rsidRPr="004C6591">
        <w:t xml:space="preserve"> Liquid CDx</w:t>
      </w:r>
      <w:r w:rsidR="006754FB" w:rsidRPr="004C6591">
        <w:t xml:space="preserve"> (Foundation Medicine)</w:t>
      </w:r>
      <w:r w:rsidR="00324F51" w:rsidRPr="004C6591">
        <w:t xml:space="preserve">. In China, the central ctDNA test was the PredicineCARE NGS assay (Huidu). </w:t>
      </w:r>
    </w:p>
    <w:p w14:paraId="302E4169" w14:textId="6435043A" w:rsidR="003F3A69" w:rsidRPr="004C6591" w:rsidRDefault="006C0735" w:rsidP="00454B5B">
      <w:r w:rsidRPr="004C6591">
        <w:t xml:space="preserve">Based on written communication provided during the </w:t>
      </w:r>
      <w:r w:rsidR="0044225F" w:rsidRPr="004C6591">
        <w:t>pre-PASC stage, t</w:t>
      </w:r>
      <w:r w:rsidR="00324F51" w:rsidRPr="004C6591">
        <w:t>he applicant emphasi</w:t>
      </w:r>
      <w:r w:rsidR="00F31C6B" w:rsidRPr="004C6591">
        <w:t>s</w:t>
      </w:r>
      <w:r w:rsidR="00324F51" w:rsidRPr="004C6591">
        <w:t xml:space="preserve">ed that there were no protocol-driven criteria </w:t>
      </w:r>
      <w:r w:rsidR="00B62202" w:rsidRPr="004C6591">
        <w:t xml:space="preserve">to determine whether patients received the </w:t>
      </w:r>
      <w:r w:rsidR="00324F51" w:rsidRPr="004C6591">
        <w:t xml:space="preserve">ctDNA or tumour tissue in the INAVO120 trial. Patients were eligible to have </w:t>
      </w:r>
      <w:r w:rsidR="00324F51" w:rsidRPr="004C6591">
        <w:rPr>
          <w:i/>
          <w:iCs/>
        </w:rPr>
        <w:t>PIK3CA</w:t>
      </w:r>
      <w:r w:rsidR="00324F51" w:rsidRPr="004C6591">
        <w:t xml:space="preserve"> testing performed locally (using ctDNA or tissue) or centrally (ctDNA),</w:t>
      </w:r>
      <w:r w:rsidR="00625CFC" w:rsidRPr="004C6591">
        <w:t xml:space="preserve"> regardless of patient clinical features</w:t>
      </w:r>
      <w:r w:rsidR="00324F51" w:rsidRPr="004C6591">
        <w:t>.</w:t>
      </w:r>
      <w:r w:rsidR="00C57F9C" w:rsidRPr="004C6591">
        <w:t xml:space="preserve"> In addition, local testing using ctDNA or tumour tissue could be conducted with either PCR or NGS, and it is unclear </w:t>
      </w:r>
      <w:r w:rsidR="00AF72F4" w:rsidRPr="004C6591">
        <w:t>what proportion of</w:t>
      </w:r>
      <w:r w:rsidR="00C57F9C" w:rsidRPr="004C6591">
        <w:t xml:space="preserve"> samples were tested using </w:t>
      </w:r>
      <w:r w:rsidR="00AF72F4" w:rsidRPr="004C6591">
        <w:t>PCR in this setting</w:t>
      </w:r>
      <w:r w:rsidR="00C57F9C" w:rsidRPr="004C6591">
        <w:t>.</w:t>
      </w:r>
      <w:r w:rsidR="00324F51" w:rsidRPr="004C6591">
        <w:t xml:space="preserve"> Of note, a copy of </w:t>
      </w:r>
      <w:r w:rsidR="00B026B4" w:rsidRPr="004C6591">
        <w:t xml:space="preserve">the </w:t>
      </w:r>
      <w:r w:rsidR="00324F51" w:rsidRPr="004C6591">
        <w:t xml:space="preserve">INAVO120 trial protocol was not available during PICO development. </w:t>
      </w:r>
      <w:r w:rsidR="003F3A69" w:rsidRPr="004C6591">
        <w:t xml:space="preserve">The applicant notified that per-protocol </w:t>
      </w:r>
      <w:r w:rsidR="003F3A69" w:rsidRPr="004C6591">
        <w:rPr>
          <w:i/>
          <w:iCs/>
        </w:rPr>
        <w:t>PIK3CA</w:t>
      </w:r>
      <w:r w:rsidR="003F3A69" w:rsidRPr="004C6591">
        <w:t xml:space="preserve"> testing of blood samples or tumour tissue (fresh or archival tumour tissue, with preference for metastasized tissue in local testing) was conducted during screening period, which was </w:t>
      </w:r>
      <w:r w:rsidR="00247ACD" w:rsidRPr="004C6591">
        <w:t>between 1 and 28</w:t>
      </w:r>
      <w:r w:rsidR="003F3A69" w:rsidRPr="004C6591">
        <w:t xml:space="preserve"> days prior to </w:t>
      </w:r>
      <w:r w:rsidR="00A81FC2" w:rsidRPr="004C6591">
        <w:t xml:space="preserve">the </w:t>
      </w:r>
      <w:r w:rsidR="003F3A69" w:rsidRPr="004C6591">
        <w:t>initiation of treatment in the INAVO120 trial.</w:t>
      </w:r>
    </w:p>
    <w:p w14:paraId="51CDA800" w14:textId="4D09F72C" w:rsidR="00324F51" w:rsidRPr="004C6591" w:rsidRDefault="00395368" w:rsidP="00454B5B">
      <w:r w:rsidRPr="004C6591">
        <w:t>In correspondence with the Department, the</w:t>
      </w:r>
      <w:r w:rsidR="00324F51" w:rsidRPr="004C6591">
        <w:t xml:space="preserve"> applicant </w:t>
      </w:r>
      <w:r w:rsidRPr="004C6591">
        <w:t>advised</w:t>
      </w:r>
      <w:r w:rsidR="00324F51" w:rsidRPr="004C6591">
        <w:t xml:space="preserve"> that a</w:t>
      </w:r>
      <w:r w:rsidR="00B40D6B" w:rsidRPr="004C6591">
        <w:t>n applicant</w:t>
      </w:r>
      <w:r w:rsidR="006B1FCA">
        <w:t>-</w:t>
      </w:r>
      <w:r w:rsidR="00B40D6B" w:rsidRPr="004C6591">
        <w:t>convened</w:t>
      </w:r>
      <w:r w:rsidR="00324F51" w:rsidRPr="004C6591">
        <w:t xml:space="preserve"> clinical advisory board, held on 24</w:t>
      </w:r>
      <w:r w:rsidR="00324F51" w:rsidRPr="004C6591">
        <w:rPr>
          <w:vertAlign w:val="superscript"/>
        </w:rPr>
        <w:t>th</w:t>
      </w:r>
      <w:r w:rsidR="00324F51" w:rsidRPr="004C6591">
        <w:t xml:space="preserve"> June 2024, suggested that </w:t>
      </w:r>
      <w:r w:rsidR="00324F51" w:rsidRPr="004C6591">
        <w:rPr>
          <w:i/>
          <w:iCs/>
        </w:rPr>
        <w:t>PIK3CA</w:t>
      </w:r>
      <w:r w:rsidR="00324F51" w:rsidRPr="004C6591">
        <w:t xml:space="preserve"> testing using tumour tissue would likely be requested if tumour tissue (fresh or archival) was available. In the event tumour tissue</w:t>
      </w:r>
      <w:r w:rsidR="00916942" w:rsidRPr="004C6591">
        <w:t xml:space="preserve"> </w:t>
      </w:r>
      <w:r w:rsidR="0036594D" w:rsidRPr="004C6591">
        <w:t xml:space="preserve">is </w:t>
      </w:r>
      <w:r w:rsidR="00916942" w:rsidRPr="004C6591">
        <w:t>not available</w:t>
      </w:r>
      <w:r w:rsidR="00324F51" w:rsidRPr="004C6591">
        <w:t xml:space="preserve">, ctDNA testing </w:t>
      </w:r>
      <w:r w:rsidR="0044225F" w:rsidRPr="004C6591">
        <w:t xml:space="preserve">would </w:t>
      </w:r>
      <w:r w:rsidR="00324F51" w:rsidRPr="004C6591">
        <w:t xml:space="preserve">appear to be more feasible. Moreover, the applicant stated that the advisory board </w:t>
      </w:r>
      <w:r w:rsidR="00324F51" w:rsidRPr="004C6591">
        <w:lastRenderedPageBreak/>
        <w:t>clinicians did not strongly propose for follow-up tumour tissue testing if ctDNA testing was negative</w:t>
      </w:r>
      <w:r w:rsidR="00B24A97" w:rsidRPr="004C6591">
        <w:t xml:space="preserve"> (this contradicts </w:t>
      </w:r>
      <w:r w:rsidR="00CF78FE" w:rsidRPr="004C6591">
        <w:t>with the recommendations from</w:t>
      </w:r>
      <w:r w:rsidR="00B24A97" w:rsidRPr="004C6591">
        <w:t xml:space="preserve"> international guidelines – see</w:t>
      </w:r>
      <w:r w:rsidR="000B5395" w:rsidRPr="004C6591">
        <w:t xml:space="preserve"> </w:t>
      </w:r>
      <w:r w:rsidR="000B5395" w:rsidRPr="004C6591">
        <w:fldChar w:fldCharType="begin"/>
      </w:r>
      <w:r w:rsidR="000B5395" w:rsidRPr="004C6591">
        <w:instrText xml:space="preserve"> REF _Ref176188853 \p \h </w:instrText>
      </w:r>
      <w:r w:rsidR="000B5395" w:rsidRPr="004C6591">
        <w:fldChar w:fldCharType="separate"/>
      </w:r>
      <w:r w:rsidR="000B5395" w:rsidRPr="004C6591">
        <w:t>below</w:t>
      </w:r>
      <w:r w:rsidR="000B5395" w:rsidRPr="004C6591">
        <w:fldChar w:fldCharType="end"/>
      </w:r>
      <w:r w:rsidR="00B24A97" w:rsidRPr="004C6591">
        <w:t>)</w:t>
      </w:r>
      <w:r w:rsidR="00324F51" w:rsidRPr="004C6591">
        <w:t xml:space="preserve">. The applicant clarified that the low number of patients in the tumour testing subgroup </w:t>
      </w:r>
      <w:r w:rsidR="00BE486B" w:rsidRPr="004C6591">
        <w:t>in the INAVO120 trial</w:t>
      </w:r>
      <w:r w:rsidR="00324F51" w:rsidRPr="004C6591">
        <w:t xml:space="preserve"> was considered to limit the ability to reliably assess for potential differences in efficacy between the ctDNA and tumour testing subgroups. </w:t>
      </w:r>
    </w:p>
    <w:p w14:paraId="23705FAC" w14:textId="77777777" w:rsidR="002801AD" w:rsidRPr="004C6591" w:rsidRDefault="00324F51" w:rsidP="005D0C4E">
      <w:r w:rsidRPr="004C6591">
        <w:t>Based on the applicant’s response to the Department’s enquiry</w:t>
      </w:r>
      <w:r w:rsidR="0036594D" w:rsidRPr="004C6591">
        <w:t xml:space="preserve"> at the pre-PASC stage</w:t>
      </w:r>
      <w:r w:rsidRPr="004C6591">
        <w:t xml:space="preserve">, the applicant provided the eligible </w:t>
      </w:r>
      <w:r w:rsidRPr="004C6591">
        <w:rPr>
          <w:i/>
          <w:iCs/>
        </w:rPr>
        <w:t>PIK3CA</w:t>
      </w:r>
      <w:r w:rsidRPr="004C6591">
        <w:t xml:space="preserve"> variants as defined in the INAVO120 trial protocol: H1047D/I/L/N/P/Q/R/T/Y; G1049A/C/D/R/S; E545A/D/G/K/L/Q/R/V; E453A/D/G/K/Q/V; E542A/D/G/K/Q/R/V; K111N/R/E; Q546E/H/K/L/P/R; G106A/D/R/S/V; N345D/H/I/K/S/T/Y; G118D; C420R; R88Q; M1043I/T/V</w:t>
      </w:r>
      <w:r w:rsidR="00BD6E2E" w:rsidRPr="004C6591">
        <w:t>.</w:t>
      </w:r>
      <w:r w:rsidR="005D0C4E" w:rsidRPr="004C6591">
        <w:t xml:space="preserve"> </w:t>
      </w:r>
    </w:p>
    <w:p w14:paraId="46D272AB" w14:textId="79B297C2" w:rsidR="005D0C4E" w:rsidRPr="004C6591" w:rsidRDefault="002801AD" w:rsidP="005D0C4E">
      <w:r w:rsidRPr="004C6591">
        <w:rPr>
          <w:rFonts w:asciiTheme="minorHAnsi" w:hAnsiTheme="minorHAnsi" w:cstheme="minorBidi"/>
          <w:i/>
          <w:iCs/>
        </w:rPr>
        <w:t xml:space="preserve">PASC noted that </w:t>
      </w:r>
      <w:r w:rsidRPr="00C65136">
        <w:rPr>
          <w:rFonts w:asciiTheme="minorHAnsi" w:hAnsiTheme="minorHAnsi"/>
        </w:rPr>
        <w:t>PIK3CA</w:t>
      </w:r>
      <w:r w:rsidRPr="004C6591">
        <w:rPr>
          <w:rFonts w:asciiTheme="minorHAnsi" w:hAnsiTheme="minorHAnsi" w:cstheme="minorBidi"/>
          <w:i/>
          <w:iCs/>
        </w:rPr>
        <w:t xml:space="preserve"> testing using ctDNA was the test used for the majority of participants in INAVO120, while a small proportion used tumour tissue testing. </w:t>
      </w:r>
      <w:r w:rsidR="007C5C6C" w:rsidRPr="004C6591">
        <w:rPr>
          <w:rFonts w:asciiTheme="minorHAnsi" w:hAnsiTheme="minorHAnsi" w:cstheme="minorBidi"/>
          <w:i/>
          <w:iCs/>
        </w:rPr>
        <w:t xml:space="preserve">Given that tumour testing is widely used in Australia compared to ctDNA testing, PASC queried the reasoning for performing ctDNA testing over tumour tissue testing. </w:t>
      </w:r>
      <w:r w:rsidRPr="004C6591">
        <w:rPr>
          <w:rFonts w:asciiTheme="minorHAnsi" w:hAnsiTheme="minorHAnsi" w:cstheme="minorBidi"/>
          <w:i/>
          <w:iCs/>
        </w:rPr>
        <w:t xml:space="preserve">The applicant suggested that testing using ctDNA may be preferred over tumour tissue </w:t>
      </w:r>
      <w:r w:rsidR="007C5C6C" w:rsidRPr="004C6591">
        <w:rPr>
          <w:rFonts w:asciiTheme="minorHAnsi" w:hAnsiTheme="minorHAnsi" w:cstheme="minorBidi"/>
          <w:i/>
          <w:iCs/>
        </w:rPr>
        <w:t>in instance</w:t>
      </w:r>
      <w:r w:rsidR="00A22238" w:rsidRPr="004C6591">
        <w:rPr>
          <w:rFonts w:asciiTheme="minorHAnsi" w:hAnsiTheme="minorHAnsi" w:cstheme="minorBidi"/>
          <w:i/>
          <w:iCs/>
        </w:rPr>
        <w:t>s</w:t>
      </w:r>
      <w:r w:rsidR="007C5C6C" w:rsidRPr="004C6591">
        <w:rPr>
          <w:rFonts w:asciiTheme="minorHAnsi" w:hAnsiTheme="minorHAnsi" w:cstheme="minorBidi"/>
          <w:i/>
          <w:iCs/>
        </w:rPr>
        <w:t xml:space="preserve"> where </w:t>
      </w:r>
      <w:r w:rsidRPr="004C6591">
        <w:rPr>
          <w:rFonts w:asciiTheme="minorHAnsi" w:hAnsiTheme="minorHAnsi" w:cstheme="minorBidi"/>
          <w:i/>
          <w:iCs/>
        </w:rPr>
        <w:t>tumour tissue is not accessible (for example in the case of bone metastases)</w:t>
      </w:r>
      <w:r w:rsidR="00D3462D" w:rsidRPr="004C6591">
        <w:rPr>
          <w:rFonts w:asciiTheme="minorHAnsi" w:hAnsiTheme="minorHAnsi" w:cstheme="minorBidi"/>
          <w:i/>
          <w:iCs/>
        </w:rPr>
        <w:t>. In these cases</w:t>
      </w:r>
      <w:r w:rsidR="00A66F68" w:rsidRPr="004C6591">
        <w:rPr>
          <w:rFonts w:asciiTheme="minorHAnsi" w:hAnsiTheme="minorHAnsi" w:cstheme="minorBidi"/>
          <w:i/>
          <w:iCs/>
        </w:rPr>
        <w:t>,</w:t>
      </w:r>
      <w:r w:rsidR="00D3462D" w:rsidRPr="004C6591">
        <w:rPr>
          <w:rFonts w:asciiTheme="minorHAnsi" w:hAnsiTheme="minorHAnsi" w:cstheme="minorBidi"/>
          <w:i/>
          <w:iCs/>
        </w:rPr>
        <w:t xml:space="preserve"> </w:t>
      </w:r>
      <w:r w:rsidR="00A66F68" w:rsidRPr="004C6591">
        <w:rPr>
          <w:rFonts w:asciiTheme="minorHAnsi" w:hAnsiTheme="minorHAnsi" w:cstheme="minorBidi"/>
          <w:i/>
          <w:iCs/>
        </w:rPr>
        <w:t>ctDNA testing via a</w:t>
      </w:r>
      <w:r w:rsidRPr="004C6591" w:rsidDel="00E2506D">
        <w:rPr>
          <w:rFonts w:asciiTheme="minorHAnsi" w:hAnsiTheme="minorHAnsi" w:cstheme="minorBidi"/>
          <w:i/>
          <w:iCs/>
        </w:rPr>
        <w:t xml:space="preserve"> </w:t>
      </w:r>
      <w:r w:rsidR="00E2506D" w:rsidRPr="004C6591">
        <w:rPr>
          <w:rFonts w:asciiTheme="minorHAnsi" w:hAnsiTheme="minorHAnsi" w:cstheme="minorBidi"/>
          <w:i/>
          <w:iCs/>
        </w:rPr>
        <w:t>blood test offer</w:t>
      </w:r>
      <w:r w:rsidR="00A66F68" w:rsidRPr="004C6591">
        <w:rPr>
          <w:rFonts w:asciiTheme="minorHAnsi" w:hAnsiTheme="minorHAnsi" w:cstheme="minorBidi"/>
          <w:i/>
          <w:iCs/>
        </w:rPr>
        <w:t>s</w:t>
      </w:r>
      <w:r w:rsidR="00E2506D" w:rsidRPr="004C6591">
        <w:rPr>
          <w:rFonts w:asciiTheme="minorHAnsi" w:hAnsiTheme="minorHAnsi" w:cstheme="minorBidi"/>
          <w:i/>
          <w:iCs/>
        </w:rPr>
        <w:t xml:space="preserve"> </w:t>
      </w:r>
      <w:r w:rsidRPr="004C6591">
        <w:rPr>
          <w:rFonts w:asciiTheme="minorHAnsi" w:hAnsiTheme="minorHAnsi" w:cstheme="minorBidi"/>
          <w:i/>
          <w:iCs/>
        </w:rPr>
        <w:t xml:space="preserve">convenience </w:t>
      </w:r>
      <w:r w:rsidR="00E2506D" w:rsidRPr="004C6591">
        <w:rPr>
          <w:rFonts w:asciiTheme="minorHAnsi" w:hAnsiTheme="minorHAnsi" w:cstheme="minorBidi"/>
          <w:i/>
          <w:iCs/>
        </w:rPr>
        <w:t xml:space="preserve">in terms of </w:t>
      </w:r>
      <w:r w:rsidRPr="004C6591">
        <w:rPr>
          <w:rFonts w:asciiTheme="minorHAnsi" w:hAnsiTheme="minorHAnsi" w:cstheme="minorBidi"/>
          <w:i/>
          <w:iCs/>
        </w:rPr>
        <w:t>be</w:t>
      </w:r>
      <w:r w:rsidR="00E2506D" w:rsidRPr="004C6591">
        <w:rPr>
          <w:rFonts w:asciiTheme="minorHAnsi" w:hAnsiTheme="minorHAnsi" w:cstheme="minorBidi"/>
          <w:i/>
          <w:iCs/>
        </w:rPr>
        <w:t>ing</w:t>
      </w:r>
      <w:r w:rsidRPr="004C6591">
        <w:rPr>
          <w:rFonts w:asciiTheme="minorHAnsi" w:hAnsiTheme="minorHAnsi" w:cstheme="minorBidi"/>
          <w:i/>
          <w:iCs/>
        </w:rPr>
        <w:t xml:space="preserve"> able to obtain </w:t>
      </w:r>
      <w:r w:rsidR="008370E8" w:rsidRPr="004C6591">
        <w:rPr>
          <w:rFonts w:asciiTheme="minorHAnsi" w:hAnsiTheme="minorHAnsi" w:cstheme="minorBidi"/>
          <w:i/>
          <w:iCs/>
        </w:rPr>
        <w:t>the most</w:t>
      </w:r>
      <w:r w:rsidRPr="004C6591">
        <w:rPr>
          <w:rFonts w:asciiTheme="minorHAnsi" w:hAnsiTheme="minorHAnsi" w:cstheme="minorBidi"/>
          <w:i/>
          <w:iCs/>
        </w:rPr>
        <w:t xml:space="preserve"> recent </w:t>
      </w:r>
      <w:r w:rsidR="0067411E" w:rsidRPr="004C6591">
        <w:rPr>
          <w:rFonts w:asciiTheme="minorHAnsi" w:hAnsiTheme="minorHAnsi" w:cstheme="minorBidi"/>
          <w:i/>
          <w:iCs/>
        </w:rPr>
        <w:t xml:space="preserve">sample </w:t>
      </w:r>
      <w:r w:rsidRPr="004C6591">
        <w:rPr>
          <w:rFonts w:asciiTheme="minorHAnsi" w:hAnsiTheme="minorHAnsi" w:cstheme="minorBidi"/>
          <w:i/>
          <w:iCs/>
        </w:rPr>
        <w:t xml:space="preserve">or </w:t>
      </w:r>
      <w:r w:rsidR="00542092" w:rsidRPr="004C6591">
        <w:rPr>
          <w:rFonts w:asciiTheme="minorHAnsi" w:hAnsiTheme="minorHAnsi" w:cstheme="minorBidi"/>
          <w:i/>
          <w:iCs/>
        </w:rPr>
        <w:t xml:space="preserve">a </w:t>
      </w:r>
      <w:r w:rsidRPr="004C6591">
        <w:rPr>
          <w:rFonts w:asciiTheme="minorHAnsi" w:hAnsiTheme="minorHAnsi" w:cstheme="minorBidi"/>
          <w:i/>
          <w:iCs/>
        </w:rPr>
        <w:t>metastatic sample.</w:t>
      </w:r>
      <w:r w:rsidR="00C80491" w:rsidRPr="004C6591">
        <w:rPr>
          <w:rFonts w:asciiTheme="minorHAnsi" w:hAnsiTheme="minorHAnsi" w:cstheme="minorBidi"/>
          <w:i/>
          <w:iCs/>
        </w:rPr>
        <w:t xml:space="preserve"> </w:t>
      </w:r>
    </w:p>
    <w:p w14:paraId="37992A32" w14:textId="265FDDF3" w:rsidR="005D0C4E" w:rsidRPr="004C6591" w:rsidRDefault="005D0C4E" w:rsidP="005D0C4E">
      <w:pPr>
        <w:pStyle w:val="Heading4"/>
      </w:pPr>
      <w:r w:rsidRPr="004C6591">
        <w:t>ctDNA testing using FoundationOne</w:t>
      </w:r>
      <w:r w:rsidRPr="004C6591">
        <w:rPr>
          <w:rFonts w:cstheme="majorHAnsi"/>
        </w:rPr>
        <w:t>®</w:t>
      </w:r>
      <w:r w:rsidRPr="004C6591">
        <w:t xml:space="preserve"> Liquid CDx</w:t>
      </w:r>
    </w:p>
    <w:p w14:paraId="09F4949D" w14:textId="642504FC" w:rsidR="005D0C4E" w:rsidRPr="004C6591" w:rsidRDefault="005D0C4E" w:rsidP="005D0C4E">
      <w:pPr>
        <w:rPr>
          <w:rFonts w:cs="Calibri"/>
        </w:rPr>
      </w:pPr>
      <w:r w:rsidRPr="004C6591">
        <w:t>FoundationOne</w:t>
      </w:r>
      <w:r w:rsidRPr="004C6591">
        <w:rPr>
          <w:rFonts w:cs="Calibri"/>
        </w:rPr>
        <w:t xml:space="preserve">® Liquid CDx is an FDA-approved in vitro diagnostic (IVD) companion device which targets 324 genes from ctDNA isolated from plasma derived from the anti-coagulated peripheral whole blood of cancer patients </w:t>
      </w:r>
      <w:r w:rsidRPr="004C6591">
        <w:rPr>
          <w:rFonts w:cs="Calibri"/>
        </w:rPr>
        <w:fldChar w:fldCharType="begin">
          <w:fldData xml:space="preserve">PEVuZE5vdGU+PENpdGU+PEF1dGhvcj5Gb3VuZGF0aW9uIE1lZGljaW5lPC9BdXRob3I+PFllYXI+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=
</w:fldData>
        </w:fldChar>
      </w:r>
      <w:r w:rsidRPr="004C6591">
        <w:rPr>
          <w:rFonts w:cs="Calibri"/>
        </w:rPr>
        <w:instrText xml:space="preserve"> ADDIN EN.CITE </w:instrText>
      </w:r>
      <w:r w:rsidRPr="004C6591">
        <w:rPr>
          <w:rFonts w:cs="Calibri"/>
        </w:rPr>
        <w:fldChar w:fldCharType="begin">
          <w:fldData xml:space="preserve">PEVuZE5vdGU+PENpdGU+PEF1dGhvcj5Gb3VuZGF0aW9uIE1lZGljaW5lPC9BdXRob3I+PFllYXI+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=
</w:fldData>
        </w:fldChar>
      </w:r>
      <w:r w:rsidRPr="004C6591">
        <w:rPr>
          <w:rFonts w:cs="Calibri"/>
        </w:rPr>
        <w:instrText xml:space="preserve"> ADDIN EN.CITE.DATA </w:instrText>
      </w:r>
      <w:r w:rsidRPr="004C6591">
        <w:rPr>
          <w:rFonts w:cs="Calibri"/>
        </w:rPr>
      </w:r>
      <w:r w:rsidRPr="004C6591">
        <w:rPr>
          <w:rFonts w:cs="Calibri"/>
        </w:rPr>
        <w:fldChar w:fldCharType="end"/>
      </w:r>
      <w:r w:rsidRPr="004C6591">
        <w:rPr>
          <w:rFonts w:cs="Calibri"/>
        </w:rPr>
      </w:r>
      <w:r w:rsidRPr="004C6591">
        <w:rPr>
          <w:rFonts w:cs="Calibri"/>
        </w:rPr>
        <w:fldChar w:fldCharType="separate"/>
      </w:r>
      <w:r w:rsidRPr="004C6591">
        <w:rPr>
          <w:rFonts w:cs="Calibri"/>
        </w:rPr>
        <w:t>(Foundation Medicine 2021; Woodhouse et al. 2020)</w:t>
      </w:r>
      <w:r w:rsidRPr="004C6591">
        <w:rPr>
          <w:rFonts w:cs="Calibri"/>
        </w:rPr>
        <w:fldChar w:fldCharType="end"/>
      </w:r>
      <w:r w:rsidRPr="004C6591">
        <w:rPr>
          <w:rFonts w:cs="Calibri"/>
        </w:rPr>
        <w:t xml:space="preserve">. The assay </w:t>
      </w:r>
      <w:r w:rsidR="00041B51" w:rsidRPr="004C6591">
        <w:rPr>
          <w:rFonts w:cs="Calibri"/>
        </w:rPr>
        <w:t xml:space="preserve">is able to </w:t>
      </w:r>
      <w:r w:rsidRPr="004C6591">
        <w:rPr>
          <w:rFonts w:cs="Calibri"/>
        </w:rPr>
        <w:t xml:space="preserve">detect substitutions, indels, genomic rearrangements, copy number alterations, and genomic signatures including blood tumour mutational burden, microsatellite instability and tumour fraction </w:t>
      </w:r>
      <w:r w:rsidRPr="004C6591">
        <w:rPr>
          <w:rFonts w:cs="Calibri"/>
        </w:rPr>
        <w:fldChar w:fldCharType="begin">
          <w:fldData xml:space="preserve">PEVuZE5vdGU+PENpdGU+PEF1dGhvcj5Xb29kaG91c2U8L0F1dGhvcj48WWVhcj4yMDIwPC9ZZWFy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==
</w:fldData>
        </w:fldChar>
      </w:r>
      <w:r w:rsidRPr="004C6591">
        <w:rPr>
          <w:rFonts w:cs="Calibri"/>
        </w:rPr>
        <w:instrText xml:space="preserve"> ADDIN EN.CITE </w:instrText>
      </w:r>
      <w:r w:rsidRPr="004C6591">
        <w:rPr>
          <w:rFonts w:cs="Calibri"/>
        </w:rPr>
        <w:fldChar w:fldCharType="begin">
          <w:fldData xml:space="preserve">PEVuZE5vdGU+PENpdGU+PEF1dGhvcj5Xb29kaG91c2U8L0F1dGhvcj48WWVhcj4yMDIwPC9ZZWFy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==
</w:fldData>
        </w:fldChar>
      </w:r>
      <w:r w:rsidRPr="004C6591">
        <w:rPr>
          <w:rFonts w:cs="Calibri"/>
        </w:rPr>
        <w:instrText xml:space="preserve"> ADDIN EN.CITE.DATA </w:instrText>
      </w:r>
      <w:r w:rsidRPr="004C6591">
        <w:rPr>
          <w:rFonts w:cs="Calibri"/>
        </w:rPr>
      </w:r>
      <w:r w:rsidRPr="004C6591">
        <w:rPr>
          <w:rFonts w:cs="Calibri"/>
        </w:rPr>
        <w:fldChar w:fldCharType="end"/>
      </w:r>
      <w:r w:rsidRPr="004C6591">
        <w:rPr>
          <w:rFonts w:cs="Calibri"/>
        </w:rPr>
      </w:r>
      <w:r w:rsidRPr="004C6591">
        <w:rPr>
          <w:rFonts w:cs="Calibri"/>
        </w:rPr>
        <w:fldChar w:fldCharType="separate"/>
      </w:r>
      <w:r w:rsidRPr="004C6591">
        <w:rPr>
          <w:rFonts w:cs="Calibri"/>
        </w:rPr>
        <w:t>(Woodhouse et al. 2020)</w:t>
      </w:r>
      <w:r w:rsidRPr="004C6591">
        <w:rPr>
          <w:rFonts w:cs="Calibri"/>
        </w:rPr>
        <w:fldChar w:fldCharType="end"/>
      </w:r>
      <w:r w:rsidRPr="004C6591">
        <w:rPr>
          <w:rFonts w:cs="Calibri"/>
        </w:rPr>
        <w:t>.</w:t>
      </w:r>
      <w:r w:rsidR="00FD0F32" w:rsidRPr="004C6591">
        <w:rPr>
          <w:rFonts w:cs="Calibri"/>
        </w:rPr>
        <w:t xml:space="preserve"> </w:t>
      </w:r>
      <w:r w:rsidR="00F533AF" w:rsidRPr="004C6591">
        <w:rPr>
          <w:rFonts w:cs="Calibri"/>
        </w:rPr>
        <w:t xml:space="preserve">According to the </w:t>
      </w:r>
      <w:hyperlink r:id="rId9" w:history="1">
        <w:r w:rsidR="00F533AF" w:rsidRPr="004C6591">
          <w:rPr>
            <w:rStyle w:val="Hyperlink"/>
            <w:rFonts w:ascii="Calibri" w:hAnsi="Calibri" w:cs="Calibri"/>
          </w:rPr>
          <w:t>manufacturer specifications</w:t>
        </w:r>
      </w:hyperlink>
      <w:r w:rsidR="00F533AF" w:rsidRPr="004C6591">
        <w:rPr>
          <w:rFonts w:cs="Calibri"/>
        </w:rPr>
        <w:t xml:space="preserve">, </w:t>
      </w:r>
      <w:r w:rsidR="00F533AF" w:rsidRPr="004C6591">
        <w:t>FoundationOne</w:t>
      </w:r>
      <w:r w:rsidR="00F533AF" w:rsidRPr="004C6591">
        <w:rPr>
          <w:rFonts w:cs="Calibri"/>
        </w:rPr>
        <w:t>® Liquid CDx</w:t>
      </w:r>
      <w:r w:rsidR="008E0B7F" w:rsidRPr="004C6591">
        <w:rPr>
          <w:rFonts w:cs="Calibri"/>
        </w:rPr>
        <w:t xml:space="preserve"> provides complete exonic (coding) coverage of </w:t>
      </w:r>
      <w:r w:rsidR="008E0B7F" w:rsidRPr="004C6591">
        <w:rPr>
          <w:rFonts w:cs="Calibri"/>
          <w:i/>
          <w:iCs/>
        </w:rPr>
        <w:t>PIK3CA</w:t>
      </w:r>
      <w:r w:rsidR="00D63D21" w:rsidRPr="004C6591">
        <w:rPr>
          <w:rFonts w:cs="Calibri"/>
        </w:rPr>
        <w:t xml:space="preserve">, meaning that </w:t>
      </w:r>
      <w:r w:rsidR="00BD78FA" w:rsidRPr="004C6591">
        <w:rPr>
          <w:rFonts w:cs="Calibri"/>
        </w:rPr>
        <w:t>this test</w:t>
      </w:r>
      <w:r w:rsidR="00D63D21" w:rsidRPr="004C6591">
        <w:rPr>
          <w:rFonts w:cs="Calibri"/>
        </w:rPr>
        <w:t xml:space="preserve"> </w:t>
      </w:r>
      <w:r w:rsidR="00BD78FA" w:rsidRPr="004C6591">
        <w:rPr>
          <w:rFonts w:cs="Calibri"/>
        </w:rPr>
        <w:t>will b</w:t>
      </w:r>
      <w:r w:rsidR="003A6D5B" w:rsidRPr="004C6591">
        <w:rPr>
          <w:rFonts w:cs="Calibri"/>
        </w:rPr>
        <w:t>e</w:t>
      </w:r>
      <w:r w:rsidR="00D63D21" w:rsidRPr="004C6591">
        <w:rPr>
          <w:rFonts w:cs="Calibri"/>
        </w:rPr>
        <w:t xml:space="preserve"> able to identify all variants defined in the key trial (as provided by the applicant)</w:t>
      </w:r>
      <w:r w:rsidR="008E0B7F" w:rsidRPr="004C6591">
        <w:rPr>
          <w:rFonts w:cs="Calibri"/>
        </w:rPr>
        <w:t>.</w:t>
      </w:r>
      <w:r w:rsidR="00F533AF" w:rsidRPr="004C6591">
        <w:rPr>
          <w:rFonts w:cs="Calibri"/>
        </w:rPr>
        <w:t xml:space="preserve"> </w:t>
      </w:r>
      <w:r w:rsidRPr="004C6591">
        <w:rPr>
          <w:rFonts w:cs="Calibri"/>
        </w:rPr>
        <w:t xml:space="preserve">The clinical validation for detection of </w:t>
      </w:r>
      <w:r w:rsidRPr="004C6591">
        <w:rPr>
          <w:rFonts w:cs="Calibri"/>
          <w:i/>
          <w:iCs/>
        </w:rPr>
        <w:t>PIK3CA</w:t>
      </w:r>
      <w:r w:rsidRPr="004C6591">
        <w:rPr>
          <w:rFonts w:cs="Calibri"/>
        </w:rPr>
        <w:t xml:space="preserve"> variants </w:t>
      </w:r>
      <w:r w:rsidR="000F0F9F" w:rsidRPr="004C6591">
        <w:rPr>
          <w:rFonts w:cs="Calibri"/>
        </w:rPr>
        <w:t xml:space="preserve">in ctDNA </w:t>
      </w:r>
      <w:r w:rsidRPr="004C6591">
        <w:rPr>
          <w:rFonts w:cs="Calibri"/>
        </w:rPr>
        <w:t>using</w:t>
      </w:r>
      <w:r w:rsidR="00F2008C" w:rsidRPr="004C6591">
        <w:rPr>
          <w:rFonts w:cs="Calibri"/>
        </w:rPr>
        <w:t xml:space="preserve"> </w:t>
      </w:r>
      <w:r w:rsidRPr="004C6591">
        <w:rPr>
          <w:rFonts w:cs="Calibri"/>
        </w:rPr>
        <w:t>FoundationOne® Liquid CDx,</w:t>
      </w:r>
      <w:r w:rsidR="00F2008C" w:rsidRPr="004C6591">
        <w:rPr>
          <w:rFonts w:cs="Calibri"/>
        </w:rPr>
        <w:t xml:space="preserve"> versus</w:t>
      </w:r>
      <w:r w:rsidRPr="004C6591">
        <w:rPr>
          <w:rFonts w:cs="Calibri"/>
        </w:rPr>
        <w:t xml:space="preserve"> </w:t>
      </w:r>
      <w:r w:rsidR="00F2008C" w:rsidRPr="004C6591">
        <w:rPr>
          <w:rFonts w:cs="Calibri"/>
        </w:rPr>
        <w:t>tumour tissue</w:t>
      </w:r>
      <w:r w:rsidR="006476DD" w:rsidRPr="004C6591">
        <w:rPr>
          <w:rFonts w:cs="Calibri"/>
        </w:rPr>
        <w:t>-based</w:t>
      </w:r>
      <w:r w:rsidR="00F2008C" w:rsidRPr="004C6591">
        <w:rPr>
          <w:rFonts w:cs="Calibri"/>
        </w:rPr>
        <w:t xml:space="preserve"> </w:t>
      </w:r>
      <w:r w:rsidRPr="004C6591">
        <w:rPr>
          <w:rFonts w:cs="Calibri"/>
        </w:rPr>
        <w:t>PCR clinical trial assay</w:t>
      </w:r>
      <w:r w:rsidR="004B2C36" w:rsidRPr="004C6591">
        <w:rPr>
          <w:rFonts w:cs="Calibri"/>
        </w:rPr>
        <w:t xml:space="preserve"> (as utilised in </w:t>
      </w:r>
      <w:r w:rsidR="00C52DD2" w:rsidRPr="004C6591">
        <w:rPr>
          <w:rFonts w:cs="Calibri"/>
        </w:rPr>
        <w:t>the</w:t>
      </w:r>
      <w:r w:rsidR="004B2C36" w:rsidRPr="004C6591">
        <w:rPr>
          <w:rFonts w:cs="Calibri"/>
        </w:rPr>
        <w:t xml:space="preserve"> SOLAR-1 trial)</w:t>
      </w:r>
      <w:r w:rsidRPr="004C6591">
        <w:rPr>
          <w:rFonts w:cs="Calibri"/>
        </w:rPr>
        <w:t xml:space="preserve">, and </w:t>
      </w:r>
      <w:r w:rsidR="00F2008C" w:rsidRPr="004C6591">
        <w:rPr>
          <w:rFonts w:cs="Calibri"/>
        </w:rPr>
        <w:t xml:space="preserve">ctDNA </w:t>
      </w:r>
      <w:r w:rsidR="00070F70" w:rsidRPr="004C6591">
        <w:rPr>
          <w:rFonts w:cs="Calibri"/>
        </w:rPr>
        <w:t>using</w:t>
      </w:r>
      <w:r w:rsidR="00F2008C" w:rsidRPr="004C6591">
        <w:rPr>
          <w:rFonts w:cs="Calibri"/>
        </w:rPr>
        <w:t xml:space="preserve"> FoundationOne® Liquid CDx against </w:t>
      </w:r>
      <w:r w:rsidRPr="004C6591">
        <w:rPr>
          <w:rFonts w:cs="Calibri"/>
        </w:rPr>
        <w:t>cell-free-based</w:t>
      </w:r>
      <w:r w:rsidR="00F2008C" w:rsidRPr="004C6591">
        <w:rPr>
          <w:rFonts w:cs="Calibri"/>
        </w:rPr>
        <w:t xml:space="preserve"> (liquid biopsy)</w:t>
      </w:r>
      <w:r w:rsidRPr="004C6591">
        <w:rPr>
          <w:rFonts w:cs="Calibri"/>
        </w:rPr>
        <w:t xml:space="preserve"> NGS, was largely concordant </w:t>
      </w:r>
      <w:r w:rsidRPr="004C6591">
        <w:rPr>
          <w:rFonts w:cs="Calibri"/>
        </w:rPr>
        <w:fldChar w:fldCharType="begin">
          <w:fldData xml:space="preserve">PEVuZE5vdGU+PENpdGU+PEF1dGhvcj5Xb29kaG91c2U8L0F1dGhvcj48WWVhcj4yMDIwPC9ZZWFy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==
</w:fldData>
        </w:fldChar>
      </w:r>
      <w:r w:rsidRPr="004C6591">
        <w:rPr>
          <w:rFonts w:cs="Calibri"/>
        </w:rPr>
        <w:instrText xml:space="preserve"> ADDIN EN.CITE </w:instrText>
      </w:r>
      <w:r w:rsidRPr="004C6591">
        <w:rPr>
          <w:rFonts w:cs="Calibri"/>
        </w:rPr>
        <w:fldChar w:fldCharType="begin">
          <w:fldData xml:space="preserve">PEVuZE5vdGU+PENpdGU+PEF1dGhvcj5Xb29kaG91c2U8L0F1dGhvcj48WWVhcj4yMDIwPC9ZZWFy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==
</w:fldData>
        </w:fldChar>
      </w:r>
      <w:r w:rsidRPr="004C6591">
        <w:rPr>
          <w:rFonts w:cs="Calibri"/>
        </w:rPr>
        <w:instrText xml:space="preserve"> ADDIN EN.CITE.DATA </w:instrText>
      </w:r>
      <w:r w:rsidRPr="004C6591">
        <w:rPr>
          <w:rFonts w:cs="Calibri"/>
        </w:rPr>
      </w:r>
      <w:r w:rsidRPr="004C6591">
        <w:rPr>
          <w:rFonts w:cs="Calibri"/>
        </w:rPr>
        <w:fldChar w:fldCharType="end"/>
      </w:r>
      <w:r w:rsidRPr="004C6591">
        <w:rPr>
          <w:rFonts w:cs="Calibri"/>
        </w:rPr>
      </w:r>
      <w:r w:rsidRPr="004C6591">
        <w:rPr>
          <w:rFonts w:cs="Calibri"/>
        </w:rPr>
        <w:fldChar w:fldCharType="separate"/>
      </w:r>
      <w:r w:rsidRPr="004C6591">
        <w:rPr>
          <w:rFonts w:cs="Calibri"/>
        </w:rPr>
        <w:t>(Woodhouse et al. 2020)</w:t>
      </w:r>
      <w:r w:rsidRPr="004C6591">
        <w:rPr>
          <w:rFonts w:cs="Calibri"/>
        </w:rPr>
        <w:fldChar w:fldCharType="end"/>
      </w:r>
      <w:r w:rsidRPr="004C6591">
        <w:rPr>
          <w:rFonts w:cs="Calibri"/>
        </w:rPr>
        <w:t>.</w:t>
      </w:r>
      <w:r w:rsidR="000513A5" w:rsidRPr="004C6591">
        <w:rPr>
          <w:rFonts w:cs="Calibri"/>
        </w:rPr>
        <w:t xml:space="preserve"> </w:t>
      </w:r>
    </w:p>
    <w:p w14:paraId="1A5E8E79" w14:textId="18CBF6F0" w:rsidR="00A665EE" w:rsidRPr="004C6591" w:rsidRDefault="005D0C4E" w:rsidP="008A3A85">
      <w:pPr>
        <w:rPr>
          <w:rFonts w:cs="Calibri"/>
        </w:rPr>
      </w:pPr>
      <w:r w:rsidRPr="004C6591">
        <w:rPr>
          <w:rFonts w:cs="Calibri"/>
        </w:rPr>
        <w:t>FoundationOne® Liquid CDx Specimen Collection Kit (ARTG ID 425682) was ARTG-listed on 16</w:t>
      </w:r>
      <w:r w:rsidRPr="004C6591">
        <w:rPr>
          <w:rFonts w:cs="Calibri"/>
          <w:vertAlign w:val="superscript"/>
        </w:rPr>
        <w:t>th</w:t>
      </w:r>
      <w:r w:rsidRPr="004C6591">
        <w:rPr>
          <w:rFonts w:cs="Calibri"/>
        </w:rPr>
        <w:t xml:space="preserve"> October 2023</w:t>
      </w:r>
      <w:r w:rsidR="00FD0F32" w:rsidRPr="004C6591">
        <w:rPr>
          <w:rFonts w:cs="Calibri"/>
        </w:rPr>
        <w:t>,</w:t>
      </w:r>
      <w:r w:rsidRPr="004C6591">
        <w:rPr>
          <w:rFonts w:cs="Calibri"/>
        </w:rPr>
        <w:t xml:space="preserve"> and it is intended to allow the collection and transport of whole blood, from the specimen collection site to the clinical laboratory, for the purpose of testing with the FoundationOne® Liquid CDx Assay. </w:t>
      </w:r>
      <w:r w:rsidR="005F4EB5" w:rsidRPr="004C6591">
        <w:rPr>
          <w:rFonts w:cs="Calibri"/>
        </w:rPr>
        <w:t xml:space="preserve">However, FoundationOne® Liquid CDx assay is </w:t>
      </w:r>
      <w:r w:rsidR="002B2530" w:rsidRPr="004C6591">
        <w:rPr>
          <w:rFonts w:cs="Calibri"/>
        </w:rPr>
        <w:t xml:space="preserve">currently </w:t>
      </w:r>
      <w:r w:rsidR="005F4EB5" w:rsidRPr="004C6591">
        <w:rPr>
          <w:rFonts w:cs="Calibri"/>
        </w:rPr>
        <w:t>not registered</w:t>
      </w:r>
      <w:r w:rsidR="007706C7" w:rsidRPr="004C6591">
        <w:rPr>
          <w:rFonts w:cs="Calibri"/>
        </w:rPr>
        <w:t xml:space="preserve"> </w:t>
      </w:r>
      <w:r w:rsidR="0076254C" w:rsidRPr="004C6591">
        <w:rPr>
          <w:rFonts w:cs="Calibri"/>
        </w:rPr>
        <w:t xml:space="preserve">on the </w:t>
      </w:r>
      <w:r w:rsidR="007706C7" w:rsidRPr="004C6591">
        <w:rPr>
          <w:rFonts w:cs="Calibri"/>
        </w:rPr>
        <w:t>ARTG</w:t>
      </w:r>
      <w:r w:rsidR="005F4EB5" w:rsidRPr="004C6591">
        <w:rPr>
          <w:rFonts w:cs="Calibri"/>
        </w:rPr>
        <w:t xml:space="preserve"> as </w:t>
      </w:r>
      <w:r w:rsidR="00097A17" w:rsidRPr="004C6591">
        <w:rPr>
          <w:rFonts w:cs="Calibri"/>
        </w:rPr>
        <w:t xml:space="preserve">a </w:t>
      </w:r>
      <w:r w:rsidR="005F4EB5" w:rsidRPr="004C6591">
        <w:rPr>
          <w:rFonts w:cs="Calibri"/>
        </w:rPr>
        <w:t>‘companion diagnostic’</w:t>
      </w:r>
      <w:r w:rsidR="007706C7" w:rsidRPr="004C6591">
        <w:rPr>
          <w:rFonts w:cs="Calibri"/>
        </w:rPr>
        <w:t>.</w:t>
      </w:r>
    </w:p>
    <w:p w14:paraId="665AFE1D" w14:textId="21B4C831" w:rsidR="007C1B75" w:rsidRPr="004C6591" w:rsidRDefault="007C1B75" w:rsidP="007C1B75">
      <w:pPr>
        <w:pStyle w:val="Heading4"/>
      </w:pPr>
      <w:bookmarkStart w:id="11" w:name="_Ref176188853"/>
      <w:r w:rsidRPr="00C65136">
        <w:rPr>
          <w:i w:val="0"/>
        </w:rPr>
        <w:t>PIK3CA</w:t>
      </w:r>
      <w:r w:rsidRPr="004C6591">
        <w:t xml:space="preserve"> testing based on international guidelines</w:t>
      </w:r>
      <w:bookmarkEnd w:id="11"/>
    </w:p>
    <w:p w14:paraId="69AF7E65" w14:textId="16F8909B" w:rsidR="00615F4C" w:rsidRPr="004C6591" w:rsidRDefault="00780A53" w:rsidP="0057013F">
      <w:r w:rsidRPr="004C6591">
        <w:t>The ESMO</w:t>
      </w:r>
      <w:r w:rsidR="0075591F" w:rsidRPr="004C6591">
        <w:t xml:space="preserve"> guidelines</w:t>
      </w:r>
      <w:r w:rsidRPr="004C6591">
        <w:t xml:space="preserve"> </w:t>
      </w:r>
      <w:r w:rsidR="00D92D6B" w:rsidRPr="004C6591">
        <w:t>(</w:t>
      </w:r>
      <w:r w:rsidRPr="004C6591">
        <w:t>2021</w:t>
      </w:r>
      <w:r w:rsidR="00D92D6B" w:rsidRPr="004C6591">
        <w:t>)</w:t>
      </w:r>
      <w:r w:rsidR="0075591F" w:rsidRPr="004C6591">
        <w:t xml:space="preserve"> </w:t>
      </w:r>
      <w:r w:rsidR="00395368" w:rsidRPr="004C6591">
        <w:t xml:space="preserve">for the management of mBC </w:t>
      </w:r>
      <w:r w:rsidRPr="004C6591">
        <w:t xml:space="preserve">recommend </w:t>
      </w:r>
      <w:r w:rsidR="00D076DF" w:rsidRPr="004C6591">
        <w:t xml:space="preserve">that </w:t>
      </w:r>
      <w:r w:rsidRPr="004C6591">
        <w:rPr>
          <w:i/>
          <w:iCs/>
        </w:rPr>
        <w:t>PIK3CA</w:t>
      </w:r>
      <w:r w:rsidRPr="004C6591">
        <w:t xml:space="preserve"> </w:t>
      </w:r>
      <w:r w:rsidR="00395368" w:rsidRPr="004C6591">
        <w:t>should</w:t>
      </w:r>
      <w:r w:rsidRPr="004C6591">
        <w:t xml:space="preserve"> be </w:t>
      </w:r>
      <w:r w:rsidR="00395368" w:rsidRPr="004C6591">
        <w:t>tested</w:t>
      </w:r>
      <w:r w:rsidR="00D076DF" w:rsidRPr="004C6591">
        <w:t>,</w:t>
      </w:r>
      <w:r w:rsidR="002B0675" w:rsidRPr="004C6591">
        <w:t xml:space="preserve"> whether</w:t>
      </w:r>
      <w:r w:rsidR="00D076DF" w:rsidRPr="004C6591">
        <w:t xml:space="preserve"> using tumour tissue or ctDNA, </w:t>
      </w:r>
      <w:r w:rsidRPr="004C6591">
        <w:t>as part of routine clinical practice</w:t>
      </w:r>
      <w:r w:rsidR="002B0675" w:rsidRPr="004C6591">
        <w:t>, only if the results of the assessment will change the treatment approach</w:t>
      </w:r>
      <w:r w:rsidR="00C40C90" w:rsidRPr="004C6591">
        <w:t xml:space="preserve"> </w:t>
      </w:r>
      <w:r w:rsidR="00C40C90" w:rsidRPr="004C6591">
        <w:fldChar w:fldCharType="begin"/>
      </w:r>
      <w:r w:rsidR="00C40C90" w:rsidRPr="004C6591">
        <w:instrText xml:space="preserve"> ADDIN EN.CITE &lt;EndNote&gt;&lt;Cite&gt;&lt;Author&gt;Gennari&lt;/Author&gt;&lt;Year&gt;2021&lt;/Year&gt;&lt;RecNum&gt;13&lt;/RecNum&gt;&lt;DisplayText&gt;(Gennari et al. 2021)&lt;/DisplayText&gt;&lt;record&gt;&lt;rec-number&gt;13&lt;/rec-number&gt;&lt;foreign-keys&gt;&lt;key app="EN" db-id="dw2s0a0pxte05aexpvnx2awre9s0vxdepfat" timestamp="1717656019"&gt;13&lt;/key&gt;&lt;/foreign-keys&gt;&lt;ref-type name="Journal Article"&gt;17&lt;/ref-type&gt;&lt;contributors&gt;&lt;authors&gt;&lt;author&gt;Gennari, A.&lt;/author&gt;&lt;author&gt;André, F.&lt;/author&gt;&lt;author&gt;Barrios, C. H.&lt;/author&gt;&lt;author&gt;Cortés, J.&lt;/author&gt;&lt;author&gt;De Azambuja, E.&lt;/author&gt;&lt;author&gt;Demichele, A.&lt;/author&gt;&lt;author&gt;Dent, R.&lt;/author&gt;&lt;author&gt;Fenlon, D.&lt;/author&gt;&lt;author&gt;Gligorov, J.&lt;/author&gt;&lt;author&gt;Hurvitz, S. A.&lt;/author&gt;&lt;author&gt;Im, S. A.&lt;/author&gt;&lt;author&gt;Krug, D.&lt;/author&gt;&lt;author&gt;Kunz, W. G.&lt;/author&gt;&lt;author&gt;Loi, S.&lt;/author&gt;&lt;author&gt;Penault-Llorca, F.&lt;/author&gt;&lt;author&gt;Ricke, J.&lt;/author&gt;&lt;author&gt;Robson, M.&lt;/author&gt;&lt;author&gt;Rugo, H. S.&lt;/author&gt;&lt;author&gt;Saura, C.&lt;/author&gt;&lt;author&gt;Schmid, P.&lt;/author&gt;&lt;author&gt;Singer, C. F.&lt;/author&gt;&lt;author&gt;Spanic, T.&lt;/author&gt;&lt;author&gt;Tolaney, S. M.&lt;/author&gt;&lt;author&gt;Turner, N. C.&lt;/author&gt;&lt;author&gt;Curigliano, G.&lt;/author&gt;&lt;author&gt;Loibl, S.&lt;/author&gt;&lt;author&gt;Paluch-Shimon, S.&lt;/author&gt;&lt;author&gt;Harbeck, N.&lt;/author&gt;&lt;/authors&gt;&lt;/contributors&gt;&lt;titles&gt;&lt;title&gt;ESMO Clinical Practice Guideline for the diagnosis, staging and treatment of patients with metastatic breast cancer&lt;/title&gt;&lt;secondary-title&gt;Annals of Oncology&lt;/secondary-title&gt;&lt;/titles&gt;&lt;periodical&gt;&lt;full-title&gt;Annals of Oncology&lt;/full-title&gt;&lt;/periodical&gt;&lt;pages&gt;1475-1495&lt;/pages&gt;&lt;volume&gt;32&lt;/volume&gt;&lt;number&gt;12&lt;/number&gt;&lt;dates&gt;&lt;year&gt;2021&lt;/year&gt;&lt;/dates&gt;&lt;publisher&gt;Elsevier BV&lt;/publisher&gt;&lt;isbn&gt;0923-7534&lt;/isbn&gt;&lt;urls&gt;&lt;related-urls&gt;&lt;url&gt;https://dx.doi.org/10.1016/j.annonc.2021.09.019&lt;/url&gt;&lt;/related-urls&gt;&lt;/urls&gt;&lt;electronic-resource-num&gt;10.1016/j.annonc.2021.09.019&lt;/electronic-resource-num&gt;&lt;/record&gt;&lt;/Cite&gt;&lt;/EndNote&gt;</w:instrText>
      </w:r>
      <w:r w:rsidR="00C40C90" w:rsidRPr="004C6591">
        <w:fldChar w:fldCharType="separate"/>
      </w:r>
      <w:r w:rsidR="00C40C90" w:rsidRPr="004C6591">
        <w:t>(Gennari et al. 2021)</w:t>
      </w:r>
      <w:r w:rsidR="00C40C90" w:rsidRPr="004C6591">
        <w:fldChar w:fldCharType="end"/>
      </w:r>
      <w:r w:rsidR="002B0675" w:rsidRPr="004C6591">
        <w:t xml:space="preserve">. </w:t>
      </w:r>
      <w:r w:rsidR="000F7F38" w:rsidRPr="004C6591">
        <w:t xml:space="preserve">The NCCN </w:t>
      </w:r>
      <w:r w:rsidR="000B7D7B" w:rsidRPr="004C6591">
        <w:t>Breast Cancer</w:t>
      </w:r>
      <w:r w:rsidR="00CB3443" w:rsidRPr="004C6591">
        <w:t xml:space="preserve"> guidelines</w:t>
      </w:r>
      <w:r w:rsidR="000B7D7B" w:rsidRPr="004C6591">
        <w:t xml:space="preserve"> </w:t>
      </w:r>
      <w:r w:rsidR="00D92D6B" w:rsidRPr="004C6591">
        <w:t>(</w:t>
      </w:r>
      <w:r w:rsidR="000F7F38" w:rsidRPr="004C6591">
        <w:t>2024</w:t>
      </w:r>
      <w:r w:rsidR="00D92D6B" w:rsidRPr="004C6591">
        <w:t>)</w:t>
      </w:r>
      <w:r w:rsidR="00CB3443" w:rsidRPr="004C6591">
        <w:t xml:space="preserve"> </w:t>
      </w:r>
      <w:r w:rsidR="00395368" w:rsidRPr="004C6591">
        <w:t>recommend testing for</w:t>
      </w:r>
      <w:r w:rsidR="000F7F38" w:rsidRPr="004C6591">
        <w:t xml:space="preserve"> </w:t>
      </w:r>
      <w:r w:rsidR="000F7F38" w:rsidRPr="004C6591">
        <w:rPr>
          <w:i/>
          <w:iCs/>
        </w:rPr>
        <w:t>PIK3CA</w:t>
      </w:r>
      <w:r w:rsidR="000F7F38" w:rsidRPr="004C6591">
        <w:t xml:space="preserve"> variant</w:t>
      </w:r>
      <w:r w:rsidR="00ED2D41" w:rsidRPr="004C6591">
        <w:t>s</w:t>
      </w:r>
      <w:r w:rsidR="000F7F38" w:rsidRPr="004C6591">
        <w:t xml:space="preserve"> using tumour tissue or ctDNA </w:t>
      </w:r>
      <w:r w:rsidR="00EF078F" w:rsidRPr="004C6591">
        <w:t>from</w:t>
      </w:r>
      <w:r w:rsidR="000F7F38" w:rsidRPr="004C6591">
        <w:t xml:space="preserve"> peripheral blood, to identify candidates for alpelisib plus fulvestrant, in patients with HR+/HER2- </w:t>
      </w:r>
      <w:r w:rsidR="00B955EB" w:rsidRPr="004C6591">
        <w:t>m</w:t>
      </w:r>
      <w:r w:rsidR="000F7F38" w:rsidRPr="004C6591">
        <w:t>BC.</w:t>
      </w:r>
      <w:r w:rsidR="006F5F92" w:rsidRPr="004C6591">
        <w:t xml:space="preserve"> </w:t>
      </w:r>
      <w:r w:rsidR="000F7F38" w:rsidRPr="004C6591">
        <w:t xml:space="preserve">If testing using ctDNA is negative, </w:t>
      </w:r>
      <w:r w:rsidR="001B55F9" w:rsidRPr="004C6591">
        <w:t xml:space="preserve">tumour tissue testing is recommended </w:t>
      </w:r>
      <w:r w:rsidR="001B55F9" w:rsidRPr="004C6591">
        <w:fldChar w:fldCharType="begin">
          <w:fldData xml:space="preserve">PEVuZE5vdGU+PENpdGUgRXhjbHVkZUF1dGg9IjEiIEV4Y2x1ZGVZZWFyPSIxIj48QXV0aG9yPk5D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=
</w:fldData>
        </w:fldChar>
      </w:r>
      <w:r w:rsidR="00E34ED8" w:rsidRPr="004C6591">
        <w:instrText xml:space="preserve"> ADDIN EN.CITE </w:instrText>
      </w:r>
      <w:r w:rsidR="00E34ED8" w:rsidRPr="004C6591">
        <w:fldChar w:fldCharType="begin">
          <w:fldData xml:space="preserve">PEVuZE5vdGU+PENpdGUgRXhjbHVkZUF1dGg9IjEiIEV4Y2x1ZGVZZWFyPSIxIj48QXV0aG9yPk5D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=
</w:fldData>
        </w:fldChar>
      </w:r>
      <w:r w:rsidR="00E34ED8" w:rsidRPr="004C6591">
        <w:instrText xml:space="preserve"> ADDIN EN.CITE.DATA </w:instrText>
      </w:r>
      <w:r w:rsidR="00E34ED8" w:rsidRPr="004C6591">
        <w:fldChar w:fldCharType="end"/>
      </w:r>
      <w:r w:rsidR="001B55F9" w:rsidRPr="004C6591">
        <w:fldChar w:fldCharType="separate"/>
      </w:r>
      <w:r w:rsidR="00E34ED8" w:rsidRPr="004C6591">
        <w:t>(NCCN Breast Cancer 2024, Henry et al. 2022)</w:t>
      </w:r>
      <w:r w:rsidR="001B55F9" w:rsidRPr="004C6591">
        <w:fldChar w:fldCharType="end"/>
      </w:r>
      <w:r w:rsidR="001B55F9" w:rsidRPr="004C6591">
        <w:t>.</w:t>
      </w:r>
      <w:r w:rsidR="000B7D7E" w:rsidRPr="004C6591">
        <w:t xml:space="preserve"> </w:t>
      </w:r>
      <w:r w:rsidR="008A458D" w:rsidRPr="004C6591">
        <w:t xml:space="preserve">This </w:t>
      </w:r>
      <w:r w:rsidR="008A458D" w:rsidRPr="004C6591">
        <w:lastRenderedPageBreak/>
        <w:t xml:space="preserve">recommendation was based on </w:t>
      </w:r>
      <w:r w:rsidR="00A66E99" w:rsidRPr="004C6591">
        <w:t xml:space="preserve">the </w:t>
      </w:r>
      <w:r w:rsidR="008A458D" w:rsidRPr="004C6591">
        <w:t xml:space="preserve">low agreement between plasma ctDNA and tumour tissue identification of </w:t>
      </w:r>
      <w:r w:rsidR="008A458D" w:rsidRPr="004C6591">
        <w:rPr>
          <w:i/>
          <w:iCs/>
        </w:rPr>
        <w:t>PIK3CA</w:t>
      </w:r>
      <w:r w:rsidR="008A458D" w:rsidRPr="004C6591">
        <w:t xml:space="preserve"> variant</w:t>
      </w:r>
      <w:r w:rsidR="00E0530D" w:rsidRPr="004C6591">
        <w:t>s</w:t>
      </w:r>
      <w:r w:rsidR="00F9542C" w:rsidRPr="004C6591">
        <w:t xml:space="preserve"> via PCR</w:t>
      </w:r>
      <w:r w:rsidR="008A458D" w:rsidRPr="004C6591">
        <w:t xml:space="preserve"> in SOLAR-1 trial</w:t>
      </w:r>
      <w:r w:rsidR="00976965" w:rsidRPr="004C6591">
        <w:t xml:space="preserve"> </w:t>
      </w:r>
      <w:r w:rsidR="00976965" w:rsidRPr="004C6591">
        <w:fldChar w:fldCharType="begin"/>
      </w:r>
      <w:r w:rsidR="00976965" w:rsidRPr="004C6591">
        <w:instrText xml:space="preserve"> ADDIN EN.CITE &lt;EndNote&gt;&lt;Cite&gt;&lt;Author&gt;Henry&lt;/Author&gt;&lt;Year&gt;2022&lt;/Year&gt;&lt;RecNum&gt;34&lt;/RecNum&gt;&lt;DisplayText&gt;(Henry et al. 2022)&lt;/DisplayText&gt;&lt;record&gt;&lt;rec-number&gt;34&lt;/rec-number&gt;&lt;foreign-keys&gt;&lt;key app="EN" db-id="dw2s0a0pxte05aexpvnx2awre9s0vxdepfat" timestamp="1718331660"&gt;34&lt;/key&gt;&lt;/foreign-keys&gt;&lt;ref-type name="Journal Article"&gt;17&lt;/ref-type&gt;&lt;contributors&gt;&lt;authors&gt;&lt;author&gt;N. Lynn Henry&lt;/author&gt;&lt;author&gt;Mark R. Somerfield&lt;/author&gt;&lt;author&gt;Zoneddy Dayao&lt;/author&gt;&lt;author&gt;Anthony Elias&lt;/author&gt;&lt;author&gt;Kevin Kalinsky&lt;/author&gt;&lt;author&gt;Lisa M. McShane&lt;/author&gt;&lt;author&gt;Beverly Moy&lt;/author&gt;&lt;author&gt;Ben Ho Park&lt;/author&gt;&lt;author&gt;Kelly M. Shanahan&lt;/author&gt;&lt;author&gt;Priyanka Sharma&lt;/author&gt;&lt;author&gt;Rebecca Shatsky&lt;/author&gt;&lt;author&gt;Erica Stringer-Reasor&lt;/author&gt;&lt;author&gt;Melinda Telli&lt;/author&gt;&lt;author&gt;Nicholas C. Turner&lt;/author&gt;&lt;author&gt;Angela DeMichele&lt;/author&gt;&lt;/authors&gt;&lt;/contributors&gt;&lt;titles&gt;&lt;title&gt;Biomarkers for Systemic Therapy in Metastatic Breast Cancer: ASCO Guideline Update&lt;/title&gt;&lt;secondary-title&gt;Journal of Clinical Oncology&lt;/secondary-title&gt;&lt;/titles&gt;&lt;periodical&gt;&lt;full-title&gt;Journal of Clinical Oncology&lt;/full-title&gt;&lt;/periodical&gt;&lt;pages&gt;3205-3221&lt;/pages&gt;&lt;volume&gt;40&lt;/volume&gt;&lt;number&gt;27&lt;/number&gt;&lt;dates&gt;&lt;year&gt;2022&lt;/year&gt;&lt;/dates&gt;&lt;accession-num&gt;35759724&lt;/accession-num&gt;&lt;urls&gt;&lt;related-urls&gt;&lt;url&gt;https://ascopubs.org/doi/abs/10.1200/JCO.22.01063&lt;/url&gt;&lt;/related-urls&gt;&lt;/urls&gt;&lt;electronic-resource-num&gt;10.1200/jco.22.01063&lt;/electronic-resource-num&gt;&lt;/record&gt;&lt;/Cite&gt;&lt;/EndNote&gt;</w:instrText>
      </w:r>
      <w:r w:rsidR="00976965" w:rsidRPr="004C6591">
        <w:fldChar w:fldCharType="separate"/>
      </w:r>
      <w:r w:rsidR="00976965" w:rsidRPr="004C6591">
        <w:t>(Henry et al. 2022)</w:t>
      </w:r>
      <w:r w:rsidR="00976965" w:rsidRPr="004C6591">
        <w:fldChar w:fldCharType="end"/>
      </w:r>
      <w:r w:rsidR="00F9542C" w:rsidRPr="004C6591">
        <w:t xml:space="preserve">. Among patients with confirmed </w:t>
      </w:r>
      <w:r w:rsidR="00F9542C" w:rsidRPr="004C6591">
        <w:rPr>
          <w:i/>
          <w:iCs/>
        </w:rPr>
        <w:t>PIK3CA</w:t>
      </w:r>
      <w:r w:rsidR="00F9542C" w:rsidRPr="004C6591">
        <w:t xml:space="preserve"> variant</w:t>
      </w:r>
      <w:r w:rsidR="003E084D" w:rsidRPr="004C6591">
        <w:t>s</w:t>
      </w:r>
      <w:r w:rsidR="00F9542C" w:rsidRPr="004C6591">
        <w:t xml:space="preserve"> using tumour tissue, only </w:t>
      </w:r>
      <w:r w:rsidR="008A458D" w:rsidRPr="004C6591">
        <w:t xml:space="preserve">56% </w:t>
      </w:r>
      <w:r w:rsidR="00F9542C" w:rsidRPr="004C6591">
        <w:t xml:space="preserve">showed positive </w:t>
      </w:r>
      <w:r w:rsidR="00F9542C" w:rsidRPr="004C6591">
        <w:rPr>
          <w:i/>
          <w:iCs/>
        </w:rPr>
        <w:t>PIK3CA</w:t>
      </w:r>
      <w:r w:rsidR="00F9542C" w:rsidRPr="004C6591">
        <w:t xml:space="preserve"> variant</w:t>
      </w:r>
      <w:r w:rsidR="0079476B" w:rsidRPr="004C6591">
        <w:t>s</w:t>
      </w:r>
      <w:r w:rsidR="00F9542C" w:rsidRPr="004C6591">
        <w:t xml:space="preserve"> using ctDNA</w:t>
      </w:r>
      <w:r w:rsidR="00976965" w:rsidRPr="004C6591">
        <w:t xml:space="preserve"> </w:t>
      </w:r>
      <w:r w:rsidR="00976965" w:rsidRPr="004C6591">
        <w:fldChar w:fldCharType="begin"/>
      </w:r>
      <w:r w:rsidR="00976965" w:rsidRPr="004C6591">
        <w:instrText xml:space="preserve"> ADDIN EN.CITE &lt;EndNote&gt;&lt;Cite&gt;&lt;Author&gt;Henry&lt;/Author&gt;&lt;Year&gt;2022&lt;/Year&gt;&lt;RecNum&gt;34&lt;/RecNum&gt;&lt;DisplayText&gt;(Henry et al. 2022)&lt;/DisplayText&gt;&lt;record&gt;&lt;rec-number&gt;34&lt;/rec-number&gt;&lt;foreign-keys&gt;&lt;key app="EN" db-id="dw2s0a0pxte05aexpvnx2awre9s0vxdepfat" timestamp="1718331660"&gt;34&lt;/key&gt;&lt;/foreign-keys&gt;&lt;ref-type name="Journal Article"&gt;17&lt;/ref-type&gt;&lt;contributors&gt;&lt;authors&gt;&lt;author&gt;N. Lynn Henry&lt;/author&gt;&lt;author&gt;Mark R. Somerfield&lt;/author&gt;&lt;author&gt;Zoneddy Dayao&lt;/author&gt;&lt;author&gt;Anthony Elias&lt;/author&gt;&lt;author&gt;Kevin Kalinsky&lt;/author&gt;&lt;author&gt;Lisa M. McShane&lt;/author&gt;&lt;author&gt;Beverly Moy&lt;/author&gt;&lt;author&gt;Ben Ho Park&lt;/author&gt;&lt;author&gt;Kelly M. Shanahan&lt;/author&gt;&lt;author&gt;Priyanka Sharma&lt;/author&gt;&lt;author&gt;Rebecca Shatsky&lt;/author&gt;&lt;author&gt;Erica Stringer-Reasor&lt;/author&gt;&lt;author&gt;Melinda Telli&lt;/author&gt;&lt;author&gt;Nicholas C. Turner&lt;/author&gt;&lt;author&gt;Angela DeMichele&lt;/author&gt;&lt;/authors&gt;&lt;/contributors&gt;&lt;titles&gt;&lt;title&gt;Biomarkers for Systemic Therapy in Metastatic Breast Cancer: ASCO Guideline Update&lt;/title&gt;&lt;secondary-title&gt;Journal of Clinical Oncology&lt;/secondary-title&gt;&lt;/titles&gt;&lt;periodical&gt;&lt;full-title&gt;Journal of Clinical Oncology&lt;/full-title&gt;&lt;/periodical&gt;&lt;pages&gt;3205-3221&lt;/pages&gt;&lt;volume&gt;40&lt;/volume&gt;&lt;number&gt;27&lt;/number&gt;&lt;dates&gt;&lt;year&gt;2022&lt;/year&gt;&lt;/dates&gt;&lt;accession-num&gt;35759724&lt;/accession-num&gt;&lt;urls&gt;&lt;related-urls&gt;&lt;url&gt;https://ascopubs.org/doi/abs/10.1200/JCO.22.01063&lt;/url&gt;&lt;/related-urls&gt;&lt;/urls&gt;&lt;electronic-resource-num&gt;10.1200/jco.22.01063&lt;/electronic-resource-num&gt;&lt;/record&gt;&lt;/Cite&gt;&lt;/EndNote&gt;</w:instrText>
      </w:r>
      <w:r w:rsidR="00976965" w:rsidRPr="004C6591">
        <w:fldChar w:fldCharType="separate"/>
      </w:r>
      <w:r w:rsidR="00976965" w:rsidRPr="004C6591">
        <w:t>(Henry et al. 2022)</w:t>
      </w:r>
      <w:r w:rsidR="00976965" w:rsidRPr="004C6591">
        <w:fldChar w:fldCharType="end"/>
      </w:r>
      <w:r w:rsidR="00F9542C" w:rsidRPr="004C6591">
        <w:t>.</w:t>
      </w:r>
      <w:r w:rsidR="00F85D72" w:rsidRPr="004C6591">
        <w:t xml:space="preserve"> Furthermore</w:t>
      </w:r>
      <w:r w:rsidR="00A66E99" w:rsidRPr="004C6591">
        <w:t xml:space="preserve">, the American Society of Clinical Oncology 2022 (ASCO) guidelines suggested to test the most recent metastatic tumour tissue sample as </w:t>
      </w:r>
      <w:r w:rsidR="00A66E99" w:rsidRPr="004C6591">
        <w:rPr>
          <w:i/>
          <w:iCs/>
        </w:rPr>
        <w:t>PIK3CA</w:t>
      </w:r>
      <w:r w:rsidR="00A66E99" w:rsidRPr="004C6591">
        <w:t xml:space="preserve"> variant</w:t>
      </w:r>
      <w:r w:rsidR="00FF11C3" w:rsidRPr="004C6591">
        <w:t>s</w:t>
      </w:r>
      <w:r w:rsidR="00A66E99" w:rsidRPr="004C6591">
        <w:t xml:space="preserve"> may be acquired during treatment </w:t>
      </w:r>
      <w:r w:rsidR="00454504" w:rsidRPr="004C6591">
        <w:t xml:space="preserve">and therefore it is possible for </w:t>
      </w:r>
      <w:r w:rsidR="00454504" w:rsidRPr="004C6591">
        <w:rPr>
          <w:i/>
          <w:iCs/>
        </w:rPr>
        <w:t>PIK3CA</w:t>
      </w:r>
      <w:r w:rsidR="00454504" w:rsidRPr="004C6591">
        <w:t xml:space="preserve"> variant</w:t>
      </w:r>
      <w:r w:rsidR="00B8279F" w:rsidRPr="004C6591">
        <w:t>s</w:t>
      </w:r>
      <w:r w:rsidR="00454504" w:rsidRPr="004C6591">
        <w:t xml:space="preserve"> status</w:t>
      </w:r>
      <w:r w:rsidR="00960486" w:rsidRPr="004C6591">
        <w:t xml:space="preserve"> to</w:t>
      </w:r>
      <w:r w:rsidR="00A66E99" w:rsidRPr="004C6591">
        <w:t xml:space="preserve"> change from </w:t>
      </w:r>
      <w:r w:rsidR="00960486" w:rsidRPr="004C6591">
        <w:t xml:space="preserve">the </w:t>
      </w:r>
      <w:r w:rsidR="00A66E99" w:rsidRPr="004C6591">
        <w:t>original primary breast tumour</w:t>
      </w:r>
      <w:r w:rsidR="00AE3FA4" w:rsidRPr="004C6591">
        <w:t xml:space="preserve"> </w:t>
      </w:r>
      <w:r w:rsidR="00AE3FA4" w:rsidRPr="004C6591">
        <w:fldChar w:fldCharType="begin"/>
      </w:r>
      <w:r w:rsidR="00AE3FA4" w:rsidRPr="004C6591">
        <w:instrText xml:space="preserve"> ADDIN EN.CITE &lt;EndNote&gt;&lt;Cite&gt;&lt;Author&gt;Henry&lt;/Author&gt;&lt;Year&gt;2022&lt;/Year&gt;&lt;RecNum&gt;34&lt;/RecNum&gt;&lt;DisplayText&gt;(Henry et al. 2022)&lt;/DisplayText&gt;&lt;record&gt;&lt;rec-number&gt;34&lt;/rec-number&gt;&lt;foreign-keys&gt;&lt;key app="EN" db-id="dw2s0a0pxte05aexpvnx2awre9s0vxdepfat" timestamp="1718331660"&gt;34&lt;/key&gt;&lt;/foreign-keys&gt;&lt;ref-type name="Journal Article"&gt;17&lt;/ref-type&gt;&lt;contributors&gt;&lt;authors&gt;&lt;author&gt;N. Lynn Henry&lt;/author&gt;&lt;author&gt;Mark R. Somerfield&lt;/author&gt;&lt;author&gt;Zoneddy Dayao&lt;/author&gt;&lt;author&gt;Anthony Elias&lt;/author&gt;&lt;author&gt;Kevin Kalinsky&lt;/author&gt;&lt;author&gt;Lisa M. McShane&lt;/author&gt;&lt;author&gt;Beverly Moy&lt;/author&gt;&lt;author&gt;Ben Ho Park&lt;/author&gt;&lt;author&gt;Kelly M. Shanahan&lt;/author&gt;&lt;author&gt;Priyanka Sharma&lt;/author&gt;&lt;author&gt;Rebecca Shatsky&lt;/author&gt;&lt;author&gt;Erica Stringer-Reasor&lt;/author&gt;&lt;author&gt;Melinda Telli&lt;/author&gt;&lt;author&gt;Nicholas C. Turner&lt;/author&gt;&lt;author&gt;Angela DeMichele&lt;/author&gt;&lt;/authors&gt;&lt;/contributors&gt;&lt;titles&gt;&lt;title&gt;Biomarkers for Systemic Therapy in Metastatic Breast Cancer: ASCO Guideline Update&lt;/title&gt;&lt;secondary-title&gt;Journal of Clinical Oncology&lt;/secondary-title&gt;&lt;/titles&gt;&lt;periodical&gt;&lt;full-title&gt;Journal of Clinical Oncology&lt;/full-title&gt;&lt;/periodical&gt;&lt;pages&gt;3205-3221&lt;/pages&gt;&lt;volume&gt;40&lt;/volume&gt;&lt;number&gt;27&lt;/number&gt;&lt;dates&gt;&lt;year&gt;2022&lt;/year&gt;&lt;/dates&gt;&lt;accession-num&gt;35759724&lt;/accession-num&gt;&lt;urls&gt;&lt;related-urls&gt;&lt;url&gt;https://ascopubs.org/doi/abs/10.1200/JCO.22.01063&lt;/url&gt;&lt;/related-urls&gt;&lt;/urls&gt;&lt;electronic-resource-num&gt;10.1200/jco.22.01063&lt;/electronic-resource-num&gt;&lt;/record&gt;&lt;/Cite&gt;&lt;/EndNote&gt;</w:instrText>
      </w:r>
      <w:r w:rsidR="00AE3FA4" w:rsidRPr="004C6591">
        <w:fldChar w:fldCharType="separate"/>
      </w:r>
      <w:r w:rsidR="00AE3FA4" w:rsidRPr="004C6591">
        <w:t>(Henry et al. 2022)</w:t>
      </w:r>
      <w:r w:rsidR="00AE3FA4" w:rsidRPr="004C6591">
        <w:fldChar w:fldCharType="end"/>
      </w:r>
      <w:r w:rsidR="00A66E99" w:rsidRPr="004C6591">
        <w:t xml:space="preserve">. ctDNA may be the preferred first step if no recent tumour tissue sample is available </w:t>
      </w:r>
      <w:r w:rsidR="00A66E99" w:rsidRPr="004C6591">
        <w:fldChar w:fldCharType="begin"/>
      </w:r>
      <w:r w:rsidR="00A66E99" w:rsidRPr="004C6591">
        <w:instrText xml:space="preserve"> ADDIN EN.CITE &lt;EndNote&gt;&lt;Cite&gt;&lt;Author&gt;Henry&lt;/Author&gt;&lt;Year&gt;2022&lt;/Year&gt;&lt;RecNum&gt;34&lt;/RecNum&gt;&lt;DisplayText&gt;(Henry et al. 2022)&lt;/DisplayText&gt;&lt;record&gt;&lt;rec-number&gt;34&lt;/rec-number&gt;&lt;foreign-keys&gt;&lt;key app="EN" db-id="dw2s0a0pxte05aexpvnx2awre9s0vxdepfat" timestamp="1718331660"&gt;34&lt;/key&gt;&lt;/foreign-keys&gt;&lt;ref-type name="Journal Article"&gt;17&lt;/ref-type&gt;&lt;contributors&gt;&lt;authors&gt;&lt;author&gt;N. Lynn Henry&lt;/author&gt;&lt;author&gt;Mark R. Somerfield&lt;/author&gt;&lt;author&gt;Zoneddy Dayao&lt;/author&gt;&lt;author&gt;Anthony Elias&lt;/author&gt;&lt;author&gt;Kevin Kalinsky&lt;/author&gt;&lt;author&gt;Lisa M. McShane&lt;/author&gt;&lt;author&gt;Beverly Moy&lt;/author&gt;&lt;author&gt;Ben Ho Park&lt;/author&gt;&lt;author&gt;Kelly M. Shanahan&lt;/author&gt;&lt;author&gt;Priyanka Sharma&lt;/author&gt;&lt;author&gt;Rebecca Shatsky&lt;/author&gt;&lt;author&gt;Erica Stringer-Reasor&lt;/author&gt;&lt;author&gt;Melinda Telli&lt;/author&gt;&lt;author&gt;Nicholas C. Turner&lt;/author&gt;&lt;author&gt;Angela DeMichele&lt;/author&gt;&lt;/authors&gt;&lt;/contributors&gt;&lt;titles&gt;&lt;title&gt;Biomarkers for Systemic Therapy in Metastatic Breast Cancer: ASCO Guideline Update&lt;/title&gt;&lt;secondary-title&gt;Journal of Clinical Oncology&lt;/secondary-title&gt;&lt;/titles&gt;&lt;periodical&gt;&lt;full-title&gt;Journal of Clinical Oncology&lt;/full-title&gt;&lt;/periodical&gt;&lt;pages&gt;3205-3221&lt;/pages&gt;&lt;volume&gt;40&lt;/volume&gt;&lt;number&gt;27&lt;/number&gt;&lt;dates&gt;&lt;year&gt;2022&lt;/year&gt;&lt;/dates&gt;&lt;accession-num&gt;35759724&lt;/accession-num&gt;&lt;urls&gt;&lt;related-urls&gt;&lt;url&gt;https://ascopubs.org/doi/abs/10.1200/JCO.22.01063&lt;/url&gt;&lt;/related-urls&gt;&lt;/urls&gt;&lt;electronic-resource-num&gt;10.1200/jco.22.01063&lt;/electronic-resource-num&gt;&lt;/record&gt;&lt;/Cite&gt;&lt;/EndNote&gt;</w:instrText>
      </w:r>
      <w:r w:rsidR="00A66E99" w:rsidRPr="004C6591">
        <w:fldChar w:fldCharType="separate"/>
      </w:r>
      <w:r w:rsidR="00A66E99" w:rsidRPr="004C6591">
        <w:t>(Henry et al. 2022)</w:t>
      </w:r>
      <w:r w:rsidR="00A66E99" w:rsidRPr="004C6591">
        <w:fldChar w:fldCharType="end"/>
      </w:r>
      <w:r w:rsidR="00A66E99" w:rsidRPr="004C6591">
        <w:t>.</w:t>
      </w:r>
      <w:r w:rsidR="004C44BE" w:rsidRPr="004C6591">
        <w:t xml:space="preserve">The guideline also recommended testing of a tumour specimen (preferably from a metastatic site) in the event the ctDNA result was negative. </w:t>
      </w:r>
    </w:p>
    <w:p w14:paraId="18B5A408" w14:textId="1FBAB204" w:rsidR="002D2E67" w:rsidRPr="004C6591" w:rsidRDefault="00124802" w:rsidP="002D2E67">
      <w:pPr>
        <w:pStyle w:val="Heading4"/>
      </w:pPr>
      <w:r w:rsidRPr="004C6591">
        <w:t>Challenges with</w:t>
      </w:r>
      <w:r w:rsidR="007A1046" w:rsidRPr="004C6591">
        <w:t xml:space="preserve"> </w:t>
      </w:r>
      <w:r w:rsidR="007A1046" w:rsidRPr="00C65136">
        <w:rPr>
          <w:i w:val="0"/>
        </w:rPr>
        <w:t>PIK3CA</w:t>
      </w:r>
      <w:r w:rsidR="007A1046" w:rsidRPr="004C6591">
        <w:t xml:space="preserve"> testing</w:t>
      </w:r>
      <w:r w:rsidR="006E7195" w:rsidRPr="004C6591">
        <w:t xml:space="preserve"> using tumour tissue</w:t>
      </w:r>
      <w:r w:rsidR="00B81A05" w:rsidRPr="004C6591">
        <w:t xml:space="preserve"> and ctDNA</w:t>
      </w:r>
    </w:p>
    <w:p w14:paraId="77D771F0" w14:textId="50168249" w:rsidR="00F845E1" w:rsidRPr="004C6591" w:rsidRDefault="003E0FBC" w:rsidP="003E0FBC">
      <w:r w:rsidRPr="004C6591">
        <w:t xml:space="preserve">There </w:t>
      </w:r>
      <w:r w:rsidR="000E514E" w:rsidRPr="004C6591">
        <w:t xml:space="preserve">are </w:t>
      </w:r>
      <w:r w:rsidRPr="004C6591">
        <w:t xml:space="preserve">various biopsy and analytical testing approaches to detect </w:t>
      </w:r>
      <w:r w:rsidRPr="004C6591">
        <w:rPr>
          <w:i/>
          <w:iCs/>
        </w:rPr>
        <w:t>PIK3CA</w:t>
      </w:r>
      <w:r w:rsidRPr="004C6591">
        <w:t xml:space="preserve"> variants but the generalisability and applicability across approaches </w:t>
      </w:r>
      <w:r w:rsidR="000E514E" w:rsidRPr="004C6591">
        <w:t xml:space="preserve">is </w:t>
      </w:r>
      <w:r w:rsidRPr="004C6591">
        <w:t>uncertain</w:t>
      </w:r>
      <w:r w:rsidR="12E08D71" w:rsidRPr="004C6591">
        <w:t>:</w:t>
      </w:r>
      <w:r w:rsidR="009A23AA" w:rsidRPr="004C6591">
        <w:t xml:space="preserve"> </w:t>
      </w:r>
      <w:r w:rsidR="11B11E79" w:rsidRPr="004C6591">
        <w:t>t</w:t>
      </w:r>
      <w:r w:rsidRPr="004C6591">
        <w:t xml:space="preserve">he concordance data between testing methods; site of sample collection (e.g. primary tumour vs metastasis); timing of sample collection (e.g. fresh biopsy vs archival tissue); type of biopsy (e.g. ctDNA vs tissue); retest concordance (i.e. stability over time) were lacking </w:t>
      </w:r>
      <w:r w:rsidRPr="004C6591">
        <w:fldChar w:fldCharType="begin"/>
      </w:r>
      <w:r w:rsidRPr="004C6591">
        <w:instrText xml:space="preserve"> ADDIN EN.CITE &lt;EndNote&gt;&lt;Cite&gt;&lt;Author&gt;Anderson&lt;/Author&gt;&lt;Year&gt;2020&lt;/Year&gt;&lt;RecNum&gt;37&lt;/RecNum&gt;&lt;DisplayText&gt;(Anderson et al. 2020)&lt;/DisplayText&gt;&lt;record&gt;&lt;rec-number&gt;37&lt;/rec-number&gt;&lt;foreign-keys&gt;&lt;key app="EN" db-id="dw2s0a0pxte05aexpvnx2awre9s0vxdepfat" timestamp="1718586607"&gt;37&lt;/key&gt;&lt;/foreign-keys&gt;&lt;ref-type name="Journal Article"&gt;17&lt;/ref-type&gt;&lt;contributors&gt;&lt;authors&gt;&lt;author&gt;Anderson, E. J.&lt;/author&gt;&lt;author&gt;Mollon, L. E.&lt;/author&gt;&lt;author&gt;Dean, J. L.&lt;/author&gt;&lt;author&gt;Warholak, T. L.&lt;/author&gt;&lt;author&gt;Aizer, A.&lt;/author&gt;&lt;author&gt;Platt, E. A.&lt;/author&gt;&lt;author&gt;Tang, D. H.&lt;/author&gt;&lt;author&gt;Davis, L. E.&lt;/author&gt;&lt;/authors&gt;&lt;/contributors&gt;&lt;auth-address&gt;University of Arizona College of Pharmacy, Tucson, AZ, USA.&amp;#xD;Harvard Medical School, MA, USA.&amp;#xD;Novartis, NJ, USA.&lt;/auth-address&gt;&lt;titles&gt;&lt;title&gt;A systematic review of the prevalence and diagnostic workup of PIK3CA mutations in HR+/HER2- metastatic breast cancer&lt;/title&gt;&lt;secondary-title&gt;Int J Breast Cancer&lt;/secondary-title&gt;&lt;/titles&gt;&lt;periodical&gt;&lt;full-title&gt;Int J Breast Cancer&lt;/full-title&gt;&lt;/periodical&gt;&lt;pages&gt;3759179&lt;/pages&gt;&lt;dates&gt;&lt;year&gt;2020&lt;/year&gt;&lt;/dates&gt;&lt;isbn&gt;2090-3170 (Print)&amp;#xD;2090-3189&lt;/isbn&gt;&lt;accession-num&gt;32637176&lt;/accession-num&gt;&lt;urls&gt;&lt;/urls&gt;&lt;custom1&gt;The authors declare that this study received funding from Novartis. The funder had the following involvement with the study: study design, writing of the article, and the decision to submit for publication. EJA, LM, and JD received research funds from Novartis to support this study. EP is an employee of Novartis. At the time of the study, DT was an employee of Novartis. AA receives research funding from Varian Medical Systems unrelated to the current project. LD and TW have no conflicts to disclose.&lt;/custom1&gt;&lt;custom2&gt;PMC7322582&lt;/custom2&gt;&lt;electronic-resource-num&gt;10.1155/2020/3759179&lt;/electronic-resource-num&gt;&lt;remote-database-provider&gt;NLM&lt;/remote-database-provider&gt;&lt;language&gt;eng&lt;/language&gt;&lt;/record&gt;&lt;/Cite&gt;&lt;/EndNote&gt;</w:instrText>
      </w:r>
      <w:r w:rsidRPr="004C6591">
        <w:fldChar w:fldCharType="separate"/>
      </w:r>
      <w:r w:rsidRPr="004C6591">
        <w:t>(Anderson et al. 2020)</w:t>
      </w:r>
      <w:r w:rsidRPr="004C6591">
        <w:fldChar w:fldCharType="end"/>
      </w:r>
      <w:r w:rsidRPr="004C6591">
        <w:t xml:space="preserve">. </w:t>
      </w:r>
    </w:p>
    <w:p w14:paraId="0AD81E71" w14:textId="38340E2E" w:rsidR="001409FB" w:rsidRPr="004C6591" w:rsidRDefault="001409FB" w:rsidP="001409FB">
      <w:pPr>
        <w:autoSpaceDE w:val="0"/>
        <w:autoSpaceDN w:val="0"/>
        <w:adjustRightInd w:val="0"/>
        <w:spacing w:line="23" w:lineRule="atLeast"/>
        <w:rPr>
          <w:rFonts w:asciiTheme="minorHAnsi" w:hAnsiTheme="minorHAnsi" w:cstheme="minorBidi"/>
          <w:i/>
          <w:iCs/>
        </w:rPr>
      </w:pPr>
      <w:r w:rsidRPr="004C6591">
        <w:rPr>
          <w:rFonts w:asciiTheme="minorHAnsi" w:hAnsiTheme="minorHAnsi" w:cstheme="minorBidi"/>
          <w:i/>
          <w:iCs/>
        </w:rPr>
        <w:t xml:space="preserve">PASC </w:t>
      </w:r>
      <w:r w:rsidR="00CE0E3B" w:rsidRPr="004C6591">
        <w:rPr>
          <w:rFonts w:asciiTheme="minorHAnsi" w:hAnsiTheme="minorHAnsi" w:cstheme="minorBidi"/>
          <w:i/>
          <w:iCs/>
        </w:rPr>
        <w:t xml:space="preserve">asked </w:t>
      </w:r>
      <w:r w:rsidRPr="004C6591">
        <w:rPr>
          <w:rFonts w:asciiTheme="minorHAnsi" w:hAnsiTheme="minorHAnsi" w:cstheme="minorBidi"/>
          <w:i/>
          <w:iCs/>
        </w:rPr>
        <w:t xml:space="preserve">the applicant </w:t>
      </w:r>
      <w:r w:rsidR="00CE0E3B" w:rsidRPr="004C6591">
        <w:rPr>
          <w:rFonts w:asciiTheme="minorHAnsi" w:hAnsiTheme="minorHAnsi" w:cstheme="minorBidi"/>
          <w:i/>
          <w:iCs/>
        </w:rPr>
        <w:t>whether there</w:t>
      </w:r>
      <w:r w:rsidR="003638B2" w:rsidRPr="004C6591">
        <w:rPr>
          <w:rFonts w:asciiTheme="minorHAnsi" w:hAnsiTheme="minorHAnsi" w:cstheme="minorBidi"/>
          <w:i/>
          <w:iCs/>
        </w:rPr>
        <w:t xml:space="preserve"> is</w:t>
      </w:r>
      <w:r w:rsidR="00CE0E3B" w:rsidRPr="004C6591">
        <w:rPr>
          <w:rFonts w:asciiTheme="minorHAnsi" w:hAnsiTheme="minorHAnsi" w:cstheme="minorBidi"/>
          <w:i/>
          <w:iCs/>
        </w:rPr>
        <w:t xml:space="preserve"> </w:t>
      </w:r>
      <w:r w:rsidRPr="004C6591">
        <w:rPr>
          <w:rFonts w:asciiTheme="minorHAnsi" w:hAnsiTheme="minorHAnsi" w:cstheme="minorBidi"/>
          <w:i/>
          <w:iCs/>
        </w:rPr>
        <w:t xml:space="preserve">the potential for </w:t>
      </w:r>
      <w:r w:rsidRPr="00C65136">
        <w:rPr>
          <w:rFonts w:asciiTheme="minorHAnsi" w:hAnsiTheme="minorHAnsi"/>
        </w:rPr>
        <w:t xml:space="preserve">PIK3CA </w:t>
      </w:r>
      <w:r w:rsidRPr="004C6591">
        <w:rPr>
          <w:rFonts w:asciiTheme="minorHAnsi" w:hAnsiTheme="minorHAnsi" w:cstheme="minorBidi"/>
          <w:i/>
          <w:iCs/>
        </w:rPr>
        <w:t xml:space="preserve">status to change over time and if this would influence whether ctDNA or tumour tissue testing would be the preferred test, given that ctDNA testing can be performed less invasively and more quickly than tumour tissue testing. The applicant suggested that there is the potential for DNA alteration to occur </w:t>
      </w:r>
      <w:r w:rsidR="00687A13" w:rsidRPr="004C6591">
        <w:rPr>
          <w:rFonts w:asciiTheme="minorHAnsi" w:hAnsiTheme="minorHAnsi" w:cstheme="minorBidi"/>
          <w:i/>
          <w:iCs/>
        </w:rPr>
        <w:t xml:space="preserve">in the </w:t>
      </w:r>
      <w:r w:rsidRPr="004C6591">
        <w:rPr>
          <w:rFonts w:asciiTheme="minorHAnsi" w:hAnsiTheme="minorHAnsi" w:cstheme="minorBidi"/>
          <w:i/>
          <w:iCs/>
        </w:rPr>
        <w:t xml:space="preserve">time between the diagnosis of primary and metastatic tumours, but some studies suggest that the majority of </w:t>
      </w:r>
      <w:r w:rsidRPr="00C65136">
        <w:rPr>
          <w:rFonts w:asciiTheme="minorHAnsi" w:hAnsiTheme="minorHAnsi"/>
        </w:rPr>
        <w:t>PIK3CA</w:t>
      </w:r>
      <w:r w:rsidRPr="004C6591">
        <w:rPr>
          <w:rFonts w:asciiTheme="minorHAnsi" w:hAnsiTheme="minorHAnsi" w:cstheme="minorBidi"/>
          <w:i/>
          <w:iCs/>
        </w:rPr>
        <w:t xml:space="preserve"> mutations are detected in the primary tumour. The applicant noted there are some medical oncologists who believe that DNA alterations are likely present from the beginning of the disease process. PASC </w:t>
      </w:r>
      <w:r w:rsidR="00FF79A5">
        <w:rPr>
          <w:rFonts w:asciiTheme="minorHAnsi" w:hAnsiTheme="minorHAnsi" w:cstheme="minorBidi"/>
          <w:i/>
          <w:iCs/>
        </w:rPr>
        <w:t>noted</w:t>
      </w:r>
      <w:r w:rsidRPr="004C6591">
        <w:rPr>
          <w:rFonts w:asciiTheme="minorHAnsi" w:hAnsiTheme="minorHAnsi" w:cstheme="minorBidi"/>
          <w:i/>
          <w:iCs/>
        </w:rPr>
        <w:t xml:space="preserve"> that the understanding around changing </w:t>
      </w:r>
      <w:r w:rsidRPr="00C65136">
        <w:rPr>
          <w:rFonts w:asciiTheme="minorHAnsi" w:hAnsiTheme="minorHAnsi"/>
        </w:rPr>
        <w:t>PIK3CA</w:t>
      </w:r>
      <w:r w:rsidRPr="004C6591">
        <w:rPr>
          <w:rFonts w:asciiTheme="minorHAnsi" w:hAnsiTheme="minorHAnsi" w:cstheme="minorBidi"/>
          <w:i/>
          <w:iCs/>
        </w:rPr>
        <w:t xml:space="preserve"> status is still an evolving field.</w:t>
      </w:r>
    </w:p>
    <w:p w14:paraId="6E54E94E" w14:textId="4A6BB113" w:rsidR="00DE7BEF" w:rsidRPr="004C6591" w:rsidRDefault="00DE7BEF" w:rsidP="00435CBD">
      <w:pPr>
        <w:autoSpaceDE w:val="0"/>
        <w:autoSpaceDN w:val="0"/>
        <w:adjustRightInd w:val="0"/>
        <w:spacing w:line="23" w:lineRule="atLeast"/>
        <w:rPr>
          <w:rFonts w:asciiTheme="minorHAnsi" w:hAnsiTheme="minorHAnsi" w:cstheme="minorBidi"/>
          <w:i/>
          <w:iCs/>
        </w:rPr>
      </w:pPr>
      <w:r w:rsidRPr="004C6591">
        <w:rPr>
          <w:rFonts w:asciiTheme="minorHAnsi" w:hAnsiTheme="minorHAnsi" w:cstheme="minorBidi"/>
          <w:i/>
          <w:iCs/>
        </w:rPr>
        <w:t xml:space="preserve">The applicant referred to the ongoing engagement with its global clinical team to work towards providing concordance data </w:t>
      </w:r>
      <w:r w:rsidR="007762FA" w:rsidRPr="004C6591">
        <w:rPr>
          <w:rFonts w:asciiTheme="minorHAnsi" w:hAnsiTheme="minorHAnsi" w:cstheme="minorBidi"/>
          <w:i/>
          <w:iCs/>
        </w:rPr>
        <w:t>regarding</w:t>
      </w:r>
      <w:r w:rsidRPr="004C6591">
        <w:rPr>
          <w:rFonts w:asciiTheme="minorHAnsi" w:hAnsiTheme="minorHAnsi" w:cstheme="minorBidi"/>
          <w:i/>
          <w:iCs/>
        </w:rPr>
        <w:t xml:space="preserve"> </w:t>
      </w:r>
      <w:r w:rsidRPr="00C65136">
        <w:rPr>
          <w:rFonts w:asciiTheme="minorHAnsi" w:hAnsiTheme="minorHAnsi"/>
        </w:rPr>
        <w:t>PIK3CA</w:t>
      </w:r>
      <w:r w:rsidRPr="004C6591">
        <w:rPr>
          <w:rFonts w:asciiTheme="minorHAnsi" w:hAnsiTheme="minorHAnsi" w:cstheme="minorBidi"/>
          <w:i/>
          <w:iCs/>
        </w:rPr>
        <w:t xml:space="preserve"> testing </w:t>
      </w:r>
      <w:r w:rsidR="00872C0F" w:rsidRPr="004C6591">
        <w:rPr>
          <w:rFonts w:asciiTheme="minorHAnsi" w:hAnsiTheme="minorHAnsi" w:cstheme="minorBidi"/>
          <w:i/>
          <w:iCs/>
        </w:rPr>
        <w:t xml:space="preserve">for </w:t>
      </w:r>
      <w:r w:rsidRPr="004C6591">
        <w:rPr>
          <w:rFonts w:asciiTheme="minorHAnsi" w:hAnsiTheme="minorHAnsi" w:cstheme="minorBidi"/>
          <w:i/>
          <w:iCs/>
        </w:rPr>
        <w:t xml:space="preserve">tumour tissue </w:t>
      </w:r>
      <w:r w:rsidR="00872C0F" w:rsidRPr="004C6591">
        <w:rPr>
          <w:rFonts w:asciiTheme="minorHAnsi" w:hAnsiTheme="minorHAnsi" w:cstheme="minorBidi"/>
          <w:i/>
          <w:iCs/>
        </w:rPr>
        <w:t xml:space="preserve">vs </w:t>
      </w:r>
      <w:r w:rsidRPr="004C6591">
        <w:rPr>
          <w:rFonts w:asciiTheme="minorHAnsi" w:hAnsiTheme="minorHAnsi" w:cstheme="minorBidi"/>
          <w:i/>
          <w:iCs/>
        </w:rPr>
        <w:t xml:space="preserve">ctDNA from the screening phase of INAVO120. This will include a subgroup analysis of the INAVO120 trial analysing the outcomes for patients enrolled based on </w:t>
      </w:r>
      <w:r w:rsidRPr="00C65136">
        <w:rPr>
          <w:rFonts w:asciiTheme="minorHAnsi" w:hAnsiTheme="minorHAnsi"/>
        </w:rPr>
        <w:t>PIK3CA</w:t>
      </w:r>
      <w:r w:rsidRPr="004C6591">
        <w:rPr>
          <w:rFonts w:asciiTheme="minorHAnsi" w:hAnsiTheme="minorHAnsi" w:cstheme="minorBidi"/>
          <w:i/>
          <w:iCs/>
        </w:rPr>
        <w:t xml:space="preserve"> testing performed using tumour tissue vs ctDNA. </w:t>
      </w:r>
      <w:r w:rsidR="00553C05" w:rsidRPr="004C6591">
        <w:rPr>
          <w:rFonts w:asciiTheme="minorHAnsi" w:hAnsiTheme="minorHAnsi" w:cstheme="minorBidi"/>
          <w:i/>
          <w:iCs/>
        </w:rPr>
        <w:t>The applicant stated that t</w:t>
      </w:r>
      <w:r w:rsidRPr="004C6591">
        <w:rPr>
          <w:rFonts w:asciiTheme="minorHAnsi" w:hAnsiTheme="minorHAnsi" w:cstheme="minorBidi"/>
          <w:i/>
          <w:iCs/>
        </w:rPr>
        <w:t xml:space="preserve">he data will be included in the assessment report, </w:t>
      </w:r>
      <w:r w:rsidR="00E96ACA" w:rsidRPr="004C6591">
        <w:rPr>
          <w:rFonts w:asciiTheme="minorHAnsi" w:hAnsiTheme="minorHAnsi" w:cstheme="minorBidi"/>
          <w:i/>
          <w:iCs/>
        </w:rPr>
        <w:t xml:space="preserve">depending </w:t>
      </w:r>
      <w:r w:rsidRPr="004C6591">
        <w:rPr>
          <w:rFonts w:asciiTheme="minorHAnsi" w:hAnsiTheme="minorHAnsi" w:cstheme="minorBidi"/>
          <w:i/>
          <w:iCs/>
        </w:rPr>
        <w:t>on availability.</w:t>
      </w:r>
    </w:p>
    <w:p w14:paraId="5E9836BA" w14:textId="77777777" w:rsidR="004C5298" w:rsidRPr="004C6591" w:rsidRDefault="003E0FBC" w:rsidP="004C5298">
      <w:r w:rsidRPr="004C6591">
        <w:t xml:space="preserve">Further uncertainties in the use of ctDNA include variable detection rate of </w:t>
      </w:r>
      <w:r w:rsidRPr="004C6591">
        <w:rPr>
          <w:i/>
          <w:iCs/>
        </w:rPr>
        <w:t>PIK3CA</w:t>
      </w:r>
      <w:r w:rsidRPr="004C6591">
        <w:t xml:space="preserve"> variant</w:t>
      </w:r>
      <w:r w:rsidR="00460B08" w:rsidRPr="004C6591">
        <w:t>s</w:t>
      </w:r>
      <w:r w:rsidRPr="004C6591">
        <w:t xml:space="preserve"> between shorter and longer DNA fragments of ctDNA </w:t>
      </w:r>
      <w:r w:rsidRPr="004C6591">
        <w:fldChar w:fldCharType="begin"/>
      </w:r>
      <w:r w:rsidRPr="004C6591">
        <w:instrText xml:space="preserve"> ADDIN EN.CITE &lt;EndNote&gt;&lt;Cite&gt;&lt;Author&gt;Vollbrecht&lt;/Author&gt;&lt;Year&gt;2023&lt;/Year&gt;&lt;RecNum&gt;35&lt;/RecNum&gt;&lt;DisplayText&gt;(Vollbrecht et al. 2023)&lt;/DisplayText&gt;&lt;record&gt;&lt;rec-number&gt;35&lt;/rec-number&gt;&lt;foreign-keys&gt;&lt;key app="EN" db-id="dw2s0a0pxte05aexpvnx2awre9s0vxdepfat" timestamp="1718341459"&gt;35&lt;/key&gt;&lt;/foreign-keys&gt;&lt;ref-type name="Journal Article"&gt;17&lt;/ref-type&gt;&lt;contributors&gt;&lt;authors&gt;&lt;author&gt;Vollbrecht, Claudia&lt;/author&gt;&lt;author&gt;Hoffmann, Inga&lt;/author&gt;&lt;author&gt;Lehmann, Annika&lt;/author&gt;&lt;author&gt;Merkelbach-Bruse, Sabine&lt;/author&gt;&lt;author&gt;Fassunke, Jana&lt;/author&gt;&lt;author&gt;Wagener-Ryczek, Svenja&lt;/author&gt;&lt;author&gt;Ball, Markus&lt;/author&gt;&lt;author&gt;Dimitrova, Lora&lt;/author&gt;&lt;author&gt;Hartmann, Arndt&lt;/author&gt;&lt;author&gt;Stöhr, Robert&lt;/author&gt;&lt;author&gt;Erber, Ramona&lt;/author&gt;&lt;author&gt;Weichert, Wilko&lt;/author&gt;&lt;author&gt;Pfarr, Nicole&lt;/author&gt;&lt;author&gt;Bohlmann, Lisa&lt;/author&gt;&lt;author&gt;Jung, Andreas&lt;/author&gt;&lt;author&gt;Dietmaier, Wolfgang&lt;/author&gt;&lt;author&gt;Dietel, Manfred&lt;/author&gt;&lt;author&gt;Horst, David&lt;/author&gt;&lt;author&gt;Hummel, Michael&lt;/author&gt;&lt;/authors&gt;&lt;/contributors&gt;&lt;titles&gt;&lt;title&gt;Proficiency testing of PIK3CA mutations in HR+/HER2-breast cancer on liquid biopsy and tissue&lt;/title&gt;&lt;secondary-title&gt;Virchows Archiv&lt;/secondary-title&gt;&lt;/titles&gt;&lt;periodical&gt;&lt;full-title&gt;Virchows Archiv&lt;/full-title&gt;&lt;/periodical&gt;&lt;pages&gt;697-706&lt;/pages&gt;&lt;volume&gt;482&lt;/volume&gt;&lt;number&gt;4&lt;/number&gt;&lt;dates&gt;&lt;year&gt;2023&lt;/year&gt;&lt;pub-dates&gt;&lt;date&gt;2023/04/01&lt;/date&gt;&lt;/pub-dates&gt;&lt;/dates&gt;&lt;isbn&gt;1432-2307&lt;/isbn&gt;&lt;urls&gt;&lt;related-urls&gt;&lt;url&gt;https://doi.org/10.1007/s00428-022-03445-x&lt;/url&gt;&lt;/related-urls&gt;&lt;/urls&gt;&lt;electronic-resource-num&gt;10.1007/s00428-022-03445-x&lt;/electronic-resource-num&gt;&lt;/record&gt;&lt;/Cite&gt;&lt;/EndNote&gt;</w:instrText>
      </w:r>
      <w:r w:rsidRPr="004C6591">
        <w:fldChar w:fldCharType="separate"/>
      </w:r>
      <w:r w:rsidRPr="004C6591">
        <w:t>(Vollbrecht et al. 2023)</w:t>
      </w:r>
      <w:r w:rsidRPr="004C6591">
        <w:fldChar w:fldCharType="end"/>
      </w:r>
      <w:r w:rsidRPr="004C6591">
        <w:t xml:space="preserve">. </w:t>
      </w:r>
      <w:r w:rsidR="000F05FC" w:rsidRPr="004C6591">
        <w:t xml:space="preserve">Shorter DNA fragments were observed in the bloodstream as a result of DNA shedding </w:t>
      </w:r>
      <w:r w:rsidR="00750DD8" w:rsidRPr="004C6591">
        <w:t>from</w:t>
      </w:r>
      <w:r w:rsidR="000F05FC" w:rsidRPr="004C6591">
        <w:t xml:space="preserve"> cance</w:t>
      </w:r>
      <w:r w:rsidR="00750DD8" w:rsidRPr="004C6591">
        <w:t>r</w:t>
      </w:r>
      <w:r w:rsidR="000F05FC" w:rsidRPr="004C6591">
        <w:t xml:space="preserve"> cells</w:t>
      </w:r>
      <w:r w:rsidR="0051718B" w:rsidRPr="004C6591">
        <w:t xml:space="preserve"> </w:t>
      </w:r>
      <w:r w:rsidR="0051718B" w:rsidRPr="004C6591">
        <w:fldChar w:fldCharType="begin">
          <w:fldData xml:space="preserve">PEVuZE5vdGU+PENpdGU+PEF1dGhvcj5DaGVuPC9BdXRob3I+PFllYXI+MjAyMzwvWWVhcj48UmVj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==
</w:fldData>
        </w:fldChar>
      </w:r>
      <w:r w:rsidR="0051718B" w:rsidRPr="004C6591">
        <w:instrText xml:space="preserve"> ADDIN EN.CITE </w:instrText>
      </w:r>
      <w:r w:rsidR="0051718B" w:rsidRPr="004C6591">
        <w:fldChar w:fldCharType="begin">
          <w:fldData xml:space="preserve">PEVuZE5vdGU+PENpdGU+PEF1dGhvcj5DaGVuPC9BdXRob3I+PFllYXI+MjAyMzwvWWVhcj48UmVj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==
</w:fldData>
        </w:fldChar>
      </w:r>
      <w:r w:rsidR="0051718B" w:rsidRPr="004C6591">
        <w:instrText xml:space="preserve"> ADDIN EN.CITE.DATA </w:instrText>
      </w:r>
      <w:r w:rsidR="0051718B" w:rsidRPr="004C6591">
        <w:fldChar w:fldCharType="end"/>
      </w:r>
      <w:r w:rsidR="0051718B" w:rsidRPr="004C6591">
        <w:fldChar w:fldCharType="separate"/>
      </w:r>
      <w:r w:rsidR="0051718B" w:rsidRPr="004C6591">
        <w:t>(Chen et al. 2023)</w:t>
      </w:r>
      <w:r w:rsidR="0051718B" w:rsidRPr="004C6591">
        <w:fldChar w:fldCharType="end"/>
      </w:r>
      <w:r w:rsidR="000F05FC" w:rsidRPr="004C6591">
        <w:t>.</w:t>
      </w:r>
      <w:r w:rsidR="0014495B" w:rsidRPr="004C6591">
        <w:t xml:space="preserve"> </w:t>
      </w:r>
      <w:r w:rsidR="009221DA" w:rsidRPr="004C6591">
        <w:t>Vollbrec</w:t>
      </w:r>
      <w:r w:rsidR="006E0F2B" w:rsidRPr="004C6591">
        <w:t xml:space="preserve">ht et al. found that </w:t>
      </w:r>
      <w:r w:rsidR="0014495B" w:rsidRPr="004C6591">
        <w:t xml:space="preserve">longer fragments of ctDNA led to higher specificity and sensitivity for </w:t>
      </w:r>
      <w:r w:rsidR="0014495B" w:rsidRPr="004C6591">
        <w:rPr>
          <w:i/>
          <w:iCs/>
        </w:rPr>
        <w:t>PIK3CA</w:t>
      </w:r>
      <w:r w:rsidR="0014495B" w:rsidRPr="004C6591">
        <w:t xml:space="preserve"> variants detection</w:t>
      </w:r>
      <w:r w:rsidR="001424E4" w:rsidRPr="004C6591">
        <w:t xml:space="preserve">. They </w:t>
      </w:r>
      <w:r w:rsidR="0014495B" w:rsidRPr="004C6591">
        <w:t xml:space="preserve">suggested </w:t>
      </w:r>
      <w:r w:rsidR="001424E4" w:rsidRPr="004C6591">
        <w:t>that</w:t>
      </w:r>
      <w:r w:rsidR="0043039F" w:rsidRPr="004C6591">
        <w:t xml:space="preserve"> </w:t>
      </w:r>
      <w:r w:rsidR="0014495B" w:rsidRPr="004C6591">
        <w:t xml:space="preserve">assays specifically designed for </w:t>
      </w:r>
      <w:r w:rsidR="0014495B" w:rsidRPr="004C6591">
        <w:rPr>
          <w:i/>
          <w:iCs/>
        </w:rPr>
        <w:t>PIK3CA</w:t>
      </w:r>
      <w:r w:rsidR="0014495B" w:rsidRPr="004C6591">
        <w:t xml:space="preserve"> variants detection in ctDNA </w:t>
      </w:r>
      <w:r w:rsidR="001424E4" w:rsidRPr="004C6591">
        <w:t>should be used</w:t>
      </w:r>
      <w:r w:rsidR="0014495B" w:rsidRPr="004C6591">
        <w:t xml:space="preserve"> to prevent false-negative results </w:t>
      </w:r>
      <w:r w:rsidR="0014495B" w:rsidRPr="004C6591">
        <w:fldChar w:fldCharType="begin"/>
      </w:r>
      <w:r w:rsidR="0014495B" w:rsidRPr="004C6591">
        <w:instrText xml:space="preserve"> ADDIN EN.CITE &lt;EndNote&gt;&lt;Cite&gt;&lt;Author&gt;Vollbrecht&lt;/Author&gt;&lt;Year&gt;2023&lt;/Year&gt;&lt;RecNum&gt;35&lt;/RecNum&gt;&lt;DisplayText&gt;(Vollbrecht et al. 2023)&lt;/DisplayText&gt;&lt;record&gt;&lt;rec-number&gt;35&lt;/rec-number&gt;&lt;foreign-keys&gt;&lt;key app="EN" db-id="dw2s0a0pxte05aexpvnx2awre9s0vxdepfat" timestamp="1718341459"&gt;35&lt;/key&gt;&lt;/foreign-keys&gt;&lt;ref-type name="Journal Article"&gt;17&lt;/ref-type&gt;&lt;contributors&gt;&lt;authors&gt;&lt;author&gt;Vollbrecht, Claudia&lt;/author&gt;&lt;author&gt;Hoffmann, Inga&lt;/author&gt;&lt;author&gt;Lehmann, Annika&lt;/author&gt;&lt;author&gt;Merkelbach-Bruse, Sabine&lt;/author&gt;&lt;author&gt;Fassunke, Jana&lt;/author&gt;&lt;author&gt;Wagener-Ryczek, Svenja&lt;/author&gt;&lt;author&gt;Ball, Markus&lt;/author&gt;&lt;author&gt;Dimitrova, Lora&lt;/author&gt;&lt;author&gt;Hartmann, Arndt&lt;/author&gt;&lt;author&gt;Stöhr, Robert&lt;/author&gt;&lt;author&gt;Erber, Ramona&lt;/author&gt;&lt;author&gt;Weichert, Wilko&lt;/author&gt;&lt;author&gt;Pfarr, Nicole&lt;/author&gt;&lt;author&gt;Bohlmann, Lisa&lt;/author&gt;&lt;author&gt;Jung, Andreas&lt;/author&gt;&lt;author&gt;Dietmaier, Wolfgang&lt;/author&gt;&lt;author&gt;Dietel, Manfred&lt;/author&gt;&lt;author&gt;Horst, David&lt;/author&gt;&lt;author&gt;Hummel, Michael&lt;/author&gt;&lt;/authors&gt;&lt;/contributors&gt;&lt;titles&gt;&lt;title&gt;Proficiency testing of PIK3CA mutations in HR+/HER2-breast cancer on liquid biopsy and tissue&lt;/title&gt;&lt;secondary-title&gt;Virchows Archiv&lt;/secondary-title&gt;&lt;/titles&gt;&lt;periodical&gt;&lt;full-title&gt;Virchows Archiv&lt;/full-title&gt;&lt;/periodical&gt;&lt;pages&gt;697-706&lt;/pages&gt;&lt;volume&gt;482&lt;/volume&gt;&lt;number&gt;4&lt;/number&gt;&lt;dates&gt;&lt;year&gt;2023&lt;/year&gt;&lt;pub-dates&gt;&lt;date&gt;2023/04/01&lt;/date&gt;&lt;/pub-dates&gt;&lt;/dates&gt;&lt;isbn&gt;1432-2307&lt;/isbn&gt;&lt;urls&gt;&lt;related-urls&gt;&lt;url&gt;https://doi.org/10.1007/s00428-022-03445-x&lt;/url&gt;&lt;/related-urls&gt;&lt;/urls&gt;&lt;electronic-resource-num&gt;10.1007/s00428-022-03445-x&lt;/electronic-resource-num&gt;&lt;/record&gt;&lt;/Cite&gt;&lt;/EndNote&gt;</w:instrText>
      </w:r>
      <w:r w:rsidR="0014495B" w:rsidRPr="004C6591">
        <w:fldChar w:fldCharType="separate"/>
      </w:r>
      <w:r w:rsidR="0014495B" w:rsidRPr="004C6591">
        <w:t>(Vollbrecht et al. 2023)</w:t>
      </w:r>
      <w:r w:rsidR="0014495B" w:rsidRPr="004C6591">
        <w:fldChar w:fldCharType="end"/>
      </w:r>
      <w:r w:rsidR="0014495B" w:rsidRPr="004C6591">
        <w:t>.</w:t>
      </w:r>
      <w:r w:rsidR="00F845E1" w:rsidRPr="004C6591">
        <w:t xml:space="preserve"> </w:t>
      </w:r>
      <w:r w:rsidR="004C5298" w:rsidRPr="004C6591">
        <w:t>In addition, the FoundationOne</w:t>
      </w:r>
      <w:r w:rsidR="004C5298" w:rsidRPr="004C6591">
        <w:rPr>
          <w:rFonts w:cs="Calibri"/>
        </w:rPr>
        <w:t>®</w:t>
      </w:r>
      <w:r w:rsidR="004C5298" w:rsidRPr="004C6591">
        <w:t xml:space="preserve"> Liquid CDx technical information recommended blood collection for ctDNA testing to be conducted prior to therapy or at a time of disease progression, in order to obtain optimal ctDNA shed </w:t>
      </w:r>
      <w:r w:rsidR="004C5298" w:rsidRPr="004C6591">
        <w:fldChar w:fldCharType="begin"/>
      </w:r>
      <w:r w:rsidR="004C5298" w:rsidRPr="004C6591">
        <w:instrText xml:space="preserve"> ADDIN EN.CITE &lt;EndNote&gt;&lt;Cite&gt;&lt;Author&gt;Foundation Medicine&lt;/Author&gt;&lt;Year&gt;2023&lt;/Year&gt;&lt;RecNum&gt;52&lt;/RecNum&gt;&lt;DisplayText&gt;(Foundation Medicine 2023)&lt;/DisplayText&gt;&lt;record&gt;&lt;rec-number&gt;52&lt;/rec-number&gt;&lt;foreign-keys&gt;&lt;key app="EN" db-id="dw2s0a0pxte05aexpvnx2awre9s0vxdepfat" timestamp="1721265378"&gt;52&lt;/key&gt;&lt;/foreign-keys&gt;&lt;ref-type name="Web Page"&gt;12&lt;/ref-type&gt;&lt;contributors&gt;&lt;authors&gt;&lt;author&gt;Foundation Medicine,&lt;/author&gt;&lt;/authors&gt;&lt;/contributors&gt;&lt;titles&gt;&lt;title&gt;FoundationOne Liquid CDx Technical Information&lt;/title&gt;&lt;/titles&gt;&lt;edition&gt;RAL-0035-10&lt;/edition&gt;&lt;dates&gt;&lt;year&gt;2023&lt;/year&gt;&lt;/dates&gt;&lt;urls&gt;&lt;related-urls&gt;&lt;url&gt;https://www.foundationmedicine.com/sites/default/files/media/documents/2023-11/P190032_S011_F1LCDx%20Technical%20Label%5B76%5D.pdf&lt;/url&gt;&lt;/related-urls&gt;&lt;/urls&gt;&lt;custom2&gt;18 July 2024&lt;/custom2&gt;&lt;/record&gt;&lt;/Cite&gt;&lt;/EndNote&gt;</w:instrText>
      </w:r>
      <w:r w:rsidR="004C5298" w:rsidRPr="004C6591">
        <w:fldChar w:fldCharType="separate"/>
      </w:r>
      <w:r w:rsidR="004C5298" w:rsidRPr="004C6591">
        <w:t>(Foundation Medicine 2023)</w:t>
      </w:r>
      <w:r w:rsidR="004C5298" w:rsidRPr="004C6591">
        <w:fldChar w:fldCharType="end"/>
      </w:r>
      <w:r w:rsidR="004C5298" w:rsidRPr="004C6591">
        <w:t xml:space="preserve">. This is because the assay performance is correlated to the level of ctDNA shed </w:t>
      </w:r>
      <w:r w:rsidR="004C5298" w:rsidRPr="004C6591">
        <w:fldChar w:fldCharType="begin"/>
      </w:r>
      <w:r w:rsidR="004C5298" w:rsidRPr="004C6591">
        <w:instrText xml:space="preserve"> ADDIN EN.CITE &lt;EndNote&gt;&lt;Cite&gt;&lt;Author&gt;Foundation Medicine&lt;/Author&gt;&lt;Year&gt;2023&lt;/Year&gt;&lt;RecNum&gt;52&lt;/RecNum&gt;&lt;DisplayText&gt;(Foundation Medicine 2023)&lt;/DisplayText&gt;&lt;record&gt;&lt;rec-number&gt;52&lt;/rec-number&gt;&lt;foreign-keys&gt;&lt;key app="EN" db-id="dw2s0a0pxte05aexpvnx2awre9s0vxdepfat" timestamp="1721265378"&gt;52&lt;/key&gt;&lt;/foreign-keys&gt;&lt;ref-type name="Web Page"&gt;12&lt;/ref-type&gt;&lt;contributors&gt;&lt;authors&gt;&lt;author&gt;Foundation Medicine,&lt;/author&gt;&lt;/authors&gt;&lt;/contributors&gt;&lt;titles&gt;&lt;title&gt;FoundationOne Liquid CDx Technical Information&lt;/title&gt;&lt;/titles&gt;&lt;edition&gt;RAL-0035-10&lt;/edition&gt;&lt;dates&gt;&lt;year&gt;2023&lt;/year&gt;&lt;/dates&gt;&lt;urls&gt;&lt;related-urls&gt;&lt;url&gt;https://www.foundationmedicine.com/sites/default/files/media/documents/2023-11/P190032_S011_F1LCDx%20Technical%20Label%5B76%5D.pdf&lt;/url&gt;&lt;/related-urls&gt;&lt;/urls&gt;&lt;custom2&gt;18 July 2024&lt;/custom2&gt;&lt;/record&gt;&lt;/Cite&gt;&lt;/EndNote&gt;</w:instrText>
      </w:r>
      <w:r w:rsidR="004C5298" w:rsidRPr="004C6591">
        <w:fldChar w:fldCharType="separate"/>
      </w:r>
      <w:r w:rsidR="004C5298" w:rsidRPr="004C6591">
        <w:t>(Foundation Medicine 2023)</w:t>
      </w:r>
      <w:r w:rsidR="004C5298" w:rsidRPr="004C6591">
        <w:fldChar w:fldCharType="end"/>
      </w:r>
      <w:r w:rsidR="004C5298" w:rsidRPr="004C6591">
        <w:t xml:space="preserve">. Furthermore, a low ctDNA tumour fraction may result in false negative results and may inform the need for follow-up tissue testing, in case of negative ctDNA testing </w:t>
      </w:r>
      <w:r w:rsidR="004C5298" w:rsidRPr="004C6591">
        <w:fldChar w:fldCharType="begin"/>
      </w:r>
      <w:r w:rsidR="004C5298" w:rsidRPr="004C6591">
        <w:instrText xml:space="preserve"> ADDIN EN.CITE &lt;EndNote&gt;&lt;Cite&gt;&lt;Author&gt;Rolfo&lt;/Author&gt;&lt;Year&gt;2024&lt;/Year&gt;&lt;RecNum&gt;53&lt;/RecNum&gt;&lt;DisplayText&gt;(Rolfo et al. 2024)&lt;/DisplayText&gt;&lt;record&gt;&lt;rec-number&gt;53&lt;/rec-number&gt;&lt;foreign-keys&gt;&lt;key app="EN" db-id="dw2s0a0pxte05aexpvnx2awre9s0vxdepfat" timestamp="1721266161"&gt;53&lt;/key&gt;&lt;/foreign-keys&gt;&lt;ref-type name="Journal Article"&gt;17&lt;/ref-type&gt;&lt;contributors&gt;&lt;authors&gt;&lt;author&gt;Rolfo, Christian D.&lt;/author&gt;&lt;author&gt;Madison, Russell W.&lt;/author&gt;&lt;author&gt;Pasquina, Lincoln W.&lt;/author&gt;&lt;author&gt;Brown, Derek W.&lt;/author&gt;&lt;author&gt;Huang, Yanmei&lt;/author&gt;&lt;author&gt;Hughes, Jason D.&lt;/author&gt;&lt;author&gt;Graf, Ryon P.&lt;/author&gt;&lt;author&gt;Oxnard, Geoffrey R.&lt;/author&gt;&lt;author&gt;Husain, Hatim&lt;/author&gt;&lt;/authors&gt;&lt;/contributors&gt;&lt;titles&gt;&lt;title&gt;Measurement of ctDNA Tumor Fraction Identifies Informative Negative Liquid Biopsy Results and Informs Value of Tissue Confirmation&lt;/title&gt;&lt;secondary-title&gt;Clinical Cancer Research&lt;/secondary-title&gt;&lt;/titles&gt;&lt;periodical&gt;&lt;full-title&gt;Clinical Cancer Research&lt;/full-title&gt;&lt;/periodical&gt;&lt;pages&gt;2452-2460&lt;/pages&gt;&lt;volume&gt;30&lt;/volume&gt;&lt;number&gt;11&lt;/number&gt;&lt;dates&gt;&lt;year&gt;2024&lt;/year&gt;&lt;/dates&gt;&lt;isbn&gt;1078-0432&lt;/isbn&gt;&lt;urls&gt;&lt;related-urls&gt;&lt;url&gt;https://doi.org/10.1158/1078-0432.CCR-23-3321&lt;/url&gt;&lt;/related-urls&gt;&lt;/urls&gt;&lt;electronic-resource-num&gt;10.1158/1078-0432.CCR-23-3321&lt;/electronic-resource-num&gt;&lt;access-date&gt;7/18/2024&lt;/access-date&gt;&lt;/record&gt;&lt;/Cite&gt;&lt;/EndNote&gt;</w:instrText>
      </w:r>
      <w:r w:rsidR="004C5298" w:rsidRPr="004C6591">
        <w:fldChar w:fldCharType="separate"/>
      </w:r>
      <w:r w:rsidR="004C5298" w:rsidRPr="004C6591">
        <w:t>(Rolfo et al. 2024)</w:t>
      </w:r>
      <w:r w:rsidR="004C5298" w:rsidRPr="004C6591">
        <w:fldChar w:fldCharType="end"/>
      </w:r>
      <w:r w:rsidR="004C5298" w:rsidRPr="004C6591">
        <w:t>.</w:t>
      </w:r>
    </w:p>
    <w:p w14:paraId="4EEBC11A" w14:textId="3E0EE0E9" w:rsidR="003E0FBC" w:rsidRPr="00C65136" w:rsidRDefault="00232203" w:rsidP="004320C0">
      <w:pPr>
        <w:autoSpaceDE w:val="0"/>
        <w:autoSpaceDN w:val="0"/>
        <w:adjustRightInd w:val="0"/>
        <w:spacing w:line="23" w:lineRule="atLeast"/>
        <w:rPr>
          <w:rFonts w:asciiTheme="minorHAnsi" w:hAnsiTheme="minorHAnsi"/>
          <w:i/>
        </w:rPr>
      </w:pPr>
      <w:r w:rsidRPr="004C6591">
        <w:rPr>
          <w:rFonts w:asciiTheme="minorHAnsi" w:hAnsiTheme="minorHAnsi" w:cstheme="minorBidi"/>
          <w:i/>
          <w:iCs/>
        </w:rPr>
        <w:t xml:space="preserve">PASC acknowledged that ctDNA is released in small quantities into the bloodstream and therefore sensitive detection methods are needed. </w:t>
      </w:r>
      <w:r w:rsidRPr="004C6591">
        <w:rPr>
          <w:rFonts w:asciiTheme="minorHAnsi" w:hAnsiTheme="minorHAnsi" w:cstheme="minorBidi"/>
          <w:i/>
          <w:iCs/>
          <w:szCs w:val="20"/>
        </w:rPr>
        <w:t xml:space="preserve">The applicant also noted that sensitivity is an issue for ctDNA testing, where in some instances variants may not be detected. </w:t>
      </w:r>
      <w:r w:rsidRPr="004C6591">
        <w:rPr>
          <w:rFonts w:asciiTheme="minorHAnsi" w:hAnsiTheme="minorHAnsi" w:cstheme="minorBidi"/>
          <w:i/>
          <w:iCs/>
        </w:rPr>
        <w:t xml:space="preserve">A low ctDNA tumour fraction (&lt;1%) in the bloodstream </w:t>
      </w:r>
      <w:r w:rsidRPr="004C6591">
        <w:rPr>
          <w:rFonts w:asciiTheme="minorHAnsi" w:hAnsiTheme="minorHAnsi" w:cstheme="minorBidi"/>
          <w:i/>
          <w:iCs/>
        </w:rPr>
        <w:lastRenderedPageBreak/>
        <w:t xml:space="preserve">may result in a false negative result. Hence, technical adaptions (deep sequence coverage, molecular barcoding and error correction algorithms) are needed for NGS-based ctDNA testing. </w:t>
      </w:r>
    </w:p>
    <w:p w14:paraId="6066A686" w14:textId="1B4C140E" w:rsidR="002D2E67" w:rsidRPr="004C6591" w:rsidRDefault="00052DD9" w:rsidP="002D2E67">
      <w:pPr>
        <w:pStyle w:val="Heading4"/>
      </w:pPr>
      <w:bookmarkStart w:id="12" w:name="_Ref176188766"/>
      <w:r w:rsidRPr="00C65136">
        <w:rPr>
          <w:i w:val="0"/>
        </w:rPr>
        <w:t>PIK3CA</w:t>
      </w:r>
      <w:r w:rsidRPr="004C6591">
        <w:t xml:space="preserve"> testing</w:t>
      </w:r>
      <w:r w:rsidR="002D2E67" w:rsidRPr="004C6591">
        <w:t xml:space="preserve"> in Australia</w:t>
      </w:r>
      <w:bookmarkEnd w:id="12"/>
    </w:p>
    <w:p w14:paraId="6E93B062" w14:textId="36650FD5" w:rsidR="0055739B" w:rsidRPr="004C6591" w:rsidRDefault="006D3922" w:rsidP="00482A60">
      <w:r w:rsidRPr="004C6591">
        <w:t>The applicant had conducted a</w:t>
      </w:r>
      <w:r w:rsidR="00FA220D" w:rsidRPr="004C6591">
        <w:t xml:space="preserve"> review of somatic </w:t>
      </w:r>
      <w:r w:rsidR="00FA220D" w:rsidRPr="004C6591">
        <w:rPr>
          <w:i/>
          <w:iCs/>
        </w:rPr>
        <w:t>PIK3CA</w:t>
      </w:r>
      <w:r w:rsidR="00FA220D" w:rsidRPr="004C6591">
        <w:t xml:space="preserve"> testing</w:t>
      </w:r>
      <w:r w:rsidRPr="004C6591">
        <w:t xml:space="preserve"> </w:t>
      </w:r>
      <w:r w:rsidR="00FA220D" w:rsidRPr="004C6591">
        <w:t>currently offered by Australian laboratories</w:t>
      </w:r>
      <w:r w:rsidR="00BD4EC2" w:rsidRPr="004C6591">
        <w:t>, as</w:t>
      </w:r>
      <w:r w:rsidR="00FA220D" w:rsidRPr="004C6591">
        <w:t xml:space="preserve"> published by The Royal College of Pathologists </w:t>
      </w:r>
      <w:r w:rsidR="005D0A4D" w:rsidRPr="004C6591">
        <w:t xml:space="preserve">of </w:t>
      </w:r>
      <w:r w:rsidR="00FA220D" w:rsidRPr="004C6591">
        <w:t>Austral</w:t>
      </w:r>
      <w:r w:rsidR="005D0A4D" w:rsidRPr="004C6591">
        <w:t>as</w:t>
      </w:r>
      <w:r w:rsidR="00FA220D" w:rsidRPr="004C6591">
        <w:t>ia</w:t>
      </w:r>
      <w:r w:rsidR="00DF7825" w:rsidRPr="004C6591">
        <w:t xml:space="preserve"> (RC</w:t>
      </w:r>
      <w:r w:rsidR="005D0A4D" w:rsidRPr="004C6591">
        <w:t>P</w:t>
      </w:r>
      <w:r w:rsidR="00DF7825" w:rsidRPr="004C6591">
        <w:t>A)</w:t>
      </w:r>
      <w:r w:rsidRPr="004C6591">
        <w:t>.</w:t>
      </w:r>
      <w:r w:rsidR="000C30E9" w:rsidRPr="004C6591">
        <w:t xml:space="preserve"> </w:t>
      </w:r>
      <w:r w:rsidR="00CB135E" w:rsidRPr="004C6591">
        <w:t xml:space="preserve">According to this review, </w:t>
      </w:r>
      <w:r w:rsidR="003C6631" w:rsidRPr="004C6591">
        <w:rPr>
          <w:i/>
          <w:iCs/>
        </w:rPr>
        <w:t>PIK3CA</w:t>
      </w:r>
      <w:r w:rsidR="003C6631" w:rsidRPr="004C6591">
        <w:t xml:space="preserve"> testing</w:t>
      </w:r>
      <w:r w:rsidR="0073279B" w:rsidRPr="004C6591">
        <w:t xml:space="preserve"> using NGS</w:t>
      </w:r>
      <w:r w:rsidR="00CB135E" w:rsidRPr="004C6591">
        <w:t xml:space="preserve"> i</w:t>
      </w:r>
      <w:r w:rsidR="003C6631" w:rsidRPr="004C6591">
        <w:t xml:space="preserve">s </w:t>
      </w:r>
      <w:r w:rsidR="00CB135E" w:rsidRPr="004C6591">
        <w:t>currently being offered by several Australian pathology laboratories within the scope of their</w:t>
      </w:r>
      <w:r w:rsidR="003C6631" w:rsidRPr="004C6591">
        <w:t xml:space="preserve"> </w:t>
      </w:r>
      <w:r w:rsidR="0055739B" w:rsidRPr="004C6591">
        <w:t>National Association of Testing Authorities (</w:t>
      </w:r>
      <w:r w:rsidR="003C6631" w:rsidRPr="004C6591">
        <w:t>NATA</w:t>
      </w:r>
      <w:r w:rsidR="0055739B" w:rsidRPr="004C6591">
        <w:t>)</w:t>
      </w:r>
      <w:r w:rsidR="003C6631" w:rsidRPr="004C6591">
        <w:t xml:space="preserve"> accreditation.</w:t>
      </w:r>
      <w:r w:rsidR="00482A60" w:rsidRPr="004C6591">
        <w:t xml:space="preserve"> </w:t>
      </w:r>
      <w:r w:rsidR="0073279B" w:rsidRPr="004C6591">
        <w:t xml:space="preserve">The department noted that </w:t>
      </w:r>
      <w:r w:rsidR="0073279B" w:rsidRPr="004C6591">
        <w:rPr>
          <w:i/>
          <w:iCs/>
        </w:rPr>
        <w:t>PIK3CA</w:t>
      </w:r>
      <w:r w:rsidR="0073279B" w:rsidRPr="004C6591">
        <w:t xml:space="preserve"> testing for certain variants is also offered through Peter MacCallum Cancer Centre using digital droplet PCR (for ctDNA samples).</w:t>
      </w:r>
    </w:p>
    <w:p w14:paraId="45523EE6" w14:textId="5B0645C4" w:rsidR="002221F4" w:rsidRPr="004C6591" w:rsidRDefault="00757C8C" w:rsidP="00EE1E83">
      <w:r w:rsidRPr="004C6591">
        <w:t xml:space="preserve">Of note, </w:t>
      </w:r>
      <w:r w:rsidRPr="004C6591">
        <w:rPr>
          <w:i/>
          <w:iCs/>
        </w:rPr>
        <w:t>PIK3CA</w:t>
      </w:r>
      <w:r w:rsidRPr="004C6591">
        <w:t xml:space="preserve"> test</w:t>
      </w:r>
      <w:r w:rsidR="009946E1" w:rsidRPr="004C6591">
        <w:t>s</w:t>
      </w:r>
      <w:r w:rsidRPr="004C6591">
        <w:t xml:space="preserve"> w</w:t>
      </w:r>
      <w:r w:rsidR="006364D8" w:rsidRPr="004C6591">
        <w:t>ere</w:t>
      </w:r>
      <w:r w:rsidRPr="004C6591">
        <w:t xml:space="preserve"> commonly offered as part of panel testing </w:t>
      </w:r>
      <w:r w:rsidR="00542625" w:rsidRPr="004C6591">
        <w:t xml:space="preserve">by Australian laboratories, </w:t>
      </w:r>
      <w:r w:rsidRPr="004C6591">
        <w:t xml:space="preserve">and </w:t>
      </w:r>
      <w:r w:rsidR="00E37297" w:rsidRPr="004C6591">
        <w:t xml:space="preserve">the coverage of </w:t>
      </w:r>
      <w:r w:rsidR="00E37297" w:rsidRPr="004C6591">
        <w:rPr>
          <w:i/>
          <w:iCs/>
        </w:rPr>
        <w:t>PIK3CA</w:t>
      </w:r>
      <w:r w:rsidR="00E37297" w:rsidRPr="004C6591">
        <w:t xml:space="preserve"> hotspots</w:t>
      </w:r>
      <w:r w:rsidR="004C58B3" w:rsidRPr="004C6591">
        <w:t xml:space="preserve"> varie</w:t>
      </w:r>
      <w:r w:rsidR="00E701F0" w:rsidRPr="004C6591">
        <w:t>d</w:t>
      </w:r>
      <w:r w:rsidRPr="004C6591">
        <w:t xml:space="preserve"> based on</w:t>
      </w:r>
      <w:r w:rsidR="00D01B68" w:rsidRPr="004C6591">
        <w:t xml:space="preserve"> the</w:t>
      </w:r>
      <w:r w:rsidRPr="004C6591">
        <w:t xml:space="preserve"> assays used.</w:t>
      </w:r>
      <w:r w:rsidR="0073279B" w:rsidRPr="004C6591">
        <w:t xml:space="preserve"> It is unclear whether all relevant </w:t>
      </w:r>
      <w:r w:rsidR="0073279B" w:rsidRPr="004C6591">
        <w:rPr>
          <w:i/>
          <w:iCs/>
        </w:rPr>
        <w:t>PIK3CA</w:t>
      </w:r>
      <w:r w:rsidR="0073279B" w:rsidRPr="004C6591">
        <w:t xml:space="preserve"> variants can be detected by each of these assays.</w:t>
      </w:r>
      <w:r w:rsidRPr="004C6591">
        <w:t xml:space="preserve"> </w:t>
      </w:r>
      <w:r w:rsidR="008953AF" w:rsidRPr="004C6591">
        <w:t>In addition, laboratories in Australia us</w:t>
      </w:r>
      <w:r w:rsidR="006F17D0" w:rsidRPr="004C6591">
        <w:t>e</w:t>
      </w:r>
      <w:r w:rsidR="008953AF" w:rsidRPr="004C6591">
        <w:t xml:space="preserve"> various in-house NGS assays and IVDs, in which further concordance assessment is necessary. </w:t>
      </w:r>
      <w:r w:rsidR="00F85D72" w:rsidRPr="004C6591">
        <w:t>Furthermore</w:t>
      </w:r>
      <w:r w:rsidR="008953AF" w:rsidRPr="004C6591">
        <w:t>,</w:t>
      </w:r>
      <w:r w:rsidR="00EB391B" w:rsidRPr="004C6591">
        <w:t xml:space="preserve"> the availability and accessibility of </w:t>
      </w:r>
      <w:r w:rsidR="00EB391B" w:rsidRPr="004C6591">
        <w:rPr>
          <w:i/>
          <w:iCs/>
        </w:rPr>
        <w:t>PIK3CA</w:t>
      </w:r>
      <w:r w:rsidR="00EB391B" w:rsidRPr="004C6591">
        <w:t xml:space="preserve"> testing using ctDNA in Australia </w:t>
      </w:r>
      <w:r w:rsidR="00B24A97" w:rsidRPr="004C6591">
        <w:t xml:space="preserve">is </w:t>
      </w:r>
      <w:r w:rsidR="00EB391B" w:rsidRPr="004C6591">
        <w:t>uncertain</w:t>
      </w:r>
      <w:r w:rsidR="00176448" w:rsidRPr="004C6591">
        <w:t>.</w:t>
      </w:r>
      <w:r w:rsidR="00B24A97" w:rsidRPr="004C6591">
        <w:t xml:space="preserve"> </w:t>
      </w:r>
    </w:p>
    <w:p w14:paraId="7FD68B35" w14:textId="3B0FD6B7" w:rsidR="009D41F7" w:rsidRPr="004C6591" w:rsidRDefault="009D41F7" w:rsidP="009D41F7">
      <w:pPr>
        <w:autoSpaceDE w:val="0"/>
        <w:autoSpaceDN w:val="0"/>
        <w:adjustRightInd w:val="0"/>
        <w:spacing w:line="23" w:lineRule="atLeast"/>
        <w:rPr>
          <w:rFonts w:asciiTheme="minorHAnsi" w:hAnsiTheme="minorHAnsi" w:cstheme="minorBidi"/>
          <w:i/>
          <w:iCs/>
        </w:rPr>
      </w:pPr>
      <w:r w:rsidRPr="004C6591">
        <w:rPr>
          <w:rFonts w:asciiTheme="minorHAnsi" w:hAnsiTheme="minorHAnsi" w:cstheme="minorBidi"/>
          <w:i/>
          <w:iCs/>
        </w:rPr>
        <w:t xml:space="preserve">PASC advised that </w:t>
      </w:r>
      <w:r w:rsidRPr="00C65136">
        <w:rPr>
          <w:rFonts w:asciiTheme="minorHAnsi" w:hAnsiTheme="minorHAnsi"/>
        </w:rPr>
        <w:t>PIK3CA</w:t>
      </w:r>
      <w:r w:rsidRPr="004C6591">
        <w:rPr>
          <w:rFonts w:asciiTheme="minorHAnsi" w:hAnsiTheme="minorHAnsi" w:cstheme="minorBidi"/>
          <w:i/>
          <w:iCs/>
        </w:rPr>
        <w:t xml:space="preserve"> is a very common oncogene found in many different cancers, and therefore can be readily tested for using tumour tissue and can be found on many existing NGS gene panels</w:t>
      </w:r>
      <w:r w:rsidR="00292188" w:rsidRPr="004C6591">
        <w:rPr>
          <w:rFonts w:asciiTheme="minorHAnsi" w:hAnsiTheme="minorHAnsi" w:cstheme="minorBidi"/>
          <w:i/>
          <w:iCs/>
        </w:rPr>
        <w:t xml:space="preserve">. </w:t>
      </w:r>
      <w:r w:rsidRPr="004C6591">
        <w:rPr>
          <w:rFonts w:asciiTheme="minorHAnsi" w:hAnsiTheme="minorHAnsi" w:cstheme="minorBidi"/>
          <w:i/>
          <w:iCs/>
        </w:rPr>
        <w:t xml:space="preserve">Since </w:t>
      </w:r>
      <w:r w:rsidRPr="00C65136">
        <w:rPr>
          <w:rFonts w:asciiTheme="minorHAnsi" w:hAnsiTheme="minorHAnsi"/>
        </w:rPr>
        <w:t>PIK3CA</w:t>
      </w:r>
      <w:r w:rsidRPr="004C6591">
        <w:rPr>
          <w:rFonts w:asciiTheme="minorHAnsi" w:hAnsiTheme="minorHAnsi" w:cstheme="minorBidi"/>
          <w:i/>
          <w:iCs/>
        </w:rPr>
        <w:t xml:space="preserve"> is likely included in many existing gene panels, PASC noted that PIK3CA may already be sequenced in many cases, without being analysed or reported on. </w:t>
      </w:r>
    </w:p>
    <w:p w14:paraId="0F892A8F" w14:textId="6E6A01B6" w:rsidR="009D41F7" w:rsidRPr="004C6591" w:rsidRDefault="009D41F7" w:rsidP="00A45CB2">
      <w:pPr>
        <w:autoSpaceDE w:val="0"/>
        <w:autoSpaceDN w:val="0"/>
        <w:adjustRightInd w:val="0"/>
        <w:spacing w:line="23" w:lineRule="atLeast"/>
        <w:rPr>
          <w:rFonts w:asciiTheme="minorHAnsi" w:hAnsiTheme="minorHAnsi" w:cstheme="minorBidi"/>
          <w:i/>
          <w:iCs/>
        </w:rPr>
      </w:pPr>
      <w:r w:rsidRPr="004C6591">
        <w:rPr>
          <w:rFonts w:asciiTheme="minorHAnsi" w:hAnsiTheme="minorHAnsi" w:cstheme="minorBidi"/>
          <w:i/>
          <w:iCs/>
        </w:rPr>
        <w:t>PASC also considered that many clinicians may prefer multigene panel testing, rather than single gene testing, because it allows for selection of different treatment regimens based on a single report, rather than retesting for a particular gene. PASC noted MSAC Application 1766, which requested MBS listing of tumour tissue testing to characterise genetic variants in the AKT pathway (</w:t>
      </w:r>
      <w:r w:rsidRPr="00C65136">
        <w:rPr>
          <w:rFonts w:asciiTheme="minorHAnsi" w:hAnsiTheme="minorHAnsi"/>
        </w:rPr>
        <w:t>PIK3CA, AKT1</w:t>
      </w:r>
      <w:r w:rsidRPr="004C6591">
        <w:rPr>
          <w:rFonts w:asciiTheme="minorHAnsi" w:hAnsiTheme="minorHAnsi" w:cstheme="minorBidi"/>
          <w:i/>
          <w:iCs/>
        </w:rPr>
        <w:t xml:space="preserve"> and </w:t>
      </w:r>
      <w:r w:rsidRPr="00C65136">
        <w:rPr>
          <w:rFonts w:asciiTheme="minorHAnsi" w:hAnsiTheme="minorHAnsi"/>
        </w:rPr>
        <w:t>PTEN</w:t>
      </w:r>
      <w:r w:rsidRPr="004C6591">
        <w:rPr>
          <w:rFonts w:asciiTheme="minorHAnsi" w:hAnsiTheme="minorHAnsi" w:cstheme="minorBidi"/>
          <w:i/>
          <w:iCs/>
        </w:rPr>
        <w:t xml:space="preserve"> genes) also include </w:t>
      </w:r>
      <w:r w:rsidRPr="00C65136">
        <w:rPr>
          <w:rFonts w:asciiTheme="minorHAnsi" w:hAnsiTheme="minorHAnsi"/>
        </w:rPr>
        <w:t>PIK3CA</w:t>
      </w:r>
      <w:r w:rsidRPr="004C6591">
        <w:rPr>
          <w:rFonts w:asciiTheme="minorHAnsi" w:hAnsiTheme="minorHAnsi" w:cstheme="minorBidi"/>
          <w:i/>
          <w:iCs/>
        </w:rPr>
        <w:t xml:space="preserve"> testing, but has not yet been considered by MSAC</w:t>
      </w:r>
      <w:r w:rsidR="002801AD" w:rsidRPr="004C6591">
        <w:rPr>
          <w:rFonts w:asciiTheme="minorHAnsi" w:hAnsiTheme="minorHAnsi" w:cstheme="minorBidi"/>
          <w:i/>
          <w:iCs/>
        </w:rPr>
        <w:t>.</w:t>
      </w:r>
    </w:p>
    <w:p w14:paraId="71603BAC" w14:textId="7232D663" w:rsidR="1EC95A6A" w:rsidRPr="004C6591" w:rsidRDefault="1EC95A6A" w:rsidP="187DCE09">
      <w:pPr>
        <w:spacing w:line="23" w:lineRule="atLeast"/>
        <w:rPr>
          <w:rFonts w:asciiTheme="minorHAnsi" w:hAnsiTheme="minorHAnsi" w:cstheme="minorBidi"/>
          <w:i/>
          <w:iCs/>
        </w:rPr>
      </w:pPr>
      <w:r w:rsidRPr="004C6591">
        <w:rPr>
          <w:rFonts w:asciiTheme="minorHAnsi" w:hAnsiTheme="minorHAnsi" w:cstheme="minorBidi"/>
          <w:i/>
          <w:iCs/>
        </w:rPr>
        <w:t xml:space="preserve">PASC had concerns regarding the implementation of </w:t>
      </w:r>
      <w:r w:rsidRPr="00C65136">
        <w:rPr>
          <w:rFonts w:asciiTheme="minorHAnsi" w:hAnsiTheme="minorHAnsi"/>
        </w:rPr>
        <w:t>PIK3CA</w:t>
      </w:r>
      <w:r w:rsidRPr="004C6591">
        <w:rPr>
          <w:rFonts w:asciiTheme="minorHAnsi" w:hAnsiTheme="minorHAnsi" w:cstheme="minorBidi"/>
          <w:i/>
          <w:iCs/>
        </w:rPr>
        <w:t xml:space="preserve"> testing using ctDNA in Australia. </w:t>
      </w:r>
      <w:r w:rsidR="00FF79A5" w:rsidRPr="00FF79A5">
        <w:rPr>
          <w:rFonts w:asciiTheme="minorHAnsi" w:hAnsiTheme="minorHAnsi" w:cstheme="minorBidi"/>
          <w:i/>
          <w:iCs/>
        </w:rPr>
        <w:t>PASC noted that limited laboratories currently offer ctDNA testing in Australia.</w:t>
      </w:r>
      <w:r w:rsidR="00FF79A5">
        <w:rPr>
          <w:rFonts w:asciiTheme="minorHAnsi" w:hAnsiTheme="minorHAnsi" w:cstheme="minorBidi"/>
          <w:i/>
          <w:iCs/>
        </w:rPr>
        <w:t xml:space="preserve"> </w:t>
      </w:r>
      <w:r w:rsidRPr="004C6591">
        <w:rPr>
          <w:rFonts w:asciiTheme="minorHAnsi" w:hAnsiTheme="minorHAnsi" w:cstheme="minorBidi"/>
          <w:i/>
          <w:iCs/>
        </w:rPr>
        <w:t xml:space="preserve">PASC noted that the Royal College of Pathologists of Australasia Quality Assurance Programs (RCPAQAP) are partnered with the European Molecular Genetics Quality Network (EMQN) for the provision of their External Quality Assessments (EQA), and that many Australian diagnostic laboratories participate in EMQN EQA schemes. PASC noted that the EMQN has run a pilot EQA scheme for breast cancer </w:t>
      </w:r>
      <w:r w:rsidRPr="00C65136">
        <w:rPr>
          <w:rFonts w:asciiTheme="minorHAnsi" w:hAnsiTheme="minorHAnsi"/>
        </w:rPr>
        <w:t>ESR1</w:t>
      </w:r>
      <w:r w:rsidRPr="004C6591">
        <w:rPr>
          <w:rFonts w:asciiTheme="minorHAnsi" w:hAnsiTheme="minorHAnsi" w:cstheme="minorBidi"/>
          <w:i/>
          <w:iCs/>
        </w:rPr>
        <w:t xml:space="preserve"> testing in plasma. </w:t>
      </w:r>
      <w:r w:rsidR="00FF79A5" w:rsidRPr="00FF79A5">
        <w:rPr>
          <w:rFonts w:asciiTheme="minorHAnsi" w:hAnsiTheme="minorHAnsi" w:cstheme="minorBidi"/>
          <w:i/>
          <w:iCs/>
        </w:rPr>
        <w:t>To date, no EQA schemes appear to have been run for PIK3CA testing using ctDNA in Australia.</w:t>
      </w:r>
    </w:p>
    <w:p w14:paraId="5F632088" w14:textId="673E5281" w:rsidR="00EE1E83" w:rsidRPr="004C6591" w:rsidRDefault="00CB135E" w:rsidP="00EE1E83">
      <w:r w:rsidRPr="004C6591">
        <w:t>Based on a written communication provided at the pre-PASC stage, the applicant noted</w:t>
      </w:r>
      <w:r w:rsidR="00F85D72" w:rsidRPr="004C6591">
        <w:t xml:space="preserve"> </w:t>
      </w:r>
      <w:r w:rsidR="00EE1E83" w:rsidRPr="004C6591">
        <w:t>that they were not aware of any concordance studies between FoundationOne® Liquid CDx and specific test</w:t>
      </w:r>
      <w:r w:rsidR="00A76DA2" w:rsidRPr="004C6591">
        <w:t>(s)</w:t>
      </w:r>
      <w:r w:rsidR="00EE1E83" w:rsidRPr="004C6591">
        <w:t xml:space="preserve"> that </w:t>
      </w:r>
      <w:r w:rsidR="000105A4" w:rsidRPr="004C6591">
        <w:t xml:space="preserve">are performed </w:t>
      </w:r>
      <w:r w:rsidR="00EE1E83" w:rsidRPr="004C6591">
        <w:t>locally.</w:t>
      </w:r>
      <w:r w:rsidR="00F85D72" w:rsidRPr="004C6591">
        <w:t xml:space="preserve"> </w:t>
      </w:r>
      <w:r w:rsidR="00EE1E83" w:rsidRPr="004C6591">
        <w:t>In response</w:t>
      </w:r>
      <w:r w:rsidR="00F85D72" w:rsidRPr="004C6591">
        <w:t xml:space="preserve">, </w:t>
      </w:r>
      <w:r w:rsidR="00EE1E83" w:rsidRPr="004C6591">
        <w:t>the Department advised that the proposed test intervention needs to be an appropriate test</w:t>
      </w:r>
      <w:r w:rsidR="00E01B64" w:rsidRPr="004C6591">
        <w:t xml:space="preserve">, with </w:t>
      </w:r>
      <w:r w:rsidR="00A76DA2" w:rsidRPr="004C6591">
        <w:t xml:space="preserve">a </w:t>
      </w:r>
      <w:r w:rsidR="00E01B64" w:rsidRPr="004C6591">
        <w:t>high level of concordance with the clinical utility standard, and</w:t>
      </w:r>
      <w:r w:rsidR="00EE1E83" w:rsidRPr="004C6591">
        <w:t xml:space="preserve"> has completed the regulatory requirements to be eligible for public funding under the MBS. </w:t>
      </w:r>
      <w:r w:rsidR="009F4F96" w:rsidRPr="004C6591">
        <w:t>Furthermore</w:t>
      </w:r>
      <w:r w:rsidR="00EE1E83" w:rsidRPr="004C6591">
        <w:t xml:space="preserve">, the MSAC-PBAC codependent process is intended to ensure patients have </w:t>
      </w:r>
      <w:r w:rsidR="00A76DA2" w:rsidRPr="004C6591">
        <w:t xml:space="preserve">funded </w:t>
      </w:r>
      <w:r w:rsidR="00EE1E83" w:rsidRPr="004C6591">
        <w:t xml:space="preserve">access to both the MBS service and medicine. </w:t>
      </w:r>
    </w:p>
    <w:p w14:paraId="73625DA1" w14:textId="433D06A3" w:rsidR="0099388F" w:rsidRPr="004C6591" w:rsidRDefault="00F51445" w:rsidP="003721CA">
      <w:r w:rsidRPr="004C6591">
        <w:rPr>
          <w:i/>
          <w:iCs/>
        </w:rPr>
        <w:t>PIK3CA</w:t>
      </w:r>
      <w:r w:rsidRPr="004C6591">
        <w:t xml:space="preserve"> testing could be </w:t>
      </w:r>
      <w:r w:rsidR="00173B63" w:rsidRPr="004C6591">
        <w:t>performed</w:t>
      </w:r>
      <w:r w:rsidRPr="004C6591">
        <w:t xml:space="preserve"> using </w:t>
      </w:r>
      <w:r w:rsidR="000105A4" w:rsidRPr="004C6591">
        <w:t xml:space="preserve">an </w:t>
      </w:r>
      <w:r w:rsidRPr="004C6591">
        <w:t>ARTG</w:t>
      </w:r>
      <w:r w:rsidR="00173B63" w:rsidRPr="004C6591">
        <w:t>-</w:t>
      </w:r>
      <w:r w:rsidRPr="004C6591">
        <w:t xml:space="preserve">approved </w:t>
      </w:r>
      <w:bookmarkStart w:id="13" w:name="_Hlk169689641"/>
      <w:r w:rsidR="003721CA" w:rsidRPr="004C6591">
        <w:t>IVD</w:t>
      </w:r>
      <w:r w:rsidRPr="004C6591">
        <w:t xml:space="preserve"> such as Therascreen</w:t>
      </w:r>
      <w:r w:rsidRPr="004C6591">
        <w:rPr>
          <w:rFonts w:cs="Calibri"/>
        </w:rPr>
        <w:t>®</w:t>
      </w:r>
      <w:r w:rsidRPr="004C6591">
        <w:t xml:space="preserve"> PIK3CA RGQ PCR kit</w:t>
      </w:r>
      <w:bookmarkEnd w:id="13"/>
      <w:r w:rsidR="0024612A" w:rsidRPr="004C6591">
        <w:t xml:space="preserve"> (ARTG ID 330843)</w:t>
      </w:r>
      <w:r w:rsidRPr="004C6591">
        <w:t>. Of note, Therascreen</w:t>
      </w:r>
      <w:r w:rsidRPr="004C6591">
        <w:rPr>
          <w:rFonts w:cs="Calibri"/>
        </w:rPr>
        <w:t>®</w:t>
      </w:r>
      <w:r w:rsidRPr="004C6591">
        <w:t xml:space="preserve"> PIK3CA RGQ PCR kit is intended for use as a companion diagnostic test, to aid clinicians in </w:t>
      </w:r>
      <w:r w:rsidR="000105A4" w:rsidRPr="004C6591">
        <w:t xml:space="preserve">the </w:t>
      </w:r>
      <w:r w:rsidRPr="004C6591">
        <w:t xml:space="preserve">identification of breast cancer patients who may be eligible for treatment with alpelisib based on a </w:t>
      </w:r>
      <w:r w:rsidRPr="004C6591">
        <w:rPr>
          <w:i/>
          <w:iCs/>
        </w:rPr>
        <w:t>PIK3CA</w:t>
      </w:r>
      <w:r w:rsidRPr="004C6591">
        <w:t xml:space="preserve"> mutation detected result. The Therascreen</w:t>
      </w:r>
      <w:r w:rsidRPr="004C6591">
        <w:rPr>
          <w:rFonts w:cs="Calibri"/>
        </w:rPr>
        <w:t>®</w:t>
      </w:r>
      <w:r w:rsidRPr="004C6591">
        <w:t xml:space="preserve"> PIK3CA RGQ PCR </w:t>
      </w:r>
      <w:r w:rsidRPr="004C6591">
        <w:lastRenderedPageBreak/>
        <w:t xml:space="preserve">Kit could detect 11 </w:t>
      </w:r>
      <w:r w:rsidRPr="004C6591">
        <w:rPr>
          <w:i/>
          <w:iCs/>
        </w:rPr>
        <w:t>PIK3CA</w:t>
      </w:r>
      <w:r w:rsidRPr="004C6591">
        <w:t xml:space="preserve"> variants using DNA extracted from tumour tissue or ctDNA in plasma </w:t>
      </w:r>
      <w:r w:rsidRPr="004C6591">
        <w:fldChar w:fldCharType="begin"/>
      </w:r>
      <w:r w:rsidR="00D71AA6" w:rsidRPr="004C6591">
        <w:instrText xml:space="preserve"> ADDIN EN.CITE &lt;EndNote&gt;&lt;Cite ExcludeAuth="1"&gt;&lt;Author&gt;TGA (Therapeutic Goods Administration)&lt;/Author&gt;&lt;Year&gt;2020&lt;/Year&gt;&lt;RecNum&gt;45&lt;/RecNum&gt;&lt;Prefix&gt;DoH TGA &lt;/Prefix&gt;&lt;DisplayText&gt;(DoH TGA 2020)&lt;/DisplayText&gt;&lt;record&gt;&lt;rec-number&gt;45&lt;/rec-number&gt;&lt;foreign-keys&gt;&lt;key app="EN" db-id="dw2s0a0pxte05aexpvnx2awre9s0vxdepfat" timestamp="1718760660"&gt;45&lt;/key&gt;&lt;/foreign-keys&gt;&lt;ref-type name="Report"&gt;27&lt;/ref-type&gt;&lt;contributors&gt;&lt;authors&gt;&lt;author&gt;TGA (Therapeutic Goods Administration),&lt;/author&gt;&lt;/authors&gt;&lt;subsidiary-authors&gt;&lt;author&gt;Department of Health and Aged Care,&lt;/author&gt;&lt;/subsidiary-authors&gt;&lt;/contributors&gt;&lt;titles&gt;&lt;title&gt;Australian Public Assessment Report for Alpelisib&lt;/title&gt;&lt;/titles&gt;&lt;dates&gt;&lt;year&gt;2020&lt;/year&gt;&lt;/dates&gt;&lt;urls&gt;&lt;related-urls&gt;&lt;url&gt;https://www.tga.gov.au/sites/default/files/auspar-alpelisib-200820.pdf&lt;/url&gt;&lt;/related-urls&gt;&lt;/urls&gt;&lt;access-date&gt;2024 June 18&lt;/access-date&gt;&lt;/record&gt;&lt;/Cite&gt;&lt;/EndNote&gt;</w:instrText>
      </w:r>
      <w:r w:rsidRPr="004C6591">
        <w:fldChar w:fldCharType="separate"/>
      </w:r>
      <w:r w:rsidR="00D71AA6" w:rsidRPr="004C6591">
        <w:t>(DoH TGA 2020)</w:t>
      </w:r>
      <w:r w:rsidRPr="004C6591">
        <w:fldChar w:fldCharType="end"/>
      </w:r>
      <w:r w:rsidRPr="004C6591">
        <w:t xml:space="preserve">. </w:t>
      </w:r>
    </w:p>
    <w:p w14:paraId="2E6D8571" w14:textId="0CE20402" w:rsidR="0073279B" w:rsidRPr="004C6591" w:rsidRDefault="00E46EBC" w:rsidP="00E46EBC">
      <w:r w:rsidRPr="004C6591">
        <w:t>PASC</w:t>
      </w:r>
      <w:r w:rsidR="0092048C" w:rsidRPr="004C6591">
        <w:t>’s advice was sought on</w:t>
      </w:r>
      <w:r w:rsidRPr="004C6591">
        <w:t xml:space="preserve">: </w:t>
      </w:r>
    </w:p>
    <w:p w14:paraId="08C6C235" w14:textId="050F9647" w:rsidR="0073279B" w:rsidRPr="004C6591" w:rsidRDefault="0073279B" w:rsidP="0073279B">
      <w:pPr>
        <w:pStyle w:val="ListParagraph"/>
        <w:numPr>
          <w:ilvl w:val="0"/>
          <w:numId w:val="40"/>
        </w:numPr>
      </w:pPr>
      <w:r w:rsidRPr="004C6591">
        <w:t xml:space="preserve">Given that </w:t>
      </w:r>
      <w:r w:rsidRPr="004C6591">
        <w:rPr>
          <w:i/>
          <w:iCs/>
        </w:rPr>
        <w:t>PIK3CA</w:t>
      </w:r>
      <w:r w:rsidRPr="004C6591">
        <w:t xml:space="preserve"> testing using digital droplet PCR is currently available in Australia (using ctDNA samples), should this test also be considered in the assessment phase of this application? Note that the currently available assay only test</w:t>
      </w:r>
      <w:r w:rsidR="00A76DA2" w:rsidRPr="004C6591">
        <w:t>s</w:t>
      </w:r>
      <w:r w:rsidRPr="004C6591">
        <w:t xml:space="preserve"> for certain variants and not for all </w:t>
      </w:r>
      <w:r w:rsidRPr="004C6591">
        <w:rPr>
          <w:i/>
          <w:iCs/>
        </w:rPr>
        <w:t>PIK3CA</w:t>
      </w:r>
      <w:r w:rsidRPr="004C6591">
        <w:t xml:space="preserve"> variants defined in the key trial protocol.</w:t>
      </w:r>
    </w:p>
    <w:p w14:paraId="0DAFF0A6" w14:textId="4FE62F77" w:rsidR="00E46EBC" w:rsidRPr="004C6591" w:rsidRDefault="00A76DA2">
      <w:pPr>
        <w:pStyle w:val="ListParagraph"/>
        <w:numPr>
          <w:ilvl w:val="0"/>
          <w:numId w:val="40"/>
        </w:numPr>
      </w:pPr>
      <w:r w:rsidRPr="004C6591">
        <w:t>C</w:t>
      </w:r>
      <w:r w:rsidR="00E46EBC" w:rsidRPr="004C6591">
        <w:t>ould test</w:t>
      </w:r>
      <w:r w:rsidR="0059775C" w:rsidRPr="004C6591">
        <w:t>ing</w:t>
      </w:r>
      <w:r w:rsidR="00E46EBC" w:rsidRPr="004C6591">
        <w:t xml:space="preserve"> with Therascreen</w:t>
      </w:r>
      <w:r w:rsidR="00E46EBC" w:rsidRPr="004C6591">
        <w:rPr>
          <w:rFonts w:cs="Calibri"/>
        </w:rPr>
        <w:t>®</w:t>
      </w:r>
      <w:r w:rsidR="00E46EBC" w:rsidRPr="004C6591">
        <w:t xml:space="preserve"> PIK3CA RGQ PCR Kit using tumour tissue or ctDNA inform treatment eligibility to other </w:t>
      </w:r>
      <w:r w:rsidR="00E46EBC" w:rsidRPr="00C65136">
        <w:rPr>
          <w:i/>
        </w:rPr>
        <w:t>PIK3CA</w:t>
      </w:r>
      <w:r w:rsidR="00E46EBC" w:rsidRPr="004C6591">
        <w:t xml:space="preserve"> inhibitor</w:t>
      </w:r>
      <w:r w:rsidR="00660774" w:rsidRPr="004C6591">
        <w:t>s</w:t>
      </w:r>
      <w:r w:rsidR="00E46EBC" w:rsidRPr="004C6591">
        <w:t xml:space="preserve"> such as inavolisib?</w:t>
      </w:r>
    </w:p>
    <w:p w14:paraId="3793A233" w14:textId="630E99EF" w:rsidR="0099388F" w:rsidRPr="004C6591" w:rsidRDefault="0099388F" w:rsidP="00A45CB2">
      <w:r w:rsidRPr="004C6591">
        <w:rPr>
          <w:rFonts w:asciiTheme="minorHAnsi" w:hAnsiTheme="minorHAnsi" w:cstheme="minorBidi"/>
          <w:i/>
          <w:iCs/>
        </w:rPr>
        <w:t xml:space="preserve">PASC noted that there are non-NGS methods such as digital droplet PCR and a </w:t>
      </w:r>
      <w:r w:rsidRPr="00C65136">
        <w:rPr>
          <w:rFonts w:asciiTheme="minorHAnsi" w:hAnsiTheme="minorHAnsi"/>
        </w:rPr>
        <w:t>PIK3CA</w:t>
      </w:r>
      <w:r w:rsidRPr="004C6591">
        <w:rPr>
          <w:rFonts w:asciiTheme="minorHAnsi" w:hAnsiTheme="minorHAnsi" w:cstheme="minorBidi"/>
          <w:i/>
          <w:iCs/>
        </w:rPr>
        <w:t xml:space="preserve"> PCR kit in Australia, but </w:t>
      </w:r>
      <w:r w:rsidR="00A22238" w:rsidRPr="004C6591">
        <w:rPr>
          <w:rFonts w:asciiTheme="minorHAnsi" w:hAnsiTheme="minorHAnsi" w:cstheme="minorBidi"/>
          <w:i/>
          <w:iCs/>
        </w:rPr>
        <w:t xml:space="preserve">that </w:t>
      </w:r>
      <w:r w:rsidRPr="004C6591">
        <w:rPr>
          <w:rFonts w:asciiTheme="minorHAnsi" w:hAnsiTheme="minorHAnsi" w:cstheme="minorBidi"/>
          <w:i/>
          <w:iCs/>
        </w:rPr>
        <w:t xml:space="preserve">these methods may not detect all </w:t>
      </w:r>
      <w:r w:rsidRPr="00C65136">
        <w:rPr>
          <w:rFonts w:asciiTheme="minorHAnsi" w:hAnsiTheme="minorHAnsi"/>
        </w:rPr>
        <w:t>PIK3CA</w:t>
      </w:r>
      <w:r w:rsidRPr="004C6591">
        <w:rPr>
          <w:rFonts w:asciiTheme="minorHAnsi" w:hAnsiTheme="minorHAnsi" w:cstheme="minorBidi"/>
          <w:i/>
          <w:iCs/>
        </w:rPr>
        <w:t xml:space="preserve"> variants listed in the INAVO120 trial, in which there were </w:t>
      </w:r>
      <w:r w:rsidR="004F412B" w:rsidRPr="004C6591">
        <w:rPr>
          <w:rFonts w:asciiTheme="minorHAnsi" w:hAnsiTheme="minorHAnsi" w:cstheme="minorBidi"/>
          <w:i/>
          <w:iCs/>
        </w:rPr>
        <w:t xml:space="preserve">approximately </w:t>
      </w:r>
      <w:r w:rsidRPr="004C6591">
        <w:rPr>
          <w:rFonts w:asciiTheme="minorHAnsi" w:hAnsiTheme="minorHAnsi" w:cstheme="minorBidi"/>
          <w:i/>
          <w:iCs/>
        </w:rPr>
        <w:t>60 variants that were eligible for enrolment into the trial.</w:t>
      </w:r>
      <w:r w:rsidR="004F412B" w:rsidRPr="004C6591">
        <w:rPr>
          <w:rFonts w:asciiTheme="minorHAnsi" w:hAnsiTheme="minorHAnsi" w:cstheme="minorBidi"/>
          <w:i/>
          <w:iCs/>
        </w:rPr>
        <w:t xml:space="preserve"> </w:t>
      </w:r>
      <w:r w:rsidR="005D0A4D" w:rsidRPr="004C6591">
        <w:rPr>
          <w:rFonts w:asciiTheme="minorHAnsi" w:hAnsiTheme="minorHAnsi" w:cstheme="minorBidi"/>
          <w:i/>
          <w:iCs/>
        </w:rPr>
        <w:t xml:space="preserve">PASC noted from the applicant comment that </w:t>
      </w:r>
      <w:r w:rsidR="00E60596" w:rsidRPr="004C6591">
        <w:rPr>
          <w:rFonts w:asciiTheme="minorHAnsi" w:hAnsiTheme="minorHAnsi" w:cstheme="minorBidi"/>
          <w:i/>
          <w:iCs/>
        </w:rPr>
        <w:t>FoundationOne® Liquid CDx (for ctDNA) and FoundationOne® CDx (for tumour tissue) NGS methods used in the trial were able to identify all</w:t>
      </w:r>
      <w:r w:rsidR="00FF79A5">
        <w:rPr>
          <w:rFonts w:asciiTheme="minorHAnsi" w:hAnsiTheme="minorHAnsi" w:cstheme="minorBidi"/>
          <w:i/>
          <w:iCs/>
        </w:rPr>
        <w:t xml:space="preserve"> known</w:t>
      </w:r>
      <w:r w:rsidR="00E60596" w:rsidRPr="004C6591">
        <w:rPr>
          <w:rFonts w:asciiTheme="minorHAnsi" w:hAnsiTheme="minorHAnsi" w:cstheme="minorBidi"/>
          <w:i/>
          <w:iCs/>
        </w:rPr>
        <w:t xml:space="preserve"> </w:t>
      </w:r>
      <w:r w:rsidR="00E60596" w:rsidRPr="00C65136">
        <w:rPr>
          <w:rFonts w:asciiTheme="minorHAnsi" w:hAnsiTheme="minorHAnsi"/>
        </w:rPr>
        <w:t>PIK3CA</w:t>
      </w:r>
      <w:r w:rsidR="00E60596" w:rsidRPr="004C6591">
        <w:rPr>
          <w:rFonts w:asciiTheme="minorHAnsi" w:hAnsiTheme="minorHAnsi" w:cstheme="minorBidi"/>
          <w:i/>
          <w:iCs/>
        </w:rPr>
        <w:t xml:space="preserve"> variants. </w:t>
      </w:r>
      <w:r w:rsidR="004F412B" w:rsidRPr="004C6591">
        <w:rPr>
          <w:rFonts w:asciiTheme="minorHAnsi" w:hAnsiTheme="minorHAnsi" w:cstheme="minorBidi"/>
          <w:i/>
          <w:iCs/>
        </w:rPr>
        <w:t xml:space="preserve">PASC considered that if real-world testing does not reflect this (i.e. if other tests used in practice do not detect the full range of variants detected in INAVO120), the real-world cost-effectiveness of treatment will be lower than expected if trial data is used to produce the economic model. PASC queried the number of </w:t>
      </w:r>
      <w:r w:rsidR="004F412B" w:rsidRPr="00C65136">
        <w:rPr>
          <w:rFonts w:asciiTheme="minorHAnsi" w:hAnsiTheme="minorHAnsi"/>
        </w:rPr>
        <w:t xml:space="preserve">PIK3CA </w:t>
      </w:r>
      <w:r w:rsidR="004F412B" w:rsidRPr="004C6591">
        <w:rPr>
          <w:rFonts w:asciiTheme="minorHAnsi" w:hAnsiTheme="minorHAnsi" w:cstheme="minorBidi"/>
          <w:i/>
          <w:iCs/>
        </w:rPr>
        <w:t>variants found in patients in the INAVO120 trial, noting that INAVO120 was a small trial and there may be other possible variants in patients beyond th</w:t>
      </w:r>
      <w:r w:rsidR="00C30B83" w:rsidRPr="004C6591">
        <w:rPr>
          <w:rFonts w:asciiTheme="minorHAnsi" w:hAnsiTheme="minorHAnsi" w:cstheme="minorBidi"/>
          <w:i/>
          <w:iCs/>
        </w:rPr>
        <w:t>ose</w:t>
      </w:r>
      <w:r w:rsidR="004F412B" w:rsidRPr="004C6591">
        <w:rPr>
          <w:rFonts w:asciiTheme="minorHAnsi" w:hAnsiTheme="minorHAnsi" w:cstheme="minorBidi"/>
          <w:i/>
          <w:iCs/>
        </w:rPr>
        <w:t xml:space="preserve"> identified in the trial. The applicant noted that a small subset of the eligible variants (~4-5 variants) represented most of the enrolled patients (~80%). Given that only a small subset of </w:t>
      </w:r>
      <w:r w:rsidR="004F412B" w:rsidRPr="00C65136">
        <w:rPr>
          <w:rFonts w:asciiTheme="minorHAnsi" w:hAnsiTheme="minorHAnsi"/>
        </w:rPr>
        <w:t xml:space="preserve">PIK3CA </w:t>
      </w:r>
      <w:r w:rsidR="004F412B" w:rsidRPr="004C6591">
        <w:rPr>
          <w:rFonts w:asciiTheme="minorHAnsi" w:hAnsiTheme="minorHAnsi" w:cstheme="minorBidi"/>
          <w:i/>
          <w:iCs/>
        </w:rPr>
        <w:t>variants were identified in the majority of the trial population, PASC considered that it is reasonable for non-NGS methods (which may not pick up all of the ~60 eligible PIK3CA variants) to be used in clinical practice. Furthermore,</w:t>
      </w:r>
      <w:r w:rsidRPr="004C6591">
        <w:rPr>
          <w:rFonts w:asciiTheme="minorHAnsi" w:hAnsiTheme="minorHAnsi" w:cstheme="minorBidi"/>
          <w:i/>
          <w:iCs/>
        </w:rPr>
        <w:t xml:space="preserve"> PASC noted that these alternative testing methods could be used since MBS items are preferably method agnostic, allowing individual laboratories to decide on their preferred method of testing (e.g., based on test accuracy). PASC also noted that since preferred testing methods were market-driven, inaccurate methods will </w:t>
      </w:r>
      <w:r w:rsidR="006B1FCA">
        <w:rPr>
          <w:rFonts w:asciiTheme="minorHAnsi" w:hAnsiTheme="minorHAnsi" w:cstheme="minorBidi"/>
          <w:i/>
          <w:iCs/>
        </w:rPr>
        <w:t xml:space="preserve">likely </w:t>
      </w:r>
      <w:r w:rsidRPr="004C6591">
        <w:rPr>
          <w:rFonts w:asciiTheme="minorHAnsi" w:hAnsiTheme="minorHAnsi" w:cstheme="minorBidi"/>
          <w:i/>
          <w:iCs/>
        </w:rPr>
        <w:t>be phased out, and therefore not restricting testing to a specific method was reasonable. Although the MBS item will likely be method agnostic,</w:t>
      </w:r>
      <w:r w:rsidR="004F412B" w:rsidRPr="004C6591">
        <w:rPr>
          <w:rFonts w:asciiTheme="minorHAnsi" w:hAnsiTheme="minorHAnsi" w:cstheme="minorBidi"/>
          <w:i/>
          <w:iCs/>
        </w:rPr>
        <w:t xml:space="preserve"> PASC considered that in practice majority of labor</w:t>
      </w:r>
      <w:r w:rsidR="004A63E3" w:rsidRPr="004C6591">
        <w:rPr>
          <w:rFonts w:asciiTheme="minorHAnsi" w:hAnsiTheme="minorHAnsi" w:cstheme="minorBidi"/>
          <w:i/>
          <w:iCs/>
        </w:rPr>
        <w:t>ator</w:t>
      </w:r>
      <w:r w:rsidR="004F412B" w:rsidRPr="004C6591">
        <w:rPr>
          <w:rFonts w:asciiTheme="minorHAnsi" w:hAnsiTheme="minorHAnsi" w:cstheme="minorBidi"/>
          <w:i/>
          <w:iCs/>
        </w:rPr>
        <w:t xml:space="preserve">ies are likely to use the already available and validated NGS panels for tumour tissue testing (which includes </w:t>
      </w:r>
      <w:r w:rsidR="004F412B" w:rsidRPr="00C65136">
        <w:rPr>
          <w:rFonts w:asciiTheme="minorHAnsi" w:hAnsiTheme="minorHAnsi"/>
        </w:rPr>
        <w:t>PIK3CA</w:t>
      </w:r>
      <w:r w:rsidR="004F412B" w:rsidRPr="004C6591">
        <w:rPr>
          <w:rFonts w:asciiTheme="minorHAnsi" w:hAnsiTheme="minorHAnsi" w:cstheme="minorBidi"/>
          <w:i/>
          <w:iCs/>
        </w:rPr>
        <w:t xml:space="preserve"> testing) and therefore considered that</w:t>
      </w:r>
      <w:r w:rsidRPr="004C6591">
        <w:rPr>
          <w:rFonts w:asciiTheme="minorHAnsi" w:hAnsiTheme="minorHAnsi" w:cstheme="minorBidi"/>
          <w:i/>
          <w:iCs/>
        </w:rPr>
        <w:t xml:space="preserve"> the assessment </w:t>
      </w:r>
      <w:r w:rsidR="004F412B" w:rsidRPr="004C6591">
        <w:rPr>
          <w:rFonts w:asciiTheme="minorHAnsi" w:hAnsiTheme="minorHAnsi" w:cstheme="minorBidi"/>
          <w:i/>
          <w:iCs/>
        </w:rPr>
        <w:t>should</w:t>
      </w:r>
      <w:r w:rsidRPr="004C6591">
        <w:rPr>
          <w:rFonts w:asciiTheme="minorHAnsi" w:hAnsiTheme="minorHAnsi" w:cstheme="minorBidi"/>
          <w:i/>
          <w:iCs/>
        </w:rPr>
        <w:t xml:space="preserve"> focus on NGS testing methods</w:t>
      </w:r>
      <w:r w:rsidR="00292188" w:rsidRPr="004C6591">
        <w:rPr>
          <w:rFonts w:asciiTheme="minorHAnsi" w:hAnsiTheme="minorHAnsi" w:cstheme="minorBidi"/>
          <w:i/>
          <w:iCs/>
        </w:rPr>
        <w:t xml:space="preserve">. </w:t>
      </w:r>
    </w:p>
    <w:p w14:paraId="665B0675" w14:textId="5FDFCB88" w:rsidR="007A66C8" w:rsidRPr="004C6591" w:rsidRDefault="007A66C8" w:rsidP="00713728">
      <w:pPr>
        <w:pStyle w:val="Heading3"/>
      </w:pPr>
      <w:r w:rsidRPr="004C6591">
        <w:t>Comparator</w:t>
      </w:r>
      <w:r w:rsidR="007D6B83" w:rsidRPr="004C6591">
        <w:t>(</w:t>
      </w:r>
      <w:r w:rsidR="008F1532" w:rsidRPr="004C6591">
        <w:t>s</w:t>
      </w:r>
      <w:r w:rsidR="007D6B83" w:rsidRPr="004C6591">
        <w:t>)</w:t>
      </w:r>
    </w:p>
    <w:p w14:paraId="127A2358" w14:textId="48257693" w:rsidR="001E6E1C" w:rsidRPr="004C6591" w:rsidRDefault="001E6E1C" w:rsidP="001E6E1C">
      <w:pPr>
        <w:pStyle w:val="Heading4"/>
      </w:pPr>
      <w:r w:rsidRPr="004C6591">
        <w:t>Test comparator</w:t>
      </w:r>
    </w:p>
    <w:p w14:paraId="75D21C27" w14:textId="37791891" w:rsidR="00645C91" w:rsidRPr="004C6591" w:rsidRDefault="00B067FF" w:rsidP="00B067FF">
      <w:r w:rsidRPr="004C6591">
        <w:t xml:space="preserve">The proposed test comparator is ‘no testing’ for </w:t>
      </w:r>
      <w:r w:rsidRPr="004C6591">
        <w:rPr>
          <w:i/>
          <w:iCs/>
        </w:rPr>
        <w:t>PIK3CA</w:t>
      </w:r>
      <w:r w:rsidRPr="004C6591">
        <w:t xml:space="preserve"> genetic variation</w:t>
      </w:r>
      <w:r w:rsidR="00341CE3" w:rsidRPr="004C6591">
        <w:t>(s)</w:t>
      </w:r>
      <w:r w:rsidRPr="004C6591">
        <w:t xml:space="preserve">. Prior to this application, there was no subsidised test available to determine </w:t>
      </w:r>
      <w:r w:rsidR="00F92FE4" w:rsidRPr="004C6591">
        <w:rPr>
          <w:i/>
          <w:iCs/>
        </w:rPr>
        <w:t>PIK</w:t>
      </w:r>
      <w:r w:rsidR="00F500C9" w:rsidRPr="004C6591">
        <w:rPr>
          <w:i/>
          <w:iCs/>
        </w:rPr>
        <w:t>3</w:t>
      </w:r>
      <w:r w:rsidR="00F92FE4" w:rsidRPr="004C6591">
        <w:rPr>
          <w:i/>
          <w:iCs/>
        </w:rPr>
        <w:t>CA</w:t>
      </w:r>
      <w:r w:rsidRPr="004C6591">
        <w:t xml:space="preserve"> </w:t>
      </w:r>
      <w:r w:rsidR="00A218E2" w:rsidRPr="004C6591">
        <w:t>variant</w:t>
      </w:r>
      <w:r w:rsidR="00525D0B" w:rsidRPr="004C6591">
        <w:t>s</w:t>
      </w:r>
      <w:r w:rsidR="00A218E2" w:rsidRPr="004C6591">
        <w:t xml:space="preserve"> </w:t>
      </w:r>
      <w:r w:rsidRPr="004C6591">
        <w:t xml:space="preserve">status or to guide targeted treatment </w:t>
      </w:r>
      <w:r w:rsidR="00F92FE4" w:rsidRPr="004C6591">
        <w:t>in</w:t>
      </w:r>
      <w:r w:rsidRPr="004C6591">
        <w:t xml:space="preserve"> HR+/HER2- </w:t>
      </w:r>
      <w:r w:rsidR="00F13BA6" w:rsidRPr="004C6591">
        <w:t>LA/m</w:t>
      </w:r>
      <w:r w:rsidR="00F92FE4" w:rsidRPr="004C6591">
        <w:t>BC</w:t>
      </w:r>
      <w:r w:rsidRPr="004C6591">
        <w:t xml:space="preserve">. </w:t>
      </w:r>
      <w:r w:rsidR="000B02A7" w:rsidRPr="004C6591">
        <w:t>T</w:t>
      </w:r>
      <w:r w:rsidRPr="004C6591">
        <w:t xml:space="preserve">here </w:t>
      </w:r>
      <w:r w:rsidR="006F18F3" w:rsidRPr="004C6591">
        <w:t>were</w:t>
      </w:r>
      <w:r w:rsidR="00645C91" w:rsidRPr="004C6591">
        <w:t xml:space="preserve"> two relevant PICO</w:t>
      </w:r>
      <w:r w:rsidR="00F3591C" w:rsidRPr="004C6591">
        <w:t xml:space="preserve"> </w:t>
      </w:r>
      <w:r w:rsidR="00A218E2" w:rsidRPr="004C6591">
        <w:t>confirmations</w:t>
      </w:r>
      <w:r w:rsidR="00F3591C" w:rsidRPr="004C6591">
        <w:t xml:space="preserve"> for </w:t>
      </w:r>
      <w:r w:rsidR="00F3591C" w:rsidRPr="004C6591">
        <w:rPr>
          <w:i/>
          <w:iCs/>
        </w:rPr>
        <w:t>PIK3CA</w:t>
      </w:r>
      <w:r w:rsidR="00F3591C" w:rsidRPr="004C6591">
        <w:t xml:space="preserve"> testing (MSAC application 1604 and 1766)</w:t>
      </w:r>
      <w:r w:rsidR="000B02A7" w:rsidRPr="004C6591">
        <w:t>, and both nominated “no testing” as the test comparators.</w:t>
      </w:r>
    </w:p>
    <w:p w14:paraId="7B8A20E0" w14:textId="6EBA08EC" w:rsidR="001E6E1C" w:rsidRPr="004C6591" w:rsidRDefault="001E6E1C" w:rsidP="001E6E1C">
      <w:pPr>
        <w:pStyle w:val="Heading4"/>
      </w:pPr>
      <w:r w:rsidRPr="004C6591">
        <w:t>Treatment comparator</w:t>
      </w:r>
    </w:p>
    <w:p w14:paraId="0EA3BFF5" w14:textId="77777777" w:rsidR="005D623D" w:rsidRPr="004C6591" w:rsidRDefault="009107AB" w:rsidP="001E6E1C">
      <w:r w:rsidRPr="004C6591">
        <w:t xml:space="preserve">The proposed </w:t>
      </w:r>
      <w:r w:rsidR="00A218E2" w:rsidRPr="004C6591">
        <w:t xml:space="preserve">treatment </w:t>
      </w:r>
      <w:r w:rsidRPr="004C6591">
        <w:t xml:space="preserve">comparator </w:t>
      </w:r>
      <w:r w:rsidR="28EA04FF" w:rsidRPr="004C6591">
        <w:t xml:space="preserve">is </w:t>
      </w:r>
      <w:r w:rsidRPr="004C6591">
        <w:t xml:space="preserve">palbociclib + fulvestrant. Palbociclib </w:t>
      </w:r>
      <w:r w:rsidR="65D45665" w:rsidRPr="004C6591">
        <w:t>+</w:t>
      </w:r>
      <w:r w:rsidRPr="004C6591">
        <w:t xml:space="preserve"> fulvestrant are currently PBS-listed for the treatment of HR+/HER2- LA/mBC in patients who had received previous ET. </w:t>
      </w:r>
      <w:r w:rsidR="00F01D3F" w:rsidRPr="004C6591">
        <w:t xml:space="preserve">It </w:t>
      </w:r>
      <w:r w:rsidR="5A7EF8FA" w:rsidRPr="004C6591">
        <w:t>is</w:t>
      </w:r>
      <w:r w:rsidR="00F01D3F" w:rsidRPr="004C6591">
        <w:t xml:space="preserve"> reasonable to </w:t>
      </w:r>
      <w:r w:rsidR="00C5702A" w:rsidRPr="004C6591">
        <w:lastRenderedPageBreak/>
        <w:t xml:space="preserve">include </w:t>
      </w:r>
      <w:r w:rsidR="00F01D3F" w:rsidRPr="004C6591">
        <w:t>palbociclib + fulvestrant as comparator</w:t>
      </w:r>
      <w:r w:rsidR="00C5702A" w:rsidRPr="004C6591">
        <w:t>s</w:t>
      </w:r>
      <w:r w:rsidR="00F01D3F" w:rsidRPr="004C6591">
        <w:t xml:space="preserve"> based on the key trial INAVO120,</w:t>
      </w:r>
      <w:r w:rsidR="00C86788" w:rsidRPr="004C6591">
        <w:t xml:space="preserve"> </w:t>
      </w:r>
      <w:r w:rsidR="00F01D3F" w:rsidRPr="004C6591">
        <w:t>and it align</w:t>
      </w:r>
      <w:r w:rsidR="1204F5B9" w:rsidRPr="004C6591">
        <w:t>s</w:t>
      </w:r>
      <w:r w:rsidR="00F01D3F" w:rsidRPr="004C6591">
        <w:t xml:space="preserve"> with the </w:t>
      </w:r>
      <w:r w:rsidR="1503A9C8" w:rsidRPr="004C6591">
        <w:t xml:space="preserve">current </w:t>
      </w:r>
      <w:r w:rsidR="00F01D3F" w:rsidRPr="004C6591">
        <w:t>standard practice</w:t>
      </w:r>
      <w:r w:rsidR="004B5E28" w:rsidRPr="004C6591">
        <w:t xml:space="preserve"> in Australia</w:t>
      </w:r>
      <w:r w:rsidR="3FAFBADD" w:rsidRPr="004C6591">
        <w:t>, which</w:t>
      </w:r>
      <w:r w:rsidR="004B5E28" w:rsidRPr="004C6591">
        <w:t xml:space="preserve"> is ET with or without CDK4/6 inhibitor for 1L treatment of HR+/HER2- LA/mBC. </w:t>
      </w:r>
      <w:r w:rsidR="00B36B22" w:rsidRPr="004C6591">
        <w:t>Although</w:t>
      </w:r>
      <w:r w:rsidR="00F01D3F" w:rsidRPr="004C6591">
        <w:t xml:space="preserve"> </w:t>
      </w:r>
      <w:bookmarkStart w:id="14" w:name="_Hlk170980683"/>
      <w:r w:rsidR="00F01D3F" w:rsidRPr="004C6591">
        <w:t>there</w:t>
      </w:r>
      <w:r w:rsidR="000420D5" w:rsidRPr="004C6591">
        <w:t xml:space="preserve"> are other PBS-listed CDK4/6 inhibitors</w:t>
      </w:r>
      <w:bookmarkEnd w:id="14"/>
      <w:r w:rsidR="000420D5" w:rsidRPr="004C6591">
        <w:t xml:space="preserve"> such as abemaciclib and ribociclib</w:t>
      </w:r>
      <w:r w:rsidR="000A62B1" w:rsidRPr="004C6591">
        <w:t xml:space="preserve">, </w:t>
      </w:r>
      <w:r w:rsidR="00B36B22" w:rsidRPr="004C6591">
        <w:t>these CDK4/6 inhibitors</w:t>
      </w:r>
      <w:r w:rsidR="000A62B1" w:rsidRPr="004C6591">
        <w:t xml:space="preserve"> may be used in patients who have not received prior ET for mBC</w:t>
      </w:r>
      <w:r w:rsidR="00B36B22" w:rsidRPr="004C6591">
        <w:t xml:space="preserve">. On the other hand, </w:t>
      </w:r>
      <w:r w:rsidR="000A62B1" w:rsidRPr="004C6591">
        <w:t xml:space="preserve">palbociclib </w:t>
      </w:r>
      <w:r w:rsidR="002A4852" w:rsidRPr="004C6591">
        <w:t xml:space="preserve">+ </w:t>
      </w:r>
      <w:r w:rsidR="000A62B1" w:rsidRPr="004C6591">
        <w:t>fulvestrant is restricted to patients with prior ET</w:t>
      </w:r>
      <w:r w:rsidR="00B36B22" w:rsidRPr="004C6591">
        <w:t>, which align</w:t>
      </w:r>
      <w:r w:rsidR="00C5702A" w:rsidRPr="004C6591">
        <w:t>s</w:t>
      </w:r>
      <w:r w:rsidR="00B36B22" w:rsidRPr="004C6591">
        <w:t xml:space="preserve"> with the key trial INAVO120.</w:t>
      </w:r>
      <w:r w:rsidR="00A218E2" w:rsidRPr="004C6591">
        <w:t xml:space="preserve"> The appropriate treatment comparator is a matter for PBAC consideration.</w:t>
      </w:r>
    </w:p>
    <w:p w14:paraId="09C3713E" w14:textId="329B593A" w:rsidR="0054552F" w:rsidRPr="004C6591" w:rsidRDefault="0054552F" w:rsidP="001E6E1C">
      <w:r w:rsidRPr="004C6591">
        <w:rPr>
          <w:rFonts w:asciiTheme="minorHAnsi" w:hAnsiTheme="minorHAnsi" w:cstheme="minorBidi"/>
          <w:i/>
          <w:iCs/>
        </w:rPr>
        <w:t xml:space="preserve">PASC advised that no </w:t>
      </w:r>
      <w:r w:rsidRPr="00C65136">
        <w:rPr>
          <w:rFonts w:asciiTheme="minorHAnsi" w:hAnsiTheme="minorHAnsi"/>
        </w:rPr>
        <w:t>PIK3CA</w:t>
      </w:r>
      <w:r w:rsidRPr="004C6591">
        <w:rPr>
          <w:rFonts w:asciiTheme="minorHAnsi" w:hAnsiTheme="minorHAnsi" w:cstheme="minorBidi"/>
          <w:i/>
          <w:iCs/>
        </w:rPr>
        <w:t xml:space="preserve"> testing </w:t>
      </w:r>
      <w:r w:rsidR="00C259E0" w:rsidRPr="004C6591">
        <w:rPr>
          <w:rFonts w:asciiTheme="minorHAnsi" w:hAnsiTheme="minorHAnsi" w:cstheme="minorBidi"/>
          <w:i/>
          <w:iCs/>
        </w:rPr>
        <w:t xml:space="preserve">was the appropriate test comparator. PASC considered </w:t>
      </w:r>
      <w:r w:rsidR="000067CC" w:rsidRPr="004C6591">
        <w:rPr>
          <w:rFonts w:asciiTheme="minorHAnsi" w:hAnsiTheme="minorHAnsi" w:cstheme="minorBidi"/>
          <w:i/>
          <w:iCs/>
        </w:rPr>
        <w:t>current standard of care</w:t>
      </w:r>
      <w:r w:rsidR="00C259E0" w:rsidRPr="004C6591">
        <w:rPr>
          <w:rFonts w:asciiTheme="minorHAnsi" w:hAnsiTheme="minorHAnsi" w:cstheme="minorBidi"/>
          <w:i/>
          <w:iCs/>
        </w:rPr>
        <w:t xml:space="preserve"> </w:t>
      </w:r>
      <w:r w:rsidRPr="004C6591">
        <w:rPr>
          <w:rFonts w:asciiTheme="minorHAnsi" w:hAnsiTheme="minorHAnsi" w:cstheme="minorBidi"/>
          <w:i/>
          <w:iCs/>
        </w:rPr>
        <w:t xml:space="preserve">was </w:t>
      </w:r>
      <w:r w:rsidR="00C259E0" w:rsidRPr="004C6591">
        <w:rPr>
          <w:rFonts w:asciiTheme="minorHAnsi" w:hAnsiTheme="minorHAnsi" w:cstheme="minorBidi"/>
          <w:i/>
          <w:iCs/>
        </w:rPr>
        <w:t xml:space="preserve">likely to be the </w:t>
      </w:r>
      <w:r w:rsidRPr="004C6591">
        <w:rPr>
          <w:rFonts w:asciiTheme="minorHAnsi" w:hAnsiTheme="minorHAnsi" w:cstheme="minorBidi"/>
          <w:i/>
          <w:iCs/>
        </w:rPr>
        <w:t xml:space="preserve">appropriate </w:t>
      </w:r>
      <w:r w:rsidR="00C259E0" w:rsidRPr="004C6591">
        <w:rPr>
          <w:rFonts w:asciiTheme="minorHAnsi" w:hAnsiTheme="minorHAnsi" w:cstheme="minorBidi"/>
          <w:i/>
          <w:iCs/>
        </w:rPr>
        <w:t>treatment</w:t>
      </w:r>
      <w:r w:rsidRPr="004C6591">
        <w:rPr>
          <w:rFonts w:asciiTheme="minorHAnsi" w:hAnsiTheme="minorHAnsi" w:cstheme="minorBidi"/>
          <w:i/>
          <w:iCs/>
        </w:rPr>
        <w:t xml:space="preserve"> comparator</w:t>
      </w:r>
      <w:r w:rsidR="00C259E0" w:rsidRPr="004C6591">
        <w:rPr>
          <w:rFonts w:asciiTheme="minorHAnsi" w:hAnsiTheme="minorHAnsi" w:cstheme="minorBidi"/>
          <w:i/>
          <w:iCs/>
        </w:rPr>
        <w:t xml:space="preserve">, noting that </w:t>
      </w:r>
      <w:r w:rsidR="00FF79A5">
        <w:rPr>
          <w:rFonts w:asciiTheme="minorHAnsi" w:hAnsiTheme="minorHAnsi" w:cstheme="minorBidi"/>
          <w:i/>
          <w:iCs/>
        </w:rPr>
        <w:t>treatment</w:t>
      </w:r>
      <w:r w:rsidR="00C259E0" w:rsidRPr="004C6591">
        <w:rPr>
          <w:rFonts w:asciiTheme="minorHAnsi" w:hAnsiTheme="minorHAnsi" w:cstheme="minorBidi"/>
          <w:i/>
          <w:iCs/>
        </w:rPr>
        <w:t xml:space="preserve"> is a matter for PBAC consideration</w:t>
      </w:r>
      <w:r w:rsidRPr="004C6591">
        <w:rPr>
          <w:rFonts w:asciiTheme="minorHAnsi" w:hAnsiTheme="minorHAnsi" w:cstheme="minorBidi"/>
          <w:i/>
          <w:iCs/>
        </w:rPr>
        <w:t>.</w:t>
      </w:r>
    </w:p>
    <w:p w14:paraId="15863BAA" w14:textId="77777777" w:rsidR="00677AE3" w:rsidRPr="004C6591" w:rsidRDefault="00677AE3" w:rsidP="00713728">
      <w:pPr>
        <w:pStyle w:val="Heading3"/>
      </w:pPr>
      <w:r w:rsidRPr="004C6591">
        <w:t>Reference standard (for investigative technologies only)</w:t>
      </w:r>
    </w:p>
    <w:p w14:paraId="190A76E1" w14:textId="77777777" w:rsidR="005D623D" w:rsidRPr="004C6591" w:rsidRDefault="00CF7F55" w:rsidP="00CF7F55">
      <w:r w:rsidRPr="004C6591">
        <w:t xml:space="preserve">There </w:t>
      </w:r>
      <w:r w:rsidR="00A218E2" w:rsidRPr="004C6591">
        <w:t xml:space="preserve">is </w:t>
      </w:r>
      <w:r w:rsidRPr="004C6591">
        <w:t xml:space="preserve">no reference standard for </w:t>
      </w:r>
      <w:r w:rsidRPr="004C6591">
        <w:rPr>
          <w:i/>
          <w:iCs/>
        </w:rPr>
        <w:t>PIK3CA</w:t>
      </w:r>
      <w:r w:rsidRPr="004C6591">
        <w:t xml:space="preserve"> genetic variation</w:t>
      </w:r>
      <w:r w:rsidR="008B0A23" w:rsidRPr="004C6591">
        <w:t>(s)</w:t>
      </w:r>
      <w:r w:rsidRPr="004C6591">
        <w:t xml:space="preserve"> testing in Australia. In this case</w:t>
      </w:r>
      <w:r w:rsidR="00AF40DC" w:rsidRPr="004C6591">
        <w:t>,</w:t>
      </w:r>
      <w:r w:rsidRPr="004C6591">
        <w:t xml:space="preserve"> the accuracy of the proposed test may need to be demonstrated by direct from test to health outcomes evidence showing a health benefit resulting from use of test, or by a comparison against a suitable clinical utility standard.</w:t>
      </w:r>
    </w:p>
    <w:p w14:paraId="7C654A20" w14:textId="3E0B3A01" w:rsidR="006948DD" w:rsidRPr="004C6591" w:rsidRDefault="006948DD" w:rsidP="00CF7F55">
      <w:r w:rsidRPr="004C6591">
        <w:rPr>
          <w:rFonts w:asciiTheme="minorHAnsi" w:hAnsiTheme="minorHAnsi" w:cstheme="minorHAnsi"/>
          <w:i/>
          <w:iCs/>
        </w:rPr>
        <w:t xml:space="preserve">PASC acknowledged that there was no reference standard for </w:t>
      </w:r>
      <w:r w:rsidRPr="00C65136">
        <w:rPr>
          <w:rFonts w:asciiTheme="minorHAnsi" w:hAnsiTheme="minorHAnsi"/>
        </w:rPr>
        <w:t xml:space="preserve">PIK3CA </w:t>
      </w:r>
      <w:r w:rsidRPr="004C6591">
        <w:rPr>
          <w:rFonts w:asciiTheme="minorHAnsi" w:hAnsiTheme="minorHAnsi" w:cstheme="minorHAnsi"/>
          <w:i/>
          <w:iCs/>
        </w:rPr>
        <w:t>testing in Australia.</w:t>
      </w:r>
    </w:p>
    <w:p w14:paraId="3BC68763" w14:textId="77777777" w:rsidR="00CE1B13" w:rsidRPr="004C6591" w:rsidRDefault="00CE1B13" w:rsidP="00713728">
      <w:pPr>
        <w:pStyle w:val="Heading3"/>
      </w:pPr>
      <w:r w:rsidRPr="004C6591">
        <w:t>Clinical utility standard (for codependent investigative technologies only)</w:t>
      </w:r>
    </w:p>
    <w:p w14:paraId="0A6F86E8" w14:textId="3BEA8319" w:rsidR="00BA52C8" w:rsidRPr="004C6591" w:rsidRDefault="002829BC" w:rsidP="006D0FCB">
      <w:pPr>
        <w:autoSpaceDE w:val="0"/>
        <w:autoSpaceDN w:val="0"/>
        <w:adjustRightInd w:val="0"/>
      </w:pPr>
      <w:r w:rsidRPr="004C6591">
        <w:t xml:space="preserve">A reference standard is not currently available for the proposed </w:t>
      </w:r>
      <w:r w:rsidR="00E06FD5" w:rsidRPr="004C6591">
        <w:rPr>
          <w:i/>
          <w:iCs/>
        </w:rPr>
        <w:t>PIK3CA</w:t>
      </w:r>
      <w:r w:rsidR="00E06FD5" w:rsidRPr="004C6591">
        <w:t xml:space="preserve"> </w:t>
      </w:r>
      <w:r w:rsidRPr="004C6591">
        <w:t>test</w:t>
      </w:r>
      <w:r w:rsidR="00E06FD5" w:rsidRPr="004C6591">
        <w:t>ing</w:t>
      </w:r>
      <w:r w:rsidRPr="004C6591">
        <w:t xml:space="preserve">. Therefore, the accuracy of the </w:t>
      </w:r>
      <w:r w:rsidR="00E06FD5" w:rsidRPr="004C6591">
        <w:rPr>
          <w:i/>
          <w:iCs/>
        </w:rPr>
        <w:t>PIK3CA</w:t>
      </w:r>
      <w:r w:rsidR="00E06FD5" w:rsidRPr="004C6591">
        <w:t xml:space="preserve"> testing</w:t>
      </w:r>
      <w:r w:rsidRPr="004C6591">
        <w:t xml:space="preserve"> need</w:t>
      </w:r>
      <w:r w:rsidR="0A75869D" w:rsidRPr="004C6591">
        <w:t>s</w:t>
      </w:r>
      <w:r w:rsidRPr="004C6591">
        <w:t xml:space="preserve"> to be demonstrated by comparison against a suitable clinical utility standard, which </w:t>
      </w:r>
      <w:r w:rsidR="006301BB" w:rsidRPr="004C6591">
        <w:t>is likely to be</w:t>
      </w:r>
      <w:r w:rsidRPr="004C6591">
        <w:t xml:space="preserve"> FoundationOne</w:t>
      </w:r>
      <w:r w:rsidRPr="004C6591">
        <w:rPr>
          <w:rFonts w:cs="Calibri"/>
        </w:rPr>
        <w:t>®</w:t>
      </w:r>
      <w:r w:rsidRPr="004C6591">
        <w:t xml:space="preserve"> Liquid CDx.</w:t>
      </w:r>
      <w:r w:rsidR="00F44F6B" w:rsidRPr="004C6591">
        <w:t xml:space="preserve"> </w:t>
      </w:r>
      <w:r w:rsidR="00F66109" w:rsidRPr="004C6591">
        <w:t>Communication received from the applicant at the pre-PASC stage</w:t>
      </w:r>
      <w:r w:rsidR="00D27CF7" w:rsidRPr="004C6591">
        <w:t xml:space="preserve"> stated that </w:t>
      </w:r>
      <w:r w:rsidR="00B9457A" w:rsidRPr="004C6591">
        <w:t>the</w:t>
      </w:r>
      <w:r w:rsidR="00F44F6B" w:rsidRPr="004C6591">
        <w:t xml:space="preserve"> majority  of patients </w:t>
      </w:r>
      <w:r w:rsidR="00F54B14" w:rsidRPr="004C6591">
        <w:t xml:space="preserve">in the INAVO120 trial </w:t>
      </w:r>
      <w:r w:rsidR="00F44F6B" w:rsidRPr="004C6591">
        <w:t>were tested</w:t>
      </w:r>
      <w:r w:rsidR="006301BB" w:rsidRPr="004C6591">
        <w:t xml:space="preserve"> through central testing</w:t>
      </w:r>
      <w:r w:rsidR="00F44F6B" w:rsidRPr="004C6591">
        <w:t xml:space="preserve"> using </w:t>
      </w:r>
      <w:r w:rsidR="00D27CF7" w:rsidRPr="004C6591">
        <w:t>FoundationOne</w:t>
      </w:r>
      <w:r w:rsidR="00D27CF7" w:rsidRPr="004C6591">
        <w:rPr>
          <w:rFonts w:cs="Calibri"/>
        </w:rPr>
        <w:t>®</w:t>
      </w:r>
      <w:r w:rsidR="00D27CF7" w:rsidRPr="004C6591">
        <w:t xml:space="preserve"> Liquid CDx</w:t>
      </w:r>
      <w:r w:rsidR="00B9457A" w:rsidRPr="004C6591">
        <w:t xml:space="preserve">. </w:t>
      </w:r>
      <w:r w:rsidR="009C5627" w:rsidRPr="004C6591">
        <w:t>Of note, c</w:t>
      </w:r>
      <w:r w:rsidR="00B9457A" w:rsidRPr="004C6591">
        <w:t xml:space="preserve">entral ctDNA testing was </w:t>
      </w:r>
      <w:r w:rsidR="009C5627" w:rsidRPr="004C6591">
        <w:t xml:space="preserve">also </w:t>
      </w:r>
      <w:r w:rsidR="00B9457A" w:rsidRPr="004C6591">
        <w:t>conducted using</w:t>
      </w:r>
      <w:r w:rsidR="00F44F6B" w:rsidRPr="004C6591">
        <w:t xml:space="preserve"> </w:t>
      </w:r>
      <w:r w:rsidR="00A75DA7" w:rsidRPr="004C6591">
        <w:t>PredicineCARE NGS assay (Huidu)</w:t>
      </w:r>
      <w:r w:rsidR="00EF0647" w:rsidRPr="004C6591">
        <w:t xml:space="preserve"> in China</w:t>
      </w:r>
      <w:r w:rsidR="00243A93" w:rsidRPr="004C6591">
        <w:t xml:space="preserve">, of which the </w:t>
      </w:r>
      <w:r w:rsidR="00F66109" w:rsidRPr="004C6591">
        <w:t>data</w:t>
      </w:r>
      <w:r w:rsidR="00243A93" w:rsidRPr="004C6591">
        <w:t xml:space="preserve"> w</w:t>
      </w:r>
      <w:r w:rsidR="00F66109" w:rsidRPr="004C6591">
        <w:t>as</w:t>
      </w:r>
      <w:r w:rsidR="006D71FB" w:rsidRPr="004C6591">
        <w:t xml:space="preserve"> unavailable</w:t>
      </w:r>
      <w:r w:rsidR="00243A93" w:rsidRPr="004C6591">
        <w:t xml:space="preserve"> during PICO development</w:t>
      </w:r>
      <w:r w:rsidR="00A75DA7" w:rsidRPr="004C6591">
        <w:t>. Only 7.4% of the patients were enrolled using tumour tissue testing</w:t>
      </w:r>
      <w:r w:rsidR="004660BB" w:rsidRPr="004C6591">
        <w:t xml:space="preserve"> and</w:t>
      </w:r>
      <w:r w:rsidR="0073733A" w:rsidRPr="004C6591">
        <w:t xml:space="preserve"> </w:t>
      </w:r>
      <w:r w:rsidR="009F4B45">
        <w:t>REDACTED</w:t>
      </w:r>
      <w:r w:rsidR="0073733A" w:rsidRPr="004C6591">
        <w:t>% of the patients were tested using ctDNA local testing.</w:t>
      </w:r>
      <w:r w:rsidR="00C574B6" w:rsidRPr="004C6591">
        <w:t xml:space="preserve"> </w:t>
      </w:r>
    </w:p>
    <w:p w14:paraId="42FA91AD" w14:textId="6F1A398D" w:rsidR="002A276F" w:rsidRPr="004C6591" w:rsidRDefault="009B1EF8" w:rsidP="002829BC">
      <w:r w:rsidRPr="004C6591">
        <w:t>FoundationOne</w:t>
      </w:r>
      <w:r w:rsidRPr="004C6591">
        <w:rPr>
          <w:rFonts w:cs="Calibri"/>
        </w:rPr>
        <w:t>®</w:t>
      </w:r>
      <w:r w:rsidRPr="004C6591">
        <w:t xml:space="preserve"> Liquid CDx </w:t>
      </w:r>
      <w:r w:rsidR="0082124F" w:rsidRPr="004C6591">
        <w:t xml:space="preserve">Specimen Collection Kit </w:t>
      </w:r>
      <w:r w:rsidRPr="004C6591">
        <w:t xml:space="preserve">is </w:t>
      </w:r>
      <w:r w:rsidR="00E06FD5" w:rsidRPr="004C6591">
        <w:t xml:space="preserve">registered </w:t>
      </w:r>
      <w:r w:rsidR="601FA7D7" w:rsidRPr="004C6591">
        <w:t>on the</w:t>
      </w:r>
      <w:r w:rsidR="00E06FD5" w:rsidRPr="004C6591">
        <w:t xml:space="preserve"> ARTG</w:t>
      </w:r>
      <w:r w:rsidRPr="004C6591">
        <w:t xml:space="preserve"> and</w:t>
      </w:r>
      <w:r w:rsidR="00E06FD5" w:rsidRPr="004C6591">
        <w:t xml:space="preserve"> is available in Australia. However, </w:t>
      </w:r>
      <w:r w:rsidR="0052799A" w:rsidRPr="004C6591">
        <w:t xml:space="preserve">FoundationOne® Liquid CDx </w:t>
      </w:r>
      <w:r w:rsidR="00AE518F" w:rsidRPr="004C6591">
        <w:t xml:space="preserve">assay </w:t>
      </w:r>
      <w:r w:rsidR="0052799A" w:rsidRPr="004C6591">
        <w:t xml:space="preserve">is not registered as </w:t>
      </w:r>
      <w:r w:rsidR="00A218E2" w:rsidRPr="004C6591">
        <w:t>a</w:t>
      </w:r>
      <w:r w:rsidR="0052799A" w:rsidRPr="004C6591">
        <w:t xml:space="preserve"> ‘companion diagnostic’ with the TGA. Also, </w:t>
      </w:r>
      <w:r w:rsidR="009C1B32" w:rsidRPr="004C6591">
        <w:t xml:space="preserve">the </w:t>
      </w:r>
      <w:r w:rsidR="00E06FD5" w:rsidRPr="004C6591">
        <w:t>PredicineCARE NGS assay</w:t>
      </w:r>
      <w:r w:rsidR="0052799A" w:rsidRPr="004C6591">
        <w:t xml:space="preserve"> utilised in the INAVO120 trial</w:t>
      </w:r>
      <w:r w:rsidR="009C1B32" w:rsidRPr="004C6591">
        <w:t xml:space="preserve"> </w:t>
      </w:r>
      <w:r w:rsidR="00E06FD5" w:rsidRPr="004C6591">
        <w:t xml:space="preserve">is currently not registered </w:t>
      </w:r>
      <w:r w:rsidR="00A218E2" w:rsidRPr="004C6591">
        <w:t xml:space="preserve">on the </w:t>
      </w:r>
      <w:r w:rsidR="00E06FD5" w:rsidRPr="004C6591">
        <w:t>ARTG</w:t>
      </w:r>
      <w:r w:rsidR="009C1B32" w:rsidRPr="004C6591">
        <w:t xml:space="preserve">. </w:t>
      </w:r>
      <w:r w:rsidR="005B5EB0" w:rsidRPr="004C6591">
        <w:t xml:space="preserve">It is not clear how many participants were tested using the FoundationOne® Liquid CDx assay vs the PredicineCARE NGS assay </w:t>
      </w:r>
      <w:r w:rsidR="00E06FD5" w:rsidRPr="004C6591">
        <w:t>in the INAVO120 trial</w:t>
      </w:r>
      <w:r w:rsidR="0015625F" w:rsidRPr="004C6591">
        <w:t xml:space="preserve"> and the applicant was asked to provide this information</w:t>
      </w:r>
      <w:r w:rsidR="00A50DC1" w:rsidRPr="004C6591">
        <w:t>.</w:t>
      </w:r>
      <w:r w:rsidRPr="004C6591">
        <w:t xml:space="preserve"> </w:t>
      </w:r>
    </w:p>
    <w:p w14:paraId="10435B98" w14:textId="095CF0E8" w:rsidR="00844BE3" w:rsidRPr="004C6591" w:rsidRDefault="001D6818" w:rsidP="00435CBD">
      <w:pPr>
        <w:rPr>
          <w:rFonts w:asciiTheme="minorHAnsi" w:hAnsiTheme="minorHAnsi" w:cstheme="minorBidi"/>
          <w:i/>
          <w:iCs/>
        </w:rPr>
      </w:pPr>
      <w:r w:rsidRPr="004C6591">
        <w:rPr>
          <w:rFonts w:asciiTheme="minorHAnsi" w:hAnsiTheme="minorHAnsi" w:cstheme="minorBidi"/>
          <w:i/>
          <w:iCs/>
        </w:rPr>
        <w:t xml:space="preserve">The applicant clarified that FoundationOne® Liquid CDx and PredicineCARE NGS assay (Huidu) were not the same test and the majority of the patients enrolled in INAVO120 were tested with FoundationOne® Liquid CDx, which is currently not listed on the ARTG. Specifically, the applicant advised that </w:t>
      </w:r>
      <w:r w:rsidR="00E6646F">
        <w:rPr>
          <w:rFonts w:asciiTheme="minorHAnsi" w:hAnsiTheme="minorHAnsi" w:cstheme="minorBidi"/>
          <w:i/>
          <w:iCs/>
        </w:rPr>
        <w:t>REDACTED</w:t>
      </w:r>
      <w:r w:rsidRPr="004C6591">
        <w:rPr>
          <w:rFonts w:asciiTheme="minorHAnsi" w:hAnsiTheme="minorHAnsi" w:cstheme="minorBidi"/>
          <w:i/>
          <w:iCs/>
        </w:rPr>
        <w:t xml:space="preserve">% of the cohort enrolled in INAVO120 were based on </w:t>
      </w:r>
      <w:r w:rsidR="00A71629">
        <w:rPr>
          <w:rFonts w:asciiTheme="minorHAnsi" w:hAnsiTheme="minorHAnsi" w:cstheme="minorBidi"/>
          <w:i/>
          <w:iCs/>
        </w:rPr>
        <w:t xml:space="preserve">central testing using </w:t>
      </w:r>
      <w:r w:rsidRPr="004C6591">
        <w:rPr>
          <w:rFonts w:asciiTheme="minorHAnsi" w:hAnsiTheme="minorHAnsi" w:cstheme="minorBidi"/>
          <w:i/>
          <w:iCs/>
        </w:rPr>
        <w:t xml:space="preserve">ctDNA, of which </w:t>
      </w:r>
      <w:r w:rsidR="00E6646F">
        <w:rPr>
          <w:rFonts w:asciiTheme="minorHAnsi" w:hAnsiTheme="minorHAnsi" w:cstheme="minorBidi"/>
          <w:i/>
          <w:iCs/>
        </w:rPr>
        <w:t>REDACTED</w:t>
      </w:r>
      <w:r w:rsidRPr="004C6591">
        <w:rPr>
          <w:rFonts w:asciiTheme="minorHAnsi" w:hAnsiTheme="minorHAnsi" w:cstheme="minorBidi"/>
          <w:i/>
          <w:iCs/>
        </w:rPr>
        <w:t xml:space="preserve">% were from outside China and were tested using the FoundationOne® Liquid CDx assay, and only </w:t>
      </w:r>
      <w:r w:rsidR="009F4B45">
        <w:rPr>
          <w:rFonts w:asciiTheme="minorHAnsi" w:hAnsiTheme="minorHAnsi" w:cstheme="minorBidi"/>
          <w:i/>
          <w:iCs/>
        </w:rPr>
        <w:t>REDACTED</w:t>
      </w:r>
      <w:r w:rsidRPr="004C6591">
        <w:rPr>
          <w:rFonts w:asciiTheme="minorHAnsi" w:hAnsiTheme="minorHAnsi" w:cstheme="minorBidi"/>
          <w:i/>
          <w:iCs/>
        </w:rPr>
        <w:t>% were from China and were tested using the PredicineCARE NGS assay.</w:t>
      </w:r>
      <w:r w:rsidR="00104125" w:rsidRPr="004C6591">
        <w:rPr>
          <w:rFonts w:asciiTheme="minorHAnsi" w:hAnsiTheme="minorHAnsi" w:cstheme="minorBidi"/>
          <w:i/>
          <w:iCs/>
        </w:rPr>
        <w:t xml:space="preserve"> </w:t>
      </w:r>
      <w:r w:rsidR="0022691F" w:rsidRPr="004C6591">
        <w:rPr>
          <w:rFonts w:asciiTheme="minorHAnsi" w:hAnsiTheme="minorHAnsi" w:cstheme="minorBidi"/>
          <w:i/>
          <w:iCs/>
        </w:rPr>
        <w:t xml:space="preserve">PASC advised that FoundationOne® Liquid CDx was a reasonable clinical utility standard as it was the most used method in the INAVO120 trial. </w:t>
      </w:r>
    </w:p>
    <w:p w14:paraId="29C1EA87" w14:textId="77777777" w:rsidR="007A66C8" w:rsidRPr="004C6591" w:rsidRDefault="007A66C8" w:rsidP="00713728">
      <w:pPr>
        <w:pStyle w:val="Heading3"/>
      </w:pPr>
      <w:r w:rsidRPr="004C6591">
        <w:lastRenderedPageBreak/>
        <w:t xml:space="preserve">Outcomes </w:t>
      </w:r>
    </w:p>
    <w:p w14:paraId="13A69491" w14:textId="01178BCD" w:rsidR="00CF301D" w:rsidRPr="004C6591" w:rsidRDefault="00CF301D" w:rsidP="00CF301D">
      <w:r w:rsidRPr="004C6591">
        <w:t>The following test and treatment outcomes are applicable for this co-dependent MSAC/PBAC application:</w:t>
      </w:r>
    </w:p>
    <w:p w14:paraId="4C323D64" w14:textId="77777777" w:rsidR="00CF301D" w:rsidRPr="004C6591" w:rsidRDefault="00CF301D" w:rsidP="00CF301D">
      <w:pPr>
        <w:pStyle w:val="Heading4"/>
      </w:pPr>
      <w:r w:rsidRPr="004C6591">
        <w:t>Test outcomes</w:t>
      </w:r>
    </w:p>
    <w:p w14:paraId="3E69F5F4" w14:textId="0B83A406" w:rsidR="00CF301D" w:rsidRPr="004C6591" w:rsidRDefault="00CF301D" w:rsidP="00CF301D">
      <w:r w:rsidRPr="004C6591">
        <w:t>Efficacy/effectiveness</w:t>
      </w:r>
    </w:p>
    <w:p w14:paraId="020D5634" w14:textId="4BF6C5E4" w:rsidR="00CF301D" w:rsidRPr="004C6591" w:rsidRDefault="00CF301D" w:rsidP="00BD7374">
      <w:pPr>
        <w:pStyle w:val="ListParagraph"/>
        <w:numPr>
          <w:ilvl w:val="0"/>
          <w:numId w:val="10"/>
        </w:numPr>
      </w:pPr>
      <w:r w:rsidRPr="004C6591">
        <w:t xml:space="preserve">Analytical performance, diagnostic and predictive accuracy of </w:t>
      </w:r>
      <w:r w:rsidR="00AA35B7" w:rsidRPr="004C6591">
        <w:t xml:space="preserve">the proposed </w:t>
      </w:r>
      <w:r w:rsidRPr="004C6591">
        <w:rPr>
          <w:i/>
          <w:iCs/>
        </w:rPr>
        <w:t>PIK3CA</w:t>
      </w:r>
      <w:r w:rsidRPr="004C6591">
        <w:t xml:space="preserve"> variant</w:t>
      </w:r>
      <w:r w:rsidR="001D7B3B" w:rsidRPr="004C6591">
        <w:t>s</w:t>
      </w:r>
      <w:r w:rsidRPr="004C6591">
        <w:t xml:space="preserve"> testing using NGS (sensitivity, specificity, positive predictive value (PPV), and negative predictive value (NPV)).</w:t>
      </w:r>
    </w:p>
    <w:p w14:paraId="54B0C415" w14:textId="47D3D41C" w:rsidR="00CF301D" w:rsidRPr="004C6591" w:rsidRDefault="00CF301D" w:rsidP="00BD7374">
      <w:pPr>
        <w:pStyle w:val="ListParagraph"/>
        <w:numPr>
          <w:ilvl w:val="0"/>
          <w:numId w:val="10"/>
        </w:numPr>
      </w:pPr>
      <w:r w:rsidRPr="004C6591">
        <w:t xml:space="preserve">Comparison of the analytical performance (concordance and discordance) of the proposed </w:t>
      </w:r>
      <w:r w:rsidRPr="004C6591">
        <w:rPr>
          <w:i/>
          <w:iCs/>
        </w:rPr>
        <w:t>PIK3CA</w:t>
      </w:r>
      <w:r w:rsidRPr="004C6591">
        <w:t xml:space="preserve"> variant</w:t>
      </w:r>
      <w:r w:rsidR="001D7B3B" w:rsidRPr="004C6591">
        <w:t>s</w:t>
      </w:r>
      <w:r w:rsidRPr="004C6591">
        <w:t xml:space="preserve"> testing using NGS</w:t>
      </w:r>
      <w:r w:rsidR="00D32073" w:rsidRPr="004C6591">
        <w:t xml:space="preserve"> (for both ctDNA and tumour tissue) </w:t>
      </w:r>
      <w:r w:rsidR="00AA35B7" w:rsidRPr="004C6591">
        <w:t>to the clinical utility standard (no reference standard)</w:t>
      </w:r>
      <w:r w:rsidR="00D32073" w:rsidRPr="004C6591">
        <w:t>.</w:t>
      </w:r>
    </w:p>
    <w:p w14:paraId="0BE6006B" w14:textId="3A554257" w:rsidR="00D32073" w:rsidRPr="004C6591" w:rsidRDefault="00D32073" w:rsidP="00BD7374">
      <w:pPr>
        <w:pStyle w:val="ListParagraph"/>
        <w:numPr>
          <w:ilvl w:val="0"/>
          <w:numId w:val="10"/>
        </w:numPr>
      </w:pPr>
      <w:r w:rsidRPr="004C6591">
        <w:t xml:space="preserve">Comparison of </w:t>
      </w:r>
      <w:r w:rsidRPr="004C6591">
        <w:rPr>
          <w:i/>
        </w:rPr>
        <w:t>PIK3CA</w:t>
      </w:r>
      <w:r w:rsidRPr="004C6591">
        <w:t xml:space="preserve"> </w:t>
      </w:r>
      <w:r w:rsidR="001D7B3B" w:rsidRPr="004C6591">
        <w:t xml:space="preserve">variants </w:t>
      </w:r>
      <w:r w:rsidRPr="004C6591">
        <w:t>tests using NGS (commercial and in-house developed) that are likely to be used in Australia, considering both ctDNA and tumour tissue tests.</w:t>
      </w:r>
    </w:p>
    <w:p w14:paraId="1C5F4681" w14:textId="4E42A69F" w:rsidR="00CF301D" w:rsidRPr="004C6591" w:rsidRDefault="00CF301D" w:rsidP="00BD7374">
      <w:pPr>
        <w:pStyle w:val="ListParagraph"/>
        <w:numPr>
          <w:ilvl w:val="0"/>
          <w:numId w:val="10"/>
        </w:numPr>
      </w:pPr>
      <w:r w:rsidRPr="004C6591">
        <w:t xml:space="preserve">Comparative </w:t>
      </w:r>
      <w:r w:rsidR="00EF435F" w:rsidRPr="004C6591">
        <w:t>diagnostic accuracy between</w:t>
      </w:r>
      <w:r w:rsidRPr="004C6591">
        <w:t xml:space="preserve"> ctDN</w:t>
      </w:r>
      <w:r w:rsidR="00E77E19" w:rsidRPr="004C6591">
        <w:t>A</w:t>
      </w:r>
      <w:r w:rsidRPr="004C6591">
        <w:t xml:space="preserve"> from blood sample </w:t>
      </w:r>
      <w:r w:rsidR="00EF435F" w:rsidRPr="004C6591">
        <w:t>and</w:t>
      </w:r>
      <w:r w:rsidRPr="004C6591">
        <w:t xml:space="preserve"> tumour tissue sample</w:t>
      </w:r>
      <w:r w:rsidR="006935BE" w:rsidRPr="004C6591">
        <w:t xml:space="preserve"> (fresh/archival/primary/metastasis sample)</w:t>
      </w:r>
      <w:r w:rsidRPr="004C6591">
        <w:t xml:space="preserve"> </w:t>
      </w:r>
      <w:r w:rsidR="00EF435F" w:rsidRPr="004C6591">
        <w:t>in the identification of</w:t>
      </w:r>
      <w:r w:rsidRPr="004C6591">
        <w:t xml:space="preserve"> </w:t>
      </w:r>
      <w:r w:rsidRPr="004C6591">
        <w:rPr>
          <w:i/>
          <w:iCs/>
        </w:rPr>
        <w:t>PIK3CA</w:t>
      </w:r>
      <w:r w:rsidRPr="004C6591">
        <w:t xml:space="preserve"> variant</w:t>
      </w:r>
      <w:r w:rsidR="00392A7E" w:rsidRPr="004C6591">
        <w:t>s</w:t>
      </w:r>
      <w:r w:rsidRPr="004C6591">
        <w:t>.</w:t>
      </w:r>
    </w:p>
    <w:p w14:paraId="0E208A6C" w14:textId="1914BA62" w:rsidR="00CF301D" w:rsidRPr="004C6591" w:rsidRDefault="00CF301D" w:rsidP="00BD7374">
      <w:pPr>
        <w:pStyle w:val="ListParagraph"/>
        <w:numPr>
          <w:ilvl w:val="0"/>
          <w:numId w:val="10"/>
        </w:numPr>
      </w:pPr>
      <w:r w:rsidRPr="004C6591">
        <w:t>Clinical validity of test:</w:t>
      </w:r>
    </w:p>
    <w:p w14:paraId="116B169F" w14:textId="73DECAC9" w:rsidR="00CF301D" w:rsidRPr="004C6591" w:rsidRDefault="00CF301D" w:rsidP="00BD7374">
      <w:pPr>
        <w:pStyle w:val="ListParagraph"/>
        <w:numPr>
          <w:ilvl w:val="1"/>
          <w:numId w:val="10"/>
        </w:numPr>
      </w:pPr>
      <w:r w:rsidRPr="004C6591">
        <w:t xml:space="preserve">Differential prognostic effect of the proposed </w:t>
      </w:r>
      <w:r w:rsidRPr="004C6591">
        <w:rPr>
          <w:i/>
          <w:iCs/>
        </w:rPr>
        <w:t>PIK3CA</w:t>
      </w:r>
      <w:r w:rsidRPr="004C6591">
        <w:t xml:space="preserve"> variant</w:t>
      </w:r>
      <w:r w:rsidR="00BD4D17" w:rsidRPr="004C6591">
        <w:t>s</w:t>
      </w:r>
      <w:r w:rsidRPr="004C6591">
        <w:t xml:space="preserve"> testing in </w:t>
      </w:r>
      <w:r w:rsidR="00BD4D17" w:rsidRPr="004C6591">
        <w:t>LA/mBC</w:t>
      </w:r>
      <w:r w:rsidRPr="004C6591">
        <w:t xml:space="preserve">, particularly including an assessment of whether this prognostic effect varies further according to whether the patient is positive or negative for </w:t>
      </w:r>
      <w:r w:rsidRPr="004C6591">
        <w:rPr>
          <w:i/>
          <w:iCs/>
        </w:rPr>
        <w:t>PIK3CA</w:t>
      </w:r>
      <w:r w:rsidRPr="004C6591">
        <w:t xml:space="preserve"> variant</w:t>
      </w:r>
      <w:r w:rsidR="00CF5905" w:rsidRPr="004C6591">
        <w:t>s</w:t>
      </w:r>
      <w:r w:rsidR="00ED0981" w:rsidRPr="004C6591">
        <w:t>.</w:t>
      </w:r>
    </w:p>
    <w:p w14:paraId="544F8CE1" w14:textId="56781227" w:rsidR="00CF301D" w:rsidRPr="004C6591" w:rsidRDefault="00CF301D" w:rsidP="00BD7374">
      <w:pPr>
        <w:pStyle w:val="ListParagraph"/>
        <w:numPr>
          <w:ilvl w:val="0"/>
          <w:numId w:val="10"/>
        </w:numPr>
      </w:pPr>
      <w:r w:rsidRPr="004C6591">
        <w:t>Clinical utility of test:</w:t>
      </w:r>
    </w:p>
    <w:p w14:paraId="0ADC79A5" w14:textId="579B892C" w:rsidR="00CF301D" w:rsidRPr="004C6591" w:rsidRDefault="00CF301D" w:rsidP="00BD7374">
      <w:pPr>
        <w:pStyle w:val="ListParagraph"/>
        <w:numPr>
          <w:ilvl w:val="1"/>
          <w:numId w:val="10"/>
        </w:numPr>
      </w:pPr>
      <w:r w:rsidRPr="004C6591">
        <w:t xml:space="preserve">Treatment effect modification of inavolisib as a consequence of </w:t>
      </w:r>
      <w:r w:rsidRPr="004C6591">
        <w:rPr>
          <w:i/>
          <w:iCs/>
        </w:rPr>
        <w:t>PIK3CA</w:t>
      </w:r>
      <w:r w:rsidRPr="004C6591">
        <w:t xml:space="preserve"> status from testing using ctDNA or tissue sample</w:t>
      </w:r>
      <w:r w:rsidR="00ED0981" w:rsidRPr="004C6591">
        <w:t>.</w:t>
      </w:r>
    </w:p>
    <w:p w14:paraId="4733639E" w14:textId="08DE96AF" w:rsidR="00CF301D" w:rsidRPr="004C6591" w:rsidRDefault="00CF301D" w:rsidP="00BD7374">
      <w:pPr>
        <w:pStyle w:val="ListParagraph"/>
        <w:numPr>
          <w:ilvl w:val="1"/>
          <w:numId w:val="10"/>
        </w:numPr>
      </w:pPr>
      <w:r w:rsidRPr="004C6591">
        <w:t xml:space="preserve">Whether </w:t>
      </w:r>
      <w:r w:rsidRPr="004C6591">
        <w:rPr>
          <w:i/>
          <w:iCs/>
        </w:rPr>
        <w:t>PIK3CA</w:t>
      </w:r>
      <w:r w:rsidRPr="004C6591">
        <w:t xml:space="preserve"> variant</w:t>
      </w:r>
      <w:r w:rsidR="00580A52" w:rsidRPr="004C6591">
        <w:t>s</w:t>
      </w:r>
      <w:r w:rsidRPr="004C6591">
        <w:t xml:space="preserve"> testing </w:t>
      </w:r>
      <w:r w:rsidR="00580A52" w:rsidRPr="004C6591">
        <w:t>provides predictive value in determining which</w:t>
      </w:r>
      <w:r w:rsidRPr="004C6591">
        <w:t xml:space="preserve"> patients are likely to respond most to inavolisib.</w:t>
      </w:r>
    </w:p>
    <w:p w14:paraId="1981727A" w14:textId="0A24490D" w:rsidR="00CF301D" w:rsidRPr="004C6591" w:rsidRDefault="00CF301D" w:rsidP="00BD7374">
      <w:pPr>
        <w:pStyle w:val="ListParagraph"/>
        <w:numPr>
          <w:ilvl w:val="0"/>
          <w:numId w:val="10"/>
        </w:numPr>
      </w:pPr>
      <w:r w:rsidRPr="004C6591">
        <w:t>Other test related considerations:</w:t>
      </w:r>
    </w:p>
    <w:p w14:paraId="16117024" w14:textId="2E1ED28C" w:rsidR="00CF301D" w:rsidRPr="004C6591" w:rsidRDefault="00CF301D" w:rsidP="00BD7374">
      <w:pPr>
        <w:pStyle w:val="ListParagraph"/>
        <w:numPr>
          <w:ilvl w:val="1"/>
          <w:numId w:val="10"/>
        </w:numPr>
      </w:pPr>
      <w:r w:rsidRPr="004C6591">
        <w:t>Test turnaround time.</w:t>
      </w:r>
    </w:p>
    <w:p w14:paraId="3607C2EF" w14:textId="44D58374" w:rsidR="00CF301D" w:rsidRPr="004C6591" w:rsidRDefault="00CF301D" w:rsidP="00BD7374">
      <w:pPr>
        <w:pStyle w:val="ListParagraph"/>
        <w:numPr>
          <w:ilvl w:val="1"/>
          <w:numId w:val="10"/>
        </w:numPr>
      </w:pPr>
      <w:r w:rsidRPr="004C6591">
        <w:t>Test failure rates and re-biopsy rates</w:t>
      </w:r>
      <w:r w:rsidR="008F70D9" w:rsidRPr="004C6591">
        <w:t xml:space="preserve"> (if tumour tissue sample)</w:t>
      </w:r>
      <w:r w:rsidRPr="004C6591">
        <w:t xml:space="preserve">. </w:t>
      </w:r>
    </w:p>
    <w:p w14:paraId="62CE2AF5" w14:textId="77777777" w:rsidR="00CF301D" w:rsidRPr="004C6591" w:rsidRDefault="00CF301D" w:rsidP="00CF301D">
      <w:r w:rsidRPr="004C6591">
        <w:t>Safety outcomes</w:t>
      </w:r>
    </w:p>
    <w:p w14:paraId="1A52D492" w14:textId="7774E5C7" w:rsidR="00CF301D" w:rsidRPr="004C6591" w:rsidRDefault="00CF301D" w:rsidP="00BD7374">
      <w:pPr>
        <w:pStyle w:val="ListParagraph"/>
        <w:numPr>
          <w:ilvl w:val="0"/>
          <w:numId w:val="10"/>
        </w:numPr>
      </w:pPr>
      <w:r w:rsidRPr="004C6591">
        <w:t>Adverse events associated with collection of plasma sample for ctDNA analysis</w:t>
      </w:r>
      <w:r w:rsidR="003D4B89" w:rsidRPr="004C6591">
        <w:t>,</w:t>
      </w:r>
      <w:r w:rsidRPr="004C6591">
        <w:t xml:space="preserve"> biopsy</w:t>
      </w:r>
      <w:r w:rsidR="003D4B89" w:rsidRPr="004C6591">
        <w:t xml:space="preserve"> for tumour tissue testing, and </w:t>
      </w:r>
      <w:r w:rsidRPr="004C6591">
        <w:t>re-biopsy</w:t>
      </w:r>
      <w:r w:rsidR="003D4B89" w:rsidRPr="004C6591">
        <w:t xml:space="preserve"> (e.g.</w:t>
      </w:r>
      <w:r w:rsidRPr="004C6591">
        <w:t xml:space="preserve"> for patients with</w:t>
      </w:r>
      <w:r w:rsidR="003D4B89" w:rsidRPr="004C6591">
        <w:t xml:space="preserve"> an</w:t>
      </w:r>
      <w:r w:rsidRPr="004C6591">
        <w:t xml:space="preserve"> inadequate tissue</w:t>
      </w:r>
      <w:r w:rsidR="003D4B89" w:rsidRPr="004C6591">
        <w:t xml:space="preserve"> sample</w:t>
      </w:r>
      <w:r w:rsidRPr="004C6591">
        <w:t xml:space="preserve"> for tumour testing</w:t>
      </w:r>
      <w:r w:rsidR="003D4B89" w:rsidRPr="004C6591">
        <w:t>)</w:t>
      </w:r>
      <w:r w:rsidRPr="004C6591">
        <w:t>.</w:t>
      </w:r>
    </w:p>
    <w:p w14:paraId="76B1972A" w14:textId="77777777" w:rsidR="00CF301D" w:rsidRPr="004C6591" w:rsidRDefault="00CF301D" w:rsidP="00CF301D">
      <w:r w:rsidRPr="004C6591">
        <w:t xml:space="preserve">Healthcare resources </w:t>
      </w:r>
    </w:p>
    <w:p w14:paraId="160113F5" w14:textId="382DFEFA" w:rsidR="00CF301D" w:rsidRPr="004C6591" w:rsidRDefault="00CF301D" w:rsidP="00BD7374">
      <w:pPr>
        <w:pStyle w:val="ListParagraph"/>
        <w:numPr>
          <w:ilvl w:val="0"/>
          <w:numId w:val="10"/>
        </w:numPr>
      </w:pPr>
      <w:r w:rsidRPr="004C6591">
        <w:t>Estimated number of patients to be tested</w:t>
      </w:r>
      <w:r w:rsidR="00ED0981" w:rsidRPr="004C6591">
        <w:t>.</w:t>
      </w:r>
    </w:p>
    <w:p w14:paraId="42674E7C" w14:textId="73950D59" w:rsidR="00CF301D" w:rsidRPr="004C6591" w:rsidRDefault="00CF301D" w:rsidP="00BD7374">
      <w:pPr>
        <w:pStyle w:val="ListParagraph"/>
        <w:numPr>
          <w:ilvl w:val="0"/>
          <w:numId w:val="10"/>
        </w:numPr>
      </w:pPr>
      <w:r w:rsidRPr="004C6591">
        <w:t>Cost of test intervention and associated delivery cost</w:t>
      </w:r>
      <w:r w:rsidR="00ED0981" w:rsidRPr="004C6591">
        <w:t>.</w:t>
      </w:r>
    </w:p>
    <w:p w14:paraId="103AB288" w14:textId="2B9AFAD2" w:rsidR="00CF301D" w:rsidRPr="004C6591" w:rsidRDefault="00CF301D" w:rsidP="00BD7374">
      <w:pPr>
        <w:pStyle w:val="ListParagraph"/>
        <w:numPr>
          <w:ilvl w:val="0"/>
          <w:numId w:val="10"/>
        </w:numPr>
      </w:pPr>
      <w:r w:rsidRPr="004C6591">
        <w:t>Cost of re-biopsy</w:t>
      </w:r>
      <w:r w:rsidR="008F70D9" w:rsidRPr="004C6591">
        <w:t xml:space="preserve"> (if tumour tissue sample)</w:t>
      </w:r>
      <w:r w:rsidR="00ED0981" w:rsidRPr="004C6591">
        <w:t>.</w:t>
      </w:r>
    </w:p>
    <w:p w14:paraId="36DFC9D3" w14:textId="1F26B92F" w:rsidR="00CF301D" w:rsidRPr="004C6591" w:rsidRDefault="00CF301D" w:rsidP="00BD7374">
      <w:pPr>
        <w:pStyle w:val="ListParagraph"/>
        <w:numPr>
          <w:ilvl w:val="0"/>
          <w:numId w:val="10"/>
        </w:numPr>
      </w:pPr>
      <w:r w:rsidRPr="004C6591">
        <w:t>Cost of blood plasma collection</w:t>
      </w:r>
      <w:r w:rsidR="00ED0981" w:rsidRPr="004C6591">
        <w:t>.</w:t>
      </w:r>
    </w:p>
    <w:p w14:paraId="5434AA5B" w14:textId="06D1877E" w:rsidR="00CF301D" w:rsidRPr="004C6591" w:rsidRDefault="00CF301D" w:rsidP="00FC50E3">
      <w:pPr>
        <w:pStyle w:val="ListParagraph"/>
        <w:numPr>
          <w:ilvl w:val="0"/>
          <w:numId w:val="10"/>
        </w:numPr>
      </w:pPr>
      <w:r w:rsidRPr="004C6591">
        <w:t>Cost of re-test</w:t>
      </w:r>
      <w:r w:rsidR="00552A3F" w:rsidRPr="004C6591">
        <w:t xml:space="preserve"> (if tumour tissue testing is conducted after a negative ctDNA test)</w:t>
      </w:r>
      <w:r w:rsidR="00ED0981" w:rsidRPr="004C6591">
        <w:t>.</w:t>
      </w:r>
    </w:p>
    <w:p w14:paraId="0378439F" w14:textId="77777777" w:rsidR="00CF301D" w:rsidRPr="004C6591" w:rsidRDefault="00CF301D" w:rsidP="00902655">
      <w:pPr>
        <w:pStyle w:val="Heading4"/>
      </w:pPr>
      <w:r w:rsidRPr="004C6591">
        <w:lastRenderedPageBreak/>
        <w:t>Treatment outcomes</w:t>
      </w:r>
    </w:p>
    <w:p w14:paraId="37C6E714" w14:textId="77777777" w:rsidR="00CF301D" w:rsidRPr="004C6591" w:rsidRDefault="00CF301D" w:rsidP="00CF301D">
      <w:r w:rsidRPr="004C6591">
        <w:t>Efficacy/effectiveness</w:t>
      </w:r>
    </w:p>
    <w:p w14:paraId="649BCC92" w14:textId="0C9A1942" w:rsidR="00CF301D" w:rsidRPr="004C6591" w:rsidRDefault="00CF301D" w:rsidP="009110F6">
      <w:pPr>
        <w:pStyle w:val="ListParagraph"/>
        <w:numPr>
          <w:ilvl w:val="0"/>
          <w:numId w:val="11"/>
        </w:numPr>
        <w:ind w:left="714" w:hanging="357"/>
      </w:pPr>
      <w:r w:rsidRPr="004C6591">
        <w:t>PFS</w:t>
      </w:r>
      <w:r w:rsidR="00ED0981" w:rsidRPr="004C6591">
        <w:t>.</w:t>
      </w:r>
    </w:p>
    <w:p w14:paraId="4803E2DE" w14:textId="389D7B90" w:rsidR="00CF301D" w:rsidRPr="004C6591" w:rsidRDefault="00CF301D" w:rsidP="009110F6">
      <w:pPr>
        <w:pStyle w:val="ListParagraph"/>
        <w:numPr>
          <w:ilvl w:val="0"/>
          <w:numId w:val="11"/>
        </w:numPr>
        <w:ind w:left="714" w:hanging="357"/>
      </w:pPr>
      <w:r w:rsidRPr="004C6591">
        <w:t>OS</w:t>
      </w:r>
      <w:r w:rsidR="00ED0981" w:rsidRPr="004C6591">
        <w:t>.</w:t>
      </w:r>
    </w:p>
    <w:p w14:paraId="582332B8" w14:textId="76CD2F53" w:rsidR="00CF301D" w:rsidRPr="004C6591" w:rsidRDefault="00CF301D" w:rsidP="009110F6">
      <w:pPr>
        <w:pStyle w:val="ListParagraph"/>
        <w:numPr>
          <w:ilvl w:val="0"/>
          <w:numId w:val="11"/>
        </w:numPr>
        <w:ind w:left="714" w:hanging="357"/>
      </w:pPr>
      <w:r w:rsidRPr="004C6591">
        <w:t>Response rate</w:t>
      </w:r>
      <w:r w:rsidR="00ED0981" w:rsidRPr="004C6591">
        <w:t>.</w:t>
      </w:r>
    </w:p>
    <w:p w14:paraId="595D8F0A" w14:textId="328D6E4C" w:rsidR="00CF301D" w:rsidRPr="004C6591" w:rsidRDefault="00CF301D" w:rsidP="009110F6">
      <w:pPr>
        <w:pStyle w:val="ListParagraph"/>
        <w:numPr>
          <w:ilvl w:val="0"/>
          <w:numId w:val="11"/>
        </w:numPr>
        <w:ind w:left="714" w:hanging="357"/>
      </w:pPr>
      <w:r w:rsidRPr="004C6591">
        <w:t>Quality of life</w:t>
      </w:r>
      <w:r w:rsidR="00ED0981" w:rsidRPr="004C6591">
        <w:t>.</w:t>
      </w:r>
    </w:p>
    <w:p w14:paraId="7545566F" w14:textId="52E4E762" w:rsidR="00CF301D" w:rsidRPr="004C6591" w:rsidRDefault="00CF301D" w:rsidP="009110F6">
      <w:pPr>
        <w:pStyle w:val="ListParagraph"/>
        <w:numPr>
          <w:ilvl w:val="0"/>
          <w:numId w:val="11"/>
        </w:numPr>
        <w:ind w:left="714" w:hanging="357"/>
      </w:pPr>
      <w:r w:rsidRPr="004C6591">
        <w:t>Comparative effectiveness of treatment based on tumour and ctDNA variant status</w:t>
      </w:r>
      <w:r w:rsidR="00ED0981" w:rsidRPr="004C6591">
        <w:t>.</w:t>
      </w:r>
    </w:p>
    <w:p w14:paraId="0011DE6F" w14:textId="77777777" w:rsidR="00CF301D" w:rsidRPr="004C6591" w:rsidRDefault="00CF301D" w:rsidP="00CF301D">
      <w:r w:rsidRPr="004C6591">
        <w:t>Safety Outcomes</w:t>
      </w:r>
    </w:p>
    <w:p w14:paraId="488EF069" w14:textId="71ECC642" w:rsidR="00CF301D" w:rsidRPr="004C6591" w:rsidRDefault="00CF301D" w:rsidP="009110F6">
      <w:pPr>
        <w:pStyle w:val="ListParagraph"/>
        <w:numPr>
          <w:ilvl w:val="0"/>
          <w:numId w:val="12"/>
        </w:numPr>
        <w:ind w:left="714" w:hanging="357"/>
      </w:pPr>
      <w:r w:rsidRPr="004C6591">
        <w:t xml:space="preserve">Comparative safety and tolerability of inavolisib </w:t>
      </w:r>
      <w:r w:rsidR="008302E2" w:rsidRPr="004C6591">
        <w:t>(</w:t>
      </w:r>
      <w:r w:rsidR="0054531D" w:rsidRPr="004C6591">
        <w:t xml:space="preserve">in combination with </w:t>
      </w:r>
      <w:r w:rsidRPr="004C6591">
        <w:t>palbociclib + fulvestrant</w:t>
      </w:r>
      <w:r w:rsidR="008302E2" w:rsidRPr="004C6591">
        <w:t>)</w:t>
      </w:r>
      <w:r w:rsidRPr="004C6591">
        <w:t xml:space="preserve">, compared to </w:t>
      </w:r>
      <w:r w:rsidR="008302E2" w:rsidRPr="004C6591">
        <w:t>alternative first line treatments</w:t>
      </w:r>
      <w:r w:rsidR="001D4C78" w:rsidRPr="004C6591">
        <w:t xml:space="preserve"> </w:t>
      </w:r>
      <w:r w:rsidRPr="004C6591">
        <w:t xml:space="preserve">in patients with/without </w:t>
      </w:r>
      <w:r w:rsidRPr="004C6591">
        <w:rPr>
          <w:i/>
          <w:iCs/>
        </w:rPr>
        <w:t>PIK3CA</w:t>
      </w:r>
      <w:r w:rsidRPr="004C6591">
        <w:t xml:space="preserve"> variant</w:t>
      </w:r>
      <w:r w:rsidR="0003333B" w:rsidRPr="004C6591">
        <w:t>s</w:t>
      </w:r>
      <w:r w:rsidRPr="004C6591">
        <w:t>, assessed by adverse events, discontinuation rates, deaths and collection of clinical chemistry/haematology parameters.</w:t>
      </w:r>
    </w:p>
    <w:p w14:paraId="2EA9CCCE" w14:textId="77777777" w:rsidR="00CF301D" w:rsidRPr="004C6591" w:rsidRDefault="00CF301D" w:rsidP="00CF301D">
      <w:r w:rsidRPr="004C6591">
        <w:t xml:space="preserve">Healthcare resources </w:t>
      </w:r>
    </w:p>
    <w:p w14:paraId="4322C816" w14:textId="7FE36D4C" w:rsidR="00CF301D" w:rsidRPr="004C6591" w:rsidRDefault="00CF301D" w:rsidP="009110F6">
      <w:pPr>
        <w:pStyle w:val="ListParagraph"/>
        <w:numPr>
          <w:ilvl w:val="0"/>
          <w:numId w:val="12"/>
        </w:numPr>
        <w:ind w:left="714" w:hanging="357"/>
      </w:pPr>
      <w:r w:rsidRPr="004C6591">
        <w:t>Cost of treatment intervention</w:t>
      </w:r>
      <w:r w:rsidR="00ED0981" w:rsidRPr="004C6591">
        <w:t>.</w:t>
      </w:r>
    </w:p>
    <w:p w14:paraId="2862D83F" w14:textId="77777777" w:rsidR="00CF301D" w:rsidRPr="004C6591" w:rsidRDefault="00CF301D" w:rsidP="00CF301D">
      <w:r w:rsidRPr="004C6591">
        <w:t xml:space="preserve">Total Australian Government Healthcare costs </w:t>
      </w:r>
    </w:p>
    <w:p w14:paraId="730EC412" w14:textId="62BB568D" w:rsidR="00CF301D" w:rsidRPr="004C6591" w:rsidRDefault="00CF301D" w:rsidP="009110F6">
      <w:pPr>
        <w:pStyle w:val="ListParagraph"/>
        <w:numPr>
          <w:ilvl w:val="0"/>
          <w:numId w:val="12"/>
        </w:numPr>
        <w:ind w:left="714" w:hanging="357"/>
      </w:pPr>
      <w:r w:rsidRPr="004C6591">
        <w:t>Total cost to the MBS</w:t>
      </w:r>
      <w:r w:rsidR="00ED0981" w:rsidRPr="004C6591">
        <w:t>.</w:t>
      </w:r>
    </w:p>
    <w:p w14:paraId="1884E8EB" w14:textId="01B0904C" w:rsidR="00CF301D" w:rsidRPr="004C6591" w:rsidRDefault="00CF301D" w:rsidP="009110F6">
      <w:pPr>
        <w:pStyle w:val="ListParagraph"/>
        <w:numPr>
          <w:ilvl w:val="0"/>
          <w:numId w:val="12"/>
        </w:numPr>
        <w:ind w:left="714" w:hanging="357"/>
      </w:pPr>
      <w:r w:rsidRPr="004C6591">
        <w:t>Total cost to the PBS</w:t>
      </w:r>
      <w:r w:rsidR="00ED0981" w:rsidRPr="004C6591">
        <w:t>.</w:t>
      </w:r>
    </w:p>
    <w:p w14:paraId="4A4AD214" w14:textId="7F1350BC" w:rsidR="008C295A" w:rsidRPr="004C6591" w:rsidRDefault="00CF301D" w:rsidP="00804C45">
      <w:pPr>
        <w:pStyle w:val="ListParagraph"/>
        <w:numPr>
          <w:ilvl w:val="0"/>
          <w:numId w:val="12"/>
        </w:numPr>
        <w:ind w:left="714" w:hanging="357"/>
      </w:pPr>
      <w:r w:rsidRPr="004C6591">
        <w:t>Total cost to other healthcare services</w:t>
      </w:r>
      <w:r w:rsidR="00ED0981" w:rsidRPr="004C6591">
        <w:t>.</w:t>
      </w:r>
    </w:p>
    <w:p w14:paraId="0B721B07" w14:textId="04EBD53C" w:rsidR="009259A3" w:rsidRPr="004C6591" w:rsidRDefault="008A5E04" w:rsidP="00435CBD">
      <w:r w:rsidRPr="004C6591">
        <w:rPr>
          <w:rFonts w:asciiTheme="minorHAnsi" w:hAnsiTheme="minorHAnsi" w:cstheme="minorBidi"/>
          <w:i/>
          <w:iCs/>
        </w:rPr>
        <w:t>PASC confirmed that the outcomes listed in the PICO were appropriate.</w:t>
      </w:r>
    </w:p>
    <w:p w14:paraId="4A904D86" w14:textId="77777777" w:rsidR="00F92A0D" w:rsidRDefault="00F92A0D">
      <w:pPr>
        <w:spacing w:after="160" w:line="259" w:lineRule="auto"/>
        <w:rPr>
          <w:rFonts w:ascii="Franklin Gothic Medium" w:eastAsiaTheme="majorEastAsia" w:hAnsi="Franklin Gothic Medium" w:cstheme="majorBidi"/>
          <w:color w:val="000000" w:themeColor="text1"/>
          <w:sz w:val="32"/>
          <w:szCs w:val="26"/>
        </w:rPr>
      </w:pPr>
      <w:r>
        <w:br w:type="page"/>
      </w:r>
    </w:p>
    <w:p w14:paraId="4BBF84CB" w14:textId="01FFBA07" w:rsidR="009B31CC" w:rsidRPr="004C6591" w:rsidRDefault="009B31CC" w:rsidP="00713728">
      <w:pPr>
        <w:pStyle w:val="Heading2"/>
      </w:pPr>
      <w:r w:rsidRPr="004C6591">
        <w:lastRenderedPageBreak/>
        <w:t>Assessment framework (for investigative technologies)</w:t>
      </w:r>
    </w:p>
    <w:p w14:paraId="50788E2E" w14:textId="0223F3D2" w:rsidR="00214930" w:rsidRPr="004C6591" w:rsidRDefault="00746595" w:rsidP="00526CF0">
      <w:r w:rsidRPr="004C6591">
        <w:t>T</w:t>
      </w:r>
      <w:r w:rsidR="00526CF0" w:rsidRPr="004C6591">
        <w:t>he assessment framework</w:t>
      </w:r>
      <w:r w:rsidRPr="004C6591">
        <w:t xml:space="preserve"> </w:t>
      </w:r>
      <w:r w:rsidR="009D6AC1" w:rsidRPr="004C6591">
        <w:t xml:space="preserve">conceptually outlines </w:t>
      </w:r>
      <w:r w:rsidR="00526CF0" w:rsidRPr="004C6591">
        <w:t xml:space="preserve">the steps </w:t>
      </w:r>
      <w:r w:rsidR="0026670E" w:rsidRPr="004C6591">
        <w:t>from</w:t>
      </w:r>
      <w:r w:rsidR="00526CF0" w:rsidRPr="004C6591">
        <w:t xml:space="preserve"> the test population </w:t>
      </w:r>
      <w:r w:rsidR="0026670E" w:rsidRPr="004C6591">
        <w:t xml:space="preserve">to </w:t>
      </w:r>
      <w:r w:rsidR="00526CF0" w:rsidRPr="004C6591">
        <w:t xml:space="preserve">the </w:t>
      </w:r>
      <w:r w:rsidR="0065414F" w:rsidRPr="004C6591">
        <w:t xml:space="preserve">final </w:t>
      </w:r>
      <w:r w:rsidR="00526CF0" w:rsidRPr="004C6591">
        <w:t>health outcomes</w:t>
      </w:r>
      <w:r w:rsidR="00205218" w:rsidRPr="004C6591">
        <w:t xml:space="preserve">, as shown in </w:t>
      </w:r>
      <w:r w:rsidR="00205218" w:rsidRPr="004C6591">
        <w:fldChar w:fldCharType="begin"/>
      </w:r>
      <w:r w:rsidR="00205218" w:rsidRPr="004C6591">
        <w:instrText xml:space="preserve"> REF _Ref170372273 \h </w:instrText>
      </w:r>
      <w:r w:rsidR="00205218" w:rsidRPr="004C6591">
        <w:fldChar w:fldCharType="separate"/>
      </w:r>
      <w:r w:rsidR="00205218" w:rsidRPr="004C6591">
        <w:t>Figure 2</w:t>
      </w:r>
      <w:r w:rsidR="00205218" w:rsidRPr="004C6591">
        <w:fldChar w:fldCharType="end"/>
      </w:r>
      <w:r w:rsidR="00205218" w:rsidRPr="004C6591">
        <w:t>.</w:t>
      </w:r>
    </w:p>
    <w:p w14:paraId="1F0BFD1C" w14:textId="7C8E46C4" w:rsidR="00D538F2" w:rsidRPr="004C6591" w:rsidRDefault="00D538F2" w:rsidP="00526CF0">
      <w:r w:rsidRPr="004C6591">
        <w:rPr>
          <w:noProof/>
        </w:rPr>
        <w:drawing>
          <wp:inline distT="0" distB="0" distL="0" distR="0" wp14:anchorId="793DBECB" wp14:editId="16083316">
            <wp:extent cx="6083935" cy="2182495"/>
            <wp:effectExtent l="0" t="0" r="0" b="8255"/>
            <wp:docPr id="903637546" name="Picture 1" descr="Assessment framework showing the links from the test population to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37546" name="Picture 1" descr="Assessment framework showing the links from the test population to health outcomes"/>
                    <pic:cNvPicPr/>
                  </pic:nvPicPr>
                  <pic:blipFill>
                    <a:blip r:embed="rId10"/>
                    <a:stretch>
                      <a:fillRect/>
                    </a:stretch>
                  </pic:blipFill>
                  <pic:spPr>
                    <a:xfrm>
                      <a:off x="0" y="0"/>
                      <a:ext cx="6083935" cy="2182495"/>
                    </a:xfrm>
                    <a:prstGeom prst="rect">
                      <a:avLst/>
                    </a:prstGeom>
                  </pic:spPr>
                </pic:pic>
              </a:graphicData>
            </a:graphic>
          </wp:inline>
        </w:drawing>
      </w:r>
    </w:p>
    <w:p w14:paraId="58E23E9A" w14:textId="35C2D0D3" w:rsidR="009B31CC" w:rsidRPr="004C6591" w:rsidRDefault="00AF37F0" w:rsidP="00746595">
      <w:pPr>
        <w:pStyle w:val="Caption"/>
        <w:rPr>
          <w:lang w:val="en-AU"/>
        </w:rPr>
      </w:pPr>
      <w:bookmarkStart w:id="15" w:name="_Ref170372273"/>
      <w:r w:rsidRPr="004C6591">
        <w:rPr>
          <w:lang w:val="en-AU"/>
        </w:rPr>
        <w:t xml:space="preserve">Figure </w:t>
      </w:r>
      <w:r w:rsidRPr="004C6591">
        <w:rPr>
          <w:lang w:val="en-AU"/>
        </w:rPr>
        <w:fldChar w:fldCharType="begin"/>
      </w:r>
      <w:r w:rsidRPr="004C6591">
        <w:rPr>
          <w:lang w:val="en-AU"/>
        </w:rPr>
        <w:instrText xml:space="preserve"> SEQ Figure \* ARABIC </w:instrText>
      </w:r>
      <w:r w:rsidRPr="004C6591">
        <w:rPr>
          <w:lang w:val="en-AU"/>
        </w:rPr>
        <w:fldChar w:fldCharType="separate"/>
      </w:r>
      <w:r w:rsidR="0061475D" w:rsidRPr="004C6591">
        <w:rPr>
          <w:lang w:val="en-AU"/>
        </w:rPr>
        <w:t>2</w:t>
      </w:r>
      <w:r w:rsidRPr="004C6591">
        <w:rPr>
          <w:lang w:val="en-AU"/>
        </w:rPr>
        <w:fldChar w:fldCharType="end"/>
      </w:r>
      <w:bookmarkEnd w:id="15"/>
      <w:r w:rsidR="00746595" w:rsidRPr="004C6591">
        <w:rPr>
          <w:lang w:val="en-AU"/>
        </w:rPr>
        <w:t xml:space="preserve"> </w:t>
      </w:r>
      <w:r w:rsidR="00526CF0" w:rsidRPr="004C6591">
        <w:rPr>
          <w:lang w:val="en-AU"/>
        </w:rPr>
        <w:t>Assessment framework showing the links from the test population to health outcomes</w:t>
      </w:r>
    </w:p>
    <w:p w14:paraId="1DC7C26D" w14:textId="77777777" w:rsidR="00C561C7" w:rsidRPr="004C6591" w:rsidRDefault="00A53462" w:rsidP="00AF31D9">
      <w:pPr>
        <w:pStyle w:val="Tablenotes"/>
        <w:jc w:val="left"/>
      </w:pPr>
      <w:r w:rsidRPr="004C6591">
        <w:t>Source: Adapted from Figure 8, p76 of Guidelines for preparing assessments for the Medical Services Advisory Committee version 1.0 May 2021</w:t>
      </w:r>
    </w:p>
    <w:p w14:paraId="1708AD71" w14:textId="0C91CFF9" w:rsidR="002A70AA" w:rsidRPr="004C6591" w:rsidRDefault="002A70AA" w:rsidP="00AF31D9">
      <w:pPr>
        <w:pStyle w:val="Tablenotes"/>
        <w:jc w:val="left"/>
      </w:pPr>
      <w:r w:rsidRPr="004C6591">
        <w:t xml:space="preserve">Abbreviations: </w:t>
      </w:r>
      <w:r w:rsidR="002B2907" w:rsidRPr="004C6591">
        <w:t xml:space="preserve">ET = endocrine therapy; </w:t>
      </w:r>
      <w:r w:rsidR="004930C7" w:rsidRPr="004C6591">
        <w:t xml:space="preserve">HR+/HER2-=hormone receptor positive, human epidermal growth factor receptor 2 negative; </w:t>
      </w:r>
      <w:r w:rsidR="00362D21" w:rsidRPr="004C6591">
        <w:t xml:space="preserve">LA/mBC=locally advanced or metastatic breast cancer; </w:t>
      </w:r>
      <w:r w:rsidR="004930C7" w:rsidRPr="004C6591">
        <w:t xml:space="preserve">NGS=next generation sequencing; OS=overall survival; </w:t>
      </w:r>
      <w:r w:rsidR="00C45884" w:rsidRPr="00C65136">
        <w:rPr>
          <w:i/>
        </w:rPr>
        <w:t>PIK3CA</w:t>
      </w:r>
      <w:r w:rsidR="00C45884" w:rsidRPr="004C6591">
        <w:t xml:space="preserve">=phosphatidylinositol 4,5-bisphosphate 3-kinase catalytic subunit alpha; </w:t>
      </w:r>
      <w:r w:rsidR="004930C7" w:rsidRPr="004C6591">
        <w:t>PFS=progression free survival; QoL=quality of life; RR=response rate.</w:t>
      </w:r>
    </w:p>
    <w:p w14:paraId="534738C5" w14:textId="27DABD4E" w:rsidR="00C40CC4" w:rsidRPr="004C6591" w:rsidRDefault="004930C7" w:rsidP="00AF31D9">
      <w:pPr>
        <w:pStyle w:val="Tablenotes"/>
        <w:jc w:val="left"/>
      </w:pPr>
      <w:r w:rsidRPr="004C6591">
        <w:t>N</w:t>
      </w:r>
      <w:r w:rsidR="00C40CC4" w:rsidRPr="004C6591">
        <w:t xml:space="preserve">otes: 1: </w:t>
      </w:r>
      <w:r w:rsidR="00526CF0" w:rsidRPr="004C6591">
        <w:t xml:space="preserve">no </w:t>
      </w:r>
      <w:r w:rsidR="00C40CC4" w:rsidRPr="004C6591">
        <w:t>direct from test to health outcomes evidence; 2: test accuracy; 3: change in management</w:t>
      </w:r>
      <w:r w:rsidR="00526CF0" w:rsidRPr="004C6591">
        <w:t xml:space="preserve"> based on test results</w:t>
      </w:r>
      <w:r w:rsidR="00C40CC4" w:rsidRPr="004C6591">
        <w:t xml:space="preserve">; 4: influence of the </w:t>
      </w:r>
      <w:r w:rsidR="00526CF0" w:rsidRPr="004C6591">
        <w:t>treatment with inavolisib + palbociclib + fulvestrant</w:t>
      </w:r>
      <w:r w:rsidR="00C40CC4" w:rsidRPr="004C6591">
        <w:t xml:space="preserve"> on health outcomes; 5: influence of the change in management on intermediate outcomes; 6: association of intermediate outcomes with health outcomes; 7: adverse events due to testing; 8: adverse events due to treatment</w:t>
      </w:r>
    </w:p>
    <w:p w14:paraId="4F802B89" w14:textId="0DD1F517" w:rsidR="001C54A6" w:rsidRPr="004C6591" w:rsidRDefault="005713C5" w:rsidP="001C54A6">
      <w:r w:rsidRPr="004C6591">
        <w:t>The target test population is adults with HR+/HER2- LA/mBC</w:t>
      </w:r>
      <w:r w:rsidR="00A5217B" w:rsidRPr="004C6591">
        <w:t>, whose disease progressed during treatment or within 12 months of completing adjuvant ET, which is aligned with the INAVO120 trial population, and PASC’s advice</w:t>
      </w:r>
      <w:r w:rsidRPr="004C6591">
        <w:t xml:space="preserve">. The target test population </w:t>
      </w:r>
      <w:r w:rsidR="003002C6" w:rsidRPr="004C6591">
        <w:t>is</w:t>
      </w:r>
      <w:r w:rsidRPr="004C6591">
        <w:t xml:space="preserve"> to be offered genetic testing using NGS, with the purpose of identifying </w:t>
      </w:r>
      <w:r w:rsidRPr="004C6591">
        <w:rPr>
          <w:i/>
          <w:iCs/>
        </w:rPr>
        <w:t>PIK3CA</w:t>
      </w:r>
      <w:r w:rsidRPr="004C6591">
        <w:t xml:space="preserve"> variant</w:t>
      </w:r>
      <w:r w:rsidR="0003333B" w:rsidRPr="004C6591">
        <w:t>s</w:t>
      </w:r>
      <w:r w:rsidRPr="004C6591">
        <w:t xml:space="preserve"> in ctDNA or tumour tissue. The test outcomes can be </w:t>
      </w:r>
      <w:r w:rsidR="009C155A" w:rsidRPr="004C6591">
        <w:t xml:space="preserve">positive or negative for </w:t>
      </w:r>
      <w:r w:rsidR="009C155A" w:rsidRPr="004C6591">
        <w:rPr>
          <w:i/>
          <w:iCs/>
        </w:rPr>
        <w:t>PIK3CA</w:t>
      </w:r>
      <w:r w:rsidR="009C155A" w:rsidRPr="004C6591">
        <w:t xml:space="preserve"> variant</w:t>
      </w:r>
      <w:r w:rsidR="0003333B" w:rsidRPr="004C6591">
        <w:t>s</w:t>
      </w:r>
      <w:r w:rsidRPr="004C6591">
        <w:t>. Patients with</w:t>
      </w:r>
      <w:r w:rsidR="7795F91B" w:rsidRPr="004C6591">
        <w:t xml:space="preserve"> a</w:t>
      </w:r>
      <w:r w:rsidRPr="004C6591">
        <w:t xml:space="preserve"> positive test outcome are then eligible for treatment with </w:t>
      </w:r>
      <w:r w:rsidR="009C155A" w:rsidRPr="004C6591">
        <w:t>inavolisib + palbociclib</w:t>
      </w:r>
      <w:r w:rsidRPr="004C6591">
        <w:t xml:space="preserve"> + fulvestrant. In the </w:t>
      </w:r>
      <w:r w:rsidR="009C155A" w:rsidRPr="004C6591">
        <w:t>INAVO120 primary analysis</w:t>
      </w:r>
      <w:r w:rsidRPr="004C6591">
        <w:t>, treatment with</w:t>
      </w:r>
      <w:r w:rsidR="009C155A" w:rsidRPr="004C6591">
        <w:t xml:space="preserve"> inavolisib + palbociclib + </w:t>
      </w:r>
      <w:r w:rsidRPr="004C6591">
        <w:t>fulvestrant</w:t>
      </w:r>
      <w:r w:rsidR="009C155A" w:rsidRPr="004C6591">
        <w:t xml:space="preserve"> in</w:t>
      </w:r>
      <w:r w:rsidRPr="004C6591">
        <w:t xml:space="preserve"> </w:t>
      </w:r>
      <w:r w:rsidR="009C155A" w:rsidRPr="004C6591">
        <w:t xml:space="preserve">patients </w:t>
      </w:r>
      <w:r w:rsidR="1C117860" w:rsidRPr="004C6591">
        <w:t>who</w:t>
      </w:r>
      <w:r w:rsidR="009C155A" w:rsidRPr="004C6591">
        <w:t xml:space="preserve"> tested positive with </w:t>
      </w:r>
      <w:r w:rsidR="0003333B" w:rsidRPr="004C6591">
        <w:t>one or more</w:t>
      </w:r>
      <w:r w:rsidR="05F7276F" w:rsidRPr="004C6591">
        <w:t xml:space="preserve"> </w:t>
      </w:r>
      <w:r w:rsidR="009C155A" w:rsidRPr="004C6591">
        <w:rPr>
          <w:i/>
          <w:iCs/>
        </w:rPr>
        <w:t>PIK3CA</w:t>
      </w:r>
      <w:r w:rsidR="009C155A" w:rsidRPr="004C6591">
        <w:t xml:space="preserve"> variant</w:t>
      </w:r>
      <w:r w:rsidR="0003333B" w:rsidRPr="004C6591">
        <w:t>s</w:t>
      </w:r>
      <w:r w:rsidR="009C155A" w:rsidRPr="004C6591">
        <w:t xml:space="preserve"> resulted in significant improvement in PFS and </w:t>
      </w:r>
      <w:r w:rsidR="00EB2CA9" w:rsidRPr="004C6591">
        <w:t>OS (</w:t>
      </w:r>
      <w:r w:rsidR="009C155A" w:rsidRPr="004C6591">
        <w:t>interim analysis</w:t>
      </w:r>
      <w:r w:rsidR="00EB2CA9" w:rsidRPr="004C6591">
        <w:t>)</w:t>
      </w:r>
      <w:r w:rsidR="009C155A" w:rsidRPr="004C6591">
        <w:t>.</w:t>
      </w:r>
    </w:p>
    <w:p w14:paraId="0B5C5462" w14:textId="214BDA3C" w:rsidR="002B64EA" w:rsidRPr="004C6591" w:rsidRDefault="002B64EA" w:rsidP="001C54A6">
      <w:r w:rsidRPr="004C6591">
        <w:t xml:space="preserve">Referring to </w:t>
      </w:r>
      <w:r w:rsidR="00EB2CA9" w:rsidRPr="004C6591">
        <w:rPr>
          <w:color w:val="FF0000"/>
        </w:rPr>
        <w:fldChar w:fldCharType="begin"/>
      </w:r>
      <w:r w:rsidR="00EB2CA9" w:rsidRPr="004C6591">
        <w:instrText xml:space="preserve"> REF _Ref170372273 \h </w:instrText>
      </w:r>
      <w:r w:rsidR="00EB2CA9" w:rsidRPr="004C6591">
        <w:rPr>
          <w:color w:val="FF0000"/>
        </w:rPr>
      </w:r>
      <w:r w:rsidR="00EB2CA9" w:rsidRPr="004C6591">
        <w:rPr>
          <w:color w:val="FF0000"/>
        </w:rPr>
        <w:fldChar w:fldCharType="separate"/>
      </w:r>
      <w:r w:rsidR="00EB2CA9" w:rsidRPr="004C6591">
        <w:t>Figure 2</w:t>
      </w:r>
      <w:r w:rsidR="00EB2CA9" w:rsidRPr="004C6591">
        <w:rPr>
          <w:color w:val="FF0000"/>
        </w:rPr>
        <w:fldChar w:fldCharType="end"/>
      </w:r>
      <w:r w:rsidRPr="004C6591">
        <w:t xml:space="preserve">, the </w:t>
      </w:r>
      <w:r w:rsidR="00A679BB" w:rsidRPr="004C6591">
        <w:t xml:space="preserve">key </w:t>
      </w:r>
      <w:r w:rsidRPr="004C6591">
        <w:t>assessment questions related to the assessment framework are:</w:t>
      </w:r>
    </w:p>
    <w:p w14:paraId="7263CAF0" w14:textId="77777777" w:rsidR="007319EA" w:rsidRPr="004C6591" w:rsidRDefault="00806111" w:rsidP="00FB3899">
      <w:pPr>
        <w:pStyle w:val="ListParagraph"/>
        <w:numPr>
          <w:ilvl w:val="0"/>
          <w:numId w:val="27"/>
        </w:numPr>
      </w:pPr>
      <w:r w:rsidRPr="004C6591">
        <w:t xml:space="preserve">What is the test accuracy (sensitivity, specificity, PPV, NPV) of the proposed </w:t>
      </w:r>
      <w:r w:rsidRPr="004C6591">
        <w:rPr>
          <w:i/>
          <w:iCs/>
        </w:rPr>
        <w:t>PIK3CA</w:t>
      </w:r>
      <w:r w:rsidRPr="004C6591">
        <w:t xml:space="preserve"> testing using NGS, against the clinical utility standard (no reference standard)?</w:t>
      </w:r>
    </w:p>
    <w:p w14:paraId="4610E905" w14:textId="2C0E1259" w:rsidR="007319EA" w:rsidRPr="004C6591" w:rsidRDefault="00FB3899" w:rsidP="00FB3899">
      <w:pPr>
        <w:pStyle w:val="ListParagraph"/>
        <w:numPr>
          <w:ilvl w:val="0"/>
          <w:numId w:val="27"/>
        </w:numPr>
      </w:pPr>
      <w:r w:rsidRPr="004C6591">
        <w:t xml:space="preserve">As there are </w:t>
      </w:r>
      <w:r w:rsidRPr="004C6591">
        <w:rPr>
          <w:i/>
          <w:iCs/>
        </w:rPr>
        <w:t>PIK3CA</w:t>
      </w:r>
      <w:r w:rsidRPr="004C6591">
        <w:t xml:space="preserve"> test</w:t>
      </w:r>
      <w:r w:rsidR="00D36D76" w:rsidRPr="004C6591">
        <w:t>s available</w:t>
      </w:r>
      <w:r w:rsidR="00A2777A" w:rsidRPr="004C6591">
        <w:t xml:space="preserve"> in Australia but</w:t>
      </w:r>
      <w:r w:rsidR="007B422D" w:rsidRPr="004C6591">
        <w:t xml:space="preserve"> are</w:t>
      </w:r>
      <w:r w:rsidR="00404C72" w:rsidRPr="004C6591">
        <w:t xml:space="preserve"> </w:t>
      </w:r>
      <w:r w:rsidR="006C5BB5" w:rsidRPr="004C6591">
        <w:t xml:space="preserve">currently </w:t>
      </w:r>
      <w:r w:rsidR="00A2777A" w:rsidRPr="004C6591">
        <w:t xml:space="preserve">not listed on the MBS </w:t>
      </w:r>
      <w:r w:rsidRPr="004C6591">
        <w:t>(e.g. AKT-pathway testing and TGA-</w:t>
      </w:r>
      <w:r w:rsidR="00781E9C" w:rsidRPr="004C6591">
        <w:t>approved</w:t>
      </w:r>
      <w:r w:rsidRPr="004C6591">
        <w:t xml:space="preserve"> companion diagnostic test to detect </w:t>
      </w:r>
      <w:r w:rsidRPr="004C6591">
        <w:rPr>
          <w:i/>
          <w:iCs/>
        </w:rPr>
        <w:t>PIK3CA</w:t>
      </w:r>
      <w:r w:rsidRPr="004C6591">
        <w:t xml:space="preserve"> variant</w:t>
      </w:r>
      <w:r w:rsidR="00F10F13" w:rsidRPr="004C6591">
        <w:t>s</w:t>
      </w:r>
      <w:r w:rsidRPr="004C6591">
        <w:t xml:space="preserve"> </w:t>
      </w:r>
      <w:r w:rsidR="001D7F04" w:rsidRPr="004C6591">
        <w:t>which</w:t>
      </w:r>
      <w:r w:rsidRPr="004C6591">
        <w:t xml:space="preserve"> inform treatment with alpelisib), are these tests concordant with the proposed test intervention and/or clinical utility standard?</w:t>
      </w:r>
    </w:p>
    <w:p w14:paraId="69EB3FB7" w14:textId="32E2B800" w:rsidR="007319EA" w:rsidRPr="004C6591" w:rsidRDefault="00A679BB" w:rsidP="00FB3899">
      <w:pPr>
        <w:pStyle w:val="ListParagraph"/>
        <w:numPr>
          <w:ilvl w:val="0"/>
          <w:numId w:val="27"/>
        </w:numPr>
      </w:pPr>
      <w:r w:rsidRPr="004C6591">
        <w:t xml:space="preserve">Does the </w:t>
      </w:r>
      <w:r w:rsidR="00174C08" w:rsidRPr="004C6591">
        <w:t>test outcome, whether positive or negative</w:t>
      </w:r>
      <w:r w:rsidRPr="004C6591">
        <w:t xml:space="preserve"> </w:t>
      </w:r>
      <w:r w:rsidR="44B645C8" w:rsidRPr="004C6591">
        <w:t xml:space="preserve">for </w:t>
      </w:r>
      <w:r w:rsidRPr="004C6591">
        <w:rPr>
          <w:i/>
          <w:iCs/>
        </w:rPr>
        <w:t>PIK3CA</w:t>
      </w:r>
      <w:r w:rsidRPr="004C6591">
        <w:t xml:space="preserve"> variant</w:t>
      </w:r>
      <w:r w:rsidR="00DA1633" w:rsidRPr="004C6591">
        <w:t>s</w:t>
      </w:r>
      <w:r w:rsidR="00174C08" w:rsidRPr="004C6591">
        <w:t>,</w:t>
      </w:r>
      <w:r w:rsidRPr="004C6591">
        <w:t xml:space="preserve"> lead to a change in the management of the test population?</w:t>
      </w:r>
    </w:p>
    <w:p w14:paraId="637CC1D9" w14:textId="18AC2895" w:rsidR="007319EA" w:rsidRPr="004C6591" w:rsidRDefault="00A679BB" w:rsidP="00FB3899">
      <w:pPr>
        <w:pStyle w:val="ListParagraph"/>
        <w:numPr>
          <w:ilvl w:val="0"/>
          <w:numId w:val="27"/>
        </w:numPr>
      </w:pPr>
      <w:r w:rsidRPr="004C6591">
        <w:lastRenderedPageBreak/>
        <w:t xml:space="preserve">What is the effect of inavolisib + palbociclib + fulvestrant on health outcomes in patients with </w:t>
      </w:r>
      <w:r w:rsidR="4E3B7812" w:rsidRPr="004C6591">
        <w:t>and</w:t>
      </w:r>
      <w:r w:rsidRPr="004C6591">
        <w:t xml:space="preserve"> without</w:t>
      </w:r>
      <w:r w:rsidR="50609398" w:rsidRPr="004C6591">
        <w:t xml:space="preserve"> </w:t>
      </w:r>
      <w:r w:rsidR="50609398" w:rsidRPr="004C6591">
        <w:rPr>
          <w:i/>
          <w:iCs/>
        </w:rPr>
        <w:t xml:space="preserve">PIK3CA </w:t>
      </w:r>
      <w:r w:rsidR="50609398" w:rsidRPr="004C6591">
        <w:t>variant</w:t>
      </w:r>
      <w:r w:rsidR="008606C9" w:rsidRPr="004C6591">
        <w:t>s</w:t>
      </w:r>
      <w:r w:rsidR="50609398" w:rsidRPr="004C6591">
        <w:t>, or with</w:t>
      </w:r>
      <w:r w:rsidRPr="004C6591">
        <w:t xml:space="preserve"> unknown </w:t>
      </w:r>
      <w:r w:rsidRPr="004C6591">
        <w:rPr>
          <w:i/>
          <w:iCs/>
        </w:rPr>
        <w:t>PIK3CA</w:t>
      </w:r>
      <w:r w:rsidRPr="004C6591">
        <w:t xml:space="preserve"> status?</w:t>
      </w:r>
    </w:p>
    <w:p w14:paraId="4524F99A" w14:textId="4AB41CF1" w:rsidR="00A34F28" w:rsidRPr="004C6591" w:rsidRDefault="00C95718" w:rsidP="00435CBD">
      <w:pPr>
        <w:pStyle w:val="ListParagraph"/>
        <w:numPr>
          <w:ilvl w:val="0"/>
          <w:numId w:val="27"/>
        </w:numPr>
      </w:pPr>
      <w:r w:rsidRPr="004C6591">
        <w:t>What are the adverse events related to the test and treatment intervention?</w:t>
      </w:r>
    </w:p>
    <w:p w14:paraId="525FAE82" w14:textId="0A36F863" w:rsidR="005669A6" w:rsidRPr="004C6591" w:rsidRDefault="005669A6" w:rsidP="005669A6">
      <w:pPr>
        <w:pStyle w:val="Tablenotes"/>
        <w:rPr>
          <w:rFonts w:cs="Calibri"/>
          <w:i/>
          <w:iCs/>
          <w:szCs w:val="18"/>
        </w:rPr>
      </w:pPr>
      <w:r w:rsidRPr="004C6591">
        <w:rPr>
          <w:rFonts w:asciiTheme="minorHAnsi" w:hAnsiTheme="minorHAnsi" w:cstheme="minorBidi"/>
          <w:i/>
          <w:sz w:val="22"/>
        </w:rPr>
        <w:t xml:space="preserve">PASC </w:t>
      </w:r>
      <w:r w:rsidR="008A5E04" w:rsidRPr="004C6591">
        <w:rPr>
          <w:rFonts w:asciiTheme="minorHAnsi" w:hAnsiTheme="minorHAnsi" w:cstheme="minorBidi"/>
          <w:i/>
          <w:sz w:val="22"/>
        </w:rPr>
        <w:t>considered</w:t>
      </w:r>
      <w:r w:rsidRPr="004C6591">
        <w:rPr>
          <w:rFonts w:asciiTheme="minorHAnsi" w:hAnsiTheme="minorHAnsi" w:cstheme="minorBidi"/>
          <w:i/>
          <w:sz w:val="22"/>
        </w:rPr>
        <w:t xml:space="preserve"> </w:t>
      </w:r>
      <w:r w:rsidRPr="004C6591">
        <w:rPr>
          <w:rFonts w:asciiTheme="minorHAnsi" w:hAnsiTheme="minorHAnsi" w:cstheme="minorBidi"/>
          <w:i/>
          <w:iCs/>
          <w:sz w:val="22"/>
        </w:rPr>
        <w:t>that the assessme</w:t>
      </w:r>
      <w:r w:rsidRPr="004C6591">
        <w:rPr>
          <w:rFonts w:asciiTheme="minorHAnsi" w:hAnsiTheme="minorHAnsi" w:cstheme="minorBidi"/>
          <w:i/>
          <w:sz w:val="22"/>
          <w:szCs w:val="24"/>
        </w:rPr>
        <w:t>nt</w:t>
      </w:r>
      <w:r w:rsidRPr="004C6591">
        <w:rPr>
          <w:rFonts w:asciiTheme="minorHAnsi" w:hAnsiTheme="minorHAnsi" w:cstheme="minorBidi"/>
          <w:i/>
          <w:iCs/>
          <w:sz w:val="22"/>
        </w:rPr>
        <w:t xml:space="preserve"> framework was appropriately described in the PICO.</w:t>
      </w:r>
    </w:p>
    <w:p w14:paraId="6069F0B5" w14:textId="3D8C6EB7" w:rsidR="00D73332" w:rsidRPr="004C6591" w:rsidRDefault="00D73332" w:rsidP="00713728">
      <w:pPr>
        <w:pStyle w:val="Heading2"/>
        <w:rPr>
          <w:b/>
          <w:bCs/>
          <w:i/>
        </w:rPr>
      </w:pPr>
      <w:r w:rsidRPr="004C6591">
        <w:t>Clinical management algorithms</w:t>
      </w:r>
    </w:p>
    <w:p w14:paraId="0A7DDF5A" w14:textId="6CC1A544" w:rsidR="008A41D1" w:rsidRPr="004C6591" w:rsidRDefault="008A41D1" w:rsidP="00D31B2F">
      <w:pPr>
        <w:spacing w:after="0"/>
      </w:pPr>
      <w:r w:rsidRPr="004C6591">
        <w:t>The applicant</w:t>
      </w:r>
      <w:r w:rsidR="4125B30D" w:rsidRPr="004C6591">
        <w:t>-</w:t>
      </w:r>
      <w:r w:rsidRPr="004C6591">
        <w:t>proposed clinical management algorithms</w:t>
      </w:r>
      <w:r w:rsidR="00A344DB" w:rsidRPr="004C6591">
        <w:t xml:space="preserve"> </w:t>
      </w:r>
      <w:r w:rsidRPr="004C6591">
        <w:t>without</w:t>
      </w:r>
      <w:r w:rsidR="00A736DE" w:rsidRPr="004C6591">
        <w:t xml:space="preserve"> and with</w:t>
      </w:r>
      <w:r w:rsidRPr="004C6591">
        <w:t xml:space="preserve"> </w:t>
      </w:r>
      <w:r w:rsidRPr="004C6591">
        <w:rPr>
          <w:i/>
          <w:iCs/>
        </w:rPr>
        <w:t>PIK3CA</w:t>
      </w:r>
      <w:r w:rsidRPr="004C6591">
        <w:t xml:space="preserve"> testing and inavolisib</w:t>
      </w:r>
      <w:r w:rsidR="00A344DB" w:rsidRPr="004C6591">
        <w:t xml:space="preserve"> </w:t>
      </w:r>
      <w:r w:rsidR="006629BE" w:rsidRPr="004C6591">
        <w:t xml:space="preserve">are presented in </w:t>
      </w:r>
      <w:r w:rsidRPr="004C6591">
        <w:t>Appendix 1.</w:t>
      </w:r>
    </w:p>
    <w:p w14:paraId="192A849F" w14:textId="7F9FEEB4" w:rsidR="008A41D1" w:rsidRPr="004C6591" w:rsidRDefault="008A41D1" w:rsidP="008A41D1">
      <w:pPr>
        <w:pStyle w:val="Heading4"/>
      </w:pPr>
      <w:r w:rsidRPr="004C6591">
        <w:t>Current clinical management algorithm</w:t>
      </w:r>
    </w:p>
    <w:p w14:paraId="0E1C1183" w14:textId="08D07D33" w:rsidR="00D31B2F" w:rsidRDefault="00CE7B57" w:rsidP="00D63621">
      <w:r w:rsidRPr="004C6591">
        <w:t>The applicant</w:t>
      </w:r>
      <w:r w:rsidR="2D201903" w:rsidRPr="004C6591">
        <w:t>-</w:t>
      </w:r>
      <w:r w:rsidRPr="004C6591">
        <w:t xml:space="preserve">proposed </w:t>
      </w:r>
      <w:r w:rsidR="0068500B" w:rsidRPr="004C6591">
        <w:t>current</w:t>
      </w:r>
      <w:r w:rsidRPr="004C6591">
        <w:t xml:space="preserve"> clinical management algorithm</w:t>
      </w:r>
      <w:r w:rsidR="00D55D02" w:rsidRPr="004C6591">
        <w:t xml:space="preserve"> representing the current situation</w:t>
      </w:r>
      <w:r w:rsidRPr="004C6591">
        <w:t xml:space="preserve"> without </w:t>
      </w:r>
      <w:r w:rsidRPr="004C6591">
        <w:rPr>
          <w:i/>
          <w:iCs/>
        </w:rPr>
        <w:t>PIK3CA</w:t>
      </w:r>
      <w:r w:rsidRPr="004C6591">
        <w:t xml:space="preserve"> testing and inavolisib</w:t>
      </w:r>
      <w:r w:rsidR="006629BE" w:rsidRPr="004C6591">
        <w:t xml:space="preserve"> (</w:t>
      </w:r>
      <w:r w:rsidR="00977F5A" w:rsidRPr="004C6591">
        <w:fldChar w:fldCharType="begin"/>
      </w:r>
      <w:r w:rsidR="00977F5A" w:rsidRPr="004C6591">
        <w:instrText xml:space="preserve"> REF _Ref171922479 \h </w:instrText>
      </w:r>
      <w:r w:rsidR="00977F5A" w:rsidRPr="004C6591">
        <w:fldChar w:fldCharType="separate"/>
      </w:r>
      <w:r w:rsidR="00977F5A" w:rsidRPr="004C6591">
        <w:t>Appendix 1</w:t>
      </w:r>
      <w:r w:rsidR="00977F5A" w:rsidRPr="004C6591">
        <w:fldChar w:fldCharType="end"/>
      </w:r>
      <w:r w:rsidR="00977F5A" w:rsidRPr="004C6591">
        <w:t>)</w:t>
      </w:r>
      <w:r w:rsidR="00416E67" w:rsidRPr="004C6591">
        <w:t xml:space="preserve">. </w:t>
      </w:r>
      <w:r w:rsidR="0068500B" w:rsidRPr="004C6591">
        <w:t xml:space="preserve">The algorithm was updated </w:t>
      </w:r>
      <w:r w:rsidR="00977F5A" w:rsidRPr="004C6591">
        <w:t>by the assessment group</w:t>
      </w:r>
      <w:r w:rsidR="0068500B" w:rsidRPr="004C6591">
        <w:t xml:space="preserve"> during PICO development,</w:t>
      </w:r>
      <w:r w:rsidR="006629BE" w:rsidRPr="004C6591">
        <w:t xml:space="preserve"> </w:t>
      </w:r>
      <w:r w:rsidR="08EFCB2C" w:rsidRPr="004C6591">
        <w:t xml:space="preserve">which </w:t>
      </w:r>
      <w:r w:rsidR="56B6DA79" w:rsidRPr="004C6591">
        <w:t xml:space="preserve">is </w:t>
      </w:r>
      <w:r w:rsidR="00017BEF" w:rsidRPr="004C6591">
        <w:t>illustrated</w:t>
      </w:r>
      <w:r w:rsidR="0068500B" w:rsidRPr="004C6591">
        <w:t xml:space="preserve"> in</w:t>
      </w:r>
      <w:r w:rsidR="008E3A0E" w:rsidRPr="004C6591">
        <w:t xml:space="preserve"> </w:t>
      </w:r>
      <w:r w:rsidR="008E3A0E" w:rsidRPr="004C6591">
        <w:fldChar w:fldCharType="begin"/>
      </w:r>
      <w:r w:rsidR="008E3A0E" w:rsidRPr="004C6591">
        <w:instrText xml:space="preserve"> REF _Ref170818620 \h </w:instrText>
      </w:r>
      <w:r w:rsidR="008E3A0E" w:rsidRPr="004C6591">
        <w:fldChar w:fldCharType="separate"/>
      </w:r>
      <w:r w:rsidR="008E3A0E" w:rsidRPr="004C6591">
        <w:t>Figure 3</w:t>
      </w:r>
      <w:r w:rsidR="008E3A0E" w:rsidRPr="004C6591">
        <w:fldChar w:fldCharType="end"/>
      </w:r>
      <w:r w:rsidR="00386618" w:rsidRPr="004C6591">
        <w:t>.</w:t>
      </w:r>
    </w:p>
    <w:p w14:paraId="415FCAE5" w14:textId="77777777" w:rsidR="00D31B2F" w:rsidRDefault="00D31B2F">
      <w:pPr>
        <w:spacing w:after="160" w:line="259" w:lineRule="auto"/>
      </w:pPr>
      <w:r>
        <w:br w:type="page"/>
      </w:r>
    </w:p>
    <w:p w14:paraId="1EB7B611" w14:textId="77777777" w:rsidR="00F92A0D" w:rsidRDefault="00F92A0D" w:rsidP="00D63621"/>
    <w:p w14:paraId="2641D6CB" w14:textId="2E18F281" w:rsidR="008E3A0E" w:rsidRPr="004C6591" w:rsidRDefault="02638F65" w:rsidP="008E3A0E">
      <w:pPr>
        <w:keepNext/>
      </w:pPr>
      <w:r w:rsidRPr="004C6591">
        <w:rPr>
          <w:noProof/>
        </w:rPr>
        <w:drawing>
          <wp:inline distT="0" distB="0" distL="0" distR="0" wp14:anchorId="5354A563" wp14:editId="7A4A7983">
            <wp:extent cx="6089457" cy="4324759"/>
            <wp:effectExtent l="0" t="0" r="0" b="0"/>
            <wp:docPr id="67759957" name="Picture 67759957" descr="Figure 3 shows the Current clinical management algorithm for adults with HR+/HER2- locally advanced or metastatic breast cancer, who have relapsed during or after endocrine therapy. The algorithm begins on top with the test population of adults with HR+/HER2- locally advanced or metastatic breast cancer, whose disease progressed during treatment or within 12 months of completing adjuvant endocrine therapy. This is followed by an arrow facing down to a box with first line treatment such as CDK4/6 inhibitor and fulvestrant (if previous relapse on adjuvant AR); CDK4/6 inhibitor and AI (if not previous relapse on adjuvant AI); endocrine monotherapy for patients with comorbidities or unsuitable for CDK4/6 inhibitor; chemotherapy if imminent organ failure. Below this is an arrow facing down to a list of second and subsequent line treatment. The list includes fulvestrant and CDK 4/6 inhibitor if not previously used; endocrine monotherapy; everolimus and exemestane; chemotherapy; PARP inhibitor; OR capivasertib + fulvest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9957" name="Picture 67759957" descr="Figure 3 shows the Current clinical management algorithm for adults with HR+/HER2- locally advanced or metastatic breast cancer, who have relapsed during or after endocrine therapy. The algorithm begins on top with the test population of adults with HR+/HER2- locally advanced or metastatic breast cancer, whose disease progressed during treatment or within 12 months of completing adjuvant endocrine therapy. This is followed by an arrow facing down to a box with first line treatment such as CDK4/6 inhibitor and fulvestrant (if previous relapse on adjuvant AR); CDK4/6 inhibitor and AI (if not previous relapse on adjuvant AI); endocrine monotherapy for patients with comorbidities or unsuitable for CDK4/6 inhibitor; chemotherapy if imminent organ failure. Below this is an arrow facing down to a list of second and subsequent line treatment. The list includes fulvestrant and CDK 4/6 inhibitor if not previously used; endocrine monotherapy; everolimus and exemestane; chemotherapy; PARP inhibitor; OR capivasertib + fulvestra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9457" cy="4324759"/>
                    </a:xfrm>
                    <a:prstGeom prst="rect">
                      <a:avLst/>
                    </a:prstGeom>
                  </pic:spPr>
                </pic:pic>
              </a:graphicData>
            </a:graphic>
          </wp:inline>
        </w:drawing>
      </w:r>
    </w:p>
    <w:p w14:paraId="24F526F0" w14:textId="5816645B" w:rsidR="001359F2" w:rsidRPr="004C6591" w:rsidRDefault="008E3A0E" w:rsidP="00C65136">
      <w:pPr>
        <w:pStyle w:val="Caption"/>
        <w:spacing w:before="120"/>
        <w:rPr>
          <w:lang w:val="en-AU"/>
        </w:rPr>
      </w:pPr>
      <w:bookmarkStart w:id="16" w:name="_Ref170818620"/>
      <w:r w:rsidRPr="004C6591">
        <w:rPr>
          <w:lang w:val="en-AU"/>
        </w:rPr>
        <w:t xml:space="preserve">Figure </w:t>
      </w:r>
      <w:r w:rsidRPr="004C6591">
        <w:rPr>
          <w:lang w:val="en-AU"/>
        </w:rPr>
        <w:fldChar w:fldCharType="begin"/>
      </w:r>
      <w:r w:rsidRPr="004C6591">
        <w:rPr>
          <w:lang w:val="en-AU"/>
        </w:rPr>
        <w:instrText xml:space="preserve"> SEQ Figure \* ARABIC </w:instrText>
      </w:r>
      <w:r w:rsidRPr="004C6591">
        <w:rPr>
          <w:lang w:val="en-AU"/>
        </w:rPr>
        <w:fldChar w:fldCharType="separate"/>
      </w:r>
      <w:r w:rsidR="0061475D" w:rsidRPr="004C6591">
        <w:rPr>
          <w:lang w:val="en-AU"/>
        </w:rPr>
        <w:t>3</w:t>
      </w:r>
      <w:r w:rsidRPr="004C6591">
        <w:rPr>
          <w:lang w:val="en-AU"/>
        </w:rPr>
        <w:fldChar w:fldCharType="end"/>
      </w:r>
      <w:bookmarkEnd w:id="16"/>
      <w:r w:rsidRPr="004C6591">
        <w:rPr>
          <w:lang w:val="en-AU"/>
        </w:rPr>
        <w:t xml:space="preserve"> </w:t>
      </w:r>
      <w:r w:rsidR="00344EF7" w:rsidRPr="004C6591">
        <w:rPr>
          <w:lang w:val="en-AU"/>
        </w:rPr>
        <w:t xml:space="preserve">Current clinical management algorithm </w:t>
      </w:r>
      <w:r w:rsidR="00E433BE" w:rsidRPr="004C6591">
        <w:rPr>
          <w:lang w:val="en-AU"/>
        </w:rPr>
        <w:t>for adults with HR+/HER2- locally advanced or metastatic breast cancer, who have relapsed during or after endocrine therapy.</w:t>
      </w:r>
    </w:p>
    <w:p w14:paraId="4BAABA35" w14:textId="600EF9B6" w:rsidR="003435B4" w:rsidRPr="004C6591" w:rsidRDefault="003435B4" w:rsidP="0046697F">
      <w:pPr>
        <w:pStyle w:val="Tablenotes"/>
        <w:jc w:val="left"/>
      </w:pPr>
      <w:bookmarkStart w:id="17" w:name="_Hlk170375528"/>
      <w:r w:rsidRPr="004C6591">
        <w:t>Source: adapted from Figure 1, p13 of MSAC application 1783 PICO set</w:t>
      </w:r>
    </w:p>
    <w:p w14:paraId="2DAA900A" w14:textId="4EF2D9F1" w:rsidR="003435B4" w:rsidRPr="004C6591" w:rsidRDefault="003435B4" w:rsidP="0046697F">
      <w:pPr>
        <w:pStyle w:val="Tablenotes"/>
        <w:jc w:val="left"/>
      </w:pPr>
      <w:r w:rsidRPr="004C6591">
        <w:t xml:space="preserve">Abbreviations: </w:t>
      </w:r>
      <w:r w:rsidR="00463392" w:rsidRPr="004C6591">
        <w:t xml:space="preserve">1st=first; 2nd=second; </w:t>
      </w:r>
      <w:r w:rsidRPr="004C6591">
        <w:t>AI=aromatase inhibitor;</w:t>
      </w:r>
      <w:r w:rsidR="001B49AB" w:rsidRPr="004C6591">
        <w:t xml:space="preserve"> </w:t>
      </w:r>
      <w:r w:rsidR="001B49AB" w:rsidRPr="004C6591">
        <w:rPr>
          <w:i/>
          <w:iCs/>
        </w:rPr>
        <w:t>BRCA</w:t>
      </w:r>
      <w:r w:rsidR="001B49AB" w:rsidRPr="004C6591">
        <w:t>=B</w:t>
      </w:r>
      <w:r w:rsidR="00977F5A" w:rsidRPr="004C6591">
        <w:t>r</w:t>
      </w:r>
      <w:r w:rsidR="001B49AB" w:rsidRPr="004C6591">
        <w:t>east C</w:t>
      </w:r>
      <w:r w:rsidR="00977F5A" w:rsidRPr="004C6591">
        <w:t>a</w:t>
      </w:r>
      <w:r w:rsidR="001B49AB" w:rsidRPr="004C6591">
        <w:t>ncer gene;</w:t>
      </w:r>
      <w:r w:rsidRPr="004C6591">
        <w:t xml:space="preserve"> CDK4/6 inhibitor=cyclin dependent kinase 4 and 6 inhibitor; HR+/HER2-=hormone receptor positive, human epidermal growth factor receptor 2 negative; </w:t>
      </w:r>
      <w:r w:rsidR="00081123" w:rsidRPr="004C6591">
        <w:rPr>
          <w:i/>
          <w:iCs/>
        </w:rPr>
        <w:t>PALB2m+</w:t>
      </w:r>
      <w:r w:rsidR="00081123" w:rsidRPr="004C6591">
        <w:t xml:space="preserve">= Partner and localizer of </w:t>
      </w:r>
      <w:r w:rsidR="00081123" w:rsidRPr="004C6591">
        <w:rPr>
          <w:i/>
          <w:iCs/>
        </w:rPr>
        <w:t>BRCA2</w:t>
      </w:r>
      <w:r w:rsidR="00081123" w:rsidRPr="004C6591">
        <w:t xml:space="preserve"> positive; </w:t>
      </w:r>
      <w:r w:rsidR="001B49AB" w:rsidRPr="004C6591">
        <w:t xml:space="preserve">PARP=Poly (ADP-ribose) polymerase; </w:t>
      </w:r>
      <w:r w:rsidR="00081123" w:rsidRPr="004C6591">
        <w:rPr>
          <w:i/>
          <w:iCs/>
        </w:rPr>
        <w:t>PIK3CA/AKT1/PTENm+</w:t>
      </w:r>
      <w:r w:rsidR="00081123" w:rsidRPr="004C6591">
        <w:t xml:space="preserve">= </w:t>
      </w:r>
      <w:r w:rsidR="00A00E07" w:rsidRPr="004C6591">
        <w:t xml:space="preserve">positive variant of either </w:t>
      </w:r>
      <w:r w:rsidR="00081123" w:rsidRPr="004C6591">
        <w:t>phosphatidylinositol-4,5-bisphosphate-3-kinase catalytic subunit α/serine-threonine kinase 1/phosphatase and tensin homologue.</w:t>
      </w:r>
    </w:p>
    <w:p w14:paraId="118105B6" w14:textId="356E52A0" w:rsidR="00792095" w:rsidRPr="004C6591" w:rsidRDefault="00792095" w:rsidP="0046697F">
      <w:pPr>
        <w:pStyle w:val="Tablenotes"/>
        <w:jc w:val="left"/>
      </w:pPr>
      <w:r w:rsidRPr="004C6591">
        <w:rPr>
          <w:vertAlign w:val="superscript"/>
        </w:rPr>
        <w:t>a</w:t>
      </w:r>
      <w:r w:rsidR="00A91484" w:rsidRPr="004C6591">
        <w:t xml:space="preserve"> </w:t>
      </w:r>
      <w:r w:rsidR="0092002A" w:rsidRPr="004C6591">
        <w:t xml:space="preserve">CDK4/6 inhibitor listed on the PBS are abemaciclib, palbociclib and ribociclib. </w:t>
      </w:r>
    </w:p>
    <w:p w14:paraId="20DF436E" w14:textId="0D054CA5" w:rsidR="00792095" w:rsidRPr="004C6591" w:rsidRDefault="00792095" w:rsidP="0046697F">
      <w:pPr>
        <w:pStyle w:val="Tablenotes"/>
        <w:jc w:val="left"/>
      </w:pPr>
      <w:r w:rsidRPr="004C6591">
        <w:rPr>
          <w:vertAlign w:val="superscript"/>
        </w:rPr>
        <w:t>b</w:t>
      </w:r>
      <w:r w:rsidR="00A91484" w:rsidRPr="004C6591">
        <w:t xml:space="preserve"> </w:t>
      </w:r>
      <w:r w:rsidR="0092002A" w:rsidRPr="004C6591">
        <w:t xml:space="preserve">AI listed on the PBS are anastrozole, letrozole and exemestane. </w:t>
      </w:r>
    </w:p>
    <w:p w14:paraId="1313D855" w14:textId="2FBD81B2" w:rsidR="0092002A" w:rsidRPr="004C6591" w:rsidRDefault="00A913AA" w:rsidP="0046697F">
      <w:pPr>
        <w:pStyle w:val="Tablenotes"/>
        <w:jc w:val="left"/>
      </w:pPr>
      <w:r w:rsidRPr="004C6591">
        <w:t>*</w:t>
      </w:r>
      <w:r w:rsidR="00A91484" w:rsidRPr="004C6591">
        <w:t xml:space="preserve"> </w:t>
      </w:r>
      <w:r w:rsidR="00EF53C2" w:rsidRPr="004C6591">
        <w:t>Grey text indicates non-PBS listed treatment options for this context.</w:t>
      </w:r>
      <w:r w:rsidR="008055C3" w:rsidRPr="004C6591">
        <w:t xml:space="preserve"> Of note, PARP inhibitor olaparib was recommended in the July 2024 PBAC meeting</w:t>
      </w:r>
      <w:r w:rsidR="00292188" w:rsidRPr="004C6591">
        <w:t xml:space="preserve">. </w:t>
      </w:r>
    </w:p>
    <w:bookmarkEnd w:id="17"/>
    <w:p w14:paraId="4C7EFEDE" w14:textId="1EDC361A" w:rsidR="00F56AD4" w:rsidRPr="004C6591" w:rsidRDefault="00A736DE" w:rsidP="008A41D1">
      <w:r w:rsidRPr="004C6591">
        <w:t xml:space="preserve">In contrast to the applicant’s algorithm, </w:t>
      </w:r>
      <w:r w:rsidR="008E3A0E" w:rsidRPr="004C6591">
        <w:fldChar w:fldCharType="begin"/>
      </w:r>
      <w:r w:rsidR="008E3A0E" w:rsidRPr="004C6591">
        <w:instrText xml:space="preserve"> REF _Ref170818620 \h </w:instrText>
      </w:r>
      <w:r w:rsidR="008E3A0E" w:rsidRPr="004C6591">
        <w:fldChar w:fldCharType="separate"/>
      </w:r>
      <w:r w:rsidR="008E3A0E" w:rsidRPr="004C6591">
        <w:t>Figure 3</w:t>
      </w:r>
      <w:r w:rsidR="008E3A0E" w:rsidRPr="004C6591">
        <w:fldChar w:fldCharType="end"/>
      </w:r>
      <w:r w:rsidR="008E3A0E" w:rsidRPr="004C6591">
        <w:t xml:space="preserve"> </w:t>
      </w:r>
      <w:r w:rsidR="00A84D54" w:rsidRPr="004C6591">
        <w:t xml:space="preserve">considers the test population </w:t>
      </w:r>
      <w:r w:rsidR="00DC3BAC" w:rsidRPr="004C6591">
        <w:t xml:space="preserve">to be </w:t>
      </w:r>
      <w:r w:rsidR="00A84D54" w:rsidRPr="004C6591">
        <w:t xml:space="preserve">adults with HR+/HER2- LA/mBC, </w:t>
      </w:r>
      <w:r w:rsidR="00B90464" w:rsidRPr="004C6591">
        <w:t xml:space="preserve">whose disease progressed during treatment or within 12 months of completing adjuvant </w:t>
      </w:r>
      <w:r w:rsidR="00D9314F" w:rsidRPr="004C6591">
        <w:t>ET</w:t>
      </w:r>
      <w:r w:rsidR="001837EC" w:rsidRPr="004C6591">
        <w:t xml:space="preserve">, which is aligned </w:t>
      </w:r>
      <w:r w:rsidR="00365950" w:rsidRPr="004C6591">
        <w:t>with</w:t>
      </w:r>
      <w:r w:rsidR="001837EC" w:rsidRPr="004C6591">
        <w:t xml:space="preserve"> the INAVO120 trial</w:t>
      </w:r>
      <w:r w:rsidR="00365950" w:rsidRPr="004C6591">
        <w:t xml:space="preserve"> population</w:t>
      </w:r>
      <w:r w:rsidR="005F3BEA" w:rsidRPr="004C6591">
        <w:t xml:space="preserve">, and </w:t>
      </w:r>
      <w:r w:rsidR="00DC3BAC" w:rsidRPr="004C6591">
        <w:t>t</w:t>
      </w:r>
      <w:r w:rsidR="00027FC0" w:rsidRPr="004C6591">
        <w:t xml:space="preserve">he test population </w:t>
      </w:r>
      <w:r w:rsidR="00004CCA" w:rsidRPr="004C6591">
        <w:t>wa</w:t>
      </w:r>
      <w:r w:rsidR="00DC3BAC" w:rsidRPr="004C6591">
        <w:t>s</w:t>
      </w:r>
      <w:r w:rsidR="00027FC0" w:rsidRPr="004C6591">
        <w:t xml:space="preserve"> confirmed by PASC.</w:t>
      </w:r>
      <w:r w:rsidR="001837EC" w:rsidRPr="004C6591">
        <w:t xml:space="preserve"> Two additional 1L treatment options were added to the algorithm: ET monotherapy (for patients with comorbidities or unsuitable for CDK4/6 inhibitor</w:t>
      </w:r>
      <w:r w:rsidR="00D15D29" w:rsidRPr="004C6591">
        <w:t>)</w:t>
      </w:r>
      <w:r w:rsidR="001837EC" w:rsidRPr="004C6591">
        <w:t xml:space="preserve"> and chemotherapy (if imminent organ failure</w:t>
      </w:r>
      <w:r w:rsidR="225F9FE5" w:rsidRPr="004C6591">
        <w:t>)</w:t>
      </w:r>
      <w:r w:rsidR="001837EC" w:rsidRPr="004C6591">
        <w:t>. These two treatment options a</w:t>
      </w:r>
      <w:r w:rsidR="00A755B9" w:rsidRPr="004C6591">
        <w:t>re available to patients treated in Australia</w:t>
      </w:r>
      <w:r w:rsidR="00520461" w:rsidRPr="004C6591">
        <w:t xml:space="preserve"> </w:t>
      </w:r>
      <w:r w:rsidR="00520461" w:rsidRPr="004C6591">
        <w:fldChar w:fldCharType="begin"/>
      </w:r>
      <w:r w:rsidR="00520461" w:rsidRPr="004C6591">
        <w:instrText xml:space="preserve"> ADDIN EN.CITE &lt;EndNote&gt;&lt;Cite&gt;&lt;Author&gt;Cancer Council Victoria and Department of Health Victoria&lt;/Author&gt;&lt;Year&gt;2021&lt;/Year&gt;&lt;RecNum&gt;46&lt;/RecNum&gt;&lt;DisplayText&gt;(Cancer Council Victoria and Department of Health Victoria 2021)&lt;/DisplayText&gt;&lt;record&gt;&lt;rec-number&gt;46&lt;/rec-number&gt;&lt;foreign-keys&gt;&lt;key app="EN" db-id="dw2s0a0pxte05aexpvnx2awre9s0vxdepfat" timestamp="1718935366"&gt;46&lt;/key&gt;&lt;/foreign-keys&gt;&lt;ref-type name="Report"&gt;27&lt;/ref-type&gt;&lt;contributors&gt;&lt;authors&gt;&lt;author&gt;Cancer Council Victoria and Department of Health Victoria,&lt;/author&gt;&lt;/authors&gt;&lt;tertiary-authors&gt;&lt;author&gt;Cancer Council Victoria,&lt;/author&gt;&lt;/tertiary-authors&gt;&lt;/contributors&gt;&lt;titles&gt;&lt;title&gt;Optimal care pathway for people with breast cancer&lt;/title&gt;&lt;/titles&gt;&lt;edition&gt;2nd&lt;/edition&gt;&lt;dates&gt;&lt;year&gt;2021&lt;/year&gt;&lt;/dates&gt;&lt;pub-location&gt;Melbourne&lt;/pub-location&gt;&lt;urls&gt;&lt;related-urls&gt;&lt;url&gt;https://www.cancer.org.au/assets/pdf/breast-cancer-optimal-cancer-care-pathway&lt;/url&gt;&lt;/related-urls&gt;&lt;/urls&gt;&lt;access-date&gt;18 June 2024&lt;/access-date&gt;&lt;/record&gt;&lt;/Cite&gt;&lt;/EndNote&gt;</w:instrText>
      </w:r>
      <w:r w:rsidR="00520461" w:rsidRPr="004C6591">
        <w:fldChar w:fldCharType="separate"/>
      </w:r>
      <w:r w:rsidR="00520461" w:rsidRPr="004C6591">
        <w:t>(Cancer Council Victoria and Department of Health Victoria 2021)</w:t>
      </w:r>
      <w:r w:rsidR="00520461" w:rsidRPr="004C6591">
        <w:fldChar w:fldCharType="end"/>
      </w:r>
      <w:r w:rsidR="00A755B9" w:rsidRPr="004C6591">
        <w:t xml:space="preserve">, and </w:t>
      </w:r>
      <w:r w:rsidR="2539939A" w:rsidRPr="004C6591">
        <w:t xml:space="preserve">are </w:t>
      </w:r>
      <w:r w:rsidR="00A755B9" w:rsidRPr="004C6591">
        <w:t>aligned with the ESMO</w:t>
      </w:r>
      <w:r w:rsidR="0075591F" w:rsidRPr="004C6591">
        <w:t xml:space="preserve"> guidelines</w:t>
      </w:r>
      <w:r w:rsidR="00A755B9" w:rsidRPr="004C6591">
        <w:t xml:space="preserve"> (2021)</w:t>
      </w:r>
      <w:r w:rsidR="0075591F" w:rsidRPr="004C6591">
        <w:t xml:space="preserve"> </w:t>
      </w:r>
      <w:r w:rsidR="00520461" w:rsidRPr="004C6591">
        <w:fldChar w:fldCharType="begin"/>
      </w:r>
      <w:r w:rsidR="00520461" w:rsidRPr="004C6591">
        <w:instrText xml:space="preserve"> ADDIN EN.CITE &lt;EndNote&gt;&lt;Cite&gt;&lt;Author&gt;Gennari&lt;/Author&gt;&lt;Year&gt;2021&lt;/Year&gt;&lt;RecNum&gt;13&lt;/RecNum&gt;&lt;DisplayText&gt;(Gennari et al. 2021)&lt;/DisplayText&gt;&lt;record&gt;&lt;rec-number&gt;13&lt;/rec-number&gt;&lt;foreign-keys&gt;&lt;key app="EN" db-id="dw2s0a0pxte05aexpvnx2awre9s0vxdepfat" timestamp="1717656019"&gt;13&lt;/key&gt;&lt;/foreign-keys&gt;&lt;ref-type name="Journal Article"&gt;17&lt;/ref-type&gt;&lt;contributors&gt;&lt;authors&gt;&lt;author&gt;Gennari, A.&lt;/author&gt;&lt;author&gt;André, F.&lt;/author&gt;&lt;author&gt;Barrios, C. H.&lt;/author&gt;&lt;author&gt;Cortés, J.&lt;/author&gt;&lt;author&gt;De Azambuja, E.&lt;/author&gt;&lt;author&gt;Demichele, A.&lt;/author&gt;&lt;author&gt;Dent, R.&lt;/author&gt;&lt;author&gt;Fenlon, D.&lt;/author&gt;&lt;author&gt;Gligorov, J.&lt;/author&gt;&lt;author&gt;Hurvitz, S. A.&lt;/author&gt;&lt;author&gt;Im, S. A.&lt;/author&gt;&lt;author&gt;Krug, D.&lt;/author&gt;&lt;author&gt;Kunz, W. G.&lt;/author&gt;&lt;author&gt;Loi, S.&lt;/author&gt;&lt;author&gt;Penault-Llorca, F.&lt;/author&gt;&lt;author&gt;Ricke, J.&lt;/author&gt;&lt;author&gt;Robson, M.&lt;/author&gt;&lt;author&gt;Rugo, H. S.&lt;/author&gt;&lt;author&gt;Saura, C.&lt;/author&gt;&lt;author&gt;Schmid, P.&lt;/author&gt;&lt;author&gt;Singer, C. F.&lt;/author&gt;&lt;author&gt;Spanic, T.&lt;/author&gt;&lt;author&gt;Tolaney, S. M.&lt;/author&gt;&lt;author&gt;Turner, N. C.&lt;/author&gt;&lt;author&gt;Curigliano, G.&lt;/author&gt;&lt;author&gt;Loibl, S.&lt;/author&gt;&lt;author&gt;Paluch-Shimon, S.&lt;/author&gt;&lt;author&gt;Harbeck, N.&lt;/author&gt;&lt;/authors&gt;&lt;/contributors&gt;&lt;titles&gt;&lt;title&gt;ESMO Clinical Practice Guideline for the diagnosis, staging and treatment of patients with metastatic breast cancer&lt;/title&gt;&lt;secondary-title&gt;Annals of Oncology&lt;/secondary-title&gt;&lt;/titles&gt;&lt;periodical&gt;&lt;full-title&gt;Annals of Oncology&lt;/full-title&gt;&lt;/periodical&gt;&lt;pages&gt;1475-1495&lt;/pages&gt;&lt;volume&gt;32&lt;/volume&gt;&lt;number&gt;12&lt;/number&gt;&lt;dates&gt;&lt;year&gt;2021&lt;/year&gt;&lt;/dates&gt;&lt;publisher&gt;Elsevier BV&lt;/publisher&gt;&lt;isbn&gt;0923-7534&lt;/isbn&gt;&lt;urls&gt;&lt;related-urls&gt;&lt;url&gt;https://dx.doi.org/10.1016/j.annonc.2021.09.019&lt;/url&gt;&lt;/related-urls&gt;&lt;/urls&gt;&lt;electronic-resource-num&gt;10.1016/j.annonc.2021.09.019&lt;/electronic-resource-num&gt;&lt;/record&gt;&lt;/Cite&gt;&lt;/EndNote&gt;</w:instrText>
      </w:r>
      <w:r w:rsidR="00520461" w:rsidRPr="004C6591">
        <w:fldChar w:fldCharType="separate"/>
      </w:r>
      <w:r w:rsidR="00520461" w:rsidRPr="004C6591">
        <w:t>(Gennari et al. 2021)</w:t>
      </w:r>
      <w:r w:rsidR="00520461" w:rsidRPr="004C6591">
        <w:fldChar w:fldCharType="end"/>
      </w:r>
      <w:r w:rsidR="00A755B9" w:rsidRPr="004C6591">
        <w:t>.</w:t>
      </w:r>
      <w:r w:rsidR="008E3A0E" w:rsidRPr="004C6591">
        <w:t xml:space="preserve"> </w:t>
      </w:r>
      <w:r w:rsidR="008E3A0E" w:rsidRPr="004C6591">
        <w:fldChar w:fldCharType="begin"/>
      </w:r>
      <w:r w:rsidR="008E3A0E" w:rsidRPr="004C6591">
        <w:instrText xml:space="preserve"> REF _Ref170818620 \h </w:instrText>
      </w:r>
      <w:r w:rsidR="008E3A0E" w:rsidRPr="004C6591">
        <w:fldChar w:fldCharType="separate"/>
      </w:r>
      <w:r w:rsidR="008E3A0E" w:rsidRPr="004C6591">
        <w:t>Figure 3</w:t>
      </w:r>
      <w:r w:rsidR="008E3A0E" w:rsidRPr="004C6591">
        <w:fldChar w:fldCharType="end"/>
      </w:r>
      <w:r w:rsidR="008E3A0E" w:rsidRPr="004C6591">
        <w:t xml:space="preserve"> </w:t>
      </w:r>
      <w:r w:rsidR="00444BF9" w:rsidRPr="004C6591">
        <w:t xml:space="preserve">also included 2L and subsequent line treatment with </w:t>
      </w:r>
      <w:r w:rsidR="3A0C59EB" w:rsidRPr="004C6591">
        <w:t xml:space="preserve">a </w:t>
      </w:r>
      <w:r w:rsidR="00444BF9" w:rsidRPr="004C6591">
        <w:t xml:space="preserve">PARP inhibitor </w:t>
      </w:r>
      <w:r w:rsidR="00FF41B9" w:rsidRPr="004C6591">
        <w:t>or capivasertib + fulvestrant</w:t>
      </w:r>
      <w:r w:rsidR="00444BF9" w:rsidRPr="004C6591">
        <w:t xml:space="preserve">. </w:t>
      </w:r>
      <w:r w:rsidR="05113724" w:rsidRPr="004C6591">
        <w:t>The</w:t>
      </w:r>
      <w:r w:rsidR="00444BF9" w:rsidRPr="004C6591">
        <w:t xml:space="preserve"> PARP inhibitor olaparib </w:t>
      </w:r>
      <w:r w:rsidR="00C325FA" w:rsidRPr="004C6591">
        <w:t xml:space="preserve">was </w:t>
      </w:r>
      <w:r w:rsidR="00022159" w:rsidRPr="004C6591">
        <w:t xml:space="preserve">discussed </w:t>
      </w:r>
      <w:r w:rsidR="0093505D" w:rsidRPr="004C6591">
        <w:t xml:space="preserve">and subsequently recommended </w:t>
      </w:r>
      <w:r w:rsidR="00022159" w:rsidRPr="004C6591">
        <w:t xml:space="preserve">in the July 2024 PBAC meeting for HER2- </w:t>
      </w:r>
      <w:r w:rsidR="00022159" w:rsidRPr="004C6591">
        <w:lastRenderedPageBreak/>
        <w:t xml:space="preserve">mBC with confirmed </w:t>
      </w:r>
      <w:r w:rsidR="00022159" w:rsidRPr="004C6591">
        <w:rPr>
          <w:i/>
          <w:iCs/>
        </w:rPr>
        <w:t>BRCA1/2</w:t>
      </w:r>
      <w:r w:rsidR="00022159" w:rsidRPr="004C6591">
        <w:t xml:space="preserve"> </w:t>
      </w:r>
      <w:r w:rsidR="00291985" w:rsidRPr="004C6591">
        <w:t>variant</w:t>
      </w:r>
      <w:r w:rsidR="00D37272" w:rsidRPr="004C6591">
        <w:t>s</w:t>
      </w:r>
      <w:r w:rsidR="168F0F26" w:rsidRPr="004C6591">
        <w:t>, while</w:t>
      </w:r>
      <w:r w:rsidR="00022159" w:rsidRPr="004C6591">
        <w:t xml:space="preserve"> </w:t>
      </w:r>
      <w:r w:rsidR="00FF41B9" w:rsidRPr="004C6591">
        <w:t>capivasertib</w:t>
      </w:r>
      <w:r w:rsidR="00022159" w:rsidRPr="004C6591">
        <w:t xml:space="preserve"> </w:t>
      </w:r>
      <w:r w:rsidR="002D1139" w:rsidRPr="004C6591">
        <w:t>is</w:t>
      </w:r>
      <w:r w:rsidR="00022159" w:rsidRPr="004C6591">
        <w:t xml:space="preserve"> TGA-approved but not </w:t>
      </w:r>
      <w:r w:rsidR="00026ECF" w:rsidRPr="004C6591">
        <w:t xml:space="preserve">yet </w:t>
      </w:r>
      <w:r w:rsidR="00022159" w:rsidRPr="004C6591">
        <w:t xml:space="preserve">PBS-listed. </w:t>
      </w:r>
      <w:r w:rsidR="00FF41B9" w:rsidRPr="004C6591">
        <w:t>Olaparib</w:t>
      </w:r>
      <w:r w:rsidR="0052471F" w:rsidRPr="004C6591">
        <w:t xml:space="preserve"> </w:t>
      </w:r>
      <w:r w:rsidR="00FF41B9" w:rsidRPr="004C6591">
        <w:t>and capivasertib</w:t>
      </w:r>
      <w:r w:rsidR="00022159" w:rsidRPr="004C6591">
        <w:t xml:space="preserve"> are available to self-funded patients in Australia. </w:t>
      </w:r>
    </w:p>
    <w:p w14:paraId="26AF7FA9" w14:textId="4E60FBD0" w:rsidR="00F56AD4" w:rsidRPr="004C6591" w:rsidRDefault="00123DCE" w:rsidP="00F56AD4">
      <w:pPr>
        <w:pStyle w:val="Heading4"/>
      </w:pPr>
      <w:bookmarkStart w:id="18" w:name="_Ref176188168"/>
      <w:r w:rsidRPr="004C6591">
        <w:t>C</w:t>
      </w:r>
      <w:r w:rsidR="00F56AD4" w:rsidRPr="004C6591">
        <w:t>l</w:t>
      </w:r>
      <w:r w:rsidR="004076C3" w:rsidRPr="004C6591">
        <w:t>i</w:t>
      </w:r>
      <w:r w:rsidR="00F56AD4" w:rsidRPr="004C6591">
        <w:t>nical management algorithm</w:t>
      </w:r>
      <w:r w:rsidRPr="004C6591">
        <w:t xml:space="preserve"> with </w:t>
      </w:r>
      <w:r w:rsidRPr="00C65136">
        <w:rPr>
          <w:i w:val="0"/>
        </w:rPr>
        <w:t>PIK3CA</w:t>
      </w:r>
      <w:r w:rsidRPr="004C6591">
        <w:t xml:space="preserve"> testing and inavolisib</w:t>
      </w:r>
      <w:bookmarkEnd w:id="18"/>
    </w:p>
    <w:p w14:paraId="33637104" w14:textId="0BA4BD16" w:rsidR="009629FB" w:rsidRPr="004C6591" w:rsidRDefault="00A62F56" w:rsidP="007E6532">
      <w:r w:rsidRPr="004C6591">
        <w:t>The ESMO</w:t>
      </w:r>
      <w:r w:rsidR="0075591F" w:rsidRPr="004C6591">
        <w:t xml:space="preserve"> guidelines</w:t>
      </w:r>
      <w:r w:rsidRPr="004C6591">
        <w:t xml:space="preserve"> (2021) recommended the assessment of </w:t>
      </w:r>
      <w:r w:rsidRPr="004C6591">
        <w:rPr>
          <w:i/>
          <w:iCs/>
        </w:rPr>
        <w:t>PIK3CA</w:t>
      </w:r>
      <w:r w:rsidRPr="004C6591">
        <w:t xml:space="preserve"> status in all patients with newly diagnosed or recurrent </w:t>
      </w:r>
      <w:r w:rsidR="000A0910" w:rsidRPr="004C6591">
        <w:t>m</w:t>
      </w:r>
      <w:r w:rsidRPr="004C6591">
        <w:t>BC with HR+/HER2- tumour</w:t>
      </w:r>
      <w:r w:rsidR="00C975AA" w:rsidRPr="004C6591">
        <w:t>s</w:t>
      </w:r>
      <w:r w:rsidR="00134E04" w:rsidRPr="004C6591">
        <w:t xml:space="preserve">. </w:t>
      </w:r>
      <w:r w:rsidR="00C975AA" w:rsidRPr="004C6591">
        <w:rPr>
          <w:i/>
          <w:iCs/>
        </w:rPr>
        <w:t>PIK3CA</w:t>
      </w:r>
      <w:r w:rsidR="00C975AA" w:rsidRPr="004C6591">
        <w:t xml:space="preserve"> testing should only be carried out as part of routine clinical practice if the results will change the treatment approach </w:t>
      </w:r>
      <w:r w:rsidR="00C975AA" w:rsidRPr="004C6591">
        <w:fldChar w:fldCharType="begin"/>
      </w:r>
      <w:r w:rsidR="00C975AA" w:rsidRPr="004C6591">
        <w:instrText xml:space="preserve"> ADDIN EN.CITE &lt;EndNote&gt;&lt;Cite&gt;&lt;Author&gt;Gennari&lt;/Author&gt;&lt;Year&gt;2021&lt;/Year&gt;&lt;RecNum&gt;13&lt;/RecNum&gt;&lt;DisplayText&gt;(Gennari et al. 2021)&lt;/DisplayText&gt;&lt;record&gt;&lt;rec-number&gt;13&lt;/rec-number&gt;&lt;foreign-keys&gt;&lt;key app="EN" db-id="dw2s0a0pxte05aexpvnx2awre9s0vxdepfat" timestamp="1717656019"&gt;13&lt;/key&gt;&lt;/foreign-keys&gt;&lt;ref-type name="Journal Article"&gt;17&lt;/ref-type&gt;&lt;contributors&gt;&lt;authors&gt;&lt;author&gt;Gennari, A.&lt;/author&gt;&lt;author&gt;André, F.&lt;/author&gt;&lt;author&gt;Barrios, C. H.&lt;/author&gt;&lt;author&gt;Cortés, J.&lt;/author&gt;&lt;author&gt;De Azambuja, E.&lt;/author&gt;&lt;author&gt;Demichele, A.&lt;/author&gt;&lt;author&gt;Dent, R.&lt;/author&gt;&lt;author&gt;Fenlon, D.&lt;/author&gt;&lt;author&gt;Gligorov, J.&lt;/author&gt;&lt;author&gt;Hurvitz, S. A.&lt;/author&gt;&lt;author&gt;Im, S. A.&lt;/author&gt;&lt;author&gt;Krug, D.&lt;/author&gt;&lt;author&gt;Kunz, W. G.&lt;/author&gt;&lt;author&gt;Loi, S.&lt;/author&gt;&lt;author&gt;Penault-Llorca, F.&lt;/author&gt;&lt;author&gt;Ricke, J.&lt;/author&gt;&lt;author&gt;Robson, M.&lt;/author&gt;&lt;author&gt;Rugo, H. S.&lt;/author&gt;&lt;author&gt;Saura, C.&lt;/author&gt;&lt;author&gt;Schmid, P.&lt;/author&gt;&lt;author&gt;Singer, C. F.&lt;/author&gt;&lt;author&gt;Spanic, T.&lt;/author&gt;&lt;author&gt;Tolaney, S. M.&lt;/author&gt;&lt;author&gt;Turner, N. C.&lt;/author&gt;&lt;author&gt;Curigliano, G.&lt;/author&gt;&lt;author&gt;Loibl, S.&lt;/author&gt;&lt;author&gt;Paluch-Shimon, S.&lt;/author&gt;&lt;author&gt;Harbeck, N.&lt;/author&gt;&lt;/authors&gt;&lt;/contributors&gt;&lt;titles&gt;&lt;title&gt;ESMO Clinical Practice Guideline for the diagnosis, staging and treatment of patients with metastatic breast cancer&lt;/title&gt;&lt;secondary-title&gt;Annals of Oncology&lt;/secondary-title&gt;&lt;/titles&gt;&lt;periodical&gt;&lt;full-title&gt;Annals of Oncology&lt;/full-title&gt;&lt;/periodical&gt;&lt;pages&gt;1475-1495&lt;/pages&gt;&lt;volume&gt;32&lt;/volume&gt;&lt;number&gt;12&lt;/number&gt;&lt;dates&gt;&lt;year&gt;2021&lt;/year&gt;&lt;/dates&gt;&lt;publisher&gt;Elsevier BV&lt;/publisher&gt;&lt;isbn&gt;0923-7534&lt;/isbn&gt;&lt;urls&gt;&lt;related-urls&gt;&lt;url&gt;https://dx.doi.org/10.1016/j.annonc.2021.09.019&lt;/url&gt;&lt;/related-urls&gt;&lt;/urls&gt;&lt;electronic-resource-num&gt;10.1016/j.annonc.2021.09.019&lt;/electronic-resource-num&gt;&lt;/record&gt;&lt;/Cite&gt;&lt;/EndNote&gt;</w:instrText>
      </w:r>
      <w:r w:rsidR="00C975AA" w:rsidRPr="004C6591">
        <w:fldChar w:fldCharType="separate"/>
      </w:r>
      <w:r w:rsidR="00C975AA" w:rsidRPr="004C6591">
        <w:t>(Gennari et al. 2021)</w:t>
      </w:r>
      <w:r w:rsidR="00C975AA" w:rsidRPr="004C6591">
        <w:fldChar w:fldCharType="end"/>
      </w:r>
      <w:r w:rsidR="00C975AA" w:rsidRPr="004C6591">
        <w:t>.</w:t>
      </w:r>
      <w:r w:rsidR="0049144E" w:rsidRPr="004C6591">
        <w:t xml:space="preserve"> </w:t>
      </w:r>
      <w:r w:rsidR="00C305D2" w:rsidRPr="004C6591">
        <w:t xml:space="preserve">NCCN </w:t>
      </w:r>
      <w:r w:rsidR="00E34ED8" w:rsidRPr="004C6591">
        <w:t xml:space="preserve">Breast Cancer </w:t>
      </w:r>
      <w:r w:rsidR="00CB3443" w:rsidRPr="004C6591">
        <w:t xml:space="preserve">guidelines </w:t>
      </w:r>
      <w:r w:rsidR="00C305D2" w:rsidRPr="004C6591">
        <w:t xml:space="preserve">(2024) recommended </w:t>
      </w:r>
      <w:r w:rsidR="00C305D2" w:rsidRPr="004C6591">
        <w:rPr>
          <w:i/>
          <w:iCs/>
        </w:rPr>
        <w:t>PIK3CA</w:t>
      </w:r>
      <w:r w:rsidR="00C305D2" w:rsidRPr="004C6591">
        <w:t xml:space="preserve"> variant testing</w:t>
      </w:r>
      <w:r w:rsidR="00A2346F" w:rsidRPr="004C6591">
        <w:t xml:space="preserve"> </w:t>
      </w:r>
      <w:r w:rsidR="00DB4451" w:rsidRPr="004C6591">
        <w:t>should</w:t>
      </w:r>
      <w:r w:rsidR="00A2346F" w:rsidRPr="004C6591">
        <w:t xml:space="preserve"> be performed</w:t>
      </w:r>
      <w:r w:rsidR="00C305D2" w:rsidRPr="004C6591">
        <w:t xml:space="preserve"> using </w:t>
      </w:r>
      <w:r w:rsidR="00A2346F" w:rsidRPr="004C6591">
        <w:t xml:space="preserve">either tumour tissue or </w:t>
      </w:r>
      <w:r w:rsidR="00C305D2" w:rsidRPr="004C6591">
        <w:t>ctDNA</w:t>
      </w:r>
      <w:r w:rsidR="000A2073" w:rsidRPr="004C6591">
        <w:t>,</w:t>
      </w:r>
      <w:r w:rsidR="00C305D2" w:rsidRPr="004C6591">
        <w:t xml:space="preserve"> and if ctDNA </w:t>
      </w:r>
      <w:r w:rsidR="006A33DA" w:rsidRPr="004C6591">
        <w:t>s</w:t>
      </w:r>
      <w:r w:rsidR="00C305D2" w:rsidRPr="004C6591">
        <w:t>hows negative results, tumour tissue testing is recommended.</w:t>
      </w:r>
      <w:r w:rsidR="00FD6AE8" w:rsidRPr="004C6591">
        <w:t xml:space="preserve"> </w:t>
      </w:r>
    </w:p>
    <w:p w14:paraId="128DD21B" w14:textId="57EA35E3" w:rsidR="009629FB" w:rsidRPr="004C6591" w:rsidRDefault="009629FB" w:rsidP="004E5BAB">
      <w:pPr>
        <w:autoSpaceDE w:val="0"/>
        <w:autoSpaceDN w:val="0"/>
        <w:adjustRightInd w:val="0"/>
      </w:pPr>
      <w:r w:rsidRPr="004C6591">
        <w:t xml:space="preserve">PASC’s advice was sought regarding </w:t>
      </w:r>
      <w:r w:rsidR="00FE7FD8" w:rsidRPr="004C6591">
        <w:t>the</w:t>
      </w:r>
      <w:r w:rsidRPr="004C6591">
        <w:t xml:space="preserve"> order </w:t>
      </w:r>
      <w:r w:rsidR="00FE7FD8" w:rsidRPr="004C6591">
        <w:t>in which</w:t>
      </w:r>
      <w:r w:rsidRPr="004C6591">
        <w:t xml:space="preserve"> ctDNA and tumour tissue testing should be performed. The applicant has not suggested specific criteria regarding the choice of sample type or sequence of testing. The applicant stated in the pre-PASC teleconference that there w</w:t>
      </w:r>
      <w:r w:rsidR="00332EFE" w:rsidRPr="004C6591">
        <w:t>ere</w:t>
      </w:r>
      <w:r w:rsidRPr="004C6591">
        <w:t xml:space="preserve"> no specific criteria for choice of test in the INVAO120 trial. A revised algorithm was proposed by the assessment group and the department at </w:t>
      </w:r>
      <w:r w:rsidR="00332EFE" w:rsidRPr="004C6591">
        <w:t>the</w:t>
      </w:r>
      <w:r w:rsidRPr="004C6591">
        <w:t xml:space="preserve"> pre-PASC stage which specified </w:t>
      </w:r>
      <w:r w:rsidRPr="004C6591">
        <w:rPr>
          <w:i/>
          <w:iCs/>
        </w:rPr>
        <w:t xml:space="preserve">PIK3CA </w:t>
      </w:r>
      <w:r w:rsidRPr="004C6591">
        <w:t xml:space="preserve">testing should occur via ctDNA first and then be followed by tumour tissue testing if ctDNA test results are negative for one or more </w:t>
      </w:r>
      <w:r w:rsidRPr="004C6591">
        <w:rPr>
          <w:i/>
          <w:iCs/>
        </w:rPr>
        <w:t>PIK3CA</w:t>
      </w:r>
      <w:r w:rsidRPr="004C6591">
        <w:t xml:space="preserve"> variants, to align with the ASCO guideline (Henry et al 2022). </w:t>
      </w:r>
    </w:p>
    <w:p w14:paraId="7DAF6C7C" w14:textId="3850DB82" w:rsidR="004319EB" w:rsidRDefault="00E6492E" w:rsidP="007E6532">
      <w:pPr>
        <w:rPr>
          <w:rFonts w:asciiTheme="minorHAnsi" w:hAnsiTheme="minorHAnsi" w:cstheme="minorBidi"/>
          <w:i/>
          <w:iCs/>
        </w:rPr>
      </w:pPr>
      <w:r w:rsidRPr="004C6591">
        <w:rPr>
          <w:rFonts w:asciiTheme="minorHAnsi" w:hAnsiTheme="minorHAnsi" w:cstheme="minorBidi"/>
          <w:i/>
          <w:iCs/>
        </w:rPr>
        <w:t xml:space="preserve">The applicant advocated for flexibility on whether to perform tumour testing or ctDNA testing to accommodate different clinical scenarios. PASC advised that the clinical algorithm would likely be dependent on the concordance data between ctDNA and tumour tissue, which is currently pending. If the data shows high concordance, the proposed </w:t>
      </w:r>
      <w:r w:rsidRPr="00C65136">
        <w:rPr>
          <w:rFonts w:asciiTheme="minorHAnsi" w:hAnsiTheme="minorHAnsi"/>
        </w:rPr>
        <w:t>PIK3CA</w:t>
      </w:r>
      <w:r w:rsidRPr="004C6591">
        <w:rPr>
          <w:rFonts w:asciiTheme="minorHAnsi" w:hAnsiTheme="minorHAnsi" w:cstheme="minorBidi"/>
          <w:i/>
          <w:iCs/>
        </w:rPr>
        <w:t xml:space="preserve"> test can be performed using either ctDNA or tumour tissue. However, PASC noted the advantages, limitations, uncertainty and feasibility of ctDNA testing. PASC therefore considered that if concordance is not high, then there may be a need to include confirmatory  testing within the algorithm following a negative test, due to the possibility of false negative results</w:t>
      </w:r>
      <w:r w:rsidR="00721C53">
        <w:rPr>
          <w:rFonts w:asciiTheme="minorHAnsi" w:hAnsiTheme="minorHAnsi" w:cstheme="minorBidi"/>
          <w:i/>
          <w:iCs/>
        </w:rPr>
        <w:t>, although this will be dependent on the concordance data (if available) and its reliability</w:t>
      </w:r>
      <w:r w:rsidRPr="004C6591">
        <w:rPr>
          <w:rFonts w:asciiTheme="minorHAnsi" w:hAnsiTheme="minorHAnsi" w:cstheme="minorBidi"/>
          <w:i/>
          <w:iCs/>
        </w:rPr>
        <w:t xml:space="preserve">. The applicant agreed and added that most patients in INAVO120 trial were tested with FoundationOne® Liquid CDx (for ctDNA) and FoundationOne® CDx (for tumour tissue), and these two assays were designed with concordance in mind. Therefore, the applicant expected high concordance between these two assays but was uncertain </w:t>
      </w:r>
      <w:r w:rsidR="001C1990" w:rsidRPr="004C6591">
        <w:rPr>
          <w:rFonts w:asciiTheme="minorHAnsi" w:hAnsiTheme="minorHAnsi" w:cstheme="minorBidi"/>
          <w:i/>
          <w:iCs/>
        </w:rPr>
        <w:t xml:space="preserve">with </w:t>
      </w:r>
      <w:r w:rsidR="004D6D58" w:rsidRPr="004C6591">
        <w:rPr>
          <w:rFonts w:asciiTheme="minorHAnsi" w:hAnsiTheme="minorHAnsi" w:cstheme="minorBidi"/>
          <w:i/>
          <w:iCs/>
        </w:rPr>
        <w:t xml:space="preserve">how this </w:t>
      </w:r>
      <w:r w:rsidRPr="004C6591">
        <w:rPr>
          <w:rFonts w:asciiTheme="minorHAnsi" w:hAnsiTheme="minorHAnsi" w:cstheme="minorBidi"/>
          <w:i/>
          <w:iCs/>
        </w:rPr>
        <w:t>compared with the range of tests available in Australia.</w:t>
      </w:r>
      <w:r w:rsidR="00133912" w:rsidRPr="004C6591">
        <w:rPr>
          <w:rFonts w:asciiTheme="minorHAnsi" w:hAnsiTheme="minorHAnsi" w:cstheme="minorBidi"/>
          <w:i/>
          <w:iCs/>
        </w:rPr>
        <w:t xml:space="preserve"> </w:t>
      </w:r>
    </w:p>
    <w:p w14:paraId="2A3FD56E" w14:textId="7B0B5B03" w:rsidR="0013213C" w:rsidRPr="004C6591" w:rsidRDefault="00C305D2" w:rsidP="007E6532">
      <w:r w:rsidRPr="004C6591">
        <w:fldChar w:fldCharType="begin"/>
      </w:r>
      <w:r w:rsidRPr="004C6591">
        <w:instrText xml:space="preserve"> REF _Ref176184923 \h </w:instrText>
      </w:r>
      <w:r w:rsidRPr="004C6591">
        <w:fldChar w:fldCharType="separate"/>
      </w:r>
      <w:r w:rsidR="00E67347" w:rsidRPr="004C6591">
        <w:t>Figure 4</w:t>
      </w:r>
      <w:r w:rsidRPr="004C6591">
        <w:fldChar w:fldCharType="end"/>
      </w:r>
      <w:r w:rsidR="00E67347" w:rsidRPr="004C6591">
        <w:t xml:space="preserve"> </w:t>
      </w:r>
      <w:r w:rsidR="00D87079" w:rsidRPr="004C6591">
        <w:t xml:space="preserve">illustrates the </w:t>
      </w:r>
      <w:r w:rsidR="00393CC7" w:rsidRPr="004C6591">
        <w:t xml:space="preserve">revised </w:t>
      </w:r>
      <w:r w:rsidR="00D87079" w:rsidRPr="004C6591">
        <w:t>clinical management algorithm</w:t>
      </w:r>
      <w:r w:rsidR="00C36B73" w:rsidRPr="004C6591">
        <w:t xml:space="preserve"> with </w:t>
      </w:r>
      <w:r w:rsidR="00C36B73" w:rsidRPr="004C6591">
        <w:rPr>
          <w:i/>
          <w:iCs/>
        </w:rPr>
        <w:t>PIK3CA</w:t>
      </w:r>
      <w:r w:rsidR="00C36B73" w:rsidRPr="004C6591">
        <w:t xml:space="preserve"> testing and inavolisib</w:t>
      </w:r>
      <w:r w:rsidR="00D87079" w:rsidRPr="004C6591">
        <w:t>, based on</w:t>
      </w:r>
      <w:r w:rsidR="007A471C" w:rsidRPr="004C6591">
        <w:t xml:space="preserve"> the</w:t>
      </w:r>
      <w:r w:rsidR="00D87079" w:rsidRPr="004C6591">
        <w:t xml:space="preserve"> applicant’s proposed</w:t>
      </w:r>
      <w:r w:rsidR="00750D16" w:rsidRPr="004C6591">
        <w:t xml:space="preserve"> algorithm</w:t>
      </w:r>
      <w:r w:rsidR="00E330FF" w:rsidRPr="004C6591">
        <w:t xml:space="preserve"> and PASC </w:t>
      </w:r>
      <w:r w:rsidR="004D6D58" w:rsidRPr="004C6591">
        <w:t>advice</w:t>
      </w:r>
      <w:r w:rsidR="00C36B73" w:rsidRPr="004C6591">
        <w:t>.</w:t>
      </w:r>
      <w:r w:rsidR="00750D16" w:rsidRPr="004C6591">
        <w:t xml:space="preserve"> </w:t>
      </w:r>
    </w:p>
    <w:p w14:paraId="2F9054B8" w14:textId="585F9F98" w:rsidR="0061475D" w:rsidRPr="004C6591" w:rsidRDefault="0211AC11" w:rsidP="0061475D">
      <w:pPr>
        <w:keepNext/>
      </w:pPr>
      <w:r>
        <w:rPr>
          <w:noProof/>
        </w:rPr>
        <w:lastRenderedPageBreak/>
        <w:drawing>
          <wp:inline distT="0" distB="0" distL="0" distR="0" wp14:anchorId="414B9599" wp14:editId="6542AA99">
            <wp:extent cx="6086475" cy="4657725"/>
            <wp:effectExtent l="0" t="0" r="0" b="0"/>
            <wp:docPr id="818058566" name="Picture 818058566" descr="Figure 4 Clinical management algorithm with PIK3CA testing and inavolisib, for adults with HR+/HER2- locally advanced or metastatic breast cancer, who have relapsed during or after endocrine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58566" name="Picture 818058566" descr="Figure 4 Clinical management algorithm with PIK3CA testing and inavolisib, for adults with HR+/HER2- locally advanced or metastatic breast cancer, who have relapsed during or after endocrine therap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6475" cy="4657725"/>
                    </a:xfrm>
                    <a:prstGeom prst="rect">
                      <a:avLst/>
                    </a:prstGeom>
                  </pic:spPr>
                </pic:pic>
              </a:graphicData>
            </a:graphic>
          </wp:inline>
        </w:drawing>
      </w:r>
    </w:p>
    <w:p w14:paraId="7CD46E35" w14:textId="5E1243C9" w:rsidR="00E73BF4" w:rsidRPr="004C6591" w:rsidRDefault="0061475D" w:rsidP="00435CBD">
      <w:pPr>
        <w:pStyle w:val="Caption"/>
        <w:ind w:left="720" w:hanging="720"/>
        <w:rPr>
          <w:lang w:val="en-AU"/>
        </w:rPr>
      </w:pPr>
      <w:bookmarkStart w:id="19" w:name="_Ref176184923"/>
      <w:r w:rsidRPr="004C6591">
        <w:rPr>
          <w:lang w:val="en-AU"/>
        </w:rPr>
        <w:t xml:space="preserve">Figure </w:t>
      </w:r>
      <w:r w:rsidRPr="004C6591">
        <w:rPr>
          <w:lang w:val="en-AU"/>
        </w:rPr>
        <w:fldChar w:fldCharType="begin"/>
      </w:r>
      <w:r w:rsidRPr="004C6591">
        <w:rPr>
          <w:lang w:val="en-AU"/>
        </w:rPr>
        <w:instrText xml:space="preserve"> SEQ Figure \* ARABIC </w:instrText>
      </w:r>
      <w:r w:rsidRPr="004C6591">
        <w:rPr>
          <w:lang w:val="en-AU"/>
        </w:rPr>
        <w:fldChar w:fldCharType="separate"/>
      </w:r>
      <w:r w:rsidRPr="004C6591">
        <w:rPr>
          <w:lang w:val="en-AU"/>
        </w:rPr>
        <w:t>4</w:t>
      </w:r>
      <w:r w:rsidRPr="004C6591">
        <w:rPr>
          <w:lang w:val="en-AU"/>
        </w:rPr>
        <w:fldChar w:fldCharType="end"/>
      </w:r>
      <w:bookmarkEnd w:id="19"/>
      <w:r w:rsidRPr="004C6591">
        <w:rPr>
          <w:lang w:val="en-AU"/>
        </w:rPr>
        <w:t xml:space="preserve"> </w:t>
      </w:r>
      <w:r w:rsidR="00562CB9" w:rsidRPr="004C6591">
        <w:rPr>
          <w:lang w:val="en-AU"/>
        </w:rPr>
        <w:t xml:space="preserve">Clinical management algorithm with </w:t>
      </w:r>
      <w:r w:rsidR="00562CB9" w:rsidRPr="004C6591">
        <w:rPr>
          <w:i/>
          <w:iCs/>
          <w:lang w:val="en-AU"/>
        </w:rPr>
        <w:t xml:space="preserve">PIK3CA </w:t>
      </w:r>
      <w:r w:rsidR="00562CB9" w:rsidRPr="004C6591">
        <w:rPr>
          <w:lang w:val="en-AU"/>
        </w:rPr>
        <w:t>testing and inavolisib</w:t>
      </w:r>
      <w:r w:rsidR="0007295C" w:rsidRPr="004C6591">
        <w:rPr>
          <w:lang w:val="en-AU"/>
        </w:rPr>
        <w:t>, for adults with HR+/HER2- locally advanced or metastatic breast cancer, who have relapsed during or after endocrine therapy.</w:t>
      </w:r>
    </w:p>
    <w:p w14:paraId="0B22C063" w14:textId="68602B2B" w:rsidR="00BE4A35" w:rsidRPr="004C6591" w:rsidRDefault="00BE4A35" w:rsidP="00897E45">
      <w:pPr>
        <w:pStyle w:val="Tablenotes"/>
        <w:jc w:val="left"/>
      </w:pPr>
      <w:r w:rsidRPr="004C6591">
        <w:t xml:space="preserve">Source: adapted </w:t>
      </w:r>
      <w:r w:rsidR="00951D03" w:rsidRPr="004C6591">
        <w:t>by the assessment group and the department</w:t>
      </w:r>
      <w:r w:rsidRPr="004C6591">
        <w:t xml:space="preserve"> from Figure 2, p14 of MSAC application 1783 PICO set</w:t>
      </w:r>
    </w:p>
    <w:p w14:paraId="312EC98A" w14:textId="0A910C49" w:rsidR="0092002A" w:rsidRPr="004C6591" w:rsidRDefault="00BE4A35" w:rsidP="00897E45">
      <w:pPr>
        <w:pStyle w:val="Tablenotes"/>
        <w:jc w:val="left"/>
      </w:pPr>
      <w:r w:rsidRPr="004C6591">
        <w:t>Abbreviations: AI=aromatase inhibitor;</w:t>
      </w:r>
      <w:r w:rsidR="00A30FBF" w:rsidRPr="004C6591">
        <w:t xml:space="preserve"> </w:t>
      </w:r>
      <w:r w:rsidR="00A30FBF" w:rsidRPr="004C6591">
        <w:rPr>
          <w:i/>
          <w:iCs/>
        </w:rPr>
        <w:t>AKT</w:t>
      </w:r>
      <w:r w:rsidR="00A30FBF" w:rsidRPr="004C6591">
        <w:t>=serine/threonine kinase;</w:t>
      </w:r>
      <w:r w:rsidRPr="004C6591">
        <w:t xml:space="preserve"> </w:t>
      </w:r>
      <w:r w:rsidRPr="004C6591">
        <w:rPr>
          <w:i/>
          <w:iCs/>
        </w:rPr>
        <w:t>BRCA</w:t>
      </w:r>
      <w:r w:rsidRPr="004C6591">
        <w:t>=B</w:t>
      </w:r>
      <w:r w:rsidR="00A91484" w:rsidRPr="004C6591">
        <w:t>r</w:t>
      </w:r>
      <w:r w:rsidRPr="004C6591">
        <w:t>east C</w:t>
      </w:r>
      <w:r w:rsidR="00A91484" w:rsidRPr="004C6591">
        <w:t>a</w:t>
      </w:r>
      <w:r w:rsidRPr="004C6591">
        <w:t>ncer gene; CDK4/6 inhibitor=cyclin dependent kinase 4 and 6 inhibitor;</w:t>
      </w:r>
      <w:r w:rsidR="00E76A6F" w:rsidRPr="004C6591">
        <w:t xml:space="preserve"> ctDNA=circulating tumour deoxyribonucleic acid;</w:t>
      </w:r>
      <w:r w:rsidRPr="004C6591">
        <w:t xml:space="preserve"> HR+/HER2-=hormone receptor positive, human epidermal growth factor receptor 2 negative; </w:t>
      </w:r>
      <w:r w:rsidRPr="004C6591">
        <w:rPr>
          <w:i/>
          <w:iCs/>
        </w:rPr>
        <w:t>PALB2m+</w:t>
      </w:r>
      <w:r w:rsidRPr="004C6591">
        <w:t xml:space="preserve">= Partner and localizer of </w:t>
      </w:r>
      <w:r w:rsidRPr="00C65136">
        <w:rPr>
          <w:i/>
        </w:rPr>
        <w:t>BRCA2</w:t>
      </w:r>
      <w:r w:rsidRPr="004C6591">
        <w:t xml:space="preserve"> positive; PARP=Poly (ADP-ribose) polymerase; </w:t>
      </w:r>
      <w:r w:rsidRPr="004C6591">
        <w:rPr>
          <w:i/>
          <w:iCs/>
        </w:rPr>
        <w:t>PIK3CA/AKT1/PTENm+</w:t>
      </w:r>
      <w:r w:rsidRPr="004C6591">
        <w:t>= positive variant</w:t>
      </w:r>
      <w:r w:rsidR="00BA0548" w:rsidRPr="004C6591">
        <w:t>s</w:t>
      </w:r>
      <w:r w:rsidRPr="004C6591">
        <w:t xml:space="preserve"> of either phosphatidylinositol-4,5-bisphosphate-3-kinase catalytic subunit α/serine-threonine kinase 1/phosphatase and tensin homologue.</w:t>
      </w:r>
    </w:p>
    <w:p w14:paraId="65B17D31" w14:textId="64B4DD66" w:rsidR="00656521" w:rsidRPr="004C6591" w:rsidRDefault="00BE3B1D" w:rsidP="00897E45">
      <w:pPr>
        <w:pStyle w:val="Tablenotes"/>
        <w:jc w:val="left"/>
      </w:pPr>
      <w:r w:rsidRPr="004C6591">
        <w:t>Note</w:t>
      </w:r>
      <w:r w:rsidR="00B557B4" w:rsidRPr="004C6591">
        <w:t>s</w:t>
      </w:r>
      <w:r w:rsidRPr="004C6591">
        <w:t xml:space="preserve">: </w:t>
      </w:r>
      <w:r w:rsidR="00C53B86" w:rsidRPr="004C6591">
        <w:t>Green shaded boxes highlight proposed changes to current algorithm. Yellow shaded boxes indicate outcome</w:t>
      </w:r>
      <w:r w:rsidR="000D7A8B" w:rsidRPr="004C6591">
        <w:t>s</w:t>
      </w:r>
      <w:r w:rsidR="00C53B86" w:rsidRPr="004C6591">
        <w:t xml:space="preserve"> of </w:t>
      </w:r>
      <w:r w:rsidR="00C53B86" w:rsidRPr="004C6591">
        <w:rPr>
          <w:i/>
          <w:iCs/>
        </w:rPr>
        <w:t>PIK3CA</w:t>
      </w:r>
      <w:r w:rsidR="00C53B86" w:rsidRPr="004C6591">
        <w:t xml:space="preserve"> testing.</w:t>
      </w:r>
      <w:r w:rsidR="004831B2" w:rsidRPr="004C6591">
        <w:t xml:space="preserve"> Blue shaded boxes outline the current treatment options in Australia.</w:t>
      </w:r>
    </w:p>
    <w:p w14:paraId="18C3B074" w14:textId="20296AD8" w:rsidR="00656521" w:rsidRPr="004C6591" w:rsidRDefault="00656521" w:rsidP="00897E45">
      <w:pPr>
        <w:pStyle w:val="Tablenotes"/>
        <w:jc w:val="left"/>
      </w:pPr>
      <w:r w:rsidRPr="004C6591">
        <w:rPr>
          <w:vertAlign w:val="superscript"/>
        </w:rPr>
        <w:t>a</w:t>
      </w:r>
      <w:r w:rsidR="00A91484" w:rsidRPr="004C6591">
        <w:t xml:space="preserve"> </w:t>
      </w:r>
      <w:r w:rsidR="00BE3B1D" w:rsidRPr="004C6591">
        <w:t xml:space="preserve">CDK4/6 inhibitor listed on the PBS are abemaciclib, palbociclib and ribociclib. </w:t>
      </w:r>
    </w:p>
    <w:p w14:paraId="4F47A899" w14:textId="77777777" w:rsidR="00345E67" w:rsidRPr="004C6591" w:rsidRDefault="00656521" w:rsidP="00897E45">
      <w:pPr>
        <w:pStyle w:val="Tablenotes"/>
        <w:jc w:val="left"/>
      </w:pPr>
      <w:r w:rsidRPr="004C6591">
        <w:rPr>
          <w:vertAlign w:val="superscript"/>
        </w:rPr>
        <w:t>b</w:t>
      </w:r>
      <w:r w:rsidR="00A91484" w:rsidRPr="004C6591">
        <w:t xml:space="preserve"> </w:t>
      </w:r>
      <w:r w:rsidR="00BE3B1D" w:rsidRPr="004C6591">
        <w:t xml:space="preserve">AI listed on the PBS are anastrozole, letrozole and exemestane. </w:t>
      </w:r>
    </w:p>
    <w:p w14:paraId="2F229801" w14:textId="2BE717BB" w:rsidR="00BE3B1D" w:rsidRPr="004C6591" w:rsidRDefault="00345E67" w:rsidP="00897E45">
      <w:pPr>
        <w:pStyle w:val="Tablenotes"/>
        <w:jc w:val="left"/>
      </w:pPr>
      <w:r w:rsidRPr="004C6591">
        <w:t>*If concordance</w:t>
      </w:r>
      <w:r w:rsidR="00EB505C" w:rsidRPr="004C6591">
        <w:t xml:space="preserve"> data between ctDNA and tumour tissue</w:t>
      </w:r>
      <w:r w:rsidRPr="004C6591">
        <w:t xml:space="preserve"> is not high, a confirmatory test following </w:t>
      </w:r>
      <w:r w:rsidR="00783008" w:rsidRPr="004C6591">
        <w:t>negative</w:t>
      </w:r>
      <w:r w:rsidRPr="004C6591">
        <w:t xml:space="preserve"> testing </w:t>
      </w:r>
      <w:r w:rsidR="0022236F">
        <w:t>may be</w:t>
      </w:r>
      <w:r w:rsidRPr="004C6591">
        <w:t xml:space="preserve"> required.</w:t>
      </w:r>
      <w:r w:rsidR="003B7D5F" w:rsidRPr="004C6591">
        <w:t xml:space="preserve"> </w:t>
      </w:r>
      <w:r w:rsidR="002F4CA0" w:rsidRPr="004C6591">
        <w:t>Most recent t</w:t>
      </w:r>
      <w:r w:rsidR="004B2636" w:rsidRPr="004C6591">
        <w:t>umour tissue sample from a metastatic site should be used</w:t>
      </w:r>
      <w:r w:rsidR="00776E08" w:rsidRPr="004C6591">
        <w:t>, when possible</w:t>
      </w:r>
      <w:r w:rsidR="009B6907" w:rsidRPr="004C6591">
        <w:t xml:space="preserve">, due to the possibility of </w:t>
      </w:r>
      <w:r w:rsidR="009063B5" w:rsidRPr="004C6591">
        <w:rPr>
          <w:i/>
        </w:rPr>
        <w:t>PIK3CA</w:t>
      </w:r>
      <w:r w:rsidR="009063B5" w:rsidRPr="004C6591">
        <w:t xml:space="preserve"> variant status changing during treatment</w:t>
      </w:r>
      <w:r w:rsidR="00467D50" w:rsidRPr="004C6591">
        <w:t xml:space="preserve"> since </w:t>
      </w:r>
      <w:r w:rsidR="00BB682F" w:rsidRPr="004C6591">
        <w:t xml:space="preserve">the </w:t>
      </w:r>
      <w:r w:rsidR="00467D50" w:rsidRPr="004C6591">
        <w:t>diagnosis of the primary breast tumour</w:t>
      </w:r>
      <w:r w:rsidR="00C932E8" w:rsidRPr="004C6591">
        <w:t>.</w:t>
      </w:r>
    </w:p>
    <w:p w14:paraId="332194E0" w14:textId="09B15CDD" w:rsidR="00C932E8" w:rsidRPr="004C6591" w:rsidRDefault="00C932E8" w:rsidP="00897E45">
      <w:pPr>
        <w:pStyle w:val="Tablenotes"/>
        <w:jc w:val="left"/>
      </w:pPr>
      <w:r w:rsidRPr="004C6591">
        <w:t># Germline</w:t>
      </w:r>
      <w:r w:rsidR="00BB5C98" w:rsidRPr="004C6591">
        <w:t xml:space="preserve"> </w:t>
      </w:r>
      <w:r w:rsidR="00BB5C98" w:rsidRPr="00C65136">
        <w:rPr>
          <w:i/>
        </w:rPr>
        <w:t>BRCA</w:t>
      </w:r>
      <w:r w:rsidR="00BB5C98" w:rsidRPr="004C6591">
        <w:t xml:space="preserve">, </w:t>
      </w:r>
      <w:r w:rsidR="00BB5C98" w:rsidRPr="00C65136">
        <w:rPr>
          <w:i/>
        </w:rPr>
        <w:t>PALB2</w:t>
      </w:r>
      <w:r w:rsidR="00BB5C98" w:rsidRPr="004C6591">
        <w:t xml:space="preserve"> and AKT pathway testing </w:t>
      </w:r>
      <w:r w:rsidR="00776E08" w:rsidRPr="004C6591">
        <w:t>may also</w:t>
      </w:r>
      <w:r w:rsidR="00BB5C98" w:rsidRPr="004C6591">
        <w:t xml:space="preserve"> be done at this time, if not </w:t>
      </w:r>
      <w:r w:rsidR="000D5E90" w:rsidRPr="004C6591">
        <w:t xml:space="preserve">already done previously. However, the position </w:t>
      </w:r>
      <w:r w:rsidR="00615EA2" w:rsidRPr="004C6591">
        <w:t>of thes</w:t>
      </w:r>
      <w:r w:rsidR="001E2DA1" w:rsidRPr="004C6591">
        <w:t>e tests in the clinical pathway is yet to be confirmed, pending MSAC decision on application</w:t>
      </w:r>
      <w:r w:rsidR="00F707DC" w:rsidRPr="004C6591">
        <w:t>s 1507.1</w:t>
      </w:r>
      <w:r w:rsidR="000D18B9" w:rsidRPr="004C6591">
        <w:t xml:space="preserve"> (for </w:t>
      </w:r>
      <w:r w:rsidR="000D18B9" w:rsidRPr="00C65136">
        <w:rPr>
          <w:i/>
        </w:rPr>
        <w:t>BRCA</w:t>
      </w:r>
      <w:r w:rsidR="000D18B9" w:rsidRPr="004C6591">
        <w:t xml:space="preserve"> testing)</w:t>
      </w:r>
      <w:r w:rsidR="00F707DC" w:rsidRPr="004C6591">
        <w:t xml:space="preserve"> and</w:t>
      </w:r>
      <w:r w:rsidR="001E2DA1" w:rsidRPr="004C6591">
        <w:t xml:space="preserve"> 1766</w:t>
      </w:r>
      <w:r w:rsidR="000D18B9" w:rsidRPr="004C6591">
        <w:t xml:space="preserve"> (for AKT pathway testing)</w:t>
      </w:r>
      <w:r w:rsidR="001E2DA1" w:rsidRPr="004C6591">
        <w:t>.</w:t>
      </w:r>
    </w:p>
    <w:p w14:paraId="5C3A00F8" w14:textId="1FB6C2D3" w:rsidR="00697B64" w:rsidRPr="004C6591" w:rsidRDefault="002E72A4" w:rsidP="00897E45">
      <w:pPr>
        <w:pStyle w:val="Tablenotes"/>
        <w:jc w:val="left"/>
      </w:pPr>
      <w:r w:rsidRPr="004C6591">
        <w:t>†</w:t>
      </w:r>
      <w:r w:rsidR="00CB2832" w:rsidRPr="004C6591">
        <w:t xml:space="preserve"> </w:t>
      </w:r>
      <w:r w:rsidR="00697B64" w:rsidRPr="004C6591">
        <w:t>Grey text indicates non-PBS listed treatment options for this context.</w:t>
      </w:r>
      <w:r w:rsidR="008055C3" w:rsidRPr="004C6591">
        <w:t xml:space="preserve"> Of note, PARP inhibitor olaparib was recommended in the July 2024 PBAC meeting</w:t>
      </w:r>
      <w:r w:rsidR="00292188" w:rsidRPr="004C6591">
        <w:t xml:space="preserve">. </w:t>
      </w:r>
    </w:p>
    <w:p w14:paraId="3C8E6D3A" w14:textId="77777777" w:rsidR="00D31B2F" w:rsidRDefault="00D31B2F">
      <w:pPr>
        <w:spacing w:after="160" w:line="259" w:lineRule="auto"/>
      </w:pPr>
      <w:r>
        <w:br w:type="page"/>
      </w:r>
    </w:p>
    <w:p w14:paraId="378F6A1A" w14:textId="12F783F8" w:rsidR="00750D16" w:rsidRPr="004C6591" w:rsidRDefault="00750D16" w:rsidP="008A41D1">
      <w:r w:rsidRPr="004C6591">
        <w:lastRenderedPageBreak/>
        <w:t>In contrast to the applicant’s proposed algorithm,</w:t>
      </w:r>
      <w:r w:rsidR="0045651A" w:rsidRPr="004C6591">
        <w:t xml:space="preserve"> </w:t>
      </w:r>
      <w:r w:rsidR="00E67347" w:rsidRPr="004C6591">
        <w:fldChar w:fldCharType="begin"/>
      </w:r>
      <w:r w:rsidR="00E67347" w:rsidRPr="004C6591">
        <w:instrText xml:space="preserve"> REF _Ref176184923 \h </w:instrText>
      </w:r>
      <w:r w:rsidR="00E67347" w:rsidRPr="004C6591">
        <w:fldChar w:fldCharType="separate"/>
      </w:r>
      <w:r w:rsidR="00E67347" w:rsidRPr="004C6591">
        <w:t>Figure 4</w:t>
      </w:r>
      <w:r w:rsidR="00E67347" w:rsidRPr="004C6591">
        <w:fldChar w:fldCharType="end"/>
      </w:r>
      <w:r w:rsidR="00E67347" w:rsidRPr="004C6591">
        <w:t xml:space="preserve"> </w:t>
      </w:r>
      <w:r w:rsidRPr="004C6591">
        <w:t>includes the following:</w:t>
      </w:r>
    </w:p>
    <w:p w14:paraId="0D4427BA" w14:textId="023E2E48" w:rsidR="00E74553" w:rsidRPr="004C6591" w:rsidRDefault="00B46281" w:rsidP="002321EB">
      <w:pPr>
        <w:pStyle w:val="ListParagraph"/>
        <w:numPr>
          <w:ilvl w:val="0"/>
          <w:numId w:val="15"/>
        </w:numPr>
      </w:pPr>
      <w:r w:rsidRPr="004C6591">
        <w:t xml:space="preserve">Test population: Adults with HR+/HER2- LA/mBC, </w:t>
      </w:r>
      <w:r w:rsidR="00E74553" w:rsidRPr="004C6591">
        <w:t>whose disease progressed during treatment or within 12 months of completing adjuvant ET</w:t>
      </w:r>
      <w:r w:rsidR="008C4F14" w:rsidRPr="004C6591">
        <w:t xml:space="preserve">, as confirmed </w:t>
      </w:r>
      <w:r w:rsidR="004D6D58" w:rsidRPr="004C6591">
        <w:t xml:space="preserve">by </w:t>
      </w:r>
      <w:r w:rsidR="008C4F14" w:rsidRPr="004C6591">
        <w:t>PASC.</w:t>
      </w:r>
    </w:p>
    <w:p w14:paraId="55DD6998" w14:textId="5CDEA908" w:rsidR="001D4DEA" w:rsidRPr="004C6591" w:rsidRDefault="001D4DEA" w:rsidP="002321EB">
      <w:pPr>
        <w:pStyle w:val="ListParagraph"/>
        <w:numPr>
          <w:ilvl w:val="0"/>
          <w:numId w:val="15"/>
        </w:numPr>
      </w:pPr>
      <w:r w:rsidRPr="004C6591">
        <w:t xml:space="preserve">Test intervention: </w:t>
      </w:r>
      <w:r w:rsidRPr="004C6591">
        <w:rPr>
          <w:i/>
          <w:iCs/>
        </w:rPr>
        <w:t>PIK3CA</w:t>
      </w:r>
      <w:r w:rsidRPr="004C6591">
        <w:t xml:space="preserve"> variant</w:t>
      </w:r>
      <w:r w:rsidR="009D1712" w:rsidRPr="004C6591">
        <w:t>s</w:t>
      </w:r>
      <w:r w:rsidRPr="004C6591">
        <w:t xml:space="preserve"> </w:t>
      </w:r>
      <w:r w:rsidR="009E455A" w:rsidRPr="004C6591">
        <w:t xml:space="preserve">testing </w:t>
      </w:r>
      <w:r w:rsidR="009D1712" w:rsidRPr="004C6591">
        <w:t>using</w:t>
      </w:r>
      <w:r w:rsidRPr="004C6591">
        <w:t xml:space="preserve"> ctDNA</w:t>
      </w:r>
      <w:r w:rsidR="009E455A" w:rsidRPr="004C6591">
        <w:t xml:space="preserve"> or tumour tissue</w:t>
      </w:r>
      <w:r w:rsidRPr="004C6591">
        <w:t xml:space="preserve">. </w:t>
      </w:r>
      <w:r w:rsidR="00B05EAE">
        <w:t xml:space="preserve">Depending on the concordance data </w:t>
      </w:r>
      <w:r w:rsidR="00232A92">
        <w:t xml:space="preserve">between ctDNA and tumour testing that is </w:t>
      </w:r>
      <w:r w:rsidR="00B05EAE">
        <w:t xml:space="preserve">available, confirmatory testing </w:t>
      </w:r>
      <w:r w:rsidR="00232A92">
        <w:t xml:space="preserve">may be required. </w:t>
      </w:r>
      <w:r w:rsidR="009E455A" w:rsidRPr="004C6591">
        <w:t>As advised by PASC, i</w:t>
      </w:r>
      <w:r w:rsidRPr="004C6591">
        <w:t xml:space="preserve">f ctDNA </w:t>
      </w:r>
      <w:r w:rsidR="434E39B3" w:rsidRPr="004C6591">
        <w:t xml:space="preserve">test results are </w:t>
      </w:r>
      <w:r w:rsidR="009264B3" w:rsidRPr="004C6591">
        <w:t>negative</w:t>
      </w:r>
      <w:r w:rsidR="009E455A" w:rsidRPr="004C6591">
        <w:t xml:space="preserve"> </w:t>
      </w:r>
      <w:r w:rsidR="434E39B3" w:rsidRPr="004C6591">
        <w:t xml:space="preserve">for </w:t>
      </w:r>
      <w:r w:rsidRPr="004C6591">
        <w:rPr>
          <w:i/>
          <w:iCs/>
        </w:rPr>
        <w:t>PIK3CA</w:t>
      </w:r>
      <w:r w:rsidRPr="004C6591">
        <w:t xml:space="preserve"> variant</w:t>
      </w:r>
      <w:r w:rsidR="00E942A0" w:rsidRPr="004C6591">
        <w:t>s</w:t>
      </w:r>
      <w:r w:rsidR="0022236F">
        <w:t>,</w:t>
      </w:r>
      <w:r w:rsidR="009264B3" w:rsidRPr="004C6591">
        <w:t xml:space="preserve"> </w:t>
      </w:r>
      <w:r w:rsidRPr="004C6591">
        <w:t>tumour tissue testing</w:t>
      </w:r>
      <w:r w:rsidR="00EB505C" w:rsidRPr="004C6591">
        <w:t>, preferably with recent tumour tissue sample from a metastatic site</w:t>
      </w:r>
      <w:r w:rsidR="00A55101" w:rsidRPr="004C6591">
        <w:t>,</w:t>
      </w:r>
      <w:r w:rsidRPr="004C6591">
        <w:t xml:space="preserve"> </w:t>
      </w:r>
      <w:r w:rsidR="0022236F">
        <w:t>may be necessary.</w:t>
      </w:r>
      <w:r w:rsidRPr="004C6591">
        <w:t xml:space="preserve"> </w:t>
      </w:r>
      <w:r w:rsidR="009E455A" w:rsidRPr="004C6591">
        <w:t>Th</w:t>
      </w:r>
      <w:r w:rsidR="001243DE" w:rsidRPr="004C6591">
        <w:t>is testing sequence</w:t>
      </w:r>
      <w:r w:rsidR="009E455A" w:rsidRPr="004C6591">
        <w:t xml:space="preserve"> </w:t>
      </w:r>
      <w:r w:rsidR="00BF4298" w:rsidRPr="004C6591">
        <w:t xml:space="preserve">is </w:t>
      </w:r>
      <w:r w:rsidR="009E455A" w:rsidRPr="004C6591">
        <w:t>aligned with</w:t>
      </w:r>
      <w:r w:rsidRPr="004C6591">
        <w:t xml:space="preserve"> </w:t>
      </w:r>
      <w:r w:rsidR="00431CB7" w:rsidRPr="004C6591">
        <w:t>the</w:t>
      </w:r>
      <w:r w:rsidRPr="004C6591">
        <w:t xml:space="preserve"> NCCN</w:t>
      </w:r>
      <w:r w:rsidR="009969E8" w:rsidRPr="004C6591">
        <w:t xml:space="preserve"> Breast Cancer</w:t>
      </w:r>
      <w:r w:rsidRPr="004C6591">
        <w:t xml:space="preserve"> </w:t>
      </w:r>
      <w:r w:rsidR="00A93127" w:rsidRPr="004C6591">
        <w:t xml:space="preserve">guidelines </w:t>
      </w:r>
      <w:r w:rsidRPr="004C6591">
        <w:t>(2024).</w:t>
      </w:r>
      <w:r w:rsidR="009D1712" w:rsidRPr="004C6591">
        <w:t xml:space="preserve"> </w:t>
      </w:r>
    </w:p>
    <w:p w14:paraId="37495A1D" w14:textId="20450D2A" w:rsidR="009D1712" w:rsidRPr="004C6591" w:rsidRDefault="009D1712" w:rsidP="002321EB">
      <w:pPr>
        <w:pStyle w:val="ListParagraph"/>
        <w:numPr>
          <w:ilvl w:val="0"/>
          <w:numId w:val="15"/>
        </w:numPr>
      </w:pPr>
      <w:r w:rsidRPr="004C6591">
        <w:t xml:space="preserve">The algorithm considered germline </w:t>
      </w:r>
      <w:r w:rsidRPr="004C6591">
        <w:rPr>
          <w:i/>
          <w:iCs/>
        </w:rPr>
        <w:t>BRCA</w:t>
      </w:r>
      <w:r w:rsidRPr="004C6591">
        <w:t xml:space="preserve"> testing for patients with mBC, alongside 1L </w:t>
      </w:r>
      <w:r w:rsidR="00707D24" w:rsidRPr="004C6591">
        <w:t xml:space="preserve">treatment with </w:t>
      </w:r>
      <w:r w:rsidRPr="004C6591">
        <w:t>chemotherapy or ET</w:t>
      </w:r>
      <w:r w:rsidR="00707D24" w:rsidRPr="004C6591">
        <w:t xml:space="preserve"> in metastatic setting</w:t>
      </w:r>
      <w:r w:rsidR="007C7885" w:rsidRPr="004C6591">
        <w:t>.</w:t>
      </w:r>
      <w:r w:rsidR="00F61B90" w:rsidRPr="004C6591">
        <w:t xml:space="preserve"> </w:t>
      </w:r>
      <w:r w:rsidR="007C7885" w:rsidRPr="004C6591">
        <w:t>H</w:t>
      </w:r>
      <w:r w:rsidR="00685B11" w:rsidRPr="004C6591">
        <w:t>owever,</w:t>
      </w:r>
      <w:r w:rsidR="00F61B90" w:rsidRPr="004C6591">
        <w:t xml:space="preserve"> </w:t>
      </w:r>
      <w:r w:rsidR="0070620B" w:rsidRPr="004C6591">
        <w:t>its</w:t>
      </w:r>
      <w:r w:rsidR="00F61B90" w:rsidRPr="004C6591">
        <w:t xml:space="preserve"> p</w:t>
      </w:r>
      <w:r w:rsidR="00B12666" w:rsidRPr="004C6591">
        <w:t>osition</w:t>
      </w:r>
      <w:r w:rsidR="00F61B90" w:rsidRPr="004C6591">
        <w:t xml:space="preserve"> in the algorithm is uncertain</w:t>
      </w:r>
      <w:r w:rsidR="00707D24" w:rsidRPr="004C6591">
        <w:t xml:space="preserve">. </w:t>
      </w:r>
      <w:r w:rsidR="007C7885" w:rsidRPr="004C6591">
        <w:t>G</w:t>
      </w:r>
      <w:r w:rsidR="00AD0E1B" w:rsidRPr="004C6591">
        <w:t xml:space="preserve">ermline </w:t>
      </w:r>
      <w:r w:rsidR="00AD0E1B" w:rsidRPr="004C6591">
        <w:rPr>
          <w:i/>
          <w:iCs/>
        </w:rPr>
        <w:t>BRCA</w:t>
      </w:r>
      <w:r w:rsidR="00AD0E1B" w:rsidRPr="004C6591">
        <w:t xml:space="preserve"> testing </w:t>
      </w:r>
      <w:r w:rsidR="00A81A68" w:rsidRPr="004C6591">
        <w:t xml:space="preserve">is currently not listed on the MBS </w:t>
      </w:r>
      <w:r w:rsidR="00AD0E1B" w:rsidRPr="004C6591">
        <w:t>for this context</w:t>
      </w:r>
      <w:r w:rsidR="00CD03CE" w:rsidRPr="004C6591">
        <w:t>,</w:t>
      </w:r>
      <w:r w:rsidR="00AD0E1B" w:rsidRPr="004C6591">
        <w:t xml:space="preserve"> </w:t>
      </w:r>
      <w:r w:rsidR="00CD03CE" w:rsidRPr="004C6591">
        <w:t xml:space="preserve">and </w:t>
      </w:r>
      <w:r w:rsidR="00AD0E1B" w:rsidRPr="004C6591">
        <w:t>will be discussed in the August 2024 MSAC meeting</w:t>
      </w:r>
      <w:r w:rsidR="00CD03CE" w:rsidRPr="004C6591">
        <w:t xml:space="preserve"> (</w:t>
      </w:r>
      <w:r w:rsidR="00C325FA" w:rsidRPr="004C6591">
        <w:t>MSAC</w:t>
      </w:r>
      <w:r w:rsidR="00CD03CE" w:rsidRPr="004C6591">
        <w:t xml:space="preserve"> Application 1507</w:t>
      </w:r>
      <w:r w:rsidR="00C325FA" w:rsidRPr="004C6591">
        <w:t>.1</w:t>
      </w:r>
      <w:r w:rsidR="00CD03CE" w:rsidRPr="004C6591">
        <w:t>).</w:t>
      </w:r>
    </w:p>
    <w:p w14:paraId="04EFE37A" w14:textId="5249B15F" w:rsidR="00BB369B" w:rsidRPr="004C6591" w:rsidRDefault="00BB369B" w:rsidP="00BD7374">
      <w:pPr>
        <w:pStyle w:val="ListParagraph"/>
        <w:numPr>
          <w:ilvl w:val="0"/>
          <w:numId w:val="15"/>
        </w:numPr>
      </w:pPr>
      <w:r w:rsidRPr="004C6591">
        <w:t xml:space="preserve">If patients test positive </w:t>
      </w:r>
      <w:r w:rsidR="147DC095" w:rsidRPr="004C6591">
        <w:t xml:space="preserve">for </w:t>
      </w:r>
      <w:r w:rsidRPr="004C6591">
        <w:rPr>
          <w:i/>
          <w:iCs/>
        </w:rPr>
        <w:t>PIK3CA</w:t>
      </w:r>
      <w:r w:rsidRPr="004C6591">
        <w:t xml:space="preserve"> variant</w:t>
      </w:r>
      <w:r w:rsidR="002C19CD" w:rsidRPr="004C6591">
        <w:t>s</w:t>
      </w:r>
      <w:r w:rsidRPr="004C6591">
        <w:t>, patients could be eligible for 1L treatment with inavolisib + palbociclib + fulvestrant.</w:t>
      </w:r>
      <w:r w:rsidR="00D83A4C" w:rsidRPr="004C6591">
        <w:t xml:space="preserve"> Following disease progression, </w:t>
      </w:r>
      <w:r w:rsidR="6A24A332" w:rsidRPr="004C6591">
        <w:t xml:space="preserve">a </w:t>
      </w:r>
      <w:r w:rsidR="00D83A4C" w:rsidRPr="004C6591">
        <w:t xml:space="preserve">PARP inhibitor can be considered as an option for 2L and subsequent line treatment in patients with germline </w:t>
      </w:r>
      <w:r w:rsidR="00D83A4C" w:rsidRPr="004C6591">
        <w:rPr>
          <w:i/>
          <w:iCs/>
        </w:rPr>
        <w:t>BRCA/PALB2</w:t>
      </w:r>
      <w:r w:rsidR="00D83A4C" w:rsidRPr="004C6591">
        <w:t xml:space="preserve"> variant</w:t>
      </w:r>
      <w:r w:rsidR="00291985" w:rsidRPr="004C6591">
        <w:t>s</w:t>
      </w:r>
      <w:r w:rsidR="00D83A4C" w:rsidRPr="004C6591">
        <w:t xml:space="preserve">. </w:t>
      </w:r>
      <w:r w:rsidR="00917D47" w:rsidRPr="004C6591">
        <w:t xml:space="preserve">Of note, </w:t>
      </w:r>
      <w:r w:rsidR="006C72A6" w:rsidRPr="004C6591">
        <w:t xml:space="preserve">PBS-listing of </w:t>
      </w:r>
      <w:r w:rsidR="766AC727" w:rsidRPr="004C6591">
        <w:t>the</w:t>
      </w:r>
      <w:r w:rsidR="00917D47" w:rsidRPr="004C6591">
        <w:t xml:space="preserve"> </w:t>
      </w:r>
      <w:r w:rsidR="00B85D3A" w:rsidRPr="004C6591">
        <w:t xml:space="preserve">PARP inhibitor olaparib </w:t>
      </w:r>
      <w:r w:rsidR="006C72A6" w:rsidRPr="004C6591">
        <w:t xml:space="preserve">for this indication </w:t>
      </w:r>
      <w:r w:rsidR="004875AD" w:rsidRPr="004C6591">
        <w:t>was</w:t>
      </w:r>
      <w:r w:rsidR="00B85D3A" w:rsidRPr="004C6591">
        <w:t xml:space="preserve"> </w:t>
      </w:r>
      <w:r w:rsidR="006C72A6" w:rsidRPr="004C6591">
        <w:t xml:space="preserve">considered </w:t>
      </w:r>
      <w:r w:rsidR="0093505D" w:rsidRPr="004C6591">
        <w:t xml:space="preserve">and subsequently recommended </w:t>
      </w:r>
      <w:r w:rsidR="006C72A6" w:rsidRPr="004C6591">
        <w:t xml:space="preserve">at </w:t>
      </w:r>
      <w:r w:rsidR="00B85D3A" w:rsidRPr="004C6591">
        <w:t>the July 2024 PBAC meeting.</w:t>
      </w:r>
    </w:p>
    <w:p w14:paraId="3DB534D2" w14:textId="2B4BF72F" w:rsidR="00DD74C0" w:rsidRPr="004C6591" w:rsidRDefault="0050758E" w:rsidP="00BD7374">
      <w:pPr>
        <w:pStyle w:val="ListParagraph"/>
        <w:numPr>
          <w:ilvl w:val="0"/>
          <w:numId w:val="15"/>
        </w:numPr>
      </w:pPr>
      <w:r w:rsidRPr="004C6591">
        <w:t xml:space="preserve">Capivasertib + fulvestrant </w:t>
      </w:r>
      <w:r w:rsidR="00FF0F9F" w:rsidRPr="004C6591">
        <w:t>could be a</w:t>
      </w:r>
      <w:r w:rsidRPr="004C6591">
        <w:t xml:space="preserve"> 2L treatment option</w:t>
      </w:r>
      <w:r w:rsidR="00792632" w:rsidRPr="004C6591">
        <w:t xml:space="preserve">, </w:t>
      </w:r>
      <w:r w:rsidR="00EA675B" w:rsidRPr="004C6591">
        <w:t>al</w:t>
      </w:r>
      <w:r w:rsidR="00FF0F9F" w:rsidRPr="004C6591">
        <w:t xml:space="preserve">though </w:t>
      </w:r>
      <w:r w:rsidR="00EA675B" w:rsidRPr="004C6591">
        <w:t xml:space="preserve">capivasertib is not </w:t>
      </w:r>
      <w:r w:rsidR="00792632" w:rsidRPr="004C6591">
        <w:t>currently</w:t>
      </w:r>
      <w:r w:rsidR="0018640E" w:rsidRPr="004C6591">
        <w:t xml:space="preserve"> </w:t>
      </w:r>
      <w:r w:rsidR="00792632" w:rsidRPr="004C6591">
        <w:t>PBS-listed,</w:t>
      </w:r>
      <w:r w:rsidRPr="004C6591">
        <w:t xml:space="preserve"> for patients with HR+/HER2- </w:t>
      </w:r>
      <w:r w:rsidR="00D44C74" w:rsidRPr="004C6591">
        <w:t>m</w:t>
      </w:r>
      <w:r w:rsidRPr="004C6591">
        <w:t>BC</w:t>
      </w:r>
      <w:r w:rsidR="00FF0F9F" w:rsidRPr="004C6591">
        <w:t xml:space="preserve"> and </w:t>
      </w:r>
      <w:r w:rsidR="7428F131" w:rsidRPr="004C6591">
        <w:t xml:space="preserve">who test </w:t>
      </w:r>
      <w:r w:rsidR="00FF0F9F" w:rsidRPr="004C6591">
        <w:t xml:space="preserve">positive for </w:t>
      </w:r>
      <w:r w:rsidR="00FF0F9F" w:rsidRPr="004C6591">
        <w:rPr>
          <w:i/>
          <w:iCs/>
        </w:rPr>
        <w:t>PIK3CA/AKT1/PTEN</w:t>
      </w:r>
      <w:r w:rsidR="009F6DA5" w:rsidRPr="004C6591">
        <w:rPr>
          <w:i/>
          <w:iCs/>
        </w:rPr>
        <w:t xml:space="preserve"> </w:t>
      </w:r>
      <w:r w:rsidR="009F6DA5" w:rsidRPr="004C6591">
        <w:t>(AKT pathway)</w:t>
      </w:r>
      <w:r w:rsidR="009F3091" w:rsidRPr="004C6591">
        <w:rPr>
          <w:i/>
          <w:iCs/>
        </w:rPr>
        <w:t xml:space="preserve"> </w:t>
      </w:r>
      <w:r w:rsidR="009F3091" w:rsidRPr="004C6591">
        <w:t>variant</w:t>
      </w:r>
      <w:r w:rsidR="00E942A0" w:rsidRPr="004C6591">
        <w:t>s</w:t>
      </w:r>
      <w:r w:rsidR="00DD1B2F" w:rsidRPr="004C6591">
        <w:t>. This scenario was considered by PASC</w:t>
      </w:r>
      <w:r w:rsidR="00287CAB" w:rsidRPr="004C6591">
        <w:t xml:space="preserve"> </w:t>
      </w:r>
      <w:r w:rsidR="00DD1B2F" w:rsidRPr="004C6591">
        <w:t xml:space="preserve">at their </w:t>
      </w:r>
      <w:r w:rsidR="00491DA5" w:rsidRPr="004C6591">
        <w:t>April 2024 meeting</w:t>
      </w:r>
      <w:r w:rsidR="00287CAB" w:rsidRPr="004C6591">
        <w:t xml:space="preserve"> as part of MSAC application 1766. It </w:t>
      </w:r>
      <w:r w:rsidR="00153510" w:rsidRPr="004C6591">
        <w:t>is due for</w:t>
      </w:r>
      <w:r w:rsidR="00287CAB" w:rsidRPr="004C6591">
        <w:t xml:space="preserve"> further </w:t>
      </w:r>
      <w:r w:rsidR="00491DA5" w:rsidRPr="004C6591">
        <w:t>consider</w:t>
      </w:r>
      <w:r w:rsidR="00153510" w:rsidRPr="004C6591">
        <w:t>ation</w:t>
      </w:r>
      <w:r w:rsidR="00491DA5" w:rsidRPr="004C6591">
        <w:t xml:space="preserve"> </w:t>
      </w:r>
      <w:r w:rsidR="00287CAB" w:rsidRPr="004C6591">
        <w:t xml:space="preserve">by </w:t>
      </w:r>
      <w:r w:rsidR="00CB2832" w:rsidRPr="004C6591">
        <w:t xml:space="preserve">MSAC </w:t>
      </w:r>
      <w:r w:rsidR="00153510" w:rsidRPr="004C6591">
        <w:t>in</w:t>
      </w:r>
      <w:r w:rsidR="00287CAB" w:rsidRPr="004C6591">
        <w:t xml:space="preserve"> November 2024.</w:t>
      </w:r>
    </w:p>
    <w:p w14:paraId="3BA7255D" w14:textId="3CBA5621" w:rsidR="00817474" w:rsidRPr="004C6591" w:rsidRDefault="00817474" w:rsidP="00BD7374">
      <w:pPr>
        <w:pStyle w:val="ListParagraph"/>
        <w:numPr>
          <w:ilvl w:val="0"/>
          <w:numId w:val="15"/>
        </w:numPr>
      </w:pPr>
      <w:r w:rsidRPr="004C6591">
        <w:t>The placement of AKT-pathway testing in the algorithm</w:t>
      </w:r>
      <w:r w:rsidR="009F6DA5" w:rsidRPr="004C6591">
        <w:t>s</w:t>
      </w:r>
      <w:r w:rsidRPr="004C6591">
        <w:t xml:space="preserve"> is uncertain</w:t>
      </w:r>
      <w:r w:rsidR="009E3140" w:rsidRPr="004C6591">
        <w:t xml:space="preserve">. </w:t>
      </w:r>
      <w:r w:rsidR="00491D00" w:rsidRPr="004C6591">
        <w:t xml:space="preserve">As previously mentioned, </w:t>
      </w:r>
      <w:r w:rsidR="009E3140" w:rsidRPr="004C6591">
        <w:t>AKT pathway testing</w:t>
      </w:r>
      <w:r w:rsidR="00501988" w:rsidRPr="004C6591">
        <w:t xml:space="preserve"> in </w:t>
      </w:r>
      <w:r w:rsidR="009E3738" w:rsidRPr="004C6591">
        <w:t xml:space="preserve">patients with </w:t>
      </w:r>
      <w:r w:rsidR="004D6D58" w:rsidRPr="004C6591">
        <w:t>BC</w:t>
      </w:r>
      <w:r w:rsidR="00252D1F" w:rsidRPr="004C6591">
        <w:t xml:space="preserve"> </w:t>
      </w:r>
      <w:r w:rsidR="00AA2161" w:rsidRPr="004C6591">
        <w:t xml:space="preserve">has been </w:t>
      </w:r>
      <w:r w:rsidR="004D1AFE" w:rsidRPr="004C6591">
        <w:t xml:space="preserve">previously </w:t>
      </w:r>
      <w:r w:rsidR="00AA2161" w:rsidRPr="004C6591">
        <w:t>discussed</w:t>
      </w:r>
      <w:r w:rsidR="004D1AFE" w:rsidRPr="004C6591">
        <w:t xml:space="preserve"> at </w:t>
      </w:r>
      <w:r w:rsidR="007B75D7" w:rsidRPr="004C6591">
        <w:t>PASC</w:t>
      </w:r>
      <w:r w:rsidR="00900A4B" w:rsidRPr="004C6591">
        <w:t xml:space="preserve"> in April 2024 (MSAC application</w:t>
      </w:r>
      <w:r w:rsidR="00A938C5" w:rsidRPr="004C6591">
        <w:t xml:space="preserve"> </w:t>
      </w:r>
      <w:r w:rsidRPr="004C6591">
        <w:t>1766</w:t>
      </w:r>
      <w:r w:rsidR="00900A4B" w:rsidRPr="004C6591">
        <w:t>)</w:t>
      </w:r>
      <w:r w:rsidRPr="004C6591">
        <w:t>.</w:t>
      </w:r>
    </w:p>
    <w:p w14:paraId="01EADB13" w14:textId="70439A3D" w:rsidR="007535F2" w:rsidRPr="004C6591" w:rsidRDefault="00D3677F" w:rsidP="00D3677F">
      <w:r w:rsidRPr="004C6591">
        <w:t xml:space="preserve">Alpelisib, a </w:t>
      </w:r>
      <w:r w:rsidRPr="00C65136">
        <w:rPr>
          <w:i/>
        </w:rPr>
        <w:t xml:space="preserve">PIK3CA </w:t>
      </w:r>
      <w:r w:rsidRPr="004C6591">
        <w:t>inhibitor</w:t>
      </w:r>
      <w:r w:rsidR="001B5F56" w:rsidRPr="004C6591">
        <w:t>, is registered with the ARTG</w:t>
      </w:r>
      <w:r w:rsidRPr="004C6591">
        <w:t xml:space="preserve"> for the treatment of </w:t>
      </w:r>
      <w:r w:rsidR="06715616" w:rsidRPr="004C6591">
        <w:t xml:space="preserve">men and </w:t>
      </w:r>
      <w:r w:rsidRPr="004C6591">
        <w:t xml:space="preserve">postmenopausal women with HR+/HER2- </w:t>
      </w:r>
      <w:r w:rsidR="00E0265A" w:rsidRPr="004C6591">
        <w:t xml:space="preserve">advanced or </w:t>
      </w:r>
      <w:r w:rsidR="00893043" w:rsidRPr="004C6591">
        <w:t>m</w:t>
      </w:r>
      <w:r w:rsidRPr="004C6591">
        <w:t xml:space="preserve">BC with a </w:t>
      </w:r>
      <w:r w:rsidRPr="004C6591">
        <w:rPr>
          <w:i/>
          <w:iCs/>
        </w:rPr>
        <w:t>PIK3CA</w:t>
      </w:r>
      <w:r w:rsidRPr="004C6591">
        <w:t xml:space="preserve"> </w:t>
      </w:r>
      <w:r w:rsidR="005E7D19" w:rsidRPr="004C6591">
        <w:t xml:space="preserve">variant </w:t>
      </w:r>
      <w:r w:rsidRPr="004C6591">
        <w:t>as detected by a validated test following progression on or after an endocrine-based regimen</w:t>
      </w:r>
      <w:r w:rsidR="001B5F56" w:rsidRPr="004C6591">
        <w:t xml:space="preserve">. </w:t>
      </w:r>
      <w:r w:rsidR="00ED2D08" w:rsidRPr="004C6591">
        <w:t xml:space="preserve">Based on the ratified PICO </w:t>
      </w:r>
      <w:r w:rsidR="00E0265A" w:rsidRPr="004C6591">
        <w:t xml:space="preserve">of MSAC </w:t>
      </w:r>
      <w:r w:rsidR="00ED2D08" w:rsidRPr="004C6591">
        <w:t>application 1604, the role of a</w:t>
      </w:r>
      <w:r w:rsidR="001B5F56" w:rsidRPr="004C6591">
        <w:t xml:space="preserve">lpelisib as </w:t>
      </w:r>
      <w:r w:rsidR="1ED2F96A" w:rsidRPr="004C6591">
        <w:t>a</w:t>
      </w:r>
      <w:r w:rsidR="001B5F56" w:rsidRPr="004C6591">
        <w:t xml:space="preserve"> 1L or 2L treatment option </w:t>
      </w:r>
      <w:r w:rsidR="008E2F5D" w:rsidRPr="004C6591">
        <w:t>wa</w:t>
      </w:r>
      <w:r w:rsidR="001B5F56" w:rsidRPr="004C6591">
        <w:t>s uncertain,</w:t>
      </w:r>
      <w:r w:rsidR="002B0BF9" w:rsidRPr="004C6591">
        <w:t xml:space="preserve"> hence </w:t>
      </w:r>
      <w:r w:rsidR="22C8C382" w:rsidRPr="004C6591">
        <w:t xml:space="preserve">it was </w:t>
      </w:r>
      <w:r w:rsidR="002B0BF9" w:rsidRPr="004C6591">
        <w:t>not included in the algorithm.</w:t>
      </w:r>
    </w:p>
    <w:p w14:paraId="1D1F8B5E" w14:textId="7B2F2217" w:rsidR="00D3677F" w:rsidRPr="004C6591" w:rsidRDefault="4531F707" w:rsidP="00D3677F">
      <w:r w:rsidRPr="004C6591">
        <w:t>T</w:t>
      </w:r>
      <w:r w:rsidR="007535F2" w:rsidRPr="004C6591">
        <w:t>he role</w:t>
      </w:r>
      <w:r w:rsidR="00651944" w:rsidRPr="004C6591">
        <w:t>s</w:t>
      </w:r>
      <w:r w:rsidR="007535F2" w:rsidRPr="004C6591">
        <w:t xml:space="preserve"> of alpelisib or capivasertib</w:t>
      </w:r>
      <w:r w:rsidR="006C635E" w:rsidRPr="004C6591">
        <w:t xml:space="preserve"> or ET</w:t>
      </w:r>
      <w:r w:rsidR="007535F2" w:rsidRPr="004C6591">
        <w:t xml:space="preserve"> as a 2L treatment option </w:t>
      </w:r>
      <w:r w:rsidR="00942C34" w:rsidRPr="004C6591">
        <w:t xml:space="preserve">in HR+/HER2- </w:t>
      </w:r>
      <w:r w:rsidR="007571EE" w:rsidRPr="004C6591">
        <w:t>m</w:t>
      </w:r>
      <w:r w:rsidR="00942C34" w:rsidRPr="004C6591">
        <w:t xml:space="preserve">BC with </w:t>
      </w:r>
      <w:r w:rsidR="00942C34" w:rsidRPr="004C6591">
        <w:rPr>
          <w:i/>
          <w:iCs/>
        </w:rPr>
        <w:t>PIK3CA</w:t>
      </w:r>
      <w:r w:rsidR="00942C34" w:rsidRPr="004C6591">
        <w:t xml:space="preserve"> variant</w:t>
      </w:r>
      <w:r w:rsidR="00291985" w:rsidRPr="004C6591">
        <w:t>s</w:t>
      </w:r>
      <w:r w:rsidR="00942C34" w:rsidRPr="004C6591">
        <w:t xml:space="preserve">, after disease progression with inavolisib + palbociclib + fulvestrant, </w:t>
      </w:r>
      <w:r w:rsidR="00651944" w:rsidRPr="004C6591">
        <w:t xml:space="preserve">were </w:t>
      </w:r>
      <w:r w:rsidR="37015F2A" w:rsidRPr="004C6591">
        <w:t xml:space="preserve">also </w:t>
      </w:r>
      <w:r w:rsidR="00942C34" w:rsidRPr="004C6591">
        <w:t>uncertain</w:t>
      </w:r>
      <w:r w:rsidR="0002549F" w:rsidRPr="004C6591">
        <w:t xml:space="preserve">, </w:t>
      </w:r>
      <w:r w:rsidR="5FC576F3" w:rsidRPr="004C6591">
        <w:t>and these were therefore also</w:t>
      </w:r>
      <w:r w:rsidR="00577851" w:rsidRPr="004C6591">
        <w:t xml:space="preserve"> not </w:t>
      </w:r>
      <w:r w:rsidR="0002549F" w:rsidRPr="004C6591">
        <w:t>included in the algorithm.</w:t>
      </w:r>
    </w:p>
    <w:p w14:paraId="07130EAC" w14:textId="4DE41C83" w:rsidR="0034271A" w:rsidRPr="004C6591" w:rsidRDefault="000E0471" w:rsidP="0034271A">
      <w:pPr>
        <w:rPr>
          <w:rFonts w:asciiTheme="minorHAnsi" w:hAnsiTheme="minorHAnsi" w:cstheme="minorBidi"/>
          <w:i/>
          <w:iCs/>
        </w:rPr>
      </w:pPr>
      <w:r w:rsidRPr="004C6591">
        <w:t>PASC’s advice was sought</w:t>
      </w:r>
      <w:r w:rsidR="003158F1" w:rsidRPr="004C6591">
        <w:t xml:space="preserve"> in the event that</w:t>
      </w:r>
      <w:r w:rsidR="00576D1E" w:rsidRPr="004C6591">
        <w:t xml:space="preserve"> AKT-pathway testing</w:t>
      </w:r>
      <w:r w:rsidR="00735456" w:rsidRPr="004C6591">
        <w:t xml:space="preserve"> (MSAC application 1766</w:t>
      </w:r>
      <w:r w:rsidR="007176EC" w:rsidRPr="004C6591">
        <w:t>)</w:t>
      </w:r>
      <w:r w:rsidR="00576D1E" w:rsidRPr="004C6591">
        <w:t xml:space="preserve"> </w:t>
      </w:r>
      <w:r w:rsidR="00A57D7C" w:rsidRPr="004C6591">
        <w:t>is</w:t>
      </w:r>
      <w:r w:rsidR="00576D1E" w:rsidRPr="004C6591">
        <w:t xml:space="preserve"> supported by MSAC</w:t>
      </w:r>
      <w:r w:rsidR="00A57D7C" w:rsidRPr="004C6591">
        <w:t xml:space="preserve"> and subsequently listed on the MBS</w:t>
      </w:r>
      <w:r w:rsidR="0034271A" w:rsidRPr="004C6591">
        <w:t xml:space="preserve">: </w:t>
      </w:r>
      <w:r w:rsidR="004C01A0" w:rsidRPr="004C6591">
        <w:t>W</w:t>
      </w:r>
      <w:r w:rsidR="00487D37" w:rsidRPr="004C6591">
        <w:t>ould</w:t>
      </w:r>
      <w:r w:rsidR="00766C60" w:rsidRPr="004C6591">
        <w:t xml:space="preserve"> AKT-pathway testing </w:t>
      </w:r>
      <w:r w:rsidR="00803F31" w:rsidRPr="004C6591">
        <w:t>substitute</w:t>
      </w:r>
      <w:r w:rsidR="00766C60" w:rsidRPr="004C6591">
        <w:t xml:space="preserve"> the proposed </w:t>
      </w:r>
      <w:r w:rsidR="00766C60" w:rsidRPr="004C6591">
        <w:rPr>
          <w:i/>
          <w:iCs/>
        </w:rPr>
        <w:t>PIK3CA</w:t>
      </w:r>
      <w:r w:rsidR="00766C60" w:rsidRPr="004C6591">
        <w:t xml:space="preserve"> testing, given AKT-pathway covers all three variants of </w:t>
      </w:r>
      <w:r w:rsidR="00766C60" w:rsidRPr="004C6591">
        <w:rPr>
          <w:i/>
          <w:iCs/>
        </w:rPr>
        <w:t>PIK3CA, AKT1</w:t>
      </w:r>
      <w:r w:rsidR="00766C60" w:rsidRPr="004C6591">
        <w:t xml:space="preserve"> and </w:t>
      </w:r>
      <w:r w:rsidR="00766C60" w:rsidRPr="004C6591">
        <w:rPr>
          <w:i/>
          <w:iCs/>
        </w:rPr>
        <w:t>PTEN</w:t>
      </w:r>
      <w:r w:rsidR="0051234D" w:rsidRPr="004C6591">
        <w:t xml:space="preserve">, </w:t>
      </w:r>
      <w:r w:rsidR="00912885" w:rsidRPr="004C6591">
        <w:t>and considering the importance of</w:t>
      </w:r>
      <w:r w:rsidR="0051234D" w:rsidRPr="004C6591">
        <w:t xml:space="preserve"> </w:t>
      </w:r>
      <w:r w:rsidR="0051234D" w:rsidRPr="00C65136">
        <w:rPr>
          <w:i/>
        </w:rPr>
        <w:t>PTEN</w:t>
      </w:r>
      <w:r w:rsidR="0051234D" w:rsidRPr="004C6591">
        <w:t xml:space="preserve"> status</w:t>
      </w:r>
      <w:r w:rsidR="00766C60" w:rsidRPr="004C6591">
        <w:t>?</w:t>
      </w:r>
      <w:r w:rsidR="00A46E41" w:rsidRPr="004C6591">
        <w:t xml:space="preserve"> Of note, PASC suggested that </w:t>
      </w:r>
      <w:r w:rsidR="00A46E41" w:rsidRPr="004C6591">
        <w:rPr>
          <w:i/>
          <w:iCs/>
        </w:rPr>
        <w:t>PTEN</w:t>
      </w:r>
      <w:r w:rsidR="00A46E41" w:rsidRPr="004C6591">
        <w:t xml:space="preserve"> status was an important factor given the loss of inhibition function was related to ET resistance (ratified PICO Application 1766). Specifically, loss of function of </w:t>
      </w:r>
      <w:r w:rsidR="00A46E41" w:rsidRPr="004C6591">
        <w:rPr>
          <w:i/>
          <w:iCs/>
        </w:rPr>
        <w:t>PTEN</w:t>
      </w:r>
      <w:r w:rsidR="00A46E41" w:rsidRPr="004C6591">
        <w:t xml:space="preserve"> can drive resistance to PIK3CA inhibitors </w:t>
      </w:r>
      <w:r w:rsidR="00D14CB4" w:rsidRPr="004C6591">
        <w:t>and subsequently cause increased downstream cellular signalling</w:t>
      </w:r>
      <w:r w:rsidR="00D94D14" w:rsidRPr="004C6591">
        <w:t xml:space="preserve"> </w:t>
      </w:r>
      <w:r w:rsidR="00D94D14" w:rsidRPr="004C6591">
        <w:fldChar w:fldCharType="begin"/>
      </w:r>
      <w:r w:rsidR="00D94D14" w:rsidRPr="004C6591">
        <w:instrText xml:space="preserve"> ADDIN EN.CITE &lt;EndNote&gt;&lt;Cite&gt;&lt;Author&gt;Vasan&lt;/Author&gt;&lt;Year&gt;2019&lt;/Year&gt;&lt;RecNum&gt;20&lt;/RecNum&gt;&lt;DisplayText&gt;(Vasan et al. 2019)&lt;/DisplayText&gt;&lt;record&gt;&lt;rec-number&gt;20&lt;/rec-number&gt;&lt;foreign-keys&gt;&lt;key app="EN" db-id="dw2s0a0pxte05aexpvnx2awre9s0vxdepfat" timestamp="1717740747"&gt;20&lt;/key&gt;&lt;/foreign-keys&gt;&lt;ref-type name="Journal Article"&gt;17&lt;/ref-type&gt;&lt;contributors&gt;&lt;authors&gt;&lt;author&gt;Vasan, N.&lt;/author&gt;&lt;author&gt;Toska, E.&lt;/author&gt;&lt;author&gt;Scaltriti, M.&lt;/author&gt;&lt;/authors&gt;&lt;/contributors&gt;&lt;titles&gt;&lt;title&gt;Overview of the relevance of PI3K pathway in HR-positive breast cancer&lt;/title&gt;&lt;secondary-title&gt;Annals of Oncology&lt;/secondary-title&gt;&lt;/titles&gt;&lt;periodical&gt;&lt;full-title&gt;Annals of Oncology&lt;/full-title&gt;&lt;/periodical&gt;&lt;pages&gt;x3-x11&lt;/pages&gt;&lt;volume&gt;30&lt;/volume&gt;&lt;keywords&gt;&lt;keyword&gt;PI3K pathway&lt;/keyword&gt;&lt;keyword&gt;estrogen receptor&lt;/keyword&gt;&lt;keyword&gt;breast cancer&lt;/keyword&gt;&lt;keyword&gt;PI3K inhibitors&lt;/keyword&gt;&lt;keyword&gt;PIK3CA&lt;/keyword&gt;&lt;keyword&gt;AKT&lt;/keyword&gt;&lt;/keywords&gt;&lt;dates&gt;&lt;year&gt;2019&lt;/year&gt;&lt;pub-dates&gt;&lt;date&gt;2019/12/01/&lt;/date&gt;&lt;/pub-dates&gt;&lt;/dates&gt;&lt;isbn&gt;0923-7534&lt;/isbn&gt;&lt;urls&gt;&lt;related-urls&gt;&lt;url&gt;https://www.sciencedirect.com/science/article/pii/S0923753420343738&lt;/url&gt;&lt;/related-urls&gt;&lt;/urls&gt;&lt;electronic-resource-num&gt;10.1093/annonc/mdz281&lt;/electronic-resource-num&gt;&lt;/record&gt;&lt;/Cite&gt;&lt;/EndNote&gt;</w:instrText>
      </w:r>
      <w:r w:rsidR="00D94D14" w:rsidRPr="004C6591">
        <w:fldChar w:fldCharType="separate"/>
      </w:r>
      <w:r w:rsidR="00D94D14" w:rsidRPr="004C6591">
        <w:t>(Vasan et al. 2019)</w:t>
      </w:r>
      <w:r w:rsidR="00D94D14" w:rsidRPr="004C6591">
        <w:fldChar w:fldCharType="end"/>
      </w:r>
      <w:r w:rsidR="00D14CB4" w:rsidRPr="004C6591">
        <w:t>.</w:t>
      </w:r>
      <w:r w:rsidR="0034271A" w:rsidRPr="004C6591">
        <w:t xml:space="preserve"> </w:t>
      </w:r>
      <w:r w:rsidR="00451EB5" w:rsidRPr="004C6591">
        <w:t xml:space="preserve">Considering AKT-pathway testing uses tumour tissue and the proposed </w:t>
      </w:r>
      <w:r w:rsidR="00451EB5" w:rsidRPr="004C6591">
        <w:rPr>
          <w:i/>
          <w:iCs/>
        </w:rPr>
        <w:t>PIK3CA</w:t>
      </w:r>
      <w:r w:rsidR="00451EB5" w:rsidRPr="004C6591">
        <w:t xml:space="preserve"> testing uses ctDNA or tumour tissue, would </w:t>
      </w:r>
      <w:r w:rsidR="00B0559F" w:rsidRPr="004C6591">
        <w:t>a</w:t>
      </w:r>
      <w:r w:rsidR="00451EB5" w:rsidRPr="004C6591">
        <w:t xml:space="preserve"> concordance assessment be needed </w:t>
      </w:r>
      <w:r w:rsidR="00451EB5" w:rsidRPr="004C6591">
        <w:lastRenderedPageBreak/>
        <w:t xml:space="preserve">between these two types of genetic testing, before AKT-pathway testing could be used as a substitute for </w:t>
      </w:r>
      <w:r w:rsidR="00451EB5" w:rsidRPr="004C6591">
        <w:rPr>
          <w:i/>
          <w:iCs/>
        </w:rPr>
        <w:t>PIK3CA</w:t>
      </w:r>
      <w:r w:rsidR="00451EB5" w:rsidRPr="004C6591">
        <w:t xml:space="preserve"> testing?</w:t>
      </w:r>
      <w:r w:rsidR="0034271A" w:rsidRPr="004C6591">
        <w:rPr>
          <w:rFonts w:asciiTheme="minorHAnsi" w:hAnsiTheme="minorHAnsi" w:cstheme="minorBidi"/>
          <w:i/>
          <w:iCs/>
        </w:rPr>
        <w:t xml:space="preserve"> </w:t>
      </w:r>
    </w:p>
    <w:p w14:paraId="4E0AB9D4" w14:textId="53870ABA" w:rsidR="003D25A2" w:rsidRPr="004C6591" w:rsidRDefault="0034271A" w:rsidP="00435CBD">
      <w:r w:rsidRPr="004C6591">
        <w:t xml:space="preserve">PASC’s advice was sought </w:t>
      </w:r>
      <w:r w:rsidR="00CF3B4E" w:rsidRPr="004C6591">
        <w:t xml:space="preserve">regarding </w:t>
      </w:r>
      <w:r w:rsidR="00F96CF7" w:rsidRPr="004C6591">
        <w:t>whether</w:t>
      </w:r>
      <w:r w:rsidR="003D25A2" w:rsidRPr="004C6591">
        <w:t xml:space="preserve"> </w:t>
      </w:r>
      <w:r w:rsidR="003D25A2" w:rsidRPr="004C6591">
        <w:rPr>
          <w:i/>
          <w:iCs/>
        </w:rPr>
        <w:t>PIK3CA</w:t>
      </w:r>
      <w:r w:rsidR="003D25A2" w:rsidRPr="004C6591">
        <w:t xml:space="preserve"> testing using ctDNA </w:t>
      </w:r>
      <w:r w:rsidR="004828C3" w:rsidRPr="004C6591">
        <w:t xml:space="preserve">would </w:t>
      </w:r>
      <w:r w:rsidR="003D25A2" w:rsidRPr="004C6591">
        <w:t xml:space="preserve">be followed by AKT-pathway testing using tumour tissue, if ctDNA testing for </w:t>
      </w:r>
      <w:r w:rsidR="003D25A2" w:rsidRPr="004C6591">
        <w:rPr>
          <w:i/>
          <w:iCs/>
        </w:rPr>
        <w:t>PIK3CA</w:t>
      </w:r>
      <w:r w:rsidR="003D25A2" w:rsidRPr="004C6591">
        <w:t xml:space="preserve"> is negative</w:t>
      </w:r>
      <w:r w:rsidR="005851F8" w:rsidRPr="004C6591">
        <w:t>.</w:t>
      </w:r>
    </w:p>
    <w:p w14:paraId="67095DDA" w14:textId="7EB35A22" w:rsidR="00770A4F" w:rsidRPr="004C6591" w:rsidRDefault="00770A4F" w:rsidP="00770A4F">
      <w:r w:rsidRPr="004C6591">
        <w:rPr>
          <w:rFonts w:asciiTheme="minorHAnsi" w:hAnsiTheme="minorHAnsi" w:cstheme="minorBidi"/>
          <w:i/>
          <w:iCs/>
        </w:rPr>
        <w:t>PASC noted that MSAC Application 1766 has requested testing for AKT pathway alterations (</w:t>
      </w:r>
      <w:r w:rsidRPr="00C65136">
        <w:rPr>
          <w:rFonts w:asciiTheme="minorHAnsi" w:hAnsiTheme="minorHAnsi"/>
        </w:rPr>
        <w:t>PIK3CA, AKT1</w:t>
      </w:r>
      <w:r w:rsidRPr="004C6591">
        <w:rPr>
          <w:rFonts w:asciiTheme="minorHAnsi" w:hAnsiTheme="minorHAnsi" w:cstheme="minorBidi"/>
          <w:i/>
          <w:iCs/>
        </w:rPr>
        <w:t xml:space="preserve"> and </w:t>
      </w:r>
      <w:r w:rsidRPr="00C65136">
        <w:rPr>
          <w:rFonts w:asciiTheme="minorHAnsi" w:hAnsiTheme="minorHAnsi"/>
        </w:rPr>
        <w:t>PTEN</w:t>
      </w:r>
      <w:r w:rsidRPr="004C6591">
        <w:rPr>
          <w:rFonts w:asciiTheme="minorHAnsi" w:hAnsiTheme="minorHAnsi" w:cstheme="minorBidi"/>
          <w:i/>
          <w:iCs/>
        </w:rPr>
        <w:t xml:space="preserve">) in </w:t>
      </w:r>
      <w:r w:rsidR="004F427D" w:rsidRPr="004C6591">
        <w:rPr>
          <w:rFonts w:asciiTheme="minorHAnsi" w:hAnsiTheme="minorHAnsi" w:cstheme="minorBidi"/>
          <w:i/>
          <w:iCs/>
        </w:rPr>
        <w:t>BC</w:t>
      </w:r>
      <w:r w:rsidRPr="004C6591">
        <w:rPr>
          <w:rFonts w:asciiTheme="minorHAnsi" w:hAnsiTheme="minorHAnsi" w:cstheme="minorBidi"/>
          <w:i/>
          <w:iCs/>
        </w:rPr>
        <w:t xml:space="preserve"> patients using tumour tissue. It has not been considered by MSAC yet (for further details see </w:t>
      </w:r>
      <w:r w:rsidRPr="004C6591">
        <w:rPr>
          <w:rFonts w:asciiTheme="minorHAnsi" w:hAnsiTheme="minorHAnsi" w:cstheme="minorBidi"/>
          <w:i/>
          <w:iCs/>
        </w:rPr>
        <w:fldChar w:fldCharType="begin"/>
      </w:r>
      <w:r w:rsidRPr="004C6591">
        <w:rPr>
          <w:rFonts w:asciiTheme="minorHAnsi" w:hAnsiTheme="minorHAnsi" w:cstheme="minorBidi"/>
          <w:i/>
          <w:iCs/>
        </w:rPr>
        <w:instrText xml:space="preserve"> REF _Ref176188766 \p \h </w:instrText>
      </w:r>
      <w:r w:rsidRPr="004C6591">
        <w:rPr>
          <w:rFonts w:asciiTheme="minorHAnsi" w:hAnsiTheme="minorHAnsi" w:cstheme="minorBidi"/>
          <w:i/>
          <w:iCs/>
        </w:rPr>
      </w:r>
      <w:r w:rsidRPr="004C6591">
        <w:rPr>
          <w:rFonts w:asciiTheme="minorHAnsi" w:hAnsiTheme="minorHAnsi" w:cstheme="minorBidi"/>
          <w:i/>
          <w:iCs/>
        </w:rPr>
        <w:fldChar w:fldCharType="separate"/>
      </w:r>
      <w:r w:rsidRPr="004C6591">
        <w:rPr>
          <w:rFonts w:asciiTheme="minorHAnsi" w:hAnsiTheme="minorHAnsi" w:cstheme="minorBidi"/>
          <w:i/>
          <w:iCs/>
        </w:rPr>
        <w:t>above</w:t>
      </w:r>
      <w:r w:rsidRPr="004C6591">
        <w:rPr>
          <w:rFonts w:asciiTheme="minorHAnsi" w:hAnsiTheme="minorHAnsi" w:cstheme="minorBidi"/>
          <w:i/>
          <w:iCs/>
        </w:rPr>
        <w:fldChar w:fldCharType="end"/>
      </w:r>
      <w:r w:rsidRPr="004C6591">
        <w:rPr>
          <w:rFonts w:asciiTheme="minorHAnsi" w:hAnsiTheme="minorHAnsi" w:cstheme="minorBidi"/>
          <w:i/>
          <w:iCs/>
        </w:rPr>
        <w:t>)</w:t>
      </w:r>
      <w:r w:rsidR="00F2615B" w:rsidRPr="004C6591">
        <w:rPr>
          <w:rFonts w:asciiTheme="minorHAnsi" w:hAnsiTheme="minorHAnsi" w:cstheme="minorBidi"/>
          <w:i/>
          <w:iCs/>
        </w:rPr>
        <w:t xml:space="preserve"> and therefore PASC </w:t>
      </w:r>
      <w:r w:rsidR="005704B0" w:rsidRPr="004C6591">
        <w:rPr>
          <w:rFonts w:asciiTheme="minorHAnsi" w:hAnsiTheme="minorHAnsi" w:cstheme="minorBidi"/>
          <w:i/>
          <w:iCs/>
        </w:rPr>
        <w:t xml:space="preserve">deferred any decisions </w:t>
      </w:r>
      <w:r w:rsidR="004429E0" w:rsidRPr="004C6591">
        <w:rPr>
          <w:rFonts w:asciiTheme="minorHAnsi" w:hAnsiTheme="minorHAnsi" w:cstheme="minorBidi"/>
          <w:i/>
          <w:iCs/>
        </w:rPr>
        <w:t xml:space="preserve">regarding AKT pathway </w:t>
      </w:r>
      <w:r w:rsidR="00725C35" w:rsidRPr="004C6591">
        <w:rPr>
          <w:rFonts w:asciiTheme="minorHAnsi" w:hAnsiTheme="minorHAnsi" w:cstheme="minorBidi"/>
          <w:i/>
          <w:iCs/>
        </w:rPr>
        <w:t>alterations</w:t>
      </w:r>
      <w:r w:rsidR="005704B0" w:rsidRPr="004C6591">
        <w:rPr>
          <w:rFonts w:asciiTheme="minorHAnsi" w:hAnsiTheme="minorHAnsi" w:cstheme="minorBidi"/>
          <w:i/>
          <w:iCs/>
        </w:rPr>
        <w:t xml:space="preserve"> until</w:t>
      </w:r>
      <w:r w:rsidR="00FA5CDC" w:rsidRPr="004C6591">
        <w:rPr>
          <w:rFonts w:asciiTheme="minorHAnsi" w:hAnsiTheme="minorHAnsi" w:cstheme="minorBidi"/>
          <w:i/>
          <w:iCs/>
        </w:rPr>
        <w:t xml:space="preserve"> MSAC’s consideration.</w:t>
      </w:r>
    </w:p>
    <w:p w14:paraId="2BDE22B9" w14:textId="0A49B921" w:rsidR="00D73332" w:rsidRPr="004C6591" w:rsidRDefault="00D73332" w:rsidP="00713728">
      <w:pPr>
        <w:pStyle w:val="Heading2"/>
        <w:rPr>
          <w:b/>
          <w:bCs/>
          <w:i/>
        </w:rPr>
      </w:pPr>
      <w:r w:rsidRPr="004C6591">
        <w:t>Proposed economic evaluation</w:t>
      </w:r>
    </w:p>
    <w:p w14:paraId="60182452" w14:textId="11841947" w:rsidR="00247021" w:rsidRPr="004C6591" w:rsidRDefault="000601D4" w:rsidP="00D31B2F">
      <w:pPr>
        <w:spacing w:after="0"/>
      </w:pPr>
      <w:r w:rsidRPr="004C6591">
        <w:t>The overall clinical claim is for superiority. The applicant claimed that the proposed codependent technology (</w:t>
      </w:r>
      <w:r w:rsidRPr="004C6591">
        <w:rPr>
          <w:i/>
          <w:iCs/>
        </w:rPr>
        <w:t>PIK3CA</w:t>
      </w:r>
      <w:r w:rsidRPr="004C6591">
        <w:t xml:space="preserve"> testing and inavol</w:t>
      </w:r>
      <w:r w:rsidR="00CA5B0E" w:rsidRPr="004C6591">
        <w:t>i</w:t>
      </w:r>
      <w:r w:rsidRPr="004C6591">
        <w:t>sib + palbociclib + fulvestrant treatment) is superior in terms of comparative effectiveness versus the comparator (no testing and palbociclib + fulvestrant) in patients with HR+/HER2- LA/</w:t>
      </w:r>
      <w:r w:rsidR="0064796F" w:rsidRPr="004C6591">
        <w:t>m</w:t>
      </w:r>
      <w:r w:rsidRPr="004C6591">
        <w:t xml:space="preserve">BC, who have relapsed during or after </w:t>
      </w:r>
      <w:r w:rsidR="00F16A5A" w:rsidRPr="004C6591">
        <w:t>ET</w:t>
      </w:r>
      <w:r w:rsidRPr="004C6591">
        <w:t xml:space="preserve">. </w:t>
      </w:r>
      <w:r w:rsidR="0064796F" w:rsidRPr="004C6591">
        <w:t xml:space="preserve">The comparative safety of inavolisib to placebo appeared likely inferior, based on the INAVO120 primary analysis. </w:t>
      </w:r>
      <w:r w:rsidR="009B2B8B" w:rsidRPr="004C6591">
        <w:t xml:space="preserve">There were </w:t>
      </w:r>
      <w:r w:rsidR="003215CF" w:rsidRPr="004C6591">
        <w:t xml:space="preserve">more </w:t>
      </w:r>
      <w:r w:rsidR="009B2B8B" w:rsidRPr="004C6591">
        <w:t xml:space="preserve">incidents of grade 3 or higher adverse events in the inavolisib group at 92%, vs 83.3% in the placebo group. Grade 3-4 adverse events such as neutropenia, thrombocytopenia, </w:t>
      </w:r>
      <w:r w:rsidR="00A1654A" w:rsidRPr="004C6591">
        <w:t>anaemia</w:t>
      </w:r>
      <w:r w:rsidR="009B2B8B" w:rsidRPr="004C6591">
        <w:t xml:space="preserve">, stomatitis, hyperglycaemia, diarrhoea and nausea were more commonly reported in the inavolisib group. </w:t>
      </w:r>
      <w:r w:rsidRPr="004C6591">
        <w:t xml:space="preserve">According to the guidelines for preparing assessments for the MSAC (version 1.2 2021), a cost-utility analysis would be appropriate </w:t>
      </w:r>
      <w:r w:rsidR="00032D82" w:rsidRPr="004C6591">
        <w:t>for this context</w:t>
      </w:r>
      <w:r w:rsidR="00E55E9D" w:rsidRPr="004C6591">
        <w:t xml:space="preserve">, as indicated </w:t>
      </w:r>
      <w:r w:rsidR="008E277F" w:rsidRPr="004C6591">
        <w:t xml:space="preserve">by the </w:t>
      </w:r>
      <w:r w:rsidR="00E55E9D" w:rsidRPr="004C6591">
        <w:t xml:space="preserve">grey shaded box in </w:t>
      </w:r>
      <w:r w:rsidR="00E55E9D" w:rsidRPr="004C6591">
        <w:fldChar w:fldCharType="begin"/>
      </w:r>
      <w:r w:rsidR="00E55E9D" w:rsidRPr="004C6591">
        <w:instrText xml:space="preserve"> REF _Ref172205116 \h </w:instrText>
      </w:r>
      <w:r w:rsidR="00E55E9D" w:rsidRPr="004C6591">
        <w:fldChar w:fldCharType="separate"/>
      </w:r>
      <w:r w:rsidR="00E55E9D" w:rsidRPr="004C6591">
        <w:t>Table 4</w:t>
      </w:r>
      <w:r w:rsidR="00E55E9D" w:rsidRPr="004C6591">
        <w:fldChar w:fldCharType="end"/>
      </w:r>
      <w:r w:rsidRPr="004C6591">
        <w:t>.</w:t>
      </w:r>
    </w:p>
    <w:p w14:paraId="7C3251E3" w14:textId="14BCC0E5" w:rsidR="00EA3F95" w:rsidRPr="004C6591" w:rsidRDefault="00EA3F95" w:rsidP="00D31B2F">
      <w:pPr>
        <w:pStyle w:val="Caption"/>
        <w:spacing w:before="120"/>
        <w:rPr>
          <w:lang w:val="en-AU"/>
        </w:rPr>
      </w:pPr>
      <w:bookmarkStart w:id="20" w:name="_Ref172205116"/>
      <w:r w:rsidRPr="004C6591">
        <w:rPr>
          <w:lang w:val="en-AU"/>
        </w:rPr>
        <w:t xml:space="preserve">Table </w:t>
      </w:r>
      <w:r w:rsidRPr="004C6591">
        <w:rPr>
          <w:lang w:val="en-AU"/>
        </w:rPr>
        <w:fldChar w:fldCharType="begin"/>
      </w:r>
      <w:r w:rsidRPr="004C6591">
        <w:rPr>
          <w:lang w:val="en-AU"/>
        </w:rPr>
        <w:instrText xml:space="preserve"> SEQ Table \* ARABIC </w:instrText>
      </w:r>
      <w:r w:rsidRPr="004C6591">
        <w:rPr>
          <w:lang w:val="en-AU"/>
        </w:rPr>
        <w:fldChar w:fldCharType="separate"/>
      </w:r>
      <w:r w:rsidR="005451AD" w:rsidRPr="004C6591">
        <w:rPr>
          <w:lang w:val="en-AU"/>
        </w:rPr>
        <w:t>4</w:t>
      </w:r>
      <w:r w:rsidRPr="004C6591">
        <w:rPr>
          <w:lang w:val="en-AU"/>
        </w:rPr>
        <w:fldChar w:fldCharType="end"/>
      </w:r>
      <w:bookmarkEnd w:id="20"/>
      <w:r w:rsidRPr="004C6591">
        <w:rPr>
          <w:lang w:val="en-AU"/>
        </w:rPr>
        <w:t xml:space="preserve"> Classification of comparative effectiveness and safety of </w:t>
      </w:r>
      <w:r w:rsidR="008D377E" w:rsidRPr="004C6591">
        <w:rPr>
          <w:lang w:val="en-AU"/>
        </w:rPr>
        <w:t>inavolisib</w:t>
      </w:r>
      <w:r w:rsidRPr="004C6591">
        <w:rPr>
          <w:lang w:val="en-AU"/>
        </w:rPr>
        <w:t>, compared with its main comparator, and guide to the suitable type of economic evaluation</w:t>
      </w:r>
    </w:p>
    <w:tbl>
      <w:tblPr>
        <w:tblW w:w="4850" w:type="pct"/>
        <w:tblInd w:w="115" w:type="dxa"/>
        <w:tblLayout w:type="fixed"/>
        <w:tblCellMar>
          <w:left w:w="115" w:type="dxa"/>
          <w:right w:w="115" w:type="dxa"/>
        </w:tblCellMar>
        <w:tblLook w:val="01E0" w:firstRow="1" w:lastRow="1" w:firstColumn="1" w:lastColumn="1" w:noHBand="0" w:noVBand="0"/>
        <w:tblCaption w:val="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ferior, superior)."/>
      </w:tblPr>
      <w:tblGrid>
        <w:gridCol w:w="2003"/>
        <w:gridCol w:w="1896"/>
        <w:gridCol w:w="2217"/>
        <w:gridCol w:w="1740"/>
        <w:gridCol w:w="1428"/>
      </w:tblGrid>
      <w:tr w:rsidR="00AF11EB" w:rsidRPr="004C6591" w14:paraId="16E46D9A" w14:textId="77777777" w:rsidTr="00897E45">
        <w:trPr>
          <w:tblHeader/>
        </w:trPr>
        <w:tc>
          <w:tcPr>
            <w:tcW w:w="2003" w:type="dxa"/>
            <w:vMerge w:val="restart"/>
            <w:tcBorders>
              <w:top w:val="single" w:sz="4" w:space="0" w:color="auto"/>
              <w:left w:val="single" w:sz="4" w:space="0" w:color="auto"/>
              <w:bottom w:val="single" w:sz="4" w:space="0" w:color="auto"/>
              <w:right w:val="single" w:sz="4" w:space="0" w:color="auto"/>
            </w:tcBorders>
            <w:hideMark/>
          </w:tcPr>
          <w:p w14:paraId="19364B56" w14:textId="49979AE1" w:rsidR="00247021" w:rsidRPr="004C6591" w:rsidRDefault="00247021">
            <w:pPr>
              <w:pStyle w:val="TableHeading"/>
              <w:spacing w:line="256" w:lineRule="auto"/>
              <w:rPr>
                <w:lang w:eastAsia="en-US"/>
              </w:rPr>
            </w:pPr>
            <w:bookmarkStart w:id="21" w:name="Title_Table2" w:colFirst="0" w:colLast="0"/>
            <w:r w:rsidRPr="004C6591">
              <w:rPr>
                <w:lang w:eastAsia="en-US"/>
              </w:rPr>
              <w:t>Comparative safety</w:t>
            </w:r>
          </w:p>
        </w:tc>
        <w:tc>
          <w:tcPr>
            <w:tcW w:w="1896" w:type="dxa"/>
            <w:tcBorders>
              <w:top w:val="single" w:sz="4" w:space="0" w:color="auto"/>
              <w:left w:val="single" w:sz="4" w:space="0" w:color="auto"/>
              <w:bottom w:val="single" w:sz="4" w:space="0" w:color="auto"/>
              <w:right w:val="nil"/>
            </w:tcBorders>
          </w:tcPr>
          <w:p w14:paraId="52F4EB26" w14:textId="77777777" w:rsidR="00247021" w:rsidRPr="004C6591" w:rsidRDefault="00247021">
            <w:pPr>
              <w:pStyle w:val="TableHeading"/>
              <w:spacing w:line="256" w:lineRule="auto"/>
              <w:jc w:val="center"/>
              <w:rPr>
                <w:lang w:eastAsia="en-US"/>
              </w:rPr>
            </w:pPr>
          </w:p>
        </w:tc>
        <w:tc>
          <w:tcPr>
            <w:tcW w:w="2217" w:type="dxa"/>
            <w:tcBorders>
              <w:top w:val="single" w:sz="4" w:space="0" w:color="auto"/>
              <w:left w:val="nil"/>
              <w:bottom w:val="single" w:sz="4" w:space="0" w:color="auto"/>
              <w:right w:val="nil"/>
            </w:tcBorders>
            <w:hideMark/>
          </w:tcPr>
          <w:p w14:paraId="18EDE088" w14:textId="77777777" w:rsidR="00247021" w:rsidRPr="004C6591" w:rsidRDefault="00247021">
            <w:pPr>
              <w:pStyle w:val="TableHeading"/>
              <w:spacing w:line="256" w:lineRule="auto"/>
              <w:ind w:left="-75" w:right="-127"/>
              <w:jc w:val="center"/>
              <w:rPr>
                <w:lang w:eastAsia="en-US"/>
              </w:rPr>
            </w:pPr>
            <w:r w:rsidRPr="004C6591">
              <w:rPr>
                <w:lang w:eastAsia="en-US"/>
              </w:rPr>
              <w:t>Comparative effectiveness</w:t>
            </w:r>
          </w:p>
        </w:tc>
        <w:tc>
          <w:tcPr>
            <w:tcW w:w="1740" w:type="dxa"/>
            <w:tcBorders>
              <w:top w:val="single" w:sz="4" w:space="0" w:color="auto"/>
              <w:left w:val="nil"/>
              <w:bottom w:val="single" w:sz="4" w:space="0" w:color="auto"/>
              <w:right w:val="nil"/>
            </w:tcBorders>
          </w:tcPr>
          <w:p w14:paraId="78CB7F12" w14:textId="77777777" w:rsidR="00247021" w:rsidRPr="004C6591" w:rsidRDefault="00247021">
            <w:pPr>
              <w:pStyle w:val="TableHeading"/>
              <w:spacing w:line="256" w:lineRule="auto"/>
              <w:jc w:val="center"/>
              <w:rPr>
                <w:lang w:eastAsia="en-US"/>
              </w:rPr>
            </w:pPr>
          </w:p>
        </w:tc>
        <w:tc>
          <w:tcPr>
            <w:tcW w:w="1428" w:type="dxa"/>
            <w:tcBorders>
              <w:top w:val="single" w:sz="4" w:space="0" w:color="auto"/>
              <w:left w:val="nil"/>
              <w:bottom w:val="single" w:sz="4" w:space="0" w:color="auto"/>
              <w:right w:val="single" w:sz="4" w:space="0" w:color="auto"/>
            </w:tcBorders>
          </w:tcPr>
          <w:p w14:paraId="31D6C230" w14:textId="77777777" w:rsidR="00247021" w:rsidRPr="004C6591" w:rsidRDefault="00247021">
            <w:pPr>
              <w:pStyle w:val="TableHeading"/>
              <w:spacing w:line="256" w:lineRule="auto"/>
              <w:jc w:val="center"/>
              <w:rPr>
                <w:lang w:eastAsia="en-US"/>
              </w:rPr>
            </w:pPr>
          </w:p>
        </w:tc>
      </w:tr>
      <w:bookmarkEnd w:id="21"/>
      <w:tr w:rsidR="00AF11EB" w:rsidRPr="004C6591" w14:paraId="78B66B3D" w14:textId="77777777" w:rsidTr="00897E45">
        <w:trPr>
          <w:tblHeader/>
        </w:trPr>
        <w:tc>
          <w:tcPr>
            <w:tcW w:w="2003" w:type="dxa"/>
            <w:vMerge/>
            <w:tcBorders>
              <w:top w:val="single" w:sz="4" w:space="0" w:color="auto"/>
              <w:left w:val="single" w:sz="4" w:space="0" w:color="auto"/>
              <w:bottom w:val="single" w:sz="4" w:space="0" w:color="auto"/>
              <w:right w:val="single" w:sz="4" w:space="0" w:color="auto"/>
            </w:tcBorders>
            <w:vAlign w:val="center"/>
            <w:hideMark/>
          </w:tcPr>
          <w:p w14:paraId="544D6F55" w14:textId="77777777" w:rsidR="00247021" w:rsidRPr="004C6591" w:rsidRDefault="00247021">
            <w:pPr>
              <w:spacing w:after="0" w:line="256" w:lineRule="auto"/>
              <w:rPr>
                <w:rFonts w:ascii="Arial Narrow" w:eastAsia="Times New Roman" w:hAnsi="Arial Narrow" w:cs="Tahoma"/>
                <w:b/>
                <w:sz w:val="20"/>
                <w:szCs w:val="20"/>
              </w:rPr>
            </w:pPr>
          </w:p>
        </w:tc>
        <w:tc>
          <w:tcPr>
            <w:tcW w:w="1896" w:type="dxa"/>
            <w:tcBorders>
              <w:top w:val="nil"/>
              <w:left w:val="single" w:sz="4" w:space="0" w:color="auto"/>
              <w:bottom w:val="single" w:sz="4" w:space="0" w:color="auto"/>
              <w:right w:val="single" w:sz="4" w:space="0" w:color="auto"/>
            </w:tcBorders>
            <w:hideMark/>
          </w:tcPr>
          <w:p w14:paraId="39B4E72C" w14:textId="77777777" w:rsidR="00247021" w:rsidRPr="004C6591" w:rsidRDefault="00247021">
            <w:pPr>
              <w:pStyle w:val="TableHeading"/>
              <w:spacing w:line="256" w:lineRule="auto"/>
              <w:jc w:val="center"/>
              <w:rPr>
                <w:lang w:eastAsia="en-US"/>
              </w:rPr>
            </w:pPr>
            <w:r w:rsidRPr="004C6591">
              <w:rPr>
                <w:lang w:eastAsia="en-US"/>
              </w:rPr>
              <w:t>Inferior</w:t>
            </w:r>
          </w:p>
        </w:tc>
        <w:tc>
          <w:tcPr>
            <w:tcW w:w="2217" w:type="dxa"/>
            <w:tcBorders>
              <w:top w:val="single" w:sz="4" w:space="0" w:color="auto"/>
              <w:left w:val="single" w:sz="4" w:space="0" w:color="auto"/>
              <w:bottom w:val="single" w:sz="4" w:space="0" w:color="auto"/>
              <w:right w:val="single" w:sz="4" w:space="0" w:color="auto"/>
            </w:tcBorders>
            <w:hideMark/>
          </w:tcPr>
          <w:p w14:paraId="6C154DE9" w14:textId="77777777" w:rsidR="00247021" w:rsidRPr="004C6591" w:rsidRDefault="00247021">
            <w:pPr>
              <w:pStyle w:val="TableHeading"/>
              <w:spacing w:line="256" w:lineRule="auto"/>
              <w:jc w:val="center"/>
              <w:rPr>
                <w:lang w:eastAsia="en-US"/>
              </w:rPr>
            </w:pPr>
            <w:r w:rsidRPr="004C6591">
              <w:rPr>
                <w:lang w:eastAsia="en-US"/>
              </w:rPr>
              <w:t>Uncertain</w:t>
            </w:r>
            <w:r w:rsidRPr="004C6591">
              <w:rPr>
                <w:vertAlign w:val="superscript"/>
                <w:lang w:eastAsia="en-US"/>
              </w:rPr>
              <w:t>a</w:t>
            </w:r>
          </w:p>
        </w:tc>
        <w:tc>
          <w:tcPr>
            <w:tcW w:w="1740" w:type="dxa"/>
            <w:tcBorders>
              <w:top w:val="single" w:sz="4" w:space="0" w:color="auto"/>
              <w:left w:val="single" w:sz="4" w:space="0" w:color="auto"/>
              <w:bottom w:val="single" w:sz="4" w:space="0" w:color="auto"/>
              <w:right w:val="single" w:sz="4" w:space="0" w:color="auto"/>
            </w:tcBorders>
            <w:hideMark/>
          </w:tcPr>
          <w:p w14:paraId="085AD610" w14:textId="77777777" w:rsidR="00247021" w:rsidRPr="004C6591" w:rsidRDefault="00247021">
            <w:pPr>
              <w:pStyle w:val="TableHeading"/>
              <w:spacing w:line="256" w:lineRule="auto"/>
              <w:jc w:val="center"/>
              <w:rPr>
                <w:lang w:eastAsia="en-US"/>
              </w:rPr>
            </w:pPr>
            <w:r w:rsidRPr="004C6591">
              <w:rPr>
                <w:lang w:eastAsia="en-US"/>
              </w:rPr>
              <w:t>Noninferior</w:t>
            </w:r>
            <w:r w:rsidRPr="004C6591">
              <w:rPr>
                <w:vertAlign w:val="superscript"/>
                <w:lang w:eastAsia="en-US"/>
              </w:rPr>
              <w:t>b</w:t>
            </w:r>
          </w:p>
        </w:tc>
        <w:tc>
          <w:tcPr>
            <w:tcW w:w="1428" w:type="dxa"/>
            <w:tcBorders>
              <w:top w:val="single" w:sz="4" w:space="0" w:color="auto"/>
              <w:left w:val="single" w:sz="4" w:space="0" w:color="auto"/>
              <w:bottom w:val="single" w:sz="4" w:space="0" w:color="auto"/>
              <w:right w:val="single" w:sz="4" w:space="0" w:color="auto"/>
            </w:tcBorders>
            <w:hideMark/>
          </w:tcPr>
          <w:p w14:paraId="1FD2E561" w14:textId="77777777" w:rsidR="00247021" w:rsidRPr="004C6591" w:rsidRDefault="00247021">
            <w:pPr>
              <w:pStyle w:val="TableHeading"/>
              <w:spacing w:line="256" w:lineRule="auto"/>
              <w:jc w:val="center"/>
              <w:rPr>
                <w:lang w:eastAsia="en-US"/>
              </w:rPr>
            </w:pPr>
            <w:r w:rsidRPr="004C6591">
              <w:rPr>
                <w:lang w:eastAsia="en-US"/>
              </w:rPr>
              <w:t>Superior</w:t>
            </w:r>
          </w:p>
        </w:tc>
      </w:tr>
      <w:tr w:rsidR="00AF11EB" w:rsidRPr="004C6591" w14:paraId="2BCF8164" w14:textId="77777777" w:rsidTr="00897E45">
        <w:tc>
          <w:tcPr>
            <w:tcW w:w="2003" w:type="dxa"/>
            <w:tcBorders>
              <w:top w:val="single" w:sz="4" w:space="0" w:color="auto"/>
              <w:left w:val="single" w:sz="4" w:space="0" w:color="auto"/>
              <w:bottom w:val="single" w:sz="4" w:space="0" w:color="auto"/>
              <w:right w:val="single" w:sz="4" w:space="0" w:color="auto"/>
            </w:tcBorders>
            <w:vAlign w:val="center"/>
            <w:hideMark/>
          </w:tcPr>
          <w:p w14:paraId="093CFB6C" w14:textId="77777777" w:rsidR="00247021" w:rsidRPr="004C6591" w:rsidRDefault="00247021">
            <w:pPr>
              <w:pStyle w:val="Tabletext"/>
              <w:keepNext/>
              <w:spacing w:line="256" w:lineRule="auto"/>
              <w:rPr>
                <w:lang w:eastAsia="en-US"/>
              </w:rPr>
            </w:pPr>
            <w:r w:rsidRPr="004C6591">
              <w:rPr>
                <w:lang w:eastAsia="en-US"/>
              </w:rPr>
              <w:t>Inferior</w:t>
            </w:r>
          </w:p>
        </w:tc>
        <w:tc>
          <w:tcPr>
            <w:tcW w:w="1896" w:type="dxa"/>
            <w:tcBorders>
              <w:top w:val="single" w:sz="4" w:space="0" w:color="auto"/>
              <w:left w:val="single" w:sz="4" w:space="0" w:color="auto"/>
              <w:bottom w:val="single" w:sz="4" w:space="0" w:color="auto"/>
              <w:right w:val="single" w:sz="4" w:space="0" w:color="auto"/>
            </w:tcBorders>
            <w:vAlign w:val="center"/>
            <w:hideMark/>
          </w:tcPr>
          <w:p w14:paraId="0386263F" w14:textId="77777777" w:rsidR="00247021" w:rsidRPr="004C6591" w:rsidRDefault="00247021">
            <w:pPr>
              <w:pStyle w:val="Tabletext"/>
              <w:keepNext/>
              <w:spacing w:line="256" w:lineRule="auto"/>
              <w:rPr>
                <w:lang w:eastAsia="en-US"/>
              </w:rPr>
            </w:pPr>
            <w:r w:rsidRPr="004C6591">
              <w:rPr>
                <w:lang w:eastAsia="en-US"/>
              </w:rPr>
              <w:t>Health forgone: need other supportive factors</w:t>
            </w:r>
          </w:p>
        </w:tc>
        <w:tc>
          <w:tcPr>
            <w:tcW w:w="2217" w:type="dxa"/>
            <w:tcBorders>
              <w:top w:val="single" w:sz="4" w:space="0" w:color="auto"/>
              <w:left w:val="single" w:sz="4" w:space="0" w:color="auto"/>
              <w:bottom w:val="single" w:sz="4" w:space="0" w:color="auto"/>
              <w:right w:val="single" w:sz="4" w:space="0" w:color="auto"/>
            </w:tcBorders>
            <w:vAlign w:val="center"/>
            <w:hideMark/>
          </w:tcPr>
          <w:p w14:paraId="4C75E15A" w14:textId="77777777" w:rsidR="00247021" w:rsidRPr="004C6591" w:rsidRDefault="00247021">
            <w:pPr>
              <w:pStyle w:val="Tabletext"/>
              <w:keepNext/>
              <w:spacing w:line="256" w:lineRule="auto"/>
              <w:rPr>
                <w:lang w:eastAsia="en-US"/>
              </w:rPr>
            </w:pPr>
            <w:r w:rsidRPr="004C6591">
              <w:rPr>
                <w:lang w:eastAsia="en-US"/>
              </w:rPr>
              <w:t>Health forgone possible: need other supportive factors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15328D0" w14:textId="77777777" w:rsidR="00247021" w:rsidRPr="004C6591" w:rsidRDefault="00247021">
            <w:pPr>
              <w:pStyle w:val="Tabletext"/>
              <w:keepNext/>
              <w:spacing w:line="256" w:lineRule="auto"/>
              <w:rPr>
                <w:lang w:eastAsia="en-US"/>
              </w:rPr>
            </w:pPr>
            <w:r w:rsidRPr="004C6591">
              <w:rPr>
                <w:lang w:eastAsia="en-US"/>
              </w:rPr>
              <w:t>Health forgone: need other supportive factors</w:t>
            </w:r>
          </w:p>
        </w:tc>
        <w:tc>
          <w:tcPr>
            <w:tcW w:w="1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19BB6" w14:textId="77777777" w:rsidR="00247021" w:rsidRPr="004C6591" w:rsidRDefault="00247021">
            <w:pPr>
              <w:pStyle w:val="Tabletext"/>
              <w:keepNext/>
              <w:spacing w:line="256" w:lineRule="auto"/>
              <w:rPr>
                <w:lang w:eastAsia="en-US"/>
              </w:rPr>
            </w:pPr>
            <w:r w:rsidRPr="004C6591">
              <w:rPr>
                <w:lang w:eastAsia="en-US"/>
              </w:rPr>
              <w:t>? Likely CUA</w:t>
            </w:r>
          </w:p>
        </w:tc>
      </w:tr>
      <w:tr w:rsidR="00AF11EB" w:rsidRPr="004C6591" w14:paraId="2475942B" w14:textId="77777777" w:rsidTr="00897E45">
        <w:tc>
          <w:tcPr>
            <w:tcW w:w="2003" w:type="dxa"/>
            <w:tcBorders>
              <w:top w:val="single" w:sz="4" w:space="0" w:color="auto"/>
              <w:left w:val="single" w:sz="4" w:space="0" w:color="auto"/>
              <w:bottom w:val="single" w:sz="4" w:space="0" w:color="auto"/>
              <w:right w:val="single" w:sz="4" w:space="0" w:color="auto"/>
            </w:tcBorders>
            <w:vAlign w:val="center"/>
            <w:hideMark/>
          </w:tcPr>
          <w:p w14:paraId="52A39EDC" w14:textId="77777777" w:rsidR="00247021" w:rsidRPr="004C6591" w:rsidRDefault="00247021">
            <w:pPr>
              <w:pStyle w:val="Tabletext"/>
              <w:keepNext/>
              <w:spacing w:line="256" w:lineRule="auto"/>
              <w:rPr>
                <w:lang w:eastAsia="en-US"/>
              </w:rPr>
            </w:pPr>
            <w:r w:rsidRPr="004C6591">
              <w:rPr>
                <w:lang w:eastAsia="en-US"/>
              </w:rPr>
              <w:t>Uncertain</w:t>
            </w:r>
            <w:r w:rsidRPr="004C6591">
              <w:rPr>
                <w:vertAlign w:val="superscript"/>
                <w:lang w:eastAsia="en-US"/>
              </w:rPr>
              <w:t>a</w:t>
            </w:r>
          </w:p>
        </w:tc>
        <w:tc>
          <w:tcPr>
            <w:tcW w:w="1896" w:type="dxa"/>
            <w:tcBorders>
              <w:top w:val="single" w:sz="4" w:space="0" w:color="auto"/>
              <w:left w:val="single" w:sz="4" w:space="0" w:color="auto"/>
              <w:bottom w:val="single" w:sz="4" w:space="0" w:color="auto"/>
              <w:right w:val="single" w:sz="4" w:space="0" w:color="auto"/>
            </w:tcBorders>
            <w:vAlign w:val="center"/>
            <w:hideMark/>
          </w:tcPr>
          <w:p w14:paraId="6A124D57" w14:textId="77777777" w:rsidR="00247021" w:rsidRPr="004C6591" w:rsidRDefault="00247021">
            <w:pPr>
              <w:pStyle w:val="Tabletext"/>
              <w:keepNext/>
              <w:spacing w:line="256" w:lineRule="auto"/>
              <w:rPr>
                <w:lang w:eastAsia="en-US"/>
              </w:rPr>
            </w:pPr>
            <w:r w:rsidRPr="004C6591">
              <w:rPr>
                <w:lang w:eastAsia="en-US"/>
              </w:rPr>
              <w:t>Health forgone possible: need other supportive factors</w:t>
            </w:r>
          </w:p>
        </w:tc>
        <w:tc>
          <w:tcPr>
            <w:tcW w:w="2217" w:type="dxa"/>
            <w:tcBorders>
              <w:top w:val="single" w:sz="4" w:space="0" w:color="auto"/>
              <w:left w:val="single" w:sz="4" w:space="0" w:color="auto"/>
              <w:bottom w:val="single" w:sz="4" w:space="0" w:color="auto"/>
              <w:right w:val="single" w:sz="4" w:space="0" w:color="auto"/>
            </w:tcBorders>
            <w:vAlign w:val="center"/>
            <w:hideMark/>
          </w:tcPr>
          <w:p w14:paraId="5B2DE044" w14:textId="77777777" w:rsidR="00247021" w:rsidRPr="004C6591" w:rsidRDefault="00247021">
            <w:pPr>
              <w:pStyle w:val="Tabletext"/>
              <w:keepNext/>
              <w:spacing w:line="256" w:lineRule="auto"/>
              <w:rPr>
                <w:lang w:eastAsia="en-US"/>
              </w:rPr>
            </w:pPr>
            <w:r w:rsidRPr="004C6591">
              <w:rPr>
                <w:lang w:eastAsia="en-US"/>
              </w:rPr>
              <w:t>?</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A016C7E" w14:textId="77777777" w:rsidR="00247021" w:rsidRPr="004C6591" w:rsidRDefault="00247021">
            <w:pPr>
              <w:pStyle w:val="Tabletext"/>
              <w:keepNext/>
              <w:spacing w:line="256" w:lineRule="auto"/>
              <w:rPr>
                <w:lang w:eastAsia="en-US"/>
              </w:rPr>
            </w:pPr>
            <w:r w:rsidRPr="004C6591">
              <w:rPr>
                <w:lang w:eastAsia="en-US"/>
              </w:rPr>
              <w:t>?</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3ABE4CD" w14:textId="77777777" w:rsidR="00247021" w:rsidRPr="004C6591" w:rsidRDefault="00247021">
            <w:pPr>
              <w:pStyle w:val="Tabletext"/>
              <w:keepNext/>
              <w:spacing w:line="256" w:lineRule="auto"/>
              <w:rPr>
                <w:lang w:eastAsia="en-US"/>
              </w:rPr>
            </w:pPr>
            <w:r w:rsidRPr="004C6591">
              <w:rPr>
                <w:lang w:eastAsia="en-US"/>
              </w:rPr>
              <w:t>? Likely CEA/CUA</w:t>
            </w:r>
          </w:p>
        </w:tc>
      </w:tr>
      <w:tr w:rsidR="00AF11EB" w:rsidRPr="004C6591" w14:paraId="0BFCA792" w14:textId="77777777" w:rsidTr="00897E45">
        <w:tc>
          <w:tcPr>
            <w:tcW w:w="2003" w:type="dxa"/>
            <w:tcBorders>
              <w:top w:val="single" w:sz="4" w:space="0" w:color="auto"/>
              <w:left w:val="single" w:sz="4" w:space="0" w:color="auto"/>
              <w:bottom w:val="single" w:sz="4" w:space="0" w:color="auto"/>
              <w:right w:val="single" w:sz="4" w:space="0" w:color="auto"/>
            </w:tcBorders>
            <w:vAlign w:val="center"/>
            <w:hideMark/>
          </w:tcPr>
          <w:p w14:paraId="4DC20DA9" w14:textId="77777777" w:rsidR="00247021" w:rsidRPr="004C6591" w:rsidRDefault="00247021">
            <w:pPr>
              <w:pStyle w:val="Tabletext"/>
              <w:keepNext/>
              <w:spacing w:line="256" w:lineRule="auto"/>
              <w:rPr>
                <w:lang w:eastAsia="en-US"/>
              </w:rPr>
            </w:pPr>
            <w:r w:rsidRPr="004C6591">
              <w:rPr>
                <w:lang w:eastAsia="en-US"/>
              </w:rPr>
              <w:t>Noninferior</w:t>
            </w:r>
            <w:r w:rsidRPr="004C6591">
              <w:rPr>
                <w:vertAlign w:val="superscript"/>
                <w:lang w:eastAsia="en-US"/>
              </w:rPr>
              <w:t>b</w:t>
            </w:r>
          </w:p>
        </w:tc>
        <w:tc>
          <w:tcPr>
            <w:tcW w:w="1896" w:type="dxa"/>
            <w:tcBorders>
              <w:top w:val="single" w:sz="4" w:space="0" w:color="auto"/>
              <w:left w:val="single" w:sz="4" w:space="0" w:color="auto"/>
              <w:bottom w:val="single" w:sz="4" w:space="0" w:color="auto"/>
              <w:right w:val="single" w:sz="4" w:space="0" w:color="auto"/>
            </w:tcBorders>
            <w:vAlign w:val="center"/>
            <w:hideMark/>
          </w:tcPr>
          <w:p w14:paraId="2892F6A5" w14:textId="77777777" w:rsidR="00247021" w:rsidRPr="004C6591" w:rsidRDefault="00247021">
            <w:pPr>
              <w:pStyle w:val="Tabletext"/>
              <w:keepNext/>
              <w:spacing w:line="256" w:lineRule="auto"/>
              <w:rPr>
                <w:lang w:eastAsia="en-US"/>
              </w:rPr>
            </w:pPr>
            <w:r w:rsidRPr="004C6591">
              <w:rPr>
                <w:lang w:eastAsia="en-US"/>
              </w:rPr>
              <w:t>Health forgone: need other supportive factors</w:t>
            </w:r>
          </w:p>
        </w:tc>
        <w:tc>
          <w:tcPr>
            <w:tcW w:w="2217" w:type="dxa"/>
            <w:tcBorders>
              <w:top w:val="single" w:sz="4" w:space="0" w:color="auto"/>
              <w:left w:val="single" w:sz="4" w:space="0" w:color="auto"/>
              <w:bottom w:val="single" w:sz="4" w:space="0" w:color="auto"/>
              <w:right w:val="single" w:sz="4" w:space="0" w:color="auto"/>
            </w:tcBorders>
            <w:vAlign w:val="center"/>
            <w:hideMark/>
          </w:tcPr>
          <w:p w14:paraId="290CE126" w14:textId="77777777" w:rsidR="00247021" w:rsidRPr="004C6591" w:rsidRDefault="00247021">
            <w:pPr>
              <w:pStyle w:val="Tabletext"/>
              <w:keepNext/>
              <w:spacing w:line="256" w:lineRule="auto"/>
              <w:rPr>
                <w:lang w:eastAsia="en-US"/>
              </w:rPr>
            </w:pPr>
            <w:r w:rsidRPr="004C6591">
              <w:rPr>
                <w:lang w:eastAsia="en-US"/>
              </w:rPr>
              <w:t>?</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E263409" w14:textId="77777777" w:rsidR="00247021" w:rsidRPr="004C6591" w:rsidRDefault="00247021">
            <w:pPr>
              <w:pStyle w:val="Tabletext"/>
              <w:keepNext/>
              <w:spacing w:line="256" w:lineRule="auto"/>
              <w:rPr>
                <w:lang w:eastAsia="en-US"/>
              </w:rPr>
            </w:pPr>
            <w:r w:rsidRPr="004C6591">
              <w:rPr>
                <w:lang w:eastAsia="en-US"/>
              </w:rPr>
              <w:t>CMA</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AA7372D" w14:textId="77777777" w:rsidR="00247021" w:rsidRPr="004C6591" w:rsidRDefault="00247021">
            <w:pPr>
              <w:pStyle w:val="Tabletext"/>
              <w:keepNext/>
              <w:spacing w:line="256" w:lineRule="auto"/>
              <w:rPr>
                <w:lang w:eastAsia="en-US"/>
              </w:rPr>
            </w:pPr>
            <w:r w:rsidRPr="004C6591">
              <w:rPr>
                <w:lang w:eastAsia="en-US"/>
              </w:rPr>
              <w:t>CEA/CUA</w:t>
            </w:r>
          </w:p>
        </w:tc>
      </w:tr>
      <w:tr w:rsidR="00AF11EB" w:rsidRPr="004C6591" w14:paraId="105CE227" w14:textId="77777777" w:rsidTr="00897E45">
        <w:tc>
          <w:tcPr>
            <w:tcW w:w="2003" w:type="dxa"/>
            <w:tcBorders>
              <w:top w:val="single" w:sz="4" w:space="0" w:color="auto"/>
              <w:left w:val="single" w:sz="4" w:space="0" w:color="auto"/>
              <w:bottom w:val="single" w:sz="4" w:space="0" w:color="auto"/>
              <w:right w:val="single" w:sz="4" w:space="0" w:color="auto"/>
            </w:tcBorders>
            <w:vAlign w:val="center"/>
            <w:hideMark/>
          </w:tcPr>
          <w:p w14:paraId="76B546EE" w14:textId="77777777" w:rsidR="00247021" w:rsidRPr="004C6591" w:rsidRDefault="00247021">
            <w:pPr>
              <w:pStyle w:val="Tabletext"/>
              <w:keepNext/>
              <w:spacing w:line="256" w:lineRule="auto"/>
              <w:rPr>
                <w:lang w:eastAsia="en-US"/>
              </w:rPr>
            </w:pPr>
            <w:r w:rsidRPr="004C6591">
              <w:rPr>
                <w:lang w:eastAsia="en-US"/>
              </w:rPr>
              <w:t>Superior</w:t>
            </w:r>
          </w:p>
        </w:tc>
        <w:tc>
          <w:tcPr>
            <w:tcW w:w="1896" w:type="dxa"/>
            <w:tcBorders>
              <w:top w:val="single" w:sz="4" w:space="0" w:color="auto"/>
              <w:left w:val="single" w:sz="4" w:space="0" w:color="auto"/>
              <w:bottom w:val="single" w:sz="4" w:space="0" w:color="auto"/>
              <w:right w:val="single" w:sz="4" w:space="0" w:color="auto"/>
            </w:tcBorders>
            <w:vAlign w:val="center"/>
            <w:hideMark/>
          </w:tcPr>
          <w:p w14:paraId="236F0FD3" w14:textId="77777777" w:rsidR="00247021" w:rsidRPr="004C6591" w:rsidRDefault="00247021">
            <w:pPr>
              <w:pStyle w:val="Tabletext"/>
              <w:keepNext/>
              <w:spacing w:line="256" w:lineRule="auto"/>
              <w:rPr>
                <w:lang w:eastAsia="en-US"/>
              </w:rPr>
            </w:pPr>
            <w:r w:rsidRPr="004C6591">
              <w:rPr>
                <w:lang w:eastAsia="en-US"/>
              </w:rPr>
              <w:t>? Likely CUA</w:t>
            </w:r>
          </w:p>
        </w:tc>
        <w:tc>
          <w:tcPr>
            <w:tcW w:w="2217" w:type="dxa"/>
            <w:tcBorders>
              <w:top w:val="single" w:sz="4" w:space="0" w:color="auto"/>
              <w:left w:val="single" w:sz="4" w:space="0" w:color="auto"/>
              <w:bottom w:val="single" w:sz="4" w:space="0" w:color="auto"/>
              <w:right w:val="single" w:sz="4" w:space="0" w:color="auto"/>
            </w:tcBorders>
            <w:vAlign w:val="center"/>
            <w:hideMark/>
          </w:tcPr>
          <w:p w14:paraId="76BED2C3" w14:textId="77777777" w:rsidR="00247021" w:rsidRPr="004C6591" w:rsidRDefault="00247021">
            <w:pPr>
              <w:pStyle w:val="Tabletext"/>
              <w:keepNext/>
              <w:spacing w:line="256" w:lineRule="auto"/>
              <w:rPr>
                <w:lang w:eastAsia="en-US"/>
              </w:rPr>
            </w:pPr>
            <w:r w:rsidRPr="004C6591">
              <w:rPr>
                <w:lang w:eastAsia="en-US"/>
              </w:rPr>
              <w:t>? Likely CEA/CUA</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1A87D20" w14:textId="77777777" w:rsidR="00247021" w:rsidRPr="004C6591" w:rsidRDefault="00247021">
            <w:pPr>
              <w:pStyle w:val="Tabletext"/>
              <w:keepNext/>
              <w:spacing w:line="256" w:lineRule="auto"/>
              <w:rPr>
                <w:lang w:eastAsia="en-US"/>
              </w:rPr>
            </w:pPr>
            <w:r w:rsidRPr="004C6591">
              <w:rPr>
                <w:lang w:eastAsia="en-US"/>
              </w:rPr>
              <w:t>CEA/CUA</w:t>
            </w:r>
          </w:p>
        </w:tc>
        <w:tc>
          <w:tcPr>
            <w:tcW w:w="1428" w:type="dxa"/>
            <w:tcBorders>
              <w:top w:val="single" w:sz="4" w:space="0" w:color="auto"/>
              <w:left w:val="single" w:sz="4" w:space="0" w:color="auto"/>
              <w:bottom w:val="single" w:sz="4" w:space="0" w:color="auto"/>
              <w:right w:val="single" w:sz="4" w:space="0" w:color="auto"/>
            </w:tcBorders>
            <w:vAlign w:val="center"/>
            <w:hideMark/>
          </w:tcPr>
          <w:p w14:paraId="07D4F8E3" w14:textId="77777777" w:rsidR="00247021" w:rsidRPr="004C6591" w:rsidRDefault="00247021">
            <w:pPr>
              <w:pStyle w:val="Tabletext"/>
              <w:keepNext/>
              <w:spacing w:line="256" w:lineRule="auto"/>
              <w:rPr>
                <w:lang w:eastAsia="en-US"/>
              </w:rPr>
            </w:pPr>
            <w:r w:rsidRPr="004C6591">
              <w:rPr>
                <w:lang w:eastAsia="en-US"/>
              </w:rPr>
              <w:t>CEA/CUA</w:t>
            </w:r>
          </w:p>
        </w:tc>
      </w:tr>
    </w:tbl>
    <w:p w14:paraId="3E92AA39" w14:textId="77777777" w:rsidR="00D76313" w:rsidRPr="004C6591" w:rsidRDefault="00D76313" w:rsidP="00897E45">
      <w:pPr>
        <w:pStyle w:val="Tablenotes"/>
      </w:pPr>
      <w:r w:rsidRPr="004C6591">
        <w:t>Source: Table 2, p9 of PICO Confirmation Template</w:t>
      </w:r>
    </w:p>
    <w:p w14:paraId="796B63A6" w14:textId="73934BDF" w:rsidR="00C50AE5" w:rsidRPr="004C6591" w:rsidRDefault="00D27831" w:rsidP="00897E45">
      <w:pPr>
        <w:pStyle w:val="Tablenotes"/>
        <w:jc w:val="left"/>
      </w:pPr>
      <w:r w:rsidRPr="004C6591">
        <w:t xml:space="preserve">Abbreviations: </w:t>
      </w:r>
      <w:r w:rsidR="00247021" w:rsidRPr="004C6591">
        <w:t>CEA=cost-effectiveness analysis; CMA=cost-minimisation analysis; CUA=cost-utility analysis</w:t>
      </w:r>
      <w:r w:rsidR="00157D0F" w:rsidRPr="004C6591">
        <w:t>;</w:t>
      </w:r>
      <w:r w:rsidR="00386B40" w:rsidRPr="004C6591">
        <w:t xml:space="preserve"> </w:t>
      </w:r>
      <w:r w:rsidR="00157D0F" w:rsidRPr="004C6591">
        <w:t xml:space="preserve">?=reflect uncertainties and any identified health trade-offs in the economic evaluation, as a minimum in a cost-consequences analysis  </w:t>
      </w:r>
    </w:p>
    <w:p w14:paraId="4703D26D" w14:textId="77777777" w:rsidR="00C50AE5" w:rsidRPr="004C6591" w:rsidRDefault="00C50AE5" w:rsidP="00C50AE5">
      <w:pPr>
        <w:pStyle w:val="Tablenotes"/>
      </w:pPr>
      <w:r w:rsidRPr="004C6591">
        <w:t>a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089436D9" w14:textId="78AC7FE1" w:rsidR="00E81A56" w:rsidRPr="004C6591" w:rsidRDefault="00C50AE5" w:rsidP="00897E45">
      <w:pPr>
        <w:pStyle w:val="Tablenotes"/>
        <w:jc w:val="left"/>
      </w:pPr>
      <w:r w:rsidRPr="004C6591">
        <w:t>b An adequate assessment of ‘noninferiority’ is the preferred basis for demonstrating equivalence</w:t>
      </w:r>
    </w:p>
    <w:p w14:paraId="1870DA55" w14:textId="77777777" w:rsidR="00522C75" w:rsidRPr="004C6591" w:rsidRDefault="00E81A56" w:rsidP="00897E45">
      <w:pPr>
        <w:pStyle w:val="Tablenotes"/>
      </w:pPr>
      <w:r w:rsidRPr="004C6591">
        <w:t>Grey shaded box indicates the suitable economic evaluation for this context.</w:t>
      </w:r>
    </w:p>
    <w:p w14:paraId="1A97AC88" w14:textId="5B711927" w:rsidR="00F52051" w:rsidRPr="004C6591" w:rsidRDefault="00F52051" w:rsidP="00897E45">
      <w:pPr>
        <w:pStyle w:val="Tablenotes"/>
      </w:pPr>
      <w:r w:rsidRPr="004C6591">
        <w:rPr>
          <w:rFonts w:asciiTheme="minorHAnsi" w:hAnsiTheme="minorHAnsi" w:cstheme="minorBidi"/>
          <w:i/>
          <w:sz w:val="22"/>
        </w:rPr>
        <w:lastRenderedPageBreak/>
        <w:t xml:space="preserve">PASC </w:t>
      </w:r>
      <w:r w:rsidRPr="004C6591">
        <w:rPr>
          <w:rFonts w:asciiTheme="minorHAnsi" w:hAnsiTheme="minorHAnsi" w:cstheme="minorBidi"/>
          <w:i/>
          <w:iCs/>
          <w:sz w:val="22"/>
        </w:rPr>
        <w:t xml:space="preserve">noted that the proposed economic evaluation was a cost utility analysis, and considered that this was appropriate based on the </w:t>
      </w:r>
      <w:r w:rsidR="005669A6" w:rsidRPr="004C6591">
        <w:rPr>
          <w:rFonts w:asciiTheme="minorHAnsi" w:hAnsiTheme="minorHAnsi" w:cstheme="minorBidi"/>
          <w:i/>
          <w:iCs/>
          <w:sz w:val="22"/>
        </w:rPr>
        <w:t xml:space="preserve">applicant’s </w:t>
      </w:r>
      <w:r w:rsidRPr="004C6591">
        <w:rPr>
          <w:rFonts w:asciiTheme="minorHAnsi" w:hAnsiTheme="minorHAnsi" w:cstheme="minorBidi"/>
          <w:i/>
          <w:iCs/>
          <w:sz w:val="22"/>
        </w:rPr>
        <w:t xml:space="preserve">claim of superior effectiveness and </w:t>
      </w:r>
      <w:r w:rsidR="005669A6" w:rsidRPr="004C6591">
        <w:rPr>
          <w:rFonts w:asciiTheme="minorHAnsi" w:hAnsiTheme="minorHAnsi" w:cstheme="minorBidi"/>
          <w:i/>
          <w:iCs/>
          <w:sz w:val="22"/>
        </w:rPr>
        <w:t xml:space="preserve">likely </w:t>
      </w:r>
      <w:r w:rsidRPr="004C6591">
        <w:rPr>
          <w:rFonts w:asciiTheme="minorHAnsi" w:hAnsiTheme="minorHAnsi" w:cstheme="minorBidi"/>
          <w:i/>
          <w:iCs/>
          <w:sz w:val="22"/>
        </w:rPr>
        <w:t>inferior safety.</w:t>
      </w:r>
    </w:p>
    <w:p w14:paraId="047E4738" w14:textId="1D501EE9" w:rsidR="00D73332" w:rsidRPr="004C6591" w:rsidRDefault="00D73332" w:rsidP="00DE762F">
      <w:pPr>
        <w:pStyle w:val="Heading2"/>
      </w:pPr>
      <w:r w:rsidRPr="004C6591">
        <w:t>Propos</w:t>
      </w:r>
      <w:r w:rsidR="000D1FCF" w:rsidRPr="004C6591">
        <w:t>al for public funding</w:t>
      </w:r>
    </w:p>
    <w:p w14:paraId="02867685" w14:textId="349F4429" w:rsidR="00C20A69" w:rsidRPr="004C6591" w:rsidRDefault="0073279B" w:rsidP="006F4080">
      <w:r w:rsidRPr="004C6591">
        <w:t xml:space="preserve">Currently there is no MBS funded </w:t>
      </w:r>
      <w:r w:rsidRPr="004C6591">
        <w:rPr>
          <w:i/>
          <w:iCs/>
        </w:rPr>
        <w:t>PIK3CA</w:t>
      </w:r>
      <w:r w:rsidRPr="004C6591">
        <w:t xml:space="preserve"> testing for either tumour tissue or ctDNA specimen types. </w:t>
      </w:r>
      <w:r w:rsidR="006F4080" w:rsidRPr="004C6591">
        <w:t xml:space="preserve">The applicant proposed </w:t>
      </w:r>
      <w:r w:rsidR="005D0274" w:rsidRPr="004C6591">
        <w:t xml:space="preserve">public funding through </w:t>
      </w:r>
      <w:r w:rsidR="351EB7A6" w:rsidRPr="004C6591">
        <w:t>the</w:t>
      </w:r>
      <w:r w:rsidR="005D0274" w:rsidRPr="004C6591">
        <w:t xml:space="preserve"> MBS</w:t>
      </w:r>
      <w:r w:rsidR="6D4CCAE0" w:rsidRPr="004C6591">
        <w:t>, and provided</w:t>
      </w:r>
      <w:r w:rsidR="005D0274" w:rsidRPr="004C6591">
        <w:t xml:space="preserve"> </w:t>
      </w:r>
      <w:r w:rsidR="006F4080" w:rsidRPr="004C6591">
        <w:t>two</w:t>
      </w:r>
      <w:r w:rsidR="00192C44" w:rsidRPr="004C6591">
        <w:t xml:space="preserve"> options </w:t>
      </w:r>
      <w:r w:rsidR="5B6E1AC3" w:rsidRPr="004C6591">
        <w:t xml:space="preserve">for the </w:t>
      </w:r>
      <w:r w:rsidR="006F4080" w:rsidRPr="004C6591">
        <w:t>MBS item descriptor</w:t>
      </w:r>
      <w:r w:rsidR="0042183A" w:rsidRPr="004C6591">
        <w:t>:</w:t>
      </w:r>
    </w:p>
    <w:p w14:paraId="11F05EF2" w14:textId="54A47347" w:rsidR="00C20A69" w:rsidRPr="004C6591" w:rsidRDefault="00C20A69" w:rsidP="00C20A69">
      <w:pPr>
        <w:pStyle w:val="ListParagraph"/>
        <w:numPr>
          <w:ilvl w:val="0"/>
          <w:numId w:val="26"/>
        </w:numPr>
      </w:pPr>
      <w:r w:rsidRPr="004C6591">
        <w:t xml:space="preserve">Scenario 1, </w:t>
      </w:r>
      <w:r w:rsidR="00EB11CD" w:rsidRPr="004C6591">
        <w:t xml:space="preserve">an amendment of </w:t>
      </w:r>
      <w:r w:rsidR="00AF3C60" w:rsidRPr="004C6591">
        <w:t xml:space="preserve">the proposed item descriptor </w:t>
      </w:r>
      <w:r w:rsidR="0042183A" w:rsidRPr="004C6591">
        <w:t xml:space="preserve">based on </w:t>
      </w:r>
      <w:r w:rsidR="00EB11CD" w:rsidRPr="004C6591">
        <w:t xml:space="preserve">the </w:t>
      </w:r>
      <w:r w:rsidR="0042183A" w:rsidRPr="004C6591">
        <w:t>PICO Set Document for MSAC Application 1766, and</w:t>
      </w:r>
    </w:p>
    <w:p w14:paraId="5CA14BF5" w14:textId="322038FD" w:rsidR="006F4080" w:rsidRPr="004C6591" w:rsidRDefault="00C20A69" w:rsidP="00C20A69">
      <w:pPr>
        <w:pStyle w:val="ListParagraph"/>
        <w:numPr>
          <w:ilvl w:val="0"/>
          <w:numId w:val="26"/>
        </w:numPr>
      </w:pPr>
      <w:r w:rsidRPr="004C6591">
        <w:t>Scenario 2,</w:t>
      </w:r>
      <w:r w:rsidR="0042183A" w:rsidRPr="004C6591">
        <w:t xml:space="preserve"> based on MBS item 73433</w:t>
      </w:r>
      <w:r w:rsidR="00B4720B" w:rsidRPr="004C6591">
        <w:t xml:space="preserve"> as a high-level template.</w:t>
      </w:r>
    </w:p>
    <w:p w14:paraId="34B31A1F" w14:textId="45017442" w:rsidR="00BD7374" w:rsidRPr="004C6591" w:rsidRDefault="00532CA2" w:rsidP="006F4080">
      <w:r w:rsidRPr="004C6591">
        <w:t xml:space="preserve">Of note, </w:t>
      </w:r>
      <w:r w:rsidR="0074388F" w:rsidRPr="004C6591">
        <w:t xml:space="preserve">the </w:t>
      </w:r>
      <w:r w:rsidR="0071703A" w:rsidRPr="004C6591">
        <w:t xml:space="preserve">proposed </w:t>
      </w:r>
      <w:r w:rsidR="0074388F" w:rsidRPr="004C6591">
        <w:t xml:space="preserve">MBS item descriptor from </w:t>
      </w:r>
      <w:r w:rsidRPr="004C6591">
        <w:t>the</w:t>
      </w:r>
      <w:r w:rsidR="0074388F" w:rsidRPr="004C6591">
        <w:t xml:space="preserve"> PICO Set Document for MSAC Application 1766</w:t>
      </w:r>
      <w:r w:rsidRPr="004C6591">
        <w:t xml:space="preserve"> was updated based on PASC advice and published </w:t>
      </w:r>
      <w:r w:rsidR="00F87A34" w:rsidRPr="004C6591">
        <w:t xml:space="preserve">in </w:t>
      </w:r>
      <w:r w:rsidRPr="004C6591">
        <w:t xml:space="preserve">the </w:t>
      </w:r>
      <w:r w:rsidR="00BD7374" w:rsidRPr="004C6591">
        <w:t xml:space="preserve">ratified PICO </w:t>
      </w:r>
      <w:r w:rsidR="00F87A34" w:rsidRPr="004C6591">
        <w:t>of</w:t>
      </w:r>
      <w:r w:rsidR="00BD7374" w:rsidRPr="004C6591">
        <w:t xml:space="preserve"> </w:t>
      </w:r>
      <w:r w:rsidR="00832A1A" w:rsidRPr="004C6591">
        <w:t>A</w:t>
      </w:r>
      <w:r w:rsidR="00BD7374" w:rsidRPr="004C6591">
        <w:t>pplication 1766 (April 2024).</w:t>
      </w:r>
      <w:r w:rsidR="009B4AEB" w:rsidRPr="004C6591">
        <w:t xml:space="preserve"> Further modification of this proposed MBS item descriptor to include ctDNA may not be feasible as the use of ctDNA to characterise </w:t>
      </w:r>
      <w:r w:rsidR="009B4AEB" w:rsidRPr="004C6591">
        <w:rPr>
          <w:i/>
          <w:iCs/>
        </w:rPr>
        <w:t>PIK3CA, AKT1</w:t>
      </w:r>
      <w:r w:rsidR="009B4AEB" w:rsidRPr="004C6591">
        <w:t xml:space="preserve"> and </w:t>
      </w:r>
      <w:r w:rsidR="009B4AEB" w:rsidRPr="004C6591">
        <w:rPr>
          <w:i/>
          <w:iCs/>
        </w:rPr>
        <w:t>PTEN</w:t>
      </w:r>
      <w:r w:rsidR="009B4AEB" w:rsidRPr="004C6591">
        <w:t xml:space="preserve"> variants </w:t>
      </w:r>
      <w:r w:rsidR="00467239" w:rsidRPr="004C6591">
        <w:t>is</w:t>
      </w:r>
      <w:r w:rsidR="009B4AEB" w:rsidRPr="004C6591">
        <w:t xml:space="preserve"> uncertain. </w:t>
      </w:r>
      <w:r w:rsidR="00287F34" w:rsidRPr="004C6591">
        <w:t>Furthermore,</w:t>
      </w:r>
      <w:r w:rsidR="009B4AEB" w:rsidRPr="004C6591">
        <w:t xml:space="preserve"> this proposed MBS item descriptor </w:t>
      </w:r>
      <w:r w:rsidR="00103412" w:rsidRPr="004C6591">
        <w:t xml:space="preserve">was </w:t>
      </w:r>
      <w:r w:rsidR="009B4AEB" w:rsidRPr="004C6591">
        <w:t xml:space="preserve">restricted </w:t>
      </w:r>
      <w:r w:rsidR="00103412" w:rsidRPr="004C6591">
        <w:t xml:space="preserve">to </w:t>
      </w:r>
      <w:r w:rsidR="009B4AEB" w:rsidRPr="004C6591">
        <w:t xml:space="preserve">patients following recurrence or progression on or after </w:t>
      </w:r>
      <w:r w:rsidR="005D0274" w:rsidRPr="004C6591">
        <w:t>AI</w:t>
      </w:r>
      <w:r w:rsidR="009B4AEB" w:rsidRPr="004C6591">
        <w:t xml:space="preserve"> therapy</w:t>
      </w:r>
      <w:r w:rsidR="00103412" w:rsidRPr="004C6591">
        <w:t xml:space="preserve">, which differed from the </w:t>
      </w:r>
      <w:r w:rsidR="003E771C" w:rsidRPr="004C6591">
        <w:t xml:space="preserve">current application’s population and INAVO120 </w:t>
      </w:r>
      <w:r w:rsidR="0011673E" w:rsidRPr="004C6591">
        <w:t>trial population</w:t>
      </w:r>
      <w:r w:rsidR="003E771C" w:rsidRPr="004C6591">
        <w:t>.</w:t>
      </w:r>
    </w:p>
    <w:p w14:paraId="48DD2FF0" w14:textId="63AC7FAF" w:rsidR="006C36FA" w:rsidRPr="004C6591" w:rsidRDefault="005D0274" w:rsidP="006F4080">
      <w:r w:rsidRPr="004C6591">
        <w:t xml:space="preserve">Therefore, the following MBS item descriptor was updated </w:t>
      </w:r>
      <w:r w:rsidR="00B759C0" w:rsidRPr="004C6591">
        <w:t xml:space="preserve">by the assessment group </w:t>
      </w:r>
      <w:r w:rsidRPr="004C6591">
        <w:t>based on</w:t>
      </w:r>
      <w:r w:rsidR="00B759C0" w:rsidRPr="004C6591">
        <w:t xml:space="preserve"> the</w:t>
      </w:r>
      <w:r w:rsidRPr="004C6591">
        <w:t xml:space="preserve"> applicant’s proposed Scenario 2.</w:t>
      </w:r>
      <w:r w:rsidR="00DE449F" w:rsidRPr="004C6591">
        <w:t xml:space="preserve"> </w:t>
      </w:r>
    </w:p>
    <w:tbl>
      <w:tblPr>
        <w:tblStyle w:val="ASDTable1"/>
        <w:tblW w:w="5000" w:type="pct"/>
        <w:tblInd w:w="0" w:type="dxa"/>
        <w:tblLook w:val="04A0" w:firstRow="1" w:lastRow="0" w:firstColumn="1" w:lastColumn="0" w:noHBand="0" w:noVBand="1"/>
        <w:tblCaption w:val="Proposed Item Descriptor Table"/>
        <w:tblDescription w:val="1. proposed category number from the MBS;&#10;2. proposed categroy description from the MBS;&#10;3. proposed item descriptor: strikethrough start Next generation sequencing (NGS) test for strikethrough end A test of tumour tissue or circulating tumour DNA to characterise phosphatidylinositol 4,5-bisphosphate 3-kinase catalytic subunit alpha isoform (PIK3CA) variants, strikethrough start mutations performed on tumour tissue or circulating tumour DNA (ctDNA) from strikethrough end in a patient with:&#10;• locally advanced (inoperable) or metastatic hormone receptor-positive, HER2- breast cancer, strikethrough start if strikethrough end: AND&#10;• following recurrence or progression on or after adjuvant endocrine therapy. strikethrough start&#10;The breast cancer is documented as hormone receptor-positive; and&#10;The breast cancer is documented as HER2-negative; and&#10;The test is strikethrough end As requested by a specialist or consultant physician, to determine eligibility for a treatment listed on strikethrough start if requirements relating to PIK3CA mutation status for access to a PIK3CA inhibitor under strikethrough end the Pharmaceutical Benefits Scheme for this context. strikethrough start are fulfilled strikethrough end&#10;strikethrough start Proposed Applicable only once per lifetime strikethrough end Once per primary tumour diagnosis.&#10;&#10;4. proposed fee: $350-400"/>
      </w:tblPr>
      <w:tblGrid>
        <w:gridCol w:w="9571"/>
      </w:tblGrid>
      <w:tr w:rsidR="006C36FA" w:rsidRPr="004C6591" w14:paraId="4F20DBB6" w14:textId="77777777" w:rsidTr="73A1A09A">
        <w:trPr>
          <w:cantSplit/>
          <w:tblHeader/>
        </w:trPr>
        <w:tc>
          <w:tcPr>
            <w:tcW w:w="5000" w:type="pct"/>
            <w:tcBorders>
              <w:top w:val="single" w:sz="4" w:space="0" w:color="auto"/>
              <w:left w:val="single" w:sz="4" w:space="0" w:color="auto"/>
              <w:bottom w:val="single" w:sz="4" w:space="0" w:color="auto"/>
              <w:right w:val="single" w:sz="4" w:space="0" w:color="auto"/>
            </w:tcBorders>
            <w:hideMark/>
          </w:tcPr>
          <w:p w14:paraId="6884F110" w14:textId="7DDEECAF" w:rsidR="006C36FA" w:rsidRPr="004C6591" w:rsidRDefault="006C36FA" w:rsidP="002321EB">
            <w:pPr>
              <w:spacing w:before="40" w:after="40" w:line="259" w:lineRule="auto"/>
              <w:rPr>
                <w:rFonts w:ascii="Arial Narrow" w:hAnsi="Arial Narrow"/>
                <w:kern w:val="2"/>
                <w:sz w:val="20"/>
                <w:szCs w:val="20"/>
                <w14:ligatures w14:val="standardContextual"/>
              </w:rPr>
            </w:pPr>
            <w:r w:rsidRPr="004C6591">
              <w:rPr>
                <w:rFonts w:ascii="Arial Narrow" w:hAnsi="Arial Narrow"/>
                <w:kern w:val="2"/>
                <w:sz w:val="20"/>
                <w:szCs w:val="20"/>
                <w14:ligatures w14:val="standardContextual"/>
              </w:rPr>
              <w:t>Category 6 – PATHOLOGY SERVICES</w:t>
            </w:r>
          </w:p>
        </w:tc>
      </w:tr>
      <w:tr w:rsidR="006C36FA" w:rsidRPr="004C6591" w14:paraId="789745A5" w14:textId="77777777" w:rsidTr="73A1A09A">
        <w:trPr>
          <w:cantSplit/>
          <w:tblHeader/>
        </w:trPr>
        <w:tc>
          <w:tcPr>
            <w:tcW w:w="5000" w:type="pct"/>
            <w:tcBorders>
              <w:top w:val="single" w:sz="4" w:space="0" w:color="auto"/>
              <w:left w:val="single" w:sz="4" w:space="0" w:color="auto"/>
              <w:bottom w:val="single" w:sz="4" w:space="0" w:color="auto"/>
              <w:right w:val="single" w:sz="4" w:space="0" w:color="auto"/>
            </w:tcBorders>
          </w:tcPr>
          <w:p w14:paraId="3A99BA59" w14:textId="77777777" w:rsidR="006C36FA" w:rsidRPr="004C6591" w:rsidRDefault="006C36FA" w:rsidP="002321EB">
            <w:pPr>
              <w:spacing w:before="120" w:after="120" w:line="259" w:lineRule="auto"/>
              <w:rPr>
                <w:rFonts w:ascii="Arial Narrow" w:hAnsi="Arial Narrow"/>
                <w:kern w:val="2"/>
                <w:sz w:val="20"/>
                <w:szCs w:val="20"/>
                <w14:ligatures w14:val="standardContextual"/>
              </w:rPr>
            </w:pPr>
            <w:r w:rsidRPr="004C6591">
              <w:rPr>
                <w:rFonts w:ascii="Arial Narrow" w:hAnsi="Arial Narrow"/>
                <w:kern w:val="2"/>
                <w:sz w:val="20"/>
                <w:szCs w:val="20"/>
                <w14:ligatures w14:val="standardContextual"/>
              </w:rPr>
              <w:t>MBS item *XXXX</w:t>
            </w:r>
          </w:p>
          <w:p w14:paraId="13A4BA93" w14:textId="7250FC72" w:rsidR="00E10FBF" w:rsidRPr="004C6591" w:rsidRDefault="006C36FA" w:rsidP="006C36FA">
            <w:pPr>
              <w:spacing w:before="120" w:after="120" w:line="259" w:lineRule="auto"/>
              <w:rPr>
                <w:rFonts w:ascii="Arial Narrow" w:hAnsi="Arial Narrow"/>
                <w:kern w:val="2"/>
                <w:sz w:val="20"/>
                <w:szCs w:val="20"/>
                <w14:ligatures w14:val="standardContextual"/>
              </w:rPr>
            </w:pPr>
            <w:r w:rsidRPr="004C6591">
              <w:rPr>
                <w:rFonts w:ascii="Arial Narrow" w:hAnsi="Arial Narrow"/>
                <w:strike/>
                <w:kern w:val="2"/>
                <w:sz w:val="20"/>
                <w:szCs w:val="20"/>
                <w14:ligatures w14:val="standardContextual"/>
              </w:rPr>
              <w:t>Next generation sequencing (NGS) test</w:t>
            </w:r>
            <w:r w:rsidR="005B50AB" w:rsidRPr="004C6591">
              <w:rPr>
                <w:rFonts w:ascii="Arial Narrow" w:hAnsi="Arial Narrow"/>
                <w:strike/>
                <w:kern w:val="2"/>
                <w:sz w:val="20"/>
                <w:szCs w:val="20"/>
                <w14:ligatures w14:val="standardContextual"/>
              </w:rPr>
              <w:t xml:space="preserve"> for</w:t>
            </w:r>
            <w:r w:rsidRPr="004C6591">
              <w:rPr>
                <w:rFonts w:ascii="Arial Narrow" w:hAnsi="Arial Narrow"/>
                <w:kern w:val="2"/>
                <w:sz w:val="20"/>
                <w:szCs w:val="20"/>
                <w14:ligatures w14:val="standardContextual"/>
              </w:rPr>
              <w:t xml:space="preserve"> </w:t>
            </w:r>
            <w:r w:rsidR="00E10FBF" w:rsidRPr="004C6591">
              <w:rPr>
                <w:rFonts w:ascii="Arial Narrow" w:hAnsi="Arial Narrow"/>
                <w:kern w:val="2"/>
                <w:sz w:val="20"/>
                <w:szCs w:val="20"/>
                <w:highlight w:val="yellow"/>
                <w14:ligatures w14:val="standardContextual"/>
              </w:rPr>
              <w:t>A test of tumour tissue or circulating tumour DNA to characterise</w:t>
            </w:r>
            <w:r w:rsidRPr="004C6591">
              <w:rPr>
                <w:rFonts w:ascii="Arial Narrow" w:hAnsi="Arial Narrow"/>
                <w:kern w:val="2"/>
                <w:sz w:val="20"/>
                <w:szCs w:val="20"/>
                <w14:ligatures w14:val="standardContextual"/>
              </w:rPr>
              <w:t xml:space="preserve"> phosphatidylinositol 4,5-bisphosphate 3-kinase catalytic subunit alpha isoform (</w:t>
            </w:r>
            <w:r w:rsidRPr="004C6591">
              <w:rPr>
                <w:rFonts w:ascii="Arial Narrow" w:hAnsi="Arial Narrow"/>
                <w:i/>
                <w:iCs/>
                <w:kern w:val="2"/>
                <w:sz w:val="20"/>
                <w:szCs w:val="20"/>
                <w14:ligatures w14:val="standardContextual"/>
              </w:rPr>
              <w:t>PIK3CA</w:t>
            </w:r>
            <w:r w:rsidRPr="004C6591">
              <w:rPr>
                <w:rFonts w:ascii="Arial Narrow" w:hAnsi="Arial Narrow"/>
                <w:kern w:val="2"/>
                <w:sz w:val="20"/>
                <w:szCs w:val="20"/>
                <w14:ligatures w14:val="standardContextual"/>
              </w:rPr>
              <w:t xml:space="preserve">) </w:t>
            </w:r>
            <w:r w:rsidR="00E10FBF" w:rsidRPr="004C6591">
              <w:rPr>
                <w:rFonts w:ascii="Arial Narrow" w:hAnsi="Arial Narrow"/>
                <w:kern w:val="2"/>
                <w:sz w:val="20"/>
                <w:szCs w:val="20"/>
                <w:highlight w:val="yellow"/>
                <w14:ligatures w14:val="standardContextual"/>
              </w:rPr>
              <w:t>variants,</w:t>
            </w:r>
            <w:r w:rsidR="00E10FBF" w:rsidRPr="004C6591">
              <w:rPr>
                <w:rFonts w:ascii="Arial Narrow" w:hAnsi="Arial Narrow"/>
                <w:kern w:val="2"/>
                <w:sz w:val="20"/>
                <w:szCs w:val="20"/>
                <w14:ligatures w14:val="standardContextual"/>
              </w:rPr>
              <w:t xml:space="preserve"> </w:t>
            </w:r>
            <w:r w:rsidRPr="004C6591">
              <w:rPr>
                <w:rFonts w:ascii="Arial Narrow" w:hAnsi="Arial Narrow"/>
                <w:strike/>
                <w:kern w:val="2"/>
                <w:sz w:val="20"/>
                <w:szCs w:val="20"/>
                <w14:ligatures w14:val="standardContextual"/>
              </w:rPr>
              <w:t>mutations performed on tumour tissue or circulating tumour DNA (ctDNA) from</w:t>
            </w:r>
            <w:r w:rsidRPr="004C6591">
              <w:rPr>
                <w:rFonts w:ascii="Arial Narrow" w:hAnsi="Arial Narrow"/>
                <w:kern w:val="2"/>
                <w:sz w:val="20"/>
                <w:szCs w:val="20"/>
                <w14:ligatures w14:val="standardContextual"/>
              </w:rPr>
              <w:t xml:space="preserve"> </w:t>
            </w:r>
            <w:r w:rsidR="00E10FBF" w:rsidRPr="004C6591">
              <w:rPr>
                <w:rFonts w:ascii="Arial Narrow" w:hAnsi="Arial Narrow"/>
                <w:kern w:val="2"/>
                <w:sz w:val="20"/>
                <w:szCs w:val="20"/>
                <w:highlight w:val="yellow"/>
                <w14:ligatures w14:val="standardContextual"/>
              </w:rPr>
              <w:t>in</w:t>
            </w:r>
            <w:r w:rsidR="00E10FBF" w:rsidRPr="004C6591">
              <w:rPr>
                <w:rFonts w:ascii="Arial Narrow" w:hAnsi="Arial Narrow"/>
                <w:kern w:val="2"/>
                <w:sz w:val="20"/>
                <w:szCs w:val="20"/>
                <w14:ligatures w14:val="standardContextual"/>
              </w:rPr>
              <w:t xml:space="preserve"> </w:t>
            </w:r>
            <w:r w:rsidRPr="004C6591">
              <w:rPr>
                <w:rFonts w:ascii="Arial Narrow" w:hAnsi="Arial Narrow"/>
                <w:kern w:val="2"/>
                <w:sz w:val="20"/>
                <w:szCs w:val="20"/>
                <w14:ligatures w14:val="standardContextual"/>
              </w:rPr>
              <w:t>a patient with</w:t>
            </w:r>
            <w:r w:rsidR="00E10FBF" w:rsidRPr="004C6591">
              <w:rPr>
                <w:rFonts w:ascii="Arial Narrow" w:hAnsi="Arial Narrow"/>
                <w:kern w:val="2"/>
                <w:sz w:val="20"/>
                <w:szCs w:val="20"/>
                <w14:ligatures w14:val="standardContextual"/>
              </w:rPr>
              <w:t>:</w:t>
            </w:r>
          </w:p>
          <w:p w14:paraId="12E15AC2" w14:textId="15712134" w:rsidR="006C36FA" w:rsidRPr="004C6591" w:rsidRDefault="006C36FA" w:rsidP="00E10FBF">
            <w:pPr>
              <w:pStyle w:val="ListParagraph"/>
              <w:numPr>
                <w:ilvl w:val="0"/>
                <w:numId w:val="25"/>
              </w:numPr>
              <w:spacing w:before="120" w:after="120" w:line="259" w:lineRule="auto"/>
              <w:rPr>
                <w:rFonts w:ascii="Arial Narrow" w:hAnsi="Arial Narrow"/>
                <w:kern w:val="2"/>
                <w:sz w:val="20"/>
                <w:szCs w:val="20"/>
                <w14:ligatures w14:val="standardContextual"/>
              </w:rPr>
            </w:pPr>
            <w:r w:rsidRPr="004C6591">
              <w:rPr>
                <w:rFonts w:ascii="Arial Narrow" w:hAnsi="Arial Narrow"/>
                <w:kern w:val="2"/>
                <w:sz w:val="20"/>
                <w:szCs w:val="20"/>
                <w14:ligatures w14:val="standardContextual"/>
              </w:rPr>
              <w:t>locally advanced (inoperable) or metastatic</w:t>
            </w:r>
            <w:r w:rsidR="00E10FBF" w:rsidRPr="004C6591">
              <w:rPr>
                <w:kern w:val="2"/>
                <w14:ligatures w14:val="standardContextual"/>
              </w:rPr>
              <w:t xml:space="preserve"> </w:t>
            </w:r>
            <w:r w:rsidR="00E10FBF" w:rsidRPr="004C6591">
              <w:rPr>
                <w:rFonts w:ascii="Arial Narrow" w:hAnsi="Arial Narrow"/>
                <w:kern w:val="2"/>
                <w:sz w:val="20"/>
                <w:szCs w:val="20"/>
                <w:highlight w:val="yellow"/>
                <w14:ligatures w14:val="standardContextual"/>
              </w:rPr>
              <w:t>hormone receptor-positive, HER2</w:t>
            </w:r>
            <w:r w:rsidR="00FA6F9C" w:rsidRPr="004C6591">
              <w:rPr>
                <w:rFonts w:ascii="Arial Narrow" w:hAnsi="Arial Narrow"/>
                <w:kern w:val="2"/>
                <w:sz w:val="20"/>
                <w:szCs w:val="20"/>
                <w:highlight w:val="yellow"/>
                <w14:ligatures w14:val="standardContextual"/>
              </w:rPr>
              <w:t>-</w:t>
            </w:r>
            <w:r w:rsidR="00FA6F9C" w:rsidRPr="004C6591">
              <w:rPr>
                <w:rFonts w:ascii="Arial Narrow" w:hAnsi="Arial Narrow"/>
                <w:kern w:val="2"/>
                <w:sz w:val="20"/>
                <w:szCs w:val="20"/>
                <w14:ligatures w14:val="standardContextual"/>
              </w:rPr>
              <w:t xml:space="preserve"> breast</w:t>
            </w:r>
            <w:r w:rsidRPr="004C6591">
              <w:rPr>
                <w:rFonts w:ascii="Arial Narrow" w:hAnsi="Arial Narrow"/>
                <w:kern w:val="2"/>
                <w:sz w:val="20"/>
                <w:szCs w:val="20"/>
                <w14:ligatures w14:val="standardContextual"/>
              </w:rPr>
              <w:t xml:space="preserve"> cancer</w:t>
            </w:r>
            <w:r w:rsidRPr="004C6591">
              <w:rPr>
                <w:rFonts w:ascii="Arial Narrow" w:hAnsi="Arial Narrow"/>
                <w:strike/>
                <w:kern w:val="2"/>
                <w:sz w:val="20"/>
                <w:szCs w:val="20"/>
                <w14:ligatures w14:val="standardContextual"/>
              </w:rPr>
              <w:t>, if:</w:t>
            </w:r>
            <w:r w:rsidR="00E10FBF" w:rsidRPr="004C6591">
              <w:rPr>
                <w:rFonts w:ascii="Arial Narrow" w:hAnsi="Arial Narrow"/>
                <w:strike/>
                <w:kern w:val="2"/>
                <w:sz w:val="20"/>
                <w:szCs w:val="20"/>
                <w14:ligatures w14:val="standardContextual"/>
              </w:rPr>
              <w:t xml:space="preserve"> </w:t>
            </w:r>
            <w:r w:rsidR="00E10FBF" w:rsidRPr="004C6591">
              <w:rPr>
                <w:rFonts w:ascii="Arial Narrow" w:hAnsi="Arial Narrow"/>
                <w:kern w:val="2"/>
                <w:sz w:val="20"/>
                <w:szCs w:val="20"/>
                <w:highlight w:val="yellow"/>
                <w14:ligatures w14:val="standardContextual"/>
              </w:rPr>
              <w:t>AND</w:t>
            </w:r>
          </w:p>
          <w:p w14:paraId="5A3B0FE2" w14:textId="5A6D408F" w:rsidR="00E10FBF" w:rsidRPr="004C6591" w:rsidRDefault="00E10FBF" w:rsidP="00E10FBF">
            <w:pPr>
              <w:pStyle w:val="ListParagraph"/>
              <w:numPr>
                <w:ilvl w:val="0"/>
                <w:numId w:val="25"/>
              </w:numPr>
              <w:spacing w:before="120" w:after="120" w:line="259" w:lineRule="auto"/>
              <w:rPr>
                <w:rFonts w:ascii="Arial Narrow" w:hAnsi="Arial Narrow"/>
                <w:kern w:val="2"/>
                <w:sz w:val="20"/>
                <w:szCs w:val="20"/>
                <w:highlight w:val="yellow"/>
                <w14:ligatures w14:val="standardContextual"/>
              </w:rPr>
            </w:pPr>
            <w:r w:rsidRPr="004C6591">
              <w:rPr>
                <w:rFonts w:ascii="Arial Narrow" w:hAnsi="Arial Narrow"/>
                <w:kern w:val="2"/>
                <w:sz w:val="20"/>
                <w:szCs w:val="20"/>
                <w:highlight w:val="yellow"/>
                <w14:ligatures w14:val="standardContextual"/>
              </w:rPr>
              <w:t>following recurrence or progression on or after adjuvant endocrine therapy.</w:t>
            </w:r>
          </w:p>
          <w:p w14:paraId="6A637374" w14:textId="77777777" w:rsidR="006C36FA" w:rsidRPr="004C6591" w:rsidRDefault="006C36FA" w:rsidP="006C36FA">
            <w:pPr>
              <w:spacing w:before="120" w:after="120" w:line="259" w:lineRule="auto"/>
              <w:rPr>
                <w:rFonts w:ascii="Arial Narrow" w:hAnsi="Arial Narrow"/>
                <w:strike/>
                <w:kern w:val="2"/>
                <w:sz w:val="20"/>
                <w:szCs w:val="20"/>
                <w14:ligatures w14:val="standardContextual"/>
              </w:rPr>
            </w:pPr>
            <w:r w:rsidRPr="004C6591">
              <w:rPr>
                <w:rFonts w:ascii="Arial Narrow" w:hAnsi="Arial Narrow"/>
                <w:strike/>
                <w:kern w:val="2"/>
                <w:sz w:val="20"/>
                <w:szCs w:val="20"/>
                <w14:ligatures w14:val="standardContextual"/>
              </w:rPr>
              <w:t>The breast cancer is documented as hormone receptor-positive; and</w:t>
            </w:r>
          </w:p>
          <w:p w14:paraId="04512513" w14:textId="77777777" w:rsidR="006C36FA" w:rsidRPr="004C6591" w:rsidRDefault="006C36FA" w:rsidP="006C36FA">
            <w:pPr>
              <w:spacing w:before="120" w:after="120" w:line="259" w:lineRule="auto"/>
              <w:rPr>
                <w:rFonts w:ascii="Arial Narrow" w:hAnsi="Arial Narrow"/>
                <w:strike/>
                <w:kern w:val="2"/>
                <w:sz w:val="20"/>
                <w:szCs w:val="20"/>
                <w14:ligatures w14:val="standardContextual"/>
              </w:rPr>
            </w:pPr>
            <w:r w:rsidRPr="004C6591">
              <w:rPr>
                <w:rFonts w:ascii="Arial Narrow" w:hAnsi="Arial Narrow"/>
                <w:strike/>
                <w:kern w:val="2"/>
                <w:sz w:val="20"/>
                <w:szCs w:val="20"/>
                <w14:ligatures w14:val="standardContextual"/>
              </w:rPr>
              <w:t>The breast cancer is documented as HER2-negative; and</w:t>
            </w:r>
          </w:p>
          <w:p w14:paraId="38080E03" w14:textId="1BBCA899" w:rsidR="006C36FA" w:rsidRPr="004C6591" w:rsidRDefault="006C36FA" w:rsidP="006C36FA">
            <w:pPr>
              <w:spacing w:before="120" w:after="120" w:line="259" w:lineRule="auto"/>
              <w:rPr>
                <w:rFonts w:ascii="Arial Narrow" w:hAnsi="Arial Narrow"/>
                <w:kern w:val="2"/>
                <w:sz w:val="20"/>
                <w:szCs w:val="20"/>
                <w14:ligatures w14:val="standardContextual"/>
              </w:rPr>
            </w:pPr>
            <w:r w:rsidRPr="004C6591">
              <w:rPr>
                <w:rFonts w:ascii="Arial Narrow" w:hAnsi="Arial Narrow"/>
                <w:strike/>
                <w:kern w:val="2"/>
                <w:sz w:val="20"/>
                <w:szCs w:val="20"/>
                <w14:ligatures w14:val="standardContextual"/>
              </w:rPr>
              <w:t>The test is</w:t>
            </w:r>
            <w:r w:rsidRPr="004C6591">
              <w:rPr>
                <w:rFonts w:ascii="Arial Narrow" w:hAnsi="Arial Narrow"/>
                <w:kern w:val="2"/>
                <w:sz w:val="20"/>
                <w:szCs w:val="20"/>
                <w14:ligatures w14:val="standardContextual"/>
              </w:rPr>
              <w:t xml:space="preserve"> </w:t>
            </w:r>
            <w:r w:rsidR="000751BC" w:rsidRPr="004C6591">
              <w:rPr>
                <w:rFonts w:ascii="Arial Narrow" w:hAnsi="Arial Narrow"/>
                <w:kern w:val="2"/>
                <w:sz w:val="20"/>
                <w:szCs w:val="20"/>
                <w:highlight w:val="yellow"/>
                <w14:ligatures w14:val="standardContextual"/>
              </w:rPr>
              <w:t>As</w:t>
            </w:r>
            <w:r w:rsidR="000751BC" w:rsidRPr="004C6591">
              <w:rPr>
                <w:rFonts w:ascii="Arial Narrow" w:hAnsi="Arial Narrow"/>
                <w:kern w:val="2"/>
                <w:sz w:val="20"/>
                <w:szCs w:val="20"/>
                <w14:ligatures w14:val="standardContextual"/>
              </w:rPr>
              <w:t xml:space="preserve"> </w:t>
            </w:r>
            <w:r w:rsidRPr="004C6591">
              <w:rPr>
                <w:rFonts w:ascii="Arial Narrow" w:hAnsi="Arial Narrow"/>
                <w:kern w:val="2"/>
                <w:sz w:val="20"/>
                <w:szCs w:val="20"/>
                <w14:ligatures w14:val="standardContextual"/>
              </w:rPr>
              <w:t>requested by a specialist or consultant physician</w:t>
            </w:r>
            <w:r w:rsidR="000743A8" w:rsidRPr="004C6591">
              <w:rPr>
                <w:rFonts w:ascii="Arial Narrow" w:hAnsi="Arial Narrow"/>
                <w:kern w:val="2"/>
                <w:sz w:val="20"/>
                <w:szCs w:val="20"/>
                <w14:ligatures w14:val="standardContextual"/>
              </w:rPr>
              <w:t>,</w:t>
            </w:r>
            <w:r w:rsidRPr="004C6591">
              <w:rPr>
                <w:rFonts w:ascii="Arial Narrow" w:hAnsi="Arial Narrow"/>
                <w:kern w:val="2"/>
                <w:sz w:val="20"/>
                <w:szCs w:val="20"/>
                <w14:ligatures w14:val="standardContextual"/>
              </w:rPr>
              <w:t xml:space="preserve"> to determine</w:t>
            </w:r>
            <w:r w:rsidR="000743A8" w:rsidRPr="004C6591">
              <w:rPr>
                <w:rFonts w:ascii="Arial Narrow" w:hAnsi="Arial Narrow"/>
                <w:kern w:val="2"/>
                <w:sz w:val="20"/>
                <w:szCs w:val="20"/>
                <w14:ligatures w14:val="standardContextual"/>
              </w:rPr>
              <w:t xml:space="preserve"> </w:t>
            </w:r>
            <w:r w:rsidR="000743A8" w:rsidRPr="004C6591">
              <w:rPr>
                <w:rFonts w:ascii="Arial Narrow" w:hAnsi="Arial Narrow"/>
                <w:kern w:val="2"/>
                <w:sz w:val="20"/>
                <w:szCs w:val="20"/>
                <w:highlight w:val="yellow"/>
                <w14:ligatures w14:val="standardContextual"/>
              </w:rPr>
              <w:t>eligibility for a treatment listed on</w:t>
            </w:r>
            <w:r w:rsidRPr="004C6591">
              <w:rPr>
                <w:rFonts w:ascii="Arial Narrow" w:hAnsi="Arial Narrow"/>
                <w:kern w:val="2"/>
                <w:sz w:val="20"/>
                <w:szCs w:val="20"/>
                <w14:ligatures w14:val="standardContextual"/>
              </w:rPr>
              <w:t xml:space="preserve"> </w:t>
            </w:r>
            <w:r w:rsidRPr="004C6591">
              <w:rPr>
                <w:rFonts w:ascii="Arial Narrow" w:hAnsi="Arial Narrow"/>
                <w:strike/>
                <w:kern w:val="2"/>
                <w:sz w:val="20"/>
                <w:szCs w:val="20"/>
                <w14:ligatures w14:val="standardContextual"/>
              </w:rPr>
              <w:t>if requirements relating to PIK3CA mutation status for access to a PIK3CA inhibitor under</w:t>
            </w:r>
            <w:r w:rsidRPr="004C6591">
              <w:rPr>
                <w:rFonts w:ascii="Arial Narrow" w:hAnsi="Arial Narrow"/>
                <w:kern w:val="2"/>
                <w:sz w:val="20"/>
                <w:szCs w:val="20"/>
                <w14:ligatures w14:val="standardContextual"/>
              </w:rPr>
              <w:t xml:space="preserve"> the Pharmaceutical Benefits Scheme</w:t>
            </w:r>
            <w:r w:rsidR="000743A8" w:rsidRPr="004C6591">
              <w:rPr>
                <w:rFonts w:ascii="Arial Narrow" w:hAnsi="Arial Narrow"/>
                <w:kern w:val="2"/>
                <w:sz w:val="20"/>
                <w:szCs w:val="20"/>
                <w14:ligatures w14:val="standardContextual"/>
              </w:rPr>
              <w:t xml:space="preserve"> </w:t>
            </w:r>
            <w:r w:rsidR="000743A8" w:rsidRPr="004C6591">
              <w:rPr>
                <w:rFonts w:ascii="Arial Narrow" w:hAnsi="Arial Narrow"/>
                <w:kern w:val="2"/>
                <w:sz w:val="20"/>
                <w:szCs w:val="20"/>
                <w:highlight w:val="yellow"/>
                <w14:ligatures w14:val="standardContextual"/>
              </w:rPr>
              <w:t>for this context</w:t>
            </w:r>
            <w:r w:rsidR="00710122" w:rsidRPr="004C6591">
              <w:rPr>
                <w:rFonts w:ascii="Arial Narrow" w:hAnsi="Arial Narrow"/>
                <w:kern w:val="2"/>
                <w:sz w:val="20"/>
                <w:szCs w:val="20"/>
                <w:highlight w:val="yellow"/>
                <w14:ligatures w14:val="standardContextual"/>
              </w:rPr>
              <w:t>.</w:t>
            </w:r>
            <w:r w:rsidRPr="004C6591">
              <w:rPr>
                <w:rFonts w:ascii="Arial Narrow" w:hAnsi="Arial Narrow"/>
                <w:kern w:val="2"/>
                <w:sz w:val="20"/>
                <w:szCs w:val="20"/>
                <w14:ligatures w14:val="standardContextual"/>
              </w:rPr>
              <w:t xml:space="preserve"> </w:t>
            </w:r>
            <w:r w:rsidRPr="004C6591">
              <w:rPr>
                <w:rFonts w:ascii="Arial Narrow" w:hAnsi="Arial Narrow"/>
                <w:strike/>
                <w:kern w:val="2"/>
                <w:sz w:val="20"/>
                <w:szCs w:val="20"/>
                <w14:ligatures w14:val="standardContextual"/>
              </w:rPr>
              <w:t>are fulfilled</w:t>
            </w:r>
          </w:p>
          <w:p w14:paraId="165C939A" w14:textId="512ECD4E" w:rsidR="006C36FA" w:rsidRPr="004C6591" w:rsidRDefault="5E15E2FC" w:rsidP="006C36FA">
            <w:pPr>
              <w:spacing w:before="120" w:after="120" w:line="259" w:lineRule="auto"/>
              <w:rPr>
                <w:rFonts w:ascii="Arial Narrow" w:hAnsi="Arial Narrow"/>
                <w:strike/>
                <w:kern w:val="2"/>
                <w:sz w:val="20"/>
                <w:szCs w:val="20"/>
                <w14:ligatures w14:val="standardContextual"/>
              </w:rPr>
            </w:pPr>
            <w:r w:rsidRPr="004C6591">
              <w:rPr>
                <w:rFonts w:ascii="Arial Narrow" w:hAnsi="Arial Narrow"/>
                <w:strike/>
                <w:sz w:val="20"/>
                <w:szCs w:val="20"/>
              </w:rPr>
              <w:t xml:space="preserve">Proposed </w:t>
            </w:r>
            <w:r w:rsidR="006C36FA" w:rsidRPr="004C6591">
              <w:rPr>
                <w:rFonts w:ascii="Arial Narrow" w:hAnsi="Arial Narrow"/>
                <w:strike/>
                <w:kern w:val="2"/>
                <w:sz w:val="20"/>
                <w:szCs w:val="20"/>
                <w14:ligatures w14:val="standardContextual"/>
              </w:rPr>
              <w:t>Applicable only once per lifetime</w:t>
            </w:r>
            <w:r w:rsidR="000743A8" w:rsidRPr="004C6591">
              <w:rPr>
                <w:rFonts w:ascii="Arial Narrow" w:hAnsi="Arial Narrow"/>
                <w:strike/>
                <w:kern w:val="2"/>
                <w:sz w:val="20"/>
                <w:szCs w:val="20"/>
                <w14:ligatures w14:val="standardContextual"/>
              </w:rPr>
              <w:t xml:space="preserve"> </w:t>
            </w:r>
            <w:r w:rsidR="000743A8" w:rsidRPr="004C6591">
              <w:rPr>
                <w:rFonts w:ascii="Arial Narrow" w:hAnsi="Arial Narrow"/>
                <w:kern w:val="2"/>
                <w:sz w:val="20"/>
                <w:szCs w:val="20"/>
                <w:highlight w:val="yellow"/>
                <w14:ligatures w14:val="standardContextual"/>
              </w:rPr>
              <w:t>Once per primary tumour diagnosis.</w:t>
            </w:r>
          </w:p>
        </w:tc>
      </w:tr>
      <w:tr w:rsidR="006C36FA" w:rsidRPr="004C6591" w14:paraId="69A5F5C6" w14:textId="77777777" w:rsidTr="73A1A09A">
        <w:trPr>
          <w:cantSplit/>
          <w:tblHeader/>
        </w:trPr>
        <w:tc>
          <w:tcPr>
            <w:tcW w:w="5000" w:type="pct"/>
            <w:tcBorders>
              <w:top w:val="single" w:sz="4" w:space="0" w:color="auto"/>
              <w:left w:val="single" w:sz="4" w:space="0" w:color="auto"/>
              <w:bottom w:val="single" w:sz="4" w:space="0" w:color="auto"/>
              <w:right w:val="single" w:sz="4" w:space="0" w:color="auto"/>
            </w:tcBorders>
            <w:vAlign w:val="center"/>
          </w:tcPr>
          <w:p w14:paraId="5E57CED0" w14:textId="533C1186" w:rsidR="006C36FA" w:rsidRPr="004C6591" w:rsidRDefault="006C36FA" w:rsidP="002321EB">
            <w:pPr>
              <w:spacing w:before="40" w:after="40" w:line="259" w:lineRule="auto"/>
              <w:rPr>
                <w:rFonts w:ascii="Arial Narrow" w:hAnsi="Arial Narrow"/>
                <w:kern w:val="2"/>
                <w:sz w:val="20"/>
                <w:szCs w:val="20"/>
                <w14:ligatures w14:val="standardContextual"/>
              </w:rPr>
            </w:pPr>
            <w:r w:rsidRPr="004C6591">
              <w:rPr>
                <w:rFonts w:ascii="Arial Narrow" w:hAnsi="Arial Narrow"/>
                <w:kern w:val="2"/>
                <w:sz w:val="20"/>
                <w:szCs w:val="20"/>
                <w14:ligatures w14:val="standardContextual"/>
              </w:rPr>
              <w:t>Fee: $350-400</w:t>
            </w:r>
            <w:r w:rsidRPr="004C6591">
              <w:rPr>
                <w:rFonts w:ascii="Arial Narrow" w:hAnsi="Arial Narrow"/>
                <w:kern w:val="2"/>
                <w:sz w:val="20"/>
                <w:szCs w:val="20"/>
                <w14:ligatures w14:val="standardContextual"/>
              </w:rPr>
              <w:tab/>
              <w:t>Benefit: 75% = $</w:t>
            </w:r>
            <w:r w:rsidR="005C7987" w:rsidRPr="004C6591">
              <w:rPr>
                <w:rFonts w:ascii="Arial Narrow" w:hAnsi="Arial Narrow"/>
                <w:kern w:val="2"/>
                <w:sz w:val="20"/>
                <w:szCs w:val="20"/>
                <w14:ligatures w14:val="standardContextual"/>
              </w:rPr>
              <w:t>262.50-300.00</w:t>
            </w:r>
            <w:r w:rsidRPr="004C6591">
              <w:rPr>
                <w:rFonts w:ascii="Arial Narrow" w:hAnsi="Arial Narrow"/>
                <w:kern w:val="2"/>
                <w:sz w:val="20"/>
                <w:szCs w:val="20"/>
                <w14:ligatures w14:val="standardContextual"/>
              </w:rPr>
              <w:tab/>
              <w:t xml:space="preserve"> 85% = $</w:t>
            </w:r>
            <w:r w:rsidR="005C7987" w:rsidRPr="004C6591">
              <w:rPr>
                <w:rFonts w:ascii="Arial Narrow" w:hAnsi="Arial Narrow"/>
                <w:kern w:val="2"/>
                <w:sz w:val="20"/>
                <w:szCs w:val="20"/>
                <w14:ligatures w14:val="standardContextual"/>
              </w:rPr>
              <w:t>297.50-340.00</w:t>
            </w:r>
          </w:p>
        </w:tc>
      </w:tr>
    </w:tbl>
    <w:p w14:paraId="1A82C347" w14:textId="748D5938" w:rsidR="0073279B" w:rsidRPr="004C6591" w:rsidRDefault="0073279B" w:rsidP="00145A88">
      <w:pPr>
        <w:pStyle w:val="Tablenotes"/>
      </w:pPr>
      <w:r w:rsidRPr="004C6591">
        <w:t>Source: Adapted from</w:t>
      </w:r>
      <w:r w:rsidR="00C83FFE" w:rsidRPr="004C6591">
        <w:t xml:space="preserve"> Scenario 2, p10 of the submission</w:t>
      </w:r>
      <w:r w:rsidRPr="004C6591">
        <w:t xml:space="preserve"> 1783 PICO Set </w:t>
      </w:r>
      <w:r w:rsidRPr="00C65136">
        <w:rPr>
          <w:i/>
        </w:rPr>
        <w:t>PIK3CA</w:t>
      </w:r>
      <w:r w:rsidRPr="004C6591">
        <w:t xml:space="preserve"> Testing Inavolisib</w:t>
      </w:r>
    </w:p>
    <w:p w14:paraId="35B2174A" w14:textId="33E58969" w:rsidR="00967995" w:rsidRPr="004C6591" w:rsidRDefault="00967995" w:rsidP="00145A88">
      <w:pPr>
        <w:pStyle w:val="Tablenotes"/>
      </w:pPr>
      <w:r w:rsidRPr="004C6591">
        <w:t>Yellow highlight indicates text added by the assessment group</w:t>
      </w:r>
      <w:r w:rsidR="000D6D81" w:rsidRPr="004C6591">
        <w:t>.</w:t>
      </w:r>
    </w:p>
    <w:p w14:paraId="637D4D4F" w14:textId="0952B76F" w:rsidR="00967995" w:rsidRPr="004C6591" w:rsidRDefault="00967995" w:rsidP="001E18DB">
      <w:pPr>
        <w:pStyle w:val="Tablenotes"/>
      </w:pPr>
      <w:r w:rsidRPr="004C6591">
        <w:t xml:space="preserve">Strikethrough text indicates </w:t>
      </w:r>
      <w:r w:rsidR="00827A67" w:rsidRPr="004C6591">
        <w:t xml:space="preserve">text deletions </w:t>
      </w:r>
      <w:r w:rsidRPr="004C6591">
        <w:t>suggested by</w:t>
      </w:r>
      <w:r w:rsidR="00827A67" w:rsidRPr="004C6591">
        <w:t xml:space="preserve"> the</w:t>
      </w:r>
      <w:r w:rsidRPr="004C6591">
        <w:t xml:space="preserve"> assessment group</w:t>
      </w:r>
      <w:r w:rsidR="000D6D81" w:rsidRPr="004C6591">
        <w:t>.</w:t>
      </w:r>
    </w:p>
    <w:p w14:paraId="62092C96" w14:textId="7DB62F26" w:rsidR="005D0274" w:rsidRPr="004C6591" w:rsidRDefault="001865AD" w:rsidP="00D51E4B">
      <w:r w:rsidRPr="004C6591">
        <w:t xml:space="preserve">The proposed MBS item descriptor is silent on test methodology based on the advice of the Department </w:t>
      </w:r>
      <w:r w:rsidR="00287F34" w:rsidRPr="004C6591">
        <w:t>to</w:t>
      </w:r>
      <w:r w:rsidRPr="004C6591">
        <w:t xml:space="preserve"> account</w:t>
      </w:r>
      <w:r w:rsidR="00287F34" w:rsidRPr="004C6591">
        <w:t xml:space="preserve"> for</w:t>
      </w:r>
      <w:r w:rsidRPr="004C6591">
        <w:t xml:space="preserve"> laboratory preferences as well as technological advancements to futureproof the descriptor, as described in </w:t>
      </w:r>
      <w:r w:rsidR="002C5D4E" w:rsidRPr="004C6591">
        <w:t>the r</w:t>
      </w:r>
      <w:r w:rsidRPr="004C6591">
        <w:t xml:space="preserve">atified PICO </w:t>
      </w:r>
      <w:r w:rsidR="002C5D4E" w:rsidRPr="004C6591">
        <w:t>of MSAC</w:t>
      </w:r>
      <w:r w:rsidRPr="004C6591">
        <w:t xml:space="preserve"> Application 1766.</w:t>
      </w:r>
      <w:r w:rsidR="005D0274" w:rsidRPr="004C6591">
        <w:t xml:space="preserve"> </w:t>
      </w:r>
    </w:p>
    <w:p w14:paraId="1D4EC490" w14:textId="77777777" w:rsidR="000A7860" w:rsidRPr="004C6591" w:rsidRDefault="000A7860" w:rsidP="000A7860">
      <w:pPr>
        <w:autoSpaceDE w:val="0"/>
        <w:autoSpaceDN w:val="0"/>
        <w:adjustRightInd w:val="0"/>
        <w:spacing w:line="23" w:lineRule="atLeast"/>
        <w:rPr>
          <w:rFonts w:asciiTheme="minorHAnsi" w:hAnsiTheme="minorHAnsi" w:cstheme="minorBidi"/>
          <w:i/>
          <w:iCs/>
        </w:rPr>
      </w:pPr>
      <w:bookmarkStart w:id="22" w:name="_Hlk176516633"/>
      <w:r w:rsidRPr="004C6591">
        <w:rPr>
          <w:rFonts w:asciiTheme="minorHAnsi" w:hAnsiTheme="minorHAnsi" w:cstheme="minorBidi"/>
          <w:i/>
          <w:iCs/>
        </w:rPr>
        <w:lastRenderedPageBreak/>
        <w:t xml:space="preserve">PASC considered it appropriate for the MBS item descriptor to be agnostic as to the testing methodology and drug, and for the item to be “as requested by a specialist or consultant physician”. </w:t>
      </w:r>
    </w:p>
    <w:p w14:paraId="3ED84573" w14:textId="66B93316" w:rsidR="000A7860" w:rsidRPr="004C6591" w:rsidRDefault="000A7860" w:rsidP="00435CBD">
      <w:pPr>
        <w:autoSpaceDE w:val="0"/>
        <w:autoSpaceDN w:val="0"/>
        <w:adjustRightInd w:val="0"/>
        <w:spacing w:line="23" w:lineRule="atLeast"/>
        <w:rPr>
          <w:rFonts w:asciiTheme="minorHAnsi" w:hAnsiTheme="minorHAnsi" w:cstheme="minorBidi"/>
          <w:i/>
          <w:iCs/>
        </w:rPr>
      </w:pPr>
      <w:r w:rsidRPr="004C6591">
        <w:rPr>
          <w:rFonts w:asciiTheme="minorHAnsi" w:hAnsiTheme="minorHAnsi" w:cstheme="minorBidi"/>
          <w:i/>
          <w:iCs/>
        </w:rPr>
        <w:t xml:space="preserve">PASC considered that the item descriptor remaining method agnostic should not result in substandard assays with poor analytical performance. PASC advised that, while not all testing methods are able to </w:t>
      </w:r>
      <w:r w:rsidR="00C535F2" w:rsidRPr="004C6591">
        <w:rPr>
          <w:rFonts w:asciiTheme="minorHAnsi" w:hAnsiTheme="minorHAnsi" w:cstheme="minorBidi"/>
          <w:i/>
          <w:iCs/>
        </w:rPr>
        <w:t>detect</w:t>
      </w:r>
      <w:r w:rsidRPr="004C6591">
        <w:rPr>
          <w:rFonts w:asciiTheme="minorHAnsi" w:hAnsiTheme="minorHAnsi" w:cstheme="minorBidi"/>
          <w:i/>
          <w:iCs/>
        </w:rPr>
        <w:t xml:space="preserve"> all relevant </w:t>
      </w:r>
      <w:r w:rsidRPr="00C65136">
        <w:rPr>
          <w:rFonts w:asciiTheme="minorHAnsi" w:hAnsiTheme="minorHAnsi"/>
        </w:rPr>
        <w:t>PIK3CA</w:t>
      </w:r>
      <w:r w:rsidRPr="004C6591">
        <w:rPr>
          <w:rFonts w:asciiTheme="minorHAnsi" w:hAnsiTheme="minorHAnsi" w:cstheme="minorBidi"/>
          <w:i/>
          <w:iCs/>
        </w:rPr>
        <w:t xml:space="preserve"> variants (noting that many </w:t>
      </w:r>
      <w:r w:rsidRPr="00C65136">
        <w:rPr>
          <w:rFonts w:asciiTheme="minorHAnsi" w:hAnsiTheme="minorHAnsi"/>
        </w:rPr>
        <w:t>PIK3CA</w:t>
      </w:r>
      <w:r w:rsidRPr="004C6591">
        <w:rPr>
          <w:rFonts w:asciiTheme="minorHAnsi" w:hAnsiTheme="minorHAnsi" w:cstheme="minorBidi"/>
          <w:i/>
          <w:iCs/>
        </w:rPr>
        <w:t xml:space="preserve"> variants exist, many of which are pathogenic), laboratories are likely to adopt the most accurate testing method. PASC therefore considered it likely that NGS would be the preferred method, given its high analytical performance and ability to detect most gene variants and hotspots.</w:t>
      </w:r>
    </w:p>
    <w:bookmarkEnd w:id="22"/>
    <w:p w14:paraId="609FDB15" w14:textId="4B874714" w:rsidR="00363032" w:rsidRPr="004C6591" w:rsidRDefault="004C5E12" w:rsidP="00D51E4B">
      <w:r w:rsidRPr="004C6591">
        <w:t>Further</w:t>
      </w:r>
      <w:r w:rsidR="00363032" w:rsidRPr="004C6591">
        <w:t xml:space="preserve"> </w:t>
      </w:r>
      <w:r w:rsidRPr="004C6591">
        <w:t>amendment</w:t>
      </w:r>
      <w:r w:rsidR="00363032" w:rsidRPr="004C6591">
        <w:t xml:space="preserve"> include</w:t>
      </w:r>
      <w:r w:rsidRPr="004C6591">
        <w:t>s</w:t>
      </w:r>
      <w:r w:rsidR="00363032" w:rsidRPr="004C6591">
        <w:t xml:space="preserve"> “AND following recurrence or progression on or after adjuvant endocrine therapy”, </w:t>
      </w:r>
      <w:r w:rsidR="00287F34" w:rsidRPr="004C6591">
        <w:t>to</w:t>
      </w:r>
      <w:r w:rsidR="00363032" w:rsidRPr="004C6591">
        <w:t xml:space="preserve"> be consistent with the study population in the INAVO120 trial.</w:t>
      </w:r>
      <w:r w:rsidR="00B70E7D" w:rsidRPr="004C6591">
        <w:t xml:space="preserve"> PASC’s advice </w:t>
      </w:r>
      <w:r w:rsidR="001873CE" w:rsidRPr="004C6591">
        <w:t xml:space="preserve">was </w:t>
      </w:r>
      <w:r w:rsidR="00B70E7D" w:rsidRPr="004C6591">
        <w:t>sought to confirm the test population in the MBS descriptor.</w:t>
      </w:r>
    </w:p>
    <w:p w14:paraId="0EA7398E" w14:textId="24C3D2FC" w:rsidR="00A235BE" w:rsidRPr="004C6591" w:rsidRDefault="00A235BE" w:rsidP="00435CBD">
      <w:pPr>
        <w:autoSpaceDE w:val="0"/>
        <w:autoSpaceDN w:val="0"/>
        <w:adjustRightInd w:val="0"/>
        <w:spacing w:line="23" w:lineRule="atLeast"/>
        <w:rPr>
          <w:rFonts w:asciiTheme="minorHAnsi" w:hAnsiTheme="minorHAnsi" w:cstheme="minorBidi"/>
          <w:i/>
          <w:iCs/>
        </w:rPr>
      </w:pPr>
      <w:bookmarkStart w:id="23" w:name="_Hlk176516641"/>
      <w:r w:rsidRPr="004C6591">
        <w:rPr>
          <w:rFonts w:asciiTheme="minorHAnsi" w:hAnsiTheme="minorHAnsi" w:cstheme="minorBidi"/>
          <w:i/>
          <w:iCs/>
        </w:rPr>
        <w:t>PASC noted the applicant’s proposed change to the MBS item descriptor</w:t>
      </w:r>
      <w:r w:rsidR="00AE3FE9" w:rsidRPr="004C6591">
        <w:rPr>
          <w:rFonts w:asciiTheme="minorHAnsi" w:hAnsiTheme="minorHAnsi" w:cstheme="minorBidi"/>
          <w:i/>
          <w:iCs/>
        </w:rPr>
        <w:t xml:space="preserve"> </w:t>
      </w:r>
      <w:r w:rsidR="00E573FF" w:rsidRPr="004C6591">
        <w:rPr>
          <w:rFonts w:asciiTheme="minorHAnsi" w:hAnsiTheme="minorHAnsi" w:cstheme="minorBidi"/>
          <w:i/>
          <w:iCs/>
        </w:rPr>
        <w:t xml:space="preserve">which involved </w:t>
      </w:r>
      <w:r w:rsidRPr="004C6591">
        <w:rPr>
          <w:rFonts w:asciiTheme="minorHAnsi" w:hAnsiTheme="minorHAnsi" w:cstheme="minorBidi"/>
          <w:i/>
          <w:iCs/>
        </w:rPr>
        <w:t>remov</w:t>
      </w:r>
      <w:r w:rsidRPr="004C6591" w:rsidDel="004F427D">
        <w:rPr>
          <w:rFonts w:asciiTheme="minorHAnsi" w:hAnsiTheme="minorHAnsi" w:cstheme="minorBidi"/>
          <w:i/>
          <w:iCs/>
        </w:rPr>
        <w:t>ing</w:t>
      </w:r>
      <w:r w:rsidRPr="004C6591">
        <w:rPr>
          <w:rFonts w:asciiTheme="minorHAnsi" w:hAnsiTheme="minorHAnsi" w:cstheme="minorBidi"/>
          <w:i/>
          <w:iCs/>
        </w:rPr>
        <w:t xml:space="preserve"> “following recurrence or progression on or after adjuvant endocrine therapy”. PASC considered that the applicant’s suggestion to remove the disease progression criterion may represent leakage of the test population and may incur significant cost implications. </w:t>
      </w:r>
    </w:p>
    <w:bookmarkEnd w:id="23"/>
    <w:p w14:paraId="3C5EDA02" w14:textId="5437EED0" w:rsidR="001865AD" w:rsidRPr="004C6591" w:rsidRDefault="001865AD" w:rsidP="001865AD">
      <w:r w:rsidRPr="004C6591">
        <w:t xml:space="preserve">The proposed MBS item descriptor </w:t>
      </w:r>
      <w:r w:rsidR="007212D7" w:rsidRPr="004C6591">
        <w:t>informs treatment eligibility for a</w:t>
      </w:r>
      <w:r w:rsidRPr="004C6591">
        <w:t xml:space="preserve"> treatment </w:t>
      </w:r>
      <w:r w:rsidR="007212D7" w:rsidRPr="004C6591">
        <w:t>listed on the PBS for</w:t>
      </w:r>
      <w:r w:rsidRPr="004C6591">
        <w:t xml:space="preserve"> th</w:t>
      </w:r>
      <w:r w:rsidR="00C40843" w:rsidRPr="004C6591">
        <w:t>e</w:t>
      </w:r>
      <w:r w:rsidRPr="004C6591">
        <w:t xml:space="preserve"> context, and </w:t>
      </w:r>
      <w:r w:rsidR="42E64D99" w:rsidRPr="004C6591">
        <w:t>is</w:t>
      </w:r>
      <w:r w:rsidRPr="004C6591">
        <w:t xml:space="preserve"> not restricted to </w:t>
      </w:r>
      <w:r w:rsidR="00287F34" w:rsidRPr="004C6591">
        <w:t xml:space="preserve">a </w:t>
      </w:r>
      <w:r w:rsidRPr="004C6591">
        <w:t xml:space="preserve">specific </w:t>
      </w:r>
      <w:r w:rsidR="00287F34" w:rsidRPr="004C6591">
        <w:t xml:space="preserve">molecule </w:t>
      </w:r>
      <w:r w:rsidRPr="004C6591">
        <w:t>or class of medicine</w:t>
      </w:r>
      <w:r w:rsidR="00287F34" w:rsidRPr="004C6591">
        <w:t>s</w:t>
      </w:r>
      <w:r w:rsidRPr="004C6591">
        <w:t>.</w:t>
      </w:r>
      <w:r w:rsidR="008D0931" w:rsidRPr="004C6591">
        <w:t xml:space="preserve"> For example, detection of </w:t>
      </w:r>
      <w:r w:rsidR="008D0931" w:rsidRPr="004C6591">
        <w:rPr>
          <w:i/>
          <w:iCs/>
        </w:rPr>
        <w:t>PIK3CA</w:t>
      </w:r>
      <w:r w:rsidR="008D0931" w:rsidRPr="004C6591">
        <w:t xml:space="preserve"> variant</w:t>
      </w:r>
      <w:r w:rsidR="00094765" w:rsidRPr="004C6591">
        <w:t>s</w:t>
      </w:r>
      <w:r w:rsidR="008D0931" w:rsidRPr="004C6591">
        <w:t xml:space="preserve"> in HR+/HER2- </w:t>
      </w:r>
      <w:r w:rsidR="00D44C74" w:rsidRPr="004C6591">
        <w:t>m</w:t>
      </w:r>
      <w:r w:rsidR="008D0931" w:rsidRPr="004C6591">
        <w:t>BC could inform treatment with inavolisib or alpelisib or capivasertib, if PBS-listed.</w:t>
      </w:r>
    </w:p>
    <w:p w14:paraId="46F74B73" w14:textId="2882A7FE" w:rsidR="002D4B6C" w:rsidRPr="004C6591" w:rsidRDefault="002D4B6C" w:rsidP="001865AD">
      <w:r w:rsidRPr="004C6591">
        <w:t xml:space="preserve">The MBS item </w:t>
      </w:r>
      <w:r w:rsidR="005767B8" w:rsidRPr="004C6591">
        <w:t>was edited to once per primary tumour diagnosis, to allow treatment decision-making for a potential subsequent BC tumour.</w:t>
      </w:r>
    </w:p>
    <w:p w14:paraId="24964B89" w14:textId="031C7BF1" w:rsidR="00FF66D0" w:rsidRPr="004C6591" w:rsidRDefault="00FF66D0" w:rsidP="00435CBD">
      <w:pPr>
        <w:autoSpaceDE w:val="0"/>
        <w:autoSpaceDN w:val="0"/>
        <w:adjustRightInd w:val="0"/>
        <w:spacing w:line="23" w:lineRule="atLeast"/>
        <w:rPr>
          <w:rFonts w:asciiTheme="minorHAnsi" w:hAnsiTheme="minorHAnsi" w:cstheme="minorBidi"/>
          <w:i/>
          <w:iCs/>
        </w:rPr>
      </w:pPr>
      <w:bookmarkStart w:id="24" w:name="_Hlk176516650"/>
      <w:r w:rsidRPr="004C6591">
        <w:rPr>
          <w:rFonts w:asciiTheme="minorHAnsi" w:hAnsiTheme="minorHAnsi" w:cstheme="minorBidi"/>
          <w:i/>
          <w:iCs/>
        </w:rPr>
        <w:t>PASC also noted the applicant’s concern that limiting testing to once per primary tumour diagnosis may preclude additional necessary tests (e.g. confirmatory</w:t>
      </w:r>
      <w:r w:rsidR="001C1990" w:rsidRPr="004C6591">
        <w:rPr>
          <w:rFonts w:asciiTheme="minorHAnsi" w:hAnsiTheme="minorHAnsi" w:cstheme="minorBidi"/>
          <w:i/>
          <w:iCs/>
        </w:rPr>
        <w:t>/follow up</w:t>
      </w:r>
      <w:r w:rsidRPr="004C6591">
        <w:rPr>
          <w:rFonts w:asciiTheme="minorHAnsi" w:hAnsiTheme="minorHAnsi" w:cstheme="minorBidi"/>
          <w:i/>
          <w:iCs/>
        </w:rPr>
        <w:t xml:space="preserve"> testing </w:t>
      </w:r>
      <w:r w:rsidR="3FAFE8EB" w:rsidRPr="2E19A8B7">
        <w:rPr>
          <w:rFonts w:asciiTheme="minorHAnsi" w:hAnsiTheme="minorHAnsi" w:cstheme="minorBidi"/>
          <w:i/>
          <w:iCs/>
        </w:rPr>
        <w:t>with a different sample type after a negative test result, if needed</w:t>
      </w:r>
      <w:r w:rsidRPr="2E19A8B7">
        <w:rPr>
          <w:rFonts w:asciiTheme="minorHAnsi" w:hAnsiTheme="minorHAnsi" w:cstheme="minorBidi"/>
          <w:i/>
          <w:iCs/>
        </w:rPr>
        <w:t>).</w:t>
      </w:r>
      <w:r w:rsidRPr="004C6591">
        <w:rPr>
          <w:rFonts w:asciiTheme="minorHAnsi" w:hAnsiTheme="minorHAnsi" w:cstheme="minorBidi"/>
          <w:i/>
          <w:iCs/>
        </w:rPr>
        <w:t xml:space="preserve"> While PASC noted that the original application included a restriction to testing once per lifetime, it agreed that the intent was not to prevent necessary secondary testing. PASC clarified that the restriction to “once per primary tumour diagnosis” in the MBS item descriptor was reasonable, and advised that an explanatory note should be added to the MBS item indicating that there is no restriction on the frequency of testing under specific circumstances (i.e. multiple testing is permitted in the case of a negative test result,</w:t>
      </w:r>
      <w:r w:rsidR="005C2A84" w:rsidRPr="004C6591">
        <w:rPr>
          <w:rFonts w:asciiTheme="minorHAnsi" w:hAnsiTheme="minorHAnsi" w:cstheme="minorBidi"/>
          <w:i/>
          <w:iCs/>
        </w:rPr>
        <w:t xml:space="preserve"> </w:t>
      </w:r>
      <w:r w:rsidRPr="004C6591">
        <w:rPr>
          <w:rFonts w:asciiTheme="minorHAnsi" w:hAnsiTheme="minorHAnsi" w:cstheme="minorBidi"/>
          <w:i/>
          <w:iCs/>
        </w:rPr>
        <w:t>but should not be used for other prognostic reasons).</w:t>
      </w:r>
      <w:r w:rsidR="000241FF">
        <w:rPr>
          <w:rFonts w:asciiTheme="minorHAnsi" w:hAnsiTheme="minorHAnsi" w:cstheme="minorBidi"/>
          <w:i/>
          <w:iCs/>
        </w:rPr>
        <w:t xml:space="preserve"> </w:t>
      </w:r>
      <w:bookmarkStart w:id="25" w:name="_Hlk177464566"/>
      <w:r w:rsidR="000241FF">
        <w:rPr>
          <w:rFonts w:asciiTheme="minorHAnsi" w:hAnsiTheme="minorHAnsi" w:cstheme="minorBidi"/>
          <w:i/>
          <w:iCs/>
        </w:rPr>
        <w:t xml:space="preserve">However, post-PASC, the </w:t>
      </w:r>
      <w:r w:rsidR="009D2FED">
        <w:rPr>
          <w:rFonts w:asciiTheme="minorHAnsi" w:hAnsiTheme="minorHAnsi" w:cstheme="minorBidi"/>
          <w:i/>
          <w:iCs/>
        </w:rPr>
        <w:t>d</w:t>
      </w:r>
      <w:r w:rsidR="000241FF">
        <w:rPr>
          <w:rFonts w:asciiTheme="minorHAnsi" w:hAnsiTheme="minorHAnsi" w:cstheme="minorBidi"/>
          <w:i/>
          <w:iCs/>
        </w:rPr>
        <w:t xml:space="preserve">epartment advised that </w:t>
      </w:r>
      <w:r w:rsidR="00D5461A">
        <w:rPr>
          <w:rFonts w:asciiTheme="minorHAnsi" w:hAnsiTheme="minorHAnsi" w:cstheme="minorBidi"/>
          <w:i/>
          <w:iCs/>
        </w:rPr>
        <w:t>such an explanatory note is unimplementable in practice as regardless of this note, the item would still be restricted by the descriptor (i.e. to once per primary tumour diagnosis</w:t>
      </w:r>
      <w:r w:rsidR="001D6937">
        <w:rPr>
          <w:rFonts w:asciiTheme="minorHAnsi" w:hAnsiTheme="minorHAnsi" w:cstheme="minorBidi"/>
          <w:i/>
          <w:iCs/>
        </w:rPr>
        <w:t>)</w:t>
      </w:r>
      <w:r w:rsidR="00D5461A">
        <w:rPr>
          <w:rFonts w:asciiTheme="minorHAnsi" w:hAnsiTheme="minorHAnsi" w:cstheme="minorBidi"/>
          <w:i/>
          <w:iCs/>
        </w:rPr>
        <w:t xml:space="preserve">. </w:t>
      </w:r>
      <w:r w:rsidR="00C600AC">
        <w:rPr>
          <w:rFonts w:asciiTheme="minorHAnsi" w:hAnsiTheme="minorHAnsi" w:cstheme="minorBidi"/>
          <w:i/>
          <w:iCs/>
        </w:rPr>
        <w:t>T</w:t>
      </w:r>
      <w:r w:rsidR="00D5461A">
        <w:rPr>
          <w:rFonts w:asciiTheme="minorHAnsi" w:hAnsiTheme="minorHAnsi" w:cstheme="minorBidi"/>
          <w:i/>
          <w:iCs/>
        </w:rPr>
        <w:t xml:space="preserve">he </w:t>
      </w:r>
      <w:r w:rsidR="009D2FED">
        <w:rPr>
          <w:rFonts w:asciiTheme="minorHAnsi" w:hAnsiTheme="minorHAnsi" w:cstheme="minorBidi"/>
          <w:i/>
          <w:iCs/>
        </w:rPr>
        <w:t>d</w:t>
      </w:r>
      <w:r w:rsidR="00D5461A">
        <w:rPr>
          <w:rFonts w:asciiTheme="minorHAnsi" w:hAnsiTheme="minorHAnsi" w:cstheme="minorBidi"/>
          <w:i/>
          <w:iCs/>
        </w:rPr>
        <w:t xml:space="preserve">epartment </w:t>
      </w:r>
      <w:r w:rsidR="00C26A72">
        <w:rPr>
          <w:rFonts w:asciiTheme="minorHAnsi" w:hAnsiTheme="minorHAnsi" w:cstheme="minorBidi"/>
          <w:i/>
          <w:iCs/>
        </w:rPr>
        <w:t>advised</w:t>
      </w:r>
      <w:r w:rsidR="00D5461A">
        <w:rPr>
          <w:rFonts w:asciiTheme="minorHAnsi" w:hAnsiTheme="minorHAnsi" w:cstheme="minorBidi"/>
          <w:i/>
          <w:iCs/>
        </w:rPr>
        <w:t xml:space="preserve"> that the proposed item would allow providers to perform follow up tumour testing at their own discretion following an initial ctDNA test</w:t>
      </w:r>
      <w:r w:rsidR="0F61F310" w:rsidRPr="2E19A8B7">
        <w:rPr>
          <w:rFonts w:asciiTheme="minorHAnsi" w:hAnsiTheme="minorHAnsi" w:cstheme="minorBidi"/>
          <w:i/>
          <w:iCs/>
        </w:rPr>
        <w:t>,</w:t>
      </w:r>
      <w:r w:rsidR="00C26A72">
        <w:rPr>
          <w:rFonts w:asciiTheme="minorHAnsi" w:hAnsiTheme="minorHAnsi" w:cstheme="minorBidi"/>
          <w:i/>
          <w:iCs/>
        </w:rPr>
        <w:t xml:space="preserve"> but that</w:t>
      </w:r>
      <w:r w:rsidR="001D6937">
        <w:rPr>
          <w:rFonts w:asciiTheme="minorHAnsi" w:hAnsiTheme="minorHAnsi" w:cstheme="minorBidi"/>
          <w:i/>
          <w:iCs/>
        </w:rPr>
        <w:t xml:space="preserve"> this would only be covered by one rebate</w:t>
      </w:r>
      <w:bookmarkEnd w:id="25"/>
      <w:r w:rsidR="001D6937">
        <w:rPr>
          <w:rFonts w:asciiTheme="minorHAnsi" w:hAnsiTheme="minorHAnsi" w:cstheme="minorBidi"/>
          <w:i/>
          <w:iCs/>
        </w:rPr>
        <w:t>.</w:t>
      </w:r>
      <w:r w:rsidR="009305C4">
        <w:rPr>
          <w:rFonts w:asciiTheme="minorHAnsi" w:hAnsiTheme="minorHAnsi" w:cstheme="minorBidi"/>
          <w:i/>
          <w:iCs/>
        </w:rPr>
        <w:t xml:space="preserve"> </w:t>
      </w:r>
      <w:bookmarkStart w:id="26" w:name="_Hlk177466313"/>
      <w:r w:rsidR="009305C4">
        <w:rPr>
          <w:rFonts w:asciiTheme="minorHAnsi" w:hAnsiTheme="minorHAnsi" w:cstheme="minorBidi"/>
          <w:i/>
          <w:iCs/>
        </w:rPr>
        <w:t xml:space="preserve">PASC </w:t>
      </w:r>
      <w:r w:rsidR="00FA3591">
        <w:rPr>
          <w:rFonts w:asciiTheme="minorHAnsi" w:hAnsiTheme="minorHAnsi" w:cstheme="minorBidi"/>
          <w:i/>
          <w:iCs/>
        </w:rPr>
        <w:t>noted</w:t>
      </w:r>
      <w:r w:rsidR="00B76839">
        <w:rPr>
          <w:rFonts w:asciiTheme="minorHAnsi" w:hAnsiTheme="minorHAnsi" w:cstheme="minorBidi"/>
          <w:i/>
          <w:iCs/>
        </w:rPr>
        <w:t xml:space="preserve"> (out-of-session)</w:t>
      </w:r>
      <w:r w:rsidR="00436008">
        <w:rPr>
          <w:rFonts w:asciiTheme="minorHAnsi" w:hAnsiTheme="minorHAnsi" w:cstheme="minorBidi"/>
          <w:i/>
          <w:iCs/>
        </w:rPr>
        <w:t xml:space="preserve"> from departmental advice</w:t>
      </w:r>
      <w:r w:rsidR="00B76839">
        <w:rPr>
          <w:rFonts w:asciiTheme="minorHAnsi" w:hAnsiTheme="minorHAnsi" w:cstheme="minorBidi"/>
          <w:i/>
          <w:iCs/>
        </w:rPr>
        <w:t xml:space="preserve"> </w:t>
      </w:r>
      <w:r w:rsidR="00FA3591">
        <w:rPr>
          <w:rFonts w:asciiTheme="minorHAnsi" w:hAnsiTheme="minorHAnsi" w:cstheme="minorBidi"/>
          <w:i/>
          <w:iCs/>
        </w:rPr>
        <w:t xml:space="preserve">that the explanatory note is unimplementable in practice and </w:t>
      </w:r>
      <w:r w:rsidR="009305C4">
        <w:rPr>
          <w:rFonts w:asciiTheme="minorHAnsi" w:hAnsiTheme="minorHAnsi" w:cstheme="minorBidi"/>
          <w:i/>
          <w:iCs/>
        </w:rPr>
        <w:t xml:space="preserve">accepted </w:t>
      </w:r>
      <w:r w:rsidR="00FA3591">
        <w:rPr>
          <w:rFonts w:asciiTheme="minorHAnsi" w:hAnsiTheme="minorHAnsi" w:cstheme="minorBidi"/>
          <w:i/>
          <w:iCs/>
        </w:rPr>
        <w:t>that it is not required.</w:t>
      </w:r>
      <w:r w:rsidR="00B070FF">
        <w:rPr>
          <w:rFonts w:asciiTheme="minorHAnsi" w:hAnsiTheme="minorHAnsi" w:cstheme="minorBidi"/>
          <w:i/>
          <w:iCs/>
        </w:rPr>
        <w:t xml:space="preserve"> </w:t>
      </w:r>
      <w:bookmarkEnd w:id="26"/>
      <w:r w:rsidR="00B070FF">
        <w:rPr>
          <w:rFonts w:asciiTheme="minorHAnsi" w:hAnsiTheme="minorHAnsi" w:cstheme="minorBidi"/>
          <w:i/>
          <w:iCs/>
        </w:rPr>
        <w:t xml:space="preserve">PASC reasoned that if the concordance data </w:t>
      </w:r>
      <w:r w:rsidR="00B070FF" w:rsidRPr="00B070FF">
        <w:rPr>
          <w:rFonts w:asciiTheme="minorHAnsi" w:hAnsiTheme="minorHAnsi" w:cstheme="minorBidi"/>
          <w:i/>
          <w:iCs/>
        </w:rPr>
        <w:t xml:space="preserve">regarding </w:t>
      </w:r>
      <w:r w:rsidR="00B070FF" w:rsidRPr="00C65136">
        <w:rPr>
          <w:rFonts w:asciiTheme="minorHAnsi" w:hAnsiTheme="minorHAnsi"/>
        </w:rPr>
        <w:t>PIK3CA</w:t>
      </w:r>
      <w:r w:rsidR="00B070FF" w:rsidRPr="00B070FF">
        <w:rPr>
          <w:rFonts w:asciiTheme="minorHAnsi" w:hAnsiTheme="minorHAnsi" w:cstheme="minorBidi"/>
          <w:i/>
          <w:iCs/>
        </w:rPr>
        <w:t xml:space="preserve"> testing in tumour tissue and ctDNA from INAVO120 trial</w:t>
      </w:r>
      <w:r w:rsidR="00B070FF">
        <w:rPr>
          <w:rFonts w:asciiTheme="minorHAnsi" w:hAnsiTheme="minorHAnsi" w:cstheme="minorBidi"/>
          <w:i/>
          <w:iCs/>
        </w:rPr>
        <w:t xml:space="preserve"> (data forthcoming) demonstrates high concordance</w:t>
      </w:r>
      <w:r w:rsidR="00A33336">
        <w:rPr>
          <w:rFonts w:asciiTheme="minorHAnsi" w:hAnsiTheme="minorHAnsi" w:cstheme="minorBidi"/>
          <w:i/>
          <w:iCs/>
        </w:rPr>
        <w:t>,</w:t>
      </w:r>
      <w:r w:rsidR="00B070FF">
        <w:rPr>
          <w:rFonts w:asciiTheme="minorHAnsi" w:hAnsiTheme="minorHAnsi" w:cstheme="minorBidi"/>
          <w:i/>
          <w:iCs/>
        </w:rPr>
        <w:t xml:space="preserve"> then </w:t>
      </w:r>
      <w:r w:rsidR="00761343" w:rsidRPr="2E19A8B7">
        <w:rPr>
          <w:rFonts w:asciiTheme="minorHAnsi" w:hAnsiTheme="minorHAnsi" w:cstheme="minorBidi"/>
          <w:i/>
          <w:iCs/>
        </w:rPr>
        <w:t>confirmatory</w:t>
      </w:r>
      <w:r w:rsidR="00B070FF">
        <w:rPr>
          <w:rFonts w:asciiTheme="minorHAnsi" w:hAnsiTheme="minorHAnsi" w:cstheme="minorBidi"/>
          <w:i/>
          <w:iCs/>
        </w:rPr>
        <w:t xml:space="preserve"> testing is </w:t>
      </w:r>
      <w:r w:rsidR="00881E73">
        <w:rPr>
          <w:rFonts w:asciiTheme="minorHAnsi" w:hAnsiTheme="minorHAnsi" w:cstheme="minorBidi"/>
          <w:i/>
          <w:iCs/>
        </w:rPr>
        <w:t xml:space="preserve">likely </w:t>
      </w:r>
      <w:r w:rsidR="00B070FF">
        <w:rPr>
          <w:rFonts w:asciiTheme="minorHAnsi" w:hAnsiTheme="minorHAnsi" w:cstheme="minorBidi"/>
          <w:i/>
          <w:iCs/>
        </w:rPr>
        <w:t xml:space="preserve">not required. </w:t>
      </w:r>
      <w:r w:rsidR="20AB7AE9" w:rsidRPr="0339C75A">
        <w:rPr>
          <w:rFonts w:asciiTheme="minorHAnsi" w:hAnsiTheme="minorHAnsi" w:cstheme="minorBidi"/>
          <w:i/>
          <w:iCs/>
        </w:rPr>
        <w:t>I</w:t>
      </w:r>
      <w:r w:rsidR="00B070FF" w:rsidRPr="0339C75A">
        <w:rPr>
          <w:rFonts w:asciiTheme="minorHAnsi" w:hAnsiTheme="minorHAnsi" w:cstheme="minorBidi"/>
          <w:i/>
          <w:iCs/>
        </w:rPr>
        <w:t>f</w:t>
      </w:r>
      <w:r w:rsidR="00B070FF">
        <w:rPr>
          <w:rFonts w:asciiTheme="minorHAnsi" w:hAnsiTheme="minorHAnsi" w:cstheme="minorBidi"/>
          <w:i/>
          <w:iCs/>
        </w:rPr>
        <w:t xml:space="preserve"> there was low concordance between tumour tissue and ctDNA results, </w:t>
      </w:r>
      <w:r w:rsidR="002E6294" w:rsidRPr="2E19A8B7">
        <w:rPr>
          <w:rFonts w:asciiTheme="minorHAnsi" w:hAnsiTheme="minorHAnsi" w:cstheme="minorBidi"/>
          <w:i/>
          <w:iCs/>
        </w:rPr>
        <w:t>confirmatory testing may</w:t>
      </w:r>
      <w:r w:rsidR="1AFE2530" w:rsidRPr="2E19A8B7">
        <w:rPr>
          <w:rFonts w:asciiTheme="minorHAnsi" w:hAnsiTheme="minorHAnsi" w:cstheme="minorBidi"/>
          <w:i/>
          <w:iCs/>
        </w:rPr>
        <w:t xml:space="preserve"> </w:t>
      </w:r>
      <w:r w:rsidR="002E6294" w:rsidRPr="2E19A8B7">
        <w:rPr>
          <w:rFonts w:asciiTheme="minorHAnsi" w:hAnsiTheme="minorHAnsi" w:cstheme="minorBidi"/>
          <w:i/>
          <w:iCs/>
        </w:rPr>
        <w:t>be required</w:t>
      </w:r>
      <w:r w:rsidR="00BB2792" w:rsidRPr="00832F90">
        <w:rPr>
          <w:rFonts w:asciiTheme="minorHAnsi" w:hAnsiTheme="minorHAnsi" w:cstheme="minorBidi"/>
          <w:i/>
          <w:iCs/>
        </w:rPr>
        <w:t xml:space="preserve">. </w:t>
      </w:r>
      <w:r w:rsidR="0B31F917" w:rsidRPr="2E19A8B7">
        <w:rPr>
          <w:rFonts w:asciiTheme="minorHAnsi" w:hAnsiTheme="minorHAnsi" w:cstheme="minorBidi"/>
          <w:i/>
          <w:iCs/>
        </w:rPr>
        <w:t xml:space="preserve">Therefore, PASC advised that while the </w:t>
      </w:r>
      <w:r w:rsidR="3309C7DF" w:rsidRPr="2E19A8B7">
        <w:rPr>
          <w:rFonts w:asciiTheme="minorHAnsi" w:hAnsiTheme="minorHAnsi" w:cstheme="minorBidi"/>
          <w:i/>
          <w:iCs/>
        </w:rPr>
        <w:t xml:space="preserve">current wording of the MBS item descriptor reflects the </w:t>
      </w:r>
      <w:r w:rsidR="0B31F917" w:rsidRPr="2E19A8B7">
        <w:rPr>
          <w:rFonts w:asciiTheme="minorHAnsi" w:hAnsiTheme="minorHAnsi" w:cstheme="minorBidi"/>
          <w:i/>
          <w:iCs/>
        </w:rPr>
        <w:t xml:space="preserve">intent to provide testing once per primary tumour diagnosis, </w:t>
      </w:r>
      <w:r w:rsidR="06A54EF6" w:rsidRPr="2E19A8B7">
        <w:rPr>
          <w:rFonts w:asciiTheme="minorHAnsi" w:hAnsiTheme="minorHAnsi" w:cstheme="minorBidi"/>
          <w:i/>
          <w:iCs/>
        </w:rPr>
        <w:t>this</w:t>
      </w:r>
      <w:r w:rsidR="0B31F917" w:rsidRPr="2E19A8B7">
        <w:rPr>
          <w:rFonts w:asciiTheme="minorHAnsi" w:hAnsiTheme="minorHAnsi" w:cstheme="minorBidi"/>
          <w:i/>
          <w:iCs/>
        </w:rPr>
        <w:t xml:space="preserve"> wording may need to be updated to allow confirmatory follow up testing depending on th</w:t>
      </w:r>
      <w:r w:rsidR="20A3DB45" w:rsidRPr="2E19A8B7">
        <w:rPr>
          <w:rFonts w:asciiTheme="minorHAnsi" w:hAnsiTheme="minorHAnsi" w:cstheme="minorBidi"/>
          <w:i/>
          <w:iCs/>
        </w:rPr>
        <w:t>e concordance data available.</w:t>
      </w:r>
      <w:r w:rsidR="001218C1" w:rsidRPr="2E19A8B7">
        <w:rPr>
          <w:rFonts w:asciiTheme="minorHAnsi" w:hAnsiTheme="minorHAnsi" w:cstheme="minorBidi"/>
          <w:i/>
          <w:iCs/>
        </w:rPr>
        <w:t xml:space="preserve"> </w:t>
      </w:r>
      <w:r w:rsidR="51922EDD" w:rsidRPr="3532EC3A">
        <w:rPr>
          <w:rFonts w:asciiTheme="minorHAnsi" w:hAnsiTheme="minorHAnsi" w:cstheme="minorBidi"/>
          <w:i/>
          <w:iCs/>
        </w:rPr>
        <w:t xml:space="preserve">The </w:t>
      </w:r>
      <w:r w:rsidR="00656E52">
        <w:rPr>
          <w:rFonts w:asciiTheme="minorHAnsi" w:hAnsiTheme="minorHAnsi" w:cstheme="minorBidi"/>
          <w:i/>
          <w:iCs/>
        </w:rPr>
        <w:t>d</w:t>
      </w:r>
      <w:bookmarkStart w:id="27" w:name="_Hlk177464644"/>
      <w:r w:rsidR="51922EDD" w:rsidRPr="3532EC3A">
        <w:rPr>
          <w:rFonts w:asciiTheme="minorHAnsi" w:hAnsiTheme="minorHAnsi" w:cstheme="minorBidi"/>
          <w:i/>
          <w:iCs/>
        </w:rPr>
        <w:t>epartment</w:t>
      </w:r>
      <w:r w:rsidR="001218C1">
        <w:rPr>
          <w:rFonts w:asciiTheme="minorHAnsi" w:hAnsiTheme="minorHAnsi" w:cstheme="minorBidi"/>
          <w:i/>
          <w:iCs/>
        </w:rPr>
        <w:t xml:space="preserve"> noted that, </w:t>
      </w:r>
      <w:r w:rsidR="002428A2">
        <w:rPr>
          <w:rFonts w:asciiTheme="minorHAnsi" w:hAnsiTheme="minorHAnsi" w:cstheme="minorBidi"/>
          <w:i/>
          <w:iCs/>
        </w:rPr>
        <w:t>i</w:t>
      </w:r>
      <w:r w:rsidR="001218C1" w:rsidRPr="002428A2">
        <w:rPr>
          <w:rFonts w:asciiTheme="minorHAnsi" w:hAnsiTheme="minorHAnsi" w:cstheme="minorBidi"/>
          <w:i/>
          <w:iCs/>
        </w:rPr>
        <w:t xml:space="preserve">f </w:t>
      </w:r>
      <w:r w:rsidR="002428A2">
        <w:rPr>
          <w:rFonts w:asciiTheme="minorHAnsi" w:hAnsiTheme="minorHAnsi" w:cstheme="minorBidi"/>
          <w:i/>
          <w:iCs/>
        </w:rPr>
        <w:t>the</w:t>
      </w:r>
      <w:r w:rsidR="001218C1" w:rsidRPr="002428A2">
        <w:rPr>
          <w:rFonts w:asciiTheme="minorHAnsi" w:hAnsiTheme="minorHAnsi" w:cstheme="minorBidi"/>
          <w:i/>
          <w:iCs/>
        </w:rPr>
        <w:t xml:space="preserve"> schedule fee adequately covers the costs of the services, including any potential subsequent retesting, this will support patients to access testing without any out-of-pocket expenses.</w:t>
      </w:r>
      <w:bookmarkEnd w:id="27"/>
    </w:p>
    <w:bookmarkEnd w:id="24"/>
    <w:p w14:paraId="62BB1CAE" w14:textId="591371D2" w:rsidR="00BF0D1D" w:rsidRPr="004C6591" w:rsidRDefault="00BF0D1D" w:rsidP="001865AD">
      <w:r w:rsidRPr="004C6591">
        <w:lastRenderedPageBreak/>
        <w:t>In response to the applicant’s enquiry</w:t>
      </w:r>
      <w:r w:rsidR="00B20899" w:rsidRPr="004C6591">
        <w:t xml:space="preserve"> at the pre-PASC stage</w:t>
      </w:r>
      <w:r w:rsidRPr="004C6591">
        <w:t xml:space="preserve">, the Department </w:t>
      </w:r>
      <w:r w:rsidR="00E64FC5" w:rsidRPr="004C6591">
        <w:t>responded that new items on the MBS are generally and preferably brand agnostic.</w:t>
      </w:r>
      <w:r w:rsidR="009B5921" w:rsidRPr="004C6591">
        <w:t xml:space="preserve"> Typically, the item descriptor would only name the biomarker required for access to the PBS drug.</w:t>
      </w:r>
    </w:p>
    <w:p w14:paraId="364D1498" w14:textId="696FCC41" w:rsidR="00281204" w:rsidRPr="004C6591" w:rsidRDefault="00281204" w:rsidP="00281204">
      <w:r w:rsidRPr="004C6591">
        <w:t xml:space="preserve">The applicant suggested that </w:t>
      </w:r>
      <w:r w:rsidRPr="004C6591">
        <w:rPr>
          <w:i/>
          <w:iCs/>
        </w:rPr>
        <w:t>PIK3CA</w:t>
      </w:r>
      <w:r w:rsidRPr="004C6591">
        <w:t xml:space="preserve"> testing </w:t>
      </w:r>
      <w:r w:rsidR="00754A0C" w:rsidRPr="004C6591">
        <w:t>cost</w:t>
      </w:r>
      <w:r w:rsidR="00FC518E" w:rsidRPr="004C6591">
        <w:t>s</w:t>
      </w:r>
      <w:r w:rsidR="00754A0C" w:rsidRPr="004C6591">
        <w:t xml:space="preserve"> $</w:t>
      </w:r>
      <w:r w:rsidR="00F81D1F" w:rsidRPr="004C6591">
        <w:t>3</w:t>
      </w:r>
      <w:r w:rsidR="00754A0C" w:rsidRPr="004C6591">
        <w:t>50-400 at seve</w:t>
      </w:r>
      <w:r w:rsidRPr="004C6591">
        <w:t>ral private and public molecular pathology laboratories.</w:t>
      </w:r>
      <w:r w:rsidR="00E046D7" w:rsidRPr="004C6591">
        <w:t xml:space="preserve"> It </w:t>
      </w:r>
      <w:r w:rsidR="00754A0C" w:rsidRPr="004C6591">
        <w:t>wa</w:t>
      </w:r>
      <w:r w:rsidR="00E046D7" w:rsidRPr="004C6591">
        <w:t>s foreshadowed that an MBS fee of $350-400 will be proposed. However, the proposed MBS fee will be determined by the costing information gathered during the preparation of any forthcoming reimbursement submission.</w:t>
      </w:r>
      <w:r w:rsidR="0043084C" w:rsidRPr="004C6591">
        <w:t xml:space="preserve"> The applicant is currently engaging with molecular pathology laboratories to understand the costs associated with </w:t>
      </w:r>
      <w:r w:rsidR="0043084C" w:rsidRPr="004C6591">
        <w:rPr>
          <w:i/>
          <w:iCs/>
        </w:rPr>
        <w:t xml:space="preserve">PIK3CA </w:t>
      </w:r>
      <w:r w:rsidR="0043084C" w:rsidRPr="004C6591">
        <w:t>testing</w:t>
      </w:r>
      <w:r w:rsidR="00BC27EA" w:rsidRPr="004C6591">
        <w:t xml:space="preserve">. The applicant anticipated $0 out-of-pocket expense as the proposed MBS fee will be in the same price range as the </w:t>
      </w:r>
      <w:r w:rsidR="00B06623" w:rsidRPr="004C6591">
        <w:t xml:space="preserve">market </w:t>
      </w:r>
      <w:r w:rsidR="00BC27EA" w:rsidRPr="004C6591">
        <w:rPr>
          <w:i/>
          <w:iCs/>
        </w:rPr>
        <w:t>PIK3CA</w:t>
      </w:r>
      <w:r w:rsidR="00BC27EA" w:rsidRPr="004C6591">
        <w:t xml:space="preserve"> testing fee.</w:t>
      </w:r>
    </w:p>
    <w:p w14:paraId="5624B59B" w14:textId="0734AF1E" w:rsidR="00FB7E1E" w:rsidRPr="004C6591" w:rsidRDefault="00FB7E1E" w:rsidP="00281204">
      <w:r w:rsidRPr="004C6591">
        <w:t xml:space="preserve">Of note, a </w:t>
      </w:r>
      <w:r w:rsidR="00160894" w:rsidRPr="004C6591">
        <w:t>BC-</w:t>
      </w:r>
      <w:r w:rsidRPr="004C6591">
        <w:t>focused gene panel</w:t>
      </w:r>
      <w:r w:rsidR="00160894" w:rsidRPr="004C6591">
        <w:t xml:space="preserve"> test</w:t>
      </w:r>
      <w:r w:rsidRPr="004C6591">
        <w:t xml:space="preserve">, which includes </w:t>
      </w:r>
      <w:r w:rsidRPr="004C6591">
        <w:rPr>
          <w:i/>
          <w:iCs/>
        </w:rPr>
        <w:t>AKT1, PIK3CA, ERBB2</w:t>
      </w:r>
      <w:r w:rsidRPr="004C6591">
        <w:t xml:space="preserve"> and </w:t>
      </w:r>
      <w:r w:rsidRPr="004C6591">
        <w:rPr>
          <w:i/>
          <w:iCs/>
        </w:rPr>
        <w:t>ESR1</w:t>
      </w:r>
      <w:r w:rsidRPr="004C6591">
        <w:t>, using tumour tissue costs $375</w:t>
      </w:r>
      <w:r w:rsidR="00C93ED0" w:rsidRPr="004C6591">
        <w:t xml:space="preserve"> at a laboratory in Australia</w:t>
      </w:r>
      <w:r w:rsidRPr="004C6591">
        <w:t xml:space="preserve"> </w:t>
      </w:r>
      <w:r w:rsidRPr="004C6591">
        <w:fldChar w:fldCharType="begin"/>
      </w:r>
      <w:r w:rsidRPr="004C6591">
        <w:instrText xml:space="preserve"> ADDIN EN.CITE &lt;EndNote&gt;&lt;Cite&gt;&lt;Author&gt;Sonic Genetics&lt;/Author&gt;&lt;Year&gt;2024&lt;/Year&gt;&lt;RecNum&gt;42&lt;/RecNum&gt;&lt;DisplayText&gt;(Sonic Genetics 2024)&lt;/DisplayText&gt;&lt;record&gt;&lt;rec-number&gt;42&lt;/rec-number&gt;&lt;foreign-keys&gt;&lt;key app="EN" db-id="dw2s0a0pxte05aexpvnx2awre9s0vxdepfat" timestamp="1718695074"&gt;42&lt;/key&gt;&lt;/foreign-keys&gt;&lt;ref-type name="Web Page"&gt;12&lt;/ref-type&gt;&lt;contributors&gt;&lt;authors&gt;&lt;author&gt;Sonic Genetics,&lt;/author&gt;&lt;/authors&gt;&lt;/contributors&gt;&lt;titles&gt;&lt;title&gt;Breast cancer focused gene panel&lt;/title&gt;&lt;/titles&gt;&lt;volume&gt;2024&lt;/volume&gt;&lt;number&gt;18 June&lt;/number&gt;&lt;dates&gt;&lt;year&gt;2024&lt;/year&gt;&lt;/dates&gt;&lt;work-type&gt;Internet&lt;/work-type&gt;&lt;urls&gt;&lt;related-urls&gt;&lt;url&gt;https://www.sonicgenetics.com.au/our-tests/all-our-tests/breast-cancer-focused-gene-panel/&lt;/url&gt;&lt;/related-urls&gt;&lt;/urls&gt;&lt;/record&gt;&lt;/Cite&gt;&lt;/EndNote&gt;</w:instrText>
      </w:r>
      <w:r w:rsidRPr="004C6591">
        <w:fldChar w:fldCharType="separate"/>
      </w:r>
      <w:r w:rsidRPr="004C6591">
        <w:t>(Sonic Genetics 2024)</w:t>
      </w:r>
      <w:r w:rsidRPr="004C6591">
        <w:fldChar w:fldCharType="end"/>
      </w:r>
      <w:r w:rsidRPr="004C6591">
        <w:t>.</w:t>
      </w:r>
      <w:r w:rsidR="00D13BCA" w:rsidRPr="004C6591">
        <w:t xml:space="preserve"> </w:t>
      </w:r>
    </w:p>
    <w:p w14:paraId="27A5E640" w14:textId="3438899E" w:rsidR="00926B9D" w:rsidRPr="004C6591" w:rsidRDefault="00281204" w:rsidP="00281204">
      <w:r w:rsidRPr="004C6591">
        <w:rPr>
          <w:i/>
          <w:iCs/>
        </w:rPr>
        <w:t>PIK3CA</w:t>
      </w:r>
      <w:r w:rsidRPr="004C6591">
        <w:t xml:space="preserve"> testing in </w:t>
      </w:r>
      <w:r w:rsidR="00120D13" w:rsidRPr="004C6591">
        <w:t>mBC</w:t>
      </w:r>
      <w:r w:rsidRPr="004C6591">
        <w:t xml:space="preserve"> patients is currently self-funded by patients or funded through State-based programs, at several private and public molecular pathology laboratories. </w:t>
      </w:r>
      <w:r w:rsidR="006724B0" w:rsidRPr="004C6591">
        <w:rPr>
          <w:i/>
          <w:iCs/>
        </w:rPr>
        <w:t>PIK3CA</w:t>
      </w:r>
      <w:r w:rsidR="006724B0" w:rsidRPr="004C6591">
        <w:t xml:space="preserve"> testing may be performed through research funding or supported by the sponsor of clinical trials.</w:t>
      </w:r>
    </w:p>
    <w:p w14:paraId="252B2A72" w14:textId="730AE99D" w:rsidR="00134A6A" w:rsidRPr="004C6591" w:rsidRDefault="00134A6A" w:rsidP="00281204">
      <w:r w:rsidRPr="004C6591">
        <w:t xml:space="preserve">No MBS fee was proposed in the Ratified PICO </w:t>
      </w:r>
      <w:r w:rsidR="002C5D4E" w:rsidRPr="004C6591">
        <w:t>of MSAC</w:t>
      </w:r>
      <w:r w:rsidRPr="004C6591">
        <w:t xml:space="preserve"> Application 1604 for a tumour test to detect </w:t>
      </w:r>
      <w:r w:rsidRPr="004C6591">
        <w:rPr>
          <w:i/>
          <w:iCs/>
        </w:rPr>
        <w:t>PIK3CA</w:t>
      </w:r>
      <w:r w:rsidRPr="004C6591">
        <w:t xml:space="preserve"> variant</w:t>
      </w:r>
      <w:r w:rsidR="00291985" w:rsidRPr="004C6591">
        <w:t>s</w:t>
      </w:r>
      <w:r w:rsidRPr="004C6591">
        <w:t xml:space="preserve"> for access to alpelisib. </w:t>
      </w:r>
    </w:p>
    <w:p w14:paraId="0008FC22" w14:textId="494CA982" w:rsidR="00E14E8E" w:rsidRPr="004C6591" w:rsidRDefault="00E14E8E" w:rsidP="00281204">
      <w:r w:rsidRPr="004C6591">
        <w:t xml:space="preserve">There </w:t>
      </w:r>
      <w:r w:rsidR="00E108B8" w:rsidRPr="004C6591">
        <w:t xml:space="preserve">are </w:t>
      </w:r>
      <w:r w:rsidRPr="004C6591">
        <w:t>no MBS item</w:t>
      </w:r>
      <w:r w:rsidR="00E108B8" w:rsidRPr="004C6591">
        <w:t>s</w:t>
      </w:r>
      <w:r w:rsidRPr="004C6591">
        <w:t xml:space="preserve"> for ctDNA testing and hence no reference MBS fee can be obtained. Of note, analysis of tumour tissue for a single gene costs $340-400</w:t>
      </w:r>
      <w:r w:rsidR="0063324C" w:rsidRPr="004C6591">
        <w:t>, based on MBS item 73374, 73379 and 73430.</w:t>
      </w:r>
      <w:r w:rsidRPr="004C6591">
        <w:t xml:space="preserve"> </w:t>
      </w:r>
    </w:p>
    <w:p w14:paraId="09777F8D" w14:textId="6384D9B6" w:rsidR="00F42D3E" w:rsidRPr="004C6591" w:rsidRDefault="00F42D3E" w:rsidP="00F42D3E">
      <w:pPr>
        <w:autoSpaceDE w:val="0"/>
        <w:autoSpaceDN w:val="0"/>
        <w:adjustRightInd w:val="0"/>
        <w:spacing w:line="23" w:lineRule="atLeast"/>
        <w:rPr>
          <w:rFonts w:asciiTheme="minorHAnsi" w:hAnsiTheme="minorHAnsi" w:cstheme="minorBidi"/>
          <w:i/>
        </w:rPr>
      </w:pPr>
      <w:bookmarkStart w:id="28" w:name="_Hlk176516659"/>
      <w:r w:rsidRPr="004C6591">
        <w:rPr>
          <w:rFonts w:asciiTheme="minorHAnsi" w:hAnsiTheme="minorHAnsi" w:cstheme="minorBidi"/>
          <w:i/>
        </w:rPr>
        <w:t xml:space="preserve">PASC noted that there is currently no MBS funded </w:t>
      </w:r>
      <w:r w:rsidRPr="00C65136">
        <w:rPr>
          <w:rFonts w:asciiTheme="minorHAnsi" w:hAnsiTheme="minorHAnsi"/>
        </w:rPr>
        <w:t>PIK3CA</w:t>
      </w:r>
      <w:r w:rsidRPr="004C6591">
        <w:rPr>
          <w:rFonts w:asciiTheme="minorHAnsi" w:hAnsiTheme="minorHAnsi" w:cstheme="minorBidi"/>
          <w:i/>
        </w:rPr>
        <w:t xml:space="preserve"> testing for either tumour tissue or ctDNA. PASC considered the proposed fee ($350-400) reasonable </w:t>
      </w:r>
      <w:r w:rsidRPr="004C6591">
        <w:rPr>
          <w:rFonts w:asciiTheme="minorHAnsi" w:hAnsiTheme="minorHAnsi" w:cstheme="minorBidi"/>
          <w:i/>
          <w:iCs/>
        </w:rPr>
        <w:t xml:space="preserve">for single gene tumour tissue testing, </w:t>
      </w:r>
      <w:r w:rsidRPr="004C6591">
        <w:rPr>
          <w:rFonts w:asciiTheme="minorHAnsi" w:hAnsiTheme="minorHAnsi" w:cstheme="minorBidi"/>
          <w:i/>
        </w:rPr>
        <w:t xml:space="preserve">based on the tumour tissue testing offered by a range of laboratories in Australia. However, PASC questioned the appropriateness of the fee </w:t>
      </w:r>
      <w:r w:rsidRPr="004C6591">
        <w:rPr>
          <w:rFonts w:asciiTheme="minorHAnsi" w:hAnsiTheme="minorHAnsi" w:cstheme="minorBidi"/>
          <w:i/>
          <w:iCs/>
        </w:rPr>
        <w:t xml:space="preserve">for the overall application, </w:t>
      </w:r>
      <w:r w:rsidRPr="004C6591">
        <w:rPr>
          <w:rFonts w:asciiTheme="minorHAnsi" w:hAnsiTheme="minorHAnsi" w:cstheme="minorBidi"/>
          <w:i/>
        </w:rPr>
        <w:t xml:space="preserve">considering ctDNA and tumour tissue testing may be costed differently. </w:t>
      </w:r>
      <w:r w:rsidRPr="004C6591">
        <w:rPr>
          <w:rFonts w:asciiTheme="minorHAnsi" w:hAnsiTheme="minorHAnsi" w:cstheme="minorBidi"/>
          <w:i/>
          <w:iCs/>
        </w:rPr>
        <w:t xml:space="preserve">PASC </w:t>
      </w:r>
      <w:r w:rsidR="00976EC2" w:rsidRPr="004C6591">
        <w:rPr>
          <w:rFonts w:asciiTheme="minorHAnsi" w:hAnsiTheme="minorHAnsi" w:cstheme="minorBidi"/>
          <w:i/>
          <w:iCs/>
        </w:rPr>
        <w:t xml:space="preserve">considered </w:t>
      </w:r>
      <w:r w:rsidRPr="004C6591">
        <w:rPr>
          <w:rFonts w:asciiTheme="minorHAnsi" w:hAnsiTheme="minorHAnsi" w:cstheme="minorBidi"/>
          <w:i/>
          <w:iCs/>
        </w:rPr>
        <w:t>that t</w:t>
      </w:r>
      <w:r w:rsidRPr="004C6591">
        <w:rPr>
          <w:rFonts w:asciiTheme="minorHAnsi" w:hAnsiTheme="minorHAnsi" w:cstheme="minorBidi"/>
          <w:i/>
        </w:rPr>
        <w:t xml:space="preserve">he fee for ctDNA </w:t>
      </w:r>
      <w:r w:rsidRPr="004C6591">
        <w:rPr>
          <w:rFonts w:asciiTheme="minorHAnsi" w:hAnsiTheme="minorHAnsi" w:cstheme="minorBidi"/>
          <w:i/>
          <w:iCs/>
        </w:rPr>
        <w:t xml:space="preserve">is likely to </w:t>
      </w:r>
      <w:r w:rsidRPr="004C6591">
        <w:rPr>
          <w:rFonts w:asciiTheme="minorHAnsi" w:hAnsiTheme="minorHAnsi" w:cstheme="minorBidi"/>
          <w:i/>
        </w:rPr>
        <w:t>be higher</w:t>
      </w:r>
      <w:r w:rsidRPr="004C6591">
        <w:rPr>
          <w:rFonts w:asciiTheme="minorHAnsi" w:hAnsiTheme="minorHAnsi" w:cstheme="minorBidi"/>
          <w:i/>
          <w:iCs/>
        </w:rPr>
        <w:t>,</w:t>
      </w:r>
      <w:r w:rsidRPr="004C6591">
        <w:rPr>
          <w:rFonts w:asciiTheme="minorHAnsi" w:hAnsiTheme="minorHAnsi" w:cstheme="minorBidi"/>
          <w:i/>
        </w:rPr>
        <w:t xml:space="preserve"> as the testing method should be able to detect very low frequency variants in ctDNA. </w:t>
      </w:r>
    </w:p>
    <w:p w14:paraId="0925F43D" w14:textId="7AA10CC8" w:rsidR="006008D8" w:rsidRPr="004C6591" w:rsidRDefault="006008D8" w:rsidP="00F42D3E">
      <w:pPr>
        <w:autoSpaceDE w:val="0"/>
        <w:autoSpaceDN w:val="0"/>
        <w:adjustRightInd w:val="0"/>
        <w:spacing w:line="23" w:lineRule="atLeast"/>
        <w:rPr>
          <w:rFonts w:asciiTheme="minorHAnsi" w:hAnsiTheme="minorHAnsi" w:cstheme="minorBidi"/>
          <w:i/>
        </w:rPr>
      </w:pPr>
      <w:r w:rsidRPr="004C6591">
        <w:rPr>
          <w:rFonts w:asciiTheme="minorHAnsi" w:hAnsiTheme="minorHAnsi" w:cstheme="minorBidi"/>
          <w:i/>
        </w:rPr>
        <w:t xml:space="preserve">PASC </w:t>
      </w:r>
      <w:r w:rsidRPr="004C6591">
        <w:rPr>
          <w:rFonts w:asciiTheme="minorHAnsi" w:hAnsiTheme="minorHAnsi" w:cstheme="minorBidi"/>
          <w:i/>
          <w:iCs/>
        </w:rPr>
        <w:t>noted</w:t>
      </w:r>
      <w:r w:rsidR="00EC5DBB" w:rsidRPr="004C6591">
        <w:rPr>
          <w:rFonts w:asciiTheme="minorHAnsi" w:hAnsiTheme="minorHAnsi" w:cstheme="minorBidi"/>
          <w:i/>
          <w:iCs/>
        </w:rPr>
        <w:t xml:space="preserve"> from departmental advice that</w:t>
      </w:r>
      <w:r w:rsidRPr="004C6591">
        <w:rPr>
          <w:rFonts w:asciiTheme="minorHAnsi" w:hAnsiTheme="minorHAnsi" w:cstheme="minorBidi"/>
          <w:i/>
          <w:iCs/>
        </w:rPr>
        <w:t xml:space="preserve"> there is typically a preference </w:t>
      </w:r>
      <w:r w:rsidRPr="004C6591">
        <w:rPr>
          <w:rFonts w:asciiTheme="minorHAnsi" w:hAnsiTheme="minorHAnsi" w:cstheme="minorBidi"/>
          <w:i/>
        </w:rPr>
        <w:t>to avoid listing different MBS item descriptors for the same service</w:t>
      </w:r>
      <w:r w:rsidR="00EC5DBB" w:rsidRPr="004C6591">
        <w:rPr>
          <w:rFonts w:asciiTheme="minorHAnsi" w:hAnsiTheme="minorHAnsi" w:cstheme="minorBidi"/>
          <w:i/>
        </w:rPr>
        <w:t xml:space="preserve"> using different methodologies</w:t>
      </w:r>
      <w:r w:rsidRPr="004C6591">
        <w:rPr>
          <w:rFonts w:asciiTheme="minorHAnsi" w:hAnsiTheme="minorHAnsi" w:cstheme="minorBidi"/>
          <w:i/>
          <w:iCs/>
        </w:rPr>
        <w:t xml:space="preserve">, meaning that ideally a single fee is proposed for both test types, </w:t>
      </w:r>
      <w:r w:rsidRPr="004C6591">
        <w:rPr>
          <w:rFonts w:asciiTheme="minorHAnsi" w:hAnsiTheme="minorHAnsi" w:cstheme="minorBidi"/>
          <w:i/>
        </w:rPr>
        <w:t>but acknowledged exceptions apply.</w:t>
      </w:r>
    </w:p>
    <w:p w14:paraId="34EE0BB4" w14:textId="4B3A61A7" w:rsidR="006008D8" w:rsidRPr="004C6591" w:rsidRDefault="006008D8" w:rsidP="00435CBD">
      <w:pPr>
        <w:autoSpaceDE w:val="0"/>
        <w:autoSpaceDN w:val="0"/>
        <w:adjustRightInd w:val="0"/>
        <w:spacing w:line="23" w:lineRule="atLeast"/>
        <w:rPr>
          <w:rFonts w:asciiTheme="minorHAnsi" w:hAnsiTheme="minorHAnsi" w:cstheme="minorBidi"/>
          <w:i/>
        </w:rPr>
      </w:pPr>
      <w:r w:rsidRPr="004C6591">
        <w:rPr>
          <w:rFonts w:asciiTheme="minorHAnsi" w:hAnsiTheme="minorHAnsi" w:cstheme="minorBidi"/>
          <w:i/>
        </w:rPr>
        <w:t xml:space="preserve">PASC noted </w:t>
      </w:r>
      <w:r w:rsidR="00EC5DBB" w:rsidRPr="004C6591">
        <w:rPr>
          <w:rFonts w:asciiTheme="minorHAnsi" w:hAnsiTheme="minorHAnsi" w:cstheme="minorBidi"/>
          <w:i/>
        </w:rPr>
        <w:t xml:space="preserve">from </w:t>
      </w:r>
      <w:r w:rsidRPr="004C6591">
        <w:rPr>
          <w:rFonts w:asciiTheme="minorHAnsi" w:hAnsiTheme="minorHAnsi" w:cstheme="minorBidi"/>
          <w:i/>
          <w:iCs/>
        </w:rPr>
        <w:t xml:space="preserve">the </w:t>
      </w:r>
      <w:r w:rsidR="00EC5DBB" w:rsidRPr="004C6591">
        <w:rPr>
          <w:rFonts w:asciiTheme="minorHAnsi" w:hAnsiTheme="minorHAnsi" w:cstheme="minorBidi"/>
          <w:i/>
          <w:iCs/>
        </w:rPr>
        <w:t>PICO of</w:t>
      </w:r>
      <w:r w:rsidRPr="004C6591">
        <w:rPr>
          <w:rFonts w:asciiTheme="minorHAnsi" w:hAnsiTheme="minorHAnsi" w:cstheme="minorBidi"/>
          <w:i/>
        </w:rPr>
        <w:t xml:space="preserve"> MSAC Application 1766</w:t>
      </w:r>
      <w:r w:rsidR="00EC5DBB" w:rsidRPr="004C6591">
        <w:rPr>
          <w:rFonts w:asciiTheme="minorHAnsi" w:hAnsiTheme="minorHAnsi" w:cstheme="minorBidi"/>
          <w:i/>
        </w:rPr>
        <w:t xml:space="preserve"> that </w:t>
      </w:r>
      <w:r w:rsidRPr="004C6591">
        <w:rPr>
          <w:rFonts w:asciiTheme="minorHAnsi" w:hAnsiTheme="minorHAnsi" w:cstheme="minorBidi"/>
          <w:i/>
        </w:rPr>
        <w:t>a multigene panel using tumour tissue to characterise three genes involving the AKT pathway</w:t>
      </w:r>
      <w:r w:rsidR="00393D57" w:rsidRPr="004C6591">
        <w:rPr>
          <w:rFonts w:asciiTheme="minorHAnsi" w:hAnsiTheme="minorHAnsi" w:cstheme="minorBidi"/>
          <w:i/>
        </w:rPr>
        <w:t xml:space="preserve"> (</w:t>
      </w:r>
      <w:r w:rsidRPr="00C65136">
        <w:rPr>
          <w:rFonts w:asciiTheme="minorHAnsi" w:hAnsiTheme="minorHAnsi"/>
        </w:rPr>
        <w:t>PIK3CA, AKT1</w:t>
      </w:r>
      <w:r w:rsidRPr="004C6591">
        <w:rPr>
          <w:rFonts w:asciiTheme="minorHAnsi" w:hAnsiTheme="minorHAnsi" w:cstheme="minorBidi"/>
          <w:i/>
        </w:rPr>
        <w:t xml:space="preserve"> and </w:t>
      </w:r>
      <w:r w:rsidRPr="00C65136">
        <w:rPr>
          <w:rFonts w:asciiTheme="minorHAnsi" w:hAnsiTheme="minorHAnsi"/>
        </w:rPr>
        <w:t>PTEN</w:t>
      </w:r>
      <w:r w:rsidR="00393D57" w:rsidRPr="004C6591">
        <w:rPr>
          <w:rFonts w:asciiTheme="minorHAnsi" w:hAnsiTheme="minorHAnsi" w:cstheme="minorBidi"/>
          <w:i/>
        </w:rPr>
        <w:t>)</w:t>
      </w:r>
      <w:r w:rsidR="00EC5DBB" w:rsidRPr="004C6591">
        <w:rPr>
          <w:rFonts w:asciiTheme="minorHAnsi" w:hAnsiTheme="minorHAnsi" w:cstheme="minorBidi"/>
          <w:i/>
          <w:iCs/>
        </w:rPr>
        <w:t xml:space="preserve"> could potentially cost around $1000-$1200. PASC noted that </w:t>
      </w:r>
      <w:r w:rsidRPr="004C6591">
        <w:rPr>
          <w:rFonts w:asciiTheme="minorHAnsi" w:hAnsiTheme="minorHAnsi" w:cstheme="minorBidi"/>
          <w:i/>
          <w:iCs/>
        </w:rPr>
        <w:t>this application is yet to be considered by MSAC.</w:t>
      </w:r>
    </w:p>
    <w:bookmarkEnd w:id="28"/>
    <w:p w14:paraId="6E5EF144" w14:textId="53481580" w:rsidR="00522C75" w:rsidRPr="004C6591" w:rsidRDefault="00760568" w:rsidP="00281204">
      <w:r w:rsidRPr="004C6591">
        <w:t xml:space="preserve">Of note, </w:t>
      </w:r>
      <w:r w:rsidR="00D75850" w:rsidRPr="004C6591">
        <w:t>FoundationOne</w:t>
      </w:r>
      <w:r w:rsidR="00D75850" w:rsidRPr="004C6591">
        <w:rPr>
          <w:rFonts w:cs="Calibri"/>
        </w:rPr>
        <w:t>®</w:t>
      </w:r>
      <w:r w:rsidR="00D75850" w:rsidRPr="004C6591">
        <w:t xml:space="preserve"> Liquid CDx </w:t>
      </w:r>
      <w:r w:rsidR="00F360DE" w:rsidRPr="004C6591">
        <w:t>could be requested</w:t>
      </w:r>
      <w:r w:rsidR="00D75850" w:rsidRPr="004C6591">
        <w:t xml:space="preserve"> at a cost of $3,590 (as of July 2023</w:t>
      </w:r>
      <w:r w:rsidR="002A6AD0">
        <w:t xml:space="preserve"> via Sonic Genetics</w:t>
      </w:r>
      <w:r w:rsidR="00D75850" w:rsidRPr="004C6591">
        <w:t>)</w:t>
      </w:r>
      <w:r w:rsidR="002A4A90" w:rsidRPr="004C6591">
        <w:t xml:space="preserve">, with a </w:t>
      </w:r>
      <w:r w:rsidR="00D75850" w:rsidRPr="004C6591">
        <w:t>comprehensive genomic profiling of more than 300 genes</w:t>
      </w:r>
      <w:r w:rsidR="00D75850" w:rsidRPr="004C6591">
        <w:fldChar w:fldCharType="begin"/>
      </w:r>
      <w:r w:rsidR="00A00489" w:rsidRPr="004C6591">
        <w:instrText xml:space="preserve"> ADDIN EN.CITE &lt;EndNote&gt;&lt;Cite&gt;&lt;Author&gt;Sonic Genetics&lt;/Author&gt;&lt;Year&gt;2023&lt;/Year&gt;&lt;RecNum&gt;38&lt;/RecNum&gt;&lt;DisplayText&gt;(Sonic Genetics 2023)&lt;/DisplayText&gt;&lt;record&gt;&lt;rec-number&gt;38&lt;/rec-number&gt;&lt;foreign-keys&gt;&lt;key app="EN" db-id="dw2s0a0pxte05aexpvnx2awre9s0vxdepfat" timestamp="1718682894"&gt;38&lt;/key&gt;&lt;/foreign-keys&gt;&lt;ref-type name="Web Page"&gt;12&lt;/ref-type&gt;&lt;contributors&gt;&lt;authors&gt;&lt;author&gt;Sonic Genetics,&lt;/author&gt;&lt;/authors&gt;&lt;/contributors&gt;&lt;titles&gt;&lt;title&gt;Solid tumour test menu&lt;/title&gt;&lt;/titles&gt;&lt;volume&gt;2024&lt;/volume&gt;&lt;number&gt;18 June&lt;/number&gt;&lt;dates&gt;&lt;year&gt;2023&lt;/year&gt;&lt;/dates&gt;&lt;pub-location&gt;Sydney NSW, Australia&lt;/pub-location&gt;&lt;publisher&gt;Sonic Healthcare&lt;/publisher&gt;&lt;work-type&gt;Internet&lt;/work-type&gt;&lt;urls&gt;&lt;related-urls&gt;&lt;url&gt;https://www.sonicgenetics.com.au/media/j3cfnuhm/solidtumour_menu_2023_sg_final-shg-mkt-0156-00.pdf&lt;/url&gt;&lt;/related-urls&gt;&lt;/urls&gt;&lt;/record&gt;&lt;/Cite&gt;&lt;/EndNote&gt;</w:instrText>
      </w:r>
      <w:r w:rsidR="00970CC1">
        <w:fldChar w:fldCharType="separate"/>
      </w:r>
      <w:r w:rsidR="00D75850" w:rsidRPr="004C6591">
        <w:fldChar w:fldCharType="end"/>
      </w:r>
      <w:r w:rsidR="00025630" w:rsidRPr="004C6591">
        <w:t xml:space="preserve">, </w:t>
      </w:r>
      <w:r w:rsidR="002A6AD0">
        <w:t xml:space="preserve">but </w:t>
      </w:r>
      <w:r w:rsidR="00025630" w:rsidRPr="004C6591">
        <w:t>it is unclear if the test is conducted and completed in Australia and hence, the eligibility for MBS funding is uncertain.</w:t>
      </w:r>
    </w:p>
    <w:p w14:paraId="3A64FCF9" w14:textId="77777777" w:rsidR="00D31B2F" w:rsidRDefault="00D31B2F">
      <w:pPr>
        <w:spacing w:after="160" w:line="259" w:lineRule="auto"/>
        <w:rPr>
          <w:rFonts w:ascii="Franklin Gothic Medium" w:eastAsiaTheme="majorEastAsia" w:hAnsi="Franklin Gothic Medium" w:cstheme="majorBidi"/>
          <w:color w:val="000000" w:themeColor="text1"/>
          <w:sz w:val="32"/>
          <w:szCs w:val="26"/>
        </w:rPr>
      </w:pPr>
      <w:r>
        <w:br w:type="page"/>
      </w:r>
    </w:p>
    <w:p w14:paraId="64B0362E" w14:textId="11887108" w:rsidR="00522C75" w:rsidRPr="004C6591" w:rsidRDefault="003F0A39" w:rsidP="00435CBD">
      <w:pPr>
        <w:pStyle w:val="Heading2"/>
      </w:pPr>
      <w:r w:rsidRPr="004C6591">
        <w:lastRenderedPageBreak/>
        <w:t xml:space="preserve">Summary of public consultation </w:t>
      </w:r>
      <w:r w:rsidR="00E470B0" w:rsidRPr="004C6591">
        <w:t>input</w:t>
      </w:r>
    </w:p>
    <w:p w14:paraId="5C9641F1" w14:textId="349F2CC9" w:rsidR="14787F91" w:rsidRPr="004C6591" w:rsidRDefault="14787F91" w:rsidP="002A766C">
      <w:pPr>
        <w:spacing w:after="0"/>
        <w:rPr>
          <w:rFonts w:cs="Calibri"/>
          <w:i/>
          <w:iCs/>
          <w:color w:val="000000" w:themeColor="text1"/>
        </w:rPr>
      </w:pPr>
      <w:r w:rsidRPr="004C6591">
        <w:rPr>
          <w:rFonts w:cs="Calibri"/>
          <w:i/>
          <w:iCs/>
          <w:color w:val="000000" w:themeColor="text1"/>
        </w:rPr>
        <w:t xml:space="preserve">PASC noted and welcomed consultation input from 2 organisations, the organisations that submitted input were: </w:t>
      </w:r>
    </w:p>
    <w:p w14:paraId="5997935E" w14:textId="72AE196C" w:rsidR="14787F91" w:rsidRPr="004C6591" w:rsidRDefault="14787F91" w:rsidP="002A766C">
      <w:pPr>
        <w:pStyle w:val="ListParagraph"/>
        <w:numPr>
          <w:ilvl w:val="0"/>
          <w:numId w:val="44"/>
        </w:numPr>
        <w:spacing w:after="0"/>
        <w:rPr>
          <w:rFonts w:cs="Calibri"/>
          <w:color w:val="000000" w:themeColor="text1"/>
        </w:rPr>
      </w:pPr>
      <w:r w:rsidRPr="004C6591">
        <w:rPr>
          <w:rFonts w:cs="Calibri"/>
          <w:color w:val="000000" w:themeColor="text1"/>
        </w:rPr>
        <w:t>Rare Cancers Australia (RCA)</w:t>
      </w:r>
    </w:p>
    <w:p w14:paraId="2521370E" w14:textId="55E9D628" w:rsidR="14787F91" w:rsidRPr="004C6591" w:rsidRDefault="14787F91" w:rsidP="002A766C">
      <w:pPr>
        <w:pStyle w:val="ListParagraph"/>
        <w:numPr>
          <w:ilvl w:val="0"/>
          <w:numId w:val="44"/>
        </w:numPr>
        <w:spacing w:after="0"/>
        <w:rPr>
          <w:rFonts w:cs="Calibri"/>
          <w:color w:val="000000" w:themeColor="text1"/>
        </w:rPr>
      </w:pPr>
      <w:r w:rsidRPr="004C6591">
        <w:rPr>
          <w:rFonts w:cs="Calibri"/>
          <w:color w:val="000000" w:themeColor="text1"/>
        </w:rPr>
        <w:t>The National Pathology Accreditation Advisory Council (NPAAC)</w:t>
      </w:r>
    </w:p>
    <w:p w14:paraId="05CAEDC5" w14:textId="1B396104" w:rsidR="14787F91" w:rsidRPr="004C6591" w:rsidRDefault="14787F91" w:rsidP="002A766C">
      <w:pPr>
        <w:spacing w:after="0"/>
        <w:rPr>
          <w:rFonts w:cs="Calibri"/>
          <w:color w:val="000000" w:themeColor="text1"/>
          <w:sz w:val="24"/>
          <w:szCs w:val="24"/>
        </w:rPr>
      </w:pPr>
      <w:r w:rsidRPr="004C6591">
        <w:rPr>
          <w:rFonts w:cs="Calibri"/>
          <w:color w:val="000000" w:themeColor="text1"/>
          <w:sz w:val="24"/>
          <w:szCs w:val="24"/>
        </w:rPr>
        <w:t xml:space="preserve"> </w:t>
      </w:r>
    </w:p>
    <w:p w14:paraId="01B22D08" w14:textId="27EA2CE7" w:rsidR="14787F91" w:rsidRPr="004C6591" w:rsidRDefault="14787F91" w:rsidP="002A766C">
      <w:pPr>
        <w:spacing w:after="160" w:line="257" w:lineRule="auto"/>
        <w:rPr>
          <w:rFonts w:cs="Calibri"/>
        </w:rPr>
      </w:pPr>
      <w:r w:rsidRPr="004C6591">
        <w:rPr>
          <w:rFonts w:cs="Calibri"/>
        </w:rPr>
        <w:t xml:space="preserve">The consultation feedback received from Rare Cancers Australia was supportive of public funding for genetic testing to detect </w:t>
      </w:r>
      <w:r w:rsidRPr="004C6591">
        <w:rPr>
          <w:rFonts w:cs="Calibri"/>
          <w:i/>
          <w:iCs/>
        </w:rPr>
        <w:t>PIK3CA</w:t>
      </w:r>
      <w:r w:rsidRPr="004C6591">
        <w:rPr>
          <w:rFonts w:cs="Calibri"/>
        </w:rPr>
        <w:t xml:space="preserve"> mutations in patients with </w:t>
      </w:r>
      <w:r w:rsidR="00F236C1" w:rsidRPr="004C6591">
        <w:rPr>
          <w:rFonts w:cs="Calibri"/>
        </w:rPr>
        <w:t>HR+/HER2- LA/mBC</w:t>
      </w:r>
      <w:r w:rsidRPr="004C6591">
        <w:rPr>
          <w:rFonts w:cs="Calibri"/>
        </w:rPr>
        <w:t xml:space="preserve">, to determine eligibility for treatment with PBS subsidised inavolisib. </w:t>
      </w:r>
    </w:p>
    <w:p w14:paraId="4F1EF064" w14:textId="53B8B1D6" w:rsidR="14787F91" w:rsidRPr="004C6591" w:rsidRDefault="14787F91" w:rsidP="00C65136">
      <w:pPr>
        <w:rPr>
          <w:rFonts w:cs="Calibri"/>
          <w:color w:val="000000" w:themeColor="text1"/>
        </w:rPr>
      </w:pPr>
      <w:r w:rsidRPr="004C6591">
        <w:rPr>
          <w:rFonts w:cs="Calibri"/>
          <w:color w:val="000000" w:themeColor="text1"/>
        </w:rPr>
        <w:t>The main benefits of public funding were access to genetic tests and targeted therapies providing more personalised and effective treatment options, improved quality of life, and financial and emotional relief to patients.</w:t>
      </w:r>
    </w:p>
    <w:p w14:paraId="10B4F4E5" w14:textId="2DFBCEAE" w:rsidR="14787F91" w:rsidRPr="004C6591" w:rsidRDefault="14787F91" w:rsidP="004320C0">
      <w:pPr>
        <w:rPr>
          <w:rFonts w:cs="Calibri"/>
          <w:color w:val="000000" w:themeColor="text1"/>
        </w:rPr>
      </w:pPr>
      <w:r w:rsidRPr="004C6591">
        <w:rPr>
          <w:rFonts w:cs="Calibri"/>
          <w:color w:val="000000" w:themeColor="text1"/>
        </w:rPr>
        <w:t xml:space="preserve">Rare Cancers Australia stated that patients often suffer from significant side effects, such as loss of appetite, lethargy and weight loss due to treatments and may endure mastectomies and the subsequent plastic surgeries required to correct surgical impacts. Rare Cancers Australia stated the financial cost of accessing therapy can lead patients to resort to selling their home, impacting the security, safety and financial stability of their family. </w:t>
      </w:r>
    </w:p>
    <w:p w14:paraId="65B1DB8B" w14:textId="2A891176" w:rsidR="14787F91" w:rsidRPr="004C6591" w:rsidRDefault="14787F91" w:rsidP="004320C0">
      <w:pPr>
        <w:rPr>
          <w:rFonts w:cs="Calibri"/>
          <w:color w:val="000000" w:themeColor="text1"/>
        </w:rPr>
      </w:pPr>
      <w:r w:rsidRPr="004C6591">
        <w:rPr>
          <w:rFonts w:cs="Calibri"/>
          <w:color w:val="000000" w:themeColor="text1"/>
        </w:rPr>
        <w:t xml:space="preserve">The NPAAC provided targeted input on the accreditation requirements for ctDNA. NPAAC stated that ctDNA is a new analyte in the Australian regulatory environment requiring a much lower </w:t>
      </w:r>
      <w:r w:rsidR="006B1FCA">
        <w:rPr>
          <w:rFonts w:cs="Calibri"/>
          <w:color w:val="000000" w:themeColor="text1"/>
        </w:rPr>
        <w:t>limit of detection (</w:t>
      </w:r>
      <w:r w:rsidRPr="004C6591">
        <w:rPr>
          <w:rFonts w:cs="Calibri"/>
          <w:color w:val="000000" w:themeColor="text1"/>
        </w:rPr>
        <w:t>LOD</w:t>
      </w:r>
      <w:r w:rsidR="006B1FCA">
        <w:rPr>
          <w:rFonts w:cs="Calibri"/>
          <w:color w:val="000000" w:themeColor="text1"/>
        </w:rPr>
        <w:t>)</w:t>
      </w:r>
      <w:r w:rsidRPr="004C6591">
        <w:rPr>
          <w:rFonts w:cs="Calibri"/>
          <w:color w:val="000000" w:themeColor="text1"/>
        </w:rPr>
        <w:t xml:space="preserve"> in a test, that there are no NGS</w:t>
      </w:r>
      <w:r w:rsidR="00A627AC" w:rsidRPr="004C6591">
        <w:rPr>
          <w:rFonts w:cs="Calibri"/>
          <w:color w:val="000000" w:themeColor="text1"/>
        </w:rPr>
        <w:t>-</w:t>
      </w:r>
      <w:r w:rsidRPr="004C6591">
        <w:rPr>
          <w:rFonts w:cs="Calibri"/>
          <w:color w:val="000000" w:themeColor="text1"/>
        </w:rPr>
        <w:t xml:space="preserve">based ctDNA tests listed on the ARTG and that testing is likely to be provided as an in-house developed assay. NPAAC also noted there is currently no RCPA quality assurance program for ctDNA to assess the pre-analytical process including stability of the sample and variable fractions of tumour DNA in circulation. </w:t>
      </w:r>
    </w:p>
    <w:p w14:paraId="4FF4D0FC" w14:textId="5CC5D1D8" w:rsidR="14787F91" w:rsidRPr="004C6591" w:rsidRDefault="14787F91" w:rsidP="002A766C">
      <w:pPr>
        <w:spacing w:after="0"/>
        <w:rPr>
          <w:rFonts w:cs="Calibri"/>
          <w:color w:val="000000" w:themeColor="text1"/>
        </w:rPr>
      </w:pPr>
      <w:r w:rsidRPr="004C6591">
        <w:rPr>
          <w:rFonts w:cs="Calibri"/>
          <w:color w:val="000000" w:themeColor="text1"/>
        </w:rPr>
        <w:t>NPAAC advised that as of 2026 the TGA will require a new application to comply with amended regulations and that there may be TGA input into the accreditation of in-house tests and a requirement for tests to be validated against the reference assay used in the clinical trial.</w:t>
      </w:r>
    </w:p>
    <w:p w14:paraId="4E68667F" w14:textId="77777777" w:rsidR="00D37A3F" w:rsidRPr="004C6591" w:rsidRDefault="00D37A3F" w:rsidP="00713728">
      <w:pPr>
        <w:pStyle w:val="Heading2"/>
      </w:pPr>
      <w:r w:rsidRPr="004C6591">
        <w:t>Next steps</w:t>
      </w:r>
    </w:p>
    <w:p w14:paraId="0D1601BB" w14:textId="12E4D9D9" w:rsidR="00E809D2" w:rsidRPr="004C6591" w:rsidRDefault="00E809D2" w:rsidP="00435CBD">
      <w:r w:rsidRPr="004C6591">
        <w:rPr>
          <w:rFonts w:asciiTheme="minorHAnsi" w:hAnsiTheme="minorHAnsi" w:cstheme="minorBidi"/>
          <w:i/>
          <w:iCs/>
        </w:rPr>
        <w:t>The applicant expected to submit a parallel, integrated codependent assessment report to MSAC and PBAC in February 2025.</w:t>
      </w:r>
    </w:p>
    <w:p w14:paraId="72FE95AF" w14:textId="77777777" w:rsidR="009523E8" w:rsidRDefault="009523E8" w:rsidP="009523E8">
      <w:pPr>
        <w:pStyle w:val="Heading2"/>
      </w:pPr>
      <w:bookmarkStart w:id="29" w:name="_Ref171922479"/>
      <w:r>
        <w:t>Applicant Comments on Ratified PICO</w:t>
      </w:r>
    </w:p>
    <w:p w14:paraId="2BC14AAB" w14:textId="1154F1E9" w:rsidR="009523E8" w:rsidRPr="000766FD" w:rsidRDefault="000766FD" w:rsidP="009523E8">
      <w:bookmarkStart w:id="30" w:name="_Hlk167437372"/>
      <w:r w:rsidRPr="000766FD">
        <w:t>The applicant ha</w:t>
      </w:r>
      <w:r>
        <w:t>d</w:t>
      </w:r>
      <w:r w:rsidRPr="000766FD">
        <w:t xml:space="preserve"> no comment.</w:t>
      </w:r>
    </w:p>
    <w:bookmarkEnd w:id="30"/>
    <w:p w14:paraId="4930480D" w14:textId="77777777" w:rsidR="00810A08" w:rsidRPr="004C6591" w:rsidRDefault="00810A08">
      <w:pPr>
        <w:spacing w:after="160" w:line="259" w:lineRule="auto"/>
        <w:rPr>
          <w:rFonts w:ascii="Franklin Gothic Medium" w:eastAsiaTheme="majorEastAsia" w:hAnsi="Franklin Gothic Medium" w:cstheme="majorBidi"/>
          <w:color w:val="000000" w:themeColor="text1"/>
          <w:sz w:val="32"/>
          <w:szCs w:val="26"/>
        </w:rPr>
      </w:pPr>
      <w:r w:rsidRPr="004C6591">
        <w:br w:type="page"/>
      </w:r>
    </w:p>
    <w:p w14:paraId="3658F8B0" w14:textId="77777777" w:rsidR="002E492C" w:rsidRPr="004C6591" w:rsidRDefault="002E492C" w:rsidP="002E492C">
      <w:pPr>
        <w:pStyle w:val="Heading2"/>
      </w:pPr>
      <w:r w:rsidRPr="004C6591">
        <w:lastRenderedPageBreak/>
        <w:t>References</w:t>
      </w:r>
    </w:p>
    <w:p w14:paraId="0E493828" w14:textId="02157816" w:rsidR="002E492C" w:rsidRPr="004C6591" w:rsidRDefault="002E492C" w:rsidP="00435CBD">
      <w:r w:rsidRPr="004C6591">
        <w:rPr>
          <w:rFonts w:cs="Calibri"/>
        </w:rPr>
        <w:fldChar w:fldCharType="begin"/>
      </w:r>
      <w:r w:rsidRPr="004C6591">
        <w:instrText xml:space="preserve"> ADDIN EN.REFLIST </w:instrText>
      </w:r>
      <w:r w:rsidRPr="004C6591">
        <w:rPr>
          <w:rFonts w:cs="Calibri"/>
        </w:rPr>
        <w:fldChar w:fldCharType="separate"/>
      </w:r>
      <w:r w:rsidRPr="004C6591">
        <w:t xml:space="preserve">AIHW (Australian Institute of Health and Welfare) (2023) </w:t>
      </w:r>
      <w:hyperlink r:id="rId13" w:history="1">
        <w:r w:rsidRPr="004C6591">
          <w:rPr>
            <w:rStyle w:val="Hyperlink"/>
            <w:rFonts w:ascii="Calibri" w:hAnsi="Calibri" w:cs="Calibri"/>
            <w:i/>
          </w:rPr>
          <w:t>Cancer data in Australia</w:t>
        </w:r>
      </w:hyperlink>
      <w:r w:rsidRPr="004C6591">
        <w:t xml:space="preserve">, AIHW, accessed 6 </w:t>
      </w:r>
      <w:r w:rsidR="006C686C" w:rsidRPr="004C6591">
        <w:t>June</w:t>
      </w:r>
      <w:r w:rsidRPr="004C6591">
        <w:t xml:space="preserve"> 2024. </w:t>
      </w:r>
    </w:p>
    <w:p w14:paraId="29FBFD32" w14:textId="77777777" w:rsidR="002E492C" w:rsidRPr="004C6591" w:rsidRDefault="002E492C" w:rsidP="00435CBD">
      <w:r w:rsidRPr="004C6591">
        <w:t xml:space="preserve">Anderson EJ, Mollon LE, Dean JL, Warholak TL, Aizer A, Platt EA, Tang DH, and Davis LE (2020) 'A systematic review of the prevalence and diagnostic workup of PIK3CA mutations in HR+/HER2- metastatic breast cancer', </w:t>
      </w:r>
      <w:r w:rsidRPr="004C6591">
        <w:rPr>
          <w:i/>
        </w:rPr>
        <w:t>Int J Breast Cancer</w:t>
      </w:r>
      <w:r w:rsidRPr="004C6591">
        <w:t xml:space="preserve">, 3759179, doi:10.1155/2020/3759179. </w:t>
      </w:r>
    </w:p>
    <w:p w14:paraId="432D3683" w14:textId="56A5AC76" w:rsidR="002E492C" w:rsidRPr="004C6591" w:rsidRDefault="002E492C" w:rsidP="00435CBD">
      <w:r w:rsidRPr="004C6591">
        <w:t xml:space="preserve">BCNA (Breast Cancer Network Australia) (2020) </w:t>
      </w:r>
      <w:hyperlink r:id="rId14" w:history="1">
        <w:r w:rsidRPr="004C6591">
          <w:rPr>
            <w:rStyle w:val="Hyperlink"/>
            <w:rFonts w:ascii="Calibri" w:hAnsi="Calibri" w:cs="Calibri"/>
            <w:i/>
          </w:rPr>
          <w:t>Metastatic Breast Cancer: Hope &amp; Hurdles Information Guide</w:t>
        </w:r>
      </w:hyperlink>
      <w:r w:rsidRPr="004C6591">
        <w:t>, BCNA, accessed 10 June 2024.</w:t>
      </w:r>
    </w:p>
    <w:p w14:paraId="38912724" w14:textId="77777777" w:rsidR="002E492C" w:rsidRPr="004C6591" w:rsidRDefault="002E492C" w:rsidP="00435CBD">
      <w:r w:rsidRPr="004C6591">
        <w:t xml:space="preserve">Bujak AZ, Weng CF, Silva MJ, Yeung M, Lo L, Ftouni S, Litchfield C, Ko Y-A, Kuykhoven K, Geelen CV, Chandrashekar S, Dawson MA, Loi S, Wong SQ, and Dawson S-J (2020) 'Circulating tumour DNA in metastatic breast cancer to guide clinical trial enrolment and precision oncology: A cohort study', </w:t>
      </w:r>
      <w:r w:rsidRPr="004C6591">
        <w:rPr>
          <w:i/>
        </w:rPr>
        <w:t>PLOS Medicine</w:t>
      </w:r>
      <w:r w:rsidRPr="004C6591">
        <w:t>,</w:t>
      </w:r>
      <w:r w:rsidRPr="004C6591">
        <w:rPr>
          <w:i/>
        </w:rPr>
        <w:t xml:space="preserve"> </w:t>
      </w:r>
      <w:r w:rsidRPr="004C6591">
        <w:t xml:space="preserve">17(10), e1003363, doi:10.1371/journal.pmed.1003363. </w:t>
      </w:r>
    </w:p>
    <w:p w14:paraId="33976AF8" w14:textId="2C5368D3" w:rsidR="002E492C" w:rsidRPr="004C6591" w:rsidRDefault="002E492C" w:rsidP="00435CBD">
      <w:r w:rsidRPr="004C6591">
        <w:t xml:space="preserve">Cancer Council Victoria and Department of Health Victoria (2021) </w:t>
      </w:r>
      <w:hyperlink r:id="rId15" w:history="1">
        <w:r w:rsidRPr="004C6591">
          <w:rPr>
            <w:rStyle w:val="Hyperlink"/>
            <w:rFonts w:ascii="Calibri" w:hAnsi="Calibri" w:cs="Calibri"/>
            <w:i/>
          </w:rPr>
          <w:t>Optimal care pathway for people with breast cancer</w:t>
        </w:r>
      </w:hyperlink>
      <w:r w:rsidRPr="004C6591">
        <w:t>, Cancer Council Victoria, accessed 18 June 2024.</w:t>
      </w:r>
    </w:p>
    <w:p w14:paraId="52EF6C3B" w14:textId="74564174" w:rsidR="002E492C" w:rsidRPr="004C6591" w:rsidRDefault="002E492C" w:rsidP="00435CBD">
      <w:r w:rsidRPr="004C6591">
        <w:t>Carson E and Dear R (2019) '</w:t>
      </w:r>
      <w:hyperlink r:id="rId16" w:history="1">
        <w:r w:rsidRPr="004C6591">
          <w:rPr>
            <w:rStyle w:val="Hyperlink"/>
            <w:rFonts w:ascii="Calibri" w:hAnsi="Calibri" w:cs="Calibri"/>
          </w:rPr>
          <w:t>Advanced breast cancer: An update to systemic therapy</w:t>
        </w:r>
      </w:hyperlink>
      <w:r w:rsidRPr="004C6591">
        <w:t xml:space="preserve">', </w:t>
      </w:r>
      <w:r w:rsidRPr="004C6591">
        <w:rPr>
          <w:i/>
        </w:rPr>
        <w:t>Australian Journal for General Practitioners</w:t>
      </w:r>
      <w:r w:rsidRPr="004C6591">
        <w:t>,</w:t>
      </w:r>
      <w:r w:rsidRPr="004C6591">
        <w:rPr>
          <w:i/>
        </w:rPr>
        <w:t xml:space="preserve"> </w:t>
      </w:r>
      <w:r w:rsidRPr="004C6591">
        <w:t>48, 278-283</w:t>
      </w:r>
      <w:r w:rsidR="00884319" w:rsidRPr="004C6591">
        <w:t>, doi: 10.31128/AJGP-10-18-4729.</w:t>
      </w:r>
    </w:p>
    <w:p w14:paraId="4617FFDB" w14:textId="77777777" w:rsidR="002E492C" w:rsidRPr="004C6591" w:rsidRDefault="002E492C" w:rsidP="00435CBD">
      <w:r w:rsidRPr="004C6591">
        <w:t xml:space="preserve">Chen JW, Murugesan K, Newberg JY, Sokol ES, Savage HM, Stout TJ, Maund SL, and Hutchinson KE (2022) 'Comparison of PIK3CA Mutation Prevalence in Breast Cancer Across Predicted Ancestry Populations', </w:t>
      </w:r>
      <w:r w:rsidRPr="004C6591">
        <w:rPr>
          <w:i/>
        </w:rPr>
        <w:t>JCO Precision Oncology</w:t>
      </w:r>
      <w:r w:rsidRPr="004C6591">
        <w:t xml:space="preserve">(6), e2200341, doi:10.1200/po.22.00341. </w:t>
      </w:r>
    </w:p>
    <w:p w14:paraId="21BF4808" w14:textId="77777777" w:rsidR="002E492C" w:rsidRPr="004C6591" w:rsidRDefault="002E492C" w:rsidP="00435CBD">
      <w:r w:rsidRPr="004C6591">
        <w:t xml:space="preserve">Chen TW, Hsiao W, Dai MS, Lin CH, Chang DY, Chen IC, Wang MY, Chang SH, Huang SM, Cheng AL, Wu KW, Tan KT, and Lu YS (2023) 'Plasma cell-free tumor DNA, PIK3CA and TP53 mutations predicted inferior endocrine-based treatment outcome in endocrine receptor-positive metastatic breast cancer', </w:t>
      </w:r>
      <w:r w:rsidRPr="004C6591">
        <w:rPr>
          <w:i/>
        </w:rPr>
        <w:t>Breast Cancer Res Treat</w:t>
      </w:r>
      <w:r w:rsidRPr="004C6591">
        <w:t>,</w:t>
      </w:r>
      <w:r w:rsidRPr="004C6591">
        <w:rPr>
          <w:i/>
        </w:rPr>
        <w:t xml:space="preserve"> </w:t>
      </w:r>
      <w:r w:rsidRPr="004C6591">
        <w:t xml:space="preserve">201(3), 377-385, doi:10.1007/s10549-023-06967-3. </w:t>
      </w:r>
    </w:p>
    <w:p w14:paraId="423B1BB8" w14:textId="0831C31B" w:rsidR="002E492C" w:rsidRPr="004C6591" w:rsidRDefault="002E492C" w:rsidP="00435CBD">
      <w:r w:rsidRPr="004C6591">
        <w:t xml:space="preserve">DHAC (Department of Health and Aged Care) (2021) </w:t>
      </w:r>
      <w:hyperlink r:id="rId17" w:history="1">
        <w:r w:rsidRPr="004C6591">
          <w:rPr>
            <w:rStyle w:val="Hyperlink"/>
            <w:rFonts w:ascii="Calibri" w:hAnsi="Calibri"/>
            <w:i/>
          </w:rPr>
          <w:t>Abemaciclib public summary document (PSD)</w:t>
        </w:r>
      </w:hyperlink>
      <w:r w:rsidRPr="004C6591">
        <w:t>, DHAC, accessed 17 July 2024.</w:t>
      </w:r>
    </w:p>
    <w:p w14:paraId="70A34040" w14:textId="2C19FFDE" w:rsidR="002E492C" w:rsidRPr="004C6591" w:rsidRDefault="002E492C" w:rsidP="00435CBD">
      <w:r w:rsidRPr="004C6591">
        <w:t xml:space="preserve">DHAC (Department of Health and Aged Care) (2022) </w:t>
      </w:r>
      <w:hyperlink r:id="rId18" w:history="1">
        <w:r w:rsidRPr="004C6591">
          <w:rPr>
            <w:rStyle w:val="Hyperlink"/>
            <w:rFonts w:ascii="Calibri" w:hAnsi="Calibri" w:cs="Calibri"/>
            <w:i/>
          </w:rPr>
          <w:t>Palbociclib public summary document (PSD)</w:t>
        </w:r>
      </w:hyperlink>
      <w:r w:rsidRPr="004C6591">
        <w:t xml:space="preserve">, DHAC, accessed 11 June 2024. </w:t>
      </w:r>
    </w:p>
    <w:p w14:paraId="41E4D25B" w14:textId="665CA5F1" w:rsidR="002E492C" w:rsidRPr="004C6591" w:rsidRDefault="002E492C" w:rsidP="00435CBD">
      <w:r w:rsidRPr="004C6591">
        <w:t xml:space="preserve">DHAC (Department of Health and Aged Care) (2024) </w:t>
      </w:r>
      <w:hyperlink r:id="rId19" w:history="1">
        <w:r w:rsidRPr="004C6591">
          <w:rPr>
            <w:rStyle w:val="Hyperlink"/>
            <w:rFonts w:ascii="Calibri" w:hAnsi="Calibri" w:cs="Calibri"/>
            <w:i/>
          </w:rPr>
          <w:t>ARTG Search Visualisation Tool</w:t>
        </w:r>
        <w:r w:rsidRPr="004C6591">
          <w:rPr>
            <w:rStyle w:val="Hyperlink"/>
            <w:rFonts w:ascii="Calibri" w:hAnsi="Calibri" w:cs="Calibri"/>
          </w:rPr>
          <w:t>,</w:t>
        </w:r>
      </w:hyperlink>
      <w:r w:rsidRPr="004C6591">
        <w:t xml:space="preserve"> Commonwealth of Australia, accessed 18 June 2024.</w:t>
      </w:r>
    </w:p>
    <w:p w14:paraId="0266D7B0" w14:textId="234E7146" w:rsidR="002E492C" w:rsidRPr="004C6591" w:rsidRDefault="002E492C" w:rsidP="00435CBD">
      <w:r w:rsidRPr="004C6591">
        <w:t xml:space="preserve">EMA (European Medicines Agency) (2024) </w:t>
      </w:r>
      <w:hyperlink r:id="rId20" w:history="1">
        <w:r w:rsidRPr="004C6591">
          <w:rPr>
            <w:rStyle w:val="Hyperlink"/>
            <w:rFonts w:ascii="Calibri" w:hAnsi="Calibri" w:cs="Calibri"/>
            <w:i/>
          </w:rPr>
          <w:t>Committee for medicinal products for human use (CHMP)</w:t>
        </w:r>
      </w:hyperlink>
      <w:r w:rsidRPr="004C6591">
        <w:t>, EMA, accessed 5 June 2024.</w:t>
      </w:r>
    </w:p>
    <w:p w14:paraId="3E6D1A42" w14:textId="135C5057" w:rsidR="002E492C" w:rsidRPr="004C6591" w:rsidRDefault="002E492C" w:rsidP="00435CBD">
      <w:r w:rsidRPr="004C6591">
        <w:t xml:space="preserve">Foundation Medicine (2021) </w:t>
      </w:r>
      <w:hyperlink r:id="rId21" w:history="1">
        <w:r w:rsidRPr="004C6591">
          <w:rPr>
            <w:rStyle w:val="Hyperlink"/>
            <w:rFonts w:ascii="Calibri" w:hAnsi="Calibri" w:cs="Calibri"/>
            <w:i/>
          </w:rPr>
          <w:t>FoundationOne® Liquid CDx</w:t>
        </w:r>
      </w:hyperlink>
      <w:r w:rsidRPr="004C6591">
        <w:t xml:space="preserve">, </w:t>
      </w:r>
      <w:r w:rsidR="00455027" w:rsidRPr="004C6591">
        <w:t xml:space="preserve">Foundation Medicine Roche, </w:t>
      </w:r>
      <w:r w:rsidRPr="004C6591">
        <w:t xml:space="preserve">accessed 11 June 2024. </w:t>
      </w:r>
    </w:p>
    <w:p w14:paraId="7A952CF8" w14:textId="52B73122" w:rsidR="002E492C" w:rsidRPr="004C6591" w:rsidRDefault="002E492C" w:rsidP="00435CBD">
      <w:r w:rsidRPr="004C6591">
        <w:lastRenderedPageBreak/>
        <w:t>Foundation Medicine (2023)</w:t>
      </w:r>
      <w:hyperlink r:id="rId22" w:history="1">
        <w:r w:rsidRPr="004C6591">
          <w:rPr>
            <w:rStyle w:val="Hyperlink"/>
            <w:rFonts w:ascii="Calibri" w:hAnsi="Calibri" w:cs="Calibri"/>
          </w:rPr>
          <w:t xml:space="preserve"> </w:t>
        </w:r>
        <w:r w:rsidRPr="004C6591">
          <w:rPr>
            <w:rStyle w:val="Hyperlink"/>
            <w:rFonts w:ascii="Calibri" w:hAnsi="Calibri" w:cs="Calibri"/>
            <w:i/>
          </w:rPr>
          <w:t>FoundationOne Liquid CDx Technical Information</w:t>
        </w:r>
      </w:hyperlink>
      <w:r w:rsidR="00037210" w:rsidRPr="004C6591">
        <w:t xml:space="preserve">, </w:t>
      </w:r>
      <w:r w:rsidR="00755E22" w:rsidRPr="004C6591">
        <w:t xml:space="preserve">Foundation Medicine Inc, </w:t>
      </w:r>
      <w:r w:rsidR="00037210" w:rsidRPr="004C6591">
        <w:t xml:space="preserve">accessed </w:t>
      </w:r>
      <w:r w:rsidR="00D233B0" w:rsidRPr="004C6591">
        <w:t>18 July 2024.</w:t>
      </w:r>
      <w:r w:rsidRPr="004C6591">
        <w:t xml:space="preserve"> </w:t>
      </w:r>
    </w:p>
    <w:p w14:paraId="59127A93" w14:textId="440D16EF" w:rsidR="004D4BF6" w:rsidRPr="004C6591" w:rsidRDefault="004D4BF6" w:rsidP="00435CBD">
      <w:pPr>
        <w:rPr>
          <w:rFonts w:asciiTheme="minorHAnsi" w:hAnsiTheme="minorHAnsi" w:cstheme="minorHAnsi"/>
        </w:rPr>
      </w:pPr>
      <w:r w:rsidRPr="004C6591">
        <w:rPr>
          <w:rFonts w:asciiTheme="minorHAnsi" w:hAnsiTheme="minorHAnsi" w:cstheme="minorHAnsi"/>
          <w:color w:val="212121"/>
          <w:shd w:val="clear" w:color="auto" w:fill="FFFFFF"/>
        </w:rPr>
        <w:t>Galvano A, Castellana L, Gristina V, La Mantia M, Insalaco L, Barraco N, Perez A, Cutaia S, Calò V, Bazan Russo TD, Francini E, Incorvaia L, Mirisola MG, Vieni S, Rolfo C, Bazan V, Russo A. The diagnostic accuracy of </w:t>
      </w:r>
      <w:r w:rsidRPr="004C6591">
        <w:rPr>
          <w:rFonts w:asciiTheme="minorHAnsi" w:hAnsiTheme="minorHAnsi" w:cstheme="minorHAnsi"/>
          <w:i/>
          <w:iCs/>
          <w:color w:val="212121"/>
          <w:shd w:val="clear" w:color="auto" w:fill="FFFFFF"/>
        </w:rPr>
        <w:t>PIK3CA</w:t>
      </w:r>
      <w:r w:rsidRPr="004C6591">
        <w:rPr>
          <w:rFonts w:asciiTheme="minorHAnsi" w:hAnsiTheme="minorHAnsi" w:cstheme="minorHAnsi"/>
          <w:color w:val="212121"/>
          <w:shd w:val="clear" w:color="auto" w:fill="FFFFFF"/>
        </w:rPr>
        <w:t> mutations by circulating tumor DNA in breast cancer: an individual patient data meta-analysis. Ther Adv Med Oncol. 2022 Sep 26;14:17588359221110162. doi: 10.1177/17588359221110162. PMID: 36188485; PMCID: PMC9516428.</w:t>
      </w:r>
    </w:p>
    <w:p w14:paraId="47EB1284" w14:textId="6658005A" w:rsidR="002E492C" w:rsidRPr="004C6591" w:rsidRDefault="002E492C" w:rsidP="00435CBD">
      <w:r w:rsidRPr="004C6591">
        <w:t xml:space="preserve">Genentech (28 May 2024) </w:t>
      </w:r>
      <w:hyperlink r:id="rId23" w:history="1">
        <w:r w:rsidRPr="004C6591">
          <w:rPr>
            <w:rStyle w:val="Hyperlink"/>
            <w:rFonts w:ascii="Calibri" w:hAnsi="Calibri" w:cs="Calibri"/>
            <w:i/>
          </w:rPr>
          <w:t>FDA Grants Priority Review to Genentech’s Inavolisib for Advanced Hormone Receptor-Positive, HER2-Negative Breast Cancer With a PIK3CA Mutation</w:t>
        </w:r>
      </w:hyperlink>
      <w:r w:rsidRPr="004C6591">
        <w:t xml:space="preserve"> [press release], accessed 5 June 2024. </w:t>
      </w:r>
    </w:p>
    <w:p w14:paraId="20322580" w14:textId="77777777" w:rsidR="002E492C" w:rsidRPr="004C6591" w:rsidRDefault="002E492C" w:rsidP="00435CBD">
      <w:r w:rsidRPr="004C6591">
        <w:t xml:space="preserve">Gennari A, André F, Barrios CH, Cortés J, De Azambuja E, Demichele A, Dent R, Fenlon D, Gligorov J, Hurvitz SA, Im SA, Krug D, Kunz WG, Loi S, Penault-Llorca F, Ricke J, Robson M, Rugo HS, Saura C, Schmid P, Singer CF, Spanic T, Tolaney SM, Turner NC, Curigliano G, Loibl S, Paluch-Shimon S, and Harbeck N (2021) 'ESMO Clinical Practice Guideline for the diagnosis, staging and treatment of patients with metastatic breast cancer', </w:t>
      </w:r>
      <w:r w:rsidRPr="004C6591">
        <w:rPr>
          <w:i/>
        </w:rPr>
        <w:t>Annals of Oncology</w:t>
      </w:r>
      <w:r w:rsidRPr="004C6591">
        <w:t>,</w:t>
      </w:r>
      <w:r w:rsidRPr="004C6591">
        <w:rPr>
          <w:i/>
        </w:rPr>
        <w:t xml:space="preserve"> </w:t>
      </w:r>
      <w:r w:rsidRPr="004C6591">
        <w:t xml:space="preserve">32(12), 1475-1495, doi:10.1016/j.annonc.2021.09.019. </w:t>
      </w:r>
    </w:p>
    <w:p w14:paraId="3ED56748" w14:textId="77777777" w:rsidR="002E492C" w:rsidRPr="004C6591" w:rsidRDefault="002E492C" w:rsidP="00435CBD">
      <w:r w:rsidRPr="004C6591">
        <w:t xml:space="preserve">González-Hurtado D, Rivero S, Samamé Pérez-Vargas JC, and Petracci FE (2023) 'Hormone Receptor-Positive / HER2-Negative Early Breast Cancer High-Risk Population: An Algorithm for Optimization Systemic Adjuvant Treatment Based on 2022 Updates', </w:t>
      </w:r>
      <w:r w:rsidRPr="004C6591">
        <w:rPr>
          <w:i/>
        </w:rPr>
        <w:t>Breast Cancer: Basic and Clinical Research</w:t>
      </w:r>
      <w:r w:rsidRPr="004C6591">
        <w:t>,</w:t>
      </w:r>
      <w:r w:rsidRPr="004C6591">
        <w:rPr>
          <w:i/>
        </w:rPr>
        <w:t xml:space="preserve"> </w:t>
      </w:r>
      <w:r w:rsidRPr="004C6591">
        <w:t xml:space="preserve">17, doi:10.1177/11782234231192780. </w:t>
      </w:r>
    </w:p>
    <w:p w14:paraId="1BE80F73" w14:textId="77777777" w:rsidR="002E492C" w:rsidRPr="004C6591" w:rsidRDefault="002E492C" w:rsidP="00435CBD">
      <w:r w:rsidRPr="004C6591">
        <w:t xml:space="preserve">Haque MM and Desai KV (2019) 'Pathways to Endocrine Therapy Resistance in Breast Cancer' [Mini Review], </w:t>
      </w:r>
      <w:r w:rsidRPr="004C6591">
        <w:rPr>
          <w:i/>
        </w:rPr>
        <w:t>Frontiers in Endocrinology</w:t>
      </w:r>
      <w:r w:rsidRPr="004C6591">
        <w:t>,</w:t>
      </w:r>
      <w:r w:rsidRPr="004C6591">
        <w:rPr>
          <w:i/>
        </w:rPr>
        <w:t xml:space="preserve"> </w:t>
      </w:r>
      <w:r w:rsidRPr="004C6591">
        <w:t xml:space="preserve">10, doi:10.3389/fendo.2019.00573. </w:t>
      </w:r>
    </w:p>
    <w:p w14:paraId="30A55D89" w14:textId="77777777" w:rsidR="002E492C" w:rsidRPr="004C6591" w:rsidRDefault="002E492C" w:rsidP="00435CBD">
      <w:r w:rsidRPr="004C6591">
        <w:t xml:space="preserve">Hartkopf AD, Grischke E-M, and Brucker SY (2020) 'Endocrine-Resistant Breast Cancer: Mechanisms and Treatment', </w:t>
      </w:r>
      <w:r w:rsidRPr="004C6591">
        <w:rPr>
          <w:i/>
        </w:rPr>
        <w:t>Breast Care</w:t>
      </w:r>
      <w:r w:rsidRPr="004C6591">
        <w:t>,</w:t>
      </w:r>
      <w:r w:rsidRPr="004C6591">
        <w:rPr>
          <w:i/>
        </w:rPr>
        <w:t xml:space="preserve"> </w:t>
      </w:r>
      <w:r w:rsidRPr="004C6591">
        <w:t xml:space="preserve">15(4), 347-354, doi:10.1159/000508675. </w:t>
      </w:r>
    </w:p>
    <w:p w14:paraId="5302116F" w14:textId="77777777" w:rsidR="002E492C" w:rsidRPr="004C6591" w:rsidRDefault="002E492C" w:rsidP="00435CBD">
      <w:r w:rsidRPr="004C6591">
        <w:t xml:space="preserve">Henry NL, Somerfield MR, Dayao Z, Elias A, Kalinsky K, McShane LM, Moy B, Park BH, Shanahan KM, Sharma P, Shatsky R, Stringer-Reasor E, Telli M, Turner NC, and DeMichele A (2022) 'Biomarkers for Systemic Therapy in Metastatic Breast Cancer: ASCO Guideline Update', </w:t>
      </w:r>
      <w:r w:rsidRPr="004C6591">
        <w:rPr>
          <w:i/>
        </w:rPr>
        <w:t>Journal of Clinical Oncology</w:t>
      </w:r>
      <w:r w:rsidRPr="004C6591">
        <w:t>,</w:t>
      </w:r>
      <w:r w:rsidRPr="004C6591">
        <w:rPr>
          <w:i/>
        </w:rPr>
        <w:t xml:space="preserve"> </w:t>
      </w:r>
      <w:r w:rsidRPr="004C6591">
        <w:t xml:space="preserve">40(27), 3205-3221, doi:10.1200/jco.22.01063. </w:t>
      </w:r>
    </w:p>
    <w:p w14:paraId="11639FCD" w14:textId="5B1A25E0" w:rsidR="002E492C" w:rsidRPr="004C6591" w:rsidRDefault="002E492C" w:rsidP="00435CBD">
      <w:r w:rsidRPr="004C6591">
        <w:t>Jhaveri KL, Im S, Saura C, Juric D, Loibl S, Kalinsky K, Schmid P, Loi S, Thanopoulou E, Shankar N, Le G, Stout T, Hutchinson K, Schutzman J, Song C, and Turne N (2023). '</w:t>
      </w:r>
      <w:hyperlink r:id="rId24" w:history="1">
        <w:r w:rsidRPr="004C6591">
          <w:rPr>
            <w:rStyle w:val="Hyperlink"/>
            <w:rFonts w:ascii="Calibri" w:hAnsi="Calibri" w:cs="Calibri"/>
          </w:rPr>
          <w:t>Inavolisib or placebo in combination with palbociclib and fulvestrant in patients with PIK3CA-mutated, hormone receptor-positive, HER2-negative locally advanced or metastatic breast cancer: Phase III INAVO120 primary analysis</w:t>
        </w:r>
      </w:hyperlink>
      <w:r w:rsidRPr="004C6591">
        <w:rPr>
          <w:i/>
        </w:rPr>
        <w:t>'</w:t>
      </w:r>
      <w:r w:rsidRPr="004C6591">
        <w:t xml:space="preserve"> [unpublished conference presentation], </w:t>
      </w:r>
      <w:r w:rsidRPr="004C6591">
        <w:rPr>
          <w:i/>
        </w:rPr>
        <w:t>San Antonio Breast Cancer Symposium</w:t>
      </w:r>
      <w:r w:rsidRPr="004C6591">
        <w:t>,</w:t>
      </w:r>
      <w:r w:rsidR="006C686C" w:rsidRPr="004C6591">
        <w:t xml:space="preserve"> accessed </w:t>
      </w:r>
      <w:r w:rsidR="008B7BA0" w:rsidRPr="004C6591">
        <w:t>6 June 2024.</w:t>
      </w:r>
      <w:r w:rsidRPr="004C6591">
        <w:t xml:space="preserve">  </w:t>
      </w:r>
    </w:p>
    <w:p w14:paraId="35F63219" w14:textId="152BEFC6" w:rsidR="002E492C" w:rsidRPr="004C6591" w:rsidRDefault="002E492C" w:rsidP="00435CBD">
      <w:r w:rsidRPr="004C6591">
        <w:t>Juric D, Kalinsky K, Turner N, Jhaveri KL, Schmid P, Loi S, Saura C, Im S-A, Sunpaweravong P, Li H, Musolino A, Zhang Q, Nowecki Z, Leung R, Thanopoulou E, Shankar N, Lei G, Devine J, Stout TJ, and Loibl S (2024). '</w:t>
      </w:r>
      <w:hyperlink r:id="rId25" w:history="1">
        <w:r w:rsidRPr="004C6591">
          <w:rPr>
            <w:rStyle w:val="Hyperlink"/>
            <w:rFonts w:ascii="Calibri" w:hAnsi="Calibri" w:cs="Calibri"/>
          </w:rPr>
          <w:t xml:space="preserve">First-line inavolisib/placebo + palbociclib + fulvestrant  (Inavo/Pbo+Palbo+Fulv) in patients (pts) with PIK3CA-mutated, hormone receptor-positive, HER2-negative locally advanced/metastatic breast cancer who relapsed during/within 12 months (mo) of adjuvant endocrine therapy completion: INAVO120 Phase </w:t>
        </w:r>
        <w:r w:rsidRPr="004C6591">
          <w:rPr>
            <w:rStyle w:val="Hyperlink"/>
            <w:rFonts w:ascii="Calibri" w:hAnsi="Calibri" w:cs="Calibri"/>
          </w:rPr>
          <w:lastRenderedPageBreak/>
          <w:t>III randomized trial additional analyses</w:t>
        </w:r>
      </w:hyperlink>
      <w:r w:rsidRPr="004C6591">
        <w:rPr>
          <w:i/>
        </w:rPr>
        <w:t>'</w:t>
      </w:r>
      <w:r w:rsidRPr="004C6591">
        <w:t xml:space="preserve"> [unpublished conference presentation], </w:t>
      </w:r>
      <w:r w:rsidRPr="004C6591">
        <w:rPr>
          <w:i/>
        </w:rPr>
        <w:t>Oncology Annual Meeting</w:t>
      </w:r>
      <w:r w:rsidRPr="004C6591">
        <w:t xml:space="preserve">, </w:t>
      </w:r>
      <w:r w:rsidR="00204768" w:rsidRPr="004C6591">
        <w:t>accessed 18 June 2024.</w:t>
      </w:r>
      <w:r w:rsidRPr="004C6591">
        <w:t xml:space="preserve"> </w:t>
      </w:r>
    </w:p>
    <w:p w14:paraId="40ECAC85" w14:textId="77777777" w:rsidR="002E492C" w:rsidRPr="004C6591" w:rsidRDefault="002E492C" w:rsidP="00435CBD">
      <w:r w:rsidRPr="004C6591">
        <w:t xml:space="preserve">Lei JT, Anurag M, Haricharan S, Gou X, and Ellis MJ (2019) 'Endocrine therapy resistance: new insights', </w:t>
      </w:r>
      <w:r w:rsidRPr="004C6591">
        <w:rPr>
          <w:i/>
        </w:rPr>
        <w:t>Breast</w:t>
      </w:r>
      <w:r w:rsidRPr="004C6591">
        <w:t>,</w:t>
      </w:r>
      <w:r w:rsidRPr="004C6591">
        <w:rPr>
          <w:i/>
        </w:rPr>
        <w:t xml:space="preserve"> </w:t>
      </w:r>
      <w:r w:rsidRPr="004C6591">
        <w:t xml:space="preserve">48 Suppl 1(Suppl 1), S26-s30, doi:10.1016/s0960-9776(19)31118-x. </w:t>
      </w:r>
    </w:p>
    <w:p w14:paraId="52A33013" w14:textId="77777777" w:rsidR="002E492C" w:rsidRPr="004C6591" w:rsidRDefault="002E492C" w:rsidP="00435CBD">
      <w:r w:rsidRPr="004C6591">
        <w:t xml:space="preserve">Mosele F, Stefanovska B, Lusque A, Tran Dien A, Garberis I, Droin N, Le Tourneau C, Sablin MP, Lacroix L, Enrico D, Miran I, Jovelet C, Bièche I, Soria JC, Bertucci F, Bonnefoi H, Campone M, Dalenc F, Bachelot T, Jacquet A, Jimenez M, and André F (2020) 'Outcome and molecular landscape of patients with PIK3CA-mutated metastatic breast cancer', </w:t>
      </w:r>
      <w:r w:rsidRPr="004C6591">
        <w:rPr>
          <w:i/>
        </w:rPr>
        <w:t>Ann Oncol</w:t>
      </w:r>
      <w:r w:rsidRPr="004C6591">
        <w:t>,</w:t>
      </w:r>
      <w:r w:rsidRPr="004C6591">
        <w:rPr>
          <w:i/>
        </w:rPr>
        <w:t xml:space="preserve"> </w:t>
      </w:r>
      <w:r w:rsidRPr="004C6591">
        <w:t xml:space="preserve">31(3), 377-386, doi:10.1016/j.annonc.2019.11.006. </w:t>
      </w:r>
    </w:p>
    <w:p w14:paraId="597826DC" w14:textId="77777777" w:rsidR="002E492C" w:rsidRPr="004C6591" w:rsidRDefault="002E492C" w:rsidP="00435CBD">
      <w:r w:rsidRPr="004C6591">
        <w:t xml:space="preserve">Murphy CG and Dickler MN (2016) 'Endocrine resistance in hormone-responsive breast cancer: mechanisms and therapeutic strategies', </w:t>
      </w:r>
      <w:r w:rsidRPr="004C6591">
        <w:rPr>
          <w:i/>
        </w:rPr>
        <w:t>Endocrine-Related Cancer</w:t>
      </w:r>
      <w:r w:rsidRPr="004C6591">
        <w:t>,</w:t>
      </w:r>
      <w:r w:rsidRPr="004C6591">
        <w:rPr>
          <w:i/>
        </w:rPr>
        <w:t xml:space="preserve"> </w:t>
      </w:r>
      <w:r w:rsidRPr="004C6591">
        <w:t xml:space="preserve">23(8), R337-R352, doi:10.1530/erc-16-0121. </w:t>
      </w:r>
    </w:p>
    <w:p w14:paraId="7177BD94" w14:textId="24AC0486" w:rsidR="002E492C" w:rsidRPr="004C6591" w:rsidRDefault="002E492C" w:rsidP="00435CBD">
      <w:r w:rsidRPr="004C6591">
        <w:t xml:space="preserve">NCCN Breast Cancer (National Comprehensive Cancer Network) (2024 Jan 25) </w:t>
      </w:r>
      <w:hyperlink r:id="rId26" w:history="1">
        <w:r w:rsidRPr="004C6591">
          <w:rPr>
            <w:rStyle w:val="Hyperlink"/>
            <w:rFonts w:ascii="Calibri" w:hAnsi="Calibri" w:cs="Calibri"/>
            <w:i/>
          </w:rPr>
          <w:t>NCCN Clinical Practice Guidelines in Oncology Breast Cancer</w:t>
        </w:r>
      </w:hyperlink>
      <w:r w:rsidRPr="004C6591">
        <w:t xml:space="preserve">, accessed 8 </w:t>
      </w:r>
      <w:r w:rsidR="007552EE" w:rsidRPr="004C6591">
        <w:t xml:space="preserve">June </w:t>
      </w:r>
      <w:r w:rsidRPr="004C6591">
        <w:t xml:space="preserve">2024. </w:t>
      </w:r>
    </w:p>
    <w:p w14:paraId="19B0DA0B" w14:textId="1B18CBE9" w:rsidR="002E492C" w:rsidRPr="004C6591" w:rsidRDefault="002E492C" w:rsidP="00435CBD">
      <w:r w:rsidRPr="004C6591">
        <w:t xml:space="preserve">NICE (National Institure for Health and Care Excellence) (2022) </w:t>
      </w:r>
      <w:hyperlink r:id="rId27" w:anchor=":~:text=Alpelisib%20plus%20fulvestrant%20meets%20NICE's,alpelisib%20plus%20fulvestrant%20is%20recommended" w:history="1">
        <w:r w:rsidRPr="004C6591">
          <w:rPr>
            <w:rStyle w:val="Hyperlink"/>
            <w:rFonts w:ascii="Calibri" w:hAnsi="Calibri" w:cs="Calibri"/>
            <w:i/>
          </w:rPr>
          <w:t>Final appraisal document - Alpelisib with fulvestrant for treating hormone receptor-positive, HER2-negative, PIK3CAmutated advanced breast cancer [ID3929]</w:t>
        </w:r>
      </w:hyperlink>
      <w:r w:rsidRPr="004C6591">
        <w:t xml:space="preserve">, </w:t>
      </w:r>
      <w:r w:rsidR="00B14FF0" w:rsidRPr="004C6591">
        <w:t>accessed 10 June 2024</w:t>
      </w:r>
      <w:r w:rsidRPr="004C6591">
        <w:t>.</w:t>
      </w:r>
    </w:p>
    <w:p w14:paraId="30A99477" w14:textId="77777777" w:rsidR="002E492C" w:rsidRPr="004C6591" w:rsidRDefault="002E492C" w:rsidP="00435CBD">
      <w:r w:rsidRPr="004C6591">
        <w:t xml:space="preserve">Paplomata E and O'Regan R (2014) 'The PI3K/AKT/mTOR pathway in breast cancer: targets, trials and biomarkers', </w:t>
      </w:r>
      <w:r w:rsidRPr="004C6591">
        <w:rPr>
          <w:i/>
        </w:rPr>
        <w:t>Ther Adv Med Oncol</w:t>
      </w:r>
      <w:r w:rsidRPr="004C6591">
        <w:t>,</w:t>
      </w:r>
      <w:r w:rsidRPr="004C6591">
        <w:rPr>
          <w:i/>
        </w:rPr>
        <w:t xml:space="preserve"> </w:t>
      </w:r>
      <w:r w:rsidRPr="004C6591">
        <w:t xml:space="preserve">6(4), 154-166, doi:10.1177/1758834014530023. </w:t>
      </w:r>
    </w:p>
    <w:p w14:paraId="0EE09A24" w14:textId="403D0CB4" w:rsidR="00F3361D" w:rsidRPr="004C6591" w:rsidRDefault="00F3361D" w:rsidP="00435CBD">
      <w:r w:rsidRPr="004C6591">
        <w:t xml:space="preserve">Pascual J, Attard G, Bidard FC, Curigliano G, De Mattos-Arruda L, Diehn M, Italiano A, Lindberg J, Merker JD, Montagut C, Normanno N, Pantel K, Pentheroudakis G, Popat S, Reis-Filho JS, Tie J, Seoane J, Tarazona N, Yoshino T, Turner NC (2022) 'ESMO recommendations on the use of circulating tumour DNA assays for patients with cancer: a report from the ESMO Precision Medicine Working Group', </w:t>
      </w:r>
      <w:r w:rsidRPr="004C6591">
        <w:rPr>
          <w:i/>
          <w:iCs/>
        </w:rPr>
        <w:t>Ann Oncol</w:t>
      </w:r>
      <w:r w:rsidRPr="004C6591">
        <w:t>, 33(8), 750-768, doi: 10.1016/j.annonc.2022.05.520.</w:t>
      </w:r>
    </w:p>
    <w:p w14:paraId="74B1631B" w14:textId="77777777" w:rsidR="002E492C" w:rsidRPr="004C6591" w:rsidRDefault="002E492C" w:rsidP="00435CBD">
      <w:r w:rsidRPr="004C6591">
        <w:t xml:space="preserve">Peto R, Davies C, Godwin J, Gray R, Pan HC, Clarke M, Cutter D, Darby S, McGale P, Taylor C, Wang YC, Bergh J, Di Leo A, Albain K, Swain S, Piccart M, and Pritchard K (2012) 'Comparisons between different polychemotherapy regimens for early breast cancer: meta-analyses of long-term outcome among 100,000 women in 123 randomised trials', </w:t>
      </w:r>
      <w:r w:rsidRPr="004C6591">
        <w:rPr>
          <w:i/>
        </w:rPr>
        <w:t>Lancet</w:t>
      </w:r>
      <w:r w:rsidRPr="004C6591">
        <w:t>,</w:t>
      </w:r>
      <w:r w:rsidRPr="004C6591">
        <w:rPr>
          <w:i/>
        </w:rPr>
        <w:t xml:space="preserve"> </w:t>
      </w:r>
      <w:r w:rsidRPr="004C6591">
        <w:t xml:space="preserve">379(9814), 432-444, doi:10.1016/s0140-6736(11)61625-5. </w:t>
      </w:r>
    </w:p>
    <w:p w14:paraId="543406C2" w14:textId="77777777" w:rsidR="002E492C" w:rsidRPr="004C6591" w:rsidRDefault="002E492C" w:rsidP="00435CBD">
      <w:r w:rsidRPr="004C6591">
        <w:t xml:space="preserve">Reinhardt K, Stückrath K, Hartung C, Kaufhold S, Uleer C, Hanf V, Lantzsch T, Peschel S, John J, Pöhler M, Bauer M, Bürrig FK, Weigert E, Buchmann J, Kantelhardt EJ, Thomssen C, and Vetter M (2022) 'PIK3CA-mutations in breast cancer', </w:t>
      </w:r>
      <w:r w:rsidRPr="004C6591">
        <w:rPr>
          <w:i/>
        </w:rPr>
        <w:t>Breast Cancer Res Treat</w:t>
      </w:r>
      <w:r w:rsidRPr="004C6591">
        <w:t>,</w:t>
      </w:r>
      <w:r w:rsidRPr="004C6591">
        <w:rPr>
          <w:i/>
        </w:rPr>
        <w:t xml:space="preserve"> </w:t>
      </w:r>
      <w:r w:rsidRPr="004C6591">
        <w:t xml:space="preserve">196(3), 483-493, doi:10.1007/s10549-022-06637-w. </w:t>
      </w:r>
    </w:p>
    <w:p w14:paraId="6AF4155E" w14:textId="77777777" w:rsidR="002E492C" w:rsidRPr="004C6591" w:rsidRDefault="002E492C" w:rsidP="00435CBD">
      <w:r w:rsidRPr="004C6591">
        <w:t xml:space="preserve">Rolfo CD, Madison RW, Pasquina LW, Brown DW, Huang Y, Hughes JD, Graf RP, Oxnard GR, and Husain H (2024) 'Measurement of ctDNA Tumor Fraction Identifies Informative Negative Liquid Biopsy Results and Informs Value of Tissue Confirmation', </w:t>
      </w:r>
      <w:r w:rsidRPr="004C6591">
        <w:rPr>
          <w:i/>
        </w:rPr>
        <w:t>Clinical Cancer Research</w:t>
      </w:r>
      <w:r w:rsidRPr="004C6591">
        <w:t>,</w:t>
      </w:r>
      <w:r w:rsidRPr="004C6591">
        <w:rPr>
          <w:i/>
        </w:rPr>
        <w:t xml:space="preserve"> </w:t>
      </w:r>
      <w:r w:rsidRPr="004C6591">
        <w:t xml:space="preserve">30(11), 2452-2460, doi:10.1158/1078-0432.CCR-23-3321. </w:t>
      </w:r>
    </w:p>
    <w:p w14:paraId="30E4AFA2" w14:textId="77777777" w:rsidR="002E492C" w:rsidRPr="004C6591" w:rsidRDefault="002E492C" w:rsidP="00435CBD">
      <w:r w:rsidRPr="004C6591">
        <w:t xml:space="preserve">Schagerholm C, Robertson S, Toosi H, Sifakis EG, and Hartman J (2024) 'PIK3CA mutations in endocrine-resistant breast cancer', </w:t>
      </w:r>
      <w:r w:rsidRPr="004C6591">
        <w:rPr>
          <w:i/>
        </w:rPr>
        <w:t>Scientific Reports</w:t>
      </w:r>
      <w:r w:rsidRPr="004C6591">
        <w:t>,</w:t>
      </w:r>
      <w:r w:rsidRPr="004C6591">
        <w:rPr>
          <w:i/>
        </w:rPr>
        <w:t xml:space="preserve"> </w:t>
      </w:r>
      <w:r w:rsidRPr="004C6591">
        <w:t xml:space="preserve">14(1), 12542, doi:10.1038/s41598-024-62664-1. </w:t>
      </w:r>
    </w:p>
    <w:p w14:paraId="5032B6B0" w14:textId="21536E81" w:rsidR="002E492C" w:rsidRPr="004C6591" w:rsidRDefault="002E492C" w:rsidP="00435CBD">
      <w:r w:rsidRPr="004C6591">
        <w:lastRenderedPageBreak/>
        <w:t xml:space="preserve">Sonic Genetics (2023) </w:t>
      </w:r>
      <w:hyperlink r:id="rId28" w:history="1">
        <w:r w:rsidRPr="004C6591">
          <w:rPr>
            <w:rStyle w:val="Hyperlink"/>
            <w:rFonts w:ascii="Calibri" w:hAnsi="Calibri" w:cs="Calibri"/>
            <w:i/>
          </w:rPr>
          <w:t>Solid tumour test menu</w:t>
        </w:r>
      </w:hyperlink>
      <w:r w:rsidRPr="004C6591">
        <w:t xml:space="preserve">, Sonic Healthcare, accessed 18 June 2024. </w:t>
      </w:r>
    </w:p>
    <w:p w14:paraId="449759CD" w14:textId="18C321EF" w:rsidR="002E492C" w:rsidRPr="004C6591" w:rsidRDefault="002E492C" w:rsidP="00435CBD">
      <w:r w:rsidRPr="004C6591">
        <w:t xml:space="preserve">Sonic Genetics (2024) </w:t>
      </w:r>
      <w:hyperlink r:id="rId29" w:history="1">
        <w:r w:rsidRPr="004C6591">
          <w:rPr>
            <w:rStyle w:val="Hyperlink"/>
            <w:rFonts w:ascii="Calibri" w:hAnsi="Calibri" w:cs="Calibri"/>
            <w:i/>
          </w:rPr>
          <w:t>Breast cancer focused gene panel</w:t>
        </w:r>
      </w:hyperlink>
      <w:r w:rsidRPr="004C6591">
        <w:t xml:space="preserve">, accessed 18 June 2024. </w:t>
      </w:r>
    </w:p>
    <w:p w14:paraId="7D5CDB78" w14:textId="4F43F43F" w:rsidR="002E492C" w:rsidRPr="004C6591" w:rsidRDefault="002E492C" w:rsidP="00435CBD">
      <w:r w:rsidRPr="004C6591">
        <w:t xml:space="preserve">TGA (Therapeutic Goods Administration) (2020) </w:t>
      </w:r>
      <w:hyperlink r:id="rId30" w:history="1">
        <w:r w:rsidRPr="004C6591">
          <w:rPr>
            <w:rStyle w:val="Hyperlink"/>
            <w:rFonts w:ascii="Calibri" w:hAnsi="Calibri" w:cs="Calibri"/>
            <w:i/>
          </w:rPr>
          <w:t>Australian Public Assessment Report for Alpelisib</w:t>
        </w:r>
      </w:hyperlink>
      <w:r w:rsidRPr="004C6591">
        <w:t xml:space="preserve">,  accessed </w:t>
      </w:r>
      <w:r w:rsidR="00BD72D1" w:rsidRPr="004C6591">
        <w:t xml:space="preserve">18 June </w:t>
      </w:r>
      <w:r w:rsidRPr="004C6591">
        <w:t xml:space="preserve">2024. </w:t>
      </w:r>
    </w:p>
    <w:p w14:paraId="6E5C8E2A" w14:textId="77777777" w:rsidR="002E492C" w:rsidRPr="004C6591" w:rsidRDefault="002E492C" w:rsidP="00435CBD">
      <w:r w:rsidRPr="004C6591">
        <w:t xml:space="preserve">van Geelen CT, Savas P, Teo ZL, Luen SJ, Weng CF, Ko YA, Kuykhoven KS, Caramia F, Salgado R, Francis PA, Dawson SJ, Fox SB, Fellowes A, and Loi S (2020) 'Clinical implications of prospective genomic profiling of metastatic breast cancer patients', </w:t>
      </w:r>
      <w:r w:rsidRPr="004C6591">
        <w:rPr>
          <w:i/>
        </w:rPr>
        <w:t>Breast Cancer Res</w:t>
      </w:r>
      <w:r w:rsidRPr="004C6591">
        <w:t>,</w:t>
      </w:r>
      <w:r w:rsidRPr="004C6591">
        <w:rPr>
          <w:i/>
        </w:rPr>
        <w:t xml:space="preserve"> </w:t>
      </w:r>
      <w:r w:rsidRPr="004C6591">
        <w:t xml:space="preserve">22(1), 91, doi:10.1186/s13058-020-01328-0. </w:t>
      </w:r>
    </w:p>
    <w:p w14:paraId="6FC6DFF5" w14:textId="77777777" w:rsidR="002E492C" w:rsidRPr="004C6591" w:rsidRDefault="002E492C" w:rsidP="00435CBD">
      <w:r w:rsidRPr="004C6591">
        <w:t xml:space="preserve">Vasan N, Toska E, and Scaltriti M (2019) 'Overview of the relevance of PI3K pathway in HR-positive breast cancer', </w:t>
      </w:r>
      <w:r w:rsidRPr="004C6591">
        <w:rPr>
          <w:i/>
        </w:rPr>
        <w:t>Annals of Oncology</w:t>
      </w:r>
      <w:r w:rsidRPr="004C6591">
        <w:t>,</w:t>
      </w:r>
      <w:r w:rsidRPr="004C6591">
        <w:rPr>
          <w:i/>
        </w:rPr>
        <w:t xml:space="preserve"> </w:t>
      </w:r>
      <w:r w:rsidRPr="004C6591">
        <w:t xml:space="preserve">30, x3-x11, doi:10.1093/annonc/mdz281. </w:t>
      </w:r>
    </w:p>
    <w:p w14:paraId="3B8AC033" w14:textId="77777777" w:rsidR="002E492C" w:rsidRPr="004C6591" w:rsidRDefault="002E492C" w:rsidP="00435CBD">
      <w:r w:rsidRPr="004C6591">
        <w:t xml:space="preserve">Vollbrecht C, Hoffmann I, Lehmann A, Merkelbach-Bruse S, Fassunke J, Wagener-Ryczek S, Ball M, Dimitrova L, Hartmann A, Stöhr R, Erber R, Weichert W, Pfarr N, Bohlmann L, Jung A, Dietmaier W, Dietel M, Horst D, and Hummel M (2023) 'Proficiency testing of PIK3CA mutations in HR+/HER2-breast cancer on liquid biopsy and tissue', </w:t>
      </w:r>
      <w:r w:rsidRPr="004C6591">
        <w:rPr>
          <w:i/>
        </w:rPr>
        <w:t>Virchows Archiv</w:t>
      </w:r>
      <w:r w:rsidRPr="004C6591">
        <w:t>,</w:t>
      </w:r>
      <w:r w:rsidRPr="004C6591">
        <w:rPr>
          <w:i/>
        </w:rPr>
        <w:t xml:space="preserve"> </w:t>
      </w:r>
      <w:r w:rsidRPr="004C6591">
        <w:t xml:space="preserve">482(4), 697-706, doi:10.1007/s00428-022-03445-x. </w:t>
      </w:r>
    </w:p>
    <w:p w14:paraId="54FC4AA7" w14:textId="77777777" w:rsidR="002E492C" w:rsidRPr="004C6591" w:rsidRDefault="002E492C" w:rsidP="00435CBD">
      <w:r w:rsidRPr="004C6591">
        <w:t xml:space="preserve">Woodhouse R, Li M, Hughes J, Delfosse D, Skoletsky J, Ma P, Meng W, Dewal N, Milbury C, Clark T, Donahue A, Stover D, Kennedy M, Dacpano-Komansky J, Burns C, Vietz C, Alexander B, Hegde P, and Dennis L (2020) 'Clinical and analytical validation of FoundationOne Liquid CDx, a novel 324-Gene cfDNA-based comprehensive genomic profiling assay for cancers of solid tumor origin', </w:t>
      </w:r>
      <w:r w:rsidRPr="004C6591">
        <w:rPr>
          <w:i/>
        </w:rPr>
        <w:t>PLoS One</w:t>
      </w:r>
      <w:r w:rsidRPr="004C6591">
        <w:t>,</w:t>
      </w:r>
      <w:r w:rsidRPr="004C6591">
        <w:rPr>
          <w:i/>
        </w:rPr>
        <w:t xml:space="preserve"> </w:t>
      </w:r>
      <w:r w:rsidRPr="004C6591">
        <w:t xml:space="preserve">15(9), e0237802, doi:10.1371/journal.pone.0237802. </w:t>
      </w:r>
    </w:p>
    <w:p w14:paraId="0AEF606A" w14:textId="7CFDFB9C" w:rsidR="00120EA7" w:rsidRPr="004C6591" w:rsidRDefault="002E492C" w:rsidP="00435CBD">
      <w:pPr>
        <w:rPr>
          <w:rFonts w:ascii="Franklin Gothic Medium" w:eastAsiaTheme="majorEastAsia" w:hAnsi="Franklin Gothic Medium" w:cstheme="majorBidi"/>
          <w:color w:val="000000" w:themeColor="text1"/>
          <w:sz w:val="32"/>
          <w:szCs w:val="26"/>
        </w:rPr>
      </w:pPr>
      <w:r w:rsidRPr="004C6591">
        <w:fldChar w:fldCharType="end"/>
      </w:r>
      <w:r w:rsidR="00120EA7" w:rsidRPr="004C6591">
        <w:br w:type="page"/>
      </w:r>
    </w:p>
    <w:p w14:paraId="56DD1D22" w14:textId="5329F02A" w:rsidR="000E1BAD" w:rsidRPr="004C6591" w:rsidRDefault="000E1BAD" w:rsidP="000E1BAD">
      <w:pPr>
        <w:pStyle w:val="Heading2"/>
      </w:pPr>
      <w:r w:rsidRPr="004C6591">
        <w:lastRenderedPageBreak/>
        <w:t>Appendix 1</w:t>
      </w:r>
      <w:bookmarkEnd w:id="29"/>
    </w:p>
    <w:p w14:paraId="15A9C091" w14:textId="77777777" w:rsidR="000E1BAD" w:rsidRPr="004C6591" w:rsidRDefault="000E1BAD" w:rsidP="000E1BAD">
      <w:pPr>
        <w:keepNext/>
      </w:pPr>
      <w:r w:rsidRPr="004C6591">
        <w:rPr>
          <w:noProof/>
        </w:rPr>
        <w:drawing>
          <wp:inline distT="0" distB="0" distL="0" distR="0" wp14:anchorId="5541AAAF" wp14:editId="35D4DBFE">
            <wp:extent cx="3784821" cy="2422743"/>
            <wp:effectExtent l="0" t="0" r="6350" b="0"/>
            <wp:docPr id="341742131" name="Picture 341742131" descr="Clinical management algorithm without PIK3CA testing and inavolisib for test population of HR+/HER2- locally advanced or metastatic breas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42131" name="Picture 341742131" descr="Clinical management algorithm without PIK3CA testing and inavolisib for test population of HR+/HER2- locally advanced or metastatic breast cancer."/>
                    <pic:cNvPicPr/>
                  </pic:nvPicPr>
                  <pic:blipFill>
                    <a:blip r:embed="rId31">
                      <a:extLst>
                        <a:ext uri="{28A0092B-C50C-407E-A947-70E740481C1C}">
                          <a14:useLocalDpi xmlns:a14="http://schemas.microsoft.com/office/drawing/2010/main" val="0"/>
                        </a:ext>
                      </a:extLst>
                    </a:blip>
                    <a:stretch>
                      <a:fillRect/>
                    </a:stretch>
                  </pic:blipFill>
                  <pic:spPr>
                    <a:xfrm>
                      <a:off x="0" y="0"/>
                      <a:ext cx="3798174" cy="2431291"/>
                    </a:xfrm>
                    <a:prstGeom prst="rect">
                      <a:avLst/>
                    </a:prstGeom>
                  </pic:spPr>
                </pic:pic>
              </a:graphicData>
            </a:graphic>
          </wp:inline>
        </w:drawing>
      </w:r>
    </w:p>
    <w:p w14:paraId="037D0FAE" w14:textId="667408F9" w:rsidR="000E1BAD" w:rsidRPr="004C6591" w:rsidRDefault="000E1BAD" w:rsidP="000E1BAD">
      <w:pPr>
        <w:pStyle w:val="Caption"/>
        <w:rPr>
          <w:lang w:val="en-AU"/>
        </w:rPr>
      </w:pPr>
      <w:r w:rsidRPr="004C6591">
        <w:rPr>
          <w:lang w:val="en-AU"/>
        </w:rPr>
        <w:t xml:space="preserve">Appendix Figure </w:t>
      </w:r>
      <w:r w:rsidR="004B41E2" w:rsidRPr="004C6591">
        <w:rPr>
          <w:lang w:val="en-AU"/>
        </w:rPr>
        <w:t>5</w:t>
      </w:r>
      <w:r w:rsidRPr="004C6591">
        <w:rPr>
          <w:lang w:val="en-AU"/>
        </w:rPr>
        <w:t xml:space="preserve">: Clinical management algorithm </w:t>
      </w:r>
      <w:r w:rsidRPr="004C6591">
        <w:rPr>
          <w:u w:val="single"/>
          <w:lang w:val="en-AU"/>
        </w:rPr>
        <w:t>without</w:t>
      </w:r>
      <w:r w:rsidRPr="004C6591">
        <w:rPr>
          <w:lang w:val="en-AU"/>
        </w:rPr>
        <w:t xml:space="preserve"> </w:t>
      </w:r>
      <w:r w:rsidRPr="00C65136">
        <w:rPr>
          <w:i/>
          <w:lang w:val="en-AU"/>
        </w:rPr>
        <w:t>PIK3CA</w:t>
      </w:r>
      <w:r w:rsidRPr="004C6591">
        <w:rPr>
          <w:lang w:val="en-AU"/>
        </w:rPr>
        <w:t xml:space="preserve"> testing and inavolisib.</w:t>
      </w:r>
    </w:p>
    <w:p w14:paraId="01219410" w14:textId="24904FA2" w:rsidR="000E1BAD" w:rsidRPr="004C6591" w:rsidRDefault="000E1BAD" w:rsidP="000E1BAD">
      <w:pPr>
        <w:pStyle w:val="Tablenotes"/>
        <w:rPr>
          <w:lang w:eastAsia="ja-JP"/>
        </w:rPr>
      </w:pPr>
      <w:r w:rsidRPr="004C6591">
        <w:rPr>
          <w:lang w:eastAsia="ja-JP"/>
        </w:rPr>
        <w:t>Source: Figure 1, p13 of MSAC application 1783 PICO set</w:t>
      </w:r>
    </w:p>
    <w:p w14:paraId="2ABA4256" w14:textId="77777777" w:rsidR="000E1BAD" w:rsidRPr="004C6591" w:rsidRDefault="000E1BAD" w:rsidP="000E1BAD">
      <w:pPr>
        <w:rPr>
          <w:lang w:eastAsia="ja-JP"/>
        </w:rPr>
      </w:pPr>
    </w:p>
    <w:p w14:paraId="4587D8CE" w14:textId="77777777" w:rsidR="000E1BAD" w:rsidRPr="004C6591" w:rsidRDefault="000E1BAD" w:rsidP="000E1BAD">
      <w:pPr>
        <w:keepNext/>
      </w:pPr>
      <w:r w:rsidRPr="004C6591">
        <w:rPr>
          <w:noProof/>
          <w:lang w:eastAsia="ja-JP"/>
        </w:rPr>
        <w:drawing>
          <wp:inline distT="0" distB="0" distL="0" distR="0" wp14:anchorId="184A2625" wp14:editId="6461D447">
            <wp:extent cx="3741487" cy="2751151"/>
            <wp:effectExtent l="0" t="0" r="0" b="0"/>
            <wp:docPr id="2141958976" name="Picture 2141958976" descr="Clinical management algorithm with PIK3CA testing and inavolisib for test population of HR+/HER2- locally advanced or metastatic breas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58976" name="Picture 2141958976" descr="Clinical management algorithm with PIK3CA testing and inavolisib for test population of HR+/HER2- locally advanced or metastatic breast cancer."/>
                    <pic:cNvPicPr/>
                  </pic:nvPicPr>
                  <pic:blipFill>
                    <a:blip r:embed="rId32">
                      <a:extLst>
                        <a:ext uri="{28A0092B-C50C-407E-A947-70E740481C1C}">
                          <a14:useLocalDpi xmlns:a14="http://schemas.microsoft.com/office/drawing/2010/main" val="0"/>
                        </a:ext>
                      </a:extLst>
                    </a:blip>
                    <a:stretch>
                      <a:fillRect/>
                    </a:stretch>
                  </pic:blipFill>
                  <pic:spPr>
                    <a:xfrm>
                      <a:off x="0" y="0"/>
                      <a:ext cx="3750618" cy="2757865"/>
                    </a:xfrm>
                    <a:prstGeom prst="rect">
                      <a:avLst/>
                    </a:prstGeom>
                  </pic:spPr>
                </pic:pic>
              </a:graphicData>
            </a:graphic>
          </wp:inline>
        </w:drawing>
      </w:r>
    </w:p>
    <w:p w14:paraId="267A8E22" w14:textId="04BD3AB0" w:rsidR="000E1BAD" w:rsidRPr="004C6591" w:rsidRDefault="000E1BAD" w:rsidP="000E1BAD">
      <w:pPr>
        <w:pStyle w:val="Caption"/>
        <w:rPr>
          <w:lang w:val="en-AU"/>
        </w:rPr>
      </w:pPr>
      <w:r w:rsidRPr="004C6591">
        <w:rPr>
          <w:lang w:val="en-AU"/>
        </w:rPr>
        <w:t xml:space="preserve">Appendix Figure </w:t>
      </w:r>
      <w:r w:rsidR="004B41E2" w:rsidRPr="004C6591">
        <w:rPr>
          <w:lang w:val="en-AU"/>
        </w:rPr>
        <w:t>6</w:t>
      </w:r>
      <w:r w:rsidRPr="004C6591">
        <w:rPr>
          <w:lang w:val="en-AU"/>
        </w:rPr>
        <w:t xml:space="preserve">: Clinical management algorithm </w:t>
      </w:r>
      <w:r w:rsidRPr="00C65136">
        <w:rPr>
          <w:u w:val="single"/>
          <w:lang w:val="en-AU"/>
        </w:rPr>
        <w:t xml:space="preserve">with </w:t>
      </w:r>
      <w:r w:rsidRPr="00C65136">
        <w:rPr>
          <w:i/>
          <w:lang w:val="en-AU"/>
        </w:rPr>
        <w:t>PIK3CA</w:t>
      </w:r>
      <w:r w:rsidRPr="004C6591">
        <w:rPr>
          <w:lang w:val="en-AU"/>
        </w:rPr>
        <w:t xml:space="preserve"> testing and inavolisib</w:t>
      </w:r>
    </w:p>
    <w:p w14:paraId="488C7737" w14:textId="745CF185" w:rsidR="000E1BAD" w:rsidRPr="004C6591" w:rsidRDefault="000E1BAD" w:rsidP="000E1BAD">
      <w:pPr>
        <w:pStyle w:val="Tablenotes"/>
        <w:rPr>
          <w:lang w:eastAsia="ja-JP"/>
        </w:rPr>
      </w:pPr>
      <w:r w:rsidRPr="004C6591">
        <w:rPr>
          <w:lang w:eastAsia="ja-JP"/>
        </w:rPr>
        <w:t>Source: Figure 2, p14 of MSAC application 1783 PICO set</w:t>
      </w:r>
    </w:p>
    <w:sectPr w:rsidR="000E1BAD" w:rsidRPr="004C6591" w:rsidSect="00530F1D">
      <w:headerReference w:type="even" r:id="rId33"/>
      <w:headerReference w:type="default" r:id="rId34"/>
      <w:footerReference w:type="even" r:id="rId35"/>
      <w:footerReference w:type="default" r:id="rId36"/>
      <w:headerReference w:type="first" r:id="rId37"/>
      <w:footerReference w:type="first" r:id="rId38"/>
      <w:pgSz w:w="11906" w:h="16838"/>
      <w:pgMar w:top="682" w:right="1134" w:bottom="1021" w:left="119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E72C4" w14:textId="77777777" w:rsidR="00C65136" w:rsidRDefault="00C65136" w:rsidP="0016315C">
      <w:pPr>
        <w:spacing w:after="0" w:line="240" w:lineRule="auto"/>
      </w:pPr>
      <w:r>
        <w:separator/>
      </w:r>
    </w:p>
  </w:endnote>
  <w:endnote w:type="continuationSeparator" w:id="0">
    <w:p w14:paraId="26D1EDC8" w14:textId="77777777" w:rsidR="00C65136" w:rsidRDefault="00C65136" w:rsidP="0016315C">
      <w:pPr>
        <w:spacing w:after="0" w:line="240" w:lineRule="auto"/>
      </w:pPr>
      <w:r>
        <w:continuationSeparator/>
      </w:r>
    </w:p>
  </w:endnote>
  <w:endnote w:type="continuationNotice" w:id="1">
    <w:p w14:paraId="1B421FDE" w14:textId="77777777" w:rsidR="00C65136" w:rsidRDefault="00C651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D3D2" w14:textId="3251E85A" w:rsidR="00685355" w:rsidRDefault="006853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A1E02">
      <w:rPr>
        <w:rStyle w:val="PageNumber"/>
        <w:noProof/>
      </w:rPr>
      <w:t>1</w:t>
    </w:r>
    <w:r>
      <w:rPr>
        <w:rStyle w:val="PageNumber"/>
      </w:rPr>
      <w:fldChar w:fldCharType="end"/>
    </w:r>
  </w:p>
  <w:p w14:paraId="74E72C2D" w14:textId="77777777" w:rsidR="00685355" w:rsidRDefault="00685355"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382827"/>
      <w:docPartObj>
        <w:docPartGallery w:val="Page Numbers (Bottom of Page)"/>
        <w:docPartUnique/>
      </w:docPartObj>
    </w:sdtPr>
    <w:sdtEndPr>
      <w:rPr>
        <w:rStyle w:val="PageNumber"/>
      </w:rPr>
    </w:sdtEndPr>
    <w:sdtContent>
      <w:p w14:paraId="4DE593B1" w14:textId="39D5A86A" w:rsidR="00685355" w:rsidRDefault="006853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72F2BE" w14:textId="77777777" w:rsidR="00A04445" w:rsidRDefault="00A04445" w:rsidP="00BB0FFB">
    <w:pPr>
      <w:jc w:val="center"/>
    </w:pPr>
  </w:p>
  <w:p w14:paraId="33649654" w14:textId="64A1157A" w:rsidR="0016315C" w:rsidRPr="00685355" w:rsidRDefault="008020CA" w:rsidP="00BB0FFB">
    <w:pPr>
      <w:jc w:val="center"/>
    </w:pPr>
    <w:r>
      <w:t xml:space="preserve">Ratified </w:t>
    </w:r>
    <w:r w:rsidR="60009B8A">
      <w:t xml:space="preserve">PICO Confirmation – </w:t>
    </w:r>
    <w:r w:rsidR="00B42656">
      <w:t xml:space="preserve">August </w:t>
    </w:r>
    <w:r w:rsidR="00B42656" w:rsidRPr="00B42656">
      <w:t>2024</w:t>
    </w:r>
    <w:r w:rsidR="60009B8A" w:rsidRPr="00B42656">
      <w:t xml:space="preserve"> PASC Meeting</w:t>
    </w:r>
    <w:r w:rsidR="00BB0FFB">
      <w:br/>
    </w:r>
    <w:r w:rsidR="60009B8A">
      <w:t xml:space="preserve">Application </w:t>
    </w:r>
    <w:r w:rsidR="00B42656">
      <w:t xml:space="preserve">1783 - </w:t>
    </w:r>
    <w:r w:rsidR="00B42656" w:rsidRPr="00B42656">
      <w:t xml:space="preserve">Genetic testing to detect </w:t>
    </w:r>
    <w:r w:rsidR="00B42656" w:rsidRPr="00C65136">
      <w:rPr>
        <w:i/>
      </w:rPr>
      <w:t>PIK3CA</w:t>
    </w:r>
    <w:r w:rsidR="00B42656" w:rsidRPr="00B42656">
      <w:t xml:space="preserve"> mutations in patients with </w:t>
    </w:r>
    <w:r w:rsidR="00B42656">
      <w:t>HR</w:t>
    </w:r>
    <w:r w:rsidR="00C521CC">
      <w:t>+</w:t>
    </w:r>
    <w:r w:rsidR="00B42656">
      <w:t>/HER2</w:t>
    </w:r>
    <w:r w:rsidR="00C521CC">
      <w:t>-</w:t>
    </w:r>
    <w:r w:rsidR="00B42656">
      <w:t>,</w:t>
    </w:r>
    <w:r w:rsidR="00B42656" w:rsidRPr="00B42656">
      <w:t xml:space="preserve"> locally advanced or metastatic breast cancer, to determine eligibility for treatment with PBS subsidised inavolisib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592D7" w14:textId="77777777" w:rsidR="00536872" w:rsidRDefault="00536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76725" w14:textId="77777777" w:rsidR="00C65136" w:rsidRDefault="00C65136" w:rsidP="0016315C">
      <w:pPr>
        <w:spacing w:after="0" w:line="240" w:lineRule="auto"/>
      </w:pPr>
      <w:r>
        <w:separator/>
      </w:r>
    </w:p>
  </w:footnote>
  <w:footnote w:type="continuationSeparator" w:id="0">
    <w:p w14:paraId="6993D1B4" w14:textId="77777777" w:rsidR="00C65136" w:rsidRDefault="00C65136" w:rsidP="0016315C">
      <w:pPr>
        <w:spacing w:after="0" w:line="240" w:lineRule="auto"/>
      </w:pPr>
      <w:r>
        <w:continuationSeparator/>
      </w:r>
    </w:p>
  </w:footnote>
  <w:footnote w:type="continuationNotice" w:id="1">
    <w:p w14:paraId="58E4D5F7" w14:textId="77777777" w:rsidR="00C65136" w:rsidRDefault="00C651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16CA" w14:textId="77777777" w:rsidR="00536872" w:rsidRDefault="00536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628F6C62" w14:paraId="30E3AEF3" w14:textId="77777777" w:rsidTr="009A4FFB">
      <w:trPr>
        <w:trHeight w:val="300"/>
      </w:trPr>
      <w:tc>
        <w:tcPr>
          <w:tcW w:w="3190" w:type="dxa"/>
        </w:tcPr>
        <w:p w14:paraId="49F52A5F" w14:textId="193E79C1" w:rsidR="628F6C62" w:rsidRDefault="628F6C62" w:rsidP="009A4FFB">
          <w:pPr>
            <w:pStyle w:val="Header"/>
            <w:ind w:left="-115"/>
          </w:pPr>
        </w:p>
      </w:tc>
      <w:tc>
        <w:tcPr>
          <w:tcW w:w="3190" w:type="dxa"/>
        </w:tcPr>
        <w:p w14:paraId="36E67869" w14:textId="784854AB" w:rsidR="628F6C62" w:rsidRDefault="628F6C62" w:rsidP="009A4FFB">
          <w:pPr>
            <w:pStyle w:val="Header"/>
            <w:jc w:val="center"/>
          </w:pPr>
        </w:p>
      </w:tc>
      <w:tc>
        <w:tcPr>
          <w:tcW w:w="3190" w:type="dxa"/>
        </w:tcPr>
        <w:p w14:paraId="7D0E02FB" w14:textId="1ED15B37" w:rsidR="628F6C62" w:rsidRDefault="628F6C62" w:rsidP="009A4FFB">
          <w:pPr>
            <w:pStyle w:val="Header"/>
            <w:ind w:right="-115"/>
            <w:jc w:val="right"/>
          </w:pPr>
        </w:p>
      </w:tc>
    </w:tr>
  </w:tbl>
  <w:p w14:paraId="1C2EB0F3" w14:textId="656C0405" w:rsidR="628F6C62" w:rsidRDefault="628F6C62" w:rsidP="009A4F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141B" w14:textId="77777777" w:rsidR="00536872" w:rsidRDefault="00536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5055"/>
    <w:multiLevelType w:val="hybridMultilevel"/>
    <w:tmpl w:val="FFFFFFFF"/>
    <w:lvl w:ilvl="0" w:tplc="ACE2F912">
      <w:start w:val="1"/>
      <w:numFmt w:val="bullet"/>
      <w:lvlText w:val="·"/>
      <w:lvlJc w:val="left"/>
      <w:pPr>
        <w:ind w:left="720" w:hanging="360"/>
      </w:pPr>
      <w:rPr>
        <w:rFonts w:ascii="Symbol" w:hAnsi="Symbol" w:hint="default"/>
      </w:rPr>
    </w:lvl>
    <w:lvl w:ilvl="1" w:tplc="C7966A66">
      <w:start w:val="1"/>
      <w:numFmt w:val="bullet"/>
      <w:lvlText w:val="o"/>
      <w:lvlJc w:val="left"/>
      <w:pPr>
        <w:ind w:left="1440" w:hanging="360"/>
      </w:pPr>
      <w:rPr>
        <w:rFonts w:ascii="Courier New" w:hAnsi="Courier New" w:hint="default"/>
      </w:rPr>
    </w:lvl>
    <w:lvl w:ilvl="2" w:tplc="3C70F032">
      <w:start w:val="1"/>
      <w:numFmt w:val="bullet"/>
      <w:lvlText w:val=""/>
      <w:lvlJc w:val="left"/>
      <w:pPr>
        <w:ind w:left="2160" w:hanging="360"/>
      </w:pPr>
      <w:rPr>
        <w:rFonts w:ascii="Wingdings" w:hAnsi="Wingdings" w:hint="default"/>
      </w:rPr>
    </w:lvl>
    <w:lvl w:ilvl="3" w:tplc="5AB4120C">
      <w:start w:val="1"/>
      <w:numFmt w:val="bullet"/>
      <w:lvlText w:val=""/>
      <w:lvlJc w:val="left"/>
      <w:pPr>
        <w:ind w:left="2880" w:hanging="360"/>
      </w:pPr>
      <w:rPr>
        <w:rFonts w:ascii="Symbol" w:hAnsi="Symbol" w:hint="default"/>
      </w:rPr>
    </w:lvl>
    <w:lvl w:ilvl="4" w:tplc="CA54ADFA">
      <w:start w:val="1"/>
      <w:numFmt w:val="bullet"/>
      <w:lvlText w:val="o"/>
      <w:lvlJc w:val="left"/>
      <w:pPr>
        <w:ind w:left="3600" w:hanging="360"/>
      </w:pPr>
      <w:rPr>
        <w:rFonts w:ascii="Courier New" w:hAnsi="Courier New" w:hint="default"/>
      </w:rPr>
    </w:lvl>
    <w:lvl w:ilvl="5" w:tplc="BCD60338">
      <w:start w:val="1"/>
      <w:numFmt w:val="bullet"/>
      <w:lvlText w:val=""/>
      <w:lvlJc w:val="left"/>
      <w:pPr>
        <w:ind w:left="4320" w:hanging="360"/>
      </w:pPr>
      <w:rPr>
        <w:rFonts w:ascii="Wingdings" w:hAnsi="Wingdings" w:hint="default"/>
      </w:rPr>
    </w:lvl>
    <w:lvl w:ilvl="6" w:tplc="FB30EFE2">
      <w:start w:val="1"/>
      <w:numFmt w:val="bullet"/>
      <w:lvlText w:val=""/>
      <w:lvlJc w:val="left"/>
      <w:pPr>
        <w:ind w:left="5040" w:hanging="360"/>
      </w:pPr>
      <w:rPr>
        <w:rFonts w:ascii="Symbol" w:hAnsi="Symbol" w:hint="default"/>
      </w:rPr>
    </w:lvl>
    <w:lvl w:ilvl="7" w:tplc="5EBCE746">
      <w:start w:val="1"/>
      <w:numFmt w:val="bullet"/>
      <w:lvlText w:val="o"/>
      <w:lvlJc w:val="left"/>
      <w:pPr>
        <w:ind w:left="5760" w:hanging="360"/>
      </w:pPr>
      <w:rPr>
        <w:rFonts w:ascii="Courier New" w:hAnsi="Courier New" w:hint="default"/>
      </w:rPr>
    </w:lvl>
    <w:lvl w:ilvl="8" w:tplc="24D2F0C8">
      <w:start w:val="1"/>
      <w:numFmt w:val="bullet"/>
      <w:lvlText w:val=""/>
      <w:lvlJc w:val="left"/>
      <w:pPr>
        <w:ind w:left="6480" w:hanging="360"/>
      </w:pPr>
      <w:rPr>
        <w:rFonts w:ascii="Wingdings" w:hAnsi="Wingdings" w:hint="default"/>
      </w:rPr>
    </w:lvl>
  </w:abstractNum>
  <w:abstractNum w:abstractNumId="1" w15:restartNumberingAfterBreak="0">
    <w:nsid w:val="01C34060"/>
    <w:multiLevelType w:val="hybridMultilevel"/>
    <w:tmpl w:val="E0BC487E"/>
    <w:lvl w:ilvl="0" w:tplc="44090001">
      <w:start w:val="1"/>
      <w:numFmt w:val="bullet"/>
      <w:lvlText w:val=""/>
      <w:lvlJc w:val="left"/>
      <w:pPr>
        <w:ind w:left="765" w:hanging="360"/>
      </w:pPr>
      <w:rPr>
        <w:rFonts w:ascii="Symbol" w:hAnsi="Symbol" w:hint="default"/>
      </w:rPr>
    </w:lvl>
    <w:lvl w:ilvl="1" w:tplc="44090003" w:tentative="1">
      <w:start w:val="1"/>
      <w:numFmt w:val="bullet"/>
      <w:lvlText w:val="o"/>
      <w:lvlJc w:val="left"/>
      <w:pPr>
        <w:ind w:left="1485" w:hanging="360"/>
      </w:pPr>
      <w:rPr>
        <w:rFonts w:ascii="Courier New" w:hAnsi="Courier New" w:cs="Courier New" w:hint="default"/>
      </w:rPr>
    </w:lvl>
    <w:lvl w:ilvl="2" w:tplc="44090005" w:tentative="1">
      <w:start w:val="1"/>
      <w:numFmt w:val="bullet"/>
      <w:lvlText w:val=""/>
      <w:lvlJc w:val="left"/>
      <w:pPr>
        <w:ind w:left="2205" w:hanging="360"/>
      </w:pPr>
      <w:rPr>
        <w:rFonts w:ascii="Wingdings" w:hAnsi="Wingdings" w:hint="default"/>
      </w:rPr>
    </w:lvl>
    <w:lvl w:ilvl="3" w:tplc="44090001" w:tentative="1">
      <w:start w:val="1"/>
      <w:numFmt w:val="bullet"/>
      <w:lvlText w:val=""/>
      <w:lvlJc w:val="left"/>
      <w:pPr>
        <w:ind w:left="2925" w:hanging="360"/>
      </w:pPr>
      <w:rPr>
        <w:rFonts w:ascii="Symbol" w:hAnsi="Symbol" w:hint="default"/>
      </w:rPr>
    </w:lvl>
    <w:lvl w:ilvl="4" w:tplc="44090003" w:tentative="1">
      <w:start w:val="1"/>
      <w:numFmt w:val="bullet"/>
      <w:lvlText w:val="o"/>
      <w:lvlJc w:val="left"/>
      <w:pPr>
        <w:ind w:left="3645" w:hanging="360"/>
      </w:pPr>
      <w:rPr>
        <w:rFonts w:ascii="Courier New" w:hAnsi="Courier New" w:cs="Courier New" w:hint="default"/>
      </w:rPr>
    </w:lvl>
    <w:lvl w:ilvl="5" w:tplc="44090005" w:tentative="1">
      <w:start w:val="1"/>
      <w:numFmt w:val="bullet"/>
      <w:lvlText w:val=""/>
      <w:lvlJc w:val="left"/>
      <w:pPr>
        <w:ind w:left="4365" w:hanging="360"/>
      </w:pPr>
      <w:rPr>
        <w:rFonts w:ascii="Wingdings" w:hAnsi="Wingdings" w:hint="default"/>
      </w:rPr>
    </w:lvl>
    <w:lvl w:ilvl="6" w:tplc="44090001" w:tentative="1">
      <w:start w:val="1"/>
      <w:numFmt w:val="bullet"/>
      <w:lvlText w:val=""/>
      <w:lvlJc w:val="left"/>
      <w:pPr>
        <w:ind w:left="5085" w:hanging="360"/>
      </w:pPr>
      <w:rPr>
        <w:rFonts w:ascii="Symbol" w:hAnsi="Symbol" w:hint="default"/>
      </w:rPr>
    </w:lvl>
    <w:lvl w:ilvl="7" w:tplc="44090003" w:tentative="1">
      <w:start w:val="1"/>
      <w:numFmt w:val="bullet"/>
      <w:lvlText w:val="o"/>
      <w:lvlJc w:val="left"/>
      <w:pPr>
        <w:ind w:left="5805" w:hanging="360"/>
      </w:pPr>
      <w:rPr>
        <w:rFonts w:ascii="Courier New" w:hAnsi="Courier New" w:cs="Courier New" w:hint="default"/>
      </w:rPr>
    </w:lvl>
    <w:lvl w:ilvl="8" w:tplc="44090005" w:tentative="1">
      <w:start w:val="1"/>
      <w:numFmt w:val="bullet"/>
      <w:lvlText w:val=""/>
      <w:lvlJc w:val="left"/>
      <w:pPr>
        <w:ind w:left="6525" w:hanging="360"/>
      </w:pPr>
      <w:rPr>
        <w:rFonts w:ascii="Wingdings" w:hAnsi="Wingdings" w:hint="default"/>
      </w:rPr>
    </w:lvl>
  </w:abstractNum>
  <w:abstractNum w:abstractNumId="2" w15:restartNumberingAfterBreak="0">
    <w:nsid w:val="073D619F"/>
    <w:multiLevelType w:val="hybridMultilevel"/>
    <w:tmpl w:val="1CE0214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1EF2888"/>
    <w:multiLevelType w:val="hybridMultilevel"/>
    <w:tmpl w:val="27B0DE4A"/>
    <w:lvl w:ilvl="0" w:tplc="4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3D916B3"/>
    <w:multiLevelType w:val="hybridMultilevel"/>
    <w:tmpl w:val="E798452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18373458"/>
    <w:multiLevelType w:val="hybridMultilevel"/>
    <w:tmpl w:val="A5E251D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199D51D1"/>
    <w:multiLevelType w:val="hybridMultilevel"/>
    <w:tmpl w:val="07F250C4"/>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7" w15:restartNumberingAfterBreak="0">
    <w:nsid w:val="19FE5805"/>
    <w:multiLevelType w:val="hybridMultilevel"/>
    <w:tmpl w:val="F0301810"/>
    <w:lvl w:ilvl="0" w:tplc="44090001">
      <w:start w:val="1"/>
      <w:numFmt w:val="bullet"/>
      <w:lvlText w:val=""/>
      <w:lvlJc w:val="left"/>
      <w:pPr>
        <w:ind w:left="765" w:hanging="360"/>
      </w:pPr>
      <w:rPr>
        <w:rFonts w:ascii="Symbol" w:hAnsi="Symbol" w:hint="default"/>
      </w:rPr>
    </w:lvl>
    <w:lvl w:ilvl="1" w:tplc="44090003" w:tentative="1">
      <w:start w:val="1"/>
      <w:numFmt w:val="bullet"/>
      <w:lvlText w:val="o"/>
      <w:lvlJc w:val="left"/>
      <w:pPr>
        <w:ind w:left="1485" w:hanging="360"/>
      </w:pPr>
      <w:rPr>
        <w:rFonts w:ascii="Courier New" w:hAnsi="Courier New" w:cs="Courier New" w:hint="default"/>
      </w:rPr>
    </w:lvl>
    <w:lvl w:ilvl="2" w:tplc="44090005" w:tentative="1">
      <w:start w:val="1"/>
      <w:numFmt w:val="bullet"/>
      <w:lvlText w:val=""/>
      <w:lvlJc w:val="left"/>
      <w:pPr>
        <w:ind w:left="2205" w:hanging="360"/>
      </w:pPr>
      <w:rPr>
        <w:rFonts w:ascii="Wingdings" w:hAnsi="Wingdings" w:hint="default"/>
      </w:rPr>
    </w:lvl>
    <w:lvl w:ilvl="3" w:tplc="44090001" w:tentative="1">
      <w:start w:val="1"/>
      <w:numFmt w:val="bullet"/>
      <w:lvlText w:val=""/>
      <w:lvlJc w:val="left"/>
      <w:pPr>
        <w:ind w:left="2925" w:hanging="360"/>
      </w:pPr>
      <w:rPr>
        <w:rFonts w:ascii="Symbol" w:hAnsi="Symbol" w:hint="default"/>
      </w:rPr>
    </w:lvl>
    <w:lvl w:ilvl="4" w:tplc="44090003" w:tentative="1">
      <w:start w:val="1"/>
      <w:numFmt w:val="bullet"/>
      <w:lvlText w:val="o"/>
      <w:lvlJc w:val="left"/>
      <w:pPr>
        <w:ind w:left="3645" w:hanging="360"/>
      </w:pPr>
      <w:rPr>
        <w:rFonts w:ascii="Courier New" w:hAnsi="Courier New" w:cs="Courier New" w:hint="default"/>
      </w:rPr>
    </w:lvl>
    <w:lvl w:ilvl="5" w:tplc="44090005" w:tentative="1">
      <w:start w:val="1"/>
      <w:numFmt w:val="bullet"/>
      <w:lvlText w:val=""/>
      <w:lvlJc w:val="left"/>
      <w:pPr>
        <w:ind w:left="4365" w:hanging="360"/>
      </w:pPr>
      <w:rPr>
        <w:rFonts w:ascii="Wingdings" w:hAnsi="Wingdings" w:hint="default"/>
      </w:rPr>
    </w:lvl>
    <w:lvl w:ilvl="6" w:tplc="44090001" w:tentative="1">
      <w:start w:val="1"/>
      <w:numFmt w:val="bullet"/>
      <w:lvlText w:val=""/>
      <w:lvlJc w:val="left"/>
      <w:pPr>
        <w:ind w:left="5085" w:hanging="360"/>
      </w:pPr>
      <w:rPr>
        <w:rFonts w:ascii="Symbol" w:hAnsi="Symbol" w:hint="default"/>
      </w:rPr>
    </w:lvl>
    <w:lvl w:ilvl="7" w:tplc="44090003" w:tentative="1">
      <w:start w:val="1"/>
      <w:numFmt w:val="bullet"/>
      <w:lvlText w:val="o"/>
      <w:lvlJc w:val="left"/>
      <w:pPr>
        <w:ind w:left="5805" w:hanging="360"/>
      </w:pPr>
      <w:rPr>
        <w:rFonts w:ascii="Courier New" w:hAnsi="Courier New" w:cs="Courier New" w:hint="default"/>
      </w:rPr>
    </w:lvl>
    <w:lvl w:ilvl="8" w:tplc="44090005" w:tentative="1">
      <w:start w:val="1"/>
      <w:numFmt w:val="bullet"/>
      <w:lvlText w:val=""/>
      <w:lvlJc w:val="left"/>
      <w:pPr>
        <w:ind w:left="6525" w:hanging="360"/>
      </w:pPr>
      <w:rPr>
        <w:rFonts w:ascii="Wingdings" w:hAnsi="Wingdings" w:hint="default"/>
      </w:rPr>
    </w:lvl>
  </w:abstractNum>
  <w:abstractNum w:abstractNumId="8" w15:restartNumberingAfterBreak="0">
    <w:nsid w:val="28AB6DCC"/>
    <w:multiLevelType w:val="hybridMultilevel"/>
    <w:tmpl w:val="1660B936"/>
    <w:lvl w:ilvl="0" w:tplc="24727F8E">
      <w:numFmt w:val="bullet"/>
      <w:lvlText w:val="•"/>
      <w:lvlJc w:val="left"/>
      <w:pPr>
        <w:ind w:left="1080" w:hanging="72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2A9B3F47"/>
    <w:multiLevelType w:val="hybridMultilevel"/>
    <w:tmpl w:val="99363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105476"/>
    <w:multiLevelType w:val="hybridMultilevel"/>
    <w:tmpl w:val="DD98B240"/>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2E7D215E"/>
    <w:multiLevelType w:val="hybridMultilevel"/>
    <w:tmpl w:val="4DA4096E"/>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2" w15:restartNumberingAfterBreak="0">
    <w:nsid w:val="34100466"/>
    <w:multiLevelType w:val="hybridMultilevel"/>
    <w:tmpl w:val="BCFC81E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341D0982"/>
    <w:multiLevelType w:val="hybridMultilevel"/>
    <w:tmpl w:val="EABE018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4" w15:restartNumberingAfterBreak="0">
    <w:nsid w:val="3528004B"/>
    <w:multiLevelType w:val="hybridMultilevel"/>
    <w:tmpl w:val="EE4673AC"/>
    <w:lvl w:ilvl="0" w:tplc="4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8200C2"/>
    <w:multiLevelType w:val="hybridMultilevel"/>
    <w:tmpl w:val="FFFFFFFF"/>
    <w:lvl w:ilvl="0" w:tplc="87A448BA">
      <w:start w:val="1"/>
      <w:numFmt w:val="bullet"/>
      <w:lvlText w:val="·"/>
      <w:lvlJc w:val="left"/>
      <w:pPr>
        <w:ind w:left="720" w:hanging="360"/>
      </w:pPr>
      <w:rPr>
        <w:rFonts w:ascii="Symbol" w:hAnsi="Symbol" w:hint="default"/>
      </w:rPr>
    </w:lvl>
    <w:lvl w:ilvl="1" w:tplc="75EC5AE0">
      <w:start w:val="1"/>
      <w:numFmt w:val="bullet"/>
      <w:lvlText w:val="o"/>
      <w:lvlJc w:val="left"/>
      <w:pPr>
        <w:ind w:left="1440" w:hanging="360"/>
      </w:pPr>
      <w:rPr>
        <w:rFonts w:ascii="Courier New" w:hAnsi="Courier New" w:hint="default"/>
      </w:rPr>
    </w:lvl>
    <w:lvl w:ilvl="2" w:tplc="C5E0D2EC">
      <w:start w:val="1"/>
      <w:numFmt w:val="bullet"/>
      <w:lvlText w:val=""/>
      <w:lvlJc w:val="left"/>
      <w:pPr>
        <w:ind w:left="2160" w:hanging="360"/>
      </w:pPr>
      <w:rPr>
        <w:rFonts w:ascii="Wingdings" w:hAnsi="Wingdings" w:hint="default"/>
      </w:rPr>
    </w:lvl>
    <w:lvl w:ilvl="3" w:tplc="3BD2681C">
      <w:start w:val="1"/>
      <w:numFmt w:val="bullet"/>
      <w:lvlText w:val=""/>
      <w:lvlJc w:val="left"/>
      <w:pPr>
        <w:ind w:left="2880" w:hanging="360"/>
      </w:pPr>
      <w:rPr>
        <w:rFonts w:ascii="Symbol" w:hAnsi="Symbol" w:hint="default"/>
      </w:rPr>
    </w:lvl>
    <w:lvl w:ilvl="4" w:tplc="7034D7C4">
      <w:start w:val="1"/>
      <w:numFmt w:val="bullet"/>
      <w:lvlText w:val="o"/>
      <w:lvlJc w:val="left"/>
      <w:pPr>
        <w:ind w:left="3600" w:hanging="360"/>
      </w:pPr>
      <w:rPr>
        <w:rFonts w:ascii="Courier New" w:hAnsi="Courier New" w:hint="default"/>
      </w:rPr>
    </w:lvl>
    <w:lvl w:ilvl="5" w:tplc="13B8EA60">
      <w:start w:val="1"/>
      <w:numFmt w:val="bullet"/>
      <w:lvlText w:val=""/>
      <w:lvlJc w:val="left"/>
      <w:pPr>
        <w:ind w:left="4320" w:hanging="360"/>
      </w:pPr>
      <w:rPr>
        <w:rFonts w:ascii="Wingdings" w:hAnsi="Wingdings" w:hint="default"/>
      </w:rPr>
    </w:lvl>
    <w:lvl w:ilvl="6" w:tplc="F1EE0238">
      <w:start w:val="1"/>
      <w:numFmt w:val="bullet"/>
      <w:lvlText w:val=""/>
      <w:lvlJc w:val="left"/>
      <w:pPr>
        <w:ind w:left="5040" w:hanging="360"/>
      </w:pPr>
      <w:rPr>
        <w:rFonts w:ascii="Symbol" w:hAnsi="Symbol" w:hint="default"/>
      </w:rPr>
    </w:lvl>
    <w:lvl w:ilvl="7" w:tplc="7FE61572">
      <w:start w:val="1"/>
      <w:numFmt w:val="bullet"/>
      <w:lvlText w:val="o"/>
      <w:lvlJc w:val="left"/>
      <w:pPr>
        <w:ind w:left="5760" w:hanging="360"/>
      </w:pPr>
      <w:rPr>
        <w:rFonts w:ascii="Courier New" w:hAnsi="Courier New" w:hint="default"/>
      </w:rPr>
    </w:lvl>
    <w:lvl w:ilvl="8" w:tplc="3F52B1FC">
      <w:start w:val="1"/>
      <w:numFmt w:val="bullet"/>
      <w:lvlText w:val=""/>
      <w:lvlJc w:val="left"/>
      <w:pPr>
        <w:ind w:left="6480" w:hanging="360"/>
      </w:pPr>
      <w:rPr>
        <w:rFonts w:ascii="Wingdings" w:hAnsi="Wingdings" w:hint="default"/>
      </w:rPr>
    </w:lvl>
  </w:abstractNum>
  <w:abstractNum w:abstractNumId="16" w15:restartNumberingAfterBreak="0">
    <w:nsid w:val="4119116D"/>
    <w:multiLevelType w:val="hybridMultilevel"/>
    <w:tmpl w:val="4978115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41853A45"/>
    <w:multiLevelType w:val="hybridMultilevel"/>
    <w:tmpl w:val="447A7A4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8" w15:restartNumberingAfterBreak="0">
    <w:nsid w:val="45906B4B"/>
    <w:multiLevelType w:val="hybridMultilevel"/>
    <w:tmpl w:val="01B8315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460A27C5"/>
    <w:multiLevelType w:val="hybridMultilevel"/>
    <w:tmpl w:val="033A033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494D4DDE"/>
    <w:multiLevelType w:val="hybridMultilevel"/>
    <w:tmpl w:val="16E0E9A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494F29DE"/>
    <w:multiLevelType w:val="hybridMultilevel"/>
    <w:tmpl w:val="E7B823A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2" w15:restartNumberingAfterBreak="0">
    <w:nsid w:val="4FC448CF"/>
    <w:multiLevelType w:val="hybridMultilevel"/>
    <w:tmpl w:val="F92EF66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522F137B"/>
    <w:multiLevelType w:val="hybridMultilevel"/>
    <w:tmpl w:val="EA34671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 w15:restartNumberingAfterBreak="0">
    <w:nsid w:val="52E439A5"/>
    <w:multiLevelType w:val="hybridMultilevel"/>
    <w:tmpl w:val="73421AD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15:restartNumberingAfterBreak="0">
    <w:nsid w:val="53EC3B22"/>
    <w:multiLevelType w:val="hybridMultilevel"/>
    <w:tmpl w:val="6F98868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27" w15:restartNumberingAfterBreak="0">
    <w:nsid w:val="55086A5B"/>
    <w:multiLevelType w:val="hybridMultilevel"/>
    <w:tmpl w:val="C0D08564"/>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56BE10D8"/>
    <w:multiLevelType w:val="hybridMultilevel"/>
    <w:tmpl w:val="E8B28DE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15:restartNumberingAfterBreak="0">
    <w:nsid w:val="57040240"/>
    <w:multiLevelType w:val="hybridMultilevel"/>
    <w:tmpl w:val="006A493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15:restartNumberingAfterBreak="0">
    <w:nsid w:val="5DD87244"/>
    <w:multiLevelType w:val="hybridMultilevel"/>
    <w:tmpl w:val="0DE4326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5DF714D7"/>
    <w:multiLevelType w:val="hybridMultilevel"/>
    <w:tmpl w:val="04360FA4"/>
    <w:lvl w:ilvl="0" w:tplc="CB88ABC8">
      <w:numFmt w:val="bullet"/>
      <w:lvlText w:val="•"/>
      <w:lvlJc w:val="left"/>
      <w:pPr>
        <w:ind w:left="720" w:hanging="360"/>
      </w:pPr>
      <w:rPr>
        <w:rFonts w:ascii="Calibri" w:eastAsia="Calibri" w:hAnsi="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15:restartNumberingAfterBreak="0">
    <w:nsid w:val="637B2B9D"/>
    <w:multiLevelType w:val="hybridMultilevel"/>
    <w:tmpl w:val="A9DCCB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56B7692"/>
    <w:multiLevelType w:val="hybridMultilevel"/>
    <w:tmpl w:val="CE9A7226"/>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15:restartNumberingAfterBreak="0">
    <w:nsid w:val="66866B8E"/>
    <w:multiLevelType w:val="hybridMultilevel"/>
    <w:tmpl w:val="D95C5CB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5" w15:restartNumberingAfterBreak="0">
    <w:nsid w:val="682C23C3"/>
    <w:multiLevelType w:val="hybridMultilevel"/>
    <w:tmpl w:val="FE466050"/>
    <w:lvl w:ilvl="0" w:tplc="82A801F0">
      <w:start w:val="1"/>
      <w:numFmt w:val="bullet"/>
      <w:lvlText w:val=""/>
      <w:lvlJc w:val="left"/>
      <w:pPr>
        <w:ind w:left="720" w:hanging="360"/>
      </w:pPr>
      <w:rPr>
        <w:rFonts w:ascii="Symbol" w:hAnsi="Symbol" w:hint="default"/>
      </w:rPr>
    </w:lvl>
    <w:lvl w:ilvl="1" w:tplc="44090003" w:tentative="1">
      <w:start w:val="1"/>
      <w:numFmt w:val="bullet"/>
      <w:lvlText w:val="o"/>
      <w:lvlJc w:val="left"/>
      <w:pPr>
        <w:ind w:left="1485" w:hanging="360"/>
      </w:pPr>
      <w:rPr>
        <w:rFonts w:ascii="Courier New" w:hAnsi="Courier New" w:cs="Courier New" w:hint="default"/>
      </w:rPr>
    </w:lvl>
    <w:lvl w:ilvl="2" w:tplc="44090005" w:tentative="1">
      <w:start w:val="1"/>
      <w:numFmt w:val="bullet"/>
      <w:lvlText w:val=""/>
      <w:lvlJc w:val="left"/>
      <w:pPr>
        <w:ind w:left="2205" w:hanging="360"/>
      </w:pPr>
      <w:rPr>
        <w:rFonts w:ascii="Wingdings" w:hAnsi="Wingdings" w:hint="default"/>
      </w:rPr>
    </w:lvl>
    <w:lvl w:ilvl="3" w:tplc="44090001" w:tentative="1">
      <w:start w:val="1"/>
      <w:numFmt w:val="bullet"/>
      <w:lvlText w:val=""/>
      <w:lvlJc w:val="left"/>
      <w:pPr>
        <w:ind w:left="2925" w:hanging="360"/>
      </w:pPr>
      <w:rPr>
        <w:rFonts w:ascii="Symbol" w:hAnsi="Symbol" w:hint="default"/>
      </w:rPr>
    </w:lvl>
    <w:lvl w:ilvl="4" w:tplc="44090003" w:tentative="1">
      <w:start w:val="1"/>
      <w:numFmt w:val="bullet"/>
      <w:lvlText w:val="o"/>
      <w:lvlJc w:val="left"/>
      <w:pPr>
        <w:ind w:left="3645" w:hanging="360"/>
      </w:pPr>
      <w:rPr>
        <w:rFonts w:ascii="Courier New" w:hAnsi="Courier New" w:cs="Courier New" w:hint="default"/>
      </w:rPr>
    </w:lvl>
    <w:lvl w:ilvl="5" w:tplc="44090005" w:tentative="1">
      <w:start w:val="1"/>
      <w:numFmt w:val="bullet"/>
      <w:lvlText w:val=""/>
      <w:lvlJc w:val="left"/>
      <w:pPr>
        <w:ind w:left="4365" w:hanging="360"/>
      </w:pPr>
      <w:rPr>
        <w:rFonts w:ascii="Wingdings" w:hAnsi="Wingdings" w:hint="default"/>
      </w:rPr>
    </w:lvl>
    <w:lvl w:ilvl="6" w:tplc="44090001" w:tentative="1">
      <w:start w:val="1"/>
      <w:numFmt w:val="bullet"/>
      <w:lvlText w:val=""/>
      <w:lvlJc w:val="left"/>
      <w:pPr>
        <w:ind w:left="5085" w:hanging="360"/>
      </w:pPr>
      <w:rPr>
        <w:rFonts w:ascii="Symbol" w:hAnsi="Symbol" w:hint="default"/>
      </w:rPr>
    </w:lvl>
    <w:lvl w:ilvl="7" w:tplc="44090003" w:tentative="1">
      <w:start w:val="1"/>
      <w:numFmt w:val="bullet"/>
      <w:lvlText w:val="o"/>
      <w:lvlJc w:val="left"/>
      <w:pPr>
        <w:ind w:left="5805" w:hanging="360"/>
      </w:pPr>
      <w:rPr>
        <w:rFonts w:ascii="Courier New" w:hAnsi="Courier New" w:cs="Courier New" w:hint="default"/>
      </w:rPr>
    </w:lvl>
    <w:lvl w:ilvl="8" w:tplc="44090005" w:tentative="1">
      <w:start w:val="1"/>
      <w:numFmt w:val="bullet"/>
      <w:lvlText w:val=""/>
      <w:lvlJc w:val="left"/>
      <w:pPr>
        <w:ind w:left="6525" w:hanging="360"/>
      </w:pPr>
      <w:rPr>
        <w:rFonts w:ascii="Wingdings" w:hAnsi="Wingdings" w:hint="default"/>
      </w:rPr>
    </w:lvl>
  </w:abstractNum>
  <w:abstractNum w:abstractNumId="36" w15:restartNumberingAfterBreak="0">
    <w:nsid w:val="6BA60292"/>
    <w:multiLevelType w:val="hybridMultilevel"/>
    <w:tmpl w:val="8C6EFE26"/>
    <w:lvl w:ilvl="0" w:tplc="24727F8E">
      <w:numFmt w:val="bullet"/>
      <w:lvlText w:val="•"/>
      <w:lvlJc w:val="left"/>
      <w:pPr>
        <w:ind w:left="1080" w:hanging="72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7" w15:restartNumberingAfterBreak="0">
    <w:nsid w:val="6D1A6022"/>
    <w:multiLevelType w:val="hybridMultilevel"/>
    <w:tmpl w:val="86A283DA"/>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8" w15:restartNumberingAfterBreak="0">
    <w:nsid w:val="70780253"/>
    <w:multiLevelType w:val="hybridMultilevel"/>
    <w:tmpl w:val="A5A6707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9" w15:restartNumberingAfterBreak="0">
    <w:nsid w:val="718F4DAD"/>
    <w:multiLevelType w:val="hybridMultilevel"/>
    <w:tmpl w:val="D4C06D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8A30EF"/>
    <w:multiLevelType w:val="hybridMultilevel"/>
    <w:tmpl w:val="D1368E8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41" w15:restartNumberingAfterBreak="0">
    <w:nsid w:val="7857662D"/>
    <w:multiLevelType w:val="hybridMultilevel"/>
    <w:tmpl w:val="F94809A6"/>
    <w:lvl w:ilvl="0" w:tplc="66CAC290">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2" w15:restartNumberingAfterBreak="0">
    <w:nsid w:val="7D82473D"/>
    <w:multiLevelType w:val="hybridMultilevel"/>
    <w:tmpl w:val="550C301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3" w15:restartNumberingAfterBreak="0">
    <w:nsid w:val="7F495AFA"/>
    <w:multiLevelType w:val="hybridMultilevel"/>
    <w:tmpl w:val="DF2E6CF0"/>
    <w:lvl w:ilvl="0" w:tplc="44090001">
      <w:start w:val="1"/>
      <w:numFmt w:val="bullet"/>
      <w:lvlText w:val=""/>
      <w:lvlJc w:val="left"/>
      <w:pPr>
        <w:ind w:left="765" w:hanging="360"/>
      </w:pPr>
      <w:rPr>
        <w:rFonts w:ascii="Symbol" w:hAnsi="Symbol" w:hint="default"/>
      </w:rPr>
    </w:lvl>
    <w:lvl w:ilvl="1" w:tplc="44090003" w:tentative="1">
      <w:start w:val="1"/>
      <w:numFmt w:val="bullet"/>
      <w:lvlText w:val="o"/>
      <w:lvlJc w:val="left"/>
      <w:pPr>
        <w:ind w:left="1485" w:hanging="360"/>
      </w:pPr>
      <w:rPr>
        <w:rFonts w:ascii="Courier New" w:hAnsi="Courier New" w:cs="Courier New" w:hint="default"/>
      </w:rPr>
    </w:lvl>
    <w:lvl w:ilvl="2" w:tplc="44090005" w:tentative="1">
      <w:start w:val="1"/>
      <w:numFmt w:val="bullet"/>
      <w:lvlText w:val=""/>
      <w:lvlJc w:val="left"/>
      <w:pPr>
        <w:ind w:left="2205" w:hanging="360"/>
      </w:pPr>
      <w:rPr>
        <w:rFonts w:ascii="Wingdings" w:hAnsi="Wingdings" w:hint="default"/>
      </w:rPr>
    </w:lvl>
    <w:lvl w:ilvl="3" w:tplc="44090001" w:tentative="1">
      <w:start w:val="1"/>
      <w:numFmt w:val="bullet"/>
      <w:lvlText w:val=""/>
      <w:lvlJc w:val="left"/>
      <w:pPr>
        <w:ind w:left="2925" w:hanging="360"/>
      </w:pPr>
      <w:rPr>
        <w:rFonts w:ascii="Symbol" w:hAnsi="Symbol" w:hint="default"/>
      </w:rPr>
    </w:lvl>
    <w:lvl w:ilvl="4" w:tplc="44090003" w:tentative="1">
      <w:start w:val="1"/>
      <w:numFmt w:val="bullet"/>
      <w:lvlText w:val="o"/>
      <w:lvlJc w:val="left"/>
      <w:pPr>
        <w:ind w:left="3645" w:hanging="360"/>
      </w:pPr>
      <w:rPr>
        <w:rFonts w:ascii="Courier New" w:hAnsi="Courier New" w:cs="Courier New" w:hint="default"/>
      </w:rPr>
    </w:lvl>
    <w:lvl w:ilvl="5" w:tplc="44090005" w:tentative="1">
      <w:start w:val="1"/>
      <w:numFmt w:val="bullet"/>
      <w:lvlText w:val=""/>
      <w:lvlJc w:val="left"/>
      <w:pPr>
        <w:ind w:left="4365" w:hanging="360"/>
      </w:pPr>
      <w:rPr>
        <w:rFonts w:ascii="Wingdings" w:hAnsi="Wingdings" w:hint="default"/>
      </w:rPr>
    </w:lvl>
    <w:lvl w:ilvl="6" w:tplc="44090001" w:tentative="1">
      <w:start w:val="1"/>
      <w:numFmt w:val="bullet"/>
      <w:lvlText w:val=""/>
      <w:lvlJc w:val="left"/>
      <w:pPr>
        <w:ind w:left="5085" w:hanging="360"/>
      </w:pPr>
      <w:rPr>
        <w:rFonts w:ascii="Symbol" w:hAnsi="Symbol" w:hint="default"/>
      </w:rPr>
    </w:lvl>
    <w:lvl w:ilvl="7" w:tplc="44090003" w:tentative="1">
      <w:start w:val="1"/>
      <w:numFmt w:val="bullet"/>
      <w:lvlText w:val="o"/>
      <w:lvlJc w:val="left"/>
      <w:pPr>
        <w:ind w:left="5805" w:hanging="360"/>
      </w:pPr>
      <w:rPr>
        <w:rFonts w:ascii="Courier New" w:hAnsi="Courier New" w:cs="Courier New" w:hint="default"/>
      </w:rPr>
    </w:lvl>
    <w:lvl w:ilvl="8" w:tplc="44090005" w:tentative="1">
      <w:start w:val="1"/>
      <w:numFmt w:val="bullet"/>
      <w:lvlText w:val=""/>
      <w:lvlJc w:val="left"/>
      <w:pPr>
        <w:ind w:left="6525" w:hanging="360"/>
      </w:pPr>
      <w:rPr>
        <w:rFonts w:ascii="Wingdings" w:hAnsi="Wingdings" w:hint="default"/>
      </w:rPr>
    </w:lvl>
  </w:abstractNum>
  <w:abstractNum w:abstractNumId="44" w15:restartNumberingAfterBreak="0">
    <w:nsid w:val="7F540F45"/>
    <w:multiLevelType w:val="hybridMultilevel"/>
    <w:tmpl w:val="E9D64E42"/>
    <w:lvl w:ilvl="0" w:tplc="4409000F">
      <w:start w:val="1"/>
      <w:numFmt w:val="decimal"/>
      <w:lvlText w:val="%1."/>
      <w:lvlJc w:val="left"/>
      <w:pPr>
        <w:ind w:left="360" w:hanging="360"/>
      </w:pPr>
    </w:lvl>
    <w:lvl w:ilvl="1" w:tplc="44090019">
      <w:start w:val="1"/>
      <w:numFmt w:val="lowerLetter"/>
      <w:lvlText w:val="%2."/>
      <w:lvlJc w:val="left"/>
      <w:pPr>
        <w:ind w:left="36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16cid:durableId="2098093375">
    <w:abstractNumId w:val="26"/>
  </w:num>
  <w:num w:numId="2" w16cid:durableId="202602350">
    <w:abstractNumId w:val="5"/>
  </w:num>
  <w:num w:numId="3" w16cid:durableId="1980183480">
    <w:abstractNumId w:val="33"/>
  </w:num>
  <w:num w:numId="4" w16cid:durableId="1426656868">
    <w:abstractNumId w:val="29"/>
  </w:num>
  <w:num w:numId="5" w16cid:durableId="1746882003">
    <w:abstractNumId w:val="34"/>
  </w:num>
  <w:num w:numId="6" w16cid:durableId="530073349">
    <w:abstractNumId w:val="30"/>
  </w:num>
  <w:num w:numId="7" w16cid:durableId="490147903">
    <w:abstractNumId w:val="35"/>
  </w:num>
  <w:num w:numId="8" w16cid:durableId="408503028">
    <w:abstractNumId w:val="24"/>
  </w:num>
  <w:num w:numId="9" w16cid:durableId="940454676">
    <w:abstractNumId w:val="12"/>
  </w:num>
  <w:num w:numId="10" w16cid:durableId="2010519776">
    <w:abstractNumId w:val="37"/>
  </w:num>
  <w:num w:numId="11" w16cid:durableId="1083917724">
    <w:abstractNumId w:val="8"/>
  </w:num>
  <w:num w:numId="12" w16cid:durableId="387537027">
    <w:abstractNumId w:val="36"/>
  </w:num>
  <w:num w:numId="13" w16cid:durableId="860320224">
    <w:abstractNumId w:val="31"/>
  </w:num>
  <w:num w:numId="14" w16cid:durableId="508980894">
    <w:abstractNumId w:val="1"/>
  </w:num>
  <w:num w:numId="15" w16cid:durableId="405691951">
    <w:abstractNumId w:val="42"/>
  </w:num>
  <w:num w:numId="16" w16cid:durableId="1999190005">
    <w:abstractNumId w:val="44"/>
  </w:num>
  <w:num w:numId="17" w16cid:durableId="424152285">
    <w:abstractNumId w:val="10"/>
  </w:num>
  <w:num w:numId="18" w16cid:durableId="1337725921">
    <w:abstractNumId w:val="20"/>
  </w:num>
  <w:num w:numId="19" w16cid:durableId="208297601">
    <w:abstractNumId w:val="25"/>
  </w:num>
  <w:num w:numId="20" w16cid:durableId="317928756">
    <w:abstractNumId w:val="16"/>
  </w:num>
  <w:num w:numId="21" w16cid:durableId="334113039">
    <w:abstractNumId w:val="28"/>
  </w:num>
  <w:num w:numId="22" w16cid:durableId="1794834597">
    <w:abstractNumId w:val="41"/>
  </w:num>
  <w:num w:numId="23" w16cid:durableId="388454030">
    <w:abstractNumId w:val="22"/>
  </w:num>
  <w:num w:numId="24" w16cid:durableId="1418333086">
    <w:abstractNumId w:val="23"/>
  </w:num>
  <w:num w:numId="25" w16cid:durableId="2003391243">
    <w:abstractNumId w:val="7"/>
  </w:num>
  <w:num w:numId="26" w16cid:durableId="1059091326">
    <w:abstractNumId w:val="43"/>
  </w:num>
  <w:num w:numId="27" w16cid:durableId="1498762627">
    <w:abstractNumId w:val="27"/>
  </w:num>
  <w:num w:numId="28" w16cid:durableId="1412968248">
    <w:abstractNumId w:val="18"/>
  </w:num>
  <w:num w:numId="29" w16cid:durableId="1036584536">
    <w:abstractNumId w:val="2"/>
  </w:num>
  <w:num w:numId="30" w16cid:durableId="1982806889">
    <w:abstractNumId w:val="40"/>
  </w:num>
  <w:num w:numId="31" w16cid:durableId="191960259">
    <w:abstractNumId w:val="17"/>
  </w:num>
  <w:num w:numId="32" w16cid:durableId="149450219">
    <w:abstractNumId w:val="4"/>
  </w:num>
  <w:num w:numId="33" w16cid:durableId="1483694399">
    <w:abstractNumId w:val="38"/>
  </w:num>
  <w:num w:numId="34" w16cid:durableId="998582723">
    <w:abstractNumId w:val="19"/>
  </w:num>
  <w:num w:numId="35" w16cid:durableId="766540322">
    <w:abstractNumId w:val="11"/>
  </w:num>
  <w:num w:numId="36" w16cid:durableId="537821176">
    <w:abstractNumId w:val="13"/>
  </w:num>
  <w:num w:numId="37" w16cid:durableId="1149633333">
    <w:abstractNumId w:val="21"/>
  </w:num>
  <w:num w:numId="38" w16cid:durableId="1230919005">
    <w:abstractNumId w:val="3"/>
  </w:num>
  <w:num w:numId="39" w16cid:durableId="373508842">
    <w:abstractNumId w:val="14"/>
  </w:num>
  <w:num w:numId="40" w16cid:durableId="697194957">
    <w:abstractNumId w:val="32"/>
  </w:num>
  <w:num w:numId="41" w16cid:durableId="70547022">
    <w:abstractNumId w:val="6"/>
  </w:num>
  <w:num w:numId="42" w16cid:durableId="534121835">
    <w:abstractNumId w:val="39"/>
  </w:num>
  <w:num w:numId="43" w16cid:durableId="569464877">
    <w:abstractNumId w:val="15"/>
  </w:num>
  <w:num w:numId="44" w16cid:durableId="899900051">
    <w:abstractNumId w:val="0"/>
  </w:num>
  <w:num w:numId="45" w16cid:durableId="723991803">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 msa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2s0a0pxte05aexpvnx2awre9s0vxdepfat&quot;&gt;My EndNote Library_1783&lt;record-ids&gt;&lt;item&gt;1&lt;/item&gt;&lt;item&gt;2&lt;/item&gt;&lt;item&gt;3&lt;/item&gt;&lt;item&gt;5&lt;/item&gt;&lt;item&gt;6&lt;/item&gt;&lt;item&gt;7&lt;/item&gt;&lt;item&gt;9&lt;/item&gt;&lt;item&gt;10&lt;/item&gt;&lt;item&gt;11&lt;/item&gt;&lt;item&gt;12&lt;/item&gt;&lt;item&gt;13&lt;/item&gt;&lt;item&gt;14&lt;/item&gt;&lt;item&gt;16&lt;/item&gt;&lt;item&gt;17&lt;/item&gt;&lt;item&gt;18&lt;/item&gt;&lt;item&gt;20&lt;/item&gt;&lt;item&gt;21&lt;/item&gt;&lt;item&gt;22&lt;/item&gt;&lt;item&gt;23&lt;/item&gt;&lt;item&gt;24&lt;/item&gt;&lt;item&gt;25&lt;/item&gt;&lt;item&gt;26&lt;/item&gt;&lt;item&gt;27&lt;/item&gt;&lt;item&gt;28&lt;/item&gt;&lt;item&gt;29&lt;/item&gt;&lt;item&gt;34&lt;/item&gt;&lt;item&gt;35&lt;/item&gt;&lt;item&gt;37&lt;/item&gt;&lt;item&gt;38&lt;/item&gt;&lt;item&gt;42&lt;/item&gt;&lt;item&gt;43&lt;/item&gt;&lt;item&gt;44&lt;/item&gt;&lt;item&gt;45&lt;/item&gt;&lt;item&gt;46&lt;/item&gt;&lt;item&gt;48&lt;/item&gt;&lt;item&gt;50&lt;/item&gt;&lt;item&gt;51&lt;/item&gt;&lt;item&gt;52&lt;/item&gt;&lt;item&gt;53&lt;/item&gt;&lt;/record-ids&gt;&lt;/item&gt;&lt;/Libraries&gt;"/>
  </w:docVars>
  <w:rsids>
    <w:rsidRoot w:val="001E5F9C"/>
    <w:rsid w:val="00000880"/>
    <w:rsid w:val="00000A66"/>
    <w:rsid w:val="00000D1B"/>
    <w:rsid w:val="0000136D"/>
    <w:rsid w:val="00002C64"/>
    <w:rsid w:val="00002F90"/>
    <w:rsid w:val="00003141"/>
    <w:rsid w:val="00003263"/>
    <w:rsid w:val="00003275"/>
    <w:rsid w:val="000035B7"/>
    <w:rsid w:val="00003845"/>
    <w:rsid w:val="00003938"/>
    <w:rsid w:val="000039D3"/>
    <w:rsid w:val="00003A29"/>
    <w:rsid w:val="00003E7C"/>
    <w:rsid w:val="0000461A"/>
    <w:rsid w:val="000049C0"/>
    <w:rsid w:val="00004B31"/>
    <w:rsid w:val="00004CCA"/>
    <w:rsid w:val="0000522F"/>
    <w:rsid w:val="0000656B"/>
    <w:rsid w:val="000067CC"/>
    <w:rsid w:val="0000699E"/>
    <w:rsid w:val="0000725D"/>
    <w:rsid w:val="000073AA"/>
    <w:rsid w:val="00007940"/>
    <w:rsid w:val="00007965"/>
    <w:rsid w:val="000105A4"/>
    <w:rsid w:val="0001079D"/>
    <w:rsid w:val="00010C3E"/>
    <w:rsid w:val="000121E6"/>
    <w:rsid w:val="00012502"/>
    <w:rsid w:val="000125BD"/>
    <w:rsid w:val="00012C05"/>
    <w:rsid w:val="00012F74"/>
    <w:rsid w:val="00013022"/>
    <w:rsid w:val="00013548"/>
    <w:rsid w:val="00013ACF"/>
    <w:rsid w:val="000142A1"/>
    <w:rsid w:val="000143FB"/>
    <w:rsid w:val="00015254"/>
    <w:rsid w:val="000152D5"/>
    <w:rsid w:val="00015984"/>
    <w:rsid w:val="00015B49"/>
    <w:rsid w:val="00015F76"/>
    <w:rsid w:val="00016CD1"/>
    <w:rsid w:val="00017542"/>
    <w:rsid w:val="00017667"/>
    <w:rsid w:val="00017691"/>
    <w:rsid w:val="00017BEF"/>
    <w:rsid w:val="000200A6"/>
    <w:rsid w:val="00020130"/>
    <w:rsid w:val="00020303"/>
    <w:rsid w:val="000204BB"/>
    <w:rsid w:val="000207B4"/>
    <w:rsid w:val="0002085C"/>
    <w:rsid w:val="00020932"/>
    <w:rsid w:val="00022159"/>
    <w:rsid w:val="000222EC"/>
    <w:rsid w:val="00022923"/>
    <w:rsid w:val="000229E7"/>
    <w:rsid w:val="00023556"/>
    <w:rsid w:val="0002365E"/>
    <w:rsid w:val="000241FF"/>
    <w:rsid w:val="000243C0"/>
    <w:rsid w:val="0002441F"/>
    <w:rsid w:val="0002463A"/>
    <w:rsid w:val="00024650"/>
    <w:rsid w:val="00024775"/>
    <w:rsid w:val="0002486B"/>
    <w:rsid w:val="00024978"/>
    <w:rsid w:val="00024FAD"/>
    <w:rsid w:val="00025260"/>
    <w:rsid w:val="00025314"/>
    <w:rsid w:val="0002549F"/>
    <w:rsid w:val="00025630"/>
    <w:rsid w:val="000257C5"/>
    <w:rsid w:val="00025ED8"/>
    <w:rsid w:val="00025F8B"/>
    <w:rsid w:val="00025FF9"/>
    <w:rsid w:val="00026025"/>
    <w:rsid w:val="00026266"/>
    <w:rsid w:val="00026880"/>
    <w:rsid w:val="00026DC8"/>
    <w:rsid w:val="00026E76"/>
    <w:rsid w:val="00026ECF"/>
    <w:rsid w:val="00026EEA"/>
    <w:rsid w:val="00026F71"/>
    <w:rsid w:val="00026F7B"/>
    <w:rsid w:val="00027869"/>
    <w:rsid w:val="00027BFF"/>
    <w:rsid w:val="00027C72"/>
    <w:rsid w:val="00027FC0"/>
    <w:rsid w:val="00030010"/>
    <w:rsid w:val="00030136"/>
    <w:rsid w:val="00030289"/>
    <w:rsid w:val="00030F00"/>
    <w:rsid w:val="00031126"/>
    <w:rsid w:val="00031891"/>
    <w:rsid w:val="000326BA"/>
    <w:rsid w:val="0003280A"/>
    <w:rsid w:val="00032D82"/>
    <w:rsid w:val="00032E57"/>
    <w:rsid w:val="000330F0"/>
    <w:rsid w:val="000330F1"/>
    <w:rsid w:val="00033282"/>
    <w:rsid w:val="0003333B"/>
    <w:rsid w:val="000333FA"/>
    <w:rsid w:val="0003397A"/>
    <w:rsid w:val="00034296"/>
    <w:rsid w:val="00034340"/>
    <w:rsid w:val="000345AD"/>
    <w:rsid w:val="00034668"/>
    <w:rsid w:val="0003472B"/>
    <w:rsid w:val="0003493E"/>
    <w:rsid w:val="00034C5A"/>
    <w:rsid w:val="00034E22"/>
    <w:rsid w:val="0003506E"/>
    <w:rsid w:val="000353DC"/>
    <w:rsid w:val="000356AF"/>
    <w:rsid w:val="00035871"/>
    <w:rsid w:val="000359AA"/>
    <w:rsid w:val="00035EAC"/>
    <w:rsid w:val="00036015"/>
    <w:rsid w:val="0003696C"/>
    <w:rsid w:val="00036AF6"/>
    <w:rsid w:val="00036B26"/>
    <w:rsid w:val="00036C7B"/>
    <w:rsid w:val="00036E4A"/>
    <w:rsid w:val="00037105"/>
    <w:rsid w:val="00037194"/>
    <w:rsid w:val="000371DB"/>
    <w:rsid w:val="00037210"/>
    <w:rsid w:val="000374EB"/>
    <w:rsid w:val="0003791A"/>
    <w:rsid w:val="0004003B"/>
    <w:rsid w:val="000403A3"/>
    <w:rsid w:val="00040A8A"/>
    <w:rsid w:val="00040EC6"/>
    <w:rsid w:val="000414ED"/>
    <w:rsid w:val="00041B51"/>
    <w:rsid w:val="00041EBB"/>
    <w:rsid w:val="00042013"/>
    <w:rsid w:val="000420D5"/>
    <w:rsid w:val="00042244"/>
    <w:rsid w:val="0004251C"/>
    <w:rsid w:val="000429C2"/>
    <w:rsid w:val="000433B7"/>
    <w:rsid w:val="0004348F"/>
    <w:rsid w:val="000437FA"/>
    <w:rsid w:val="00043D01"/>
    <w:rsid w:val="00043ED8"/>
    <w:rsid w:val="0004416C"/>
    <w:rsid w:val="00044277"/>
    <w:rsid w:val="000446CF"/>
    <w:rsid w:val="00045077"/>
    <w:rsid w:val="00045774"/>
    <w:rsid w:val="00045A77"/>
    <w:rsid w:val="00045B92"/>
    <w:rsid w:val="00045D04"/>
    <w:rsid w:val="0004678E"/>
    <w:rsid w:val="00046E41"/>
    <w:rsid w:val="00047910"/>
    <w:rsid w:val="0004793E"/>
    <w:rsid w:val="000479BC"/>
    <w:rsid w:val="00047B08"/>
    <w:rsid w:val="00050599"/>
    <w:rsid w:val="000505E1"/>
    <w:rsid w:val="00050BF0"/>
    <w:rsid w:val="000511E5"/>
    <w:rsid w:val="000512DA"/>
    <w:rsid w:val="000513A5"/>
    <w:rsid w:val="00051BBE"/>
    <w:rsid w:val="00051C83"/>
    <w:rsid w:val="00052005"/>
    <w:rsid w:val="000521E9"/>
    <w:rsid w:val="000522B7"/>
    <w:rsid w:val="00052632"/>
    <w:rsid w:val="00052699"/>
    <w:rsid w:val="00052A99"/>
    <w:rsid w:val="00052D6E"/>
    <w:rsid w:val="00052DD9"/>
    <w:rsid w:val="00053017"/>
    <w:rsid w:val="000532A8"/>
    <w:rsid w:val="000534E6"/>
    <w:rsid w:val="000535CD"/>
    <w:rsid w:val="000536B8"/>
    <w:rsid w:val="00053AB7"/>
    <w:rsid w:val="00053BE6"/>
    <w:rsid w:val="00053EBB"/>
    <w:rsid w:val="00054024"/>
    <w:rsid w:val="0005454A"/>
    <w:rsid w:val="0005471C"/>
    <w:rsid w:val="000547DB"/>
    <w:rsid w:val="00054828"/>
    <w:rsid w:val="00054862"/>
    <w:rsid w:val="00054A13"/>
    <w:rsid w:val="00055272"/>
    <w:rsid w:val="00055A02"/>
    <w:rsid w:val="00055C3A"/>
    <w:rsid w:val="00055C6C"/>
    <w:rsid w:val="0005634E"/>
    <w:rsid w:val="00056DC5"/>
    <w:rsid w:val="00057040"/>
    <w:rsid w:val="0006008B"/>
    <w:rsid w:val="000601D4"/>
    <w:rsid w:val="0006092C"/>
    <w:rsid w:val="00060C33"/>
    <w:rsid w:val="00060DB5"/>
    <w:rsid w:val="00060E4C"/>
    <w:rsid w:val="00061980"/>
    <w:rsid w:val="000619B4"/>
    <w:rsid w:val="00061D36"/>
    <w:rsid w:val="000620C1"/>
    <w:rsid w:val="00062227"/>
    <w:rsid w:val="000627FF"/>
    <w:rsid w:val="00062953"/>
    <w:rsid w:val="00062B62"/>
    <w:rsid w:val="00062D1F"/>
    <w:rsid w:val="0006321D"/>
    <w:rsid w:val="00063332"/>
    <w:rsid w:val="00063B3C"/>
    <w:rsid w:val="00063C13"/>
    <w:rsid w:val="00063D5C"/>
    <w:rsid w:val="00064094"/>
    <w:rsid w:val="00064C8D"/>
    <w:rsid w:val="00064CD8"/>
    <w:rsid w:val="00064E82"/>
    <w:rsid w:val="00065009"/>
    <w:rsid w:val="000651B9"/>
    <w:rsid w:val="00065791"/>
    <w:rsid w:val="00065FA4"/>
    <w:rsid w:val="000660E5"/>
    <w:rsid w:val="0006661C"/>
    <w:rsid w:val="0006661F"/>
    <w:rsid w:val="00066B49"/>
    <w:rsid w:val="00066BFF"/>
    <w:rsid w:val="00066D9D"/>
    <w:rsid w:val="00066E96"/>
    <w:rsid w:val="0006715A"/>
    <w:rsid w:val="0006759A"/>
    <w:rsid w:val="00067617"/>
    <w:rsid w:val="00067730"/>
    <w:rsid w:val="0006774C"/>
    <w:rsid w:val="00067A0F"/>
    <w:rsid w:val="0007021F"/>
    <w:rsid w:val="000704D0"/>
    <w:rsid w:val="00070DCA"/>
    <w:rsid w:val="00070E58"/>
    <w:rsid w:val="00070ED3"/>
    <w:rsid w:val="00070F70"/>
    <w:rsid w:val="0007112C"/>
    <w:rsid w:val="000712F1"/>
    <w:rsid w:val="000719A0"/>
    <w:rsid w:val="00071A5C"/>
    <w:rsid w:val="00071B3A"/>
    <w:rsid w:val="00071BC1"/>
    <w:rsid w:val="00072015"/>
    <w:rsid w:val="00072760"/>
    <w:rsid w:val="0007295C"/>
    <w:rsid w:val="00072A7D"/>
    <w:rsid w:val="00073446"/>
    <w:rsid w:val="00073D73"/>
    <w:rsid w:val="0007404B"/>
    <w:rsid w:val="0007406C"/>
    <w:rsid w:val="000743A8"/>
    <w:rsid w:val="00074408"/>
    <w:rsid w:val="00075087"/>
    <w:rsid w:val="0007510F"/>
    <w:rsid w:val="000751BC"/>
    <w:rsid w:val="0007532D"/>
    <w:rsid w:val="00075C6F"/>
    <w:rsid w:val="000763A9"/>
    <w:rsid w:val="000766FD"/>
    <w:rsid w:val="00076ED8"/>
    <w:rsid w:val="000772A8"/>
    <w:rsid w:val="0007750B"/>
    <w:rsid w:val="00077932"/>
    <w:rsid w:val="0007799A"/>
    <w:rsid w:val="00077A05"/>
    <w:rsid w:val="00077E5A"/>
    <w:rsid w:val="0008017C"/>
    <w:rsid w:val="00080937"/>
    <w:rsid w:val="00080F43"/>
    <w:rsid w:val="00081123"/>
    <w:rsid w:val="000811C9"/>
    <w:rsid w:val="00081A20"/>
    <w:rsid w:val="00082721"/>
    <w:rsid w:val="0008273C"/>
    <w:rsid w:val="00082E9B"/>
    <w:rsid w:val="00082EAE"/>
    <w:rsid w:val="0008378E"/>
    <w:rsid w:val="00083DED"/>
    <w:rsid w:val="00083F40"/>
    <w:rsid w:val="00084286"/>
    <w:rsid w:val="000842FA"/>
    <w:rsid w:val="000846D3"/>
    <w:rsid w:val="00084CCC"/>
    <w:rsid w:val="00084CCF"/>
    <w:rsid w:val="00085390"/>
    <w:rsid w:val="000859AD"/>
    <w:rsid w:val="00086057"/>
    <w:rsid w:val="00086A28"/>
    <w:rsid w:val="00086D9C"/>
    <w:rsid w:val="00087234"/>
    <w:rsid w:val="00087AB5"/>
    <w:rsid w:val="00087C38"/>
    <w:rsid w:val="00087FFD"/>
    <w:rsid w:val="00090A60"/>
    <w:rsid w:val="0009110D"/>
    <w:rsid w:val="00091747"/>
    <w:rsid w:val="00091F69"/>
    <w:rsid w:val="000927F1"/>
    <w:rsid w:val="0009294D"/>
    <w:rsid w:val="00092D93"/>
    <w:rsid w:val="00092E01"/>
    <w:rsid w:val="00092F71"/>
    <w:rsid w:val="00093022"/>
    <w:rsid w:val="0009322D"/>
    <w:rsid w:val="00093497"/>
    <w:rsid w:val="000934B6"/>
    <w:rsid w:val="0009352E"/>
    <w:rsid w:val="000935F6"/>
    <w:rsid w:val="000939E0"/>
    <w:rsid w:val="000940E6"/>
    <w:rsid w:val="000942AD"/>
    <w:rsid w:val="00094765"/>
    <w:rsid w:val="00094D59"/>
    <w:rsid w:val="00095525"/>
    <w:rsid w:val="000955EE"/>
    <w:rsid w:val="000955FC"/>
    <w:rsid w:val="00095936"/>
    <w:rsid w:val="00095972"/>
    <w:rsid w:val="00095B68"/>
    <w:rsid w:val="00096317"/>
    <w:rsid w:val="00096414"/>
    <w:rsid w:val="0009653E"/>
    <w:rsid w:val="00096695"/>
    <w:rsid w:val="000968EB"/>
    <w:rsid w:val="0009695B"/>
    <w:rsid w:val="000976BB"/>
    <w:rsid w:val="00097A17"/>
    <w:rsid w:val="00097BDE"/>
    <w:rsid w:val="000A041C"/>
    <w:rsid w:val="000A048F"/>
    <w:rsid w:val="000A06EE"/>
    <w:rsid w:val="000A0910"/>
    <w:rsid w:val="000A0B11"/>
    <w:rsid w:val="000A126B"/>
    <w:rsid w:val="000A1358"/>
    <w:rsid w:val="000A14A7"/>
    <w:rsid w:val="000A1B0C"/>
    <w:rsid w:val="000A1EDC"/>
    <w:rsid w:val="000A2073"/>
    <w:rsid w:val="000A2192"/>
    <w:rsid w:val="000A2C00"/>
    <w:rsid w:val="000A2CD8"/>
    <w:rsid w:val="000A3242"/>
    <w:rsid w:val="000A3DBF"/>
    <w:rsid w:val="000A41F9"/>
    <w:rsid w:val="000A5154"/>
    <w:rsid w:val="000A5410"/>
    <w:rsid w:val="000A57FE"/>
    <w:rsid w:val="000A582A"/>
    <w:rsid w:val="000A5D96"/>
    <w:rsid w:val="000A5F5B"/>
    <w:rsid w:val="000A62B1"/>
    <w:rsid w:val="000A6314"/>
    <w:rsid w:val="000A682C"/>
    <w:rsid w:val="000A6F5F"/>
    <w:rsid w:val="000A70D3"/>
    <w:rsid w:val="000A7135"/>
    <w:rsid w:val="000A747E"/>
    <w:rsid w:val="000A7571"/>
    <w:rsid w:val="000A75FA"/>
    <w:rsid w:val="000A7860"/>
    <w:rsid w:val="000B02A7"/>
    <w:rsid w:val="000B0B3E"/>
    <w:rsid w:val="000B0B52"/>
    <w:rsid w:val="000B0B8F"/>
    <w:rsid w:val="000B0E00"/>
    <w:rsid w:val="000B11F2"/>
    <w:rsid w:val="000B1392"/>
    <w:rsid w:val="000B195C"/>
    <w:rsid w:val="000B2470"/>
    <w:rsid w:val="000B2786"/>
    <w:rsid w:val="000B2968"/>
    <w:rsid w:val="000B2DE7"/>
    <w:rsid w:val="000B2EB1"/>
    <w:rsid w:val="000B2FCD"/>
    <w:rsid w:val="000B3303"/>
    <w:rsid w:val="000B388C"/>
    <w:rsid w:val="000B3CDD"/>
    <w:rsid w:val="000B3DF2"/>
    <w:rsid w:val="000B4ADF"/>
    <w:rsid w:val="000B5395"/>
    <w:rsid w:val="000B5432"/>
    <w:rsid w:val="000B58C5"/>
    <w:rsid w:val="000B5C14"/>
    <w:rsid w:val="000B5E84"/>
    <w:rsid w:val="000B5EF4"/>
    <w:rsid w:val="000B5FCA"/>
    <w:rsid w:val="000B6034"/>
    <w:rsid w:val="000B60DF"/>
    <w:rsid w:val="000B6D48"/>
    <w:rsid w:val="000B7087"/>
    <w:rsid w:val="000B72B9"/>
    <w:rsid w:val="000B752B"/>
    <w:rsid w:val="000B794B"/>
    <w:rsid w:val="000B7D7B"/>
    <w:rsid w:val="000B7D7E"/>
    <w:rsid w:val="000C01EA"/>
    <w:rsid w:val="000C0939"/>
    <w:rsid w:val="000C09E1"/>
    <w:rsid w:val="000C11C2"/>
    <w:rsid w:val="000C151E"/>
    <w:rsid w:val="000C17FB"/>
    <w:rsid w:val="000C1803"/>
    <w:rsid w:val="000C1E70"/>
    <w:rsid w:val="000C266D"/>
    <w:rsid w:val="000C2C52"/>
    <w:rsid w:val="000C30E9"/>
    <w:rsid w:val="000C30EB"/>
    <w:rsid w:val="000C3655"/>
    <w:rsid w:val="000C3711"/>
    <w:rsid w:val="000C376B"/>
    <w:rsid w:val="000C3C5F"/>
    <w:rsid w:val="000C3E32"/>
    <w:rsid w:val="000C49D8"/>
    <w:rsid w:val="000C4C50"/>
    <w:rsid w:val="000C4E3C"/>
    <w:rsid w:val="000C5289"/>
    <w:rsid w:val="000C5452"/>
    <w:rsid w:val="000C57A2"/>
    <w:rsid w:val="000C5AA2"/>
    <w:rsid w:val="000C5F14"/>
    <w:rsid w:val="000C5F27"/>
    <w:rsid w:val="000C64CB"/>
    <w:rsid w:val="000C65DB"/>
    <w:rsid w:val="000C6901"/>
    <w:rsid w:val="000C6C43"/>
    <w:rsid w:val="000C6C9F"/>
    <w:rsid w:val="000C6D63"/>
    <w:rsid w:val="000C6DC8"/>
    <w:rsid w:val="000C780E"/>
    <w:rsid w:val="000C7858"/>
    <w:rsid w:val="000C795D"/>
    <w:rsid w:val="000C7A21"/>
    <w:rsid w:val="000D02F7"/>
    <w:rsid w:val="000D06BE"/>
    <w:rsid w:val="000D06F9"/>
    <w:rsid w:val="000D0B32"/>
    <w:rsid w:val="000D0B6E"/>
    <w:rsid w:val="000D101F"/>
    <w:rsid w:val="000D1237"/>
    <w:rsid w:val="000D134C"/>
    <w:rsid w:val="000D14F9"/>
    <w:rsid w:val="000D172B"/>
    <w:rsid w:val="000D17EF"/>
    <w:rsid w:val="000D18B9"/>
    <w:rsid w:val="000D1FCF"/>
    <w:rsid w:val="000D2022"/>
    <w:rsid w:val="000D2040"/>
    <w:rsid w:val="000D2457"/>
    <w:rsid w:val="000D2951"/>
    <w:rsid w:val="000D2B23"/>
    <w:rsid w:val="000D3211"/>
    <w:rsid w:val="000D339F"/>
    <w:rsid w:val="000D3758"/>
    <w:rsid w:val="000D3A91"/>
    <w:rsid w:val="000D4065"/>
    <w:rsid w:val="000D4188"/>
    <w:rsid w:val="000D4644"/>
    <w:rsid w:val="000D49CE"/>
    <w:rsid w:val="000D4C22"/>
    <w:rsid w:val="000D4C33"/>
    <w:rsid w:val="000D51FF"/>
    <w:rsid w:val="000D5220"/>
    <w:rsid w:val="000D57ED"/>
    <w:rsid w:val="000D5D1A"/>
    <w:rsid w:val="000D5D44"/>
    <w:rsid w:val="000D5E90"/>
    <w:rsid w:val="000D60FB"/>
    <w:rsid w:val="000D6213"/>
    <w:rsid w:val="000D6695"/>
    <w:rsid w:val="000D67DD"/>
    <w:rsid w:val="000D6D81"/>
    <w:rsid w:val="000D6F6E"/>
    <w:rsid w:val="000D718F"/>
    <w:rsid w:val="000D79AD"/>
    <w:rsid w:val="000D7A8B"/>
    <w:rsid w:val="000D7AA4"/>
    <w:rsid w:val="000D7B53"/>
    <w:rsid w:val="000D7CC1"/>
    <w:rsid w:val="000D7F10"/>
    <w:rsid w:val="000E0391"/>
    <w:rsid w:val="000E0471"/>
    <w:rsid w:val="000E151F"/>
    <w:rsid w:val="000E171B"/>
    <w:rsid w:val="000E1BAD"/>
    <w:rsid w:val="000E1F6F"/>
    <w:rsid w:val="000E2107"/>
    <w:rsid w:val="000E2E4F"/>
    <w:rsid w:val="000E2EF2"/>
    <w:rsid w:val="000E36AF"/>
    <w:rsid w:val="000E3947"/>
    <w:rsid w:val="000E3A34"/>
    <w:rsid w:val="000E3AD7"/>
    <w:rsid w:val="000E3AF0"/>
    <w:rsid w:val="000E3EE3"/>
    <w:rsid w:val="000E3FF0"/>
    <w:rsid w:val="000E4449"/>
    <w:rsid w:val="000E4F0C"/>
    <w:rsid w:val="000E514E"/>
    <w:rsid w:val="000E51D7"/>
    <w:rsid w:val="000E5F37"/>
    <w:rsid w:val="000E5FA6"/>
    <w:rsid w:val="000E60C4"/>
    <w:rsid w:val="000E623D"/>
    <w:rsid w:val="000E6900"/>
    <w:rsid w:val="000E6999"/>
    <w:rsid w:val="000E6F88"/>
    <w:rsid w:val="000E7933"/>
    <w:rsid w:val="000F05FC"/>
    <w:rsid w:val="000F0763"/>
    <w:rsid w:val="000F0F9F"/>
    <w:rsid w:val="000F11B8"/>
    <w:rsid w:val="000F12C8"/>
    <w:rsid w:val="000F267B"/>
    <w:rsid w:val="000F28B8"/>
    <w:rsid w:val="000F28F9"/>
    <w:rsid w:val="000F2960"/>
    <w:rsid w:val="000F386C"/>
    <w:rsid w:val="000F39DE"/>
    <w:rsid w:val="000F3A56"/>
    <w:rsid w:val="000F3BFA"/>
    <w:rsid w:val="000F3F6C"/>
    <w:rsid w:val="000F489B"/>
    <w:rsid w:val="000F545C"/>
    <w:rsid w:val="000F569E"/>
    <w:rsid w:val="000F599C"/>
    <w:rsid w:val="000F6080"/>
    <w:rsid w:val="000F60A8"/>
    <w:rsid w:val="000F62F1"/>
    <w:rsid w:val="000F6363"/>
    <w:rsid w:val="000F646B"/>
    <w:rsid w:val="000F66DF"/>
    <w:rsid w:val="000F7307"/>
    <w:rsid w:val="000F77DD"/>
    <w:rsid w:val="000F7A06"/>
    <w:rsid w:val="000F7C35"/>
    <w:rsid w:val="000F7C78"/>
    <w:rsid w:val="000F7C81"/>
    <w:rsid w:val="000F7F38"/>
    <w:rsid w:val="0010041B"/>
    <w:rsid w:val="001005AF"/>
    <w:rsid w:val="001007A6"/>
    <w:rsid w:val="0010094E"/>
    <w:rsid w:val="00100951"/>
    <w:rsid w:val="00100AB8"/>
    <w:rsid w:val="00100ABC"/>
    <w:rsid w:val="00100B12"/>
    <w:rsid w:val="00100DBB"/>
    <w:rsid w:val="00100E12"/>
    <w:rsid w:val="00100E1A"/>
    <w:rsid w:val="00100F23"/>
    <w:rsid w:val="0010110A"/>
    <w:rsid w:val="00101BB8"/>
    <w:rsid w:val="0010209B"/>
    <w:rsid w:val="0010218E"/>
    <w:rsid w:val="001025A2"/>
    <w:rsid w:val="00102642"/>
    <w:rsid w:val="0010284C"/>
    <w:rsid w:val="00102AE6"/>
    <w:rsid w:val="00102EA9"/>
    <w:rsid w:val="001030BB"/>
    <w:rsid w:val="00103412"/>
    <w:rsid w:val="00103ECA"/>
    <w:rsid w:val="00104125"/>
    <w:rsid w:val="001041BF"/>
    <w:rsid w:val="00104245"/>
    <w:rsid w:val="00104296"/>
    <w:rsid w:val="0010434F"/>
    <w:rsid w:val="0010443D"/>
    <w:rsid w:val="0010447B"/>
    <w:rsid w:val="001045F4"/>
    <w:rsid w:val="00104810"/>
    <w:rsid w:val="00104A54"/>
    <w:rsid w:val="00104AA3"/>
    <w:rsid w:val="00105012"/>
    <w:rsid w:val="0010551E"/>
    <w:rsid w:val="001058D3"/>
    <w:rsid w:val="00105FFA"/>
    <w:rsid w:val="001060EE"/>
    <w:rsid w:val="0010618F"/>
    <w:rsid w:val="0010660C"/>
    <w:rsid w:val="001067DC"/>
    <w:rsid w:val="00106DA0"/>
    <w:rsid w:val="00107077"/>
    <w:rsid w:val="0010745F"/>
    <w:rsid w:val="00107703"/>
    <w:rsid w:val="00107AA4"/>
    <w:rsid w:val="00107D19"/>
    <w:rsid w:val="00107D90"/>
    <w:rsid w:val="001100B3"/>
    <w:rsid w:val="001109E7"/>
    <w:rsid w:val="00110D4E"/>
    <w:rsid w:val="00110E7D"/>
    <w:rsid w:val="00110EC9"/>
    <w:rsid w:val="00111044"/>
    <w:rsid w:val="001116B6"/>
    <w:rsid w:val="00111A0E"/>
    <w:rsid w:val="00111A14"/>
    <w:rsid w:val="00111F38"/>
    <w:rsid w:val="00112140"/>
    <w:rsid w:val="00112E09"/>
    <w:rsid w:val="0011316E"/>
    <w:rsid w:val="001135B3"/>
    <w:rsid w:val="00113C89"/>
    <w:rsid w:val="00114B32"/>
    <w:rsid w:val="00114B8F"/>
    <w:rsid w:val="00114E65"/>
    <w:rsid w:val="00115A23"/>
    <w:rsid w:val="00115EE5"/>
    <w:rsid w:val="0011673E"/>
    <w:rsid w:val="00116CF8"/>
    <w:rsid w:val="0011756B"/>
    <w:rsid w:val="0011781C"/>
    <w:rsid w:val="0011793F"/>
    <w:rsid w:val="00120002"/>
    <w:rsid w:val="0012010B"/>
    <w:rsid w:val="00120D13"/>
    <w:rsid w:val="00120EA7"/>
    <w:rsid w:val="00120F8A"/>
    <w:rsid w:val="0012139D"/>
    <w:rsid w:val="00121498"/>
    <w:rsid w:val="001216E3"/>
    <w:rsid w:val="001218C1"/>
    <w:rsid w:val="00121B1E"/>
    <w:rsid w:val="001220D2"/>
    <w:rsid w:val="001223CF"/>
    <w:rsid w:val="00122642"/>
    <w:rsid w:val="00122971"/>
    <w:rsid w:val="001235B1"/>
    <w:rsid w:val="00123A00"/>
    <w:rsid w:val="00123BB2"/>
    <w:rsid w:val="00123DCE"/>
    <w:rsid w:val="00123EFB"/>
    <w:rsid w:val="00124003"/>
    <w:rsid w:val="001240A1"/>
    <w:rsid w:val="001243DE"/>
    <w:rsid w:val="00124802"/>
    <w:rsid w:val="00124D9C"/>
    <w:rsid w:val="00124E7D"/>
    <w:rsid w:val="00125515"/>
    <w:rsid w:val="001255F3"/>
    <w:rsid w:val="001256C9"/>
    <w:rsid w:val="001258BF"/>
    <w:rsid w:val="00125A64"/>
    <w:rsid w:val="00125FBC"/>
    <w:rsid w:val="001265CE"/>
    <w:rsid w:val="00126A15"/>
    <w:rsid w:val="00126B64"/>
    <w:rsid w:val="00126EDA"/>
    <w:rsid w:val="001271FE"/>
    <w:rsid w:val="00127F30"/>
    <w:rsid w:val="0012B128"/>
    <w:rsid w:val="001309AA"/>
    <w:rsid w:val="00130E35"/>
    <w:rsid w:val="00130F58"/>
    <w:rsid w:val="00131111"/>
    <w:rsid w:val="0013123D"/>
    <w:rsid w:val="0013124A"/>
    <w:rsid w:val="00131405"/>
    <w:rsid w:val="00131411"/>
    <w:rsid w:val="0013159F"/>
    <w:rsid w:val="001315D6"/>
    <w:rsid w:val="00131641"/>
    <w:rsid w:val="00131907"/>
    <w:rsid w:val="00131E2E"/>
    <w:rsid w:val="0013213C"/>
    <w:rsid w:val="0013214C"/>
    <w:rsid w:val="00132693"/>
    <w:rsid w:val="001328FB"/>
    <w:rsid w:val="00132EBB"/>
    <w:rsid w:val="00133912"/>
    <w:rsid w:val="00133E27"/>
    <w:rsid w:val="001340F2"/>
    <w:rsid w:val="001340FD"/>
    <w:rsid w:val="00134320"/>
    <w:rsid w:val="00134759"/>
    <w:rsid w:val="00134A6A"/>
    <w:rsid w:val="00134DE7"/>
    <w:rsid w:val="00134E04"/>
    <w:rsid w:val="00135104"/>
    <w:rsid w:val="00135557"/>
    <w:rsid w:val="0013564C"/>
    <w:rsid w:val="00135757"/>
    <w:rsid w:val="001359F2"/>
    <w:rsid w:val="001368FC"/>
    <w:rsid w:val="00136C6D"/>
    <w:rsid w:val="00136CE2"/>
    <w:rsid w:val="00136E5E"/>
    <w:rsid w:val="001374D0"/>
    <w:rsid w:val="0014014B"/>
    <w:rsid w:val="001409FB"/>
    <w:rsid w:val="00140D65"/>
    <w:rsid w:val="0014113B"/>
    <w:rsid w:val="0014149A"/>
    <w:rsid w:val="001415CE"/>
    <w:rsid w:val="00141693"/>
    <w:rsid w:val="001417BA"/>
    <w:rsid w:val="00141910"/>
    <w:rsid w:val="001422A1"/>
    <w:rsid w:val="001424E4"/>
    <w:rsid w:val="0014331B"/>
    <w:rsid w:val="00143391"/>
    <w:rsid w:val="0014361F"/>
    <w:rsid w:val="001436EB"/>
    <w:rsid w:val="001438ED"/>
    <w:rsid w:val="00143A8A"/>
    <w:rsid w:val="00144133"/>
    <w:rsid w:val="00144173"/>
    <w:rsid w:val="001448D0"/>
    <w:rsid w:val="001448E0"/>
    <w:rsid w:val="0014495B"/>
    <w:rsid w:val="00144EE1"/>
    <w:rsid w:val="0014559A"/>
    <w:rsid w:val="001455D5"/>
    <w:rsid w:val="00145A88"/>
    <w:rsid w:val="00146096"/>
    <w:rsid w:val="001464CF"/>
    <w:rsid w:val="00146574"/>
    <w:rsid w:val="00146921"/>
    <w:rsid w:val="00147501"/>
    <w:rsid w:val="00150459"/>
    <w:rsid w:val="00150582"/>
    <w:rsid w:val="0015071D"/>
    <w:rsid w:val="001507F2"/>
    <w:rsid w:val="001508BB"/>
    <w:rsid w:val="001509B2"/>
    <w:rsid w:val="00150BBE"/>
    <w:rsid w:val="00150C78"/>
    <w:rsid w:val="0015167C"/>
    <w:rsid w:val="00151772"/>
    <w:rsid w:val="0015188D"/>
    <w:rsid w:val="00151E72"/>
    <w:rsid w:val="00151F1F"/>
    <w:rsid w:val="00152005"/>
    <w:rsid w:val="00152148"/>
    <w:rsid w:val="001527C3"/>
    <w:rsid w:val="001528EE"/>
    <w:rsid w:val="00152B6D"/>
    <w:rsid w:val="00152D99"/>
    <w:rsid w:val="00152E13"/>
    <w:rsid w:val="00152EBB"/>
    <w:rsid w:val="0015309B"/>
    <w:rsid w:val="001532B1"/>
    <w:rsid w:val="00153510"/>
    <w:rsid w:val="001537CF"/>
    <w:rsid w:val="00153857"/>
    <w:rsid w:val="00153D80"/>
    <w:rsid w:val="001540F3"/>
    <w:rsid w:val="0015450F"/>
    <w:rsid w:val="00154CCA"/>
    <w:rsid w:val="00154FF6"/>
    <w:rsid w:val="001555E4"/>
    <w:rsid w:val="00155B6B"/>
    <w:rsid w:val="00155C23"/>
    <w:rsid w:val="00156095"/>
    <w:rsid w:val="0015625F"/>
    <w:rsid w:val="00156905"/>
    <w:rsid w:val="00157279"/>
    <w:rsid w:val="001579B9"/>
    <w:rsid w:val="00157D0F"/>
    <w:rsid w:val="00157DBE"/>
    <w:rsid w:val="00160571"/>
    <w:rsid w:val="001606E0"/>
    <w:rsid w:val="00160894"/>
    <w:rsid w:val="00160B07"/>
    <w:rsid w:val="001612FB"/>
    <w:rsid w:val="00161727"/>
    <w:rsid w:val="00161F38"/>
    <w:rsid w:val="00162011"/>
    <w:rsid w:val="001621BF"/>
    <w:rsid w:val="00162340"/>
    <w:rsid w:val="00162DF7"/>
    <w:rsid w:val="0016315C"/>
    <w:rsid w:val="00163A81"/>
    <w:rsid w:val="00164066"/>
    <w:rsid w:val="001642B9"/>
    <w:rsid w:val="001642D1"/>
    <w:rsid w:val="001643F5"/>
    <w:rsid w:val="0016455D"/>
    <w:rsid w:val="0016456B"/>
    <w:rsid w:val="00164FD0"/>
    <w:rsid w:val="00165148"/>
    <w:rsid w:val="00166E65"/>
    <w:rsid w:val="00166FDB"/>
    <w:rsid w:val="00167887"/>
    <w:rsid w:val="00167BA9"/>
    <w:rsid w:val="00167EA7"/>
    <w:rsid w:val="00167EF7"/>
    <w:rsid w:val="001702B2"/>
    <w:rsid w:val="001704D8"/>
    <w:rsid w:val="001706D6"/>
    <w:rsid w:val="00170A02"/>
    <w:rsid w:val="00170D4C"/>
    <w:rsid w:val="00170E93"/>
    <w:rsid w:val="00171E84"/>
    <w:rsid w:val="0017248E"/>
    <w:rsid w:val="00173078"/>
    <w:rsid w:val="00173377"/>
    <w:rsid w:val="0017340A"/>
    <w:rsid w:val="00173763"/>
    <w:rsid w:val="00173774"/>
    <w:rsid w:val="00173850"/>
    <w:rsid w:val="00173A37"/>
    <w:rsid w:val="00173B63"/>
    <w:rsid w:val="00174386"/>
    <w:rsid w:val="00174AB8"/>
    <w:rsid w:val="00174C08"/>
    <w:rsid w:val="00174DD1"/>
    <w:rsid w:val="00175212"/>
    <w:rsid w:val="00176448"/>
    <w:rsid w:val="001765F2"/>
    <w:rsid w:val="00176949"/>
    <w:rsid w:val="00177956"/>
    <w:rsid w:val="00177EE4"/>
    <w:rsid w:val="00180213"/>
    <w:rsid w:val="0018040B"/>
    <w:rsid w:val="00180EE4"/>
    <w:rsid w:val="00180F49"/>
    <w:rsid w:val="0018160D"/>
    <w:rsid w:val="001818D1"/>
    <w:rsid w:val="00182BEF"/>
    <w:rsid w:val="001830FD"/>
    <w:rsid w:val="001831E6"/>
    <w:rsid w:val="00183539"/>
    <w:rsid w:val="001837EC"/>
    <w:rsid w:val="00183CD4"/>
    <w:rsid w:val="00183D5E"/>
    <w:rsid w:val="00183EF9"/>
    <w:rsid w:val="001840E8"/>
    <w:rsid w:val="001844E9"/>
    <w:rsid w:val="001846E2"/>
    <w:rsid w:val="00184ADA"/>
    <w:rsid w:val="00184E86"/>
    <w:rsid w:val="0018523C"/>
    <w:rsid w:val="001853CE"/>
    <w:rsid w:val="001860A7"/>
    <w:rsid w:val="001861E6"/>
    <w:rsid w:val="0018640E"/>
    <w:rsid w:val="001865AD"/>
    <w:rsid w:val="0018688C"/>
    <w:rsid w:val="001868BA"/>
    <w:rsid w:val="00186E58"/>
    <w:rsid w:val="001873CE"/>
    <w:rsid w:val="00187BF1"/>
    <w:rsid w:val="00187D0F"/>
    <w:rsid w:val="00187E33"/>
    <w:rsid w:val="00190024"/>
    <w:rsid w:val="001902AC"/>
    <w:rsid w:val="00190380"/>
    <w:rsid w:val="00190A08"/>
    <w:rsid w:val="00190B03"/>
    <w:rsid w:val="00190CA9"/>
    <w:rsid w:val="00190F46"/>
    <w:rsid w:val="00190F85"/>
    <w:rsid w:val="0019102E"/>
    <w:rsid w:val="0019115C"/>
    <w:rsid w:val="0019270A"/>
    <w:rsid w:val="00192C44"/>
    <w:rsid w:val="00192E47"/>
    <w:rsid w:val="00192FB1"/>
    <w:rsid w:val="00193C1E"/>
    <w:rsid w:val="00193E09"/>
    <w:rsid w:val="0019526A"/>
    <w:rsid w:val="001966FC"/>
    <w:rsid w:val="00196B24"/>
    <w:rsid w:val="00196CE4"/>
    <w:rsid w:val="001972E8"/>
    <w:rsid w:val="001973C1"/>
    <w:rsid w:val="00197834"/>
    <w:rsid w:val="00197F0C"/>
    <w:rsid w:val="001A0953"/>
    <w:rsid w:val="001A17C9"/>
    <w:rsid w:val="001A1935"/>
    <w:rsid w:val="001A1C18"/>
    <w:rsid w:val="001A28D1"/>
    <w:rsid w:val="001A2C86"/>
    <w:rsid w:val="001A3CE9"/>
    <w:rsid w:val="001A3F56"/>
    <w:rsid w:val="001A3F65"/>
    <w:rsid w:val="001A3FBA"/>
    <w:rsid w:val="001A4135"/>
    <w:rsid w:val="001A49CE"/>
    <w:rsid w:val="001A4B1B"/>
    <w:rsid w:val="001A4B5A"/>
    <w:rsid w:val="001A4CF5"/>
    <w:rsid w:val="001A523A"/>
    <w:rsid w:val="001A5D2F"/>
    <w:rsid w:val="001A65D2"/>
    <w:rsid w:val="001A69C7"/>
    <w:rsid w:val="001A6CC3"/>
    <w:rsid w:val="001A796C"/>
    <w:rsid w:val="001B01C5"/>
    <w:rsid w:val="001B02A9"/>
    <w:rsid w:val="001B04F8"/>
    <w:rsid w:val="001B0D8C"/>
    <w:rsid w:val="001B1921"/>
    <w:rsid w:val="001B1CD8"/>
    <w:rsid w:val="001B1EC7"/>
    <w:rsid w:val="001B20B6"/>
    <w:rsid w:val="001B23CC"/>
    <w:rsid w:val="001B3FF1"/>
    <w:rsid w:val="001B4260"/>
    <w:rsid w:val="001B490C"/>
    <w:rsid w:val="001B49AB"/>
    <w:rsid w:val="001B4B46"/>
    <w:rsid w:val="001B4DE9"/>
    <w:rsid w:val="001B55F9"/>
    <w:rsid w:val="001B580A"/>
    <w:rsid w:val="001B5DA0"/>
    <w:rsid w:val="001B5E4D"/>
    <w:rsid w:val="001B5F56"/>
    <w:rsid w:val="001B6116"/>
    <w:rsid w:val="001B62FC"/>
    <w:rsid w:val="001B64F6"/>
    <w:rsid w:val="001B6587"/>
    <w:rsid w:val="001B660A"/>
    <w:rsid w:val="001B6619"/>
    <w:rsid w:val="001B6714"/>
    <w:rsid w:val="001B6AB4"/>
    <w:rsid w:val="001B6F4D"/>
    <w:rsid w:val="001B7B5A"/>
    <w:rsid w:val="001B7C9C"/>
    <w:rsid w:val="001B7F2E"/>
    <w:rsid w:val="001B7FB5"/>
    <w:rsid w:val="001C048C"/>
    <w:rsid w:val="001C04A2"/>
    <w:rsid w:val="001C080A"/>
    <w:rsid w:val="001C0BD3"/>
    <w:rsid w:val="001C0DFA"/>
    <w:rsid w:val="001C1150"/>
    <w:rsid w:val="001C18CA"/>
    <w:rsid w:val="001C1990"/>
    <w:rsid w:val="001C1FC6"/>
    <w:rsid w:val="001C29D6"/>
    <w:rsid w:val="001C36C0"/>
    <w:rsid w:val="001C3748"/>
    <w:rsid w:val="001C3CA4"/>
    <w:rsid w:val="001C3E95"/>
    <w:rsid w:val="001C4519"/>
    <w:rsid w:val="001C47BC"/>
    <w:rsid w:val="001C4A28"/>
    <w:rsid w:val="001C4CE1"/>
    <w:rsid w:val="001C4E4B"/>
    <w:rsid w:val="001C4F1C"/>
    <w:rsid w:val="001C54A6"/>
    <w:rsid w:val="001C6200"/>
    <w:rsid w:val="001C6851"/>
    <w:rsid w:val="001C6A05"/>
    <w:rsid w:val="001C6E32"/>
    <w:rsid w:val="001C6F65"/>
    <w:rsid w:val="001C7594"/>
    <w:rsid w:val="001C7BDB"/>
    <w:rsid w:val="001CA74E"/>
    <w:rsid w:val="001CDEEC"/>
    <w:rsid w:val="001D0210"/>
    <w:rsid w:val="001D02FD"/>
    <w:rsid w:val="001D0381"/>
    <w:rsid w:val="001D04E5"/>
    <w:rsid w:val="001D089C"/>
    <w:rsid w:val="001D181E"/>
    <w:rsid w:val="001D247E"/>
    <w:rsid w:val="001D2594"/>
    <w:rsid w:val="001D2BFD"/>
    <w:rsid w:val="001D2FCB"/>
    <w:rsid w:val="001D34DA"/>
    <w:rsid w:val="001D36B0"/>
    <w:rsid w:val="001D3A07"/>
    <w:rsid w:val="001D3A84"/>
    <w:rsid w:val="001D4027"/>
    <w:rsid w:val="001D4456"/>
    <w:rsid w:val="001D4A0C"/>
    <w:rsid w:val="001D4C78"/>
    <w:rsid w:val="001D4DEA"/>
    <w:rsid w:val="001D506C"/>
    <w:rsid w:val="001D535D"/>
    <w:rsid w:val="001D54EF"/>
    <w:rsid w:val="001D5EBB"/>
    <w:rsid w:val="001D6641"/>
    <w:rsid w:val="001D66D4"/>
    <w:rsid w:val="001D6818"/>
    <w:rsid w:val="001D68FB"/>
    <w:rsid w:val="001D6937"/>
    <w:rsid w:val="001D6AE6"/>
    <w:rsid w:val="001D7B3B"/>
    <w:rsid w:val="001D7B7C"/>
    <w:rsid w:val="001D7D94"/>
    <w:rsid w:val="001D7F04"/>
    <w:rsid w:val="001E0030"/>
    <w:rsid w:val="001E007D"/>
    <w:rsid w:val="001E097C"/>
    <w:rsid w:val="001E0A9E"/>
    <w:rsid w:val="001E0F68"/>
    <w:rsid w:val="001E17AA"/>
    <w:rsid w:val="001E18DB"/>
    <w:rsid w:val="001E1B1A"/>
    <w:rsid w:val="001E2549"/>
    <w:rsid w:val="001E2A3B"/>
    <w:rsid w:val="001E2DA1"/>
    <w:rsid w:val="001E3003"/>
    <w:rsid w:val="001E3294"/>
    <w:rsid w:val="001E3543"/>
    <w:rsid w:val="001E382E"/>
    <w:rsid w:val="001E3C58"/>
    <w:rsid w:val="001E3C90"/>
    <w:rsid w:val="001E4A06"/>
    <w:rsid w:val="001E4B36"/>
    <w:rsid w:val="001E4DA2"/>
    <w:rsid w:val="001E5B01"/>
    <w:rsid w:val="001E5C57"/>
    <w:rsid w:val="001E5F9C"/>
    <w:rsid w:val="001E6345"/>
    <w:rsid w:val="001E65CE"/>
    <w:rsid w:val="001E6624"/>
    <w:rsid w:val="001E6780"/>
    <w:rsid w:val="001E67A7"/>
    <w:rsid w:val="001E692F"/>
    <w:rsid w:val="001E6B6C"/>
    <w:rsid w:val="001E6D9A"/>
    <w:rsid w:val="001E6DFE"/>
    <w:rsid w:val="001E6E1C"/>
    <w:rsid w:val="001E74C2"/>
    <w:rsid w:val="001E7624"/>
    <w:rsid w:val="001F00F5"/>
    <w:rsid w:val="001F0266"/>
    <w:rsid w:val="001F0CD2"/>
    <w:rsid w:val="001F0D76"/>
    <w:rsid w:val="001F0E0C"/>
    <w:rsid w:val="001F0EFD"/>
    <w:rsid w:val="001F0F9B"/>
    <w:rsid w:val="001F1180"/>
    <w:rsid w:val="001F11EF"/>
    <w:rsid w:val="001F18B6"/>
    <w:rsid w:val="001F1957"/>
    <w:rsid w:val="001F3014"/>
    <w:rsid w:val="001F30EB"/>
    <w:rsid w:val="001F32C7"/>
    <w:rsid w:val="001F3487"/>
    <w:rsid w:val="001F38D8"/>
    <w:rsid w:val="001F3913"/>
    <w:rsid w:val="001F4B05"/>
    <w:rsid w:val="001F4EF5"/>
    <w:rsid w:val="001F5A0F"/>
    <w:rsid w:val="001F65E4"/>
    <w:rsid w:val="001F72C9"/>
    <w:rsid w:val="001F7364"/>
    <w:rsid w:val="001F7830"/>
    <w:rsid w:val="001F79E5"/>
    <w:rsid w:val="001F7A8A"/>
    <w:rsid w:val="002002D9"/>
    <w:rsid w:val="00200A52"/>
    <w:rsid w:val="002013C0"/>
    <w:rsid w:val="002015B9"/>
    <w:rsid w:val="0020164C"/>
    <w:rsid w:val="00201D81"/>
    <w:rsid w:val="00201E21"/>
    <w:rsid w:val="00201FC5"/>
    <w:rsid w:val="002024F4"/>
    <w:rsid w:val="00203001"/>
    <w:rsid w:val="002038BC"/>
    <w:rsid w:val="00204768"/>
    <w:rsid w:val="00204BA5"/>
    <w:rsid w:val="00205218"/>
    <w:rsid w:val="00205227"/>
    <w:rsid w:val="002056D2"/>
    <w:rsid w:val="00205DED"/>
    <w:rsid w:val="00206329"/>
    <w:rsid w:val="0020650F"/>
    <w:rsid w:val="00206790"/>
    <w:rsid w:val="0020684E"/>
    <w:rsid w:val="00207174"/>
    <w:rsid w:val="002079E1"/>
    <w:rsid w:val="00207C55"/>
    <w:rsid w:val="00207E94"/>
    <w:rsid w:val="00210523"/>
    <w:rsid w:val="00210902"/>
    <w:rsid w:val="00210929"/>
    <w:rsid w:val="00211761"/>
    <w:rsid w:val="00211B19"/>
    <w:rsid w:val="00211EA2"/>
    <w:rsid w:val="002120E0"/>
    <w:rsid w:val="002120E4"/>
    <w:rsid w:val="002123D4"/>
    <w:rsid w:val="0021240E"/>
    <w:rsid w:val="002129FB"/>
    <w:rsid w:val="00212ACD"/>
    <w:rsid w:val="00212F70"/>
    <w:rsid w:val="00212FCB"/>
    <w:rsid w:val="002134A2"/>
    <w:rsid w:val="00213552"/>
    <w:rsid w:val="002137DF"/>
    <w:rsid w:val="00213AEE"/>
    <w:rsid w:val="0021421B"/>
    <w:rsid w:val="00214714"/>
    <w:rsid w:val="00214930"/>
    <w:rsid w:val="00214D87"/>
    <w:rsid w:val="00214D88"/>
    <w:rsid w:val="00215172"/>
    <w:rsid w:val="00215867"/>
    <w:rsid w:val="00215D6E"/>
    <w:rsid w:val="00215E54"/>
    <w:rsid w:val="00216983"/>
    <w:rsid w:val="002176ED"/>
    <w:rsid w:val="00217F26"/>
    <w:rsid w:val="0022073C"/>
    <w:rsid w:val="0022097A"/>
    <w:rsid w:val="002209A1"/>
    <w:rsid w:val="00220B40"/>
    <w:rsid w:val="00220C19"/>
    <w:rsid w:val="00220D73"/>
    <w:rsid w:val="00220F5C"/>
    <w:rsid w:val="0022113A"/>
    <w:rsid w:val="0022114D"/>
    <w:rsid w:val="002211EE"/>
    <w:rsid w:val="002214C0"/>
    <w:rsid w:val="00221B18"/>
    <w:rsid w:val="00221C5E"/>
    <w:rsid w:val="00221CAA"/>
    <w:rsid w:val="00221DF9"/>
    <w:rsid w:val="002220A8"/>
    <w:rsid w:val="002221F4"/>
    <w:rsid w:val="0022236F"/>
    <w:rsid w:val="00222A96"/>
    <w:rsid w:val="00222B77"/>
    <w:rsid w:val="00222FD5"/>
    <w:rsid w:val="002235D0"/>
    <w:rsid w:val="00223CB0"/>
    <w:rsid w:val="002240F1"/>
    <w:rsid w:val="002241C8"/>
    <w:rsid w:val="00224783"/>
    <w:rsid w:val="00225309"/>
    <w:rsid w:val="002253E9"/>
    <w:rsid w:val="00225670"/>
    <w:rsid w:val="0022570C"/>
    <w:rsid w:val="002258D0"/>
    <w:rsid w:val="00225A63"/>
    <w:rsid w:val="00225B2D"/>
    <w:rsid w:val="00225FB7"/>
    <w:rsid w:val="002260C4"/>
    <w:rsid w:val="002263B1"/>
    <w:rsid w:val="0022656E"/>
    <w:rsid w:val="0022691F"/>
    <w:rsid w:val="00226AE8"/>
    <w:rsid w:val="00226DA2"/>
    <w:rsid w:val="00227DAC"/>
    <w:rsid w:val="00227E11"/>
    <w:rsid w:val="00227E25"/>
    <w:rsid w:val="0023067E"/>
    <w:rsid w:val="0023077E"/>
    <w:rsid w:val="00230C30"/>
    <w:rsid w:val="0023100E"/>
    <w:rsid w:val="00231024"/>
    <w:rsid w:val="002310FA"/>
    <w:rsid w:val="00231683"/>
    <w:rsid w:val="00231F14"/>
    <w:rsid w:val="002321EB"/>
    <w:rsid w:val="00232203"/>
    <w:rsid w:val="002326A3"/>
    <w:rsid w:val="002329B6"/>
    <w:rsid w:val="00232A92"/>
    <w:rsid w:val="00232C83"/>
    <w:rsid w:val="00232E61"/>
    <w:rsid w:val="00233153"/>
    <w:rsid w:val="002336D0"/>
    <w:rsid w:val="00233C1B"/>
    <w:rsid w:val="00233E49"/>
    <w:rsid w:val="00234B3D"/>
    <w:rsid w:val="00234F94"/>
    <w:rsid w:val="002357C2"/>
    <w:rsid w:val="00235B21"/>
    <w:rsid w:val="002360D4"/>
    <w:rsid w:val="00236118"/>
    <w:rsid w:val="002362BA"/>
    <w:rsid w:val="00236517"/>
    <w:rsid w:val="00236752"/>
    <w:rsid w:val="0023704A"/>
    <w:rsid w:val="00237CBA"/>
    <w:rsid w:val="002401BE"/>
    <w:rsid w:val="002403FC"/>
    <w:rsid w:val="002404D2"/>
    <w:rsid w:val="002406DC"/>
    <w:rsid w:val="00240C8B"/>
    <w:rsid w:val="00241349"/>
    <w:rsid w:val="00241352"/>
    <w:rsid w:val="00241861"/>
    <w:rsid w:val="002418C7"/>
    <w:rsid w:val="00241D8C"/>
    <w:rsid w:val="002420AF"/>
    <w:rsid w:val="002428A2"/>
    <w:rsid w:val="00242F70"/>
    <w:rsid w:val="002434CE"/>
    <w:rsid w:val="00243A93"/>
    <w:rsid w:val="00244040"/>
    <w:rsid w:val="00244297"/>
    <w:rsid w:val="0024455C"/>
    <w:rsid w:val="00245033"/>
    <w:rsid w:val="00245225"/>
    <w:rsid w:val="00245691"/>
    <w:rsid w:val="00245A78"/>
    <w:rsid w:val="00245A8E"/>
    <w:rsid w:val="00245D3D"/>
    <w:rsid w:val="00245EE3"/>
    <w:rsid w:val="0024612A"/>
    <w:rsid w:val="00246C0B"/>
    <w:rsid w:val="00247021"/>
    <w:rsid w:val="002472C3"/>
    <w:rsid w:val="002474E3"/>
    <w:rsid w:val="00247994"/>
    <w:rsid w:val="00247ACD"/>
    <w:rsid w:val="002506FC"/>
    <w:rsid w:val="00250CF7"/>
    <w:rsid w:val="002510A1"/>
    <w:rsid w:val="002512EB"/>
    <w:rsid w:val="0025188C"/>
    <w:rsid w:val="002518E8"/>
    <w:rsid w:val="002519CF"/>
    <w:rsid w:val="00251BAB"/>
    <w:rsid w:val="00251BB9"/>
    <w:rsid w:val="00251C36"/>
    <w:rsid w:val="00252126"/>
    <w:rsid w:val="00252C40"/>
    <w:rsid w:val="00252D1F"/>
    <w:rsid w:val="002545F3"/>
    <w:rsid w:val="00254CE7"/>
    <w:rsid w:val="00254EEC"/>
    <w:rsid w:val="00254F89"/>
    <w:rsid w:val="002551B8"/>
    <w:rsid w:val="00255C51"/>
    <w:rsid w:val="00255E09"/>
    <w:rsid w:val="00256D63"/>
    <w:rsid w:val="00257370"/>
    <w:rsid w:val="002573C3"/>
    <w:rsid w:val="00257766"/>
    <w:rsid w:val="00257998"/>
    <w:rsid w:val="00257D63"/>
    <w:rsid w:val="00260285"/>
    <w:rsid w:val="00260506"/>
    <w:rsid w:val="00260F47"/>
    <w:rsid w:val="002613FE"/>
    <w:rsid w:val="00261A27"/>
    <w:rsid w:val="00261CAD"/>
    <w:rsid w:val="00262035"/>
    <w:rsid w:val="0026277F"/>
    <w:rsid w:val="00262DCC"/>
    <w:rsid w:val="00262E49"/>
    <w:rsid w:val="00263398"/>
    <w:rsid w:val="0026389E"/>
    <w:rsid w:val="00263983"/>
    <w:rsid w:val="00264F12"/>
    <w:rsid w:val="00265186"/>
    <w:rsid w:val="0026548C"/>
    <w:rsid w:val="00265598"/>
    <w:rsid w:val="00265DBE"/>
    <w:rsid w:val="0026670E"/>
    <w:rsid w:val="002669B3"/>
    <w:rsid w:val="00266ED2"/>
    <w:rsid w:val="00267340"/>
    <w:rsid w:val="002704AB"/>
    <w:rsid w:val="002704EE"/>
    <w:rsid w:val="00270B17"/>
    <w:rsid w:val="00270D9D"/>
    <w:rsid w:val="00270DCE"/>
    <w:rsid w:val="00270F17"/>
    <w:rsid w:val="0027103B"/>
    <w:rsid w:val="0027113F"/>
    <w:rsid w:val="00271223"/>
    <w:rsid w:val="00271360"/>
    <w:rsid w:val="0027170F"/>
    <w:rsid w:val="00271A51"/>
    <w:rsid w:val="002728A7"/>
    <w:rsid w:val="002736D1"/>
    <w:rsid w:val="00273D5A"/>
    <w:rsid w:val="00273D95"/>
    <w:rsid w:val="00274204"/>
    <w:rsid w:val="00274C1D"/>
    <w:rsid w:val="00274F99"/>
    <w:rsid w:val="00275038"/>
    <w:rsid w:val="00275932"/>
    <w:rsid w:val="00275E1C"/>
    <w:rsid w:val="002761BF"/>
    <w:rsid w:val="002766DC"/>
    <w:rsid w:val="00276882"/>
    <w:rsid w:val="002768D5"/>
    <w:rsid w:val="00276C3B"/>
    <w:rsid w:val="00276D79"/>
    <w:rsid w:val="00277323"/>
    <w:rsid w:val="0027745E"/>
    <w:rsid w:val="002776A0"/>
    <w:rsid w:val="002777E3"/>
    <w:rsid w:val="00277C1B"/>
    <w:rsid w:val="002801AD"/>
    <w:rsid w:val="00280C95"/>
    <w:rsid w:val="00280D07"/>
    <w:rsid w:val="00281204"/>
    <w:rsid w:val="0028123C"/>
    <w:rsid w:val="00281AA4"/>
    <w:rsid w:val="00281C73"/>
    <w:rsid w:val="00281F6C"/>
    <w:rsid w:val="00282402"/>
    <w:rsid w:val="0028242A"/>
    <w:rsid w:val="0028278F"/>
    <w:rsid w:val="002828EC"/>
    <w:rsid w:val="00282994"/>
    <w:rsid w:val="002829BC"/>
    <w:rsid w:val="00282BAB"/>
    <w:rsid w:val="0028328E"/>
    <w:rsid w:val="00283310"/>
    <w:rsid w:val="002838B1"/>
    <w:rsid w:val="00283E81"/>
    <w:rsid w:val="0028423A"/>
    <w:rsid w:val="00284E3B"/>
    <w:rsid w:val="00285305"/>
    <w:rsid w:val="00285867"/>
    <w:rsid w:val="002864DA"/>
    <w:rsid w:val="0028654E"/>
    <w:rsid w:val="002866AB"/>
    <w:rsid w:val="002869C1"/>
    <w:rsid w:val="00286DD5"/>
    <w:rsid w:val="00286FF6"/>
    <w:rsid w:val="00287CAB"/>
    <w:rsid w:val="00287D4D"/>
    <w:rsid w:val="00287F34"/>
    <w:rsid w:val="00290489"/>
    <w:rsid w:val="002907C7"/>
    <w:rsid w:val="00290A64"/>
    <w:rsid w:val="00290EEE"/>
    <w:rsid w:val="00291985"/>
    <w:rsid w:val="00292188"/>
    <w:rsid w:val="0029222E"/>
    <w:rsid w:val="00292F1A"/>
    <w:rsid w:val="002933B1"/>
    <w:rsid w:val="00293457"/>
    <w:rsid w:val="00293559"/>
    <w:rsid w:val="00293BCA"/>
    <w:rsid w:val="00293FA2"/>
    <w:rsid w:val="0029444C"/>
    <w:rsid w:val="002946BE"/>
    <w:rsid w:val="00295493"/>
    <w:rsid w:val="00295A68"/>
    <w:rsid w:val="00295D5F"/>
    <w:rsid w:val="00295E12"/>
    <w:rsid w:val="0029629A"/>
    <w:rsid w:val="002963BB"/>
    <w:rsid w:val="00296911"/>
    <w:rsid w:val="00296D4B"/>
    <w:rsid w:val="0029771F"/>
    <w:rsid w:val="00297A40"/>
    <w:rsid w:val="00297D15"/>
    <w:rsid w:val="002A0019"/>
    <w:rsid w:val="002A1263"/>
    <w:rsid w:val="002A1B76"/>
    <w:rsid w:val="002A1F34"/>
    <w:rsid w:val="002A1F8B"/>
    <w:rsid w:val="002A222F"/>
    <w:rsid w:val="002A22D8"/>
    <w:rsid w:val="002A276F"/>
    <w:rsid w:val="002A29F3"/>
    <w:rsid w:val="002A2B7E"/>
    <w:rsid w:val="002A328D"/>
    <w:rsid w:val="002A35E5"/>
    <w:rsid w:val="002A3610"/>
    <w:rsid w:val="002A3B2A"/>
    <w:rsid w:val="002A3C64"/>
    <w:rsid w:val="002A3CA5"/>
    <w:rsid w:val="002A4380"/>
    <w:rsid w:val="002A46D4"/>
    <w:rsid w:val="002A4852"/>
    <w:rsid w:val="002A4A90"/>
    <w:rsid w:val="002A5506"/>
    <w:rsid w:val="002A5AA6"/>
    <w:rsid w:val="002A5D99"/>
    <w:rsid w:val="002A5EE3"/>
    <w:rsid w:val="002A67C5"/>
    <w:rsid w:val="002A6AD0"/>
    <w:rsid w:val="002A6B79"/>
    <w:rsid w:val="002A70AA"/>
    <w:rsid w:val="002A71D6"/>
    <w:rsid w:val="002A766C"/>
    <w:rsid w:val="002B04C3"/>
    <w:rsid w:val="002B061D"/>
    <w:rsid w:val="002B0675"/>
    <w:rsid w:val="002B0BF9"/>
    <w:rsid w:val="002B103E"/>
    <w:rsid w:val="002B1090"/>
    <w:rsid w:val="002B10DB"/>
    <w:rsid w:val="002B12A0"/>
    <w:rsid w:val="002B17E4"/>
    <w:rsid w:val="002B18C4"/>
    <w:rsid w:val="002B1ED2"/>
    <w:rsid w:val="002B2530"/>
    <w:rsid w:val="002B2907"/>
    <w:rsid w:val="002B30D0"/>
    <w:rsid w:val="002B3164"/>
    <w:rsid w:val="002B3272"/>
    <w:rsid w:val="002B34FF"/>
    <w:rsid w:val="002B39FA"/>
    <w:rsid w:val="002B3A48"/>
    <w:rsid w:val="002B4009"/>
    <w:rsid w:val="002B43B7"/>
    <w:rsid w:val="002B4700"/>
    <w:rsid w:val="002B4A65"/>
    <w:rsid w:val="002B4C20"/>
    <w:rsid w:val="002B5982"/>
    <w:rsid w:val="002B64DD"/>
    <w:rsid w:val="002B64EA"/>
    <w:rsid w:val="002B6F07"/>
    <w:rsid w:val="002B6F0F"/>
    <w:rsid w:val="002B6F97"/>
    <w:rsid w:val="002B76B5"/>
    <w:rsid w:val="002B7BFD"/>
    <w:rsid w:val="002B7ECE"/>
    <w:rsid w:val="002B7FDB"/>
    <w:rsid w:val="002C07A3"/>
    <w:rsid w:val="002C0990"/>
    <w:rsid w:val="002C0CD4"/>
    <w:rsid w:val="002C0F9C"/>
    <w:rsid w:val="002C103E"/>
    <w:rsid w:val="002C145C"/>
    <w:rsid w:val="002C1689"/>
    <w:rsid w:val="002C19CD"/>
    <w:rsid w:val="002C1F51"/>
    <w:rsid w:val="002C1FED"/>
    <w:rsid w:val="002C20FC"/>
    <w:rsid w:val="002C2645"/>
    <w:rsid w:val="002C2796"/>
    <w:rsid w:val="002C296E"/>
    <w:rsid w:val="002C2BB0"/>
    <w:rsid w:val="002C2C9D"/>
    <w:rsid w:val="002C2EFE"/>
    <w:rsid w:val="002C36A2"/>
    <w:rsid w:val="002C403E"/>
    <w:rsid w:val="002C4788"/>
    <w:rsid w:val="002C4DFD"/>
    <w:rsid w:val="002C53D1"/>
    <w:rsid w:val="002C5478"/>
    <w:rsid w:val="002C5725"/>
    <w:rsid w:val="002C57A2"/>
    <w:rsid w:val="002C5D4E"/>
    <w:rsid w:val="002C5F3D"/>
    <w:rsid w:val="002C602C"/>
    <w:rsid w:val="002C62EE"/>
    <w:rsid w:val="002C6E8A"/>
    <w:rsid w:val="002C6F46"/>
    <w:rsid w:val="002C70AA"/>
    <w:rsid w:val="002C71EA"/>
    <w:rsid w:val="002C74B5"/>
    <w:rsid w:val="002C7612"/>
    <w:rsid w:val="002C7FD2"/>
    <w:rsid w:val="002D0696"/>
    <w:rsid w:val="002D0AB2"/>
    <w:rsid w:val="002D0B60"/>
    <w:rsid w:val="002D0F49"/>
    <w:rsid w:val="002D110A"/>
    <w:rsid w:val="002D1139"/>
    <w:rsid w:val="002D11B9"/>
    <w:rsid w:val="002D16C3"/>
    <w:rsid w:val="002D1EB0"/>
    <w:rsid w:val="002D2587"/>
    <w:rsid w:val="002D2B23"/>
    <w:rsid w:val="002D2D33"/>
    <w:rsid w:val="002D2E67"/>
    <w:rsid w:val="002D3322"/>
    <w:rsid w:val="002D3C7F"/>
    <w:rsid w:val="002D3E50"/>
    <w:rsid w:val="002D4016"/>
    <w:rsid w:val="002D43F3"/>
    <w:rsid w:val="002D47AA"/>
    <w:rsid w:val="002D4AD9"/>
    <w:rsid w:val="002D4B6A"/>
    <w:rsid w:val="002D4B6C"/>
    <w:rsid w:val="002D4E66"/>
    <w:rsid w:val="002D5152"/>
    <w:rsid w:val="002D5425"/>
    <w:rsid w:val="002D5D59"/>
    <w:rsid w:val="002D6151"/>
    <w:rsid w:val="002D6644"/>
    <w:rsid w:val="002D67C2"/>
    <w:rsid w:val="002D681D"/>
    <w:rsid w:val="002D74D1"/>
    <w:rsid w:val="002D7CD3"/>
    <w:rsid w:val="002D7EF7"/>
    <w:rsid w:val="002E02FC"/>
    <w:rsid w:val="002E0AD4"/>
    <w:rsid w:val="002E12A0"/>
    <w:rsid w:val="002E14FE"/>
    <w:rsid w:val="002E1A55"/>
    <w:rsid w:val="002E1B62"/>
    <w:rsid w:val="002E1BB6"/>
    <w:rsid w:val="002E211F"/>
    <w:rsid w:val="002E24A4"/>
    <w:rsid w:val="002E2B80"/>
    <w:rsid w:val="002E33B3"/>
    <w:rsid w:val="002E3FB3"/>
    <w:rsid w:val="002E4128"/>
    <w:rsid w:val="002E41A7"/>
    <w:rsid w:val="002E463F"/>
    <w:rsid w:val="002E492C"/>
    <w:rsid w:val="002E4D2C"/>
    <w:rsid w:val="002E5177"/>
    <w:rsid w:val="002E54BE"/>
    <w:rsid w:val="002E5573"/>
    <w:rsid w:val="002E5D1D"/>
    <w:rsid w:val="002E5FE7"/>
    <w:rsid w:val="002E6294"/>
    <w:rsid w:val="002E6576"/>
    <w:rsid w:val="002E72A4"/>
    <w:rsid w:val="002F011C"/>
    <w:rsid w:val="002F0B95"/>
    <w:rsid w:val="002F11AA"/>
    <w:rsid w:val="002F1238"/>
    <w:rsid w:val="002F136A"/>
    <w:rsid w:val="002F166E"/>
    <w:rsid w:val="002F1BB3"/>
    <w:rsid w:val="002F1E4C"/>
    <w:rsid w:val="002F1FC0"/>
    <w:rsid w:val="002F2527"/>
    <w:rsid w:val="002F2D00"/>
    <w:rsid w:val="002F2DEA"/>
    <w:rsid w:val="002F3E40"/>
    <w:rsid w:val="002F4120"/>
    <w:rsid w:val="002F4295"/>
    <w:rsid w:val="002F4B39"/>
    <w:rsid w:val="002F4CA0"/>
    <w:rsid w:val="002F5449"/>
    <w:rsid w:val="002F573E"/>
    <w:rsid w:val="002F58BD"/>
    <w:rsid w:val="002F5C65"/>
    <w:rsid w:val="002F7372"/>
    <w:rsid w:val="002F7BB3"/>
    <w:rsid w:val="002F7C2D"/>
    <w:rsid w:val="002F7DB9"/>
    <w:rsid w:val="002F7DF3"/>
    <w:rsid w:val="002F7E57"/>
    <w:rsid w:val="003002C6"/>
    <w:rsid w:val="00300333"/>
    <w:rsid w:val="00300DE4"/>
    <w:rsid w:val="00300F86"/>
    <w:rsid w:val="003013F6"/>
    <w:rsid w:val="00301440"/>
    <w:rsid w:val="003015D3"/>
    <w:rsid w:val="0030164F"/>
    <w:rsid w:val="0030174A"/>
    <w:rsid w:val="003018F0"/>
    <w:rsid w:val="0030197F"/>
    <w:rsid w:val="00302135"/>
    <w:rsid w:val="003022D4"/>
    <w:rsid w:val="0030272A"/>
    <w:rsid w:val="003029AC"/>
    <w:rsid w:val="00302F51"/>
    <w:rsid w:val="003033B8"/>
    <w:rsid w:val="003037EA"/>
    <w:rsid w:val="00303AE9"/>
    <w:rsid w:val="00303B81"/>
    <w:rsid w:val="00303DF1"/>
    <w:rsid w:val="00303EBE"/>
    <w:rsid w:val="003044C1"/>
    <w:rsid w:val="00304D3B"/>
    <w:rsid w:val="00304EA8"/>
    <w:rsid w:val="00305477"/>
    <w:rsid w:val="00305606"/>
    <w:rsid w:val="00305875"/>
    <w:rsid w:val="003058A7"/>
    <w:rsid w:val="0030594F"/>
    <w:rsid w:val="003060E6"/>
    <w:rsid w:val="003061B8"/>
    <w:rsid w:val="003062A1"/>
    <w:rsid w:val="00306B12"/>
    <w:rsid w:val="00306C35"/>
    <w:rsid w:val="00306D97"/>
    <w:rsid w:val="00306DCD"/>
    <w:rsid w:val="00307484"/>
    <w:rsid w:val="003074CE"/>
    <w:rsid w:val="00307678"/>
    <w:rsid w:val="00307969"/>
    <w:rsid w:val="00307DBF"/>
    <w:rsid w:val="00307ED5"/>
    <w:rsid w:val="003108CE"/>
    <w:rsid w:val="00310DF4"/>
    <w:rsid w:val="00311B6B"/>
    <w:rsid w:val="00311C79"/>
    <w:rsid w:val="00311F7E"/>
    <w:rsid w:val="00311FE0"/>
    <w:rsid w:val="003133B8"/>
    <w:rsid w:val="0031342C"/>
    <w:rsid w:val="003134C7"/>
    <w:rsid w:val="00313B36"/>
    <w:rsid w:val="00313CED"/>
    <w:rsid w:val="00313F6D"/>
    <w:rsid w:val="00314776"/>
    <w:rsid w:val="003158F1"/>
    <w:rsid w:val="00315D84"/>
    <w:rsid w:val="00315FBC"/>
    <w:rsid w:val="003160DB"/>
    <w:rsid w:val="00316203"/>
    <w:rsid w:val="00316B5B"/>
    <w:rsid w:val="00316E3F"/>
    <w:rsid w:val="003171C1"/>
    <w:rsid w:val="00317204"/>
    <w:rsid w:val="00317442"/>
    <w:rsid w:val="00317C84"/>
    <w:rsid w:val="003202E7"/>
    <w:rsid w:val="0032040B"/>
    <w:rsid w:val="003204E3"/>
    <w:rsid w:val="003205F2"/>
    <w:rsid w:val="00320EAF"/>
    <w:rsid w:val="00321180"/>
    <w:rsid w:val="00321252"/>
    <w:rsid w:val="003215CF"/>
    <w:rsid w:val="00321C85"/>
    <w:rsid w:val="00321E30"/>
    <w:rsid w:val="00322056"/>
    <w:rsid w:val="00323239"/>
    <w:rsid w:val="0032366C"/>
    <w:rsid w:val="00323C24"/>
    <w:rsid w:val="00323DA2"/>
    <w:rsid w:val="003249B0"/>
    <w:rsid w:val="00324EF8"/>
    <w:rsid w:val="00324F51"/>
    <w:rsid w:val="0032510D"/>
    <w:rsid w:val="00325493"/>
    <w:rsid w:val="003257F8"/>
    <w:rsid w:val="00325D88"/>
    <w:rsid w:val="00325DB3"/>
    <w:rsid w:val="00325FC5"/>
    <w:rsid w:val="00325FDC"/>
    <w:rsid w:val="00326073"/>
    <w:rsid w:val="00326781"/>
    <w:rsid w:val="003269F2"/>
    <w:rsid w:val="00326DC5"/>
    <w:rsid w:val="00327552"/>
    <w:rsid w:val="003279F3"/>
    <w:rsid w:val="0033007C"/>
    <w:rsid w:val="0033033A"/>
    <w:rsid w:val="003303FB"/>
    <w:rsid w:val="0033065D"/>
    <w:rsid w:val="00330837"/>
    <w:rsid w:val="003308A9"/>
    <w:rsid w:val="0033135C"/>
    <w:rsid w:val="00331C3E"/>
    <w:rsid w:val="00332690"/>
    <w:rsid w:val="00332987"/>
    <w:rsid w:val="00332D5A"/>
    <w:rsid w:val="00332EFD"/>
    <w:rsid w:val="00332EFE"/>
    <w:rsid w:val="00332FCA"/>
    <w:rsid w:val="003335F7"/>
    <w:rsid w:val="003337A8"/>
    <w:rsid w:val="00333A47"/>
    <w:rsid w:val="00334187"/>
    <w:rsid w:val="0033472D"/>
    <w:rsid w:val="00334A91"/>
    <w:rsid w:val="003352EF"/>
    <w:rsid w:val="003353CD"/>
    <w:rsid w:val="00335724"/>
    <w:rsid w:val="0033612B"/>
    <w:rsid w:val="00336B1F"/>
    <w:rsid w:val="00336C25"/>
    <w:rsid w:val="00336C80"/>
    <w:rsid w:val="00337307"/>
    <w:rsid w:val="00337685"/>
    <w:rsid w:val="00337885"/>
    <w:rsid w:val="003378EC"/>
    <w:rsid w:val="00337F8E"/>
    <w:rsid w:val="00340485"/>
    <w:rsid w:val="00340533"/>
    <w:rsid w:val="003406A7"/>
    <w:rsid w:val="00340759"/>
    <w:rsid w:val="003409FE"/>
    <w:rsid w:val="00340B38"/>
    <w:rsid w:val="00340D73"/>
    <w:rsid w:val="00340E2D"/>
    <w:rsid w:val="00340EE4"/>
    <w:rsid w:val="00341378"/>
    <w:rsid w:val="0034142C"/>
    <w:rsid w:val="0034166E"/>
    <w:rsid w:val="0034175A"/>
    <w:rsid w:val="00341CE3"/>
    <w:rsid w:val="00341D33"/>
    <w:rsid w:val="00341E06"/>
    <w:rsid w:val="00342058"/>
    <w:rsid w:val="00342349"/>
    <w:rsid w:val="0034249D"/>
    <w:rsid w:val="0034271A"/>
    <w:rsid w:val="00342A92"/>
    <w:rsid w:val="00342CD1"/>
    <w:rsid w:val="00343271"/>
    <w:rsid w:val="003435B4"/>
    <w:rsid w:val="003437A7"/>
    <w:rsid w:val="003437B5"/>
    <w:rsid w:val="00343BEE"/>
    <w:rsid w:val="00343C26"/>
    <w:rsid w:val="00343C3D"/>
    <w:rsid w:val="00343C57"/>
    <w:rsid w:val="00343E2A"/>
    <w:rsid w:val="0034423A"/>
    <w:rsid w:val="00344B16"/>
    <w:rsid w:val="00344EF7"/>
    <w:rsid w:val="00345458"/>
    <w:rsid w:val="003456DD"/>
    <w:rsid w:val="003458B4"/>
    <w:rsid w:val="00345D85"/>
    <w:rsid w:val="00345DAE"/>
    <w:rsid w:val="00345E67"/>
    <w:rsid w:val="00345EE3"/>
    <w:rsid w:val="00345F81"/>
    <w:rsid w:val="003460F1"/>
    <w:rsid w:val="003464D7"/>
    <w:rsid w:val="00346DA9"/>
    <w:rsid w:val="0034704A"/>
    <w:rsid w:val="0034742D"/>
    <w:rsid w:val="003479A8"/>
    <w:rsid w:val="00347D62"/>
    <w:rsid w:val="003506E2"/>
    <w:rsid w:val="00350936"/>
    <w:rsid w:val="00350A9D"/>
    <w:rsid w:val="003510BE"/>
    <w:rsid w:val="003514AF"/>
    <w:rsid w:val="003516B4"/>
    <w:rsid w:val="00351BFE"/>
    <w:rsid w:val="00351E62"/>
    <w:rsid w:val="0035200B"/>
    <w:rsid w:val="0035277B"/>
    <w:rsid w:val="00352AD5"/>
    <w:rsid w:val="00352F29"/>
    <w:rsid w:val="0035341F"/>
    <w:rsid w:val="00353469"/>
    <w:rsid w:val="003537CF"/>
    <w:rsid w:val="0035409F"/>
    <w:rsid w:val="003540DB"/>
    <w:rsid w:val="00354A6D"/>
    <w:rsid w:val="00354C1B"/>
    <w:rsid w:val="00354DA2"/>
    <w:rsid w:val="00354E9E"/>
    <w:rsid w:val="00355031"/>
    <w:rsid w:val="00355106"/>
    <w:rsid w:val="0035677F"/>
    <w:rsid w:val="00356C64"/>
    <w:rsid w:val="003571A3"/>
    <w:rsid w:val="003604AE"/>
    <w:rsid w:val="003607A2"/>
    <w:rsid w:val="00360D03"/>
    <w:rsid w:val="003616A6"/>
    <w:rsid w:val="003616BF"/>
    <w:rsid w:val="00361CE2"/>
    <w:rsid w:val="00361E6D"/>
    <w:rsid w:val="00361FC3"/>
    <w:rsid w:val="003629D8"/>
    <w:rsid w:val="00362D21"/>
    <w:rsid w:val="00363032"/>
    <w:rsid w:val="003638B2"/>
    <w:rsid w:val="00363A6F"/>
    <w:rsid w:val="00364AF7"/>
    <w:rsid w:val="0036536C"/>
    <w:rsid w:val="003654A6"/>
    <w:rsid w:val="003657B5"/>
    <w:rsid w:val="00365900"/>
    <w:rsid w:val="0036594D"/>
    <w:rsid w:val="00365950"/>
    <w:rsid w:val="00365B77"/>
    <w:rsid w:val="00366276"/>
    <w:rsid w:val="00366B37"/>
    <w:rsid w:val="00366DF2"/>
    <w:rsid w:val="00367F9C"/>
    <w:rsid w:val="00370081"/>
    <w:rsid w:val="003706B0"/>
    <w:rsid w:val="00370A36"/>
    <w:rsid w:val="00370E7C"/>
    <w:rsid w:val="00370F98"/>
    <w:rsid w:val="00371721"/>
    <w:rsid w:val="00371F0A"/>
    <w:rsid w:val="00372054"/>
    <w:rsid w:val="003720D1"/>
    <w:rsid w:val="003721CA"/>
    <w:rsid w:val="003722EB"/>
    <w:rsid w:val="003722F8"/>
    <w:rsid w:val="00372591"/>
    <w:rsid w:val="00374404"/>
    <w:rsid w:val="00374873"/>
    <w:rsid w:val="003759BE"/>
    <w:rsid w:val="00375A60"/>
    <w:rsid w:val="00375BF7"/>
    <w:rsid w:val="00375EB6"/>
    <w:rsid w:val="00375FD7"/>
    <w:rsid w:val="00376888"/>
    <w:rsid w:val="003769FC"/>
    <w:rsid w:val="00376CEC"/>
    <w:rsid w:val="00376CEF"/>
    <w:rsid w:val="00377047"/>
    <w:rsid w:val="003772EC"/>
    <w:rsid w:val="003806B4"/>
    <w:rsid w:val="00380A93"/>
    <w:rsid w:val="00380DAD"/>
    <w:rsid w:val="00380FD4"/>
    <w:rsid w:val="00381356"/>
    <w:rsid w:val="003817BC"/>
    <w:rsid w:val="0038180C"/>
    <w:rsid w:val="00381B97"/>
    <w:rsid w:val="00381C93"/>
    <w:rsid w:val="00381F16"/>
    <w:rsid w:val="00381F26"/>
    <w:rsid w:val="003822DA"/>
    <w:rsid w:val="0038260E"/>
    <w:rsid w:val="00382C08"/>
    <w:rsid w:val="0038334C"/>
    <w:rsid w:val="0038345A"/>
    <w:rsid w:val="0038350F"/>
    <w:rsid w:val="003835DE"/>
    <w:rsid w:val="0038445F"/>
    <w:rsid w:val="00384478"/>
    <w:rsid w:val="0038480B"/>
    <w:rsid w:val="00384E1E"/>
    <w:rsid w:val="00385518"/>
    <w:rsid w:val="0038563B"/>
    <w:rsid w:val="003858CE"/>
    <w:rsid w:val="00385BCF"/>
    <w:rsid w:val="00385C3D"/>
    <w:rsid w:val="0038615D"/>
    <w:rsid w:val="00386322"/>
    <w:rsid w:val="003863A3"/>
    <w:rsid w:val="003864C3"/>
    <w:rsid w:val="00386618"/>
    <w:rsid w:val="00386B40"/>
    <w:rsid w:val="00386B6D"/>
    <w:rsid w:val="00387138"/>
    <w:rsid w:val="00390001"/>
    <w:rsid w:val="00390044"/>
    <w:rsid w:val="003901B0"/>
    <w:rsid w:val="0039031E"/>
    <w:rsid w:val="003904F5"/>
    <w:rsid w:val="00390C2B"/>
    <w:rsid w:val="00390D5B"/>
    <w:rsid w:val="00391497"/>
    <w:rsid w:val="003917CE"/>
    <w:rsid w:val="0039299A"/>
    <w:rsid w:val="00392A7E"/>
    <w:rsid w:val="00392EFB"/>
    <w:rsid w:val="0039370F"/>
    <w:rsid w:val="00393B2D"/>
    <w:rsid w:val="00393CBF"/>
    <w:rsid w:val="00393CC7"/>
    <w:rsid w:val="00393D57"/>
    <w:rsid w:val="0039444B"/>
    <w:rsid w:val="00394D26"/>
    <w:rsid w:val="00394EE8"/>
    <w:rsid w:val="003952F7"/>
    <w:rsid w:val="00395368"/>
    <w:rsid w:val="003954C2"/>
    <w:rsid w:val="003957F6"/>
    <w:rsid w:val="00395C33"/>
    <w:rsid w:val="003962A8"/>
    <w:rsid w:val="003967DB"/>
    <w:rsid w:val="00396B98"/>
    <w:rsid w:val="00397396"/>
    <w:rsid w:val="00397A63"/>
    <w:rsid w:val="00397AA0"/>
    <w:rsid w:val="00397AD7"/>
    <w:rsid w:val="003A0180"/>
    <w:rsid w:val="003A043F"/>
    <w:rsid w:val="003A0443"/>
    <w:rsid w:val="003A060B"/>
    <w:rsid w:val="003A0936"/>
    <w:rsid w:val="003A1075"/>
    <w:rsid w:val="003A10A6"/>
    <w:rsid w:val="003A1136"/>
    <w:rsid w:val="003A113D"/>
    <w:rsid w:val="003A11A3"/>
    <w:rsid w:val="003A18CB"/>
    <w:rsid w:val="003A1E02"/>
    <w:rsid w:val="003A1E37"/>
    <w:rsid w:val="003A1E43"/>
    <w:rsid w:val="003A2098"/>
    <w:rsid w:val="003A2243"/>
    <w:rsid w:val="003A26D0"/>
    <w:rsid w:val="003A2899"/>
    <w:rsid w:val="003A2F4F"/>
    <w:rsid w:val="003A3B74"/>
    <w:rsid w:val="003A3FF6"/>
    <w:rsid w:val="003A45B3"/>
    <w:rsid w:val="003A4635"/>
    <w:rsid w:val="003A498E"/>
    <w:rsid w:val="003A502F"/>
    <w:rsid w:val="003A503F"/>
    <w:rsid w:val="003A51F3"/>
    <w:rsid w:val="003A56FA"/>
    <w:rsid w:val="003A668C"/>
    <w:rsid w:val="003A68D6"/>
    <w:rsid w:val="003A6C4A"/>
    <w:rsid w:val="003A6D5B"/>
    <w:rsid w:val="003A7F15"/>
    <w:rsid w:val="003B0116"/>
    <w:rsid w:val="003B082A"/>
    <w:rsid w:val="003B1CE7"/>
    <w:rsid w:val="003B2235"/>
    <w:rsid w:val="003B2531"/>
    <w:rsid w:val="003B2F49"/>
    <w:rsid w:val="003B398C"/>
    <w:rsid w:val="003B4224"/>
    <w:rsid w:val="003B4450"/>
    <w:rsid w:val="003B45BE"/>
    <w:rsid w:val="003B5176"/>
    <w:rsid w:val="003B5DC0"/>
    <w:rsid w:val="003B5E8D"/>
    <w:rsid w:val="003B62C7"/>
    <w:rsid w:val="003B63DF"/>
    <w:rsid w:val="003B6C53"/>
    <w:rsid w:val="003B6E3F"/>
    <w:rsid w:val="003B76B0"/>
    <w:rsid w:val="003B7734"/>
    <w:rsid w:val="003B78F9"/>
    <w:rsid w:val="003B7AEE"/>
    <w:rsid w:val="003B7C6C"/>
    <w:rsid w:val="003B7D5F"/>
    <w:rsid w:val="003B7EA6"/>
    <w:rsid w:val="003C0452"/>
    <w:rsid w:val="003C061A"/>
    <w:rsid w:val="003C0749"/>
    <w:rsid w:val="003C0F3D"/>
    <w:rsid w:val="003C1519"/>
    <w:rsid w:val="003C183F"/>
    <w:rsid w:val="003C18A4"/>
    <w:rsid w:val="003C1D8D"/>
    <w:rsid w:val="003C2092"/>
    <w:rsid w:val="003C2281"/>
    <w:rsid w:val="003C246C"/>
    <w:rsid w:val="003C2725"/>
    <w:rsid w:val="003C2815"/>
    <w:rsid w:val="003C2C3E"/>
    <w:rsid w:val="003C2DB5"/>
    <w:rsid w:val="003C2DFA"/>
    <w:rsid w:val="003C39CF"/>
    <w:rsid w:val="003C39DC"/>
    <w:rsid w:val="003C3D5A"/>
    <w:rsid w:val="003C4097"/>
    <w:rsid w:val="003C412C"/>
    <w:rsid w:val="003C48E2"/>
    <w:rsid w:val="003C4BDD"/>
    <w:rsid w:val="003C6603"/>
    <w:rsid w:val="003C6631"/>
    <w:rsid w:val="003C6800"/>
    <w:rsid w:val="003C7530"/>
    <w:rsid w:val="003C77B7"/>
    <w:rsid w:val="003C7F3C"/>
    <w:rsid w:val="003C7F95"/>
    <w:rsid w:val="003D0231"/>
    <w:rsid w:val="003D060E"/>
    <w:rsid w:val="003D06E7"/>
    <w:rsid w:val="003D08D4"/>
    <w:rsid w:val="003D0CF4"/>
    <w:rsid w:val="003D0D04"/>
    <w:rsid w:val="003D0ECA"/>
    <w:rsid w:val="003D17FF"/>
    <w:rsid w:val="003D1E71"/>
    <w:rsid w:val="003D25A2"/>
    <w:rsid w:val="003D329A"/>
    <w:rsid w:val="003D3D30"/>
    <w:rsid w:val="003D40DB"/>
    <w:rsid w:val="003D485F"/>
    <w:rsid w:val="003D4B89"/>
    <w:rsid w:val="003D54ED"/>
    <w:rsid w:val="003D55BD"/>
    <w:rsid w:val="003D5D9E"/>
    <w:rsid w:val="003D64CF"/>
    <w:rsid w:val="003D6819"/>
    <w:rsid w:val="003D6BB8"/>
    <w:rsid w:val="003D720B"/>
    <w:rsid w:val="003D7727"/>
    <w:rsid w:val="003D7A7E"/>
    <w:rsid w:val="003E02CB"/>
    <w:rsid w:val="003E084D"/>
    <w:rsid w:val="003E0FBC"/>
    <w:rsid w:val="003E1242"/>
    <w:rsid w:val="003E12C0"/>
    <w:rsid w:val="003E12D5"/>
    <w:rsid w:val="003E1326"/>
    <w:rsid w:val="003E151A"/>
    <w:rsid w:val="003E1AB0"/>
    <w:rsid w:val="003E1D2E"/>
    <w:rsid w:val="003E1F06"/>
    <w:rsid w:val="003E21EA"/>
    <w:rsid w:val="003E282F"/>
    <w:rsid w:val="003E2962"/>
    <w:rsid w:val="003E2F58"/>
    <w:rsid w:val="003E30A2"/>
    <w:rsid w:val="003E3800"/>
    <w:rsid w:val="003E3B51"/>
    <w:rsid w:val="003E3C36"/>
    <w:rsid w:val="003E4520"/>
    <w:rsid w:val="003E476B"/>
    <w:rsid w:val="003E4ABC"/>
    <w:rsid w:val="003E4DCC"/>
    <w:rsid w:val="003E4E43"/>
    <w:rsid w:val="003E5063"/>
    <w:rsid w:val="003E5114"/>
    <w:rsid w:val="003E51EC"/>
    <w:rsid w:val="003E5613"/>
    <w:rsid w:val="003E5C2B"/>
    <w:rsid w:val="003E5E7A"/>
    <w:rsid w:val="003E6EF1"/>
    <w:rsid w:val="003E73D3"/>
    <w:rsid w:val="003E771C"/>
    <w:rsid w:val="003E7A37"/>
    <w:rsid w:val="003E7BE9"/>
    <w:rsid w:val="003E7E4B"/>
    <w:rsid w:val="003F0A39"/>
    <w:rsid w:val="003F1055"/>
    <w:rsid w:val="003F10D5"/>
    <w:rsid w:val="003F118D"/>
    <w:rsid w:val="003F12E6"/>
    <w:rsid w:val="003F1333"/>
    <w:rsid w:val="003F156A"/>
    <w:rsid w:val="003F1628"/>
    <w:rsid w:val="003F19C7"/>
    <w:rsid w:val="003F1F19"/>
    <w:rsid w:val="003F23BB"/>
    <w:rsid w:val="003F2694"/>
    <w:rsid w:val="003F28F0"/>
    <w:rsid w:val="003F2966"/>
    <w:rsid w:val="003F298B"/>
    <w:rsid w:val="003F2D83"/>
    <w:rsid w:val="003F2EE5"/>
    <w:rsid w:val="003F3922"/>
    <w:rsid w:val="003F397E"/>
    <w:rsid w:val="003F3A69"/>
    <w:rsid w:val="003F3ECF"/>
    <w:rsid w:val="003F3F79"/>
    <w:rsid w:val="003F3F9B"/>
    <w:rsid w:val="003F44EC"/>
    <w:rsid w:val="003F49C8"/>
    <w:rsid w:val="003F4A5D"/>
    <w:rsid w:val="003F515A"/>
    <w:rsid w:val="003F5431"/>
    <w:rsid w:val="003F569E"/>
    <w:rsid w:val="003F5D1B"/>
    <w:rsid w:val="003F62F8"/>
    <w:rsid w:val="003F6C82"/>
    <w:rsid w:val="003F6DDC"/>
    <w:rsid w:val="003F78AC"/>
    <w:rsid w:val="003F7CDF"/>
    <w:rsid w:val="00400392"/>
    <w:rsid w:val="00400653"/>
    <w:rsid w:val="0040191E"/>
    <w:rsid w:val="00401A45"/>
    <w:rsid w:val="004026BC"/>
    <w:rsid w:val="004026FE"/>
    <w:rsid w:val="00402844"/>
    <w:rsid w:val="00402898"/>
    <w:rsid w:val="00402EB4"/>
    <w:rsid w:val="004032A6"/>
    <w:rsid w:val="00403A66"/>
    <w:rsid w:val="00404063"/>
    <w:rsid w:val="004042ED"/>
    <w:rsid w:val="004043F5"/>
    <w:rsid w:val="00404871"/>
    <w:rsid w:val="00404A07"/>
    <w:rsid w:val="00404BE5"/>
    <w:rsid w:val="00404C72"/>
    <w:rsid w:val="00404DED"/>
    <w:rsid w:val="00404DFD"/>
    <w:rsid w:val="004052D7"/>
    <w:rsid w:val="00405438"/>
    <w:rsid w:val="00405680"/>
    <w:rsid w:val="00405A3E"/>
    <w:rsid w:val="00405AAF"/>
    <w:rsid w:val="00405C80"/>
    <w:rsid w:val="00405CD9"/>
    <w:rsid w:val="0040658F"/>
    <w:rsid w:val="0040691E"/>
    <w:rsid w:val="00406AE8"/>
    <w:rsid w:val="00407232"/>
    <w:rsid w:val="0040756F"/>
    <w:rsid w:val="004076C3"/>
    <w:rsid w:val="004077FD"/>
    <w:rsid w:val="004078DC"/>
    <w:rsid w:val="00410091"/>
    <w:rsid w:val="00410635"/>
    <w:rsid w:val="00410A30"/>
    <w:rsid w:val="00410B3E"/>
    <w:rsid w:val="00410F87"/>
    <w:rsid w:val="004116D8"/>
    <w:rsid w:val="00411978"/>
    <w:rsid w:val="00411A70"/>
    <w:rsid w:val="00412191"/>
    <w:rsid w:val="004129C0"/>
    <w:rsid w:val="00412B00"/>
    <w:rsid w:val="00412B79"/>
    <w:rsid w:val="004134B7"/>
    <w:rsid w:val="0041365E"/>
    <w:rsid w:val="004139D4"/>
    <w:rsid w:val="00413BF9"/>
    <w:rsid w:val="00413EA4"/>
    <w:rsid w:val="0041434C"/>
    <w:rsid w:val="00414766"/>
    <w:rsid w:val="004154AE"/>
    <w:rsid w:val="00415831"/>
    <w:rsid w:val="00415D68"/>
    <w:rsid w:val="0041633E"/>
    <w:rsid w:val="004165D1"/>
    <w:rsid w:val="0041669D"/>
    <w:rsid w:val="00416ABB"/>
    <w:rsid w:val="00416D02"/>
    <w:rsid w:val="00416D95"/>
    <w:rsid w:val="00416E67"/>
    <w:rsid w:val="00416F9A"/>
    <w:rsid w:val="00417218"/>
    <w:rsid w:val="00417435"/>
    <w:rsid w:val="004174D3"/>
    <w:rsid w:val="00417F2E"/>
    <w:rsid w:val="00420012"/>
    <w:rsid w:val="004205AE"/>
    <w:rsid w:val="00420682"/>
    <w:rsid w:val="004210C8"/>
    <w:rsid w:val="00421640"/>
    <w:rsid w:val="0042183A"/>
    <w:rsid w:val="004218AD"/>
    <w:rsid w:val="0042205B"/>
    <w:rsid w:val="00423DA0"/>
    <w:rsid w:val="00424214"/>
    <w:rsid w:val="00424AA7"/>
    <w:rsid w:val="00424DDC"/>
    <w:rsid w:val="0042592F"/>
    <w:rsid w:val="00425AB3"/>
    <w:rsid w:val="00425FCC"/>
    <w:rsid w:val="0042623A"/>
    <w:rsid w:val="0042665C"/>
    <w:rsid w:val="0042673D"/>
    <w:rsid w:val="00426798"/>
    <w:rsid w:val="0042686D"/>
    <w:rsid w:val="00426D80"/>
    <w:rsid w:val="00426EB6"/>
    <w:rsid w:val="004302D0"/>
    <w:rsid w:val="00430326"/>
    <w:rsid w:val="0043039F"/>
    <w:rsid w:val="0043061E"/>
    <w:rsid w:val="0043084C"/>
    <w:rsid w:val="00430D3B"/>
    <w:rsid w:val="00430FBF"/>
    <w:rsid w:val="004313BB"/>
    <w:rsid w:val="0043161C"/>
    <w:rsid w:val="004319EB"/>
    <w:rsid w:val="00431ADD"/>
    <w:rsid w:val="00431CB7"/>
    <w:rsid w:val="00431E89"/>
    <w:rsid w:val="004320C0"/>
    <w:rsid w:val="004326BD"/>
    <w:rsid w:val="00432FDA"/>
    <w:rsid w:val="00433015"/>
    <w:rsid w:val="004331E5"/>
    <w:rsid w:val="00433306"/>
    <w:rsid w:val="00433B6A"/>
    <w:rsid w:val="00433BEF"/>
    <w:rsid w:val="00433CF3"/>
    <w:rsid w:val="00433F2D"/>
    <w:rsid w:val="0043407A"/>
    <w:rsid w:val="00434293"/>
    <w:rsid w:val="0043440E"/>
    <w:rsid w:val="004346E8"/>
    <w:rsid w:val="00434978"/>
    <w:rsid w:val="00434DD2"/>
    <w:rsid w:val="004350E6"/>
    <w:rsid w:val="004353FE"/>
    <w:rsid w:val="004354F8"/>
    <w:rsid w:val="0043578F"/>
    <w:rsid w:val="00435945"/>
    <w:rsid w:val="00435CBD"/>
    <w:rsid w:val="00436008"/>
    <w:rsid w:val="00436439"/>
    <w:rsid w:val="00436B5C"/>
    <w:rsid w:val="00436FC0"/>
    <w:rsid w:val="004371BC"/>
    <w:rsid w:val="004372BE"/>
    <w:rsid w:val="004379F2"/>
    <w:rsid w:val="00440073"/>
    <w:rsid w:val="0044021B"/>
    <w:rsid w:val="004404B9"/>
    <w:rsid w:val="0044071B"/>
    <w:rsid w:val="00440936"/>
    <w:rsid w:val="00440950"/>
    <w:rsid w:val="00440C1C"/>
    <w:rsid w:val="00440D14"/>
    <w:rsid w:val="00441012"/>
    <w:rsid w:val="00441C3B"/>
    <w:rsid w:val="00441D76"/>
    <w:rsid w:val="0044225F"/>
    <w:rsid w:val="004429E0"/>
    <w:rsid w:val="00442D16"/>
    <w:rsid w:val="00443576"/>
    <w:rsid w:val="00443AB0"/>
    <w:rsid w:val="004442BB"/>
    <w:rsid w:val="00444590"/>
    <w:rsid w:val="004445A2"/>
    <w:rsid w:val="00444A98"/>
    <w:rsid w:val="00444BF9"/>
    <w:rsid w:val="00444DCC"/>
    <w:rsid w:val="00444F51"/>
    <w:rsid w:val="00445696"/>
    <w:rsid w:val="004458A9"/>
    <w:rsid w:val="00445D81"/>
    <w:rsid w:val="0044632F"/>
    <w:rsid w:val="0044658E"/>
    <w:rsid w:val="00446A23"/>
    <w:rsid w:val="00447185"/>
    <w:rsid w:val="004472FF"/>
    <w:rsid w:val="004477FB"/>
    <w:rsid w:val="0044783E"/>
    <w:rsid w:val="004502BA"/>
    <w:rsid w:val="004505B2"/>
    <w:rsid w:val="004510E7"/>
    <w:rsid w:val="00451EB5"/>
    <w:rsid w:val="0045201B"/>
    <w:rsid w:val="004522B0"/>
    <w:rsid w:val="00452E06"/>
    <w:rsid w:val="004536BC"/>
    <w:rsid w:val="00453768"/>
    <w:rsid w:val="00454383"/>
    <w:rsid w:val="00454504"/>
    <w:rsid w:val="00454B5B"/>
    <w:rsid w:val="00454F4E"/>
    <w:rsid w:val="00455027"/>
    <w:rsid w:val="0045503A"/>
    <w:rsid w:val="00455080"/>
    <w:rsid w:val="004550ED"/>
    <w:rsid w:val="00455458"/>
    <w:rsid w:val="00455849"/>
    <w:rsid w:val="00455939"/>
    <w:rsid w:val="00455A80"/>
    <w:rsid w:val="00455EA0"/>
    <w:rsid w:val="00455ED0"/>
    <w:rsid w:val="004562D8"/>
    <w:rsid w:val="00456450"/>
    <w:rsid w:val="0045651A"/>
    <w:rsid w:val="00456BFA"/>
    <w:rsid w:val="00456C9D"/>
    <w:rsid w:val="00456F7C"/>
    <w:rsid w:val="0045744E"/>
    <w:rsid w:val="004576DF"/>
    <w:rsid w:val="00457B0C"/>
    <w:rsid w:val="004605E5"/>
    <w:rsid w:val="0046076A"/>
    <w:rsid w:val="00460B08"/>
    <w:rsid w:val="00460D05"/>
    <w:rsid w:val="00461390"/>
    <w:rsid w:val="00461433"/>
    <w:rsid w:val="00461A76"/>
    <w:rsid w:val="00461AF0"/>
    <w:rsid w:val="00461C22"/>
    <w:rsid w:val="00461C50"/>
    <w:rsid w:val="00461CFF"/>
    <w:rsid w:val="00461FA5"/>
    <w:rsid w:val="0046220D"/>
    <w:rsid w:val="0046223F"/>
    <w:rsid w:val="00462875"/>
    <w:rsid w:val="00462DDB"/>
    <w:rsid w:val="00463392"/>
    <w:rsid w:val="004638D1"/>
    <w:rsid w:val="00463BE5"/>
    <w:rsid w:val="00463C40"/>
    <w:rsid w:val="004640E7"/>
    <w:rsid w:val="0046410A"/>
    <w:rsid w:val="004642A9"/>
    <w:rsid w:val="00464410"/>
    <w:rsid w:val="00464936"/>
    <w:rsid w:val="00464AB9"/>
    <w:rsid w:val="00464B8C"/>
    <w:rsid w:val="00464DAE"/>
    <w:rsid w:val="00465043"/>
    <w:rsid w:val="00465208"/>
    <w:rsid w:val="004653F9"/>
    <w:rsid w:val="0046568A"/>
    <w:rsid w:val="00465765"/>
    <w:rsid w:val="00465C86"/>
    <w:rsid w:val="0046608F"/>
    <w:rsid w:val="004660BB"/>
    <w:rsid w:val="004661C5"/>
    <w:rsid w:val="004667A2"/>
    <w:rsid w:val="0046697F"/>
    <w:rsid w:val="00466BE1"/>
    <w:rsid w:val="00466C05"/>
    <w:rsid w:val="00466F9A"/>
    <w:rsid w:val="00467239"/>
    <w:rsid w:val="00467587"/>
    <w:rsid w:val="004675DA"/>
    <w:rsid w:val="00467D50"/>
    <w:rsid w:val="004701A7"/>
    <w:rsid w:val="00470401"/>
    <w:rsid w:val="00470445"/>
    <w:rsid w:val="00470499"/>
    <w:rsid w:val="00470752"/>
    <w:rsid w:val="00470DBE"/>
    <w:rsid w:val="00471405"/>
    <w:rsid w:val="00471555"/>
    <w:rsid w:val="00471999"/>
    <w:rsid w:val="00471A7A"/>
    <w:rsid w:val="00471E2D"/>
    <w:rsid w:val="00472100"/>
    <w:rsid w:val="00472427"/>
    <w:rsid w:val="004729AE"/>
    <w:rsid w:val="00472C5B"/>
    <w:rsid w:val="004730D5"/>
    <w:rsid w:val="0047327A"/>
    <w:rsid w:val="0047367B"/>
    <w:rsid w:val="004738CC"/>
    <w:rsid w:val="004738F3"/>
    <w:rsid w:val="00473E6F"/>
    <w:rsid w:val="0047461F"/>
    <w:rsid w:val="0047488A"/>
    <w:rsid w:val="0047586A"/>
    <w:rsid w:val="00475992"/>
    <w:rsid w:val="00475BCE"/>
    <w:rsid w:val="00475ECC"/>
    <w:rsid w:val="00476FFD"/>
    <w:rsid w:val="00477615"/>
    <w:rsid w:val="00477961"/>
    <w:rsid w:val="00477A33"/>
    <w:rsid w:val="00477BB5"/>
    <w:rsid w:val="00477EE1"/>
    <w:rsid w:val="00477F9C"/>
    <w:rsid w:val="0048071A"/>
    <w:rsid w:val="00480A69"/>
    <w:rsid w:val="00480E12"/>
    <w:rsid w:val="00481085"/>
    <w:rsid w:val="00481813"/>
    <w:rsid w:val="00481A44"/>
    <w:rsid w:val="00481B7D"/>
    <w:rsid w:val="00481C52"/>
    <w:rsid w:val="00481D81"/>
    <w:rsid w:val="00481F3F"/>
    <w:rsid w:val="0048228F"/>
    <w:rsid w:val="0048237E"/>
    <w:rsid w:val="0048238D"/>
    <w:rsid w:val="0048258D"/>
    <w:rsid w:val="004825B8"/>
    <w:rsid w:val="004828C3"/>
    <w:rsid w:val="00482A60"/>
    <w:rsid w:val="004831B2"/>
    <w:rsid w:val="0048333D"/>
    <w:rsid w:val="0048365A"/>
    <w:rsid w:val="00483B7E"/>
    <w:rsid w:val="00484113"/>
    <w:rsid w:val="004842C6"/>
    <w:rsid w:val="00484416"/>
    <w:rsid w:val="00484740"/>
    <w:rsid w:val="004848E6"/>
    <w:rsid w:val="00484AB9"/>
    <w:rsid w:val="00484EC3"/>
    <w:rsid w:val="00485086"/>
    <w:rsid w:val="00485816"/>
    <w:rsid w:val="004859FB"/>
    <w:rsid w:val="00485A8B"/>
    <w:rsid w:val="00485E88"/>
    <w:rsid w:val="00486142"/>
    <w:rsid w:val="0048622A"/>
    <w:rsid w:val="00486ADA"/>
    <w:rsid w:val="00486C68"/>
    <w:rsid w:val="00486FA4"/>
    <w:rsid w:val="004873A3"/>
    <w:rsid w:val="004874DE"/>
    <w:rsid w:val="004875AD"/>
    <w:rsid w:val="00487746"/>
    <w:rsid w:val="00487D37"/>
    <w:rsid w:val="00487E4C"/>
    <w:rsid w:val="004903D1"/>
    <w:rsid w:val="00490FBB"/>
    <w:rsid w:val="004910B5"/>
    <w:rsid w:val="0049144E"/>
    <w:rsid w:val="004917E5"/>
    <w:rsid w:val="00491D00"/>
    <w:rsid w:val="00491DA5"/>
    <w:rsid w:val="00491E90"/>
    <w:rsid w:val="0049202B"/>
    <w:rsid w:val="0049221D"/>
    <w:rsid w:val="004923FD"/>
    <w:rsid w:val="00492989"/>
    <w:rsid w:val="00492A3C"/>
    <w:rsid w:val="0049300D"/>
    <w:rsid w:val="004930C7"/>
    <w:rsid w:val="004932C2"/>
    <w:rsid w:val="00493D71"/>
    <w:rsid w:val="004940D1"/>
    <w:rsid w:val="004948F7"/>
    <w:rsid w:val="0049561F"/>
    <w:rsid w:val="00495C99"/>
    <w:rsid w:val="00496041"/>
    <w:rsid w:val="004973C1"/>
    <w:rsid w:val="00497834"/>
    <w:rsid w:val="00497A23"/>
    <w:rsid w:val="00497B7E"/>
    <w:rsid w:val="00497B92"/>
    <w:rsid w:val="00497CA1"/>
    <w:rsid w:val="00497CCC"/>
    <w:rsid w:val="004A05BC"/>
    <w:rsid w:val="004A0691"/>
    <w:rsid w:val="004A0B63"/>
    <w:rsid w:val="004A0C5C"/>
    <w:rsid w:val="004A1297"/>
    <w:rsid w:val="004A13CB"/>
    <w:rsid w:val="004A13D6"/>
    <w:rsid w:val="004A15A9"/>
    <w:rsid w:val="004A16FD"/>
    <w:rsid w:val="004A19BA"/>
    <w:rsid w:val="004A1B57"/>
    <w:rsid w:val="004A1C23"/>
    <w:rsid w:val="004A1E86"/>
    <w:rsid w:val="004A24FE"/>
    <w:rsid w:val="004A2614"/>
    <w:rsid w:val="004A2906"/>
    <w:rsid w:val="004A2B64"/>
    <w:rsid w:val="004A343A"/>
    <w:rsid w:val="004A3580"/>
    <w:rsid w:val="004A3C3B"/>
    <w:rsid w:val="004A3D91"/>
    <w:rsid w:val="004A3DD4"/>
    <w:rsid w:val="004A4AAC"/>
    <w:rsid w:val="004A4DAA"/>
    <w:rsid w:val="004A5153"/>
    <w:rsid w:val="004A55A3"/>
    <w:rsid w:val="004A5A84"/>
    <w:rsid w:val="004A5D3D"/>
    <w:rsid w:val="004A62B9"/>
    <w:rsid w:val="004A63E3"/>
    <w:rsid w:val="004A6A84"/>
    <w:rsid w:val="004A6C35"/>
    <w:rsid w:val="004A6EEF"/>
    <w:rsid w:val="004A6F95"/>
    <w:rsid w:val="004A73BA"/>
    <w:rsid w:val="004A7E29"/>
    <w:rsid w:val="004B05B5"/>
    <w:rsid w:val="004B0D95"/>
    <w:rsid w:val="004B0DFC"/>
    <w:rsid w:val="004B0F73"/>
    <w:rsid w:val="004B0FA3"/>
    <w:rsid w:val="004B16A5"/>
    <w:rsid w:val="004B17C4"/>
    <w:rsid w:val="004B19E0"/>
    <w:rsid w:val="004B214C"/>
    <w:rsid w:val="004B2545"/>
    <w:rsid w:val="004B2636"/>
    <w:rsid w:val="004B2711"/>
    <w:rsid w:val="004B2796"/>
    <w:rsid w:val="004B2B04"/>
    <w:rsid w:val="004B2C36"/>
    <w:rsid w:val="004B2E2A"/>
    <w:rsid w:val="004B3346"/>
    <w:rsid w:val="004B41E2"/>
    <w:rsid w:val="004B435F"/>
    <w:rsid w:val="004B46F8"/>
    <w:rsid w:val="004B48A8"/>
    <w:rsid w:val="004B48B4"/>
    <w:rsid w:val="004B4D4C"/>
    <w:rsid w:val="004B52C6"/>
    <w:rsid w:val="004B5566"/>
    <w:rsid w:val="004B5BF7"/>
    <w:rsid w:val="004B5E28"/>
    <w:rsid w:val="004B636D"/>
    <w:rsid w:val="004B64B8"/>
    <w:rsid w:val="004B6DA8"/>
    <w:rsid w:val="004B714D"/>
    <w:rsid w:val="004B7267"/>
    <w:rsid w:val="004B7BF9"/>
    <w:rsid w:val="004B7C73"/>
    <w:rsid w:val="004B7EF4"/>
    <w:rsid w:val="004C0069"/>
    <w:rsid w:val="004C01A0"/>
    <w:rsid w:val="004C04F6"/>
    <w:rsid w:val="004C0642"/>
    <w:rsid w:val="004C06C6"/>
    <w:rsid w:val="004C080C"/>
    <w:rsid w:val="004C09D7"/>
    <w:rsid w:val="004C0C11"/>
    <w:rsid w:val="004C0FEA"/>
    <w:rsid w:val="004C1553"/>
    <w:rsid w:val="004C1D8D"/>
    <w:rsid w:val="004C1DD4"/>
    <w:rsid w:val="004C1FB5"/>
    <w:rsid w:val="004C22D2"/>
    <w:rsid w:val="004C27FD"/>
    <w:rsid w:val="004C2C5E"/>
    <w:rsid w:val="004C32F2"/>
    <w:rsid w:val="004C3598"/>
    <w:rsid w:val="004C3998"/>
    <w:rsid w:val="004C3D6E"/>
    <w:rsid w:val="004C423A"/>
    <w:rsid w:val="004C44BE"/>
    <w:rsid w:val="004C46F8"/>
    <w:rsid w:val="004C4736"/>
    <w:rsid w:val="004C4B21"/>
    <w:rsid w:val="004C5298"/>
    <w:rsid w:val="004C557C"/>
    <w:rsid w:val="004C58B3"/>
    <w:rsid w:val="004C5E12"/>
    <w:rsid w:val="004C6121"/>
    <w:rsid w:val="004C6591"/>
    <w:rsid w:val="004C6961"/>
    <w:rsid w:val="004C7278"/>
    <w:rsid w:val="004C7458"/>
    <w:rsid w:val="004C7517"/>
    <w:rsid w:val="004C7591"/>
    <w:rsid w:val="004C75A9"/>
    <w:rsid w:val="004C7741"/>
    <w:rsid w:val="004C7827"/>
    <w:rsid w:val="004C7EC2"/>
    <w:rsid w:val="004D0C2C"/>
    <w:rsid w:val="004D0CCA"/>
    <w:rsid w:val="004D104C"/>
    <w:rsid w:val="004D14D8"/>
    <w:rsid w:val="004D1AFE"/>
    <w:rsid w:val="004D1E78"/>
    <w:rsid w:val="004D293B"/>
    <w:rsid w:val="004D2DCD"/>
    <w:rsid w:val="004D2FDE"/>
    <w:rsid w:val="004D30FD"/>
    <w:rsid w:val="004D3162"/>
    <w:rsid w:val="004D3221"/>
    <w:rsid w:val="004D3285"/>
    <w:rsid w:val="004D32CF"/>
    <w:rsid w:val="004D378F"/>
    <w:rsid w:val="004D414F"/>
    <w:rsid w:val="004D498F"/>
    <w:rsid w:val="004D4BF6"/>
    <w:rsid w:val="004D4FA0"/>
    <w:rsid w:val="004D550F"/>
    <w:rsid w:val="004D5BC9"/>
    <w:rsid w:val="004D66DA"/>
    <w:rsid w:val="004D6B10"/>
    <w:rsid w:val="004D6C48"/>
    <w:rsid w:val="004D6D58"/>
    <w:rsid w:val="004D717F"/>
    <w:rsid w:val="004D7A7E"/>
    <w:rsid w:val="004D7D1C"/>
    <w:rsid w:val="004D7EBF"/>
    <w:rsid w:val="004D7F70"/>
    <w:rsid w:val="004E03FA"/>
    <w:rsid w:val="004E04AE"/>
    <w:rsid w:val="004E05E6"/>
    <w:rsid w:val="004E07BB"/>
    <w:rsid w:val="004E16F4"/>
    <w:rsid w:val="004E1AFC"/>
    <w:rsid w:val="004E1BFB"/>
    <w:rsid w:val="004E1F63"/>
    <w:rsid w:val="004E2A34"/>
    <w:rsid w:val="004E2FDA"/>
    <w:rsid w:val="004E30F3"/>
    <w:rsid w:val="004E3478"/>
    <w:rsid w:val="004E3ABF"/>
    <w:rsid w:val="004E44B6"/>
    <w:rsid w:val="004E45B1"/>
    <w:rsid w:val="004E45EC"/>
    <w:rsid w:val="004E5151"/>
    <w:rsid w:val="004E51AA"/>
    <w:rsid w:val="004E54D1"/>
    <w:rsid w:val="004E566D"/>
    <w:rsid w:val="004E56EA"/>
    <w:rsid w:val="004E5BAB"/>
    <w:rsid w:val="004E5E4A"/>
    <w:rsid w:val="004E5F91"/>
    <w:rsid w:val="004E61C5"/>
    <w:rsid w:val="004E67DB"/>
    <w:rsid w:val="004E73A2"/>
    <w:rsid w:val="004E7401"/>
    <w:rsid w:val="004E76CE"/>
    <w:rsid w:val="004E7F23"/>
    <w:rsid w:val="004F0107"/>
    <w:rsid w:val="004F0183"/>
    <w:rsid w:val="004F06CD"/>
    <w:rsid w:val="004F0829"/>
    <w:rsid w:val="004F15A9"/>
    <w:rsid w:val="004F164F"/>
    <w:rsid w:val="004F1662"/>
    <w:rsid w:val="004F195D"/>
    <w:rsid w:val="004F27C3"/>
    <w:rsid w:val="004F2807"/>
    <w:rsid w:val="004F28E2"/>
    <w:rsid w:val="004F2B8B"/>
    <w:rsid w:val="004F32A1"/>
    <w:rsid w:val="004F3635"/>
    <w:rsid w:val="004F3874"/>
    <w:rsid w:val="004F3C9C"/>
    <w:rsid w:val="004F3E9D"/>
    <w:rsid w:val="004F4125"/>
    <w:rsid w:val="004F412B"/>
    <w:rsid w:val="004F427D"/>
    <w:rsid w:val="004F4444"/>
    <w:rsid w:val="004F47BE"/>
    <w:rsid w:val="004F5344"/>
    <w:rsid w:val="004F54C6"/>
    <w:rsid w:val="004F554C"/>
    <w:rsid w:val="004F55ED"/>
    <w:rsid w:val="004F5889"/>
    <w:rsid w:val="004F5A69"/>
    <w:rsid w:val="004F6558"/>
    <w:rsid w:val="004F660D"/>
    <w:rsid w:val="004F6A75"/>
    <w:rsid w:val="004F6C48"/>
    <w:rsid w:val="004F7087"/>
    <w:rsid w:val="004F7960"/>
    <w:rsid w:val="004F7CE6"/>
    <w:rsid w:val="0050023D"/>
    <w:rsid w:val="0050034D"/>
    <w:rsid w:val="00500918"/>
    <w:rsid w:val="00500FBF"/>
    <w:rsid w:val="00501279"/>
    <w:rsid w:val="00501571"/>
    <w:rsid w:val="005016B4"/>
    <w:rsid w:val="00501963"/>
    <w:rsid w:val="00501988"/>
    <w:rsid w:val="00501BDC"/>
    <w:rsid w:val="005023C3"/>
    <w:rsid w:val="00502FE9"/>
    <w:rsid w:val="00503292"/>
    <w:rsid w:val="00503564"/>
    <w:rsid w:val="005039C8"/>
    <w:rsid w:val="00503E05"/>
    <w:rsid w:val="00504BA3"/>
    <w:rsid w:val="005051B8"/>
    <w:rsid w:val="005055FA"/>
    <w:rsid w:val="00505CDD"/>
    <w:rsid w:val="00506198"/>
    <w:rsid w:val="005061DA"/>
    <w:rsid w:val="005061E4"/>
    <w:rsid w:val="00506216"/>
    <w:rsid w:val="00506416"/>
    <w:rsid w:val="00506D8F"/>
    <w:rsid w:val="00506D94"/>
    <w:rsid w:val="00507444"/>
    <w:rsid w:val="0050758E"/>
    <w:rsid w:val="00507937"/>
    <w:rsid w:val="00510426"/>
    <w:rsid w:val="005106F9"/>
    <w:rsid w:val="00510A40"/>
    <w:rsid w:val="00510BE8"/>
    <w:rsid w:val="00510C44"/>
    <w:rsid w:val="00511179"/>
    <w:rsid w:val="005111A8"/>
    <w:rsid w:val="0051146C"/>
    <w:rsid w:val="005118F2"/>
    <w:rsid w:val="0051193E"/>
    <w:rsid w:val="00511943"/>
    <w:rsid w:val="0051198A"/>
    <w:rsid w:val="00511A0B"/>
    <w:rsid w:val="00511B78"/>
    <w:rsid w:val="00512220"/>
    <w:rsid w:val="0051229D"/>
    <w:rsid w:val="0051234D"/>
    <w:rsid w:val="0051352A"/>
    <w:rsid w:val="0051352C"/>
    <w:rsid w:val="00514312"/>
    <w:rsid w:val="00514644"/>
    <w:rsid w:val="005147D4"/>
    <w:rsid w:val="00514F50"/>
    <w:rsid w:val="00515025"/>
    <w:rsid w:val="00515616"/>
    <w:rsid w:val="005162ED"/>
    <w:rsid w:val="00516448"/>
    <w:rsid w:val="0051684D"/>
    <w:rsid w:val="00516BF1"/>
    <w:rsid w:val="0051718B"/>
    <w:rsid w:val="00517DE1"/>
    <w:rsid w:val="00517DF6"/>
    <w:rsid w:val="005203BC"/>
    <w:rsid w:val="00520461"/>
    <w:rsid w:val="005204F9"/>
    <w:rsid w:val="00520A85"/>
    <w:rsid w:val="00520D71"/>
    <w:rsid w:val="00520D97"/>
    <w:rsid w:val="00520F4B"/>
    <w:rsid w:val="0052139F"/>
    <w:rsid w:val="00521EC1"/>
    <w:rsid w:val="00522294"/>
    <w:rsid w:val="005228F4"/>
    <w:rsid w:val="00522C75"/>
    <w:rsid w:val="00522E60"/>
    <w:rsid w:val="00523417"/>
    <w:rsid w:val="0052392D"/>
    <w:rsid w:val="00523BED"/>
    <w:rsid w:val="00523C6A"/>
    <w:rsid w:val="00524184"/>
    <w:rsid w:val="0052471F"/>
    <w:rsid w:val="00524DCD"/>
    <w:rsid w:val="00524EC4"/>
    <w:rsid w:val="00524F61"/>
    <w:rsid w:val="00525CA3"/>
    <w:rsid w:val="00525D0B"/>
    <w:rsid w:val="005263F9"/>
    <w:rsid w:val="005267F2"/>
    <w:rsid w:val="00526CF0"/>
    <w:rsid w:val="00527374"/>
    <w:rsid w:val="005275B7"/>
    <w:rsid w:val="005277EA"/>
    <w:rsid w:val="0052799A"/>
    <w:rsid w:val="0053024F"/>
    <w:rsid w:val="005306B7"/>
    <w:rsid w:val="00530F1D"/>
    <w:rsid w:val="00531044"/>
    <w:rsid w:val="00531272"/>
    <w:rsid w:val="0053150A"/>
    <w:rsid w:val="005319A4"/>
    <w:rsid w:val="00532949"/>
    <w:rsid w:val="00532A86"/>
    <w:rsid w:val="00532C0B"/>
    <w:rsid w:val="00532CA2"/>
    <w:rsid w:val="0053311E"/>
    <w:rsid w:val="00533795"/>
    <w:rsid w:val="00533BC9"/>
    <w:rsid w:val="00534526"/>
    <w:rsid w:val="0053477A"/>
    <w:rsid w:val="00534833"/>
    <w:rsid w:val="00534E5E"/>
    <w:rsid w:val="00536872"/>
    <w:rsid w:val="00536DEE"/>
    <w:rsid w:val="00536DF4"/>
    <w:rsid w:val="00536EDA"/>
    <w:rsid w:val="00536FAA"/>
    <w:rsid w:val="0053721B"/>
    <w:rsid w:val="0053768F"/>
    <w:rsid w:val="00537F95"/>
    <w:rsid w:val="0054050A"/>
    <w:rsid w:val="00540946"/>
    <w:rsid w:val="00540C02"/>
    <w:rsid w:val="00540CC5"/>
    <w:rsid w:val="00540D93"/>
    <w:rsid w:val="00540F88"/>
    <w:rsid w:val="00541237"/>
    <w:rsid w:val="00541312"/>
    <w:rsid w:val="005416D5"/>
    <w:rsid w:val="00541EAE"/>
    <w:rsid w:val="00542092"/>
    <w:rsid w:val="005420B3"/>
    <w:rsid w:val="005421C8"/>
    <w:rsid w:val="00542625"/>
    <w:rsid w:val="00542A29"/>
    <w:rsid w:val="00542B90"/>
    <w:rsid w:val="005440C4"/>
    <w:rsid w:val="00544192"/>
    <w:rsid w:val="0054468E"/>
    <w:rsid w:val="00544961"/>
    <w:rsid w:val="00544F10"/>
    <w:rsid w:val="00545107"/>
    <w:rsid w:val="005451AD"/>
    <w:rsid w:val="005452CB"/>
    <w:rsid w:val="0054531D"/>
    <w:rsid w:val="0054552F"/>
    <w:rsid w:val="0054569E"/>
    <w:rsid w:val="00546378"/>
    <w:rsid w:val="0054642D"/>
    <w:rsid w:val="00546672"/>
    <w:rsid w:val="00546908"/>
    <w:rsid w:val="00546A3B"/>
    <w:rsid w:val="005471A3"/>
    <w:rsid w:val="005477B6"/>
    <w:rsid w:val="0055005F"/>
    <w:rsid w:val="005506DC"/>
    <w:rsid w:val="0055168D"/>
    <w:rsid w:val="0055178F"/>
    <w:rsid w:val="005517BF"/>
    <w:rsid w:val="00551C79"/>
    <w:rsid w:val="00552941"/>
    <w:rsid w:val="0055299E"/>
    <w:rsid w:val="00552A3F"/>
    <w:rsid w:val="00552A44"/>
    <w:rsid w:val="00552ABC"/>
    <w:rsid w:val="00552E9D"/>
    <w:rsid w:val="00552EE9"/>
    <w:rsid w:val="0055322C"/>
    <w:rsid w:val="005533B0"/>
    <w:rsid w:val="00553B0C"/>
    <w:rsid w:val="00553C05"/>
    <w:rsid w:val="00553D91"/>
    <w:rsid w:val="00554076"/>
    <w:rsid w:val="00554B9D"/>
    <w:rsid w:val="00554DFB"/>
    <w:rsid w:val="005550F7"/>
    <w:rsid w:val="00555CCF"/>
    <w:rsid w:val="0055600C"/>
    <w:rsid w:val="00556066"/>
    <w:rsid w:val="005565A1"/>
    <w:rsid w:val="005565C6"/>
    <w:rsid w:val="00556E72"/>
    <w:rsid w:val="005572BD"/>
    <w:rsid w:val="0055739B"/>
    <w:rsid w:val="005574EC"/>
    <w:rsid w:val="005575BB"/>
    <w:rsid w:val="00557B2F"/>
    <w:rsid w:val="00560109"/>
    <w:rsid w:val="0056093A"/>
    <w:rsid w:val="005613D6"/>
    <w:rsid w:val="00561768"/>
    <w:rsid w:val="0056194C"/>
    <w:rsid w:val="00561D60"/>
    <w:rsid w:val="00561D66"/>
    <w:rsid w:val="00561F2F"/>
    <w:rsid w:val="00562CB9"/>
    <w:rsid w:val="00562DA3"/>
    <w:rsid w:val="0056312B"/>
    <w:rsid w:val="005634A3"/>
    <w:rsid w:val="005638B0"/>
    <w:rsid w:val="00563972"/>
    <w:rsid w:val="00563D1F"/>
    <w:rsid w:val="00563E83"/>
    <w:rsid w:val="005640E8"/>
    <w:rsid w:val="005641AA"/>
    <w:rsid w:val="00565466"/>
    <w:rsid w:val="00565786"/>
    <w:rsid w:val="0056578B"/>
    <w:rsid w:val="00566107"/>
    <w:rsid w:val="005669A6"/>
    <w:rsid w:val="005672AE"/>
    <w:rsid w:val="0056730F"/>
    <w:rsid w:val="005678A1"/>
    <w:rsid w:val="0057013F"/>
    <w:rsid w:val="0057015B"/>
    <w:rsid w:val="005702A9"/>
    <w:rsid w:val="00570336"/>
    <w:rsid w:val="005704B0"/>
    <w:rsid w:val="00570E7C"/>
    <w:rsid w:val="005712B1"/>
    <w:rsid w:val="005713C5"/>
    <w:rsid w:val="00571400"/>
    <w:rsid w:val="005716BD"/>
    <w:rsid w:val="005719AB"/>
    <w:rsid w:val="00572217"/>
    <w:rsid w:val="00572385"/>
    <w:rsid w:val="00572435"/>
    <w:rsid w:val="00572446"/>
    <w:rsid w:val="00572B52"/>
    <w:rsid w:val="00572D8D"/>
    <w:rsid w:val="00572DF8"/>
    <w:rsid w:val="00572EBB"/>
    <w:rsid w:val="00572F80"/>
    <w:rsid w:val="0057302E"/>
    <w:rsid w:val="005735A2"/>
    <w:rsid w:val="00574243"/>
    <w:rsid w:val="0057432E"/>
    <w:rsid w:val="0057458C"/>
    <w:rsid w:val="005746C7"/>
    <w:rsid w:val="0057498A"/>
    <w:rsid w:val="0057525C"/>
    <w:rsid w:val="0057538E"/>
    <w:rsid w:val="005754F3"/>
    <w:rsid w:val="00575F0D"/>
    <w:rsid w:val="005761B9"/>
    <w:rsid w:val="00576463"/>
    <w:rsid w:val="005767B8"/>
    <w:rsid w:val="005767DF"/>
    <w:rsid w:val="00576B5B"/>
    <w:rsid w:val="00576D1E"/>
    <w:rsid w:val="005771DC"/>
    <w:rsid w:val="0057763D"/>
    <w:rsid w:val="00577778"/>
    <w:rsid w:val="00577851"/>
    <w:rsid w:val="00577A36"/>
    <w:rsid w:val="00577F33"/>
    <w:rsid w:val="00580547"/>
    <w:rsid w:val="00580937"/>
    <w:rsid w:val="00580A52"/>
    <w:rsid w:val="005812CD"/>
    <w:rsid w:val="00581519"/>
    <w:rsid w:val="0058167B"/>
    <w:rsid w:val="00581731"/>
    <w:rsid w:val="005817D6"/>
    <w:rsid w:val="00581A96"/>
    <w:rsid w:val="0058239A"/>
    <w:rsid w:val="005825BD"/>
    <w:rsid w:val="00582704"/>
    <w:rsid w:val="00582748"/>
    <w:rsid w:val="0058274F"/>
    <w:rsid w:val="00582859"/>
    <w:rsid w:val="00582935"/>
    <w:rsid w:val="00582C65"/>
    <w:rsid w:val="00582F9E"/>
    <w:rsid w:val="00583267"/>
    <w:rsid w:val="005834EA"/>
    <w:rsid w:val="0058367E"/>
    <w:rsid w:val="005838D0"/>
    <w:rsid w:val="005839F9"/>
    <w:rsid w:val="00584AFA"/>
    <w:rsid w:val="00584E84"/>
    <w:rsid w:val="005851F8"/>
    <w:rsid w:val="00585577"/>
    <w:rsid w:val="00585A71"/>
    <w:rsid w:val="00586343"/>
    <w:rsid w:val="00586572"/>
    <w:rsid w:val="00586DC8"/>
    <w:rsid w:val="0058798F"/>
    <w:rsid w:val="00587F55"/>
    <w:rsid w:val="005906FB"/>
    <w:rsid w:val="00590CAB"/>
    <w:rsid w:val="00591400"/>
    <w:rsid w:val="00591665"/>
    <w:rsid w:val="00591BAB"/>
    <w:rsid w:val="005924E6"/>
    <w:rsid w:val="005925A2"/>
    <w:rsid w:val="0059269A"/>
    <w:rsid w:val="00592719"/>
    <w:rsid w:val="00593831"/>
    <w:rsid w:val="0059444D"/>
    <w:rsid w:val="00594B6E"/>
    <w:rsid w:val="00594B76"/>
    <w:rsid w:val="00594BBD"/>
    <w:rsid w:val="0059509E"/>
    <w:rsid w:val="00595291"/>
    <w:rsid w:val="005954C3"/>
    <w:rsid w:val="0059563D"/>
    <w:rsid w:val="005959C2"/>
    <w:rsid w:val="00595C23"/>
    <w:rsid w:val="00595F7E"/>
    <w:rsid w:val="00596501"/>
    <w:rsid w:val="00596584"/>
    <w:rsid w:val="005971F5"/>
    <w:rsid w:val="0059721E"/>
    <w:rsid w:val="0059724C"/>
    <w:rsid w:val="005976F2"/>
    <w:rsid w:val="0059775C"/>
    <w:rsid w:val="00597B2E"/>
    <w:rsid w:val="00597F5F"/>
    <w:rsid w:val="005A00B4"/>
    <w:rsid w:val="005A00F7"/>
    <w:rsid w:val="005A02BC"/>
    <w:rsid w:val="005A0682"/>
    <w:rsid w:val="005A0694"/>
    <w:rsid w:val="005A0B2E"/>
    <w:rsid w:val="005A0C40"/>
    <w:rsid w:val="005A15AF"/>
    <w:rsid w:val="005A16C4"/>
    <w:rsid w:val="005A18F3"/>
    <w:rsid w:val="005A2675"/>
    <w:rsid w:val="005A27FA"/>
    <w:rsid w:val="005A2A93"/>
    <w:rsid w:val="005A2C7D"/>
    <w:rsid w:val="005A3388"/>
    <w:rsid w:val="005A39ED"/>
    <w:rsid w:val="005A5292"/>
    <w:rsid w:val="005A52F6"/>
    <w:rsid w:val="005A5353"/>
    <w:rsid w:val="005A5536"/>
    <w:rsid w:val="005A5548"/>
    <w:rsid w:val="005A5772"/>
    <w:rsid w:val="005A6240"/>
    <w:rsid w:val="005A6606"/>
    <w:rsid w:val="005A6980"/>
    <w:rsid w:val="005A69F0"/>
    <w:rsid w:val="005A6F5A"/>
    <w:rsid w:val="005A709A"/>
    <w:rsid w:val="005B0792"/>
    <w:rsid w:val="005B0D2E"/>
    <w:rsid w:val="005B0D30"/>
    <w:rsid w:val="005B15C3"/>
    <w:rsid w:val="005B1BF2"/>
    <w:rsid w:val="005B1F28"/>
    <w:rsid w:val="005B2ED4"/>
    <w:rsid w:val="005B3225"/>
    <w:rsid w:val="005B3587"/>
    <w:rsid w:val="005B363E"/>
    <w:rsid w:val="005B36CD"/>
    <w:rsid w:val="005B37BE"/>
    <w:rsid w:val="005B3A70"/>
    <w:rsid w:val="005B408A"/>
    <w:rsid w:val="005B41E5"/>
    <w:rsid w:val="005B46B6"/>
    <w:rsid w:val="005B4945"/>
    <w:rsid w:val="005B4BCE"/>
    <w:rsid w:val="005B5017"/>
    <w:rsid w:val="005B50AB"/>
    <w:rsid w:val="005B50BF"/>
    <w:rsid w:val="005B53BB"/>
    <w:rsid w:val="005B53CE"/>
    <w:rsid w:val="005B54F9"/>
    <w:rsid w:val="005B5AB0"/>
    <w:rsid w:val="005B5EB0"/>
    <w:rsid w:val="005B6113"/>
    <w:rsid w:val="005B61B0"/>
    <w:rsid w:val="005B64F2"/>
    <w:rsid w:val="005B6CEB"/>
    <w:rsid w:val="005B70D2"/>
    <w:rsid w:val="005B7554"/>
    <w:rsid w:val="005B7645"/>
    <w:rsid w:val="005B7F8B"/>
    <w:rsid w:val="005C001F"/>
    <w:rsid w:val="005C030E"/>
    <w:rsid w:val="005C0BB3"/>
    <w:rsid w:val="005C0D49"/>
    <w:rsid w:val="005C167F"/>
    <w:rsid w:val="005C18C7"/>
    <w:rsid w:val="005C1AA0"/>
    <w:rsid w:val="005C1E1F"/>
    <w:rsid w:val="005C1E27"/>
    <w:rsid w:val="005C20D2"/>
    <w:rsid w:val="005C25B8"/>
    <w:rsid w:val="005C2A84"/>
    <w:rsid w:val="005C2D29"/>
    <w:rsid w:val="005C2D7E"/>
    <w:rsid w:val="005C3242"/>
    <w:rsid w:val="005C333E"/>
    <w:rsid w:val="005C33EC"/>
    <w:rsid w:val="005C3436"/>
    <w:rsid w:val="005C361C"/>
    <w:rsid w:val="005C3710"/>
    <w:rsid w:val="005C3A15"/>
    <w:rsid w:val="005C3A76"/>
    <w:rsid w:val="005C3AF4"/>
    <w:rsid w:val="005C3BD7"/>
    <w:rsid w:val="005C422F"/>
    <w:rsid w:val="005C5234"/>
    <w:rsid w:val="005C61F6"/>
    <w:rsid w:val="005C62C5"/>
    <w:rsid w:val="005C6F60"/>
    <w:rsid w:val="005C6FB3"/>
    <w:rsid w:val="005C753D"/>
    <w:rsid w:val="005C7987"/>
    <w:rsid w:val="005C798F"/>
    <w:rsid w:val="005C7C1A"/>
    <w:rsid w:val="005C7D23"/>
    <w:rsid w:val="005C7D57"/>
    <w:rsid w:val="005D0020"/>
    <w:rsid w:val="005D009E"/>
    <w:rsid w:val="005D0110"/>
    <w:rsid w:val="005D015A"/>
    <w:rsid w:val="005D0274"/>
    <w:rsid w:val="005D0A4D"/>
    <w:rsid w:val="005D0C4E"/>
    <w:rsid w:val="005D0CBA"/>
    <w:rsid w:val="005D0F09"/>
    <w:rsid w:val="005D1091"/>
    <w:rsid w:val="005D1666"/>
    <w:rsid w:val="005D16EE"/>
    <w:rsid w:val="005D190A"/>
    <w:rsid w:val="005D1D02"/>
    <w:rsid w:val="005D1E3B"/>
    <w:rsid w:val="005D1E57"/>
    <w:rsid w:val="005D1FC8"/>
    <w:rsid w:val="005D2228"/>
    <w:rsid w:val="005D2273"/>
    <w:rsid w:val="005D27CE"/>
    <w:rsid w:val="005D28ED"/>
    <w:rsid w:val="005D2F8B"/>
    <w:rsid w:val="005D3026"/>
    <w:rsid w:val="005D3267"/>
    <w:rsid w:val="005D358D"/>
    <w:rsid w:val="005D37AD"/>
    <w:rsid w:val="005D37F9"/>
    <w:rsid w:val="005D3C49"/>
    <w:rsid w:val="005D3D2E"/>
    <w:rsid w:val="005D40ED"/>
    <w:rsid w:val="005D4373"/>
    <w:rsid w:val="005D494D"/>
    <w:rsid w:val="005D522B"/>
    <w:rsid w:val="005D5351"/>
    <w:rsid w:val="005D5AA5"/>
    <w:rsid w:val="005D623D"/>
    <w:rsid w:val="005D6613"/>
    <w:rsid w:val="005D7031"/>
    <w:rsid w:val="005D7134"/>
    <w:rsid w:val="005D71AB"/>
    <w:rsid w:val="005D7281"/>
    <w:rsid w:val="005D7282"/>
    <w:rsid w:val="005D77A3"/>
    <w:rsid w:val="005D7CF7"/>
    <w:rsid w:val="005D7FE9"/>
    <w:rsid w:val="005E0755"/>
    <w:rsid w:val="005E0AE1"/>
    <w:rsid w:val="005E0B18"/>
    <w:rsid w:val="005E0C93"/>
    <w:rsid w:val="005E0DCC"/>
    <w:rsid w:val="005E0EDF"/>
    <w:rsid w:val="005E11DE"/>
    <w:rsid w:val="005E140D"/>
    <w:rsid w:val="005E1AC4"/>
    <w:rsid w:val="005E2333"/>
    <w:rsid w:val="005E23C3"/>
    <w:rsid w:val="005E2BD4"/>
    <w:rsid w:val="005E2BE2"/>
    <w:rsid w:val="005E3250"/>
    <w:rsid w:val="005E33F0"/>
    <w:rsid w:val="005E3773"/>
    <w:rsid w:val="005E38F1"/>
    <w:rsid w:val="005E407F"/>
    <w:rsid w:val="005E40EB"/>
    <w:rsid w:val="005E434A"/>
    <w:rsid w:val="005E437B"/>
    <w:rsid w:val="005E46E4"/>
    <w:rsid w:val="005E4FC2"/>
    <w:rsid w:val="005E5A5D"/>
    <w:rsid w:val="005E6795"/>
    <w:rsid w:val="005E6F62"/>
    <w:rsid w:val="005E6FAF"/>
    <w:rsid w:val="005E72C1"/>
    <w:rsid w:val="005E7AC1"/>
    <w:rsid w:val="005E7D19"/>
    <w:rsid w:val="005F017C"/>
    <w:rsid w:val="005F0396"/>
    <w:rsid w:val="005F097A"/>
    <w:rsid w:val="005F09C4"/>
    <w:rsid w:val="005F0FBD"/>
    <w:rsid w:val="005F203C"/>
    <w:rsid w:val="005F2074"/>
    <w:rsid w:val="005F26E0"/>
    <w:rsid w:val="005F3BEA"/>
    <w:rsid w:val="005F4141"/>
    <w:rsid w:val="005F437C"/>
    <w:rsid w:val="005F4D48"/>
    <w:rsid w:val="005F4EB5"/>
    <w:rsid w:val="005F523D"/>
    <w:rsid w:val="005F568F"/>
    <w:rsid w:val="005F5725"/>
    <w:rsid w:val="005F5939"/>
    <w:rsid w:val="005F5F62"/>
    <w:rsid w:val="005F603E"/>
    <w:rsid w:val="005F6080"/>
    <w:rsid w:val="005F63F7"/>
    <w:rsid w:val="005F6566"/>
    <w:rsid w:val="005F678B"/>
    <w:rsid w:val="005F6F5B"/>
    <w:rsid w:val="005F73A9"/>
    <w:rsid w:val="00600236"/>
    <w:rsid w:val="00600402"/>
    <w:rsid w:val="00600792"/>
    <w:rsid w:val="006008D8"/>
    <w:rsid w:val="00600943"/>
    <w:rsid w:val="0060095F"/>
    <w:rsid w:val="00600C0A"/>
    <w:rsid w:val="00600C97"/>
    <w:rsid w:val="006012C2"/>
    <w:rsid w:val="00601464"/>
    <w:rsid w:val="006015B5"/>
    <w:rsid w:val="00601ABD"/>
    <w:rsid w:val="006023DF"/>
    <w:rsid w:val="00602781"/>
    <w:rsid w:val="0060293B"/>
    <w:rsid w:val="00602D1C"/>
    <w:rsid w:val="00602F5F"/>
    <w:rsid w:val="006030CF"/>
    <w:rsid w:val="00603811"/>
    <w:rsid w:val="00603846"/>
    <w:rsid w:val="00603E4F"/>
    <w:rsid w:val="00603EE8"/>
    <w:rsid w:val="00603F60"/>
    <w:rsid w:val="0060448D"/>
    <w:rsid w:val="006045F7"/>
    <w:rsid w:val="00604923"/>
    <w:rsid w:val="00604BB5"/>
    <w:rsid w:val="00604CC6"/>
    <w:rsid w:val="006055F9"/>
    <w:rsid w:val="006059D6"/>
    <w:rsid w:val="00605A3B"/>
    <w:rsid w:val="00605BAE"/>
    <w:rsid w:val="006067A1"/>
    <w:rsid w:val="00607269"/>
    <w:rsid w:val="0060774A"/>
    <w:rsid w:val="006078D8"/>
    <w:rsid w:val="006079E1"/>
    <w:rsid w:val="00607FA8"/>
    <w:rsid w:val="00610291"/>
    <w:rsid w:val="0061068B"/>
    <w:rsid w:val="00610B7C"/>
    <w:rsid w:val="00610D36"/>
    <w:rsid w:val="00611048"/>
    <w:rsid w:val="00611340"/>
    <w:rsid w:val="00611938"/>
    <w:rsid w:val="0061222C"/>
    <w:rsid w:val="006127E7"/>
    <w:rsid w:val="00613309"/>
    <w:rsid w:val="0061358B"/>
    <w:rsid w:val="00614477"/>
    <w:rsid w:val="0061475D"/>
    <w:rsid w:val="006156B1"/>
    <w:rsid w:val="00615E7C"/>
    <w:rsid w:val="00615EA2"/>
    <w:rsid w:val="00615F4C"/>
    <w:rsid w:val="00616492"/>
    <w:rsid w:val="00616552"/>
    <w:rsid w:val="006167F1"/>
    <w:rsid w:val="00616BAB"/>
    <w:rsid w:val="00617055"/>
    <w:rsid w:val="00617084"/>
    <w:rsid w:val="006171C6"/>
    <w:rsid w:val="006175D9"/>
    <w:rsid w:val="00617B0D"/>
    <w:rsid w:val="00617DF5"/>
    <w:rsid w:val="00617F52"/>
    <w:rsid w:val="006200AD"/>
    <w:rsid w:val="00620F86"/>
    <w:rsid w:val="006211A0"/>
    <w:rsid w:val="0062156D"/>
    <w:rsid w:val="00621639"/>
    <w:rsid w:val="00621665"/>
    <w:rsid w:val="00622116"/>
    <w:rsid w:val="00622354"/>
    <w:rsid w:val="00622690"/>
    <w:rsid w:val="00622931"/>
    <w:rsid w:val="00622A1A"/>
    <w:rsid w:val="006235C6"/>
    <w:rsid w:val="0062381C"/>
    <w:rsid w:val="00623EBE"/>
    <w:rsid w:val="00624278"/>
    <w:rsid w:val="00624303"/>
    <w:rsid w:val="00624B7C"/>
    <w:rsid w:val="00624DBC"/>
    <w:rsid w:val="00625CFC"/>
    <w:rsid w:val="0062609A"/>
    <w:rsid w:val="00626277"/>
    <w:rsid w:val="0062674A"/>
    <w:rsid w:val="006267EA"/>
    <w:rsid w:val="00626E63"/>
    <w:rsid w:val="006279BB"/>
    <w:rsid w:val="006301BB"/>
    <w:rsid w:val="006307CD"/>
    <w:rsid w:val="00630B23"/>
    <w:rsid w:val="00630D3D"/>
    <w:rsid w:val="0063137A"/>
    <w:rsid w:val="00631EA7"/>
    <w:rsid w:val="00631F3B"/>
    <w:rsid w:val="00632099"/>
    <w:rsid w:val="00632428"/>
    <w:rsid w:val="00632B45"/>
    <w:rsid w:val="006330ED"/>
    <w:rsid w:val="006331DF"/>
    <w:rsid w:val="0063324C"/>
    <w:rsid w:val="00633308"/>
    <w:rsid w:val="006337A5"/>
    <w:rsid w:val="00633E94"/>
    <w:rsid w:val="00633EF4"/>
    <w:rsid w:val="006343CE"/>
    <w:rsid w:val="00634627"/>
    <w:rsid w:val="00634A18"/>
    <w:rsid w:val="00634E11"/>
    <w:rsid w:val="00634E8D"/>
    <w:rsid w:val="00635435"/>
    <w:rsid w:val="00635ABE"/>
    <w:rsid w:val="006362EB"/>
    <w:rsid w:val="006364A6"/>
    <w:rsid w:val="006364D8"/>
    <w:rsid w:val="00636694"/>
    <w:rsid w:val="00636830"/>
    <w:rsid w:val="0063691D"/>
    <w:rsid w:val="00636962"/>
    <w:rsid w:val="00636B7B"/>
    <w:rsid w:val="00636B83"/>
    <w:rsid w:val="00636BAE"/>
    <w:rsid w:val="00636BFE"/>
    <w:rsid w:val="0063736B"/>
    <w:rsid w:val="006373D4"/>
    <w:rsid w:val="0063775B"/>
    <w:rsid w:val="006377DA"/>
    <w:rsid w:val="0063793A"/>
    <w:rsid w:val="0064001E"/>
    <w:rsid w:val="0064018E"/>
    <w:rsid w:val="006404FA"/>
    <w:rsid w:val="00640789"/>
    <w:rsid w:val="0064134F"/>
    <w:rsid w:val="0064174B"/>
    <w:rsid w:val="00641C46"/>
    <w:rsid w:val="00642883"/>
    <w:rsid w:val="006428B8"/>
    <w:rsid w:val="00642F19"/>
    <w:rsid w:val="00642F9B"/>
    <w:rsid w:val="006432B8"/>
    <w:rsid w:val="006435B9"/>
    <w:rsid w:val="00643A07"/>
    <w:rsid w:val="00643A59"/>
    <w:rsid w:val="00644248"/>
    <w:rsid w:val="00644339"/>
    <w:rsid w:val="00644768"/>
    <w:rsid w:val="006447F3"/>
    <w:rsid w:val="006449A0"/>
    <w:rsid w:val="006456D8"/>
    <w:rsid w:val="00645B33"/>
    <w:rsid w:val="00645BEE"/>
    <w:rsid w:val="00645C91"/>
    <w:rsid w:val="00645E68"/>
    <w:rsid w:val="00645FB6"/>
    <w:rsid w:val="00645FF1"/>
    <w:rsid w:val="0064615E"/>
    <w:rsid w:val="0064673D"/>
    <w:rsid w:val="00646C27"/>
    <w:rsid w:val="00646CC9"/>
    <w:rsid w:val="00646EE3"/>
    <w:rsid w:val="006476DD"/>
    <w:rsid w:val="006478E7"/>
    <w:rsid w:val="0064796F"/>
    <w:rsid w:val="00647C4E"/>
    <w:rsid w:val="006501F7"/>
    <w:rsid w:val="00650DBC"/>
    <w:rsid w:val="0065128F"/>
    <w:rsid w:val="006513FE"/>
    <w:rsid w:val="006517DC"/>
    <w:rsid w:val="00651944"/>
    <w:rsid w:val="0065205D"/>
    <w:rsid w:val="006521FD"/>
    <w:rsid w:val="00652FE3"/>
    <w:rsid w:val="00653323"/>
    <w:rsid w:val="00653936"/>
    <w:rsid w:val="00653FA4"/>
    <w:rsid w:val="006540B9"/>
    <w:rsid w:val="0065414F"/>
    <w:rsid w:val="0065423C"/>
    <w:rsid w:val="00654893"/>
    <w:rsid w:val="0065518E"/>
    <w:rsid w:val="00655227"/>
    <w:rsid w:val="00655CEE"/>
    <w:rsid w:val="00655CFD"/>
    <w:rsid w:val="00656020"/>
    <w:rsid w:val="006562E3"/>
    <w:rsid w:val="00656448"/>
    <w:rsid w:val="00656521"/>
    <w:rsid w:val="00656E4C"/>
    <w:rsid w:val="00656E52"/>
    <w:rsid w:val="00657809"/>
    <w:rsid w:val="006578BC"/>
    <w:rsid w:val="00657DDE"/>
    <w:rsid w:val="00660026"/>
    <w:rsid w:val="00660734"/>
    <w:rsid w:val="00660774"/>
    <w:rsid w:val="006607C1"/>
    <w:rsid w:val="00660949"/>
    <w:rsid w:val="00660DA8"/>
    <w:rsid w:val="006610FA"/>
    <w:rsid w:val="0066148A"/>
    <w:rsid w:val="006617D8"/>
    <w:rsid w:val="00661873"/>
    <w:rsid w:val="00661BA5"/>
    <w:rsid w:val="00661D93"/>
    <w:rsid w:val="00661DA0"/>
    <w:rsid w:val="00661F9B"/>
    <w:rsid w:val="00662831"/>
    <w:rsid w:val="0066287B"/>
    <w:rsid w:val="006629B8"/>
    <w:rsid w:val="006629BE"/>
    <w:rsid w:val="00662CC6"/>
    <w:rsid w:val="00662F28"/>
    <w:rsid w:val="0066395D"/>
    <w:rsid w:val="00663A68"/>
    <w:rsid w:val="00663D0A"/>
    <w:rsid w:val="00663E16"/>
    <w:rsid w:val="00663EF1"/>
    <w:rsid w:val="00664039"/>
    <w:rsid w:val="00664D73"/>
    <w:rsid w:val="0066710D"/>
    <w:rsid w:val="006679DE"/>
    <w:rsid w:val="00667CDA"/>
    <w:rsid w:val="00671053"/>
    <w:rsid w:val="0067177F"/>
    <w:rsid w:val="00671CE3"/>
    <w:rsid w:val="006724B0"/>
    <w:rsid w:val="00672B2A"/>
    <w:rsid w:val="00673005"/>
    <w:rsid w:val="006735C1"/>
    <w:rsid w:val="00673D3F"/>
    <w:rsid w:val="00673F06"/>
    <w:rsid w:val="0067411E"/>
    <w:rsid w:val="00674199"/>
    <w:rsid w:val="0067452D"/>
    <w:rsid w:val="00674BAB"/>
    <w:rsid w:val="006754FB"/>
    <w:rsid w:val="00675CDC"/>
    <w:rsid w:val="00675DB2"/>
    <w:rsid w:val="00675FAF"/>
    <w:rsid w:val="00676028"/>
    <w:rsid w:val="006762A6"/>
    <w:rsid w:val="0067638D"/>
    <w:rsid w:val="00676639"/>
    <w:rsid w:val="00676D7C"/>
    <w:rsid w:val="00677422"/>
    <w:rsid w:val="006775A1"/>
    <w:rsid w:val="006777A6"/>
    <w:rsid w:val="006779F6"/>
    <w:rsid w:val="00677AE3"/>
    <w:rsid w:val="00677F66"/>
    <w:rsid w:val="006800B4"/>
    <w:rsid w:val="00680DD4"/>
    <w:rsid w:val="006813C5"/>
    <w:rsid w:val="00681532"/>
    <w:rsid w:val="00681DD1"/>
    <w:rsid w:val="006822AD"/>
    <w:rsid w:val="00682461"/>
    <w:rsid w:val="00682B50"/>
    <w:rsid w:val="00682BEB"/>
    <w:rsid w:val="00683016"/>
    <w:rsid w:val="006836C2"/>
    <w:rsid w:val="00683992"/>
    <w:rsid w:val="00683F41"/>
    <w:rsid w:val="00684BCE"/>
    <w:rsid w:val="00684EE2"/>
    <w:rsid w:val="0068500B"/>
    <w:rsid w:val="00685355"/>
    <w:rsid w:val="00685745"/>
    <w:rsid w:val="00685A20"/>
    <w:rsid w:val="00685B11"/>
    <w:rsid w:val="006862FD"/>
    <w:rsid w:val="00686359"/>
    <w:rsid w:val="00686656"/>
    <w:rsid w:val="00686BD5"/>
    <w:rsid w:val="00686CD0"/>
    <w:rsid w:val="00686EED"/>
    <w:rsid w:val="00686F55"/>
    <w:rsid w:val="006871F1"/>
    <w:rsid w:val="00687527"/>
    <w:rsid w:val="00687888"/>
    <w:rsid w:val="00687A13"/>
    <w:rsid w:val="00687AAE"/>
    <w:rsid w:val="00687CDF"/>
    <w:rsid w:val="00690100"/>
    <w:rsid w:val="006906A3"/>
    <w:rsid w:val="006906C9"/>
    <w:rsid w:val="00690A96"/>
    <w:rsid w:val="00690B16"/>
    <w:rsid w:val="0069102F"/>
    <w:rsid w:val="006911CB"/>
    <w:rsid w:val="0069168A"/>
    <w:rsid w:val="00691DA7"/>
    <w:rsid w:val="00691EDB"/>
    <w:rsid w:val="0069212F"/>
    <w:rsid w:val="006921FA"/>
    <w:rsid w:val="0069232B"/>
    <w:rsid w:val="00692745"/>
    <w:rsid w:val="0069296A"/>
    <w:rsid w:val="00692A0F"/>
    <w:rsid w:val="00693494"/>
    <w:rsid w:val="006935BE"/>
    <w:rsid w:val="00693B97"/>
    <w:rsid w:val="006948DD"/>
    <w:rsid w:val="006949CE"/>
    <w:rsid w:val="00694A77"/>
    <w:rsid w:val="00694EC3"/>
    <w:rsid w:val="0069577B"/>
    <w:rsid w:val="00695A01"/>
    <w:rsid w:val="00695C5D"/>
    <w:rsid w:val="00696AAF"/>
    <w:rsid w:val="0069747C"/>
    <w:rsid w:val="00697B64"/>
    <w:rsid w:val="00697FB4"/>
    <w:rsid w:val="006A0044"/>
    <w:rsid w:val="006A017B"/>
    <w:rsid w:val="006A0252"/>
    <w:rsid w:val="006A072A"/>
    <w:rsid w:val="006A0C08"/>
    <w:rsid w:val="006A144D"/>
    <w:rsid w:val="006A164A"/>
    <w:rsid w:val="006A1B63"/>
    <w:rsid w:val="006A1F88"/>
    <w:rsid w:val="006A21EB"/>
    <w:rsid w:val="006A235A"/>
    <w:rsid w:val="006A2827"/>
    <w:rsid w:val="006A29B5"/>
    <w:rsid w:val="006A2B28"/>
    <w:rsid w:val="006A2E09"/>
    <w:rsid w:val="006A33DA"/>
    <w:rsid w:val="006A3975"/>
    <w:rsid w:val="006A399D"/>
    <w:rsid w:val="006A3AE8"/>
    <w:rsid w:val="006A3F40"/>
    <w:rsid w:val="006A3F69"/>
    <w:rsid w:val="006A463B"/>
    <w:rsid w:val="006A467F"/>
    <w:rsid w:val="006A5940"/>
    <w:rsid w:val="006A5A03"/>
    <w:rsid w:val="006A5BBF"/>
    <w:rsid w:val="006A5D00"/>
    <w:rsid w:val="006A65C7"/>
    <w:rsid w:val="006A737B"/>
    <w:rsid w:val="006A7752"/>
    <w:rsid w:val="006A7935"/>
    <w:rsid w:val="006A7E6B"/>
    <w:rsid w:val="006B01B6"/>
    <w:rsid w:val="006B0715"/>
    <w:rsid w:val="006B0E52"/>
    <w:rsid w:val="006B14ED"/>
    <w:rsid w:val="006B1A43"/>
    <w:rsid w:val="006B1CF9"/>
    <w:rsid w:val="006B1FCA"/>
    <w:rsid w:val="006B213A"/>
    <w:rsid w:val="006B2175"/>
    <w:rsid w:val="006B2527"/>
    <w:rsid w:val="006B2A9B"/>
    <w:rsid w:val="006B2CE7"/>
    <w:rsid w:val="006B2DE2"/>
    <w:rsid w:val="006B3007"/>
    <w:rsid w:val="006B32B7"/>
    <w:rsid w:val="006B32DC"/>
    <w:rsid w:val="006B342B"/>
    <w:rsid w:val="006B3631"/>
    <w:rsid w:val="006B3883"/>
    <w:rsid w:val="006B4041"/>
    <w:rsid w:val="006B44AC"/>
    <w:rsid w:val="006B495C"/>
    <w:rsid w:val="006B4FFA"/>
    <w:rsid w:val="006B5032"/>
    <w:rsid w:val="006B5316"/>
    <w:rsid w:val="006B5901"/>
    <w:rsid w:val="006B5F60"/>
    <w:rsid w:val="006B6630"/>
    <w:rsid w:val="006B66FC"/>
    <w:rsid w:val="006B685F"/>
    <w:rsid w:val="006B6A1F"/>
    <w:rsid w:val="006B6A25"/>
    <w:rsid w:val="006B6E80"/>
    <w:rsid w:val="006B7024"/>
    <w:rsid w:val="006B7068"/>
    <w:rsid w:val="006B7088"/>
    <w:rsid w:val="006B73BA"/>
    <w:rsid w:val="006B7433"/>
    <w:rsid w:val="006B7468"/>
    <w:rsid w:val="006B7971"/>
    <w:rsid w:val="006B7997"/>
    <w:rsid w:val="006B7C89"/>
    <w:rsid w:val="006B7D57"/>
    <w:rsid w:val="006B7EE4"/>
    <w:rsid w:val="006B7F18"/>
    <w:rsid w:val="006C00BD"/>
    <w:rsid w:val="006C0735"/>
    <w:rsid w:val="006C0ADF"/>
    <w:rsid w:val="006C1596"/>
    <w:rsid w:val="006C16ED"/>
    <w:rsid w:val="006C183A"/>
    <w:rsid w:val="006C1899"/>
    <w:rsid w:val="006C1ACD"/>
    <w:rsid w:val="006C269E"/>
    <w:rsid w:val="006C291D"/>
    <w:rsid w:val="006C2A11"/>
    <w:rsid w:val="006C3280"/>
    <w:rsid w:val="006C36FA"/>
    <w:rsid w:val="006C3E29"/>
    <w:rsid w:val="006C3E79"/>
    <w:rsid w:val="006C44A6"/>
    <w:rsid w:val="006C47F6"/>
    <w:rsid w:val="006C48A0"/>
    <w:rsid w:val="006C4B76"/>
    <w:rsid w:val="006C4D1A"/>
    <w:rsid w:val="006C52FF"/>
    <w:rsid w:val="006C5348"/>
    <w:rsid w:val="006C54D4"/>
    <w:rsid w:val="006C5844"/>
    <w:rsid w:val="006C5994"/>
    <w:rsid w:val="006C5A91"/>
    <w:rsid w:val="006C5BB5"/>
    <w:rsid w:val="006C6079"/>
    <w:rsid w:val="006C60FB"/>
    <w:rsid w:val="006C62E7"/>
    <w:rsid w:val="006C635E"/>
    <w:rsid w:val="006C646C"/>
    <w:rsid w:val="006C659F"/>
    <w:rsid w:val="006C686C"/>
    <w:rsid w:val="006C6A69"/>
    <w:rsid w:val="006C6C3A"/>
    <w:rsid w:val="006C72A6"/>
    <w:rsid w:val="006C76CD"/>
    <w:rsid w:val="006C78A6"/>
    <w:rsid w:val="006D02FF"/>
    <w:rsid w:val="006D06CD"/>
    <w:rsid w:val="006D07E4"/>
    <w:rsid w:val="006D0C1A"/>
    <w:rsid w:val="006D0C54"/>
    <w:rsid w:val="006D0FCB"/>
    <w:rsid w:val="006D10E3"/>
    <w:rsid w:val="006D15DA"/>
    <w:rsid w:val="006D1839"/>
    <w:rsid w:val="006D1899"/>
    <w:rsid w:val="006D2548"/>
    <w:rsid w:val="006D2585"/>
    <w:rsid w:val="006D2E48"/>
    <w:rsid w:val="006D2F67"/>
    <w:rsid w:val="006D32E3"/>
    <w:rsid w:val="006D36F7"/>
    <w:rsid w:val="006D375C"/>
    <w:rsid w:val="006D3922"/>
    <w:rsid w:val="006D39F0"/>
    <w:rsid w:val="006D3A32"/>
    <w:rsid w:val="006D3EB3"/>
    <w:rsid w:val="006D423C"/>
    <w:rsid w:val="006D427A"/>
    <w:rsid w:val="006D4A25"/>
    <w:rsid w:val="006D4F41"/>
    <w:rsid w:val="006D531D"/>
    <w:rsid w:val="006D5336"/>
    <w:rsid w:val="006D5A92"/>
    <w:rsid w:val="006D5C54"/>
    <w:rsid w:val="006D5E94"/>
    <w:rsid w:val="006D5EDF"/>
    <w:rsid w:val="006D648F"/>
    <w:rsid w:val="006D6D01"/>
    <w:rsid w:val="006D6EF0"/>
    <w:rsid w:val="006D71FB"/>
    <w:rsid w:val="006D7B26"/>
    <w:rsid w:val="006D7B48"/>
    <w:rsid w:val="006D7FFE"/>
    <w:rsid w:val="006E0540"/>
    <w:rsid w:val="006E0DB8"/>
    <w:rsid w:val="006E0E30"/>
    <w:rsid w:val="006E0F2B"/>
    <w:rsid w:val="006E0F56"/>
    <w:rsid w:val="006E1285"/>
    <w:rsid w:val="006E1855"/>
    <w:rsid w:val="006E2103"/>
    <w:rsid w:val="006E2422"/>
    <w:rsid w:val="006E24A6"/>
    <w:rsid w:val="006E274A"/>
    <w:rsid w:val="006E2864"/>
    <w:rsid w:val="006E2A56"/>
    <w:rsid w:val="006E3099"/>
    <w:rsid w:val="006E3111"/>
    <w:rsid w:val="006E3133"/>
    <w:rsid w:val="006E323C"/>
    <w:rsid w:val="006E3301"/>
    <w:rsid w:val="006E3F5E"/>
    <w:rsid w:val="006E4136"/>
    <w:rsid w:val="006E41E7"/>
    <w:rsid w:val="006E43E8"/>
    <w:rsid w:val="006E46E2"/>
    <w:rsid w:val="006E48D3"/>
    <w:rsid w:val="006E5051"/>
    <w:rsid w:val="006E5650"/>
    <w:rsid w:val="006E56ED"/>
    <w:rsid w:val="006E588F"/>
    <w:rsid w:val="006E59F8"/>
    <w:rsid w:val="006E5C1F"/>
    <w:rsid w:val="006E5F45"/>
    <w:rsid w:val="006E61F7"/>
    <w:rsid w:val="006E67A3"/>
    <w:rsid w:val="006E7195"/>
    <w:rsid w:val="006E74B9"/>
    <w:rsid w:val="006E79CF"/>
    <w:rsid w:val="006E7AD4"/>
    <w:rsid w:val="006F01C4"/>
    <w:rsid w:val="006F030C"/>
    <w:rsid w:val="006F05DC"/>
    <w:rsid w:val="006F071F"/>
    <w:rsid w:val="006F091A"/>
    <w:rsid w:val="006F0953"/>
    <w:rsid w:val="006F0E7E"/>
    <w:rsid w:val="006F0EFB"/>
    <w:rsid w:val="006F0FBD"/>
    <w:rsid w:val="006F0FF1"/>
    <w:rsid w:val="006F17D0"/>
    <w:rsid w:val="006F18F3"/>
    <w:rsid w:val="006F1AC9"/>
    <w:rsid w:val="006F1C4B"/>
    <w:rsid w:val="006F1E9A"/>
    <w:rsid w:val="006F1F7E"/>
    <w:rsid w:val="006F227E"/>
    <w:rsid w:val="006F2967"/>
    <w:rsid w:val="006F2DF0"/>
    <w:rsid w:val="006F353D"/>
    <w:rsid w:val="006F3682"/>
    <w:rsid w:val="006F3E28"/>
    <w:rsid w:val="006F4080"/>
    <w:rsid w:val="006F4420"/>
    <w:rsid w:val="006F4647"/>
    <w:rsid w:val="006F4A8F"/>
    <w:rsid w:val="006F5016"/>
    <w:rsid w:val="006F50EE"/>
    <w:rsid w:val="006F524B"/>
    <w:rsid w:val="006F539A"/>
    <w:rsid w:val="006F5643"/>
    <w:rsid w:val="006F5DBA"/>
    <w:rsid w:val="006F5F92"/>
    <w:rsid w:val="006F6AB5"/>
    <w:rsid w:val="006F6E5E"/>
    <w:rsid w:val="006F7616"/>
    <w:rsid w:val="006F7BD3"/>
    <w:rsid w:val="006F7C9C"/>
    <w:rsid w:val="006F7D52"/>
    <w:rsid w:val="00700301"/>
    <w:rsid w:val="007008DE"/>
    <w:rsid w:val="00700901"/>
    <w:rsid w:val="00700937"/>
    <w:rsid w:val="00700B3C"/>
    <w:rsid w:val="00700E31"/>
    <w:rsid w:val="00701119"/>
    <w:rsid w:val="00701196"/>
    <w:rsid w:val="007012B8"/>
    <w:rsid w:val="00701445"/>
    <w:rsid w:val="007019B9"/>
    <w:rsid w:val="007027D1"/>
    <w:rsid w:val="007028F1"/>
    <w:rsid w:val="0070291B"/>
    <w:rsid w:val="007029C2"/>
    <w:rsid w:val="00702A56"/>
    <w:rsid w:val="00702AFF"/>
    <w:rsid w:val="00702D1F"/>
    <w:rsid w:val="00702E66"/>
    <w:rsid w:val="0070350C"/>
    <w:rsid w:val="00703EE4"/>
    <w:rsid w:val="007040D9"/>
    <w:rsid w:val="007042A8"/>
    <w:rsid w:val="007047CB"/>
    <w:rsid w:val="007049C8"/>
    <w:rsid w:val="00704AA6"/>
    <w:rsid w:val="00704C7B"/>
    <w:rsid w:val="007053DF"/>
    <w:rsid w:val="007054DA"/>
    <w:rsid w:val="007055F4"/>
    <w:rsid w:val="00705741"/>
    <w:rsid w:val="00705798"/>
    <w:rsid w:val="00705E7D"/>
    <w:rsid w:val="00705EEE"/>
    <w:rsid w:val="007060AC"/>
    <w:rsid w:val="0070613D"/>
    <w:rsid w:val="0070620B"/>
    <w:rsid w:val="0070661E"/>
    <w:rsid w:val="00706DBE"/>
    <w:rsid w:val="007071A0"/>
    <w:rsid w:val="007073C4"/>
    <w:rsid w:val="007074EC"/>
    <w:rsid w:val="007075BE"/>
    <w:rsid w:val="0070789D"/>
    <w:rsid w:val="00707D24"/>
    <w:rsid w:val="00707E1A"/>
    <w:rsid w:val="00707EA1"/>
    <w:rsid w:val="00710026"/>
    <w:rsid w:val="00710122"/>
    <w:rsid w:val="0071058B"/>
    <w:rsid w:val="00710D62"/>
    <w:rsid w:val="007113F7"/>
    <w:rsid w:val="00711456"/>
    <w:rsid w:val="00711FF7"/>
    <w:rsid w:val="0071206F"/>
    <w:rsid w:val="00712648"/>
    <w:rsid w:val="00712A36"/>
    <w:rsid w:val="00712A8A"/>
    <w:rsid w:val="00712C3C"/>
    <w:rsid w:val="00712D09"/>
    <w:rsid w:val="007133E5"/>
    <w:rsid w:val="007135D2"/>
    <w:rsid w:val="00713728"/>
    <w:rsid w:val="00713C12"/>
    <w:rsid w:val="00713F31"/>
    <w:rsid w:val="0071428A"/>
    <w:rsid w:val="00714D6F"/>
    <w:rsid w:val="00714E17"/>
    <w:rsid w:val="00714EBE"/>
    <w:rsid w:val="00715082"/>
    <w:rsid w:val="00715221"/>
    <w:rsid w:val="007152C3"/>
    <w:rsid w:val="007162B5"/>
    <w:rsid w:val="007163FF"/>
    <w:rsid w:val="00716635"/>
    <w:rsid w:val="00716E08"/>
    <w:rsid w:val="0071703A"/>
    <w:rsid w:val="0071741D"/>
    <w:rsid w:val="00717443"/>
    <w:rsid w:val="00717670"/>
    <w:rsid w:val="007176EC"/>
    <w:rsid w:val="00717A4F"/>
    <w:rsid w:val="00720493"/>
    <w:rsid w:val="007205B1"/>
    <w:rsid w:val="00720645"/>
    <w:rsid w:val="00720B4E"/>
    <w:rsid w:val="00720C52"/>
    <w:rsid w:val="00720EE8"/>
    <w:rsid w:val="00720F2C"/>
    <w:rsid w:val="0072129C"/>
    <w:rsid w:val="007212D7"/>
    <w:rsid w:val="007212FC"/>
    <w:rsid w:val="0072172F"/>
    <w:rsid w:val="00721A16"/>
    <w:rsid w:val="00721C53"/>
    <w:rsid w:val="00721F58"/>
    <w:rsid w:val="007224D7"/>
    <w:rsid w:val="0072277B"/>
    <w:rsid w:val="007244DB"/>
    <w:rsid w:val="007247AE"/>
    <w:rsid w:val="00724C99"/>
    <w:rsid w:val="007256BE"/>
    <w:rsid w:val="00725AB0"/>
    <w:rsid w:val="00725B0C"/>
    <w:rsid w:val="00725C35"/>
    <w:rsid w:val="00725CCE"/>
    <w:rsid w:val="00726134"/>
    <w:rsid w:val="007261E9"/>
    <w:rsid w:val="007262A4"/>
    <w:rsid w:val="00726719"/>
    <w:rsid w:val="0072674F"/>
    <w:rsid w:val="00726939"/>
    <w:rsid w:val="007270C8"/>
    <w:rsid w:val="007272E9"/>
    <w:rsid w:val="0072734B"/>
    <w:rsid w:val="007274D8"/>
    <w:rsid w:val="00727609"/>
    <w:rsid w:val="007279FA"/>
    <w:rsid w:val="0072F6BE"/>
    <w:rsid w:val="007302A1"/>
    <w:rsid w:val="00730328"/>
    <w:rsid w:val="00731275"/>
    <w:rsid w:val="007313AC"/>
    <w:rsid w:val="007314AB"/>
    <w:rsid w:val="00731516"/>
    <w:rsid w:val="007319EA"/>
    <w:rsid w:val="00731C25"/>
    <w:rsid w:val="00732465"/>
    <w:rsid w:val="00732641"/>
    <w:rsid w:val="00732797"/>
    <w:rsid w:val="0073279B"/>
    <w:rsid w:val="007328F8"/>
    <w:rsid w:val="00732B57"/>
    <w:rsid w:val="00733124"/>
    <w:rsid w:val="00733213"/>
    <w:rsid w:val="00733A32"/>
    <w:rsid w:val="00733C04"/>
    <w:rsid w:val="00733C50"/>
    <w:rsid w:val="00735456"/>
    <w:rsid w:val="007356C4"/>
    <w:rsid w:val="0073595C"/>
    <w:rsid w:val="00735B78"/>
    <w:rsid w:val="00735E2B"/>
    <w:rsid w:val="0073698C"/>
    <w:rsid w:val="00736BAF"/>
    <w:rsid w:val="00736C3F"/>
    <w:rsid w:val="00736D8E"/>
    <w:rsid w:val="0073732B"/>
    <w:rsid w:val="0073733A"/>
    <w:rsid w:val="0073737D"/>
    <w:rsid w:val="00737553"/>
    <w:rsid w:val="00737A23"/>
    <w:rsid w:val="00737DAC"/>
    <w:rsid w:val="00737DFB"/>
    <w:rsid w:val="00740093"/>
    <w:rsid w:val="00740355"/>
    <w:rsid w:val="00740ACE"/>
    <w:rsid w:val="00740FA7"/>
    <w:rsid w:val="007410CB"/>
    <w:rsid w:val="007414B9"/>
    <w:rsid w:val="007417F1"/>
    <w:rsid w:val="00741B08"/>
    <w:rsid w:val="0074260D"/>
    <w:rsid w:val="0074289A"/>
    <w:rsid w:val="00742B08"/>
    <w:rsid w:val="00742FB0"/>
    <w:rsid w:val="00743026"/>
    <w:rsid w:val="007435E0"/>
    <w:rsid w:val="0074388F"/>
    <w:rsid w:val="00743CAB"/>
    <w:rsid w:val="00743EE4"/>
    <w:rsid w:val="0074514F"/>
    <w:rsid w:val="0074572C"/>
    <w:rsid w:val="007457ED"/>
    <w:rsid w:val="00746595"/>
    <w:rsid w:val="00746B47"/>
    <w:rsid w:val="00746E28"/>
    <w:rsid w:val="00746E94"/>
    <w:rsid w:val="0074799E"/>
    <w:rsid w:val="00750151"/>
    <w:rsid w:val="0075021B"/>
    <w:rsid w:val="00750430"/>
    <w:rsid w:val="007504A2"/>
    <w:rsid w:val="007509AF"/>
    <w:rsid w:val="00750D16"/>
    <w:rsid w:val="00750DD8"/>
    <w:rsid w:val="007511A4"/>
    <w:rsid w:val="0075127D"/>
    <w:rsid w:val="00751537"/>
    <w:rsid w:val="00751832"/>
    <w:rsid w:val="007518B7"/>
    <w:rsid w:val="007521AE"/>
    <w:rsid w:val="00752414"/>
    <w:rsid w:val="00752699"/>
    <w:rsid w:val="00752996"/>
    <w:rsid w:val="00752ABF"/>
    <w:rsid w:val="00752E85"/>
    <w:rsid w:val="00752F4B"/>
    <w:rsid w:val="007535F2"/>
    <w:rsid w:val="007537CA"/>
    <w:rsid w:val="00753C62"/>
    <w:rsid w:val="00753FE8"/>
    <w:rsid w:val="0075406C"/>
    <w:rsid w:val="0075413C"/>
    <w:rsid w:val="007542C5"/>
    <w:rsid w:val="00754A0C"/>
    <w:rsid w:val="0075506F"/>
    <w:rsid w:val="007552EE"/>
    <w:rsid w:val="0075530B"/>
    <w:rsid w:val="0075569F"/>
    <w:rsid w:val="0075591F"/>
    <w:rsid w:val="00755E22"/>
    <w:rsid w:val="00755F18"/>
    <w:rsid w:val="00756079"/>
    <w:rsid w:val="007564AC"/>
    <w:rsid w:val="00756792"/>
    <w:rsid w:val="00756975"/>
    <w:rsid w:val="00756C0F"/>
    <w:rsid w:val="00756F66"/>
    <w:rsid w:val="00757105"/>
    <w:rsid w:val="007571EE"/>
    <w:rsid w:val="00757BEF"/>
    <w:rsid w:val="00757C8C"/>
    <w:rsid w:val="00757D11"/>
    <w:rsid w:val="00757E49"/>
    <w:rsid w:val="00757F07"/>
    <w:rsid w:val="00760568"/>
    <w:rsid w:val="007605F7"/>
    <w:rsid w:val="0076127E"/>
    <w:rsid w:val="00761343"/>
    <w:rsid w:val="0076203E"/>
    <w:rsid w:val="0076213B"/>
    <w:rsid w:val="0076220F"/>
    <w:rsid w:val="007622F4"/>
    <w:rsid w:val="0076254C"/>
    <w:rsid w:val="00762730"/>
    <w:rsid w:val="00762C1C"/>
    <w:rsid w:val="00762CBB"/>
    <w:rsid w:val="00763401"/>
    <w:rsid w:val="00763FA5"/>
    <w:rsid w:val="007644C9"/>
    <w:rsid w:val="00764624"/>
    <w:rsid w:val="00764641"/>
    <w:rsid w:val="007648E5"/>
    <w:rsid w:val="00764E32"/>
    <w:rsid w:val="00765876"/>
    <w:rsid w:val="007659B8"/>
    <w:rsid w:val="00765B48"/>
    <w:rsid w:val="007669A9"/>
    <w:rsid w:val="00766C60"/>
    <w:rsid w:val="00766F39"/>
    <w:rsid w:val="00766F63"/>
    <w:rsid w:val="0076740E"/>
    <w:rsid w:val="00767D47"/>
    <w:rsid w:val="007700BD"/>
    <w:rsid w:val="007702E8"/>
    <w:rsid w:val="007703CF"/>
    <w:rsid w:val="00770588"/>
    <w:rsid w:val="007706C7"/>
    <w:rsid w:val="00770A4F"/>
    <w:rsid w:val="00770CC3"/>
    <w:rsid w:val="00770D68"/>
    <w:rsid w:val="00770E2E"/>
    <w:rsid w:val="00770EB2"/>
    <w:rsid w:val="007711AD"/>
    <w:rsid w:val="0077147C"/>
    <w:rsid w:val="007714B3"/>
    <w:rsid w:val="007716C4"/>
    <w:rsid w:val="007717F6"/>
    <w:rsid w:val="00771A26"/>
    <w:rsid w:val="00771C2A"/>
    <w:rsid w:val="00771D63"/>
    <w:rsid w:val="00771E97"/>
    <w:rsid w:val="007721CD"/>
    <w:rsid w:val="0077260C"/>
    <w:rsid w:val="007729EC"/>
    <w:rsid w:val="00773C4D"/>
    <w:rsid w:val="00774558"/>
    <w:rsid w:val="007749AC"/>
    <w:rsid w:val="0077509D"/>
    <w:rsid w:val="0077509F"/>
    <w:rsid w:val="007755D6"/>
    <w:rsid w:val="00775A78"/>
    <w:rsid w:val="00775C7B"/>
    <w:rsid w:val="00775D09"/>
    <w:rsid w:val="0077611F"/>
    <w:rsid w:val="00776148"/>
    <w:rsid w:val="007762FA"/>
    <w:rsid w:val="0077649C"/>
    <w:rsid w:val="007769CC"/>
    <w:rsid w:val="00776E08"/>
    <w:rsid w:val="00777069"/>
    <w:rsid w:val="00777CDE"/>
    <w:rsid w:val="00777F27"/>
    <w:rsid w:val="00777FFE"/>
    <w:rsid w:val="007801F7"/>
    <w:rsid w:val="007804AC"/>
    <w:rsid w:val="00780A53"/>
    <w:rsid w:val="00781D3F"/>
    <w:rsid w:val="00781D95"/>
    <w:rsid w:val="00781E9C"/>
    <w:rsid w:val="00782324"/>
    <w:rsid w:val="00782436"/>
    <w:rsid w:val="007829F8"/>
    <w:rsid w:val="00782DE2"/>
    <w:rsid w:val="00783008"/>
    <w:rsid w:val="007830D3"/>
    <w:rsid w:val="00783207"/>
    <w:rsid w:val="00783A79"/>
    <w:rsid w:val="00783C1E"/>
    <w:rsid w:val="00784C69"/>
    <w:rsid w:val="00784EBB"/>
    <w:rsid w:val="007853AE"/>
    <w:rsid w:val="007856FE"/>
    <w:rsid w:val="0078599D"/>
    <w:rsid w:val="00786444"/>
    <w:rsid w:val="00786498"/>
    <w:rsid w:val="007866AF"/>
    <w:rsid w:val="00786DA8"/>
    <w:rsid w:val="00786F31"/>
    <w:rsid w:val="00787DE9"/>
    <w:rsid w:val="00790996"/>
    <w:rsid w:val="00790E41"/>
    <w:rsid w:val="007915F3"/>
    <w:rsid w:val="00791CB0"/>
    <w:rsid w:val="00792095"/>
    <w:rsid w:val="0079226B"/>
    <w:rsid w:val="00792632"/>
    <w:rsid w:val="007926EC"/>
    <w:rsid w:val="00792A3C"/>
    <w:rsid w:val="00793136"/>
    <w:rsid w:val="0079324E"/>
    <w:rsid w:val="007934A9"/>
    <w:rsid w:val="00793702"/>
    <w:rsid w:val="00793A9E"/>
    <w:rsid w:val="00793FA7"/>
    <w:rsid w:val="00794180"/>
    <w:rsid w:val="0079461C"/>
    <w:rsid w:val="0079469A"/>
    <w:rsid w:val="0079476B"/>
    <w:rsid w:val="007959A3"/>
    <w:rsid w:val="00795FD7"/>
    <w:rsid w:val="0079640C"/>
    <w:rsid w:val="00796530"/>
    <w:rsid w:val="007967CC"/>
    <w:rsid w:val="007967D3"/>
    <w:rsid w:val="007971E9"/>
    <w:rsid w:val="0079735A"/>
    <w:rsid w:val="007975DA"/>
    <w:rsid w:val="007976DF"/>
    <w:rsid w:val="00797F36"/>
    <w:rsid w:val="00799839"/>
    <w:rsid w:val="007A046C"/>
    <w:rsid w:val="007A1046"/>
    <w:rsid w:val="007A1FB7"/>
    <w:rsid w:val="007A2B1F"/>
    <w:rsid w:val="007A39C6"/>
    <w:rsid w:val="007A4366"/>
    <w:rsid w:val="007A43C9"/>
    <w:rsid w:val="007A443E"/>
    <w:rsid w:val="007A471C"/>
    <w:rsid w:val="007A4A74"/>
    <w:rsid w:val="007A5568"/>
    <w:rsid w:val="007A5597"/>
    <w:rsid w:val="007A5D35"/>
    <w:rsid w:val="007A6447"/>
    <w:rsid w:val="007A66C8"/>
    <w:rsid w:val="007A6802"/>
    <w:rsid w:val="007A6863"/>
    <w:rsid w:val="007A69E0"/>
    <w:rsid w:val="007A6C0B"/>
    <w:rsid w:val="007A6D86"/>
    <w:rsid w:val="007A6DCC"/>
    <w:rsid w:val="007A6ECA"/>
    <w:rsid w:val="007A7350"/>
    <w:rsid w:val="007A7376"/>
    <w:rsid w:val="007A73CC"/>
    <w:rsid w:val="007A7511"/>
    <w:rsid w:val="007A7623"/>
    <w:rsid w:val="007A7C23"/>
    <w:rsid w:val="007A7E7A"/>
    <w:rsid w:val="007B0E8B"/>
    <w:rsid w:val="007B1160"/>
    <w:rsid w:val="007B14C4"/>
    <w:rsid w:val="007B26B0"/>
    <w:rsid w:val="007B2803"/>
    <w:rsid w:val="007B2B88"/>
    <w:rsid w:val="007B2D20"/>
    <w:rsid w:val="007B2DB2"/>
    <w:rsid w:val="007B306C"/>
    <w:rsid w:val="007B30E6"/>
    <w:rsid w:val="007B32A9"/>
    <w:rsid w:val="007B35D0"/>
    <w:rsid w:val="007B3AA5"/>
    <w:rsid w:val="007B422D"/>
    <w:rsid w:val="007B4565"/>
    <w:rsid w:val="007B48F8"/>
    <w:rsid w:val="007B4D79"/>
    <w:rsid w:val="007B51B6"/>
    <w:rsid w:val="007B5E6B"/>
    <w:rsid w:val="007B606C"/>
    <w:rsid w:val="007B6329"/>
    <w:rsid w:val="007B6A52"/>
    <w:rsid w:val="007B6ED2"/>
    <w:rsid w:val="007B70B3"/>
    <w:rsid w:val="007B7336"/>
    <w:rsid w:val="007B7559"/>
    <w:rsid w:val="007B75D7"/>
    <w:rsid w:val="007B7EC6"/>
    <w:rsid w:val="007C07A5"/>
    <w:rsid w:val="007C0B48"/>
    <w:rsid w:val="007C0F3E"/>
    <w:rsid w:val="007C10C4"/>
    <w:rsid w:val="007C13B4"/>
    <w:rsid w:val="007C16B0"/>
    <w:rsid w:val="007C1843"/>
    <w:rsid w:val="007C1B75"/>
    <w:rsid w:val="007C21A2"/>
    <w:rsid w:val="007C2E73"/>
    <w:rsid w:val="007C2EBB"/>
    <w:rsid w:val="007C3153"/>
    <w:rsid w:val="007C359D"/>
    <w:rsid w:val="007C35EA"/>
    <w:rsid w:val="007C3C13"/>
    <w:rsid w:val="007C3CA5"/>
    <w:rsid w:val="007C3F31"/>
    <w:rsid w:val="007C40B4"/>
    <w:rsid w:val="007C434B"/>
    <w:rsid w:val="007C492D"/>
    <w:rsid w:val="007C552E"/>
    <w:rsid w:val="007C5783"/>
    <w:rsid w:val="007C5B4C"/>
    <w:rsid w:val="007C5C41"/>
    <w:rsid w:val="007C5C6C"/>
    <w:rsid w:val="007C5F55"/>
    <w:rsid w:val="007C631C"/>
    <w:rsid w:val="007C74AF"/>
    <w:rsid w:val="007C7885"/>
    <w:rsid w:val="007C7AED"/>
    <w:rsid w:val="007C7B27"/>
    <w:rsid w:val="007D0487"/>
    <w:rsid w:val="007D05C9"/>
    <w:rsid w:val="007D0E1F"/>
    <w:rsid w:val="007D12CD"/>
    <w:rsid w:val="007D1843"/>
    <w:rsid w:val="007D187C"/>
    <w:rsid w:val="007D19CE"/>
    <w:rsid w:val="007D1E1D"/>
    <w:rsid w:val="007D1E92"/>
    <w:rsid w:val="007D2208"/>
    <w:rsid w:val="007D2299"/>
    <w:rsid w:val="007D2338"/>
    <w:rsid w:val="007D23A7"/>
    <w:rsid w:val="007D27DC"/>
    <w:rsid w:val="007D28F2"/>
    <w:rsid w:val="007D2F1D"/>
    <w:rsid w:val="007D35B4"/>
    <w:rsid w:val="007D35E7"/>
    <w:rsid w:val="007D3985"/>
    <w:rsid w:val="007D3F3C"/>
    <w:rsid w:val="007D413F"/>
    <w:rsid w:val="007D426E"/>
    <w:rsid w:val="007D4BC0"/>
    <w:rsid w:val="007D4C28"/>
    <w:rsid w:val="007D5685"/>
    <w:rsid w:val="007D5762"/>
    <w:rsid w:val="007D5D3B"/>
    <w:rsid w:val="007D5F02"/>
    <w:rsid w:val="007D628D"/>
    <w:rsid w:val="007D6661"/>
    <w:rsid w:val="007D6A93"/>
    <w:rsid w:val="007D6B83"/>
    <w:rsid w:val="007D6D9A"/>
    <w:rsid w:val="007D6E57"/>
    <w:rsid w:val="007D71D1"/>
    <w:rsid w:val="007D792E"/>
    <w:rsid w:val="007E01F2"/>
    <w:rsid w:val="007E01FF"/>
    <w:rsid w:val="007E040D"/>
    <w:rsid w:val="007E04F8"/>
    <w:rsid w:val="007E0AC8"/>
    <w:rsid w:val="007E0EB4"/>
    <w:rsid w:val="007E1020"/>
    <w:rsid w:val="007E10F3"/>
    <w:rsid w:val="007E15A6"/>
    <w:rsid w:val="007E1A14"/>
    <w:rsid w:val="007E1CFC"/>
    <w:rsid w:val="007E2569"/>
    <w:rsid w:val="007E2583"/>
    <w:rsid w:val="007E28C0"/>
    <w:rsid w:val="007E333D"/>
    <w:rsid w:val="007E344D"/>
    <w:rsid w:val="007E3793"/>
    <w:rsid w:val="007E3BDA"/>
    <w:rsid w:val="007E40A8"/>
    <w:rsid w:val="007E433B"/>
    <w:rsid w:val="007E476F"/>
    <w:rsid w:val="007E4CE7"/>
    <w:rsid w:val="007E4E4C"/>
    <w:rsid w:val="007E55CE"/>
    <w:rsid w:val="007E5BAB"/>
    <w:rsid w:val="007E5BFC"/>
    <w:rsid w:val="007E5D3A"/>
    <w:rsid w:val="007E5DC3"/>
    <w:rsid w:val="007E5FB6"/>
    <w:rsid w:val="007E6532"/>
    <w:rsid w:val="007E66FA"/>
    <w:rsid w:val="007E7362"/>
    <w:rsid w:val="007E746B"/>
    <w:rsid w:val="007E77A3"/>
    <w:rsid w:val="007E7B6B"/>
    <w:rsid w:val="007E7C10"/>
    <w:rsid w:val="007E7F7A"/>
    <w:rsid w:val="007F023A"/>
    <w:rsid w:val="007F024D"/>
    <w:rsid w:val="007F0BF7"/>
    <w:rsid w:val="007F0C00"/>
    <w:rsid w:val="007F10A4"/>
    <w:rsid w:val="007F1433"/>
    <w:rsid w:val="007F1687"/>
    <w:rsid w:val="007F196A"/>
    <w:rsid w:val="007F20BD"/>
    <w:rsid w:val="007F24D2"/>
    <w:rsid w:val="007F3903"/>
    <w:rsid w:val="007F3B09"/>
    <w:rsid w:val="007F3BFF"/>
    <w:rsid w:val="007F3FC8"/>
    <w:rsid w:val="007F4B44"/>
    <w:rsid w:val="007F4E38"/>
    <w:rsid w:val="007F4E9D"/>
    <w:rsid w:val="007F5359"/>
    <w:rsid w:val="007F5A67"/>
    <w:rsid w:val="007F61DE"/>
    <w:rsid w:val="007F6896"/>
    <w:rsid w:val="007F6A01"/>
    <w:rsid w:val="007F7124"/>
    <w:rsid w:val="007F7AE9"/>
    <w:rsid w:val="007F7B58"/>
    <w:rsid w:val="007F7D19"/>
    <w:rsid w:val="007F7DC6"/>
    <w:rsid w:val="007F7F6D"/>
    <w:rsid w:val="00800292"/>
    <w:rsid w:val="008007E1"/>
    <w:rsid w:val="00800D7E"/>
    <w:rsid w:val="00800F3F"/>
    <w:rsid w:val="00801254"/>
    <w:rsid w:val="008015E8"/>
    <w:rsid w:val="008019BC"/>
    <w:rsid w:val="00801A51"/>
    <w:rsid w:val="008020CA"/>
    <w:rsid w:val="00802334"/>
    <w:rsid w:val="00802597"/>
    <w:rsid w:val="008026C8"/>
    <w:rsid w:val="00802DE4"/>
    <w:rsid w:val="0080349B"/>
    <w:rsid w:val="00803554"/>
    <w:rsid w:val="00803F31"/>
    <w:rsid w:val="008046F0"/>
    <w:rsid w:val="00804735"/>
    <w:rsid w:val="00804C45"/>
    <w:rsid w:val="00804C58"/>
    <w:rsid w:val="008050C7"/>
    <w:rsid w:val="008051B9"/>
    <w:rsid w:val="008055C3"/>
    <w:rsid w:val="00805AF3"/>
    <w:rsid w:val="00806111"/>
    <w:rsid w:val="0080675B"/>
    <w:rsid w:val="008067A9"/>
    <w:rsid w:val="00806902"/>
    <w:rsid w:val="00806A68"/>
    <w:rsid w:val="00806EEF"/>
    <w:rsid w:val="008076D7"/>
    <w:rsid w:val="00807730"/>
    <w:rsid w:val="00807F62"/>
    <w:rsid w:val="0081007A"/>
    <w:rsid w:val="008104A9"/>
    <w:rsid w:val="008104F8"/>
    <w:rsid w:val="0081094D"/>
    <w:rsid w:val="00810A08"/>
    <w:rsid w:val="00811234"/>
    <w:rsid w:val="00811492"/>
    <w:rsid w:val="0081158C"/>
    <w:rsid w:val="008119F1"/>
    <w:rsid w:val="00811BA3"/>
    <w:rsid w:val="00812127"/>
    <w:rsid w:val="00812A44"/>
    <w:rsid w:val="00812F1F"/>
    <w:rsid w:val="0081380D"/>
    <w:rsid w:val="008139DD"/>
    <w:rsid w:val="00814C93"/>
    <w:rsid w:val="00814CA2"/>
    <w:rsid w:val="00814D97"/>
    <w:rsid w:val="008152E3"/>
    <w:rsid w:val="008153B4"/>
    <w:rsid w:val="00815705"/>
    <w:rsid w:val="00816ECE"/>
    <w:rsid w:val="00817474"/>
    <w:rsid w:val="00817610"/>
    <w:rsid w:val="00817711"/>
    <w:rsid w:val="00817BAD"/>
    <w:rsid w:val="00817FB6"/>
    <w:rsid w:val="00817FED"/>
    <w:rsid w:val="0081910A"/>
    <w:rsid w:val="008203D4"/>
    <w:rsid w:val="00820C59"/>
    <w:rsid w:val="008210A4"/>
    <w:rsid w:val="0082124F"/>
    <w:rsid w:val="00821265"/>
    <w:rsid w:val="00821323"/>
    <w:rsid w:val="008217C1"/>
    <w:rsid w:val="0082186E"/>
    <w:rsid w:val="00821C13"/>
    <w:rsid w:val="00822E66"/>
    <w:rsid w:val="0082321C"/>
    <w:rsid w:val="00823237"/>
    <w:rsid w:val="00823463"/>
    <w:rsid w:val="00823A0E"/>
    <w:rsid w:val="00823CA9"/>
    <w:rsid w:val="008240EA"/>
    <w:rsid w:val="00824160"/>
    <w:rsid w:val="00824751"/>
    <w:rsid w:val="008251C1"/>
    <w:rsid w:val="0082568A"/>
    <w:rsid w:val="00826A18"/>
    <w:rsid w:val="00826B64"/>
    <w:rsid w:val="0082741A"/>
    <w:rsid w:val="00827A67"/>
    <w:rsid w:val="008302E2"/>
    <w:rsid w:val="00830A1A"/>
    <w:rsid w:val="00830FCF"/>
    <w:rsid w:val="00831A32"/>
    <w:rsid w:val="00831CB1"/>
    <w:rsid w:val="00832A1A"/>
    <w:rsid w:val="00832EE7"/>
    <w:rsid w:val="00832F90"/>
    <w:rsid w:val="0083349E"/>
    <w:rsid w:val="00834086"/>
    <w:rsid w:val="00834276"/>
    <w:rsid w:val="008343A5"/>
    <w:rsid w:val="00834571"/>
    <w:rsid w:val="00834D81"/>
    <w:rsid w:val="00834DC3"/>
    <w:rsid w:val="00834FD9"/>
    <w:rsid w:val="00835B22"/>
    <w:rsid w:val="00835C09"/>
    <w:rsid w:val="00835D25"/>
    <w:rsid w:val="00835EC4"/>
    <w:rsid w:val="00836206"/>
    <w:rsid w:val="008362A4"/>
    <w:rsid w:val="00836445"/>
    <w:rsid w:val="0083700C"/>
    <w:rsid w:val="008370E8"/>
    <w:rsid w:val="00837BE7"/>
    <w:rsid w:val="00837C19"/>
    <w:rsid w:val="00838AA3"/>
    <w:rsid w:val="00840E1F"/>
    <w:rsid w:val="00841548"/>
    <w:rsid w:val="00841A94"/>
    <w:rsid w:val="00841E7A"/>
    <w:rsid w:val="008421A3"/>
    <w:rsid w:val="00842449"/>
    <w:rsid w:val="008428CC"/>
    <w:rsid w:val="00843085"/>
    <w:rsid w:val="0084332E"/>
    <w:rsid w:val="00843EDC"/>
    <w:rsid w:val="00844A4D"/>
    <w:rsid w:val="00844BE3"/>
    <w:rsid w:val="00844C7B"/>
    <w:rsid w:val="0084569D"/>
    <w:rsid w:val="00845A27"/>
    <w:rsid w:val="00845C7F"/>
    <w:rsid w:val="00845CE8"/>
    <w:rsid w:val="00845FDB"/>
    <w:rsid w:val="008463D2"/>
    <w:rsid w:val="00846B1F"/>
    <w:rsid w:val="00847086"/>
    <w:rsid w:val="00847690"/>
    <w:rsid w:val="0084775F"/>
    <w:rsid w:val="00847A51"/>
    <w:rsid w:val="00850622"/>
    <w:rsid w:val="00850A24"/>
    <w:rsid w:val="00850C64"/>
    <w:rsid w:val="008511D1"/>
    <w:rsid w:val="0085133B"/>
    <w:rsid w:val="0085133F"/>
    <w:rsid w:val="008513BC"/>
    <w:rsid w:val="0085149E"/>
    <w:rsid w:val="00851AE4"/>
    <w:rsid w:val="00852717"/>
    <w:rsid w:val="0085283F"/>
    <w:rsid w:val="00852A67"/>
    <w:rsid w:val="00852D82"/>
    <w:rsid w:val="00853127"/>
    <w:rsid w:val="00853FB7"/>
    <w:rsid w:val="0085419F"/>
    <w:rsid w:val="00854530"/>
    <w:rsid w:val="00854640"/>
    <w:rsid w:val="008547B3"/>
    <w:rsid w:val="0085480F"/>
    <w:rsid w:val="00854C5B"/>
    <w:rsid w:val="00855459"/>
    <w:rsid w:val="0085581B"/>
    <w:rsid w:val="00855CAB"/>
    <w:rsid w:val="00856746"/>
    <w:rsid w:val="00856B5B"/>
    <w:rsid w:val="00856E96"/>
    <w:rsid w:val="0085739B"/>
    <w:rsid w:val="008573F9"/>
    <w:rsid w:val="008577C7"/>
    <w:rsid w:val="008579A9"/>
    <w:rsid w:val="00857FEF"/>
    <w:rsid w:val="008604D9"/>
    <w:rsid w:val="008606C9"/>
    <w:rsid w:val="00861BB2"/>
    <w:rsid w:val="00862469"/>
    <w:rsid w:val="00862D03"/>
    <w:rsid w:val="00862D13"/>
    <w:rsid w:val="008635AD"/>
    <w:rsid w:val="00863E0A"/>
    <w:rsid w:val="00864286"/>
    <w:rsid w:val="0086474E"/>
    <w:rsid w:val="008648B7"/>
    <w:rsid w:val="00864D8F"/>
    <w:rsid w:val="0086515D"/>
    <w:rsid w:val="008652B4"/>
    <w:rsid w:val="0086532C"/>
    <w:rsid w:val="008654AD"/>
    <w:rsid w:val="0086590D"/>
    <w:rsid w:val="008668DE"/>
    <w:rsid w:val="00866D16"/>
    <w:rsid w:val="00866EA8"/>
    <w:rsid w:val="00866FAE"/>
    <w:rsid w:val="008673D5"/>
    <w:rsid w:val="00867917"/>
    <w:rsid w:val="00867A54"/>
    <w:rsid w:val="00867CFA"/>
    <w:rsid w:val="008706B1"/>
    <w:rsid w:val="0087098D"/>
    <w:rsid w:val="00870A86"/>
    <w:rsid w:val="00870C9A"/>
    <w:rsid w:val="00871407"/>
    <w:rsid w:val="00871936"/>
    <w:rsid w:val="00871B3C"/>
    <w:rsid w:val="00871B3F"/>
    <w:rsid w:val="00872763"/>
    <w:rsid w:val="00872857"/>
    <w:rsid w:val="0087285C"/>
    <w:rsid w:val="00872C0F"/>
    <w:rsid w:val="00873095"/>
    <w:rsid w:val="00873879"/>
    <w:rsid w:val="00873DC9"/>
    <w:rsid w:val="00873E6D"/>
    <w:rsid w:val="00874153"/>
    <w:rsid w:val="008748E5"/>
    <w:rsid w:val="00875295"/>
    <w:rsid w:val="00875FF7"/>
    <w:rsid w:val="00876285"/>
    <w:rsid w:val="008762A6"/>
    <w:rsid w:val="00876515"/>
    <w:rsid w:val="0087685C"/>
    <w:rsid w:val="00876C49"/>
    <w:rsid w:val="00877916"/>
    <w:rsid w:val="00877AAA"/>
    <w:rsid w:val="00877FAB"/>
    <w:rsid w:val="008807F5"/>
    <w:rsid w:val="00880EAF"/>
    <w:rsid w:val="0088143E"/>
    <w:rsid w:val="0088158E"/>
    <w:rsid w:val="008817AB"/>
    <w:rsid w:val="00881E73"/>
    <w:rsid w:val="00882085"/>
    <w:rsid w:val="008821E5"/>
    <w:rsid w:val="008823C7"/>
    <w:rsid w:val="008823EF"/>
    <w:rsid w:val="00882FC4"/>
    <w:rsid w:val="00883530"/>
    <w:rsid w:val="008835E7"/>
    <w:rsid w:val="00883D0B"/>
    <w:rsid w:val="00883DC3"/>
    <w:rsid w:val="00883E28"/>
    <w:rsid w:val="00884104"/>
    <w:rsid w:val="00884319"/>
    <w:rsid w:val="008843E3"/>
    <w:rsid w:val="008843E5"/>
    <w:rsid w:val="008844C2"/>
    <w:rsid w:val="0088455C"/>
    <w:rsid w:val="00884720"/>
    <w:rsid w:val="00884992"/>
    <w:rsid w:val="00885B64"/>
    <w:rsid w:val="0088678C"/>
    <w:rsid w:val="008868D9"/>
    <w:rsid w:val="008869ED"/>
    <w:rsid w:val="00886DB9"/>
    <w:rsid w:val="00886E14"/>
    <w:rsid w:val="0088707F"/>
    <w:rsid w:val="008905BF"/>
    <w:rsid w:val="0089133A"/>
    <w:rsid w:val="00891488"/>
    <w:rsid w:val="0089161C"/>
    <w:rsid w:val="008918D0"/>
    <w:rsid w:val="00891F0F"/>
    <w:rsid w:val="008921CA"/>
    <w:rsid w:val="0089232E"/>
    <w:rsid w:val="0089248B"/>
    <w:rsid w:val="0089259A"/>
    <w:rsid w:val="00892964"/>
    <w:rsid w:val="00893043"/>
    <w:rsid w:val="008933CB"/>
    <w:rsid w:val="00893912"/>
    <w:rsid w:val="00893A62"/>
    <w:rsid w:val="00893B73"/>
    <w:rsid w:val="0089486C"/>
    <w:rsid w:val="00894D9E"/>
    <w:rsid w:val="00894F61"/>
    <w:rsid w:val="008951DD"/>
    <w:rsid w:val="008953AF"/>
    <w:rsid w:val="00895AA8"/>
    <w:rsid w:val="0089640B"/>
    <w:rsid w:val="0089671F"/>
    <w:rsid w:val="0089733D"/>
    <w:rsid w:val="00897736"/>
    <w:rsid w:val="008979CF"/>
    <w:rsid w:val="00897E45"/>
    <w:rsid w:val="00897F90"/>
    <w:rsid w:val="008A031A"/>
    <w:rsid w:val="008A0357"/>
    <w:rsid w:val="008A0552"/>
    <w:rsid w:val="008A0657"/>
    <w:rsid w:val="008A094E"/>
    <w:rsid w:val="008A124D"/>
    <w:rsid w:val="008A127F"/>
    <w:rsid w:val="008A1D4A"/>
    <w:rsid w:val="008A244F"/>
    <w:rsid w:val="008A28C2"/>
    <w:rsid w:val="008A2917"/>
    <w:rsid w:val="008A30FB"/>
    <w:rsid w:val="008A38CE"/>
    <w:rsid w:val="008A3A85"/>
    <w:rsid w:val="008A3C9F"/>
    <w:rsid w:val="008A401C"/>
    <w:rsid w:val="008A41D1"/>
    <w:rsid w:val="008A43BC"/>
    <w:rsid w:val="008A4534"/>
    <w:rsid w:val="008A458D"/>
    <w:rsid w:val="008A45FF"/>
    <w:rsid w:val="008A4CC8"/>
    <w:rsid w:val="008A4CFE"/>
    <w:rsid w:val="008A4DDF"/>
    <w:rsid w:val="008A56FD"/>
    <w:rsid w:val="008A579B"/>
    <w:rsid w:val="008A5E04"/>
    <w:rsid w:val="008A63A2"/>
    <w:rsid w:val="008A6D83"/>
    <w:rsid w:val="008A6F9B"/>
    <w:rsid w:val="008A7189"/>
    <w:rsid w:val="008A7382"/>
    <w:rsid w:val="008A7730"/>
    <w:rsid w:val="008A7F10"/>
    <w:rsid w:val="008B0212"/>
    <w:rsid w:val="008B0698"/>
    <w:rsid w:val="008B08DA"/>
    <w:rsid w:val="008B0A23"/>
    <w:rsid w:val="008B11F0"/>
    <w:rsid w:val="008B169D"/>
    <w:rsid w:val="008B1713"/>
    <w:rsid w:val="008B1AEA"/>
    <w:rsid w:val="008B1E2F"/>
    <w:rsid w:val="008B1FB1"/>
    <w:rsid w:val="008B2AA8"/>
    <w:rsid w:val="008B3417"/>
    <w:rsid w:val="008B3E96"/>
    <w:rsid w:val="008B3EF4"/>
    <w:rsid w:val="008B4283"/>
    <w:rsid w:val="008B4D29"/>
    <w:rsid w:val="008B4E6B"/>
    <w:rsid w:val="008B5435"/>
    <w:rsid w:val="008B54D6"/>
    <w:rsid w:val="008B5525"/>
    <w:rsid w:val="008B55B1"/>
    <w:rsid w:val="008B58B7"/>
    <w:rsid w:val="008B592E"/>
    <w:rsid w:val="008B5BA6"/>
    <w:rsid w:val="008B5E43"/>
    <w:rsid w:val="008B5FDC"/>
    <w:rsid w:val="008B686D"/>
    <w:rsid w:val="008B6FE2"/>
    <w:rsid w:val="008B70D4"/>
    <w:rsid w:val="008B70DB"/>
    <w:rsid w:val="008B70E9"/>
    <w:rsid w:val="008B7166"/>
    <w:rsid w:val="008B75B5"/>
    <w:rsid w:val="008B76FF"/>
    <w:rsid w:val="008B7BA0"/>
    <w:rsid w:val="008B7F24"/>
    <w:rsid w:val="008C06FE"/>
    <w:rsid w:val="008C073B"/>
    <w:rsid w:val="008C078C"/>
    <w:rsid w:val="008C091C"/>
    <w:rsid w:val="008C0EF5"/>
    <w:rsid w:val="008C0F9A"/>
    <w:rsid w:val="008C108D"/>
    <w:rsid w:val="008C1696"/>
    <w:rsid w:val="008C1943"/>
    <w:rsid w:val="008C1E74"/>
    <w:rsid w:val="008C295A"/>
    <w:rsid w:val="008C2963"/>
    <w:rsid w:val="008C2A58"/>
    <w:rsid w:val="008C2C3F"/>
    <w:rsid w:val="008C2F4C"/>
    <w:rsid w:val="008C3099"/>
    <w:rsid w:val="008C32D7"/>
    <w:rsid w:val="008C3341"/>
    <w:rsid w:val="008C3759"/>
    <w:rsid w:val="008C3AC3"/>
    <w:rsid w:val="008C3BEA"/>
    <w:rsid w:val="008C3C99"/>
    <w:rsid w:val="008C448C"/>
    <w:rsid w:val="008C4646"/>
    <w:rsid w:val="008C4667"/>
    <w:rsid w:val="008C4B3C"/>
    <w:rsid w:val="008C4DB0"/>
    <w:rsid w:val="008C4F14"/>
    <w:rsid w:val="008C501E"/>
    <w:rsid w:val="008C5B06"/>
    <w:rsid w:val="008C5C79"/>
    <w:rsid w:val="008C5DD2"/>
    <w:rsid w:val="008C5DE5"/>
    <w:rsid w:val="008C5F34"/>
    <w:rsid w:val="008C65A8"/>
    <w:rsid w:val="008C65D6"/>
    <w:rsid w:val="008C6B43"/>
    <w:rsid w:val="008C7681"/>
    <w:rsid w:val="008C7695"/>
    <w:rsid w:val="008C77D5"/>
    <w:rsid w:val="008C7B4C"/>
    <w:rsid w:val="008D04CE"/>
    <w:rsid w:val="008D054C"/>
    <w:rsid w:val="008D06DB"/>
    <w:rsid w:val="008D08DA"/>
    <w:rsid w:val="008D0931"/>
    <w:rsid w:val="008D0F30"/>
    <w:rsid w:val="008D1968"/>
    <w:rsid w:val="008D19A4"/>
    <w:rsid w:val="008D211C"/>
    <w:rsid w:val="008D2757"/>
    <w:rsid w:val="008D2A09"/>
    <w:rsid w:val="008D377E"/>
    <w:rsid w:val="008D3C9E"/>
    <w:rsid w:val="008D3DE1"/>
    <w:rsid w:val="008D4347"/>
    <w:rsid w:val="008D4489"/>
    <w:rsid w:val="008D4831"/>
    <w:rsid w:val="008D4944"/>
    <w:rsid w:val="008D51B7"/>
    <w:rsid w:val="008D5649"/>
    <w:rsid w:val="008D57ED"/>
    <w:rsid w:val="008D665E"/>
    <w:rsid w:val="008D6712"/>
    <w:rsid w:val="008D6A9E"/>
    <w:rsid w:val="008D6AE5"/>
    <w:rsid w:val="008D7E48"/>
    <w:rsid w:val="008E0816"/>
    <w:rsid w:val="008E0B7F"/>
    <w:rsid w:val="008E0E5A"/>
    <w:rsid w:val="008E0F68"/>
    <w:rsid w:val="008E11BD"/>
    <w:rsid w:val="008E1684"/>
    <w:rsid w:val="008E228D"/>
    <w:rsid w:val="008E238A"/>
    <w:rsid w:val="008E277F"/>
    <w:rsid w:val="008E28CB"/>
    <w:rsid w:val="008E29E1"/>
    <w:rsid w:val="008E2F5D"/>
    <w:rsid w:val="008E399A"/>
    <w:rsid w:val="008E3A0E"/>
    <w:rsid w:val="008E3D15"/>
    <w:rsid w:val="008E4054"/>
    <w:rsid w:val="008E4070"/>
    <w:rsid w:val="008E45C0"/>
    <w:rsid w:val="008E4BA1"/>
    <w:rsid w:val="008E4F0C"/>
    <w:rsid w:val="008E5083"/>
    <w:rsid w:val="008E50CF"/>
    <w:rsid w:val="008E5215"/>
    <w:rsid w:val="008E55DD"/>
    <w:rsid w:val="008E5B97"/>
    <w:rsid w:val="008E5BA5"/>
    <w:rsid w:val="008E5F0C"/>
    <w:rsid w:val="008E60A4"/>
    <w:rsid w:val="008E66D3"/>
    <w:rsid w:val="008E6A4B"/>
    <w:rsid w:val="008E70AA"/>
    <w:rsid w:val="008E71DB"/>
    <w:rsid w:val="008E7B16"/>
    <w:rsid w:val="008E7B5C"/>
    <w:rsid w:val="008E7BC0"/>
    <w:rsid w:val="008E7C32"/>
    <w:rsid w:val="008F0249"/>
    <w:rsid w:val="008F05FB"/>
    <w:rsid w:val="008F0F1D"/>
    <w:rsid w:val="008F1532"/>
    <w:rsid w:val="008F16FA"/>
    <w:rsid w:val="008F1E22"/>
    <w:rsid w:val="008F2120"/>
    <w:rsid w:val="008F225C"/>
    <w:rsid w:val="008F23FD"/>
    <w:rsid w:val="008F2674"/>
    <w:rsid w:val="008F267D"/>
    <w:rsid w:val="008F323B"/>
    <w:rsid w:val="008F33C0"/>
    <w:rsid w:val="008F34D7"/>
    <w:rsid w:val="008F39F5"/>
    <w:rsid w:val="008F3A1B"/>
    <w:rsid w:val="008F4053"/>
    <w:rsid w:val="008F42A7"/>
    <w:rsid w:val="008F456B"/>
    <w:rsid w:val="008F4E7C"/>
    <w:rsid w:val="008F4F2F"/>
    <w:rsid w:val="008F51BC"/>
    <w:rsid w:val="008F5332"/>
    <w:rsid w:val="008F5B30"/>
    <w:rsid w:val="008F5D36"/>
    <w:rsid w:val="008F6249"/>
    <w:rsid w:val="008F65DE"/>
    <w:rsid w:val="008F66E9"/>
    <w:rsid w:val="008F6D6A"/>
    <w:rsid w:val="008F70D9"/>
    <w:rsid w:val="008F7586"/>
    <w:rsid w:val="008F7C05"/>
    <w:rsid w:val="008F7E08"/>
    <w:rsid w:val="009001B2"/>
    <w:rsid w:val="009002D2"/>
    <w:rsid w:val="00900A4B"/>
    <w:rsid w:val="009010D6"/>
    <w:rsid w:val="00901873"/>
    <w:rsid w:val="00901F04"/>
    <w:rsid w:val="00901F3E"/>
    <w:rsid w:val="009021E1"/>
    <w:rsid w:val="00902398"/>
    <w:rsid w:val="009023B0"/>
    <w:rsid w:val="00902632"/>
    <w:rsid w:val="00902655"/>
    <w:rsid w:val="0090272C"/>
    <w:rsid w:val="00903271"/>
    <w:rsid w:val="009033FB"/>
    <w:rsid w:val="00903724"/>
    <w:rsid w:val="00903CC8"/>
    <w:rsid w:val="00903ECB"/>
    <w:rsid w:val="0090427E"/>
    <w:rsid w:val="00904788"/>
    <w:rsid w:val="009048C4"/>
    <w:rsid w:val="00904A12"/>
    <w:rsid w:val="00904AB7"/>
    <w:rsid w:val="00904BA7"/>
    <w:rsid w:val="00904F00"/>
    <w:rsid w:val="00904F47"/>
    <w:rsid w:val="00904F68"/>
    <w:rsid w:val="00905598"/>
    <w:rsid w:val="0090585F"/>
    <w:rsid w:val="00905A40"/>
    <w:rsid w:val="009063B5"/>
    <w:rsid w:val="009065A5"/>
    <w:rsid w:val="009065E1"/>
    <w:rsid w:val="00906EF9"/>
    <w:rsid w:val="009073EE"/>
    <w:rsid w:val="0090743F"/>
    <w:rsid w:val="009076F3"/>
    <w:rsid w:val="009077A6"/>
    <w:rsid w:val="009079EA"/>
    <w:rsid w:val="00907E6E"/>
    <w:rsid w:val="00907F80"/>
    <w:rsid w:val="00907F84"/>
    <w:rsid w:val="00907FC1"/>
    <w:rsid w:val="0091009E"/>
    <w:rsid w:val="009104D1"/>
    <w:rsid w:val="009107AB"/>
    <w:rsid w:val="00910892"/>
    <w:rsid w:val="00910CBA"/>
    <w:rsid w:val="00910D76"/>
    <w:rsid w:val="009110F6"/>
    <w:rsid w:val="00911302"/>
    <w:rsid w:val="009116D6"/>
    <w:rsid w:val="00912068"/>
    <w:rsid w:val="00912393"/>
    <w:rsid w:val="00912660"/>
    <w:rsid w:val="00912885"/>
    <w:rsid w:val="00913505"/>
    <w:rsid w:val="00913E98"/>
    <w:rsid w:val="00914093"/>
    <w:rsid w:val="00914394"/>
    <w:rsid w:val="009146D2"/>
    <w:rsid w:val="009147DB"/>
    <w:rsid w:val="00914A36"/>
    <w:rsid w:val="00914D48"/>
    <w:rsid w:val="00914EBC"/>
    <w:rsid w:val="0091598A"/>
    <w:rsid w:val="00915D1A"/>
    <w:rsid w:val="0091684F"/>
    <w:rsid w:val="00916942"/>
    <w:rsid w:val="0091760E"/>
    <w:rsid w:val="00917A80"/>
    <w:rsid w:val="00917D47"/>
    <w:rsid w:val="00917DA4"/>
    <w:rsid w:val="0092002A"/>
    <w:rsid w:val="009201B4"/>
    <w:rsid w:val="0092048C"/>
    <w:rsid w:val="00920784"/>
    <w:rsid w:val="00920BE5"/>
    <w:rsid w:val="00921383"/>
    <w:rsid w:val="009215AE"/>
    <w:rsid w:val="009215BD"/>
    <w:rsid w:val="009217AE"/>
    <w:rsid w:val="0092215E"/>
    <w:rsid w:val="009221DA"/>
    <w:rsid w:val="009222ED"/>
    <w:rsid w:val="00922521"/>
    <w:rsid w:val="00922648"/>
    <w:rsid w:val="0092270A"/>
    <w:rsid w:val="00922C34"/>
    <w:rsid w:val="00922D15"/>
    <w:rsid w:val="00922D52"/>
    <w:rsid w:val="00922F36"/>
    <w:rsid w:val="0092424E"/>
    <w:rsid w:val="009242E4"/>
    <w:rsid w:val="009249C7"/>
    <w:rsid w:val="00924CB5"/>
    <w:rsid w:val="0092500E"/>
    <w:rsid w:val="0092534B"/>
    <w:rsid w:val="0092589B"/>
    <w:rsid w:val="009259A3"/>
    <w:rsid w:val="009264B3"/>
    <w:rsid w:val="009264E1"/>
    <w:rsid w:val="009266B5"/>
    <w:rsid w:val="00926B9D"/>
    <w:rsid w:val="009271C3"/>
    <w:rsid w:val="0092747D"/>
    <w:rsid w:val="0092757B"/>
    <w:rsid w:val="00927617"/>
    <w:rsid w:val="00927DB7"/>
    <w:rsid w:val="00930115"/>
    <w:rsid w:val="0093036A"/>
    <w:rsid w:val="009304A3"/>
    <w:rsid w:val="009305C4"/>
    <w:rsid w:val="0093081A"/>
    <w:rsid w:val="00930971"/>
    <w:rsid w:val="00930AC7"/>
    <w:rsid w:val="00930FFF"/>
    <w:rsid w:val="009311DD"/>
    <w:rsid w:val="00931689"/>
    <w:rsid w:val="009317E3"/>
    <w:rsid w:val="00931B15"/>
    <w:rsid w:val="00931E70"/>
    <w:rsid w:val="00931F11"/>
    <w:rsid w:val="009324E1"/>
    <w:rsid w:val="009325FC"/>
    <w:rsid w:val="00932B67"/>
    <w:rsid w:val="00932BA6"/>
    <w:rsid w:val="00933860"/>
    <w:rsid w:val="00933EBA"/>
    <w:rsid w:val="0093400A"/>
    <w:rsid w:val="00934A02"/>
    <w:rsid w:val="00934B4D"/>
    <w:rsid w:val="00934C1D"/>
    <w:rsid w:val="0093505D"/>
    <w:rsid w:val="00936156"/>
    <w:rsid w:val="009367D4"/>
    <w:rsid w:val="009367F0"/>
    <w:rsid w:val="00936B9B"/>
    <w:rsid w:val="00936BB2"/>
    <w:rsid w:val="0093741C"/>
    <w:rsid w:val="00937A50"/>
    <w:rsid w:val="00940176"/>
    <w:rsid w:val="0094022D"/>
    <w:rsid w:val="009410DD"/>
    <w:rsid w:val="009411AD"/>
    <w:rsid w:val="009419B3"/>
    <w:rsid w:val="00941E0E"/>
    <w:rsid w:val="00942056"/>
    <w:rsid w:val="00942807"/>
    <w:rsid w:val="00942C34"/>
    <w:rsid w:val="00943459"/>
    <w:rsid w:val="009443AE"/>
    <w:rsid w:val="009443E5"/>
    <w:rsid w:val="009444C6"/>
    <w:rsid w:val="00945271"/>
    <w:rsid w:val="00945588"/>
    <w:rsid w:val="0094610F"/>
    <w:rsid w:val="0094614E"/>
    <w:rsid w:val="00946231"/>
    <w:rsid w:val="00946238"/>
    <w:rsid w:val="009462ED"/>
    <w:rsid w:val="0094651A"/>
    <w:rsid w:val="009468B2"/>
    <w:rsid w:val="009468C2"/>
    <w:rsid w:val="00947498"/>
    <w:rsid w:val="00947A56"/>
    <w:rsid w:val="00947C61"/>
    <w:rsid w:val="00947F2E"/>
    <w:rsid w:val="00950108"/>
    <w:rsid w:val="00950124"/>
    <w:rsid w:val="0095081E"/>
    <w:rsid w:val="00950AFD"/>
    <w:rsid w:val="00950CDC"/>
    <w:rsid w:val="00950E05"/>
    <w:rsid w:val="00950EC7"/>
    <w:rsid w:val="00950ED2"/>
    <w:rsid w:val="00950F3E"/>
    <w:rsid w:val="0095103C"/>
    <w:rsid w:val="009512B8"/>
    <w:rsid w:val="0095176F"/>
    <w:rsid w:val="00951790"/>
    <w:rsid w:val="00951D03"/>
    <w:rsid w:val="00952083"/>
    <w:rsid w:val="00952273"/>
    <w:rsid w:val="009523E8"/>
    <w:rsid w:val="00952541"/>
    <w:rsid w:val="00953234"/>
    <w:rsid w:val="00953356"/>
    <w:rsid w:val="00953F7D"/>
    <w:rsid w:val="00955225"/>
    <w:rsid w:val="00955EE8"/>
    <w:rsid w:val="00955F99"/>
    <w:rsid w:val="0095648E"/>
    <w:rsid w:val="009564DB"/>
    <w:rsid w:val="00956513"/>
    <w:rsid w:val="0095660A"/>
    <w:rsid w:val="00956941"/>
    <w:rsid w:val="00956B59"/>
    <w:rsid w:val="009573AE"/>
    <w:rsid w:val="0096025E"/>
    <w:rsid w:val="009603C4"/>
    <w:rsid w:val="00960486"/>
    <w:rsid w:val="0096083F"/>
    <w:rsid w:val="0096097E"/>
    <w:rsid w:val="00960DF4"/>
    <w:rsid w:val="009612CA"/>
    <w:rsid w:val="009613A3"/>
    <w:rsid w:val="009613B7"/>
    <w:rsid w:val="00961D3B"/>
    <w:rsid w:val="00961E65"/>
    <w:rsid w:val="009621E2"/>
    <w:rsid w:val="0096225D"/>
    <w:rsid w:val="009623FA"/>
    <w:rsid w:val="009624F7"/>
    <w:rsid w:val="00962877"/>
    <w:rsid w:val="009629FB"/>
    <w:rsid w:val="00962BDF"/>
    <w:rsid w:val="00962EB2"/>
    <w:rsid w:val="00962F23"/>
    <w:rsid w:val="00963549"/>
    <w:rsid w:val="009635D7"/>
    <w:rsid w:val="00963712"/>
    <w:rsid w:val="00963848"/>
    <w:rsid w:val="00963A95"/>
    <w:rsid w:val="00963BA4"/>
    <w:rsid w:val="00963CF7"/>
    <w:rsid w:val="00964280"/>
    <w:rsid w:val="00964BCB"/>
    <w:rsid w:val="00964BE9"/>
    <w:rsid w:val="00964BEB"/>
    <w:rsid w:val="0096511E"/>
    <w:rsid w:val="00965404"/>
    <w:rsid w:val="00965C8A"/>
    <w:rsid w:val="00965FDD"/>
    <w:rsid w:val="00966035"/>
    <w:rsid w:val="00966767"/>
    <w:rsid w:val="00966A03"/>
    <w:rsid w:val="00966BC0"/>
    <w:rsid w:val="0096732F"/>
    <w:rsid w:val="00967423"/>
    <w:rsid w:val="00967995"/>
    <w:rsid w:val="00967FD7"/>
    <w:rsid w:val="00970143"/>
    <w:rsid w:val="0097049F"/>
    <w:rsid w:val="00970CC1"/>
    <w:rsid w:val="00971245"/>
    <w:rsid w:val="00971400"/>
    <w:rsid w:val="0097195C"/>
    <w:rsid w:val="00972817"/>
    <w:rsid w:val="00973321"/>
    <w:rsid w:val="00973CA6"/>
    <w:rsid w:val="00973F19"/>
    <w:rsid w:val="00973FE1"/>
    <w:rsid w:val="00974267"/>
    <w:rsid w:val="0097463C"/>
    <w:rsid w:val="00974955"/>
    <w:rsid w:val="00974DEA"/>
    <w:rsid w:val="00974EE1"/>
    <w:rsid w:val="00975B01"/>
    <w:rsid w:val="00976086"/>
    <w:rsid w:val="00976453"/>
    <w:rsid w:val="00976858"/>
    <w:rsid w:val="00976965"/>
    <w:rsid w:val="00976D25"/>
    <w:rsid w:val="00976D77"/>
    <w:rsid w:val="00976EC2"/>
    <w:rsid w:val="00976F5D"/>
    <w:rsid w:val="009772E8"/>
    <w:rsid w:val="009773DB"/>
    <w:rsid w:val="0097743B"/>
    <w:rsid w:val="009774E8"/>
    <w:rsid w:val="00977537"/>
    <w:rsid w:val="00977572"/>
    <w:rsid w:val="00977638"/>
    <w:rsid w:val="00977991"/>
    <w:rsid w:val="00977B52"/>
    <w:rsid w:val="00977BBC"/>
    <w:rsid w:val="00977C12"/>
    <w:rsid w:val="00977F5A"/>
    <w:rsid w:val="009806AB"/>
    <w:rsid w:val="00980D8A"/>
    <w:rsid w:val="00981450"/>
    <w:rsid w:val="009815A2"/>
    <w:rsid w:val="00981B49"/>
    <w:rsid w:val="00982151"/>
    <w:rsid w:val="00982996"/>
    <w:rsid w:val="00982DFE"/>
    <w:rsid w:val="00982ECF"/>
    <w:rsid w:val="0098368F"/>
    <w:rsid w:val="009836CE"/>
    <w:rsid w:val="009839F4"/>
    <w:rsid w:val="00983B43"/>
    <w:rsid w:val="00983C7B"/>
    <w:rsid w:val="00983F4B"/>
    <w:rsid w:val="00983F70"/>
    <w:rsid w:val="0098422C"/>
    <w:rsid w:val="00984531"/>
    <w:rsid w:val="00984536"/>
    <w:rsid w:val="00984DC2"/>
    <w:rsid w:val="00984E7E"/>
    <w:rsid w:val="009850D8"/>
    <w:rsid w:val="009852D3"/>
    <w:rsid w:val="00985559"/>
    <w:rsid w:val="00985F15"/>
    <w:rsid w:val="009860F3"/>
    <w:rsid w:val="0098654E"/>
    <w:rsid w:val="00986A96"/>
    <w:rsid w:val="00986E56"/>
    <w:rsid w:val="00986ED8"/>
    <w:rsid w:val="00987135"/>
    <w:rsid w:val="00987261"/>
    <w:rsid w:val="0098783D"/>
    <w:rsid w:val="00987E46"/>
    <w:rsid w:val="00987FD0"/>
    <w:rsid w:val="0099089B"/>
    <w:rsid w:val="00990A05"/>
    <w:rsid w:val="00990FCF"/>
    <w:rsid w:val="0099168F"/>
    <w:rsid w:val="009916A9"/>
    <w:rsid w:val="00991C01"/>
    <w:rsid w:val="00992552"/>
    <w:rsid w:val="00992DC1"/>
    <w:rsid w:val="009934D8"/>
    <w:rsid w:val="00993538"/>
    <w:rsid w:val="00993730"/>
    <w:rsid w:val="009937C5"/>
    <w:rsid w:val="0099388F"/>
    <w:rsid w:val="00993A10"/>
    <w:rsid w:val="00993B66"/>
    <w:rsid w:val="009943A5"/>
    <w:rsid w:val="009945A1"/>
    <w:rsid w:val="009946E1"/>
    <w:rsid w:val="009947C6"/>
    <w:rsid w:val="00995722"/>
    <w:rsid w:val="00995927"/>
    <w:rsid w:val="00995EB0"/>
    <w:rsid w:val="009964FC"/>
    <w:rsid w:val="009969E8"/>
    <w:rsid w:val="00996CEE"/>
    <w:rsid w:val="00997177"/>
    <w:rsid w:val="00997CE5"/>
    <w:rsid w:val="009A0509"/>
    <w:rsid w:val="009A097D"/>
    <w:rsid w:val="009A0A4C"/>
    <w:rsid w:val="009A0DED"/>
    <w:rsid w:val="009A0F84"/>
    <w:rsid w:val="009A17F2"/>
    <w:rsid w:val="009A1A61"/>
    <w:rsid w:val="009A1FE2"/>
    <w:rsid w:val="009A23AA"/>
    <w:rsid w:val="009A258F"/>
    <w:rsid w:val="009A2729"/>
    <w:rsid w:val="009A3198"/>
    <w:rsid w:val="009A35FB"/>
    <w:rsid w:val="009A3D4A"/>
    <w:rsid w:val="009A41FE"/>
    <w:rsid w:val="009A451C"/>
    <w:rsid w:val="009A47C3"/>
    <w:rsid w:val="009A4BBB"/>
    <w:rsid w:val="009A4FFB"/>
    <w:rsid w:val="009A562E"/>
    <w:rsid w:val="009A6002"/>
    <w:rsid w:val="009A60DB"/>
    <w:rsid w:val="009A6151"/>
    <w:rsid w:val="009A66D1"/>
    <w:rsid w:val="009A69B8"/>
    <w:rsid w:val="009A6DFC"/>
    <w:rsid w:val="009A6F90"/>
    <w:rsid w:val="009A74E8"/>
    <w:rsid w:val="009A7614"/>
    <w:rsid w:val="009B00F7"/>
    <w:rsid w:val="009B01EB"/>
    <w:rsid w:val="009B06A9"/>
    <w:rsid w:val="009B0D37"/>
    <w:rsid w:val="009B0DA2"/>
    <w:rsid w:val="009B11D5"/>
    <w:rsid w:val="009B199C"/>
    <w:rsid w:val="009B1ACE"/>
    <w:rsid w:val="009B1EF8"/>
    <w:rsid w:val="009B2196"/>
    <w:rsid w:val="009B25D3"/>
    <w:rsid w:val="009B2686"/>
    <w:rsid w:val="009B2A08"/>
    <w:rsid w:val="009B2B8B"/>
    <w:rsid w:val="009B2C64"/>
    <w:rsid w:val="009B3157"/>
    <w:rsid w:val="009B31CC"/>
    <w:rsid w:val="009B33CC"/>
    <w:rsid w:val="009B377C"/>
    <w:rsid w:val="009B3B4A"/>
    <w:rsid w:val="009B3D66"/>
    <w:rsid w:val="009B4046"/>
    <w:rsid w:val="009B4387"/>
    <w:rsid w:val="009B43E3"/>
    <w:rsid w:val="009B489E"/>
    <w:rsid w:val="009B4AEB"/>
    <w:rsid w:val="009B4BF6"/>
    <w:rsid w:val="009B4D8B"/>
    <w:rsid w:val="009B57EF"/>
    <w:rsid w:val="009B58FC"/>
    <w:rsid w:val="009B5921"/>
    <w:rsid w:val="009B5A27"/>
    <w:rsid w:val="009B5F4A"/>
    <w:rsid w:val="009B6049"/>
    <w:rsid w:val="009B63E4"/>
    <w:rsid w:val="009B66EF"/>
    <w:rsid w:val="009B6907"/>
    <w:rsid w:val="009B71E5"/>
    <w:rsid w:val="009B7386"/>
    <w:rsid w:val="009B74C2"/>
    <w:rsid w:val="009B7524"/>
    <w:rsid w:val="009B76D1"/>
    <w:rsid w:val="009B785E"/>
    <w:rsid w:val="009B7B4D"/>
    <w:rsid w:val="009C03D2"/>
    <w:rsid w:val="009C05BD"/>
    <w:rsid w:val="009C07FD"/>
    <w:rsid w:val="009C0923"/>
    <w:rsid w:val="009C155A"/>
    <w:rsid w:val="009C18E9"/>
    <w:rsid w:val="009C19CC"/>
    <w:rsid w:val="009C1B32"/>
    <w:rsid w:val="009C1C99"/>
    <w:rsid w:val="009C1CC6"/>
    <w:rsid w:val="009C1FC3"/>
    <w:rsid w:val="009C27F1"/>
    <w:rsid w:val="009C2A27"/>
    <w:rsid w:val="009C2B9F"/>
    <w:rsid w:val="009C2E00"/>
    <w:rsid w:val="009C2E69"/>
    <w:rsid w:val="009C317F"/>
    <w:rsid w:val="009C3562"/>
    <w:rsid w:val="009C4532"/>
    <w:rsid w:val="009C45DB"/>
    <w:rsid w:val="009C4AF2"/>
    <w:rsid w:val="009C4BA9"/>
    <w:rsid w:val="009C5627"/>
    <w:rsid w:val="009C567E"/>
    <w:rsid w:val="009C58BA"/>
    <w:rsid w:val="009C59B2"/>
    <w:rsid w:val="009C5B00"/>
    <w:rsid w:val="009C5F0F"/>
    <w:rsid w:val="009C67D0"/>
    <w:rsid w:val="009C692F"/>
    <w:rsid w:val="009C6EFC"/>
    <w:rsid w:val="009C7222"/>
    <w:rsid w:val="009D025B"/>
    <w:rsid w:val="009D08D8"/>
    <w:rsid w:val="009D0D7C"/>
    <w:rsid w:val="009D11D3"/>
    <w:rsid w:val="009D1630"/>
    <w:rsid w:val="009D1712"/>
    <w:rsid w:val="009D21A5"/>
    <w:rsid w:val="009D271F"/>
    <w:rsid w:val="009D2B14"/>
    <w:rsid w:val="009D2ECF"/>
    <w:rsid w:val="009D2F91"/>
    <w:rsid w:val="009D2FED"/>
    <w:rsid w:val="009D321C"/>
    <w:rsid w:val="009D332E"/>
    <w:rsid w:val="009D34FB"/>
    <w:rsid w:val="009D3E3D"/>
    <w:rsid w:val="009D3EF5"/>
    <w:rsid w:val="009D41F7"/>
    <w:rsid w:val="009D503B"/>
    <w:rsid w:val="009D5D03"/>
    <w:rsid w:val="009D5E1E"/>
    <w:rsid w:val="009D5F16"/>
    <w:rsid w:val="009D603E"/>
    <w:rsid w:val="009D6071"/>
    <w:rsid w:val="009D6094"/>
    <w:rsid w:val="009D633E"/>
    <w:rsid w:val="009D67DA"/>
    <w:rsid w:val="009D69A7"/>
    <w:rsid w:val="009D6AC1"/>
    <w:rsid w:val="009D6D6B"/>
    <w:rsid w:val="009D6E0C"/>
    <w:rsid w:val="009D7353"/>
    <w:rsid w:val="009D7BC0"/>
    <w:rsid w:val="009D7C38"/>
    <w:rsid w:val="009E0C6F"/>
    <w:rsid w:val="009E11DD"/>
    <w:rsid w:val="009E1903"/>
    <w:rsid w:val="009E259B"/>
    <w:rsid w:val="009E2C5C"/>
    <w:rsid w:val="009E3140"/>
    <w:rsid w:val="009E314A"/>
    <w:rsid w:val="009E32DB"/>
    <w:rsid w:val="009E33EF"/>
    <w:rsid w:val="009E3738"/>
    <w:rsid w:val="009E38B8"/>
    <w:rsid w:val="009E39CC"/>
    <w:rsid w:val="009E3C7F"/>
    <w:rsid w:val="009E3E03"/>
    <w:rsid w:val="009E455A"/>
    <w:rsid w:val="009E4AC3"/>
    <w:rsid w:val="009E5045"/>
    <w:rsid w:val="009E518E"/>
    <w:rsid w:val="009E5775"/>
    <w:rsid w:val="009E580A"/>
    <w:rsid w:val="009E5CEF"/>
    <w:rsid w:val="009E63AE"/>
    <w:rsid w:val="009E64CE"/>
    <w:rsid w:val="009E67CB"/>
    <w:rsid w:val="009E6C6C"/>
    <w:rsid w:val="009E6E60"/>
    <w:rsid w:val="009E776D"/>
    <w:rsid w:val="009E7921"/>
    <w:rsid w:val="009E7B9C"/>
    <w:rsid w:val="009F0232"/>
    <w:rsid w:val="009F02DB"/>
    <w:rsid w:val="009F0FD3"/>
    <w:rsid w:val="009F11FD"/>
    <w:rsid w:val="009F16E5"/>
    <w:rsid w:val="009F197F"/>
    <w:rsid w:val="009F1ADD"/>
    <w:rsid w:val="009F1C02"/>
    <w:rsid w:val="009F1C13"/>
    <w:rsid w:val="009F2093"/>
    <w:rsid w:val="009F247F"/>
    <w:rsid w:val="009F2759"/>
    <w:rsid w:val="009F2C4E"/>
    <w:rsid w:val="009F2F93"/>
    <w:rsid w:val="009F3091"/>
    <w:rsid w:val="009F30DF"/>
    <w:rsid w:val="009F3881"/>
    <w:rsid w:val="009F3F3C"/>
    <w:rsid w:val="009F44DD"/>
    <w:rsid w:val="009F4604"/>
    <w:rsid w:val="009F46AF"/>
    <w:rsid w:val="009F4749"/>
    <w:rsid w:val="009F4B45"/>
    <w:rsid w:val="009F4CF2"/>
    <w:rsid w:val="009F4EB0"/>
    <w:rsid w:val="009F4ED4"/>
    <w:rsid w:val="009F4F96"/>
    <w:rsid w:val="009F5628"/>
    <w:rsid w:val="009F562E"/>
    <w:rsid w:val="009F62B8"/>
    <w:rsid w:val="009F6AE0"/>
    <w:rsid w:val="009F6DA5"/>
    <w:rsid w:val="009F6F56"/>
    <w:rsid w:val="009F6F73"/>
    <w:rsid w:val="009F7441"/>
    <w:rsid w:val="009F7918"/>
    <w:rsid w:val="00A00117"/>
    <w:rsid w:val="00A00489"/>
    <w:rsid w:val="00A007F2"/>
    <w:rsid w:val="00A00E07"/>
    <w:rsid w:val="00A01529"/>
    <w:rsid w:val="00A01B17"/>
    <w:rsid w:val="00A01D66"/>
    <w:rsid w:val="00A02407"/>
    <w:rsid w:val="00A02C5F"/>
    <w:rsid w:val="00A02CE8"/>
    <w:rsid w:val="00A02D79"/>
    <w:rsid w:val="00A0331A"/>
    <w:rsid w:val="00A03BC4"/>
    <w:rsid w:val="00A03C68"/>
    <w:rsid w:val="00A03D49"/>
    <w:rsid w:val="00A03FC3"/>
    <w:rsid w:val="00A04445"/>
    <w:rsid w:val="00A046B7"/>
    <w:rsid w:val="00A04A39"/>
    <w:rsid w:val="00A04CD7"/>
    <w:rsid w:val="00A05129"/>
    <w:rsid w:val="00A0543E"/>
    <w:rsid w:val="00A0581F"/>
    <w:rsid w:val="00A05CB7"/>
    <w:rsid w:val="00A061FD"/>
    <w:rsid w:val="00A06752"/>
    <w:rsid w:val="00A06A6B"/>
    <w:rsid w:val="00A06C5E"/>
    <w:rsid w:val="00A06C7A"/>
    <w:rsid w:val="00A07145"/>
    <w:rsid w:val="00A07A23"/>
    <w:rsid w:val="00A07CFF"/>
    <w:rsid w:val="00A07DE5"/>
    <w:rsid w:val="00A100D1"/>
    <w:rsid w:val="00A10395"/>
    <w:rsid w:val="00A1073E"/>
    <w:rsid w:val="00A10888"/>
    <w:rsid w:val="00A10FB0"/>
    <w:rsid w:val="00A1153F"/>
    <w:rsid w:val="00A11D52"/>
    <w:rsid w:val="00A11D7B"/>
    <w:rsid w:val="00A11F66"/>
    <w:rsid w:val="00A11F84"/>
    <w:rsid w:val="00A12128"/>
    <w:rsid w:val="00A12558"/>
    <w:rsid w:val="00A1275B"/>
    <w:rsid w:val="00A12B69"/>
    <w:rsid w:val="00A14CF5"/>
    <w:rsid w:val="00A14EF1"/>
    <w:rsid w:val="00A1505B"/>
    <w:rsid w:val="00A154C7"/>
    <w:rsid w:val="00A15C33"/>
    <w:rsid w:val="00A15D0D"/>
    <w:rsid w:val="00A15F71"/>
    <w:rsid w:val="00A1654A"/>
    <w:rsid w:val="00A1659C"/>
    <w:rsid w:val="00A16D47"/>
    <w:rsid w:val="00A17951"/>
    <w:rsid w:val="00A17C6B"/>
    <w:rsid w:val="00A202F4"/>
    <w:rsid w:val="00A20CF9"/>
    <w:rsid w:val="00A216CF"/>
    <w:rsid w:val="00A218E2"/>
    <w:rsid w:val="00A21B9C"/>
    <w:rsid w:val="00A21BC0"/>
    <w:rsid w:val="00A21F9D"/>
    <w:rsid w:val="00A22238"/>
    <w:rsid w:val="00A22464"/>
    <w:rsid w:val="00A22664"/>
    <w:rsid w:val="00A226FF"/>
    <w:rsid w:val="00A22AC7"/>
    <w:rsid w:val="00A23203"/>
    <w:rsid w:val="00A2327D"/>
    <w:rsid w:val="00A2346F"/>
    <w:rsid w:val="00A235BE"/>
    <w:rsid w:val="00A2402C"/>
    <w:rsid w:val="00A24704"/>
    <w:rsid w:val="00A2476B"/>
    <w:rsid w:val="00A24C6B"/>
    <w:rsid w:val="00A24E16"/>
    <w:rsid w:val="00A25199"/>
    <w:rsid w:val="00A258E0"/>
    <w:rsid w:val="00A263AF"/>
    <w:rsid w:val="00A2777A"/>
    <w:rsid w:val="00A27DB1"/>
    <w:rsid w:val="00A3049E"/>
    <w:rsid w:val="00A30612"/>
    <w:rsid w:val="00A30872"/>
    <w:rsid w:val="00A30FBF"/>
    <w:rsid w:val="00A31652"/>
    <w:rsid w:val="00A31707"/>
    <w:rsid w:val="00A317C2"/>
    <w:rsid w:val="00A32088"/>
    <w:rsid w:val="00A32121"/>
    <w:rsid w:val="00A3230E"/>
    <w:rsid w:val="00A32801"/>
    <w:rsid w:val="00A32ED5"/>
    <w:rsid w:val="00A32FA7"/>
    <w:rsid w:val="00A33126"/>
    <w:rsid w:val="00A33336"/>
    <w:rsid w:val="00A3334C"/>
    <w:rsid w:val="00A339AF"/>
    <w:rsid w:val="00A341C1"/>
    <w:rsid w:val="00A343E6"/>
    <w:rsid w:val="00A344DB"/>
    <w:rsid w:val="00A3477B"/>
    <w:rsid w:val="00A34859"/>
    <w:rsid w:val="00A34B51"/>
    <w:rsid w:val="00A34F28"/>
    <w:rsid w:val="00A35342"/>
    <w:rsid w:val="00A35775"/>
    <w:rsid w:val="00A358FA"/>
    <w:rsid w:val="00A36588"/>
    <w:rsid w:val="00A3664C"/>
    <w:rsid w:val="00A36708"/>
    <w:rsid w:val="00A36C0D"/>
    <w:rsid w:val="00A36C5D"/>
    <w:rsid w:val="00A37049"/>
    <w:rsid w:val="00A376FF"/>
    <w:rsid w:val="00A37A48"/>
    <w:rsid w:val="00A37B48"/>
    <w:rsid w:val="00A37BBD"/>
    <w:rsid w:val="00A405B9"/>
    <w:rsid w:val="00A405D6"/>
    <w:rsid w:val="00A407D8"/>
    <w:rsid w:val="00A40AF3"/>
    <w:rsid w:val="00A423E1"/>
    <w:rsid w:val="00A42597"/>
    <w:rsid w:val="00A42A8A"/>
    <w:rsid w:val="00A42D49"/>
    <w:rsid w:val="00A42E0F"/>
    <w:rsid w:val="00A42EB7"/>
    <w:rsid w:val="00A4301B"/>
    <w:rsid w:val="00A43351"/>
    <w:rsid w:val="00A436FD"/>
    <w:rsid w:val="00A43B87"/>
    <w:rsid w:val="00A44049"/>
    <w:rsid w:val="00A44113"/>
    <w:rsid w:val="00A442B9"/>
    <w:rsid w:val="00A443BE"/>
    <w:rsid w:val="00A44568"/>
    <w:rsid w:val="00A448A2"/>
    <w:rsid w:val="00A44CD6"/>
    <w:rsid w:val="00A44D85"/>
    <w:rsid w:val="00A44F9D"/>
    <w:rsid w:val="00A452D2"/>
    <w:rsid w:val="00A4554D"/>
    <w:rsid w:val="00A45926"/>
    <w:rsid w:val="00A45BEB"/>
    <w:rsid w:val="00A45C75"/>
    <w:rsid w:val="00A45CB2"/>
    <w:rsid w:val="00A45CF7"/>
    <w:rsid w:val="00A46E41"/>
    <w:rsid w:val="00A46E48"/>
    <w:rsid w:val="00A46F5A"/>
    <w:rsid w:val="00A47411"/>
    <w:rsid w:val="00A4B789"/>
    <w:rsid w:val="00A50281"/>
    <w:rsid w:val="00A50333"/>
    <w:rsid w:val="00A50752"/>
    <w:rsid w:val="00A508E8"/>
    <w:rsid w:val="00A50DC1"/>
    <w:rsid w:val="00A50EEB"/>
    <w:rsid w:val="00A50F52"/>
    <w:rsid w:val="00A50F57"/>
    <w:rsid w:val="00A51157"/>
    <w:rsid w:val="00A5215F"/>
    <w:rsid w:val="00A5217B"/>
    <w:rsid w:val="00A52392"/>
    <w:rsid w:val="00A52796"/>
    <w:rsid w:val="00A52B95"/>
    <w:rsid w:val="00A53462"/>
    <w:rsid w:val="00A53684"/>
    <w:rsid w:val="00A537A0"/>
    <w:rsid w:val="00A53859"/>
    <w:rsid w:val="00A53A38"/>
    <w:rsid w:val="00A53BF4"/>
    <w:rsid w:val="00A54142"/>
    <w:rsid w:val="00A543D8"/>
    <w:rsid w:val="00A54B47"/>
    <w:rsid w:val="00A54EF7"/>
    <w:rsid w:val="00A54F8C"/>
    <w:rsid w:val="00A55097"/>
    <w:rsid w:val="00A55101"/>
    <w:rsid w:val="00A568AB"/>
    <w:rsid w:val="00A5757A"/>
    <w:rsid w:val="00A57D7C"/>
    <w:rsid w:val="00A57F69"/>
    <w:rsid w:val="00A5ACE2"/>
    <w:rsid w:val="00A600D2"/>
    <w:rsid w:val="00A605BD"/>
    <w:rsid w:val="00A60F48"/>
    <w:rsid w:val="00A60FDC"/>
    <w:rsid w:val="00A6104C"/>
    <w:rsid w:val="00A612F7"/>
    <w:rsid w:val="00A61306"/>
    <w:rsid w:val="00A618A9"/>
    <w:rsid w:val="00A618F3"/>
    <w:rsid w:val="00A61C1F"/>
    <w:rsid w:val="00A61EFB"/>
    <w:rsid w:val="00A62103"/>
    <w:rsid w:val="00A62163"/>
    <w:rsid w:val="00A6222E"/>
    <w:rsid w:val="00A6233A"/>
    <w:rsid w:val="00A624E9"/>
    <w:rsid w:val="00A627AC"/>
    <w:rsid w:val="00A62C99"/>
    <w:rsid w:val="00A62D49"/>
    <w:rsid w:val="00A62E80"/>
    <w:rsid w:val="00A62F56"/>
    <w:rsid w:val="00A62FF2"/>
    <w:rsid w:val="00A63578"/>
    <w:rsid w:val="00A635A9"/>
    <w:rsid w:val="00A636B1"/>
    <w:rsid w:val="00A63AE4"/>
    <w:rsid w:val="00A641D5"/>
    <w:rsid w:val="00A6431E"/>
    <w:rsid w:val="00A649D9"/>
    <w:rsid w:val="00A64AC6"/>
    <w:rsid w:val="00A64F69"/>
    <w:rsid w:val="00A65234"/>
    <w:rsid w:val="00A653F8"/>
    <w:rsid w:val="00A6567B"/>
    <w:rsid w:val="00A65908"/>
    <w:rsid w:val="00A65B04"/>
    <w:rsid w:val="00A65D3C"/>
    <w:rsid w:val="00A66083"/>
    <w:rsid w:val="00A6615A"/>
    <w:rsid w:val="00A661BA"/>
    <w:rsid w:val="00A665EE"/>
    <w:rsid w:val="00A6688F"/>
    <w:rsid w:val="00A66AE2"/>
    <w:rsid w:val="00A66BA1"/>
    <w:rsid w:val="00A66E3C"/>
    <w:rsid w:val="00A66E99"/>
    <w:rsid w:val="00A66EA7"/>
    <w:rsid w:val="00A66F68"/>
    <w:rsid w:val="00A66F6B"/>
    <w:rsid w:val="00A670C4"/>
    <w:rsid w:val="00A671C5"/>
    <w:rsid w:val="00A673DD"/>
    <w:rsid w:val="00A6773B"/>
    <w:rsid w:val="00A679BB"/>
    <w:rsid w:val="00A67E4D"/>
    <w:rsid w:val="00A6E6C9"/>
    <w:rsid w:val="00A700F9"/>
    <w:rsid w:val="00A708CB"/>
    <w:rsid w:val="00A70927"/>
    <w:rsid w:val="00A70C85"/>
    <w:rsid w:val="00A70C9F"/>
    <w:rsid w:val="00A71629"/>
    <w:rsid w:val="00A71C1A"/>
    <w:rsid w:val="00A71E3F"/>
    <w:rsid w:val="00A7258C"/>
    <w:rsid w:val="00A72AFD"/>
    <w:rsid w:val="00A736DE"/>
    <w:rsid w:val="00A739BB"/>
    <w:rsid w:val="00A7403F"/>
    <w:rsid w:val="00A748D7"/>
    <w:rsid w:val="00A751F4"/>
    <w:rsid w:val="00A75499"/>
    <w:rsid w:val="00A755B9"/>
    <w:rsid w:val="00A755C4"/>
    <w:rsid w:val="00A75CD5"/>
    <w:rsid w:val="00A75DA7"/>
    <w:rsid w:val="00A76DA2"/>
    <w:rsid w:val="00A7707B"/>
    <w:rsid w:val="00A7712C"/>
    <w:rsid w:val="00A77394"/>
    <w:rsid w:val="00A7754F"/>
    <w:rsid w:val="00A77577"/>
    <w:rsid w:val="00A775D6"/>
    <w:rsid w:val="00A77642"/>
    <w:rsid w:val="00A777E9"/>
    <w:rsid w:val="00A778B8"/>
    <w:rsid w:val="00A7791B"/>
    <w:rsid w:val="00A77963"/>
    <w:rsid w:val="00A779FA"/>
    <w:rsid w:val="00A8089A"/>
    <w:rsid w:val="00A80B47"/>
    <w:rsid w:val="00A80E67"/>
    <w:rsid w:val="00A80F42"/>
    <w:rsid w:val="00A8109F"/>
    <w:rsid w:val="00A81A68"/>
    <w:rsid w:val="00A81D7F"/>
    <w:rsid w:val="00A81FC2"/>
    <w:rsid w:val="00A821C4"/>
    <w:rsid w:val="00A824CA"/>
    <w:rsid w:val="00A827EF"/>
    <w:rsid w:val="00A8284E"/>
    <w:rsid w:val="00A83877"/>
    <w:rsid w:val="00A8387E"/>
    <w:rsid w:val="00A83996"/>
    <w:rsid w:val="00A83A6F"/>
    <w:rsid w:val="00A8421B"/>
    <w:rsid w:val="00A84299"/>
    <w:rsid w:val="00A84362"/>
    <w:rsid w:val="00A843FF"/>
    <w:rsid w:val="00A84D54"/>
    <w:rsid w:val="00A84FFD"/>
    <w:rsid w:val="00A8524A"/>
    <w:rsid w:val="00A85471"/>
    <w:rsid w:val="00A86251"/>
    <w:rsid w:val="00A86261"/>
    <w:rsid w:val="00A86401"/>
    <w:rsid w:val="00A865B4"/>
    <w:rsid w:val="00A86B54"/>
    <w:rsid w:val="00A86C45"/>
    <w:rsid w:val="00A86E09"/>
    <w:rsid w:val="00A871A6"/>
    <w:rsid w:val="00A87230"/>
    <w:rsid w:val="00A87367"/>
    <w:rsid w:val="00A878C1"/>
    <w:rsid w:val="00A90AA9"/>
    <w:rsid w:val="00A9106B"/>
    <w:rsid w:val="00A913AA"/>
    <w:rsid w:val="00A91484"/>
    <w:rsid w:val="00A914CB"/>
    <w:rsid w:val="00A918E0"/>
    <w:rsid w:val="00A92089"/>
    <w:rsid w:val="00A92193"/>
    <w:rsid w:val="00A925FF"/>
    <w:rsid w:val="00A93127"/>
    <w:rsid w:val="00A93548"/>
    <w:rsid w:val="00A9378E"/>
    <w:rsid w:val="00A938C5"/>
    <w:rsid w:val="00A93B44"/>
    <w:rsid w:val="00A93B5E"/>
    <w:rsid w:val="00A93DCD"/>
    <w:rsid w:val="00A94448"/>
    <w:rsid w:val="00A944E0"/>
    <w:rsid w:val="00A944E6"/>
    <w:rsid w:val="00A95428"/>
    <w:rsid w:val="00A95673"/>
    <w:rsid w:val="00A95701"/>
    <w:rsid w:val="00A95C0D"/>
    <w:rsid w:val="00A96C3A"/>
    <w:rsid w:val="00A96DA9"/>
    <w:rsid w:val="00A96ECA"/>
    <w:rsid w:val="00A97420"/>
    <w:rsid w:val="00A9763C"/>
    <w:rsid w:val="00A97EAE"/>
    <w:rsid w:val="00AA0FD3"/>
    <w:rsid w:val="00AA141C"/>
    <w:rsid w:val="00AA1E83"/>
    <w:rsid w:val="00AA1F3C"/>
    <w:rsid w:val="00AA212E"/>
    <w:rsid w:val="00AA2161"/>
    <w:rsid w:val="00AA280D"/>
    <w:rsid w:val="00AA2991"/>
    <w:rsid w:val="00AA2A7D"/>
    <w:rsid w:val="00AA3139"/>
    <w:rsid w:val="00AA35B7"/>
    <w:rsid w:val="00AA3609"/>
    <w:rsid w:val="00AA3916"/>
    <w:rsid w:val="00AA3DF0"/>
    <w:rsid w:val="00AA3F8A"/>
    <w:rsid w:val="00AA45CC"/>
    <w:rsid w:val="00AA4900"/>
    <w:rsid w:val="00AA4E95"/>
    <w:rsid w:val="00AA6137"/>
    <w:rsid w:val="00AA63A2"/>
    <w:rsid w:val="00AA659B"/>
    <w:rsid w:val="00AA6A6E"/>
    <w:rsid w:val="00AA6C5E"/>
    <w:rsid w:val="00AA6D4F"/>
    <w:rsid w:val="00AA7096"/>
    <w:rsid w:val="00AA722E"/>
    <w:rsid w:val="00AA7731"/>
    <w:rsid w:val="00AA7CB8"/>
    <w:rsid w:val="00AA7F45"/>
    <w:rsid w:val="00AB0499"/>
    <w:rsid w:val="00AB0B9B"/>
    <w:rsid w:val="00AB0D56"/>
    <w:rsid w:val="00AB110D"/>
    <w:rsid w:val="00AB1B9B"/>
    <w:rsid w:val="00AB23DB"/>
    <w:rsid w:val="00AB280B"/>
    <w:rsid w:val="00AB28F9"/>
    <w:rsid w:val="00AB297F"/>
    <w:rsid w:val="00AB2AD2"/>
    <w:rsid w:val="00AB2BD2"/>
    <w:rsid w:val="00AB2EA1"/>
    <w:rsid w:val="00AB3212"/>
    <w:rsid w:val="00AB361F"/>
    <w:rsid w:val="00AB39D7"/>
    <w:rsid w:val="00AB3A10"/>
    <w:rsid w:val="00AB3DF7"/>
    <w:rsid w:val="00AB3EF8"/>
    <w:rsid w:val="00AB40B3"/>
    <w:rsid w:val="00AB41C7"/>
    <w:rsid w:val="00AB46DA"/>
    <w:rsid w:val="00AB4B9D"/>
    <w:rsid w:val="00AB4CBA"/>
    <w:rsid w:val="00AB5410"/>
    <w:rsid w:val="00AB5484"/>
    <w:rsid w:val="00AB55E8"/>
    <w:rsid w:val="00AB5616"/>
    <w:rsid w:val="00AB5D07"/>
    <w:rsid w:val="00AB6134"/>
    <w:rsid w:val="00AB61B9"/>
    <w:rsid w:val="00AB62FA"/>
    <w:rsid w:val="00AB6571"/>
    <w:rsid w:val="00AB6CF0"/>
    <w:rsid w:val="00AB6D39"/>
    <w:rsid w:val="00AB73E2"/>
    <w:rsid w:val="00AB762B"/>
    <w:rsid w:val="00AB7814"/>
    <w:rsid w:val="00AB7C7C"/>
    <w:rsid w:val="00AB7E71"/>
    <w:rsid w:val="00AC015C"/>
    <w:rsid w:val="00AC09C6"/>
    <w:rsid w:val="00AC0E7D"/>
    <w:rsid w:val="00AC0F5A"/>
    <w:rsid w:val="00AC10A4"/>
    <w:rsid w:val="00AC1619"/>
    <w:rsid w:val="00AC1983"/>
    <w:rsid w:val="00AC1A51"/>
    <w:rsid w:val="00AC2739"/>
    <w:rsid w:val="00AC2CAD"/>
    <w:rsid w:val="00AC3187"/>
    <w:rsid w:val="00AC3C94"/>
    <w:rsid w:val="00AC447E"/>
    <w:rsid w:val="00AC46E1"/>
    <w:rsid w:val="00AC4AC6"/>
    <w:rsid w:val="00AC50D8"/>
    <w:rsid w:val="00AC5935"/>
    <w:rsid w:val="00AC5A36"/>
    <w:rsid w:val="00AC5A51"/>
    <w:rsid w:val="00AC5F1E"/>
    <w:rsid w:val="00AC642F"/>
    <w:rsid w:val="00AC6E10"/>
    <w:rsid w:val="00AC7676"/>
    <w:rsid w:val="00AC7A5F"/>
    <w:rsid w:val="00AC7AFC"/>
    <w:rsid w:val="00AC7B16"/>
    <w:rsid w:val="00AC7BEB"/>
    <w:rsid w:val="00AC7E31"/>
    <w:rsid w:val="00AC7FC4"/>
    <w:rsid w:val="00AD003C"/>
    <w:rsid w:val="00AD0A65"/>
    <w:rsid w:val="00AD0E1B"/>
    <w:rsid w:val="00AD1111"/>
    <w:rsid w:val="00AD1185"/>
    <w:rsid w:val="00AD174A"/>
    <w:rsid w:val="00AD196C"/>
    <w:rsid w:val="00AD1F23"/>
    <w:rsid w:val="00AD2291"/>
    <w:rsid w:val="00AD27F5"/>
    <w:rsid w:val="00AD2D6D"/>
    <w:rsid w:val="00AD3701"/>
    <w:rsid w:val="00AD4641"/>
    <w:rsid w:val="00AD51A6"/>
    <w:rsid w:val="00AD5769"/>
    <w:rsid w:val="00AD6405"/>
    <w:rsid w:val="00AD65D9"/>
    <w:rsid w:val="00AD6B3B"/>
    <w:rsid w:val="00AD6CAB"/>
    <w:rsid w:val="00AD6D4D"/>
    <w:rsid w:val="00AD7781"/>
    <w:rsid w:val="00AD7827"/>
    <w:rsid w:val="00AD7EDD"/>
    <w:rsid w:val="00AE0059"/>
    <w:rsid w:val="00AE04C1"/>
    <w:rsid w:val="00AE04DA"/>
    <w:rsid w:val="00AE0F95"/>
    <w:rsid w:val="00AE11B9"/>
    <w:rsid w:val="00AE1822"/>
    <w:rsid w:val="00AE2363"/>
    <w:rsid w:val="00AE2391"/>
    <w:rsid w:val="00AE2C1C"/>
    <w:rsid w:val="00AE39D1"/>
    <w:rsid w:val="00AE3FA4"/>
    <w:rsid w:val="00AE3FE9"/>
    <w:rsid w:val="00AE3FEF"/>
    <w:rsid w:val="00AE4143"/>
    <w:rsid w:val="00AE4306"/>
    <w:rsid w:val="00AE470D"/>
    <w:rsid w:val="00AE486C"/>
    <w:rsid w:val="00AE518F"/>
    <w:rsid w:val="00AE531C"/>
    <w:rsid w:val="00AE54C6"/>
    <w:rsid w:val="00AE6232"/>
    <w:rsid w:val="00AE6D11"/>
    <w:rsid w:val="00AE6FE0"/>
    <w:rsid w:val="00AE737A"/>
    <w:rsid w:val="00AE75C5"/>
    <w:rsid w:val="00AE7A90"/>
    <w:rsid w:val="00AE7DA1"/>
    <w:rsid w:val="00AE7F37"/>
    <w:rsid w:val="00AF0502"/>
    <w:rsid w:val="00AF11D2"/>
    <w:rsid w:val="00AF11EB"/>
    <w:rsid w:val="00AF1C0F"/>
    <w:rsid w:val="00AF1DC1"/>
    <w:rsid w:val="00AF2CDA"/>
    <w:rsid w:val="00AF31D9"/>
    <w:rsid w:val="00AF335C"/>
    <w:rsid w:val="00AF35CB"/>
    <w:rsid w:val="00AF37F0"/>
    <w:rsid w:val="00AF3C16"/>
    <w:rsid w:val="00AF3C60"/>
    <w:rsid w:val="00AF3F7E"/>
    <w:rsid w:val="00AF40DC"/>
    <w:rsid w:val="00AF4501"/>
    <w:rsid w:val="00AF4654"/>
    <w:rsid w:val="00AF4B24"/>
    <w:rsid w:val="00AF510F"/>
    <w:rsid w:val="00AF5706"/>
    <w:rsid w:val="00AF5E6E"/>
    <w:rsid w:val="00AF5EC1"/>
    <w:rsid w:val="00AF6211"/>
    <w:rsid w:val="00AF6521"/>
    <w:rsid w:val="00AF65B0"/>
    <w:rsid w:val="00AF6DEB"/>
    <w:rsid w:val="00AF72F4"/>
    <w:rsid w:val="00AF73E3"/>
    <w:rsid w:val="00AF74EF"/>
    <w:rsid w:val="00AF7BDE"/>
    <w:rsid w:val="00B0007A"/>
    <w:rsid w:val="00B00845"/>
    <w:rsid w:val="00B00B58"/>
    <w:rsid w:val="00B00BE6"/>
    <w:rsid w:val="00B00CB0"/>
    <w:rsid w:val="00B01089"/>
    <w:rsid w:val="00B010D0"/>
    <w:rsid w:val="00B01A73"/>
    <w:rsid w:val="00B01C8B"/>
    <w:rsid w:val="00B026B4"/>
    <w:rsid w:val="00B026F3"/>
    <w:rsid w:val="00B031FC"/>
    <w:rsid w:val="00B035DE"/>
    <w:rsid w:val="00B03EFB"/>
    <w:rsid w:val="00B043B0"/>
    <w:rsid w:val="00B0441A"/>
    <w:rsid w:val="00B05136"/>
    <w:rsid w:val="00B0559F"/>
    <w:rsid w:val="00B05753"/>
    <w:rsid w:val="00B05C9D"/>
    <w:rsid w:val="00B05EAE"/>
    <w:rsid w:val="00B063A9"/>
    <w:rsid w:val="00B06623"/>
    <w:rsid w:val="00B067FF"/>
    <w:rsid w:val="00B06DE1"/>
    <w:rsid w:val="00B06F03"/>
    <w:rsid w:val="00B070FF"/>
    <w:rsid w:val="00B0727F"/>
    <w:rsid w:val="00B0743F"/>
    <w:rsid w:val="00B0781F"/>
    <w:rsid w:val="00B078EB"/>
    <w:rsid w:val="00B07A52"/>
    <w:rsid w:val="00B10099"/>
    <w:rsid w:val="00B10164"/>
    <w:rsid w:val="00B10183"/>
    <w:rsid w:val="00B10268"/>
    <w:rsid w:val="00B10514"/>
    <w:rsid w:val="00B109F5"/>
    <w:rsid w:val="00B11237"/>
    <w:rsid w:val="00B1126A"/>
    <w:rsid w:val="00B11344"/>
    <w:rsid w:val="00B11776"/>
    <w:rsid w:val="00B11938"/>
    <w:rsid w:val="00B119BE"/>
    <w:rsid w:val="00B11EA9"/>
    <w:rsid w:val="00B11FB4"/>
    <w:rsid w:val="00B121B6"/>
    <w:rsid w:val="00B123EC"/>
    <w:rsid w:val="00B12428"/>
    <w:rsid w:val="00B12580"/>
    <w:rsid w:val="00B12666"/>
    <w:rsid w:val="00B12BBB"/>
    <w:rsid w:val="00B12DE4"/>
    <w:rsid w:val="00B1365F"/>
    <w:rsid w:val="00B14813"/>
    <w:rsid w:val="00B14993"/>
    <w:rsid w:val="00B14A93"/>
    <w:rsid w:val="00B14FF0"/>
    <w:rsid w:val="00B15046"/>
    <w:rsid w:val="00B15120"/>
    <w:rsid w:val="00B1569D"/>
    <w:rsid w:val="00B15911"/>
    <w:rsid w:val="00B15D16"/>
    <w:rsid w:val="00B1601B"/>
    <w:rsid w:val="00B16581"/>
    <w:rsid w:val="00B16678"/>
    <w:rsid w:val="00B166B1"/>
    <w:rsid w:val="00B16EE5"/>
    <w:rsid w:val="00B1701E"/>
    <w:rsid w:val="00B170E2"/>
    <w:rsid w:val="00B1746E"/>
    <w:rsid w:val="00B17506"/>
    <w:rsid w:val="00B17849"/>
    <w:rsid w:val="00B17B75"/>
    <w:rsid w:val="00B17CF8"/>
    <w:rsid w:val="00B2008F"/>
    <w:rsid w:val="00B200A2"/>
    <w:rsid w:val="00B204BF"/>
    <w:rsid w:val="00B2083E"/>
    <w:rsid w:val="00B20899"/>
    <w:rsid w:val="00B20AEF"/>
    <w:rsid w:val="00B20BA1"/>
    <w:rsid w:val="00B21064"/>
    <w:rsid w:val="00B21230"/>
    <w:rsid w:val="00B217EF"/>
    <w:rsid w:val="00B219DC"/>
    <w:rsid w:val="00B2209A"/>
    <w:rsid w:val="00B223CB"/>
    <w:rsid w:val="00B224B4"/>
    <w:rsid w:val="00B225BC"/>
    <w:rsid w:val="00B22B6D"/>
    <w:rsid w:val="00B22E52"/>
    <w:rsid w:val="00B22FE3"/>
    <w:rsid w:val="00B23378"/>
    <w:rsid w:val="00B233B5"/>
    <w:rsid w:val="00B23772"/>
    <w:rsid w:val="00B23C91"/>
    <w:rsid w:val="00B23FBE"/>
    <w:rsid w:val="00B2432C"/>
    <w:rsid w:val="00B248FD"/>
    <w:rsid w:val="00B24A2B"/>
    <w:rsid w:val="00B24A97"/>
    <w:rsid w:val="00B24B8D"/>
    <w:rsid w:val="00B25318"/>
    <w:rsid w:val="00B254C2"/>
    <w:rsid w:val="00B259A6"/>
    <w:rsid w:val="00B25AB3"/>
    <w:rsid w:val="00B25B3B"/>
    <w:rsid w:val="00B2604C"/>
    <w:rsid w:val="00B27602"/>
    <w:rsid w:val="00B27647"/>
    <w:rsid w:val="00B278D0"/>
    <w:rsid w:val="00B27D63"/>
    <w:rsid w:val="00B3015E"/>
    <w:rsid w:val="00B30382"/>
    <w:rsid w:val="00B306F1"/>
    <w:rsid w:val="00B309D8"/>
    <w:rsid w:val="00B3104A"/>
    <w:rsid w:val="00B310F4"/>
    <w:rsid w:val="00B31476"/>
    <w:rsid w:val="00B31C76"/>
    <w:rsid w:val="00B31C93"/>
    <w:rsid w:val="00B321A0"/>
    <w:rsid w:val="00B322F4"/>
    <w:rsid w:val="00B3272B"/>
    <w:rsid w:val="00B32DEC"/>
    <w:rsid w:val="00B330F2"/>
    <w:rsid w:val="00B337E5"/>
    <w:rsid w:val="00B337F6"/>
    <w:rsid w:val="00B346AF"/>
    <w:rsid w:val="00B34723"/>
    <w:rsid w:val="00B348E8"/>
    <w:rsid w:val="00B34BA6"/>
    <w:rsid w:val="00B34BC8"/>
    <w:rsid w:val="00B350A4"/>
    <w:rsid w:val="00B35751"/>
    <w:rsid w:val="00B36773"/>
    <w:rsid w:val="00B36AD2"/>
    <w:rsid w:val="00B36B22"/>
    <w:rsid w:val="00B37083"/>
    <w:rsid w:val="00B377A5"/>
    <w:rsid w:val="00B37C2D"/>
    <w:rsid w:val="00B37EB0"/>
    <w:rsid w:val="00B4070C"/>
    <w:rsid w:val="00B40770"/>
    <w:rsid w:val="00B40D6B"/>
    <w:rsid w:val="00B40D7C"/>
    <w:rsid w:val="00B40DC0"/>
    <w:rsid w:val="00B40EBF"/>
    <w:rsid w:val="00B410A8"/>
    <w:rsid w:val="00B41ABF"/>
    <w:rsid w:val="00B41E87"/>
    <w:rsid w:val="00B4220F"/>
    <w:rsid w:val="00B42410"/>
    <w:rsid w:val="00B42656"/>
    <w:rsid w:val="00B42665"/>
    <w:rsid w:val="00B42725"/>
    <w:rsid w:val="00B42732"/>
    <w:rsid w:val="00B42A11"/>
    <w:rsid w:val="00B42A91"/>
    <w:rsid w:val="00B42E50"/>
    <w:rsid w:val="00B433CB"/>
    <w:rsid w:val="00B4355B"/>
    <w:rsid w:val="00B436DE"/>
    <w:rsid w:val="00B43B37"/>
    <w:rsid w:val="00B43FCC"/>
    <w:rsid w:val="00B446E3"/>
    <w:rsid w:val="00B44989"/>
    <w:rsid w:val="00B44FB6"/>
    <w:rsid w:val="00B45481"/>
    <w:rsid w:val="00B454E6"/>
    <w:rsid w:val="00B45666"/>
    <w:rsid w:val="00B459E4"/>
    <w:rsid w:val="00B45EA0"/>
    <w:rsid w:val="00B46281"/>
    <w:rsid w:val="00B46A79"/>
    <w:rsid w:val="00B46D83"/>
    <w:rsid w:val="00B46DFA"/>
    <w:rsid w:val="00B4720B"/>
    <w:rsid w:val="00B472D8"/>
    <w:rsid w:val="00B4735C"/>
    <w:rsid w:val="00B47E02"/>
    <w:rsid w:val="00B50286"/>
    <w:rsid w:val="00B51014"/>
    <w:rsid w:val="00B51088"/>
    <w:rsid w:val="00B51746"/>
    <w:rsid w:val="00B51C50"/>
    <w:rsid w:val="00B51E86"/>
    <w:rsid w:val="00B52702"/>
    <w:rsid w:val="00B52882"/>
    <w:rsid w:val="00B52BDE"/>
    <w:rsid w:val="00B53910"/>
    <w:rsid w:val="00B53A36"/>
    <w:rsid w:val="00B53B91"/>
    <w:rsid w:val="00B53E21"/>
    <w:rsid w:val="00B5442D"/>
    <w:rsid w:val="00B545F9"/>
    <w:rsid w:val="00B548AC"/>
    <w:rsid w:val="00B54DAC"/>
    <w:rsid w:val="00B557B4"/>
    <w:rsid w:val="00B55D5D"/>
    <w:rsid w:val="00B5624A"/>
    <w:rsid w:val="00B56351"/>
    <w:rsid w:val="00B566FB"/>
    <w:rsid w:val="00B56708"/>
    <w:rsid w:val="00B56999"/>
    <w:rsid w:val="00B56B6F"/>
    <w:rsid w:val="00B56E55"/>
    <w:rsid w:val="00B570F7"/>
    <w:rsid w:val="00B57A4B"/>
    <w:rsid w:val="00B57B04"/>
    <w:rsid w:val="00B57D20"/>
    <w:rsid w:val="00B57E2C"/>
    <w:rsid w:val="00B601D5"/>
    <w:rsid w:val="00B601E2"/>
    <w:rsid w:val="00B60526"/>
    <w:rsid w:val="00B605A0"/>
    <w:rsid w:val="00B60819"/>
    <w:rsid w:val="00B60993"/>
    <w:rsid w:val="00B60A06"/>
    <w:rsid w:val="00B60AE3"/>
    <w:rsid w:val="00B60E90"/>
    <w:rsid w:val="00B615D6"/>
    <w:rsid w:val="00B61B6A"/>
    <w:rsid w:val="00B62202"/>
    <w:rsid w:val="00B622D9"/>
    <w:rsid w:val="00B6269B"/>
    <w:rsid w:val="00B62823"/>
    <w:rsid w:val="00B628AF"/>
    <w:rsid w:val="00B628D3"/>
    <w:rsid w:val="00B62F1E"/>
    <w:rsid w:val="00B6327A"/>
    <w:rsid w:val="00B63519"/>
    <w:rsid w:val="00B63BC6"/>
    <w:rsid w:val="00B63DFA"/>
    <w:rsid w:val="00B64323"/>
    <w:rsid w:val="00B64465"/>
    <w:rsid w:val="00B64496"/>
    <w:rsid w:val="00B645D2"/>
    <w:rsid w:val="00B64D78"/>
    <w:rsid w:val="00B6509E"/>
    <w:rsid w:val="00B6536F"/>
    <w:rsid w:val="00B654C8"/>
    <w:rsid w:val="00B654CD"/>
    <w:rsid w:val="00B6558C"/>
    <w:rsid w:val="00B65882"/>
    <w:rsid w:val="00B65950"/>
    <w:rsid w:val="00B65DA3"/>
    <w:rsid w:val="00B663F0"/>
    <w:rsid w:val="00B66737"/>
    <w:rsid w:val="00B66953"/>
    <w:rsid w:val="00B67124"/>
    <w:rsid w:val="00B6712D"/>
    <w:rsid w:val="00B6739B"/>
    <w:rsid w:val="00B6775F"/>
    <w:rsid w:val="00B67844"/>
    <w:rsid w:val="00B67CA3"/>
    <w:rsid w:val="00B67D44"/>
    <w:rsid w:val="00B701F7"/>
    <w:rsid w:val="00B70467"/>
    <w:rsid w:val="00B70523"/>
    <w:rsid w:val="00B7071F"/>
    <w:rsid w:val="00B708F3"/>
    <w:rsid w:val="00B70A49"/>
    <w:rsid w:val="00B70BB8"/>
    <w:rsid w:val="00B70DE9"/>
    <w:rsid w:val="00B70E7D"/>
    <w:rsid w:val="00B7184F"/>
    <w:rsid w:val="00B71BDB"/>
    <w:rsid w:val="00B71D90"/>
    <w:rsid w:val="00B720C4"/>
    <w:rsid w:val="00B72843"/>
    <w:rsid w:val="00B72894"/>
    <w:rsid w:val="00B7292A"/>
    <w:rsid w:val="00B72F61"/>
    <w:rsid w:val="00B72FB1"/>
    <w:rsid w:val="00B733E9"/>
    <w:rsid w:val="00B73869"/>
    <w:rsid w:val="00B73BFF"/>
    <w:rsid w:val="00B7440B"/>
    <w:rsid w:val="00B7505A"/>
    <w:rsid w:val="00B75083"/>
    <w:rsid w:val="00B750B7"/>
    <w:rsid w:val="00B759C0"/>
    <w:rsid w:val="00B75B09"/>
    <w:rsid w:val="00B7615E"/>
    <w:rsid w:val="00B7617A"/>
    <w:rsid w:val="00B7657A"/>
    <w:rsid w:val="00B76839"/>
    <w:rsid w:val="00B76910"/>
    <w:rsid w:val="00B76A60"/>
    <w:rsid w:val="00B76C40"/>
    <w:rsid w:val="00B77197"/>
    <w:rsid w:val="00B772F1"/>
    <w:rsid w:val="00B776F9"/>
    <w:rsid w:val="00B777A8"/>
    <w:rsid w:val="00B77AA0"/>
    <w:rsid w:val="00B77DFC"/>
    <w:rsid w:val="00B8021F"/>
    <w:rsid w:val="00B80632"/>
    <w:rsid w:val="00B8196E"/>
    <w:rsid w:val="00B81A05"/>
    <w:rsid w:val="00B82011"/>
    <w:rsid w:val="00B8251D"/>
    <w:rsid w:val="00B8279F"/>
    <w:rsid w:val="00B82A03"/>
    <w:rsid w:val="00B834CA"/>
    <w:rsid w:val="00B837CB"/>
    <w:rsid w:val="00B839DB"/>
    <w:rsid w:val="00B83AAA"/>
    <w:rsid w:val="00B83B33"/>
    <w:rsid w:val="00B84175"/>
    <w:rsid w:val="00B8455E"/>
    <w:rsid w:val="00B85355"/>
    <w:rsid w:val="00B856EC"/>
    <w:rsid w:val="00B85C35"/>
    <w:rsid w:val="00B85D3A"/>
    <w:rsid w:val="00B85E70"/>
    <w:rsid w:val="00B86072"/>
    <w:rsid w:val="00B865B5"/>
    <w:rsid w:val="00B86689"/>
    <w:rsid w:val="00B86E21"/>
    <w:rsid w:val="00B86FF0"/>
    <w:rsid w:val="00B87655"/>
    <w:rsid w:val="00B8790E"/>
    <w:rsid w:val="00B87944"/>
    <w:rsid w:val="00B87AEE"/>
    <w:rsid w:val="00B90464"/>
    <w:rsid w:val="00B90873"/>
    <w:rsid w:val="00B9128B"/>
    <w:rsid w:val="00B91478"/>
    <w:rsid w:val="00B917CB"/>
    <w:rsid w:val="00B92565"/>
    <w:rsid w:val="00B927AB"/>
    <w:rsid w:val="00B932BB"/>
    <w:rsid w:val="00B939A2"/>
    <w:rsid w:val="00B93EDA"/>
    <w:rsid w:val="00B9414F"/>
    <w:rsid w:val="00B941A4"/>
    <w:rsid w:val="00B941BE"/>
    <w:rsid w:val="00B94353"/>
    <w:rsid w:val="00B9457A"/>
    <w:rsid w:val="00B94682"/>
    <w:rsid w:val="00B94921"/>
    <w:rsid w:val="00B953DB"/>
    <w:rsid w:val="00B95567"/>
    <w:rsid w:val="00B955EB"/>
    <w:rsid w:val="00B95616"/>
    <w:rsid w:val="00B95657"/>
    <w:rsid w:val="00B95944"/>
    <w:rsid w:val="00B96223"/>
    <w:rsid w:val="00B96338"/>
    <w:rsid w:val="00B96480"/>
    <w:rsid w:val="00B96546"/>
    <w:rsid w:val="00B967CB"/>
    <w:rsid w:val="00B96E70"/>
    <w:rsid w:val="00B970AC"/>
    <w:rsid w:val="00B974CF"/>
    <w:rsid w:val="00B978B2"/>
    <w:rsid w:val="00B97A87"/>
    <w:rsid w:val="00B97D32"/>
    <w:rsid w:val="00B97E11"/>
    <w:rsid w:val="00BA0330"/>
    <w:rsid w:val="00BA0548"/>
    <w:rsid w:val="00BA0967"/>
    <w:rsid w:val="00BA0E62"/>
    <w:rsid w:val="00BA0EF6"/>
    <w:rsid w:val="00BA0F9A"/>
    <w:rsid w:val="00BA1087"/>
    <w:rsid w:val="00BA12E7"/>
    <w:rsid w:val="00BA1DE9"/>
    <w:rsid w:val="00BA23BE"/>
    <w:rsid w:val="00BA23F6"/>
    <w:rsid w:val="00BA2B6F"/>
    <w:rsid w:val="00BA2BCB"/>
    <w:rsid w:val="00BA2C55"/>
    <w:rsid w:val="00BA302E"/>
    <w:rsid w:val="00BA3515"/>
    <w:rsid w:val="00BA3869"/>
    <w:rsid w:val="00BA3B6F"/>
    <w:rsid w:val="00BA44E1"/>
    <w:rsid w:val="00BA484D"/>
    <w:rsid w:val="00BA4F01"/>
    <w:rsid w:val="00BA4FB5"/>
    <w:rsid w:val="00BA52C8"/>
    <w:rsid w:val="00BA5373"/>
    <w:rsid w:val="00BA62BD"/>
    <w:rsid w:val="00BA68D2"/>
    <w:rsid w:val="00BA693E"/>
    <w:rsid w:val="00BA6A18"/>
    <w:rsid w:val="00BA6D7A"/>
    <w:rsid w:val="00BA6F05"/>
    <w:rsid w:val="00BA70B5"/>
    <w:rsid w:val="00BA71F4"/>
    <w:rsid w:val="00BA71F6"/>
    <w:rsid w:val="00BA79BD"/>
    <w:rsid w:val="00BB0B1E"/>
    <w:rsid w:val="00BB0FFB"/>
    <w:rsid w:val="00BB120E"/>
    <w:rsid w:val="00BB1283"/>
    <w:rsid w:val="00BB14D1"/>
    <w:rsid w:val="00BB1698"/>
    <w:rsid w:val="00BB1E1F"/>
    <w:rsid w:val="00BB2524"/>
    <w:rsid w:val="00BB26DB"/>
    <w:rsid w:val="00BB2792"/>
    <w:rsid w:val="00BB3207"/>
    <w:rsid w:val="00BB369B"/>
    <w:rsid w:val="00BB3B4E"/>
    <w:rsid w:val="00BB3BF5"/>
    <w:rsid w:val="00BB43A1"/>
    <w:rsid w:val="00BB494E"/>
    <w:rsid w:val="00BB4B71"/>
    <w:rsid w:val="00BB5234"/>
    <w:rsid w:val="00BB5599"/>
    <w:rsid w:val="00BB5820"/>
    <w:rsid w:val="00BB5C98"/>
    <w:rsid w:val="00BB682F"/>
    <w:rsid w:val="00BB6E93"/>
    <w:rsid w:val="00BB7654"/>
    <w:rsid w:val="00BC0850"/>
    <w:rsid w:val="00BC0DD0"/>
    <w:rsid w:val="00BC0F4C"/>
    <w:rsid w:val="00BC109B"/>
    <w:rsid w:val="00BC15EE"/>
    <w:rsid w:val="00BC1E56"/>
    <w:rsid w:val="00BC2433"/>
    <w:rsid w:val="00BC27EA"/>
    <w:rsid w:val="00BC2B0F"/>
    <w:rsid w:val="00BC2BFD"/>
    <w:rsid w:val="00BC35DB"/>
    <w:rsid w:val="00BC362A"/>
    <w:rsid w:val="00BC40D4"/>
    <w:rsid w:val="00BC43C2"/>
    <w:rsid w:val="00BC4606"/>
    <w:rsid w:val="00BC4608"/>
    <w:rsid w:val="00BC51D6"/>
    <w:rsid w:val="00BC5451"/>
    <w:rsid w:val="00BC54D8"/>
    <w:rsid w:val="00BC627B"/>
    <w:rsid w:val="00BC6A2A"/>
    <w:rsid w:val="00BC6D6C"/>
    <w:rsid w:val="00BC75E6"/>
    <w:rsid w:val="00BC7915"/>
    <w:rsid w:val="00BC79E9"/>
    <w:rsid w:val="00BC7DD4"/>
    <w:rsid w:val="00BD1562"/>
    <w:rsid w:val="00BD226A"/>
    <w:rsid w:val="00BD2845"/>
    <w:rsid w:val="00BD28FA"/>
    <w:rsid w:val="00BD3160"/>
    <w:rsid w:val="00BD322A"/>
    <w:rsid w:val="00BD33B9"/>
    <w:rsid w:val="00BD3641"/>
    <w:rsid w:val="00BD3A3C"/>
    <w:rsid w:val="00BD3E91"/>
    <w:rsid w:val="00BD413F"/>
    <w:rsid w:val="00BD4273"/>
    <w:rsid w:val="00BD431A"/>
    <w:rsid w:val="00BD4A5A"/>
    <w:rsid w:val="00BD4D17"/>
    <w:rsid w:val="00BD4D44"/>
    <w:rsid w:val="00BD4EC2"/>
    <w:rsid w:val="00BD51CF"/>
    <w:rsid w:val="00BD528C"/>
    <w:rsid w:val="00BD556C"/>
    <w:rsid w:val="00BD5ACB"/>
    <w:rsid w:val="00BD6626"/>
    <w:rsid w:val="00BD6CF2"/>
    <w:rsid w:val="00BD6E2E"/>
    <w:rsid w:val="00BD6F61"/>
    <w:rsid w:val="00BD71F6"/>
    <w:rsid w:val="00BD72D1"/>
    <w:rsid w:val="00BD7339"/>
    <w:rsid w:val="00BD7374"/>
    <w:rsid w:val="00BD78FA"/>
    <w:rsid w:val="00BD7FC7"/>
    <w:rsid w:val="00BE0133"/>
    <w:rsid w:val="00BE076D"/>
    <w:rsid w:val="00BE0C46"/>
    <w:rsid w:val="00BE0E05"/>
    <w:rsid w:val="00BE12F4"/>
    <w:rsid w:val="00BE1518"/>
    <w:rsid w:val="00BE1605"/>
    <w:rsid w:val="00BE25D4"/>
    <w:rsid w:val="00BE2970"/>
    <w:rsid w:val="00BE3013"/>
    <w:rsid w:val="00BE34F1"/>
    <w:rsid w:val="00BE3A98"/>
    <w:rsid w:val="00BE3B1D"/>
    <w:rsid w:val="00BE3B3C"/>
    <w:rsid w:val="00BE46A6"/>
    <w:rsid w:val="00BE486B"/>
    <w:rsid w:val="00BE48E5"/>
    <w:rsid w:val="00BE4A35"/>
    <w:rsid w:val="00BE5313"/>
    <w:rsid w:val="00BE5860"/>
    <w:rsid w:val="00BE5ACC"/>
    <w:rsid w:val="00BE6659"/>
    <w:rsid w:val="00BE669D"/>
    <w:rsid w:val="00BE6848"/>
    <w:rsid w:val="00BE6BCE"/>
    <w:rsid w:val="00BE6D3C"/>
    <w:rsid w:val="00BE7291"/>
    <w:rsid w:val="00BE7A26"/>
    <w:rsid w:val="00BE7B87"/>
    <w:rsid w:val="00BE7DD1"/>
    <w:rsid w:val="00BE7F51"/>
    <w:rsid w:val="00BF07C3"/>
    <w:rsid w:val="00BF0D1D"/>
    <w:rsid w:val="00BF10AD"/>
    <w:rsid w:val="00BF1562"/>
    <w:rsid w:val="00BF1893"/>
    <w:rsid w:val="00BF1B8B"/>
    <w:rsid w:val="00BF2223"/>
    <w:rsid w:val="00BF2451"/>
    <w:rsid w:val="00BF269A"/>
    <w:rsid w:val="00BF278A"/>
    <w:rsid w:val="00BF287D"/>
    <w:rsid w:val="00BF2D83"/>
    <w:rsid w:val="00BF2E15"/>
    <w:rsid w:val="00BF3C8D"/>
    <w:rsid w:val="00BF3EB4"/>
    <w:rsid w:val="00BF4015"/>
    <w:rsid w:val="00BF421C"/>
    <w:rsid w:val="00BF4298"/>
    <w:rsid w:val="00BF4481"/>
    <w:rsid w:val="00BF50E0"/>
    <w:rsid w:val="00BF59B3"/>
    <w:rsid w:val="00BF62B9"/>
    <w:rsid w:val="00BF6451"/>
    <w:rsid w:val="00BF6A8D"/>
    <w:rsid w:val="00BF6DAF"/>
    <w:rsid w:val="00BF74CE"/>
    <w:rsid w:val="00BF7508"/>
    <w:rsid w:val="00BF7B4B"/>
    <w:rsid w:val="00BF7CC7"/>
    <w:rsid w:val="00C004A4"/>
    <w:rsid w:val="00C00B19"/>
    <w:rsid w:val="00C00D43"/>
    <w:rsid w:val="00C00DCA"/>
    <w:rsid w:val="00C01A1E"/>
    <w:rsid w:val="00C01FD8"/>
    <w:rsid w:val="00C01FE1"/>
    <w:rsid w:val="00C02182"/>
    <w:rsid w:val="00C032E1"/>
    <w:rsid w:val="00C03A16"/>
    <w:rsid w:val="00C03BCD"/>
    <w:rsid w:val="00C04179"/>
    <w:rsid w:val="00C045B3"/>
    <w:rsid w:val="00C045E0"/>
    <w:rsid w:val="00C04E51"/>
    <w:rsid w:val="00C04F5C"/>
    <w:rsid w:val="00C05384"/>
    <w:rsid w:val="00C0547A"/>
    <w:rsid w:val="00C05966"/>
    <w:rsid w:val="00C06020"/>
    <w:rsid w:val="00C06B18"/>
    <w:rsid w:val="00C06ED2"/>
    <w:rsid w:val="00C070A9"/>
    <w:rsid w:val="00C0753E"/>
    <w:rsid w:val="00C07C9A"/>
    <w:rsid w:val="00C10486"/>
    <w:rsid w:val="00C10555"/>
    <w:rsid w:val="00C117CC"/>
    <w:rsid w:val="00C118CB"/>
    <w:rsid w:val="00C11A32"/>
    <w:rsid w:val="00C1202F"/>
    <w:rsid w:val="00C12181"/>
    <w:rsid w:val="00C13611"/>
    <w:rsid w:val="00C13A2F"/>
    <w:rsid w:val="00C13AA4"/>
    <w:rsid w:val="00C14124"/>
    <w:rsid w:val="00C14353"/>
    <w:rsid w:val="00C1467A"/>
    <w:rsid w:val="00C1469E"/>
    <w:rsid w:val="00C149E8"/>
    <w:rsid w:val="00C14B77"/>
    <w:rsid w:val="00C154DF"/>
    <w:rsid w:val="00C15D0E"/>
    <w:rsid w:val="00C15D3B"/>
    <w:rsid w:val="00C166BF"/>
    <w:rsid w:val="00C168DB"/>
    <w:rsid w:val="00C16AD4"/>
    <w:rsid w:val="00C16C30"/>
    <w:rsid w:val="00C17483"/>
    <w:rsid w:val="00C17DFD"/>
    <w:rsid w:val="00C20071"/>
    <w:rsid w:val="00C20949"/>
    <w:rsid w:val="00C20A69"/>
    <w:rsid w:val="00C20CC9"/>
    <w:rsid w:val="00C212E4"/>
    <w:rsid w:val="00C217F8"/>
    <w:rsid w:val="00C21BF2"/>
    <w:rsid w:val="00C21D7F"/>
    <w:rsid w:val="00C21DED"/>
    <w:rsid w:val="00C21E17"/>
    <w:rsid w:val="00C21EFB"/>
    <w:rsid w:val="00C22CF8"/>
    <w:rsid w:val="00C23827"/>
    <w:rsid w:val="00C23C90"/>
    <w:rsid w:val="00C2457E"/>
    <w:rsid w:val="00C24C34"/>
    <w:rsid w:val="00C24FA0"/>
    <w:rsid w:val="00C2547F"/>
    <w:rsid w:val="00C257A8"/>
    <w:rsid w:val="00C259E0"/>
    <w:rsid w:val="00C25D79"/>
    <w:rsid w:val="00C25F47"/>
    <w:rsid w:val="00C26A72"/>
    <w:rsid w:val="00C27519"/>
    <w:rsid w:val="00C27605"/>
    <w:rsid w:val="00C277F7"/>
    <w:rsid w:val="00C27B47"/>
    <w:rsid w:val="00C27CDE"/>
    <w:rsid w:val="00C27E45"/>
    <w:rsid w:val="00C27E90"/>
    <w:rsid w:val="00C27EF9"/>
    <w:rsid w:val="00C302A0"/>
    <w:rsid w:val="00C30382"/>
    <w:rsid w:val="00C305D2"/>
    <w:rsid w:val="00C30980"/>
    <w:rsid w:val="00C30B83"/>
    <w:rsid w:val="00C30F7F"/>
    <w:rsid w:val="00C310BC"/>
    <w:rsid w:val="00C31490"/>
    <w:rsid w:val="00C314A2"/>
    <w:rsid w:val="00C31708"/>
    <w:rsid w:val="00C31B12"/>
    <w:rsid w:val="00C31E91"/>
    <w:rsid w:val="00C3220E"/>
    <w:rsid w:val="00C325FA"/>
    <w:rsid w:val="00C32ADF"/>
    <w:rsid w:val="00C32B6E"/>
    <w:rsid w:val="00C32D21"/>
    <w:rsid w:val="00C32EF1"/>
    <w:rsid w:val="00C3303C"/>
    <w:rsid w:val="00C3420E"/>
    <w:rsid w:val="00C34211"/>
    <w:rsid w:val="00C34DBE"/>
    <w:rsid w:val="00C35944"/>
    <w:rsid w:val="00C361AF"/>
    <w:rsid w:val="00C36943"/>
    <w:rsid w:val="00C369E8"/>
    <w:rsid w:val="00C36B73"/>
    <w:rsid w:val="00C37125"/>
    <w:rsid w:val="00C37522"/>
    <w:rsid w:val="00C37A4F"/>
    <w:rsid w:val="00C37D68"/>
    <w:rsid w:val="00C40253"/>
    <w:rsid w:val="00C4059A"/>
    <w:rsid w:val="00C40843"/>
    <w:rsid w:val="00C408EE"/>
    <w:rsid w:val="00C40954"/>
    <w:rsid w:val="00C40AF4"/>
    <w:rsid w:val="00C40C90"/>
    <w:rsid w:val="00C40CB2"/>
    <w:rsid w:val="00C40CC4"/>
    <w:rsid w:val="00C413A1"/>
    <w:rsid w:val="00C414C1"/>
    <w:rsid w:val="00C415D8"/>
    <w:rsid w:val="00C4161E"/>
    <w:rsid w:val="00C4163F"/>
    <w:rsid w:val="00C4168B"/>
    <w:rsid w:val="00C4169D"/>
    <w:rsid w:val="00C41722"/>
    <w:rsid w:val="00C41842"/>
    <w:rsid w:val="00C41A7C"/>
    <w:rsid w:val="00C4221B"/>
    <w:rsid w:val="00C427B8"/>
    <w:rsid w:val="00C42AE1"/>
    <w:rsid w:val="00C42B41"/>
    <w:rsid w:val="00C43234"/>
    <w:rsid w:val="00C43465"/>
    <w:rsid w:val="00C435CF"/>
    <w:rsid w:val="00C43702"/>
    <w:rsid w:val="00C43C37"/>
    <w:rsid w:val="00C43C54"/>
    <w:rsid w:val="00C43CCB"/>
    <w:rsid w:val="00C43D67"/>
    <w:rsid w:val="00C43F02"/>
    <w:rsid w:val="00C443B5"/>
    <w:rsid w:val="00C445CB"/>
    <w:rsid w:val="00C44646"/>
    <w:rsid w:val="00C44691"/>
    <w:rsid w:val="00C45130"/>
    <w:rsid w:val="00C4565E"/>
    <w:rsid w:val="00C45884"/>
    <w:rsid w:val="00C45E57"/>
    <w:rsid w:val="00C46066"/>
    <w:rsid w:val="00C465E0"/>
    <w:rsid w:val="00C46878"/>
    <w:rsid w:val="00C46BD8"/>
    <w:rsid w:val="00C46FBE"/>
    <w:rsid w:val="00C4708E"/>
    <w:rsid w:val="00C473C7"/>
    <w:rsid w:val="00C500EB"/>
    <w:rsid w:val="00C5071E"/>
    <w:rsid w:val="00C50927"/>
    <w:rsid w:val="00C50A49"/>
    <w:rsid w:val="00C50AE5"/>
    <w:rsid w:val="00C51240"/>
    <w:rsid w:val="00C51B58"/>
    <w:rsid w:val="00C51B78"/>
    <w:rsid w:val="00C51E39"/>
    <w:rsid w:val="00C521CC"/>
    <w:rsid w:val="00C5288E"/>
    <w:rsid w:val="00C529DA"/>
    <w:rsid w:val="00C52DD2"/>
    <w:rsid w:val="00C535F2"/>
    <w:rsid w:val="00C53896"/>
    <w:rsid w:val="00C53A07"/>
    <w:rsid w:val="00C53B86"/>
    <w:rsid w:val="00C53BFC"/>
    <w:rsid w:val="00C53C6E"/>
    <w:rsid w:val="00C54349"/>
    <w:rsid w:val="00C54380"/>
    <w:rsid w:val="00C54420"/>
    <w:rsid w:val="00C545B7"/>
    <w:rsid w:val="00C54B48"/>
    <w:rsid w:val="00C54D4E"/>
    <w:rsid w:val="00C54DF2"/>
    <w:rsid w:val="00C5520B"/>
    <w:rsid w:val="00C55368"/>
    <w:rsid w:val="00C555FE"/>
    <w:rsid w:val="00C55BB2"/>
    <w:rsid w:val="00C55F73"/>
    <w:rsid w:val="00C561C7"/>
    <w:rsid w:val="00C56274"/>
    <w:rsid w:val="00C563D8"/>
    <w:rsid w:val="00C5640A"/>
    <w:rsid w:val="00C56446"/>
    <w:rsid w:val="00C5648A"/>
    <w:rsid w:val="00C567A1"/>
    <w:rsid w:val="00C569DD"/>
    <w:rsid w:val="00C569DE"/>
    <w:rsid w:val="00C56B09"/>
    <w:rsid w:val="00C56B17"/>
    <w:rsid w:val="00C56EB8"/>
    <w:rsid w:val="00C5702A"/>
    <w:rsid w:val="00C5722F"/>
    <w:rsid w:val="00C574B6"/>
    <w:rsid w:val="00C578C3"/>
    <w:rsid w:val="00C57E63"/>
    <w:rsid w:val="00C57F9C"/>
    <w:rsid w:val="00C600AC"/>
    <w:rsid w:val="00C6094C"/>
    <w:rsid w:val="00C60B51"/>
    <w:rsid w:val="00C612DF"/>
    <w:rsid w:val="00C612F3"/>
    <w:rsid w:val="00C615E4"/>
    <w:rsid w:val="00C61A98"/>
    <w:rsid w:val="00C61AF3"/>
    <w:rsid w:val="00C61CA0"/>
    <w:rsid w:val="00C61FA2"/>
    <w:rsid w:val="00C62025"/>
    <w:rsid w:val="00C624DA"/>
    <w:rsid w:val="00C627CD"/>
    <w:rsid w:val="00C6286F"/>
    <w:rsid w:val="00C62A75"/>
    <w:rsid w:val="00C62DCA"/>
    <w:rsid w:val="00C63639"/>
    <w:rsid w:val="00C640B1"/>
    <w:rsid w:val="00C645DC"/>
    <w:rsid w:val="00C646EA"/>
    <w:rsid w:val="00C64764"/>
    <w:rsid w:val="00C64880"/>
    <w:rsid w:val="00C65136"/>
    <w:rsid w:val="00C658D1"/>
    <w:rsid w:val="00C65D97"/>
    <w:rsid w:val="00C66B99"/>
    <w:rsid w:val="00C66C36"/>
    <w:rsid w:val="00C67558"/>
    <w:rsid w:val="00C67AB9"/>
    <w:rsid w:val="00C67BFF"/>
    <w:rsid w:val="00C67DD0"/>
    <w:rsid w:val="00C67F80"/>
    <w:rsid w:val="00C711EA"/>
    <w:rsid w:val="00C7136A"/>
    <w:rsid w:val="00C71C50"/>
    <w:rsid w:val="00C71F4D"/>
    <w:rsid w:val="00C7256A"/>
    <w:rsid w:val="00C72703"/>
    <w:rsid w:val="00C72E10"/>
    <w:rsid w:val="00C72E7B"/>
    <w:rsid w:val="00C73229"/>
    <w:rsid w:val="00C73BC9"/>
    <w:rsid w:val="00C73CAA"/>
    <w:rsid w:val="00C73DB8"/>
    <w:rsid w:val="00C7419A"/>
    <w:rsid w:val="00C744FD"/>
    <w:rsid w:val="00C74783"/>
    <w:rsid w:val="00C74809"/>
    <w:rsid w:val="00C75281"/>
    <w:rsid w:val="00C759D3"/>
    <w:rsid w:val="00C75BF6"/>
    <w:rsid w:val="00C75D78"/>
    <w:rsid w:val="00C76105"/>
    <w:rsid w:val="00C764FA"/>
    <w:rsid w:val="00C77F32"/>
    <w:rsid w:val="00C8018D"/>
    <w:rsid w:val="00C80491"/>
    <w:rsid w:val="00C805B0"/>
    <w:rsid w:val="00C80970"/>
    <w:rsid w:val="00C80A30"/>
    <w:rsid w:val="00C810F2"/>
    <w:rsid w:val="00C81B53"/>
    <w:rsid w:val="00C820ED"/>
    <w:rsid w:val="00C82266"/>
    <w:rsid w:val="00C82312"/>
    <w:rsid w:val="00C82BB8"/>
    <w:rsid w:val="00C8312E"/>
    <w:rsid w:val="00C83419"/>
    <w:rsid w:val="00C8374D"/>
    <w:rsid w:val="00C83E45"/>
    <w:rsid w:val="00C83E47"/>
    <w:rsid w:val="00C83FFE"/>
    <w:rsid w:val="00C843CC"/>
    <w:rsid w:val="00C84723"/>
    <w:rsid w:val="00C84856"/>
    <w:rsid w:val="00C84C37"/>
    <w:rsid w:val="00C84E1A"/>
    <w:rsid w:val="00C854F7"/>
    <w:rsid w:val="00C85616"/>
    <w:rsid w:val="00C8564A"/>
    <w:rsid w:val="00C85693"/>
    <w:rsid w:val="00C85CC8"/>
    <w:rsid w:val="00C8625F"/>
    <w:rsid w:val="00C865F8"/>
    <w:rsid w:val="00C86788"/>
    <w:rsid w:val="00C867AA"/>
    <w:rsid w:val="00C86ABE"/>
    <w:rsid w:val="00C86BE5"/>
    <w:rsid w:val="00C86E6E"/>
    <w:rsid w:val="00C8704E"/>
    <w:rsid w:val="00C87198"/>
    <w:rsid w:val="00C87223"/>
    <w:rsid w:val="00C879F7"/>
    <w:rsid w:val="00C87CAD"/>
    <w:rsid w:val="00C9004B"/>
    <w:rsid w:val="00C90A04"/>
    <w:rsid w:val="00C90D05"/>
    <w:rsid w:val="00C90D14"/>
    <w:rsid w:val="00C90E77"/>
    <w:rsid w:val="00C91726"/>
    <w:rsid w:val="00C91DA5"/>
    <w:rsid w:val="00C91F60"/>
    <w:rsid w:val="00C9215A"/>
    <w:rsid w:val="00C92504"/>
    <w:rsid w:val="00C92838"/>
    <w:rsid w:val="00C92F86"/>
    <w:rsid w:val="00C932E8"/>
    <w:rsid w:val="00C93CDC"/>
    <w:rsid w:val="00C93D36"/>
    <w:rsid w:val="00C93ED0"/>
    <w:rsid w:val="00C9421C"/>
    <w:rsid w:val="00C94435"/>
    <w:rsid w:val="00C944FB"/>
    <w:rsid w:val="00C94844"/>
    <w:rsid w:val="00C9492E"/>
    <w:rsid w:val="00C94A42"/>
    <w:rsid w:val="00C94C52"/>
    <w:rsid w:val="00C952EA"/>
    <w:rsid w:val="00C95718"/>
    <w:rsid w:val="00C95C2C"/>
    <w:rsid w:val="00C95D3C"/>
    <w:rsid w:val="00C95D5C"/>
    <w:rsid w:val="00C95DE5"/>
    <w:rsid w:val="00C9674F"/>
    <w:rsid w:val="00C970AC"/>
    <w:rsid w:val="00C975AA"/>
    <w:rsid w:val="00C977BD"/>
    <w:rsid w:val="00C97A8F"/>
    <w:rsid w:val="00C97BF6"/>
    <w:rsid w:val="00C97D93"/>
    <w:rsid w:val="00CA01C4"/>
    <w:rsid w:val="00CA0678"/>
    <w:rsid w:val="00CA08EA"/>
    <w:rsid w:val="00CA0B2E"/>
    <w:rsid w:val="00CA110F"/>
    <w:rsid w:val="00CA11A5"/>
    <w:rsid w:val="00CA162C"/>
    <w:rsid w:val="00CA18A3"/>
    <w:rsid w:val="00CA1A27"/>
    <w:rsid w:val="00CA1E4F"/>
    <w:rsid w:val="00CA1EF2"/>
    <w:rsid w:val="00CA26D5"/>
    <w:rsid w:val="00CA27A3"/>
    <w:rsid w:val="00CA2B9B"/>
    <w:rsid w:val="00CA2FBB"/>
    <w:rsid w:val="00CA3167"/>
    <w:rsid w:val="00CA34B8"/>
    <w:rsid w:val="00CA377E"/>
    <w:rsid w:val="00CA3B93"/>
    <w:rsid w:val="00CA3B9B"/>
    <w:rsid w:val="00CA415D"/>
    <w:rsid w:val="00CA437F"/>
    <w:rsid w:val="00CA44CC"/>
    <w:rsid w:val="00CA459A"/>
    <w:rsid w:val="00CA481B"/>
    <w:rsid w:val="00CA4876"/>
    <w:rsid w:val="00CA4983"/>
    <w:rsid w:val="00CA4B17"/>
    <w:rsid w:val="00CA4C7D"/>
    <w:rsid w:val="00CA540E"/>
    <w:rsid w:val="00CA54F8"/>
    <w:rsid w:val="00CA5AAB"/>
    <w:rsid w:val="00CA5B0E"/>
    <w:rsid w:val="00CA5B4C"/>
    <w:rsid w:val="00CA5BAE"/>
    <w:rsid w:val="00CA60BC"/>
    <w:rsid w:val="00CA6221"/>
    <w:rsid w:val="00CA632B"/>
    <w:rsid w:val="00CA64A0"/>
    <w:rsid w:val="00CA6780"/>
    <w:rsid w:val="00CA6D2D"/>
    <w:rsid w:val="00CA6D81"/>
    <w:rsid w:val="00CA7036"/>
    <w:rsid w:val="00CA7334"/>
    <w:rsid w:val="00CA774C"/>
    <w:rsid w:val="00CB053C"/>
    <w:rsid w:val="00CB0D1A"/>
    <w:rsid w:val="00CB135E"/>
    <w:rsid w:val="00CB15FA"/>
    <w:rsid w:val="00CB1703"/>
    <w:rsid w:val="00CB1999"/>
    <w:rsid w:val="00CB2832"/>
    <w:rsid w:val="00CB287F"/>
    <w:rsid w:val="00CB2EB6"/>
    <w:rsid w:val="00CB3157"/>
    <w:rsid w:val="00CB3443"/>
    <w:rsid w:val="00CB3836"/>
    <w:rsid w:val="00CB39E0"/>
    <w:rsid w:val="00CB3E54"/>
    <w:rsid w:val="00CB41FC"/>
    <w:rsid w:val="00CB48AF"/>
    <w:rsid w:val="00CB4951"/>
    <w:rsid w:val="00CB49F9"/>
    <w:rsid w:val="00CB5AC1"/>
    <w:rsid w:val="00CB5E88"/>
    <w:rsid w:val="00CB5F73"/>
    <w:rsid w:val="00CB62CC"/>
    <w:rsid w:val="00CB631C"/>
    <w:rsid w:val="00CB6626"/>
    <w:rsid w:val="00CB71A8"/>
    <w:rsid w:val="00CB72D5"/>
    <w:rsid w:val="00CB7666"/>
    <w:rsid w:val="00CB7B08"/>
    <w:rsid w:val="00CB7C1B"/>
    <w:rsid w:val="00CB7D11"/>
    <w:rsid w:val="00CB7F3D"/>
    <w:rsid w:val="00CC0433"/>
    <w:rsid w:val="00CC09A0"/>
    <w:rsid w:val="00CC1219"/>
    <w:rsid w:val="00CC179C"/>
    <w:rsid w:val="00CC1EC4"/>
    <w:rsid w:val="00CC1ED4"/>
    <w:rsid w:val="00CC1FD6"/>
    <w:rsid w:val="00CC2348"/>
    <w:rsid w:val="00CC2E10"/>
    <w:rsid w:val="00CC3185"/>
    <w:rsid w:val="00CC32EF"/>
    <w:rsid w:val="00CC3FD2"/>
    <w:rsid w:val="00CC427C"/>
    <w:rsid w:val="00CC4509"/>
    <w:rsid w:val="00CC4645"/>
    <w:rsid w:val="00CC540F"/>
    <w:rsid w:val="00CC60A3"/>
    <w:rsid w:val="00CC6616"/>
    <w:rsid w:val="00CC6971"/>
    <w:rsid w:val="00CC6BB2"/>
    <w:rsid w:val="00CC6E44"/>
    <w:rsid w:val="00CC72FC"/>
    <w:rsid w:val="00CD03CE"/>
    <w:rsid w:val="00CD06E9"/>
    <w:rsid w:val="00CD0ACC"/>
    <w:rsid w:val="00CD0E3A"/>
    <w:rsid w:val="00CD0E59"/>
    <w:rsid w:val="00CD0EFE"/>
    <w:rsid w:val="00CD136D"/>
    <w:rsid w:val="00CD197B"/>
    <w:rsid w:val="00CD252C"/>
    <w:rsid w:val="00CD25D7"/>
    <w:rsid w:val="00CD2728"/>
    <w:rsid w:val="00CD28D3"/>
    <w:rsid w:val="00CD2AD7"/>
    <w:rsid w:val="00CD31DE"/>
    <w:rsid w:val="00CD39A7"/>
    <w:rsid w:val="00CD39DF"/>
    <w:rsid w:val="00CD3A3F"/>
    <w:rsid w:val="00CD3B84"/>
    <w:rsid w:val="00CD3DBE"/>
    <w:rsid w:val="00CD4047"/>
    <w:rsid w:val="00CD4617"/>
    <w:rsid w:val="00CD48B5"/>
    <w:rsid w:val="00CD49EE"/>
    <w:rsid w:val="00CD506D"/>
    <w:rsid w:val="00CD5D43"/>
    <w:rsid w:val="00CD5E60"/>
    <w:rsid w:val="00CD60D3"/>
    <w:rsid w:val="00CD66D4"/>
    <w:rsid w:val="00CD684B"/>
    <w:rsid w:val="00CD6937"/>
    <w:rsid w:val="00CD72BD"/>
    <w:rsid w:val="00CD733F"/>
    <w:rsid w:val="00CD76AE"/>
    <w:rsid w:val="00CD77D2"/>
    <w:rsid w:val="00CDF7D4"/>
    <w:rsid w:val="00CE09AA"/>
    <w:rsid w:val="00CE0E3B"/>
    <w:rsid w:val="00CE1150"/>
    <w:rsid w:val="00CE1488"/>
    <w:rsid w:val="00CE1AD7"/>
    <w:rsid w:val="00CE1B13"/>
    <w:rsid w:val="00CE1F23"/>
    <w:rsid w:val="00CE1FCD"/>
    <w:rsid w:val="00CE24E3"/>
    <w:rsid w:val="00CE2670"/>
    <w:rsid w:val="00CE2781"/>
    <w:rsid w:val="00CE2CBA"/>
    <w:rsid w:val="00CE2CED"/>
    <w:rsid w:val="00CE2E87"/>
    <w:rsid w:val="00CE2F89"/>
    <w:rsid w:val="00CE3078"/>
    <w:rsid w:val="00CE3131"/>
    <w:rsid w:val="00CE32F1"/>
    <w:rsid w:val="00CE3434"/>
    <w:rsid w:val="00CE3486"/>
    <w:rsid w:val="00CE3A1A"/>
    <w:rsid w:val="00CE3B16"/>
    <w:rsid w:val="00CE3C75"/>
    <w:rsid w:val="00CE3D33"/>
    <w:rsid w:val="00CE4712"/>
    <w:rsid w:val="00CE517D"/>
    <w:rsid w:val="00CE538B"/>
    <w:rsid w:val="00CE5D45"/>
    <w:rsid w:val="00CE604E"/>
    <w:rsid w:val="00CE66F4"/>
    <w:rsid w:val="00CE6EF5"/>
    <w:rsid w:val="00CE70ED"/>
    <w:rsid w:val="00CE7278"/>
    <w:rsid w:val="00CE7413"/>
    <w:rsid w:val="00CE7630"/>
    <w:rsid w:val="00CE7B57"/>
    <w:rsid w:val="00CE7F0A"/>
    <w:rsid w:val="00CF1073"/>
    <w:rsid w:val="00CF145D"/>
    <w:rsid w:val="00CF156D"/>
    <w:rsid w:val="00CF15C0"/>
    <w:rsid w:val="00CF1A3A"/>
    <w:rsid w:val="00CF1ACF"/>
    <w:rsid w:val="00CF1BAC"/>
    <w:rsid w:val="00CF1C4A"/>
    <w:rsid w:val="00CF1E13"/>
    <w:rsid w:val="00CF1F96"/>
    <w:rsid w:val="00CF214B"/>
    <w:rsid w:val="00CF221F"/>
    <w:rsid w:val="00CF222C"/>
    <w:rsid w:val="00CF28CA"/>
    <w:rsid w:val="00CF29CD"/>
    <w:rsid w:val="00CF2B6A"/>
    <w:rsid w:val="00CF2D52"/>
    <w:rsid w:val="00CF301D"/>
    <w:rsid w:val="00CF3029"/>
    <w:rsid w:val="00CF3756"/>
    <w:rsid w:val="00CF3B4E"/>
    <w:rsid w:val="00CF3C20"/>
    <w:rsid w:val="00CF41F8"/>
    <w:rsid w:val="00CF4455"/>
    <w:rsid w:val="00CF4458"/>
    <w:rsid w:val="00CF4473"/>
    <w:rsid w:val="00CF44E5"/>
    <w:rsid w:val="00CF4628"/>
    <w:rsid w:val="00CF482D"/>
    <w:rsid w:val="00CF5204"/>
    <w:rsid w:val="00CF5905"/>
    <w:rsid w:val="00CF5F87"/>
    <w:rsid w:val="00CF6070"/>
    <w:rsid w:val="00CF6E84"/>
    <w:rsid w:val="00CF7599"/>
    <w:rsid w:val="00CF78FE"/>
    <w:rsid w:val="00CF79F3"/>
    <w:rsid w:val="00CF7A97"/>
    <w:rsid w:val="00CF7F55"/>
    <w:rsid w:val="00D003C3"/>
    <w:rsid w:val="00D0099C"/>
    <w:rsid w:val="00D00ECB"/>
    <w:rsid w:val="00D00EDD"/>
    <w:rsid w:val="00D016A1"/>
    <w:rsid w:val="00D01B68"/>
    <w:rsid w:val="00D0247E"/>
    <w:rsid w:val="00D028A2"/>
    <w:rsid w:val="00D029AB"/>
    <w:rsid w:val="00D034C5"/>
    <w:rsid w:val="00D037A6"/>
    <w:rsid w:val="00D0381D"/>
    <w:rsid w:val="00D03CFC"/>
    <w:rsid w:val="00D0405B"/>
    <w:rsid w:val="00D04222"/>
    <w:rsid w:val="00D04551"/>
    <w:rsid w:val="00D04951"/>
    <w:rsid w:val="00D04BD7"/>
    <w:rsid w:val="00D04E74"/>
    <w:rsid w:val="00D050B1"/>
    <w:rsid w:val="00D05166"/>
    <w:rsid w:val="00D057E5"/>
    <w:rsid w:val="00D0583F"/>
    <w:rsid w:val="00D05918"/>
    <w:rsid w:val="00D05D8F"/>
    <w:rsid w:val="00D063BD"/>
    <w:rsid w:val="00D06B98"/>
    <w:rsid w:val="00D06BF4"/>
    <w:rsid w:val="00D071DB"/>
    <w:rsid w:val="00D076DF"/>
    <w:rsid w:val="00D07992"/>
    <w:rsid w:val="00D07C79"/>
    <w:rsid w:val="00D07D6C"/>
    <w:rsid w:val="00D1033B"/>
    <w:rsid w:val="00D10664"/>
    <w:rsid w:val="00D10985"/>
    <w:rsid w:val="00D11294"/>
    <w:rsid w:val="00D114AB"/>
    <w:rsid w:val="00D11B8F"/>
    <w:rsid w:val="00D11CAC"/>
    <w:rsid w:val="00D11EF7"/>
    <w:rsid w:val="00D12824"/>
    <w:rsid w:val="00D13022"/>
    <w:rsid w:val="00D131A3"/>
    <w:rsid w:val="00D1334D"/>
    <w:rsid w:val="00D13890"/>
    <w:rsid w:val="00D13BCA"/>
    <w:rsid w:val="00D13D5F"/>
    <w:rsid w:val="00D13F96"/>
    <w:rsid w:val="00D14CB4"/>
    <w:rsid w:val="00D15D29"/>
    <w:rsid w:val="00D1635E"/>
    <w:rsid w:val="00D16368"/>
    <w:rsid w:val="00D16A86"/>
    <w:rsid w:val="00D16D4A"/>
    <w:rsid w:val="00D170E4"/>
    <w:rsid w:val="00D17201"/>
    <w:rsid w:val="00D172EC"/>
    <w:rsid w:val="00D177C5"/>
    <w:rsid w:val="00D177FC"/>
    <w:rsid w:val="00D17E28"/>
    <w:rsid w:val="00D201E7"/>
    <w:rsid w:val="00D20239"/>
    <w:rsid w:val="00D20A0E"/>
    <w:rsid w:val="00D20A78"/>
    <w:rsid w:val="00D20C11"/>
    <w:rsid w:val="00D20F5B"/>
    <w:rsid w:val="00D21179"/>
    <w:rsid w:val="00D2196A"/>
    <w:rsid w:val="00D21BC7"/>
    <w:rsid w:val="00D21F88"/>
    <w:rsid w:val="00D220AB"/>
    <w:rsid w:val="00D2257F"/>
    <w:rsid w:val="00D225C2"/>
    <w:rsid w:val="00D22E32"/>
    <w:rsid w:val="00D23298"/>
    <w:rsid w:val="00D233B0"/>
    <w:rsid w:val="00D23977"/>
    <w:rsid w:val="00D2406A"/>
    <w:rsid w:val="00D24190"/>
    <w:rsid w:val="00D24656"/>
    <w:rsid w:val="00D250D9"/>
    <w:rsid w:val="00D2518B"/>
    <w:rsid w:val="00D25A53"/>
    <w:rsid w:val="00D25C86"/>
    <w:rsid w:val="00D25CE5"/>
    <w:rsid w:val="00D2645C"/>
    <w:rsid w:val="00D265BC"/>
    <w:rsid w:val="00D2670B"/>
    <w:rsid w:val="00D26885"/>
    <w:rsid w:val="00D26EC7"/>
    <w:rsid w:val="00D27097"/>
    <w:rsid w:val="00D271A8"/>
    <w:rsid w:val="00D27795"/>
    <w:rsid w:val="00D27831"/>
    <w:rsid w:val="00D27CF7"/>
    <w:rsid w:val="00D300AE"/>
    <w:rsid w:val="00D300CA"/>
    <w:rsid w:val="00D31562"/>
    <w:rsid w:val="00D3177D"/>
    <w:rsid w:val="00D31791"/>
    <w:rsid w:val="00D31B2F"/>
    <w:rsid w:val="00D31C6B"/>
    <w:rsid w:val="00D32073"/>
    <w:rsid w:val="00D32737"/>
    <w:rsid w:val="00D3282A"/>
    <w:rsid w:val="00D332C0"/>
    <w:rsid w:val="00D332DB"/>
    <w:rsid w:val="00D336E7"/>
    <w:rsid w:val="00D34097"/>
    <w:rsid w:val="00D3462D"/>
    <w:rsid w:val="00D34B70"/>
    <w:rsid w:val="00D352A1"/>
    <w:rsid w:val="00D356D2"/>
    <w:rsid w:val="00D35D15"/>
    <w:rsid w:val="00D3626A"/>
    <w:rsid w:val="00D36505"/>
    <w:rsid w:val="00D36573"/>
    <w:rsid w:val="00D3677F"/>
    <w:rsid w:val="00D36AB0"/>
    <w:rsid w:val="00D36D76"/>
    <w:rsid w:val="00D36DA8"/>
    <w:rsid w:val="00D36E16"/>
    <w:rsid w:val="00D36E96"/>
    <w:rsid w:val="00D37156"/>
    <w:rsid w:val="00D37223"/>
    <w:rsid w:val="00D37272"/>
    <w:rsid w:val="00D37622"/>
    <w:rsid w:val="00D37A3F"/>
    <w:rsid w:val="00D37C38"/>
    <w:rsid w:val="00D400C7"/>
    <w:rsid w:val="00D40AE4"/>
    <w:rsid w:val="00D40B73"/>
    <w:rsid w:val="00D417B1"/>
    <w:rsid w:val="00D419BF"/>
    <w:rsid w:val="00D421A5"/>
    <w:rsid w:val="00D42509"/>
    <w:rsid w:val="00D4309E"/>
    <w:rsid w:val="00D430B3"/>
    <w:rsid w:val="00D43415"/>
    <w:rsid w:val="00D4350B"/>
    <w:rsid w:val="00D43B7F"/>
    <w:rsid w:val="00D441CC"/>
    <w:rsid w:val="00D44C74"/>
    <w:rsid w:val="00D45271"/>
    <w:rsid w:val="00D45366"/>
    <w:rsid w:val="00D45A33"/>
    <w:rsid w:val="00D45C1E"/>
    <w:rsid w:val="00D45C2F"/>
    <w:rsid w:val="00D45F25"/>
    <w:rsid w:val="00D45FA2"/>
    <w:rsid w:val="00D46134"/>
    <w:rsid w:val="00D4671E"/>
    <w:rsid w:val="00D46B2D"/>
    <w:rsid w:val="00D471C2"/>
    <w:rsid w:val="00D47388"/>
    <w:rsid w:val="00D47F16"/>
    <w:rsid w:val="00D47F75"/>
    <w:rsid w:val="00D509E6"/>
    <w:rsid w:val="00D51AEE"/>
    <w:rsid w:val="00D51C77"/>
    <w:rsid w:val="00D51E4B"/>
    <w:rsid w:val="00D520F0"/>
    <w:rsid w:val="00D525BA"/>
    <w:rsid w:val="00D52642"/>
    <w:rsid w:val="00D5284E"/>
    <w:rsid w:val="00D5289F"/>
    <w:rsid w:val="00D52956"/>
    <w:rsid w:val="00D538F2"/>
    <w:rsid w:val="00D53934"/>
    <w:rsid w:val="00D53BF7"/>
    <w:rsid w:val="00D53E60"/>
    <w:rsid w:val="00D53E85"/>
    <w:rsid w:val="00D5461A"/>
    <w:rsid w:val="00D54967"/>
    <w:rsid w:val="00D54AD5"/>
    <w:rsid w:val="00D54E91"/>
    <w:rsid w:val="00D55341"/>
    <w:rsid w:val="00D557B9"/>
    <w:rsid w:val="00D55D02"/>
    <w:rsid w:val="00D56091"/>
    <w:rsid w:val="00D561CD"/>
    <w:rsid w:val="00D566E1"/>
    <w:rsid w:val="00D56877"/>
    <w:rsid w:val="00D570AE"/>
    <w:rsid w:val="00D57195"/>
    <w:rsid w:val="00D5736E"/>
    <w:rsid w:val="00D57575"/>
    <w:rsid w:val="00D5764B"/>
    <w:rsid w:val="00D603D5"/>
    <w:rsid w:val="00D60449"/>
    <w:rsid w:val="00D604BC"/>
    <w:rsid w:val="00D60565"/>
    <w:rsid w:val="00D6135D"/>
    <w:rsid w:val="00D61404"/>
    <w:rsid w:val="00D61643"/>
    <w:rsid w:val="00D61E79"/>
    <w:rsid w:val="00D6245E"/>
    <w:rsid w:val="00D625CF"/>
    <w:rsid w:val="00D62949"/>
    <w:rsid w:val="00D6298B"/>
    <w:rsid w:val="00D6318E"/>
    <w:rsid w:val="00D63202"/>
    <w:rsid w:val="00D633B4"/>
    <w:rsid w:val="00D63621"/>
    <w:rsid w:val="00D63A63"/>
    <w:rsid w:val="00D63BDA"/>
    <w:rsid w:val="00D63D21"/>
    <w:rsid w:val="00D64159"/>
    <w:rsid w:val="00D64DED"/>
    <w:rsid w:val="00D65275"/>
    <w:rsid w:val="00D6572B"/>
    <w:rsid w:val="00D658D6"/>
    <w:rsid w:val="00D65AE9"/>
    <w:rsid w:val="00D66227"/>
    <w:rsid w:val="00D66769"/>
    <w:rsid w:val="00D6686B"/>
    <w:rsid w:val="00D66C92"/>
    <w:rsid w:val="00D67027"/>
    <w:rsid w:val="00D6758C"/>
    <w:rsid w:val="00D678CE"/>
    <w:rsid w:val="00D67F21"/>
    <w:rsid w:val="00D67F71"/>
    <w:rsid w:val="00D703FB"/>
    <w:rsid w:val="00D70BB3"/>
    <w:rsid w:val="00D70E9B"/>
    <w:rsid w:val="00D715EA"/>
    <w:rsid w:val="00D71810"/>
    <w:rsid w:val="00D71A1F"/>
    <w:rsid w:val="00D71AA6"/>
    <w:rsid w:val="00D71D35"/>
    <w:rsid w:val="00D71DCF"/>
    <w:rsid w:val="00D72233"/>
    <w:rsid w:val="00D7237D"/>
    <w:rsid w:val="00D72604"/>
    <w:rsid w:val="00D726EC"/>
    <w:rsid w:val="00D7316E"/>
    <w:rsid w:val="00D73332"/>
    <w:rsid w:val="00D7348E"/>
    <w:rsid w:val="00D734F5"/>
    <w:rsid w:val="00D73F3F"/>
    <w:rsid w:val="00D74B7A"/>
    <w:rsid w:val="00D75047"/>
    <w:rsid w:val="00D7515C"/>
    <w:rsid w:val="00D75308"/>
    <w:rsid w:val="00D75491"/>
    <w:rsid w:val="00D75601"/>
    <w:rsid w:val="00D75850"/>
    <w:rsid w:val="00D75861"/>
    <w:rsid w:val="00D7613E"/>
    <w:rsid w:val="00D76313"/>
    <w:rsid w:val="00D7655C"/>
    <w:rsid w:val="00D765B2"/>
    <w:rsid w:val="00D770BF"/>
    <w:rsid w:val="00D774F5"/>
    <w:rsid w:val="00D77A9A"/>
    <w:rsid w:val="00D77C81"/>
    <w:rsid w:val="00D77F10"/>
    <w:rsid w:val="00D80EA6"/>
    <w:rsid w:val="00D81306"/>
    <w:rsid w:val="00D814EA"/>
    <w:rsid w:val="00D815EE"/>
    <w:rsid w:val="00D8183A"/>
    <w:rsid w:val="00D81DDE"/>
    <w:rsid w:val="00D82387"/>
    <w:rsid w:val="00D826D3"/>
    <w:rsid w:val="00D828C4"/>
    <w:rsid w:val="00D82BE8"/>
    <w:rsid w:val="00D82F72"/>
    <w:rsid w:val="00D83062"/>
    <w:rsid w:val="00D834EF"/>
    <w:rsid w:val="00D83A08"/>
    <w:rsid w:val="00D83A4C"/>
    <w:rsid w:val="00D83C69"/>
    <w:rsid w:val="00D83DA8"/>
    <w:rsid w:val="00D83FF8"/>
    <w:rsid w:val="00D84685"/>
    <w:rsid w:val="00D846C6"/>
    <w:rsid w:val="00D847B9"/>
    <w:rsid w:val="00D84867"/>
    <w:rsid w:val="00D84A09"/>
    <w:rsid w:val="00D84E12"/>
    <w:rsid w:val="00D85150"/>
    <w:rsid w:val="00D851A5"/>
    <w:rsid w:val="00D853A4"/>
    <w:rsid w:val="00D855B5"/>
    <w:rsid w:val="00D8571D"/>
    <w:rsid w:val="00D85CD9"/>
    <w:rsid w:val="00D85EFA"/>
    <w:rsid w:val="00D861FD"/>
    <w:rsid w:val="00D867D5"/>
    <w:rsid w:val="00D86A01"/>
    <w:rsid w:val="00D87079"/>
    <w:rsid w:val="00D8720F"/>
    <w:rsid w:val="00D872DF"/>
    <w:rsid w:val="00D872EC"/>
    <w:rsid w:val="00D87349"/>
    <w:rsid w:val="00D8737F"/>
    <w:rsid w:val="00D8742E"/>
    <w:rsid w:val="00D8790F"/>
    <w:rsid w:val="00D87B1B"/>
    <w:rsid w:val="00D90687"/>
    <w:rsid w:val="00D907DF"/>
    <w:rsid w:val="00D90A19"/>
    <w:rsid w:val="00D90C96"/>
    <w:rsid w:val="00D9140F"/>
    <w:rsid w:val="00D9148D"/>
    <w:rsid w:val="00D917A9"/>
    <w:rsid w:val="00D91828"/>
    <w:rsid w:val="00D9191D"/>
    <w:rsid w:val="00D920E7"/>
    <w:rsid w:val="00D92127"/>
    <w:rsid w:val="00D929B4"/>
    <w:rsid w:val="00D92D6B"/>
    <w:rsid w:val="00D92F64"/>
    <w:rsid w:val="00D9303F"/>
    <w:rsid w:val="00D9314F"/>
    <w:rsid w:val="00D933E9"/>
    <w:rsid w:val="00D93B91"/>
    <w:rsid w:val="00D94010"/>
    <w:rsid w:val="00D94203"/>
    <w:rsid w:val="00D94D14"/>
    <w:rsid w:val="00D94D17"/>
    <w:rsid w:val="00D950E2"/>
    <w:rsid w:val="00D95303"/>
    <w:rsid w:val="00D95490"/>
    <w:rsid w:val="00D95555"/>
    <w:rsid w:val="00D95717"/>
    <w:rsid w:val="00D95BD8"/>
    <w:rsid w:val="00D96197"/>
    <w:rsid w:val="00D9660F"/>
    <w:rsid w:val="00D96BD7"/>
    <w:rsid w:val="00D9705E"/>
    <w:rsid w:val="00D9765E"/>
    <w:rsid w:val="00D97944"/>
    <w:rsid w:val="00D97F42"/>
    <w:rsid w:val="00D97FB6"/>
    <w:rsid w:val="00DA0648"/>
    <w:rsid w:val="00DA093E"/>
    <w:rsid w:val="00DA0ED0"/>
    <w:rsid w:val="00DA106C"/>
    <w:rsid w:val="00DA10B0"/>
    <w:rsid w:val="00DA10BB"/>
    <w:rsid w:val="00DA1136"/>
    <w:rsid w:val="00DA12A2"/>
    <w:rsid w:val="00DA1522"/>
    <w:rsid w:val="00DA1633"/>
    <w:rsid w:val="00DA29DC"/>
    <w:rsid w:val="00DA2EF8"/>
    <w:rsid w:val="00DA31A5"/>
    <w:rsid w:val="00DA3FB6"/>
    <w:rsid w:val="00DA4087"/>
    <w:rsid w:val="00DA5469"/>
    <w:rsid w:val="00DA5F93"/>
    <w:rsid w:val="00DA62D6"/>
    <w:rsid w:val="00DA667F"/>
    <w:rsid w:val="00DA6776"/>
    <w:rsid w:val="00DA68B9"/>
    <w:rsid w:val="00DA771E"/>
    <w:rsid w:val="00DA779B"/>
    <w:rsid w:val="00DA7D04"/>
    <w:rsid w:val="00DA7FFC"/>
    <w:rsid w:val="00DB078F"/>
    <w:rsid w:val="00DB0A0A"/>
    <w:rsid w:val="00DB0C9F"/>
    <w:rsid w:val="00DB0CD5"/>
    <w:rsid w:val="00DB171E"/>
    <w:rsid w:val="00DB18C5"/>
    <w:rsid w:val="00DB1BA0"/>
    <w:rsid w:val="00DB1E66"/>
    <w:rsid w:val="00DB22C7"/>
    <w:rsid w:val="00DB27BD"/>
    <w:rsid w:val="00DB32C3"/>
    <w:rsid w:val="00DB3EB0"/>
    <w:rsid w:val="00DB429C"/>
    <w:rsid w:val="00DB434A"/>
    <w:rsid w:val="00DB444D"/>
    <w:rsid w:val="00DB4451"/>
    <w:rsid w:val="00DB451C"/>
    <w:rsid w:val="00DB4611"/>
    <w:rsid w:val="00DB4617"/>
    <w:rsid w:val="00DB4643"/>
    <w:rsid w:val="00DB4BB5"/>
    <w:rsid w:val="00DB5346"/>
    <w:rsid w:val="00DB5789"/>
    <w:rsid w:val="00DB590F"/>
    <w:rsid w:val="00DB5EBE"/>
    <w:rsid w:val="00DB6142"/>
    <w:rsid w:val="00DB6819"/>
    <w:rsid w:val="00DB6944"/>
    <w:rsid w:val="00DB6B43"/>
    <w:rsid w:val="00DB7067"/>
    <w:rsid w:val="00DB72D9"/>
    <w:rsid w:val="00DB742E"/>
    <w:rsid w:val="00DB74AB"/>
    <w:rsid w:val="00DB770B"/>
    <w:rsid w:val="00DB7769"/>
    <w:rsid w:val="00DB7FAE"/>
    <w:rsid w:val="00DC02C3"/>
    <w:rsid w:val="00DC02CE"/>
    <w:rsid w:val="00DC0709"/>
    <w:rsid w:val="00DC0BB6"/>
    <w:rsid w:val="00DC0BF1"/>
    <w:rsid w:val="00DC0C27"/>
    <w:rsid w:val="00DC0F66"/>
    <w:rsid w:val="00DC1403"/>
    <w:rsid w:val="00DC1AAC"/>
    <w:rsid w:val="00DC1BEC"/>
    <w:rsid w:val="00DC1DE1"/>
    <w:rsid w:val="00DC235B"/>
    <w:rsid w:val="00DC3009"/>
    <w:rsid w:val="00DC3582"/>
    <w:rsid w:val="00DC3720"/>
    <w:rsid w:val="00DC3B31"/>
    <w:rsid w:val="00DC3BAC"/>
    <w:rsid w:val="00DC4122"/>
    <w:rsid w:val="00DC538F"/>
    <w:rsid w:val="00DC616A"/>
    <w:rsid w:val="00DC64EE"/>
    <w:rsid w:val="00DC653A"/>
    <w:rsid w:val="00DC6FC6"/>
    <w:rsid w:val="00DC6FDD"/>
    <w:rsid w:val="00DC74AC"/>
    <w:rsid w:val="00DC7DA7"/>
    <w:rsid w:val="00DC7E2F"/>
    <w:rsid w:val="00DC7F89"/>
    <w:rsid w:val="00DD0105"/>
    <w:rsid w:val="00DD0EF6"/>
    <w:rsid w:val="00DD104C"/>
    <w:rsid w:val="00DD12DB"/>
    <w:rsid w:val="00DD1479"/>
    <w:rsid w:val="00DD1A53"/>
    <w:rsid w:val="00DD1B2F"/>
    <w:rsid w:val="00DD1E0C"/>
    <w:rsid w:val="00DD2014"/>
    <w:rsid w:val="00DD248B"/>
    <w:rsid w:val="00DD2645"/>
    <w:rsid w:val="00DD2FE8"/>
    <w:rsid w:val="00DD38D4"/>
    <w:rsid w:val="00DD399F"/>
    <w:rsid w:val="00DD3A7E"/>
    <w:rsid w:val="00DD4C97"/>
    <w:rsid w:val="00DD4F20"/>
    <w:rsid w:val="00DD5929"/>
    <w:rsid w:val="00DD59CB"/>
    <w:rsid w:val="00DD5A3C"/>
    <w:rsid w:val="00DD5B65"/>
    <w:rsid w:val="00DD5B6B"/>
    <w:rsid w:val="00DD6560"/>
    <w:rsid w:val="00DD68FF"/>
    <w:rsid w:val="00DD697D"/>
    <w:rsid w:val="00DD6D17"/>
    <w:rsid w:val="00DD6D8D"/>
    <w:rsid w:val="00DD6EA2"/>
    <w:rsid w:val="00DD715B"/>
    <w:rsid w:val="00DD74C0"/>
    <w:rsid w:val="00DD7BCA"/>
    <w:rsid w:val="00DD7D1E"/>
    <w:rsid w:val="00DE0656"/>
    <w:rsid w:val="00DE0CA6"/>
    <w:rsid w:val="00DE175F"/>
    <w:rsid w:val="00DE21DF"/>
    <w:rsid w:val="00DE2CB4"/>
    <w:rsid w:val="00DE2CDD"/>
    <w:rsid w:val="00DE2DD0"/>
    <w:rsid w:val="00DE2F58"/>
    <w:rsid w:val="00DE3407"/>
    <w:rsid w:val="00DE356D"/>
    <w:rsid w:val="00DE3881"/>
    <w:rsid w:val="00DE3B7A"/>
    <w:rsid w:val="00DE40A6"/>
    <w:rsid w:val="00DE42C5"/>
    <w:rsid w:val="00DE449F"/>
    <w:rsid w:val="00DE4952"/>
    <w:rsid w:val="00DE5156"/>
    <w:rsid w:val="00DE5945"/>
    <w:rsid w:val="00DE5966"/>
    <w:rsid w:val="00DE5A24"/>
    <w:rsid w:val="00DE5A97"/>
    <w:rsid w:val="00DE6F75"/>
    <w:rsid w:val="00DE7522"/>
    <w:rsid w:val="00DE762F"/>
    <w:rsid w:val="00DE76C5"/>
    <w:rsid w:val="00DE7BEF"/>
    <w:rsid w:val="00DE7C24"/>
    <w:rsid w:val="00DE7E2B"/>
    <w:rsid w:val="00DE7EF6"/>
    <w:rsid w:val="00DE7F62"/>
    <w:rsid w:val="00DEC8F5"/>
    <w:rsid w:val="00DF044B"/>
    <w:rsid w:val="00DF0567"/>
    <w:rsid w:val="00DF0E12"/>
    <w:rsid w:val="00DF110F"/>
    <w:rsid w:val="00DF2CAF"/>
    <w:rsid w:val="00DF32BE"/>
    <w:rsid w:val="00DF3CC4"/>
    <w:rsid w:val="00DF43BE"/>
    <w:rsid w:val="00DF4464"/>
    <w:rsid w:val="00DF44AF"/>
    <w:rsid w:val="00DF4D09"/>
    <w:rsid w:val="00DF4E0F"/>
    <w:rsid w:val="00DF52CC"/>
    <w:rsid w:val="00DF540E"/>
    <w:rsid w:val="00DF5A75"/>
    <w:rsid w:val="00DF5B90"/>
    <w:rsid w:val="00DF5EAA"/>
    <w:rsid w:val="00DF613C"/>
    <w:rsid w:val="00DF6452"/>
    <w:rsid w:val="00DF67B9"/>
    <w:rsid w:val="00DF747D"/>
    <w:rsid w:val="00DF7540"/>
    <w:rsid w:val="00DF7825"/>
    <w:rsid w:val="00E00060"/>
    <w:rsid w:val="00E001E3"/>
    <w:rsid w:val="00E00499"/>
    <w:rsid w:val="00E00519"/>
    <w:rsid w:val="00E006A4"/>
    <w:rsid w:val="00E0072E"/>
    <w:rsid w:val="00E01062"/>
    <w:rsid w:val="00E01349"/>
    <w:rsid w:val="00E019D7"/>
    <w:rsid w:val="00E01B64"/>
    <w:rsid w:val="00E01D65"/>
    <w:rsid w:val="00E02137"/>
    <w:rsid w:val="00E02298"/>
    <w:rsid w:val="00E02525"/>
    <w:rsid w:val="00E0265A"/>
    <w:rsid w:val="00E026FD"/>
    <w:rsid w:val="00E02862"/>
    <w:rsid w:val="00E028B1"/>
    <w:rsid w:val="00E0298B"/>
    <w:rsid w:val="00E03083"/>
    <w:rsid w:val="00E032B6"/>
    <w:rsid w:val="00E033C1"/>
    <w:rsid w:val="00E03520"/>
    <w:rsid w:val="00E0356D"/>
    <w:rsid w:val="00E035BF"/>
    <w:rsid w:val="00E037E5"/>
    <w:rsid w:val="00E03815"/>
    <w:rsid w:val="00E03982"/>
    <w:rsid w:val="00E03E01"/>
    <w:rsid w:val="00E046D7"/>
    <w:rsid w:val="00E046EA"/>
    <w:rsid w:val="00E047E2"/>
    <w:rsid w:val="00E05029"/>
    <w:rsid w:val="00E0530D"/>
    <w:rsid w:val="00E0574C"/>
    <w:rsid w:val="00E05ACF"/>
    <w:rsid w:val="00E05B71"/>
    <w:rsid w:val="00E0640A"/>
    <w:rsid w:val="00E06B70"/>
    <w:rsid w:val="00E06D27"/>
    <w:rsid w:val="00E06FD5"/>
    <w:rsid w:val="00E07132"/>
    <w:rsid w:val="00E076F9"/>
    <w:rsid w:val="00E0780C"/>
    <w:rsid w:val="00E07E90"/>
    <w:rsid w:val="00E1007B"/>
    <w:rsid w:val="00E108B8"/>
    <w:rsid w:val="00E10CBA"/>
    <w:rsid w:val="00E10CD0"/>
    <w:rsid w:val="00E10E5F"/>
    <w:rsid w:val="00E10FBF"/>
    <w:rsid w:val="00E11339"/>
    <w:rsid w:val="00E116C9"/>
    <w:rsid w:val="00E1178B"/>
    <w:rsid w:val="00E12136"/>
    <w:rsid w:val="00E12280"/>
    <w:rsid w:val="00E12298"/>
    <w:rsid w:val="00E1237B"/>
    <w:rsid w:val="00E12DCE"/>
    <w:rsid w:val="00E12EDA"/>
    <w:rsid w:val="00E130A4"/>
    <w:rsid w:val="00E130A8"/>
    <w:rsid w:val="00E13703"/>
    <w:rsid w:val="00E137A7"/>
    <w:rsid w:val="00E13E28"/>
    <w:rsid w:val="00E142E7"/>
    <w:rsid w:val="00E14320"/>
    <w:rsid w:val="00E148A0"/>
    <w:rsid w:val="00E14E8E"/>
    <w:rsid w:val="00E15E3A"/>
    <w:rsid w:val="00E16429"/>
    <w:rsid w:val="00E16B77"/>
    <w:rsid w:val="00E17116"/>
    <w:rsid w:val="00E174A7"/>
    <w:rsid w:val="00E208B9"/>
    <w:rsid w:val="00E20F4A"/>
    <w:rsid w:val="00E21604"/>
    <w:rsid w:val="00E2187F"/>
    <w:rsid w:val="00E2193C"/>
    <w:rsid w:val="00E21AFA"/>
    <w:rsid w:val="00E21D5D"/>
    <w:rsid w:val="00E220FA"/>
    <w:rsid w:val="00E2228C"/>
    <w:rsid w:val="00E2231E"/>
    <w:rsid w:val="00E223E1"/>
    <w:rsid w:val="00E224F1"/>
    <w:rsid w:val="00E226C2"/>
    <w:rsid w:val="00E2296E"/>
    <w:rsid w:val="00E235AB"/>
    <w:rsid w:val="00E2361C"/>
    <w:rsid w:val="00E23D1F"/>
    <w:rsid w:val="00E23E5D"/>
    <w:rsid w:val="00E241D1"/>
    <w:rsid w:val="00E24917"/>
    <w:rsid w:val="00E25045"/>
    <w:rsid w:val="00E2506D"/>
    <w:rsid w:val="00E25337"/>
    <w:rsid w:val="00E25631"/>
    <w:rsid w:val="00E258E1"/>
    <w:rsid w:val="00E25BF5"/>
    <w:rsid w:val="00E25E41"/>
    <w:rsid w:val="00E26081"/>
    <w:rsid w:val="00E26699"/>
    <w:rsid w:val="00E2702E"/>
    <w:rsid w:val="00E276FE"/>
    <w:rsid w:val="00E27B87"/>
    <w:rsid w:val="00E30074"/>
    <w:rsid w:val="00E302E8"/>
    <w:rsid w:val="00E30894"/>
    <w:rsid w:val="00E30AEA"/>
    <w:rsid w:val="00E30CFD"/>
    <w:rsid w:val="00E32143"/>
    <w:rsid w:val="00E323F8"/>
    <w:rsid w:val="00E33032"/>
    <w:rsid w:val="00E330FF"/>
    <w:rsid w:val="00E336C4"/>
    <w:rsid w:val="00E336E0"/>
    <w:rsid w:val="00E3372C"/>
    <w:rsid w:val="00E338C5"/>
    <w:rsid w:val="00E33DD8"/>
    <w:rsid w:val="00E34053"/>
    <w:rsid w:val="00E34256"/>
    <w:rsid w:val="00E3434B"/>
    <w:rsid w:val="00E343D0"/>
    <w:rsid w:val="00E3448C"/>
    <w:rsid w:val="00E34528"/>
    <w:rsid w:val="00E3489B"/>
    <w:rsid w:val="00E34ED8"/>
    <w:rsid w:val="00E35001"/>
    <w:rsid w:val="00E35720"/>
    <w:rsid w:val="00E35E75"/>
    <w:rsid w:val="00E362EC"/>
    <w:rsid w:val="00E369C3"/>
    <w:rsid w:val="00E36A40"/>
    <w:rsid w:val="00E36F61"/>
    <w:rsid w:val="00E37297"/>
    <w:rsid w:val="00E3756C"/>
    <w:rsid w:val="00E37E63"/>
    <w:rsid w:val="00E37E90"/>
    <w:rsid w:val="00E3A2F0"/>
    <w:rsid w:val="00E40096"/>
    <w:rsid w:val="00E40FD1"/>
    <w:rsid w:val="00E416B1"/>
    <w:rsid w:val="00E416E6"/>
    <w:rsid w:val="00E41B12"/>
    <w:rsid w:val="00E41B51"/>
    <w:rsid w:val="00E41CD4"/>
    <w:rsid w:val="00E424AB"/>
    <w:rsid w:val="00E42D0F"/>
    <w:rsid w:val="00E433BE"/>
    <w:rsid w:val="00E4350E"/>
    <w:rsid w:val="00E436D1"/>
    <w:rsid w:val="00E43843"/>
    <w:rsid w:val="00E438EE"/>
    <w:rsid w:val="00E43A47"/>
    <w:rsid w:val="00E43A8A"/>
    <w:rsid w:val="00E43D4B"/>
    <w:rsid w:val="00E44B94"/>
    <w:rsid w:val="00E44F9C"/>
    <w:rsid w:val="00E459D5"/>
    <w:rsid w:val="00E45F57"/>
    <w:rsid w:val="00E463B5"/>
    <w:rsid w:val="00E46ABB"/>
    <w:rsid w:val="00E46AEF"/>
    <w:rsid w:val="00E46EBC"/>
    <w:rsid w:val="00E46FBA"/>
    <w:rsid w:val="00E47001"/>
    <w:rsid w:val="00E4705A"/>
    <w:rsid w:val="00E470B0"/>
    <w:rsid w:val="00E47101"/>
    <w:rsid w:val="00E4739B"/>
    <w:rsid w:val="00E47479"/>
    <w:rsid w:val="00E475AF"/>
    <w:rsid w:val="00E47928"/>
    <w:rsid w:val="00E4799C"/>
    <w:rsid w:val="00E479EC"/>
    <w:rsid w:val="00E50C84"/>
    <w:rsid w:val="00E51301"/>
    <w:rsid w:val="00E5146C"/>
    <w:rsid w:val="00E51893"/>
    <w:rsid w:val="00E522BD"/>
    <w:rsid w:val="00E52345"/>
    <w:rsid w:val="00E523ED"/>
    <w:rsid w:val="00E529E2"/>
    <w:rsid w:val="00E52E49"/>
    <w:rsid w:val="00E532C3"/>
    <w:rsid w:val="00E5374D"/>
    <w:rsid w:val="00E53AA3"/>
    <w:rsid w:val="00E53C60"/>
    <w:rsid w:val="00E53E9D"/>
    <w:rsid w:val="00E53F7F"/>
    <w:rsid w:val="00E540BF"/>
    <w:rsid w:val="00E5427F"/>
    <w:rsid w:val="00E544E1"/>
    <w:rsid w:val="00E54BCE"/>
    <w:rsid w:val="00E55152"/>
    <w:rsid w:val="00E5544A"/>
    <w:rsid w:val="00E55488"/>
    <w:rsid w:val="00E5580E"/>
    <w:rsid w:val="00E55AFA"/>
    <w:rsid w:val="00E55DFA"/>
    <w:rsid w:val="00E55E9D"/>
    <w:rsid w:val="00E5639A"/>
    <w:rsid w:val="00E56D12"/>
    <w:rsid w:val="00E56ECC"/>
    <w:rsid w:val="00E572BC"/>
    <w:rsid w:val="00E573FB"/>
    <w:rsid w:val="00E573FF"/>
    <w:rsid w:val="00E5783A"/>
    <w:rsid w:val="00E57B92"/>
    <w:rsid w:val="00E60255"/>
    <w:rsid w:val="00E60348"/>
    <w:rsid w:val="00E60391"/>
    <w:rsid w:val="00E60406"/>
    <w:rsid w:val="00E60596"/>
    <w:rsid w:val="00E607F3"/>
    <w:rsid w:val="00E61478"/>
    <w:rsid w:val="00E617EF"/>
    <w:rsid w:val="00E62399"/>
    <w:rsid w:val="00E62BAB"/>
    <w:rsid w:val="00E62D67"/>
    <w:rsid w:val="00E63060"/>
    <w:rsid w:val="00E64290"/>
    <w:rsid w:val="00E64809"/>
    <w:rsid w:val="00E6492E"/>
    <w:rsid w:val="00E649C4"/>
    <w:rsid w:val="00E64DB5"/>
    <w:rsid w:val="00E64FC5"/>
    <w:rsid w:val="00E651EC"/>
    <w:rsid w:val="00E65236"/>
    <w:rsid w:val="00E65C53"/>
    <w:rsid w:val="00E65DAC"/>
    <w:rsid w:val="00E6629B"/>
    <w:rsid w:val="00E6646F"/>
    <w:rsid w:val="00E66664"/>
    <w:rsid w:val="00E6673F"/>
    <w:rsid w:val="00E668FA"/>
    <w:rsid w:val="00E66AB4"/>
    <w:rsid w:val="00E66B94"/>
    <w:rsid w:val="00E66C64"/>
    <w:rsid w:val="00E66E41"/>
    <w:rsid w:val="00E670CA"/>
    <w:rsid w:val="00E67347"/>
    <w:rsid w:val="00E67569"/>
    <w:rsid w:val="00E701EF"/>
    <w:rsid w:val="00E701F0"/>
    <w:rsid w:val="00E70214"/>
    <w:rsid w:val="00E70741"/>
    <w:rsid w:val="00E70AA1"/>
    <w:rsid w:val="00E70D1E"/>
    <w:rsid w:val="00E71976"/>
    <w:rsid w:val="00E71C89"/>
    <w:rsid w:val="00E72B21"/>
    <w:rsid w:val="00E72DBA"/>
    <w:rsid w:val="00E72F2D"/>
    <w:rsid w:val="00E73149"/>
    <w:rsid w:val="00E731D5"/>
    <w:rsid w:val="00E7334F"/>
    <w:rsid w:val="00E73BC4"/>
    <w:rsid w:val="00E73BF4"/>
    <w:rsid w:val="00E73D2E"/>
    <w:rsid w:val="00E7415F"/>
    <w:rsid w:val="00E742C0"/>
    <w:rsid w:val="00E7440E"/>
    <w:rsid w:val="00E74490"/>
    <w:rsid w:val="00E74553"/>
    <w:rsid w:val="00E752B2"/>
    <w:rsid w:val="00E7552B"/>
    <w:rsid w:val="00E75904"/>
    <w:rsid w:val="00E75CA0"/>
    <w:rsid w:val="00E75D5C"/>
    <w:rsid w:val="00E75EC9"/>
    <w:rsid w:val="00E760D2"/>
    <w:rsid w:val="00E7629E"/>
    <w:rsid w:val="00E76635"/>
    <w:rsid w:val="00E7666F"/>
    <w:rsid w:val="00E76A6F"/>
    <w:rsid w:val="00E76C46"/>
    <w:rsid w:val="00E76DC4"/>
    <w:rsid w:val="00E76E4E"/>
    <w:rsid w:val="00E76F7C"/>
    <w:rsid w:val="00E77117"/>
    <w:rsid w:val="00E774DC"/>
    <w:rsid w:val="00E776C9"/>
    <w:rsid w:val="00E77E19"/>
    <w:rsid w:val="00E77F0C"/>
    <w:rsid w:val="00E801AB"/>
    <w:rsid w:val="00E80569"/>
    <w:rsid w:val="00E809D2"/>
    <w:rsid w:val="00E8129A"/>
    <w:rsid w:val="00E819DF"/>
    <w:rsid w:val="00E81A56"/>
    <w:rsid w:val="00E81AAB"/>
    <w:rsid w:val="00E81B91"/>
    <w:rsid w:val="00E81B9A"/>
    <w:rsid w:val="00E81BC4"/>
    <w:rsid w:val="00E81D5C"/>
    <w:rsid w:val="00E81F30"/>
    <w:rsid w:val="00E82AA5"/>
    <w:rsid w:val="00E8357D"/>
    <w:rsid w:val="00E83ADB"/>
    <w:rsid w:val="00E84679"/>
    <w:rsid w:val="00E84AE6"/>
    <w:rsid w:val="00E84BFC"/>
    <w:rsid w:val="00E84D90"/>
    <w:rsid w:val="00E859B0"/>
    <w:rsid w:val="00E85B22"/>
    <w:rsid w:val="00E85E8D"/>
    <w:rsid w:val="00E8608C"/>
    <w:rsid w:val="00E86270"/>
    <w:rsid w:val="00E86827"/>
    <w:rsid w:val="00E86FAA"/>
    <w:rsid w:val="00E87147"/>
    <w:rsid w:val="00E8719E"/>
    <w:rsid w:val="00E87E7B"/>
    <w:rsid w:val="00E90170"/>
    <w:rsid w:val="00E90A79"/>
    <w:rsid w:val="00E910FB"/>
    <w:rsid w:val="00E91219"/>
    <w:rsid w:val="00E91422"/>
    <w:rsid w:val="00E91999"/>
    <w:rsid w:val="00E91FE7"/>
    <w:rsid w:val="00E922BE"/>
    <w:rsid w:val="00E925C1"/>
    <w:rsid w:val="00E92A86"/>
    <w:rsid w:val="00E92CB0"/>
    <w:rsid w:val="00E92F7C"/>
    <w:rsid w:val="00E9310D"/>
    <w:rsid w:val="00E931E2"/>
    <w:rsid w:val="00E937F3"/>
    <w:rsid w:val="00E93924"/>
    <w:rsid w:val="00E93C45"/>
    <w:rsid w:val="00E942A0"/>
    <w:rsid w:val="00E94763"/>
    <w:rsid w:val="00E94CAD"/>
    <w:rsid w:val="00E9530A"/>
    <w:rsid w:val="00E956F8"/>
    <w:rsid w:val="00E95A9F"/>
    <w:rsid w:val="00E95D7D"/>
    <w:rsid w:val="00E95E5F"/>
    <w:rsid w:val="00E9635C"/>
    <w:rsid w:val="00E96636"/>
    <w:rsid w:val="00E96698"/>
    <w:rsid w:val="00E96ACA"/>
    <w:rsid w:val="00E97904"/>
    <w:rsid w:val="00E97B4B"/>
    <w:rsid w:val="00EA190E"/>
    <w:rsid w:val="00EA1AEB"/>
    <w:rsid w:val="00EA2168"/>
    <w:rsid w:val="00EA294B"/>
    <w:rsid w:val="00EA3081"/>
    <w:rsid w:val="00EA33BB"/>
    <w:rsid w:val="00EA35EE"/>
    <w:rsid w:val="00EA36CB"/>
    <w:rsid w:val="00EA3A61"/>
    <w:rsid w:val="00EA3F7B"/>
    <w:rsid w:val="00EA3F95"/>
    <w:rsid w:val="00EA46AE"/>
    <w:rsid w:val="00EA4C69"/>
    <w:rsid w:val="00EA52DA"/>
    <w:rsid w:val="00EA552E"/>
    <w:rsid w:val="00EA5760"/>
    <w:rsid w:val="00EA5D70"/>
    <w:rsid w:val="00EA5F70"/>
    <w:rsid w:val="00EA675B"/>
    <w:rsid w:val="00EA6BEF"/>
    <w:rsid w:val="00EA6C4C"/>
    <w:rsid w:val="00EA6CC0"/>
    <w:rsid w:val="00EA70F3"/>
    <w:rsid w:val="00EA7345"/>
    <w:rsid w:val="00EA7567"/>
    <w:rsid w:val="00EA7A4D"/>
    <w:rsid w:val="00EA7CA9"/>
    <w:rsid w:val="00EA7DBC"/>
    <w:rsid w:val="00EB09FF"/>
    <w:rsid w:val="00EB0A02"/>
    <w:rsid w:val="00EB0E28"/>
    <w:rsid w:val="00EB0EBE"/>
    <w:rsid w:val="00EB11CD"/>
    <w:rsid w:val="00EB1698"/>
    <w:rsid w:val="00EB1EFA"/>
    <w:rsid w:val="00EB20AD"/>
    <w:rsid w:val="00EB2344"/>
    <w:rsid w:val="00EB2B89"/>
    <w:rsid w:val="00EB2CA9"/>
    <w:rsid w:val="00EB2FC1"/>
    <w:rsid w:val="00EB3570"/>
    <w:rsid w:val="00EB37FC"/>
    <w:rsid w:val="00EB391B"/>
    <w:rsid w:val="00EB44BA"/>
    <w:rsid w:val="00EB4EC9"/>
    <w:rsid w:val="00EB4F35"/>
    <w:rsid w:val="00EB505C"/>
    <w:rsid w:val="00EB56CD"/>
    <w:rsid w:val="00EB6310"/>
    <w:rsid w:val="00EB6C11"/>
    <w:rsid w:val="00EB6F6E"/>
    <w:rsid w:val="00EB6F7D"/>
    <w:rsid w:val="00EB7658"/>
    <w:rsid w:val="00EC001B"/>
    <w:rsid w:val="00EC063E"/>
    <w:rsid w:val="00EC0700"/>
    <w:rsid w:val="00EC0E34"/>
    <w:rsid w:val="00EC1418"/>
    <w:rsid w:val="00EC1450"/>
    <w:rsid w:val="00EC2525"/>
    <w:rsid w:val="00EC2F8A"/>
    <w:rsid w:val="00EC347B"/>
    <w:rsid w:val="00EC3976"/>
    <w:rsid w:val="00EC3C77"/>
    <w:rsid w:val="00EC3F1C"/>
    <w:rsid w:val="00EC4CE9"/>
    <w:rsid w:val="00EC4FF7"/>
    <w:rsid w:val="00EC503F"/>
    <w:rsid w:val="00EC51B7"/>
    <w:rsid w:val="00EC52FD"/>
    <w:rsid w:val="00EC532E"/>
    <w:rsid w:val="00EC54DA"/>
    <w:rsid w:val="00EC5956"/>
    <w:rsid w:val="00EC5BC9"/>
    <w:rsid w:val="00EC5DBB"/>
    <w:rsid w:val="00EC6F6B"/>
    <w:rsid w:val="00EC71BD"/>
    <w:rsid w:val="00ED02DE"/>
    <w:rsid w:val="00ED0662"/>
    <w:rsid w:val="00ED0779"/>
    <w:rsid w:val="00ED0981"/>
    <w:rsid w:val="00ED0C1B"/>
    <w:rsid w:val="00ED0FD9"/>
    <w:rsid w:val="00ED10FC"/>
    <w:rsid w:val="00ED1462"/>
    <w:rsid w:val="00ED172C"/>
    <w:rsid w:val="00ED1964"/>
    <w:rsid w:val="00ED2253"/>
    <w:rsid w:val="00ED2B08"/>
    <w:rsid w:val="00ED2D08"/>
    <w:rsid w:val="00ED2D41"/>
    <w:rsid w:val="00ED4CA7"/>
    <w:rsid w:val="00ED5027"/>
    <w:rsid w:val="00ED52CD"/>
    <w:rsid w:val="00ED5420"/>
    <w:rsid w:val="00ED5510"/>
    <w:rsid w:val="00ED559D"/>
    <w:rsid w:val="00ED56CE"/>
    <w:rsid w:val="00ED5778"/>
    <w:rsid w:val="00ED5D89"/>
    <w:rsid w:val="00ED5F96"/>
    <w:rsid w:val="00ED625C"/>
    <w:rsid w:val="00ED628F"/>
    <w:rsid w:val="00ED6826"/>
    <w:rsid w:val="00ED684A"/>
    <w:rsid w:val="00ED6953"/>
    <w:rsid w:val="00ED6BA5"/>
    <w:rsid w:val="00ED710F"/>
    <w:rsid w:val="00ED731C"/>
    <w:rsid w:val="00ED7D0A"/>
    <w:rsid w:val="00ED7D4B"/>
    <w:rsid w:val="00EE0036"/>
    <w:rsid w:val="00EE0083"/>
    <w:rsid w:val="00EE04B5"/>
    <w:rsid w:val="00EE0BB1"/>
    <w:rsid w:val="00EE0D7A"/>
    <w:rsid w:val="00EE123F"/>
    <w:rsid w:val="00EE1636"/>
    <w:rsid w:val="00EE1A68"/>
    <w:rsid w:val="00EE1E83"/>
    <w:rsid w:val="00EE21B3"/>
    <w:rsid w:val="00EE29BE"/>
    <w:rsid w:val="00EE2DFF"/>
    <w:rsid w:val="00EE3085"/>
    <w:rsid w:val="00EE332E"/>
    <w:rsid w:val="00EE3505"/>
    <w:rsid w:val="00EE3BCA"/>
    <w:rsid w:val="00EE3BF2"/>
    <w:rsid w:val="00EE41E3"/>
    <w:rsid w:val="00EE48A6"/>
    <w:rsid w:val="00EE4925"/>
    <w:rsid w:val="00EE4E60"/>
    <w:rsid w:val="00EE4F62"/>
    <w:rsid w:val="00EE51C0"/>
    <w:rsid w:val="00EE537D"/>
    <w:rsid w:val="00EE5991"/>
    <w:rsid w:val="00EE5BD3"/>
    <w:rsid w:val="00EE5FFD"/>
    <w:rsid w:val="00EE60A1"/>
    <w:rsid w:val="00EE6138"/>
    <w:rsid w:val="00EE6A26"/>
    <w:rsid w:val="00EE71F2"/>
    <w:rsid w:val="00EE7452"/>
    <w:rsid w:val="00EE7510"/>
    <w:rsid w:val="00EE7607"/>
    <w:rsid w:val="00EE7CB6"/>
    <w:rsid w:val="00EE7E3A"/>
    <w:rsid w:val="00EF0647"/>
    <w:rsid w:val="00EF078F"/>
    <w:rsid w:val="00EF0995"/>
    <w:rsid w:val="00EF0CD1"/>
    <w:rsid w:val="00EF0EE4"/>
    <w:rsid w:val="00EF1129"/>
    <w:rsid w:val="00EF1688"/>
    <w:rsid w:val="00EF1714"/>
    <w:rsid w:val="00EF1A3D"/>
    <w:rsid w:val="00EF1B08"/>
    <w:rsid w:val="00EF1B2A"/>
    <w:rsid w:val="00EF1C91"/>
    <w:rsid w:val="00EF22FA"/>
    <w:rsid w:val="00EF235D"/>
    <w:rsid w:val="00EF25D9"/>
    <w:rsid w:val="00EF316F"/>
    <w:rsid w:val="00EF3762"/>
    <w:rsid w:val="00EF38D2"/>
    <w:rsid w:val="00EF3ABA"/>
    <w:rsid w:val="00EF3B2B"/>
    <w:rsid w:val="00EF3B61"/>
    <w:rsid w:val="00EF431F"/>
    <w:rsid w:val="00EF435F"/>
    <w:rsid w:val="00EF43DE"/>
    <w:rsid w:val="00EF4402"/>
    <w:rsid w:val="00EF462E"/>
    <w:rsid w:val="00EF4F3F"/>
    <w:rsid w:val="00EF4FA5"/>
    <w:rsid w:val="00EF53C2"/>
    <w:rsid w:val="00EF594F"/>
    <w:rsid w:val="00EF5B06"/>
    <w:rsid w:val="00EF5CC4"/>
    <w:rsid w:val="00EF6983"/>
    <w:rsid w:val="00EF6F92"/>
    <w:rsid w:val="00EF7088"/>
    <w:rsid w:val="00EF771B"/>
    <w:rsid w:val="00EF7C71"/>
    <w:rsid w:val="00EF7E70"/>
    <w:rsid w:val="00F001A2"/>
    <w:rsid w:val="00F00224"/>
    <w:rsid w:val="00F00279"/>
    <w:rsid w:val="00F0075A"/>
    <w:rsid w:val="00F0097A"/>
    <w:rsid w:val="00F00A97"/>
    <w:rsid w:val="00F00D76"/>
    <w:rsid w:val="00F00E41"/>
    <w:rsid w:val="00F01035"/>
    <w:rsid w:val="00F011E7"/>
    <w:rsid w:val="00F01449"/>
    <w:rsid w:val="00F0184C"/>
    <w:rsid w:val="00F01AD0"/>
    <w:rsid w:val="00F01D3F"/>
    <w:rsid w:val="00F01E78"/>
    <w:rsid w:val="00F02B8C"/>
    <w:rsid w:val="00F02F97"/>
    <w:rsid w:val="00F03642"/>
    <w:rsid w:val="00F03B40"/>
    <w:rsid w:val="00F03C09"/>
    <w:rsid w:val="00F04271"/>
    <w:rsid w:val="00F04553"/>
    <w:rsid w:val="00F04DE0"/>
    <w:rsid w:val="00F05023"/>
    <w:rsid w:val="00F05107"/>
    <w:rsid w:val="00F051C9"/>
    <w:rsid w:val="00F0550C"/>
    <w:rsid w:val="00F0550E"/>
    <w:rsid w:val="00F05560"/>
    <w:rsid w:val="00F05B7A"/>
    <w:rsid w:val="00F06081"/>
    <w:rsid w:val="00F0612D"/>
    <w:rsid w:val="00F0666F"/>
    <w:rsid w:val="00F06A8C"/>
    <w:rsid w:val="00F06D2F"/>
    <w:rsid w:val="00F07187"/>
    <w:rsid w:val="00F07ADD"/>
    <w:rsid w:val="00F07B89"/>
    <w:rsid w:val="00F07DD2"/>
    <w:rsid w:val="00F10706"/>
    <w:rsid w:val="00F10D0F"/>
    <w:rsid w:val="00F10F13"/>
    <w:rsid w:val="00F10F4C"/>
    <w:rsid w:val="00F11035"/>
    <w:rsid w:val="00F1141E"/>
    <w:rsid w:val="00F1159C"/>
    <w:rsid w:val="00F1165A"/>
    <w:rsid w:val="00F11706"/>
    <w:rsid w:val="00F11758"/>
    <w:rsid w:val="00F11D79"/>
    <w:rsid w:val="00F11E19"/>
    <w:rsid w:val="00F125D8"/>
    <w:rsid w:val="00F12D54"/>
    <w:rsid w:val="00F12E46"/>
    <w:rsid w:val="00F12F90"/>
    <w:rsid w:val="00F13B13"/>
    <w:rsid w:val="00F13BA6"/>
    <w:rsid w:val="00F13BE6"/>
    <w:rsid w:val="00F13DEB"/>
    <w:rsid w:val="00F13F58"/>
    <w:rsid w:val="00F148F6"/>
    <w:rsid w:val="00F14BF1"/>
    <w:rsid w:val="00F14E08"/>
    <w:rsid w:val="00F15399"/>
    <w:rsid w:val="00F155E9"/>
    <w:rsid w:val="00F15B5B"/>
    <w:rsid w:val="00F15D05"/>
    <w:rsid w:val="00F166B1"/>
    <w:rsid w:val="00F16A5A"/>
    <w:rsid w:val="00F179FA"/>
    <w:rsid w:val="00F2008C"/>
    <w:rsid w:val="00F20568"/>
    <w:rsid w:val="00F2057D"/>
    <w:rsid w:val="00F2073A"/>
    <w:rsid w:val="00F20C03"/>
    <w:rsid w:val="00F213F3"/>
    <w:rsid w:val="00F214FD"/>
    <w:rsid w:val="00F21753"/>
    <w:rsid w:val="00F219FD"/>
    <w:rsid w:val="00F21A00"/>
    <w:rsid w:val="00F21B22"/>
    <w:rsid w:val="00F21B73"/>
    <w:rsid w:val="00F2215F"/>
    <w:rsid w:val="00F223F5"/>
    <w:rsid w:val="00F2273D"/>
    <w:rsid w:val="00F22F34"/>
    <w:rsid w:val="00F2308D"/>
    <w:rsid w:val="00F23297"/>
    <w:rsid w:val="00F236C1"/>
    <w:rsid w:val="00F23B51"/>
    <w:rsid w:val="00F23DFC"/>
    <w:rsid w:val="00F24124"/>
    <w:rsid w:val="00F2432A"/>
    <w:rsid w:val="00F24376"/>
    <w:rsid w:val="00F24B60"/>
    <w:rsid w:val="00F24BD8"/>
    <w:rsid w:val="00F24DDA"/>
    <w:rsid w:val="00F2527F"/>
    <w:rsid w:val="00F2547E"/>
    <w:rsid w:val="00F25614"/>
    <w:rsid w:val="00F25FFC"/>
    <w:rsid w:val="00F2615B"/>
    <w:rsid w:val="00F262B3"/>
    <w:rsid w:val="00F26B15"/>
    <w:rsid w:val="00F26F73"/>
    <w:rsid w:val="00F27012"/>
    <w:rsid w:val="00F27263"/>
    <w:rsid w:val="00F277D3"/>
    <w:rsid w:val="00F27BBC"/>
    <w:rsid w:val="00F301C6"/>
    <w:rsid w:val="00F30226"/>
    <w:rsid w:val="00F30BBB"/>
    <w:rsid w:val="00F30CBE"/>
    <w:rsid w:val="00F30D83"/>
    <w:rsid w:val="00F30DCA"/>
    <w:rsid w:val="00F30EBC"/>
    <w:rsid w:val="00F30F28"/>
    <w:rsid w:val="00F314C3"/>
    <w:rsid w:val="00F317A0"/>
    <w:rsid w:val="00F31877"/>
    <w:rsid w:val="00F31A5D"/>
    <w:rsid w:val="00F31BE5"/>
    <w:rsid w:val="00F31C6B"/>
    <w:rsid w:val="00F31EDA"/>
    <w:rsid w:val="00F3243C"/>
    <w:rsid w:val="00F32550"/>
    <w:rsid w:val="00F3271F"/>
    <w:rsid w:val="00F32F03"/>
    <w:rsid w:val="00F3320C"/>
    <w:rsid w:val="00F33427"/>
    <w:rsid w:val="00F3361D"/>
    <w:rsid w:val="00F336D1"/>
    <w:rsid w:val="00F33B10"/>
    <w:rsid w:val="00F34DFF"/>
    <w:rsid w:val="00F352B7"/>
    <w:rsid w:val="00F3591C"/>
    <w:rsid w:val="00F359EA"/>
    <w:rsid w:val="00F35F28"/>
    <w:rsid w:val="00F360DE"/>
    <w:rsid w:val="00F36500"/>
    <w:rsid w:val="00F36D38"/>
    <w:rsid w:val="00F377E5"/>
    <w:rsid w:val="00F37E07"/>
    <w:rsid w:val="00F4090C"/>
    <w:rsid w:val="00F40A22"/>
    <w:rsid w:val="00F40B5F"/>
    <w:rsid w:val="00F40F53"/>
    <w:rsid w:val="00F410A7"/>
    <w:rsid w:val="00F412B2"/>
    <w:rsid w:val="00F418D2"/>
    <w:rsid w:val="00F41CF3"/>
    <w:rsid w:val="00F425C8"/>
    <w:rsid w:val="00F42AE1"/>
    <w:rsid w:val="00F42B38"/>
    <w:rsid w:val="00F42D3E"/>
    <w:rsid w:val="00F43630"/>
    <w:rsid w:val="00F439EC"/>
    <w:rsid w:val="00F43E14"/>
    <w:rsid w:val="00F43EC7"/>
    <w:rsid w:val="00F4414A"/>
    <w:rsid w:val="00F446A5"/>
    <w:rsid w:val="00F44704"/>
    <w:rsid w:val="00F4496F"/>
    <w:rsid w:val="00F44F6B"/>
    <w:rsid w:val="00F45418"/>
    <w:rsid w:val="00F45EA1"/>
    <w:rsid w:val="00F4607A"/>
    <w:rsid w:val="00F46690"/>
    <w:rsid w:val="00F46EB3"/>
    <w:rsid w:val="00F46F6B"/>
    <w:rsid w:val="00F47249"/>
    <w:rsid w:val="00F473A1"/>
    <w:rsid w:val="00F4763B"/>
    <w:rsid w:val="00F47AA5"/>
    <w:rsid w:val="00F4C2DD"/>
    <w:rsid w:val="00F500C9"/>
    <w:rsid w:val="00F50176"/>
    <w:rsid w:val="00F501A9"/>
    <w:rsid w:val="00F50282"/>
    <w:rsid w:val="00F50327"/>
    <w:rsid w:val="00F508DC"/>
    <w:rsid w:val="00F508F7"/>
    <w:rsid w:val="00F50A22"/>
    <w:rsid w:val="00F50D20"/>
    <w:rsid w:val="00F50FFE"/>
    <w:rsid w:val="00F51060"/>
    <w:rsid w:val="00F51445"/>
    <w:rsid w:val="00F51927"/>
    <w:rsid w:val="00F52051"/>
    <w:rsid w:val="00F52B90"/>
    <w:rsid w:val="00F52DD5"/>
    <w:rsid w:val="00F52E0C"/>
    <w:rsid w:val="00F533AF"/>
    <w:rsid w:val="00F54181"/>
    <w:rsid w:val="00F5423D"/>
    <w:rsid w:val="00F54AF6"/>
    <w:rsid w:val="00F54B14"/>
    <w:rsid w:val="00F551C6"/>
    <w:rsid w:val="00F55441"/>
    <w:rsid w:val="00F554B6"/>
    <w:rsid w:val="00F5568F"/>
    <w:rsid w:val="00F55D90"/>
    <w:rsid w:val="00F55F5B"/>
    <w:rsid w:val="00F567EF"/>
    <w:rsid w:val="00F56AD4"/>
    <w:rsid w:val="00F57D7F"/>
    <w:rsid w:val="00F606BB"/>
    <w:rsid w:val="00F60979"/>
    <w:rsid w:val="00F609C1"/>
    <w:rsid w:val="00F610CB"/>
    <w:rsid w:val="00F618A3"/>
    <w:rsid w:val="00F618F5"/>
    <w:rsid w:val="00F61B52"/>
    <w:rsid w:val="00F61B90"/>
    <w:rsid w:val="00F621F6"/>
    <w:rsid w:val="00F625CE"/>
    <w:rsid w:val="00F63143"/>
    <w:rsid w:val="00F633FD"/>
    <w:rsid w:val="00F636F4"/>
    <w:rsid w:val="00F63B01"/>
    <w:rsid w:val="00F63C4B"/>
    <w:rsid w:val="00F63E91"/>
    <w:rsid w:val="00F640EC"/>
    <w:rsid w:val="00F64136"/>
    <w:rsid w:val="00F64832"/>
    <w:rsid w:val="00F65C2E"/>
    <w:rsid w:val="00F660E8"/>
    <w:rsid w:val="00F66109"/>
    <w:rsid w:val="00F662FA"/>
    <w:rsid w:val="00F664A4"/>
    <w:rsid w:val="00F66610"/>
    <w:rsid w:val="00F6692B"/>
    <w:rsid w:val="00F670EF"/>
    <w:rsid w:val="00F6754F"/>
    <w:rsid w:val="00F67654"/>
    <w:rsid w:val="00F67C47"/>
    <w:rsid w:val="00F67E3B"/>
    <w:rsid w:val="00F703B1"/>
    <w:rsid w:val="00F7046C"/>
    <w:rsid w:val="00F707DC"/>
    <w:rsid w:val="00F70808"/>
    <w:rsid w:val="00F7091B"/>
    <w:rsid w:val="00F709B8"/>
    <w:rsid w:val="00F70E68"/>
    <w:rsid w:val="00F70EDF"/>
    <w:rsid w:val="00F70F54"/>
    <w:rsid w:val="00F71792"/>
    <w:rsid w:val="00F71C75"/>
    <w:rsid w:val="00F71D18"/>
    <w:rsid w:val="00F71E95"/>
    <w:rsid w:val="00F71FBB"/>
    <w:rsid w:val="00F7212E"/>
    <w:rsid w:val="00F724CC"/>
    <w:rsid w:val="00F7250C"/>
    <w:rsid w:val="00F7258B"/>
    <w:rsid w:val="00F7380A"/>
    <w:rsid w:val="00F738C6"/>
    <w:rsid w:val="00F745ED"/>
    <w:rsid w:val="00F74B20"/>
    <w:rsid w:val="00F74B37"/>
    <w:rsid w:val="00F75863"/>
    <w:rsid w:val="00F75C29"/>
    <w:rsid w:val="00F761FC"/>
    <w:rsid w:val="00F766F7"/>
    <w:rsid w:val="00F76992"/>
    <w:rsid w:val="00F76F55"/>
    <w:rsid w:val="00F771E4"/>
    <w:rsid w:val="00F77C68"/>
    <w:rsid w:val="00F77F91"/>
    <w:rsid w:val="00F80317"/>
    <w:rsid w:val="00F80469"/>
    <w:rsid w:val="00F806D4"/>
    <w:rsid w:val="00F80721"/>
    <w:rsid w:val="00F80ACE"/>
    <w:rsid w:val="00F80CBC"/>
    <w:rsid w:val="00F810E8"/>
    <w:rsid w:val="00F81328"/>
    <w:rsid w:val="00F81D1F"/>
    <w:rsid w:val="00F81F35"/>
    <w:rsid w:val="00F81FEC"/>
    <w:rsid w:val="00F8240C"/>
    <w:rsid w:val="00F82797"/>
    <w:rsid w:val="00F8279F"/>
    <w:rsid w:val="00F827DB"/>
    <w:rsid w:val="00F82E43"/>
    <w:rsid w:val="00F83076"/>
    <w:rsid w:val="00F830E0"/>
    <w:rsid w:val="00F831A7"/>
    <w:rsid w:val="00F833C0"/>
    <w:rsid w:val="00F83417"/>
    <w:rsid w:val="00F83853"/>
    <w:rsid w:val="00F83B13"/>
    <w:rsid w:val="00F845E1"/>
    <w:rsid w:val="00F84AC7"/>
    <w:rsid w:val="00F84AE2"/>
    <w:rsid w:val="00F84F71"/>
    <w:rsid w:val="00F858EE"/>
    <w:rsid w:val="00F85AA7"/>
    <w:rsid w:val="00F85AC4"/>
    <w:rsid w:val="00F85B23"/>
    <w:rsid w:val="00F85D72"/>
    <w:rsid w:val="00F864E7"/>
    <w:rsid w:val="00F86B04"/>
    <w:rsid w:val="00F86C34"/>
    <w:rsid w:val="00F86E06"/>
    <w:rsid w:val="00F87326"/>
    <w:rsid w:val="00F87336"/>
    <w:rsid w:val="00F873B0"/>
    <w:rsid w:val="00F87A34"/>
    <w:rsid w:val="00F87DBF"/>
    <w:rsid w:val="00F90140"/>
    <w:rsid w:val="00F90A45"/>
    <w:rsid w:val="00F90E6F"/>
    <w:rsid w:val="00F912F4"/>
    <w:rsid w:val="00F912F5"/>
    <w:rsid w:val="00F915CD"/>
    <w:rsid w:val="00F9172A"/>
    <w:rsid w:val="00F917B0"/>
    <w:rsid w:val="00F91DAE"/>
    <w:rsid w:val="00F927A6"/>
    <w:rsid w:val="00F927EF"/>
    <w:rsid w:val="00F92A0D"/>
    <w:rsid w:val="00F92B8E"/>
    <w:rsid w:val="00F92FE4"/>
    <w:rsid w:val="00F9338C"/>
    <w:rsid w:val="00F93953"/>
    <w:rsid w:val="00F9398C"/>
    <w:rsid w:val="00F94C39"/>
    <w:rsid w:val="00F94EBA"/>
    <w:rsid w:val="00F9542C"/>
    <w:rsid w:val="00F9568D"/>
    <w:rsid w:val="00F95701"/>
    <w:rsid w:val="00F96956"/>
    <w:rsid w:val="00F96CA2"/>
    <w:rsid w:val="00F96CF7"/>
    <w:rsid w:val="00F96D35"/>
    <w:rsid w:val="00F96D74"/>
    <w:rsid w:val="00F96F39"/>
    <w:rsid w:val="00F97587"/>
    <w:rsid w:val="00F975EE"/>
    <w:rsid w:val="00F975F0"/>
    <w:rsid w:val="00F9763E"/>
    <w:rsid w:val="00F977CB"/>
    <w:rsid w:val="00FA0099"/>
    <w:rsid w:val="00FA03DB"/>
    <w:rsid w:val="00FA0F38"/>
    <w:rsid w:val="00FA0FD0"/>
    <w:rsid w:val="00FA14EF"/>
    <w:rsid w:val="00FA1B0C"/>
    <w:rsid w:val="00FA204A"/>
    <w:rsid w:val="00FA20E2"/>
    <w:rsid w:val="00FA220D"/>
    <w:rsid w:val="00FA2696"/>
    <w:rsid w:val="00FA31E8"/>
    <w:rsid w:val="00FA33EA"/>
    <w:rsid w:val="00FA3591"/>
    <w:rsid w:val="00FA3AD4"/>
    <w:rsid w:val="00FA3C9F"/>
    <w:rsid w:val="00FA3D37"/>
    <w:rsid w:val="00FA4769"/>
    <w:rsid w:val="00FA5CDC"/>
    <w:rsid w:val="00FA5E5C"/>
    <w:rsid w:val="00FA604F"/>
    <w:rsid w:val="00FA652C"/>
    <w:rsid w:val="00FA665C"/>
    <w:rsid w:val="00FA66D0"/>
    <w:rsid w:val="00FA6749"/>
    <w:rsid w:val="00FA6952"/>
    <w:rsid w:val="00FA6B49"/>
    <w:rsid w:val="00FA6E69"/>
    <w:rsid w:val="00FA6F9C"/>
    <w:rsid w:val="00FA7913"/>
    <w:rsid w:val="00FA79A1"/>
    <w:rsid w:val="00FA79A8"/>
    <w:rsid w:val="00FA7BD4"/>
    <w:rsid w:val="00FA7D73"/>
    <w:rsid w:val="00FA7E70"/>
    <w:rsid w:val="00FAFE79"/>
    <w:rsid w:val="00FB0CA0"/>
    <w:rsid w:val="00FB1CEE"/>
    <w:rsid w:val="00FB1E6C"/>
    <w:rsid w:val="00FB1E6D"/>
    <w:rsid w:val="00FB2689"/>
    <w:rsid w:val="00FB2DEE"/>
    <w:rsid w:val="00FB378E"/>
    <w:rsid w:val="00FB3866"/>
    <w:rsid w:val="00FB3899"/>
    <w:rsid w:val="00FB43B5"/>
    <w:rsid w:val="00FB5176"/>
    <w:rsid w:val="00FB53D5"/>
    <w:rsid w:val="00FB54C5"/>
    <w:rsid w:val="00FB6124"/>
    <w:rsid w:val="00FB6649"/>
    <w:rsid w:val="00FB692B"/>
    <w:rsid w:val="00FB6B6C"/>
    <w:rsid w:val="00FB755D"/>
    <w:rsid w:val="00FB7AEB"/>
    <w:rsid w:val="00FB7E1E"/>
    <w:rsid w:val="00FC02F2"/>
    <w:rsid w:val="00FC0312"/>
    <w:rsid w:val="00FC0C6A"/>
    <w:rsid w:val="00FC0CA5"/>
    <w:rsid w:val="00FC0F3C"/>
    <w:rsid w:val="00FC0F88"/>
    <w:rsid w:val="00FC1130"/>
    <w:rsid w:val="00FC1BBD"/>
    <w:rsid w:val="00FC1F17"/>
    <w:rsid w:val="00FC22E1"/>
    <w:rsid w:val="00FC2C2C"/>
    <w:rsid w:val="00FC2EFC"/>
    <w:rsid w:val="00FC3241"/>
    <w:rsid w:val="00FC3AC5"/>
    <w:rsid w:val="00FC3E58"/>
    <w:rsid w:val="00FC40E2"/>
    <w:rsid w:val="00FC4880"/>
    <w:rsid w:val="00FC50E3"/>
    <w:rsid w:val="00FC518E"/>
    <w:rsid w:val="00FC565D"/>
    <w:rsid w:val="00FC5689"/>
    <w:rsid w:val="00FC572D"/>
    <w:rsid w:val="00FC5CCF"/>
    <w:rsid w:val="00FC6312"/>
    <w:rsid w:val="00FC63E2"/>
    <w:rsid w:val="00FC6BA8"/>
    <w:rsid w:val="00FC6F9F"/>
    <w:rsid w:val="00FC7181"/>
    <w:rsid w:val="00FC7626"/>
    <w:rsid w:val="00FC76CC"/>
    <w:rsid w:val="00FC7908"/>
    <w:rsid w:val="00FC7B1D"/>
    <w:rsid w:val="00FC7FB8"/>
    <w:rsid w:val="00FD03B4"/>
    <w:rsid w:val="00FD0A66"/>
    <w:rsid w:val="00FD0F32"/>
    <w:rsid w:val="00FD1239"/>
    <w:rsid w:val="00FD19A8"/>
    <w:rsid w:val="00FD1B28"/>
    <w:rsid w:val="00FD1B70"/>
    <w:rsid w:val="00FD1C68"/>
    <w:rsid w:val="00FD1D3B"/>
    <w:rsid w:val="00FD1E17"/>
    <w:rsid w:val="00FD253E"/>
    <w:rsid w:val="00FD26C7"/>
    <w:rsid w:val="00FD3776"/>
    <w:rsid w:val="00FD41FC"/>
    <w:rsid w:val="00FD472B"/>
    <w:rsid w:val="00FD4815"/>
    <w:rsid w:val="00FD494F"/>
    <w:rsid w:val="00FD4C65"/>
    <w:rsid w:val="00FD4E33"/>
    <w:rsid w:val="00FD4F08"/>
    <w:rsid w:val="00FD52C5"/>
    <w:rsid w:val="00FD52E8"/>
    <w:rsid w:val="00FD53F6"/>
    <w:rsid w:val="00FD54E1"/>
    <w:rsid w:val="00FD5665"/>
    <w:rsid w:val="00FD5929"/>
    <w:rsid w:val="00FD59BD"/>
    <w:rsid w:val="00FD5B15"/>
    <w:rsid w:val="00FD5D57"/>
    <w:rsid w:val="00FD61E9"/>
    <w:rsid w:val="00FD6AE8"/>
    <w:rsid w:val="00FD6CFB"/>
    <w:rsid w:val="00FD6F99"/>
    <w:rsid w:val="00FD7451"/>
    <w:rsid w:val="00FD764C"/>
    <w:rsid w:val="00FD7AED"/>
    <w:rsid w:val="00FD7C2A"/>
    <w:rsid w:val="00FD7F3B"/>
    <w:rsid w:val="00FE029F"/>
    <w:rsid w:val="00FE07E9"/>
    <w:rsid w:val="00FE09A5"/>
    <w:rsid w:val="00FE0A7E"/>
    <w:rsid w:val="00FE0C15"/>
    <w:rsid w:val="00FE0CCB"/>
    <w:rsid w:val="00FE1633"/>
    <w:rsid w:val="00FE1864"/>
    <w:rsid w:val="00FE1F9A"/>
    <w:rsid w:val="00FE22C0"/>
    <w:rsid w:val="00FE2409"/>
    <w:rsid w:val="00FE2656"/>
    <w:rsid w:val="00FE26AB"/>
    <w:rsid w:val="00FE2905"/>
    <w:rsid w:val="00FE2AD1"/>
    <w:rsid w:val="00FE2D9A"/>
    <w:rsid w:val="00FE32A2"/>
    <w:rsid w:val="00FE35E3"/>
    <w:rsid w:val="00FE3B68"/>
    <w:rsid w:val="00FE4271"/>
    <w:rsid w:val="00FE43F4"/>
    <w:rsid w:val="00FE4442"/>
    <w:rsid w:val="00FE44C1"/>
    <w:rsid w:val="00FE47AB"/>
    <w:rsid w:val="00FE4B91"/>
    <w:rsid w:val="00FE4D58"/>
    <w:rsid w:val="00FE4D68"/>
    <w:rsid w:val="00FE51B1"/>
    <w:rsid w:val="00FE54C3"/>
    <w:rsid w:val="00FE5941"/>
    <w:rsid w:val="00FE5CE6"/>
    <w:rsid w:val="00FE624D"/>
    <w:rsid w:val="00FE641C"/>
    <w:rsid w:val="00FE6550"/>
    <w:rsid w:val="00FE6B55"/>
    <w:rsid w:val="00FE6BD1"/>
    <w:rsid w:val="00FE7532"/>
    <w:rsid w:val="00FE7750"/>
    <w:rsid w:val="00FE77F1"/>
    <w:rsid w:val="00FE7FD8"/>
    <w:rsid w:val="00FF0321"/>
    <w:rsid w:val="00FF0789"/>
    <w:rsid w:val="00FF097C"/>
    <w:rsid w:val="00FF0F9F"/>
    <w:rsid w:val="00FF11C3"/>
    <w:rsid w:val="00FF1481"/>
    <w:rsid w:val="00FF14E2"/>
    <w:rsid w:val="00FF1AC2"/>
    <w:rsid w:val="00FF1CA3"/>
    <w:rsid w:val="00FF1D60"/>
    <w:rsid w:val="00FF1F1B"/>
    <w:rsid w:val="00FF2C56"/>
    <w:rsid w:val="00FF3417"/>
    <w:rsid w:val="00FF3475"/>
    <w:rsid w:val="00FF3F04"/>
    <w:rsid w:val="00FF3F2A"/>
    <w:rsid w:val="00FF41B9"/>
    <w:rsid w:val="00FF453D"/>
    <w:rsid w:val="00FF4822"/>
    <w:rsid w:val="00FF4CFF"/>
    <w:rsid w:val="00FF53C1"/>
    <w:rsid w:val="00FF58AE"/>
    <w:rsid w:val="00FF5C78"/>
    <w:rsid w:val="00FF66D0"/>
    <w:rsid w:val="00FF6E2B"/>
    <w:rsid w:val="00FF70EE"/>
    <w:rsid w:val="00FF73B6"/>
    <w:rsid w:val="00FF79A5"/>
    <w:rsid w:val="010552E9"/>
    <w:rsid w:val="01080783"/>
    <w:rsid w:val="0123C09C"/>
    <w:rsid w:val="012F69A3"/>
    <w:rsid w:val="0130B21A"/>
    <w:rsid w:val="015D10C7"/>
    <w:rsid w:val="0164212A"/>
    <w:rsid w:val="01652D13"/>
    <w:rsid w:val="016AC202"/>
    <w:rsid w:val="01797022"/>
    <w:rsid w:val="017BB8B1"/>
    <w:rsid w:val="017D8ECF"/>
    <w:rsid w:val="01A00512"/>
    <w:rsid w:val="01A6B564"/>
    <w:rsid w:val="01BA130B"/>
    <w:rsid w:val="01CB8A79"/>
    <w:rsid w:val="01E1645F"/>
    <w:rsid w:val="01EBA656"/>
    <w:rsid w:val="01F6B6DC"/>
    <w:rsid w:val="02021C0E"/>
    <w:rsid w:val="020401A4"/>
    <w:rsid w:val="0206222A"/>
    <w:rsid w:val="0211AC11"/>
    <w:rsid w:val="02128382"/>
    <w:rsid w:val="0212855E"/>
    <w:rsid w:val="02140FA4"/>
    <w:rsid w:val="0217C47A"/>
    <w:rsid w:val="021AA9E5"/>
    <w:rsid w:val="022C748A"/>
    <w:rsid w:val="0243861C"/>
    <w:rsid w:val="02483DA7"/>
    <w:rsid w:val="024C19C3"/>
    <w:rsid w:val="024FC12B"/>
    <w:rsid w:val="0258CEE0"/>
    <w:rsid w:val="02638F65"/>
    <w:rsid w:val="026AE923"/>
    <w:rsid w:val="026FD651"/>
    <w:rsid w:val="027540A9"/>
    <w:rsid w:val="028024FF"/>
    <w:rsid w:val="028B4F10"/>
    <w:rsid w:val="02A41B8C"/>
    <w:rsid w:val="02A63BC7"/>
    <w:rsid w:val="02C46B5E"/>
    <w:rsid w:val="02C53465"/>
    <w:rsid w:val="02C56987"/>
    <w:rsid w:val="02E2A4BE"/>
    <w:rsid w:val="02E718AE"/>
    <w:rsid w:val="02F096DE"/>
    <w:rsid w:val="02F80C21"/>
    <w:rsid w:val="030D9CDF"/>
    <w:rsid w:val="031ADE45"/>
    <w:rsid w:val="031FA1AB"/>
    <w:rsid w:val="032101D9"/>
    <w:rsid w:val="032394FB"/>
    <w:rsid w:val="032BDF51"/>
    <w:rsid w:val="0339C75A"/>
    <w:rsid w:val="033B81F5"/>
    <w:rsid w:val="038276B6"/>
    <w:rsid w:val="03910908"/>
    <w:rsid w:val="039691C6"/>
    <w:rsid w:val="03B25F10"/>
    <w:rsid w:val="03B4D867"/>
    <w:rsid w:val="03C04009"/>
    <w:rsid w:val="03C6DF71"/>
    <w:rsid w:val="03FC8B6D"/>
    <w:rsid w:val="0413A9E0"/>
    <w:rsid w:val="0420AB17"/>
    <w:rsid w:val="0433D044"/>
    <w:rsid w:val="0440289E"/>
    <w:rsid w:val="044F2878"/>
    <w:rsid w:val="0460D4EA"/>
    <w:rsid w:val="046667E0"/>
    <w:rsid w:val="046F024A"/>
    <w:rsid w:val="049B6CBC"/>
    <w:rsid w:val="049C2338"/>
    <w:rsid w:val="04A33FCB"/>
    <w:rsid w:val="04A847EA"/>
    <w:rsid w:val="04D05322"/>
    <w:rsid w:val="04E9D431"/>
    <w:rsid w:val="04EBA3E6"/>
    <w:rsid w:val="04F8B1C0"/>
    <w:rsid w:val="04FB34C7"/>
    <w:rsid w:val="0502BC98"/>
    <w:rsid w:val="05063D13"/>
    <w:rsid w:val="0509FFFB"/>
    <w:rsid w:val="05113724"/>
    <w:rsid w:val="0519AFF3"/>
    <w:rsid w:val="052572B4"/>
    <w:rsid w:val="0534A300"/>
    <w:rsid w:val="05357B0C"/>
    <w:rsid w:val="0536255D"/>
    <w:rsid w:val="054ECF1B"/>
    <w:rsid w:val="05508A2A"/>
    <w:rsid w:val="05646240"/>
    <w:rsid w:val="05739F29"/>
    <w:rsid w:val="058F8E2E"/>
    <w:rsid w:val="05914FFD"/>
    <w:rsid w:val="05A429A1"/>
    <w:rsid w:val="05BDA499"/>
    <w:rsid w:val="05C91B37"/>
    <w:rsid w:val="05CA22A5"/>
    <w:rsid w:val="05CDA186"/>
    <w:rsid w:val="05D1F1F7"/>
    <w:rsid w:val="05E93569"/>
    <w:rsid w:val="05EFBBFF"/>
    <w:rsid w:val="05F174DF"/>
    <w:rsid w:val="05F55583"/>
    <w:rsid w:val="05F7276F"/>
    <w:rsid w:val="06149E32"/>
    <w:rsid w:val="0619BAF9"/>
    <w:rsid w:val="0619EDFB"/>
    <w:rsid w:val="063277F7"/>
    <w:rsid w:val="063F1C83"/>
    <w:rsid w:val="065371A2"/>
    <w:rsid w:val="0659B208"/>
    <w:rsid w:val="065DC1A7"/>
    <w:rsid w:val="0669F4E6"/>
    <w:rsid w:val="06715616"/>
    <w:rsid w:val="0681ABB7"/>
    <w:rsid w:val="0691C1B1"/>
    <w:rsid w:val="06A54EF6"/>
    <w:rsid w:val="06B23FFE"/>
    <w:rsid w:val="06BADB89"/>
    <w:rsid w:val="06CEC165"/>
    <w:rsid w:val="06E3ED3C"/>
    <w:rsid w:val="06FBFD3A"/>
    <w:rsid w:val="0704F442"/>
    <w:rsid w:val="070DEE2D"/>
    <w:rsid w:val="07417260"/>
    <w:rsid w:val="075494EE"/>
    <w:rsid w:val="0755E438"/>
    <w:rsid w:val="0762F77C"/>
    <w:rsid w:val="079ED433"/>
    <w:rsid w:val="079F15B5"/>
    <w:rsid w:val="07A5858F"/>
    <w:rsid w:val="07A5EF5C"/>
    <w:rsid w:val="07AB581A"/>
    <w:rsid w:val="07AFF388"/>
    <w:rsid w:val="07CCD97E"/>
    <w:rsid w:val="07D796D8"/>
    <w:rsid w:val="07DCB8E5"/>
    <w:rsid w:val="07F58D76"/>
    <w:rsid w:val="0801C518"/>
    <w:rsid w:val="080AAC32"/>
    <w:rsid w:val="080B21FB"/>
    <w:rsid w:val="081499B8"/>
    <w:rsid w:val="082466F5"/>
    <w:rsid w:val="082C0A57"/>
    <w:rsid w:val="083891BD"/>
    <w:rsid w:val="083D1D46"/>
    <w:rsid w:val="083D6A60"/>
    <w:rsid w:val="083E4D57"/>
    <w:rsid w:val="085DDBF3"/>
    <w:rsid w:val="086BDCC7"/>
    <w:rsid w:val="087B923F"/>
    <w:rsid w:val="08811782"/>
    <w:rsid w:val="08824173"/>
    <w:rsid w:val="08856CE0"/>
    <w:rsid w:val="088B738A"/>
    <w:rsid w:val="088EE70F"/>
    <w:rsid w:val="08A217BD"/>
    <w:rsid w:val="08A84C1B"/>
    <w:rsid w:val="08AE83DE"/>
    <w:rsid w:val="08BCB271"/>
    <w:rsid w:val="08CB9493"/>
    <w:rsid w:val="08D37706"/>
    <w:rsid w:val="08E7F497"/>
    <w:rsid w:val="08E99665"/>
    <w:rsid w:val="08EFCB2C"/>
    <w:rsid w:val="0910E238"/>
    <w:rsid w:val="0939DEFE"/>
    <w:rsid w:val="093F5202"/>
    <w:rsid w:val="094DF2CC"/>
    <w:rsid w:val="094F1261"/>
    <w:rsid w:val="095364D9"/>
    <w:rsid w:val="0965087F"/>
    <w:rsid w:val="0970B293"/>
    <w:rsid w:val="09849110"/>
    <w:rsid w:val="098DFE44"/>
    <w:rsid w:val="09953480"/>
    <w:rsid w:val="099A5865"/>
    <w:rsid w:val="09A39DDD"/>
    <w:rsid w:val="09A5E110"/>
    <w:rsid w:val="09AD2B62"/>
    <w:rsid w:val="09ADFD25"/>
    <w:rsid w:val="09AFE163"/>
    <w:rsid w:val="09BA8A9C"/>
    <w:rsid w:val="09BC1F22"/>
    <w:rsid w:val="09D79D4B"/>
    <w:rsid w:val="09DEEB50"/>
    <w:rsid w:val="09E2F64F"/>
    <w:rsid w:val="09EB216D"/>
    <w:rsid w:val="09EBEB7F"/>
    <w:rsid w:val="09FAEA03"/>
    <w:rsid w:val="0A0D2DF3"/>
    <w:rsid w:val="0A0FAE54"/>
    <w:rsid w:val="0A37496A"/>
    <w:rsid w:val="0A38102D"/>
    <w:rsid w:val="0A41699F"/>
    <w:rsid w:val="0A520553"/>
    <w:rsid w:val="0A56CD72"/>
    <w:rsid w:val="0A5A376C"/>
    <w:rsid w:val="0A5D5239"/>
    <w:rsid w:val="0A75869D"/>
    <w:rsid w:val="0A804A97"/>
    <w:rsid w:val="0A95DBE8"/>
    <w:rsid w:val="0A985147"/>
    <w:rsid w:val="0A986813"/>
    <w:rsid w:val="0AA4D36F"/>
    <w:rsid w:val="0AB2699C"/>
    <w:rsid w:val="0AD1A522"/>
    <w:rsid w:val="0AD3D255"/>
    <w:rsid w:val="0AE57A3F"/>
    <w:rsid w:val="0AEFD29D"/>
    <w:rsid w:val="0AF7FE8A"/>
    <w:rsid w:val="0B099BF6"/>
    <w:rsid w:val="0B132FF1"/>
    <w:rsid w:val="0B16C4CE"/>
    <w:rsid w:val="0B31F917"/>
    <w:rsid w:val="0B339684"/>
    <w:rsid w:val="0B35E6E3"/>
    <w:rsid w:val="0B3DED3F"/>
    <w:rsid w:val="0B444602"/>
    <w:rsid w:val="0B51CE60"/>
    <w:rsid w:val="0B60A7FF"/>
    <w:rsid w:val="0B6CEE77"/>
    <w:rsid w:val="0B73C3A8"/>
    <w:rsid w:val="0B7B5EED"/>
    <w:rsid w:val="0BB332E9"/>
    <w:rsid w:val="0BBC0A24"/>
    <w:rsid w:val="0BE48433"/>
    <w:rsid w:val="0BFA0D2F"/>
    <w:rsid w:val="0BFEE454"/>
    <w:rsid w:val="0C0007DE"/>
    <w:rsid w:val="0C006CFA"/>
    <w:rsid w:val="0C0FC75E"/>
    <w:rsid w:val="0C1BEFA7"/>
    <w:rsid w:val="0C1E820F"/>
    <w:rsid w:val="0C252F2E"/>
    <w:rsid w:val="0C3450BB"/>
    <w:rsid w:val="0C3F1845"/>
    <w:rsid w:val="0C61E096"/>
    <w:rsid w:val="0C63A5C5"/>
    <w:rsid w:val="0C6586AA"/>
    <w:rsid w:val="0C77F558"/>
    <w:rsid w:val="0C7C6BDF"/>
    <w:rsid w:val="0CA719E0"/>
    <w:rsid w:val="0CAF19BB"/>
    <w:rsid w:val="0CB7A364"/>
    <w:rsid w:val="0CBAD650"/>
    <w:rsid w:val="0CBB9A6D"/>
    <w:rsid w:val="0CD00C93"/>
    <w:rsid w:val="0CDCD1E1"/>
    <w:rsid w:val="0CE3C716"/>
    <w:rsid w:val="0CE9D89C"/>
    <w:rsid w:val="0CEE6B27"/>
    <w:rsid w:val="0D349814"/>
    <w:rsid w:val="0D4C4032"/>
    <w:rsid w:val="0D4CBC3B"/>
    <w:rsid w:val="0D65F028"/>
    <w:rsid w:val="0D80A7F5"/>
    <w:rsid w:val="0DC9BA2B"/>
    <w:rsid w:val="0DD02D2B"/>
    <w:rsid w:val="0DDC3179"/>
    <w:rsid w:val="0DFB520F"/>
    <w:rsid w:val="0E13C264"/>
    <w:rsid w:val="0E26E239"/>
    <w:rsid w:val="0E277A93"/>
    <w:rsid w:val="0E2CAB11"/>
    <w:rsid w:val="0E34AD49"/>
    <w:rsid w:val="0E3891A8"/>
    <w:rsid w:val="0E84D2BC"/>
    <w:rsid w:val="0E96A106"/>
    <w:rsid w:val="0EA7F8A6"/>
    <w:rsid w:val="0EB04258"/>
    <w:rsid w:val="0EB096E5"/>
    <w:rsid w:val="0EC2AFF4"/>
    <w:rsid w:val="0ECF4AF1"/>
    <w:rsid w:val="0EDEF2DF"/>
    <w:rsid w:val="0EDF69BF"/>
    <w:rsid w:val="0EDF955F"/>
    <w:rsid w:val="0EE09F16"/>
    <w:rsid w:val="0EF162A8"/>
    <w:rsid w:val="0EF6B402"/>
    <w:rsid w:val="0EF89799"/>
    <w:rsid w:val="0EFBED06"/>
    <w:rsid w:val="0F004127"/>
    <w:rsid w:val="0F12B8AD"/>
    <w:rsid w:val="0F1E75CD"/>
    <w:rsid w:val="0F3000FC"/>
    <w:rsid w:val="0F324C47"/>
    <w:rsid w:val="0F32761F"/>
    <w:rsid w:val="0F3C7353"/>
    <w:rsid w:val="0F3E5C2E"/>
    <w:rsid w:val="0F48187C"/>
    <w:rsid w:val="0F56BBED"/>
    <w:rsid w:val="0F61F310"/>
    <w:rsid w:val="0F686A53"/>
    <w:rsid w:val="0F7A5F91"/>
    <w:rsid w:val="0F80C0F1"/>
    <w:rsid w:val="0F8B9C17"/>
    <w:rsid w:val="0F93FCA2"/>
    <w:rsid w:val="0F95726B"/>
    <w:rsid w:val="0FB04568"/>
    <w:rsid w:val="0FDCB8C3"/>
    <w:rsid w:val="0FE3D171"/>
    <w:rsid w:val="0FF55C71"/>
    <w:rsid w:val="1004BD05"/>
    <w:rsid w:val="10141CE8"/>
    <w:rsid w:val="1014CA0B"/>
    <w:rsid w:val="1029446A"/>
    <w:rsid w:val="1036877E"/>
    <w:rsid w:val="105AF29C"/>
    <w:rsid w:val="105DF248"/>
    <w:rsid w:val="1060A1CC"/>
    <w:rsid w:val="107B6676"/>
    <w:rsid w:val="108604B9"/>
    <w:rsid w:val="1087C986"/>
    <w:rsid w:val="109559DE"/>
    <w:rsid w:val="10991381"/>
    <w:rsid w:val="10AC0CA1"/>
    <w:rsid w:val="10C1104F"/>
    <w:rsid w:val="10CAF731"/>
    <w:rsid w:val="10D02991"/>
    <w:rsid w:val="10F7D8CA"/>
    <w:rsid w:val="10FF3C97"/>
    <w:rsid w:val="11001541"/>
    <w:rsid w:val="11038EFA"/>
    <w:rsid w:val="1109AC24"/>
    <w:rsid w:val="1137BF4F"/>
    <w:rsid w:val="114C181D"/>
    <w:rsid w:val="115FC6A5"/>
    <w:rsid w:val="118891FA"/>
    <w:rsid w:val="11A164D7"/>
    <w:rsid w:val="11B11E79"/>
    <w:rsid w:val="11BDDC7E"/>
    <w:rsid w:val="11CBADAB"/>
    <w:rsid w:val="11E435E3"/>
    <w:rsid w:val="11EF2030"/>
    <w:rsid w:val="12007B78"/>
    <w:rsid w:val="1204F5B9"/>
    <w:rsid w:val="120700DF"/>
    <w:rsid w:val="120B0EEA"/>
    <w:rsid w:val="120B70F5"/>
    <w:rsid w:val="121BE31A"/>
    <w:rsid w:val="125B63EE"/>
    <w:rsid w:val="125E34EC"/>
    <w:rsid w:val="127BC185"/>
    <w:rsid w:val="127D7142"/>
    <w:rsid w:val="129615BC"/>
    <w:rsid w:val="12977769"/>
    <w:rsid w:val="12A5C466"/>
    <w:rsid w:val="12BB9504"/>
    <w:rsid w:val="12C6559E"/>
    <w:rsid w:val="12E08D71"/>
    <w:rsid w:val="12EE0418"/>
    <w:rsid w:val="1314BB07"/>
    <w:rsid w:val="13205A02"/>
    <w:rsid w:val="1337415C"/>
    <w:rsid w:val="134EE484"/>
    <w:rsid w:val="13656D80"/>
    <w:rsid w:val="137D3C8A"/>
    <w:rsid w:val="13852608"/>
    <w:rsid w:val="1388B2CD"/>
    <w:rsid w:val="138C7DB1"/>
    <w:rsid w:val="138F58AD"/>
    <w:rsid w:val="1390EF32"/>
    <w:rsid w:val="13912575"/>
    <w:rsid w:val="1395CF35"/>
    <w:rsid w:val="13A748A9"/>
    <w:rsid w:val="13A8BD71"/>
    <w:rsid w:val="13AF42B2"/>
    <w:rsid w:val="13B32370"/>
    <w:rsid w:val="13B54B11"/>
    <w:rsid w:val="13C5E52E"/>
    <w:rsid w:val="13DF689D"/>
    <w:rsid w:val="13DFCD36"/>
    <w:rsid w:val="13E18847"/>
    <w:rsid w:val="13FB2136"/>
    <w:rsid w:val="1410C594"/>
    <w:rsid w:val="1410DC2E"/>
    <w:rsid w:val="141F1845"/>
    <w:rsid w:val="142629E2"/>
    <w:rsid w:val="142DCC2B"/>
    <w:rsid w:val="14338EC0"/>
    <w:rsid w:val="1436A9DF"/>
    <w:rsid w:val="14384713"/>
    <w:rsid w:val="143DE2EF"/>
    <w:rsid w:val="14421FB0"/>
    <w:rsid w:val="14427D99"/>
    <w:rsid w:val="14446E23"/>
    <w:rsid w:val="146924BA"/>
    <w:rsid w:val="14787F91"/>
    <w:rsid w:val="147DC095"/>
    <w:rsid w:val="1491557E"/>
    <w:rsid w:val="1496E0C5"/>
    <w:rsid w:val="149A18FC"/>
    <w:rsid w:val="149B250C"/>
    <w:rsid w:val="14A769A2"/>
    <w:rsid w:val="14B54D33"/>
    <w:rsid w:val="14C6B26D"/>
    <w:rsid w:val="14C7E046"/>
    <w:rsid w:val="14D51D5A"/>
    <w:rsid w:val="14E4630C"/>
    <w:rsid w:val="1503A9C8"/>
    <w:rsid w:val="151006C9"/>
    <w:rsid w:val="15130221"/>
    <w:rsid w:val="1536E881"/>
    <w:rsid w:val="1546BBF3"/>
    <w:rsid w:val="155B24A3"/>
    <w:rsid w:val="15670649"/>
    <w:rsid w:val="157B085D"/>
    <w:rsid w:val="1581DD69"/>
    <w:rsid w:val="158A8B0C"/>
    <w:rsid w:val="158B9E86"/>
    <w:rsid w:val="1594D966"/>
    <w:rsid w:val="15B33DC4"/>
    <w:rsid w:val="15C88B93"/>
    <w:rsid w:val="15D5D36E"/>
    <w:rsid w:val="15E2FA51"/>
    <w:rsid w:val="15F9C55D"/>
    <w:rsid w:val="15FF6712"/>
    <w:rsid w:val="160234B5"/>
    <w:rsid w:val="16038A72"/>
    <w:rsid w:val="1609746C"/>
    <w:rsid w:val="16306069"/>
    <w:rsid w:val="1632AC30"/>
    <w:rsid w:val="1657827B"/>
    <w:rsid w:val="165FA536"/>
    <w:rsid w:val="166FAE02"/>
    <w:rsid w:val="167BAD88"/>
    <w:rsid w:val="168AC023"/>
    <w:rsid w:val="168F0F26"/>
    <w:rsid w:val="16B55102"/>
    <w:rsid w:val="16BE4CFB"/>
    <w:rsid w:val="16BFBE23"/>
    <w:rsid w:val="16DDFC04"/>
    <w:rsid w:val="16E4A556"/>
    <w:rsid w:val="17104CFF"/>
    <w:rsid w:val="171470C1"/>
    <w:rsid w:val="17182958"/>
    <w:rsid w:val="172ED9FC"/>
    <w:rsid w:val="172F1F6E"/>
    <w:rsid w:val="173BD149"/>
    <w:rsid w:val="1747C113"/>
    <w:rsid w:val="17520ADC"/>
    <w:rsid w:val="175A6065"/>
    <w:rsid w:val="175B6922"/>
    <w:rsid w:val="175C84FC"/>
    <w:rsid w:val="176381B0"/>
    <w:rsid w:val="176615CE"/>
    <w:rsid w:val="177277D4"/>
    <w:rsid w:val="177723CA"/>
    <w:rsid w:val="1796C0B4"/>
    <w:rsid w:val="17A2A959"/>
    <w:rsid w:val="17A7C965"/>
    <w:rsid w:val="17A99EA5"/>
    <w:rsid w:val="17B6562B"/>
    <w:rsid w:val="17BD0F84"/>
    <w:rsid w:val="17C44573"/>
    <w:rsid w:val="17CA499F"/>
    <w:rsid w:val="17CBB6E3"/>
    <w:rsid w:val="17CC23CF"/>
    <w:rsid w:val="17E65A2B"/>
    <w:rsid w:val="17F1ACB5"/>
    <w:rsid w:val="17FC5D41"/>
    <w:rsid w:val="18075C25"/>
    <w:rsid w:val="180D56DE"/>
    <w:rsid w:val="180E877C"/>
    <w:rsid w:val="180FB214"/>
    <w:rsid w:val="18174793"/>
    <w:rsid w:val="1853C607"/>
    <w:rsid w:val="185B8D07"/>
    <w:rsid w:val="18629FAB"/>
    <w:rsid w:val="1865BA94"/>
    <w:rsid w:val="1866B942"/>
    <w:rsid w:val="18775DCB"/>
    <w:rsid w:val="187DCE09"/>
    <w:rsid w:val="189CDAFB"/>
    <w:rsid w:val="18AE6EBC"/>
    <w:rsid w:val="18BC7E5B"/>
    <w:rsid w:val="18D7D22C"/>
    <w:rsid w:val="18EE348E"/>
    <w:rsid w:val="18FF69C7"/>
    <w:rsid w:val="1902B0F5"/>
    <w:rsid w:val="190846E8"/>
    <w:rsid w:val="1917606E"/>
    <w:rsid w:val="191B813F"/>
    <w:rsid w:val="1940439A"/>
    <w:rsid w:val="195B0D5A"/>
    <w:rsid w:val="19616D47"/>
    <w:rsid w:val="19700A8A"/>
    <w:rsid w:val="1970DDEF"/>
    <w:rsid w:val="1984216A"/>
    <w:rsid w:val="1999BFC9"/>
    <w:rsid w:val="19B1561B"/>
    <w:rsid w:val="19CA51E2"/>
    <w:rsid w:val="19EEACC1"/>
    <w:rsid w:val="1A0C7758"/>
    <w:rsid w:val="1A17F537"/>
    <w:rsid w:val="1A2B3F43"/>
    <w:rsid w:val="1A4F5ABC"/>
    <w:rsid w:val="1A5583B2"/>
    <w:rsid w:val="1A67AA28"/>
    <w:rsid w:val="1A69677B"/>
    <w:rsid w:val="1A74A45E"/>
    <w:rsid w:val="1A7B4887"/>
    <w:rsid w:val="1A845B98"/>
    <w:rsid w:val="1A8AD12A"/>
    <w:rsid w:val="1AA05B71"/>
    <w:rsid w:val="1AAF0E92"/>
    <w:rsid w:val="1AB27F7E"/>
    <w:rsid w:val="1AB3972F"/>
    <w:rsid w:val="1AE3E590"/>
    <w:rsid w:val="1AE7B69F"/>
    <w:rsid w:val="1AEAE36A"/>
    <w:rsid w:val="1AF108EC"/>
    <w:rsid w:val="1AF1279D"/>
    <w:rsid w:val="1AFB7721"/>
    <w:rsid w:val="1AFE2530"/>
    <w:rsid w:val="1B00C0C2"/>
    <w:rsid w:val="1B11F6B8"/>
    <w:rsid w:val="1B140A03"/>
    <w:rsid w:val="1B34D6CF"/>
    <w:rsid w:val="1B364442"/>
    <w:rsid w:val="1B448FA2"/>
    <w:rsid w:val="1B48DCCA"/>
    <w:rsid w:val="1B5E18EE"/>
    <w:rsid w:val="1B676430"/>
    <w:rsid w:val="1B74109A"/>
    <w:rsid w:val="1B8505F0"/>
    <w:rsid w:val="1B8EB2C5"/>
    <w:rsid w:val="1B9EBFD1"/>
    <w:rsid w:val="1BB19C81"/>
    <w:rsid w:val="1BC70C7C"/>
    <w:rsid w:val="1BCAF1ED"/>
    <w:rsid w:val="1BD8B229"/>
    <w:rsid w:val="1BFB169B"/>
    <w:rsid w:val="1C072BC4"/>
    <w:rsid w:val="1C117860"/>
    <w:rsid w:val="1C23A34F"/>
    <w:rsid w:val="1C2CA192"/>
    <w:rsid w:val="1C459739"/>
    <w:rsid w:val="1C5458C5"/>
    <w:rsid w:val="1C5EA5A1"/>
    <w:rsid w:val="1C68D8E3"/>
    <w:rsid w:val="1C7AB857"/>
    <w:rsid w:val="1C867874"/>
    <w:rsid w:val="1C8BD544"/>
    <w:rsid w:val="1C98E484"/>
    <w:rsid w:val="1CB5DD5F"/>
    <w:rsid w:val="1CC81451"/>
    <w:rsid w:val="1CDDCF8E"/>
    <w:rsid w:val="1CEB71EE"/>
    <w:rsid w:val="1CECB54A"/>
    <w:rsid w:val="1CF71006"/>
    <w:rsid w:val="1CFE701A"/>
    <w:rsid w:val="1CFF7050"/>
    <w:rsid w:val="1D0729D3"/>
    <w:rsid w:val="1D08EBD1"/>
    <w:rsid w:val="1D12D469"/>
    <w:rsid w:val="1D136BFC"/>
    <w:rsid w:val="1D2183A4"/>
    <w:rsid w:val="1D25D813"/>
    <w:rsid w:val="1D34C7FE"/>
    <w:rsid w:val="1D39FAC2"/>
    <w:rsid w:val="1D44EB36"/>
    <w:rsid w:val="1D45CB3F"/>
    <w:rsid w:val="1D478111"/>
    <w:rsid w:val="1D4B213A"/>
    <w:rsid w:val="1D4BC092"/>
    <w:rsid w:val="1D5A518C"/>
    <w:rsid w:val="1D62E005"/>
    <w:rsid w:val="1D637368"/>
    <w:rsid w:val="1D63DBC7"/>
    <w:rsid w:val="1D65322E"/>
    <w:rsid w:val="1D69A2BA"/>
    <w:rsid w:val="1D6A473F"/>
    <w:rsid w:val="1D73A4E0"/>
    <w:rsid w:val="1D75CA5A"/>
    <w:rsid w:val="1D82ACEB"/>
    <w:rsid w:val="1D8516D7"/>
    <w:rsid w:val="1D8CCF7A"/>
    <w:rsid w:val="1D9A9BBE"/>
    <w:rsid w:val="1DAA235F"/>
    <w:rsid w:val="1DBBB24D"/>
    <w:rsid w:val="1DCC4877"/>
    <w:rsid w:val="1DD84939"/>
    <w:rsid w:val="1DF97AF6"/>
    <w:rsid w:val="1DFAE2BA"/>
    <w:rsid w:val="1E066E53"/>
    <w:rsid w:val="1E199291"/>
    <w:rsid w:val="1E1B4BFA"/>
    <w:rsid w:val="1E22CBC0"/>
    <w:rsid w:val="1E2EC25F"/>
    <w:rsid w:val="1E2FF902"/>
    <w:rsid w:val="1E3C4222"/>
    <w:rsid w:val="1E4FA324"/>
    <w:rsid w:val="1E6578BB"/>
    <w:rsid w:val="1E6B3B63"/>
    <w:rsid w:val="1E774348"/>
    <w:rsid w:val="1E8B8CB5"/>
    <w:rsid w:val="1E913F4B"/>
    <w:rsid w:val="1EC95A6A"/>
    <w:rsid w:val="1ED2F96A"/>
    <w:rsid w:val="1ED66E5A"/>
    <w:rsid w:val="1EDCF3FC"/>
    <w:rsid w:val="1EF1FE89"/>
    <w:rsid w:val="1EF854A7"/>
    <w:rsid w:val="1F0D5B6D"/>
    <w:rsid w:val="1F0D68FA"/>
    <w:rsid w:val="1F170A87"/>
    <w:rsid w:val="1F1B32E5"/>
    <w:rsid w:val="1F2A2DCD"/>
    <w:rsid w:val="1F611E55"/>
    <w:rsid w:val="1F65FF74"/>
    <w:rsid w:val="1F7D2D26"/>
    <w:rsid w:val="1F81FD92"/>
    <w:rsid w:val="1F8ABAE2"/>
    <w:rsid w:val="1F99B9E7"/>
    <w:rsid w:val="1FB39402"/>
    <w:rsid w:val="1FBAB331"/>
    <w:rsid w:val="1FC3F7AD"/>
    <w:rsid w:val="1FCCE257"/>
    <w:rsid w:val="1FE37734"/>
    <w:rsid w:val="1FFA0E09"/>
    <w:rsid w:val="20068D36"/>
    <w:rsid w:val="20077394"/>
    <w:rsid w:val="200797AD"/>
    <w:rsid w:val="2010165B"/>
    <w:rsid w:val="202B6E69"/>
    <w:rsid w:val="203D82DD"/>
    <w:rsid w:val="204B9ECA"/>
    <w:rsid w:val="204E1F33"/>
    <w:rsid w:val="204E85B4"/>
    <w:rsid w:val="204FABBE"/>
    <w:rsid w:val="204FE710"/>
    <w:rsid w:val="2053E222"/>
    <w:rsid w:val="2063DB45"/>
    <w:rsid w:val="207AB816"/>
    <w:rsid w:val="2082C92D"/>
    <w:rsid w:val="2089F3CC"/>
    <w:rsid w:val="208DD386"/>
    <w:rsid w:val="209A80C7"/>
    <w:rsid w:val="209B01B7"/>
    <w:rsid w:val="20A09AD2"/>
    <w:rsid w:val="20A3DB45"/>
    <w:rsid w:val="20AB7AE9"/>
    <w:rsid w:val="20AEFF13"/>
    <w:rsid w:val="20AFF8D8"/>
    <w:rsid w:val="20B8EF6C"/>
    <w:rsid w:val="20BF41E3"/>
    <w:rsid w:val="20CA0A3B"/>
    <w:rsid w:val="20D36C01"/>
    <w:rsid w:val="20D8ABF4"/>
    <w:rsid w:val="20DB9C0E"/>
    <w:rsid w:val="20E0055F"/>
    <w:rsid w:val="20EBBC6D"/>
    <w:rsid w:val="20F69B6C"/>
    <w:rsid w:val="20F96EB2"/>
    <w:rsid w:val="210215B0"/>
    <w:rsid w:val="21158594"/>
    <w:rsid w:val="21202E7B"/>
    <w:rsid w:val="2137177A"/>
    <w:rsid w:val="213DB4A2"/>
    <w:rsid w:val="2156A934"/>
    <w:rsid w:val="21661CF5"/>
    <w:rsid w:val="216EF56D"/>
    <w:rsid w:val="21792426"/>
    <w:rsid w:val="2186B0B1"/>
    <w:rsid w:val="21923D90"/>
    <w:rsid w:val="219BFE60"/>
    <w:rsid w:val="21B3079D"/>
    <w:rsid w:val="21B33B62"/>
    <w:rsid w:val="21B4E89C"/>
    <w:rsid w:val="21B9DCC0"/>
    <w:rsid w:val="21BE3FDC"/>
    <w:rsid w:val="21E206C2"/>
    <w:rsid w:val="21E81EFD"/>
    <w:rsid w:val="21F6B725"/>
    <w:rsid w:val="22083E4D"/>
    <w:rsid w:val="220B76FD"/>
    <w:rsid w:val="22168F63"/>
    <w:rsid w:val="22198F14"/>
    <w:rsid w:val="2227545F"/>
    <w:rsid w:val="223B3F86"/>
    <w:rsid w:val="223D0986"/>
    <w:rsid w:val="225253CF"/>
    <w:rsid w:val="225F9FE5"/>
    <w:rsid w:val="22A59328"/>
    <w:rsid w:val="22A5F3E7"/>
    <w:rsid w:val="22AB5B4F"/>
    <w:rsid w:val="22AF942F"/>
    <w:rsid w:val="22B88F56"/>
    <w:rsid w:val="22C87769"/>
    <w:rsid w:val="22C8C382"/>
    <w:rsid w:val="22CD3473"/>
    <w:rsid w:val="22D1DEC9"/>
    <w:rsid w:val="22D6C0CE"/>
    <w:rsid w:val="22D71027"/>
    <w:rsid w:val="22DB457E"/>
    <w:rsid w:val="22F15311"/>
    <w:rsid w:val="22F3B665"/>
    <w:rsid w:val="22FF6548"/>
    <w:rsid w:val="23100AD8"/>
    <w:rsid w:val="231A9CC0"/>
    <w:rsid w:val="231D600B"/>
    <w:rsid w:val="23212669"/>
    <w:rsid w:val="2322A63C"/>
    <w:rsid w:val="233BDE31"/>
    <w:rsid w:val="234EC166"/>
    <w:rsid w:val="2351963F"/>
    <w:rsid w:val="236162FF"/>
    <w:rsid w:val="236FE67B"/>
    <w:rsid w:val="2374891B"/>
    <w:rsid w:val="23860330"/>
    <w:rsid w:val="238714B7"/>
    <w:rsid w:val="23A62E38"/>
    <w:rsid w:val="23B563C3"/>
    <w:rsid w:val="23EA0FC5"/>
    <w:rsid w:val="23ECD15D"/>
    <w:rsid w:val="23F7C96C"/>
    <w:rsid w:val="24017185"/>
    <w:rsid w:val="240A66D6"/>
    <w:rsid w:val="240B4BAE"/>
    <w:rsid w:val="241F5B8D"/>
    <w:rsid w:val="2438B138"/>
    <w:rsid w:val="2441CF50"/>
    <w:rsid w:val="2442A126"/>
    <w:rsid w:val="244B555E"/>
    <w:rsid w:val="2465EA54"/>
    <w:rsid w:val="247FF18A"/>
    <w:rsid w:val="248226B7"/>
    <w:rsid w:val="248B05FD"/>
    <w:rsid w:val="249F59A1"/>
    <w:rsid w:val="24B2007E"/>
    <w:rsid w:val="24C26DE2"/>
    <w:rsid w:val="24C765BD"/>
    <w:rsid w:val="24EA6686"/>
    <w:rsid w:val="24FB91E8"/>
    <w:rsid w:val="24FE6008"/>
    <w:rsid w:val="250760C5"/>
    <w:rsid w:val="250D9811"/>
    <w:rsid w:val="2527B137"/>
    <w:rsid w:val="252F42CE"/>
    <w:rsid w:val="2539939A"/>
    <w:rsid w:val="253B7303"/>
    <w:rsid w:val="25465387"/>
    <w:rsid w:val="25477AC7"/>
    <w:rsid w:val="25AC8894"/>
    <w:rsid w:val="25B1ADD3"/>
    <w:rsid w:val="25B3722F"/>
    <w:rsid w:val="25BC27B1"/>
    <w:rsid w:val="25C6D876"/>
    <w:rsid w:val="25D0C244"/>
    <w:rsid w:val="25E13717"/>
    <w:rsid w:val="25E70C53"/>
    <w:rsid w:val="25E98C93"/>
    <w:rsid w:val="25F6FA49"/>
    <w:rsid w:val="26040AA7"/>
    <w:rsid w:val="2612AAD2"/>
    <w:rsid w:val="2613A5CD"/>
    <w:rsid w:val="261BB333"/>
    <w:rsid w:val="261CBC9D"/>
    <w:rsid w:val="263627E4"/>
    <w:rsid w:val="263689B5"/>
    <w:rsid w:val="26424CA1"/>
    <w:rsid w:val="26487B52"/>
    <w:rsid w:val="26663487"/>
    <w:rsid w:val="266891BA"/>
    <w:rsid w:val="2686D885"/>
    <w:rsid w:val="268C96BA"/>
    <w:rsid w:val="2692A9FA"/>
    <w:rsid w:val="269D01C3"/>
    <w:rsid w:val="26B9EAAB"/>
    <w:rsid w:val="26C3E487"/>
    <w:rsid w:val="26C5D35E"/>
    <w:rsid w:val="26EB0899"/>
    <w:rsid w:val="26EDB1DD"/>
    <w:rsid w:val="26EEE433"/>
    <w:rsid w:val="271AFE72"/>
    <w:rsid w:val="2723D73F"/>
    <w:rsid w:val="2728BE29"/>
    <w:rsid w:val="274C1BC3"/>
    <w:rsid w:val="276C1F6D"/>
    <w:rsid w:val="276CF80A"/>
    <w:rsid w:val="27787705"/>
    <w:rsid w:val="2785C546"/>
    <w:rsid w:val="27908742"/>
    <w:rsid w:val="27B3D5D3"/>
    <w:rsid w:val="27B60F80"/>
    <w:rsid w:val="27DD4982"/>
    <w:rsid w:val="27E189CF"/>
    <w:rsid w:val="27E84BE3"/>
    <w:rsid w:val="27F1092E"/>
    <w:rsid w:val="27F35E20"/>
    <w:rsid w:val="27F7CCA1"/>
    <w:rsid w:val="27F8FD42"/>
    <w:rsid w:val="28086A84"/>
    <w:rsid w:val="280C6847"/>
    <w:rsid w:val="281CE6C1"/>
    <w:rsid w:val="282DA3CA"/>
    <w:rsid w:val="283ED1FE"/>
    <w:rsid w:val="28514E47"/>
    <w:rsid w:val="2851B625"/>
    <w:rsid w:val="285FD9C4"/>
    <w:rsid w:val="28623529"/>
    <w:rsid w:val="287CBE7C"/>
    <w:rsid w:val="2888D21C"/>
    <w:rsid w:val="2897DAA6"/>
    <w:rsid w:val="28C66FD2"/>
    <w:rsid w:val="28D38A04"/>
    <w:rsid w:val="28DA7C2F"/>
    <w:rsid w:val="28DE145B"/>
    <w:rsid w:val="28E292A0"/>
    <w:rsid w:val="28E95AAB"/>
    <w:rsid w:val="28EA04FF"/>
    <w:rsid w:val="28F29001"/>
    <w:rsid w:val="2903A5D2"/>
    <w:rsid w:val="292B8746"/>
    <w:rsid w:val="295DE434"/>
    <w:rsid w:val="298D907B"/>
    <w:rsid w:val="298E99A6"/>
    <w:rsid w:val="2998E147"/>
    <w:rsid w:val="29A13E36"/>
    <w:rsid w:val="29A6E930"/>
    <w:rsid w:val="29AE1127"/>
    <w:rsid w:val="29C82D56"/>
    <w:rsid w:val="29DF0003"/>
    <w:rsid w:val="29E51ABB"/>
    <w:rsid w:val="29EE530F"/>
    <w:rsid w:val="29FE39EE"/>
    <w:rsid w:val="2A03AACF"/>
    <w:rsid w:val="2A06B19F"/>
    <w:rsid w:val="2A0821EA"/>
    <w:rsid w:val="2A281497"/>
    <w:rsid w:val="2A3D5144"/>
    <w:rsid w:val="2A3FECF6"/>
    <w:rsid w:val="2A4073FC"/>
    <w:rsid w:val="2A44CDBE"/>
    <w:rsid w:val="2A68011B"/>
    <w:rsid w:val="2A6EA458"/>
    <w:rsid w:val="2A758D8F"/>
    <w:rsid w:val="2A8AEF37"/>
    <w:rsid w:val="2A8D1F12"/>
    <w:rsid w:val="2A9888C8"/>
    <w:rsid w:val="2AA3787F"/>
    <w:rsid w:val="2AB5A892"/>
    <w:rsid w:val="2AB5B960"/>
    <w:rsid w:val="2ABEDF21"/>
    <w:rsid w:val="2AC03368"/>
    <w:rsid w:val="2ACBF7EF"/>
    <w:rsid w:val="2AEFCE59"/>
    <w:rsid w:val="2AFA7969"/>
    <w:rsid w:val="2B001684"/>
    <w:rsid w:val="2B1BFDA3"/>
    <w:rsid w:val="2B240617"/>
    <w:rsid w:val="2B317776"/>
    <w:rsid w:val="2B3BCDA2"/>
    <w:rsid w:val="2B47A131"/>
    <w:rsid w:val="2B4B77C5"/>
    <w:rsid w:val="2B670747"/>
    <w:rsid w:val="2B7D6FAE"/>
    <w:rsid w:val="2B84AE7D"/>
    <w:rsid w:val="2B8D74CD"/>
    <w:rsid w:val="2B9F86AF"/>
    <w:rsid w:val="2BA4B029"/>
    <w:rsid w:val="2BA9EE27"/>
    <w:rsid w:val="2BCB7106"/>
    <w:rsid w:val="2BCFAD8D"/>
    <w:rsid w:val="2BD0E1E0"/>
    <w:rsid w:val="2BEFCA62"/>
    <w:rsid w:val="2C344214"/>
    <w:rsid w:val="2C458705"/>
    <w:rsid w:val="2C4C697F"/>
    <w:rsid w:val="2C5EBAFB"/>
    <w:rsid w:val="2C5F6869"/>
    <w:rsid w:val="2C98BE12"/>
    <w:rsid w:val="2CCD88A5"/>
    <w:rsid w:val="2CDB4D7B"/>
    <w:rsid w:val="2CE06069"/>
    <w:rsid w:val="2CF5E181"/>
    <w:rsid w:val="2D019C39"/>
    <w:rsid w:val="2D02DE36"/>
    <w:rsid w:val="2D048292"/>
    <w:rsid w:val="2D09E749"/>
    <w:rsid w:val="2D201903"/>
    <w:rsid w:val="2D4037FF"/>
    <w:rsid w:val="2D44BD79"/>
    <w:rsid w:val="2D469DE5"/>
    <w:rsid w:val="2D56079A"/>
    <w:rsid w:val="2D5F5683"/>
    <w:rsid w:val="2D67137F"/>
    <w:rsid w:val="2D732F2B"/>
    <w:rsid w:val="2D9C8372"/>
    <w:rsid w:val="2D9D6749"/>
    <w:rsid w:val="2DC369D7"/>
    <w:rsid w:val="2DC60593"/>
    <w:rsid w:val="2DCC415E"/>
    <w:rsid w:val="2DD0AA31"/>
    <w:rsid w:val="2DD0B91D"/>
    <w:rsid w:val="2DDC76FE"/>
    <w:rsid w:val="2DE419BE"/>
    <w:rsid w:val="2DFA81BA"/>
    <w:rsid w:val="2DFDD671"/>
    <w:rsid w:val="2E06F21F"/>
    <w:rsid w:val="2E19A8B7"/>
    <w:rsid w:val="2E1A6BE6"/>
    <w:rsid w:val="2E1A8E4A"/>
    <w:rsid w:val="2E2BFF8E"/>
    <w:rsid w:val="2E35A11F"/>
    <w:rsid w:val="2E42DDEB"/>
    <w:rsid w:val="2E47F033"/>
    <w:rsid w:val="2E570776"/>
    <w:rsid w:val="2E67F5F2"/>
    <w:rsid w:val="2E6A81A9"/>
    <w:rsid w:val="2E7BF836"/>
    <w:rsid w:val="2E7D73A4"/>
    <w:rsid w:val="2E96ED9F"/>
    <w:rsid w:val="2E9B42DA"/>
    <w:rsid w:val="2EB3B2DA"/>
    <w:rsid w:val="2EBC52A7"/>
    <w:rsid w:val="2ECBC4F2"/>
    <w:rsid w:val="2ECD2244"/>
    <w:rsid w:val="2ED3B260"/>
    <w:rsid w:val="2EDEC3CE"/>
    <w:rsid w:val="2EE3E26A"/>
    <w:rsid w:val="2EEFD59D"/>
    <w:rsid w:val="2EF563BA"/>
    <w:rsid w:val="2F0DA970"/>
    <w:rsid w:val="2F225EB8"/>
    <w:rsid w:val="2F264BC1"/>
    <w:rsid w:val="2F29CB0D"/>
    <w:rsid w:val="2F342CAD"/>
    <w:rsid w:val="2F389365"/>
    <w:rsid w:val="2F3C4FB1"/>
    <w:rsid w:val="2F42C4A4"/>
    <w:rsid w:val="2F54AB12"/>
    <w:rsid w:val="2F5851A7"/>
    <w:rsid w:val="2F5F3184"/>
    <w:rsid w:val="2F604465"/>
    <w:rsid w:val="2F655905"/>
    <w:rsid w:val="2F65600C"/>
    <w:rsid w:val="2FA2E7A1"/>
    <w:rsid w:val="2FA5BB38"/>
    <w:rsid w:val="2FBD0F0A"/>
    <w:rsid w:val="2FC01BBD"/>
    <w:rsid w:val="2FC0377A"/>
    <w:rsid w:val="2FCFB16D"/>
    <w:rsid w:val="2FD18B98"/>
    <w:rsid w:val="300FC13E"/>
    <w:rsid w:val="302B3BE1"/>
    <w:rsid w:val="305A3943"/>
    <w:rsid w:val="30759E08"/>
    <w:rsid w:val="30808065"/>
    <w:rsid w:val="30869946"/>
    <w:rsid w:val="30A27807"/>
    <w:rsid w:val="30A5AF29"/>
    <w:rsid w:val="30AAEF1D"/>
    <w:rsid w:val="30B936FE"/>
    <w:rsid w:val="30CF071D"/>
    <w:rsid w:val="30DE6343"/>
    <w:rsid w:val="3102596E"/>
    <w:rsid w:val="312E2921"/>
    <w:rsid w:val="312E2AE6"/>
    <w:rsid w:val="3133A1F1"/>
    <w:rsid w:val="315A4B11"/>
    <w:rsid w:val="315F0B75"/>
    <w:rsid w:val="3176191C"/>
    <w:rsid w:val="3178386A"/>
    <w:rsid w:val="317A7977"/>
    <w:rsid w:val="31890F89"/>
    <w:rsid w:val="318B3F27"/>
    <w:rsid w:val="318F63A9"/>
    <w:rsid w:val="319A5F47"/>
    <w:rsid w:val="31BEF27C"/>
    <w:rsid w:val="31C7F86C"/>
    <w:rsid w:val="31CDA707"/>
    <w:rsid w:val="31D066BB"/>
    <w:rsid w:val="31DB857E"/>
    <w:rsid w:val="31E24046"/>
    <w:rsid w:val="31E76C57"/>
    <w:rsid w:val="31E85FDF"/>
    <w:rsid w:val="31F43D4A"/>
    <w:rsid w:val="31F58AFD"/>
    <w:rsid w:val="320AE22C"/>
    <w:rsid w:val="320DBE46"/>
    <w:rsid w:val="321321B1"/>
    <w:rsid w:val="3218AA79"/>
    <w:rsid w:val="3225C491"/>
    <w:rsid w:val="323099D9"/>
    <w:rsid w:val="32320F6A"/>
    <w:rsid w:val="325B5DDD"/>
    <w:rsid w:val="3276E94D"/>
    <w:rsid w:val="328591D8"/>
    <w:rsid w:val="32877328"/>
    <w:rsid w:val="329E6AB5"/>
    <w:rsid w:val="32ABB976"/>
    <w:rsid w:val="32DE505B"/>
    <w:rsid w:val="32F89D4B"/>
    <w:rsid w:val="32FBDF42"/>
    <w:rsid w:val="3309C7DF"/>
    <w:rsid w:val="330DE72B"/>
    <w:rsid w:val="332C603A"/>
    <w:rsid w:val="332EF826"/>
    <w:rsid w:val="332FC42C"/>
    <w:rsid w:val="3332F72F"/>
    <w:rsid w:val="333DF2A1"/>
    <w:rsid w:val="333E4560"/>
    <w:rsid w:val="3341C92D"/>
    <w:rsid w:val="33493BB4"/>
    <w:rsid w:val="33559131"/>
    <w:rsid w:val="33565645"/>
    <w:rsid w:val="33570106"/>
    <w:rsid w:val="335C59EC"/>
    <w:rsid w:val="335FAF34"/>
    <w:rsid w:val="3367859D"/>
    <w:rsid w:val="338BD232"/>
    <w:rsid w:val="339305E0"/>
    <w:rsid w:val="3396DE30"/>
    <w:rsid w:val="33A6D677"/>
    <w:rsid w:val="33AED00C"/>
    <w:rsid w:val="33B0AEAA"/>
    <w:rsid w:val="33CEB71E"/>
    <w:rsid w:val="33D0E67C"/>
    <w:rsid w:val="33E40DFE"/>
    <w:rsid w:val="33E77BCE"/>
    <w:rsid w:val="340E588C"/>
    <w:rsid w:val="341D13E7"/>
    <w:rsid w:val="341F65C0"/>
    <w:rsid w:val="3420A988"/>
    <w:rsid w:val="34250419"/>
    <w:rsid w:val="3435B2F8"/>
    <w:rsid w:val="3441C941"/>
    <w:rsid w:val="344519EF"/>
    <w:rsid w:val="344A4CDA"/>
    <w:rsid w:val="3465EA12"/>
    <w:rsid w:val="3469A03E"/>
    <w:rsid w:val="347F36F9"/>
    <w:rsid w:val="3498BEC0"/>
    <w:rsid w:val="349CF8A3"/>
    <w:rsid w:val="34A48EA6"/>
    <w:rsid w:val="34AEC311"/>
    <w:rsid w:val="34BBCC3C"/>
    <w:rsid w:val="34C2DFE9"/>
    <w:rsid w:val="34DDAD1D"/>
    <w:rsid w:val="351EB7A6"/>
    <w:rsid w:val="35236F50"/>
    <w:rsid w:val="35255D45"/>
    <w:rsid w:val="3532EC3A"/>
    <w:rsid w:val="3555C80A"/>
    <w:rsid w:val="3562501B"/>
    <w:rsid w:val="35631A4D"/>
    <w:rsid w:val="35892E5C"/>
    <w:rsid w:val="358C7390"/>
    <w:rsid w:val="358FBCF6"/>
    <w:rsid w:val="35921EA7"/>
    <w:rsid w:val="35933371"/>
    <w:rsid w:val="35A02F41"/>
    <w:rsid w:val="35B150A3"/>
    <w:rsid w:val="35B36A17"/>
    <w:rsid w:val="35C6E067"/>
    <w:rsid w:val="35CB0D7A"/>
    <w:rsid w:val="35DC6592"/>
    <w:rsid w:val="35E9ECEF"/>
    <w:rsid w:val="35EEE015"/>
    <w:rsid w:val="3605B74E"/>
    <w:rsid w:val="3616202D"/>
    <w:rsid w:val="364255F5"/>
    <w:rsid w:val="3647FEDC"/>
    <w:rsid w:val="364A86FD"/>
    <w:rsid w:val="365F6896"/>
    <w:rsid w:val="3661C665"/>
    <w:rsid w:val="366C7814"/>
    <w:rsid w:val="3672EF1C"/>
    <w:rsid w:val="367F88F8"/>
    <w:rsid w:val="3687C74F"/>
    <w:rsid w:val="368AF912"/>
    <w:rsid w:val="368B3F5A"/>
    <w:rsid w:val="368D2EC4"/>
    <w:rsid w:val="369BFEB0"/>
    <w:rsid w:val="36ADD7EB"/>
    <w:rsid w:val="36B12678"/>
    <w:rsid w:val="36BF23E4"/>
    <w:rsid w:val="36C77623"/>
    <w:rsid w:val="36CC11A3"/>
    <w:rsid w:val="36CFEAA4"/>
    <w:rsid w:val="36D1253C"/>
    <w:rsid w:val="36DF17CD"/>
    <w:rsid w:val="36E0C3F5"/>
    <w:rsid w:val="36E195A5"/>
    <w:rsid w:val="36E37D32"/>
    <w:rsid w:val="36FAC783"/>
    <w:rsid w:val="37004442"/>
    <w:rsid w:val="37015F2A"/>
    <w:rsid w:val="370EA1D2"/>
    <w:rsid w:val="371A7530"/>
    <w:rsid w:val="37215EC8"/>
    <w:rsid w:val="37294E89"/>
    <w:rsid w:val="3741B338"/>
    <w:rsid w:val="374D6C5E"/>
    <w:rsid w:val="3755BCF9"/>
    <w:rsid w:val="3755D0EB"/>
    <w:rsid w:val="378A9FDC"/>
    <w:rsid w:val="37941BC3"/>
    <w:rsid w:val="37B15038"/>
    <w:rsid w:val="37B5AD05"/>
    <w:rsid w:val="37BBA501"/>
    <w:rsid w:val="37BCCD6E"/>
    <w:rsid w:val="37C45344"/>
    <w:rsid w:val="37D71499"/>
    <w:rsid w:val="37FD3AA5"/>
    <w:rsid w:val="38136AD6"/>
    <w:rsid w:val="38158583"/>
    <w:rsid w:val="381F81B1"/>
    <w:rsid w:val="3821B27C"/>
    <w:rsid w:val="382E40D5"/>
    <w:rsid w:val="38365D2D"/>
    <w:rsid w:val="3859FDB0"/>
    <w:rsid w:val="3860C91C"/>
    <w:rsid w:val="387C8411"/>
    <w:rsid w:val="38801A5C"/>
    <w:rsid w:val="389E4957"/>
    <w:rsid w:val="38AFADF8"/>
    <w:rsid w:val="38B460F3"/>
    <w:rsid w:val="38B912FA"/>
    <w:rsid w:val="38D96A9E"/>
    <w:rsid w:val="38ECCEF4"/>
    <w:rsid w:val="390084B7"/>
    <w:rsid w:val="3908A7D7"/>
    <w:rsid w:val="390A9F7B"/>
    <w:rsid w:val="391EF060"/>
    <w:rsid w:val="3925B846"/>
    <w:rsid w:val="392B8634"/>
    <w:rsid w:val="392FBD2F"/>
    <w:rsid w:val="3930579E"/>
    <w:rsid w:val="3939F3B7"/>
    <w:rsid w:val="394B6E8B"/>
    <w:rsid w:val="39517FAC"/>
    <w:rsid w:val="39740E95"/>
    <w:rsid w:val="3978B214"/>
    <w:rsid w:val="397B2FDA"/>
    <w:rsid w:val="3986F608"/>
    <w:rsid w:val="398F87CC"/>
    <w:rsid w:val="39A08353"/>
    <w:rsid w:val="39D082E8"/>
    <w:rsid w:val="39D829C5"/>
    <w:rsid w:val="39DFFE74"/>
    <w:rsid w:val="39E0196B"/>
    <w:rsid w:val="39EFF2C0"/>
    <w:rsid w:val="39F49ADD"/>
    <w:rsid w:val="39F8E841"/>
    <w:rsid w:val="3A06E4B9"/>
    <w:rsid w:val="3A09246E"/>
    <w:rsid w:val="3A0C59EB"/>
    <w:rsid w:val="3A29A82B"/>
    <w:rsid w:val="3A500790"/>
    <w:rsid w:val="3A5CD90D"/>
    <w:rsid w:val="3A654F29"/>
    <w:rsid w:val="3A6A8C40"/>
    <w:rsid w:val="3A77DF40"/>
    <w:rsid w:val="3A835C0B"/>
    <w:rsid w:val="3A8D3AE1"/>
    <w:rsid w:val="3AB35E22"/>
    <w:rsid w:val="3ABE0932"/>
    <w:rsid w:val="3AC3B928"/>
    <w:rsid w:val="3AC933E6"/>
    <w:rsid w:val="3B01D49C"/>
    <w:rsid w:val="3B13A243"/>
    <w:rsid w:val="3B212BA4"/>
    <w:rsid w:val="3B43EB15"/>
    <w:rsid w:val="3B48E12C"/>
    <w:rsid w:val="3B65A0C0"/>
    <w:rsid w:val="3B65F9B6"/>
    <w:rsid w:val="3B6B05C1"/>
    <w:rsid w:val="3B6D93CD"/>
    <w:rsid w:val="3B85E9EE"/>
    <w:rsid w:val="3BB99713"/>
    <w:rsid w:val="3BCC9B2B"/>
    <w:rsid w:val="3BCF40EE"/>
    <w:rsid w:val="3BE737B5"/>
    <w:rsid w:val="3BE93647"/>
    <w:rsid w:val="3BFDB387"/>
    <w:rsid w:val="3C00F5DF"/>
    <w:rsid w:val="3C25EBFF"/>
    <w:rsid w:val="3C2AE7BD"/>
    <w:rsid w:val="3C2BC513"/>
    <w:rsid w:val="3C2F26FF"/>
    <w:rsid w:val="3C3BAC5A"/>
    <w:rsid w:val="3C3DA54B"/>
    <w:rsid w:val="3C434522"/>
    <w:rsid w:val="3C4E61CB"/>
    <w:rsid w:val="3C4F67E4"/>
    <w:rsid w:val="3C5DEBCA"/>
    <w:rsid w:val="3C6B0671"/>
    <w:rsid w:val="3C756541"/>
    <w:rsid w:val="3C863E74"/>
    <w:rsid w:val="3CAC785A"/>
    <w:rsid w:val="3CFBA9EE"/>
    <w:rsid w:val="3D23DC4C"/>
    <w:rsid w:val="3D25DE04"/>
    <w:rsid w:val="3D2A7C9C"/>
    <w:rsid w:val="3D35E91B"/>
    <w:rsid w:val="3D41CD28"/>
    <w:rsid w:val="3D527805"/>
    <w:rsid w:val="3D643707"/>
    <w:rsid w:val="3D75B1F2"/>
    <w:rsid w:val="3D7BF4D5"/>
    <w:rsid w:val="3D967448"/>
    <w:rsid w:val="3DAA0B38"/>
    <w:rsid w:val="3DB72B1E"/>
    <w:rsid w:val="3DBF079C"/>
    <w:rsid w:val="3DCA78FA"/>
    <w:rsid w:val="3DD4E894"/>
    <w:rsid w:val="3DDF7808"/>
    <w:rsid w:val="3DF68F7B"/>
    <w:rsid w:val="3DFDA157"/>
    <w:rsid w:val="3E098740"/>
    <w:rsid w:val="3E10276B"/>
    <w:rsid w:val="3E188B19"/>
    <w:rsid w:val="3E2D2D80"/>
    <w:rsid w:val="3E34CE17"/>
    <w:rsid w:val="3E379912"/>
    <w:rsid w:val="3E3DDE2C"/>
    <w:rsid w:val="3E47A560"/>
    <w:rsid w:val="3E48C7DE"/>
    <w:rsid w:val="3E4F9076"/>
    <w:rsid w:val="3E50CE5F"/>
    <w:rsid w:val="3E5A320F"/>
    <w:rsid w:val="3E5A9484"/>
    <w:rsid w:val="3E67CCF5"/>
    <w:rsid w:val="3E7C7DC9"/>
    <w:rsid w:val="3E8630B1"/>
    <w:rsid w:val="3E88CA6E"/>
    <w:rsid w:val="3E8AB8C2"/>
    <w:rsid w:val="3E97FA65"/>
    <w:rsid w:val="3EB413B7"/>
    <w:rsid w:val="3EB532D6"/>
    <w:rsid w:val="3EBD9E7C"/>
    <w:rsid w:val="3EBDDC0F"/>
    <w:rsid w:val="3EBEEF12"/>
    <w:rsid w:val="3EC0FBD5"/>
    <w:rsid w:val="3EC61F76"/>
    <w:rsid w:val="3EDBE9F8"/>
    <w:rsid w:val="3EF87FA9"/>
    <w:rsid w:val="3F04B618"/>
    <w:rsid w:val="3F09CB33"/>
    <w:rsid w:val="3F19AD8E"/>
    <w:rsid w:val="3F1E2AE9"/>
    <w:rsid w:val="3F2B6847"/>
    <w:rsid w:val="3F3BCB8C"/>
    <w:rsid w:val="3F616DDA"/>
    <w:rsid w:val="3F77C2C0"/>
    <w:rsid w:val="3F7FA9C0"/>
    <w:rsid w:val="3F86EAA6"/>
    <w:rsid w:val="3F98983E"/>
    <w:rsid w:val="3FAF1CDB"/>
    <w:rsid w:val="3FAFBADD"/>
    <w:rsid w:val="3FAFE6E1"/>
    <w:rsid w:val="3FAFE8EB"/>
    <w:rsid w:val="3FBEFD16"/>
    <w:rsid w:val="3FC96CEB"/>
    <w:rsid w:val="3FD0E4C4"/>
    <w:rsid w:val="3FE6B7FF"/>
    <w:rsid w:val="3FF50730"/>
    <w:rsid w:val="3FF5CDE4"/>
    <w:rsid w:val="400D3929"/>
    <w:rsid w:val="40109051"/>
    <w:rsid w:val="401FA491"/>
    <w:rsid w:val="4026FF32"/>
    <w:rsid w:val="404BA555"/>
    <w:rsid w:val="4051EB29"/>
    <w:rsid w:val="4061DD89"/>
    <w:rsid w:val="4062E645"/>
    <w:rsid w:val="407621D4"/>
    <w:rsid w:val="40765C4B"/>
    <w:rsid w:val="407786F5"/>
    <w:rsid w:val="407FC045"/>
    <w:rsid w:val="40885636"/>
    <w:rsid w:val="408EF44D"/>
    <w:rsid w:val="40B1D1E2"/>
    <w:rsid w:val="40B205FA"/>
    <w:rsid w:val="40B71EA2"/>
    <w:rsid w:val="40BB850C"/>
    <w:rsid w:val="40BB8C1A"/>
    <w:rsid w:val="4119CD0B"/>
    <w:rsid w:val="4125B30D"/>
    <w:rsid w:val="412A36E7"/>
    <w:rsid w:val="412A4AEB"/>
    <w:rsid w:val="4135ACE6"/>
    <w:rsid w:val="413CE98A"/>
    <w:rsid w:val="414219BB"/>
    <w:rsid w:val="415C10D4"/>
    <w:rsid w:val="415C5690"/>
    <w:rsid w:val="415C6CF5"/>
    <w:rsid w:val="4176C30F"/>
    <w:rsid w:val="417C3795"/>
    <w:rsid w:val="417FFCB0"/>
    <w:rsid w:val="41814AFF"/>
    <w:rsid w:val="4190DC57"/>
    <w:rsid w:val="41941CBA"/>
    <w:rsid w:val="419FABC7"/>
    <w:rsid w:val="41B38806"/>
    <w:rsid w:val="41C43887"/>
    <w:rsid w:val="41E4D044"/>
    <w:rsid w:val="41F76618"/>
    <w:rsid w:val="41F8318C"/>
    <w:rsid w:val="4203B1F6"/>
    <w:rsid w:val="4214D886"/>
    <w:rsid w:val="422DE995"/>
    <w:rsid w:val="422E45F5"/>
    <w:rsid w:val="4231047C"/>
    <w:rsid w:val="42363A00"/>
    <w:rsid w:val="42416539"/>
    <w:rsid w:val="425C5EEA"/>
    <w:rsid w:val="42659F57"/>
    <w:rsid w:val="42686F1B"/>
    <w:rsid w:val="426B50D9"/>
    <w:rsid w:val="42AADC14"/>
    <w:rsid w:val="42D63A73"/>
    <w:rsid w:val="42E64D99"/>
    <w:rsid w:val="42F8E211"/>
    <w:rsid w:val="4328B92E"/>
    <w:rsid w:val="4341E0A0"/>
    <w:rsid w:val="434E39B3"/>
    <w:rsid w:val="43647B18"/>
    <w:rsid w:val="4369371E"/>
    <w:rsid w:val="43744418"/>
    <w:rsid w:val="4376A9EB"/>
    <w:rsid w:val="43840F22"/>
    <w:rsid w:val="4396900D"/>
    <w:rsid w:val="439CF4F1"/>
    <w:rsid w:val="439E772E"/>
    <w:rsid w:val="43A84FB0"/>
    <w:rsid w:val="43A95FC9"/>
    <w:rsid w:val="43CFD42E"/>
    <w:rsid w:val="43D29666"/>
    <w:rsid w:val="43D534E1"/>
    <w:rsid w:val="43E04B7B"/>
    <w:rsid w:val="43FBFA48"/>
    <w:rsid w:val="44026963"/>
    <w:rsid w:val="4405AE5A"/>
    <w:rsid w:val="4419DF55"/>
    <w:rsid w:val="441C1B4D"/>
    <w:rsid w:val="44578A3D"/>
    <w:rsid w:val="446036CB"/>
    <w:rsid w:val="4466CE0F"/>
    <w:rsid w:val="446F1945"/>
    <w:rsid w:val="447F08D7"/>
    <w:rsid w:val="44886FFA"/>
    <w:rsid w:val="448BBE98"/>
    <w:rsid w:val="448E3A90"/>
    <w:rsid w:val="44972A56"/>
    <w:rsid w:val="44A1C3CE"/>
    <w:rsid w:val="44B645C8"/>
    <w:rsid w:val="44B84014"/>
    <w:rsid w:val="44E47630"/>
    <w:rsid w:val="44E8CA02"/>
    <w:rsid w:val="4500052A"/>
    <w:rsid w:val="450092A5"/>
    <w:rsid w:val="450163CF"/>
    <w:rsid w:val="450FC907"/>
    <w:rsid w:val="4515749C"/>
    <w:rsid w:val="451887BC"/>
    <w:rsid w:val="4527F178"/>
    <w:rsid w:val="452D71B7"/>
    <w:rsid w:val="4531F707"/>
    <w:rsid w:val="45350786"/>
    <w:rsid w:val="453DC3E7"/>
    <w:rsid w:val="4543F199"/>
    <w:rsid w:val="455DB4D3"/>
    <w:rsid w:val="456C5759"/>
    <w:rsid w:val="45766AF2"/>
    <w:rsid w:val="458625F4"/>
    <w:rsid w:val="459AF0E7"/>
    <w:rsid w:val="45AA5A80"/>
    <w:rsid w:val="45B6263B"/>
    <w:rsid w:val="45B7DE03"/>
    <w:rsid w:val="45C17D88"/>
    <w:rsid w:val="45C5C88F"/>
    <w:rsid w:val="45D47634"/>
    <w:rsid w:val="45D494FD"/>
    <w:rsid w:val="45D64849"/>
    <w:rsid w:val="460B93CF"/>
    <w:rsid w:val="461487CB"/>
    <w:rsid w:val="46279AC2"/>
    <w:rsid w:val="46330EB1"/>
    <w:rsid w:val="4636FCBB"/>
    <w:rsid w:val="463F5097"/>
    <w:rsid w:val="4661FB5C"/>
    <w:rsid w:val="467E7200"/>
    <w:rsid w:val="4683C02E"/>
    <w:rsid w:val="46875CD1"/>
    <w:rsid w:val="469170B8"/>
    <w:rsid w:val="46B86A72"/>
    <w:rsid w:val="46BD8B87"/>
    <w:rsid w:val="46C3CEE3"/>
    <w:rsid w:val="46EEC1F3"/>
    <w:rsid w:val="46EF9CFD"/>
    <w:rsid w:val="46F1B0C5"/>
    <w:rsid w:val="46FE6B3F"/>
    <w:rsid w:val="471E6C49"/>
    <w:rsid w:val="472451DE"/>
    <w:rsid w:val="4724F469"/>
    <w:rsid w:val="4728F93F"/>
    <w:rsid w:val="474E20CD"/>
    <w:rsid w:val="474E3B84"/>
    <w:rsid w:val="47656980"/>
    <w:rsid w:val="47668424"/>
    <w:rsid w:val="476F4326"/>
    <w:rsid w:val="4771945B"/>
    <w:rsid w:val="477C51EA"/>
    <w:rsid w:val="47820894"/>
    <w:rsid w:val="4784D28A"/>
    <w:rsid w:val="47859DF1"/>
    <w:rsid w:val="4786D42E"/>
    <w:rsid w:val="478EB4E2"/>
    <w:rsid w:val="47990E31"/>
    <w:rsid w:val="47A8E829"/>
    <w:rsid w:val="47B5AFCC"/>
    <w:rsid w:val="47B79AB8"/>
    <w:rsid w:val="47B9E441"/>
    <w:rsid w:val="47CBF56F"/>
    <w:rsid w:val="47D0C931"/>
    <w:rsid w:val="47D1F523"/>
    <w:rsid w:val="47D76D15"/>
    <w:rsid w:val="47E0CF89"/>
    <w:rsid w:val="47FBF509"/>
    <w:rsid w:val="480DF72B"/>
    <w:rsid w:val="482D6B8B"/>
    <w:rsid w:val="484D4AB4"/>
    <w:rsid w:val="4850221A"/>
    <w:rsid w:val="48567D42"/>
    <w:rsid w:val="4873D650"/>
    <w:rsid w:val="489AF425"/>
    <w:rsid w:val="48AAB8A3"/>
    <w:rsid w:val="48AF638A"/>
    <w:rsid w:val="48BFBABB"/>
    <w:rsid w:val="48C7CE43"/>
    <w:rsid w:val="48C7DFF9"/>
    <w:rsid w:val="48D4AD67"/>
    <w:rsid w:val="48DE0BD9"/>
    <w:rsid w:val="48E0DD8D"/>
    <w:rsid w:val="48F7273E"/>
    <w:rsid w:val="49011AB5"/>
    <w:rsid w:val="490A1A5D"/>
    <w:rsid w:val="49168E87"/>
    <w:rsid w:val="491B5C90"/>
    <w:rsid w:val="494B8C26"/>
    <w:rsid w:val="495781BB"/>
    <w:rsid w:val="496635CC"/>
    <w:rsid w:val="498703A7"/>
    <w:rsid w:val="49900D37"/>
    <w:rsid w:val="49A04EDB"/>
    <w:rsid w:val="49A0E4EF"/>
    <w:rsid w:val="49AA0EBA"/>
    <w:rsid w:val="49ABA93C"/>
    <w:rsid w:val="49AD7049"/>
    <w:rsid w:val="49B11EEB"/>
    <w:rsid w:val="49B153C0"/>
    <w:rsid w:val="49B370B7"/>
    <w:rsid w:val="49B39E60"/>
    <w:rsid w:val="49B9DF30"/>
    <w:rsid w:val="49D85C47"/>
    <w:rsid w:val="49E0337C"/>
    <w:rsid w:val="49E0526D"/>
    <w:rsid w:val="49E1E902"/>
    <w:rsid w:val="49E85027"/>
    <w:rsid w:val="49FC9BD8"/>
    <w:rsid w:val="4A0E4EE0"/>
    <w:rsid w:val="4A101FA9"/>
    <w:rsid w:val="4A17B232"/>
    <w:rsid w:val="4A22DF7C"/>
    <w:rsid w:val="4A2E3023"/>
    <w:rsid w:val="4A2E9DFD"/>
    <w:rsid w:val="4A2FB6B8"/>
    <w:rsid w:val="4A389279"/>
    <w:rsid w:val="4A3FA37A"/>
    <w:rsid w:val="4A43DF2E"/>
    <w:rsid w:val="4A753293"/>
    <w:rsid w:val="4A905147"/>
    <w:rsid w:val="4A92809B"/>
    <w:rsid w:val="4A9CC54C"/>
    <w:rsid w:val="4AC248C8"/>
    <w:rsid w:val="4ACD902C"/>
    <w:rsid w:val="4AD04ABB"/>
    <w:rsid w:val="4AD5F954"/>
    <w:rsid w:val="4AD61F18"/>
    <w:rsid w:val="4ADB27B0"/>
    <w:rsid w:val="4AE2F893"/>
    <w:rsid w:val="4AE83E2D"/>
    <w:rsid w:val="4AFB57AA"/>
    <w:rsid w:val="4B01486F"/>
    <w:rsid w:val="4B1D50E8"/>
    <w:rsid w:val="4B30ABE6"/>
    <w:rsid w:val="4B3669A8"/>
    <w:rsid w:val="4B433692"/>
    <w:rsid w:val="4B595154"/>
    <w:rsid w:val="4B5C1DE9"/>
    <w:rsid w:val="4B69B3E4"/>
    <w:rsid w:val="4B740F86"/>
    <w:rsid w:val="4B787EC3"/>
    <w:rsid w:val="4B85E754"/>
    <w:rsid w:val="4B9037C0"/>
    <w:rsid w:val="4B9B4C5E"/>
    <w:rsid w:val="4BA1C5F2"/>
    <w:rsid w:val="4BA36D3C"/>
    <w:rsid w:val="4BD1626E"/>
    <w:rsid w:val="4BDAA6D4"/>
    <w:rsid w:val="4BEF0143"/>
    <w:rsid w:val="4BF82F70"/>
    <w:rsid w:val="4BFB2566"/>
    <w:rsid w:val="4C03CEED"/>
    <w:rsid w:val="4C079F51"/>
    <w:rsid w:val="4C0E9916"/>
    <w:rsid w:val="4C29D182"/>
    <w:rsid w:val="4C315243"/>
    <w:rsid w:val="4C451731"/>
    <w:rsid w:val="4C623D67"/>
    <w:rsid w:val="4C657E73"/>
    <w:rsid w:val="4C840FAC"/>
    <w:rsid w:val="4C8D7323"/>
    <w:rsid w:val="4C9A5225"/>
    <w:rsid w:val="4C9D60A4"/>
    <w:rsid w:val="4CC0D658"/>
    <w:rsid w:val="4CC71658"/>
    <w:rsid w:val="4CCA3F35"/>
    <w:rsid w:val="4CD6973D"/>
    <w:rsid w:val="4CF79C35"/>
    <w:rsid w:val="4D02E824"/>
    <w:rsid w:val="4D08209C"/>
    <w:rsid w:val="4D164254"/>
    <w:rsid w:val="4D1803D2"/>
    <w:rsid w:val="4D1B9B76"/>
    <w:rsid w:val="4D33888B"/>
    <w:rsid w:val="4D3C8CE6"/>
    <w:rsid w:val="4D484378"/>
    <w:rsid w:val="4D6C3A9F"/>
    <w:rsid w:val="4D6E7376"/>
    <w:rsid w:val="4D89E349"/>
    <w:rsid w:val="4D8A48AC"/>
    <w:rsid w:val="4D8F7CE1"/>
    <w:rsid w:val="4D9B5773"/>
    <w:rsid w:val="4DAE89E8"/>
    <w:rsid w:val="4DB6B478"/>
    <w:rsid w:val="4DBD8275"/>
    <w:rsid w:val="4DBD9989"/>
    <w:rsid w:val="4DBDBD5A"/>
    <w:rsid w:val="4DD49BFB"/>
    <w:rsid w:val="4DE24F5F"/>
    <w:rsid w:val="4DF5257C"/>
    <w:rsid w:val="4E150A37"/>
    <w:rsid w:val="4E2AF92F"/>
    <w:rsid w:val="4E2D1648"/>
    <w:rsid w:val="4E33BF25"/>
    <w:rsid w:val="4E3B7812"/>
    <w:rsid w:val="4E5244AA"/>
    <w:rsid w:val="4E59A59B"/>
    <w:rsid w:val="4E6A71EB"/>
    <w:rsid w:val="4E6BB2FA"/>
    <w:rsid w:val="4E6EF5DB"/>
    <w:rsid w:val="4E6F6062"/>
    <w:rsid w:val="4E6F7103"/>
    <w:rsid w:val="4E6FF28F"/>
    <w:rsid w:val="4E7E0D1B"/>
    <w:rsid w:val="4E95E563"/>
    <w:rsid w:val="4E9A6739"/>
    <w:rsid w:val="4EA8140E"/>
    <w:rsid w:val="4EAF15BE"/>
    <w:rsid w:val="4EB5EE03"/>
    <w:rsid w:val="4EC7F0E2"/>
    <w:rsid w:val="4EFE4BE6"/>
    <w:rsid w:val="4F2F7D65"/>
    <w:rsid w:val="4F3048CB"/>
    <w:rsid w:val="4F31BD66"/>
    <w:rsid w:val="4F4250F3"/>
    <w:rsid w:val="4F4CEC3D"/>
    <w:rsid w:val="4F5709E3"/>
    <w:rsid w:val="4F62FCC2"/>
    <w:rsid w:val="4F73B8D2"/>
    <w:rsid w:val="4F7CF78F"/>
    <w:rsid w:val="4F84C561"/>
    <w:rsid w:val="4F93778E"/>
    <w:rsid w:val="4F953AA6"/>
    <w:rsid w:val="4F99F4FD"/>
    <w:rsid w:val="4FA143EA"/>
    <w:rsid w:val="4FB4E4FB"/>
    <w:rsid w:val="4FB85AA9"/>
    <w:rsid w:val="4FC52357"/>
    <w:rsid w:val="4FCF0B58"/>
    <w:rsid w:val="4FDE2F0E"/>
    <w:rsid w:val="4FDF3ED5"/>
    <w:rsid w:val="4FE1BCBB"/>
    <w:rsid w:val="4FF5499B"/>
    <w:rsid w:val="4FFC8706"/>
    <w:rsid w:val="4FFE9C42"/>
    <w:rsid w:val="50003371"/>
    <w:rsid w:val="500118B0"/>
    <w:rsid w:val="50127FD2"/>
    <w:rsid w:val="50136039"/>
    <w:rsid w:val="50385A64"/>
    <w:rsid w:val="50484E37"/>
    <w:rsid w:val="50609398"/>
    <w:rsid w:val="5075E77B"/>
    <w:rsid w:val="508B6796"/>
    <w:rsid w:val="5095CD6E"/>
    <w:rsid w:val="509BB78B"/>
    <w:rsid w:val="50A3CB75"/>
    <w:rsid w:val="50BB6D80"/>
    <w:rsid w:val="50BB9F2C"/>
    <w:rsid w:val="50DC2C22"/>
    <w:rsid w:val="50E6BEB6"/>
    <w:rsid w:val="50EC89D6"/>
    <w:rsid w:val="50F76F7E"/>
    <w:rsid w:val="50F930F1"/>
    <w:rsid w:val="50FEDDC0"/>
    <w:rsid w:val="51058221"/>
    <w:rsid w:val="51060862"/>
    <w:rsid w:val="51139FA9"/>
    <w:rsid w:val="51335E43"/>
    <w:rsid w:val="51375A91"/>
    <w:rsid w:val="513F79B1"/>
    <w:rsid w:val="514634DD"/>
    <w:rsid w:val="5156F99A"/>
    <w:rsid w:val="515C3CFA"/>
    <w:rsid w:val="51717822"/>
    <w:rsid w:val="5184B6AD"/>
    <w:rsid w:val="51922EDD"/>
    <w:rsid w:val="5197EE95"/>
    <w:rsid w:val="51B9EEF1"/>
    <w:rsid w:val="51C83A1D"/>
    <w:rsid w:val="51D26ABD"/>
    <w:rsid w:val="51D331A6"/>
    <w:rsid w:val="51E5FAF6"/>
    <w:rsid w:val="51E9CBE1"/>
    <w:rsid w:val="51FC7A9A"/>
    <w:rsid w:val="51FDF4CA"/>
    <w:rsid w:val="5222F3B3"/>
    <w:rsid w:val="525282CE"/>
    <w:rsid w:val="52586DE0"/>
    <w:rsid w:val="5264E0AD"/>
    <w:rsid w:val="5265B4E3"/>
    <w:rsid w:val="526D54E1"/>
    <w:rsid w:val="52805676"/>
    <w:rsid w:val="5288F232"/>
    <w:rsid w:val="5288FFDA"/>
    <w:rsid w:val="528FE10A"/>
    <w:rsid w:val="52AB20B8"/>
    <w:rsid w:val="52C926F5"/>
    <w:rsid w:val="52EB6F48"/>
    <w:rsid w:val="52EE43E9"/>
    <w:rsid w:val="5324F41F"/>
    <w:rsid w:val="533BF7B4"/>
    <w:rsid w:val="53442A27"/>
    <w:rsid w:val="53466052"/>
    <w:rsid w:val="53539EC3"/>
    <w:rsid w:val="53540093"/>
    <w:rsid w:val="536C3A6E"/>
    <w:rsid w:val="539EB2F1"/>
    <w:rsid w:val="53B1222F"/>
    <w:rsid w:val="53B8426B"/>
    <w:rsid w:val="53BA04D2"/>
    <w:rsid w:val="53BE3F10"/>
    <w:rsid w:val="53C2B7EE"/>
    <w:rsid w:val="53C4E29C"/>
    <w:rsid w:val="53C508BE"/>
    <w:rsid w:val="53CEA743"/>
    <w:rsid w:val="53EC37CA"/>
    <w:rsid w:val="53EDFE2A"/>
    <w:rsid w:val="5417CF79"/>
    <w:rsid w:val="54278176"/>
    <w:rsid w:val="54412DD8"/>
    <w:rsid w:val="54417557"/>
    <w:rsid w:val="544DCD91"/>
    <w:rsid w:val="5457D3E2"/>
    <w:rsid w:val="545B47F2"/>
    <w:rsid w:val="546D4F32"/>
    <w:rsid w:val="546E3410"/>
    <w:rsid w:val="54833B17"/>
    <w:rsid w:val="54970EBB"/>
    <w:rsid w:val="549ED500"/>
    <w:rsid w:val="54C6FB47"/>
    <w:rsid w:val="54D3CC14"/>
    <w:rsid w:val="54D908D1"/>
    <w:rsid w:val="54EC0486"/>
    <w:rsid w:val="54FD4C5E"/>
    <w:rsid w:val="550B3877"/>
    <w:rsid w:val="5526AC69"/>
    <w:rsid w:val="552C7B24"/>
    <w:rsid w:val="55326933"/>
    <w:rsid w:val="55493AD7"/>
    <w:rsid w:val="555DDD3A"/>
    <w:rsid w:val="5567E756"/>
    <w:rsid w:val="556AE319"/>
    <w:rsid w:val="556FD0EA"/>
    <w:rsid w:val="55700E46"/>
    <w:rsid w:val="557C1A7C"/>
    <w:rsid w:val="55861C1B"/>
    <w:rsid w:val="55958AE1"/>
    <w:rsid w:val="55963AE3"/>
    <w:rsid w:val="55A15C9B"/>
    <w:rsid w:val="55BC81D3"/>
    <w:rsid w:val="55D0ED52"/>
    <w:rsid w:val="5608A732"/>
    <w:rsid w:val="5618E183"/>
    <w:rsid w:val="561D83D5"/>
    <w:rsid w:val="561F189D"/>
    <w:rsid w:val="562C066B"/>
    <w:rsid w:val="563DECDF"/>
    <w:rsid w:val="564341AA"/>
    <w:rsid w:val="56503E09"/>
    <w:rsid w:val="56622F5F"/>
    <w:rsid w:val="566F807E"/>
    <w:rsid w:val="567A38F1"/>
    <w:rsid w:val="568D04E1"/>
    <w:rsid w:val="569238C0"/>
    <w:rsid w:val="569E8B24"/>
    <w:rsid w:val="569EC5A3"/>
    <w:rsid w:val="56B43044"/>
    <w:rsid w:val="56B6DA79"/>
    <w:rsid w:val="56BA8BC5"/>
    <w:rsid w:val="56CFF1CD"/>
    <w:rsid w:val="56D44808"/>
    <w:rsid w:val="56E272C4"/>
    <w:rsid w:val="5708D04F"/>
    <w:rsid w:val="5722D139"/>
    <w:rsid w:val="57277492"/>
    <w:rsid w:val="5731B0D1"/>
    <w:rsid w:val="5742E965"/>
    <w:rsid w:val="5745E11F"/>
    <w:rsid w:val="576C3BD5"/>
    <w:rsid w:val="5779CECD"/>
    <w:rsid w:val="578BB5A7"/>
    <w:rsid w:val="5795FB94"/>
    <w:rsid w:val="579A43AE"/>
    <w:rsid w:val="57A8D902"/>
    <w:rsid w:val="57C3E504"/>
    <w:rsid w:val="57E2B80A"/>
    <w:rsid w:val="57E9E4A7"/>
    <w:rsid w:val="57FF25EE"/>
    <w:rsid w:val="5808EFE6"/>
    <w:rsid w:val="580F5BD9"/>
    <w:rsid w:val="581486EC"/>
    <w:rsid w:val="582521B5"/>
    <w:rsid w:val="5838F123"/>
    <w:rsid w:val="58392C64"/>
    <w:rsid w:val="58410DF0"/>
    <w:rsid w:val="58476B4D"/>
    <w:rsid w:val="586F232B"/>
    <w:rsid w:val="5870D28C"/>
    <w:rsid w:val="5878F938"/>
    <w:rsid w:val="58A6B675"/>
    <w:rsid w:val="58AC513A"/>
    <w:rsid w:val="58C54F77"/>
    <w:rsid w:val="58D097E4"/>
    <w:rsid w:val="58E311E6"/>
    <w:rsid w:val="58F56F15"/>
    <w:rsid w:val="590DA74C"/>
    <w:rsid w:val="5919EA7E"/>
    <w:rsid w:val="591C5E68"/>
    <w:rsid w:val="592529E9"/>
    <w:rsid w:val="594A3DDE"/>
    <w:rsid w:val="595445CF"/>
    <w:rsid w:val="595A6BEF"/>
    <w:rsid w:val="596277E8"/>
    <w:rsid w:val="5970B96B"/>
    <w:rsid w:val="59715156"/>
    <w:rsid w:val="5977A551"/>
    <w:rsid w:val="59892947"/>
    <w:rsid w:val="59906044"/>
    <w:rsid w:val="599DA8CA"/>
    <w:rsid w:val="59AD51FB"/>
    <w:rsid w:val="59B1E805"/>
    <w:rsid w:val="59B6998B"/>
    <w:rsid w:val="59D2D492"/>
    <w:rsid w:val="59D9E981"/>
    <w:rsid w:val="59F32BF7"/>
    <w:rsid w:val="59F53A03"/>
    <w:rsid w:val="5A08D714"/>
    <w:rsid w:val="5A405966"/>
    <w:rsid w:val="5A66E7F9"/>
    <w:rsid w:val="5A6710D1"/>
    <w:rsid w:val="5A78552B"/>
    <w:rsid w:val="5A7EF8FA"/>
    <w:rsid w:val="5A8E2E31"/>
    <w:rsid w:val="5A94371F"/>
    <w:rsid w:val="5A956690"/>
    <w:rsid w:val="5A97475D"/>
    <w:rsid w:val="5AA058E0"/>
    <w:rsid w:val="5AB1C5A3"/>
    <w:rsid w:val="5AB31E67"/>
    <w:rsid w:val="5ACD5A70"/>
    <w:rsid w:val="5ADC080F"/>
    <w:rsid w:val="5AE9B58B"/>
    <w:rsid w:val="5AF36340"/>
    <w:rsid w:val="5AF43492"/>
    <w:rsid w:val="5B0056D4"/>
    <w:rsid w:val="5B1B254A"/>
    <w:rsid w:val="5B2B1550"/>
    <w:rsid w:val="5B382AD3"/>
    <w:rsid w:val="5B45A341"/>
    <w:rsid w:val="5B53C5AC"/>
    <w:rsid w:val="5B6E1AC3"/>
    <w:rsid w:val="5B899FE7"/>
    <w:rsid w:val="5B8DA4AB"/>
    <w:rsid w:val="5B8FB348"/>
    <w:rsid w:val="5B8FC714"/>
    <w:rsid w:val="5BA1430E"/>
    <w:rsid w:val="5BA34A57"/>
    <w:rsid w:val="5BB12578"/>
    <w:rsid w:val="5BC3D85E"/>
    <w:rsid w:val="5BC8093B"/>
    <w:rsid w:val="5BCE2181"/>
    <w:rsid w:val="5BD63AAD"/>
    <w:rsid w:val="5BDAC161"/>
    <w:rsid w:val="5BEF0287"/>
    <w:rsid w:val="5C04D33B"/>
    <w:rsid w:val="5C2B1206"/>
    <w:rsid w:val="5C32FFC3"/>
    <w:rsid w:val="5C36126A"/>
    <w:rsid w:val="5C50C442"/>
    <w:rsid w:val="5C569369"/>
    <w:rsid w:val="5C585570"/>
    <w:rsid w:val="5C5F7B5A"/>
    <w:rsid w:val="5C636593"/>
    <w:rsid w:val="5C85CC06"/>
    <w:rsid w:val="5C868CE5"/>
    <w:rsid w:val="5C88639F"/>
    <w:rsid w:val="5C8AD02C"/>
    <w:rsid w:val="5C8BD518"/>
    <w:rsid w:val="5C94F782"/>
    <w:rsid w:val="5CA2ABAE"/>
    <w:rsid w:val="5CDE669B"/>
    <w:rsid w:val="5CDFB46E"/>
    <w:rsid w:val="5CEC248C"/>
    <w:rsid w:val="5CFFFE61"/>
    <w:rsid w:val="5D1DBC5D"/>
    <w:rsid w:val="5D2B5292"/>
    <w:rsid w:val="5D3F9AE4"/>
    <w:rsid w:val="5D45D075"/>
    <w:rsid w:val="5D5F011F"/>
    <w:rsid w:val="5D71548C"/>
    <w:rsid w:val="5D7657C9"/>
    <w:rsid w:val="5D7D7C3C"/>
    <w:rsid w:val="5DAB4954"/>
    <w:rsid w:val="5DB58846"/>
    <w:rsid w:val="5DCBD796"/>
    <w:rsid w:val="5DEC4444"/>
    <w:rsid w:val="5DF5AB7F"/>
    <w:rsid w:val="5DFE3A52"/>
    <w:rsid w:val="5E019B4A"/>
    <w:rsid w:val="5E0EAC32"/>
    <w:rsid w:val="5E15E2FC"/>
    <w:rsid w:val="5E1F9BF8"/>
    <w:rsid w:val="5E23B66C"/>
    <w:rsid w:val="5E2EDD9A"/>
    <w:rsid w:val="5E3A2EDD"/>
    <w:rsid w:val="5E3D7CEA"/>
    <w:rsid w:val="5E4484F8"/>
    <w:rsid w:val="5E47DC97"/>
    <w:rsid w:val="5E6D543C"/>
    <w:rsid w:val="5E6DBAEC"/>
    <w:rsid w:val="5E6F1912"/>
    <w:rsid w:val="5E82DA56"/>
    <w:rsid w:val="5E9B0CA1"/>
    <w:rsid w:val="5E9D144B"/>
    <w:rsid w:val="5E9D6604"/>
    <w:rsid w:val="5E9E9633"/>
    <w:rsid w:val="5EA4CB87"/>
    <w:rsid w:val="5EA8DB8E"/>
    <w:rsid w:val="5EABFD99"/>
    <w:rsid w:val="5EAF063F"/>
    <w:rsid w:val="5EAFDF14"/>
    <w:rsid w:val="5EC1FD6B"/>
    <w:rsid w:val="5EC6425A"/>
    <w:rsid w:val="5EC76A32"/>
    <w:rsid w:val="5EC891F8"/>
    <w:rsid w:val="5ECC01AC"/>
    <w:rsid w:val="5EDE00DC"/>
    <w:rsid w:val="5EEA9677"/>
    <w:rsid w:val="5F02824D"/>
    <w:rsid w:val="5F0B301F"/>
    <w:rsid w:val="5F247C00"/>
    <w:rsid w:val="5F406D00"/>
    <w:rsid w:val="5F687D9B"/>
    <w:rsid w:val="5F711F5C"/>
    <w:rsid w:val="5F7ACB60"/>
    <w:rsid w:val="5F84C780"/>
    <w:rsid w:val="5F95299F"/>
    <w:rsid w:val="5F9AB1F4"/>
    <w:rsid w:val="5FBF80BC"/>
    <w:rsid w:val="5FC576F3"/>
    <w:rsid w:val="5FE50446"/>
    <w:rsid w:val="5FF0EDF9"/>
    <w:rsid w:val="5FFBC86F"/>
    <w:rsid w:val="60009B8A"/>
    <w:rsid w:val="6000FEF3"/>
    <w:rsid w:val="600545E3"/>
    <w:rsid w:val="6018FB29"/>
    <w:rsid w:val="601AECF2"/>
    <w:rsid w:val="601FA7D7"/>
    <w:rsid w:val="6041E545"/>
    <w:rsid w:val="604212E6"/>
    <w:rsid w:val="605B069F"/>
    <w:rsid w:val="60608E33"/>
    <w:rsid w:val="60818EDB"/>
    <w:rsid w:val="608E5442"/>
    <w:rsid w:val="60A90064"/>
    <w:rsid w:val="60AC8B0E"/>
    <w:rsid w:val="60BD97BB"/>
    <w:rsid w:val="60C9E7C3"/>
    <w:rsid w:val="60D63BCE"/>
    <w:rsid w:val="60DFB3FD"/>
    <w:rsid w:val="60E51F40"/>
    <w:rsid w:val="60F249BE"/>
    <w:rsid w:val="6107759B"/>
    <w:rsid w:val="6140225A"/>
    <w:rsid w:val="6141406C"/>
    <w:rsid w:val="6147F6E3"/>
    <w:rsid w:val="614DFE90"/>
    <w:rsid w:val="61554BB0"/>
    <w:rsid w:val="6155836C"/>
    <w:rsid w:val="6158817F"/>
    <w:rsid w:val="617874E2"/>
    <w:rsid w:val="617D6561"/>
    <w:rsid w:val="6188EB64"/>
    <w:rsid w:val="61A9EDB8"/>
    <w:rsid w:val="61CB7AED"/>
    <w:rsid w:val="61D6E8FF"/>
    <w:rsid w:val="61F58166"/>
    <w:rsid w:val="620217D7"/>
    <w:rsid w:val="620887FA"/>
    <w:rsid w:val="62165510"/>
    <w:rsid w:val="62175A60"/>
    <w:rsid w:val="622E9BA5"/>
    <w:rsid w:val="623B9FEC"/>
    <w:rsid w:val="6253956C"/>
    <w:rsid w:val="626D298C"/>
    <w:rsid w:val="627EBF3E"/>
    <w:rsid w:val="62857F53"/>
    <w:rsid w:val="6288791C"/>
    <w:rsid w:val="628D1106"/>
    <w:rsid w:val="628F6C62"/>
    <w:rsid w:val="62970A44"/>
    <w:rsid w:val="62A7C168"/>
    <w:rsid w:val="62AC421B"/>
    <w:rsid w:val="62BD8BC1"/>
    <w:rsid w:val="62C42694"/>
    <w:rsid w:val="634504E0"/>
    <w:rsid w:val="6351FB02"/>
    <w:rsid w:val="63666189"/>
    <w:rsid w:val="636B808C"/>
    <w:rsid w:val="63716060"/>
    <w:rsid w:val="63789F94"/>
    <w:rsid w:val="637A9373"/>
    <w:rsid w:val="6394E861"/>
    <w:rsid w:val="63AAAF98"/>
    <w:rsid w:val="63B4104E"/>
    <w:rsid w:val="63B8D637"/>
    <w:rsid w:val="63B956FE"/>
    <w:rsid w:val="63C7CE91"/>
    <w:rsid w:val="63D15E0E"/>
    <w:rsid w:val="63D38D01"/>
    <w:rsid w:val="63D817AB"/>
    <w:rsid w:val="63DB06BA"/>
    <w:rsid w:val="63EC5A21"/>
    <w:rsid w:val="63F656F8"/>
    <w:rsid w:val="63F84A4B"/>
    <w:rsid w:val="64003A91"/>
    <w:rsid w:val="64079157"/>
    <w:rsid w:val="64162A8C"/>
    <w:rsid w:val="641F89C8"/>
    <w:rsid w:val="6424C0DD"/>
    <w:rsid w:val="642E7EAD"/>
    <w:rsid w:val="644D27E0"/>
    <w:rsid w:val="6450143B"/>
    <w:rsid w:val="64621233"/>
    <w:rsid w:val="646C8179"/>
    <w:rsid w:val="64779257"/>
    <w:rsid w:val="649E9D88"/>
    <w:rsid w:val="64A3D47E"/>
    <w:rsid w:val="64A6CF55"/>
    <w:rsid w:val="64B94C95"/>
    <w:rsid w:val="64C640BB"/>
    <w:rsid w:val="64C6DF02"/>
    <w:rsid w:val="64EA2D31"/>
    <w:rsid w:val="64FEF1DA"/>
    <w:rsid w:val="6507A81F"/>
    <w:rsid w:val="6507F8AE"/>
    <w:rsid w:val="650E062B"/>
    <w:rsid w:val="6517FDC0"/>
    <w:rsid w:val="6519B0BC"/>
    <w:rsid w:val="651B6CE2"/>
    <w:rsid w:val="6527E58C"/>
    <w:rsid w:val="6530CDA0"/>
    <w:rsid w:val="654231EB"/>
    <w:rsid w:val="654BFC67"/>
    <w:rsid w:val="655107E6"/>
    <w:rsid w:val="657291C3"/>
    <w:rsid w:val="6585F5F6"/>
    <w:rsid w:val="658800B3"/>
    <w:rsid w:val="65A1D21A"/>
    <w:rsid w:val="65A6ACFF"/>
    <w:rsid w:val="65B61E42"/>
    <w:rsid w:val="65D09837"/>
    <w:rsid w:val="65D45665"/>
    <w:rsid w:val="65D64999"/>
    <w:rsid w:val="65D90877"/>
    <w:rsid w:val="660B5275"/>
    <w:rsid w:val="661EFB5A"/>
    <w:rsid w:val="6629B6DA"/>
    <w:rsid w:val="662D9D8C"/>
    <w:rsid w:val="663AA457"/>
    <w:rsid w:val="666428E8"/>
    <w:rsid w:val="6665386D"/>
    <w:rsid w:val="6669D879"/>
    <w:rsid w:val="666EF5A6"/>
    <w:rsid w:val="667F28A8"/>
    <w:rsid w:val="6686740C"/>
    <w:rsid w:val="668D2223"/>
    <w:rsid w:val="66ACC526"/>
    <w:rsid w:val="66B24BE1"/>
    <w:rsid w:val="66BA9C69"/>
    <w:rsid w:val="66C84DDC"/>
    <w:rsid w:val="66CD9ACC"/>
    <w:rsid w:val="66DFB2B3"/>
    <w:rsid w:val="66EFF343"/>
    <w:rsid w:val="670571EB"/>
    <w:rsid w:val="67228DF1"/>
    <w:rsid w:val="6725FB84"/>
    <w:rsid w:val="672C1A52"/>
    <w:rsid w:val="6734EADF"/>
    <w:rsid w:val="67361F67"/>
    <w:rsid w:val="675963A1"/>
    <w:rsid w:val="675B0832"/>
    <w:rsid w:val="675B22B5"/>
    <w:rsid w:val="676E115E"/>
    <w:rsid w:val="67806E64"/>
    <w:rsid w:val="67883D49"/>
    <w:rsid w:val="67938233"/>
    <w:rsid w:val="67951683"/>
    <w:rsid w:val="67A5DF83"/>
    <w:rsid w:val="67A78790"/>
    <w:rsid w:val="67B7C5D9"/>
    <w:rsid w:val="67CF5F7D"/>
    <w:rsid w:val="67D8FADF"/>
    <w:rsid w:val="67DD77CB"/>
    <w:rsid w:val="67E0F104"/>
    <w:rsid w:val="67E28BB4"/>
    <w:rsid w:val="67F69EB7"/>
    <w:rsid w:val="67FF239A"/>
    <w:rsid w:val="6809E39F"/>
    <w:rsid w:val="681B228E"/>
    <w:rsid w:val="6828828F"/>
    <w:rsid w:val="683AB73C"/>
    <w:rsid w:val="684316A7"/>
    <w:rsid w:val="68462367"/>
    <w:rsid w:val="684710B2"/>
    <w:rsid w:val="6847A7BA"/>
    <w:rsid w:val="684801C4"/>
    <w:rsid w:val="684F75E6"/>
    <w:rsid w:val="684FB16A"/>
    <w:rsid w:val="68964C2D"/>
    <w:rsid w:val="68A15F1A"/>
    <w:rsid w:val="68AF168D"/>
    <w:rsid w:val="68AFAD6B"/>
    <w:rsid w:val="68AFC77A"/>
    <w:rsid w:val="68BB87C9"/>
    <w:rsid w:val="68D1A96A"/>
    <w:rsid w:val="68D2EC90"/>
    <w:rsid w:val="68E3AD63"/>
    <w:rsid w:val="68E777A6"/>
    <w:rsid w:val="68EAB307"/>
    <w:rsid w:val="68F3C3B7"/>
    <w:rsid w:val="6903D19B"/>
    <w:rsid w:val="6906C653"/>
    <w:rsid w:val="690D9DA2"/>
    <w:rsid w:val="690FC43F"/>
    <w:rsid w:val="69180589"/>
    <w:rsid w:val="691EA6FB"/>
    <w:rsid w:val="692C67C8"/>
    <w:rsid w:val="693096CD"/>
    <w:rsid w:val="693BBFB2"/>
    <w:rsid w:val="6947B4A6"/>
    <w:rsid w:val="69480CFF"/>
    <w:rsid w:val="694D2668"/>
    <w:rsid w:val="6955FE24"/>
    <w:rsid w:val="6965CD28"/>
    <w:rsid w:val="6985936A"/>
    <w:rsid w:val="69886A2A"/>
    <w:rsid w:val="6989CAD2"/>
    <w:rsid w:val="698B686D"/>
    <w:rsid w:val="698EA7DA"/>
    <w:rsid w:val="69937647"/>
    <w:rsid w:val="6999E03C"/>
    <w:rsid w:val="69A1B7F9"/>
    <w:rsid w:val="69BBB47A"/>
    <w:rsid w:val="69BBBE30"/>
    <w:rsid w:val="69C72A92"/>
    <w:rsid w:val="69DC5511"/>
    <w:rsid w:val="69E327C4"/>
    <w:rsid w:val="69E5BD27"/>
    <w:rsid w:val="69F00402"/>
    <w:rsid w:val="69F18553"/>
    <w:rsid w:val="6A1774A3"/>
    <w:rsid w:val="6A18D106"/>
    <w:rsid w:val="6A1B920E"/>
    <w:rsid w:val="6A224A31"/>
    <w:rsid w:val="6A24A332"/>
    <w:rsid w:val="6A27B5E4"/>
    <w:rsid w:val="6A47E632"/>
    <w:rsid w:val="6A4F9355"/>
    <w:rsid w:val="6A5EC8B6"/>
    <w:rsid w:val="6A60993A"/>
    <w:rsid w:val="6A6B6596"/>
    <w:rsid w:val="6A96BACA"/>
    <w:rsid w:val="6AA8F09B"/>
    <w:rsid w:val="6AC3AD41"/>
    <w:rsid w:val="6ACB72DA"/>
    <w:rsid w:val="6AE56F35"/>
    <w:rsid w:val="6AEA946E"/>
    <w:rsid w:val="6AEC6D2B"/>
    <w:rsid w:val="6AF22EEB"/>
    <w:rsid w:val="6B153004"/>
    <w:rsid w:val="6B18CC51"/>
    <w:rsid w:val="6B271E0C"/>
    <w:rsid w:val="6B331E29"/>
    <w:rsid w:val="6B345F61"/>
    <w:rsid w:val="6B391BB5"/>
    <w:rsid w:val="6B4974C4"/>
    <w:rsid w:val="6B56E8B2"/>
    <w:rsid w:val="6B5FCD1B"/>
    <w:rsid w:val="6B65BA5C"/>
    <w:rsid w:val="6B7170E0"/>
    <w:rsid w:val="6B73A9BD"/>
    <w:rsid w:val="6B76B2F0"/>
    <w:rsid w:val="6B8207DB"/>
    <w:rsid w:val="6B9B5D3D"/>
    <w:rsid w:val="6BA4F403"/>
    <w:rsid w:val="6BA6D894"/>
    <w:rsid w:val="6BAE2334"/>
    <w:rsid w:val="6BB30278"/>
    <w:rsid w:val="6BB757F8"/>
    <w:rsid w:val="6BBBDED3"/>
    <w:rsid w:val="6BBE49D0"/>
    <w:rsid w:val="6BCA992B"/>
    <w:rsid w:val="6BD44831"/>
    <w:rsid w:val="6BD61D03"/>
    <w:rsid w:val="6BD71EBE"/>
    <w:rsid w:val="6BDC80D4"/>
    <w:rsid w:val="6BF3A3A8"/>
    <w:rsid w:val="6BFB0DA5"/>
    <w:rsid w:val="6BFF1F41"/>
    <w:rsid w:val="6C07A97E"/>
    <w:rsid w:val="6C0F2E6C"/>
    <w:rsid w:val="6C11B3D8"/>
    <w:rsid w:val="6C2539A3"/>
    <w:rsid w:val="6C26C2AA"/>
    <w:rsid w:val="6C3A1E18"/>
    <w:rsid w:val="6C3AC209"/>
    <w:rsid w:val="6C41B9C3"/>
    <w:rsid w:val="6C4E415A"/>
    <w:rsid w:val="6C5B529A"/>
    <w:rsid w:val="6C649C94"/>
    <w:rsid w:val="6C69AA95"/>
    <w:rsid w:val="6C6EC5A2"/>
    <w:rsid w:val="6C783AD7"/>
    <w:rsid w:val="6C78512B"/>
    <w:rsid w:val="6C7E1737"/>
    <w:rsid w:val="6C7E2E12"/>
    <w:rsid w:val="6C7E9D98"/>
    <w:rsid w:val="6C91DC52"/>
    <w:rsid w:val="6C9C0179"/>
    <w:rsid w:val="6CB0606D"/>
    <w:rsid w:val="6CB36230"/>
    <w:rsid w:val="6CB8E183"/>
    <w:rsid w:val="6CC22175"/>
    <w:rsid w:val="6CD53427"/>
    <w:rsid w:val="6CD5B113"/>
    <w:rsid w:val="6CE51392"/>
    <w:rsid w:val="6CE52B67"/>
    <w:rsid w:val="6CF6A3FC"/>
    <w:rsid w:val="6CF9CE84"/>
    <w:rsid w:val="6CFB144B"/>
    <w:rsid w:val="6CFDA318"/>
    <w:rsid w:val="6D027E02"/>
    <w:rsid w:val="6D0715AB"/>
    <w:rsid w:val="6D0CB9C2"/>
    <w:rsid w:val="6D0F0EE3"/>
    <w:rsid w:val="6D1A638C"/>
    <w:rsid w:val="6D343998"/>
    <w:rsid w:val="6D412625"/>
    <w:rsid w:val="6D43283A"/>
    <w:rsid w:val="6D44F3B3"/>
    <w:rsid w:val="6D4CCAE0"/>
    <w:rsid w:val="6D4F52B4"/>
    <w:rsid w:val="6D4FEA56"/>
    <w:rsid w:val="6D52A97A"/>
    <w:rsid w:val="6D55CBE4"/>
    <w:rsid w:val="6D735D38"/>
    <w:rsid w:val="6D748A87"/>
    <w:rsid w:val="6D840B1D"/>
    <w:rsid w:val="6D860783"/>
    <w:rsid w:val="6D9AFAB5"/>
    <w:rsid w:val="6DB3D043"/>
    <w:rsid w:val="6DBC05C7"/>
    <w:rsid w:val="6DBDD86F"/>
    <w:rsid w:val="6DC57DCD"/>
    <w:rsid w:val="6DC5E68A"/>
    <w:rsid w:val="6DC714F6"/>
    <w:rsid w:val="6DCC4A6E"/>
    <w:rsid w:val="6DD3ECDC"/>
    <w:rsid w:val="6DDD2811"/>
    <w:rsid w:val="6DE64226"/>
    <w:rsid w:val="6DF47480"/>
    <w:rsid w:val="6E13432B"/>
    <w:rsid w:val="6E1DC27E"/>
    <w:rsid w:val="6E23E0A6"/>
    <w:rsid w:val="6E29A377"/>
    <w:rsid w:val="6E33AD03"/>
    <w:rsid w:val="6E5D12B7"/>
    <w:rsid w:val="6E6160E8"/>
    <w:rsid w:val="6E937BD0"/>
    <w:rsid w:val="6E987347"/>
    <w:rsid w:val="6EB2B4DA"/>
    <w:rsid w:val="6EB71E7C"/>
    <w:rsid w:val="6EBC9B74"/>
    <w:rsid w:val="6EC43031"/>
    <w:rsid w:val="6ED75161"/>
    <w:rsid w:val="6EDE9F5B"/>
    <w:rsid w:val="6EEAB948"/>
    <w:rsid w:val="6EF16325"/>
    <w:rsid w:val="6EF18F64"/>
    <w:rsid w:val="6EF1EF9D"/>
    <w:rsid w:val="6EFA4D3F"/>
    <w:rsid w:val="6EFB748F"/>
    <w:rsid w:val="6EFC6460"/>
    <w:rsid w:val="6F0604E0"/>
    <w:rsid w:val="6F071610"/>
    <w:rsid w:val="6F09BF77"/>
    <w:rsid w:val="6F1FE31E"/>
    <w:rsid w:val="6F262EAB"/>
    <w:rsid w:val="6F2BFC84"/>
    <w:rsid w:val="6F3957A2"/>
    <w:rsid w:val="6F427038"/>
    <w:rsid w:val="6F42AB9C"/>
    <w:rsid w:val="6F60EC7C"/>
    <w:rsid w:val="6F695C4D"/>
    <w:rsid w:val="6F791A4A"/>
    <w:rsid w:val="6F7F4EF1"/>
    <w:rsid w:val="6F8BD393"/>
    <w:rsid w:val="6FA8BD93"/>
    <w:rsid w:val="6FB2B567"/>
    <w:rsid w:val="6FC657C4"/>
    <w:rsid w:val="6FD02195"/>
    <w:rsid w:val="6FE16DC4"/>
    <w:rsid w:val="6FEA253A"/>
    <w:rsid w:val="6FF11171"/>
    <w:rsid w:val="700A3821"/>
    <w:rsid w:val="700FB42E"/>
    <w:rsid w:val="701465E9"/>
    <w:rsid w:val="701D276C"/>
    <w:rsid w:val="7025076B"/>
    <w:rsid w:val="702AC624"/>
    <w:rsid w:val="7037059E"/>
    <w:rsid w:val="703D7AA5"/>
    <w:rsid w:val="70497AAD"/>
    <w:rsid w:val="70695576"/>
    <w:rsid w:val="706A3864"/>
    <w:rsid w:val="7075AABD"/>
    <w:rsid w:val="707B765E"/>
    <w:rsid w:val="7083852F"/>
    <w:rsid w:val="7085952B"/>
    <w:rsid w:val="7085A5D9"/>
    <w:rsid w:val="70946378"/>
    <w:rsid w:val="7097DA14"/>
    <w:rsid w:val="7098C563"/>
    <w:rsid w:val="709FEFA0"/>
    <w:rsid w:val="70B557A1"/>
    <w:rsid w:val="70C90F26"/>
    <w:rsid w:val="70E5B27A"/>
    <w:rsid w:val="7103C6D9"/>
    <w:rsid w:val="710E4DA3"/>
    <w:rsid w:val="710FF702"/>
    <w:rsid w:val="711AFB04"/>
    <w:rsid w:val="71354014"/>
    <w:rsid w:val="71364890"/>
    <w:rsid w:val="713C9DF3"/>
    <w:rsid w:val="714807B2"/>
    <w:rsid w:val="715D4598"/>
    <w:rsid w:val="71775FE0"/>
    <w:rsid w:val="717D76EB"/>
    <w:rsid w:val="719006BB"/>
    <w:rsid w:val="71969755"/>
    <w:rsid w:val="71E44BA8"/>
    <w:rsid w:val="71E658BD"/>
    <w:rsid w:val="71E8000F"/>
    <w:rsid w:val="71E8A8A0"/>
    <w:rsid w:val="71E926EE"/>
    <w:rsid w:val="71E9F930"/>
    <w:rsid w:val="71EEA02E"/>
    <w:rsid w:val="71EEEA54"/>
    <w:rsid w:val="71F0DB68"/>
    <w:rsid w:val="720566A5"/>
    <w:rsid w:val="72266A1F"/>
    <w:rsid w:val="724FDCD7"/>
    <w:rsid w:val="7258F493"/>
    <w:rsid w:val="725D4EF5"/>
    <w:rsid w:val="727F6188"/>
    <w:rsid w:val="729E93EA"/>
    <w:rsid w:val="72B8F81E"/>
    <w:rsid w:val="72BD44B6"/>
    <w:rsid w:val="72C27F93"/>
    <w:rsid w:val="72C6BAE6"/>
    <w:rsid w:val="72C9883A"/>
    <w:rsid w:val="72CE2715"/>
    <w:rsid w:val="72D21AA0"/>
    <w:rsid w:val="72E12B45"/>
    <w:rsid w:val="72ECEFAE"/>
    <w:rsid w:val="72F5B0A0"/>
    <w:rsid w:val="72FBE864"/>
    <w:rsid w:val="7308BDCF"/>
    <w:rsid w:val="7323CDCD"/>
    <w:rsid w:val="73841472"/>
    <w:rsid w:val="73855083"/>
    <w:rsid w:val="7386FF36"/>
    <w:rsid w:val="738E3F80"/>
    <w:rsid w:val="73999C98"/>
    <w:rsid w:val="73A0F101"/>
    <w:rsid w:val="73A1A09A"/>
    <w:rsid w:val="73A873FF"/>
    <w:rsid w:val="73BF2962"/>
    <w:rsid w:val="73CF11F3"/>
    <w:rsid w:val="73D3A713"/>
    <w:rsid w:val="73DB08F5"/>
    <w:rsid w:val="73E027FA"/>
    <w:rsid w:val="73EA64E6"/>
    <w:rsid w:val="73EF916A"/>
    <w:rsid w:val="7414F398"/>
    <w:rsid w:val="7428F131"/>
    <w:rsid w:val="7429EB7A"/>
    <w:rsid w:val="7437EBC3"/>
    <w:rsid w:val="744494B6"/>
    <w:rsid w:val="7454BB54"/>
    <w:rsid w:val="7462A72E"/>
    <w:rsid w:val="7483D139"/>
    <w:rsid w:val="748615A2"/>
    <w:rsid w:val="74951CC5"/>
    <w:rsid w:val="74974D54"/>
    <w:rsid w:val="74A63073"/>
    <w:rsid w:val="74BBA46B"/>
    <w:rsid w:val="74DCFE9F"/>
    <w:rsid w:val="74E8DA22"/>
    <w:rsid w:val="7500685A"/>
    <w:rsid w:val="750A3505"/>
    <w:rsid w:val="75188C5A"/>
    <w:rsid w:val="751AF946"/>
    <w:rsid w:val="752B2870"/>
    <w:rsid w:val="753DBD66"/>
    <w:rsid w:val="7542A50E"/>
    <w:rsid w:val="75473463"/>
    <w:rsid w:val="755274C0"/>
    <w:rsid w:val="755D473C"/>
    <w:rsid w:val="7563CE86"/>
    <w:rsid w:val="756429F5"/>
    <w:rsid w:val="757998B1"/>
    <w:rsid w:val="757D161E"/>
    <w:rsid w:val="75876A26"/>
    <w:rsid w:val="7588C5CC"/>
    <w:rsid w:val="758C75A9"/>
    <w:rsid w:val="75AC464F"/>
    <w:rsid w:val="75B351F5"/>
    <w:rsid w:val="75B91589"/>
    <w:rsid w:val="75F0CEA1"/>
    <w:rsid w:val="760D7765"/>
    <w:rsid w:val="760FFB12"/>
    <w:rsid w:val="761908F8"/>
    <w:rsid w:val="76224DA7"/>
    <w:rsid w:val="76437DB7"/>
    <w:rsid w:val="7646C958"/>
    <w:rsid w:val="7655DAFE"/>
    <w:rsid w:val="765A21E2"/>
    <w:rsid w:val="7663C0B9"/>
    <w:rsid w:val="76643B5C"/>
    <w:rsid w:val="7669C134"/>
    <w:rsid w:val="766AC727"/>
    <w:rsid w:val="76775EC7"/>
    <w:rsid w:val="767CA61A"/>
    <w:rsid w:val="767D623E"/>
    <w:rsid w:val="768A1DAE"/>
    <w:rsid w:val="768A708C"/>
    <w:rsid w:val="7697EB30"/>
    <w:rsid w:val="7698990D"/>
    <w:rsid w:val="7698B78A"/>
    <w:rsid w:val="769A32D1"/>
    <w:rsid w:val="76A16124"/>
    <w:rsid w:val="76AD8909"/>
    <w:rsid w:val="76B82D65"/>
    <w:rsid w:val="76C96200"/>
    <w:rsid w:val="76D75137"/>
    <w:rsid w:val="76DA64E7"/>
    <w:rsid w:val="76DCB932"/>
    <w:rsid w:val="76E38BCD"/>
    <w:rsid w:val="76E5A731"/>
    <w:rsid w:val="76EB8948"/>
    <w:rsid w:val="76ECD1F4"/>
    <w:rsid w:val="76EDCAC2"/>
    <w:rsid w:val="76F11EED"/>
    <w:rsid w:val="771B5B48"/>
    <w:rsid w:val="771ED305"/>
    <w:rsid w:val="773FC8B2"/>
    <w:rsid w:val="7741C839"/>
    <w:rsid w:val="774E08CB"/>
    <w:rsid w:val="777B61BE"/>
    <w:rsid w:val="777CDC46"/>
    <w:rsid w:val="77861446"/>
    <w:rsid w:val="7795F91B"/>
    <w:rsid w:val="779A200E"/>
    <w:rsid w:val="77A34659"/>
    <w:rsid w:val="77A3589F"/>
    <w:rsid w:val="77C2426F"/>
    <w:rsid w:val="77C2CA43"/>
    <w:rsid w:val="77C9A17F"/>
    <w:rsid w:val="77CD0ED4"/>
    <w:rsid w:val="77CF9E1F"/>
    <w:rsid w:val="77D850B7"/>
    <w:rsid w:val="77FB564A"/>
    <w:rsid w:val="78023D56"/>
    <w:rsid w:val="780A9063"/>
    <w:rsid w:val="783DBA46"/>
    <w:rsid w:val="7862149C"/>
    <w:rsid w:val="7863960D"/>
    <w:rsid w:val="78687EDB"/>
    <w:rsid w:val="787B311D"/>
    <w:rsid w:val="78808DAD"/>
    <w:rsid w:val="788645D8"/>
    <w:rsid w:val="78890EF0"/>
    <w:rsid w:val="788A062E"/>
    <w:rsid w:val="789326BF"/>
    <w:rsid w:val="78997E3C"/>
    <w:rsid w:val="78A38792"/>
    <w:rsid w:val="78BF5DB8"/>
    <w:rsid w:val="78D1DE2F"/>
    <w:rsid w:val="78D5A43C"/>
    <w:rsid w:val="78D80694"/>
    <w:rsid w:val="78DDB20C"/>
    <w:rsid w:val="78EDDC56"/>
    <w:rsid w:val="7909B912"/>
    <w:rsid w:val="790DDDCD"/>
    <w:rsid w:val="790F303F"/>
    <w:rsid w:val="7913DC78"/>
    <w:rsid w:val="79200EE1"/>
    <w:rsid w:val="7922D67D"/>
    <w:rsid w:val="792E2DF3"/>
    <w:rsid w:val="794E77F0"/>
    <w:rsid w:val="79504156"/>
    <w:rsid w:val="79632813"/>
    <w:rsid w:val="79A3E4F6"/>
    <w:rsid w:val="79A69649"/>
    <w:rsid w:val="79AA8138"/>
    <w:rsid w:val="79AB4213"/>
    <w:rsid w:val="79B0EDA5"/>
    <w:rsid w:val="79BF04CC"/>
    <w:rsid w:val="79C7CF36"/>
    <w:rsid w:val="79DDAC3B"/>
    <w:rsid w:val="79FA7796"/>
    <w:rsid w:val="7A2C60CD"/>
    <w:rsid w:val="7A2F3A3E"/>
    <w:rsid w:val="7A4EE379"/>
    <w:rsid w:val="7A56BB2B"/>
    <w:rsid w:val="7A7A2C9A"/>
    <w:rsid w:val="7A7CCDEE"/>
    <w:rsid w:val="7A7E2211"/>
    <w:rsid w:val="7A9A9AE0"/>
    <w:rsid w:val="7A9B4EF2"/>
    <w:rsid w:val="7AAF07A8"/>
    <w:rsid w:val="7AD2AFCF"/>
    <w:rsid w:val="7AE14E3C"/>
    <w:rsid w:val="7AE8F4F6"/>
    <w:rsid w:val="7B16DA50"/>
    <w:rsid w:val="7B202A6A"/>
    <w:rsid w:val="7B2B3BA0"/>
    <w:rsid w:val="7B2D4539"/>
    <w:rsid w:val="7B3B6FE9"/>
    <w:rsid w:val="7B4A187E"/>
    <w:rsid w:val="7B4F07EF"/>
    <w:rsid w:val="7B6E938D"/>
    <w:rsid w:val="7B791FE2"/>
    <w:rsid w:val="7B7A013E"/>
    <w:rsid w:val="7B856107"/>
    <w:rsid w:val="7B8CE96C"/>
    <w:rsid w:val="7B903EEB"/>
    <w:rsid w:val="7B94F4A5"/>
    <w:rsid w:val="7BC11FA8"/>
    <w:rsid w:val="7BDDDB90"/>
    <w:rsid w:val="7BDDF486"/>
    <w:rsid w:val="7BE27D69"/>
    <w:rsid w:val="7BEB61E9"/>
    <w:rsid w:val="7BEF0CD9"/>
    <w:rsid w:val="7BF5A87D"/>
    <w:rsid w:val="7BFD5C38"/>
    <w:rsid w:val="7BFE5FBC"/>
    <w:rsid w:val="7C056B9F"/>
    <w:rsid w:val="7C060E66"/>
    <w:rsid w:val="7C09A743"/>
    <w:rsid w:val="7C1C8AF5"/>
    <w:rsid w:val="7C4FE692"/>
    <w:rsid w:val="7C559F10"/>
    <w:rsid w:val="7C71F214"/>
    <w:rsid w:val="7C755AC2"/>
    <w:rsid w:val="7C942A2F"/>
    <w:rsid w:val="7C9F4167"/>
    <w:rsid w:val="7CAE60EA"/>
    <w:rsid w:val="7CD58A85"/>
    <w:rsid w:val="7CD72430"/>
    <w:rsid w:val="7CDDCC90"/>
    <w:rsid w:val="7CE60EE3"/>
    <w:rsid w:val="7CEB9AFB"/>
    <w:rsid w:val="7CF24760"/>
    <w:rsid w:val="7CF8B11A"/>
    <w:rsid w:val="7CFDCA7D"/>
    <w:rsid w:val="7D103F52"/>
    <w:rsid w:val="7D1117C3"/>
    <w:rsid w:val="7D192276"/>
    <w:rsid w:val="7D1A1E4F"/>
    <w:rsid w:val="7D1BC2EA"/>
    <w:rsid w:val="7D250E1D"/>
    <w:rsid w:val="7D257D1F"/>
    <w:rsid w:val="7D4BCA03"/>
    <w:rsid w:val="7D627CF5"/>
    <w:rsid w:val="7D7240A8"/>
    <w:rsid w:val="7DA27D16"/>
    <w:rsid w:val="7DA9CBDD"/>
    <w:rsid w:val="7DB9AF07"/>
    <w:rsid w:val="7DC682B9"/>
    <w:rsid w:val="7DE24E5D"/>
    <w:rsid w:val="7E030A00"/>
    <w:rsid w:val="7E161A24"/>
    <w:rsid w:val="7E1718AF"/>
    <w:rsid w:val="7E2EB54B"/>
    <w:rsid w:val="7E3095FF"/>
    <w:rsid w:val="7E32506C"/>
    <w:rsid w:val="7E440476"/>
    <w:rsid w:val="7E45A2BA"/>
    <w:rsid w:val="7E7C5ABD"/>
    <w:rsid w:val="7E8CCB1E"/>
    <w:rsid w:val="7EB51DF3"/>
    <w:rsid w:val="7EBB29E9"/>
    <w:rsid w:val="7EBF1A97"/>
    <w:rsid w:val="7ECC71E3"/>
    <w:rsid w:val="7ED460DD"/>
    <w:rsid w:val="7EDA9E56"/>
    <w:rsid w:val="7EDB11D7"/>
    <w:rsid w:val="7EFD91E8"/>
    <w:rsid w:val="7F0719EB"/>
    <w:rsid w:val="7F07E214"/>
    <w:rsid w:val="7F2D1F9F"/>
    <w:rsid w:val="7F42A988"/>
    <w:rsid w:val="7F59A883"/>
    <w:rsid w:val="7F635DA4"/>
    <w:rsid w:val="7F6E8199"/>
    <w:rsid w:val="7F862E0C"/>
    <w:rsid w:val="7F86FD20"/>
    <w:rsid w:val="7F8BEC58"/>
    <w:rsid w:val="7FA5F352"/>
    <w:rsid w:val="7FA7DCD5"/>
    <w:rsid w:val="7FB84252"/>
    <w:rsid w:val="7FD38E0B"/>
    <w:rsid w:val="7FE3A0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374"/>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39370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Summary box,Table Gridbeth,RTI AMCP Table,new style,ASD Table,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styleId="UnresolvedMention">
    <w:name w:val="Unresolved Mention"/>
    <w:basedOn w:val="DefaultParagraphFont"/>
    <w:uiPriority w:val="99"/>
    <w:unhideWhenUsed/>
    <w:rsid w:val="00BB0FFB"/>
    <w:rPr>
      <w:color w:val="605E5C"/>
      <w:shd w:val="clear" w:color="auto" w:fill="E1DFDD"/>
    </w:rPr>
  </w:style>
  <w:style w:type="table" w:customStyle="1" w:styleId="TableGrid11">
    <w:name w:val="Table Grid11"/>
    <w:basedOn w:val="TableNormal"/>
    <w:uiPriority w:val="59"/>
    <w:rsid w:val="00E03083"/>
    <w:pPr>
      <w:spacing w:after="240" w:line="240" w:lineRule="auto"/>
      <w:ind w:left="720" w:hanging="36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07730"/>
    <w:rPr>
      <w:color w:val="2B579A"/>
      <w:shd w:val="clear" w:color="auto" w:fill="E1DFDD"/>
    </w:rPr>
  </w:style>
  <w:style w:type="character" w:styleId="SubtleEmphasis">
    <w:name w:val="Subtle Emphasis"/>
    <w:basedOn w:val="DefaultParagraphFont"/>
    <w:uiPriority w:val="19"/>
    <w:qFormat/>
    <w:rsid w:val="009B7B4D"/>
    <w:rPr>
      <w:i/>
      <w:iCs/>
      <w:color w:val="404040" w:themeColor="text1" w:themeTint="BF"/>
    </w:rPr>
  </w:style>
  <w:style w:type="paragraph" w:customStyle="1" w:styleId="EndNoteBibliographyTitle">
    <w:name w:val="EndNote Bibliography Title"/>
    <w:basedOn w:val="Normal"/>
    <w:link w:val="EndNoteBibliographyTitleChar"/>
    <w:rsid w:val="001258BF"/>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1258BF"/>
    <w:rPr>
      <w:rFonts w:ascii="Calibri" w:eastAsia="Calibri" w:hAnsi="Calibri" w:cs="Calibri"/>
      <w:noProof/>
      <w:lang w:val="en-US"/>
    </w:rPr>
  </w:style>
  <w:style w:type="paragraph" w:customStyle="1" w:styleId="EndNoteBibliography">
    <w:name w:val="EndNote Bibliography"/>
    <w:basedOn w:val="Normal"/>
    <w:link w:val="EndNoteBibliographyChar"/>
    <w:rsid w:val="001258BF"/>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1258BF"/>
    <w:rPr>
      <w:rFonts w:ascii="Calibri" w:eastAsia="Calibri" w:hAnsi="Calibri" w:cs="Calibri"/>
      <w:noProof/>
      <w:lang w:val="en-US"/>
    </w:rPr>
  </w:style>
  <w:style w:type="character" w:customStyle="1" w:styleId="Heading4Char">
    <w:name w:val="Heading 4 Char"/>
    <w:basedOn w:val="DefaultParagraphFont"/>
    <w:link w:val="Heading4"/>
    <w:uiPriority w:val="9"/>
    <w:rsid w:val="0039370F"/>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9410DD"/>
    <w:rPr>
      <w:i/>
      <w:iCs/>
    </w:rPr>
  </w:style>
  <w:style w:type="character" w:styleId="PlaceholderText">
    <w:name w:val="Placeholder Text"/>
    <w:basedOn w:val="DefaultParagraphFont"/>
    <w:uiPriority w:val="99"/>
    <w:semiHidden/>
    <w:rsid w:val="003952F7"/>
    <w:rPr>
      <w:color w:val="666666"/>
    </w:rPr>
  </w:style>
  <w:style w:type="table" w:customStyle="1" w:styleId="ASDTable1">
    <w:name w:val="ASD Table1"/>
    <w:basedOn w:val="TableNormal"/>
    <w:next w:val="TableGrid"/>
    <w:uiPriority w:val="59"/>
    <w:rsid w:val="00926B9D"/>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260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6081"/>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26081"/>
    <w:rPr>
      <w:vertAlign w:val="superscript"/>
    </w:rPr>
  </w:style>
  <w:style w:type="character" w:customStyle="1" w:styleId="cf01">
    <w:name w:val="cf01"/>
    <w:basedOn w:val="DefaultParagraphFont"/>
    <w:rsid w:val="00886E14"/>
    <w:rPr>
      <w:rFonts w:ascii="Segoe UI" w:hAnsi="Segoe UI" w:cs="Segoe UI" w:hint="default"/>
      <w:b/>
      <w:bCs/>
      <w:sz w:val="18"/>
      <w:szCs w:val="18"/>
    </w:rPr>
  </w:style>
  <w:style w:type="character" w:customStyle="1" w:styleId="cf11">
    <w:name w:val="cf11"/>
    <w:basedOn w:val="DefaultParagraphFont"/>
    <w:rsid w:val="00886E1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207768036">
      <w:bodyDiv w:val="1"/>
      <w:marLeft w:val="0"/>
      <w:marRight w:val="0"/>
      <w:marTop w:val="0"/>
      <w:marBottom w:val="0"/>
      <w:divBdr>
        <w:top w:val="none" w:sz="0" w:space="0" w:color="auto"/>
        <w:left w:val="none" w:sz="0" w:space="0" w:color="auto"/>
        <w:bottom w:val="none" w:sz="0" w:space="0" w:color="auto"/>
        <w:right w:val="none" w:sz="0" w:space="0" w:color="auto"/>
      </w:divBdr>
      <w:divsChild>
        <w:div w:id="571431582">
          <w:marLeft w:val="0"/>
          <w:marRight w:val="0"/>
          <w:marTop w:val="0"/>
          <w:marBottom w:val="0"/>
          <w:divBdr>
            <w:top w:val="none" w:sz="0" w:space="0" w:color="auto"/>
            <w:left w:val="none" w:sz="0" w:space="0" w:color="auto"/>
            <w:bottom w:val="none" w:sz="0" w:space="0" w:color="auto"/>
            <w:right w:val="none" w:sz="0" w:space="0" w:color="auto"/>
          </w:divBdr>
        </w:div>
        <w:div w:id="2074885052">
          <w:marLeft w:val="0"/>
          <w:marRight w:val="0"/>
          <w:marTop w:val="0"/>
          <w:marBottom w:val="0"/>
          <w:divBdr>
            <w:top w:val="none" w:sz="0" w:space="0" w:color="auto"/>
            <w:left w:val="none" w:sz="0" w:space="0" w:color="auto"/>
            <w:bottom w:val="none" w:sz="0" w:space="0" w:color="auto"/>
            <w:right w:val="none" w:sz="0" w:space="0" w:color="auto"/>
          </w:divBdr>
        </w:div>
      </w:divsChild>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841621500">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304198124">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05519906">
      <w:bodyDiv w:val="1"/>
      <w:marLeft w:val="0"/>
      <w:marRight w:val="0"/>
      <w:marTop w:val="0"/>
      <w:marBottom w:val="0"/>
      <w:divBdr>
        <w:top w:val="none" w:sz="0" w:space="0" w:color="auto"/>
        <w:left w:val="none" w:sz="0" w:space="0" w:color="auto"/>
        <w:bottom w:val="none" w:sz="0" w:space="0" w:color="auto"/>
        <w:right w:val="none" w:sz="0" w:space="0" w:color="auto"/>
      </w:divBdr>
    </w:div>
    <w:div w:id="1757171268">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926449589">
      <w:bodyDiv w:val="1"/>
      <w:marLeft w:val="0"/>
      <w:marRight w:val="0"/>
      <w:marTop w:val="0"/>
      <w:marBottom w:val="0"/>
      <w:divBdr>
        <w:top w:val="none" w:sz="0" w:space="0" w:color="auto"/>
        <w:left w:val="none" w:sz="0" w:space="0" w:color="auto"/>
        <w:bottom w:val="none" w:sz="0" w:space="0" w:color="auto"/>
        <w:right w:val="none" w:sz="0" w:space="0" w:color="auto"/>
      </w:divBdr>
      <w:divsChild>
        <w:div w:id="799150711">
          <w:marLeft w:val="0"/>
          <w:marRight w:val="0"/>
          <w:marTop w:val="0"/>
          <w:marBottom w:val="0"/>
          <w:divBdr>
            <w:top w:val="none" w:sz="0" w:space="0" w:color="auto"/>
            <w:left w:val="none" w:sz="0" w:space="0" w:color="auto"/>
            <w:bottom w:val="none" w:sz="0" w:space="0" w:color="auto"/>
            <w:right w:val="none" w:sz="0" w:space="0" w:color="auto"/>
          </w:divBdr>
        </w:div>
        <w:div w:id="1210603594">
          <w:marLeft w:val="0"/>
          <w:marRight w:val="0"/>
          <w:marTop w:val="0"/>
          <w:marBottom w:val="0"/>
          <w:divBdr>
            <w:top w:val="none" w:sz="0" w:space="0" w:color="auto"/>
            <w:left w:val="none" w:sz="0" w:space="0" w:color="auto"/>
            <w:bottom w:val="none" w:sz="0" w:space="0" w:color="auto"/>
            <w:right w:val="none" w:sz="0" w:space="0" w:color="auto"/>
          </w:divBdr>
        </w:div>
      </w:divsChild>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ihw.gov.au/reports/cancer/cancer-data-in-australia/" TargetMode="External"/><Relationship Id="rId18" Type="http://schemas.openxmlformats.org/officeDocument/2006/relationships/hyperlink" Target="https://www.pbs.gov.au/industry/listing/elements/pbac-meetings/psd/2022-03/files/palbociclib-psd-march-2022.pdf" TargetMode="External"/><Relationship Id="rId26" Type="http://schemas.openxmlformats.org/officeDocument/2006/relationships/hyperlink" Target="https://www.nccn.org/guidelines/recently-published-guideline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rochefoundationmedicine.com/home/services/liquid.html?tab=0"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bs.gov.au/industry/listing/elements/pbac-meetings/psd/2021-03/files/abemaciclib-psd-mar-2021.pdf" TargetMode="External"/><Relationship Id="rId25" Type="http://schemas.openxmlformats.org/officeDocument/2006/relationships/hyperlink" Target="https://medically.roche.com/content/dam/pdmahub/restricted/oncology/annual-meeting-2024/oncologyannual-meeting-2024-presentation-juric-first-line-inavolisib-placebo-palbociclib.pdf"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1.racgp.org.au/ajgp/2019/may/advanced-breast-cancer-an-update-to-systemic-thera" TargetMode="External"/><Relationship Id="rId20" Type="http://schemas.openxmlformats.org/officeDocument/2006/relationships/hyperlink" Target="https://www.ema.europa.eu/en/documents/agenda/agenda-chmp-meeting-22-25-april-2024_en.pdf" TargetMode="External"/><Relationship Id="rId29" Type="http://schemas.openxmlformats.org/officeDocument/2006/relationships/hyperlink" Target="https://www.sonicgenetics.com.au/our-tests/all-our-tests/breast-cancer-focused-gene-pan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edically.roche.com/content/dam/pdmahub/restricted/oncology/sabcs-2023/SABCS-2023-presentation-jhaveri-inavolisib-or-placebo-in-combination-with-palbociclib.pdf" TargetMode="External"/><Relationship Id="rId32" Type="http://schemas.openxmlformats.org/officeDocument/2006/relationships/image" Target="media/image6.tmp"/><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ncer.org.au/assets/pdf/breast-cancer-optimal-cancer-care-pathway" TargetMode="External"/><Relationship Id="rId23" Type="http://schemas.openxmlformats.org/officeDocument/2006/relationships/hyperlink" Target="https://www.gene.com/media/press-releases/15026/2024-05-28/fda-grants-priority-review-to-genentechs" TargetMode="External"/><Relationship Id="rId28" Type="http://schemas.openxmlformats.org/officeDocument/2006/relationships/hyperlink" Target="https://www.sonicgenetics.com.au/media/j3cfnuhm/solidtumour_menu_2023_sg_final-shg-mkt-0156-00.pdf"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tga.gov.au/resources/auspmd/piqray" TargetMode="External"/><Relationship Id="rId31"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hyperlink" Target="https://www.foundationmedicine.com/test/foundationone-liquid-cdx" TargetMode="External"/><Relationship Id="rId14" Type="http://schemas.openxmlformats.org/officeDocument/2006/relationships/hyperlink" Target="https://www.bcna.org.au/media/3xceny14/hah_mbc-information_guide_2020.pdf" TargetMode="External"/><Relationship Id="rId22" Type="http://schemas.openxmlformats.org/officeDocument/2006/relationships/hyperlink" Target="https://www.foundationmedicine.com/sites/default/files/media/documents/2023-11/P190032_S011_F1LCDx%20Technical%20Label%5B76%5D.pdf" TargetMode="External"/><Relationship Id="rId27" Type="http://schemas.openxmlformats.org/officeDocument/2006/relationships/hyperlink" Target="https://www.nice.org.uk/guidance/ta816/documents/final-appraisal-determination-document" TargetMode="External"/><Relationship Id="rId30" Type="http://schemas.openxmlformats.org/officeDocument/2006/relationships/hyperlink" Target="https://www.tga.gov.au/sites/default/files/auspar-alpelisib-200820.pdf"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C0ADB-7CCF-4BC9-8F3A-D8E39C8F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23604</Words>
  <Characters>134549</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2024-10-17T03:00:00Z</dcterms:created>
  <dcterms:modified xsi:type="dcterms:W3CDTF">2024-10-17T03:01:00Z</dcterms:modified>
</cp:coreProperties>
</file>