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A773" w14:textId="77777777" w:rsidR="00932DE9" w:rsidRPr="00C86E49" w:rsidRDefault="00932DE9" w:rsidP="00932DE9">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sidRPr="00C86E49">
        <w:rPr>
          <w:rFonts w:ascii="Arial" w:hAnsi="Arial" w:cs="Arial"/>
          <w:b/>
          <w:bCs/>
          <w:color w:val="000080"/>
          <w:sz w:val="36"/>
          <w:szCs w:val="36"/>
        </w:rPr>
        <w:t>Medical Services Advisory Committee (MSAC)</w:t>
      </w:r>
      <w:r w:rsidRPr="00C86E49">
        <w:rPr>
          <w:rFonts w:ascii="Arial" w:hAnsi="Arial" w:cs="Arial"/>
          <w:b/>
          <w:bCs/>
          <w:color w:val="000080"/>
          <w:sz w:val="36"/>
          <w:szCs w:val="36"/>
        </w:rPr>
        <w:br/>
        <w:t>Public Summary Document</w:t>
      </w:r>
    </w:p>
    <w:p w14:paraId="6AA6C73A" w14:textId="7A092294" w:rsidR="006A0A62" w:rsidRPr="00C86E49" w:rsidRDefault="006A0A62" w:rsidP="006A0A62">
      <w:pPr>
        <w:shd w:val="clear" w:color="auto" w:fill="FFFFFF"/>
        <w:spacing w:after="330"/>
        <w:jc w:val="center"/>
        <w:outlineLvl w:val="0"/>
        <w:rPr>
          <w:rFonts w:ascii="Arial" w:eastAsia="Times New Roman" w:hAnsi="Arial" w:cs="Arial"/>
          <w:b/>
          <w:bCs/>
          <w:i/>
          <w:color w:val="000080"/>
          <w:sz w:val="28"/>
          <w:szCs w:val="28"/>
          <w:lang w:eastAsia="en-AU"/>
        </w:rPr>
      </w:pPr>
      <w:r w:rsidRPr="00C86E49">
        <w:rPr>
          <w:rFonts w:ascii="Arial" w:eastAsia="Times New Roman" w:hAnsi="Arial" w:cs="Arial"/>
          <w:b/>
          <w:bCs/>
          <w:i/>
          <w:color w:val="000080"/>
          <w:sz w:val="28"/>
          <w:szCs w:val="28"/>
          <w:lang w:eastAsia="en-AU"/>
        </w:rPr>
        <w:t xml:space="preserve">Application No. 1523.1 – Transluminal insertion, </w:t>
      </w:r>
      <w:r w:rsidR="0034326B" w:rsidRPr="00C86E49">
        <w:rPr>
          <w:rFonts w:ascii="Arial" w:eastAsia="Times New Roman" w:hAnsi="Arial" w:cs="Arial"/>
          <w:b/>
          <w:bCs/>
          <w:i/>
          <w:color w:val="000080"/>
          <w:sz w:val="28"/>
          <w:szCs w:val="28"/>
          <w:lang w:eastAsia="en-AU"/>
        </w:rPr>
        <w:t>management</w:t>
      </w:r>
      <w:r w:rsidRPr="00C86E49">
        <w:rPr>
          <w:rFonts w:ascii="Arial" w:eastAsia="Times New Roman" w:hAnsi="Arial" w:cs="Arial"/>
          <w:b/>
          <w:bCs/>
          <w:i/>
          <w:color w:val="000080"/>
          <w:sz w:val="28"/>
          <w:szCs w:val="28"/>
          <w:lang w:eastAsia="en-AU"/>
        </w:rPr>
        <w:t xml:space="preserve"> and removal of an intravascular microaxial blood pump (Impella®), for patients requiring mechanical circulatory </w:t>
      </w:r>
      <w:proofErr w:type="gramStart"/>
      <w:r w:rsidRPr="00C86E49">
        <w:rPr>
          <w:rFonts w:ascii="Arial" w:eastAsia="Times New Roman" w:hAnsi="Arial" w:cs="Arial"/>
          <w:b/>
          <w:bCs/>
          <w:i/>
          <w:color w:val="000080"/>
          <w:sz w:val="28"/>
          <w:szCs w:val="28"/>
          <w:lang w:eastAsia="en-AU"/>
        </w:rPr>
        <w:t>support</w:t>
      </w:r>
      <w:proofErr w:type="gramEnd"/>
    </w:p>
    <w:p w14:paraId="1B35EFB0" w14:textId="605C2F8D" w:rsidR="006A0A62" w:rsidRPr="00C86E49" w:rsidRDefault="006A0A62" w:rsidP="006A0A62">
      <w:pPr>
        <w:tabs>
          <w:tab w:val="left" w:pos="3686"/>
        </w:tabs>
        <w:spacing w:line="256" w:lineRule="auto"/>
        <w:rPr>
          <w:rFonts w:ascii="Arial" w:eastAsia="Calibri" w:hAnsi="Arial" w:cs="Arial"/>
          <w:b/>
          <w:szCs w:val="24"/>
        </w:rPr>
      </w:pPr>
      <w:r w:rsidRPr="00C86E49">
        <w:rPr>
          <w:rFonts w:ascii="Arial" w:eastAsia="Calibri" w:hAnsi="Arial" w:cs="Arial"/>
          <w:b/>
          <w:szCs w:val="24"/>
        </w:rPr>
        <w:t>Applicant:</w:t>
      </w:r>
      <w:r w:rsidRPr="00C86E49">
        <w:rPr>
          <w:rFonts w:ascii="Arial" w:eastAsia="Calibri" w:hAnsi="Arial" w:cs="Arial"/>
          <w:b/>
          <w:szCs w:val="24"/>
        </w:rPr>
        <w:tab/>
        <w:t xml:space="preserve">Abiomed </w:t>
      </w:r>
      <w:r w:rsidR="00E45B6B" w:rsidRPr="00C86E49">
        <w:rPr>
          <w:rFonts w:ascii="Arial" w:eastAsia="Calibri" w:hAnsi="Arial" w:cs="Arial"/>
          <w:b/>
          <w:szCs w:val="24"/>
        </w:rPr>
        <w:t xml:space="preserve">Australia Pty Ltd </w:t>
      </w:r>
      <w:r w:rsidRPr="00C86E49">
        <w:rPr>
          <w:rFonts w:ascii="Arial" w:eastAsia="Calibri" w:hAnsi="Arial" w:cs="Arial"/>
          <w:b/>
          <w:szCs w:val="24"/>
        </w:rPr>
        <w:t>(THEMA Consulting)</w:t>
      </w:r>
    </w:p>
    <w:p w14:paraId="188CCB18" w14:textId="08A288BF" w:rsidR="00641750" w:rsidRPr="00C86E49" w:rsidRDefault="00641750" w:rsidP="00641750">
      <w:pPr>
        <w:spacing w:before="320" w:line="256" w:lineRule="auto"/>
        <w:rPr>
          <w:rFonts w:ascii="Arial" w:hAnsi="Arial" w:cs="Arial"/>
          <w:b/>
          <w:bCs/>
        </w:rPr>
      </w:pPr>
      <w:bookmarkStart w:id="0" w:name="_Toc69491415"/>
      <w:r w:rsidRPr="00C86E49">
        <w:rPr>
          <w:rFonts w:ascii="Arial" w:hAnsi="Arial" w:cs="Arial"/>
          <w:b/>
          <w:bCs/>
        </w:rPr>
        <w:t xml:space="preserve">Date of </w:t>
      </w:r>
      <w:r w:rsidR="00932DE9" w:rsidRPr="00C86E49">
        <w:rPr>
          <w:rFonts w:ascii="Arial" w:hAnsi="Arial" w:cs="Arial"/>
          <w:b/>
          <w:bCs/>
        </w:rPr>
        <w:t>MSAC</w:t>
      </w:r>
      <w:r w:rsidRPr="00C86E49">
        <w:rPr>
          <w:rFonts w:ascii="Arial" w:hAnsi="Arial" w:cs="Arial"/>
          <w:b/>
          <w:bCs/>
        </w:rPr>
        <w:t xml:space="preserve"> consideration:</w:t>
      </w:r>
      <w:r w:rsidRPr="00C86E49">
        <w:rPr>
          <w:rFonts w:ascii="Arial" w:hAnsi="Arial" w:cs="Arial"/>
          <w:b/>
          <w:bCs/>
        </w:rPr>
        <w:tab/>
      </w:r>
      <w:r w:rsidR="00932DE9" w:rsidRPr="00C86E49">
        <w:rPr>
          <w:rFonts w:ascii="Arial" w:hAnsi="Arial" w:cs="Arial"/>
          <w:b/>
          <w:bCs/>
        </w:rPr>
        <w:t>4-5 April</w:t>
      </w:r>
      <w:r w:rsidRPr="00C86E49">
        <w:rPr>
          <w:rFonts w:ascii="Arial" w:hAnsi="Arial" w:cs="Arial"/>
          <w:b/>
          <w:bCs/>
        </w:rPr>
        <w:t xml:space="preserve"> 2024</w:t>
      </w:r>
    </w:p>
    <w:p w14:paraId="69F768AE" w14:textId="65F19DD2" w:rsidR="00932DE9" w:rsidRPr="00C86E49" w:rsidRDefault="00932DE9" w:rsidP="00932DE9">
      <w:pPr>
        <w:spacing w:after="240"/>
        <w:rPr>
          <w:color w:val="0000FF"/>
          <w:szCs w:val="24"/>
          <w:u w:val="single"/>
        </w:rPr>
      </w:pPr>
      <w:r w:rsidRPr="00C86E49">
        <w:rPr>
          <w:szCs w:val="24"/>
        </w:rPr>
        <w:t xml:space="preserve">Context for decision: MSAC makes its advice in accordance with its Terms of Reference, </w:t>
      </w:r>
      <w:hyperlink r:id="rId8" w:tooltip="Link to Medical Services Advisory Committee website" w:history="1">
        <w:r w:rsidRPr="00C86E49">
          <w:rPr>
            <w:rStyle w:val="Hyperlink"/>
            <w:szCs w:val="24"/>
          </w:rPr>
          <w:t>visit the MSAC website</w:t>
        </w:r>
      </w:hyperlink>
    </w:p>
    <w:p w14:paraId="7EAA7262" w14:textId="77335A16" w:rsidR="00772829" w:rsidRPr="00C86E49" w:rsidRDefault="00C36633" w:rsidP="00C36633">
      <w:pPr>
        <w:pStyle w:val="Heading2"/>
        <w:numPr>
          <w:ilvl w:val="0"/>
          <w:numId w:val="0"/>
        </w:numPr>
      </w:pPr>
      <w:r w:rsidRPr="00C86E49">
        <w:t>1.</w:t>
      </w:r>
      <w:r w:rsidRPr="00C86E49">
        <w:tab/>
      </w:r>
      <w:r w:rsidR="00772829" w:rsidRPr="00C86E49">
        <w:t xml:space="preserve">Purpose </w:t>
      </w:r>
      <w:r w:rsidR="00772829" w:rsidRPr="00C86E49">
        <w:rPr>
          <w:szCs w:val="32"/>
        </w:rPr>
        <w:t>of</w:t>
      </w:r>
      <w:r w:rsidR="00772829" w:rsidRPr="00C86E49">
        <w:t xml:space="preserve"> application</w:t>
      </w:r>
      <w:bookmarkEnd w:id="0"/>
    </w:p>
    <w:p w14:paraId="6BF31FF2" w14:textId="67AE5550" w:rsidR="00772829" w:rsidRPr="00C86E49" w:rsidRDefault="00772829" w:rsidP="00772829">
      <w:pPr>
        <w:spacing w:after="240"/>
        <w:rPr>
          <w:iCs/>
        </w:rPr>
      </w:pPr>
      <w:bookmarkStart w:id="1" w:name="_Hlk69734469"/>
      <w:r w:rsidRPr="00C86E49">
        <w:rPr>
          <w:iCs/>
        </w:rPr>
        <w:t xml:space="preserve">A </w:t>
      </w:r>
      <w:r w:rsidR="001B104E" w:rsidRPr="00C86E49">
        <w:rPr>
          <w:iCs/>
        </w:rPr>
        <w:t>re</w:t>
      </w:r>
      <w:r w:rsidRPr="00C86E49">
        <w:rPr>
          <w:iCs/>
        </w:rPr>
        <w:t xml:space="preserve">application requesting Medicare Benefits Schedule (MBS) listing of </w:t>
      </w:r>
      <w:r w:rsidR="00D91F14" w:rsidRPr="00C86E49">
        <w:rPr>
          <w:iCs/>
        </w:rPr>
        <w:t>transluminal insertion and management of a left intravascular microaxial ventricular assist device (IMVAD) (</w:t>
      </w:r>
      <w:r w:rsidR="000B031A" w:rsidRPr="00C86E49">
        <w:rPr>
          <w:iCs/>
        </w:rPr>
        <w:t>IMPELLA</w:t>
      </w:r>
      <w:r w:rsidR="00D91F14" w:rsidRPr="00C86E49">
        <w:rPr>
          <w:iCs/>
        </w:rPr>
        <w:t>®) for the management of patients with cardiogenic shock (CS) requiring temporary mechanical circulatory support (MCS)</w:t>
      </w:r>
      <w:r w:rsidR="00336168" w:rsidRPr="00C86E49">
        <w:rPr>
          <w:iCs/>
        </w:rPr>
        <w:t xml:space="preserve"> </w:t>
      </w:r>
      <w:r w:rsidRPr="00C86E49">
        <w:rPr>
          <w:iCs/>
        </w:rPr>
        <w:t xml:space="preserve">was received from </w:t>
      </w:r>
      <w:r w:rsidR="00CF79BC" w:rsidRPr="00C86E49">
        <w:rPr>
          <w:iCs/>
        </w:rPr>
        <w:t>Abiomed Australia Pty Ltd</w:t>
      </w:r>
      <w:r w:rsidRPr="00C86E49">
        <w:rPr>
          <w:iCs/>
        </w:rPr>
        <w:t xml:space="preserve"> by the Department of Health</w:t>
      </w:r>
      <w:r w:rsidR="00A31BC9" w:rsidRPr="00C86E49">
        <w:rPr>
          <w:iCs/>
        </w:rPr>
        <w:t xml:space="preserve"> and Aged Care (the </w:t>
      </w:r>
      <w:r w:rsidR="004B3DF5" w:rsidRPr="00C86E49">
        <w:rPr>
          <w:iCs/>
        </w:rPr>
        <w:t>d</w:t>
      </w:r>
      <w:r w:rsidR="00A31BC9" w:rsidRPr="00C86E49">
        <w:rPr>
          <w:iCs/>
        </w:rPr>
        <w:t>epartment)</w:t>
      </w:r>
      <w:r w:rsidRPr="00C86E49">
        <w:rPr>
          <w:iCs/>
        </w:rPr>
        <w:t>.</w:t>
      </w:r>
    </w:p>
    <w:p w14:paraId="1B53109B" w14:textId="5CB0C02E" w:rsidR="00932DE9" w:rsidRPr="00C86E49" w:rsidRDefault="00C36633" w:rsidP="002A18BE">
      <w:pPr>
        <w:pStyle w:val="Heading2"/>
        <w:numPr>
          <w:ilvl w:val="0"/>
          <w:numId w:val="0"/>
        </w:numPr>
      </w:pPr>
      <w:bookmarkStart w:id="2" w:name="_Toc69491416"/>
      <w:bookmarkEnd w:id="1"/>
      <w:r w:rsidRPr="00C86E49">
        <w:t>2.</w:t>
      </w:r>
      <w:r w:rsidRPr="00C86E49">
        <w:tab/>
      </w:r>
      <w:r w:rsidR="00932DE9" w:rsidRPr="00C86E49">
        <w:t>MSAC’s advice to the Minister</w:t>
      </w:r>
    </w:p>
    <w:p w14:paraId="3CAAD49C" w14:textId="7B49660E" w:rsidR="00113BFC" w:rsidRPr="00C86E49" w:rsidRDefault="00113BFC" w:rsidP="00113BFC">
      <w:pPr>
        <w:rPr>
          <w:rFonts w:eastAsia="Calibri" w:cs="Times New Roman"/>
        </w:rPr>
      </w:pPr>
      <w:r w:rsidRPr="00C86E49">
        <w:rPr>
          <w:rFonts w:eastAsia="Calibri" w:cs="Times New Roman"/>
        </w:rPr>
        <w:t xml:space="preserve">After considering the strength of the available evidence in relation to comparative safety, clinical effectiveness, </w:t>
      </w:r>
      <w:proofErr w:type="gramStart"/>
      <w:r w:rsidRPr="00C86E49">
        <w:rPr>
          <w:rFonts w:eastAsia="Calibri" w:cs="Times New Roman"/>
        </w:rPr>
        <w:t>cost-effectiveness</w:t>
      </w:r>
      <w:proofErr w:type="gramEnd"/>
      <w:r w:rsidRPr="00C86E49">
        <w:rPr>
          <w:rFonts w:eastAsia="Calibri" w:cs="Times New Roman"/>
        </w:rPr>
        <w:t xml:space="preserve"> and total cost, MSAC </w:t>
      </w:r>
      <w:r w:rsidR="00710513" w:rsidRPr="00C86E49">
        <w:t>supported the creation of new MBS item</w:t>
      </w:r>
      <w:r w:rsidR="009C3F56" w:rsidRPr="00C86E49">
        <w:t>s</w:t>
      </w:r>
      <w:r w:rsidR="00710513" w:rsidRPr="00C86E49">
        <w:t xml:space="preserve"> for transluminal insertion and management of a left IMVAD for the management of patients with CS requiring temporary MCS. MSAC considered that the clinical evidence provided low certainty of a small but clinically important difference of the intervention for short term outcomes. However, MSAC considered that there was a clinical need for this intervention in the small, narrowly </w:t>
      </w:r>
      <w:proofErr w:type="gramStart"/>
      <w:r w:rsidR="00710513" w:rsidRPr="00C86E49">
        <w:t>defined</w:t>
      </w:r>
      <w:proofErr w:type="gramEnd"/>
      <w:r w:rsidR="00710513" w:rsidRPr="00C86E49">
        <w:t xml:space="preserve"> and high-risk population being patients in CS who have not stabilised despite pharmacotherapy. </w:t>
      </w:r>
      <w:r w:rsidR="00710513" w:rsidRPr="00C86E49">
        <w:rPr>
          <w:rFonts w:eastAsia="Franklin Gothic Book" w:cs="Franklin Gothic Book"/>
          <w:color w:val="000000" w:themeColor="text1"/>
        </w:rPr>
        <w:t xml:space="preserve">MSAC also considered that the low certainty in comparative effectiveness led to some uncertainty in the incremental cost-effectiveness ratio (ICER), particularly where IMVAD was used in conjunction with veno-arterial extracorporeal membrane oxygenation (VA-ECMO). </w:t>
      </w:r>
      <w:r w:rsidR="00C027CD" w:rsidRPr="00C86E49">
        <w:rPr>
          <w:rFonts w:eastAsia="Franklin Gothic Book" w:cs="Franklin Gothic Book"/>
          <w:color w:val="000000" w:themeColor="text1"/>
        </w:rPr>
        <w:t>MSAC  acknowledged the Department's concerns regarding possible growth in utilisation with an MBS listing, however</w:t>
      </w:r>
      <w:r w:rsidR="00710513" w:rsidRPr="00C86E49">
        <w:rPr>
          <w:rFonts w:eastAsia="Franklin Gothic Book" w:cs="Franklin Gothic Book"/>
          <w:color w:val="000000" w:themeColor="text1"/>
        </w:rPr>
        <w:t xml:space="preserve">, </w:t>
      </w:r>
      <w:r w:rsidR="00710513" w:rsidRPr="00C86E49">
        <w:t>MSAC noted that the estimated utilisation was very low and the financial analysis estimated that an MBS listing for IMVAD may provide a small cost saving to the MBS and a low financial impact to private health insurers (if the IMPELLA IMVAD device is listed on the Prescribed List of Medical Devices and Human Tissue Products).</w:t>
      </w:r>
    </w:p>
    <w:tbl>
      <w:tblPr>
        <w:tblStyle w:val="TableGrid"/>
        <w:tblW w:w="0" w:type="auto"/>
        <w:tblLook w:val="04A0" w:firstRow="1" w:lastRow="0" w:firstColumn="1" w:lastColumn="0" w:noHBand="0" w:noVBand="1"/>
        <w:tblDescription w:val="Consumer summary of MSAC consideration"/>
      </w:tblPr>
      <w:tblGrid>
        <w:gridCol w:w="9016"/>
      </w:tblGrid>
      <w:tr w:rsidR="00113BFC" w:rsidRPr="00C86E49" w14:paraId="41B599DA" w14:textId="77777777">
        <w:trPr>
          <w:tblHeader/>
        </w:trPr>
        <w:tc>
          <w:tcPr>
            <w:tcW w:w="9016" w:type="dxa"/>
          </w:tcPr>
          <w:p w14:paraId="00AB2BA2" w14:textId="77777777" w:rsidR="00113BFC" w:rsidRPr="00C86E49" w:rsidRDefault="00113BFC" w:rsidP="009F32C2">
            <w:pPr>
              <w:keepNext/>
              <w:keepLines/>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p>
        </w:tc>
      </w:tr>
      <w:tr w:rsidR="00113BFC" w:rsidRPr="00C86E49" w14:paraId="7730351D" w14:textId="77777777">
        <w:tc>
          <w:tcPr>
            <w:tcW w:w="9016" w:type="dxa"/>
          </w:tcPr>
          <w:p w14:paraId="6EDC1C48" w14:textId="63A43B27" w:rsidR="00113BFC" w:rsidRPr="00C86E49" w:rsidRDefault="00113BFC" w:rsidP="00113BFC">
            <w:pPr>
              <w:rPr>
                <w:rFonts w:eastAsia="Calibri" w:cs="Times New Roman"/>
              </w:rPr>
            </w:pPr>
            <w:r w:rsidRPr="00C86E49">
              <w:rPr>
                <w:rFonts w:eastAsia="Calibri" w:cs="Times New Roman"/>
              </w:rPr>
              <w:t xml:space="preserve">This is an application from Abiomed </w:t>
            </w:r>
            <w:r w:rsidR="00AF6EF8" w:rsidRPr="00C86E49">
              <w:rPr>
                <w:rFonts w:eastAsia="Calibri" w:cs="Times New Roman"/>
              </w:rPr>
              <w:t xml:space="preserve">Australia Pty Ltd </w:t>
            </w:r>
            <w:r w:rsidRPr="00C86E49">
              <w:rPr>
                <w:rFonts w:eastAsia="Calibri" w:cs="Times New Roman"/>
              </w:rPr>
              <w:t>(THEMA Consulting) requesting Medicare Benefits Schedule (MBS) listing</w:t>
            </w:r>
            <w:r w:rsidR="00526E2D" w:rsidRPr="00C86E49">
              <w:rPr>
                <w:rFonts w:eastAsia="Calibri" w:cs="Times New Roman"/>
              </w:rPr>
              <w:t>s</w:t>
            </w:r>
            <w:r w:rsidRPr="00C86E49">
              <w:rPr>
                <w:rFonts w:eastAsia="Calibri" w:cs="Times New Roman"/>
              </w:rPr>
              <w:t xml:space="preserve"> for procedure</w:t>
            </w:r>
            <w:r w:rsidR="00526E2D" w:rsidRPr="00C86E49">
              <w:rPr>
                <w:rFonts w:eastAsia="Calibri" w:cs="Times New Roman"/>
              </w:rPr>
              <w:t>s</w:t>
            </w:r>
            <w:r w:rsidRPr="00C86E49">
              <w:rPr>
                <w:rFonts w:eastAsia="Calibri" w:cs="Times New Roman"/>
              </w:rPr>
              <w:t xml:space="preserve"> to insert, manage and remove the IMPELLA device in people who are in cardiogenic shock.</w:t>
            </w:r>
          </w:p>
          <w:p w14:paraId="2EFC93D5" w14:textId="7D9D334F" w:rsidR="00237027" w:rsidRPr="00C86E49" w:rsidRDefault="00113BFC" w:rsidP="00113BFC">
            <w:pPr>
              <w:rPr>
                <w:rFonts w:eastAsia="Calibri" w:cs="Times New Roman"/>
              </w:rPr>
            </w:pPr>
            <w:r w:rsidRPr="00C86E49">
              <w:rPr>
                <w:rFonts w:eastAsia="Calibri" w:cs="Times New Roman"/>
              </w:rPr>
              <w:lastRenderedPageBreak/>
              <w:t xml:space="preserve">Cardiogenic shock </w:t>
            </w:r>
            <w:r w:rsidR="006128E7" w:rsidRPr="00C86E49">
              <w:rPr>
                <w:rFonts w:eastAsia="Calibri" w:cs="Times New Roman"/>
              </w:rPr>
              <w:t xml:space="preserve">(CS) </w:t>
            </w:r>
            <w:r w:rsidRPr="00C86E49">
              <w:rPr>
                <w:rFonts w:eastAsia="Calibri" w:cs="Times New Roman"/>
              </w:rPr>
              <w:t>is an urgent and life-threatening condition. It happens when a person’s heart cannot pump enough blood around the body.</w:t>
            </w:r>
            <w:r w:rsidR="006128E7" w:rsidRPr="00C86E49">
              <w:rPr>
                <w:rFonts w:eastAsia="Calibri" w:cs="Times New Roman"/>
              </w:rPr>
              <w:t xml:space="preserve"> Patients are given medications </w:t>
            </w:r>
            <w:r w:rsidR="00A310E4" w:rsidRPr="00C86E49">
              <w:rPr>
                <w:rFonts w:eastAsia="Calibri" w:cs="Times New Roman"/>
              </w:rPr>
              <w:t>to help increase their</w:t>
            </w:r>
            <w:r w:rsidR="008F3064" w:rsidRPr="00C86E49">
              <w:rPr>
                <w:rFonts w:eastAsia="Calibri" w:cs="Times New Roman"/>
              </w:rPr>
              <w:t xml:space="preserve"> hearts pumping ability but </w:t>
            </w:r>
            <w:r w:rsidR="00784B3C" w:rsidRPr="00C86E49">
              <w:rPr>
                <w:rFonts w:eastAsia="Calibri" w:cs="Times New Roman"/>
              </w:rPr>
              <w:t>sometimes a</w:t>
            </w:r>
            <w:r w:rsidR="005C5E5F" w:rsidRPr="00C86E49">
              <w:rPr>
                <w:rFonts w:eastAsia="Calibri" w:cs="Times New Roman"/>
              </w:rPr>
              <w:t xml:space="preserve"> patient does not </w:t>
            </w:r>
            <w:r w:rsidR="009A68AB" w:rsidRPr="00C86E49">
              <w:rPr>
                <w:rFonts w:eastAsia="Calibri" w:cs="Times New Roman"/>
              </w:rPr>
              <w:t xml:space="preserve">respond and </w:t>
            </w:r>
            <w:r w:rsidR="00214D07" w:rsidRPr="00C86E49">
              <w:rPr>
                <w:rFonts w:eastAsia="Calibri" w:cs="Times New Roman"/>
              </w:rPr>
              <w:t xml:space="preserve">may require temporary </w:t>
            </w:r>
            <w:r w:rsidR="00B858B7" w:rsidRPr="00C86E49">
              <w:rPr>
                <w:rFonts w:eastAsia="Calibri" w:cs="Times New Roman"/>
              </w:rPr>
              <w:t>mechanical</w:t>
            </w:r>
            <w:r w:rsidR="00265010" w:rsidRPr="00C86E49">
              <w:rPr>
                <w:rFonts w:eastAsia="Calibri" w:cs="Times New Roman"/>
              </w:rPr>
              <w:t xml:space="preserve"> support to </w:t>
            </w:r>
            <w:r w:rsidR="00710D32" w:rsidRPr="00C86E49">
              <w:rPr>
                <w:rFonts w:eastAsia="Calibri" w:cs="Times New Roman"/>
              </w:rPr>
              <w:t xml:space="preserve">improve blood flow and </w:t>
            </w:r>
            <w:r w:rsidR="000B277D" w:rsidRPr="00C86E49">
              <w:rPr>
                <w:rFonts w:eastAsia="Calibri" w:cs="Times New Roman"/>
              </w:rPr>
              <w:t>deliver</w:t>
            </w:r>
            <w:r w:rsidR="00710D32" w:rsidRPr="00C86E49">
              <w:rPr>
                <w:rFonts w:eastAsia="Calibri" w:cs="Times New Roman"/>
              </w:rPr>
              <w:t xml:space="preserve"> oxygen to the body</w:t>
            </w:r>
            <w:r w:rsidR="00BB382B" w:rsidRPr="00C86E49">
              <w:rPr>
                <w:rFonts w:eastAsia="Calibri" w:cs="Times New Roman"/>
              </w:rPr>
              <w:t>.</w:t>
            </w:r>
            <w:r w:rsidR="0096466D" w:rsidRPr="00C86E49">
              <w:rPr>
                <w:rFonts w:eastAsia="Calibri" w:cs="Times New Roman"/>
              </w:rPr>
              <w:t xml:space="preserve"> </w:t>
            </w:r>
            <w:r w:rsidR="00C8614E" w:rsidRPr="00C86E49">
              <w:rPr>
                <w:rFonts w:eastAsia="Calibri" w:cs="Times New Roman"/>
              </w:rPr>
              <w:t xml:space="preserve">A current type of </w:t>
            </w:r>
            <w:r w:rsidR="00237027" w:rsidRPr="00C86E49">
              <w:rPr>
                <w:rFonts w:eastAsia="Calibri" w:cs="Times New Roman"/>
              </w:rPr>
              <w:t xml:space="preserve">temporary mechanical support is veno-arterial extracorporeal membrane oxygenation (VA-ECMO). </w:t>
            </w:r>
            <w:r w:rsidR="00E24D16" w:rsidRPr="00C86E49">
              <w:rPr>
                <w:rFonts w:eastAsia="Calibri" w:cs="Times New Roman"/>
              </w:rPr>
              <w:t xml:space="preserve">In </w:t>
            </w:r>
            <w:r w:rsidR="00037DDF" w:rsidRPr="00C86E49">
              <w:rPr>
                <w:rFonts w:eastAsia="Calibri" w:cs="Times New Roman"/>
              </w:rPr>
              <w:t>VA-ECMO</w:t>
            </w:r>
            <w:r w:rsidR="00E24D16" w:rsidRPr="00C86E49">
              <w:rPr>
                <w:rFonts w:eastAsia="Calibri" w:cs="Times New Roman"/>
              </w:rPr>
              <w:t xml:space="preserve">, </w:t>
            </w:r>
            <w:r w:rsidR="00A003F3" w:rsidRPr="00C86E49">
              <w:rPr>
                <w:rFonts w:eastAsia="Calibri" w:cs="Times New Roman"/>
              </w:rPr>
              <w:t xml:space="preserve">blood is pumped outside of </w:t>
            </w:r>
            <w:r w:rsidR="008C0048" w:rsidRPr="00C86E49">
              <w:rPr>
                <w:rFonts w:eastAsia="Calibri" w:cs="Times New Roman"/>
              </w:rPr>
              <w:t xml:space="preserve">the </w:t>
            </w:r>
            <w:r w:rsidR="00A003F3" w:rsidRPr="00C86E49">
              <w:rPr>
                <w:rFonts w:eastAsia="Calibri" w:cs="Times New Roman"/>
              </w:rPr>
              <w:t>body to a heart-lung machine that removes carbon dioxide and sends oxygen-filled blood back to tissues in the body</w:t>
            </w:r>
            <w:r w:rsidR="005219B5" w:rsidRPr="00C86E49">
              <w:rPr>
                <w:rFonts w:eastAsia="Calibri" w:cs="Times New Roman"/>
              </w:rPr>
              <w:t>.</w:t>
            </w:r>
          </w:p>
          <w:p w14:paraId="678CD7F2" w14:textId="73DE1230" w:rsidR="00113BFC" w:rsidRPr="00C86E49" w:rsidRDefault="00113BFC" w:rsidP="00C32090">
            <w:pPr>
              <w:rPr>
                <w:rFonts w:eastAsia="Calibri" w:cs="Times New Roman"/>
              </w:rPr>
            </w:pPr>
            <w:r w:rsidRPr="00C86E49">
              <w:rPr>
                <w:rFonts w:eastAsia="Calibri" w:cs="Times New Roman"/>
              </w:rPr>
              <w:t xml:space="preserve">IMPELLA </w:t>
            </w:r>
            <w:r w:rsidR="00A003F3" w:rsidRPr="00C86E49">
              <w:rPr>
                <w:rFonts w:eastAsia="Calibri" w:cs="Times New Roman"/>
              </w:rPr>
              <w:t>is a</w:t>
            </w:r>
            <w:r w:rsidR="00712AA6" w:rsidRPr="00C86E49">
              <w:rPr>
                <w:rFonts w:eastAsia="Calibri" w:cs="Times New Roman"/>
              </w:rPr>
              <w:t xml:space="preserve">nother type of temporary mechanical support that </w:t>
            </w:r>
            <w:r w:rsidRPr="00C86E49">
              <w:rPr>
                <w:rFonts w:eastAsia="Calibri" w:cs="Times New Roman"/>
              </w:rPr>
              <w:t xml:space="preserve">aims to help circulate blood </w:t>
            </w:r>
            <w:r w:rsidR="005630B5" w:rsidRPr="00C86E49">
              <w:rPr>
                <w:rFonts w:eastAsia="Calibri" w:cs="Times New Roman"/>
              </w:rPr>
              <w:t xml:space="preserve">from </w:t>
            </w:r>
            <w:r w:rsidRPr="00C86E49">
              <w:rPr>
                <w:rFonts w:eastAsia="Calibri" w:cs="Times New Roman"/>
              </w:rPr>
              <w:t>the heart</w:t>
            </w:r>
            <w:r w:rsidR="005630B5" w:rsidRPr="00C86E49">
              <w:rPr>
                <w:rFonts w:eastAsia="Calibri" w:cs="Times New Roman"/>
              </w:rPr>
              <w:t xml:space="preserve"> to the body</w:t>
            </w:r>
            <w:r w:rsidRPr="00C86E49">
              <w:rPr>
                <w:rFonts w:eastAsia="Calibri" w:cs="Times New Roman"/>
              </w:rPr>
              <w:t xml:space="preserve">. </w:t>
            </w:r>
            <w:r w:rsidR="001F10C2" w:rsidRPr="00C86E49">
              <w:rPr>
                <w:rFonts w:eastAsia="Calibri" w:cs="Times New Roman"/>
              </w:rPr>
              <w:t xml:space="preserve">IMPELLA </w:t>
            </w:r>
            <w:r w:rsidR="003E1D56" w:rsidRPr="00C86E49">
              <w:rPr>
                <w:rFonts w:eastAsia="Calibri" w:cs="Times New Roman"/>
              </w:rPr>
              <w:t>is an intravascular microaxial ventricular assist device (IMVAD)</w:t>
            </w:r>
            <w:r w:rsidR="006717C4" w:rsidRPr="00C86E49">
              <w:rPr>
                <w:rFonts w:eastAsia="Calibri" w:cs="Times New Roman"/>
              </w:rPr>
              <w:t xml:space="preserve">, which is </w:t>
            </w:r>
            <w:r w:rsidR="00352613" w:rsidRPr="00C86E49">
              <w:rPr>
                <w:rFonts w:eastAsia="Calibri" w:cs="Times New Roman"/>
              </w:rPr>
              <w:t>essentially a</w:t>
            </w:r>
            <w:r w:rsidRPr="00C86E49">
              <w:rPr>
                <w:rFonts w:eastAsia="Calibri" w:cs="Times New Roman"/>
              </w:rPr>
              <w:t xml:space="preserve"> </w:t>
            </w:r>
            <w:r w:rsidR="001F10C2" w:rsidRPr="00C86E49">
              <w:rPr>
                <w:rFonts w:eastAsia="Calibri" w:cs="Times New Roman"/>
              </w:rPr>
              <w:t xml:space="preserve">small pump that is </w:t>
            </w:r>
            <w:r w:rsidRPr="00C86E49">
              <w:rPr>
                <w:rFonts w:eastAsia="Calibri" w:cs="Times New Roman"/>
              </w:rPr>
              <w:t xml:space="preserve">placed inside the </w:t>
            </w:r>
            <w:r w:rsidR="00EB0629" w:rsidRPr="00C86E49">
              <w:rPr>
                <w:rFonts w:eastAsia="Calibri" w:cs="Times New Roman"/>
              </w:rPr>
              <w:t>le</w:t>
            </w:r>
            <w:r w:rsidR="000C0CBA" w:rsidRPr="00C86E49">
              <w:rPr>
                <w:rFonts w:eastAsia="Calibri" w:cs="Times New Roman"/>
              </w:rPr>
              <w:t xml:space="preserve">ft </w:t>
            </w:r>
            <w:r w:rsidR="0044150E" w:rsidRPr="00C86E49">
              <w:rPr>
                <w:rFonts w:eastAsia="Calibri" w:cs="Times New Roman"/>
              </w:rPr>
              <w:t xml:space="preserve">ventricle of the </w:t>
            </w:r>
            <w:r w:rsidRPr="00C86E49">
              <w:rPr>
                <w:rFonts w:eastAsia="Calibri" w:cs="Times New Roman"/>
              </w:rPr>
              <w:t>heart</w:t>
            </w:r>
            <w:r w:rsidR="00AB655B" w:rsidRPr="00C86E49">
              <w:rPr>
                <w:rFonts w:eastAsia="Calibri" w:cs="Times New Roman"/>
              </w:rPr>
              <w:t xml:space="preserve">, </w:t>
            </w:r>
            <w:r w:rsidR="008B0669" w:rsidRPr="00C86E49">
              <w:rPr>
                <w:rFonts w:eastAsia="Calibri" w:cs="Times New Roman"/>
              </w:rPr>
              <w:t xml:space="preserve">the main pumping chamber of the heart. Once in place, the </w:t>
            </w:r>
            <w:r w:rsidR="007605B9" w:rsidRPr="00C86E49">
              <w:rPr>
                <w:rFonts w:eastAsia="Calibri" w:cs="Times New Roman"/>
              </w:rPr>
              <w:t>IMPELLA pump</w:t>
            </w:r>
            <w:r w:rsidR="001B179A" w:rsidRPr="00C86E49">
              <w:rPr>
                <w:rFonts w:eastAsia="Calibri" w:cs="Times New Roman"/>
              </w:rPr>
              <w:t>s</w:t>
            </w:r>
            <w:r w:rsidRPr="00C86E49">
              <w:rPr>
                <w:rFonts w:eastAsia="Calibri" w:cs="Times New Roman"/>
              </w:rPr>
              <w:t xml:space="preserve"> blood from the heart to the main artery that leaves the heart</w:t>
            </w:r>
            <w:r w:rsidR="00DE634D" w:rsidRPr="00C86E49">
              <w:rPr>
                <w:rFonts w:eastAsia="Calibri" w:cs="Times New Roman"/>
              </w:rPr>
              <w:t xml:space="preserve"> helping to circula</w:t>
            </w:r>
            <w:r w:rsidR="005264FA" w:rsidRPr="00C86E49">
              <w:rPr>
                <w:rFonts w:eastAsia="Calibri" w:cs="Times New Roman"/>
              </w:rPr>
              <w:t>te</w:t>
            </w:r>
            <w:r w:rsidR="00DE634D" w:rsidRPr="00C86E49">
              <w:rPr>
                <w:rFonts w:eastAsia="Calibri" w:cs="Times New Roman"/>
              </w:rPr>
              <w:t xml:space="preserve"> blood</w:t>
            </w:r>
            <w:r w:rsidR="00C32090" w:rsidRPr="00C86E49">
              <w:rPr>
                <w:rFonts w:eastAsia="Calibri" w:cs="Times New Roman"/>
              </w:rPr>
              <w:t xml:space="preserve"> from the heart to the body</w:t>
            </w:r>
            <w:r w:rsidRPr="00C86E49">
              <w:rPr>
                <w:rFonts w:eastAsia="Calibri" w:cs="Times New Roman"/>
              </w:rPr>
              <w:t>. It is inserted through an artery in the leg, or directly into the heart through surgery that requires general anaesthetic. It stays in the heart for a short time (hours or days), then it is removed. IMPELLA can also be used at the same time as VA-ECMO, and this procedure is known as ECPELLA</w:t>
            </w:r>
            <w:r w:rsidR="007545D3" w:rsidRPr="00C86E49">
              <w:rPr>
                <w:rFonts w:eastAsia="Calibri" w:cs="Times New Roman"/>
              </w:rPr>
              <w:t>™</w:t>
            </w:r>
            <w:r w:rsidRPr="00C86E49">
              <w:rPr>
                <w:rFonts w:eastAsia="Calibri" w:cs="Times New Roman"/>
              </w:rPr>
              <w:t>.</w:t>
            </w:r>
          </w:p>
          <w:p w14:paraId="21455501" w14:textId="76F241BF" w:rsidR="00113BFC" w:rsidRPr="00C86E49" w:rsidRDefault="00113BFC" w:rsidP="00113BFC">
            <w:pPr>
              <w:rPr>
                <w:rFonts w:eastAsia="Calibri" w:cs="Times New Roman"/>
              </w:rPr>
            </w:pPr>
            <w:r w:rsidRPr="00C86E49">
              <w:rPr>
                <w:rFonts w:eastAsia="Calibri" w:cs="Times New Roman"/>
              </w:rPr>
              <w:t xml:space="preserve">MSAC </w:t>
            </w:r>
            <w:r w:rsidR="007545DE" w:rsidRPr="00C86E49">
              <w:rPr>
                <w:rFonts w:eastAsia="Calibri" w:cs="Times New Roman"/>
              </w:rPr>
              <w:t>noted that</w:t>
            </w:r>
            <w:r w:rsidRPr="00C86E49">
              <w:rPr>
                <w:rFonts w:eastAsia="Calibri" w:cs="Times New Roman"/>
              </w:rPr>
              <w:t xml:space="preserve"> the </w:t>
            </w:r>
            <w:r w:rsidR="007545DE" w:rsidRPr="00C86E49">
              <w:rPr>
                <w:rFonts w:eastAsia="Calibri" w:cs="Times New Roman"/>
              </w:rPr>
              <w:t xml:space="preserve">clinical </w:t>
            </w:r>
            <w:r w:rsidRPr="00C86E49">
              <w:rPr>
                <w:rFonts w:eastAsia="Calibri" w:cs="Times New Roman"/>
              </w:rPr>
              <w:t xml:space="preserve">evidence </w:t>
            </w:r>
            <w:r w:rsidR="007545DE" w:rsidRPr="00C86E49">
              <w:rPr>
                <w:rFonts w:eastAsia="Calibri" w:cs="Times New Roman"/>
              </w:rPr>
              <w:t xml:space="preserve">for IMPELLA and ECPELLA </w:t>
            </w:r>
            <w:r w:rsidR="00F3343E" w:rsidRPr="00C86E49">
              <w:rPr>
                <w:rFonts w:eastAsia="Calibri" w:cs="Times New Roman"/>
              </w:rPr>
              <w:t xml:space="preserve">was </w:t>
            </w:r>
            <w:r w:rsidRPr="00C86E49">
              <w:rPr>
                <w:rFonts w:eastAsia="Calibri" w:cs="Times New Roman"/>
              </w:rPr>
              <w:t>of</w:t>
            </w:r>
            <w:r w:rsidR="00BB531E" w:rsidRPr="00C86E49">
              <w:rPr>
                <w:rFonts w:eastAsia="Calibri" w:cs="Times New Roman"/>
              </w:rPr>
              <w:t xml:space="preserve"> high risk of bias</w:t>
            </w:r>
            <w:r w:rsidR="00364664" w:rsidRPr="00C86E49">
              <w:rPr>
                <w:rFonts w:eastAsia="Calibri" w:cs="Times New Roman"/>
              </w:rPr>
              <w:t>,</w:t>
            </w:r>
            <w:r w:rsidR="007545DE" w:rsidRPr="00C86E49">
              <w:rPr>
                <w:rFonts w:eastAsia="Calibri" w:cs="Times New Roman"/>
              </w:rPr>
              <w:t xml:space="preserve"> which create</w:t>
            </w:r>
            <w:r w:rsidR="00C148A6" w:rsidRPr="00C86E49">
              <w:rPr>
                <w:rFonts w:eastAsia="Calibri" w:cs="Times New Roman"/>
              </w:rPr>
              <w:t>d</w:t>
            </w:r>
            <w:r w:rsidR="007545DE" w:rsidRPr="00C86E49">
              <w:rPr>
                <w:rFonts w:eastAsia="Calibri" w:cs="Times New Roman"/>
              </w:rPr>
              <w:t xml:space="preserve"> uncertainty in </w:t>
            </w:r>
            <w:r w:rsidR="00DF497A" w:rsidRPr="00C86E49">
              <w:rPr>
                <w:rFonts w:eastAsia="Calibri" w:cs="Times New Roman"/>
              </w:rPr>
              <w:t xml:space="preserve">the </w:t>
            </w:r>
            <w:r w:rsidR="007545DE" w:rsidRPr="00C86E49">
              <w:rPr>
                <w:rFonts w:eastAsia="Calibri" w:cs="Times New Roman"/>
              </w:rPr>
              <w:t>conclusions made on this evidence. However</w:t>
            </w:r>
            <w:r w:rsidRPr="00C86E49">
              <w:rPr>
                <w:rFonts w:eastAsia="Calibri" w:cs="Times New Roman"/>
              </w:rPr>
              <w:t xml:space="preserve">, MSAC </w:t>
            </w:r>
            <w:r w:rsidR="008275A1" w:rsidRPr="00C86E49">
              <w:rPr>
                <w:rFonts w:eastAsia="Calibri" w:cs="Times New Roman"/>
              </w:rPr>
              <w:t>acknowledged</w:t>
            </w:r>
            <w:r w:rsidR="007545DE" w:rsidRPr="00C86E49">
              <w:rPr>
                <w:rFonts w:eastAsia="Calibri" w:cs="Times New Roman"/>
              </w:rPr>
              <w:t xml:space="preserve"> </w:t>
            </w:r>
            <w:r w:rsidRPr="00C86E49">
              <w:rPr>
                <w:rFonts w:eastAsia="Calibri" w:cs="Times New Roman"/>
              </w:rPr>
              <w:t xml:space="preserve">cardiogenic shock is an emergency condition, which makes it difficult to conduct </w:t>
            </w:r>
            <w:r w:rsidR="00504D80" w:rsidRPr="00C86E49">
              <w:rPr>
                <w:rFonts w:eastAsia="Calibri" w:cs="Times New Roman"/>
              </w:rPr>
              <w:t xml:space="preserve">a </w:t>
            </w:r>
            <w:r w:rsidR="00BB531E" w:rsidRPr="00C86E49">
              <w:rPr>
                <w:rFonts w:eastAsia="Calibri" w:cs="Times New Roman"/>
              </w:rPr>
              <w:t>low risk of bias</w:t>
            </w:r>
            <w:r w:rsidRPr="00C86E49">
              <w:rPr>
                <w:rFonts w:eastAsia="Calibri" w:cs="Times New Roman"/>
              </w:rPr>
              <w:t xml:space="preserve"> </w:t>
            </w:r>
            <w:r w:rsidR="00504D80" w:rsidRPr="00C86E49">
              <w:rPr>
                <w:rFonts w:eastAsia="Calibri" w:cs="Times New Roman"/>
              </w:rPr>
              <w:t xml:space="preserve">trial </w:t>
            </w:r>
            <w:r w:rsidR="00494B95" w:rsidRPr="00C86E49">
              <w:rPr>
                <w:rFonts w:eastAsia="Calibri" w:cs="Times New Roman"/>
              </w:rPr>
              <w:t xml:space="preserve">where </w:t>
            </w:r>
            <w:r w:rsidR="00B32309" w:rsidRPr="00C86E49">
              <w:rPr>
                <w:rFonts w:eastAsia="Calibri" w:cs="Times New Roman"/>
              </w:rPr>
              <w:t xml:space="preserve">the safety and effectiveness of intervention is directly compared to </w:t>
            </w:r>
            <w:r w:rsidR="00504D80" w:rsidRPr="00C86E49">
              <w:rPr>
                <w:rFonts w:eastAsia="Calibri" w:cs="Times New Roman"/>
              </w:rPr>
              <w:t xml:space="preserve">the comparator by randomly assigning </w:t>
            </w:r>
            <w:r w:rsidR="00494B95" w:rsidRPr="00C86E49">
              <w:rPr>
                <w:rFonts w:eastAsia="Calibri" w:cs="Times New Roman"/>
              </w:rPr>
              <w:t xml:space="preserve">patients </w:t>
            </w:r>
            <w:r w:rsidR="00334AA4" w:rsidRPr="00C86E49">
              <w:rPr>
                <w:rFonts w:eastAsia="Calibri" w:cs="Times New Roman"/>
              </w:rPr>
              <w:t xml:space="preserve">to </w:t>
            </w:r>
            <w:r w:rsidR="00583AFF" w:rsidRPr="00C86E49">
              <w:rPr>
                <w:rFonts w:eastAsia="Calibri" w:cs="Times New Roman"/>
              </w:rPr>
              <w:t xml:space="preserve">either </w:t>
            </w:r>
            <w:r w:rsidR="00334AA4" w:rsidRPr="00C86E49">
              <w:rPr>
                <w:rFonts w:eastAsia="Calibri" w:cs="Times New Roman"/>
              </w:rPr>
              <w:t>the intervention or comparator arm (</w:t>
            </w:r>
            <w:proofErr w:type="gramStart"/>
            <w:r w:rsidR="00334AA4" w:rsidRPr="00C86E49">
              <w:rPr>
                <w:rFonts w:eastAsia="Calibri" w:cs="Times New Roman"/>
              </w:rPr>
              <w:t>i.e.</w:t>
            </w:r>
            <w:proofErr w:type="gramEnd"/>
            <w:r w:rsidR="00334AA4" w:rsidRPr="00C86E49">
              <w:rPr>
                <w:rFonts w:eastAsia="Calibri" w:cs="Times New Roman"/>
              </w:rPr>
              <w:t xml:space="preserve"> a </w:t>
            </w:r>
            <w:r w:rsidRPr="00C86E49">
              <w:rPr>
                <w:rFonts w:eastAsia="Calibri" w:cs="Times New Roman"/>
              </w:rPr>
              <w:t>randomised controlled trial).</w:t>
            </w:r>
            <w:r w:rsidR="00C54C15" w:rsidRPr="00C86E49">
              <w:t xml:space="preserve"> </w:t>
            </w:r>
            <w:r w:rsidR="00EE29A9" w:rsidRPr="00C86E49">
              <w:t xml:space="preserve">Overall, </w:t>
            </w:r>
            <w:r w:rsidR="00C54C15" w:rsidRPr="00C86E49">
              <w:rPr>
                <w:rFonts w:eastAsia="Calibri" w:cs="Times New Roman"/>
              </w:rPr>
              <w:t xml:space="preserve">MSAC considered that </w:t>
            </w:r>
            <w:r w:rsidR="00443354" w:rsidRPr="00C86E49">
              <w:rPr>
                <w:rFonts w:eastAsia="Calibri" w:cs="Times New Roman"/>
              </w:rPr>
              <w:t xml:space="preserve">in this small population of </w:t>
            </w:r>
            <w:r w:rsidR="00A05CFD" w:rsidRPr="00C86E49">
              <w:rPr>
                <w:rFonts w:eastAsia="Calibri" w:cs="Times New Roman"/>
              </w:rPr>
              <w:t xml:space="preserve">high-risk </w:t>
            </w:r>
            <w:r w:rsidR="00443354" w:rsidRPr="00C86E49">
              <w:rPr>
                <w:rFonts w:eastAsia="Calibri" w:cs="Times New Roman"/>
              </w:rPr>
              <w:t xml:space="preserve">patients, </w:t>
            </w:r>
            <w:r w:rsidR="00C54C15" w:rsidRPr="00C86E49">
              <w:rPr>
                <w:rFonts w:eastAsia="Calibri" w:cs="Times New Roman"/>
              </w:rPr>
              <w:t xml:space="preserve">the </w:t>
            </w:r>
            <w:r w:rsidR="0076506A" w:rsidRPr="00C86E49">
              <w:rPr>
                <w:rFonts w:eastAsia="Calibri" w:cs="Times New Roman"/>
              </w:rPr>
              <w:t xml:space="preserve">low certainty </w:t>
            </w:r>
            <w:r w:rsidR="00C54C15" w:rsidRPr="00C86E49">
              <w:rPr>
                <w:rFonts w:eastAsia="Calibri" w:cs="Times New Roman"/>
              </w:rPr>
              <w:t xml:space="preserve">evidence </w:t>
            </w:r>
            <w:r w:rsidR="00B03687" w:rsidRPr="00C86E49">
              <w:rPr>
                <w:rFonts w:eastAsia="Calibri" w:cs="Times New Roman"/>
              </w:rPr>
              <w:t xml:space="preserve">indicated that IMPELLA </w:t>
            </w:r>
            <w:r w:rsidR="009B700D" w:rsidRPr="00C86E49">
              <w:rPr>
                <w:rFonts w:eastAsia="Calibri" w:cs="Times New Roman"/>
              </w:rPr>
              <w:t>and ECPELLA</w:t>
            </w:r>
            <w:r w:rsidR="000C4EB6" w:rsidRPr="00C86E49">
              <w:rPr>
                <w:rFonts w:eastAsia="Calibri" w:cs="Times New Roman"/>
              </w:rPr>
              <w:t xml:space="preserve"> </w:t>
            </w:r>
            <w:r w:rsidR="00F73713" w:rsidRPr="00C86E49">
              <w:rPr>
                <w:rFonts w:eastAsia="Calibri" w:cs="Times New Roman"/>
              </w:rPr>
              <w:t>provided</w:t>
            </w:r>
            <w:r w:rsidR="00C54C15" w:rsidRPr="00C86E49">
              <w:rPr>
                <w:rFonts w:eastAsia="Calibri" w:cs="Times New Roman"/>
              </w:rPr>
              <w:t xml:space="preserve"> a small but important </w:t>
            </w:r>
            <w:r w:rsidR="00487F1E" w:rsidRPr="00C86E49">
              <w:rPr>
                <w:rFonts w:eastAsia="Calibri" w:cs="Times New Roman"/>
              </w:rPr>
              <w:t>reduction in</w:t>
            </w:r>
            <w:r w:rsidR="00A13C6B" w:rsidRPr="00C86E49">
              <w:rPr>
                <w:rFonts w:eastAsia="Calibri" w:cs="Times New Roman"/>
              </w:rPr>
              <w:t xml:space="preserve"> </w:t>
            </w:r>
            <w:r w:rsidR="00487F1E" w:rsidRPr="00C86E49">
              <w:rPr>
                <w:rFonts w:eastAsia="Calibri" w:cs="Times New Roman"/>
              </w:rPr>
              <w:t>mortality</w:t>
            </w:r>
            <w:r w:rsidR="00D9515B" w:rsidRPr="00C86E49">
              <w:rPr>
                <w:rFonts w:eastAsia="Calibri" w:cs="Times New Roman"/>
              </w:rPr>
              <w:t xml:space="preserve"> </w:t>
            </w:r>
            <w:r w:rsidR="009A1BF6" w:rsidRPr="00C86E49">
              <w:rPr>
                <w:rFonts w:eastAsia="Calibri" w:cs="Times New Roman"/>
              </w:rPr>
              <w:t>in the short-term</w:t>
            </w:r>
            <w:r w:rsidR="0035219C" w:rsidRPr="00C86E49">
              <w:rPr>
                <w:rFonts w:eastAsia="Calibri" w:cs="Times New Roman"/>
              </w:rPr>
              <w:t xml:space="preserve"> </w:t>
            </w:r>
            <w:r w:rsidR="00A13C6B" w:rsidRPr="00C86E49">
              <w:rPr>
                <w:rFonts w:eastAsia="Calibri" w:cs="Times New Roman"/>
              </w:rPr>
              <w:t>(</w:t>
            </w:r>
            <w:proofErr w:type="gramStart"/>
            <w:r w:rsidR="00A13C6B" w:rsidRPr="00C86E49">
              <w:rPr>
                <w:rFonts w:eastAsia="Calibri" w:cs="Times New Roman"/>
              </w:rPr>
              <w:t>i.e.</w:t>
            </w:r>
            <w:proofErr w:type="gramEnd"/>
            <w:r w:rsidR="00A13C6B" w:rsidRPr="00C86E49">
              <w:rPr>
                <w:rFonts w:eastAsia="Calibri" w:cs="Times New Roman"/>
              </w:rPr>
              <w:t xml:space="preserve"> </w:t>
            </w:r>
            <w:r w:rsidR="00487F1E" w:rsidRPr="00C86E49">
              <w:rPr>
                <w:rFonts w:eastAsia="Calibri" w:cs="Times New Roman"/>
              </w:rPr>
              <w:t>30 days</w:t>
            </w:r>
            <w:r w:rsidR="009A1BF6" w:rsidRPr="00C86E49">
              <w:rPr>
                <w:rFonts w:eastAsia="Calibri" w:cs="Times New Roman"/>
              </w:rPr>
              <w:t>)</w:t>
            </w:r>
            <w:r w:rsidR="004640BC" w:rsidRPr="00C86E49">
              <w:rPr>
                <w:rFonts w:eastAsia="Calibri" w:cs="Times New Roman"/>
              </w:rPr>
              <w:t xml:space="preserve"> and likely </w:t>
            </w:r>
            <w:r w:rsidR="00E46156" w:rsidRPr="00C86E49">
              <w:rPr>
                <w:rFonts w:eastAsia="Calibri" w:cs="Times New Roman"/>
              </w:rPr>
              <w:t>result</w:t>
            </w:r>
            <w:r w:rsidR="009A1BF6" w:rsidRPr="00C86E49">
              <w:rPr>
                <w:rFonts w:eastAsia="Calibri" w:cs="Times New Roman"/>
              </w:rPr>
              <w:t>ed</w:t>
            </w:r>
            <w:r w:rsidR="00E46156" w:rsidRPr="00C86E49">
              <w:rPr>
                <w:rFonts w:eastAsia="Calibri" w:cs="Times New Roman"/>
              </w:rPr>
              <w:t xml:space="preserve"> in reduced mortality in the longer-term (</w:t>
            </w:r>
            <w:r w:rsidR="00056F23" w:rsidRPr="00C86E49">
              <w:rPr>
                <w:rFonts w:eastAsia="Calibri" w:cs="Times New Roman"/>
              </w:rPr>
              <w:t>i.e. at 6 and 12 months).</w:t>
            </w:r>
            <w:r w:rsidR="00E41292" w:rsidRPr="00C86E49">
              <w:rPr>
                <w:rFonts w:eastAsia="Calibri" w:cs="Times New Roman"/>
              </w:rPr>
              <w:t xml:space="preserve"> </w:t>
            </w:r>
            <w:r w:rsidR="000A79C2" w:rsidRPr="00C86E49">
              <w:rPr>
                <w:rFonts w:eastAsia="Calibri" w:cs="Times New Roman"/>
              </w:rPr>
              <w:t>MSAC no</w:t>
            </w:r>
            <w:r w:rsidR="00EF7C61" w:rsidRPr="00C86E49">
              <w:rPr>
                <w:rFonts w:eastAsia="Calibri" w:cs="Times New Roman"/>
              </w:rPr>
              <w:t xml:space="preserve">ted uncertainty </w:t>
            </w:r>
            <w:r w:rsidR="00DB2648" w:rsidRPr="00C86E49">
              <w:rPr>
                <w:rFonts w:eastAsia="Calibri" w:cs="Times New Roman"/>
              </w:rPr>
              <w:t>when considering whether IMPELLA and ECPELLA represent</w:t>
            </w:r>
            <w:r w:rsidR="00D0515B" w:rsidRPr="00C86E49">
              <w:rPr>
                <w:rFonts w:eastAsia="Calibri" w:cs="Times New Roman"/>
              </w:rPr>
              <w:t>ed</w:t>
            </w:r>
            <w:r w:rsidR="00DB2648" w:rsidRPr="00C86E49">
              <w:rPr>
                <w:rFonts w:eastAsia="Calibri" w:cs="Times New Roman"/>
              </w:rPr>
              <w:t xml:space="preserve"> good value for money. However, MSAC </w:t>
            </w:r>
            <w:r w:rsidR="00F55259" w:rsidRPr="00C86E49">
              <w:rPr>
                <w:rFonts w:eastAsia="Calibri" w:cs="Times New Roman"/>
              </w:rPr>
              <w:t>considered that the</w:t>
            </w:r>
            <w:r w:rsidR="00E72DC9" w:rsidRPr="00C86E49">
              <w:rPr>
                <w:rFonts w:eastAsia="Calibri" w:cs="Times New Roman"/>
              </w:rPr>
              <w:t xml:space="preserve">re </w:t>
            </w:r>
            <w:r w:rsidR="004F5A20" w:rsidRPr="00C86E49">
              <w:rPr>
                <w:rFonts w:eastAsia="Calibri" w:cs="Times New Roman"/>
              </w:rPr>
              <w:t>i</w:t>
            </w:r>
            <w:r w:rsidR="00E72DC9" w:rsidRPr="00C86E49">
              <w:rPr>
                <w:rFonts w:eastAsia="Calibri" w:cs="Times New Roman"/>
              </w:rPr>
              <w:t>s a clinical need for the intervention for the</w:t>
            </w:r>
            <w:r w:rsidR="00BC48A4" w:rsidRPr="00C86E49">
              <w:rPr>
                <w:rFonts w:eastAsia="Calibri" w:cs="Times New Roman"/>
              </w:rPr>
              <w:t xml:space="preserve"> </w:t>
            </w:r>
            <w:r w:rsidR="005219B5" w:rsidRPr="00C86E49">
              <w:rPr>
                <w:rFonts w:eastAsia="Calibri" w:cs="Times New Roman"/>
              </w:rPr>
              <w:t xml:space="preserve">proposed </w:t>
            </w:r>
            <w:r w:rsidR="00BC48A4" w:rsidRPr="00C86E49">
              <w:rPr>
                <w:rFonts w:eastAsia="Calibri" w:cs="Times New Roman"/>
              </w:rPr>
              <w:t>small number of</w:t>
            </w:r>
            <w:r w:rsidR="00E72DC9" w:rsidRPr="00C86E49">
              <w:rPr>
                <w:rFonts w:eastAsia="Calibri" w:cs="Times New Roman"/>
              </w:rPr>
              <w:t xml:space="preserve"> </w:t>
            </w:r>
            <w:r w:rsidR="007605B9" w:rsidRPr="00C86E49">
              <w:rPr>
                <w:rFonts w:eastAsia="Calibri" w:cs="Times New Roman"/>
              </w:rPr>
              <w:t>high-risk</w:t>
            </w:r>
            <w:r w:rsidR="00E72DC9" w:rsidRPr="00C86E49">
              <w:rPr>
                <w:rFonts w:eastAsia="Calibri" w:cs="Times New Roman"/>
              </w:rPr>
              <w:t xml:space="preserve"> patients who are acutely unwell</w:t>
            </w:r>
            <w:r w:rsidR="003B6953" w:rsidRPr="00C86E49">
              <w:rPr>
                <w:rFonts w:eastAsia="Calibri" w:cs="Times New Roman"/>
              </w:rPr>
              <w:t xml:space="preserve">, and </w:t>
            </w:r>
            <w:r w:rsidR="0091219D" w:rsidRPr="00C86E49">
              <w:rPr>
                <w:rFonts w:eastAsia="Calibri" w:cs="Times New Roman"/>
              </w:rPr>
              <w:t xml:space="preserve">funding the </w:t>
            </w:r>
            <w:r w:rsidR="005E4A56" w:rsidRPr="00C86E49">
              <w:rPr>
                <w:rFonts w:eastAsia="Calibri" w:cs="Times New Roman"/>
              </w:rPr>
              <w:t>intervention</w:t>
            </w:r>
            <w:r w:rsidR="0040006A" w:rsidRPr="00C86E49">
              <w:rPr>
                <w:rFonts w:eastAsia="Calibri" w:cs="Times New Roman"/>
              </w:rPr>
              <w:t xml:space="preserve"> may</w:t>
            </w:r>
            <w:r w:rsidR="005E4A56" w:rsidRPr="00C86E49">
              <w:rPr>
                <w:rFonts w:eastAsia="Calibri" w:cs="Times New Roman"/>
              </w:rPr>
              <w:t xml:space="preserve"> </w:t>
            </w:r>
            <w:r w:rsidR="0040006A" w:rsidRPr="00C86E49">
              <w:t>provide a small cost saving to the MBS and a low financial impact to private health insurers</w:t>
            </w:r>
            <w:r w:rsidR="006E49B3" w:rsidRPr="00C86E49">
              <w:rPr>
                <w:rFonts w:eastAsia="Calibri" w:cs="Times New Roman"/>
              </w:rPr>
              <w:t xml:space="preserve">. </w:t>
            </w:r>
          </w:p>
          <w:p w14:paraId="12C58A31" w14:textId="285CB0AF" w:rsidR="00113BFC" w:rsidRPr="00C86E49" w:rsidRDefault="00113BFC" w:rsidP="00E94DBD">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t xml:space="preserve">MSAC’s advice to the </w:t>
            </w:r>
            <w:proofErr w:type="gramStart"/>
            <w:r w:rsidRPr="00C86E49">
              <w:rPr>
                <w:rFonts w:ascii="Franklin Gothic Medium" w:eastAsia="Times New Roman" w:hAnsi="Franklin Gothic Medium" w:cs="Times New Roman"/>
                <w:sz w:val="24"/>
                <w:szCs w:val="24"/>
              </w:rPr>
              <w:t>Commonwealth Minister</w:t>
            </w:r>
            <w:proofErr w:type="gramEnd"/>
            <w:r w:rsidRPr="00C86E49">
              <w:rPr>
                <w:rFonts w:ascii="Franklin Gothic Medium" w:eastAsia="Times New Roman" w:hAnsi="Franklin Gothic Medium" w:cs="Times New Roman"/>
                <w:sz w:val="24"/>
                <w:szCs w:val="24"/>
              </w:rPr>
              <w:t xml:space="preserve"> for Health</w:t>
            </w:r>
            <w:r w:rsidR="00091A24" w:rsidRPr="00C86E49">
              <w:rPr>
                <w:rFonts w:ascii="Franklin Gothic Medium" w:eastAsia="Times New Roman" w:hAnsi="Franklin Gothic Medium" w:cs="Times New Roman"/>
                <w:sz w:val="24"/>
                <w:szCs w:val="24"/>
              </w:rPr>
              <w:t xml:space="preserve"> and Aged Care</w:t>
            </w:r>
          </w:p>
          <w:p w14:paraId="3F533BF6" w14:textId="7381D1BC" w:rsidR="006C79A9" w:rsidRPr="00C86E49" w:rsidRDefault="00113BFC" w:rsidP="00053198">
            <w:pPr>
              <w:rPr>
                <w:rFonts w:eastAsia="Calibri" w:cs="Times New Roman"/>
              </w:rPr>
            </w:pPr>
            <w:r w:rsidRPr="00C86E49">
              <w:rPr>
                <w:rFonts w:eastAsia="Calibri" w:cs="Times New Roman"/>
              </w:rPr>
              <w:t xml:space="preserve">MSAC supported </w:t>
            </w:r>
            <w:r w:rsidR="00167763" w:rsidRPr="00C86E49">
              <w:rPr>
                <w:rFonts w:eastAsia="Calibri" w:cs="Times New Roman"/>
              </w:rPr>
              <w:t xml:space="preserve">the creation of new MBS items for the insertion, </w:t>
            </w:r>
            <w:proofErr w:type="gramStart"/>
            <w:r w:rsidR="00167763" w:rsidRPr="00C86E49">
              <w:rPr>
                <w:rFonts w:eastAsia="Calibri" w:cs="Times New Roman"/>
              </w:rPr>
              <w:t>removal</w:t>
            </w:r>
            <w:proofErr w:type="gramEnd"/>
            <w:r w:rsidR="00167763" w:rsidRPr="00C86E49">
              <w:rPr>
                <w:rFonts w:eastAsia="Calibri" w:cs="Times New Roman"/>
              </w:rPr>
              <w:t xml:space="preserve"> and management of a</w:t>
            </w:r>
            <w:r w:rsidR="001046C1" w:rsidRPr="00C86E49">
              <w:rPr>
                <w:rFonts w:eastAsia="Calibri" w:cs="Times New Roman"/>
              </w:rPr>
              <w:t>n</w:t>
            </w:r>
            <w:r w:rsidR="00167763" w:rsidRPr="00C86E49">
              <w:rPr>
                <w:rFonts w:eastAsia="Calibri" w:cs="Times New Roman"/>
              </w:rPr>
              <w:t xml:space="preserve"> IMVAD</w:t>
            </w:r>
            <w:r w:rsidR="001046C1" w:rsidRPr="00C86E49">
              <w:rPr>
                <w:rFonts w:eastAsia="Calibri" w:cs="Times New Roman"/>
              </w:rPr>
              <w:t xml:space="preserve"> (IMPELLA or ECPELLA) </w:t>
            </w:r>
            <w:r w:rsidR="00167763" w:rsidRPr="00C86E49">
              <w:rPr>
                <w:rFonts w:eastAsia="Calibri" w:cs="Times New Roman"/>
              </w:rPr>
              <w:t xml:space="preserve">for the management of patients with </w:t>
            </w:r>
            <w:r w:rsidR="00F81BBC" w:rsidRPr="00C86E49">
              <w:rPr>
                <w:rFonts w:eastAsia="Calibri" w:cs="Times New Roman"/>
              </w:rPr>
              <w:t>cardiogenic shock</w:t>
            </w:r>
            <w:r w:rsidR="00167763" w:rsidRPr="00C86E49">
              <w:rPr>
                <w:rFonts w:eastAsia="Calibri" w:cs="Times New Roman"/>
              </w:rPr>
              <w:t xml:space="preserve"> requiring temporary </w:t>
            </w:r>
            <w:r w:rsidR="00F81BBC" w:rsidRPr="00C86E49">
              <w:rPr>
                <w:rFonts w:eastAsia="Calibri" w:cs="Times New Roman"/>
              </w:rPr>
              <w:t xml:space="preserve">mechanical support. </w:t>
            </w:r>
            <w:r w:rsidR="00A609AF" w:rsidRPr="00C86E49">
              <w:rPr>
                <w:rFonts w:eastAsia="Calibri" w:cs="Times New Roman"/>
              </w:rPr>
              <w:t xml:space="preserve">MSAC considered there </w:t>
            </w:r>
            <w:r w:rsidR="004F5A20" w:rsidRPr="00C86E49">
              <w:rPr>
                <w:rFonts w:eastAsia="Calibri" w:cs="Times New Roman"/>
              </w:rPr>
              <w:t>i</w:t>
            </w:r>
            <w:r w:rsidR="00A609AF" w:rsidRPr="00C86E49">
              <w:rPr>
                <w:rFonts w:eastAsia="Calibri" w:cs="Times New Roman"/>
              </w:rPr>
              <w:t>s a high clinical need for the intervention</w:t>
            </w:r>
            <w:r w:rsidR="003B6953" w:rsidRPr="00C86E49">
              <w:rPr>
                <w:rFonts w:eastAsia="Calibri" w:cs="Times New Roman"/>
              </w:rPr>
              <w:t xml:space="preserve"> for the proposed small number of </w:t>
            </w:r>
            <w:r w:rsidR="00124700" w:rsidRPr="00C86E49">
              <w:rPr>
                <w:rFonts w:eastAsia="Calibri" w:cs="Times New Roman"/>
              </w:rPr>
              <w:t>high-risk</w:t>
            </w:r>
            <w:r w:rsidR="003B6953" w:rsidRPr="00C86E49">
              <w:rPr>
                <w:rFonts w:eastAsia="Calibri" w:cs="Times New Roman"/>
              </w:rPr>
              <w:t xml:space="preserve"> patients who are acutely unwell</w:t>
            </w:r>
            <w:r w:rsidR="008779D8" w:rsidRPr="00C86E49">
              <w:rPr>
                <w:rFonts w:eastAsia="Calibri" w:cs="Times New Roman"/>
              </w:rPr>
              <w:t xml:space="preserve">. </w:t>
            </w:r>
            <w:r w:rsidR="001E462C" w:rsidRPr="00C86E49">
              <w:rPr>
                <w:rFonts w:eastAsia="Calibri" w:cs="Times New Roman"/>
              </w:rPr>
              <w:t>MSAC considered</w:t>
            </w:r>
            <w:r w:rsidR="00D0515B" w:rsidRPr="00C86E49">
              <w:rPr>
                <w:rFonts w:eastAsia="Calibri" w:cs="Times New Roman"/>
              </w:rPr>
              <w:t xml:space="preserve"> the evidence</w:t>
            </w:r>
            <w:r w:rsidR="00A609AF" w:rsidRPr="00C86E49">
              <w:rPr>
                <w:rFonts w:eastAsia="Calibri" w:cs="Times New Roman"/>
              </w:rPr>
              <w:t xml:space="preserve"> supported the comparative effectiveness and </w:t>
            </w:r>
            <w:r w:rsidR="00685380" w:rsidRPr="00C86E49">
              <w:rPr>
                <w:rFonts w:eastAsia="Calibri" w:cs="Times New Roman"/>
              </w:rPr>
              <w:t xml:space="preserve">cost-effectiveness of </w:t>
            </w:r>
            <w:r w:rsidR="00A609AF" w:rsidRPr="00C86E49">
              <w:rPr>
                <w:rFonts w:eastAsia="Calibri" w:cs="Times New Roman"/>
              </w:rPr>
              <w:t xml:space="preserve">IMPELLA </w:t>
            </w:r>
            <w:r w:rsidR="008F729B" w:rsidRPr="00C86E49">
              <w:rPr>
                <w:rFonts w:eastAsia="Calibri" w:cs="Times New Roman"/>
              </w:rPr>
              <w:t>and ECPELLA, though there was some uncertainty in these conclusions. Further, MSAC</w:t>
            </w:r>
            <w:r w:rsidR="00A609AF" w:rsidRPr="00C86E49">
              <w:rPr>
                <w:rFonts w:eastAsia="Calibri" w:cs="Times New Roman"/>
              </w:rPr>
              <w:t xml:space="preserve"> noted that the estimated utilisation</w:t>
            </w:r>
            <w:r w:rsidR="007A7CFD" w:rsidRPr="00C86E49">
              <w:rPr>
                <w:rFonts w:eastAsia="Calibri" w:cs="Times New Roman"/>
              </w:rPr>
              <w:t xml:space="preserve"> was very low and would </w:t>
            </w:r>
            <w:r w:rsidR="00791B26" w:rsidRPr="00C86E49">
              <w:rPr>
                <w:rFonts w:eastAsia="Calibri" w:cs="Times New Roman"/>
              </w:rPr>
              <w:t>result in a low total financia</w:t>
            </w:r>
            <w:r w:rsidR="00053198" w:rsidRPr="00C86E49">
              <w:rPr>
                <w:rFonts w:eastAsia="Calibri" w:cs="Times New Roman"/>
              </w:rPr>
              <w:t xml:space="preserve">l impact. </w:t>
            </w:r>
          </w:p>
        </w:tc>
      </w:tr>
    </w:tbl>
    <w:p w14:paraId="4A9A0E7F" w14:textId="77777777" w:rsidR="00932DE9" w:rsidRPr="00C86E49" w:rsidRDefault="00932DE9" w:rsidP="00932DE9">
      <w:pPr>
        <w:pStyle w:val="Heading2"/>
        <w:numPr>
          <w:ilvl w:val="1"/>
          <w:numId w:val="0"/>
        </w:numPr>
      </w:pPr>
      <w:r w:rsidRPr="00C86E49">
        <w:lastRenderedPageBreak/>
        <w:t>3.</w:t>
      </w:r>
      <w:r w:rsidRPr="00C86E49">
        <w:tab/>
        <w:t>Summary of consideration and rationale for MSAC’s advice</w:t>
      </w:r>
    </w:p>
    <w:p w14:paraId="244AFDDF" w14:textId="52951FB1" w:rsidR="00792D8D" w:rsidRPr="00C86E49" w:rsidRDefault="00792D8D" w:rsidP="00792D8D">
      <w:pPr>
        <w:rPr>
          <w:rFonts w:eastAsia="Calibri" w:cs="Times New Roman"/>
        </w:rPr>
      </w:pPr>
      <w:r w:rsidRPr="00C86E49">
        <w:rPr>
          <w:rFonts w:eastAsia="Calibri" w:cs="Times New Roman"/>
        </w:rPr>
        <w:t xml:space="preserve">MSAC noted </w:t>
      </w:r>
      <w:r w:rsidR="00CA487E" w:rsidRPr="00C86E49">
        <w:rPr>
          <w:rFonts w:eastAsia="Calibri" w:cs="Times New Roman"/>
        </w:rPr>
        <w:t>that</w:t>
      </w:r>
      <w:r w:rsidRPr="00C86E49">
        <w:rPr>
          <w:rFonts w:eastAsia="Calibri" w:cs="Times New Roman"/>
        </w:rPr>
        <w:t xml:space="preserve"> this resubmission </w:t>
      </w:r>
      <w:r w:rsidR="006F2520" w:rsidRPr="00C86E49">
        <w:rPr>
          <w:rFonts w:eastAsia="Calibri" w:cs="Times New Roman"/>
        </w:rPr>
        <w:t>sought</w:t>
      </w:r>
      <w:r w:rsidRPr="00C86E49">
        <w:rPr>
          <w:rFonts w:eastAsia="Calibri" w:cs="Times New Roman"/>
        </w:rPr>
        <w:t xml:space="preserve"> MBS listing</w:t>
      </w:r>
      <w:r w:rsidR="00D35989" w:rsidRPr="00C86E49">
        <w:rPr>
          <w:rFonts w:eastAsia="Calibri" w:cs="Times New Roman"/>
        </w:rPr>
        <w:t xml:space="preserve"> for the</w:t>
      </w:r>
      <w:r w:rsidRPr="00C86E49">
        <w:rPr>
          <w:rFonts w:eastAsia="Calibri" w:cs="Times New Roman"/>
        </w:rPr>
        <w:t xml:space="preserve"> transluminal insertion, </w:t>
      </w:r>
      <w:proofErr w:type="gramStart"/>
      <w:r w:rsidRPr="00C86E49">
        <w:rPr>
          <w:rFonts w:eastAsia="Calibri" w:cs="Times New Roman"/>
        </w:rPr>
        <w:t>management</w:t>
      </w:r>
      <w:proofErr w:type="gramEnd"/>
      <w:r w:rsidR="00D22366" w:rsidRPr="00C86E49">
        <w:rPr>
          <w:rFonts w:eastAsia="Calibri" w:cs="Times New Roman"/>
        </w:rPr>
        <w:t xml:space="preserve"> </w:t>
      </w:r>
      <w:r w:rsidRPr="00C86E49">
        <w:rPr>
          <w:rFonts w:eastAsia="Calibri" w:cs="Times New Roman"/>
        </w:rPr>
        <w:t>and removal of an IMVAD</w:t>
      </w:r>
      <w:r w:rsidR="00BF0BB1" w:rsidRPr="00C86E49">
        <w:rPr>
          <w:rFonts w:eastAsia="Calibri" w:cs="Times New Roman"/>
        </w:rPr>
        <w:t xml:space="preserve"> (IMPELLA)</w:t>
      </w:r>
      <w:r w:rsidRPr="00C86E49">
        <w:rPr>
          <w:rFonts w:eastAsia="Calibri" w:cs="Times New Roman"/>
        </w:rPr>
        <w:t xml:space="preserve"> for the management of patients with CS requiring MCS. </w:t>
      </w:r>
    </w:p>
    <w:p w14:paraId="6BFA2CA6" w14:textId="20C94364" w:rsidR="00792D8D" w:rsidRPr="00C86E49" w:rsidRDefault="00792D8D" w:rsidP="00792D8D">
      <w:pPr>
        <w:rPr>
          <w:rFonts w:eastAsia="Calibri" w:cs="Times New Roman"/>
        </w:rPr>
      </w:pPr>
      <w:r w:rsidRPr="00C86E49">
        <w:rPr>
          <w:rFonts w:eastAsia="Calibri" w:cs="Times New Roman"/>
        </w:rPr>
        <w:t>MSAC recalled that it had previously considered</w:t>
      </w:r>
      <w:r w:rsidR="00BD3D09" w:rsidRPr="00C86E49">
        <w:rPr>
          <w:rFonts w:eastAsia="Calibri" w:cs="Times New Roman"/>
        </w:rPr>
        <w:t xml:space="preserve"> and not supported</w:t>
      </w:r>
      <w:r w:rsidRPr="00C86E49">
        <w:rPr>
          <w:rFonts w:eastAsia="Calibri" w:cs="Times New Roman"/>
        </w:rPr>
        <w:t xml:space="preserve"> </w:t>
      </w:r>
      <w:r w:rsidR="00F34E11" w:rsidRPr="00C86E49">
        <w:rPr>
          <w:rFonts w:eastAsia="Calibri" w:cs="Times New Roman"/>
        </w:rPr>
        <w:t>public funding</w:t>
      </w:r>
      <w:r w:rsidR="00DE021B" w:rsidRPr="00C86E49">
        <w:rPr>
          <w:rFonts w:eastAsia="Calibri" w:cs="Times New Roman"/>
        </w:rPr>
        <w:t xml:space="preserve"> for </w:t>
      </w:r>
      <w:r w:rsidR="00057E42" w:rsidRPr="00C86E49">
        <w:rPr>
          <w:rFonts w:eastAsia="Calibri" w:cs="Times New Roman"/>
        </w:rPr>
        <w:t xml:space="preserve">IMVAD </w:t>
      </w:r>
      <w:r w:rsidR="00522CDC" w:rsidRPr="00C86E49">
        <w:rPr>
          <w:rFonts w:eastAsia="Calibri" w:cs="Times New Roman"/>
        </w:rPr>
        <w:t>(</w:t>
      </w:r>
      <w:r w:rsidRPr="00C86E49">
        <w:rPr>
          <w:rFonts w:eastAsia="Calibri" w:cs="Times New Roman"/>
        </w:rPr>
        <w:t>application 1523</w:t>
      </w:r>
      <w:r w:rsidR="00522CDC" w:rsidRPr="00C86E49">
        <w:rPr>
          <w:rFonts w:eastAsia="Calibri" w:cs="Times New Roman"/>
        </w:rPr>
        <w:t>)</w:t>
      </w:r>
      <w:r w:rsidRPr="00C86E49">
        <w:rPr>
          <w:rFonts w:eastAsia="Calibri" w:cs="Times New Roman"/>
        </w:rPr>
        <w:t xml:space="preserve"> for any of the three populations</w:t>
      </w:r>
      <w:r w:rsidR="00700427" w:rsidRPr="00C86E49">
        <w:rPr>
          <w:rFonts w:eastAsia="Calibri" w:cs="Times New Roman"/>
        </w:rPr>
        <w:t xml:space="preserve"> proposed in 2019</w:t>
      </w:r>
      <w:r w:rsidRPr="00C86E49">
        <w:rPr>
          <w:rFonts w:eastAsia="Calibri" w:cs="Times New Roman"/>
        </w:rPr>
        <w:t xml:space="preserve">. </w:t>
      </w:r>
      <w:r w:rsidR="00700427" w:rsidRPr="00C86E49">
        <w:rPr>
          <w:rFonts w:eastAsia="Calibri" w:cs="Times New Roman"/>
        </w:rPr>
        <w:t>At that time,</w:t>
      </w:r>
      <w:r w:rsidRPr="00C86E49">
        <w:rPr>
          <w:rFonts w:eastAsia="Calibri" w:cs="Times New Roman"/>
        </w:rPr>
        <w:t xml:space="preserve"> MSAC</w:t>
      </w:r>
      <w:r w:rsidR="00BF6123" w:rsidRPr="00C86E49">
        <w:rPr>
          <w:rFonts w:eastAsia="Calibri" w:cs="Times New Roman"/>
        </w:rPr>
        <w:t xml:space="preserve"> </w:t>
      </w:r>
      <w:r w:rsidRPr="00C86E49">
        <w:rPr>
          <w:rFonts w:eastAsia="Calibri" w:cs="Times New Roman"/>
        </w:rPr>
        <w:t xml:space="preserve">considered that: </w:t>
      </w:r>
    </w:p>
    <w:p w14:paraId="778FD7EF" w14:textId="77777777" w:rsidR="00792D8D" w:rsidRPr="00C86E49" w:rsidRDefault="00792D8D" w:rsidP="00FA4CEF">
      <w:pPr>
        <w:numPr>
          <w:ilvl w:val="0"/>
          <w:numId w:val="24"/>
        </w:numPr>
        <w:spacing w:before="0" w:after="0" w:line="240" w:lineRule="auto"/>
        <w:contextualSpacing/>
        <w:rPr>
          <w:rFonts w:eastAsia="Times New Roman" w:cs="Times New Roman"/>
          <w:lang w:eastAsia="en-AU"/>
        </w:rPr>
      </w:pPr>
      <w:r w:rsidRPr="00C86E49">
        <w:rPr>
          <w:rFonts w:eastAsia="Times New Roman" w:cs="Times New Roman"/>
          <w:lang w:eastAsia="en-AU"/>
        </w:rPr>
        <w:lastRenderedPageBreak/>
        <w:t xml:space="preserve">the evidence for comparative safety and effectiveness was too uncertain relative to standard care in all three populations, which had flow-on effects to the economic </w:t>
      </w:r>
      <w:proofErr w:type="gramStart"/>
      <w:r w:rsidRPr="00C86E49">
        <w:rPr>
          <w:rFonts w:eastAsia="Times New Roman" w:cs="Times New Roman"/>
          <w:lang w:eastAsia="en-AU"/>
        </w:rPr>
        <w:t>analyses</w:t>
      </w:r>
      <w:proofErr w:type="gramEnd"/>
    </w:p>
    <w:p w14:paraId="645BE0EF" w14:textId="77777777" w:rsidR="00792D8D" w:rsidRPr="00C86E49" w:rsidRDefault="00792D8D" w:rsidP="00FA4CEF">
      <w:pPr>
        <w:numPr>
          <w:ilvl w:val="0"/>
          <w:numId w:val="24"/>
        </w:numPr>
        <w:spacing w:before="0" w:after="0" w:line="240" w:lineRule="auto"/>
        <w:contextualSpacing/>
        <w:rPr>
          <w:rFonts w:eastAsia="Times New Roman" w:cs="Times New Roman"/>
          <w:lang w:eastAsia="en-AU"/>
        </w:rPr>
      </w:pPr>
      <w:r w:rsidRPr="00C86E49">
        <w:rPr>
          <w:rFonts w:eastAsia="Times New Roman" w:cs="Times New Roman"/>
          <w:lang w:eastAsia="en-AU"/>
        </w:rPr>
        <w:t xml:space="preserve">the financial estimates were also highly uncertain and likely underestimated for all three </w:t>
      </w:r>
      <w:proofErr w:type="gramStart"/>
      <w:r w:rsidRPr="00C86E49">
        <w:rPr>
          <w:rFonts w:eastAsia="Times New Roman" w:cs="Times New Roman"/>
          <w:lang w:eastAsia="en-AU"/>
        </w:rPr>
        <w:t>populations</w:t>
      </w:r>
      <w:proofErr w:type="gramEnd"/>
    </w:p>
    <w:p w14:paraId="33D12D6E" w14:textId="77777777" w:rsidR="00792D8D" w:rsidRPr="00C86E49" w:rsidRDefault="00792D8D" w:rsidP="00FA4CEF">
      <w:pPr>
        <w:numPr>
          <w:ilvl w:val="0"/>
          <w:numId w:val="24"/>
        </w:numPr>
        <w:spacing w:before="0" w:after="0" w:line="240" w:lineRule="auto"/>
        <w:contextualSpacing/>
        <w:rPr>
          <w:rFonts w:eastAsia="Times New Roman" w:cs="Times New Roman"/>
          <w:lang w:eastAsia="en-AU"/>
        </w:rPr>
      </w:pPr>
      <w:r w:rsidRPr="00C86E49">
        <w:rPr>
          <w:rFonts w:eastAsia="Times New Roman" w:cs="Times New Roman"/>
          <w:lang w:eastAsia="en-AU"/>
        </w:rPr>
        <w:t xml:space="preserve">additional data from randomised controlled trials (RCTs) would be required to give greater certainty regarding comparative safety, </w:t>
      </w:r>
      <w:proofErr w:type="gramStart"/>
      <w:r w:rsidRPr="00C86E49">
        <w:rPr>
          <w:rFonts w:eastAsia="Times New Roman" w:cs="Times New Roman"/>
          <w:lang w:eastAsia="en-AU"/>
        </w:rPr>
        <w:t>effectiveness</w:t>
      </w:r>
      <w:proofErr w:type="gramEnd"/>
      <w:r w:rsidRPr="00C86E49">
        <w:rPr>
          <w:rFonts w:eastAsia="Times New Roman" w:cs="Times New Roman"/>
          <w:lang w:eastAsia="en-AU"/>
        </w:rPr>
        <w:t xml:space="preserve"> and cost-effectiveness.</w:t>
      </w:r>
    </w:p>
    <w:p w14:paraId="004B5B9F" w14:textId="6A26F601" w:rsidR="00792D8D" w:rsidRPr="00C86E49" w:rsidRDefault="00792D8D" w:rsidP="00792D8D">
      <w:pPr>
        <w:rPr>
          <w:rFonts w:eastAsia="Calibri" w:cs="Times New Roman"/>
        </w:rPr>
      </w:pPr>
      <w:r w:rsidRPr="00C86E49">
        <w:rPr>
          <w:rFonts w:eastAsia="Calibri" w:cs="Times New Roman"/>
        </w:rPr>
        <w:t xml:space="preserve">MSAC noted </w:t>
      </w:r>
      <w:r w:rsidR="00F5082F" w:rsidRPr="00C86E49">
        <w:rPr>
          <w:rFonts w:eastAsia="Calibri" w:cs="Times New Roman"/>
        </w:rPr>
        <w:t xml:space="preserve">this resubmission had </w:t>
      </w:r>
      <w:r w:rsidRPr="00C86E49">
        <w:rPr>
          <w:rFonts w:eastAsia="Calibri" w:cs="Times New Roman"/>
        </w:rPr>
        <w:t>narrowe</w:t>
      </w:r>
      <w:r w:rsidR="00914D56" w:rsidRPr="00C86E49">
        <w:rPr>
          <w:rFonts w:eastAsia="Calibri" w:cs="Times New Roman"/>
        </w:rPr>
        <w:t>d the proposed</w:t>
      </w:r>
      <w:r w:rsidRPr="00C86E49">
        <w:rPr>
          <w:rFonts w:eastAsia="Calibri" w:cs="Times New Roman"/>
        </w:rPr>
        <w:t xml:space="preserve"> population </w:t>
      </w:r>
      <w:r w:rsidR="00914D56" w:rsidRPr="00C86E49">
        <w:rPr>
          <w:rFonts w:eastAsia="Calibri" w:cs="Times New Roman"/>
        </w:rPr>
        <w:t>to</w:t>
      </w:r>
      <w:r w:rsidRPr="00C86E49">
        <w:rPr>
          <w:rFonts w:eastAsia="Calibri" w:cs="Times New Roman"/>
        </w:rPr>
        <w:t xml:space="preserve"> patients with CS with no evidence of significant anoxic neurological injury</w:t>
      </w:r>
      <w:r w:rsidR="00B06637" w:rsidRPr="00C86E49">
        <w:rPr>
          <w:rFonts w:eastAsia="Calibri" w:cs="Times New Roman"/>
        </w:rPr>
        <w:t xml:space="preserve"> </w:t>
      </w:r>
      <w:r w:rsidR="006168DD" w:rsidRPr="00C86E49">
        <w:rPr>
          <w:rFonts w:eastAsia="Calibri" w:cs="Times New Roman"/>
        </w:rPr>
        <w:t xml:space="preserve">which included </w:t>
      </w:r>
      <w:r w:rsidR="00B06637" w:rsidRPr="00C86E49">
        <w:rPr>
          <w:rFonts w:eastAsia="Calibri" w:cs="Times New Roman"/>
        </w:rPr>
        <w:t xml:space="preserve">a subpopulation </w:t>
      </w:r>
      <w:r w:rsidR="006A2EDF" w:rsidRPr="00C86E49">
        <w:rPr>
          <w:rFonts w:eastAsia="Calibri" w:cs="Times New Roman"/>
        </w:rPr>
        <w:t xml:space="preserve">who are on </w:t>
      </w:r>
      <w:r w:rsidR="00F85186" w:rsidRPr="00C86E49">
        <w:rPr>
          <w:rFonts w:eastAsia="Calibri" w:cs="Times New Roman"/>
        </w:rPr>
        <w:t>veno-arterial extracorporeal membrane oxygenation (VA</w:t>
      </w:r>
      <w:r w:rsidR="63B2AC6D" w:rsidRPr="00C86E49">
        <w:rPr>
          <w:rFonts w:eastAsia="Calibri" w:cs="Times New Roman"/>
        </w:rPr>
        <w:t>-</w:t>
      </w:r>
      <w:r w:rsidR="00F85186" w:rsidRPr="00C86E49">
        <w:rPr>
          <w:rFonts w:eastAsia="Calibri" w:cs="Times New Roman"/>
        </w:rPr>
        <w:t>ECMO) and who require unloading of the left ventricle</w:t>
      </w:r>
      <w:r w:rsidR="07C9C17E" w:rsidRPr="00C86E49">
        <w:rPr>
          <w:rFonts w:eastAsia="Calibri" w:cs="Times New Roman"/>
        </w:rPr>
        <w:t xml:space="preserve"> (LV)</w:t>
      </w:r>
      <w:r w:rsidR="00F85186" w:rsidRPr="00C86E49">
        <w:rPr>
          <w:rFonts w:eastAsia="Calibri" w:cs="Times New Roman"/>
        </w:rPr>
        <w:t>. MSAC noted that</w:t>
      </w:r>
      <w:r w:rsidR="00DA5EF9" w:rsidRPr="00C86E49">
        <w:rPr>
          <w:rFonts w:eastAsia="Calibri" w:cs="Times New Roman"/>
        </w:rPr>
        <w:t xml:space="preserve"> for </w:t>
      </w:r>
      <w:r w:rsidRPr="00C86E49">
        <w:rPr>
          <w:rFonts w:eastAsia="Calibri" w:cs="Times New Roman"/>
        </w:rPr>
        <w:t xml:space="preserve">patients with CS with no evidence of significant anoxic neurological injury, </w:t>
      </w:r>
      <w:r w:rsidR="00DA5EF9" w:rsidRPr="00C86E49">
        <w:rPr>
          <w:rFonts w:eastAsia="Calibri" w:cs="Times New Roman"/>
        </w:rPr>
        <w:t xml:space="preserve">the </w:t>
      </w:r>
      <w:r w:rsidR="003C65BD" w:rsidRPr="00C86E49">
        <w:rPr>
          <w:rFonts w:eastAsia="Calibri" w:cs="Times New Roman"/>
        </w:rPr>
        <w:t>resubmission compared</w:t>
      </w:r>
      <w:r w:rsidR="00EF14BB" w:rsidRPr="00C86E49">
        <w:rPr>
          <w:rFonts w:eastAsia="Calibri" w:cs="Times New Roman"/>
        </w:rPr>
        <w:t xml:space="preserve"> the use of</w:t>
      </w:r>
      <w:r w:rsidR="003C65BD" w:rsidRPr="00C86E49">
        <w:rPr>
          <w:rFonts w:eastAsia="Calibri" w:cs="Times New Roman"/>
        </w:rPr>
        <w:t xml:space="preserve"> </w:t>
      </w:r>
      <w:r w:rsidR="00DA5EF9" w:rsidRPr="00C86E49">
        <w:rPr>
          <w:rFonts w:eastAsia="Calibri" w:cs="Times New Roman"/>
        </w:rPr>
        <w:t>IMPELLA</w:t>
      </w:r>
      <w:r w:rsidR="003C65BD" w:rsidRPr="00C86E49">
        <w:rPr>
          <w:rFonts w:eastAsia="Calibri" w:cs="Times New Roman"/>
        </w:rPr>
        <w:t xml:space="preserve"> against</w:t>
      </w:r>
      <w:r w:rsidR="00DA5EF9" w:rsidRPr="00C86E49">
        <w:rPr>
          <w:rFonts w:eastAsia="Calibri" w:cs="Times New Roman"/>
        </w:rPr>
        <w:t xml:space="preserve"> VA-ECMO.</w:t>
      </w:r>
      <w:r w:rsidR="00F85186" w:rsidRPr="00C86E49">
        <w:rPr>
          <w:rFonts w:eastAsia="Calibri" w:cs="Times New Roman"/>
        </w:rPr>
        <w:t xml:space="preserve"> </w:t>
      </w:r>
      <w:r w:rsidR="00C33387" w:rsidRPr="00C86E49">
        <w:rPr>
          <w:rFonts w:eastAsia="Calibri" w:cs="Times New Roman"/>
        </w:rPr>
        <w:t xml:space="preserve">For patients </w:t>
      </w:r>
      <w:r w:rsidR="001D34EB" w:rsidRPr="00C86E49">
        <w:rPr>
          <w:rFonts w:eastAsia="Calibri" w:cs="Times New Roman"/>
        </w:rPr>
        <w:t xml:space="preserve">with CS </w:t>
      </w:r>
      <w:r w:rsidRPr="00C86E49">
        <w:rPr>
          <w:rFonts w:eastAsia="Calibri" w:cs="Times New Roman"/>
        </w:rPr>
        <w:t>who are on VA</w:t>
      </w:r>
      <w:r w:rsidR="2C4779DD" w:rsidRPr="00C86E49">
        <w:rPr>
          <w:rFonts w:eastAsia="Calibri" w:cs="Times New Roman"/>
        </w:rPr>
        <w:t>-</w:t>
      </w:r>
      <w:r w:rsidRPr="00C86E49">
        <w:rPr>
          <w:rFonts w:eastAsia="Calibri" w:cs="Times New Roman"/>
        </w:rPr>
        <w:t xml:space="preserve">ECMO and who require </w:t>
      </w:r>
      <w:r w:rsidR="001D34EB" w:rsidRPr="00C86E49">
        <w:rPr>
          <w:rFonts w:eastAsia="Calibri" w:cs="Times New Roman"/>
        </w:rPr>
        <w:t xml:space="preserve">LV </w:t>
      </w:r>
      <w:r w:rsidRPr="00C86E49">
        <w:rPr>
          <w:rFonts w:eastAsia="Calibri" w:cs="Times New Roman"/>
        </w:rPr>
        <w:t>unloading</w:t>
      </w:r>
      <w:r w:rsidR="003C65BD" w:rsidRPr="00C86E49">
        <w:rPr>
          <w:rFonts w:eastAsia="Calibri" w:cs="Times New Roman"/>
        </w:rPr>
        <w:t xml:space="preserve">, the resubmission compared </w:t>
      </w:r>
      <w:r w:rsidR="00A55366" w:rsidRPr="00C86E49">
        <w:rPr>
          <w:rFonts w:eastAsia="Calibri" w:cs="Times New Roman"/>
        </w:rPr>
        <w:t xml:space="preserve">the use of </w:t>
      </w:r>
      <w:r w:rsidR="006720A1" w:rsidRPr="00C86E49">
        <w:rPr>
          <w:rFonts w:eastAsia="Calibri" w:cs="Times New Roman"/>
        </w:rPr>
        <w:t>IMPELLA in conjunction with VA-ECMO (</w:t>
      </w:r>
      <w:r w:rsidR="00AC4BBE" w:rsidRPr="00C86E49">
        <w:rPr>
          <w:rFonts w:eastAsia="Calibri" w:cs="Times New Roman"/>
        </w:rPr>
        <w:t xml:space="preserve">referred to as </w:t>
      </w:r>
      <w:r w:rsidR="006720A1" w:rsidRPr="00C86E49">
        <w:rPr>
          <w:rFonts w:eastAsia="Calibri" w:cs="Times New Roman"/>
        </w:rPr>
        <w:t xml:space="preserve">ECPELLA) against VA-ECMO </w:t>
      </w:r>
      <w:r w:rsidR="006168DD" w:rsidRPr="00C86E49">
        <w:t>± surgical venting (SV).</w:t>
      </w:r>
    </w:p>
    <w:p w14:paraId="31457B4F" w14:textId="58FE71F9" w:rsidR="00BE75DC" w:rsidRPr="00C86E49" w:rsidRDefault="00BE75DC" w:rsidP="00BE75DC">
      <w:pPr>
        <w:rPr>
          <w:rFonts w:eastAsia="Calibri" w:cs="Times New Roman"/>
        </w:rPr>
      </w:pPr>
      <w:r w:rsidRPr="00C86E49">
        <w:rPr>
          <w:rFonts w:eastAsia="Calibri" w:cs="Times New Roman"/>
        </w:rPr>
        <w:t xml:space="preserve">MSAC noted the consultation feedback received, including the letters of support from the Australian and New Zealand Intensive Care Society (ANZICS), Cardiac Society of Australia and New Zealand (CSANZ) and Australian and New Zealand Society of Cardiac and Thoracic Surgeons (ANZSCTS). MSAC noted these societies represent </w:t>
      </w:r>
      <w:r w:rsidR="00A10F08" w:rsidRPr="00C86E49">
        <w:rPr>
          <w:rFonts w:eastAsia="Calibri" w:cs="Times New Roman"/>
        </w:rPr>
        <w:t xml:space="preserve">the </w:t>
      </w:r>
      <w:r w:rsidRPr="00C86E49">
        <w:rPr>
          <w:rFonts w:eastAsia="Calibri" w:cs="Times New Roman"/>
        </w:rPr>
        <w:t>physicians who</w:t>
      </w:r>
      <w:r w:rsidR="00195723" w:rsidRPr="00C86E49">
        <w:rPr>
          <w:rFonts w:eastAsia="Calibri" w:cs="Times New Roman"/>
        </w:rPr>
        <w:t xml:space="preserve"> are involved in the multi-disciplinary team </w:t>
      </w:r>
      <w:r w:rsidRPr="00C86E49">
        <w:rPr>
          <w:rFonts w:eastAsia="Calibri" w:cs="Times New Roman"/>
        </w:rPr>
        <w:t>decision to use MCS devices, their implantation, and the ongoing management of CS patients. These professional societies all supported listing of IMPELLA and/or ECPELLA on the MBS.</w:t>
      </w:r>
    </w:p>
    <w:p w14:paraId="66069F14" w14:textId="221F0BFF" w:rsidR="00792D8D" w:rsidRPr="00C86E49" w:rsidRDefault="00346DE7" w:rsidP="00A73EA1">
      <w:pPr>
        <w:rPr>
          <w:rFonts w:eastAsia="Calibri" w:cs="Times New Roman"/>
        </w:rPr>
      </w:pPr>
      <w:r w:rsidRPr="00C86E49">
        <w:rPr>
          <w:rFonts w:eastAsia="Calibri" w:cs="Times New Roman"/>
        </w:rPr>
        <w:t xml:space="preserve">MSAC noted that </w:t>
      </w:r>
      <w:r w:rsidR="00AD7CDD" w:rsidRPr="00C86E49">
        <w:rPr>
          <w:rFonts w:eastAsia="Calibri" w:cs="Times New Roman"/>
        </w:rPr>
        <w:t xml:space="preserve">the first line of treatment for patients with </w:t>
      </w:r>
      <w:r w:rsidR="00F8187F" w:rsidRPr="00C86E49">
        <w:rPr>
          <w:rFonts w:eastAsia="Calibri" w:cs="Times New Roman"/>
        </w:rPr>
        <w:t>CS is pharma</w:t>
      </w:r>
      <w:r w:rsidR="00FE39AE" w:rsidRPr="00C86E49">
        <w:rPr>
          <w:rFonts w:eastAsia="Calibri" w:cs="Times New Roman"/>
        </w:rPr>
        <w:t xml:space="preserve">cotherapy and where a patient does not </w:t>
      </w:r>
      <w:r w:rsidR="001717AA" w:rsidRPr="00C86E49">
        <w:rPr>
          <w:rFonts w:eastAsia="Calibri" w:cs="Times New Roman"/>
        </w:rPr>
        <w:t>stabilise,</w:t>
      </w:r>
      <w:r w:rsidR="00FE39AE" w:rsidRPr="00C86E49">
        <w:rPr>
          <w:rFonts w:eastAsia="Calibri" w:cs="Times New Roman"/>
        </w:rPr>
        <w:t xml:space="preserve"> they are initiated on </w:t>
      </w:r>
      <w:r w:rsidR="005B1723" w:rsidRPr="00C86E49">
        <w:rPr>
          <w:rFonts w:eastAsia="Calibri" w:cs="Times New Roman"/>
        </w:rPr>
        <w:t>temporary MCS. Current</w:t>
      </w:r>
      <w:r w:rsidR="001717AA" w:rsidRPr="00C86E49">
        <w:rPr>
          <w:rFonts w:eastAsia="Calibri" w:cs="Times New Roman"/>
        </w:rPr>
        <w:t>ly,</w:t>
      </w:r>
      <w:r w:rsidR="005B1723" w:rsidRPr="00C86E49">
        <w:rPr>
          <w:rFonts w:eastAsia="Calibri" w:cs="Times New Roman"/>
        </w:rPr>
        <w:t xml:space="preserve"> patients with CS who require temporary MCS are initiated on </w:t>
      </w:r>
      <w:r w:rsidR="00792D8D" w:rsidRPr="00C86E49">
        <w:rPr>
          <w:rFonts w:eastAsia="Calibri" w:cs="Times New Roman"/>
        </w:rPr>
        <w:t xml:space="preserve">VA-ECMO. </w:t>
      </w:r>
      <w:r w:rsidR="00D4674C" w:rsidRPr="00C86E49">
        <w:rPr>
          <w:rFonts w:eastAsia="Calibri" w:cs="Times New Roman"/>
        </w:rPr>
        <w:t xml:space="preserve">Despite the availability of VA-ECMO, </w:t>
      </w:r>
      <w:r w:rsidR="00A22EE4" w:rsidRPr="00C86E49">
        <w:rPr>
          <w:rFonts w:eastAsia="Calibri" w:cs="Times New Roman"/>
        </w:rPr>
        <w:t xml:space="preserve">MSAC </w:t>
      </w:r>
      <w:r w:rsidR="00BE75DC" w:rsidRPr="00C86E49">
        <w:rPr>
          <w:rFonts w:eastAsia="Calibri" w:cs="Times New Roman"/>
        </w:rPr>
        <w:t xml:space="preserve">agreed with consultation </w:t>
      </w:r>
      <w:r w:rsidR="006A34B3" w:rsidRPr="00C86E49">
        <w:rPr>
          <w:rFonts w:eastAsia="Calibri" w:cs="Times New Roman"/>
        </w:rPr>
        <w:t xml:space="preserve">feedback that </w:t>
      </w:r>
      <w:r w:rsidR="00A22EE4" w:rsidRPr="00C86E49">
        <w:rPr>
          <w:rFonts w:eastAsia="Calibri" w:cs="Times New Roman"/>
        </w:rPr>
        <w:t xml:space="preserve">there </w:t>
      </w:r>
      <w:r w:rsidR="00181187" w:rsidRPr="00C86E49">
        <w:rPr>
          <w:rFonts w:eastAsia="Calibri" w:cs="Times New Roman"/>
        </w:rPr>
        <w:t>remained</w:t>
      </w:r>
      <w:r w:rsidR="00A22EE4" w:rsidRPr="00C86E49">
        <w:rPr>
          <w:rFonts w:eastAsia="Calibri" w:cs="Times New Roman"/>
        </w:rPr>
        <w:t xml:space="preserve"> a high clinical need for </w:t>
      </w:r>
      <w:r w:rsidR="00D01E4A" w:rsidRPr="00C86E49">
        <w:rPr>
          <w:rFonts w:eastAsia="Calibri" w:cs="Times New Roman"/>
        </w:rPr>
        <w:t xml:space="preserve">clinicians to </w:t>
      </w:r>
      <w:r w:rsidR="00A55861" w:rsidRPr="00C86E49">
        <w:rPr>
          <w:rFonts w:eastAsia="Calibri" w:cs="Times New Roman"/>
        </w:rPr>
        <w:t xml:space="preserve">be able to </w:t>
      </w:r>
      <w:r w:rsidR="00941522" w:rsidRPr="00C86E49">
        <w:rPr>
          <w:rFonts w:eastAsia="Calibri" w:cs="Times New Roman"/>
        </w:rPr>
        <w:t>employ</w:t>
      </w:r>
      <w:r w:rsidR="00B52AE4" w:rsidRPr="00C86E49">
        <w:rPr>
          <w:rFonts w:eastAsia="Calibri" w:cs="Times New Roman"/>
        </w:rPr>
        <w:t xml:space="preserve"> </w:t>
      </w:r>
      <w:r w:rsidR="00A55861" w:rsidRPr="00C86E49">
        <w:rPr>
          <w:rFonts w:eastAsia="Calibri" w:cs="Times New Roman"/>
        </w:rPr>
        <w:t xml:space="preserve">an </w:t>
      </w:r>
      <w:r w:rsidR="00B52AE4" w:rsidRPr="00C86E49">
        <w:rPr>
          <w:rFonts w:eastAsia="Calibri" w:cs="Times New Roman"/>
        </w:rPr>
        <w:t>alternative</w:t>
      </w:r>
      <w:r w:rsidR="00A22EE4" w:rsidRPr="00C86E49">
        <w:rPr>
          <w:rFonts w:eastAsia="Calibri" w:cs="Times New Roman"/>
        </w:rPr>
        <w:t xml:space="preserve"> intervention</w:t>
      </w:r>
      <w:r w:rsidR="00B52AE4" w:rsidRPr="00C86E49">
        <w:rPr>
          <w:rFonts w:eastAsia="Calibri" w:cs="Times New Roman"/>
        </w:rPr>
        <w:t>, such as the IMPELLA</w:t>
      </w:r>
      <w:r w:rsidR="00552AD8" w:rsidRPr="00C86E49">
        <w:rPr>
          <w:rFonts w:eastAsia="Calibri" w:cs="Times New Roman"/>
        </w:rPr>
        <w:t>,</w:t>
      </w:r>
      <w:r w:rsidR="00A22EE4" w:rsidRPr="00C86E49">
        <w:rPr>
          <w:rFonts w:eastAsia="Calibri" w:cs="Times New Roman"/>
        </w:rPr>
        <w:t xml:space="preserve"> in th</w:t>
      </w:r>
      <w:r w:rsidR="00D4472C" w:rsidRPr="00C86E49">
        <w:rPr>
          <w:rFonts w:eastAsia="Calibri" w:cs="Times New Roman"/>
        </w:rPr>
        <w:t>is</w:t>
      </w:r>
      <w:r w:rsidR="00A22EE4" w:rsidRPr="00C86E49">
        <w:rPr>
          <w:rFonts w:eastAsia="Calibri" w:cs="Times New Roman"/>
        </w:rPr>
        <w:t xml:space="preserve"> small, narrowly </w:t>
      </w:r>
      <w:proofErr w:type="gramStart"/>
      <w:r w:rsidR="00A22EE4" w:rsidRPr="00C86E49">
        <w:rPr>
          <w:rFonts w:eastAsia="Calibri" w:cs="Times New Roman"/>
        </w:rPr>
        <w:t>defined</w:t>
      </w:r>
      <w:proofErr w:type="gramEnd"/>
      <w:r w:rsidR="00A22EE4" w:rsidRPr="00C86E49">
        <w:rPr>
          <w:rFonts w:eastAsia="Calibri" w:cs="Times New Roman"/>
        </w:rPr>
        <w:t xml:space="preserve"> and high-risk population</w:t>
      </w:r>
      <w:r w:rsidR="00DC5B75" w:rsidRPr="00C86E49">
        <w:rPr>
          <w:rFonts w:eastAsia="Calibri" w:cs="Times New Roman"/>
        </w:rPr>
        <w:t xml:space="preserve"> who are </w:t>
      </w:r>
      <w:r w:rsidR="00040137" w:rsidRPr="00C86E49">
        <w:rPr>
          <w:rFonts w:eastAsia="Calibri" w:cs="Times New Roman"/>
        </w:rPr>
        <w:t>critically</w:t>
      </w:r>
      <w:r w:rsidR="00DC5B75" w:rsidRPr="00C86E49">
        <w:rPr>
          <w:rFonts w:eastAsia="Calibri" w:cs="Times New Roman"/>
        </w:rPr>
        <w:t xml:space="preserve"> unwell with low cardiac output</w:t>
      </w:r>
      <w:r w:rsidR="00A22EE4" w:rsidRPr="00C86E49">
        <w:rPr>
          <w:rFonts w:eastAsia="Calibri" w:cs="Times New Roman"/>
        </w:rPr>
        <w:t>.</w:t>
      </w:r>
      <w:r w:rsidR="00350731" w:rsidRPr="00C86E49">
        <w:rPr>
          <w:rFonts w:eastAsia="Calibri" w:cs="Times New Roman"/>
        </w:rPr>
        <w:t xml:space="preserve"> </w:t>
      </w:r>
      <w:r w:rsidR="00B758F2" w:rsidRPr="00C86E49">
        <w:rPr>
          <w:rFonts w:eastAsia="Calibri" w:cs="Times New Roman"/>
        </w:rPr>
        <w:t xml:space="preserve">MSAC noted that </w:t>
      </w:r>
      <w:r w:rsidR="003221BE" w:rsidRPr="00C86E49">
        <w:rPr>
          <w:rFonts w:eastAsia="Calibri" w:cs="Times New Roman"/>
        </w:rPr>
        <w:t xml:space="preserve">the ability to use </w:t>
      </w:r>
      <w:r w:rsidR="00792D8D" w:rsidRPr="00C86E49">
        <w:rPr>
          <w:rFonts w:eastAsia="Calibri" w:cs="Times New Roman"/>
        </w:rPr>
        <w:t xml:space="preserve">IMPELLA in combination with VA-ECMO (referred to as ECPELLA) </w:t>
      </w:r>
      <w:r w:rsidR="0035024D" w:rsidRPr="00C86E49">
        <w:rPr>
          <w:rFonts w:eastAsia="Calibri" w:cs="Times New Roman"/>
        </w:rPr>
        <w:t xml:space="preserve">when </w:t>
      </w:r>
      <w:r w:rsidR="00792D8D" w:rsidRPr="00C86E49">
        <w:rPr>
          <w:rFonts w:eastAsia="Calibri" w:cs="Times New Roman"/>
        </w:rPr>
        <w:t>patients who are on VA-ECMO require unloading of the left ventricle</w:t>
      </w:r>
      <w:r w:rsidR="00897D82" w:rsidRPr="00C86E49">
        <w:rPr>
          <w:rFonts w:eastAsia="Calibri" w:cs="Times New Roman"/>
        </w:rPr>
        <w:t>,</w:t>
      </w:r>
      <w:r w:rsidR="009B0CF2" w:rsidRPr="00C86E49">
        <w:rPr>
          <w:rFonts w:eastAsia="Calibri" w:cs="Times New Roman"/>
        </w:rPr>
        <w:t xml:space="preserve"> providing an alternative to other means of </w:t>
      </w:r>
      <w:r w:rsidR="00053C80" w:rsidRPr="00C86E49">
        <w:rPr>
          <w:rFonts w:eastAsia="Calibri" w:cs="Times New Roman"/>
        </w:rPr>
        <w:t>LV un</w:t>
      </w:r>
      <w:r w:rsidR="0087715B" w:rsidRPr="00C86E49">
        <w:rPr>
          <w:rFonts w:eastAsia="Calibri" w:cs="Times New Roman"/>
        </w:rPr>
        <w:t>loading</w:t>
      </w:r>
      <w:r w:rsidR="00792D8D" w:rsidRPr="00C86E49">
        <w:rPr>
          <w:rFonts w:eastAsia="Calibri" w:cs="Times New Roman"/>
        </w:rPr>
        <w:t xml:space="preserve">. </w:t>
      </w:r>
      <w:r w:rsidR="00496B77" w:rsidRPr="00C86E49">
        <w:rPr>
          <w:rFonts w:eastAsia="Calibri" w:cs="Times New Roman"/>
        </w:rPr>
        <w:t>MSAC noted supportive evidence indicated that approximately</w:t>
      </w:r>
      <w:r w:rsidR="00792D8D" w:rsidRPr="00C86E49">
        <w:rPr>
          <w:rFonts w:eastAsia="Calibri" w:cs="Times New Roman"/>
        </w:rPr>
        <w:t xml:space="preserve"> 25% of VA-ECMO patients </w:t>
      </w:r>
      <w:r w:rsidR="00496B77" w:rsidRPr="00C86E49">
        <w:rPr>
          <w:rFonts w:eastAsia="Calibri" w:cs="Times New Roman"/>
        </w:rPr>
        <w:t xml:space="preserve">may </w:t>
      </w:r>
      <w:r w:rsidR="00792D8D" w:rsidRPr="00C86E49">
        <w:rPr>
          <w:rFonts w:eastAsia="Calibri" w:cs="Times New Roman"/>
        </w:rPr>
        <w:t>require ECPELLA for left ventricle decompression.</w:t>
      </w:r>
    </w:p>
    <w:p w14:paraId="6AE36940" w14:textId="62733105" w:rsidR="00792D8D" w:rsidRPr="00C86E49" w:rsidRDefault="00792D8D" w:rsidP="00792D8D">
      <w:pPr>
        <w:rPr>
          <w:rFonts w:eastAsia="Calibri" w:cs="Times New Roman"/>
        </w:rPr>
      </w:pPr>
      <w:r w:rsidRPr="00C86E49">
        <w:rPr>
          <w:rFonts w:eastAsia="Calibri" w:cs="Times New Roman"/>
        </w:rPr>
        <w:t>MSAC noted that no RCT data exist</w:t>
      </w:r>
      <w:r w:rsidR="009B207F" w:rsidRPr="00C86E49">
        <w:rPr>
          <w:rFonts w:eastAsia="Calibri" w:cs="Times New Roman"/>
        </w:rPr>
        <w:t>ed</w:t>
      </w:r>
      <w:r w:rsidRPr="00C86E49">
        <w:rPr>
          <w:rFonts w:eastAsia="Calibri" w:cs="Times New Roman"/>
        </w:rPr>
        <w:t xml:space="preserve"> to inform an analysis of IMPELLA compared with VA-ECMO, or ECPELLA compared with VA-ECMO in patients with CS. RCTs are difficult to recruit </w:t>
      </w:r>
      <w:r w:rsidR="00E24D5A" w:rsidRPr="00C86E49">
        <w:rPr>
          <w:rFonts w:eastAsia="Calibri" w:cs="Times New Roman"/>
        </w:rPr>
        <w:t>to</w:t>
      </w:r>
      <w:r w:rsidR="00E13AFE" w:rsidRPr="00C86E49">
        <w:rPr>
          <w:rFonts w:eastAsia="Calibri" w:cs="Times New Roman"/>
        </w:rPr>
        <w:t>,</w:t>
      </w:r>
      <w:r w:rsidR="00E24D5A" w:rsidRPr="00C86E49">
        <w:rPr>
          <w:rFonts w:eastAsia="Calibri" w:cs="Times New Roman"/>
        </w:rPr>
        <w:t xml:space="preserve"> </w:t>
      </w:r>
      <w:r w:rsidRPr="00C86E49">
        <w:rPr>
          <w:rFonts w:eastAsia="Calibri" w:cs="Times New Roman"/>
        </w:rPr>
        <w:t>and complete</w:t>
      </w:r>
      <w:r w:rsidR="00E13AFE" w:rsidRPr="00C86E49">
        <w:rPr>
          <w:rFonts w:eastAsia="Calibri" w:cs="Times New Roman"/>
        </w:rPr>
        <w:t>,</w:t>
      </w:r>
      <w:r w:rsidRPr="00C86E49">
        <w:rPr>
          <w:rFonts w:eastAsia="Calibri" w:cs="Times New Roman"/>
        </w:rPr>
        <w:t xml:space="preserve"> in this population, given the urgent nature of CS</w:t>
      </w:r>
      <w:r w:rsidR="00E24D5A" w:rsidRPr="00C86E49">
        <w:rPr>
          <w:rFonts w:eastAsia="Calibri" w:cs="Times New Roman"/>
        </w:rPr>
        <w:t xml:space="preserve"> management</w:t>
      </w:r>
      <w:r w:rsidRPr="00C86E49">
        <w:rPr>
          <w:rFonts w:eastAsia="Calibri" w:cs="Times New Roman"/>
        </w:rPr>
        <w:t xml:space="preserve">. MSAC noted that the </w:t>
      </w:r>
      <w:r w:rsidR="001B7A50" w:rsidRPr="00C86E49">
        <w:rPr>
          <w:rFonts w:eastAsia="Calibri" w:cs="Times New Roman"/>
        </w:rPr>
        <w:t xml:space="preserve">clinical evidence for the </w:t>
      </w:r>
      <w:r w:rsidR="005E3A7C" w:rsidRPr="00C86E49">
        <w:rPr>
          <w:rFonts w:eastAsia="Calibri" w:cs="Times New Roman"/>
        </w:rPr>
        <w:t xml:space="preserve">intervention relied on </w:t>
      </w:r>
      <w:r w:rsidRPr="00C86E49">
        <w:rPr>
          <w:rFonts w:eastAsia="Calibri" w:cs="Times New Roman"/>
        </w:rPr>
        <w:t xml:space="preserve">non-randomised studies </w:t>
      </w:r>
      <w:r w:rsidR="39009CE6" w:rsidRPr="00C86E49">
        <w:rPr>
          <w:rFonts w:eastAsia="Calibri" w:cs="Times New Roman"/>
        </w:rPr>
        <w:t>where</w:t>
      </w:r>
      <w:r w:rsidR="006C6109" w:rsidRPr="00C86E49">
        <w:rPr>
          <w:rFonts w:eastAsia="Calibri" w:cs="Times New Roman"/>
        </w:rPr>
        <w:t xml:space="preserve"> the key evidence base </w:t>
      </w:r>
      <w:r w:rsidR="00402BB6" w:rsidRPr="00C86E49">
        <w:rPr>
          <w:rFonts w:eastAsia="Calibri" w:cs="Times New Roman"/>
        </w:rPr>
        <w:t xml:space="preserve">that informed the comparative assessment </w:t>
      </w:r>
      <w:r w:rsidR="006C6109" w:rsidRPr="00C86E49">
        <w:rPr>
          <w:rFonts w:eastAsia="Calibri" w:cs="Times New Roman"/>
        </w:rPr>
        <w:t>consist</w:t>
      </w:r>
      <w:r w:rsidR="00402BB6" w:rsidRPr="00C86E49">
        <w:rPr>
          <w:rFonts w:eastAsia="Calibri" w:cs="Times New Roman"/>
        </w:rPr>
        <w:t>e</w:t>
      </w:r>
      <w:r w:rsidRPr="00C86E49" w:rsidDel="00402BB6">
        <w:rPr>
          <w:rFonts w:eastAsia="Calibri" w:cs="Times New Roman"/>
        </w:rPr>
        <w:t>d</w:t>
      </w:r>
      <w:r w:rsidR="006C6109" w:rsidRPr="00C86E49">
        <w:rPr>
          <w:rFonts w:eastAsia="Calibri" w:cs="Times New Roman"/>
        </w:rPr>
        <w:t xml:space="preserve"> of </w:t>
      </w:r>
      <w:r w:rsidR="002A6689" w:rsidRPr="00C86E49">
        <w:rPr>
          <w:rFonts w:eastAsia="Calibri" w:cs="Times New Roman"/>
        </w:rPr>
        <w:t xml:space="preserve">non-randomised </w:t>
      </w:r>
      <w:r w:rsidRPr="00C86E49">
        <w:rPr>
          <w:rFonts w:eastAsia="Calibri" w:cs="Times New Roman"/>
        </w:rPr>
        <w:t>studies that used propensity score matching or other adjustment methods</w:t>
      </w:r>
      <w:r w:rsidR="002A6689" w:rsidRPr="00C86E49">
        <w:rPr>
          <w:rFonts w:eastAsia="Calibri" w:cs="Times New Roman"/>
        </w:rPr>
        <w:t xml:space="preserve">. Other </w:t>
      </w:r>
      <w:r w:rsidR="00DC1FF4" w:rsidRPr="00C86E49">
        <w:rPr>
          <w:rFonts w:eastAsia="Calibri" w:cs="Times New Roman"/>
        </w:rPr>
        <w:t>unmatched</w:t>
      </w:r>
      <w:r w:rsidR="00CE68C8" w:rsidRPr="00C86E49">
        <w:rPr>
          <w:rFonts w:eastAsia="Calibri" w:cs="Times New Roman"/>
        </w:rPr>
        <w:t xml:space="preserve">/unadjusted </w:t>
      </w:r>
      <w:r w:rsidR="002A6689" w:rsidRPr="00C86E49">
        <w:rPr>
          <w:rFonts w:eastAsia="Calibri" w:cs="Times New Roman"/>
        </w:rPr>
        <w:t>non</w:t>
      </w:r>
      <w:r w:rsidR="00DC1FF4" w:rsidRPr="00C86E49">
        <w:rPr>
          <w:rFonts w:eastAsia="Calibri" w:cs="Times New Roman"/>
        </w:rPr>
        <w:t xml:space="preserve">-randomised studies </w:t>
      </w:r>
      <w:r w:rsidR="00CE68C8" w:rsidRPr="00C86E49">
        <w:rPr>
          <w:rFonts w:eastAsia="Calibri" w:cs="Times New Roman"/>
        </w:rPr>
        <w:t xml:space="preserve">were provided as </w:t>
      </w:r>
      <w:r w:rsidRPr="00C86E49">
        <w:rPr>
          <w:rFonts w:eastAsia="Calibri" w:cs="Times New Roman"/>
        </w:rPr>
        <w:t>supportive</w:t>
      </w:r>
      <w:r w:rsidR="00CE68C8" w:rsidRPr="00C86E49">
        <w:rPr>
          <w:rFonts w:eastAsia="Calibri" w:cs="Times New Roman"/>
        </w:rPr>
        <w:t xml:space="preserve"> evidence only</w:t>
      </w:r>
      <w:r w:rsidRPr="00C86E49">
        <w:rPr>
          <w:rFonts w:eastAsia="Calibri" w:cs="Times New Roman"/>
        </w:rPr>
        <w:t>. MSAC noted that selection bias and residual confounding may still exist</w:t>
      </w:r>
      <w:r w:rsidR="007C6054" w:rsidRPr="00C86E49">
        <w:rPr>
          <w:rFonts w:eastAsia="Calibri" w:cs="Times New Roman"/>
        </w:rPr>
        <w:t xml:space="preserve"> in the matched/adjusted studies</w:t>
      </w:r>
      <w:r w:rsidR="00505775" w:rsidRPr="00C86E49">
        <w:rPr>
          <w:rFonts w:eastAsia="Calibri" w:cs="Times New Roman"/>
        </w:rPr>
        <w:t xml:space="preserve"> and that the </w:t>
      </w:r>
      <w:r w:rsidR="00BB531E" w:rsidRPr="00C86E49">
        <w:rPr>
          <w:rFonts w:eastAsia="Calibri" w:cs="Times New Roman"/>
        </w:rPr>
        <w:t>certainty of</w:t>
      </w:r>
      <w:r w:rsidR="00505775" w:rsidRPr="00C86E49">
        <w:rPr>
          <w:rFonts w:eastAsia="Calibri" w:cs="Times New Roman"/>
        </w:rPr>
        <w:t xml:space="preserve"> the evidence was low to </w:t>
      </w:r>
      <w:r w:rsidR="00C43D71" w:rsidRPr="00C86E49">
        <w:rPr>
          <w:rFonts w:eastAsia="Calibri" w:cs="Times New Roman"/>
        </w:rPr>
        <w:t>very low</w:t>
      </w:r>
      <w:r w:rsidR="008B3375" w:rsidRPr="00C86E49">
        <w:rPr>
          <w:rFonts w:eastAsia="Calibri" w:cs="Times New Roman"/>
        </w:rPr>
        <w:t xml:space="preserve"> </w:t>
      </w:r>
      <w:r w:rsidR="003911CD" w:rsidRPr="00C86E49">
        <w:rPr>
          <w:rFonts w:eastAsia="Calibri" w:cs="Times New Roman"/>
        </w:rPr>
        <w:t xml:space="preserve">(for </w:t>
      </w:r>
      <w:r w:rsidR="0085520F" w:rsidRPr="00C86E49">
        <w:rPr>
          <w:rFonts w:eastAsia="Calibri" w:cs="Times New Roman"/>
        </w:rPr>
        <w:t>outcomes at 12 months</w:t>
      </w:r>
      <w:r w:rsidR="00C43D71" w:rsidRPr="00C86E49">
        <w:rPr>
          <w:rFonts w:eastAsia="Calibri" w:cs="Times New Roman"/>
        </w:rPr>
        <w:t>) but</w:t>
      </w:r>
      <w:r w:rsidRPr="00C86E49">
        <w:rPr>
          <w:rFonts w:eastAsia="Calibri" w:cs="Times New Roman"/>
        </w:rPr>
        <w:t xml:space="preserve"> accepted that the evidence presented was the </w:t>
      </w:r>
      <w:r w:rsidR="00BB531E" w:rsidRPr="00C86E49">
        <w:rPr>
          <w:rFonts w:eastAsia="Calibri" w:cs="Times New Roman"/>
        </w:rPr>
        <w:t>most informative</w:t>
      </w:r>
      <w:r w:rsidRPr="00C86E49">
        <w:rPr>
          <w:rFonts w:eastAsia="Calibri" w:cs="Times New Roman"/>
        </w:rPr>
        <w:t xml:space="preserve"> evidence </w:t>
      </w:r>
      <w:r w:rsidR="00553000" w:rsidRPr="00C86E49">
        <w:rPr>
          <w:rFonts w:eastAsia="Calibri" w:cs="Times New Roman"/>
        </w:rPr>
        <w:t xml:space="preserve">currently </w:t>
      </w:r>
      <w:r w:rsidRPr="00C86E49">
        <w:rPr>
          <w:rFonts w:eastAsia="Calibri" w:cs="Times New Roman"/>
        </w:rPr>
        <w:t xml:space="preserve">available. </w:t>
      </w:r>
    </w:p>
    <w:p w14:paraId="0F9D6852" w14:textId="3DC45D92" w:rsidR="007F4A7B" w:rsidRPr="00C86E49" w:rsidRDefault="001F7814" w:rsidP="007F4A7B">
      <w:pPr>
        <w:rPr>
          <w:rFonts w:eastAsia="Calibri" w:cs="Times New Roman"/>
        </w:rPr>
      </w:pPr>
      <w:r w:rsidRPr="00C86E49">
        <w:rPr>
          <w:rFonts w:eastAsia="Calibri" w:cs="Times New Roman"/>
        </w:rPr>
        <w:t xml:space="preserve">Regarding comparative safety, </w:t>
      </w:r>
      <w:r w:rsidR="00C211B3" w:rsidRPr="00C86E49">
        <w:rPr>
          <w:rFonts w:eastAsia="Calibri" w:cs="Times New Roman"/>
        </w:rPr>
        <w:t xml:space="preserve">MSAC noted that </w:t>
      </w:r>
      <w:r w:rsidRPr="00C86E49">
        <w:rPr>
          <w:rFonts w:eastAsia="Calibri" w:cs="Times New Roman"/>
        </w:rPr>
        <w:t>the</w:t>
      </w:r>
      <w:r w:rsidR="00C211B3" w:rsidRPr="00C86E49">
        <w:rPr>
          <w:rFonts w:eastAsia="Calibri" w:cs="Times New Roman"/>
        </w:rPr>
        <w:t xml:space="preserve"> evidence suggested that IMPELLA result</w:t>
      </w:r>
      <w:r w:rsidR="00BA5220" w:rsidRPr="00C86E49">
        <w:rPr>
          <w:rFonts w:eastAsia="Calibri" w:cs="Times New Roman"/>
        </w:rPr>
        <w:t>ed</w:t>
      </w:r>
      <w:r w:rsidR="00C211B3" w:rsidRPr="00C86E49">
        <w:rPr>
          <w:rFonts w:eastAsia="Calibri" w:cs="Times New Roman"/>
        </w:rPr>
        <w:t xml:space="preserve"> in a reduction in bleeding requiring transfusion</w:t>
      </w:r>
      <w:r w:rsidR="006E28CB" w:rsidRPr="00C86E49">
        <w:rPr>
          <w:rFonts w:eastAsia="Calibri" w:cs="Times New Roman"/>
        </w:rPr>
        <w:t xml:space="preserve"> compared with VA-ECMO</w:t>
      </w:r>
      <w:r w:rsidR="00C211B3" w:rsidRPr="00C86E49">
        <w:rPr>
          <w:rFonts w:eastAsia="Calibri" w:cs="Times New Roman"/>
        </w:rPr>
        <w:t xml:space="preserve">, although the quality of </w:t>
      </w:r>
      <w:r w:rsidR="00D345F7" w:rsidRPr="00C86E49">
        <w:rPr>
          <w:rFonts w:eastAsia="Calibri" w:cs="Times New Roman"/>
        </w:rPr>
        <w:t xml:space="preserve">the </w:t>
      </w:r>
      <w:r w:rsidR="00C211B3" w:rsidRPr="00C86E49">
        <w:rPr>
          <w:rFonts w:eastAsia="Calibri" w:cs="Times New Roman"/>
        </w:rPr>
        <w:t xml:space="preserve">evidence is low. </w:t>
      </w:r>
      <w:r w:rsidR="00E53319" w:rsidRPr="00C86E49">
        <w:rPr>
          <w:rFonts w:eastAsia="Calibri" w:cs="Times New Roman"/>
        </w:rPr>
        <w:t>However, MSAC noted that ECPELLA</w:t>
      </w:r>
      <w:r w:rsidR="00F76A8D" w:rsidRPr="00C86E49">
        <w:rPr>
          <w:rFonts w:eastAsia="Calibri" w:cs="Times New Roman"/>
        </w:rPr>
        <w:t>, when compared to VA-ECMO</w:t>
      </w:r>
      <w:r w:rsidR="00D64DB6" w:rsidRPr="00C86E49">
        <w:rPr>
          <w:rFonts w:eastAsia="Calibri" w:cs="Times New Roman"/>
        </w:rPr>
        <w:t> </w:t>
      </w:r>
      <w:r w:rsidR="00F76A8D" w:rsidRPr="00C86E49">
        <w:rPr>
          <w:rFonts w:eastAsia="Calibri" w:cs="Times New Roman"/>
        </w:rPr>
        <w:t>±</w:t>
      </w:r>
      <w:r w:rsidR="00D64DB6" w:rsidRPr="00C86E49">
        <w:rPr>
          <w:rFonts w:eastAsia="Calibri" w:cs="Times New Roman"/>
        </w:rPr>
        <w:t> </w:t>
      </w:r>
      <w:r w:rsidR="00F76A8D" w:rsidRPr="00C86E49">
        <w:rPr>
          <w:rFonts w:eastAsia="Calibri" w:cs="Times New Roman"/>
        </w:rPr>
        <w:t>SV</w:t>
      </w:r>
      <w:r w:rsidR="00A27404" w:rsidRPr="00C86E49">
        <w:rPr>
          <w:rFonts w:eastAsia="Calibri" w:cs="Times New Roman"/>
        </w:rPr>
        <w:t>,</w:t>
      </w:r>
      <w:r w:rsidR="00E53319" w:rsidRPr="00C86E49">
        <w:rPr>
          <w:rFonts w:eastAsia="Calibri" w:cs="Times New Roman"/>
        </w:rPr>
        <w:t xml:space="preserve"> can lead to increased bleeding requiring transfusion (due to insertion of two devices), with associated haemolysis and possible renal consequences</w:t>
      </w:r>
      <w:r w:rsidR="008C6D31" w:rsidRPr="00C86E49">
        <w:rPr>
          <w:rFonts w:eastAsia="Calibri" w:cs="Times New Roman"/>
        </w:rPr>
        <w:t>. Therefore, MSAC agreed with ESC that ECPELLA had</w:t>
      </w:r>
      <w:r w:rsidR="00E53319" w:rsidRPr="00C86E49">
        <w:rPr>
          <w:rFonts w:eastAsia="Calibri" w:cs="Times New Roman"/>
        </w:rPr>
        <w:t xml:space="preserve"> inferior comparative safety </w:t>
      </w:r>
      <w:r w:rsidR="006E2375" w:rsidRPr="00C86E49">
        <w:rPr>
          <w:rFonts w:eastAsia="Calibri" w:cs="Times New Roman"/>
        </w:rPr>
        <w:t>compared with VA-ECMO</w:t>
      </w:r>
      <w:r w:rsidR="009F5831" w:rsidRPr="00C86E49">
        <w:rPr>
          <w:rFonts w:eastAsia="Calibri" w:cs="Times New Roman"/>
        </w:rPr>
        <w:t> </w:t>
      </w:r>
      <w:r w:rsidR="006E2375" w:rsidRPr="00C86E49">
        <w:rPr>
          <w:rFonts w:eastAsia="Calibri" w:cs="Times New Roman"/>
        </w:rPr>
        <w:t>±</w:t>
      </w:r>
      <w:r w:rsidR="009F5831" w:rsidRPr="00C86E49">
        <w:rPr>
          <w:rFonts w:eastAsia="Calibri" w:cs="Times New Roman"/>
        </w:rPr>
        <w:t> </w:t>
      </w:r>
      <w:r w:rsidR="006E2375" w:rsidRPr="00C86E49">
        <w:rPr>
          <w:rFonts w:eastAsia="Calibri" w:cs="Times New Roman"/>
        </w:rPr>
        <w:t>SV</w:t>
      </w:r>
      <w:r w:rsidR="00E53319" w:rsidRPr="00C86E49">
        <w:rPr>
          <w:rFonts w:eastAsia="Calibri" w:cs="Times New Roman"/>
        </w:rPr>
        <w:t>.</w:t>
      </w:r>
      <w:r w:rsidR="00B03680" w:rsidRPr="00C86E49">
        <w:rPr>
          <w:rFonts w:eastAsia="Calibri" w:cs="Times New Roman"/>
        </w:rPr>
        <w:t xml:space="preserve"> </w:t>
      </w:r>
      <w:r w:rsidR="007F4A7B" w:rsidRPr="00C86E49">
        <w:rPr>
          <w:rFonts w:eastAsia="Calibri" w:cs="Times New Roman"/>
        </w:rPr>
        <w:t xml:space="preserve">MSAC </w:t>
      </w:r>
      <w:r w:rsidR="00BA5EC4" w:rsidRPr="00C86E49">
        <w:rPr>
          <w:rFonts w:eastAsia="Calibri" w:cs="Times New Roman"/>
        </w:rPr>
        <w:t xml:space="preserve">also </w:t>
      </w:r>
      <w:r w:rsidR="007F4A7B" w:rsidRPr="00C86E49">
        <w:rPr>
          <w:rFonts w:eastAsia="Calibri" w:cs="Times New Roman"/>
        </w:rPr>
        <w:t xml:space="preserve">noted the Therapeutic </w:t>
      </w:r>
      <w:r w:rsidR="007F4A7B" w:rsidRPr="00C86E49">
        <w:rPr>
          <w:rFonts w:eastAsia="Calibri" w:cs="Times New Roman"/>
        </w:rPr>
        <w:lastRenderedPageBreak/>
        <w:t>Goods Administration (TGA)</w:t>
      </w:r>
      <w:r w:rsidR="00554647" w:rsidRPr="00C86E49">
        <w:rPr>
          <w:rStyle w:val="FootnoteReference"/>
          <w:rFonts w:eastAsia="Calibri" w:cs="Times New Roman"/>
        </w:rPr>
        <w:footnoteReference w:id="2"/>
      </w:r>
      <w:r w:rsidR="007F4A7B" w:rsidRPr="00C86E49">
        <w:rPr>
          <w:rFonts w:eastAsia="Calibri" w:cs="Times New Roman"/>
        </w:rPr>
        <w:t xml:space="preserve"> and the United States Food and Drug Administration</w:t>
      </w:r>
      <w:r w:rsidR="00554647" w:rsidRPr="00C86E49">
        <w:rPr>
          <w:rStyle w:val="FootnoteReference"/>
          <w:rFonts w:eastAsia="Calibri" w:cs="Times New Roman"/>
        </w:rPr>
        <w:footnoteReference w:id="3"/>
      </w:r>
      <w:r w:rsidR="007F4A7B" w:rsidRPr="00C86E49">
        <w:rPr>
          <w:rFonts w:eastAsia="Calibri" w:cs="Times New Roman"/>
        </w:rPr>
        <w:t xml:space="preserve"> had issued </w:t>
      </w:r>
      <w:r w:rsidR="00F81933" w:rsidRPr="00C86E49">
        <w:rPr>
          <w:rFonts w:eastAsia="Calibri" w:cs="Times New Roman"/>
        </w:rPr>
        <w:t xml:space="preserve">recall notifications </w:t>
      </w:r>
      <w:r w:rsidR="004309AD" w:rsidRPr="00C86E49">
        <w:rPr>
          <w:rFonts w:eastAsia="Calibri" w:cs="Times New Roman"/>
        </w:rPr>
        <w:t>to correct the product instructions for use</w:t>
      </w:r>
      <w:r w:rsidR="00FF277B" w:rsidRPr="00C86E49">
        <w:rPr>
          <w:rFonts w:eastAsia="Calibri" w:cs="Times New Roman"/>
        </w:rPr>
        <w:t xml:space="preserve"> to include</w:t>
      </w:r>
      <w:r w:rsidR="007F4A7B" w:rsidRPr="00C86E49">
        <w:rPr>
          <w:rFonts w:eastAsia="Calibri" w:cs="Times New Roman"/>
        </w:rPr>
        <w:t xml:space="preserve"> precautions that operators should take when inserting the device</w:t>
      </w:r>
      <w:r w:rsidR="00875314" w:rsidRPr="00C86E49">
        <w:rPr>
          <w:rFonts w:eastAsia="Calibri" w:cs="Times New Roman"/>
        </w:rPr>
        <w:t xml:space="preserve"> to reduce the risk of </w:t>
      </w:r>
      <w:r w:rsidR="00586489" w:rsidRPr="00C86E49">
        <w:rPr>
          <w:rFonts w:eastAsia="Calibri" w:cs="Times New Roman"/>
        </w:rPr>
        <w:t xml:space="preserve">perforating the </w:t>
      </w:r>
      <w:r w:rsidR="00051F28" w:rsidRPr="00C86E49">
        <w:rPr>
          <w:rFonts w:eastAsia="Calibri" w:cs="Times New Roman"/>
        </w:rPr>
        <w:t>wall of the left ventricle in the heart</w:t>
      </w:r>
      <w:r w:rsidR="007F4A7B" w:rsidRPr="00C86E49">
        <w:rPr>
          <w:rFonts w:eastAsia="Calibri" w:cs="Times New Roman"/>
        </w:rPr>
        <w:t>.</w:t>
      </w:r>
    </w:p>
    <w:p w14:paraId="47E27C6F" w14:textId="7ADB3468" w:rsidR="00E53319" w:rsidRPr="00C86E49" w:rsidRDefault="00EC781B" w:rsidP="3ABCB928">
      <w:pPr>
        <w:spacing w:before="0" w:after="0"/>
        <w:rPr>
          <w:rFonts w:eastAsia="Calibri" w:cs="Times New Roman"/>
        </w:rPr>
      </w:pPr>
      <w:r w:rsidRPr="00C86E49">
        <w:rPr>
          <w:rFonts w:eastAsia="Calibri" w:cs="Times New Roman"/>
        </w:rPr>
        <w:t xml:space="preserve">Regarding comparative effectiveness, </w:t>
      </w:r>
      <w:r w:rsidR="00792D8D" w:rsidRPr="00C86E49">
        <w:rPr>
          <w:rFonts w:eastAsia="Calibri" w:cs="Times New Roman"/>
        </w:rPr>
        <w:t>MSAC noted that the evidence suggested that</w:t>
      </w:r>
      <w:r w:rsidR="00DB7EB8" w:rsidRPr="00C86E49">
        <w:rPr>
          <w:rFonts w:eastAsia="Calibri" w:cs="Times New Roman"/>
        </w:rPr>
        <w:t xml:space="preserve"> </w:t>
      </w:r>
      <w:r w:rsidR="00792D8D" w:rsidRPr="00C86E49">
        <w:rPr>
          <w:rFonts w:eastAsia="Calibri" w:cs="Times New Roman"/>
        </w:rPr>
        <w:t>IMPELLA result</w:t>
      </w:r>
      <w:r w:rsidR="00DB7EB8" w:rsidRPr="00C86E49">
        <w:rPr>
          <w:rFonts w:eastAsia="Calibri" w:cs="Times New Roman"/>
        </w:rPr>
        <w:t>ed</w:t>
      </w:r>
      <w:r w:rsidR="00792D8D" w:rsidRPr="00C86E49">
        <w:rPr>
          <w:rFonts w:eastAsia="Calibri" w:cs="Times New Roman"/>
        </w:rPr>
        <w:t xml:space="preserve"> in a reduction in in-hospital and 30-day mortality</w:t>
      </w:r>
      <w:r w:rsidR="001E274F" w:rsidRPr="00C86E49">
        <w:rPr>
          <w:rFonts w:eastAsia="Calibri" w:cs="Times New Roman"/>
        </w:rPr>
        <w:t xml:space="preserve"> compared with VA-ECMO</w:t>
      </w:r>
      <w:r w:rsidR="00792D8D" w:rsidRPr="00C86E49">
        <w:rPr>
          <w:rFonts w:eastAsia="Calibri" w:cs="Times New Roman"/>
        </w:rPr>
        <w:t xml:space="preserve">, although the </w:t>
      </w:r>
      <w:r w:rsidR="00BB531E" w:rsidRPr="00C86E49">
        <w:rPr>
          <w:rFonts w:eastAsia="Calibri" w:cs="Times New Roman"/>
        </w:rPr>
        <w:t>certainty of evidence</w:t>
      </w:r>
      <w:r w:rsidR="00792D8D" w:rsidRPr="00C86E49">
        <w:rPr>
          <w:rFonts w:eastAsia="Calibri" w:cs="Times New Roman"/>
        </w:rPr>
        <w:t xml:space="preserve"> is low. IMPELLA may reduce 6</w:t>
      </w:r>
      <w:r w:rsidR="6E416819" w:rsidRPr="00C86E49">
        <w:rPr>
          <w:rFonts w:eastAsia="Calibri" w:cs="Times New Roman"/>
        </w:rPr>
        <w:t>-</w:t>
      </w:r>
      <w:r w:rsidR="00792D8D" w:rsidRPr="00C86E49">
        <w:rPr>
          <w:rFonts w:eastAsia="Calibri" w:cs="Times New Roman"/>
        </w:rPr>
        <w:t>month and 12-month mortality</w:t>
      </w:r>
      <w:r w:rsidR="00732AA9" w:rsidRPr="00C86E49">
        <w:rPr>
          <w:rFonts w:eastAsia="Calibri" w:cs="Times New Roman"/>
        </w:rPr>
        <w:t xml:space="preserve"> (odds ratio [OR] 0.71 and </w:t>
      </w:r>
      <w:r w:rsidR="005A7A77" w:rsidRPr="00C86E49">
        <w:rPr>
          <w:rFonts w:eastAsia="Calibri" w:cs="Times New Roman"/>
        </w:rPr>
        <w:t>0.72, respectively</w:t>
      </w:r>
      <w:r w:rsidR="00732AA9" w:rsidRPr="00C86E49">
        <w:rPr>
          <w:rFonts w:eastAsia="Calibri" w:cs="Times New Roman"/>
        </w:rPr>
        <w:t>)</w:t>
      </w:r>
      <w:r w:rsidR="00792D8D" w:rsidRPr="00C86E49">
        <w:rPr>
          <w:rFonts w:eastAsia="Calibri" w:cs="Times New Roman"/>
        </w:rPr>
        <w:t>, but the evidence is very uncertain</w:t>
      </w:r>
      <w:r w:rsidR="005A7A77" w:rsidRPr="00C86E49">
        <w:rPr>
          <w:rFonts w:eastAsia="Calibri" w:cs="Times New Roman"/>
        </w:rPr>
        <w:t xml:space="preserve"> due to </w:t>
      </w:r>
      <w:r w:rsidR="00A777AE" w:rsidRPr="00C86E49">
        <w:rPr>
          <w:rFonts w:eastAsia="Calibri" w:cs="Times New Roman"/>
        </w:rPr>
        <w:t xml:space="preserve">the </w:t>
      </w:r>
      <w:r w:rsidR="00BB531E" w:rsidRPr="00C86E49">
        <w:rPr>
          <w:rFonts w:eastAsia="Calibri" w:cs="Times New Roman"/>
        </w:rPr>
        <w:t>high risk of bias</w:t>
      </w:r>
      <w:r w:rsidR="00C95BA4" w:rsidRPr="00C86E49">
        <w:rPr>
          <w:rFonts w:eastAsia="Calibri" w:cs="Times New Roman"/>
        </w:rPr>
        <w:t xml:space="preserve"> and lack of statistical significance for these reductions</w:t>
      </w:r>
      <w:r w:rsidR="00BB531E" w:rsidRPr="00C86E49">
        <w:rPr>
          <w:rFonts w:eastAsia="Calibri" w:cs="Times New Roman"/>
        </w:rPr>
        <w:t xml:space="preserve"> (imprecision)</w:t>
      </w:r>
      <w:r w:rsidR="00792D8D" w:rsidRPr="00C86E49">
        <w:rPr>
          <w:rFonts w:eastAsia="Calibri" w:cs="Times New Roman"/>
        </w:rPr>
        <w:t xml:space="preserve">. </w:t>
      </w:r>
      <w:r w:rsidR="00607FDE" w:rsidRPr="00C86E49">
        <w:rPr>
          <w:rFonts w:eastAsia="Calibri" w:cs="Times New Roman"/>
        </w:rPr>
        <w:t>Similarly</w:t>
      </w:r>
      <w:r w:rsidR="00792D8D" w:rsidRPr="00C86E49">
        <w:rPr>
          <w:rFonts w:eastAsia="Calibri" w:cs="Times New Roman"/>
        </w:rPr>
        <w:t>, the evidence suggested that ECPELLA result</w:t>
      </w:r>
      <w:r w:rsidR="00636F0B" w:rsidRPr="00C86E49">
        <w:rPr>
          <w:rFonts w:eastAsia="Calibri" w:cs="Times New Roman"/>
        </w:rPr>
        <w:t>ed</w:t>
      </w:r>
      <w:r w:rsidR="00792D8D" w:rsidRPr="00C86E49">
        <w:rPr>
          <w:rFonts w:eastAsia="Calibri" w:cs="Times New Roman"/>
        </w:rPr>
        <w:t xml:space="preserve"> in a reduction in in-hospital and 30-day mortality</w:t>
      </w:r>
      <w:r w:rsidR="009462F3" w:rsidRPr="00C86E49">
        <w:rPr>
          <w:rFonts w:eastAsia="Calibri" w:cs="Times New Roman"/>
        </w:rPr>
        <w:t xml:space="preserve"> compared with VA-ECMO ± SV</w:t>
      </w:r>
      <w:r w:rsidR="00792D8D" w:rsidRPr="00C86E49">
        <w:rPr>
          <w:rFonts w:eastAsia="Calibri" w:cs="Times New Roman"/>
        </w:rPr>
        <w:t xml:space="preserve">, although the </w:t>
      </w:r>
      <w:r w:rsidR="00BB531E" w:rsidRPr="00C86E49">
        <w:rPr>
          <w:rFonts w:eastAsia="Calibri" w:cs="Times New Roman"/>
        </w:rPr>
        <w:t>certainty of evidence</w:t>
      </w:r>
      <w:r w:rsidR="00792D8D" w:rsidRPr="00C86E49">
        <w:rPr>
          <w:rFonts w:eastAsia="Calibri" w:cs="Times New Roman"/>
        </w:rPr>
        <w:t xml:space="preserve"> </w:t>
      </w:r>
      <w:r w:rsidR="00BB531E" w:rsidRPr="00C86E49">
        <w:rPr>
          <w:rFonts w:eastAsia="Calibri" w:cs="Times New Roman"/>
        </w:rPr>
        <w:t>was</w:t>
      </w:r>
      <w:r w:rsidR="00792D8D" w:rsidRPr="00C86E49">
        <w:rPr>
          <w:rFonts w:eastAsia="Calibri" w:cs="Times New Roman"/>
        </w:rPr>
        <w:t xml:space="preserve"> low. One study also suggest</w:t>
      </w:r>
      <w:r w:rsidR="003E6DB8" w:rsidRPr="00C86E49">
        <w:rPr>
          <w:rFonts w:eastAsia="Calibri" w:cs="Times New Roman"/>
        </w:rPr>
        <w:t>ed</w:t>
      </w:r>
      <w:r w:rsidR="00792D8D" w:rsidRPr="00C86E49">
        <w:rPr>
          <w:rFonts w:eastAsia="Calibri" w:cs="Times New Roman"/>
        </w:rPr>
        <w:t xml:space="preserve"> that ECPELLA result</w:t>
      </w:r>
      <w:r w:rsidR="00EF573D" w:rsidRPr="00C86E49">
        <w:rPr>
          <w:rFonts w:eastAsia="Calibri" w:cs="Times New Roman"/>
        </w:rPr>
        <w:t>ed</w:t>
      </w:r>
      <w:r w:rsidR="00792D8D" w:rsidRPr="00C86E49">
        <w:rPr>
          <w:rFonts w:eastAsia="Calibri" w:cs="Times New Roman"/>
        </w:rPr>
        <w:t xml:space="preserve"> in a </w:t>
      </w:r>
      <w:r w:rsidR="00FE7770" w:rsidRPr="00C86E49">
        <w:rPr>
          <w:rFonts w:eastAsia="Calibri" w:cs="Times New Roman"/>
        </w:rPr>
        <w:t xml:space="preserve">statistically significant </w:t>
      </w:r>
      <w:r w:rsidR="00792D8D" w:rsidRPr="00C86E49">
        <w:rPr>
          <w:rFonts w:eastAsia="Calibri" w:cs="Times New Roman"/>
        </w:rPr>
        <w:t xml:space="preserve">reduction in 12-month mortality. </w:t>
      </w:r>
      <w:r w:rsidR="2E94DA5B" w:rsidRPr="00C86E49">
        <w:rPr>
          <w:rFonts w:asciiTheme="minorHAnsi" w:eastAsiaTheme="minorEastAsia" w:hAnsiTheme="minorHAnsi"/>
        </w:rPr>
        <w:t xml:space="preserve"> </w:t>
      </w:r>
      <w:r w:rsidR="2E94DA5B" w:rsidRPr="00C86E49">
        <w:rPr>
          <w:rFonts w:eastAsia="Calibri" w:cs="Times New Roman"/>
        </w:rPr>
        <w:t xml:space="preserve">MSAC also noted that in patients treated for CS, </w:t>
      </w:r>
      <w:r w:rsidR="0049040F" w:rsidRPr="00C86E49">
        <w:rPr>
          <w:rFonts w:eastAsia="Calibri" w:cs="Times New Roman"/>
        </w:rPr>
        <w:t>existing evidence</w:t>
      </w:r>
      <w:r w:rsidR="0049040F" w:rsidRPr="00C86E49">
        <w:rPr>
          <w:rStyle w:val="FootnoteReference"/>
          <w:rFonts w:eastAsia="Calibri" w:cs="Times New Roman"/>
        </w:rPr>
        <w:footnoteReference w:id="4"/>
      </w:r>
      <w:r w:rsidR="0049040F" w:rsidRPr="00C86E49">
        <w:rPr>
          <w:rFonts w:eastAsia="Calibri" w:cs="Times New Roman"/>
        </w:rPr>
        <w:t xml:space="preserve"> </w:t>
      </w:r>
      <w:r w:rsidR="2E94DA5B" w:rsidRPr="00C86E49">
        <w:rPr>
          <w:rFonts w:eastAsia="Calibri" w:cs="Times New Roman"/>
        </w:rPr>
        <w:t xml:space="preserve">suggests that </w:t>
      </w:r>
      <w:r w:rsidR="008A3F73" w:rsidRPr="00C86E49">
        <w:rPr>
          <w:rFonts w:eastAsia="Calibri" w:cs="Times New Roman"/>
        </w:rPr>
        <w:t xml:space="preserve">if patients do </w:t>
      </w:r>
      <w:r w:rsidR="00B70E89" w:rsidRPr="00C86E49">
        <w:rPr>
          <w:rFonts w:eastAsia="Calibri" w:cs="Times New Roman"/>
        </w:rPr>
        <w:t xml:space="preserve">survive </w:t>
      </w:r>
      <w:r w:rsidR="2E94DA5B" w:rsidRPr="00C86E49">
        <w:rPr>
          <w:rFonts w:eastAsia="Calibri" w:cs="Times New Roman"/>
        </w:rPr>
        <w:t>the acute CS phase (including secondary shocks)</w:t>
      </w:r>
      <w:r w:rsidR="0053378B" w:rsidRPr="00C86E49">
        <w:rPr>
          <w:rFonts w:eastAsia="Calibri" w:cs="Times New Roman"/>
        </w:rPr>
        <w:t>, these patients</w:t>
      </w:r>
      <w:r w:rsidR="00B96315" w:rsidRPr="00C86E49">
        <w:rPr>
          <w:rFonts w:eastAsia="Calibri" w:cs="Times New Roman"/>
        </w:rPr>
        <w:t xml:space="preserve"> </w:t>
      </w:r>
      <w:r w:rsidR="2E94DA5B" w:rsidRPr="00C86E49">
        <w:rPr>
          <w:rFonts w:eastAsia="Calibri" w:cs="Times New Roman"/>
        </w:rPr>
        <w:t xml:space="preserve">tend to </w:t>
      </w:r>
      <w:r w:rsidR="00B96315" w:rsidRPr="00C86E49">
        <w:rPr>
          <w:rFonts w:eastAsia="Calibri" w:cs="Times New Roman"/>
        </w:rPr>
        <w:t>experience</w:t>
      </w:r>
      <w:r w:rsidR="00C37C41" w:rsidRPr="00C86E49">
        <w:rPr>
          <w:rFonts w:eastAsia="Calibri" w:cs="Times New Roman"/>
        </w:rPr>
        <w:t xml:space="preserve"> longer-term</w:t>
      </w:r>
      <w:r w:rsidR="2E94DA5B" w:rsidRPr="00C86E49">
        <w:rPr>
          <w:rFonts w:eastAsia="Calibri" w:cs="Times New Roman"/>
        </w:rPr>
        <w:t xml:space="preserve"> survival profiles </w:t>
      </w:r>
      <w:proofErr w:type="gramStart"/>
      <w:r w:rsidR="2E94DA5B" w:rsidRPr="00C86E49">
        <w:rPr>
          <w:rFonts w:eastAsia="Calibri" w:cs="Times New Roman"/>
        </w:rPr>
        <w:t>similar to</w:t>
      </w:r>
      <w:proofErr w:type="gramEnd"/>
      <w:r w:rsidR="2E94DA5B" w:rsidRPr="00C86E49">
        <w:rPr>
          <w:rFonts w:eastAsia="Calibri" w:cs="Times New Roman"/>
        </w:rPr>
        <w:t xml:space="preserve"> people who have not had CS. </w:t>
      </w:r>
      <w:r w:rsidR="6DDB3667" w:rsidRPr="00C86E49">
        <w:rPr>
          <w:rFonts w:eastAsia="Calibri" w:cs="Times New Roman"/>
        </w:rPr>
        <w:t>Therefore</w:t>
      </w:r>
      <w:r w:rsidR="45A0DDF9" w:rsidRPr="00C86E49">
        <w:rPr>
          <w:rFonts w:eastAsia="Calibri" w:cs="Times New Roman"/>
        </w:rPr>
        <w:t xml:space="preserve">, </w:t>
      </w:r>
      <w:r w:rsidR="00611F31" w:rsidRPr="00C86E49">
        <w:rPr>
          <w:rFonts w:eastAsia="Calibri" w:cs="Times New Roman"/>
        </w:rPr>
        <w:t>noting</w:t>
      </w:r>
      <w:r w:rsidR="303643D8" w:rsidRPr="00C86E49">
        <w:rPr>
          <w:rFonts w:eastAsia="Calibri" w:cs="Times New Roman"/>
        </w:rPr>
        <w:t xml:space="preserve"> the improved survival in the acute phase,</w:t>
      </w:r>
      <w:r w:rsidR="45A0DDF9" w:rsidRPr="00C86E49">
        <w:rPr>
          <w:rFonts w:eastAsia="Calibri" w:cs="Times New Roman"/>
        </w:rPr>
        <w:t xml:space="preserve"> </w:t>
      </w:r>
      <w:r w:rsidR="26437A37" w:rsidRPr="00C86E49">
        <w:rPr>
          <w:rFonts w:eastAsia="Calibri" w:cs="Times New Roman"/>
        </w:rPr>
        <w:t xml:space="preserve">MSAC accepted </w:t>
      </w:r>
      <w:r w:rsidR="25F139E8" w:rsidRPr="00C86E49">
        <w:rPr>
          <w:rFonts w:eastAsia="Calibri" w:cs="Times New Roman"/>
        </w:rPr>
        <w:t xml:space="preserve">that </w:t>
      </w:r>
      <w:r w:rsidR="5DEE79B2" w:rsidRPr="00C86E49">
        <w:rPr>
          <w:rFonts w:eastAsia="Calibri" w:cs="Times New Roman"/>
        </w:rPr>
        <w:t xml:space="preserve">the </w:t>
      </w:r>
      <w:r w:rsidR="45A0DDF9" w:rsidRPr="00C86E49">
        <w:rPr>
          <w:rFonts w:eastAsia="Calibri" w:cs="Times New Roman"/>
        </w:rPr>
        <w:t xml:space="preserve">reported </w:t>
      </w:r>
      <w:r w:rsidR="410A763F" w:rsidRPr="00C86E49">
        <w:rPr>
          <w:rFonts w:eastAsia="Calibri" w:cs="Times New Roman"/>
        </w:rPr>
        <w:t xml:space="preserve">reduction in longer-term mortality </w:t>
      </w:r>
      <w:r w:rsidR="2841FC70" w:rsidRPr="00C86E49">
        <w:rPr>
          <w:rFonts w:eastAsia="Calibri" w:cs="Times New Roman"/>
        </w:rPr>
        <w:t xml:space="preserve">was likely, </w:t>
      </w:r>
      <w:r w:rsidR="6C8DAB41" w:rsidRPr="00C86E49">
        <w:rPr>
          <w:rFonts w:eastAsia="Calibri" w:cs="Times New Roman"/>
        </w:rPr>
        <w:t>despite the lack of statistical significance</w:t>
      </w:r>
      <w:r w:rsidR="11551FED" w:rsidRPr="00C86E49">
        <w:rPr>
          <w:rFonts w:eastAsia="Calibri" w:cs="Times New Roman"/>
        </w:rPr>
        <w:t>.</w:t>
      </w:r>
    </w:p>
    <w:p w14:paraId="1AA4951D" w14:textId="6615D14E" w:rsidR="00792D8D" w:rsidRPr="00C86E49" w:rsidRDefault="00792D8D" w:rsidP="00792D8D">
      <w:pPr>
        <w:rPr>
          <w:rFonts w:eastAsia="Calibri" w:cs="Times New Roman"/>
        </w:rPr>
      </w:pPr>
      <w:r w:rsidRPr="00C86E49">
        <w:rPr>
          <w:rFonts w:eastAsia="Calibri" w:cs="Times New Roman"/>
        </w:rPr>
        <w:t>MSAC noted the economic evaluation</w:t>
      </w:r>
      <w:r w:rsidR="00D12BDC" w:rsidRPr="00C86E49">
        <w:rPr>
          <w:rFonts w:eastAsia="Calibri" w:cs="Times New Roman"/>
        </w:rPr>
        <w:t xml:space="preserve"> presented two</w:t>
      </w:r>
      <w:r w:rsidRPr="00C86E49">
        <w:rPr>
          <w:rFonts w:eastAsia="Calibri" w:cs="Times New Roman"/>
        </w:rPr>
        <w:t xml:space="preserve"> cost-utility analys</w:t>
      </w:r>
      <w:r w:rsidR="00D12BDC" w:rsidRPr="00C86E49">
        <w:rPr>
          <w:rFonts w:eastAsia="Calibri" w:cs="Times New Roman"/>
        </w:rPr>
        <w:t>e</w:t>
      </w:r>
      <w:r w:rsidRPr="00C86E49">
        <w:rPr>
          <w:rFonts w:eastAsia="Calibri" w:cs="Times New Roman"/>
        </w:rPr>
        <w:t>s</w:t>
      </w:r>
      <w:r w:rsidR="0099787B" w:rsidRPr="00C86E49">
        <w:t xml:space="preserve"> </w:t>
      </w:r>
      <w:r w:rsidR="0099787B" w:rsidRPr="00C86E49">
        <w:rPr>
          <w:rFonts w:eastAsia="Calibri" w:cs="Times New Roman"/>
        </w:rPr>
        <w:t>comparing IMPELLA versus VA-ECMO and ECPELLA versus VA-ECMO ± SV</w:t>
      </w:r>
      <w:r w:rsidRPr="00C86E49">
        <w:rPr>
          <w:rFonts w:eastAsia="Calibri" w:cs="Times New Roman"/>
        </w:rPr>
        <w:t xml:space="preserve">. The main driver </w:t>
      </w:r>
      <w:r w:rsidR="00420DE8" w:rsidRPr="00C86E49">
        <w:rPr>
          <w:rFonts w:eastAsia="Calibri" w:cs="Times New Roman"/>
        </w:rPr>
        <w:t>in both</w:t>
      </w:r>
      <w:r w:rsidRPr="00C86E49">
        <w:rPr>
          <w:rFonts w:eastAsia="Calibri" w:cs="Times New Roman"/>
        </w:rPr>
        <w:t xml:space="preserve"> economic model</w:t>
      </w:r>
      <w:r w:rsidR="00420DE8" w:rsidRPr="00C86E49">
        <w:rPr>
          <w:rFonts w:eastAsia="Calibri" w:cs="Times New Roman"/>
        </w:rPr>
        <w:t>s</w:t>
      </w:r>
      <w:r w:rsidRPr="00C86E49">
        <w:rPr>
          <w:rFonts w:eastAsia="Calibri" w:cs="Times New Roman"/>
        </w:rPr>
        <w:t xml:space="preserve"> was the differential in 30-day mortality, which was informed by low-certainty evidence. Mortality risks over the extrapolated period (beyond one month) were derived from the limited long-term data available and assumed no difference between treatment groups. MSAC considered that this was appropriate, given that the limited registry data available from other countries indicate that this occurs. MSAC noted the incremental cost-effectiveness ratio (ICER) was $</w:t>
      </w:r>
      <w:r w:rsidR="005264FA" w:rsidRPr="00C86E49">
        <w:rPr>
          <w:rFonts w:eastAsia="Calibri" w:cs="Times New Roman"/>
          <w:b/>
          <w:bCs/>
        </w:rPr>
        <w:t>redacted</w:t>
      </w:r>
      <w:r w:rsidRPr="00C86E49">
        <w:rPr>
          <w:rFonts w:eastAsia="Calibri" w:cs="Times New Roman"/>
        </w:rPr>
        <w:t xml:space="preserve"> per quality-adjusted life year (QALY) gained for IMPELLA compared with VA-ECMO, and </w:t>
      </w:r>
      <w:r w:rsidRPr="00375AEF">
        <w:rPr>
          <w:rFonts w:eastAsia="Calibri" w:cs="Times New Roman"/>
        </w:rPr>
        <w:t>$</w:t>
      </w:r>
      <w:r w:rsidR="00A72929" w:rsidRPr="00375AEF">
        <w:rPr>
          <w:rFonts w:eastAsia="Calibri" w:cs="Times New Roman"/>
          <w:b/>
          <w:bCs/>
        </w:rPr>
        <w:t>redacted</w:t>
      </w:r>
      <w:r w:rsidRPr="00C86E49">
        <w:rPr>
          <w:rFonts w:eastAsia="Calibri" w:cs="Times New Roman"/>
        </w:rPr>
        <w:t xml:space="preserve"> per QALY gained for ECPELLA compared with VA-ECMO </w:t>
      </w:r>
      <w:r w:rsidR="00B71D53" w:rsidRPr="00C86E49">
        <w:rPr>
          <w:rFonts w:eastAsia="Calibri" w:cs="Times New Roman"/>
        </w:rPr>
        <w:t>± SV</w:t>
      </w:r>
      <w:r w:rsidRPr="00C86E49">
        <w:rPr>
          <w:rFonts w:eastAsia="Calibri" w:cs="Times New Roman"/>
        </w:rPr>
        <w:t xml:space="preserve">. </w:t>
      </w:r>
      <w:r w:rsidR="5260DBC9" w:rsidRPr="00C86E49">
        <w:rPr>
          <w:rFonts w:eastAsia="Calibri" w:cs="Times New Roman"/>
        </w:rPr>
        <w:t>Due to uncertaint</w:t>
      </w:r>
      <w:r w:rsidR="02DA3F93" w:rsidRPr="00C86E49">
        <w:rPr>
          <w:rFonts w:eastAsia="Calibri" w:cs="Times New Roman"/>
        </w:rPr>
        <w:t>ies</w:t>
      </w:r>
      <w:r w:rsidR="5260DBC9" w:rsidRPr="00C86E49">
        <w:rPr>
          <w:rFonts w:eastAsia="Calibri" w:cs="Times New Roman"/>
        </w:rPr>
        <w:t xml:space="preserve"> in the evidence, </w:t>
      </w:r>
      <w:r w:rsidR="2A65469A" w:rsidRPr="00C86E49">
        <w:rPr>
          <w:rFonts w:eastAsia="Calibri" w:cs="Times New Roman"/>
        </w:rPr>
        <w:t xml:space="preserve">MSAC considered </w:t>
      </w:r>
      <w:r w:rsidR="5ED2AB68" w:rsidRPr="00C86E49">
        <w:rPr>
          <w:rFonts w:eastAsia="Calibri" w:cs="Times New Roman"/>
        </w:rPr>
        <w:t xml:space="preserve">that </w:t>
      </w:r>
      <w:r w:rsidR="2A65469A" w:rsidRPr="00C86E49">
        <w:rPr>
          <w:rFonts w:eastAsia="Calibri" w:cs="Times New Roman"/>
        </w:rPr>
        <w:t xml:space="preserve">these ICERs </w:t>
      </w:r>
      <w:r w:rsidR="2AC4D00D" w:rsidRPr="00C86E49">
        <w:rPr>
          <w:rFonts w:eastAsia="Calibri" w:cs="Times New Roman"/>
        </w:rPr>
        <w:t xml:space="preserve">were </w:t>
      </w:r>
      <w:r w:rsidR="50046044" w:rsidRPr="00C86E49">
        <w:rPr>
          <w:rFonts w:eastAsia="Calibri" w:cs="Times New Roman"/>
        </w:rPr>
        <w:t>also</w:t>
      </w:r>
      <w:r w:rsidR="2A65469A" w:rsidRPr="00C86E49">
        <w:rPr>
          <w:rFonts w:eastAsia="Calibri" w:cs="Times New Roman"/>
        </w:rPr>
        <w:t xml:space="preserve"> </w:t>
      </w:r>
      <w:r w:rsidR="6BAFB03F" w:rsidRPr="00C86E49">
        <w:rPr>
          <w:rFonts w:eastAsia="Calibri" w:cs="Times New Roman"/>
        </w:rPr>
        <w:t>uncertain</w:t>
      </w:r>
      <w:r w:rsidR="00F77E8E" w:rsidRPr="00C86E49">
        <w:rPr>
          <w:rFonts w:eastAsia="Calibri" w:cs="Times New Roman"/>
        </w:rPr>
        <w:t xml:space="preserve"> but noted the </w:t>
      </w:r>
      <w:r w:rsidR="00995DBD" w:rsidRPr="00C86E49">
        <w:rPr>
          <w:rFonts w:eastAsia="Calibri" w:cs="Times New Roman"/>
        </w:rPr>
        <w:t>sensiti</w:t>
      </w:r>
      <w:r w:rsidR="0035163F" w:rsidRPr="00C86E49">
        <w:rPr>
          <w:rFonts w:eastAsia="Calibri" w:cs="Times New Roman"/>
        </w:rPr>
        <w:t>vit</w:t>
      </w:r>
      <w:r w:rsidR="00AE3398" w:rsidRPr="00C86E49">
        <w:rPr>
          <w:rFonts w:eastAsia="Calibri" w:cs="Times New Roman"/>
        </w:rPr>
        <w:t>y</w:t>
      </w:r>
      <w:r w:rsidR="002816E7" w:rsidRPr="00C86E49">
        <w:rPr>
          <w:rFonts w:eastAsia="Calibri" w:cs="Times New Roman"/>
        </w:rPr>
        <w:t xml:space="preserve"> analy</w:t>
      </w:r>
      <w:r w:rsidR="004C5BA3" w:rsidRPr="00C86E49">
        <w:rPr>
          <w:rFonts w:eastAsia="Calibri" w:cs="Times New Roman"/>
        </w:rPr>
        <w:t xml:space="preserve">sis indicated the </w:t>
      </w:r>
      <w:r w:rsidR="00F77E8E" w:rsidRPr="00C86E49">
        <w:rPr>
          <w:rFonts w:eastAsia="Calibri" w:cs="Times New Roman"/>
        </w:rPr>
        <w:t xml:space="preserve">ICER for </w:t>
      </w:r>
      <w:r w:rsidR="004C5BA3" w:rsidRPr="00C86E49">
        <w:rPr>
          <w:rFonts w:eastAsia="Calibri" w:cs="Times New Roman"/>
        </w:rPr>
        <w:t xml:space="preserve">IMPELLA </w:t>
      </w:r>
      <w:r w:rsidR="00E71B5C" w:rsidRPr="00C86E49">
        <w:rPr>
          <w:rFonts w:eastAsia="Calibri" w:cs="Times New Roman"/>
        </w:rPr>
        <w:t xml:space="preserve">remained cost-effective compared </w:t>
      </w:r>
      <w:r w:rsidR="00A02964" w:rsidRPr="00C86E49">
        <w:rPr>
          <w:rFonts w:eastAsia="Calibri" w:cs="Times New Roman"/>
        </w:rPr>
        <w:t xml:space="preserve">VA-ECMO. </w:t>
      </w:r>
      <w:r w:rsidR="00F73FCE" w:rsidRPr="00C86E49">
        <w:rPr>
          <w:rFonts w:eastAsia="Calibri" w:cs="Times New Roman"/>
        </w:rPr>
        <w:t>MSAC noted the</w:t>
      </w:r>
      <w:r w:rsidR="009C103F" w:rsidRPr="00C86E49">
        <w:rPr>
          <w:rFonts w:eastAsia="Calibri" w:cs="Times New Roman"/>
        </w:rPr>
        <w:t xml:space="preserve"> sensitivity analysis indicated there was</w:t>
      </w:r>
      <w:r w:rsidR="00F73FCE" w:rsidRPr="00C86E49">
        <w:rPr>
          <w:rFonts w:eastAsia="Calibri" w:cs="Times New Roman"/>
        </w:rPr>
        <w:t xml:space="preserve"> less certainty </w:t>
      </w:r>
      <w:r w:rsidR="00370219" w:rsidRPr="00C86E49">
        <w:rPr>
          <w:rFonts w:eastAsia="Calibri" w:cs="Times New Roman"/>
        </w:rPr>
        <w:t xml:space="preserve">that </w:t>
      </w:r>
      <w:r w:rsidR="00671B0D" w:rsidRPr="00C86E49">
        <w:rPr>
          <w:rFonts w:eastAsia="Calibri" w:cs="Times New Roman"/>
        </w:rPr>
        <w:t>ECPELLA is cost-effective compared to VA-ECMO ± SV</w:t>
      </w:r>
      <w:r w:rsidRPr="00C86E49">
        <w:rPr>
          <w:rFonts w:eastAsia="Calibri" w:cs="Times New Roman"/>
        </w:rPr>
        <w:t>.</w:t>
      </w:r>
    </w:p>
    <w:p w14:paraId="36F93135" w14:textId="21E87CA4" w:rsidR="00792D8D" w:rsidRPr="00C86E49" w:rsidRDefault="00792D8D" w:rsidP="00792D8D">
      <w:pPr>
        <w:rPr>
          <w:rFonts w:eastAsia="Calibri" w:cs="Times New Roman"/>
        </w:rPr>
      </w:pPr>
      <w:r w:rsidRPr="00C86E49">
        <w:rPr>
          <w:rFonts w:eastAsia="Calibri" w:cs="Times New Roman"/>
        </w:rPr>
        <w:t xml:space="preserve">MSAC noted the </w:t>
      </w:r>
      <w:r w:rsidR="005C4C82" w:rsidRPr="00C86E49">
        <w:rPr>
          <w:rFonts w:eastAsia="Calibri" w:cs="Times New Roman"/>
        </w:rPr>
        <w:t xml:space="preserve">utilisation </w:t>
      </w:r>
      <w:r w:rsidR="002B757F" w:rsidRPr="00C86E49">
        <w:rPr>
          <w:rFonts w:eastAsia="Calibri" w:cs="Times New Roman"/>
        </w:rPr>
        <w:t xml:space="preserve">of IMPELLA/ECPELLA would </w:t>
      </w:r>
      <w:r w:rsidR="00577108" w:rsidRPr="00C86E49">
        <w:rPr>
          <w:rFonts w:eastAsia="Calibri" w:cs="Times New Roman"/>
        </w:rPr>
        <w:t>mainly be in a public hospital setting</w:t>
      </w:r>
      <w:r w:rsidR="00D575D0" w:rsidRPr="00C86E49">
        <w:rPr>
          <w:rFonts w:eastAsia="Calibri" w:cs="Times New Roman"/>
        </w:rPr>
        <w:t xml:space="preserve"> in centres that have ECMO capability</w:t>
      </w:r>
      <w:r w:rsidR="00577108" w:rsidRPr="00C86E49">
        <w:rPr>
          <w:rFonts w:eastAsia="Calibri" w:cs="Times New Roman"/>
        </w:rPr>
        <w:t xml:space="preserve"> </w:t>
      </w:r>
      <w:r w:rsidR="00465657" w:rsidRPr="00C86E49">
        <w:rPr>
          <w:rFonts w:eastAsia="Calibri" w:cs="Times New Roman"/>
        </w:rPr>
        <w:t xml:space="preserve">and that the </w:t>
      </w:r>
      <w:r w:rsidR="006E6AC3" w:rsidRPr="00C86E49">
        <w:rPr>
          <w:rFonts w:eastAsia="Calibri" w:cs="Times New Roman"/>
        </w:rPr>
        <w:t xml:space="preserve">potential utilisation via the MBS </w:t>
      </w:r>
      <w:r w:rsidR="000326DD" w:rsidRPr="00C86E49">
        <w:rPr>
          <w:rFonts w:eastAsia="Calibri" w:cs="Times New Roman"/>
        </w:rPr>
        <w:t>would be very low (</w:t>
      </w:r>
      <w:proofErr w:type="gramStart"/>
      <w:r w:rsidR="000326DD" w:rsidRPr="00C86E49">
        <w:rPr>
          <w:rFonts w:eastAsia="Calibri" w:cs="Times New Roman"/>
        </w:rPr>
        <w:t>i.e.</w:t>
      </w:r>
      <w:proofErr w:type="gramEnd"/>
      <w:r w:rsidR="000326DD" w:rsidRPr="00C86E49">
        <w:rPr>
          <w:rFonts w:eastAsia="Calibri" w:cs="Times New Roman"/>
        </w:rPr>
        <w:t xml:space="preserve"> </w:t>
      </w:r>
      <w:r w:rsidR="007A7EF7" w:rsidRPr="00C86E49">
        <w:rPr>
          <w:rFonts w:eastAsia="Calibri" w:cs="Times New Roman"/>
        </w:rPr>
        <w:t>it was estimated that</w:t>
      </w:r>
      <w:r w:rsidR="004B2EB2" w:rsidRPr="00C86E49">
        <w:rPr>
          <w:rFonts w:eastAsia="Calibri" w:cs="Times New Roman"/>
        </w:rPr>
        <w:t xml:space="preserve"> </w:t>
      </w:r>
      <w:r w:rsidR="00721D11" w:rsidRPr="00C86E49">
        <w:rPr>
          <w:rFonts w:eastAsia="Calibri" w:cs="Times New Roman"/>
          <w:b/>
          <w:bCs/>
        </w:rPr>
        <w:t>redacted</w:t>
      </w:r>
      <w:r w:rsidR="00B401BA" w:rsidRPr="00375AEF">
        <w:rPr>
          <w:rFonts w:eastAsia="Calibri" w:cs="Times New Roman"/>
        </w:rPr>
        <w:t xml:space="preserve"> </w:t>
      </w:r>
      <w:r w:rsidR="004B2EB2" w:rsidRPr="00375AEF">
        <w:rPr>
          <w:rFonts w:eastAsia="Calibri" w:cs="Times New Roman"/>
        </w:rPr>
        <w:t>to</w:t>
      </w:r>
      <w:r w:rsidR="00B401BA" w:rsidRPr="00375AEF">
        <w:rPr>
          <w:rFonts w:eastAsia="Calibri" w:cs="Times New Roman"/>
        </w:rPr>
        <w:t xml:space="preserve"> </w:t>
      </w:r>
      <w:r w:rsidR="00B401BA" w:rsidRPr="00375AEF">
        <w:rPr>
          <w:rFonts w:eastAsia="Calibri" w:cs="Times New Roman"/>
          <w:b/>
          <w:bCs/>
        </w:rPr>
        <w:t>redacted</w:t>
      </w:r>
      <w:r w:rsidR="004B2EB2" w:rsidRPr="00C86E49">
        <w:rPr>
          <w:rFonts w:eastAsia="Calibri" w:cs="Times New Roman"/>
        </w:rPr>
        <w:t xml:space="preserve"> patients </w:t>
      </w:r>
      <w:r w:rsidR="007A7EF7" w:rsidRPr="00C86E49">
        <w:rPr>
          <w:rFonts w:eastAsia="Calibri" w:cs="Times New Roman"/>
        </w:rPr>
        <w:t>per year may u</w:t>
      </w:r>
      <w:r w:rsidR="00E86574" w:rsidRPr="00C86E49">
        <w:rPr>
          <w:rFonts w:eastAsia="Calibri" w:cs="Times New Roman"/>
        </w:rPr>
        <w:t>tilise IMPELLA and/or ECPELLA</w:t>
      </w:r>
      <w:r w:rsidR="00B35375" w:rsidRPr="00C86E49">
        <w:rPr>
          <w:rFonts w:eastAsia="Calibri" w:cs="Times New Roman"/>
        </w:rPr>
        <w:t xml:space="preserve"> if MBS listed</w:t>
      </w:r>
      <w:r w:rsidR="00E86574" w:rsidRPr="00C86E49">
        <w:rPr>
          <w:rFonts w:eastAsia="Calibri" w:cs="Times New Roman"/>
        </w:rPr>
        <w:t xml:space="preserve">). </w:t>
      </w:r>
      <w:r w:rsidR="00FC0FAF" w:rsidRPr="00C86E49">
        <w:rPr>
          <w:rFonts w:eastAsia="Calibri" w:cs="Times New Roman"/>
        </w:rPr>
        <w:t>The</w:t>
      </w:r>
      <w:r w:rsidR="007A7EF7" w:rsidRPr="00C86E49">
        <w:rPr>
          <w:rFonts w:eastAsia="Calibri" w:cs="Times New Roman"/>
        </w:rPr>
        <w:t xml:space="preserve"> </w:t>
      </w:r>
      <w:r w:rsidRPr="00C86E49">
        <w:rPr>
          <w:rFonts w:eastAsia="Calibri" w:cs="Times New Roman"/>
        </w:rPr>
        <w:t>financial impact</w:t>
      </w:r>
      <w:r w:rsidR="00994833" w:rsidRPr="00C86E49">
        <w:rPr>
          <w:rFonts w:eastAsia="Calibri" w:cs="Times New Roman"/>
        </w:rPr>
        <w:t xml:space="preserve"> </w:t>
      </w:r>
      <w:r w:rsidR="000C37F0" w:rsidRPr="00C86E49">
        <w:rPr>
          <w:rFonts w:eastAsia="Calibri" w:cs="Times New Roman"/>
        </w:rPr>
        <w:t xml:space="preserve">analysis </w:t>
      </w:r>
      <w:r w:rsidR="00236351" w:rsidRPr="00C86E49">
        <w:rPr>
          <w:rFonts w:eastAsia="Calibri" w:cs="Times New Roman"/>
        </w:rPr>
        <w:t xml:space="preserve">estimated that </w:t>
      </w:r>
      <w:r w:rsidR="00FC0FAF" w:rsidRPr="00C86E49">
        <w:rPr>
          <w:rFonts w:eastAsia="Calibri" w:cs="Times New Roman"/>
        </w:rPr>
        <w:t xml:space="preserve">MBS listing </w:t>
      </w:r>
      <w:r w:rsidR="009E282F" w:rsidRPr="00C86E49">
        <w:rPr>
          <w:rFonts w:eastAsia="Calibri" w:cs="Times New Roman"/>
        </w:rPr>
        <w:t>of</w:t>
      </w:r>
      <w:r w:rsidR="00FC0FAF" w:rsidRPr="00C86E49">
        <w:rPr>
          <w:rFonts w:eastAsia="Calibri" w:cs="Times New Roman"/>
        </w:rPr>
        <w:t xml:space="preserve"> IMPELLA</w:t>
      </w:r>
      <w:r w:rsidR="000C37F0" w:rsidRPr="00C86E49">
        <w:rPr>
          <w:rFonts w:eastAsia="Calibri" w:cs="Times New Roman"/>
        </w:rPr>
        <w:t xml:space="preserve">/ECPELLA </w:t>
      </w:r>
      <w:r w:rsidR="00850262" w:rsidRPr="00C86E49">
        <w:rPr>
          <w:rFonts w:eastAsia="Calibri" w:cs="Times New Roman"/>
        </w:rPr>
        <w:t xml:space="preserve">may provide </w:t>
      </w:r>
      <w:r w:rsidR="00ED3B3D" w:rsidRPr="00C86E49">
        <w:rPr>
          <w:rFonts w:eastAsia="Calibri" w:cs="Times New Roman"/>
        </w:rPr>
        <w:t>a small</w:t>
      </w:r>
      <w:r w:rsidRPr="00C86E49">
        <w:rPr>
          <w:rFonts w:eastAsia="Calibri" w:cs="Times New Roman"/>
        </w:rPr>
        <w:t xml:space="preserve"> net cost saving to the MBS</w:t>
      </w:r>
      <w:r w:rsidR="00CB0FEA" w:rsidRPr="00C86E49">
        <w:rPr>
          <w:rFonts w:eastAsia="Calibri" w:cs="Times New Roman"/>
        </w:rPr>
        <w:t xml:space="preserve"> (</w:t>
      </w:r>
      <w:r w:rsidR="001F40A7" w:rsidRPr="00C86E49">
        <w:rPr>
          <w:rFonts w:eastAsia="Calibri" w:cs="Times New Roman"/>
        </w:rPr>
        <w:t>-$</w:t>
      </w:r>
      <w:r w:rsidR="00637ED8" w:rsidRPr="00C86E49">
        <w:rPr>
          <w:rFonts w:eastAsia="Calibri" w:cs="Times New Roman"/>
        </w:rPr>
        <w:t xml:space="preserve">797 in </w:t>
      </w:r>
      <w:r w:rsidR="00692C29" w:rsidRPr="00C86E49">
        <w:rPr>
          <w:rFonts w:eastAsia="Calibri" w:cs="Times New Roman"/>
        </w:rPr>
        <w:t xml:space="preserve">year 1 </w:t>
      </w:r>
      <w:r w:rsidR="00D5370A" w:rsidRPr="00C86E49">
        <w:rPr>
          <w:rFonts w:eastAsia="Calibri" w:cs="Times New Roman"/>
        </w:rPr>
        <w:t xml:space="preserve">to </w:t>
      </w:r>
      <w:r w:rsidR="00FC251F" w:rsidRPr="00C86E49">
        <w:rPr>
          <w:rFonts w:eastAsia="Calibri" w:cs="Times New Roman"/>
        </w:rPr>
        <w:t>-$</w:t>
      </w:r>
      <w:r w:rsidR="00C227CB" w:rsidRPr="00C86E49">
        <w:rPr>
          <w:rFonts w:eastAsia="Calibri" w:cs="Times New Roman"/>
        </w:rPr>
        <w:t>1,308 in year 6)</w:t>
      </w:r>
      <w:r w:rsidR="009415B0" w:rsidRPr="00C86E49">
        <w:rPr>
          <w:rFonts w:eastAsia="Calibri" w:cs="Times New Roman"/>
        </w:rPr>
        <w:t xml:space="preserve">. MSAC also noted </w:t>
      </w:r>
      <w:r w:rsidR="00B67CA3" w:rsidRPr="00C86E49">
        <w:rPr>
          <w:rFonts w:eastAsia="Calibri" w:cs="Times New Roman"/>
        </w:rPr>
        <w:t xml:space="preserve">there could be a </w:t>
      </w:r>
      <w:r w:rsidR="0026177C" w:rsidRPr="00C86E49">
        <w:rPr>
          <w:rFonts w:eastAsia="Calibri" w:cs="Times New Roman"/>
        </w:rPr>
        <w:t xml:space="preserve">low financial impact </w:t>
      </w:r>
      <w:r w:rsidRPr="00C86E49">
        <w:rPr>
          <w:rFonts w:eastAsia="Calibri" w:cs="Times New Roman"/>
        </w:rPr>
        <w:t>to private health insurers of $</w:t>
      </w:r>
      <w:r w:rsidR="00FE3B8E" w:rsidRPr="00C86E49">
        <w:rPr>
          <w:rFonts w:eastAsia="Calibri" w:cs="Times New Roman"/>
          <w:b/>
          <w:bCs/>
        </w:rPr>
        <w:t>redacted</w:t>
      </w:r>
      <w:r w:rsidRPr="00C86E49">
        <w:rPr>
          <w:rFonts w:eastAsia="Calibri" w:cs="Times New Roman"/>
        </w:rPr>
        <w:t xml:space="preserve"> in year 1, increasing to $</w:t>
      </w:r>
      <w:r w:rsidR="00FE3B8E" w:rsidRPr="00C86E49">
        <w:rPr>
          <w:rFonts w:eastAsia="Calibri" w:cs="Times New Roman"/>
          <w:b/>
          <w:bCs/>
        </w:rPr>
        <w:t>redacted</w:t>
      </w:r>
      <w:r w:rsidRPr="00C86E49">
        <w:rPr>
          <w:rFonts w:eastAsia="Calibri" w:cs="Times New Roman"/>
        </w:rPr>
        <w:t xml:space="preserve"> in year 5</w:t>
      </w:r>
      <w:r w:rsidR="004079CF" w:rsidRPr="00C86E49">
        <w:rPr>
          <w:rFonts w:eastAsia="Calibri" w:cs="Times New Roman"/>
        </w:rPr>
        <w:t xml:space="preserve"> if an application to list the IMPELLA device on the Prescribed List</w:t>
      </w:r>
      <w:r w:rsidR="00084832" w:rsidRPr="00C86E49">
        <w:t xml:space="preserve"> of Medical Devices and Human Tissue Products</w:t>
      </w:r>
      <w:r w:rsidR="0046487A" w:rsidRPr="00C86E49">
        <w:t xml:space="preserve"> (PL)</w:t>
      </w:r>
      <w:r w:rsidR="00DD1DD9" w:rsidRPr="00C86E49">
        <w:t xml:space="preserve"> is made and supported by the Medical Device and Human Tissue Advisory Committee</w:t>
      </w:r>
      <w:r w:rsidR="00BA7034" w:rsidRPr="00C86E49">
        <w:t xml:space="preserve"> (MDHTAC)</w:t>
      </w:r>
      <w:r w:rsidRPr="00C86E49">
        <w:rPr>
          <w:rFonts w:eastAsia="Calibri" w:cs="Times New Roman"/>
        </w:rPr>
        <w:t xml:space="preserve">. However, MSAC noted that IMPELLA may be advantageous in centres that do not have ECMO capability, as a temporary measure to stabilise patients until ECMO can be made available or until patients can be transferred to an ECMO centre. </w:t>
      </w:r>
      <w:r w:rsidR="00273CD2" w:rsidRPr="00C86E49">
        <w:rPr>
          <w:rFonts w:eastAsia="Calibri" w:cs="Times New Roman"/>
        </w:rPr>
        <w:t xml:space="preserve">If this </w:t>
      </w:r>
      <w:r w:rsidR="00406749" w:rsidRPr="00C86E49">
        <w:rPr>
          <w:rFonts w:eastAsia="Calibri" w:cs="Times New Roman"/>
        </w:rPr>
        <w:t>is the case, t</w:t>
      </w:r>
      <w:r w:rsidRPr="00C86E49">
        <w:rPr>
          <w:rFonts w:eastAsia="Calibri" w:cs="Times New Roman"/>
        </w:rPr>
        <w:t xml:space="preserve">his </w:t>
      </w:r>
      <w:r w:rsidR="00406749" w:rsidRPr="00C86E49">
        <w:rPr>
          <w:rFonts w:eastAsia="Calibri" w:cs="Times New Roman"/>
        </w:rPr>
        <w:t xml:space="preserve">could </w:t>
      </w:r>
      <w:r w:rsidRPr="00C86E49">
        <w:rPr>
          <w:rFonts w:eastAsia="Calibri" w:cs="Times New Roman"/>
        </w:rPr>
        <w:t xml:space="preserve">increase the financial impact to </w:t>
      </w:r>
      <w:r w:rsidRPr="00C86E49">
        <w:rPr>
          <w:rFonts w:eastAsia="Calibri" w:cs="Times New Roman"/>
        </w:rPr>
        <w:lastRenderedPageBreak/>
        <w:t>the MBS, although MSAC considered that the frequency of utilisation in these circumstances is likely to be low.</w:t>
      </w:r>
    </w:p>
    <w:p w14:paraId="6963CC8E" w14:textId="6F027512" w:rsidR="00314034" w:rsidRPr="00C86E49" w:rsidRDefault="00991EE7" w:rsidP="00314034">
      <w:pPr>
        <w:rPr>
          <w:rFonts w:eastAsia="Calibri" w:cs="Times New Roman"/>
        </w:rPr>
      </w:pPr>
      <w:r w:rsidRPr="00C86E49">
        <w:rPr>
          <w:rFonts w:eastAsia="Calibri" w:cs="Times New Roman"/>
        </w:rPr>
        <w:t xml:space="preserve">Regarding the proposed MBS item descriptors, </w:t>
      </w:r>
      <w:r w:rsidR="00251F91" w:rsidRPr="00C86E49">
        <w:rPr>
          <w:rFonts w:eastAsia="Calibri" w:cs="Times New Roman"/>
        </w:rPr>
        <w:t xml:space="preserve">MSAC considered that the item descriptors should be device agnostic and mention “an intravascular microaxial ventricular assist device” rather than specifying IMPELLA. However, MSAC advice to the department and MDHTAC was that, given the uncertainties already discussed, should other IMVADs also seek PL listing with the intention of using the device agnostic IMVAD MBS items supported by MSAC in this application, then the comparative safety, </w:t>
      </w:r>
      <w:proofErr w:type="gramStart"/>
      <w:r w:rsidR="00251F91" w:rsidRPr="00C86E49">
        <w:rPr>
          <w:rFonts w:eastAsia="Calibri" w:cs="Times New Roman"/>
        </w:rPr>
        <w:t>effectiveness</w:t>
      </w:r>
      <w:proofErr w:type="gramEnd"/>
      <w:r w:rsidR="00251F91" w:rsidRPr="00C86E49">
        <w:rPr>
          <w:rFonts w:eastAsia="Calibri" w:cs="Times New Roman"/>
        </w:rPr>
        <w:t xml:space="preserve"> and cost-effectiveness of future IMVADs should be evaluated and the evaluation should include consideration by MSAC.</w:t>
      </w:r>
      <w:r w:rsidR="00E673DF" w:rsidRPr="00C86E49">
        <w:rPr>
          <w:rFonts w:eastAsia="Calibri" w:cs="Times New Roman"/>
        </w:rPr>
        <w:t xml:space="preserve"> </w:t>
      </w:r>
      <w:r w:rsidR="00314034" w:rsidRPr="00C86E49" w:rsidDel="00DC6AE7">
        <w:rPr>
          <w:rFonts w:eastAsia="Calibri" w:cs="Times New Roman"/>
        </w:rPr>
        <w:t>MSAC considered that “(Anaes)” was appropriate for both percutaneous and surgical insertion</w:t>
      </w:r>
      <w:r w:rsidR="001B2610" w:rsidRPr="00C86E49">
        <w:rPr>
          <w:rFonts w:eastAsia="Calibri" w:cs="Times New Roman"/>
        </w:rPr>
        <w:t xml:space="preserve"> items</w:t>
      </w:r>
      <w:r w:rsidR="00314034" w:rsidRPr="00C86E49" w:rsidDel="00DC6AE7">
        <w:rPr>
          <w:rFonts w:eastAsia="Calibri" w:cs="Times New Roman"/>
        </w:rPr>
        <w:t>, but that “(Assist)” was not required for surgical insertion</w:t>
      </w:r>
      <w:r w:rsidR="001B2610" w:rsidRPr="00C86E49">
        <w:rPr>
          <w:rFonts w:eastAsia="Calibri" w:cs="Times New Roman"/>
        </w:rPr>
        <w:t xml:space="preserve"> item</w:t>
      </w:r>
      <w:r w:rsidR="00314034" w:rsidRPr="00C86E49" w:rsidDel="00DC6AE7">
        <w:rPr>
          <w:rFonts w:eastAsia="Calibri" w:cs="Times New Roman"/>
        </w:rPr>
        <w:t xml:space="preserve">. </w:t>
      </w:r>
      <w:r w:rsidR="008204FF" w:rsidRPr="00C86E49">
        <w:rPr>
          <w:rFonts w:eastAsia="Calibri" w:cs="Times New Roman"/>
        </w:rPr>
        <w:t xml:space="preserve">MSAC agreed with </w:t>
      </w:r>
      <w:r w:rsidR="00314034" w:rsidRPr="00C86E49">
        <w:rPr>
          <w:rFonts w:eastAsia="Calibri" w:cs="Times New Roman"/>
        </w:rPr>
        <w:t xml:space="preserve">ESC </w:t>
      </w:r>
      <w:r w:rsidR="008204FF" w:rsidRPr="00C86E49">
        <w:rPr>
          <w:rFonts w:eastAsia="Calibri" w:cs="Times New Roman"/>
        </w:rPr>
        <w:t xml:space="preserve">that </w:t>
      </w:r>
      <w:r w:rsidR="00314034" w:rsidRPr="00C86E49">
        <w:rPr>
          <w:rFonts w:eastAsia="Calibri" w:cs="Times New Roman"/>
        </w:rPr>
        <w:t>the decision to initiate a patient with CS on an IMVAD (and selection of IMVAD type) should be determined by a multi</w:t>
      </w:r>
      <w:r w:rsidR="00C01B71" w:rsidRPr="00C86E49">
        <w:rPr>
          <w:rFonts w:eastAsia="Calibri" w:cs="Times New Roman"/>
        </w:rPr>
        <w:t>-</w:t>
      </w:r>
      <w:r w:rsidR="00314034" w:rsidRPr="00C86E49">
        <w:rPr>
          <w:rFonts w:eastAsia="Calibri" w:cs="Times New Roman"/>
        </w:rPr>
        <w:t xml:space="preserve">disciplinary team (MDT), typically including an interventional cardiologist, cardiothoracic surgeon, heart failure specialist and intensivist. </w:t>
      </w:r>
      <w:r w:rsidR="00B622D8" w:rsidRPr="00C86E49">
        <w:rPr>
          <w:rFonts w:eastAsia="Calibri" w:cs="Times New Roman"/>
        </w:rPr>
        <w:t xml:space="preserve">Due to the urgency of CS management, </w:t>
      </w:r>
      <w:r w:rsidR="00314034" w:rsidRPr="00C86E49">
        <w:rPr>
          <w:rFonts w:eastAsia="Calibri" w:cs="Times New Roman"/>
        </w:rPr>
        <w:t>MSAC agreed</w:t>
      </w:r>
      <w:r w:rsidR="00C650CE" w:rsidRPr="00C86E49">
        <w:rPr>
          <w:rFonts w:eastAsia="Calibri" w:cs="Times New Roman"/>
        </w:rPr>
        <w:t xml:space="preserve"> with ESC that this should</w:t>
      </w:r>
      <w:r w:rsidR="006203B9" w:rsidRPr="00C86E49">
        <w:rPr>
          <w:rFonts w:eastAsia="Calibri" w:cs="Times New Roman"/>
        </w:rPr>
        <w:t xml:space="preserve"> be</w:t>
      </w:r>
      <w:r w:rsidR="00C650CE" w:rsidRPr="00C86E49">
        <w:rPr>
          <w:rFonts w:eastAsia="Calibri" w:cs="Times New Roman"/>
        </w:rPr>
        <w:t xml:space="preserve"> </w:t>
      </w:r>
      <w:r w:rsidR="00B1102E" w:rsidRPr="00C86E49">
        <w:rPr>
          <w:rFonts w:eastAsia="Calibri" w:cs="Times New Roman"/>
        </w:rPr>
        <w:t>recommended</w:t>
      </w:r>
      <w:r w:rsidR="00AB40FF" w:rsidRPr="00C86E49">
        <w:rPr>
          <w:rFonts w:eastAsia="Calibri" w:cs="Times New Roman"/>
        </w:rPr>
        <w:t xml:space="preserve"> </w:t>
      </w:r>
      <w:r w:rsidR="00297FCE" w:rsidRPr="00C86E49">
        <w:rPr>
          <w:rFonts w:eastAsia="Calibri" w:cs="Times New Roman"/>
        </w:rPr>
        <w:t>in an Explanatory Note</w:t>
      </w:r>
      <w:r w:rsidR="00314034" w:rsidRPr="00C86E49">
        <w:rPr>
          <w:rFonts w:eastAsia="Calibri" w:cs="Times New Roman"/>
        </w:rPr>
        <w:t>.</w:t>
      </w:r>
      <w:r w:rsidR="00AB0072" w:rsidRPr="00C86E49">
        <w:rPr>
          <w:rFonts w:eastAsia="Calibri" w:cs="Times New Roman"/>
        </w:rPr>
        <w:t xml:space="preserve"> MSAC noted the concerns </w:t>
      </w:r>
      <w:r w:rsidR="00B148B1" w:rsidRPr="00C86E49">
        <w:rPr>
          <w:rFonts w:eastAsia="Calibri" w:cs="Times New Roman"/>
        </w:rPr>
        <w:t xml:space="preserve">raised regarding pre-emptive </w:t>
      </w:r>
      <w:r w:rsidR="005E6B92" w:rsidRPr="00C86E49">
        <w:rPr>
          <w:rFonts w:eastAsia="Calibri" w:cs="Times New Roman"/>
        </w:rPr>
        <w:t xml:space="preserve">ECPELLA and </w:t>
      </w:r>
      <w:r w:rsidR="00246AC3" w:rsidRPr="00C86E49">
        <w:rPr>
          <w:rFonts w:eastAsia="Calibri" w:cs="Times New Roman"/>
        </w:rPr>
        <w:t xml:space="preserve">considered that the </w:t>
      </w:r>
      <w:r w:rsidR="00CF546D" w:rsidRPr="00C86E49">
        <w:rPr>
          <w:rFonts w:eastAsia="Calibri" w:cs="Times New Roman"/>
        </w:rPr>
        <w:t xml:space="preserve">Explanatory Note could include: “ECMO should only be considered after insertion of </w:t>
      </w:r>
      <w:r w:rsidR="008F7D76" w:rsidRPr="00C86E49">
        <w:rPr>
          <w:rFonts w:eastAsia="Calibri" w:cs="Times New Roman"/>
        </w:rPr>
        <w:t xml:space="preserve">an IMVAD </w:t>
      </w:r>
      <w:r w:rsidR="001F2037" w:rsidRPr="00C86E49">
        <w:rPr>
          <w:rFonts w:eastAsia="Calibri" w:cs="Times New Roman"/>
        </w:rPr>
        <w:t xml:space="preserve">in </w:t>
      </w:r>
      <w:r w:rsidR="00927D2F" w:rsidRPr="00C86E49">
        <w:rPr>
          <w:rFonts w:eastAsia="Calibri" w:cs="Times New Roman"/>
        </w:rPr>
        <w:t>the case of continu</w:t>
      </w:r>
      <w:r w:rsidR="007F7CBD" w:rsidRPr="00C86E49">
        <w:rPr>
          <w:rFonts w:eastAsia="Calibri" w:cs="Times New Roman"/>
        </w:rPr>
        <w:t>ing clinical deterioration”.</w:t>
      </w:r>
    </w:p>
    <w:p w14:paraId="2DC41232" w14:textId="3C58C7F5" w:rsidR="00314034" w:rsidRPr="00C86E49" w:rsidRDefault="00314034" w:rsidP="00314034">
      <w:pPr>
        <w:rPr>
          <w:rFonts w:eastAsia="Calibri" w:cs="Times New Roman"/>
        </w:rPr>
      </w:pPr>
      <w:r w:rsidRPr="00C86E49">
        <w:rPr>
          <w:rFonts w:eastAsia="Calibri" w:cs="Times New Roman"/>
        </w:rPr>
        <w:t>MSAC considered that the item descriptors did not need to mention patient age</w:t>
      </w:r>
      <w:r w:rsidR="00C47D53" w:rsidRPr="00C86E49">
        <w:rPr>
          <w:rFonts w:eastAsia="Calibri" w:cs="Times New Roman"/>
        </w:rPr>
        <w:t>, noting the applicant’s pre-MSAC response had confirmed that</w:t>
      </w:r>
      <w:r w:rsidRPr="00C86E49">
        <w:rPr>
          <w:rFonts w:eastAsia="Calibri" w:cs="Times New Roman"/>
        </w:rPr>
        <w:t xml:space="preserve"> IMPELLA is only</w:t>
      </w:r>
      <w:r w:rsidR="00C47D53" w:rsidRPr="00C86E49">
        <w:rPr>
          <w:rFonts w:eastAsia="Calibri" w:cs="Times New Roman"/>
        </w:rPr>
        <w:t xml:space="preserve"> ARTG</w:t>
      </w:r>
      <w:r w:rsidRPr="00C86E49">
        <w:rPr>
          <w:rFonts w:eastAsia="Calibri" w:cs="Times New Roman"/>
        </w:rPr>
        <w:t xml:space="preserve"> registered for use in adults</w:t>
      </w:r>
      <w:r w:rsidR="00C47D53" w:rsidRPr="00C86E49">
        <w:rPr>
          <w:rFonts w:eastAsia="Calibri" w:cs="Times New Roman"/>
        </w:rPr>
        <w:t xml:space="preserve"> and </w:t>
      </w:r>
      <w:r w:rsidR="001A2E01" w:rsidRPr="00C86E49">
        <w:rPr>
          <w:rFonts w:eastAsia="Calibri" w:cs="Times New Roman"/>
        </w:rPr>
        <w:t xml:space="preserve">that should the </w:t>
      </w:r>
      <w:r w:rsidR="00295DA7" w:rsidRPr="00C86E49">
        <w:rPr>
          <w:rFonts w:eastAsia="Calibri" w:cs="Times New Roman"/>
        </w:rPr>
        <w:t>ARTG indication for IMVA</w:t>
      </w:r>
      <w:r w:rsidR="00BF5F0A" w:rsidRPr="00C86E49">
        <w:rPr>
          <w:rFonts w:eastAsia="Calibri" w:cs="Times New Roman"/>
        </w:rPr>
        <w:t>D change to include paediatric patients th</w:t>
      </w:r>
      <w:r w:rsidR="00F51005" w:rsidRPr="00C86E49">
        <w:rPr>
          <w:rFonts w:eastAsia="Calibri" w:cs="Times New Roman"/>
        </w:rPr>
        <w:t xml:space="preserve">en an application would be made to amend the MBS indication. </w:t>
      </w:r>
      <w:r w:rsidR="00442F2E" w:rsidRPr="00C86E49">
        <w:rPr>
          <w:rFonts w:eastAsia="Calibri" w:cs="Times New Roman"/>
        </w:rPr>
        <w:t xml:space="preserve">MSAC </w:t>
      </w:r>
      <w:r w:rsidR="00826E9A" w:rsidRPr="00C86E49">
        <w:rPr>
          <w:rFonts w:eastAsia="Calibri" w:cs="Times New Roman"/>
        </w:rPr>
        <w:t>considered the potential for reimplant</w:t>
      </w:r>
      <w:r w:rsidR="3CE46457" w:rsidRPr="00C86E49">
        <w:rPr>
          <w:rFonts w:eastAsia="Calibri" w:cs="Times New Roman"/>
        </w:rPr>
        <w:t>ation</w:t>
      </w:r>
      <w:r w:rsidR="00826E9A" w:rsidRPr="00C86E49">
        <w:rPr>
          <w:rFonts w:eastAsia="Calibri" w:cs="Times New Roman"/>
        </w:rPr>
        <w:t xml:space="preserve"> ha</w:t>
      </w:r>
      <w:r w:rsidR="00490A76" w:rsidRPr="00C86E49">
        <w:rPr>
          <w:rFonts w:eastAsia="Calibri" w:cs="Times New Roman"/>
        </w:rPr>
        <w:t>d</w:t>
      </w:r>
      <w:r w:rsidR="00826E9A" w:rsidRPr="00C86E49">
        <w:rPr>
          <w:rFonts w:eastAsia="Calibri" w:cs="Times New Roman"/>
        </w:rPr>
        <w:t xml:space="preserve"> been adequately addressed by the applicant and as such</w:t>
      </w:r>
      <w:r w:rsidR="00FD088B" w:rsidRPr="00C86E49">
        <w:rPr>
          <w:rFonts w:eastAsia="Calibri" w:cs="Times New Roman"/>
        </w:rPr>
        <w:t xml:space="preserve"> </w:t>
      </w:r>
      <w:r w:rsidR="00442F2E" w:rsidRPr="00C86E49">
        <w:rPr>
          <w:rFonts w:eastAsia="Calibri" w:cs="Times New Roman"/>
        </w:rPr>
        <w:t xml:space="preserve">did not consider a restriction </w:t>
      </w:r>
      <w:r w:rsidR="00826E9A" w:rsidRPr="00C86E49">
        <w:rPr>
          <w:rFonts w:eastAsia="Calibri" w:cs="Times New Roman"/>
        </w:rPr>
        <w:t>for this was required.</w:t>
      </w:r>
      <w:r w:rsidRPr="00C86E49">
        <w:rPr>
          <w:rFonts w:eastAsia="Calibri" w:cs="Times New Roman"/>
        </w:rPr>
        <w:t xml:space="preserve"> </w:t>
      </w:r>
    </w:p>
    <w:p w14:paraId="3958451B" w14:textId="51282BA7" w:rsidR="00792D8D" w:rsidRPr="00C86E49" w:rsidRDefault="003E7EFB" w:rsidP="00792D8D">
      <w:pPr>
        <w:rPr>
          <w:rFonts w:eastAsia="Calibri" w:cs="Times New Roman"/>
        </w:rPr>
      </w:pPr>
      <w:r w:rsidRPr="00C86E49">
        <w:rPr>
          <w:rFonts w:eastAsia="Calibri" w:cs="Times New Roman"/>
        </w:rPr>
        <w:t xml:space="preserve">Overall, MSAC acknowledged the limitations and uncertainty in the clinical evidence but </w:t>
      </w:r>
      <w:r w:rsidR="00090C02" w:rsidRPr="00C86E49">
        <w:rPr>
          <w:rFonts w:eastAsia="Calibri" w:cs="Times New Roman"/>
        </w:rPr>
        <w:t>considered the</w:t>
      </w:r>
      <w:r w:rsidR="000463EE" w:rsidRPr="00C86E49">
        <w:rPr>
          <w:rFonts w:eastAsia="Calibri" w:cs="Times New Roman"/>
        </w:rPr>
        <w:t>re was a high clinical need for the intervention and that the evid</w:t>
      </w:r>
      <w:r w:rsidR="00FF095D" w:rsidRPr="00C86E49">
        <w:rPr>
          <w:rFonts w:eastAsia="Calibri" w:cs="Times New Roman"/>
        </w:rPr>
        <w:t xml:space="preserve">ence </w:t>
      </w:r>
      <w:r w:rsidR="001564A0" w:rsidRPr="00C86E49">
        <w:rPr>
          <w:rFonts w:eastAsia="Calibri" w:cs="Times New Roman"/>
        </w:rPr>
        <w:t>supported the</w:t>
      </w:r>
      <w:r w:rsidR="00FB53CF" w:rsidRPr="00C86E49">
        <w:rPr>
          <w:rFonts w:eastAsia="Calibri" w:cs="Times New Roman"/>
        </w:rPr>
        <w:t xml:space="preserve"> </w:t>
      </w:r>
      <w:r w:rsidR="001564A0" w:rsidRPr="00C86E49">
        <w:rPr>
          <w:rFonts w:eastAsia="Calibri" w:cs="Times New Roman"/>
        </w:rPr>
        <w:t xml:space="preserve">comparative effectiveness </w:t>
      </w:r>
      <w:r w:rsidR="00FF5962" w:rsidRPr="00C86E49">
        <w:rPr>
          <w:rFonts w:eastAsia="Calibri" w:cs="Times New Roman"/>
        </w:rPr>
        <w:t xml:space="preserve">and cost-effectiveness of IMPELLA compared with VA-ECMO. </w:t>
      </w:r>
      <w:r w:rsidR="009A3D97" w:rsidRPr="00C86E49">
        <w:rPr>
          <w:rFonts w:eastAsia="Calibri" w:cs="Times New Roman"/>
        </w:rPr>
        <w:t xml:space="preserve">MSAC considered that the evidence for </w:t>
      </w:r>
      <w:r w:rsidR="00934B58" w:rsidRPr="00C86E49">
        <w:rPr>
          <w:rFonts w:eastAsia="Calibri" w:cs="Times New Roman"/>
        </w:rPr>
        <w:t>ECPELLA</w:t>
      </w:r>
      <w:r w:rsidR="00C16B20" w:rsidRPr="00C86E49">
        <w:rPr>
          <w:rFonts w:eastAsia="Calibri" w:cs="Times New Roman"/>
        </w:rPr>
        <w:t xml:space="preserve"> </w:t>
      </w:r>
      <w:r w:rsidR="009A3D97" w:rsidRPr="00C86E49">
        <w:rPr>
          <w:rFonts w:eastAsia="Calibri" w:cs="Times New Roman"/>
        </w:rPr>
        <w:t>was less certain than for IMPELLA</w:t>
      </w:r>
      <w:r w:rsidR="005C78EE" w:rsidRPr="00C86E49">
        <w:rPr>
          <w:rFonts w:eastAsia="Calibri" w:cs="Times New Roman"/>
        </w:rPr>
        <w:t xml:space="preserve"> but accepted there was also a clinical need for </w:t>
      </w:r>
      <w:r w:rsidR="00F61E15" w:rsidRPr="00C86E49">
        <w:rPr>
          <w:rFonts w:eastAsia="Calibri" w:cs="Times New Roman"/>
        </w:rPr>
        <w:t xml:space="preserve">ECPELLA </w:t>
      </w:r>
      <w:r w:rsidR="00C051E5" w:rsidRPr="00C86E49">
        <w:rPr>
          <w:rFonts w:eastAsia="Calibri" w:cs="Times New Roman"/>
        </w:rPr>
        <w:t xml:space="preserve">in patients with CS who required LV unloading. </w:t>
      </w:r>
      <w:r w:rsidR="003E496F" w:rsidRPr="00C86E49">
        <w:rPr>
          <w:rFonts w:eastAsia="Calibri" w:cs="Times New Roman"/>
        </w:rPr>
        <w:t xml:space="preserve">MSAC also noted that </w:t>
      </w:r>
      <w:r w:rsidR="004B5B9F" w:rsidRPr="00C86E49">
        <w:rPr>
          <w:rFonts w:eastAsia="Calibri" w:cs="Times New Roman"/>
        </w:rPr>
        <w:t xml:space="preserve">the very low estimated utilisation </w:t>
      </w:r>
      <w:r w:rsidR="00293132" w:rsidRPr="00C86E49">
        <w:rPr>
          <w:rFonts w:eastAsia="Calibri" w:cs="Times New Roman"/>
        </w:rPr>
        <w:t>would provide a</w:t>
      </w:r>
      <w:r w:rsidR="00293132" w:rsidRPr="00C86E49">
        <w:t xml:space="preserve"> </w:t>
      </w:r>
      <w:r w:rsidR="00293132" w:rsidRPr="00C86E49">
        <w:rPr>
          <w:rFonts w:eastAsia="Calibri" w:cs="Times New Roman"/>
        </w:rPr>
        <w:t xml:space="preserve">small cost saving to the MBS and a low financial impact to private health insurers </w:t>
      </w:r>
      <w:r w:rsidR="00B17A3F" w:rsidRPr="00C86E49">
        <w:rPr>
          <w:rFonts w:eastAsia="Calibri" w:cs="Times New Roman"/>
        </w:rPr>
        <w:t xml:space="preserve">(if the IMPELLA device is </w:t>
      </w:r>
      <w:r w:rsidR="00A541E6" w:rsidRPr="00C86E49">
        <w:rPr>
          <w:rFonts w:eastAsia="Calibri" w:cs="Times New Roman"/>
        </w:rPr>
        <w:t xml:space="preserve">listed on the PL). </w:t>
      </w:r>
      <w:r w:rsidR="005D779F" w:rsidRPr="00C86E49">
        <w:rPr>
          <w:rFonts w:eastAsia="Calibri" w:cs="Times New Roman"/>
        </w:rPr>
        <w:t>The</w:t>
      </w:r>
      <w:r w:rsidR="00A273B7" w:rsidRPr="00C86E49">
        <w:rPr>
          <w:rFonts w:eastAsia="Calibri" w:cs="Times New Roman"/>
        </w:rPr>
        <w:t>refore,</w:t>
      </w:r>
      <w:r w:rsidR="005D779F" w:rsidRPr="00C86E49">
        <w:rPr>
          <w:rFonts w:eastAsia="Calibri" w:cs="Times New Roman"/>
        </w:rPr>
        <w:t xml:space="preserve"> </w:t>
      </w:r>
      <w:r w:rsidR="00792D8D" w:rsidRPr="00C86E49">
        <w:rPr>
          <w:rFonts w:eastAsia="Calibri" w:cs="Times New Roman"/>
        </w:rPr>
        <w:t xml:space="preserve">MSAC </w:t>
      </w:r>
      <w:r w:rsidR="00111BF6" w:rsidRPr="00C86E49">
        <w:rPr>
          <w:rFonts w:eastAsia="Calibri" w:cs="Times New Roman"/>
        </w:rPr>
        <w:t xml:space="preserve">supported </w:t>
      </w:r>
      <w:r w:rsidR="00B32E32" w:rsidRPr="00C86E49">
        <w:rPr>
          <w:rFonts w:eastAsia="Calibri" w:cs="Times New Roman"/>
        </w:rPr>
        <w:t xml:space="preserve">the creation of new </w:t>
      </w:r>
      <w:r w:rsidR="00792D8D" w:rsidRPr="00C86E49">
        <w:rPr>
          <w:rFonts w:eastAsia="Calibri" w:cs="Times New Roman"/>
        </w:rPr>
        <w:t xml:space="preserve">MBS </w:t>
      </w:r>
      <w:r w:rsidR="00B32E32" w:rsidRPr="00C86E49">
        <w:rPr>
          <w:rFonts w:eastAsia="Calibri" w:cs="Times New Roman"/>
        </w:rPr>
        <w:t>items</w:t>
      </w:r>
      <w:r w:rsidR="00A273B7" w:rsidRPr="00C86E49">
        <w:rPr>
          <w:rFonts w:eastAsia="Calibri" w:cs="Times New Roman"/>
        </w:rPr>
        <w:t xml:space="preserve"> </w:t>
      </w:r>
      <w:r w:rsidR="00892643" w:rsidRPr="00C86E49">
        <w:t>for transluminal insertion</w:t>
      </w:r>
      <w:r w:rsidR="006C29BB" w:rsidRPr="00C86E49">
        <w:t xml:space="preserve">, </w:t>
      </w:r>
      <w:proofErr w:type="gramStart"/>
      <w:r w:rsidR="006C29BB" w:rsidRPr="00C86E49">
        <w:t>removal</w:t>
      </w:r>
      <w:proofErr w:type="gramEnd"/>
      <w:r w:rsidR="00892643" w:rsidRPr="00C86E49">
        <w:t xml:space="preserve"> and management of a left IMVAD for the management of patients with CS requiring temporary MCS</w:t>
      </w:r>
      <w:r w:rsidR="00892643" w:rsidRPr="00C86E49">
        <w:rPr>
          <w:rFonts w:eastAsia="Calibri" w:cs="Times New Roman"/>
        </w:rPr>
        <w:t xml:space="preserve"> </w:t>
      </w:r>
      <w:r w:rsidR="007B0721" w:rsidRPr="00C86E49">
        <w:rPr>
          <w:rFonts w:eastAsia="Calibri" w:cs="Times New Roman"/>
        </w:rPr>
        <w:t>as</w:t>
      </w:r>
      <w:r w:rsidR="005D779F" w:rsidRPr="00C86E49">
        <w:rPr>
          <w:rFonts w:eastAsia="Calibri" w:cs="Times New Roman"/>
        </w:rPr>
        <w:t xml:space="preserve"> show</w:t>
      </w:r>
      <w:r w:rsidR="006E45C4" w:rsidRPr="00C86E49">
        <w:rPr>
          <w:rFonts w:eastAsia="Calibri" w:cs="Times New Roman"/>
        </w:rPr>
        <w:t xml:space="preserve">n in </w:t>
      </w:r>
      <w:r w:rsidR="00B32E32" w:rsidRPr="00C86E49">
        <w:rPr>
          <w:rFonts w:eastAsia="Calibri" w:cs="Times New Roman"/>
        </w:rPr>
        <w:fldChar w:fldCharType="begin"/>
      </w:r>
      <w:r w:rsidR="00B32E32" w:rsidRPr="00C86E49">
        <w:rPr>
          <w:rFonts w:eastAsia="Calibri" w:cs="Times New Roman"/>
        </w:rPr>
        <w:instrText xml:space="preserve"> REF _Ref163739537 \h </w:instrText>
      </w:r>
      <w:r w:rsidR="00C86E49">
        <w:rPr>
          <w:rFonts w:eastAsia="Calibri" w:cs="Times New Roman"/>
        </w:rPr>
        <w:instrText xml:space="preserve"> \* MERGEFORMAT </w:instrText>
      </w:r>
      <w:r w:rsidR="00B32E32" w:rsidRPr="00C86E49">
        <w:rPr>
          <w:rFonts w:eastAsia="Calibri" w:cs="Times New Roman"/>
        </w:rPr>
      </w:r>
      <w:r w:rsidR="00B32E32" w:rsidRPr="00C86E49">
        <w:rPr>
          <w:rFonts w:eastAsia="Calibri" w:cs="Times New Roman"/>
        </w:rPr>
        <w:fldChar w:fldCharType="separate"/>
      </w:r>
      <w:r w:rsidR="00B32E32" w:rsidRPr="00C86E49">
        <w:t xml:space="preserve">Table </w:t>
      </w:r>
      <w:r w:rsidR="00B32E32" w:rsidRPr="00C86E49">
        <w:rPr>
          <w:noProof/>
        </w:rPr>
        <w:t>1</w:t>
      </w:r>
      <w:r w:rsidR="00B32E32" w:rsidRPr="00C86E49">
        <w:rPr>
          <w:rFonts w:eastAsia="Calibri" w:cs="Times New Roman"/>
        </w:rPr>
        <w:fldChar w:fldCharType="end"/>
      </w:r>
      <w:r w:rsidR="0068791B" w:rsidRPr="00C86E49">
        <w:rPr>
          <w:rFonts w:eastAsia="Calibri" w:cs="Times New Roman"/>
        </w:rPr>
        <w:t>.</w:t>
      </w:r>
    </w:p>
    <w:p w14:paraId="2CFE4F64" w14:textId="5434ED7D" w:rsidR="005D779F" w:rsidRPr="00C86E49" w:rsidRDefault="005D779F" w:rsidP="00DC6A08">
      <w:pPr>
        <w:pStyle w:val="Caption"/>
        <w:rPr>
          <w:rFonts w:eastAsia="Calibri"/>
        </w:rPr>
      </w:pPr>
      <w:bookmarkStart w:id="3" w:name="_Ref163739537"/>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1</w:t>
      </w:r>
      <w:r w:rsidR="007552E5">
        <w:rPr>
          <w:noProof/>
        </w:rPr>
        <w:fldChar w:fldCharType="end"/>
      </w:r>
      <w:bookmarkEnd w:id="3"/>
      <w:r w:rsidRPr="00C86E49">
        <w:t xml:space="preserve"> MSAC supported MBS items for the transluminal insertion and management of an IMVAD for the management of patients with </w:t>
      </w:r>
      <w:proofErr w:type="gramStart"/>
      <w:r w:rsidRPr="00C86E49">
        <w:t>CS</w:t>
      </w:r>
      <w:proofErr w:type="gram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roposed item descriptors for Category 3 – Therapeutic Procedures"/>
      </w:tblPr>
      <w:tblGrid>
        <w:gridCol w:w="9010"/>
      </w:tblGrid>
      <w:tr w:rsidR="00792D8D" w:rsidRPr="00C86E49" w14:paraId="1FED5FD0" w14:textId="77777777">
        <w:trPr>
          <w:trHeight w:val="345"/>
        </w:trPr>
        <w:tc>
          <w:tcPr>
            <w:tcW w:w="9015" w:type="dxa"/>
            <w:tcBorders>
              <w:top w:val="single" w:sz="6" w:space="0" w:color="000000"/>
              <w:left w:val="single" w:sz="6" w:space="0" w:color="000000"/>
              <w:bottom w:val="single" w:sz="6" w:space="0" w:color="000000"/>
              <w:right w:val="single" w:sz="6" w:space="0" w:color="000000"/>
            </w:tcBorders>
            <w:hideMark/>
          </w:tcPr>
          <w:p w14:paraId="0A600004" w14:textId="69F093A2" w:rsidR="00792D8D" w:rsidRPr="00C86E49" w:rsidRDefault="00792D8D" w:rsidP="00792D8D">
            <w:pPr>
              <w:textAlignment w:val="baseline"/>
              <w:rPr>
                <w:rFonts w:ascii="Segoe UI" w:eastAsia="Calibri" w:hAnsi="Segoe UI" w:cs="Segoe UI"/>
                <w:sz w:val="18"/>
                <w:szCs w:val="18"/>
                <w:lang w:eastAsia="en-AU"/>
              </w:rPr>
            </w:pPr>
            <w:r w:rsidRPr="00C86E49">
              <w:rPr>
                <w:rFonts w:ascii="Arial Narrow" w:eastAsia="Calibri" w:hAnsi="Arial Narrow" w:cs="Segoe UI"/>
                <w:b/>
                <w:bCs/>
                <w:sz w:val="20"/>
                <w:lang w:eastAsia="en-AU"/>
              </w:rPr>
              <w:t>Percutaneous insertion</w:t>
            </w:r>
            <w:r w:rsidRPr="00C86E49">
              <w:rPr>
                <w:rFonts w:ascii="Arial Narrow" w:eastAsia="Calibri" w:hAnsi="Arial Narrow" w:cs="Segoe UI"/>
                <w:sz w:val="20"/>
                <w:lang w:eastAsia="en-AU"/>
              </w:rPr>
              <w:t> </w:t>
            </w:r>
          </w:p>
        </w:tc>
      </w:tr>
      <w:tr w:rsidR="00792D8D" w:rsidRPr="00C86E49" w14:paraId="38A1ADA6" w14:textId="77777777">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7081778A"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MBS item *XXXX </w:t>
            </w:r>
          </w:p>
          <w:p w14:paraId="31D3E630" w14:textId="77777777" w:rsidR="00792D8D" w:rsidRPr="00C86E49" w:rsidRDefault="00792D8D" w:rsidP="00792D8D">
            <w:pPr>
              <w:spacing w:after="120"/>
              <w:textAlignment w:val="baseline"/>
              <w:rPr>
                <w:rFonts w:ascii="Arial Narrow" w:eastAsia="Calibri" w:hAnsi="Arial Narrow" w:cs="Segoe UI"/>
                <w:sz w:val="20"/>
                <w:szCs w:val="20"/>
                <w:lang w:eastAsia="en-AU"/>
              </w:rPr>
            </w:pPr>
            <w:r w:rsidRPr="00C86E49">
              <w:rPr>
                <w:rFonts w:ascii="Arial Narrow" w:eastAsia="Calibri" w:hAnsi="Arial Narrow" w:cs="Segoe UI"/>
                <w:sz w:val="20"/>
                <w:lang w:eastAsia="en-AU"/>
              </w:rPr>
              <w:t xml:space="preserve">Percutaneous insertion of an intravascular microaxial ventricular assist device, </w:t>
            </w:r>
            <w:r w:rsidRPr="00C86E49">
              <w:rPr>
                <w:rFonts w:ascii="Arial Narrow" w:eastAsia="Calibri" w:hAnsi="Arial Narrow" w:cs="Segoe UI"/>
                <w:sz w:val="20"/>
              </w:rPr>
              <w:t>into the left ventricle only,</w:t>
            </w:r>
            <w:r w:rsidRPr="00C86E49">
              <w:rPr>
                <w:rFonts w:ascii="Arial Narrow" w:eastAsia="Calibri" w:hAnsi="Arial Narrow" w:cs="Segoe UI"/>
                <w:sz w:val="20"/>
                <w:lang w:eastAsia="en-AU"/>
              </w:rPr>
              <w:t xml:space="preserve"> by arteriotomy: if  </w:t>
            </w:r>
          </w:p>
          <w:p w14:paraId="29329F6C" w14:textId="77777777" w:rsidR="00792D8D" w:rsidRPr="00C86E49" w:rsidRDefault="00792D8D" w:rsidP="00FA4CEF">
            <w:pPr>
              <w:widowControl w:val="0"/>
              <w:numPr>
                <w:ilvl w:val="0"/>
                <w:numId w:val="25"/>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the patient has deteriorating symptoms of cardiogenic shock (with no evidence of significant anoxic neurological injury), which are not controlled by optimal medical therapy; or </w:t>
            </w:r>
          </w:p>
          <w:p w14:paraId="161ABFDD" w14:textId="77777777" w:rsidR="00792D8D" w:rsidRPr="00C86E49" w:rsidRDefault="00792D8D" w:rsidP="00FA4CEF">
            <w:pPr>
              <w:widowControl w:val="0"/>
              <w:numPr>
                <w:ilvl w:val="0"/>
                <w:numId w:val="25"/>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 xml:space="preserve">the patient is on VA-ECMO, </w:t>
            </w:r>
            <w:proofErr w:type="gramStart"/>
            <w:r w:rsidRPr="00C86E49">
              <w:rPr>
                <w:rFonts w:ascii="Arial Narrow" w:eastAsia="Times New Roman" w:hAnsi="Arial Narrow" w:cs="Segoe UI"/>
                <w:sz w:val="20"/>
                <w:lang w:eastAsia="en-AU"/>
              </w:rPr>
              <w:t>for;</w:t>
            </w:r>
            <w:proofErr w:type="gramEnd"/>
            <w:r w:rsidRPr="00C86E49">
              <w:rPr>
                <w:rFonts w:ascii="Arial Narrow" w:eastAsia="Times New Roman" w:hAnsi="Arial Narrow" w:cs="Segoe UI"/>
                <w:sz w:val="20"/>
                <w:lang w:eastAsia="en-AU"/>
              </w:rPr>
              <w:t xml:space="preserve"> </w:t>
            </w:r>
          </w:p>
          <w:p w14:paraId="1B3F3BA8" w14:textId="77777777" w:rsidR="00792D8D" w:rsidRPr="00C86E49" w:rsidRDefault="00792D8D" w:rsidP="00FA4CEF">
            <w:pPr>
              <w:widowControl w:val="0"/>
              <w:numPr>
                <w:ilvl w:val="1"/>
                <w:numId w:val="25"/>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deteriorating symptoms of cardiogenic shock (with no evidence of significant anoxic neurological injury); and </w:t>
            </w:r>
          </w:p>
          <w:p w14:paraId="63E0629D" w14:textId="77777777" w:rsidR="00792D8D" w:rsidRPr="00C86E49" w:rsidRDefault="00792D8D" w:rsidP="00FA4CEF">
            <w:pPr>
              <w:widowControl w:val="0"/>
              <w:numPr>
                <w:ilvl w:val="1"/>
                <w:numId w:val="25"/>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 xml:space="preserve">is not controlled by optimal medical therapy; and </w:t>
            </w:r>
          </w:p>
          <w:p w14:paraId="3233FEEC" w14:textId="77777777" w:rsidR="00792D8D" w:rsidRPr="00C86E49" w:rsidRDefault="00792D8D" w:rsidP="00FA4CEF">
            <w:pPr>
              <w:widowControl w:val="0"/>
              <w:numPr>
                <w:ilvl w:val="1"/>
                <w:numId w:val="25"/>
              </w:numPr>
              <w:snapToGrid w:val="0"/>
              <w:spacing w:before="0" w:after="120" w:line="240" w:lineRule="auto"/>
              <w:contextualSpacing/>
              <w:rPr>
                <w:rFonts w:ascii="Arial Narrow" w:eastAsia="Times New Roman" w:hAnsi="Arial Narrow" w:cs="Segoe UI"/>
                <w:sz w:val="20"/>
                <w:lang w:eastAsia="en-AU"/>
              </w:rPr>
            </w:pPr>
            <w:proofErr w:type="gramStart"/>
            <w:r w:rsidRPr="00C86E49">
              <w:rPr>
                <w:rFonts w:ascii="Arial Narrow" w:eastAsia="Times New Roman" w:hAnsi="Arial Narrow" w:cs="Segoe UI"/>
                <w:sz w:val="20"/>
                <w:lang w:eastAsia="en-AU"/>
              </w:rPr>
              <w:t>due to the effects</w:t>
            </w:r>
            <w:proofErr w:type="gramEnd"/>
            <w:r w:rsidRPr="00C86E49">
              <w:rPr>
                <w:rFonts w:ascii="Arial Narrow" w:eastAsia="Times New Roman" w:hAnsi="Arial Narrow" w:cs="Segoe UI"/>
                <w:sz w:val="20"/>
                <w:lang w:eastAsia="en-AU"/>
              </w:rPr>
              <w:t xml:space="preserve"> of established VA-ECMO, requires unloading of the left ventricle.</w:t>
            </w:r>
          </w:p>
          <w:p w14:paraId="0FC76E11" w14:textId="77777777" w:rsidR="00792D8D" w:rsidRPr="00C86E49" w:rsidRDefault="00792D8D" w:rsidP="00792D8D">
            <w:pPr>
              <w:spacing w:after="120"/>
              <w:textAlignment w:val="baseline"/>
              <w:rPr>
                <w:rFonts w:ascii="Arial Narrow" w:eastAsia="Calibri" w:hAnsi="Arial Narrow" w:cs="Segoe UI"/>
                <w:sz w:val="20"/>
                <w:lang w:eastAsia="en-AU"/>
              </w:rPr>
            </w:pPr>
            <w:r w:rsidRPr="00C86E49">
              <w:rPr>
                <w:rFonts w:ascii="Arial Narrow" w:eastAsia="Calibri" w:hAnsi="Arial Narrow" w:cs="Segoe UI"/>
                <w:sz w:val="20"/>
                <w:lang w:eastAsia="en-AU"/>
              </w:rPr>
              <w:lastRenderedPageBreak/>
              <w:t>including all associated intraoperative imaging </w:t>
            </w:r>
          </w:p>
          <w:p w14:paraId="70D63CD8"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Segoe UI" w:eastAsia="Calibri" w:hAnsi="Segoe UI" w:cs="Segoe UI"/>
                <w:sz w:val="18"/>
                <w:szCs w:val="18"/>
                <w:lang w:eastAsia="en-AU"/>
              </w:rPr>
              <w:t>(Anaes)</w:t>
            </w:r>
          </w:p>
          <w:p w14:paraId="65E90CEC"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Fee: $693.65 </w:t>
            </w:r>
          </w:p>
        </w:tc>
      </w:tr>
      <w:tr w:rsidR="00792D8D" w:rsidRPr="00C86E49" w14:paraId="7809E43D"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2D8F9312" w14:textId="77777777" w:rsidR="00792D8D" w:rsidRPr="00C86E49" w:rsidRDefault="00792D8D" w:rsidP="00792D8D">
            <w:pPr>
              <w:textAlignment w:val="baseline"/>
              <w:rPr>
                <w:rFonts w:ascii="Segoe UI" w:eastAsia="Calibri" w:hAnsi="Segoe UI" w:cs="Segoe UI"/>
                <w:sz w:val="18"/>
                <w:szCs w:val="18"/>
                <w:lang w:eastAsia="en-AU"/>
              </w:rPr>
            </w:pPr>
            <w:r w:rsidRPr="00C86E49">
              <w:rPr>
                <w:rFonts w:ascii="Arial Narrow" w:eastAsia="Calibri" w:hAnsi="Arial Narrow" w:cs="Segoe UI"/>
                <w:b/>
                <w:bCs/>
                <w:sz w:val="20"/>
                <w:lang w:eastAsia="en-AU"/>
              </w:rPr>
              <w:lastRenderedPageBreak/>
              <w:t>Surgical insertion</w:t>
            </w:r>
            <w:r w:rsidRPr="00C86E49">
              <w:rPr>
                <w:rFonts w:ascii="Arial Narrow" w:eastAsia="Calibri" w:hAnsi="Arial Narrow" w:cs="Segoe UI"/>
                <w:sz w:val="20"/>
                <w:lang w:eastAsia="en-AU"/>
              </w:rPr>
              <w:t> </w:t>
            </w:r>
          </w:p>
        </w:tc>
      </w:tr>
      <w:tr w:rsidR="00792D8D" w:rsidRPr="00C86E49" w14:paraId="0A7A1950"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2E85FC09"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MBS item *XXXX </w:t>
            </w:r>
          </w:p>
          <w:p w14:paraId="6522B31E" w14:textId="77777777" w:rsidR="00792D8D" w:rsidRPr="00C86E49" w:rsidRDefault="00792D8D" w:rsidP="00792D8D">
            <w:pPr>
              <w:spacing w:after="120"/>
              <w:textAlignment w:val="baseline"/>
              <w:rPr>
                <w:rFonts w:ascii="Arial Narrow" w:eastAsia="Calibri" w:hAnsi="Arial Narrow" w:cs="Segoe UI"/>
                <w:sz w:val="20"/>
                <w:szCs w:val="20"/>
                <w:lang w:eastAsia="en-AU"/>
              </w:rPr>
            </w:pPr>
            <w:r w:rsidRPr="00C86E49">
              <w:rPr>
                <w:rFonts w:ascii="Arial Narrow" w:eastAsia="Calibri" w:hAnsi="Arial Narrow" w:cs="Segoe UI"/>
                <w:sz w:val="20"/>
                <w:lang w:eastAsia="en-AU"/>
              </w:rPr>
              <w:t xml:space="preserve">Surgical insertion of </w:t>
            </w:r>
            <w:bookmarkStart w:id="4" w:name="_Hlk163209249"/>
            <w:r w:rsidRPr="00C86E49">
              <w:rPr>
                <w:rFonts w:ascii="Arial Narrow" w:eastAsia="Calibri" w:hAnsi="Arial Narrow" w:cs="Segoe UI"/>
                <w:sz w:val="20"/>
                <w:lang w:eastAsia="en-AU"/>
              </w:rPr>
              <w:t>an intravascular microaxial ventricular assist device</w:t>
            </w:r>
            <w:bookmarkEnd w:id="4"/>
            <w:r w:rsidRPr="00C86E49">
              <w:rPr>
                <w:rFonts w:ascii="Arial Narrow" w:eastAsia="Calibri" w:hAnsi="Arial Narrow" w:cs="Segoe UI"/>
                <w:sz w:val="20"/>
                <w:lang w:eastAsia="en-AU"/>
              </w:rPr>
              <w:t>,</w:t>
            </w:r>
            <w:r w:rsidRPr="00C86E49">
              <w:rPr>
                <w:rFonts w:ascii="Arial Narrow" w:eastAsia="Calibri" w:hAnsi="Arial Narrow" w:cs="Segoe UI"/>
                <w:sz w:val="20"/>
              </w:rPr>
              <w:t xml:space="preserve"> into the left ventricle only,</w:t>
            </w:r>
            <w:r w:rsidRPr="00C86E49">
              <w:rPr>
                <w:rFonts w:ascii="Arial Narrow" w:eastAsia="Calibri" w:hAnsi="Arial Narrow" w:cs="Segoe UI"/>
                <w:sz w:val="20"/>
                <w:lang w:eastAsia="en-AU"/>
              </w:rPr>
              <w:t xml:space="preserve"> by arteriotomy: if  </w:t>
            </w:r>
          </w:p>
          <w:p w14:paraId="7F3E7B88" w14:textId="77777777" w:rsidR="00792D8D" w:rsidRPr="00C86E49" w:rsidRDefault="00792D8D" w:rsidP="00FA4CEF">
            <w:pPr>
              <w:widowControl w:val="0"/>
              <w:numPr>
                <w:ilvl w:val="0"/>
                <w:numId w:val="26"/>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 xml:space="preserve">the patient has deteriorating symptoms of cardiogenic shock (with no evidence of significant anoxic neurological injury), which are not controlled by optimal medical therapy; or </w:t>
            </w:r>
          </w:p>
          <w:p w14:paraId="1B16175B" w14:textId="77777777" w:rsidR="00792D8D" w:rsidRPr="00C86E49" w:rsidRDefault="00792D8D" w:rsidP="00FA4CEF">
            <w:pPr>
              <w:widowControl w:val="0"/>
              <w:numPr>
                <w:ilvl w:val="0"/>
                <w:numId w:val="26"/>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 xml:space="preserve">the patient is on VA-ECMO, </w:t>
            </w:r>
            <w:proofErr w:type="gramStart"/>
            <w:r w:rsidRPr="00C86E49">
              <w:rPr>
                <w:rFonts w:ascii="Arial Narrow" w:eastAsia="Times New Roman" w:hAnsi="Arial Narrow" w:cs="Segoe UI"/>
                <w:sz w:val="20"/>
                <w:lang w:eastAsia="en-AU"/>
              </w:rPr>
              <w:t>for;</w:t>
            </w:r>
            <w:proofErr w:type="gramEnd"/>
            <w:r w:rsidRPr="00C86E49">
              <w:rPr>
                <w:rFonts w:ascii="Arial Narrow" w:eastAsia="Times New Roman" w:hAnsi="Arial Narrow" w:cs="Segoe UI"/>
                <w:sz w:val="20"/>
                <w:lang w:eastAsia="en-AU"/>
              </w:rPr>
              <w:t xml:space="preserve"> </w:t>
            </w:r>
          </w:p>
          <w:p w14:paraId="398AB6C8" w14:textId="77777777" w:rsidR="00792D8D" w:rsidRPr="00C86E49" w:rsidRDefault="00792D8D" w:rsidP="00FA4CEF">
            <w:pPr>
              <w:widowControl w:val="0"/>
              <w:numPr>
                <w:ilvl w:val="1"/>
                <w:numId w:val="26"/>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deteriorating symptoms of cardiogenic shock (with no evidence of significant anoxic neurological injury); and </w:t>
            </w:r>
          </w:p>
          <w:p w14:paraId="1992DD64" w14:textId="77777777" w:rsidR="00792D8D" w:rsidRPr="00C86E49" w:rsidRDefault="00792D8D" w:rsidP="00FA4CEF">
            <w:pPr>
              <w:widowControl w:val="0"/>
              <w:numPr>
                <w:ilvl w:val="1"/>
                <w:numId w:val="26"/>
              </w:numPr>
              <w:snapToGrid w:val="0"/>
              <w:spacing w:before="0" w:after="120" w:line="240" w:lineRule="auto"/>
              <w:contextualSpacing/>
              <w:rPr>
                <w:rFonts w:ascii="Arial Narrow" w:eastAsia="Times New Roman" w:hAnsi="Arial Narrow" w:cs="Segoe UI"/>
                <w:sz w:val="20"/>
                <w:lang w:eastAsia="en-AU"/>
              </w:rPr>
            </w:pPr>
            <w:r w:rsidRPr="00C86E49">
              <w:rPr>
                <w:rFonts w:ascii="Arial Narrow" w:eastAsia="Times New Roman" w:hAnsi="Arial Narrow" w:cs="Segoe UI"/>
                <w:sz w:val="20"/>
                <w:lang w:eastAsia="en-AU"/>
              </w:rPr>
              <w:t xml:space="preserve">is not controlled by optimal medical therapy; and </w:t>
            </w:r>
          </w:p>
          <w:p w14:paraId="32440ACA" w14:textId="77777777" w:rsidR="00792D8D" w:rsidRPr="00C86E49" w:rsidRDefault="00792D8D" w:rsidP="00FA4CEF">
            <w:pPr>
              <w:widowControl w:val="0"/>
              <w:numPr>
                <w:ilvl w:val="1"/>
                <w:numId w:val="26"/>
              </w:numPr>
              <w:snapToGrid w:val="0"/>
              <w:spacing w:before="0" w:after="120" w:line="240" w:lineRule="auto"/>
              <w:contextualSpacing/>
              <w:rPr>
                <w:rFonts w:ascii="Arial Narrow" w:eastAsia="Times New Roman" w:hAnsi="Arial Narrow" w:cs="Segoe UI"/>
                <w:sz w:val="20"/>
                <w:lang w:eastAsia="en-AU"/>
              </w:rPr>
            </w:pPr>
            <w:proofErr w:type="gramStart"/>
            <w:r w:rsidRPr="00C86E49">
              <w:rPr>
                <w:rFonts w:ascii="Arial Narrow" w:eastAsia="Times New Roman" w:hAnsi="Arial Narrow" w:cs="Segoe UI"/>
                <w:sz w:val="20"/>
                <w:lang w:eastAsia="en-AU"/>
              </w:rPr>
              <w:t>due to the effects</w:t>
            </w:r>
            <w:proofErr w:type="gramEnd"/>
            <w:r w:rsidRPr="00C86E49">
              <w:rPr>
                <w:rFonts w:ascii="Arial Narrow" w:eastAsia="Times New Roman" w:hAnsi="Arial Narrow" w:cs="Segoe UI"/>
                <w:sz w:val="20"/>
                <w:lang w:eastAsia="en-AU"/>
              </w:rPr>
              <w:t xml:space="preserve"> of established VA-ECMO, requires unloading of the left ventricle.</w:t>
            </w:r>
          </w:p>
          <w:p w14:paraId="775EA977"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including all associated intraoperative imaging </w:t>
            </w:r>
          </w:p>
          <w:p w14:paraId="05984261"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 xml:space="preserve">(Anaes.) </w:t>
            </w:r>
          </w:p>
          <w:p w14:paraId="3D37385D" w14:textId="1DE52502"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Fee: $1,040.50</w:t>
            </w:r>
            <w:r w:rsidRPr="00C86E49">
              <w:rPr>
                <w:rFonts w:ascii="Arial Narrow" w:eastAsia="Calibri" w:hAnsi="Arial Narrow" w:cs="Segoe UI"/>
                <w:sz w:val="16"/>
                <w:szCs w:val="16"/>
                <w:lang w:eastAsia="en-AU"/>
              </w:rPr>
              <w:t> </w:t>
            </w:r>
          </w:p>
        </w:tc>
      </w:tr>
      <w:tr w:rsidR="00792D8D" w:rsidRPr="00C86E49" w14:paraId="206429A3"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0929B728" w14:textId="77777777" w:rsidR="00792D8D" w:rsidRPr="00C86E49" w:rsidRDefault="00792D8D" w:rsidP="00792D8D">
            <w:pPr>
              <w:textAlignment w:val="baseline"/>
              <w:rPr>
                <w:rFonts w:ascii="Segoe UI" w:eastAsia="Calibri" w:hAnsi="Segoe UI" w:cs="Segoe UI"/>
                <w:sz w:val="18"/>
                <w:szCs w:val="18"/>
                <w:lang w:eastAsia="en-AU"/>
              </w:rPr>
            </w:pPr>
            <w:r w:rsidRPr="00C86E49">
              <w:rPr>
                <w:rFonts w:ascii="Arial Narrow" w:eastAsia="Calibri" w:hAnsi="Arial Narrow" w:cs="Segoe UI"/>
                <w:b/>
                <w:bCs/>
                <w:sz w:val="20"/>
                <w:lang w:eastAsia="en-AU"/>
              </w:rPr>
              <w:t>Surgical removal</w:t>
            </w:r>
            <w:r w:rsidRPr="00C86E49">
              <w:rPr>
                <w:rFonts w:ascii="Arial Narrow" w:eastAsia="Calibri" w:hAnsi="Arial Narrow" w:cs="Segoe UI"/>
                <w:sz w:val="20"/>
                <w:lang w:eastAsia="en-AU"/>
              </w:rPr>
              <w:t> </w:t>
            </w:r>
          </w:p>
        </w:tc>
      </w:tr>
      <w:tr w:rsidR="00792D8D" w:rsidRPr="00C86E49" w14:paraId="0732FFCE"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3D9E1D38"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MBS item *XXXX </w:t>
            </w:r>
          </w:p>
          <w:p w14:paraId="75D3C05D"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Surgical removal of a left-sided intravascular microaxial ventricular assist device </w:t>
            </w:r>
          </w:p>
          <w:p w14:paraId="57879383" w14:textId="2788EECA"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Fee: $624.30</w:t>
            </w:r>
            <w:r w:rsidRPr="00C86E49">
              <w:rPr>
                <w:rFonts w:ascii="Arial Narrow" w:eastAsia="Calibri" w:hAnsi="Arial Narrow" w:cs="Segoe UI"/>
                <w:sz w:val="16"/>
                <w:szCs w:val="16"/>
                <w:lang w:eastAsia="en-AU"/>
              </w:rPr>
              <w:t> </w:t>
            </w:r>
          </w:p>
        </w:tc>
      </w:tr>
      <w:tr w:rsidR="00792D8D" w:rsidRPr="00C86E49" w14:paraId="7FD7B061"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4A8C34F0" w14:textId="77777777" w:rsidR="00792D8D" w:rsidRPr="00C86E49" w:rsidRDefault="00792D8D" w:rsidP="00792D8D">
            <w:pPr>
              <w:textAlignment w:val="baseline"/>
              <w:rPr>
                <w:rFonts w:ascii="Segoe UI" w:eastAsia="Calibri" w:hAnsi="Segoe UI" w:cs="Segoe UI"/>
                <w:sz w:val="18"/>
                <w:szCs w:val="18"/>
                <w:lang w:eastAsia="en-AU"/>
              </w:rPr>
            </w:pPr>
            <w:r w:rsidRPr="00C86E49">
              <w:rPr>
                <w:rFonts w:ascii="Arial Narrow" w:eastAsia="Calibri" w:hAnsi="Arial Narrow" w:cs="Segoe UI"/>
                <w:b/>
                <w:bCs/>
                <w:sz w:val="20"/>
                <w:lang w:eastAsia="en-AU"/>
              </w:rPr>
              <w:t>Management of the first day</w:t>
            </w:r>
            <w:r w:rsidRPr="00C86E49">
              <w:rPr>
                <w:rFonts w:ascii="Arial Narrow" w:eastAsia="Calibri" w:hAnsi="Arial Narrow" w:cs="Segoe UI"/>
                <w:sz w:val="20"/>
                <w:lang w:eastAsia="en-AU"/>
              </w:rPr>
              <w:t> </w:t>
            </w:r>
          </w:p>
        </w:tc>
      </w:tr>
      <w:tr w:rsidR="00792D8D" w:rsidRPr="00C86E49" w14:paraId="7AB0C1AE"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1096673C"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MBS item *XXXX </w:t>
            </w:r>
          </w:p>
          <w:p w14:paraId="75033525"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Management of the device - first day, including management and monitoring of parameters of the controller for a left-sided intravascular microaxial ventricular assist device </w:t>
            </w:r>
          </w:p>
          <w:p w14:paraId="171AD02B"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Fee: $540.65 </w:t>
            </w:r>
          </w:p>
        </w:tc>
      </w:tr>
      <w:tr w:rsidR="00792D8D" w:rsidRPr="00C86E49" w14:paraId="1922B049"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6A033C06" w14:textId="77777777" w:rsidR="00792D8D" w:rsidRPr="00C86E49" w:rsidRDefault="00792D8D" w:rsidP="00792D8D">
            <w:pPr>
              <w:textAlignment w:val="baseline"/>
              <w:rPr>
                <w:rFonts w:ascii="Segoe UI" w:eastAsia="Calibri" w:hAnsi="Segoe UI" w:cs="Segoe UI"/>
                <w:sz w:val="18"/>
                <w:szCs w:val="18"/>
                <w:lang w:eastAsia="en-AU"/>
              </w:rPr>
            </w:pPr>
            <w:r w:rsidRPr="00C86E49">
              <w:rPr>
                <w:rFonts w:ascii="Arial Narrow" w:eastAsia="Calibri" w:hAnsi="Arial Narrow" w:cs="Segoe UI"/>
                <w:b/>
                <w:bCs/>
                <w:sz w:val="20"/>
                <w:lang w:eastAsia="en-AU"/>
              </w:rPr>
              <w:t>Management of the subsequent days</w:t>
            </w:r>
            <w:r w:rsidRPr="00C86E49">
              <w:rPr>
                <w:rFonts w:ascii="Arial Narrow" w:eastAsia="Calibri" w:hAnsi="Arial Narrow" w:cs="Segoe UI"/>
                <w:sz w:val="20"/>
                <w:lang w:eastAsia="en-AU"/>
              </w:rPr>
              <w:t> </w:t>
            </w:r>
          </w:p>
        </w:tc>
      </w:tr>
      <w:tr w:rsidR="00792D8D" w:rsidRPr="00C86E49" w14:paraId="0F15D061" w14:textId="77777777">
        <w:trPr>
          <w:trHeight w:val="300"/>
        </w:trPr>
        <w:tc>
          <w:tcPr>
            <w:tcW w:w="9015" w:type="dxa"/>
            <w:tcBorders>
              <w:top w:val="single" w:sz="6" w:space="0" w:color="000000"/>
              <w:left w:val="single" w:sz="6" w:space="0" w:color="000000"/>
              <w:bottom w:val="single" w:sz="6" w:space="0" w:color="000000"/>
              <w:right w:val="single" w:sz="6" w:space="0" w:color="000000"/>
            </w:tcBorders>
            <w:vAlign w:val="center"/>
            <w:hideMark/>
          </w:tcPr>
          <w:p w14:paraId="62D1AEE5"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MBS item *XXXX </w:t>
            </w:r>
          </w:p>
          <w:p w14:paraId="212F60E2"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Management of the device - each day after the first day, including management and monitoring of parameters of the controller for a left-sided intravascular microaxial ventricular assist device </w:t>
            </w:r>
          </w:p>
          <w:p w14:paraId="31A481D7" w14:textId="77777777" w:rsidR="00792D8D" w:rsidRPr="00C86E49" w:rsidRDefault="00792D8D" w:rsidP="00792D8D">
            <w:pPr>
              <w:spacing w:after="120"/>
              <w:textAlignment w:val="baseline"/>
              <w:rPr>
                <w:rFonts w:ascii="Segoe UI" w:eastAsia="Calibri" w:hAnsi="Segoe UI" w:cs="Segoe UI"/>
                <w:sz w:val="18"/>
                <w:szCs w:val="18"/>
                <w:lang w:eastAsia="en-AU"/>
              </w:rPr>
            </w:pPr>
            <w:r w:rsidRPr="00C86E49">
              <w:rPr>
                <w:rFonts w:ascii="Arial Narrow" w:eastAsia="Calibri" w:hAnsi="Arial Narrow" w:cs="Segoe UI"/>
                <w:sz w:val="20"/>
                <w:lang w:eastAsia="en-AU"/>
              </w:rPr>
              <w:t>Fee: $125.75 </w:t>
            </w:r>
          </w:p>
        </w:tc>
      </w:tr>
    </w:tbl>
    <w:p w14:paraId="6FC09827" w14:textId="77777777" w:rsidR="00932DE9" w:rsidRPr="00C86E49" w:rsidRDefault="00932DE9" w:rsidP="00932DE9"/>
    <w:p w14:paraId="189A566A" w14:textId="0BFF1625" w:rsidR="00DB1485" w:rsidRPr="00C86E49" w:rsidRDefault="00273077" w:rsidP="006E4CE9">
      <w:r w:rsidRPr="00C86E49">
        <w:t xml:space="preserve">After the MSAC meeting, </w:t>
      </w:r>
      <w:r w:rsidR="00C2781B" w:rsidRPr="00C86E49">
        <w:t xml:space="preserve">the </w:t>
      </w:r>
      <w:r w:rsidR="008B175F" w:rsidRPr="00C86E49">
        <w:t xml:space="preserve">applicant notified MSAC that the results </w:t>
      </w:r>
      <w:r w:rsidR="005B75CC" w:rsidRPr="00C86E49">
        <w:t xml:space="preserve">from the </w:t>
      </w:r>
      <w:r w:rsidR="007A5FB3" w:rsidRPr="00C86E49">
        <w:t>Danish–German Cardiogenic Shock (DanGer Shock) trial</w:t>
      </w:r>
      <w:r w:rsidR="001B109F" w:rsidRPr="00C86E49">
        <w:rPr>
          <w:rStyle w:val="FootnoteReference"/>
        </w:rPr>
        <w:footnoteReference w:id="5"/>
      </w:r>
      <w:r w:rsidR="005B75CC" w:rsidRPr="00C86E49">
        <w:t xml:space="preserve"> were published on 7 April 2024. The DanGer Shock </w:t>
      </w:r>
      <w:r w:rsidR="00E26913" w:rsidRPr="00C86E49">
        <w:t>trial</w:t>
      </w:r>
      <w:r w:rsidR="00E11A37" w:rsidRPr="00C86E49">
        <w:t xml:space="preserve"> </w:t>
      </w:r>
      <w:r w:rsidR="0032764B" w:rsidRPr="00C86E49">
        <w:t>compared the</w:t>
      </w:r>
      <w:r w:rsidR="007A5FB3" w:rsidRPr="00C86E49">
        <w:t xml:space="preserve"> routine use of a microaxial flow pump in addition to standard guideline-directed therapies in patients with STEMI-related cardiogenic shock </w:t>
      </w:r>
      <w:r w:rsidR="0032764B" w:rsidRPr="00C86E49">
        <w:t>versus</w:t>
      </w:r>
      <w:r w:rsidR="007A5FB3" w:rsidRPr="00C86E49">
        <w:t xml:space="preserve"> standard care alone.</w:t>
      </w:r>
      <w:r w:rsidR="008B175F" w:rsidRPr="00C86E49">
        <w:t xml:space="preserve"> </w:t>
      </w:r>
      <w:r w:rsidR="00F445B0" w:rsidRPr="00C86E49">
        <w:t xml:space="preserve">The </w:t>
      </w:r>
      <w:r w:rsidR="00334E35" w:rsidRPr="00C86E49">
        <w:t>PICO elements of the</w:t>
      </w:r>
      <w:r w:rsidR="00F445B0" w:rsidRPr="00C86E49">
        <w:t xml:space="preserve"> </w:t>
      </w:r>
      <w:r w:rsidR="00E962C6" w:rsidRPr="00C86E49">
        <w:t>DanGer Shock trial</w:t>
      </w:r>
      <w:r w:rsidR="00F445B0" w:rsidRPr="00C86E49">
        <w:t xml:space="preserve"> </w:t>
      </w:r>
      <w:r w:rsidR="007E4AB0" w:rsidRPr="00C86E49">
        <w:t>d</w:t>
      </w:r>
      <w:r w:rsidR="00133FAD" w:rsidRPr="00C86E49">
        <w:t xml:space="preserve">o not </w:t>
      </w:r>
      <w:r w:rsidR="00CD563B" w:rsidRPr="00C86E49">
        <w:t xml:space="preserve">fully </w:t>
      </w:r>
      <w:r w:rsidR="00334E35" w:rsidRPr="00C86E49">
        <w:t>align with the PICO ele</w:t>
      </w:r>
      <w:r w:rsidR="00CD563B" w:rsidRPr="00C86E49">
        <w:t xml:space="preserve">ments for this application </w:t>
      </w:r>
      <w:r w:rsidR="00CD563B" w:rsidRPr="00C86E49">
        <w:lastRenderedPageBreak/>
        <w:t>(</w:t>
      </w:r>
      <w:proofErr w:type="gramStart"/>
      <w:r w:rsidR="00CD563B" w:rsidRPr="00C86E49">
        <w:t>e.g.</w:t>
      </w:r>
      <w:proofErr w:type="gramEnd"/>
      <w:r w:rsidR="00E96633" w:rsidRPr="00C86E49">
        <w:t xml:space="preserve"> do not </w:t>
      </w:r>
      <w:r w:rsidR="00133FAD" w:rsidRPr="00C86E49">
        <w:t>provide a comparison of IMPELLA versus VA-ECMO</w:t>
      </w:r>
      <w:r w:rsidR="00E96633" w:rsidRPr="00C86E49">
        <w:t xml:space="preserve"> or ECPELLA versus VA-ECMO ± SV)</w:t>
      </w:r>
      <w:r w:rsidR="00133FAD" w:rsidRPr="00C86E49">
        <w:t xml:space="preserve"> and </w:t>
      </w:r>
      <w:r w:rsidR="00E96633" w:rsidRPr="00C86E49">
        <w:t xml:space="preserve">the results </w:t>
      </w:r>
      <w:r w:rsidR="00133FAD" w:rsidRPr="00C86E49">
        <w:t>were</w:t>
      </w:r>
      <w:r w:rsidR="005B45A8" w:rsidRPr="00C86E49">
        <w:t xml:space="preserve"> not available in time for evaluation as part of MSAC’s consideration</w:t>
      </w:r>
      <w:r w:rsidR="00B1261F" w:rsidRPr="00C86E49">
        <w:t xml:space="preserve">. </w:t>
      </w:r>
      <w:r w:rsidR="0002213D" w:rsidRPr="00C86E49">
        <w:t>T</w:t>
      </w:r>
      <w:r w:rsidR="00B1261F" w:rsidRPr="00C86E49">
        <w:t>he</w:t>
      </w:r>
      <w:r w:rsidR="00D91BA7" w:rsidRPr="00C86E49">
        <w:t xml:space="preserve"> </w:t>
      </w:r>
      <w:r w:rsidR="00137958" w:rsidRPr="00C86E49">
        <w:t>DanGer Shock trial</w:t>
      </w:r>
      <w:r w:rsidR="00D91BA7" w:rsidRPr="00C86E49">
        <w:t xml:space="preserve"> </w:t>
      </w:r>
      <w:r w:rsidR="00384A0E" w:rsidRPr="00C86E49">
        <w:t xml:space="preserve">reported a </w:t>
      </w:r>
      <w:r w:rsidR="00424FF7" w:rsidRPr="00C86E49">
        <w:t>lower risk of death at 180 days</w:t>
      </w:r>
      <w:r w:rsidR="008B5CDE" w:rsidRPr="00C86E49">
        <w:t xml:space="preserve"> </w:t>
      </w:r>
      <w:r w:rsidR="008E27C2" w:rsidRPr="00C86E49">
        <w:t xml:space="preserve">for the IMPELLA arm </w:t>
      </w:r>
      <w:r w:rsidR="008B5CDE" w:rsidRPr="00C86E49">
        <w:t>compared to standard care alone</w:t>
      </w:r>
      <w:r w:rsidR="00633DAB" w:rsidRPr="00C86E49">
        <w:t xml:space="preserve">. </w:t>
      </w:r>
      <w:r w:rsidR="006E4CE9" w:rsidRPr="00C86E49">
        <w:t xml:space="preserve">Adverse events were assessed as a composite safety end point </w:t>
      </w:r>
      <w:r w:rsidR="00AD281A" w:rsidRPr="00C86E49">
        <w:t>that included</w:t>
      </w:r>
      <w:r w:rsidR="006E4CE9" w:rsidRPr="00C86E49">
        <w:t xml:space="preserve"> severe bleeding, limb isch</w:t>
      </w:r>
      <w:r w:rsidR="00F175C6" w:rsidRPr="00C86E49">
        <w:t>a</w:t>
      </w:r>
      <w:r w:rsidR="006E4CE9" w:rsidRPr="00C86E49">
        <w:t xml:space="preserve">emia, </w:t>
      </w:r>
      <w:r w:rsidR="007F6BF8" w:rsidRPr="00C86E49">
        <w:t>haemolysis</w:t>
      </w:r>
      <w:r w:rsidR="006E4CE9" w:rsidRPr="00C86E49">
        <w:t>,</w:t>
      </w:r>
      <w:r w:rsidR="00AD281A" w:rsidRPr="00C86E49">
        <w:t xml:space="preserve"> </w:t>
      </w:r>
      <w:r w:rsidR="006E4CE9" w:rsidRPr="00C86E49">
        <w:t>device failure, or worsening aortic regurgitation</w:t>
      </w:r>
      <w:r w:rsidR="00AD281A" w:rsidRPr="00C86E49">
        <w:t xml:space="preserve">. </w:t>
      </w:r>
      <w:r w:rsidR="00633DAB" w:rsidRPr="00C86E49">
        <w:t>A higher rate of adverse events</w:t>
      </w:r>
      <w:r w:rsidR="008E27C2" w:rsidRPr="00C86E49">
        <w:t xml:space="preserve"> </w:t>
      </w:r>
      <w:r w:rsidR="0002213D" w:rsidRPr="00C86E49">
        <w:t>was</w:t>
      </w:r>
      <w:r w:rsidR="008E27C2" w:rsidRPr="00C86E49">
        <w:t xml:space="preserve"> observed in the </w:t>
      </w:r>
      <w:r w:rsidR="006E4CE9" w:rsidRPr="00C86E49">
        <w:t xml:space="preserve">IMPELLA </w:t>
      </w:r>
      <w:r w:rsidR="00AD281A" w:rsidRPr="00C86E49">
        <w:t>arm compared to standard of care.</w:t>
      </w:r>
    </w:p>
    <w:p w14:paraId="6710B69D" w14:textId="56A01667" w:rsidR="00772829" w:rsidRPr="00C86E49" w:rsidRDefault="00932DE9" w:rsidP="002A18BE">
      <w:pPr>
        <w:pStyle w:val="Heading2"/>
        <w:numPr>
          <w:ilvl w:val="0"/>
          <w:numId w:val="0"/>
        </w:numPr>
      </w:pPr>
      <w:r w:rsidRPr="00C86E49">
        <w:t>4.</w:t>
      </w:r>
      <w:r w:rsidRPr="00C86E49">
        <w:tab/>
      </w:r>
      <w:r w:rsidR="00772829" w:rsidRPr="00C86E49">
        <w:t>Background</w:t>
      </w:r>
      <w:bookmarkEnd w:id="2"/>
    </w:p>
    <w:p w14:paraId="0FD44D23" w14:textId="2E4A6C23" w:rsidR="00E0712E" w:rsidRPr="00C86E49" w:rsidRDefault="002E0791" w:rsidP="00AD51EC">
      <w:bookmarkStart w:id="5" w:name="_Hlk69734494"/>
      <w:r w:rsidRPr="00C86E49">
        <w:t xml:space="preserve">MSAC previously assessed </w:t>
      </w:r>
      <w:r w:rsidR="006C6B6B" w:rsidRPr="00C86E49">
        <w:t xml:space="preserve">IMVAD </w:t>
      </w:r>
      <w:r w:rsidR="00352A4F" w:rsidRPr="00C86E49">
        <w:t>(</w:t>
      </w:r>
      <w:hyperlink r:id="rId9" w:tooltip="Hyperlink to MSAC website page for Application 1523" w:history="1">
        <w:r w:rsidR="00A438DB" w:rsidRPr="00C86E49">
          <w:rPr>
            <w:rStyle w:val="Hyperlink"/>
          </w:rPr>
          <w:t>a</w:t>
        </w:r>
        <w:r w:rsidR="006C6B6B" w:rsidRPr="00C86E49">
          <w:rPr>
            <w:rStyle w:val="Hyperlink"/>
          </w:rPr>
          <w:t>pplication 1523</w:t>
        </w:r>
      </w:hyperlink>
      <w:r w:rsidR="00352A4F" w:rsidRPr="00C86E49">
        <w:t>)</w:t>
      </w:r>
      <w:r w:rsidR="006C6B6B" w:rsidRPr="00C86E49">
        <w:t xml:space="preserve"> </w:t>
      </w:r>
      <w:r w:rsidR="00A00416" w:rsidRPr="00C86E49">
        <w:t>a</w:t>
      </w:r>
      <w:r w:rsidR="006C6B6B" w:rsidRPr="00C86E49">
        <w:t>t their November 2019 meeting</w:t>
      </w:r>
      <w:r w:rsidR="00A00416" w:rsidRPr="00C86E49">
        <w:t>.</w:t>
      </w:r>
      <w:r w:rsidR="00A6734D" w:rsidRPr="00C86E49">
        <w:t xml:space="preserve"> </w:t>
      </w:r>
      <w:r w:rsidR="00A60A56" w:rsidRPr="00C86E49">
        <w:t>M</w:t>
      </w:r>
      <w:r w:rsidR="0084209E" w:rsidRPr="00C86E49">
        <w:t>S</w:t>
      </w:r>
      <w:r w:rsidR="00A60A56" w:rsidRPr="00C86E49">
        <w:t>AC a</w:t>
      </w:r>
      <w:r w:rsidR="00A6734D" w:rsidRPr="00C86E49">
        <w:t xml:space="preserve">pplication </w:t>
      </w:r>
      <w:r w:rsidR="00A60A56" w:rsidRPr="00C86E49">
        <w:t xml:space="preserve">1523 </w:t>
      </w:r>
      <w:r w:rsidR="00A6734D" w:rsidRPr="00C86E49">
        <w:t xml:space="preserve">sought reimbursement of IMVAD for three populations: </w:t>
      </w:r>
      <w:r w:rsidR="00A12C5B" w:rsidRPr="00C86E49">
        <w:t xml:space="preserve">CS, </w:t>
      </w:r>
      <w:r w:rsidR="0077733A" w:rsidRPr="00C86E49">
        <w:t>high-risk percutaneous coronary intervention (</w:t>
      </w:r>
      <w:r w:rsidR="00A6734D" w:rsidRPr="00C86E49">
        <w:t>HR-PCI</w:t>
      </w:r>
      <w:r w:rsidR="0077733A" w:rsidRPr="00C86E49">
        <w:t>)</w:t>
      </w:r>
      <w:r w:rsidR="00A12C5B" w:rsidRPr="00C86E49">
        <w:t xml:space="preserve"> </w:t>
      </w:r>
      <w:r w:rsidR="00A6734D" w:rsidRPr="00C86E49">
        <w:t>and</w:t>
      </w:r>
      <w:r w:rsidR="00346D37" w:rsidRPr="00C86E49">
        <w:t xml:space="preserve"> isolated</w:t>
      </w:r>
      <w:r w:rsidR="00A6734D" w:rsidRPr="00C86E49">
        <w:t xml:space="preserve"> </w:t>
      </w:r>
      <w:r w:rsidR="0077733A" w:rsidRPr="00C86E49">
        <w:t>right heart failure (</w:t>
      </w:r>
      <w:r w:rsidR="00A6734D" w:rsidRPr="00C86E49">
        <w:t>RHF</w:t>
      </w:r>
      <w:r w:rsidR="0077733A" w:rsidRPr="00C86E49">
        <w:t>)</w:t>
      </w:r>
      <w:r w:rsidR="00A6734D" w:rsidRPr="00C86E49">
        <w:t xml:space="preserve">. </w:t>
      </w:r>
      <w:r w:rsidR="006C6B6B" w:rsidRPr="00C86E49">
        <w:t xml:space="preserve">MSAC </w:t>
      </w:r>
      <w:r w:rsidR="00F60B95" w:rsidRPr="00C86E49">
        <w:t>did not support public funding of IMVAD</w:t>
      </w:r>
      <w:r w:rsidR="00226960" w:rsidRPr="00C86E49">
        <w:t xml:space="preserve"> for any </w:t>
      </w:r>
      <w:r w:rsidR="00684D95" w:rsidRPr="00C86E49">
        <w:t xml:space="preserve">of the proposed </w:t>
      </w:r>
      <w:r w:rsidR="00226960" w:rsidRPr="00C86E49">
        <w:t>population</w:t>
      </w:r>
      <w:r w:rsidR="00684D95" w:rsidRPr="00C86E49">
        <w:t>s</w:t>
      </w:r>
      <w:r w:rsidR="00306F79" w:rsidRPr="00C86E49">
        <w:t xml:space="preserve"> (</w:t>
      </w:r>
      <w:hyperlink r:id="rId10" w:tooltip="Hyperlink to PSD for MSAC application 1523" w:history="1">
        <w:r w:rsidR="00306F79" w:rsidRPr="00C86E49">
          <w:rPr>
            <w:rStyle w:val="Hyperlink"/>
          </w:rPr>
          <w:t>Public Summary Document [PSD]</w:t>
        </w:r>
      </w:hyperlink>
      <w:r w:rsidR="002E7C5F" w:rsidRPr="00C86E49">
        <w:t xml:space="preserve">, </w:t>
      </w:r>
      <w:r w:rsidR="00B947EB" w:rsidRPr="00C86E49">
        <w:t>November 2019</w:t>
      </w:r>
      <w:r w:rsidR="00306F79" w:rsidRPr="00C86E49">
        <w:t>)</w:t>
      </w:r>
      <w:r w:rsidR="00F60B95" w:rsidRPr="00C86E49">
        <w:t>. MSAC considered that the evidence for comparative safety and effectiveness was too uncertain relative to standard care in all three populations</w:t>
      </w:r>
      <w:r w:rsidR="00AB0F7B" w:rsidRPr="00C86E49">
        <w:t xml:space="preserve">, </w:t>
      </w:r>
      <w:r w:rsidR="00F60B95" w:rsidRPr="00C86E49">
        <w:t>which had flow-on effects to the economic analyses. MSAC considered the financial estimates were also highly uncertain and likely underestimated for all three populations.</w:t>
      </w:r>
      <w:r w:rsidR="004220C3" w:rsidRPr="00C86E49">
        <w:t xml:space="preserve"> MSAC considered that additional data from randomised controlled trials (RCTs) would be required to give greater certainty regarding comparative safety, </w:t>
      </w:r>
      <w:proofErr w:type="gramStart"/>
      <w:r w:rsidR="004220C3" w:rsidRPr="00C86E49">
        <w:t>effectiveness</w:t>
      </w:r>
      <w:proofErr w:type="gramEnd"/>
      <w:r w:rsidR="004220C3" w:rsidRPr="00C86E49">
        <w:t xml:space="preserve"> and cost-effectiveness</w:t>
      </w:r>
      <w:r w:rsidR="006C6B6B" w:rsidRPr="00C86E49">
        <w:t>.</w:t>
      </w:r>
      <w:r w:rsidR="00B15777" w:rsidRPr="00C86E49">
        <w:t xml:space="preserve"> </w:t>
      </w:r>
    </w:p>
    <w:p w14:paraId="2A2D3278" w14:textId="78233E99" w:rsidR="00A61111" w:rsidRPr="00C86E49" w:rsidRDefault="00581233" w:rsidP="00AD51EC">
      <w:r w:rsidRPr="00C86E49">
        <w:t xml:space="preserve">Following a pre-submission meeting </w:t>
      </w:r>
      <w:r w:rsidR="00F31410" w:rsidRPr="00C86E49">
        <w:t xml:space="preserve">in 2022 </w:t>
      </w:r>
      <w:r w:rsidRPr="00C86E49">
        <w:t xml:space="preserve">between Abiomed and the </w:t>
      </w:r>
      <w:r w:rsidR="00D42DC9" w:rsidRPr="00C86E49">
        <w:t>d</w:t>
      </w:r>
      <w:r w:rsidRPr="00C86E49">
        <w:t xml:space="preserve">epartment, the MSAC Executive advised that </w:t>
      </w:r>
      <w:r w:rsidR="00D73C15" w:rsidRPr="00C86E49">
        <w:t>it would be reasonable to lodge a resubmission</w:t>
      </w:r>
      <w:r w:rsidRPr="00C86E49">
        <w:t xml:space="preserve"> </w:t>
      </w:r>
      <w:r w:rsidR="000132D6" w:rsidRPr="00C86E49">
        <w:t xml:space="preserve">via an expedited pathway </w:t>
      </w:r>
      <w:r w:rsidRPr="00C86E49">
        <w:t>bypassing the PASC process</w:t>
      </w:r>
      <w:r w:rsidR="001753DE" w:rsidRPr="00C86E49">
        <w:t xml:space="preserve"> (MSAC Executive meeting minutes</w:t>
      </w:r>
      <w:r w:rsidR="002F5459" w:rsidRPr="00C86E49">
        <w:t>, 1 July 2022)</w:t>
      </w:r>
      <w:r w:rsidRPr="00C86E49">
        <w:t>.</w:t>
      </w:r>
      <w:r w:rsidR="002C1CE3" w:rsidRPr="00C86E49">
        <w:t xml:space="preserve"> </w:t>
      </w:r>
      <w:r w:rsidR="00D71C90" w:rsidRPr="00C86E49">
        <w:t xml:space="preserve">The MSAC Executive </w:t>
      </w:r>
      <w:r w:rsidR="00427571" w:rsidRPr="00C86E49">
        <w:t xml:space="preserve">advised that </w:t>
      </w:r>
      <w:r w:rsidR="00AD2DF7" w:rsidRPr="00C86E49">
        <w:t>a</w:t>
      </w:r>
      <w:r w:rsidR="00427571" w:rsidRPr="00C86E49">
        <w:t xml:space="preserve"> resubmission </w:t>
      </w:r>
      <w:r w:rsidR="00A1358C" w:rsidRPr="00C86E49">
        <w:t xml:space="preserve">could proceed </w:t>
      </w:r>
      <w:r w:rsidR="00427571" w:rsidRPr="00C86E49">
        <w:t>with non-randomised data</w:t>
      </w:r>
      <w:r w:rsidR="00487889" w:rsidRPr="00C86E49">
        <w:t>,</w:t>
      </w:r>
      <w:r w:rsidR="00427571" w:rsidRPr="00C86E49">
        <w:t xml:space="preserve"> noting that it does not preclude MSAC from making its own judgement on whether the further evidence sufficiently addresses its previously identified uncertainties.</w:t>
      </w:r>
      <w:r w:rsidR="00434415" w:rsidRPr="00C86E49">
        <w:t xml:space="preserve"> </w:t>
      </w:r>
    </w:p>
    <w:p w14:paraId="71B72D24" w14:textId="7CB2F198" w:rsidR="0078286F" w:rsidRPr="00C86E49" w:rsidRDefault="001C04B2" w:rsidP="00AD51EC">
      <w:r w:rsidRPr="00C86E49">
        <w:t xml:space="preserve">The applicant has indicated that </w:t>
      </w:r>
      <w:r w:rsidR="005D5F1B" w:rsidRPr="00C86E49">
        <w:t>MBS listing for IMVAD in a</w:t>
      </w:r>
      <w:r w:rsidR="00A34EB5" w:rsidRPr="00C86E49">
        <w:t xml:space="preserve"> HR-PCI population </w:t>
      </w:r>
      <w:r w:rsidR="00CD6251" w:rsidRPr="00C86E49">
        <w:t xml:space="preserve">will be pursued </w:t>
      </w:r>
      <w:r w:rsidR="00CB1197" w:rsidRPr="00C86E49">
        <w:t>in a</w:t>
      </w:r>
      <w:r w:rsidR="00991194" w:rsidRPr="00C86E49">
        <w:t xml:space="preserve"> separate application</w:t>
      </w:r>
      <w:r w:rsidR="000856C1" w:rsidRPr="00C86E49">
        <w:t xml:space="preserve"> (</w:t>
      </w:r>
      <w:r w:rsidR="000C04FA" w:rsidRPr="00C86E49">
        <w:t xml:space="preserve">the </w:t>
      </w:r>
      <w:r w:rsidR="00584E3D" w:rsidRPr="00C86E49">
        <w:t>Applicant Developed Assessment Report [</w:t>
      </w:r>
      <w:r w:rsidR="005D5F1B" w:rsidRPr="00C86E49">
        <w:t>ADAR</w:t>
      </w:r>
      <w:r w:rsidR="00584E3D" w:rsidRPr="00C86E49">
        <w:t>]</w:t>
      </w:r>
      <w:r w:rsidR="005D5F1B" w:rsidRPr="00C86E49">
        <w:t xml:space="preserve"> </w:t>
      </w:r>
      <w:r w:rsidR="006C1253" w:rsidRPr="00C86E49">
        <w:t xml:space="preserve">stated that the </w:t>
      </w:r>
      <w:r w:rsidR="000C04FA" w:rsidRPr="00C86E49">
        <w:t xml:space="preserve">RHF population </w:t>
      </w:r>
      <w:r w:rsidR="000856C1" w:rsidRPr="00C86E49">
        <w:t xml:space="preserve">will not be pursued </w:t>
      </w:r>
      <w:r w:rsidR="000C04FA" w:rsidRPr="00C86E49">
        <w:t xml:space="preserve">at this </w:t>
      </w:r>
      <w:r w:rsidR="000856C1" w:rsidRPr="00C86E49">
        <w:t>stage).</w:t>
      </w:r>
    </w:p>
    <w:p w14:paraId="09FDD987" w14:textId="0D1F91CB" w:rsidR="006C6B6B" w:rsidRPr="00C86E49" w:rsidRDefault="00B15777" w:rsidP="00AD51EC">
      <w:r w:rsidRPr="00C86E49">
        <w:t xml:space="preserve">The key matters of concern </w:t>
      </w:r>
      <w:r w:rsidR="0044469A" w:rsidRPr="00C86E49">
        <w:t xml:space="preserve">raised </w:t>
      </w:r>
      <w:r w:rsidR="00296931" w:rsidRPr="00C86E49">
        <w:t xml:space="preserve">in relation to the CS population </w:t>
      </w:r>
      <w:r w:rsidR="0044469A" w:rsidRPr="00C86E49">
        <w:t xml:space="preserve">in the PSD </w:t>
      </w:r>
      <w:r w:rsidR="009C7D8B" w:rsidRPr="00C86E49">
        <w:t>for</w:t>
      </w:r>
      <w:r w:rsidR="00296931" w:rsidRPr="00C86E49">
        <w:t xml:space="preserve"> MSAC</w:t>
      </w:r>
      <w:r w:rsidR="00DE2E98" w:rsidRPr="00C86E49">
        <w:t xml:space="preserve"> a</w:t>
      </w:r>
      <w:r w:rsidR="00DB4EA3" w:rsidRPr="00C86E49">
        <w:t xml:space="preserve">pplication 1523 </w:t>
      </w:r>
      <w:r w:rsidRPr="00C86E49">
        <w:t xml:space="preserve">are summarised in </w:t>
      </w:r>
      <w:r w:rsidRPr="00C86E49">
        <w:rPr>
          <w:color w:val="2B579A"/>
          <w:shd w:val="clear" w:color="auto" w:fill="E6E6E6"/>
        </w:rPr>
        <w:fldChar w:fldCharType="begin"/>
      </w:r>
      <w:r w:rsidRPr="00C86E49">
        <w:instrText xml:space="preserve"> REF _Ref69480768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Table </w:t>
      </w:r>
      <w:r w:rsidR="00EF3514" w:rsidRPr="00C86E49">
        <w:rPr>
          <w:noProof/>
        </w:rPr>
        <w:t>2</w:t>
      </w:r>
      <w:r w:rsidRPr="00C86E49">
        <w:rPr>
          <w:color w:val="2B579A"/>
          <w:shd w:val="clear" w:color="auto" w:fill="E6E6E6"/>
        </w:rPr>
        <w:fldChar w:fldCharType="end"/>
      </w:r>
      <w:r w:rsidRPr="00C86E49">
        <w:t>.</w:t>
      </w:r>
    </w:p>
    <w:p w14:paraId="6EC12EDF" w14:textId="29DD28DA" w:rsidR="0068682C" w:rsidRPr="00C86E49" w:rsidRDefault="0068682C" w:rsidP="00B808E0">
      <w:pPr>
        <w:pStyle w:val="Caption"/>
        <w:keepNext w:val="0"/>
      </w:pPr>
      <w:bookmarkStart w:id="6" w:name="_Ref69480768"/>
      <w:bookmarkStart w:id="7" w:name="_Hlk69734557"/>
      <w:bookmarkEnd w:id="5"/>
      <w:r w:rsidRPr="00C86E49">
        <w:t>Table</w:t>
      </w:r>
      <w:r w:rsidR="004A4FDF" w:rsidRPr="00C86E49">
        <w:t> </w:t>
      </w:r>
      <w:r w:rsidR="007552E5">
        <w:fldChar w:fldCharType="begin"/>
      </w:r>
      <w:r w:rsidR="007552E5">
        <w:instrText xml:space="preserve"> SEQ Table \* ARABIC </w:instrText>
      </w:r>
      <w:r w:rsidR="007552E5">
        <w:fldChar w:fldCharType="separate"/>
      </w:r>
      <w:r w:rsidR="00EF3514" w:rsidRPr="00C86E49">
        <w:rPr>
          <w:noProof/>
        </w:rPr>
        <w:t>2</w:t>
      </w:r>
      <w:r w:rsidR="007552E5">
        <w:rPr>
          <w:noProof/>
        </w:rPr>
        <w:fldChar w:fldCharType="end"/>
      </w:r>
      <w:bookmarkEnd w:id="6"/>
      <w:r w:rsidRPr="00C86E49">
        <w:tab/>
        <w:t>Summary of key matters of concern</w:t>
      </w:r>
      <w:r w:rsidR="001127F2" w:rsidRPr="00C86E49">
        <w:t xml:space="preserve"> </w:t>
      </w:r>
      <w:r w:rsidR="0044469A" w:rsidRPr="00C86E49">
        <w:t xml:space="preserve">raised in the PSD </w:t>
      </w:r>
      <w:r w:rsidR="001127F2" w:rsidRPr="00C86E49">
        <w:t xml:space="preserve">for </w:t>
      </w:r>
      <w:r w:rsidR="00DE2E98" w:rsidRPr="00C86E49">
        <w:t>a</w:t>
      </w:r>
      <w:r w:rsidR="001127F2" w:rsidRPr="00C86E49">
        <w:t xml:space="preserve">pplication </w:t>
      </w:r>
      <w:proofErr w:type="gramStart"/>
      <w:r w:rsidR="001127F2" w:rsidRPr="00C86E49">
        <w:t>1523</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ey matters of concern raised in the PSD for application 1523"/>
        <w:tblDescription w:val="This table outlines the key matters of concern raised in the PSD for application 1523 and how the current assessment report addresses the concerns."/>
      </w:tblPr>
      <w:tblGrid>
        <w:gridCol w:w="1272"/>
        <w:gridCol w:w="3826"/>
        <w:gridCol w:w="3918"/>
      </w:tblGrid>
      <w:tr w:rsidR="0023246B" w:rsidRPr="00C86E49" w14:paraId="2BDCC27B" w14:textId="77777777" w:rsidTr="009E426C">
        <w:tc>
          <w:tcPr>
            <w:tcW w:w="705" w:type="pct"/>
            <w:shd w:val="clear" w:color="auto" w:fill="auto"/>
          </w:tcPr>
          <w:p w14:paraId="58F6A808" w14:textId="66A618F1" w:rsidR="00F57885" w:rsidRPr="00C86E49" w:rsidRDefault="00F57885" w:rsidP="009E426C">
            <w:pPr>
              <w:pStyle w:val="TableHeading0"/>
            </w:pPr>
            <w:bookmarkStart w:id="8" w:name="ColumnTitle_Table1"/>
            <w:bookmarkStart w:id="9" w:name="_Hlk68275590"/>
            <w:bookmarkEnd w:id="8"/>
            <w:r w:rsidRPr="00C86E49">
              <w:t>Component</w:t>
            </w:r>
          </w:p>
        </w:tc>
        <w:tc>
          <w:tcPr>
            <w:tcW w:w="2122" w:type="pct"/>
            <w:shd w:val="clear" w:color="auto" w:fill="auto"/>
          </w:tcPr>
          <w:p w14:paraId="09992FB9" w14:textId="77777777" w:rsidR="00F57885" w:rsidRPr="00C86E49" w:rsidRDefault="00F57885" w:rsidP="009E426C">
            <w:pPr>
              <w:pStyle w:val="TableHeading0"/>
            </w:pPr>
            <w:r w:rsidRPr="00C86E49">
              <w:t>Matter of concern</w:t>
            </w:r>
          </w:p>
        </w:tc>
        <w:tc>
          <w:tcPr>
            <w:tcW w:w="2173" w:type="pct"/>
            <w:shd w:val="clear" w:color="auto" w:fill="auto"/>
          </w:tcPr>
          <w:p w14:paraId="54C88680" w14:textId="77777777" w:rsidR="00F57885" w:rsidRPr="00C86E49" w:rsidRDefault="00F57885" w:rsidP="009E426C">
            <w:pPr>
              <w:pStyle w:val="TableHeading0"/>
            </w:pPr>
            <w:r w:rsidRPr="00C86E49">
              <w:t>How the current assessment report addresses it</w:t>
            </w:r>
          </w:p>
        </w:tc>
      </w:tr>
      <w:tr w:rsidR="001F70D2" w:rsidRPr="00C86E49" w14:paraId="526B89A8" w14:textId="77777777" w:rsidTr="0023246B">
        <w:tc>
          <w:tcPr>
            <w:tcW w:w="705" w:type="pct"/>
          </w:tcPr>
          <w:p w14:paraId="475527AB" w14:textId="2891AE10" w:rsidR="001F70D2" w:rsidRPr="00C86E49" w:rsidRDefault="001F70D2" w:rsidP="009E426C">
            <w:pPr>
              <w:pStyle w:val="TableText"/>
            </w:pPr>
            <w:r w:rsidRPr="00C86E49">
              <w:t>Clinical need</w:t>
            </w:r>
          </w:p>
        </w:tc>
        <w:tc>
          <w:tcPr>
            <w:tcW w:w="2122" w:type="pct"/>
          </w:tcPr>
          <w:p w14:paraId="28DF9A3F" w14:textId="64570BDB" w:rsidR="001F70D2" w:rsidRPr="00C86E49" w:rsidRDefault="001F70D2" w:rsidP="00B808E0">
            <w:pPr>
              <w:pStyle w:val="TableText"/>
              <w:rPr>
                <w:rFonts w:eastAsia="Times New Roman" w:cs="Arial"/>
                <w:snapToGrid w:val="0"/>
                <w:szCs w:val="20"/>
              </w:rPr>
            </w:pPr>
            <w:r w:rsidRPr="00C86E49">
              <w:rPr>
                <w:rFonts w:eastAsia="Times New Roman" w:cs="Arial"/>
                <w:snapToGrid w:val="0"/>
                <w:szCs w:val="20"/>
              </w:rPr>
              <w:t>MSAC acknowledged the clinical need for effective interventions</w:t>
            </w:r>
            <w:r w:rsidR="00516459" w:rsidRPr="00C86E49">
              <w:rPr>
                <w:rFonts w:eastAsia="Times New Roman" w:cs="Arial"/>
                <w:snapToGrid w:val="0"/>
                <w:szCs w:val="20"/>
              </w:rPr>
              <w:t>, particularly</w:t>
            </w:r>
            <w:r w:rsidRPr="00C86E49">
              <w:rPr>
                <w:rFonts w:eastAsia="Times New Roman" w:cs="Arial"/>
                <w:snapToGrid w:val="0"/>
                <w:szCs w:val="20"/>
              </w:rPr>
              <w:t xml:space="preserve"> in the </w:t>
            </w:r>
            <w:r w:rsidR="00516459" w:rsidRPr="00C86E49">
              <w:rPr>
                <w:rFonts w:eastAsia="Times New Roman" w:cs="Arial"/>
                <w:snapToGrid w:val="0"/>
                <w:szCs w:val="20"/>
              </w:rPr>
              <w:t xml:space="preserve">CS </w:t>
            </w:r>
            <w:r w:rsidRPr="00C86E49">
              <w:rPr>
                <w:rFonts w:eastAsia="Times New Roman" w:cs="Arial"/>
                <w:snapToGrid w:val="0"/>
                <w:szCs w:val="20"/>
              </w:rPr>
              <w:t xml:space="preserve">population who currently have limited options. However, MSAC considered the need to balance treatment benefit with futility of intervention. MSAC noted the ongoing investigator-run trial in Denmark and Germany for patients with </w:t>
            </w:r>
            <w:r w:rsidR="00EE0B33" w:rsidRPr="00C86E49">
              <w:rPr>
                <w:rFonts w:eastAsia="Times New Roman" w:cs="Arial"/>
                <w:snapToGrid w:val="0"/>
                <w:szCs w:val="20"/>
              </w:rPr>
              <w:t>CS</w:t>
            </w:r>
            <w:r w:rsidRPr="00C86E49">
              <w:rPr>
                <w:rFonts w:eastAsia="Times New Roman" w:cs="Arial"/>
                <w:snapToGrid w:val="0"/>
                <w:szCs w:val="20"/>
              </w:rPr>
              <w:t xml:space="preserve"> (the DanGer Shock trial) and accepted that this was a well-designed trial; results are expected in 3–4 years.</w:t>
            </w:r>
            <w:r w:rsidR="006F5672" w:rsidRPr="00C86E49">
              <w:rPr>
                <w:rFonts w:eastAsia="Times New Roman" w:cs="Arial"/>
                <w:snapToGrid w:val="0"/>
                <w:szCs w:val="20"/>
              </w:rPr>
              <w:t xml:space="preserve"> </w:t>
            </w:r>
            <w:r w:rsidR="009A38B2" w:rsidRPr="00C86E49">
              <w:rPr>
                <w:rFonts w:eastAsia="Times New Roman" w:cs="Arial"/>
                <w:snapToGrid w:val="0"/>
                <w:szCs w:val="20"/>
              </w:rPr>
              <w:t>[</w:t>
            </w:r>
            <w:r w:rsidR="006F5672" w:rsidRPr="00C86E49">
              <w:rPr>
                <w:rFonts w:eastAsia="Times New Roman" w:cs="Arial"/>
                <w:snapToGrid w:val="0"/>
                <w:szCs w:val="20"/>
              </w:rPr>
              <w:t>PSD, p.5</w:t>
            </w:r>
            <w:r w:rsidR="009A38B2" w:rsidRPr="00C86E49">
              <w:rPr>
                <w:rFonts w:eastAsia="Times New Roman" w:cs="Arial"/>
                <w:snapToGrid w:val="0"/>
                <w:szCs w:val="20"/>
              </w:rPr>
              <w:t>]</w:t>
            </w:r>
          </w:p>
        </w:tc>
        <w:tc>
          <w:tcPr>
            <w:tcW w:w="2173" w:type="pct"/>
          </w:tcPr>
          <w:p w14:paraId="252D3589" w14:textId="3DB87CBF" w:rsidR="001F70D2" w:rsidRPr="00C86E49" w:rsidRDefault="00865B9D" w:rsidP="009E426C">
            <w:pPr>
              <w:pStyle w:val="TableText"/>
            </w:pPr>
            <w:r w:rsidRPr="00C86E49">
              <w:rPr>
                <w:rFonts w:eastAsia="Times New Roman" w:cs="Arial"/>
                <w:bCs/>
                <w:snapToGrid w:val="0"/>
                <w:szCs w:val="20"/>
              </w:rPr>
              <w:t xml:space="preserve">The </w:t>
            </w:r>
            <w:r w:rsidR="00CA4FB9" w:rsidRPr="00C86E49">
              <w:rPr>
                <w:rFonts w:eastAsia="Times New Roman" w:cs="Arial"/>
                <w:bCs/>
                <w:snapToGrid w:val="0"/>
                <w:szCs w:val="20"/>
              </w:rPr>
              <w:t xml:space="preserve">ADAR </w:t>
            </w:r>
            <w:r w:rsidR="00B96F4C" w:rsidRPr="00C86E49">
              <w:rPr>
                <w:rFonts w:eastAsia="Times New Roman" w:cs="Arial"/>
                <w:bCs/>
                <w:snapToGrid w:val="0"/>
                <w:szCs w:val="20"/>
              </w:rPr>
              <w:t>noted that since 2006, four of the five RCTs in patients with CS have been discontinued due to low enrolment.</w:t>
            </w:r>
            <w:r w:rsidR="00C44683" w:rsidRPr="00C86E49">
              <w:rPr>
                <w:rFonts w:eastAsia="Times New Roman" w:cs="Arial"/>
                <w:bCs/>
                <w:snapToGrid w:val="0"/>
                <w:szCs w:val="20"/>
              </w:rPr>
              <w:t xml:space="preserve"> The ADAR</w:t>
            </w:r>
            <w:r w:rsidR="00B96F4C" w:rsidRPr="00C86E49">
              <w:rPr>
                <w:rFonts w:eastAsia="Times New Roman" w:cs="Arial"/>
                <w:bCs/>
                <w:snapToGrid w:val="0"/>
                <w:szCs w:val="20"/>
              </w:rPr>
              <w:t xml:space="preserve"> </w:t>
            </w:r>
            <w:r w:rsidR="0035339C" w:rsidRPr="00C86E49">
              <w:rPr>
                <w:rFonts w:eastAsia="Times New Roman" w:cs="Arial"/>
                <w:bCs/>
                <w:snapToGrid w:val="0"/>
                <w:szCs w:val="20"/>
              </w:rPr>
              <w:t>explained</w:t>
            </w:r>
            <w:r w:rsidR="00B96F4C" w:rsidRPr="00C86E49">
              <w:rPr>
                <w:rFonts w:eastAsia="Times New Roman" w:cs="Arial"/>
                <w:bCs/>
                <w:snapToGrid w:val="0"/>
                <w:szCs w:val="20"/>
              </w:rPr>
              <w:t xml:space="preserve"> that </w:t>
            </w:r>
            <w:r w:rsidR="0035339C" w:rsidRPr="00C86E49">
              <w:rPr>
                <w:rFonts w:eastAsia="Times New Roman" w:cs="Arial"/>
                <w:bCs/>
                <w:snapToGrid w:val="0"/>
                <w:szCs w:val="20"/>
              </w:rPr>
              <w:t xml:space="preserve">the </w:t>
            </w:r>
            <w:r w:rsidRPr="00C86E49">
              <w:rPr>
                <w:rFonts w:eastAsia="Times New Roman" w:cs="Arial"/>
                <w:bCs/>
                <w:snapToGrid w:val="0"/>
                <w:szCs w:val="20"/>
              </w:rPr>
              <w:t xml:space="preserve">DanGer Shock RCT </w:t>
            </w:r>
            <w:r w:rsidR="0034500E" w:rsidRPr="00C86E49">
              <w:rPr>
                <w:rFonts w:eastAsia="Times New Roman" w:cs="Arial"/>
                <w:bCs/>
                <w:snapToGrid w:val="0"/>
                <w:szCs w:val="20"/>
              </w:rPr>
              <w:t>was not</w:t>
            </w:r>
            <w:r w:rsidRPr="00C86E49">
              <w:rPr>
                <w:rFonts w:eastAsia="Times New Roman" w:cs="Arial"/>
                <w:bCs/>
                <w:snapToGrid w:val="0"/>
                <w:szCs w:val="20"/>
              </w:rPr>
              <w:t xml:space="preserve"> designed to directly compare IMPELLA and VA-ECMO in patients with CS</w:t>
            </w:r>
            <w:r w:rsidR="0034500E" w:rsidRPr="00C86E49">
              <w:rPr>
                <w:rFonts w:eastAsia="Times New Roman" w:cs="Arial"/>
                <w:bCs/>
                <w:snapToGrid w:val="0"/>
                <w:szCs w:val="20"/>
              </w:rPr>
              <w:t xml:space="preserve"> and is unlikely to be informative</w:t>
            </w:r>
            <w:r w:rsidRPr="00C86E49">
              <w:rPr>
                <w:rFonts w:eastAsia="Times New Roman" w:cs="Arial"/>
                <w:bCs/>
                <w:snapToGrid w:val="0"/>
                <w:szCs w:val="20"/>
              </w:rPr>
              <w:t>.</w:t>
            </w:r>
            <w:r w:rsidR="00347D24" w:rsidRPr="00C86E49">
              <w:rPr>
                <w:rFonts w:eastAsia="Times New Roman" w:cs="Arial"/>
                <w:bCs/>
                <w:snapToGrid w:val="0"/>
                <w:szCs w:val="20"/>
              </w:rPr>
              <w:t xml:space="preserve"> </w:t>
            </w:r>
            <w:r w:rsidR="00700FBF" w:rsidRPr="00C86E49">
              <w:rPr>
                <w:rFonts w:eastAsia="Times New Roman" w:cs="Arial"/>
                <w:bCs/>
                <w:snapToGrid w:val="0"/>
                <w:szCs w:val="20"/>
              </w:rPr>
              <w:t xml:space="preserve">DanGer Shock </w:t>
            </w:r>
            <w:r w:rsidR="00347D24" w:rsidRPr="00C86E49">
              <w:rPr>
                <w:rFonts w:eastAsia="Times New Roman" w:cs="Arial"/>
                <w:bCs/>
                <w:snapToGrid w:val="0"/>
                <w:szCs w:val="20"/>
              </w:rPr>
              <w:t>reached its recruitment target (N=360) but has not yet published (estimated study completion is January 2024).</w:t>
            </w:r>
          </w:p>
        </w:tc>
      </w:tr>
      <w:tr w:rsidR="0023246B" w:rsidRPr="00C86E49" w14:paraId="50ECEA77" w14:textId="77777777" w:rsidTr="0023246B">
        <w:tc>
          <w:tcPr>
            <w:tcW w:w="705" w:type="pct"/>
          </w:tcPr>
          <w:p w14:paraId="7B26D7F2" w14:textId="77777777" w:rsidR="004F61DC" w:rsidRPr="00C86E49" w:rsidRDefault="004F61DC" w:rsidP="009E426C">
            <w:pPr>
              <w:pStyle w:val="TableText"/>
            </w:pPr>
            <w:r w:rsidRPr="00C86E49">
              <w:lastRenderedPageBreak/>
              <w:t>Clinical place in therapy</w:t>
            </w:r>
          </w:p>
        </w:tc>
        <w:tc>
          <w:tcPr>
            <w:tcW w:w="2122" w:type="pct"/>
          </w:tcPr>
          <w:p w14:paraId="1C375B13" w14:textId="6BB6AE70" w:rsidR="004F61DC" w:rsidRPr="00C86E49" w:rsidRDefault="004F61DC" w:rsidP="009E426C">
            <w:pPr>
              <w:pStyle w:val="TableText"/>
              <w:rPr>
                <w:szCs w:val="20"/>
              </w:rPr>
            </w:pPr>
            <w:r w:rsidRPr="00C86E49">
              <w:rPr>
                <w:szCs w:val="20"/>
              </w:rPr>
              <w:t xml:space="preserve">The algorithm suggested that ECMO can also be used in conjunction with IMVAD and pharmacological therapy. This is despite the PICO Confirmation noting concern about the use of IMVAD in addition to other mechanical circulatory support. The Critique stated that the use of ECMO in addition to IMVAD was not justified in the application. </w:t>
            </w:r>
            <w:r w:rsidR="009A38B2" w:rsidRPr="00C86E49">
              <w:rPr>
                <w:szCs w:val="20"/>
              </w:rPr>
              <w:t>[</w:t>
            </w:r>
            <w:r w:rsidRPr="00C86E49">
              <w:rPr>
                <w:szCs w:val="20"/>
              </w:rPr>
              <w:t>PSD, p.10</w:t>
            </w:r>
            <w:r w:rsidR="009A38B2" w:rsidRPr="00C86E49">
              <w:rPr>
                <w:szCs w:val="20"/>
              </w:rPr>
              <w:t>]</w:t>
            </w:r>
          </w:p>
        </w:tc>
        <w:tc>
          <w:tcPr>
            <w:tcW w:w="2173" w:type="pct"/>
          </w:tcPr>
          <w:p w14:paraId="12AD9AA2" w14:textId="77777777" w:rsidR="004F61DC" w:rsidRPr="00C86E49" w:rsidRDefault="004F61DC" w:rsidP="009E426C">
            <w:pPr>
              <w:pStyle w:val="TableText"/>
            </w:pPr>
            <w:r w:rsidRPr="00C86E49">
              <w:t xml:space="preserve">Addressed. </w:t>
            </w:r>
          </w:p>
          <w:p w14:paraId="506E9BE3" w14:textId="7DBFEAC9" w:rsidR="00101103" w:rsidRPr="00C86E49" w:rsidRDefault="004F61DC" w:rsidP="009E426C">
            <w:pPr>
              <w:pStyle w:val="TableText"/>
            </w:pPr>
            <w:r w:rsidRPr="00C86E49">
              <w:t xml:space="preserve">Justification was provided in the ADAR for the clinical need for IMVAD + VA-ECMO (ECPELLA). The ADAR proposed that ECPELLA be used in a subset of patients on VA-ECMO who require unloading of their LV. </w:t>
            </w:r>
          </w:p>
          <w:p w14:paraId="2F790621" w14:textId="61C733A4" w:rsidR="004F61DC" w:rsidRPr="00C86E49" w:rsidRDefault="004F61DC" w:rsidP="009E426C">
            <w:pPr>
              <w:pStyle w:val="TableText"/>
            </w:pPr>
            <w:r w:rsidRPr="00C86E49">
              <w:t>The commentary noted that the clinical evidence used to support the effectiveness and safety of ECPELLA also included ‘pre-emptive’ use of ECPELLA.</w:t>
            </w:r>
          </w:p>
        </w:tc>
      </w:tr>
      <w:tr w:rsidR="0023246B" w:rsidRPr="00C86E49" w14:paraId="4C3B6A2C" w14:textId="77777777" w:rsidTr="0023246B">
        <w:tc>
          <w:tcPr>
            <w:tcW w:w="705" w:type="pct"/>
          </w:tcPr>
          <w:p w14:paraId="3ADC1FC4" w14:textId="0C775260" w:rsidR="00F57885" w:rsidRPr="00C86E49" w:rsidRDefault="00B17B71" w:rsidP="00B808E0">
            <w:pPr>
              <w:pStyle w:val="TableText"/>
            </w:pPr>
            <w:r w:rsidRPr="00C86E49">
              <w:t>Comparator</w:t>
            </w:r>
          </w:p>
        </w:tc>
        <w:tc>
          <w:tcPr>
            <w:tcW w:w="2122" w:type="pct"/>
          </w:tcPr>
          <w:p w14:paraId="29BB6916" w14:textId="755A9F80" w:rsidR="00F57885" w:rsidRPr="00C86E49" w:rsidRDefault="00433907" w:rsidP="00B808E0">
            <w:pPr>
              <w:pStyle w:val="TableText"/>
              <w:rPr>
                <w:rFonts w:eastAsia="Times New Roman" w:cs="Arial"/>
                <w:snapToGrid w:val="0"/>
                <w:szCs w:val="20"/>
              </w:rPr>
            </w:pPr>
            <w:r w:rsidRPr="00C86E49">
              <w:rPr>
                <w:rFonts w:eastAsia="Times New Roman" w:cs="Arial"/>
                <w:snapToGrid w:val="0"/>
                <w:szCs w:val="20"/>
              </w:rPr>
              <w:t>MSAC agreed with the comparators as assessed by ESC</w:t>
            </w:r>
            <w:r w:rsidR="00A33A8E" w:rsidRPr="00C86E49">
              <w:rPr>
                <w:rFonts w:eastAsia="Times New Roman" w:cs="Arial"/>
                <w:snapToGrid w:val="0"/>
                <w:szCs w:val="20"/>
              </w:rPr>
              <w:t>. F</w:t>
            </w:r>
            <w:r w:rsidRPr="00C86E49">
              <w:rPr>
                <w:rFonts w:eastAsia="Times New Roman" w:cs="Arial"/>
                <w:snapToGrid w:val="0"/>
                <w:szCs w:val="20"/>
              </w:rPr>
              <w:t xml:space="preserve">or </w:t>
            </w:r>
            <w:r w:rsidR="00EE0B33" w:rsidRPr="00C86E49">
              <w:rPr>
                <w:rFonts w:eastAsia="Times New Roman" w:cs="Arial"/>
                <w:snapToGrid w:val="0"/>
                <w:szCs w:val="20"/>
              </w:rPr>
              <w:t>CS</w:t>
            </w:r>
            <w:r w:rsidRPr="00C86E49">
              <w:rPr>
                <w:rFonts w:eastAsia="Times New Roman" w:cs="Arial"/>
                <w:snapToGrid w:val="0"/>
                <w:szCs w:val="20"/>
              </w:rPr>
              <w:t xml:space="preserve">, the appropriate comparator </w:t>
            </w:r>
            <w:r w:rsidR="00F67599" w:rsidRPr="00C86E49">
              <w:rPr>
                <w:rFonts w:eastAsia="Times New Roman" w:cs="Arial"/>
                <w:snapToGrid w:val="0"/>
                <w:szCs w:val="20"/>
              </w:rPr>
              <w:t>wa</w:t>
            </w:r>
            <w:r w:rsidR="00733AEB" w:rsidRPr="00C86E49">
              <w:rPr>
                <w:rFonts w:eastAsia="Times New Roman" w:cs="Arial"/>
                <w:snapToGrid w:val="0"/>
                <w:szCs w:val="20"/>
              </w:rPr>
              <w:t>s</w:t>
            </w:r>
            <w:r w:rsidRPr="00C86E49">
              <w:rPr>
                <w:rFonts w:eastAsia="Times New Roman" w:cs="Arial"/>
                <w:snapToGrid w:val="0"/>
                <w:szCs w:val="20"/>
              </w:rPr>
              <w:t xml:space="preserve"> ECMO</w:t>
            </w:r>
            <w:r w:rsidR="00C80D5B" w:rsidRPr="00C86E49">
              <w:rPr>
                <w:rFonts w:eastAsia="Times New Roman" w:cs="Arial"/>
                <w:snapToGrid w:val="0"/>
                <w:szCs w:val="20"/>
              </w:rPr>
              <w:t>,</w:t>
            </w:r>
            <w:r w:rsidRPr="00C86E49">
              <w:rPr>
                <w:rFonts w:eastAsia="Times New Roman" w:cs="Arial"/>
                <w:snapToGrid w:val="0"/>
                <w:szCs w:val="20"/>
              </w:rPr>
              <w:t xml:space="preserve"> although MSAC noted the lack of evidence to support this, </w:t>
            </w:r>
            <w:proofErr w:type="gramStart"/>
            <w:r w:rsidRPr="00C86E49">
              <w:rPr>
                <w:rFonts w:eastAsia="Times New Roman" w:cs="Arial"/>
                <w:snapToGrid w:val="0"/>
                <w:szCs w:val="20"/>
              </w:rPr>
              <w:t>and also</w:t>
            </w:r>
            <w:proofErr w:type="gramEnd"/>
            <w:r w:rsidRPr="00C86E49">
              <w:rPr>
                <w:rFonts w:eastAsia="Times New Roman" w:cs="Arial"/>
                <w:snapToGrid w:val="0"/>
                <w:szCs w:val="20"/>
              </w:rPr>
              <w:t xml:space="preserve"> considered that the use of IMVAD in conjunction with ECMO would require justification in a narrower population</w:t>
            </w:r>
            <w:r w:rsidR="004D4F8A" w:rsidRPr="00C86E49">
              <w:rPr>
                <w:rFonts w:eastAsia="Times New Roman" w:cs="Arial"/>
                <w:snapToGrid w:val="0"/>
                <w:szCs w:val="20"/>
              </w:rPr>
              <w:t>.</w:t>
            </w:r>
            <w:r w:rsidRPr="00C86E49">
              <w:rPr>
                <w:rFonts w:eastAsia="Times New Roman" w:cs="Arial"/>
                <w:snapToGrid w:val="0"/>
                <w:szCs w:val="20"/>
              </w:rPr>
              <w:t xml:space="preserve"> </w:t>
            </w:r>
            <w:r w:rsidR="009A38B2" w:rsidRPr="00C86E49">
              <w:rPr>
                <w:rFonts w:eastAsia="Times New Roman" w:cs="Arial"/>
                <w:snapToGrid w:val="0"/>
                <w:szCs w:val="20"/>
              </w:rPr>
              <w:t>[</w:t>
            </w:r>
            <w:r w:rsidR="004E40BD" w:rsidRPr="00C86E49">
              <w:rPr>
                <w:rFonts w:eastAsia="Times New Roman" w:cs="Arial"/>
                <w:snapToGrid w:val="0"/>
                <w:szCs w:val="20"/>
              </w:rPr>
              <w:t>PSD, p.3</w:t>
            </w:r>
            <w:r w:rsidR="009A38B2" w:rsidRPr="00C86E49">
              <w:rPr>
                <w:rFonts w:eastAsia="Times New Roman" w:cs="Arial"/>
                <w:snapToGrid w:val="0"/>
                <w:szCs w:val="20"/>
              </w:rPr>
              <w:t>]</w:t>
            </w:r>
          </w:p>
        </w:tc>
        <w:tc>
          <w:tcPr>
            <w:tcW w:w="2173" w:type="pct"/>
          </w:tcPr>
          <w:p w14:paraId="6637DA70" w14:textId="77777777" w:rsidR="00F57885" w:rsidRPr="00C86E49" w:rsidRDefault="009344E8" w:rsidP="00B808E0">
            <w:pPr>
              <w:pStyle w:val="TableText"/>
              <w:rPr>
                <w:rFonts w:eastAsia="Times New Roman" w:cs="Arial"/>
                <w:bCs/>
                <w:snapToGrid w:val="0"/>
                <w:szCs w:val="20"/>
              </w:rPr>
            </w:pPr>
            <w:r w:rsidRPr="00C86E49">
              <w:rPr>
                <w:rFonts w:eastAsia="Times New Roman" w:cs="Arial"/>
                <w:bCs/>
                <w:snapToGrid w:val="0"/>
                <w:szCs w:val="20"/>
              </w:rPr>
              <w:t xml:space="preserve">Addressed. </w:t>
            </w:r>
          </w:p>
          <w:p w14:paraId="15BB4464" w14:textId="5E0C7828" w:rsidR="008A6F1A" w:rsidRPr="00375AEF" w:rsidRDefault="00C80D5B" w:rsidP="00B808E0">
            <w:pPr>
              <w:pStyle w:val="TableText"/>
              <w:rPr>
                <w:rFonts w:eastAsia="Times New Roman" w:cs="Arial"/>
                <w:bCs/>
                <w:snapToGrid w:val="0"/>
                <w:szCs w:val="20"/>
              </w:rPr>
            </w:pPr>
            <w:r w:rsidRPr="00C86E49">
              <w:rPr>
                <w:rFonts w:eastAsia="Times New Roman" w:cs="Arial"/>
                <w:bCs/>
                <w:snapToGrid w:val="0"/>
                <w:szCs w:val="20"/>
              </w:rPr>
              <w:t xml:space="preserve">Consistent with the advice in the PSD, </w:t>
            </w:r>
            <w:r w:rsidR="00EB5CCE" w:rsidRPr="00C86E49">
              <w:rPr>
                <w:rFonts w:eastAsia="Times New Roman" w:cs="Arial"/>
                <w:bCs/>
                <w:snapToGrid w:val="0"/>
                <w:szCs w:val="20"/>
              </w:rPr>
              <w:t>t</w:t>
            </w:r>
            <w:r w:rsidR="009344E8" w:rsidRPr="00C86E49">
              <w:rPr>
                <w:rFonts w:eastAsia="Times New Roman" w:cs="Arial"/>
                <w:bCs/>
                <w:snapToGrid w:val="0"/>
                <w:szCs w:val="20"/>
              </w:rPr>
              <w:t>he ADAR nominate</w:t>
            </w:r>
            <w:r w:rsidR="005613EE" w:rsidRPr="00C86E49">
              <w:rPr>
                <w:rFonts w:eastAsia="Times New Roman" w:cs="Arial"/>
                <w:bCs/>
                <w:snapToGrid w:val="0"/>
                <w:szCs w:val="20"/>
              </w:rPr>
              <w:t>d</w:t>
            </w:r>
            <w:r w:rsidR="009344E8" w:rsidRPr="00C86E49">
              <w:rPr>
                <w:rFonts w:eastAsia="Times New Roman" w:cs="Arial"/>
                <w:bCs/>
                <w:snapToGrid w:val="0"/>
                <w:szCs w:val="20"/>
              </w:rPr>
              <w:t xml:space="preserve"> VA-ECMO as the comparator to </w:t>
            </w:r>
            <w:r w:rsidR="007F42BB" w:rsidRPr="00C86E49">
              <w:rPr>
                <w:rFonts w:eastAsia="Times New Roman" w:cs="Arial"/>
                <w:bCs/>
                <w:snapToGrid w:val="0"/>
                <w:szCs w:val="20"/>
              </w:rPr>
              <w:t>IMPELLA</w:t>
            </w:r>
            <w:r w:rsidR="00EB5CCE" w:rsidRPr="00C86E49">
              <w:rPr>
                <w:rFonts w:eastAsia="Times New Roman" w:cs="Arial"/>
                <w:bCs/>
                <w:snapToGrid w:val="0"/>
                <w:szCs w:val="20"/>
              </w:rPr>
              <w:t>.</w:t>
            </w:r>
            <w:r w:rsidR="00FD48BC" w:rsidRPr="00C86E49">
              <w:rPr>
                <w:rFonts w:eastAsia="Times New Roman" w:cs="Arial"/>
                <w:bCs/>
                <w:snapToGrid w:val="0"/>
                <w:szCs w:val="20"/>
              </w:rPr>
              <w:t xml:space="preserve"> </w:t>
            </w:r>
            <w:r w:rsidR="00EB5CCE" w:rsidRPr="00C86E49">
              <w:rPr>
                <w:rFonts w:eastAsia="Times New Roman" w:cs="Arial"/>
                <w:bCs/>
                <w:snapToGrid w:val="0"/>
                <w:szCs w:val="20"/>
              </w:rPr>
              <w:t>For ECPELLA</w:t>
            </w:r>
            <w:r w:rsidR="00AA2564" w:rsidRPr="00C86E49">
              <w:rPr>
                <w:rFonts w:eastAsia="Times New Roman" w:cs="Arial"/>
                <w:bCs/>
                <w:snapToGrid w:val="0"/>
                <w:szCs w:val="20"/>
              </w:rPr>
              <w:t xml:space="preserve">, the ADAR nominated </w:t>
            </w:r>
            <w:r w:rsidR="00FD48BC" w:rsidRPr="00C86E49">
              <w:rPr>
                <w:rFonts w:eastAsia="Times New Roman" w:cs="Arial"/>
                <w:bCs/>
                <w:snapToGrid w:val="0"/>
                <w:szCs w:val="20"/>
              </w:rPr>
              <w:t xml:space="preserve">VA-ECMO </w:t>
            </w:r>
            <w:r w:rsidR="00550766" w:rsidRPr="00C86E49">
              <w:rPr>
                <w:rFonts w:eastAsia="Times New Roman" w:cs="Arial"/>
                <w:bCs/>
                <w:snapToGrid w:val="0"/>
                <w:szCs w:val="20"/>
              </w:rPr>
              <w:t>with or without</w:t>
            </w:r>
            <w:r w:rsidR="00FD48BC" w:rsidRPr="00C86E49">
              <w:rPr>
                <w:rFonts w:eastAsia="Times New Roman" w:cs="Arial"/>
                <w:bCs/>
                <w:snapToGrid w:val="0"/>
                <w:szCs w:val="20"/>
              </w:rPr>
              <w:t xml:space="preserve"> </w:t>
            </w:r>
            <w:r w:rsidR="00C44DBA" w:rsidRPr="00C86E49">
              <w:rPr>
                <w:rFonts w:eastAsia="Times New Roman" w:cs="Arial"/>
                <w:bCs/>
                <w:snapToGrid w:val="0"/>
                <w:szCs w:val="20"/>
              </w:rPr>
              <w:t>SV</w:t>
            </w:r>
            <w:r w:rsidR="00FD48BC" w:rsidRPr="00C86E49">
              <w:rPr>
                <w:rFonts w:eastAsia="Times New Roman" w:cs="Arial"/>
                <w:bCs/>
                <w:snapToGrid w:val="0"/>
                <w:szCs w:val="20"/>
              </w:rPr>
              <w:t xml:space="preserve"> as the compa</w:t>
            </w:r>
            <w:r w:rsidR="00AD7FD6" w:rsidRPr="00C86E49">
              <w:rPr>
                <w:rFonts w:eastAsia="Times New Roman" w:cs="Arial"/>
                <w:bCs/>
                <w:snapToGrid w:val="0"/>
                <w:szCs w:val="20"/>
              </w:rPr>
              <w:t>rator</w:t>
            </w:r>
            <w:r w:rsidR="00550766" w:rsidRPr="00C86E49">
              <w:rPr>
                <w:rFonts w:eastAsia="Times New Roman" w:cs="Arial"/>
                <w:bCs/>
                <w:snapToGrid w:val="0"/>
                <w:szCs w:val="20"/>
              </w:rPr>
              <w:t>.</w:t>
            </w:r>
            <w:r w:rsidR="00AA2564" w:rsidRPr="00C86E49">
              <w:rPr>
                <w:rFonts w:eastAsia="Times New Roman" w:cs="Arial"/>
                <w:bCs/>
                <w:snapToGrid w:val="0"/>
                <w:szCs w:val="20"/>
              </w:rPr>
              <w:t xml:space="preserve"> </w:t>
            </w:r>
            <w:r w:rsidR="005800D4" w:rsidRPr="00C86E49">
              <w:rPr>
                <w:rFonts w:eastAsia="Times New Roman" w:cs="Arial"/>
                <w:bCs/>
                <w:snapToGrid w:val="0"/>
                <w:szCs w:val="20"/>
              </w:rPr>
              <w:t xml:space="preserve">The ADAR </w:t>
            </w:r>
            <w:r w:rsidR="004435C3" w:rsidRPr="00C86E49">
              <w:rPr>
                <w:rFonts w:eastAsia="Times New Roman" w:cs="Arial"/>
                <w:bCs/>
                <w:snapToGrid w:val="0"/>
                <w:szCs w:val="20"/>
              </w:rPr>
              <w:t>acknowledged</w:t>
            </w:r>
            <w:r w:rsidR="00AA2564" w:rsidRPr="00C86E49">
              <w:rPr>
                <w:rFonts w:eastAsia="Times New Roman" w:cs="Arial"/>
                <w:bCs/>
                <w:snapToGrid w:val="0"/>
                <w:szCs w:val="20"/>
              </w:rPr>
              <w:t xml:space="preserve"> that </w:t>
            </w:r>
            <w:r w:rsidR="00C44DBA" w:rsidRPr="00C86E49">
              <w:rPr>
                <w:rFonts w:eastAsia="Times New Roman" w:cs="Arial"/>
                <w:bCs/>
                <w:snapToGrid w:val="0"/>
                <w:szCs w:val="20"/>
              </w:rPr>
              <w:t>SV</w:t>
            </w:r>
            <w:r w:rsidR="00AA2564" w:rsidRPr="00C86E49">
              <w:rPr>
                <w:rFonts w:eastAsia="Times New Roman" w:cs="Arial"/>
                <w:bCs/>
                <w:snapToGrid w:val="0"/>
                <w:szCs w:val="20"/>
              </w:rPr>
              <w:t xml:space="preserve"> </w:t>
            </w:r>
            <w:r w:rsidR="0061680F" w:rsidRPr="00C86E49">
              <w:rPr>
                <w:rFonts w:eastAsia="Times New Roman" w:cs="Arial"/>
                <w:bCs/>
                <w:snapToGrid w:val="0"/>
                <w:szCs w:val="20"/>
              </w:rPr>
              <w:t>is not routine care in Australia</w:t>
            </w:r>
            <w:r w:rsidR="00D70BC4" w:rsidRPr="00C86E49">
              <w:rPr>
                <w:rFonts w:eastAsia="Times New Roman" w:cs="Arial"/>
                <w:bCs/>
                <w:snapToGrid w:val="0"/>
                <w:szCs w:val="20"/>
              </w:rPr>
              <w:t xml:space="preserve">; </w:t>
            </w:r>
            <w:r w:rsidR="0061680F" w:rsidRPr="00C86E49">
              <w:rPr>
                <w:rFonts w:eastAsia="Times New Roman" w:cs="Arial"/>
                <w:bCs/>
                <w:snapToGrid w:val="0"/>
                <w:szCs w:val="20"/>
              </w:rPr>
              <w:t xml:space="preserve">not all patients are suitable for </w:t>
            </w:r>
            <w:r w:rsidR="00C44DBA" w:rsidRPr="00C86E49">
              <w:rPr>
                <w:rFonts w:eastAsia="Times New Roman" w:cs="Arial"/>
                <w:bCs/>
                <w:snapToGrid w:val="0"/>
                <w:szCs w:val="20"/>
              </w:rPr>
              <w:t>SV</w:t>
            </w:r>
            <w:r w:rsidR="0061680F" w:rsidRPr="00C86E49">
              <w:rPr>
                <w:rFonts w:eastAsia="Times New Roman" w:cs="Arial"/>
                <w:bCs/>
                <w:snapToGrid w:val="0"/>
                <w:szCs w:val="20"/>
              </w:rPr>
              <w:t>, nor is expertise universally available</w:t>
            </w:r>
            <w:r w:rsidR="00546E49" w:rsidRPr="00C86E49">
              <w:rPr>
                <w:rFonts w:eastAsia="Times New Roman" w:cs="Arial"/>
                <w:bCs/>
                <w:snapToGrid w:val="0"/>
                <w:szCs w:val="20"/>
              </w:rPr>
              <w:t>.</w:t>
            </w:r>
            <w:r w:rsidR="00A92A8C" w:rsidRPr="00C86E49">
              <w:rPr>
                <w:rFonts w:eastAsia="Times New Roman" w:cs="Arial"/>
                <w:bCs/>
                <w:snapToGrid w:val="0"/>
                <w:szCs w:val="20"/>
              </w:rPr>
              <w:t xml:space="preserve"> </w:t>
            </w:r>
          </w:p>
        </w:tc>
      </w:tr>
      <w:tr w:rsidR="0023246B" w:rsidRPr="00C86E49" w14:paraId="7E0978A7" w14:textId="77777777" w:rsidTr="0023246B">
        <w:tc>
          <w:tcPr>
            <w:tcW w:w="705" w:type="pct"/>
          </w:tcPr>
          <w:p w14:paraId="55CE8AFC" w14:textId="77777777" w:rsidR="00D55238" w:rsidRPr="00C86E49" w:rsidRDefault="00D55238" w:rsidP="00B808E0">
            <w:pPr>
              <w:pStyle w:val="TableText"/>
            </w:pPr>
            <w:r w:rsidRPr="00C86E49">
              <w:t>Proposed fee / items</w:t>
            </w:r>
          </w:p>
        </w:tc>
        <w:tc>
          <w:tcPr>
            <w:tcW w:w="2122" w:type="pct"/>
          </w:tcPr>
          <w:p w14:paraId="6FB6CA66" w14:textId="2A5C1E92" w:rsidR="00D55238" w:rsidRPr="00C86E49" w:rsidRDefault="00D55238" w:rsidP="00B808E0">
            <w:pPr>
              <w:pStyle w:val="TableText"/>
              <w:rPr>
                <w:rFonts w:eastAsia="Times New Roman" w:cs="Arial"/>
                <w:snapToGrid w:val="0"/>
                <w:szCs w:val="20"/>
              </w:rPr>
            </w:pPr>
            <w:r w:rsidRPr="00C86E49">
              <w:t xml:space="preserve">MSAC agreed with ESC that, while the time for surgical IMVAD insertion and removal is higher than percutaneous methods, the quantum of reimbursement is not adequately justified. MSAC also agreed that it was reasonable to delete the fee for percutaneous removal of the device. </w:t>
            </w:r>
            <w:r w:rsidR="009A38B2" w:rsidRPr="00C86E49">
              <w:t>[</w:t>
            </w:r>
            <w:r w:rsidR="004F4C00" w:rsidRPr="00C86E49">
              <w:t>PSD, p</w:t>
            </w:r>
            <w:r w:rsidR="00E71B18" w:rsidRPr="00C86E49">
              <w:t>.</w:t>
            </w:r>
            <w:r w:rsidRPr="00C86E49">
              <w:t>5</w:t>
            </w:r>
            <w:r w:rsidR="009A38B2" w:rsidRPr="00C86E49">
              <w:t>]</w:t>
            </w:r>
          </w:p>
        </w:tc>
        <w:tc>
          <w:tcPr>
            <w:tcW w:w="2173" w:type="pct"/>
          </w:tcPr>
          <w:p w14:paraId="527F97A0" w14:textId="77777777" w:rsidR="00D55238" w:rsidRPr="00C86E49" w:rsidRDefault="00D55238" w:rsidP="00B808E0">
            <w:pPr>
              <w:pStyle w:val="TableText"/>
              <w:rPr>
                <w:rFonts w:eastAsia="Times New Roman" w:cs="Arial"/>
                <w:snapToGrid w:val="0"/>
                <w:szCs w:val="20"/>
              </w:rPr>
            </w:pPr>
            <w:r w:rsidRPr="00C86E49">
              <w:rPr>
                <w:rFonts w:eastAsia="Times New Roman" w:cs="Arial"/>
                <w:snapToGrid w:val="0"/>
                <w:szCs w:val="20"/>
              </w:rPr>
              <w:t xml:space="preserve">Addressed. </w:t>
            </w:r>
          </w:p>
          <w:p w14:paraId="11B23E37" w14:textId="5498C9DE" w:rsidR="00D55238" w:rsidRPr="00C86E49" w:rsidRDefault="00D55238" w:rsidP="00B808E0">
            <w:pPr>
              <w:pStyle w:val="TableText"/>
              <w:rPr>
                <w:rFonts w:eastAsia="Times New Roman" w:cs="Arial"/>
                <w:snapToGrid w:val="0"/>
                <w:szCs w:val="20"/>
              </w:rPr>
            </w:pPr>
            <w:r w:rsidRPr="00C86E49">
              <w:rPr>
                <w:rFonts w:eastAsia="Times New Roman" w:cs="Arial"/>
                <w:snapToGrid w:val="0"/>
                <w:szCs w:val="20"/>
              </w:rPr>
              <w:t xml:space="preserve">The ADAR provided a clearer rationale for the proposed fees, based </w:t>
            </w:r>
            <w:r w:rsidR="000F1531" w:rsidRPr="00C86E49">
              <w:rPr>
                <w:rFonts w:eastAsia="Times New Roman" w:cs="Arial"/>
                <w:snapToGrid w:val="0"/>
                <w:szCs w:val="20"/>
              </w:rPr>
              <w:t xml:space="preserve">on </w:t>
            </w:r>
            <w:r w:rsidR="00EA00D1" w:rsidRPr="00C86E49">
              <w:rPr>
                <w:rFonts w:eastAsia="Times New Roman" w:cs="Arial"/>
                <w:snapToGrid w:val="0"/>
                <w:szCs w:val="20"/>
              </w:rPr>
              <w:t>local expert advice</w:t>
            </w:r>
            <w:r w:rsidR="00A05A75" w:rsidRPr="00C86E49">
              <w:rPr>
                <w:rFonts w:eastAsia="Times New Roman" w:cs="Arial"/>
                <w:snapToGrid w:val="0"/>
                <w:szCs w:val="20"/>
              </w:rPr>
              <w:t>, MBS item</w:t>
            </w:r>
            <w:r w:rsidR="00EB41A0" w:rsidRPr="00C86E49">
              <w:rPr>
                <w:rFonts w:eastAsia="Times New Roman" w:cs="Arial"/>
                <w:snapToGrid w:val="0"/>
                <w:szCs w:val="20"/>
              </w:rPr>
              <w:t xml:space="preserve"> fee</w:t>
            </w:r>
            <w:r w:rsidR="00A05A75" w:rsidRPr="00C86E49">
              <w:rPr>
                <w:rFonts w:eastAsia="Times New Roman" w:cs="Arial"/>
                <w:snapToGrid w:val="0"/>
                <w:szCs w:val="20"/>
              </w:rPr>
              <w:t xml:space="preserve">s for MCS </w:t>
            </w:r>
            <w:r w:rsidR="00EB41A0" w:rsidRPr="00C86E49">
              <w:rPr>
                <w:rFonts w:eastAsia="Times New Roman" w:cs="Arial"/>
                <w:snapToGrid w:val="0"/>
                <w:szCs w:val="20"/>
              </w:rPr>
              <w:t>devices</w:t>
            </w:r>
            <w:r w:rsidR="00204BFE" w:rsidRPr="00C86E49">
              <w:rPr>
                <w:rFonts w:eastAsia="Times New Roman" w:cs="Arial"/>
                <w:snapToGrid w:val="0"/>
                <w:szCs w:val="20"/>
              </w:rPr>
              <w:t xml:space="preserve"> (IABP, VA-ECMO and LVAD)</w:t>
            </w:r>
            <w:r w:rsidR="00EB41A0" w:rsidRPr="00C86E49">
              <w:rPr>
                <w:rFonts w:eastAsia="Times New Roman" w:cs="Arial"/>
                <w:snapToGrid w:val="0"/>
                <w:szCs w:val="20"/>
              </w:rPr>
              <w:t xml:space="preserve"> </w:t>
            </w:r>
            <w:r w:rsidR="0001206D" w:rsidRPr="00C86E49">
              <w:rPr>
                <w:rFonts w:eastAsia="Times New Roman" w:cs="Arial"/>
                <w:snapToGrid w:val="0"/>
                <w:szCs w:val="20"/>
              </w:rPr>
              <w:t xml:space="preserve">and </w:t>
            </w:r>
            <w:r w:rsidR="00493C36" w:rsidRPr="00C86E49">
              <w:rPr>
                <w:rFonts w:eastAsia="Times New Roman" w:cs="Arial"/>
                <w:snapToGrid w:val="0"/>
                <w:szCs w:val="20"/>
              </w:rPr>
              <w:t xml:space="preserve">working </w:t>
            </w:r>
            <w:r w:rsidR="00EB41A0" w:rsidRPr="00C86E49">
              <w:rPr>
                <w:rFonts w:eastAsia="Times New Roman" w:cs="Arial"/>
                <w:snapToGrid w:val="0"/>
                <w:szCs w:val="20"/>
              </w:rPr>
              <w:t xml:space="preserve">relative value units </w:t>
            </w:r>
            <w:r w:rsidRPr="00C86E49">
              <w:rPr>
                <w:rFonts w:eastAsia="Times New Roman" w:cs="Arial"/>
                <w:snapToGrid w:val="0"/>
                <w:szCs w:val="20"/>
              </w:rPr>
              <w:t xml:space="preserve">from the </w:t>
            </w:r>
            <w:r w:rsidR="000D08E6" w:rsidRPr="00C86E49">
              <w:rPr>
                <w:rFonts w:eastAsia="Times New Roman" w:cs="Arial"/>
                <w:snapToGrid w:val="0"/>
                <w:szCs w:val="20"/>
              </w:rPr>
              <w:t>United States f</w:t>
            </w:r>
            <w:r w:rsidR="00EB41A0" w:rsidRPr="00C86E49">
              <w:rPr>
                <w:rFonts w:eastAsia="Times New Roman" w:cs="Arial"/>
                <w:snapToGrid w:val="0"/>
                <w:szCs w:val="20"/>
              </w:rPr>
              <w:t>or MCS devices (IABP, VA-ECMO and IMPELLA).</w:t>
            </w:r>
          </w:p>
        </w:tc>
      </w:tr>
      <w:tr w:rsidR="0023246B" w:rsidRPr="00C86E49" w14:paraId="3B9AD9C3" w14:textId="77777777" w:rsidTr="0023246B">
        <w:tc>
          <w:tcPr>
            <w:tcW w:w="705" w:type="pct"/>
          </w:tcPr>
          <w:p w14:paraId="23382853" w14:textId="4E956403" w:rsidR="00F57885" w:rsidRPr="00C86E49" w:rsidRDefault="00210065" w:rsidP="00B808E0">
            <w:pPr>
              <w:pStyle w:val="TableText"/>
            </w:pPr>
            <w:r w:rsidRPr="00C86E49">
              <w:t>Comparative safety</w:t>
            </w:r>
          </w:p>
        </w:tc>
        <w:tc>
          <w:tcPr>
            <w:tcW w:w="2122" w:type="pct"/>
          </w:tcPr>
          <w:p w14:paraId="70BD8BB1" w14:textId="2922DC8C" w:rsidR="001D68E8" w:rsidRPr="00C86E49" w:rsidRDefault="001D68E8" w:rsidP="00B808E0">
            <w:pPr>
              <w:pStyle w:val="TableText"/>
            </w:pPr>
            <w:r w:rsidRPr="00C86E49">
              <w:t>MSAC noted the absence of RCTs that directly compare</w:t>
            </w:r>
            <w:r w:rsidR="008E7D17" w:rsidRPr="00C86E49">
              <w:t>d</w:t>
            </w:r>
            <w:r w:rsidRPr="00C86E49">
              <w:t xml:space="preserve"> IMVAD and ECMO. Overall, MSAC considered the comparative safety to be uncertain, but noted that IMVAD is less invasive than ECMO. </w:t>
            </w:r>
            <w:r w:rsidR="000A32C8" w:rsidRPr="00C86E49">
              <w:t>MSAC considered that h</w:t>
            </w:r>
            <w:r w:rsidRPr="00C86E49">
              <w:t xml:space="preserve">igh-quality </w:t>
            </w:r>
            <w:r w:rsidR="000A32C8" w:rsidRPr="00C86E49">
              <w:t>RCTs</w:t>
            </w:r>
            <w:r w:rsidRPr="00C86E49">
              <w:t xml:space="preserve"> would be required to reduce uncertainty in comparative safety. </w:t>
            </w:r>
            <w:r w:rsidR="009A38B2" w:rsidRPr="00C86E49">
              <w:t>[</w:t>
            </w:r>
            <w:r w:rsidR="000A32C8" w:rsidRPr="00C86E49">
              <w:t>PSD, p.3</w:t>
            </w:r>
            <w:r w:rsidR="00EC7EBE" w:rsidRPr="00C86E49">
              <w:t>-4</w:t>
            </w:r>
            <w:r w:rsidR="009A38B2" w:rsidRPr="00C86E49">
              <w:t>]</w:t>
            </w:r>
          </w:p>
          <w:p w14:paraId="3C6FBFDC" w14:textId="53962A8B" w:rsidR="00F57885" w:rsidRPr="00C86E49" w:rsidRDefault="001D68E8" w:rsidP="00B808E0">
            <w:pPr>
              <w:pStyle w:val="TableText"/>
            </w:pPr>
            <w:r w:rsidRPr="00C86E49">
              <w:t>The Critique stated that the indirect comparisons</w:t>
            </w:r>
            <w:r w:rsidR="00722D89" w:rsidRPr="00C86E49">
              <w:t xml:space="preserve"> presented in the application</w:t>
            </w:r>
            <w:r w:rsidRPr="00C86E49">
              <w:t xml:space="preserve">, which aggregated results of RCTs and single-arm studies, were naïve and the methodology for conducting these was scientifically flawed. The </w:t>
            </w:r>
            <w:r w:rsidR="00722D89" w:rsidRPr="00C86E49">
              <w:t>a</w:t>
            </w:r>
            <w:r w:rsidRPr="00C86E49">
              <w:t>pplication did not attempt to match the populations from different studies via propensity score matching or other means. The results were therefore highly uncertain</w:t>
            </w:r>
            <w:r w:rsidR="004D4F8A" w:rsidRPr="00C86E49">
              <w:t>.</w:t>
            </w:r>
            <w:r w:rsidRPr="00C86E49">
              <w:t xml:space="preserve"> </w:t>
            </w:r>
            <w:r w:rsidR="009A38B2" w:rsidRPr="00C86E49">
              <w:t>[</w:t>
            </w:r>
            <w:r w:rsidR="00722D89" w:rsidRPr="00C86E49">
              <w:t>PSD</w:t>
            </w:r>
            <w:r w:rsidR="00765F7D" w:rsidRPr="00C86E49">
              <w:t>, p.</w:t>
            </w:r>
            <w:r w:rsidRPr="00C86E49">
              <w:t>11</w:t>
            </w:r>
            <w:r w:rsidR="009A38B2" w:rsidRPr="00C86E49">
              <w:t>]</w:t>
            </w:r>
          </w:p>
        </w:tc>
        <w:tc>
          <w:tcPr>
            <w:tcW w:w="2173" w:type="pct"/>
          </w:tcPr>
          <w:p w14:paraId="152BEE45" w14:textId="77777777" w:rsidR="00F57885" w:rsidRPr="00C86E49" w:rsidRDefault="007F1A70" w:rsidP="00B808E0">
            <w:pPr>
              <w:pStyle w:val="TableText"/>
              <w:rPr>
                <w:rFonts w:eastAsia="Times New Roman" w:cs="Arial"/>
                <w:bCs/>
                <w:snapToGrid w:val="0"/>
                <w:szCs w:val="20"/>
              </w:rPr>
            </w:pPr>
            <w:r w:rsidRPr="00C86E49">
              <w:rPr>
                <w:rFonts w:eastAsia="Times New Roman" w:cs="Arial"/>
                <w:bCs/>
                <w:snapToGrid w:val="0"/>
                <w:szCs w:val="20"/>
              </w:rPr>
              <w:t>Partially addressed.</w:t>
            </w:r>
          </w:p>
          <w:p w14:paraId="57E9CF21" w14:textId="77777777" w:rsidR="00035F49" w:rsidRPr="00C86E49" w:rsidRDefault="00417B66" w:rsidP="00B808E0">
            <w:pPr>
              <w:pStyle w:val="TableText"/>
              <w:rPr>
                <w:rFonts w:eastAsia="Times New Roman" w:cs="Arial"/>
                <w:bCs/>
                <w:snapToGrid w:val="0"/>
                <w:szCs w:val="20"/>
              </w:rPr>
            </w:pPr>
            <w:r w:rsidRPr="00C86E49">
              <w:rPr>
                <w:rFonts w:eastAsia="Times New Roman" w:cs="Arial"/>
                <w:bCs/>
                <w:snapToGrid w:val="0"/>
                <w:szCs w:val="20"/>
              </w:rPr>
              <w:t>No RCTs that directly compare</w:t>
            </w:r>
            <w:r w:rsidR="00643782" w:rsidRPr="00C86E49">
              <w:rPr>
                <w:rFonts w:eastAsia="Times New Roman" w:cs="Arial"/>
                <w:bCs/>
                <w:snapToGrid w:val="0"/>
                <w:szCs w:val="20"/>
              </w:rPr>
              <w:t>d</w:t>
            </w:r>
            <w:r w:rsidRPr="00C86E49">
              <w:rPr>
                <w:rFonts w:eastAsia="Times New Roman" w:cs="Arial"/>
                <w:bCs/>
                <w:snapToGrid w:val="0"/>
                <w:szCs w:val="20"/>
              </w:rPr>
              <w:t xml:space="preserve"> IMVAD and ECMO </w:t>
            </w:r>
            <w:r w:rsidR="002741BA" w:rsidRPr="00C86E49">
              <w:rPr>
                <w:rFonts w:eastAsia="Times New Roman" w:cs="Arial"/>
                <w:bCs/>
                <w:snapToGrid w:val="0"/>
                <w:szCs w:val="20"/>
              </w:rPr>
              <w:t xml:space="preserve">in patients with CS </w:t>
            </w:r>
            <w:r w:rsidRPr="00C86E49">
              <w:rPr>
                <w:rFonts w:eastAsia="Times New Roman" w:cs="Arial"/>
                <w:bCs/>
                <w:snapToGrid w:val="0"/>
                <w:szCs w:val="20"/>
              </w:rPr>
              <w:t>have been published since the previous application.</w:t>
            </w:r>
            <w:r w:rsidR="00E441B6" w:rsidRPr="00C86E49">
              <w:rPr>
                <w:rFonts w:eastAsia="Times New Roman" w:cs="Arial"/>
                <w:bCs/>
                <w:snapToGrid w:val="0"/>
                <w:szCs w:val="20"/>
              </w:rPr>
              <w:t xml:space="preserve"> </w:t>
            </w:r>
          </w:p>
          <w:p w14:paraId="26202E3E" w14:textId="67DF38F4" w:rsidR="005701DB" w:rsidRPr="00375AEF" w:rsidRDefault="00035F49" w:rsidP="00B808E0">
            <w:pPr>
              <w:pStyle w:val="TableText"/>
              <w:rPr>
                <w:rFonts w:eastAsia="Times New Roman" w:cs="Arial"/>
                <w:bCs/>
                <w:snapToGrid w:val="0"/>
                <w:szCs w:val="20"/>
              </w:rPr>
            </w:pPr>
            <w:r w:rsidRPr="00C86E49">
              <w:rPr>
                <w:rFonts w:eastAsia="Times New Roman" w:cs="Arial"/>
                <w:bCs/>
                <w:snapToGrid w:val="0"/>
                <w:szCs w:val="20"/>
              </w:rPr>
              <w:t>Th</w:t>
            </w:r>
            <w:r w:rsidR="00321403" w:rsidRPr="00C86E49">
              <w:rPr>
                <w:rFonts w:eastAsia="Times New Roman" w:cs="Arial"/>
                <w:bCs/>
                <w:snapToGrid w:val="0"/>
                <w:szCs w:val="20"/>
              </w:rPr>
              <w:t xml:space="preserve">e ADAR’s clinical evaluation </w:t>
            </w:r>
            <w:r w:rsidR="00C46E63" w:rsidRPr="00C86E49">
              <w:rPr>
                <w:rFonts w:eastAsia="Times New Roman" w:cs="Arial"/>
                <w:snapToGrid w:val="0"/>
                <w:szCs w:val="20"/>
              </w:rPr>
              <w:t xml:space="preserve">was more rigorous than conducted previously. </w:t>
            </w:r>
            <w:r w:rsidR="00DD3D87" w:rsidRPr="00C86E49">
              <w:rPr>
                <w:rFonts w:eastAsia="Times New Roman" w:cs="Arial"/>
                <w:snapToGrid w:val="0"/>
                <w:szCs w:val="20"/>
              </w:rPr>
              <w:t>Th</w:t>
            </w:r>
            <w:r w:rsidR="00DD3D87" w:rsidRPr="00C86E49">
              <w:rPr>
                <w:rFonts w:eastAsia="Times New Roman" w:cs="Arial"/>
                <w:bCs/>
                <w:snapToGrid w:val="0"/>
                <w:szCs w:val="20"/>
              </w:rPr>
              <w:t>e ‘pivotal’ evidence in the ADAR</w:t>
            </w:r>
            <w:r w:rsidR="00DD3D87" w:rsidRPr="00C86E49">
              <w:rPr>
                <w:rFonts w:eastAsia="Times New Roman" w:cs="Arial"/>
                <w:snapToGrid w:val="0"/>
                <w:szCs w:val="20"/>
              </w:rPr>
              <w:t xml:space="preserve"> comprised n</w:t>
            </w:r>
            <w:r w:rsidR="00A35809" w:rsidRPr="00C86E49">
              <w:rPr>
                <w:rFonts w:eastAsia="Times New Roman" w:cs="Arial"/>
                <w:snapToGrid w:val="0"/>
                <w:szCs w:val="20"/>
              </w:rPr>
              <w:t>on-randomised s</w:t>
            </w:r>
            <w:r w:rsidR="003273E5" w:rsidRPr="00C86E49">
              <w:rPr>
                <w:rFonts w:eastAsia="Times New Roman" w:cs="Arial"/>
                <w:snapToGrid w:val="0"/>
                <w:szCs w:val="20"/>
              </w:rPr>
              <w:t>tudies that used propensity score matching and/or other adjustment methods</w:t>
            </w:r>
            <w:r w:rsidR="003273E5" w:rsidRPr="00C86E49">
              <w:rPr>
                <w:rFonts w:eastAsia="Times New Roman" w:cs="Arial"/>
                <w:bCs/>
                <w:snapToGrid w:val="0"/>
                <w:szCs w:val="20"/>
              </w:rPr>
              <w:t xml:space="preserve"> </w:t>
            </w:r>
            <w:r w:rsidR="00C46E63" w:rsidRPr="00C86E49">
              <w:rPr>
                <w:rFonts w:eastAsia="Times New Roman" w:cs="Arial"/>
                <w:bCs/>
                <w:snapToGrid w:val="0"/>
                <w:szCs w:val="20"/>
              </w:rPr>
              <w:t xml:space="preserve">to </w:t>
            </w:r>
            <w:r w:rsidR="00C46E63" w:rsidRPr="00C86E49">
              <w:rPr>
                <w:rFonts w:eastAsia="Times New Roman" w:cs="Arial"/>
                <w:snapToGrid w:val="0"/>
                <w:szCs w:val="20"/>
              </w:rPr>
              <w:t>account for differences in baseline demographic</w:t>
            </w:r>
            <w:r w:rsidR="009F2EC1" w:rsidRPr="00C86E49">
              <w:rPr>
                <w:rFonts w:eastAsia="Times New Roman" w:cs="Arial"/>
                <w:snapToGrid w:val="0"/>
                <w:szCs w:val="20"/>
              </w:rPr>
              <w:t xml:space="preserve"> and disease</w:t>
            </w:r>
            <w:r w:rsidR="00C46E63" w:rsidRPr="00C86E49">
              <w:rPr>
                <w:rFonts w:eastAsia="Times New Roman" w:cs="Arial"/>
                <w:snapToGrid w:val="0"/>
                <w:szCs w:val="20"/>
              </w:rPr>
              <w:t xml:space="preserve"> characteristics</w:t>
            </w:r>
            <w:r w:rsidR="00972CA0" w:rsidRPr="00C86E49">
              <w:rPr>
                <w:rFonts w:eastAsia="Times New Roman" w:cs="Arial"/>
                <w:bCs/>
                <w:snapToGrid w:val="0"/>
                <w:szCs w:val="20"/>
              </w:rPr>
              <w:t>.</w:t>
            </w:r>
            <w:r w:rsidR="003273E5" w:rsidRPr="00C86E49">
              <w:rPr>
                <w:rFonts w:eastAsia="Times New Roman" w:cs="Arial"/>
                <w:bCs/>
                <w:snapToGrid w:val="0"/>
                <w:szCs w:val="20"/>
              </w:rPr>
              <w:t xml:space="preserve"> </w:t>
            </w:r>
          </w:p>
        </w:tc>
      </w:tr>
      <w:tr w:rsidR="0023246B" w:rsidRPr="00C86E49" w14:paraId="63944446" w14:textId="77777777" w:rsidTr="0023246B">
        <w:tc>
          <w:tcPr>
            <w:tcW w:w="705" w:type="pct"/>
          </w:tcPr>
          <w:p w14:paraId="63D3245E" w14:textId="1FF760D3" w:rsidR="00C65A94" w:rsidRPr="00C86E49" w:rsidRDefault="00522918" w:rsidP="009E426C">
            <w:pPr>
              <w:pStyle w:val="TableText"/>
            </w:pPr>
            <w:r w:rsidRPr="00C86E49">
              <w:t>Comparative effectiveness</w:t>
            </w:r>
          </w:p>
        </w:tc>
        <w:tc>
          <w:tcPr>
            <w:tcW w:w="2122" w:type="pct"/>
          </w:tcPr>
          <w:p w14:paraId="39B4A19E" w14:textId="6CB41989" w:rsidR="001457F0" w:rsidRPr="00C86E49" w:rsidRDefault="005845E9" w:rsidP="009E426C">
            <w:pPr>
              <w:pStyle w:val="TableText"/>
              <w:rPr>
                <w:rFonts w:eastAsia="Times New Roman" w:cs="Arial"/>
                <w:snapToGrid w:val="0"/>
                <w:szCs w:val="20"/>
              </w:rPr>
            </w:pPr>
            <w:r w:rsidRPr="00C86E49">
              <w:rPr>
                <w:rFonts w:eastAsia="Times New Roman" w:cs="Arial"/>
                <w:snapToGrid w:val="0"/>
                <w:szCs w:val="20"/>
              </w:rPr>
              <w:t>For the CS population, 30-day mortality was similar for IMVAD and IABP, although numbers were small. MSAC noted that recent studies have shown that IABP has limited value in this context and is no longer recommended for this indication. Comparative clinical effectiveness in the application showed that IMVAD is non-inferior or less effective compared with IABP, indicating that IMVAD would also be of limited value to patients with CS. MSAC noted that the included studies were small, low quality and used naive indirect comparisons with flawed methodology [simple pooling], but also acknowledged the difficulties in conducting clinical trials in patients with CS</w:t>
            </w:r>
            <w:r w:rsidR="004D4F8A" w:rsidRPr="00C86E49">
              <w:rPr>
                <w:rFonts w:eastAsia="Times New Roman" w:cs="Arial"/>
                <w:snapToGrid w:val="0"/>
                <w:szCs w:val="20"/>
              </w:rPr>
              <w:t xml:space="preserve">. </w:t>
            </w:r>
            <w:r w:rsidR="009A38B2" w:rsidRPr="00C86E49">
              <w:rPr>
                <w:rFonts w:eastAsia="Times New Roman" w:cs="Arial"/>
                <w:snapToGrid w:val="0"/>
                <w:szCs w:val="20"/>
              </w:rPr>
              <w:t>[</w:t>
            </w:r>
            <w:r w:rsidR="00596C88" w:rsidRPr="00C86E49">
              <w:rPr>
                <w:rFonts w:eastAsia="Times New Roman" w:cs="Arial"/>
                <w:snapToGrid w:val="0"/>
                <w:szCs w:val="20"/>
              </w:rPr>
              <w:t>PSD, p.4</w:t>
            </w:r>
            <w:r w:rsidR="009A38B2" w:rsidRPr="00C86E49">
              <w:rPr>
                <w:rFonts w:eastAsia="Times New Roman" w:cs="Arial"/>
                <w:snapToGrid w:val="0"/>
                <w:szCs w:val="20"/>
              </w:rPr>
              <w:t>]</w:t>
            </w:r>
          </w:p>
          <w:p w14:paraId="61A8F480" w14:textId="2276141D" w:rsidR="001457F0" w:rsidRPr="00C86E49" w:rsidRDefault="001457F0" w:rsidP="009E426C">
            <w:pPr>
              <w:pStyle w:val="TableText"/>
              <w:rPr>
                <w:rFonts w:eastAsia="Times New Roman" w:cs="Arial"/>
                <w:snapToGrid w:val="0"/>
                <w:szCs w:val="20"/>
              </w:rPr>
            </w:pPr>
            <w:r w:rsidRPr="00C86E49">
              <w:rPr>
                <w:rFonts w:eastAsia="Times New Roman" w:cs="Arial"/>
                <w:snapToGrid w:val="0"/>
                <w:szCs w:val="20"/>
              </w:rPr>
              <w:lastRenderedPageBreak/>
              <w:t>Overall, MSAC considered that IMVAD was non-inferior or less effective compared with IABP, and uncertain compared with ECMO.</w:t>
            </w:r>
          </w:p>
          <w:p w14:paraId="3627112D" w14:textId="4CBD04FC" w:rsidR="00C65A94" w:rsidRPr="00C86E49" w:rsidRDefault="001457F0" w:rsidP="009E426C">
            <w:pPr>
              <w:pStyle w:val="TableText"/>
              <w:rPr>
                <w:rFonts w:eastAsia="Times New Roman" w:cs="Arial"/>
                <w:snapToGrid w:val="0"/>
                <w:szCs w:val="20"/>
              </w:rPr>
            </w:pPr>
            <w:r w:rsidRPr="00C86E49">
              <w:rPr>
                <w:rFonts w:eastAsia="Times New Roman" w:cs="Arial"/>
                <w:snapToGrid w:val="0"/>
                <w:szCs w:val="20"/>
              </w:rPr>
              <w:t xml:space="preserve">MSAC considered that additional data from RCTs would be required to give greater certainty regarding comparative safety, </w:t>
            </w:r>
            <w:proofErr w:type="gramStart"/>
            <w:r w:rsidRPr="00C86E49">
              <w:rPr>
                <w:rFonts w:eastAsia="Times New Roman" w:cs="Arial"/>
                <w:snapToGrid w:val="0"/>
                <w:szCs w:val="20"/>
              </w:rPr>
              <w:t>effectiveness</w:t>
            </w:r>
            <w:proofErr w:type="gramEnd"/>
            <w:r w:rsidRPr="00C86E49">
              <w:rPr>
                <w:rFonts w:eastAsia="Times New Roman" w:cs="Arial"/>
                <w:snapToGrid w:val="0"/>
                <w:szCs w:val="20"/>
              </w:rPr>
              <w:t xml:space="preserve"> and cost-effectiveness. </w:t>
            </w:r>
            <w:r w:rsidR="009A38B2" w:rsidRPr="00C86E49">
              <w:rPr>
                <w:rFonts w:eastAsia="Times New Roman" w:cs="Arial"/>
                <w:snapToGrid w:val="0"/>
                <w:szCs w:val="20"/>
              </w:rPr>
              <w:t>[</w:t>
            </w:r>
            <w:r w:rsidR="004D4F8A" w:rsidRPr="00C86E49">
              <w:rPr>
                <w:rFonts w:eastAsia="Times New Roman" w:cs="Arial"/>
                <w:snapToGrid w:val="0"/>
                <w:szCs w:val="20"/>
              </w:rPr>
              <w:t>PSD, p.</w:t>
            </w:r>
            <w:r w:rsidR="00596C88" w:rsidRPr="00C86E49">
              <w:rPr>
                <w:rFonts w:eastAsia="Times New Roman" w:cs="Arial"/>
                <w:snapToGrid w:val="0"/>
                <w:szCs w:val="20"/>
              </w:rPr>
              <w:t>5</w:t>
            </w:r>
            <w:r w:rsidR="009A38B2" w:rsidRPr="00C86E49">
              <w:rPr>
                <w:rFonts w:eastAsia="Times New Roman" w:cs="Arial"/>
                <w:snapToGrid w:val="0"/>
                <w:szCs w:val="20"/>
              </w:rPr>
              <w:t>]</w:t>
            </w:r>
          </w:p>
        </w:tc>
        <w:tc>
          <w:tcPr>
            <w:tcW w:w="2173" w:type="pct"/>
          </w:tcPr>
          <w:p w14:paraId="01C9B022" w14:textId="06D345EF" w:rsidR="007543C4" w:rsidRPr="00C86E49" w:rsidRDefault="007543C4" w:rsidP="009E426C">
            <w:pPr>
              <w:pStyle w:val="TableText"/>
              <w:rPr>
                <w:rFonts w:eastAsia="Times New Roman" w:cs="Arial"/>
                <w:snapToGrid w:val="0"/>
                <w:szCs w:val="20"/>
              </w:rPr>
            </w:pPr>
            <w:r w:rsidRPr="00C86E49">
              <w:rPr>
                <w:rFonts w:eastAsia="Times New Roman" w:cs="Arial"/>
                <w:snapToGrid w:val="0"/>
                <w:szCs w:val="20"/>
              </w:rPr>
              <w:lastRenderedPageBreak/>
              <w:t>Partially addressed.</w:t>
            </w:r>
          </w:p>
          <w:p w14:paraId="480E3892" w14:textId="77777777" w:rsidR="00B02E86" w:rsidRPr="00C86E49" w:rsidRDefault="00B02E86" w:rsidP="009E426C">
            <w:pPr>
              <w:pStyle w:val="TableText"/>
              <w:rPr>
                <w:rFonts w:eastAsia="Times New Roman" w:cs="Arial"/>
                <w:snapToGrid w:val="0"/>
                <w:szCs w:val="20"/>
              </w:rPr>
            </w:pPr>
            <w:r w:rsidRPr="00C86E49">
              <w:rPr>
                <w:rFonts w:eastAsia="Times New Roman" w:cs="Arial"/>
                <w:snapToGrid w:val="0"/>
                <w:szCs w:val="20"/>
              </w:rPr>
              <w:t xml:space="preserve">The ADAR did not consider IABP as a comparator; as such, it is not known whether recent higher-level evidence has shown IMVAD to be </w:t>
            </w:r>
            <w:proofErr w:type="gramStart"/>
            <w:r w:rsidRPr="00C86E49">
              <w:rPr>
                <w:rFonts w:eastAsia="Times New Roman" w:cs="Arial"/>
                <w:snapToGrid w:val="0"/>
                <w:szCs w:val="20"/>
              </w:rPr>
              <w:t>more or less effective</w:t>
            </w:r>
            <w:proofErr w:type="gramEnd"/>
            <w:r w:rsidRPr="00C86E49">
              <w:rPr>
                <w:rFonts w:eastAsia="Times New Roman" w:cs="Arial"/>
                <w:snapToGrid w:val="0"/>
                <w:szCs w:val="20"/>
              </w:rPr>
              <w:t xml:space="preserve"> than IABP for patients with CS.</w:t>
            </w:r>
          </w:p>
          <w:p w14:paraId="13CABBD3" w14:textId="59ED871E" w:rsidR="00C65A94" w:rsidRPr="00C86E49" w:rsidRDefault="00605A01" w:rsidP="009E426C">
            <w:pPr>
              <w:pStyle w:val="TableText"/>
              <w:rPr>
                <w:rFonts w:eastAsia="Times New Roman" w:cs="Arial"/>
                <w:snapToGrid w:val="0"/>
                <w:szCs w:val="20"/>
              </w:rPr>
            </w:pPr>
            <w:r w:rsidRPr="00C86E49">
              <w:rPr>
                <w:rFonts w:eastAsia="Times New Roman" w:cs="Arial"/>
                <w:snapToGrid w:val="0"/>
                <w:szCs w:val="20"/>
              </w:rPr>
              <w:t>Although the</w:t>
            </w:r>
            <w:r w:rsidR="00F30E79" w:rsidRPr="00C86E49">
              <w:rPr>
                <w:rFonts w:eastAsia="Times New Roman" w:cs="Arial"/>
                <w:snapToGrid w:val="0"/>
                <w:szCs w:val="20"/>
              </w:rPr>
              <w:t xml:space="preserve"> pivotal evidence </w:t>
            </w:r>
            <w:r w:rsidRPr="00C86E49">
              <w:rPr>
                <w:rFonts w:eastAsia="Times New Roman" w:cs="Arial"/>
                <w:snapToGrid w:val="0"/>
                <w:szCs w:val="20"/>
              </w:rPr>
              <w:t xml:space="preserve">in the ADAR consists entirely of </w:t>
            </w:r>
            <w:r w:rsidR="00F30E79" w:rsidRPr="00C86E49">
              <w:rPr>
                <w:rFonts w:eastAsia="Times New Roman" w:cs="Arial"/>
                <w:snapToGrid w:val="0"/>
                <w:szCs w:val="20"/>
              </w:rPr>
              <w:t xml:space="preserve">non-randomised </w:t>
            </w:r>
            <w:r w:rsidR="00B17C3C" w:rsidRPr="00C86E49">
              <w:rPr>
                <w:rFonts w:eastAsia="Times New Roman" w:cs="Arial"/>
                <w:snapToGrid w:val="0"/>
                <w:szCs w:val="20"/>
              </w:rPr>
              <w:t>studies</w:t>
            </w:r>
            <w:r w:rsidRPr="00C86E49">
              <w:rPr>
                <w:rFonts w:eastAsia="Times New Roman" w:cs="Arial"/>
                <w:snapToGrid w:val="0"/>
                <w:szCs w:val="20"/>
              </w:rPr>
              <w:t xml:space="preserve">, </w:t>
            </w:r>
            <w:r w:rsidR="00505148" w:rsidRPr="00C86E49">
              <w:rPr>
                <w:rFonts w:eastAsia="Times New Roman" w:cs="Arial"/>
                <w:snapToGrid w:val="0"/>
                <w:szCs w:val="20"/>
              </w:rPr>
              <w:t xml:space="preserve">the use of </w:t>
            </w:r>
            <w:r w:rsidR="00A65667" w:rsidRPr="00C86E49">
              <w:rPr>
                <w:rFonts w:eastAsia="Times New Roman" w:cs="Arial"/>
                <w:snapToGrid w:val="0"/>
                <w:szCs w:val="20"/>
              </w:rPr>
              <w:t>propensity score matching and/or other adjustment methods improves the certainty of the observed effect</w:t>
            </w:r>
            <w:r w:rsidR="003F5258" w:rsidRPr="00C86E49">
              <w:rPr>
                <w:rFonts w:eastAsia="Times New Roman" w:cs="Arial"/>
                <w:snapToGrid w:val="0"/>
                <w:szCs w:val="20"/>
              </w:rPr>
              <w:t>.</w:t>
            </w:r>
            <w:r w:rsidR="00863510" w:rsidRPr="00C86E49">
              <w:rPr>
                <w:rFonts w:eastAsia="Times New Roman" w:cs="Arial"/>
                <w:snapToGrid w:val="0"/>
                <w:szCs w:val="20"/>
              </w:rPr>
              <w:t xml:space="preserve"> </w:t>
            </w:r>
            <w:r w:rsidR="003F5258" w:rsidRPr="00C86E49">
              <w:rPr>
                <w:rFonts w:eastAsia="Times New Roman" w:cs="Arial"/>
                <w:snapToGrid w:val="0"/>
                <w:szCs w:val="20"/>
              </w:rPr>
              <w:t>However,</w:t>
            </w:r>
            <w:r w:rsidR="002B16C1" w:rsidRPr="00C86E49">
              <w:rPr>
                <w:rFonts w:eastAsia="Times New Roman" w:cs="Arial"/>
                <w:snapToGrid w:val="0"/>
                <w:szCs w:val="20"/>
              </w:rPr>
              <w:t xml:space="preserve"> </w:t>
            </w:r>
            <w:r w:rsidR="00A65667" w:rsidRPr="00C86E49">
              <w:rPr>
                <w:rFonts w:eastAsia="Times New Roman" w:cs="Arial"/>
                <w:snapToGrid w:val="0"/>
                <w:szCs w:val="20"/>
              </w:rPr>
              <w:t>some residual confounding may still exist</w:t>
            </w:r>
            <w:r w:rsidR="002D2EE5" w:rsidRPr="00C86E49">
              <w:rPr>
                <w:rFonts w:eastAsia="Times New Roman" w:cs="Arial"/>
                <w:snapToGrid w:val="0"/>
                <w:szCs w:val="20"/>
              </w:rPr>
              <w:t>, particu</w:t>
            </w:r>
            <w:r w:rsidR="0056371C" w:rsidRPr="00C86E49">
              <w:rPr>
                <w:rFonts w:eastAsia="Times New Roman" w:cs="Arial"/>
                <w:snapToGrid w:val="0"/>
                <w:szCs w:val="20"/>
              </w:rPr>
              <w:t xml:space="preserve">larly in the studies </w:t>
            </w:r>
            <w:r w:rsidR="002B17A9" w:rsidRPr="00C86E49">
              <w:rPr>
                <w:rFonts w:eastAsia="Times New Roman" w:cs="Arial"/>
                <w:snapToGrid w:val="0"/>
                <w:szCs w:val="20"/>
              </w:rPr>
              <w:t xml:space="preserve">with </w:t>
            </w:r>
            <w:r w:rsidR="00A53B5C" w:rsidRPr="00C86E49">
              <w:rPr>
                <w:rFonts w:eastAsia="Times New Roman" w:cs="Arial"/>
                <w:snapToGrid w:val="0"/>
                <w:szCs w:val="20"/>
              </w:rPr>
              <w:t xml:space="preserve">suboptimal matching/adjustment for important </w:t>
            </w:r>
            <w:r w:rsidR="002B17A9" w:rsidRPr="00C86E49">
              <w:rPr>
                <w:rFonts w:eastAsia="Times New Roman" w:cs="Arial"/>
                <w:snapToGrid w:val="0"/>
                <w:szCs w:val="20"/>
              </w:rPr>
              <w:t>predictors of mortality</w:t>
            </w:r>
            <w:r w:rsidR="003F5258" w:rsidRPr="00C86E49">
              <w:rPr>
                <w:rFonts w:eastAsia="Times New Roman" w:cs="Arial"/>
                <w:snapToGrid w:val="0"/>
                <w:szCs w:val="20"/>
              </w:rPr>
              <w:t>.</w:t>
            </w:r>
          </w:p>
        </w:tc>
      </w:tr>
      <w:tr w:rsidR="0023246B" w:rsidRPr="00C86E49" w14:paraId="6F4512F5" w14:textId="77777777" w:rsidTr="0023246B">
        <w:trPr>
          <w:trHeight w:val="280"/>
        </w:trPr>
        <w:tc>
          <w:tcPr>
            <w:tcW w:w="705" w:type="pct"/>
          </w:tcPr>
          <w:p w14:paraId="75951722" w14:textId="058CAB10" w:rsidR="008D73B4" w:rsidRPr="00C86E49" w:rsidRDefault="008D73B4" w:rsidP="00B808E0">
            <w:pPr>
              <w:pStyle w:val="TableText"/>
            </w:pPr>
            <w:r w:rsidRPr="00C86E49">
              <w:t>Economic evaluation</w:t>
            </w:r>
          </w:p>
        </w:tc>
        <w:tc>
          <w:tcPr>
            <w:tcW w:w="2122" w:type="pct"/>
          </w:tcPr>
          <w:p w14:paraId="21ED1E84" w14:textId="64338FBD" w:rsidR="00B06CE3" w:rsidRPr="00C86E49" w:rsidRDefault="00B06CE3" w:rsidP="00B808E0">
            <w:pPr>
              <w:pStyle w:val="TableText"/>
              <w:rPr>
                <w:rFonts w:eastAsia="Times New Roman" w:cs="Arial"/>
                <w:snapToGrid w:val="0"/>
                <w:szCs w:val="20"/>
              </w:rPr>
            </w:pPr>
            <w:r w:rsidRPr="00C86E49">
              <w:rPr>
                <w:rFonts w:eastAsia="Times New Roman" w:cs="Arial"/>
                <w:snapToGrid w:val="0"/>
                <w:szCs w:val="20"/>
              </w:rPr>
              <w:t xml:space="preserve">In the economic model, IMVAD was dominant in all populations according to the base case analyses. However, MSAC noted that the </w:t>
            </w:r>
            <w:r w:rsidR="00A805F7" w:rsidRPr="00C86E49">
              <w:rPr>
                <w:rFonts w:eastAsia="Times New Roman" w:cs="Arial"/>
                <w:snapToGrid w:val="0"/>
                <w:szCs w:val="20"/>
              </w:rPr>
              <w:t>a</w:t>
            </w:r>
            <w:r w:rsidRPr="00C86E49">
              <w:rPr>
                <w:rFonts w:eastAsia="Times New Roman" w:cs="Arial"/>
                <w:snapToGrid w:val="0"/>
                <w:szCs w:val="20"/>
              </w:rPr>
              <w:t>pplicant revised the economic (base case) models in their pre-ESC response, acknowledging multiple errors made in the analysis and estimates. In addition, MSAC noted several issues or areas of uncertainty:</w:t>
            </w:r>
          </w:p>
          <w:p w14:paraId="20B8761C" w14:textId="127D6EAC" w:rsidR="00B06CE3" w:rsidRPr="00C86E49" w:rsidRDefault="00B06CE3" w:rsidP="00B808E0">
            <w:pPr>
              <w:pStyle w:val="TableText"/>
              <w:rPr>
                <w:rFonts w:eastAsia="Times New Roman" w:cs="Arial"/>
                <w:snapToGrid w:val="0"/>
                <w:szCs w:val="20"/>
              </w:rPr>
            </w:pPr>
            <w:r w:rsidRPr="00C86E49">
              <w:rPr>
                <w:rFonts w:eastAsia="Times New Roman" w:cs="Arial"/>
                <w:snapToGrid w:val="0"/>
                <w:szCs w:val="20"/>
              </w:rPr>
              <w:t>• several structural flaws and highly uncertain inputs, resulting in them not being informative for decision making</w:t>
            </w:r>
          </w:p>
          <w:p w14:paraId="5F97E6F0" w14:textId="7DF3AB18" w:rsidR="00B06CE3" w:rsidRPr="00C86E49" w:rsidRDefault="00B06CE3" w:rsidP="00B808E0">
            <w:pPr>
              <w:pStyle w:val="TableText"/>
              <w:rPr>
                <w:rFonts w:eastAsia="Times New Roman" w:cs="Arial"/>
                <w:snapToGrid w:val="0"/>
                <w:szCs w:val="20"/>
              </w:rPr>
            </w:pPr>
            <w:r w:rsidRPr="00C86E49">
              <w:rPr>
                <w:rFonts w:eastAsia="Times New Roman" w:cs="Arial"/>
                <w:snapToGrid w:val="0"/>
                <w:szCs w:val="20"/>
              </w:rPr>
              <w:t xml:space="preserve">• </w:t>
            </w:r>
            <w:r w:rsidR="007B6482" w:rsidRPr="00C86E49">
              <w:rPr>
                <w:rFonts w:eastAsia="Times New Roman" w:cs="Arial"/>
                <w:snapToGrid w:val="0"/>
                <w:szCs w:val="20"/>
              </w:rPr>
              <w:t>use of</w:t>
            </w:r>
            <w:r w:rsidRPr="00C86E49">
              <w:rPr>
                <w:rFonts w:eastAsia="Times New Roman" w:cs="Arial"/>
                <w:snapToGrid w:val="0"/>
                <w:szCs w:val="20"/>
              </w:rPr>
              <w:t xml:space="preserve"> per-protocol analyses for IMVAD compared with IABP at 30 days, and variable use of </w:t>
            </w:r>
            <w:r w:rsidR="00B8006C" w:rsidRPr="00C86E49">
              <w:rPr>
                <w:rFonts w:eastAsia="Times New Roman" w:cs="Arial"/>
                <w:snapToGrid w:val="0"/>
                <w:szCs w:val="20"/>
              </w:rPr>
              <w:t>PP</w:t>
            </w:r>
            <w:r w:rsidRPr="00C86E49">
              <w:rPr>
                <w:rFonts w:eastAsia="Times New Roman" w:cs="Arial"/>
                <w:snapToGrid w:val="0"/>
                <w:szCs w:val="20"/>
              </w:rPr>
              <w:t xml:space="preserve"> or </w:t>
            </w:r>
            <w:r w:rsidR="00B8006C" w:rsidRPr="00C86E49">
              <w:rPr>
                <w:rFonts w:eastAsia="Times New Roman" w:cs="Arial"/>
                <w:snapToGrid w:val="0"/>
                <w:szCs w:val="20"/>
              </w:rPr>
              <w:t>ITT</w:t>
            </w:r>
            <w:r w:rsidRPr="00C86E49">
              <w:rPr>
                <w:rFonts w:eastAsia="Times New Roman" w:cs="Arial"/>
                <w:snapToGrid w:val="0"/>
                <w:szCs w:val="20"/>
              </w:rPr>
              <w:t xml:space="preserve"> analyses for </w:t>
            </w:r>
            <w:r w:rsidR="00B8006C" w:rsidRPr="00C86E49">
              <w:rPr>
                <w:rFonts w:eastAsia="Times New Roman" w:cs="Arial"/>
                <w:snapToGrid w:val="0"/>
                <w:szCs w:val="20"/>
              </w:rPr>
              <w:t>AEs</w:t>
            </w:r>
          </w:p>
          <w:p w14:paraId="61836C10" w14:textId="60606A5C" w:rsidR="00B06CE3" w:rsidRPr="00C86E49" w:rsidRDefault="00B06CE3" w:rsidP="00B808E0">
            <w:pPr>
              <w:pStyle w:val="TableText"/>
              <w:rPr>
                <w:rFonts w:eastAsia="Times New Roman" w:cs="Arial"/>
                <w:snapToGrid w:val="0"/>
                <w:szCs w:val="20"/>
              </w:rPr>
            </w:pPr>
            <w:r w:rsidRPr="00C86E49">
              <w:rPr>
                <w:rFonts w:eastAsia="Times New Roman" w:cs="Arial"/>
                <w:snapToGrid w:val="0"/>
                <w:szCs w:val="20"/>
              </w:rPr>
              <w:t xml:space="preserve">• </w:t>
            </w:r>
            <w:r w:rsidR="007B6482" w:rsidRPr="00C86E49">
              <w:rPr>
                <w:rFonts w:eastAsia="Times New Roman" w:cs="Arial"/>
                <w:snapToGrid w:val="0"/>
                <w:szCs w:val="20"/>
              </w:rPr>
              <w:t>e</w:t>
            </w:r>
            <w:r w:rsidRPr="00C86E49">
              <w:rPr>
                <w:rFonts w:eastAsia="Times New Roman" w:cs="Arial"/>
                <w:snapToGrid w:val="0"/>
                <w:szCs w:val="20"/>
              </w:rPr>
              <w:t>ffectiveness parameters compared with ECMO w</w:t>
            </w:r>
            <w:r w:rsidR="007B6482" w:rsidRPr="00C86E49">
              <w:rPr>
                <w:rFonts w:eastAsia="Times New Roman" w:cs="Arial"/>
                <w:snapToGrid w:val="0"/>
                <w:szCs w:val="20"/>
              </w:rPr>
              <w:t>ere</w:t>
            </w:r>
            <w:r w:rsidRPr="00C86E49">
              <w:rPr>
                <w:rFonts w:eastAsia="Times New Roman" w:cs="Arial"/>
                <w:snapToGrid w:val="0"/>
                <w:szCs w:val="20"/>
              </w:rPr>
              <w:t xml:space="preserve"> based on naïve indirect comparisons</w:t>
            </w:r>
          </w:p>
          <w:p w14:paraId="09D58AB7" w14:textId="731A7F2F" w:rsidR="00B06CE3" w:rsidRPr="00C86E49" w:rsidRDefault="00B06CE3" w:rsidP="00B808E0">
            <w:pPr>
              <w:pStyle w:val="TableText"/>
              <w:rPr>
                <w:rFonts w:eastAsia="Times New Roman" w:cs="Arial"/>
                <w:snapToGrid w:val="0"/>
                <w:szCs w:val="20"/>
              </w:rPr>
            </w:pPr>
            <w:r w:rsidRPr="00C86E49">
              <w:rPr>
                <w:rFonts w:eastAsia="Times New Roman" w:cs="Arial"/>
                <w:snapToGrid w:val="0"/>
                <w:szCs w:val="20"/>
              </w:rPr>
              <w:t xml:space="preserve">• </w:t>
            </w:r>
            <w:r w:rsidR="00EE0B33" w:rsidRPr="00C86E49">
              <w:rPr>
                <w:rFonts w:eastAsia="Times New Roman" w:cs="Arial"/>
                <w:snapToGrid w:val="0"/>
                <w:szCs w:val="20"/>
              </w:rPr>
              <w:t>c</w:t>
            </w:r>
            <w:r w:rsidRPr="00C86E49">
              <w:rPr>
                <w:rFonts w:eastAsia="Times New Roman" w:cs="Arial"/>
                <w:snapToGrid w:val="0"/>
                <w:szCs w:val="20"/>
              </w:rPr>
              <w:t xml:space="preserve">ost-offsets were uncertain – MSAC considered the use of ECMO in 100% of </w:t>
            </w:r>
            <w:r w:rsidR="00EE0B33" w:rsidRPr="00C86E49">
              <w:rPr>
                <w:rFonts w:eastAsia="Times New Roman" w:cs="Arial"/>
                <w:snapToGrid w:val="0"/>
                <w:szCs w:val="20"/>
              </w:rPr>
              <w:t>CS</w:t>
            </w:r>
            <w:r w:rsidRPr="00C86E49">
              <w:rPr>
                <w:rFonts w:eastAsia="Times New Roman" w:cs="Arial"/>
                <w:snapToGrid w:val="0"/>
                <w:szCs w:val="20"/>
              </w:rPr>
              <w:t xml:space="preserve"> patients to be </w:t>
            </w:r>
            <w:r w:rsidR="006E3820" w:rsidRPr="00C86E49">
              <w:rPr>
                <w:rFonts w:eastAsia="Times New Roman" w:cs="Arial"/>
                <w:snapToGrid w:val="0"/>
                <w:szCs w:val="20"/>
              </w:rPr>
              <w:t xml:space="preserve">an </w:t>
            </w:r>
            <w:r w:rsidRPr="00C86E49">
              <w:rPr>
                <w:rFonts w:eastAsia="Times New Roman" w:cs="Arial"/>
                <w:snapToGrid w:val="0"/>
                <w:szCs w:val="20"/>
              </w:rPr>
              <w:t>overestimate</w:t>
            </w:r>
            <w:r w:rsidR="001C6BAE" w:rsidRPr="00C86E49">
              <w:rPr>
                <w:rFonts w:eastAsia="Times New Roman" w:cs="Arial"/>
                <w:snapToGrid w:val="0"/>
                <w:szCs w:val="20"/>
              </w:rPr>
              <w:t xml:space="preserve">, </w:t>
            </w:r>
            <w:proofErr w:type="gramStart"/>
            <w:r w:rsidR="001C6BAE" w:rsidRPr="00C86E49">
              <w:rPr>
                <w:rFonts w:eastAsia="Times New Roman" w:cs="Arial"/>
                <w:snapToGrid w:val="0"/>
                <w:szCs w:val="20"/>
              </w:rPr>
              <w:t xml:space="preserve">and </w:t>
            </w:r>
            <w:r w:rsidRPr="00C86E49">
              <w:rPr>
                <w:rFonts w:eastAsia="Times New Roman" w:cs="Arial"/>
                <w:snapToGrid w:val="0"/>
                <w:szCs w:val="20"/>
              </w:rPr>
              <w:t>also</w:t>
            </w:r>
            <w:proofErr w:type="gramEnd"/>
            <w:r w:rsidRPr="00C86E49">
              <w:rPr>
                <w:rFonts w:eastAsia="Times New Roman" w:cs="Arial"/>
                <w:snapToGrid w:val="0"/>
                <w:szCs w:val="20"/>
              </w:rPr>
              <w:t xml:space="preserve"> noted differences in-hospital or intensive care unit length of stay compared with ECMO (relative to IMVAD).</w:t>
            </w:r>
          </w:p>
          <w:p w14:paraId="73A576A0" w14:textId="03368DBB" w:rsidR="008D73B4" w:rsidRPr="00C86E49" w:rsidRDefault="00B06CE3" w:rsidP="00B808E0">
            <w:pPr>
              <w:pStyle w:val="TableText"/>
              <w:rPr>
                <w:rFonts w:eastAsia="Times New Roman" w:cs="Arial"/>
                <w:snapToGrid w:val="0"/>
                <w:szCs w:val="20"/>
              </w:rPr>
            </w:pPr>
            <w:r w:rsidRPr="00C86E49">
              <w:rPr>
                <w:rFonts w:eastAsia="Times New Roman" w:cs="Arial"/>
                <w:snapToGrid w:val="0"/>
                <w:szCs w:val="20"/>
              </w:rPr>
              <w:t xml:space="preserve">MSAC considered that these issues either favour IMVAD or have uncertain effects on the model, resulting in a highly uncertain ICER. </w:t>
            </w:r>
            <w:r w:rsidR="009A38B2" w:rsidRPr="00C86E49">
              <w:rPr>
                <w:rFonts w:eastAsia="Times New Roman" w:cs="Arial"/>
                <w:snapToGrid w:val="0"/>
                <w:szCs w:val="20"/>
              </w:rPr>
              <w:t>[</w:t>
            </w:r>
            <w:r w:rsidRPr="00C86E49">
              <w:rPr>
                <w:rFonts w:eastAsia="Times New Roman" w:cs="Arial"/>
                <w:snapToGrid w:val="0"/>
                <w:szCs w:val="20"/>
              </w:rPr>
              <w:t>PSD, p.4</w:t>
            </w:r>
            <w:r w:rsidR="009A38B2" w:rsidRPr="00C86E49">
              <w:rPr>
                <w:rFonts w:eastAsia="Times New Roman" w:cs="Arial"/>
                <w:snapToGrid w:val="0"/>
                <w:szCs w:val="20"/>
              </w:rPr>
              <w:t>]</w:t>
            </w:r>
          </w:p>
        </w:tc>
        <w:tc>
          <w:tcPr>
            <w:tcW w:w="2173" w:type="pct"/>
          </w:tcPr>
          <w:p w14:paraId="444ACBC9" w14:textId="77777777" w:rsidR="004B13D2" w:rsidRPr="00C86E49" w:rsidRDefault="004B13D2" w:rsidP="00B808E0">
            <w:pPr>
              <w:pStyle w:val="CommentaryTabletextleft"/>
              <w:rPr>
                <w:color w:val="auto"/>
              </w:rPr>
            </w:pPr>
            <w:r w:rsidRPr="00C86E49">
              <w:rPr>
                <w:color w:val="auto"/>
              </w:rPr>
              <w:t>Addressed.</w:t>
            </w:r>
          </w:p>
          <w:p w14:paraId="69F0E549" w14:textId="194E7E11" w:rsidR="008D73B4" w:rsidRPr="00C86E49" w:rsidRDefault="0016105E" w:rsidP="00B808E0">
            <w:pPr>
              <w:pStyle w:val="CommentaryTabletextleft"/>
              <w:rPr>
                <w:color w:val="auto"/>
              </w:rPr>
            </w:pPr>
            <w:r w:rsidRPr="00C86E49">
              <w:rPr>
                <w:color w:val="auto"/>
              </w:rPr>
              <w:t xml:space="preserve">The </w:t>
            </w:r>
            <w:r w:rsidR="006F7EAC" w:rsidRPr="00C86E49">
              <w:rPr>
                <w:color w:val="auto"/>
              </w:rPr>
              <w:t xml:space="preserve">resubmission </w:t>
            </w:r>
            <w:r w:rsidR="00EF71A7" w:rsidRPr="00C86E49">
              <w:rPr>
                <w:color w:val="auto"/>
              </w:rPr>
              <w:t xml:space="preserve">evaluated the cost-effectiveness of IMPELLA versus VA-ECMO, and ECPELLA versus VA-ECMO (± </w:t>
            </w:r>
            <w:r w:rsidR="00C44DBA" w:rsidRPr="00C86E49">
              <w:rPr>
                <w:color w:val="auto"/>
              </w:rPr>
              <w:t>SV</w:t>
            </w:r>
            <w:r w:rsidR="00EF71A7" w:rsidRPr="00C86E49">
              <w:rPr>
                <w:color w:val="auto"/>
              </w:rPr>
              <w:t xml:space="preserve">) </w:t>
            </w:r>
            <w:r w:rsidR="001B1A5E" w:rsidRPr="00C86E49">
              <w:rPr>
                <w:color w:val="auto"/>
              </w:rPr>
              <w:t>in a CS population</w:t>
            </w:r>
            <w:r w:rsidR="00EF71A7" w:rsidRPr="00C86E49">
              <w:rPr>
                <w:color w:val="auto"/>
              </w:rPr>
              <w:t>.</w:t>
            </w:r>
            <w:r w:rsidR="00DD4795" w:rsidRPr="00C86E49">
              <w:rPr>
                <w:color w:val="auto"/>
              </w:rPr>
              <w:t xml:space="preserve"> The economic </w:t>
            </w:r>
            <w:r w:rsidR="005564B1" w:rsidRPr="00C86E49">
              <w:rPr>
                <w:color w:val="auto"/>
              </w:rPr>
              <w:t>analyses were</w:t>
            </w:r>
            <w:r w:rsidR="00DD4795" w:rsidRPr="00C86E49">
              <w:rPr>
                <w:color w:val="auto"/>
              </w:rPr>
              <w:t xml:space="preserve"> designed to capture key differences identified between IMPELLA/ECPELLA and VA-ECMO </w:t>
            </w:r>
            <w:r w:rsidR="003C0088" w:rsidRPr="00C86E49">
              <w:rPr>
                <w:color w:val="auto"/>
              </w:rPr>
              <w:t>from</w:t>
            </w:r>
            <w:r w:rsidR="00DD4795" w:rsidRPr="00C86E49">
              <w:rPr>
                <w:color w:val="auto"/>
              </w:rPr>
              <w:t xml:space="preserve"> the clinical evaluation of matched/adjusted comparative studies.</w:t>
            </w:r>
            <w:r w:rsidR="005564B1" w:rsidRPr="00C86E49">
              <w:rPr>
                <w:color w:val="auto"/>
              </w:rPr>
              <w:t xml:space="preserve"> </w:t>
            </w:r>
            <w:r w:rsidR="001C5311" w:rsidRPr="00C86E49">
              <w:rPr>
                <w:color w:val="auto"/>
              </w:rPr>
              <w:t xml:space="preserve">Short-term mortality data continued to be the key </w:t>
            </w:r>
            <w:r w:rsidR="000624FE" w:rsidRPr="00C86E49">
              <w:rPr>
                <w:color w:val="auto"/>
              </w:rPr>
              <w:t xml:space="preserve">effectiveness </w:t>
            </w:r>
            <w:r w:rsidR="001C5311" w:rsidRPr="00C86E49">
              <w:rPr>
                <w:color w:val="auto"/>
              </w:rPr>
              <w:t>outcome in the model</w:t>
            </w:r>
            <w:r w:rsidR="005236BB" w:rsidRPr="00C86E49">
              <w:rPr>
                <w:color w:val="auto"/>
              </w:rPr>
              <w:t>;</w:t>
            </w:r>
            <w:r w:rsidR="001C5311" w:rsidRPr="00C86E49">
              <w:rPr>
                <w:color w:val="auto"/>
              </w:rPr>
              <w:t xml:space="preserve"> longer-term outcomes were inconsistently reported across the matched/adjusted studies, reducing the reliability of results. </w:t>
            </w:r>
          </w:p>
          <w:p w14:paraId="2DC4BAF5" w14:textId="02A85AF6" w:rsidR="00D618FC" w:rsidRPr="00375AEF" w:rsidRDefault="000E59DE" w:rsidP="00B808E0">
            <w:pPr>
              <w:pStyle w:val="CommentaryTabletextleft"/>
              <w:rPr>
                <w:color w:val="auto"/>
              </w:rPr>
            </w:pPr>
            <w:r w:rsidRPr="00C86E49">
              <w:rPr>
                <w:color w:val="auto"/>
              </w:rPr>
              <w:t>The resubmission used a more conservative approach to the costing of</w:t>
            </w:r>
            <w:r w:rsidR="004F5B9B" w:rsidRPr="00C86E49">
              <w:rPr>
                <w:color w:val="auto"/>
              </w:rPr>
              <w:t xml:space="preserve"> intervention and comparator</w:t>
            </w:r>
            <w:r w:rsidR="003A67B8" w:rsidRPr="00C86E49">
              <w:rPr>
                <w:color w:val="auto"/>
              </w:rPr>
              <w:t xml:space="preserve"> by applying</w:t>
            </w:r>
            <w:r w:rsidRPr="00C86E49">
              <w:rPr>
                <w:color w:val="auto"/>
              </w:rPr>
              <w:t xml:space="preserve"> the same LOS for IMPELLA and ECMO</w:t>
            </w:r>
            <w:r w:rsidR="00B76C93" w:rsidRPr="00C86E49">
              <w:rPr>
                <w:color w:val="auto"/>
              </w:rPr>
              <w:t xml:space="preserve"> (</w:t>
            </w:r>
            <w:r w:rsidRPr="00C86E49">
              <w:rPr>
                <w:color w:val="auto"/>
              </w:rPr>
              <w:t>assuming LOS is a function of disease severity rather than type of MCS).</w:t>
            </w:r>
          </w:p>
        </w:tc>
      </w:tr>
      <w:tr w:rsidR="0023246B" w:rsidRPr="00C86E49" w14:paraId="3C2E033D" w14:textId="77777777" w:rsidTr="0023246B">
        <w:tc>
          <w:tcPr>
            <w:tcW w:w="705" w:type="pct"/>
          </w:tcPr>
          <w:p w14:paraId="2F252299" w14:textId="4DFC63B3" w:rsidR="009263DD" w:rsidRPr="00C86E49" w:rsidRDefault="009263DD" w:rsidP="009E426C">
            <w:pPr>
              <w:pStyle w:val="TableText"/>
            </w:pPr>
            <w:r w:rsidRPr="00C86E49">
              <w:t>Budget impact model</w:t>
            </w:r>
          </w:p>
        </w:tc>
        <w:tc>
          <w:tcPr>
            <w:tcW w:w="2122" w:type="pct"/>
          </w:tcPr>
          <w:p w14:paraId="3EAD0F37" w14:textId="4103B997" w:rsidR="009263DD" w:rsidRPr="00C86E49" w:rsidRDefault="009263DD" w:rsidP="009E426C">
            <w:pPr>
              <w:pStyle w:val="TableText"/>
              <w:rPr>
                <w:rFonts w:eastAsia="Times New Roman" w:cs="Arial"/>
                <w:snapToGrid w:val="0"/>
                <w:szCs w:val="20"/>
              </w:rPr>
            </w:pPr>
            <w:r w:rsidRPr="00C86E49">
              <w:t xml:space="preserve">MSAC noted that the </w:t>
            </w:r>
            <w:r w:rsidR="006F3782" w:rsidRPr="00C86E49">
              <w:t>a</w:t>
            </w:r>
            <w:r w:rsidRPr="00C86E49">
              <w:t xml:space="preserve">pplicant’s revised financial estimates provided to ESC had been reviewed and verified by the assessment group. MSAC considered the financial and budgetary impacts to be uncertain for all three populations, and likely to be underestimated. This was particularly influenced by the proposed cost offsets attributed to reduced ECMO use. </w:t>
            </w:r>
            <w:r w:rsidR="009A38B2" w:rsidRPr="00C86E49">
              <w:t>[</w:t>
            </w:r>
            <w:r w:rsidR="006F3782" w:rsidRPr="00C86E49">
              <w:t>PSD, p.</w:t>
            </w:r>
            <w:r w:rsidRPr="00C86E49">
              <w:t>5</w:t>
            </w:r>
            <w:r w:rsidR="009A38B2" w:rsidRPr="00C86E49">
              <w:t>]</w:t>
            </w:r>
          </w:p>
        </w:tc>
        <w:tc>
          <w:tcPr>
            <w:tcW w:w="2173" w:type="pct"/>
          </w:tcPr>
          <w:p w14:paraId="191E5EB4" w14:textId="77777777" w:rsidR="009A0927" w:rsidRPr="00C86E49" w:rsidRDefault="009A0927" w:rsidP="009E426C">
            <w:pPr>
              <w:pStyle w:val="TableText"/>
              <w:rPr>
                <w:rFonts w:eastAsia="Times New Roman" w:cs="Arial"/>
                <w:snapToGrid w:val="0"/>
                <w:szCs w:val="20"/>
              </w:rPr>
            </w:pPr>
            <w:r w:rsidRPr="00C86E49">
              <w:rPr>
                <w:rFonts w:eastAsia="Times New Roman" w:cs="Arial"/>
                <w:snapToGrid w:val="0"/>
                <w:szCs w:val="20"/>
              </w:rPr>
              <w:t>Partially addressed.</w:t>
            </w:r>
          </w:p>
          <w:p w14:paraId="102D7D56" w14:textId="79B57317" w:rsidR="009263DD" w:rsidRPr="00375AEF" w:rsidRDefault="009A0927" w:rsidP="009E426C">
            <w:pPr>
              <w:pStyle w:val="TableText"/>
              <w:rPr>
                <w:rFonts w:eastAsia="Times New Roman" w:cs="Arial"/>
                <w:snapToGrid w:val="0"/>
                <w:szCs w:val="20"/>
              </w:rPr>
            </w:pPr>
            <w:r w:rsidRPr="00C86E49">
              <w:rPr>
                <w:rFonts w:eastAsia="Times New Roman" w:cs="Arial"/>
                <w:snapToGrid w:val="0"/>
                <w:szCs w:val="20"/>
              </w:rPr>
              <w:t xml:space="preserve">The </w:t>
            </w:r>
            <w:r w:rsidR="00D93115" w:rsidRPr="00C86E49">
              <w:rPr>
                <w:rFonts w:eastAsia="Times New Roman" w:cs="Arial"/>
                <w:snapToGrid w:val="0"/>
                <w:szCs w:val="20"/>
              </w:rPr>
              <w:t xml:space="preserve">basis for the </w:t>
            </w:r>
            <w:r w:rsidR="00EB48F2" w:rsidRPr="00C86E49">
              <w:rPr>
                <w:rFonts w:eastAsia="Times New Roman" w:cs="Arial"/>
                <w:snapToGrid w:val="0"/>
                <w:szCs w:val="20"/>
              </w:rPr>
              <w:t xml:space="preserve">ADAR’s </w:t>
            </w:r>
            <w:r w:rsidRPr="00C86E49">
              <w:rPr>
                <w:rFonts w:eastAsia="Times New Roman" w:cs="Arial"/>
                <w:snapToGrid w:val="0"/>
                <w:szCs w:val="20"/>
              </w:rPr>
              <w:t xml:space="preserve">financial estimates </w:t>
            </w:r>
            <w:r w:rsidR="00D93115" w:rsidRPr="00C86E49">
              <w:rPr>
                <w:rFonts w:eastAsia="Times New Roman" w:cs="Arial"/>
                <w:snapToGrid w:val="0"/>
                <w:szCs w:val="20"/>
              </w:rPr>
              <w:t>is</w:t>
            </w:r>
            <w:r w:rsidRPr="00C86E49">
              <w:rPr>
                <w:rFonts w:eastAsia="Times New Roman" w:cs="Arial"/>
                <w:snapToGrid w:val="0"/>
                <w:szCs w:val="20"/>
              </w:rPr>
              <w:t xml:space="preserve"> that IMPELLA will take some market share from VA-ECMO</w:t>
            </w:r>
            <w:r w:rsidR="00753157" w:rsidRPr="00C86E49">
              <w:rPr>
                <w:rFonts w:eastAsia="Times New Roman" w:cs="Arial"/>
                <w:snapToGrid w:val="0"/>
                <w:szCs w:val="20"/>
              </w:rPr>
              <w:t xml:space="preserve"> (substitution) </w:t>
            </w:r>
            <w:r w:rsidR="00130721" w:rsidRPr="00C86E49">
              <w:rPr>
                <w:rFonts w:eastAsia="Times New Roman" w:cs="Arial"/>
                <w:snapToGrid w:val="0"/>
                <w:szCs w:val="20"/>
              </w:rPr>
              <w:t>whereas</w:t>
            </w:r>
            <w:r w:rsidR="00753157" w:rsidRPr="00C86E49">
              <w:rPr>
                <w:rFonts w:eastAsia="Times New Roman" w:cs="Arial"/>
                <w:snapToGrid w:val="0"/>
                <w:szCs w:val="20"/>
              </w:rPr>
              <w:t xml:space="preserve"> ECPELLA will be </w:t>
            </w:r>
            <w:r w:rsidR="00C91B21" w:rsidRPr="00C86E49">
              <w:rPr>
                <w:rFonts w:eastAsia="Times New Roman" w:cs="Arial"/>
                <w:snapToGrid w:val="0"/>
                <w:szCs w:val="20"/>
              </w:rPr>
              <w:t xml:space="preserve">used </w:t>
            </w:r>
            <w:r w:rsidR="00DB19F1" w:rsidRPr="00C86E49">
              <w:rPr>
                <w:rFonts w:eastAsia="Times New Roman" w:cs="Arial"/>
                <w:snapToGrid w:val="0"/>
                <w:szCs w:val="20"/>
              </w:rPr>
              <w:t xml:space="preserve">together </w:t>
            </w:r>
            <w:r w:rsidR="00C91B21" w:rsidRPr="00C86E49">
              <w:rPr>
                <w:rFonts w:eastAsia="Times New Roman" w:cs="Arial"/>
                <w:snapToGrid w:val="0"/>
                <w:szCs w:val="20"/>
              </w:rPr>
              <w:t xml:space="preserve">with </w:t>
            </w:r>
            <w:r w:rsidR="00753157" w:rsidRPr="00C86E49">
              <w:rPr>
                <w:rFonts w:eastAsia="Times New Roman" w:cs="Arial"/>
                <w:snapToGrid w:val="0"/>
                <w:szCs w:val="20"/>
              </w:rPr>
              <w:t xml:space="preserve">VA-ECMO </w:t>
            </w:r>
            <w:r w:rsidR="00130721" w:rsidRPr="00C86E49">
              <w:rPr>
                <w:rFonts w:eastAsia="Times New Roman" w:cs="Arial"/>
                <w:snapToGrid w:val="0"/>
                <w:szCs w:val="20"/>
              </w:rPr>
              <w:t xml:space="preserve">in a proportion of patients </w:t>
            </w:r>
            <w:r w:rsidR="00C91B21" w:rsidRPr="00C86E49">
              <w:rPr>
                <w:rFonts w:eastAsia="Times New Roman" w:cs="Arial"/>
                <w:snapToGrid w:val="0"/>
                <w:szCs w:val="20"/>
              </w:rPr>
              <w:t>(add-on)</w:t>
            </w:r>
            <w:r w:rsidRPr="00C86E49">
              <w:rPr>
                <w:rFonts w:eastAsia="Times New Roman" w:cs="Arial"/>
                <w:snapToGrid w:val="0"/>
                <w:szCs w:val="20"/>
              </w:rPr>
              <w:t xml:space="preserve">. </w:t>
            </w:r>
            <w:r w:rsidR="00EB48F2" w:rsidRPr="00C86E49">
              <w:rPr>
                <w:rFonts w:eastAsia="Times New Roman" w:cs="Arial"/>
                <w:snapToGrid w:val="0"/>
                <w:szCs w:val="20"/>
              </w:rPr>
              <w:t xml:space="preserve">The commentary notes that </w:t>
            </w:r>
            <w:r w:rsidR="00417D3F" w:rsidRPr="00C86E49">
              <w:rPr>
                <w:rFonts w:eastAsia="Times New Roman" w:cs="Arial"/>
                <w:snapToGrid w:val="0"/>
                <w:szCs w:val="20"/>
              </w:rPr>
              <w:t xml:space="preserve">the </w:t>
            </w:r>
            <w:r w:rsidRPr="00C86E49">
              <w:rPr>
                <w:rFonts w:eastAsia="Times New Roman" w:cs="Arial"/>
                <w:snapToGrid w:val="0"/>
                <w:szCs w:val="20"/>
              </w:rPr>
              <w:t xml:space="preserve">financial estimates </w:t>
            </w:r>
            <w:r w:rsidR="00264A25" w:rsidRPr="00C86E49">
              <w:rPr>
                <w:rFonts w:eastAsia="Times New Roman" w:cs="Arial"/>
                <w:snapToGrid w:val="0"/>
                <w:szCs w:val="20"/>
              </w:rPr>
              <w:t>did</w:t>
            </w:r>
            <w:r w:rsidRPr="00C86E49">
              <w:rPr>
                <w:rFonts w:eastAsia="Times New Roman" w:cs="Arial"/>
                <w:snapToGrid w:val="0"/>
                <w:szCs w:val="20"/>
              </w:rPr>
              <w:t xml:space="preserve"> not address the potential for increased costs due to the need for reimplantation, ‘upgrade’ to a more powerful IMPELLA pump, or a switch to VA-ECMO due to respiratory failure or progressive multi-organ failure.</w:t>
            </w:r>
          </w:p>
        </w:tc>
      </w:tr>
    </w:tbl>
    <w:p w14:paraId="3EA0F47E" w14:textId="6A66EF78" w:rsidR="00F57885" w:rsidRPr="00C86E49" w:rsidRDefault="00151E46" w:rsidP="002F1615">
      <w:pPr>
        <w:pStyle w:val="TableFigureFooter"/>
      </w:pPr>
      <w:bookmarkStart w:id="10" w:name="_Hlk68275617"/>
      <w:bookmarkEnd w:id="9"/>
      <w:r w:rsidRPr="00C86E49">
        <w:t xml:space="preserve">ADAR = Applicant Developed Assessment Report; </w:t>
      </w:r>
      <w:r w:rsidR="00436243" w:rsidRPr="00C86E49">
        <w:t xml:space="preserve">CS = cardiogenic shock; </w:t>
      </w:r>
      <w:r w:rsidR="00521F58" w:rsidRPr="00C86E49">
        <w:t>ECMO =</w:t>
      </w:r>
      <w:r w:rsidR="00FF241E" w:rsidRPr="00C86E49">
        <w:t xml:space="preserve"> extracorporeal membrane oxygenation; </w:t>
      </w:r>
      <w:r w:rsidR="00E33CA0" w:rsidRPr="00C86E49">
        <w:t>ESC = Evaluation Sub-committee;</w:t>
      </w:r>
      <w:r w:rsidR="0038427C" w:rsidRPr="00C86E49">
        <w:t xml:space="preserve"> HR-PCI = </w:t>
      </w:r>
      <w:r w:rsidR="00E33CA0" w:rsidRPr="00C86E49">
        <w:t xml:space="preserve"> </w:t>
      </w:r>
      <w:r w:rsidR="00C629CE" w:rsidRPr="00C86E49">
        <w:t>high-risk percutaneous coronary interventions;</w:t>
      </w:r>
      <w:r w:rsidR="00A32927" w:rsidRPr="00C86E49">
        <w:t xml:space="preserve"> IABP = intra-aortic balloon pump; </w:t>
      </w:r>
      <w:r w:rsidR="00C629CE" w:rsidRPr="00C86E49">
        <w:t xml:space="preserve"> </w:t>
      </w:r>
      <w:r w:rsidR="00587C10" w:rsidRPr="00C86E49">
        <w:t xml:space="preserve">ICER = incremental cost-effectiveness ratio; </w:t>
      </w:r>
      <w:r w:rsidR="00E33CA0" w:rsidRPr="00C86E49">
        <w:t xml:space="preserve">IMVAD = intravascular microaxial </w:t>
      </w:r>
      <w:r w:rsidR="007806E3" w:rsidRPr="00C86E49">
        <w:t xml:space="preserve">ventricular assist device; </w:t>
      </w:r>
      <w:r w:rsidR="00536E3F" w:rsidRPr="00C86E49">
        <w:t xml:space="preserve">ITT = intention-to-treat; </w:t>
      </w:r>
      <w:r w:rsidR="00BC5294" w:rsidRPr="00C86E49">
        <w:t xml:space="preserve">LOS = length of stay; </w:t>
      </w:r>
      <w:r w:rsidR="00880261" w:rsidRPr="00C86E49">
        <w:t xml:space="preserve">LV = left </w:t>
      </w:r>
      <w:r w:rsidR="00CA5528" w:rsidRPr="00C86E49">
        <w:t>ventricle</w:t>
      </w:r>
      <w:r w:rsidR="001644C3" w:rsidRPr="00C86E49">
        <w:t xml:space="preserve">; </w:t>
      </w:r>
      <w:r w:rsidR="00D65ECD" w:rsidRPr="00C86E49">
        <w:t xml:space="preserve">LVAD = left ventricular assist device; </w:t>
      </w:r>
      <w:r w:rsidR="00030B39" w:rsidRPr="00C86E49">
        <w:t xml:space="preserve">MCS = mechanical circulatory support; </w:t>
      </w:r>
      <w:r w:rsidR="00F57885" w:rsidRPr="00C86E49">
        <w:t>MSAC = Medical Services Advisory Committee</w:t>
      </w:r>
      <w:r w:rsidR="00E33CA0" w:rsidRPr="00C86E49">
        <w:t xml:space="preserve">; </w:t>
      </w:r>
      <w:r w:rsidR="00536E3F" w:rsidRPr="00C86E49">
        <w:t xml:space="preserve">PP = per-protocol; </w:t>
      </w:r>
      <w:r w:rsidR="00F57885" w:rsidRPr="00C86E49">
        <w:t>PSD = Public Summary Document</w:t>
      </w:r>
      <w:r w:rsidR="00813571" w:rsidRPr="00C86E49">
        <w:t>; RCT = randomised controlled trial</w:t>
      </w:r>
      <w:r w:rsidR="000977AE" w:rsidRPr="00C86E49">
        <w:t xml:space="preserve">; </w:t>
      </w:r>
      <w:r w:rsidR="00C44DBA" w:rsidRPr="00C86E49">
        <w:t xml:space="preserve">SV = surgical venting; </w:t>
      </w:r>
      <w:r w:rsidR="00DD1513" w:rsidRPr="00C86E49">
        <w:t>VA-ECMO = veno</w:t>
      </w:r>
      <w:r w:rsidR="00D55120" w:rsidRPr="00C86E49">
        <w:t>-arterial extracorporeal membrane oxygenation</w:t>
      </w:r>
      <w:r w:rsidR="0087277A" w:rsidRPr="00C86E49">
        <w:t>.</w:t>
      </w:r>
      <w:r w:rsidR="00DC4F64" w:rsidRPr="00C86E49">
        <w:t xml:space="preserve"> </w:t>
      </w:r>
    </w:p>
    <w:p w14:paraId="1C38ED8A" w14:textId="0D24F61A" w:rsidR="00B5248C" w:rsidRPr="00C86E49" w:rsidRDefault="00B5248C" w:rsidP="002F1615">
      <w:pPr>
        <w:pStyle w:val="TableFigureFooter"/>
      </w:pPr>
      <w:r w:rsidRPr="00C86E49">
        <w:t xml:space="preserve">Source: Compiled </w:t>
      </w:r>
      <w:r w:rsidR="00FE177C" w:rsidRPr="00C86E49">
        <w:t xml:space="preserve">from </w:t>
      </w:r>
      <w:r w:rsidRPr="00C86E49">
        <w:t xml:space="preserve">Table </w:t>
      </w:r>
      <w:r w:rsidR="0086049D" w:rsidRPr="00C86E49">
        <w:t>2</w:t>
      </w:r>
      <w:r w:rsidRPr="00C86E49">
        <w:t xml:space="preserve"> of MSAC </w:t>
      </w:r>
      <w:r w:rsidR="0086049D" w:rsidRPr="00C86E49">
        <w:t>1523.1</w:t>
      </w:r>
      <w:r w:rsidRPr="00C86E49">
        <w:t xml:space="preserve"> ADAR+in-line commentary</w:t>
      </w:r>
      <w:r w:rsidR="0086049D" w:rsidRPr="00C86E49">
        <w:t>.</w:t>
      </w:r>
    </w:p>
    <w:p w14:paraId="6F52500A" w14:textId="05A1876F" w:rsidR="00772829" w:rsidRPr="00C86E49" w:rsidRDefault="00932DE9" w:rsidP="002A18BE">
      <w:pPr>
        <w:pStyle w:val="Heading2"/>
        <w:numPr>
          <w:ilvl w:val="0"/>
          <w:numId w:val="0"/>
        </w:numPr>
      </w:pPr>
      <w:bookmarkStart w:id="11" w:name="_Toc69491417"/>
      <w:bookmarkEnd w:id="7"/>
      <w:bookmarkEnd w:id="10"/>
      <w:r w:rsidRPr="00C86E49">
        <w:t>5</w:t>
      </w:r>
      <w:r w:rsidR="00C36633" w:rsidRPr="00C86E49">
        <w:t>.</w:t>
      </w:r>
      <w:r w:rsidR="00C36633" w:rsidRPr="00C86E49">
        <w:tab/>
      </w:r>
      <w:r w:rsidR="00772829" w:rsidRPr="00C86E49">
        <w:t>Prerequisites to implementation of any funding advice</w:t>
      </w:r>
      <w:bookmarkEnd w:id="11"/>
    </w:p>
    <w:p w14:paraId="6B6796AE" w14:textId="2E44A61B" w:rsidR="00310C3F" w:rsidRPr="00C86E49" w:rsidRDefault="006E31B8" w:rsidP="006E31B8">
      <w:pPr>
        <w:pStyle w:val="Heading3"/>
      </w:pPr>
      <w:r w:rsidRPr="00C86E49">
        <w:t>Regulatory approval status</w:t>
      </w:r>
    </w:p>
    <w:p w14:paraId="62568673" w14:textId="0F28D059" w:rsidR="001D2A66" w:rsidRPr="00C86E49" w:rsidRDefault="001A30DF" w:rsidP="00C35A9D">
      <w:r w:rsidRPr="00C86E49">
        <w:t>A range of</w:t>
      </w:r>
      <w:r w:rsidR="00C35A9D" w:rsidRPr="00C86E49">
        <w:t xml:space="preserve"> IMPELLA pump</w:t>
      </w:r>
      <w:r w:rsidRPr="00C86E49">
        <w:t>s</w:t>
      </w:r>
      <w:r w:rsidR="00C35A9D" w:rsidRPr="00C86E49">
        <w:t xml:space="preserve"> </w:t>
      </w:r>
      <w:r w:rsidR="007D6E6C" w:rsidRPr="00C86E49">
        <w:t>are</w:t>
      </w:r>
      <w:r w:rsidR="00C35A9D" w:rsidRPr="00C86E49">
        <w:t xml:space="preserve"> currently included on the Australian Register of Therapeutic Goods (ARTG) together with an introducer kit </w:t>
      </w:r>
      <w:r w:rsidR="0010057A" w:rsidRPr="00C86E49">
        <w:t xml:space="preserve">(ARTG ID </w:t>
      </w:r>
      <w:r w:rsidR="00A35676" w:rsidRPr="00C86E49">
        <w:t xml:space="preserve">368070) </w:t>
      </w:r>
      <w:r w:rsidR="00C35A9D" w:rsidRPr="00C86E49">
        <w:t>for insertion of the device</w:t>
      </w:r>
      <w:r w:rsidR="007D6E6C" w:rsidRPr="00C86E49">
        <w:t xml:space="preserve">. </w:t>
      </w:r>
      <w:r w:rsidR="00B408AF" w:rsidRPr="00C86E49">
        <w:t xml:space="preserve">Of </w:t>
      </w:r>
      <w:r w:rsidR="004B4BD1" w:rsidRPr="00C86E49">
        <w:t xml:space="preserve">the </w:t>
      </w:r>
      <w:r w:rsidR="004B4BD1" w:rsidRPr="00C86E49">
        <w:lastRenderedPageBreak/>
        <w:t>IMPELLA pumps on the ARTG</w:t>
      </w:r>
      <w:r w:rsidR="00496C7B" w:rsidRPr="00C86E49">
        <w:t xml:space="preserve"> (all with </w:t>
      </w:r>
      <w:r w:rsidR="00496C7B" w:rsidRPr="00C86E49">
        <w:rPr>
          <w:iCs/>
        </w:rPr>
        <w:t>GMDN code 56732 – intracardiac circulatory assist axial-pump catheter)</w:t>
      </w:r>
      <w:r w:rsidR="00B408AF" w:rsidRPr="00C86E49">
        <w:t>, t</w:t>
      </w:r>
      <w:r w:rsidR="007D6E6C" w:rsidRPr="00C86E49">
        <w:t>he</w:t>
      </w:r>
      <w:r w:rsidR="00C35A9D" w:rsidRPr="00C86E49">
        <w:t xml:space="preserve"> IMPELLA models </w:t>
      </w:r>
      <w:r w:rsidR="00E072CB" w:rsidRPr="00C86E49">
        <w:t xml:space="preserve">shown in </w:t>
      </w:r>
      <w:r w:rsidR="00A35676" w:rsidRPr="00C86E49">
        <w:fldChar w:fldCharType="begin"/>
      </w:r>
      <w:r w:rsidR="00A35676" w:rsidRPr="00C86E49">
        <w:instrText xml:space="preserve"> REF _Ref153399728 \h </w:instrText>
      </w:r>
      <w:r w:rsidR="00C86E49">
        <w:instrText xml:space="preserve"> \* MERGEFORMAT </w:instrText>
      </w:r>
      <w:r w:rsidR="00A35676" w:rsidRPr="00C86E49">
        <w:fldChar w:fldCharType="separate"/>
      </w:r>
      <w:r w:rsidR="00EF3514" w:rsidRPr="00C86E49">
        <w:t xml:space="preserve">Table </w:t>
      </w:r>
      <w:r w:rsidR="00EF3514" w:rsidRPr="00C86E49">
        <w:rPr>
          <w:noProof/>
        </w:rPr>
        <w:t>3</w:t>
      </w:r>
      <w:r w:rsidR="00A35676" w:rsidRPr="00C86E49">
        <w:fldChar w:fldCharType="end"/>
      </w:r>
      <w:r w:rsidR="00173E9B" w:rsidRPr="00C86E49">
        <w:t xml:space="preserve"> </w:t>
      </w:r>
      <w:r w:rsidR="007D6E6C" w:rsidRPr="00C86E49">
        <w:t xml:space="preserve">are </w:t>
      </w:r>
      <w:r w:rsidR="00C35A9D" w:rsidRPr="00C86E49">
        <w:t xml:space="preserve">relevant to this </w:t>
      </w:r>
      <w:r w:rsidR="00417135" w:rsidRPr="00C86E49">
        <w:t>application</w:t>
      </w:r>
      <w:r w:rsidR="00C35A9D" w:rsidRPr="00C86E49">
        <w:t xml:space="preserve">. IMPELLA RP is </w:t>
      </w:r>
      <w:r w:rsidR="00B96B1D" w:rsidRPr="00C86E49">
        <w:t xml:space="preserve">not relevant </w:t>
      </w:r>
      <w:r w:rsidR="006B1E93" w:rsidRPr="00C86E49">
        <w:t xml:space="preserve">to the application </w:t>
      </w:r>
      <w:r w:rsidR="00B96B1D" w:rsidRPr="00C86E49">
        <w:t>as it</w:t>
      </w:r>
      <w:r w:rsidR="00C35A9D" w:rsidRPr="00C86E49">
        <w:t xml:space="preserve"> is used for RHF.</w:t>
      </w:r>
    </w:p>
    <w:p w14:paraId="45A1A5DC" w14:textId="2B122887" w:rsidR="003D2749" w:rsidRPr="00C86E49" w:rsidRDefault="003D2749" w:rsidP="003D2749">
      <w:pPr>
        <w:pStyle w:val="Caption"/>
      </w:pPr>
      <w:bookmarkStart w:id="12" w:name="_Ref153399728"/>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3</w:t>
      </w:r>
      <w:r w:rsidR="007552E5">
        <w:rPr>
          <w:noProof/>
        </w:rPr>
        <w:fldChar w:fldCharType="end"/>
      </w:r>
      <w:bookmarkEnd w:id="12"/>
      <w:r w:rsidRPr="00C86E49">
        <w:tab/>
      </w:r>
      <w:r w:rsidR="00585305" w:rsidRPr="00C86E49">
        <w:t>ARTG numbers and other k</w:t>
      </w:r>
      <w:r w:rsidRPr="00C86E49">
        <w:t>ey information for relevant IMPELLA devices</w:t>
      </w:r>
    </w:p>
    <w:tbl>
      <w:tblPr>
        <w:tblStyle w:val="TableGrid"/>
        <w:tblW w:w="0" w:type="auto"/>
        <w:tblLook w:val="04A0" w:firstRow="1" w:lastRow="0" w:firstColumn="1" w:lastColumn="0" w:noHBand="0" w:noVBand="1"/>
        <w:tblCaption w:val="ARTG numbers and other key information for relevant IMPELLA devices"/>
        <w:tblDescription w:val="This table shows the device name, ARTG ID, catheter size, maximal flow rate, maximum days of use, intended placement and additional key information for the IMPELLA devices relevant to this ADAR. "/>
      </w:tblPr>
      <w:tblGrid>
        <w:gridCol w:w="855"/>
        <w:gridCol w:w="823"/>
        <w:gridCol w:w="836"/>
        <w:gridCol w:w="1309"/>
        <w:gridCol w:w="1134"/>
        <w:gridCol w:w="1618"/>
        <w:gridCol w:w="2441"/>
      </w:tblGrid>
      <w:tr w:rsidR="00246960" w:rsidRPr="00C86E49" w14:paraId="04A58D5B" w14:textId="77777777" w:rsidTr="00E00C8B">
        <w:trPr>
          <w:tblHeader/>
        </w:trPr>
        <w:tc>
          <w:tcPr>
            <w:tcW w:w="855" w:type="dxa"/>
            <w:tcMar>
              <w:left w:w="85" w:type="dxa"/>
              <w:right w:w="85" w:type="dxa"/>
            </w:tcMar>
          </w:tcPr>
          <w:p w14:paraId="6564CA8D" w14:textId="77777777" w:rsidR="00246960" w:rsidRPr="00C86E49" w:rsidRDefault="00246960">
            <w:pPr>
              <w:pStyle w:val="TableHeading0"/>
            </w:pPr>
            <w:r w:rsidRPr="00C86E49">
              <w:t>Device name</w:t>
            </w:r>
          </w:p>
        </w:tc>
        <w:tc>
          <w:tcPr>
            <w:tcW w:w="823" w:type="dxa"/>
          </w:tcPr>
          <w:p w14:paraId="5058E503" w14:textId="048B8E41" w:rsidR="00246960" w:rsidRPr="00C86E49" w:rsidRDefault="00246960">
            <w:pPr>
              <w:pStyle w:val="TableHeading0"/>
            </w:pPr>
            <w:r w:rsidRPr="00C86E49">
              <w:t>ARTG ID</w:t>
            </w:r>
          </w:p>
        </w:tc>
        <w:tc>
          <w:tcPr>
            <w:tcW w:w="836" w:type="dxa"/>
            <w:tcMar>
              <w:left w:w="85" w:type="dxa"/>
              <w:right w:w="85" w:type="dxa"/>
            </w:tcMar>
          </w:tcPr>
          <w:p w14:paraId="66BB770F" w14:textId="6E5BBC6F" w:rsidR="00246960" w:rsidRPr="00C86E49" w:rsidRDefault="00246960">
            <w:pPr>
              <w:pStyle w:val="TableHeading0"/>
            </w:pPr>
            <w:r w:rsidRPr="00C86E49">
              <w:t>Catheter size</w:t>
            </w:r>
          </w:p>
        </w:tc>
        <w:tc>
          <w:tcPr>
            <w:tcW w:w="1309" w:type="dxa"/>
            <w:tcMar>
              <w:left w:w="85" w:type="dxa"/>
              <w:right w:w="85" w:type="dxa"/>
            </w:tcMar>
          </w:tcPr>
          <w:p w14:paraId="40D3739C" w14:textId="77777777" w:rsidR="00246960" w:rsidRPr="00C86E49" w:rsidRDefault="00246960">
            <w:pPr>
              <w:pStyle w:val="TableHeading0"/>
            </w:pPr>
            <w:r w:rsidRPr="00C86E49">
              <w:t>Maximal flow rate (L/min)</w:t>
            </w:r>
          </w:p>
        </w:tc>
        <w:tc>
          <w:tcPr>
            <w:tcW w:w="1134" w:type="dxa"/>
            <w:tcMar>
              <w:left w:w="85" w:type="dxa"/>
              <w:right w:w="85" w:type="dxa"/>
            </w:tcMar>
          </w:tcPr>
          <w:p w14:paraId="0B06F680" w14:textId="77777777" w:rsidR="00246960" w:rsidRPr="00C86E49" w:rsidRDefault="00246960">
            <w:pPr>
              <w:pStyle w:val="TableHeading0"/>
            </w:pPr>
            <w:r w:rsidRPr="00C86E49">
              <w:t>Maximum days of use</w:t>
            </w:r>
          </w:p>
        </w:tc>
        <w:tc>
          <w:tcPr>
            <w:tcW w:w="1618" w:type="dxa"/>
            <w:tcMar>
              <w:left w:w="85" w:type="dxa"/>
              <w:right w:w="85" w:type="dxa"/>
            </w:tcMar>
          </w:tcPr>
          <w:p w14:paraId="252B4346" w14:textId="77777777" w:rsidR="00246960" w:rsidRPr="00C86E49" w:rsidRDefault="00246960">
            <w:pPr>
              <w:pStyle w:val="TableHeading0"/>
            </w:pPr>
            <w:r w:rsidRPr="00C86E49">
              <w:t>Intended placement</w:t>
            </w:r>
          </w:p>
        </w:tc>
        <w:tc>
          <w:tcPr>
            <w:tcW w:w="2441" w:type="dxa"/>
            <w:tcMar>
              <w:left w:w="85" w:type="dxa"/>
              <w:right w:w="85" w:type="dxa"/>
            </w:tcMar>
          </w:tcPr>
          <w:p w14:paraId="07C0A5CE" w14:textId="77777777" w:rsidR="00246960" w:rsidRPr="00C86E49" w:rsidRDefault="00246960">
            <w:pPr>
              <w:pStyle w:val="TableHeading0"/>
            </w:pPr>
            <w:r w:rsidRPr="00C86E49">
              <w:t>Additional information</w:t>
            </w:r>
          </w:p>
        </w:tc>
      </w:tr>
      <w:tr w:rsidR="00246960" w:rsidRPr="00C86E49" w14:paraId="061D30F7" w14:textId="77777777" w:rsidTr="00E00C8B">
        <w:trPr>
          <w:tblHeader/>
        </w:trPr>
        <w:tc>
          <w:tcPr>
            <w:tcW w:w="855" w:type="dxa"/>
            <w:tcMar>
              <w:left w:w="85" w:type="dxa"/>
              <w:right w:w="85" w:type="dxa"/>
            </w:tcMar>
          </w:tcPr>
          <w:p w14:paraId="5E2C9467" w14:textId="1E452DC0" w:rsidR="00246960" w:rsidRPr="00C86E49" w:rsidRDefault="00246960">
            <w:pPr>
              <w:pStyle w:val="TableText"/>
            </w:pPr>
            <w:r w:rsidRPr="00C86E49">
              <w:t>Impella® 2.5</w:t>
            </w:r>
          </w:p>
        </w:tc>
        <w:tc>
          <w:tcPr>
            <w:tcW w:w="823" w:type="dxa"/>
          </w:tcPr>
          <w:p w14:paraId="738243DD" w14:textId="3261A18C" w:rsidR="00246960" w:rsidRPr="00C86E49" w:rsidRDefault="006F4194">
            <w:pPr>
              <w:pStyle w:val="TableText"/>
            </w:pPr>
            <w:r w:rsidRPr="00C86E49">
              <w:t>344062</w:t>
            </w:r>
          </w:p>
        </w:tc>
        <w:tc>
          <w:tcPr>
            <w:tcW w:w="836" w:type="dxa"/>
            <w:tcMar>
              <w:left w:w="85" w:type="dxa"/>
              <w:right w:w="85" w:type="dxa"/>
            </w:tcMar>
          </w:tcPr>
          <w:p w14:paraId="6F462408" w14:textId="2CAC92A3" w:rsidR="00246960" w:rsidRPr="00C86E49" w:rsidRDefault="00246960">
            <w:pPr>
              <w:pStyle w:val="TableText"/>
            </w:pPr>
            <w:r w:rsidRPr="00C86E49">
              <w:t xml:space="preserve">12-Fr </w:t>
            </w:r>
          </w:p>
        </w:tc>
        <w:tc>
          <w:tcPr>
            <w:tcW w:w="1309" w:type="dxa"/>
            <w:tcMar>
              <w:left w:w="85" w:type="dxa"/>
              <w:right w:w="85" w:type="dxa"/>
            </w:tcMar>
          </w:tcPr>
          <w:p w14:paraId="70E14755" w14:textId="77777777" w:rsidR="00246960" w:rsidRPr="00C86E49" w:rsidRDefault="00246960">
            <w:pPr>
              <w:pStyle w:val="TableText"/>
            </w:pPr>
            <w:r w:rsidRPr="00C86E49">
              <w:t>2.5</w:t>
            </w:r>
          </w:p>
        </w:tc>
        <w:tc>
          <w:tcPr>
            <w:tcW w:w="1134" w:type="dxa"/>
            <w:tcMar>
              <w:left w:w="85" w:type="dxa"/>
              <w:right w:w="85" w:type="dxa"/>
            </w:tcMar>
          </w:tcPr>
          <w:p w14:paraId="0D7A6E9C" w14:textId="77777777" w:rsidR="00246960" w:rsidRPr="00C86E49" w:rsidRDefault="00246960">
            <w:pPr>
              <w:pStyle w:val="TableText"/>
            </w:pPr>
            <w:r w:rsidRPr="00C86E49">
              <w:t>5</w:t>
            </w:r>
          </w:p>
        </w:tc>
        <w:tc>
          <w:tcPr>
            <w:tcW w:w="1618" w:type="dxa"/>
            <w:tcMar>
              <w:left w:w="85" w:type="dxa"/>
              <w:right w:w="85" w:type="dxa"/>
            </w:tcMar>
          </w:tcPr>
          <w:p w14:paraId="2CF20B59" w14:textId="77777777" w:rsidR="00246960" w:rsidRPr="00C86E49" w:rsidRDefault="00246960">
            <w:pPr>
              <w:pStyle w:val="TableText"/>
            </w:pPr>
            <w:r w:rsidRPr="00C86E49">
              <w:t>Femoral percutaneous approach</w:t>
            </w:r>
          </w:p>
        </w:tc>
        <w:tc>
          <w:tcPr>
            <w:tcW w:w="2441" w:type="dxa"/>
            <w:tcMar>
              <w:left w:w="85" w:type="dxa"/>
              <w:right w:w="85" w:type="dxa"/>
            </w:tcMar>
          </w:tcPr>
          <w:p w14:paraId="5CAA2368" w14:textId="77777777" w:rsidR="00246960" w:rsidRPr="00C86E49" w:rsidRDefault="00246960">
            <w:pPr>
              <w:pStyle w:val="TableText"/>
            </w:pPr>
            <w:r w:rsidRPr="00C86E49">
              <w:t xml:space="preserve">Provides insufficient support for patients with CS according to expert clinical advice (Application 1523 PSD, p.2). </w:t>
            </w:r>
          </w:p>
        </w:tc>
      </w:tr>
      <w:tr w:rsidR="00246960" w:rsidRPr="00C86E49" w14:paraId="1632A0D7" w14:textId="77777777" w:rsidTr="00E00C8B">
        <w:trPr>
          <w:tblHeader/>
        </w:trPr>
        <w:tc>
          <w:tcPr>
            <w:tcW w:w="855" w:type="dxa"/>
            <w:tcMar>
              <w:left w:w="85" w:type="dxa"/>
              <w:right w:w="85" w:type="dxa"/>
            </w:tcMar>
          </w:tcPr>
          <w:p w14:paraId="28EC2197" w14:textId="133D44FD" w:rsidR="00246960" w:rsidRPr="00C86E49" w:rsidRDefault="00246960">
            <w:pPr>
              <w:pStyle w:val="TableText"/>
            </w:pPr>
            <w:r w:rsidRPr="00C86E49">
              <w:t>Impella® CP</w:t>
            </w:r>
          </w:p>
        </w:tc>
        <w:tc>
          <w:tcPr>
            <w:tcW w:w="823" w:type="dxa"/>
          </w:tcPr>
          <w:p w14:paraId="59120C99" w14:textId="77777777" w:rsidR="00246960" w:rsidRPr="00C86E49" w:rsidRDefault="007B7CC2">
            <w:pPr>
              <w:pStyle w:val="TableText"/>
            </w:pPr>
            <w:r w:rsidRPr="00C86E49">
              <w:t>365</w:t>
            </w:r>
            <w:r w:rsidR="0010057A" w:rsidRPr="00C86E49">
              <w:t>210</w:t>
            </w:r>
          </w:p>
          <w:p w14:paraId="230DDFF8" w14:textId="580BE315" w:rsidR="00765F18" w:rsidRPr="00C86E49" w:rsidRDefault="00765F18">
            <w:pPr>
              <w:pStyle w:val="TableText"/>
            </w:pPr>
            <w:r w:rsidRPr="00C86E49">
              <w:t>379</w:t>
            </w:r>
            <w:r w:rsidR="002957BD" w:rsidRPr="00C86E49">
              <w:t>190</w:t>
            </w:r>
            <w:r w:rsidR="002957BD" w:rsidRPr="00C86E49">
              <w:rPr>
                <w:vertAlign w:val="superscript"/>
              </w:rPr>
              <w:t>a</w:t>
            </w:r>
          </w:p>
        </w:tc>
        <w:tc>
          <w:tcPr>
            <w:tcW w:w="836" w:type="dxa"/>
            <w:tcMar>
              <w:left w:w="85" w:type="dxa"/>
              <w:right w:w="85" w:type="dxa"/>
            </w:tcMar>
          </w:tcPr>
          <w:p w14:paraId="05D157A1" w14:textId="19245CEE" w:rsidR="00246960" w:rsidRPr="00C86E49" w:rsidRDefault="00246960">
            <w:pPr>
              <w:pStyle w:val="TableText"/>
            </w:pPr>
            <w:r w:rsidRPr="00C86E49">
              <w:t xml:space="preserve">14-Fr </w:t>
            </w:r>
          </w:p>
        </w:tc>
        <w:tc>
          <w:tcPr>
            <w:tcW w:w="1309" w:type="dxa"/>
            <w:tcMar>
              <w:left w:w="85" w:type="dxa"/>
              <w:right w:w="85" w:type="dxa"/>
            </w:tcMar>
          </w:tcPr>
          <w:p w14:paraId="4B1B70B0" w14:textId="77777777" w:rsidR="00246960" w:rsidRPr="00C86E49" w:rsidRDefault="00246960">
            <w:pPr>
              <w:pStyle w:val="TableText"/>
            </w:pPr>
            <w:r w:rsidRPr="00C86E49">
              <w:t>4.3</w:t>
            </w:r>
          </w:p>
        </w:tc>
        <w:tc>
          <w:tcPr>
            <w:tcW w:w="1134" w:type="dxa"/>
            <w:tcMar>
              <w:left w:w="85" w:type="dxa"/>
              <w:right w:w="85" w:type="dxa"/>
            </w:tcMar>
          </w:tcPr>
          <w:p w14:paraId="76BEE86D" w14:textId="77777777" w:rsidR="00246960" w:rsidRPr="00C86E49" w:rsidRDefault="00246960">
            <w:pPr>
              <w:pStyle w:val="TableText"/>
            </w:pPr>
            <w:r w:rsidRPr="00C86E49">
              <w:t>5</w:t>
            </w:r>
          </w:p>
        </w:tc>
        <w:tc>
          <w:tcPr>
            <w:tcW w:w="1618" w:type="dxa"/>
            <w:tcMar>
              <w:left w:w="85" w:type="dxa"/>
              <w:right w:w="85" w:type="dxa"/>
            </w:tcMar>
          </w:tcPr>
          <w:p w14:paraId="14E78B4C" w14:textId="77777777" w:rsidR="00246960" w:rsidRPr="00C86E49" w:rsidRDefault="00246960">
            <w:pPr>
              <w:pStyle w:val="TableText"/>
            </w:pPr>
            <w:r w:rsidRPr="00C86E49">
              <w:t>Femoral percutaneous approach</w:t>
            </w:r>
          </w:p>
        </w:tc>
        <w:tc>
          <w:tcPr>
            <w:tcW w:w="2441" w:type="dxa"/>
            <w:tcMar>
              <w:left w:w="85" w:type="dxa"/>
              <w:right w:w="85" w:type="dxa"/>
            </w:tcMar>
          </w:tcPr>
          <w:p w14:paraId="11D79317" w14:textId="77777777" w:rsidR="00246960" w:rsidRPr="00C86E49" w:rsidRDefault="00246960">
            <w:pPr>
              <w:pStyle w:val="TableText"/>
            </w:pPr>
            <w:r w:rsidRPr="00C86E49">
              <w:t xml:space="preserve">The </w:t>
            </w:r>
            <w:proofErr w:type="gramStart"/>
            <w:r w:rsidRPr="00C86E49">
              <w:t>most commonly used</w:t>
            </w:r>
            <w:proofErr w:type="gramEnd"/>
            <w:r w:rsidRPr="00C86E49">
              <w:t xml:space="preserve"> IMVAD in patients with CS according to ADAR expert clinical advice.</w:t>
            </w:r>
          </w:p>
        </w:tc>
      </w:tr>
      <w:tr w:rsidR="00246960" w:rsidRPr="00C86E49" w14:paraId="1667B038" w14:textId="77777777" w:rsidTr="00E00C8B">
        <w:trPr>
          <w:tblHeader/>
        </w:trPr>
        <w:tc>
          <w:tcPr>
            <w:tcW w:w="855" w:type="dxa"/>
            <w:tcMar>
              <w:left w:w="85" w:type="dxa"/>
              <w:right w:w="85" w:type="dxa"/>
            </w:tcMar>
          </w:tcPr>
          <w:p w14:paraId="2F511686" w14:textId="699396DB" w:rsidR="00246960" w:rsidRPr="00C86E49" w:rsidRDefault="00246960">
            <w:pPr>
              <w:pStyle w:val="TableText"/>
            </w:pPr>
            <w:r w:rsidRPr="00C86E49">
              <w:t>Impella® 5.0</w:t>
            </w:r>
          </w:p>
        </w:tc>
        <w:tc>
          <w:tcPr>
            <w:tcW w:w="823" w:type="dxa"/>
          </w:tcPr>
          <w:p w14:paraId="1D8D121F" w14:textId="715A13A8" w:rsidR="00246960" w:rsidRPr="00C86E49" w:rsidRDefault="0010057A">
            <w:pPr>
              <w:pStyle w:val="TableText"/>
            </w:pPr>
            <w:r w:rsidRPr="00C86E49">
              <w:t>307717</w:t>
            </w:r>
          </w:p>
        </w:tc>
        <w:tc>
          <w:tcPr>
            <w:tcW w:w="836" w:type="dxa"/>
            <w:tcMar>
              <w:left w:w="85" w:type="dxa"/>
              <w:right w:w="85" w:type="dxa"/>
            </w:tcMar>
          </w:tcPr>
          <w:p w14:paraId="54D9D1EB" w14:textId="45A9C8E7" w:rsidR="00246960" w:rsidRPr="00C86E49" w:rsidRDefault="00246960">
            <w:pPr>
              <w:pStyle w:val="TableText"/>
            </w:pPr>
            <w:r w:rsidRPr="00C86E49">
              <w:t xml:space="preserve">21-Fr </w:t>
            </w:r>
          </w:p>
        </w:tc>
        <w:tc>
          <w:tcPr>
            <w:tcW w:w="1309" w:type="dxa"/>
            <w:tcMar>
              <w:left w:w="85" w:type="dxa"/>
              <w:right w:w="85" w:type="dxa"/>
            </w:tcMar>
          </w:tcPr>
          <w:p w14:paraId="435709E6" w14:textId="77777777" w:rsidR="00246960" w:rsidRPr="00C86E49" w:rsidRDefault="00246960">
            <w:pPr>
              <w:pStyle w:val="TableText"/>
            </w:pPr>
            <w:r w:rsidRPr="00C86E49">
              <w:t>5.0</w:t>
            </w:r>
          </w:p>
        </w:tc>
        <w:tc>
          <w:tcPr>
            <w:tcW w:w="1134" w:type="dxa"/>
            <w:tcMar>
              <w:left w:w="85" w:type="dxa"/>
              <w:right w:w="85" w:type="dxa"/>
            </w:tcMar>
          </w:tcPr>
          <w:p w14:paraId="7D239B1C" w14:textId="77777777" w:rsidR="00246960" w:rsidRPr="00C86E49" w:rsidRDefault="00246960">
            <w:pPr>
              <w:pStyle w:val="TableText"/>
            </w:pPr>
            <w:r w:rsidRPr="00C86E49">
              <w:t>10</w:t>
            </w:r>
          </w:p>
        </w:tc>
        <w:tc>
          <w:tcPr>
            <w:tcW w:w="1618" w:type="dxa"/>
            <w:tcMar>
              <w:left w:w="85" w:type="dxa"/>
              <w:right w:w="85" w:type="dxa"/>
            </w:tcMar>
          </w:tcPr>
          <w:p w14:paraId="5A028A37" w14:textId="77777777" w:rsidR="00246960" w:rsidRPr="00C86E49" w:rsidRDefault="00246960">
            <w:pPr>
              <w:pStyle w:val="TableText"/>
            </w:pPr>
            <w:r w:rsidRPr="00C86E49">
              <w:t xml:space="preserve">Surgical approach (femoral cut-down or axillary artery) </w:t>
            </w:r>
          </w:p>
        </w:tc>
        <w:tc>
          <w:tcPr>
            <w:tcW w:w="2441" w:type="dxa"/>
            <w:tcMar>
              <w:left w:w="85" w:type="dxa"/>
              <w:right w:w="85" w:type="dxa"/>
            </w:tcMar>
          </w:tcPr>
          <w:p w14:paraId="2E7D425D" w14:textId="77777777" w:rsidR="00246960" w:rsidRPr="00C86E49" w:rsidRDefault="00246960">
            <w:pPr>
              <w:pStyle w:val="TableText"/>
            </w:pPr>
            <w:r w:rsidRPr="00C86E49">
              <w:t>-</w:t>
            </w:r>
          </w:p>
        </w:tc>
      </w:tr>
      <w:tr w:rsidR="00246960" w:rsidRPr="00C86E49" w14:paraId="34F5A673" w14:textId="77777777" w:rsidTr="00E00C8B">
        <w:trPr>
          <w:tblHeader/>
        </w:trPr>
        <w:tc>
          <w:tcPr>
            <w:tcW w:w="855" w:type="dxa"/>
            <w:tcMar>
              <w:left w:w="85" w:type="dxa"/>
              <w:right w:w="85" w:type="dxa"/>
            </w:tcMar>
          </w:tcPr>
          <w:p w14:paraId="22E0244B" w14:textId="4BEBE842" w:rsidR="00246960" w:rsidRPr="00C86E49" w:rsidRDefault="00246960">
            <w:pPr>
              <w:pStyle w:val="TableText"/>
            </w:pPr>
            <w:r w:rsidRPr="00C86E49">
              <w:t xml:space="preserve">Impella® 5.5 </w:t>
            </w:r>
          </w:p>
        </w:tc>
        <w:tc>
          <w:tcPr>
            <w:tcW w:w="823" w:type="dxa"/>
          </w:tcPr>
          <w:p w14:paraId="5B392CEC" w14:textId="4D0AAFDC" w:rsidR="00246960" w:rsidRPr="00C86E49" w:rsidRDefault="0010057A">
            <w:pPr>
              <w:pStyle w:val="TableText"/>
            </w:pPr>
            <w:r w:rsidRPr="00C86E49">
              <w:t>386932</w:t>
            </w:r>
          </w:p>
        </w:tc>
        <w:tc>
          <w:tcPr>
            <w:tcW w:w="836" w:type="dxa"/>
            <w:tcMar>
              <w:left w:w="85" w:type="dxa"/>
              <w:right w:w="85" w:type="dxa"/>
            </w:tcMar>
          </w:tcPr>
          <w:p w14:paraId="0BDD23D2" w14:textId="1763657D" w:rsidR="00246960" w:rsidRPr="00C86E49" w:rsidRDefault="00246960">
            <w:pPr>
              <w:pStyle w:val="TableText"/>
            </w:pPr>
            <w:r w:rsidRPr="00C86E49">
              <w:t xml:space="preserve">21-Fr </w:t>
            </w:r>
          </w:p>
        </w:tc>
        <w:tc>
          <w:tcPr>
            <w:tcW w:w="1309" w:type="dxa"/>
            <w:tcMar>
              <w:left w:w="85" w:type="dxa"/>
              <w:right w:w="85" w:type="dxa"/>
            </w:tcMar>
          </w:tcPr>
          <w:p w14:paraId="3DB3E936" w14:textId="77777777" w:rsidR="00246960" w:rsidRPr="00C86E49" w:rsidRDefault="00246960">
            <w:pPr>
              <w:pStyle w:val="TableText"/>
            </w:pPr>
            <w:r w:rsidRPr="00C86E49">
              <w:t>5.5</w:t>
            </w:r>
          </w:p>
        </w:tc>
        <w:tc>
          <w:tcPr>
            <w:tcW w:w="1134" w:type="dxa"/>
            <w:tcMar>
              <w:left w:w="85" w:type="dxa"/>
              <w:right w:w="85" w:type="dxa"/>
            </w:tcMar>
          </w:tcPr>
          <w:p w14:paraId="3A067FC1" w14:textId="77777777" w:rsidR="00246960" w:rsidRPr="00C86E49" w:rsidRDefault="00246960">
            <w:pPr>
              <w:pStyle w:val="TableText"/>
            </w:pPr>
            <w:r w:rsidRPr="00C86E49">
              <w:t>30</w:t>
            </w:r>
          </w:p>
        </w:tc>
        <w:tc>
          <w:tcPr>
            <w:tcW w:w="1618" w:type="dxa"/>
            <w:tcMar>
              <w:left w:w="85" w:type="dxa"/>
              <w:right w:w="85" w:type="dxa"/>
            </w:tcMar>
          </w:tcPr>
          <w:p w14:paraId="265FDF5D" w14:textId="77777777" w:rsidR="00246960" w:rsidRPr="00C86E49" w:rsidRDefault="00246960">
            <w:pPr>
              <w:pStyle w:val="TableText"/>
            </w:pPr>
            <w:r w:rsidRPr="00C86E49">
              <w:t>Surgical approach (axillary artery)</w:t>
            </w:r>
          </w:p>
        </w:tc>
        <w:tc>
          <w:tcPr>
            <w:tcW w:w="2441" w:type="dxa"/>
            <w:tcMar>
              <w:left w:w="85" w:type="dxa"/>
              <w:right w:w="85" w:type="dxa"/>
            </w:tcMar>
          </w:tcPr>
          <w:p w14:paraId="4708BADE" w14:textId="77E14DC8" w:rsidR="00246960" w:rsidRPr="00C86E49" w:rsidRDefault="00246960">
            <w:pPr>
              <w:pStyle w:val="TableText"/>
            </w:pPr>
            <w:r w:rsidRPr="00C86E49">
              <w:t xml:space="preserve">Recently brought to market therefore not represented in the included </w:t>
            </w:r>
            <w:r w:rsidR="003C784D" w:rsidRPr="00C86E49">
              <w:t xml:space="preserve">clinical </w:t>
            </w:r>
            <w:r w:rsidRPr="00C86E49">
              <w:t>evidence.</w:t>
            </w:r>
          </w:p>
        </w:tc>
      </w:tr>
    </w:tbl>
    <w:p w14:paraId="4EFF4E69" w14:textId="142DB545" w:rsidR="003D2749" w:rsidRPr="00C86E49" w:rsidRDefault="00246960" w:rsidP="003D2749">
      <w:pPr>
        <w:pStyle w:val="TableFigureFooter"/>
      </w:pPr>
      <w:r w:rsidRPr="00C86E49">
        <w:t xml:space="preserve">ARTG = Australian Register of Therapeutic Goods; </w:t>
      </w:r>
      <w:r w:rsidR="003D2749" w:rsidRPr="00C86E49">
        <w:t xml:space="preserve">CS = cardiogenic shock; Fr = French; </w:t>
      </w:r>
      <w:r w:rsidR="006E3075" w:rsidRPr="00C86E49">
        <w:t xml:space="preserve">IMVAD = intravascular microaxial ventricular assist device; </w:t>
      </w:r>
      <w:r w:rsidR="003D2749" w:rsidRPr="00C86E49">
        <w:t>L = litres; MCS = mechanical circulatory support; min = minute; PSD = public summary document.</w:t>
      </w:r>
    </w:p>
    <w:p w14:paraId="1FFEFB4E" w14:textId="3F28EA1F" w:rsidR="002957BD" w:rsidRPr="00C86E49" w:rsidRDefault="000D2DB8" w:rsidP="003D2749">
      <w:pPr>
        <w:pStyle w:val="TableFigureFooter"/>
      </w:pPr>
      <w:r w:rsidRPr="00C86E49">
        <w:rPr>
          <w:vertAlign w:val="superscript"/>
        </w:rPr>
        <w:t>a</w:t>
      </w:r>
      <w:r w:rsidR="002957BD" w:rsidRPr="00C86E49">
        <w:t xml:space="preserve"> Refers to the IMPELLA CP</w:t>
      </w:r>
      <w:r w:rsidR="008F588D" w:rsidRPr="00C86E49">
        <w:t>®</w:t>
      </w:r>
      <w:r w:rsidR="008E2F04" w:rsidRPr="00C86E49">
        <w:t xml:space="preserve"> with SmartAssist Set, </w:t>
      </w:r>
      <w:r w:rsidR="001D64BF" w:rsidRPr="00C86E49">
        <w:t xml:space="preserve">which </w:t>
      </w:r>
      <w:r w:rsidR="008E2F04" w:rsidRPr="00C86E49">
        <w:t>consist</w:t>
      </w:r>
      <w:r w:rsidR="001D64BF" w:rsidRPr="00C86E49">
        <w:t>s</w:t>
      </w:r>
      <w:r w:rsidR="008E2F04" w:rsidRPr="00C86E49">
        <w:t xml:space="preserve"> of </w:t>
      </w:r>
      <w:r w:rsidRPr="00C86E49">
        <w:t>one IMPELLA CP with SmartAssist heart pump, one introducer Kit for femoral access, one guidewire to place the pump and one purge cassette</w:t>
      </w:r>
      <w:r w:rsidR="001D64BF" w:rsidRPr="00C86E49">
        <w:t>.</w:t>
      </w:r>
    </w:p>
    <w:p w14:paraId="336FFAAC" w14:textId="77FDD4AE" w:rsidR="003D2749" w:rsidRPr="00C86E49" w:rsidRDefault="003D2749" w:rsidP="003D2749">
      <w:pPr>
        <w:pStyle w:val="TableFigureFooter"/>
      </w:pPr>
      <w:r w:rsidRPr="00C86E49">
        <w:t>Source: Compiled from Section 1.5 text</w:t>
      </w:r>
      <w:r w:rsidR="00EF098F" w:rsidRPr="00C86E49">
        <w:t xml:space="preserve">, Table </w:t>
      </w:r>
      <w:proofErr w:type="gramStart"/>
      <w:r w:rsidR="00EF098F" w:rsidRPr="00C86E49">
        <w:t>3</w:t>
      </w:r>
      <w:proofErr w:type="gramEnd"/>
      <w:r w:rsidRPr="00C86E49">
        <w:t xml:space="preserve"> and Table 5 of MSAC 1523.1 ADAR.</w:t>
      </w:r>
    </w:p>
    <w:p w14:paraId="66801785" w14:textId="580FCF07" w:rsidR="00C35A9D" w:rsidRPr="00C86E49" w:rsidRDefault="00725687" w:rsidP="00C35A9D">
      <w:r w:rsidRPr="00C86E49">
        <w:t xml:space="preserve">All IMPELLA devices have a small microaxial rotary pump mounted at one end of a thin, flexible catheter that pumps blood from the </w:t>
      </w:r>
      <w:r w:rsidR="00821300" w:rsidRPr="00C86E49">
        <w:t>left ventricle (</w:t>
      </w:r>
      <w:r w:rsidRPr="00C86E49">
        <w:t>LV</w:t>
      </w:r>
      <w:r w:rsidR="00821300" w:rsidRPr="00C86E49">
        <w:t>)</w:t>
      </w:r>
      <w:r w:rsidRPr="00C86E49">
        <w:t xml:space="preserve"> through an inlet area near the tip and expels blood into the ascending aorta. The other end of the tube is connected outside the body </w:t>
      </w:r>
      <w:r w:rsidR="00F35FC1" w:rsidRPr="00C86E49">
        <w:t>to the Automated IMPELLA Controller</w:t>
      </w:r>
      <w:r w:rsidR="005039CC" w:rsidRPr="00C86E49">
        <w:t>, which</w:t>
      </w:r>
      <w:r w:rsidR="00F35FC1" w:rsidRPr="00C86E49">
        <w:t xml:space="preserve"> </w:t>
      </w:r>
      <w:r w:rsidRPr="00C86E49">
        <w:t>powers the drive motor of the IMPELLA catheter and provides a user interface to monitor the correct positioning and functioning of the IMPELLA.</w:t>
      </w:r>
      <w:r w:rsidR="00F35FC1" w:rsidRPr="00C86E49">
        <w:t xml:space="preserve"> </w:t>
      </w:r>
      <w:r w:rsidR="005A5CD9" w:rsidRPr="00C86E49">
        <w:t xml:space="preserve">The </w:t>
      </w:r>
      <w:r w:rsidR="001D2A66" w:rsidRPr="00C86E49">
        <w:t>Automated Impella Controller</w:t>
      </w:r>
      <w:r w:rsidR="005A5CD9" w:rsidRPr="00C86E49">
        <w:t xml:space="preserve"> </w:t>
      </w:r>
      <w:r w:rsidR="001D2A66" w:rsidRPr="00C86E49">
        <w:t xml:space="preserve">is </w:t>
      </w:r>
      <w:r w:rsidR="005A5CD9" w:rsidRPr="00C86E49">
        <w:t xml:space="preserve">also </w:t>
      </w:r>
      <w:r w:rsidR="001D2A66" w:rsidRPr="00C86E49">
        <w:t>listed on the ARTG (</w:t>
      </w:r>
      <w:r w:rsidR="00A33700" w:rsidRPr="00C86E49">
        <w:t xml:space="preserve">288729; </w:t>
      </w:r>
      <w:r w:rsidR="00045B13" w:rsidRPr="00C86E49">
        <w:rPr>
          <w:iCs/>
        </w:rPr>
        <w:t>GMDN 57808 – Intracardiac circulatory assist axial-pump catheter control unit</w:t>
      </w:r>
      <w:r w:rsidR="001D2A66" w:rsidRPr="00C86E49">
        <w:t>).</w:t>
      </w:r>
    </w:p>
    <w:p w14:paraId="20D418B0" w14:textId="312F1088" w:rsidR="00AB1285" w:rsidRPr="00C86E49" w:rsidRDefault="00206603" w:rsidP="00AB1285">
      <w:r w:rsidRPr="00C86E49">
        <w:t>Other than IMPELLA, t</w:t>
      </w:r>
      <w:r w:rsidR="00AB1285" w:rsidRPr="00C86E49">
        <w:t>here are no other IMVADs currently available in Australia.</w:t>
      </w:r>
    </w:p>
    <w:p w14:paraId="3413CF3C" w14:textId="721064F1" w:rsidR="006E31B8" w:rsidRPr="00C86E49" w:rsidRDefault="001909EF" w:rsidP="001D2A66">
      <w:pPr>
        <w:pStyle w:val="Heading3"/>
      </w:pPr>
      <w:r w:rsidRPr="00C86E49">
        <w:t>Device f</w:t>
      </w:r>
      <w:r w:rsidR="001D2A66" w:rsidRPr="00C86E49">
        <w:t>unding status</w:t>
      </w:r>
    </w:p>
    <w:p w14:paraId="61EFF941" w14:textId="642671F3" w:rsidR="00E80DE0" w:rsidRPr="00C86E49" w:rsidRDefault="00E71FDA" w:rsidP="008515DE">
      <w:r w:rsidRPr="00C86E49">
        <w:t xml:space="preserve">The applicant intends to </w:t>
      </w:r>
      <w:proofErr w:type="gramStart"/>
      <w:r w:rsidRPr="00C86E49">
        <w:t>submit an application</w:t>
      </w:r>
      <w:proofErr w:type="gramEnd"/>
      <w:r w:rsidRPr="00C86E49">
        <w:t xml:space="preserve"> seeking listing of </w:t>
      </w:r>
      <w:r w:rsidR="001A036D" w:rsidRPr="00C86E49">
        <w:t>an</w:t>
      </w:r>
      <w:r w:rsidRPr="00C86E49">
        <w:t xml:space="preserve"> IMPELLA kit </w:t>
      </w:r>
      <w:r w:rsidR="00B72604" w:rsidRPr="00C86E49">
        <w:t>(</w:t>
      </w:r>
      <w:r w:rsidR="00E53EFF" w:rsidRPr="00C86E49">
        <w:t xml:space="preserve">inclusive of an IMPELLA </w:t>
      </w:r>
      <w:r w:rsidR="00ED0848" w:rsidRPr="00C86E49">
        <w:t>catheter, introducer kit</w:t>
      </w:r>
      <w:r w:rsidR="00E53EFF" w:rsidRPr="00C86E49">
        <w:t xml:space="preserve"> and one purge cassette</w:t>
      </w:r>
      <w:r w:rsidR="00B72604" w:rsidRPr="00C86E49">
        <w:t>) on the Prescribed List</w:t>
      </w:r>
      <w:r w:rsidR="00E53EFF" w:rsidRPr="00C86E49">
        <w:t xml:space="preserve"> </w:t>
      </w:r>
      <w:r w:rsidR="00054D8A" w:rsidRPr="00C86E49">
        <w:t xml:space="preserve">of Medical Devices and Human Tissue Products </w:t>
      </w:r>
      <w:r w:rsidR="00766E89" w:rsidRPr="00C86E49">
        <w:t xml:space="preserve">(PL) </w:t>
      </w:r>
      <w:r w:rsidR="00E53EFF" w:rsidRPr="00C86E49">
        <w:t>at a reimbursed price of $</w:t>
      </w:r>
      <w:r w:rsidR="0025212B" w:rsidRPr="00C86E49">
        <w:rPr>
          <w:b/>
          <w:bCs/>
        </w:rPr>
        <w:t>redacted</w:t>
      </w:r>
      <w:r w:rsidR="00E53EFF" w:rsidRPr="00C86E49">
        <w:t xml:space="preserve"> per unit</w:t>
      </w:r>
      <w:r w:rsidR="00B72604" w:rsidRPr="00C86E49">
        <w:t>.</w:t>
      </w:r>
      <w:r w:rsidR="00E53EFF" w:rsidRPr="00C86E49">
        <w:t xml:space="preserve"> </w:t>
      </w:r>
    </w:p>
    <w:p w14:paraId="140DB52C" w14:textId="31EE6E57" w:rsidR="008515DE" w:rsidRPr="00C86E49" w:rsidRDefault="00E80DE0" w:rsidP="008515DE">
      <w:r w:rsidRPr="00C86E49">
        <w:t xml:space="preserve">The commentary </w:t>
      </w:r>
      <w:r w:rsidR="004D0C14" w:rsidRPr="00C86E49">
        <w:t>noted</w:t>
      </w:r>
      <w:r w:rsidRPr="00C86E49">
        <w:t xml:space="preserve"> that i</w:t>
      </w:r>
      <w:r w:rsidR="008515DE" w:rsidRPr="00C86E49">
        <w:t>f the PL application is unsuccessful, the cost of the IMPELLA kit could be passed on to the patient (although this is unlikely if the service is predominantly performed in large public teaching hospitals). According to the ADAR</w:t>
      </w:r>
      <w:r w:rsidR="00213849" w:rsidRPr="00C86E49">
        <w:t xml:space="preserve">, </w:t>
      </w:r>
      <w:r w:rsidR="008515DE" w:rsidRPr="00C86E49">
        <w:t xml:space="preserve">additional single-use purge cassettes </w:t>
      </w:r>
      <w:r w:rsidR="00221B4D" w:rsidRPr="00C86E49">
        <w:t>(</w:t>
      </w:r>
      <w:r w:rsidR="008515DE" w:rsidRPr="00C86E49">
        <w:t>$</w:t>
      </w:r>
      <w:r w:rsidR="00DA6EAB" w:rsidRPr="00C86E49">
        <w:rPr>
          <w:b/>
          <w:bCs/>
        </w:rPr>
        <w:t>redacted</w:t>
      </w:r>
      <w:r w:rsidR="008515DE" w:rsidRPr="00C86E49">
        <w:t xml:space="preserve"> per cassette</w:t>
      </w:r>
      <w:r w:rsidR="00221B4D" w:rsidRPr="00C86E49">
        <w:t>)</w:t>
      </w:r>
      <w:r w:rsidR="008515DE" w:rsidRPr="00C86E49">
        <w:t xml:space="preserve"> are changed every couple of days; these are not expected to be listed on the PL</w:t>
      </w:r>
      <w:r w:rsidR="00041206" w:rsidRPr="00C86E49">
        <w:t xml:space="preserve"> and the ADAR does not address who will pay for these</w:t>
      </w:r>
      <w:r w:rsidR="008515DE" w:rsidRPr="00C86E49">
        <w:t>.</w:t>
      </w:r>
    </w:p>
    <w:p w14:paraId="1B38DEE1" w14:textId="49307044" w:rsidR="00A47D50" w:rsidRPr="00C86E49" w:rsidRDefault="00744F07" w:rsidP="00C35A9D">
      <w:r w:rsidRPr="00C86E49">
        <w:t xml:space="preserve">The </w:t>
      </w:r>
      <w:r w:rsidR="004E59F9" w:rsidRPr="00C86E49">
        <w:t>Automated Impella Controller</w:t>
      </w:r>
      <w:r w:rsidRPr="00C86E49">
        <w:t xml:space="preserve"> is a non-consumable device and is </w:t>
      </w:r>
      <w:r w:rsidR="00C802FE" w:rsidRPr="00C86E49">
        <w:t xml:space="preserve">currently provided by </w:t>
      </w:r>
      <w:r w:rsidRPr="00C86E49">
        <w:t xml:space="preserve">Abiomed to hospitals at </w:t>
      </w:r>
      <w:r w:rsidR="003841B5" w:rsidRPr="00C86E49">
        <w:rPr>
          <w:b/>
          <w:bCs/>
        </w:rPr>
        <w:t>redacted</w:t>
      </w:r>
      <w:r w:rsidR="00E00FCA" w:rsidRPr="00C86E49">
        <w:t xml:space="preserve">. </w:t>
      </w:r>
      <w:r w:rsidR="002353FD" w:rsidRPr="00C86E49">
        <w:t xml:space="preserve">The </w:t>
      </w:r>
      <w:r w:rsidR="009B05EB" w:rsidRPr="00C86E49">
        <w:t>ADAR</w:t>
      </w:r>
      <w:r w:rsidR="002353FD" w:rsidRPr="00C86E49">
        <w:t xml:space="preserve"> advised that t</w:t>
      </w:r>
      <w:r w:rsidR="00E00FCA" w:rsidRPr="00C86E49">
        <w:t xml:space="preserve">his </w:t>
      </w:r>
      <w:proofErr w:type="gramStart"/>
      <w:r w:rsidR="00E00FCA" w:rsidRPr="00C86E49">
        <w:t>will</w:t>
      </w:r>
      <w:proofErr w:type="gramEnd"/>
      <w:r w:rsidR="00E00FCA" w:rsidRPr="00C86E49">
        <w:t xml:space="preserve"> continue to be the case</w:t>
      </w:r>
      <w:r w:rsidRPr="00C86E49">
        <w:t xml:space="preserve"> should </w:t>
      </w:r>
      <w:r w:rsidRPr="00C86E49">
        <w:lastRenderedPageBreak/>
        <w:t xml:space="preserve">IMPELLA be listed on the MBS for treating CS. Whilst the </w:t>
      </w:r>
      <w:r w:rsidR="004E59F9" w:rsidRPr="00C86E49">
        <w:t>Automated Impella Controller</w:t>
      </w:r>
      <w:r w:rsidRPr="00C86E49">
        <w:t xml:space="preserve"> is provided at </w:t>
      </w:r>
      <w:r w:rsidR="003841B5" w:rsidRPr="00C86E49">
        <w:rPr>
          <w:b/>
          <w:bCs/>
        </w:rPr>
        <w:t>reacted</w:t>
      </w:r>
      <w:r w:rsidRPr="00C86E49">
        <w:t xml:space="preserve"> to hospitals, annual servicing is required</w:t>
      </w:r>
      <w:r w:rsidR="00994908" w:rsidRPr="00C86E49">
        <w:t>,</w:t>
      </w:r>
      <w:r w:rsidRPr="00C86E49">
        <w:t xml:space="preserve"> cost</w:t>
      </w:r>
      <w:r w:rsidR="00994908" w:rsidRPr="00C86E49">
        <w:t>ing</w:t>
      </w:r>
      <w:r w:rsidRPr="00C86E49">
        <w:t xml:space="preserve"> $</w:t>
      </w:r>
      <w:r w:rsidR="003841B5" w:rsidRPr="00C86E49">
        <w:rPr>
          <w:b/>
          <w:bCs/>
        </w:rPr>
        <w:t>redacted</w:t>
      </w:r>
      <w:r w:rsidRPr="00C86E49">
        <w:t xml:space="preserve"> per annum.</w:t>
      </w:r>
    </w:p>
    <w:p w14:paraId="6882E2A7" w14:textId="5EEA7A24" w:rsidR="005E0086" w:rsidRPr="00C86E49" w:rsidRDefault="005E0086" w:rsidP="00003A6E">
      <w:pPr>
        <w:pStyle w:val="Heading3"/>
      </w:pPr>
      <w:r w:rsidRPr="00C86E49">
        <w:t xml:space="preserve">Training </w:t>
      </w:r>
      <w:r w:rsidR="00003A6E" w:rsidRPr="00C86E49">
        <w:t>and certification</w:t>
      </w:r>
    </w:p>
    <w:p w14:paraId="518BD260" w14:textId="74EF7E98" w:rsidR="00003A6E" w:rsidRPr="00C86E49" w:rsidRDefault="00B0362F" w:rsidP="00C35A9D">
      <w:r w:rsidRPr="00C86E49">
        <w:t xml:space="preserve">Although not mentioned in the ADAR, the </w:t>
      </w:r>
      <w:hyperlink r:id="rId11" w:tooltip="Hyperlink to the PICO Set for application 1523.1 on the MSAC website " w:history="1">
        <w:r w:rsidRPr="00C86E49">
          <w:rPr>
            <w:rStyle w:val="Hyperlink"/>
          </w:rPr>
          <w:t>PICO Set</w:t>
        </w:r>
      </w:hyperlink>
      <w:r w:rsidRPr="00C86E49">
        <w:t xml:space="preserve"> for MSAC application 1523.1 mentions that </w:t>
      </w:r>
      <w:r w:rsidR="00046A1D" w:rsidRPr="00C86E49">
        <w:t xml:space="preserve">IMPELLA </w:t>
      </w:r>
      <w:r w:rsidR="0053445C" w:rsidRPr="00C86E49">
        <w:t>is only</w:t>
      </w:r>
      <w:r w:rsidRPr="00C86E49">
        <w:t xml:space="preserve"> to be used</w:t>
      </w:r>
      <w:r w:rsidR="00650B7B" w:rsidRPr="00C86E49">
        <w:t xml:space="preserve"> </w:t>
      </w:r>
      <w:r w:rsidR="00F05568" w:rsidRPr="00C86E49">
        <w:t>by clinical staff who have received</w:t>
      </w:r>
      <w:r w:rsidR="00650B7B" w:rsidRPr="00C86E49">
        <w:t xml:space="preserve"> competency training and certificatio</w:t>
      </w:r>
      <w:r w:rsidR="00FC134E" w:rsidRPr="00C86E49">
        <w:t>n from Abiomed.</w:t>
      </w:r>
    </w:p>
    <w:p w14:paraId="44C3B242" w14:textId="349C0DE5" w:rsidR="00772829" w:rsidRPr="00C86E49" w:rsidRDefault="00932DE9" w:rsidP="002A18BE">
      <w:pPr>
        <w:pStyle w:val="Heading2"/>
        <w:numPr>
          <w:ilvl w:val="0"/>
          <w:numId w:val="0"/>
        </w:numPr>
      </w:pPr>
      <w:bookmarkStart w:id="13" w:name="_Toc69491418"/>
      <w:r w:rsidRPr="00C86E49">
        <w:t>6</w:t>
      </w:r>
      <w:r w:rsidR="00C36633" w:rsidRPr="00C86E49">
        <w:t>.</w:t>
      </w:r>
      <w:r w:rsidR="00C36633" w:rsidRPr="00C86E49">
        <w:tab/>
      </w:r>
      <w:r w:rsidR="00772829" w:rsidRPr="00C86E49">
        <w:t>Proposal for public funding</w:t>
      </w:r>
      <w:bookmarkEnd w:id="13"/>
    </w:p>
    <w:p w14:paraId="347AAFB6" w14:textId="420E8B4F" w:rsidR="004A2260" w:rsidRPr="00C86E49" w:rsidRDefault="00502DC5" w:rsidP="005F3F2A">
      <w:r w:rsidRPr="00C86E49">
        <w:t xml:space="preserve">The </w:t>
      </w:r>
      <w:r w:rsidR="00C40104" w:rsidRPr="00C86E49">
        <w:t>application</w:t>
      </w:r>
      <w:r w:rsidRPr="00C86E49">
        <w:t xml:space="preserve"> request</w:t>
      </w:r>
      <w:r w:rsidR="00184558" w:rsidRPr="00C86E49">
        <w:t>ed</w:t>
      </w:r>
      <w:r w:rsidRPr="00C86E49">
        <w:t xml:space="preserve"> new MBS items for the transluminal insertion</w:t>
      </w:r>
      <w:r w:rsidR="00CB766C" w:rsidRPr="00C86E49">
        <w:t xml:space="preserve">, </w:t>
      </w:r>
      <w:proofErr w:type="gramStart"/>
      <w:r w:rsidRPr="00C86E49">
        <w:t>management</w:t>
      </w:r>
      <w:proofErr w:type="gramEnd"/>
      <w:r w:rsidRPr="00C86E49">
        <w:t xml:space="preserve"> </w:t>
      </w:r>
      <w:r w:rsidR="000379CF" w:rsidRPr="00C86E49">
        <w:t xml:space="preserve">and removal </w:t>
      </w:r>
      <w:r w:rsidRPr="00C86E49">
        <w:t>of a left IMVAD in patients with CS</w:t>
      </w:r>
      <w:r w:rsidR="00CB766C" w:rsidRPr="00C86E49">
        <w:t>.</w:t>
      </w:r>
      <w:r w:rsidR="000379CF" w:rsidRPr="00C86E49">
        <w:t xml:space="preserve"> </w:t>
      </w:r>
      <w:r w:rsidR="00C720C3" w:rsidRPr="00C86E49">
        <w:t>The ADAR claim</w:t>
      </w:r>
      <w:r w:rsidR="001F46F7" w:rsidRPr="00C86E49">
        <w:t>ed</w:t>
      </w:r>
      <w:r w:rsidR="00C720C3" w:rsidRPr="00C86E49">
        <w:t xml:space="preserve"> that a</w:t>
      </w:r>
      <w:r w:rsidR="00925A4B" w:rsidRPr="00C86E49">
        <w:t xml:space="preserve"> left </w:t>
      </w:r>
      <w:r w:rsidR="00A83F10" w:rsidRPr="00C86E49">
        <w:t>IMVAD supports</w:t>
      </w:r>
      <w:r w:rsidR="001021AA" w:rsidRPr="00C86E49">
        <w:t xml:space="preserve"> the native heart in patients </w:t>
      </w:r>
      <w:r w:rsidR="00E77FA3" w:rsidRPr="00C86E49">
        <w:t xml:space="preserve">with </w:t>
      </w:r>
      <w:r w:rsidR="001021AA" w:rsidRPr="00C86E49">
        <w:t>LV dysfunction/failure</w:t>
      </w:r>
      <w:r w:rsidR="005B7346" w:rsidRPr="00C86E49">
        <w:t xml:space="preserve"> b</w:t>
      </w:r>
      <w:r w:rsidR="0065165B" w:rsidRPr="00C86E49">
        <w:t>y unloading the LV</w:t>
      </w:r>
      <w:r w:rsidR="00236E45" w:rsidRPr="00C86E49">
        <w:t xml:space="preserve">, which </w:t>
      </w:r>
      <w:r w:rsidR="0065165B" w:rsidRPr="00C86E49">
        <w:t>in turn has a cascade of consequent positive effects on the heart function and physiology, ultimately improving end-organ perfusion.</w:t>
      </w:r>
    </w:p>
    <w:p w14:paraId="185DC844" w14:textId="77D905C4" w:rsidR="009C73BD" w:rsidRPr="00C86E49" w:rsidRDefault="009C73BD" w:rsidP="005F3F2A">
      <w:r w:rsidRPr="00C86E49">
        <w:t>The ADAR noted that existing utilisation of IMPELLA via the MBS occurs through the left ventricular assist device code (MBS item 38615), illustrating the need for a unique, and fit for purpose code for IMVAD.</w:t>
      </w:r>
    </w:p>
    <w:p w14:paraId="70E1DA36" w14:textId="56243C01" w:rsidR="00844D30" w:rsidRPr="00C86E49" w:rsidRDefault="00083E4D" w:rsidP="00844D30">
      <w:r w:rsidRPr="00C86E49">
        <w:t>Prior to the commencement of an IMPELLA episode, the patient must be evaluated for suitability of placement of the device via fluoroscopy imaging of the vasculature and access sites.</w:t>
      </w:r>
      <w:r w:rsidR="00DE24D0" w:rsidRPr="00C86E49">
        <w:t xml:space="preserve"> </w:t>
      </w:r>
      <w:r w:rsidR="005525B3" w:rsidRPr="00C86E49">
        <w:t xml:space="preserve">The insertion and removal procedure </w:t>
      </w:r>
      <w:proofErr w:type="gramStart"/>
      <w:r w:rsidR="005525B3" w:rsidRPr="00C86E49">
        <w:t>is</w:t>
      </w:r>
      <w:proofErr w:type="gramEnd"/>
      <w:r w:rsidR="005525B3" w:rsidRPr="00C86E49">
        <w:t xml:space="preserve"> performed by an interventional cardiologist/intensivist for IMPELLA 2.5</w:t>
      </w:r>
      <w:r w:rsidR="008F588D" w:rsidRPr="00C86E49">
        <w:t>®</w:t>
      </w:r>
      <w:r w:rsidR="005525B3" w:rsidRPr="00C86E49">
        <w:t xml:space="preserve"> and IMPELLA CP</w:t>
      </w:r>
      <w:r w:rsidR="00A62FB1" w:rsidRPr="00C86E49">
        <w:t xml:space="preserve"> (femoral percutaneous approach)</w:t>
      </w:r>
      <w:r w:rsidR="005525B3" w:rsidRPr="00C86E49">
        <w:t>, and by a cardiac surgeon for IMPELLA 5.0</w:t>
      </w:r>
      <w:r w:rsidR="008F588D" w:rsidRPr="00C86E49">
        <w:t>®</w:t>
      </w:r>
      <w:r w:rsidR="005525B3" w:rsidRPr="00C86E49">
        <w:t xml:space="preserve"> and IMPELLA 5.5</w:t>
      </w:r>
      <w:r w:rsidR="00A62FB1" w:rsidRPr="00C86E49">
        <w:t xml:space="preserve"> (</w:t>
      </w:r>
      <w:r w:rsidR="00166265" w:rsidRPr="00C86E49">
        <w:t>surgical approach)</w:t>
      </w:r>
      <w:r w:rsidR="005525B3" w:rsidRPr="00C86E49">
        <w:t>.</w:t>
      </w:r>
      <w:r w:rsidR="00844D30" w:rsidRPr="00C86E49">
        <w:t xml:space="preserve"> </w:t>
      </w:r>
      <w:r w:rsidR="00AD44E9" w:rsidRPr="00C86E49">
        <w:t>Immediately after implantation, f</w:t>
      </w:r>
      <w:r w:rsidR="00844D30" w:rsidRPr="00C86E49">
        <w:t xml:space="preserve">luoroscopy is used to check for correct </w:t>
      </w:r>
      <w:r w:rsidR="00A63F88" w:rsidRPr="00C86E49">
        <w:t xml:space="preserve">IMPELLA </w:t>
      </w:r>
      <w:r w:rsidR="00844D30" w:rsidRPr="00C86E49">
        <w:t>positioning.</w:t>
      </w:r>
      <w:r w:rsidR="00F56DBF" w:rsidRPr="00C86E49">
        <w:t xml:space="preserve"> The patient is monitored every day in the intensive care unit (ICU)</w:t>
      </w:r>
      <w:r w:rsidR="00BA77CF" w:rsidRPr="00C86E49">
        <w:t xml:space="preserve">. If necessary, the catheter may be repositioned using echocardiography or using the repositioning guide for devices with </w:t>
      </w:r>
      <w:r w:rsidR="00F260EE" w:rsidRPr="00C86E49">
        <w:t xml:space="preserve">the </w:t>
      </w:r>
      <w:r w:rsidR="00BA77CF" w:rsidRPr="00C86E49">
        <w:t>SmartAssist feature</w:t>
      </w:r>
      <w:r w:rsidR="00D15A37" w:rsidRPr="00C86E49">
        <w:t xml:space="preserve"> (IMPELLA CP and IMPELLA 5.5).</w:t>
      </w:r>
    </w:p>
    <w:p w14:paraId="5D05A081" w14:textId="058B4400" w:rsidR="00E64BF3" w:rsidRPr="00C86E49" w:rsidRDefault="00E64BF3" w:rsidP="00FB62A3">
      <w:r w:rsidRPr="00C86E49">
        <w:t xml:space="preserve">Whilst the setting for the delivery of the IMVAD service will predominantly be inpatients in a public hospital setting (mainly large teaching hospitals), as is the case for VA-ECMO, the </w:t>
      </w:r>
      <w:r w:rsidR="00B349D3" w:rsidRPr="00C86E49">
        <w:t xml:space="preserve">ADAR </w:t>
      </w:r>
      <w:r w:rsidRPr="00C86E49">
        <w:t xml:space="preserve">noted that evaluation of IMVAD by MSAC will help to inform public hospitals of the relative safety, </w:t>
      </w:r>
      <w:proofErr w:type="gramStart"/>
      <w:r w:rsidRPr="00C86E49">
        <w:t>effectiveness</w:t>
      </w:r>
      <w:proofErr w:type="gramEnd"/>
      <w:r w:rsidRPr="00C86E49">
        <w:t xml:space="preserve"> and cost-effectiveness of IMVAD versus VA-ECMO. The ADAR stated that local experts consider it appropriate to include IMVAD on the MBS consistent with VA-ECMO (which can be used in both </w:t>
      </w:r>
      <w:r w:rsidR="00555478" w:rsidRPr="00C86E49">
        <w:t xml:space="preserve">public and </w:t>
      </w:r>
      <w:r w:rsidRPr="00C86E49">
        <w:t>private settings).</w:t>
      </w:r>
    </w:p>
    <w:p w14:paraId="453F9FDF" w14:textId="77777777" w:rsidR="009164A1" w:rsidRPr="00C86E49" w:rsidRDefault="009164A1" w:rsidP="009164A1">
      <w:pPr>
        <w:pStyle w:val="Heading3"/>
      </w:pPr>
      <w:r w:rsidRPr="00C86E49">
        <w:t>Proposed MBS item descriptors</w:t>
      </w:r>
    </w:p>
    <w:p w14:paraId="7B2801BB" w14:textId="425C924D" w:rsidR="002B29CC" w:rsidRPr="00C86E49" w:rsidRDefault="00072276" w:rsidP="00FB62A3">
      <w:r w:rsidRPr="00C86E49">
        <w:t xml:space="preserve">Several changes have been made to the </w:t>
      </w:r>
      <w:r w:rsidR="00EB74E0" w:rsidRPr="00C86E49">
        <w:t xml:space="preserve">proposed </w:t>
      </w:r>
      <w:r w:rsidR="00BC7D78" w:rsidRPr="00C86E49">
        <w:t xml:space="preserve">MBS items </w:t>
      </w:r>
      <w:r w:rsidR="00DB2BED" w:rsidRPr="00C86E49">
        <w:t>since</w:t>
      </w:r>
      <w:r w:rsidR="00624E92" w:rsidRPr="00C86E49">
        <w:t xml:space="preserve"> MSAC consideration of</w:t>
      </w:r>
      <w:r w:rsidR="00D35B45" w:rsidRPr="00C86E49">
        <w:t xml:space="preserve"> application 1523</w:t>
      </w:r>
      <w:r w:rsidR="00290E8A" w:rsidRPr="00C86E49">
        <w:t>:</w:t>
      </w:r>
    </w:p>
    <w:p w14:paraId="1AEA5964" w14:textId="6AC7F8E0" w:rsidR="006A5DBC" w:rsidRPr="00C86E49" w:rsidRDefault="00E00983" w:rsidP="00FA4CEF">
      <w:pPr>
        <w:pStyle w:val="ListParagraph"/>
        <w:numPr>
          <w:ilvl w:val="0"/>
          <w:numId w:val="10"/>
        </w:numPr>
      </w:pPr>
      <w:r w:rsidRPr="00C86E49">
        <w:t>c</w:t>
      </w:r>
      <w:r w:rsidR="006A5DBC" w:rsidRPr="00C86E49">
        <w:t xml:space="preserve">onsistent with MSAC advice, a fee for percutaneous removal </w:t>
      </w:r>
      <w:r w:rsidR="002E7A71" w:rsidRPr="00C86E49">
        <w:t>has not been</w:t>
      </w:r>
      <w:r w:rsidR="006A5DBC" w:rsidRPr="00C86E49">
        <w:t xml:space="preserve"> </w:t>
      </w:r>
      <w:proofErr w:type="gramStart"/>
      <w:r w:rsidR="006A5DBC" w:rsidRPr="00C86E49">
        <w:t>included</w:t>
      </w:r>
      <w:proofErr w:type="gramEnd"/>
    </w:p>
    <w:p w14:paraId="11DDD2E2" w14:textId="0417AEA9" w:rsidR="00290E8A" w:rsidRPr="00C86E49" w:rsidRDefault="00E34086" w:rsidP="00FA4CEF">
      <w:pPr>
        <w:pStyle w:val="ListParagraph"/>
        <w:numPr>
          <w:ilvl w:val="0"/>
          <w:numId w:val="10"/>
        </w:numPr>
      </w:pPr>
      <w:r w:rsidRPr="00C86E49">
        <w:t>g</w:t>
      </w:r>
      <w:r w:rsidR="002509E6" w:rsidRPr="00C86E49">
        <w:t>iven</w:t>
      </w:r>
      <w:r w:rsidR="00971930" w:rsidRPr="00C86E49">
        <w:t xml:space="preserve"> the introduction of SmartAssist devices with repositioning guidance, </w:t>
      </w:r>
      <w:r w:rsidR="007A54F2" w:rsidRPr="00C86E49">
        <w:t>a</w:t>
      </w:r>
      <w:r w:rsidR="001C0A7C" w:rsidRPr="00C86E49">
        <w:t xml:space="preserve"> repositioning item has </w:t>
      </w:r>
      <w:r w:rsidR="00F56326" w:rsidRPr="00C86E49">
        <w:t xml:space="preserve">not been </w:t>
      </w:r>
      <w:proofErr w:type="gramStart"/>
      <w:r w:rsidR="00F56326" w:rsidRPr="00C86E49">
        <w:t>included</w:t>
      </w:r>
      <w:proofErr w:type="gramEnd"/>
    </w:p>
    <w:p w14:paraId="716CBD7E" w14:textId="2E5967E0" w:rsidR="00D661DF" w:rsidRPr="00C86E49" w:rsidRDefault="000A2FDB" w:rsidP="00FA4CEF">
      <w:pPr>
        <w:pStyle w:val="ListParagraph"/>
        <w:numPr>
          <w:ilvl w:val="0"/>
          <w:numId w:val="10"/>
        </w:numPr>
      </w:pPr>
      <w:r w:rsidRPr="00C86E49">
        <w:t>t</w:t>
      </w:r>
      <w:r w:rsidR="00D661DF" w:rsidRPr="00C86E49">
        <w:t xml:space="preserve">he proposed MBS item descriptors have been adapted to limit use to a population with CS and to a left-sided </w:t>
      </w:r>
      <w:proofErr w:type="gramStart"/>
      <w:r w:rsidR="00D661DF" w:rsidRPr="00C86E49">
        <w:t>IMVAD</w:t>
      </w:r>
      <w:proofErr w:type="gramEnd"/>
    </w:p>
    <w:p w14:paraId="652CDB82" w14:textId="47B66C7A" w:rsidR="00C730CC" w:rsidRPr="00C86E49" w:rsidRDefault="004B3998" w:rsidP="00FA4CEF">
      <w:pPr>
        <w:pStyle w:val="ListParagraph"/>
        <w:numPr>
          <w:ilvl w:val="0"/>
          <w:numId w:val="10"/>
        </w:numPr>
      </w:pPr>
      <w:r w:rsidRPr="00C86E49">
        <w:lastRenderedPageBreak/>
        <w:t xml:space="preserve">consistent with the MBS item structure for VA-ECMO and LVAD, </w:t>
      </w:r>
      <w:r w:rsidR="000A2FDB" w:rsidRPr="00C86E49">
        <w:t>t</w:t>
      </w:r>
      <w:r w:rsidR="00C730CC" w:rsidRPr="00C86E49">
        <w:t xml:space="preserve">he single daily management item </w:t>
      </w:r>
      <w:r w:rsidR="00EB56F3" w:rsidRPr="00C86E49">
        <w:t xml:space="preserve">has been separated into </w:t>
      </w:r>
      <w:r w:rsidR="00EF650F" w:rsidRPr="00C86E49">
        <w:t>an item for management on the first day, and a separate item for management on subsequent days.</w:t>
      </w:r>
    </w:p>
    <w:p w14:paraId="34C9E33A" w14:textId="2BCD9144" w:rsidR="00260539" w:rsidRPr="00C86E49" w:rsidRDefault="00CA205F" w:rsidP="00260539">
      <w:r w:rsidRPr="00C86E49">
        <w:t xml:space="preserve">The </w:t>
      </w:r>
      <w:r w:rsidR="003A1599" w:rsidRPr="00C86E49">
        <w:t xml:space="preserve">five </w:t>
      </w:r>
      <w:r w:rsidRPr="00C86E49">
        <w:t>proposed new items</w:t>
      </w:r>
      <w:r w:rsidR="003A1599" w:rsidRPr="00C86E49">
        <w:t xml:space="preserve"> are presented in </w:t>
      </w:r>
      <w:r w:rsidR="00F66F0C" w:rsidRPr="00C86E49">
        <w:fldChar w:fldCharType="begin"/>
      </w:r>
      <w:r w:rsidR="00F66F0C" w:rsidRPr="00C86E49">
        <w:instrText xml:space="preserve"> REF _Ref154067714 \h </w:instrText>
      </w:r>
      <w:r w:rsidR="00C86E49">
        <w:instrText xml:space="preserve"> \* MERGEFORMAT </w:instrText>
      </w:r>
      <w:r w:rsidR="00F66F0C" w:rsidRPr="00C86E49">
        <w:fldChar w:fldCharType="separate"/>
      </w:r>
      <w:r w:rsidR="00EF3514" w:rsidRPr="00C86E49">
        <w:t xml:space="preserve">Table </w:t>
      </w:r>
      <w:r w:rsidR="00EF3514" w:rsidRPr="00C86E49">
        <w:rPr>
          <w:noProof/>
        </w:rPr>
        <w:t>4</w:t>
      </w:r>
      <w:r w:rsidR="00F66F0C" w:rsidRPr="00C86E49">
        <w:fldChar w:fldCharType="end"/>
      </w:r>
      <w:r w:rsidR="00BC6A54" w:rsidRPr="00C86E49">
        <w:rPr>
          <w:rFonts w:ascii="Arial Narrow" w:eastAsia="Times New Roman" w:hAnsi="Arial Narrow" w:cs="Arial"/>
          <w:snapToGrid w:val="0"/>
          <w:sz w:val="18"/>
          <w:lang w:eastAsia="en-AU"/>
        </w:rPr>
        <w:t>.</w:t>
      </w:r>
    </w:p>
    <w:p w14:paraId="12358EE1" w14:textId="1A63223C" w:rsidR="006A23F3" w:rsidRPr="00C86E49" w:rsidRDefault="006A23F3" w:rsidP="00775993">
      <w:pPr>
        <w:pStyle w:val="Caption"/>
      </w:pPr>
      <w:bookmarkStart w:id="14" w:name="_Ref154067714"/>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4</w:t>
      </w:r>
      <w:r w:rsidR="007552E5">
        <w:rPr>
          <w:noProof/>
        </w:rPr>
        <w:fldChar w:fldCharType="end"/>
      </w:r>
      <w:bookmarkEnd w:id="14"/>
      <w:r w:rsidRPr="00C86E49">
        <w:tab/>
        <w:t>Proposed item descriptors</w:t>
      </w:r>
      <w:r w:rsidR="00C45098" w:rsidRPr="00C86E49">
        <w:t xml:space="preserve"> </w:t>
      </w:r>
      <w:r w:rsidR="00A642D8" w:rsidRPr="00C86E49">
        <w:t xml:space="preserve">with edits </w:t>
      </w:r>
      <w:r w:rsidR="00150EC7" w:rsidRPr="00C86E49">
        <w:t>to align with</w:t>
      </w:r>
      <w:r w:rsidR="00A642D8" w:rsidRPr="00C86E49">
        <w:t xml:space="preserve"> ESC</w:t>
      </w:r>
      <w:r w:rsidR="00150EC7" w:rsidRPr="00C86E49">
        <w:t xml:space="preserve"> </w:t>
      </w:r>
      <w:proofErr w:type="gramStart"/>
      <w:r w:rsidR="00150EC7" w:rsidRPr="00C86E49">
        <w:t>advice</w:t>
      </w:r>
      <w:proofErr w:type="gramEnd"/>
      <w:r w:rsidR="00A642D8" w:rsidRPr="00C86E49">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item descriptors for Category 3 – Therapeutic Procedures"/>
        <w:tblDescription w:val="This table presents the proposed item descriptors for percutaneous insertion, surgical insertion, surgical removal, management of the first day and management of the subsequent days."/>
      </w:tblPr>
      <w:tblGrid>
        <w:gridCol w:w="9016"/>
      </w:tblGrid>
      <w:tr w:rsidR="006A23F3" w:rsidRPr="00C86E49" w14:paraId="27A501EC" w14:textId="77777777" w:rsidTr="7D4A7EC9">
        <w:trPr>
          <w:trHeight w:val="3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7076F" w14:textId="77777777" w:rsidR="006A23F3" w:rsidRPr="00C86E49" w:rsidRDefault="006A23F3">
            <w:pPr>
              <w:pStyle w:val="TableText"/>
              <w:rPr>
                <w:b/>
                <w:bCs/>
                <w:sz w:val="24"/>
              </w:rPr>
            </w:pPr>
            <w:r w:rsidRPr="00C86E49">
              <w:rPr>
                <w:b/>
                <w:bCs/>
              </w:rPr>
              <w:t>Percutaneous insertion</w:t>
            </w:r>
          </w:p>
        </w:tc>
      </w:tr>
      <w:tr w:rsidR="006A23F3" w:rsidRPr="00C86E49" w14:paraId="7E36388A"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70FD" w14:textId="77777777" w:rsidR="006A23F3" w:rsidRPr="00C86E49" w:rsidRDefault="006A23F3">
            <w:pPr>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MBS item *XXXX</w:t>
            </w:r>
          </w:p>
          <w:p w14:paraId="4FC63A81" w14:textId="61D1643F" w:rsidR="006A23F3" w:rsidRPr="00C86E49" w:rsidRDefault="006A23F3">
            <w:pPr>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Percutaneous insertion of a left-sided intravascular microaxial ventricular assist device by arteriotomy</w:t>
            </w:r>
            <w:r w:rsidR="00E6768F" w:rsidRPr="00C86E49">
              <w:rPr>
                <w:rFonts w:ascii="Arial Narrow" w:hAnsi="Arial Narrow"/>
                <w:sz w:val="20"/>
                <w:szCs w:val="20"/>
                <w:lang w:val="en-US" w:eastAsia="ja-JP"/>
              </w:rPr>
              <w:t>: if</w:t>
            </w:r>
            <w:r w:rsidRPr="00C86E49">
              <w:rPr>
                <w:rFonts w:ascii="Arial Narrow" w:hAnsi="Arial Narrow"/>
                <w:sz w:val="20"/>
                <w:szCs w:val="20"/>
                <w:lang w:val="en-US" w:eastAsia="ja-JP"/>
              </w:rPr>
              <w:t xml:space="preserve"> </w:t>
            </w:r>
          </w:p>
          <w:p w14:paraId="67192998" w14:textId="77777777" w:rsidR="00343CFC" w:rsidRPr="00C86E49" w:rsidRDefault="00343CFC" w:rsidP="00FA4CEF">
            <w:pPr>
              <w:pStyle w:val="ListParagraph"/>
              <w:numPr>
                <w:ilvl w:val="0"/>
                <w:numId w:val="19"/>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the patient has deteriorating symptoms of cardiogenic shock (with no evidence of significant anoxic neurological injury), which are not controlled by optimal medical therapy; or</w:t>
            </w:r>
          </w:p>
          <w:p w14:paraId="1F91D47B" w14:textId="485580B8" w:rsidR="00343CFC" w:rsidRPr="00C86E49" w:rsidRDefault="00343CFC" w:rsidP="00FA4CEF">
            <w:pPr>
              <w:pStyle w:val="ListParagraph"/>
              <w:numPr>
                <w:ilvl w:val="0"/>
                <w:numId w:val="19"/>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 xml:space="preserve">the </w:t>
            </w:r>
            <w:proofErr w:type="gramStart"/>
            <w:r w:rsidRPr="00C86E49">
              <w:rPr>
                <w:rFonts w:ascii="Arial Narrow" w:eastAsia="Arial Narrow" w:hAnsi="Arial Narrow" w:cs="Arial Narrow"/>
                <w:sz w:val="20"/>
                <w:szCs w:val="20"/>
                <w:lang w:eastAsia="en-AU"/>
              </w:rPr>
              <w:t>patient  is</w:t>
            </w:r>
            <w:proofErr w:type="gramEnd"/>
            <w:r w:rsidRPr="00C86E49">
              <w:rPr>
                <w:rFonts w:ascii="Arial Narrow" w:eastAsia="Arial Narrow" w:hAnsi="Arial Narrow" w:cs="Arial Narrow"/>
                <w:sz w:val="20"/>
                <w:szCs w:val="20"/>
                <w:lang w:eastAsia="en-AU"/>
              </w:rPr>
              <w:t xml:space="preserve"> on VA-ECMO and requires unloading of the left ventricle</w:t>
            </w:r>
            <w:r w:rsidR="720B13F2" w:rsidRPr="00C86E49">
              <w:rPr>
                <w:rFonts w:ascii="Arial Narrow" w:eastAsia="Arial Narrow" w:hAnsi="Arial Narrow" w:cs="Arial Narrow"/>
                <w:sz w:val="20"/>
                <w:szCs w:val="20"/>
                <w:lang w:eastAsia="en-AU"/>
              </w:rPr>
              <w:t>; and</w:t>
            </w:r>
          </w:p>
          <w:p w14:paraId="474F410E" w14:textId="0D086064" w:rsidR="00343CFC" w:rsidRPr="00C86E49" w:rsidRDefault="613726A2" w:rsidP="00FA4CEF">
            <w:pPr>
              <w:pStyle w:val="ListParagraph"/>
              <w:numPr>
                <w:ilvl w:val="1"/>
                <w:numId w:val="22"/>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has deteriorating symptoms of cardiogenic shock (with no evidence of significant anoxic neurological injury)</w:t>
            </w:r>
            <w:r w:rsidR="16690221" w:rsidRPr="00C86E49">
              <w:rPr>
                <w:rFonts w:ascii="Arial Narrow" w:eastAsia="Arial Narrow" w:hAnsi="Arial Narrow" w:cs="Arial Narrow"/>
                <w:sz w:val="20"/>
                <w:szCs w:val="20"/>
                <w:lang w:eastAsia="en-AU"/>
              </w:rPr>
              <w:t>;</w:t>
            </w:r>
            <w:r w:rsidR="1B19A7A5" w:rsidRPr="00C86E49">
              <w:rPr>
                <w:rFonts w:ascii="Arial Narrow" w:eastAsia="Arial Narrow" w:hAnsi="Arial Narrow" w:cs="Arial Narrow"/>
                <w:sz w:val="20"/>
                <w:szCs w:val="20"/>
                <w:lang w:eastAsia="en-AU"/>
              </w:rPr>
              <w:t xml:space="preserve"> </w:t>
            </w:r>
            <w:r w:rsidR="16690221" w:rsidRPr="00C86E49">
              <w:rPr>
                <w:rFonts w:ascii="Arial Narrow" w:eastAsia="Arial Narrow" w:hAnsi="Arial Narrow" w:cs="Arial Narrow"/>
                <w:sz w:val="20"/>
                <w:szCs w:val="20"/>
                <w:lang w:eastAsia="en-AU"/>
              </w:rPr>
              <w:t>and</w:t>
            </w:r>
          </w:p>
          <w:p w14:paraId="4B5DABF9" w14:textId="7BB3D467" w:rsidR="00343CFC" w:rsidRPr="00C86E49" w:rsidRDefault="16690221" w:rsidP="00FA4CEF">
            <w:pPr>
              <w:pStyle w:val="ListParagraph"/>
              <w:numPr>
                <w:ilvl w:val="1"/>
                <w:numId w:val="22"/>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is</w:t>
            </w:r>
            <w:r w:rsidR="613726A2" w:rsidRPr="00C86E49">
              <w:rPr>
                <w:rFonts w:ascii="Arial Narrow" w:eastAsia="Arial Narrow" w:hAnsi="Arial Narrow" w:cs="Arial Narrow"/>
                <w:sz w:val="20"/>
                <w:szCs w:val="20"/>
                <w:lang w:eastAsia="en-AU"/>
              </w:rPr>
              <w:t xml:space="preserve"> not controlled by optimal medical </w:t>
            </w:r>
            <w:proofErr w:type="gramStart"/>
            <w:r w:rsidR="613726A2" w:rsidRPr="00C86E49">
              <w:rPr>
                <w:rFonts w:ascii="Arial Narrow" w:eastAsia="Arial Narrow" w:hAnsi="Arial Narrow" w:cs="Arial Narrow"/>
                <w:sz w:val="20"/>
                <w:szCs w:val="20"/>
                <w:lang w:eastAsia="en-AU"/>
              </w:rPr>
              <w:t>therapy</w:t>
            </w:r>
            <w:proofErr w:type="gramEnd"/>
          </w:p>
          <w:p w14:paraId="64A360F4" w14:textId="2994E06D" w:rsidR="00E6768F" w:rsidRPr="00C86E49" w:rsidRDefault="00343CFC" w:rsidP="00CE27F9">
            <w:pPr>
              <w:textAlignment w:val="baseline"/>
              <w:rPr>
                <w:rFonts w:ascii="Arial Narrow" w:hAnsi="Arial Narrow"/>
                <w:sz w:val="20"/>
                <w:szCs w:val="20"/>
                <w:lang w:val="en-US" w:eastAsia="ja-JP"/>
              </w:rPr>
            </w:pPr>
            <w:r w:rsidRPr="00C86E49">
              <w:rPr>
                <w:rFonts w:ascii="Arial Narrow" w:hAnsi="Arial Narrow"/>
                <w:sz w:val="20"/>
                <w:szCs w:val="20"/>
                <w:lang w:eastAsia="en-AU"/>
              </w:rPr>
              <w:t xml:space="preserve">including all associated </w:t>
            </w:r>
            <w:r w:rsidR="2169A4E0" w:rsidRPr="00C86E49">
              <w:rPr>
                <w:rFonts w:ascii="Arial Narrow" w:hAnsi="Arial Narrow"/>
                <w:sz w:val="20"/>
                <w:szCs w:val="20"/>
                <w:lang w:eastAsia="en-AU"/>
              </w:rPr>
              <w:t xml:space="preserve">intraoperative </w:t>
            </w:r>
            <w:r w:rsidRPr="00C86E49">
              <w:rPr>
                <w:rFonts w:ascii="Arial Narrow" w:hAnsi="Arial Narrow"/>
                <w:sz w:val="20"/>
                <w:szCs w:val="20"/>
                <w:lang w:eastAsia="en-AU"/>
              </w:rPr>
              <w:t>imaging</w:t>
            </w:r>
          </w:p>
          <w:p w14:paraId="02BF413B" w14:textId="77777777" w:rsidR="006A23F3" w:rsidRPr="00C86E49" w:rsidRDefault="006A23F3">
            <w:pPr>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Fee: $693.65</w:t>
            </w:r>
          </w:p>
        </w:tc>
      </w:tr>
      <w:tr w:rsidR="006A23F3" w:rsidRPr="00C86E49" w14:paraId="5EB7D29E"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40A9D" w14:textId="77777777" w:rsidR="006A23F3" w:rsidRPr="00C86E49" w:rsidRDefault="006A23F3">
            <w:pPr>
              <w:pStyle w:val="TableText"/>
              <w:rPr>
                <w:b/>
                <w:bCs/>
                <w:szCs w:val="20"/>
              </w:rPr>
            </w:pPr>
            <w:r w:rsidRPr="00C86E49">
              <w:rPr>
                <w:b/>
                <w:bCs/>
                <w:szCs w:val="20"/>
              </w:rPr>
              <w:t>Surgical insertion</w:t>
            </w:r>
          </w:p>
        </w:tc>
      </w:tr>
      <w:tr w:rsidR="006A23F3" w:rsidRPr="00C86E49" w14:paraId="052E4737"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7F055" w14:textId="77777777" w:rsidR="006A23F3" w:rsidRPr="00C86E49" w:rsidRDefault="006A23F3">
            <w:pPr>
              <w:keepNext/>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MBS item *XXXX</w:t>
            </w:r>
          </w:p>
          <w:p w14:paraId="2A6BD8A1" w14:textId="41A1556F" w:rsidR="006A23F3" w:rsidRPr="00C86E49" w:rsidRDefault="006A23F3">
            <w:pPr>
              <w:pStyle w:val="TableText"/>
              <w:rPr>
                <w:szCs w:val="20"/>
                <w:lang w:val="en-US" w:eastAsia="ja-JP"/>
              </w:rPr>
            </w:pPr>
            <w:r w:rsidRPr="00C86E49">
              <w:rPr>
                <w:szCs w:val="20"/>
                <w:lang w:val="en-US" w:eastAsia="ja-JP"/>
              </w:rPr>
              <w:t>Surgical insertion of a left-sided intravascular microaxial ventricular assist device by arteriotomy</w:t>
            </w:r>
            <w:r w:rsidR="005F6DA6" w:rsidRPr="00C86E49">
              <w:rPr>
                <w:szCs w:val="20"/>
                <w:lang w:val="en-US" w:eastAsia="ja-JP"/>
              </w:rPr>
              <w:t>: if</w:t>
            </w:r>
            <w:r w:rsidRPr="00C86E49">
              <w:rPr>
                <w:szCs w:val="20"/>
                <w:lang w:val="en-US" w:eastAsia="ja-JP"/>
              </w:rPr>
              <w:t xml:space="preserve"> </w:t>
            </w:r>
          </w:p>
          <w:p w14:paraId="164C6E54" w14:textId="32A93B36" w:rsidR="008B1FBC" w:rsidRPr="00C86E49" w:rsidRDefault="07CA1D42" w:rsidP="00FA4CEF">
            <w:pPr>
              <w:pStyle w:val="ListParagraph"/>
              <w:numPr>
                <w:ilvl w:val="0"/>
                <w:numId w:val="20"/>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the patient has deteriorating symptoms of cardiogenic shock (with no evidence of significant anoxic neurological injury), which are not controlled by optimal medical therapy; or</w:t>
            </w:r>
          </w:p>
          <w:p w14:paraId="2346F020" w14:textId="283AFEDC" w:rsidR="008B1FBC" w:rsidRPr="00C86E49" w:rsidRDefault="07CA1D42" w:rsidP="00FA4CEF">
            <w:pPr>
              <w:pStyle w:val="ListParagraph"/>
              <w:numPr>
                <w:ilvl w:val="0"/>
                <w:numId w:val="20"/>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 xml:space="preserve">the </w:t>
            </w:r>
            <w:proofErr w:type="gramStart"/>
            <w:r w:rsidRPr="00C86E49">
              <w:rPr>
                <w:rFonts w:ascii="Arial Narrow" w:eastAsia="Arial Narrow" w:hAnsi="Arial Narrow" w:cs="Arial Narrow"/>
                <w:sz w:val="20"/>
                <w:szCs w:val="20"/>
                <w:lang w:eastAsia="en-AU"/>
              </w:rPr>
              <w:t>patient  is</w:t>
            </w:r>
            <w:proofErr w:type="gramEnd"/>
            <w:r w:rsidRPr="00C86E49">
              <w:rPr>
                <w:rFonts w:ascii="Arial Narrow" w:eastAsia="Arial Narrow" w:hAnsi="Arial Narrow" w:cs="Arial Narrow"/>
                <w:sz w:val="20"/>
                <w:szCs w:val="20"/>
                <w:lang w:eastAsia="en-AU"/>
              </w:rPr>
              <w:t xml:space="preserve"> on VA-ECMO and requires unloading of the left ventricle; and</w:t>
            </w:r>
          </w:p>
          <w:p w14:paraId="13D5DC1E" w14:textId="668FBDA5" w:rsidR="008B1FBC" w:rsidRPr="00C86E49" w:rsidRDefault="07CA1D42" w:rsidP="00FA4CEF">
            <w:pPr>
              <w:pStyle w:val="ListParagraph"/>
              <w:numPr>
                <w:ilvl w:val="1"/>
                <w:numId w:val="21"/>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has deteriorating symptoms of cardiogenic shock (with no evidence of significant anoxic neurological injury); an</w:t>
            </w:r>
            <w:r w:rsidR="0FC3A7CB" w:rsidRPr="00C86E49">
              <w:rPr>
                <w:rFonts w:ascii="Arial Narrow" w:eastAsia="Arial Narrow" w:hAnsi="Arial Narrow" w:cs="Arial Narrow"/>
                <w:sz w:val="20"/>
                <w:szCs w:val="20"/>
                <w:lang w:eastAsia="en-AU"/>
              </w:rPr>
              <w:t>d</w:t>
            </w:r>
          </w:p>
          <w:p w14:paraId="7706576A" w14:textId="30351D09" w:rsidR="008B1FBC" w:rsidRPr="00C86E49" w:rsidRDefault="07CA1D42" w:rsidP="00FA4CEF">
            <w:pPr>
              <w:pStyle w:val="ListParagraph"/>
              <w:numPr>
                <w:ilvl w:val="1"/>
                <w:numId w:val="21"/>
              </w:numPr>
              <w:spacing w:before="0" w:after="0" w:line="240" w:lineRule="auto"/>
              <w:textAlignment w:val="baseline"/>
              <w:rPr>
                <w:rFonts w:ascii="Arial Narrow" w:eastAsia="Arial Narrow" w:hAnsi="Arial Narrow" w:cs="Arial Narrow"/>
                <w:sz w:val="20"/>
                <w:szCs w:val="20"/>
                <w:lang w:eastAsia="en-AU"/>
              </w:rPr>
            </w:pPr>
            <w:r w:rsidRPr="00C86E49">
              <w:rPr>
                <w:rFonts w:ascii="Arial Narrow" w:eastAsia="Arial Narrow" w:hAnsi="Arial Narrow" w:cs="Arial Narrow"/>
                <w:sz w:val="20"/>
                <w:szCs w:val="20"/>
                <w:lang w:eastAsia="en-AU"/>
              </w:rPr>
              <w:t xml:space="preserve">is not controlled by optimal medical </w:t>
            </w:r>
            <w:proofErr w:type="gramStart"/>
            <w:r w:rsidRPr="00C86E49">
              <w:rPr>
                <w:rFonts w:ascii="Arial Narrow" w:eastAsia="Arial Narrow" w:hAnsi="Arial Narrow" w:cs="Arial Narrow"/>
                <w:sz w:val="20"/>
                <w:szCs w:val="20"/>
                <w:lang w:eastAsia="en-AU"/>
              </w:rPr>
              <w:t>therapy</w:t>
            </w:r>
            <w:proofErr w:type="gramEnd"/>
          </w:p>
          <w:p w14:paraId="2B198562" w14:textId="0566463A" w:rsidR="008B1FBC" w:rsidRPr="00C86E49" w:rsidRDefault="008B1FBC" w:rsidP="008B1FBC">
            <w:pPr>
              <w:textAlignment w:val="baseline"/>
              <w:rPr>
                <w:rFonts w:ascii="Arial Narrow" w:hAnsi="Arial Narrow"/>
                <w:sz w:val="20"/>
                <w:szCs w:val="20"/>
                <w:lang w:eastAsia="en-AU"/>
              </w:rPr>
            </w:pPr>
            <w:r w:rsidRPr="00C86E49">
              <w:rPr>
                <w:rFonts w:ascii="Arial Narrow" w:hAnsi="Arial Narrow"/>
                <w:sz w:val="20"/>
                <w:szCs w:val="20"/>
                <w:lang w:eastAsia="en-AU"/>
              </w:rPr>
              <w:t xml:space="preserve">including all associated </w:t>
            </w:r>
            <w:r w:rsidR="433EB938" w:rsidRPr="00C86E49">
              <w:rPr>
                <w:rFonts w:ascii="Arial Narrow" w:hAnsi="Arial Narrow"/>
                <w:sz w:val="20"/>
                <w:szCs w:val="20"/>
                <w:lang w:eastAsia="en-AU"/>
              </w:rPr>
              <w:t>intraoperative</w:t>
            </w:r>
            <w:r w:rsidRPr="00C86E49">
              <w:rPr>
                <w:rFonts w:ascii="Arial Narrow" w:hAnsi="Arial Narrow"/>
                <w:sz w:val="20"/>
                <w:szCs w:val="20"/>
                <w:lang w:eastAsia="en-AU"/>
              </w:rPr>
              <w:t xml:space="preserve"> imaging</w:t>
            </w:r>
          </w:p>
          <w:p w14:paraId="70A26BD8" w14:textId="0098C50C" w:rsidR="005F6DA6" w:rsidRPr="00C86E49" w:rsidRDefault="00EE4CE6">
            <w:pPr>
              <w:pStyle w:val="TableText"/>
              <w:rPr>
                <w:szCs w:val="20"/>
                <w:lang w:val="en-US" w:eastAsia="ja-JP"/>
              </w:rPr>
            </w:pPr>
            <w:r w:rsidRPr="00C86E49">
              <w:rPr>
                <w:szCs w:val="20"/>
                <w:lang w:val="en-US" w:eastAsia="ja-JP"/>
              </w:rPr>
              <w:t>(</w:t>
            </w:r>
            <w:r w:rsidR="00360871" w:rsidRPr="00C86E49">
              <w:rPr>
                <w:szCs w:val="20"/>
                <w:lang w:val="en-US" w:eastAsia="ja-JP"/>
              </w:rPr>
              <w:t>A</w:t>
            </w:r>
            <w:r w:rsidRPr="00C86E49">
              <w:rPr>
                <w:szCs w:val="20"/>
                <w:lang w:val="en-US" w:eastAsia="ja-JP"/>
              </w:rPr>
              <w:t>naes</w:t>
            </w:r>
            <w:r w:rsidR="00360871" w:rsidRPr="00C86E49">
              <w:rPr>
                <w:szCs w:val="20"/>
                <w:lang w:val="en-US" w:eastAsia="ja-JP"/>
              </w:rPr>
              <w:t>.</w:t>
            </w:r>
            <w:r w:rsidRPr="00C86E49">
              <w:rPr>
                <w:szCs w:val="20"/>
                <w:lang w:val="en-US" w:eastAsia="ja-JP"/>
              </w:rPr>
              <w:t>) (</w:t>
            </w:r>
            <w:r w:rsidR="00360871" w:rsidRPr="00C86E49">
              <w:rPr>
                <w:szCs w:val="20"/>
                <w:lang w:val="en-US" w:eastAsia="ja-JP"/>
              </w:rPr>
              <w:t>A</w:t>
            </w:r>
            <w:r w:rsidRPr="00C86E49">
              <w:rPr>
                <w:szCs w:val="20"/>
                <w:lang w:val="en-US" w:eastAsia="ja-JP"/>
              </w:rPr>
              <w:t>ssist</w:t>
            </w:r>
            <w:r w:rsidR="00360871" w:rsidRPr="00C86E49">
              <w:rPr>
                <w:szCs w:val="20"/>
                <w:lang w:val="en-US" w:eastAsia="ja-JP"/>
              </w:rPr>
              <w:t>.</w:t>
            </w:r>
            <w:r w:rsidRPr="00C86E49">
              <w:rPr>
                <w:szCs w:val="20"/>
                <w:lang w:val="en-US" w:eastAsia="ja-JP"/>
              </w:rPr>
              <w:t>)</w:t>
            </w:r>
          </w:p>
          <w:p w14:paraId="0662539C" w14:textId="77777777" w:rsidR="006A23F3" w:rsidRPr="00C86E49" w:rsidRDefault="006A23F3">
            <w:pPr>
              <w:spacing w:after="120" w:line="240" w:lineRule="auto"/>
              <w:rPr>
                <w:szCs w:val="20"/>
              </w:rPr>
            </w:pPr>
            <w:r w:rsidRPr="00C86E49">
              <w:rPr>
                <w:rFonts w:ascii="Arial Narrow" w:hAnsi="Arial Narrow"/>
                <w:sz w:val="20"/>
                <w:szCs w:val="20"/>
                <w:lang w:val="en-US" w:eastAsia="ja-JP"/>
              </w:rPr>
              <w:t>Fee: $1,040.50</w:t>
            </w:r>
            <w:r w:rsidRPr="00C86E49">
              <w:rPr>
                <w:rFonts w:ascii="Arial Narrow" w:hAnsi="Arial Narrow"/>
                <w:sz w:val="20"/>
                <w:szCs w:val="20"/>
                <w:vertAlign w:val="superscript"/>
                <w:lang w:val="en-US" w:eastAsia="ja-JP"/>
              </w:rPr>
              <w:t>a</w:t>
            </w:r>
          </w:p>
        </w:tc>
      </w:tr>
      <w:tr w:rsidR="006A23F3" w:rsidRPr="00C86E49" w14:paraId="426EA41B"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EBDA7" w14:textId="77777777" w:rsidR="006A23F3" w:rsidRPr="00C86E49" w:rsidRDefault="006A23F3">
            <w:pPr>
              <w:pStyle w:val="TableText"/>
              <w:rPr>
                <w:b/>
                <w:bCs/>
                <w:szCs w:val="20"/>
              </w:rPr>
            </w:pPr>
            <w:r w:rsidRPr="00C86E49">
              <w:rPr>
                <w:b/>
                <w:bCs/>
                <w:szCs w:val="20"/>
              </w:rPr>
              <w:t>Surgical removal</w:t>
            </w:r>
          </w:p>
        </w:tc>
      </w:tr>
      <w:tr w:rsidR="006A23F3" w:rsidRPr="00C86E49" w14:paraId="283087D3"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A83FD" w14:textId="77777777" w:rsidR="006A23F3" w:rsidRPr="00C86E49" w:rsidRDefault="006A23F3" w:rsidP="00F66F0C">
            <w:pPr>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MBS item *XXXX</w:t>
            </w:r>
          </w:p>
          <w:p w14:paraId="27C65522" w14:textId="77777777" w:rsidR="006A23F3" w:rsidRPr="00C86E49" w:rsidRDefault="006A23F3">
            <w:pPr>
              <w:pStyle w:val="TableText"/>
              <w:rPr>
                <w:szCs w:val="20"/>
                <w:lang w:val="en-US" w:eastAsia="ja-JP"/>
              </w:rPr>
            </w:pPr>
            <w:r w:rsidRPr="00C86E49">
              <w:rPr>
                <w:szCs w:val="20"/>
                <w:lang w:val="en-US" w:eastAsia="ja-JP"/>
              </w:rPr>
              <w:t>Surgical removal of a left--sided intravascular microaxial ventricular assist device</w:t>
            </w:r>
          </w:p>
          <w:p w14:paraId="7EBCB31E" w14:textId="00B9134A" w:rsidR="006A23F3" w:rsidRPr="00C86E49" w:rsidRDefault="006A23F3" w:rsidP="7D4A7EC9">
            <w:pPr>
              <w:spacing w:after="120" w:line="240" w:lineRule="auto"/>
              <w:rPr>
                <w:rFonts w:ascii="Arial Narrow" w:hAnsi="Arial Narrow"/>
                <w:sz w:val="20"/>
                <w:szCs w:val="20"/>
                <w:vertAlign w:val="superscript"/>
                <w:lang w:val="en-US" w:eastAsia="ja-JP"/>
              </w:rPr>
            </w:pPr>
            <w:r w:rsidRPr="00C86E49">
              <w:rPr>
                <w:rFonts w:ascii="Arial Narrow" w:hAnsi="Arial Narrow"/>
                <w:sz w:val="20"/>
                <w:szCs w:val="20"/>
                <w:lang w:val="en-US" w:eastAsia="ja-JP"/>
              </w:rPr>
              <w:t>Fee: $624.30</w:t>
            </w:r>
            <w:r w:rsidRPr="00C86E49">
              <w:rPr>
                <w:rFonts w:ascii="Arial Narrow" w:hAnsi="Arial Narrow"/>
                <w:sz w:val="20"/>
                <w:szCs w:val="20"/>
                <w:vertAlign w:val="superscript"/>
                <w:lang w:val="en-US" w:eastAsia="ja-JP"/>
              </w:rPr>
              <w:t>a</w:t>
            </w:r>
          </w:p>
        </w:tc>
      </w:tr>
      <w:tr w:rsidR="006A23F3" w:rsidRPr="00C86E49" w14:paraId="2EAE4C84"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7824A" w14:textId="77777777" w:rsidR="006A23F3" w:rsidRPr="00C86E49" w:rsidRDefault="006A23F3" w:rsidP="007378DF">
            <w:pPr>
              <w:pStyle w:val="TableText"/>
              <w:rPr>
                <w:b/>
                <w:bCs/>
                <w:szCs w:val="20"/>
              </w:rPr>
            </w:pPr>
            <w:r w:rsidRPr="00C86E49">
              <w:rPr>
                <w:b/>
                <w:bCs/>
                <w:szCs w:val="20"/>
              </w:rPr>
              <w:t>Management of the first day</w:t>
            </w:r>
          </w:p>
        </w:tc>
      </w:tr>
      <w:tr w:rsidR="006A23F3" w:rsidRPr="00C86E49" w14:paraId="08B10A27"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A328D" w14:textId="77777777" w:rsidR="006A23F3" w:rsidRPr="00C86E49" w:rsidRDefault="006A23F3" w:rsidP="007378DF">
            <w:pPr>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MBS item *XXXX</w:t>
            </w:r>
          </w:p>
          <w:p w14:paraId="553239D1" w14:textId="77777777" w:rsidR="006A23F3" w:rsidRPr="00C86E49" w:rsidRDefault="006A23F3" w:rsidP="007378DF">
            <w:pPr>
              <w:pStyle w:val="TableText"/>
              <w:rPr>
                <w:szCs w:val="20"/>
                <w:lang w:val="en-US" w:eastAsia="ja-JP"/>
              </w:rPr>
            </w:pPr>
            <w:r w:rsidRPr="00C86E49">
              <w:rPr>
                <w:szCs w:val="20"/>
                <w:lang w:val="en-US" w:eastAsia="ja-JP"/>
              </w:rPr>
              <w:t>Management of the device - first day, including management and monitoring of parameters of the controller for a left-sided intravascular microaxial ventricular assist device</w:t>
            </w:r>
          </w:p>
          <w:p w14:paraId="02E0E4AA" w14:textId="77777777" w:rsidR="006A23F3" w:rsidRPr="00C86E49" w:rsidRDefault="006A23F3" w:rsidP="007378DF">
            <w:pPr>
              <w:spacing w:after="120" w:line="240" w:lineRule="auto"/>
              <w:rPr>
                <w:szCs w:val="20"/>
              </w:rPr>
            </w:pPr>
            <w:r w:rsidRPr="00C86E49">
              <w:rPr>
                <w:rFonts w:ascii="Arial Narrow" w:hAnsi="Arial Narrow"/>
                <w:sz w:val="20"/>
                <w:szCs w:val="20"/>
                <w:lang w:val="en-US" w:eastAsia="ja-JP"/>
              </w:rPr>
              <w:t>Fee: $540.65</w:t>
            </w:r>
          </w:p>
        </w:tc>
      </w:tr>
      <w:tr w:rsidR="006A23F3" w:rsidRPr="00C86E49" w14:paraId="313720F8"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F3D16" w14:textId="77777777" w:rsidR="006A23F3" w:rsidRPr="00C86E49" w:rsidRDefault="006A23F3" w:rsidP="007378DF">
            <w:pPr>
              <w:pStyle w:val="TableText"/>
              <w:keepNext/>
              <w:rPr>
                <w:b/>
                <w:bCs/>
                <w:szCs w:val="20"/>
              </w:rPr>
            </w:pPr>
            <w:r w:rsidRPr="00C86E49">
              <w:rPr>
                <w:b/>
                <w:bCs/>
                <w:szCs w:val="20"/>
              </w:rPr>
              <w:t>Management of the subsequent days</w:t>
            </w:r>
          </w:p>
        </w:tc>
      </w:tr>
      <w:tr w:rsidR="006A23F3" w:rsidRPr="00C86E49" w14:paraId="20C53216" w14:textId="77777777" w:rsidTr="7D4A7EC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88637" w14:textId="77777777" w:rsidR="006A23F3" w:rsidRPr="00C86E49" w:rsidRDefault="006A23F3">
            <w:pPr>
              <w:spacing w:after="120" w:line="240" w:lineRule="auto"/>
              <w:rPr>
                <w:rFonts w:ascii="Arial Narrow" w:hAnsi="Arial Narrow"/>
                <w:sz w:val="20"/>
                <w:szCs w:val="20"/>
                <w:lang w:val="en-US" w:eastAsia="ja-JP"/>
              </w:rPr>
            </w:pPr>
            <w:r w:rsidRPr="00C86E49">
              <w:rPr>
                <w:rFonts w:ascii="Arial Narrow" w:hAnsi="Arial Narrow"/>
                <w:sz w:val="20"/>
                <w:szCs w:val="20"/>
                <w:lang w:val="en-US" w:eastAsia="ja-JP"/>
              </w:rPr>
              <w:t>MBS item *XXXX</w:t>
            </w:r>
          </w:p>
          <w:p w14:paraId="1B41C0CD" w14:textId="77777777" w:rsidR="006A23F3" w:rsidRPr="00C86E49" w:rsidRDefault="006A23F3">
            <w:pPr>
              <w:pStyle w:val="TableText"/>
              <w:rPr>
                <w:szCs w:val="20"/>
                <w:lang w:val="en-US" w:eastAsia="ja-JP"/>
              </w:rPr>
            </w:pPr>
            <w:r w:rsidRPr="00C86E49">
              <w:rPr>
                <w:szCs w:val="20"/>
                <w:lang w:val="en-US" w:eastAsia="ja-JP"/>
              </w:rPr>
              <w:t>Management of the device - each day after the first day, including management and monitoring of parameters of the controller for a left-sided intravascular microaxial ventricular assist device</w:t>
            </w:r>
          </w:p>
          <w:p w14:paraId="448E43A0" w14:textId="77777777" w:rsidR="006A23F3" w:rsidRPr="00C86E49" w:rsidRDefault="006A23F3">
            <w:pPr>
              <w:spacing w:after="120" w:line="240" w:lineRule="auto"/>
              <w:rPr>
                <w:szCs w:val="20"/>
              </w:rPr>
            </w:pPr>
            <w:r w:rsidRPr="00C86E49">
              <w:rPr>
                <w:rFonts w:ascii="Arial Narrow" w:hAnsi="Arial Narrow"/>
                <w:sz w:val="20"/>
                <w:szCs w:val="20"/>
                <w:lang w:val="en-US" w:eastAsia="ja-JP"/>
              </w:rPr>
              <w:lastRenderedPageBreak/>
              <w:t>Fee: $125.75</w:t>
            </w:r>
          </w:p>
        </w:tc>
      </w:tr>
    </w:tbl>
    <w:p w14:paraId="481F2B1E" w14:textId="77777777" w:rsidR="006A23F3" w:rsidRPr="00C86E49" w:rsidRDefault="006A23F3" w:rsidP="006A23F3">
      <w:pPr>
        <w:pStyle w:val="TableFigureFooter"/>
      </w:pPr>
      <w:r w:rsidRPr="00C86E49">
        <w:rPr>
          <w:vertAlign w:val="superscript"/>
        </w:rPr>
        <w:lastRenderedPageBreak/>
        <w:t>a</w:t>
      </w:r>
      <w:r w:rsidRPr="00C86E49">
        <w:t xml:space="preserve"> Refers to fee proposed in Table 15 of MSAC 1523.1 ADAR.</w:t>
      </w:r>
    </w:p>
    <w:p w14:paraId="6EC5EF6B" w14:textId="1885DBDB" w:rsidR="006A23F3" w:rsidRPr="00C86E49" w:rsidRDefault="006A23F3" w:rsidP="006A23F3">
      <w:pPr>
        <w:pStyle w:val="TableFigureFooter"/>
      </w:pPr>
      <w:r w:rsidRPr="00C86E49">
        <w:t>Source: Table 10, Table 11, Table 12, Table 13, Table 14 of MSAC 1523.1 ADAR+in-line commentary</w:t>
      </w:r>
      <w:r w:rsidR="004A22DD" w:rsidRPr="00C86E49">
        <w:t xml:space="preserve"> with edits to align with ESC advice</w:t>
      </w:r>
      <w:r w:rsidRPr="00C86E49">
        <w:t>.</w:t>
      </w:r>
    </w:p>
    <w:p w14:paraId="4671D095" w14:textId="6958D98E" w:rsidR="0035188B" w:rsidRPr="00C86E49" w:rsidRDefault="0000330C" w:rsidP="00D61D0E">
      <w:pPr>
        <w:keepNext/>
        <w:keepLines/>
      </w:pPr>
      <w:r w:rsidRPr="00C86E49">
        <w:t xml:space="preserve">The </w:t>
      </w:r>
      <w:r w:rsidR="00345139" w:rsidRPr="00C86E49">
        <w:t>commentary note</w:t>
      </w:r>
      <w:r w:rsidR="00304491" w:rsidRPr="00C86E49">
        <w:t>d</w:t>
      </w:r>
      <w:r w:rsidR="00345139" w:rsidRPr="00C86E49">
        <w:t xml:space="preserve"> </w:t>
      </w:r>
      <w:r w:rsidR="000F3AC9" w:rsidRPr="00C86E49">
        <w:t>the following</w:t>
      </w:r>
      <w:r w:rsidR="0035188B" w:rsidRPr="00C86E49">
        <w:t>:</w:t>
      </w:r>
    </w:p>
    <w:p w14:paraId="23F5FE83" w14:textId="1925A018" w:rsidR="00077971" w:rsidRPr="00C86E49" w:rsidRDefault="003B45EF" w:rsidP="00D61D0E">
      <w:pPr>
        <w:pStyle w:val="ListParagraph"/>
        <w:keepNext/>
        <w:keepLines/>
        <w:numPr>
          <w:ilvl w:val="0"/>
          <w:numId w:val="11"/>
        </w:numPr>
      </w:pPr>
      <w:r w:rsidRPr="00C86E49">
        <w:t xml:space="preserve">MSAC may wish to consider whether an explanatory note </w:t>
      </w:r>
      <w:r w:rsidR="004E2298" w:rsidRPr="00C86E49">
        <w:t xml:space="preserve">or alternative policy advice </w:t>
      </w:r>
      <w:r w:rsidRPr="00C86E49">
        <w:t xml:space="preserve">is required to restrict the provision of the service (1) to providers who have undertaken competency training and certification (provided by Abiomed), and (2) to centres equipped with VA-ECMO </w:t>
      </w:r>
      <w:r w:rsidR="0050557D" w:rsidRPr="00C86E49">
        <w:t>that</w:t>
      </w:r>
      <w:r w:rsidRPr="00C86E49">
        <w:t xml:space="preserve"> have the appropriate facilities and expertise to provide the service and manage patients in CS. In 2021 there were at least 26 sites in Australia that performed ECMO (5% private)</w:t>
      </w:r>
      <w:r w:rsidRPr="00C86E49">
        <w:rPr>
          <w:rStyle w:val="FootnoteReference"/>
        </w:rPr>
        <w:footnoteReference w:id="6"/>
      </w:r>
      <w:r w:rsidRPr="00C86E49">
        <w:t>.</w:t>
      </w:r>
    </w:p>
    <w:p w14:paraId="0E7BBD77" w14:textId="18DA4E98" w:rsidR="003B45EF" w:rsidRPr="00C86E49" w:rsidRDefault="001D1810" w:rsidP="00FA4CEF">
      <w:pPr>
        <w:pStyle w:val="ListParagraph"/>
        <w:numPr>
          <w:ilvl w:val="0"/>
          <w:numId w:val="11"/>
        </w:numPr>
      </w:pPr>
      <w:r w:rsidRPr="00C86E49">
        <w:t xml:space="preserve">The </w:t>
      </w:r>
      <w:r w:rsidR="003B7516" w:rsidRPr="00C86E49">
        <w:t xml:space="preserve">ADAR does not propose that IMVAD will replace VA-ECMO in the setting of transfer to </w:t>
      </w:r>
      <w:r w:rsidR="006C3D64" w:rsidRPr="00C86E49">
        <w:t>a</w:t>
      </w:r>
      <w:r w:rsidR="003B7516" w:rsidRPr="00C86E49">
        <w:t xml:space="preserve"> VA-ECMO centre</w:t>
      </w:r>
      <w:r w:rsidR="00D31B1C" w:rsidRPr="00C86E49">
        <w:t xml:space="preserve">. However, the </w:t>
      </w:r>
      <w:r w:rsidR="004E59F9" w:rsidRPr="00C86E49">
        <w:t>Automated Impella Controller</w:t>
      </w:r>
      <w:r w:rsidR="00D31B1C" w:rsidRPr="00C86E49">
        <w:t xml:space="preserve"> is portable </w:t>
      </w:r>
      <w:proofErr w:type="gramStart"/>
      <w:r w:rsidR="00D31B1C" w:rsidRPr="00C86E49">
        <w:t>and in the U.S.,</w:t>
      </w:r>
      <w:proofErr w:type="gramEnd"/>
      <w:r w:rsidR="00D31B1C" w:rsidRPr="00C86E49">
        <w:t xml:space="preserve"> </w:t>
      </w:r>
      <w:r w:rsidR="00456FEB" w:rsidRPr="00C86E49">
        <w:t xml:space="preserve">IMPELLA </w:t>
      </w:r>
      <w:r w:rsidR="00D31B1C" w:rsidRPr="00C86E49">
        <w:t>has been qualified for use for patient transport by trained healthcare professionals within healthcare facilities and during medical transport between hospitals (i.e</w:t>
      </w:r>
      <w:r w:rsidR="00264495" w:rsidRPr="00C86E49">
        <w:t>.</w:t>
      </w:r>
      <w:r w:rsidR="00D31B1C" w:rsidRPr="00C86E49">
        <w:t xml:space="preserve"> ambulance, helicopter or fixed-wing aircraft).</w:t>
      </w:r>
    </w:p>
    <w:p w14:paraId="6F962CCF" w14:textId="727A1556" w:rsidR="00D47C27" w:rsidRPr="00C86E49" w:rsidRDefault="0000330C" w:rsidP="00FA4CEF">
      <w:pPr>
        <w:pStyle w:val="ListParagraph"/>
        <w:numPr>
          <w:ilvl w:val="0"/>
          <w:numId w:val="11"/>
        </w:numPr>
      </w:pPr>
      <w:r w:rsidRPr="00C86E49">
        <w:t xml:space="preserve">The population described in the proposed item descriptors is consistent with the PICO summarised in </w:t>
      </w:r>
      <w:r w:rsidR="00D2287D" w:rsidRPr="00C86E49">
        <w:t>t</w:t>
      </w:r>
      <w:r w:rsidR="00B61EBE" w:rsidRPr="00C86E49">
        <w:t xml:space="preserve">he ADAR </w:t>
      </w:r>
      <w:r w:rsidRPr="00C86E49">
        <w:t>but is broader than the intended population in the proposed clinical management algorithm. The algorithm propose</w:t>
      </w:r>
      <w:r w:rsidR="007A0343" w:rsidRPr="00C86E49">
        <w:t>d</w:t>
      </w:r>
      <w:r w:rsidRPr="00C86E49">
        <w:t xml:space="preserve"> that IMVAD should be considered for patients with CS (1) as an add-on to pharmacotherapy in patients with isolated left (or predominantly left) ventricular failure and deteriorating shock (</w:t>
      </w:r>
      <w:proofErr w:type="gramStart"/>
      <w:r w:rsidRPr="00C86E49">
        <w:t>i.e.</w:t>
      </w:r>
      <w:proofErr w:type="gramEnd"/>
      <w:r w:rsidRPr="00C86E49">
        <w:t xml:space="preserve"> when end-organ function is not stabilised despite initial pharmacotherapy); and (2) as an add-on in patients who are on VA-ECMO and require LV unloading.</w:t>
      </w:r>
    </w:p>
    <w:p w14:paraId="6F2658A5" w14:textId="74688EA0" w:rsidR="0026596A" w:rsidRPr="00C86E49" w:rsidRDefault="0026596A" w:rsidP="00FA4CEF">
      <w:pPr>
        <w:pStyle w:val="ListParagraph"/>
        <w:numPr>
          <w:ilvl w:val="0"/>
          <w:numId w:val="11"/>
        </w:numPr>
      </w:pPr>
      <w:r w:rsidRPr="00C86E49">
        <w:t>The proposed item descriptors do not mention that the decision to initiate a patient with CS on an IMVAD (and selection of IMVAD type) should be determined by a multidisciplinary team (</w:t>
      </w:r>
      <w:r w:rsidR="00776EA0" w:rsidRPr="00C86E49">
        <w:t xml:space="preserve">MDT), </w:t>
      </w:r>
      <w:r w:rsidRPr="00C86E49">
        <w:t>typically including an interventional cardiologist, cardiothoracic surgeon, heart failure specialist and intensivist.</w:t>
      </w:r>
    </w:p>
    <w:p w14:paraId="134AA427" w14:textId="65E3B730" w:rsidR="003F6730" w:rsidRPr="00C86E49" w:rsidRDefault="003F6730" w:rsidP="00FA4CEF">
      <w:pPr>
        <w:pStyle w:val="ListParagraph"/>
        <w:numPr>
          <w:ilvl w:val="0"/>
          <w:numId w:val="11"/>
        </w:numPr>
      </w:pPr>
      <w:r w:rsidRPr="00C86E49">
        <w:t xml:space="preserve">The proposed item descriptors allow for IMVAD to be used alone or in conjunction with other MCS devices. The descriptors would allow for patients with CS to be initiated on IMVAD </w:t>
      </w:r>
      <w:r w:rsidR="00E64151" w:rsidRPr="00C86E49">
        <w:t xml:space="preserve">before or </w:t>
      </w:r>
      <w:r w:rsidRPr="00C86E49">
        <w:t>at the same time as VA-ECMO (</w:t>
      </w:r>
      <w:proofErr w:type="gramStart"/>
      <w:r w:rsidRPr="00C86E49">
        <w:t>i.e.</w:t>
      </w:r>
      <w:proofErr w:type="gramEnd"/>
      <w:r w:rsidRPr="00C86E49">
        <w:t xml:space="preserve"> pre-emptive). The ADAR’s economic and financial estimates assume 25% of patients on VA-ECMO require LV unloading; for the remaining 75%, ECPELLA would add cost and potentially also harm without benefit.</w:t>
      </w:r>
    </w:p>
    <w:p w14:paraId="7AF12142" w14:textId="084ABA9E" w:rsidR="00655321" w:rsidRPr="00C86E49" w:rsidRDefault="00C70778" w:rsidP="00FA4CEF">
      <w:pPr>
        <w:pStyle w:val="ListParagraph"/>
        <w:numPr>
          <w:ilvl w:val="0"/>
          <w:numId w:val="11"/>
        </w:numPr>
      </w:pPr>
      <w:r w:rsidRPr="00C86E49">
        <w:t>T</w:t>
      </w:r>
      <w:r w:rsidR="0000330C" w:rsidRPr="00C86E49">
        <w:t xml:space="preserve">he </w:t>
      </w:r>
      <w:r w:rsidR="00C8257B" w:rsidRPr="00C86E49">
        <w:t>IMVAD</w:t>
      </w:r>
      <w:r w:rsidR="00215FE8" w:rsidRPr="00C86E49">
        <w:t xml:space="preserve"> </w:t>
      </w:r>
      <w:r w:rsidR="0000330C" w:rsidRPr="00C86E49">
        <w:t xml:space="preserve">insertion approach is </w:t>
      </w:r>
      <w:r w:rsidR="007166B8" w:rsidRPr="00C86E49">
        <w:t xml:space="preserve">dependent on </w:t>
      </w:r>
      <w:r w:rsidR="005E6524" w:rsidRPr="00C86E49">
        <w:t xml:space="preserve">the patient’s vasculature </w:t>
      </w:r>
      <w:r w:rsidR="00E96742" w:rsidRPr="00C86E49">
        <w:t>(assessed using fluoroscopy)</w:t>
      </w:r>
      <w:r w:rsidR="006E7900" w:rsidRPr="00C86E49">
        <w:t xml:space="preserve"> and the IMPELLA </w:t>
      </w:r>
      <w:r w:rsidR="00C8257B" w:rsidRPr="00C86E49">
        <w:t>model</w:t>
      </w:r>
      <w:r w:rsidR="006E7900" w:rsidRPr="00C86E49">
        <w:t xml:space="preserve"> (see </w:t>
      </w:r>
      <w:r w:rsidR="00B027FF" w:rsidRPr="00C86E49">
        <w:fldChar w:fldCharType="begin"/>
      </w:r>
      <w:r w:rsidR="00B027FF" w:rsidRPr="00C86E49">
        <w:instrText xml:space="preserve"> REF _Ref153399728 \h </w:instrText>
      </w:r>
      <w:r w:rsidR="00C86E49">
        <w:instrText xml:space="preserve"> \* MERGEFORMAT </w:instrText>
      </w:r>
      <w:r w:rsidR="00B027FF" w:rsidRPr="00C86E49">
        <w:fldChar w:fldCharType="separate"/>
      </w:r>
      <w:r w:rsidR="00EF3514" w:rsidRPr="00C86E49">
        <w:t xml:space="preserve">Table </w:t>
      </w:r>
      <w:r w:rsidR="00EF3514" w:rsidRPr="00C86E49">
        <w:rPr>
          <w:noProof/>
        </w:rPr>
        <w:t>3</w:t>
      </w:r>
      <w:r w:rsidR="00B027FF" w:rsidRPr="00C86E49">
        <w:fldChar w:fldCharType="end"/>
      </w:r>
      <w:r w:rsidR="00215FE8" w:rsidRPr="00C86E49">
        <w:t>)</w:t>
      </w:r>
      <w:r w:rsidR="0000330C" w:rsidRPr="00C86E49">
        <w:t xml:space="preserve">. The ADAR’s economic and financial estimates assume 94% of IMPELLA procedures are performed </w:t>
      </w:r>
      <w:r w:rsidR="00BD6CEF" w:rsidRPr="00C86E49">
        <w:t>percutaneously</w:t>
      </w:r>
      <w:r w:rsidR="0000330C" w:rsidRPr="00C86E49">
        <w:t xml:space="preserve"> and 6% </w:t>
      </w:r>
      <w:r w:rsidR="00F1350D" w:rsidRPr="00C86E49">
        <w:t>surgically</w:t>
      </w:r>
      <w:r w:rsidR="0000330C" w:rsidRPr="00C86E49">
        <w:t xml:space="preserve"> (using the prevalence of peripheral artery disease [PAD] among patients presenting to hospital in the US with acute MI and CS as a proxy for requiring </w:t>
      </w:r>
      <w:r w:rsidR="00F1350D" w:rsidRPr="00C86E49">
        <w:t>surgical</w:t>
      </w:r>
      <w:r w:rsidR="0000330C" w:rsidRPr="00C86E49">
        <w:t xml:space="preserve"> insertion).</w:t>
      </w:r>
    </w:p>
    <w:p w14:paraId="65A2C2F3" w14:textId="0E871954" w:rsidR="00C23D0D" w:rsidRPr="00C86E49" w:rsidRDefault="0000330C" w:rsidP="00FA4CEF">
      <w:pPr>
        <w:pStyle w:val="ListParagraph"/>
        <w:numPr>
          <w:ilvl w:val="0"/>
          <w:numId w:val="11"/>
        </w:numPr>
      </w:pPr>
      <w:r w:rsidRPr="00C86E49">
        <w:t>The proposed descriptor</w:t>
      </w:r>
      <w:r w:rsidR="00EF781C" w:rsidRPr="00C86E49">
        <w:t>s</w:t>
      </w:r>
      <w:r w:rsidRPr="00C86E49">
        <w:t xml:space="preserve"> do not specify whether fluoroscopy is included in the proposed fee for the IMVAD insertion services. </w:t>
      </w:r>
      <w:r w:rsidR="0067777E" w:rsidRPr="00C86E49">
        <w:t>T</w:t>
      </w:r>
      <w:r w:rsidRPr="00C86E49">
        <w:t>he descriptor for MBS item 13832 (peripheral cannulation for VA-ECMO) includes ‘ultrasound guidance where clinically appropriate’ and explicitly states that ‘no separate ultrasound item is payable with this item’.</w:t>
      </w:r>
    </w:p>
    <w:p w14:paraId="75780E86" w14:textId="368C9A1A" w:rsidR="005C2404" w:rsidRPr="00C86E49" w:rsidRDefault="008618B5" w:rsidP="00FA4CEF">
      <w:pPr>
        <w:pStyle w:val="ListParagraph"/>
        <w:numPr>
          <w:ilvl w:val="0"/>
          <w:numId w:val="11"/>
        </w:numPr>
      </w:pPr>
      <w:r w:rsidRPr="00C86E49">
        <w:t xml:space="preserve">The proposed descriptors do not specify that IMVAD insertion is for temporary or short-term LV support only. </w:t>
      </w:r>
      <w:r w:rsidR="002C5AC7" w:rsidRPr="00C86E49">
        <w:t>Presumably,</w:t>
      </w:r>
      <w:r w:rsidR="00AB365B" w:rsidRPr="00C86E49">
        <w:t xml:space="preserve"> </w:t>
      </w:r>
      <w:r w:rsidR="00FE208A" w:rsidRPr="00C86E49">
        <w:t xml:space="preserve">the number of repeat claims for the proposed item will be </w:t>
      </w:r>
      <w:r w:rsidR="00AB365B" w:rsidRPr="00C86E49">
        <w:t xml:space="preserve">limited </w:t>
      </w:r>
      <w:r w:rsidR="00FE208A" w:rsidRPr="00C86E49">
        <w:t>by the number of days that the IMVAD device can be used</w:t>
      </w:r>
      <w:r w:rsidR="00AB365B" w:rsidRPr="00C86E49">
        <w:t xml:space="preserve"> </w:t>
      </w:r>
      <w:r w:rsidR="00FF64E6" w:rsidRPr="00C86E49">
        <w:t>(between 5 and 30 days a</w:t>
      </w:r>
      <w:r w:rsidR="00FE208A" w:rsidRPr="00C86E49">
        <w:t xml:space="preserve">ccording to </w:t>
      </w:r>
      <w:r w:rsidR="00805022" w:rsidRPr="00C86E49">
        <w:t>TGA registration</w:t>
      </w:r>
      <w:r w:rsidR="007D7810" w:rsidRPr="00C86E49">
        <w:t xml:space="preserve">). </w:t>
      </w:r>
      <w:r w:rsidR="00205028" w:rsidRPr="00C86E49">
        <w:t>However, p</w:t>
      </w:r>
      <w:r w:rsidR="00FB55B0" w:rsidRPr="00C86E49">
        <w:t xml:space="preserve">ublished </w:t>
      </w:r>
      <w:r w:rsidR="006B2912" w:rsidRPr="00C86E49">
        <w:t xml:space="preserve">studies report </w:t>
      </w:r>
      <w:r w:rsidR="00FE208A" w:rsidRPr="00C86E49">
        <w:t xml:space="preserve">longer duration of </w:t>
      </w:r>
      <w:r w:rsidR="00FE208A" w:rsidRPr="00C86E49">
        <w:lastRenderedPageBreak/>
        <w:t xml:space="preserve">use of large IMPELLA systems (5.0 or 5.5) </w:t>
      </w:r>
      <w:r w:rsidR="00DF428E" w:rsidRPr="00C86E49">
        <w:t xml:space="preserve">in CS patients </w:t>
      </w:r>
      <w:r w:rsidR="003F7902" w:rsidRPr="00C86E49">
        <w:t>when used as a bridge to permanent MCS or heart transplantation.</w:t>
      </w:r>
    </w:p>
    <w:p w14:paraId="4C5BE963" w14:textId="688286B3" w:rsidR="00AB4592" w:rsidRPr="00C86E49" w:rsidRDefault="00FD18CD" w:rsidP="00FA4CEF">
      <w:pPr>
        <w:pStyle w:val="ListParagraph"/>
        <w:numPr>
          <w:ilvl w:val="0"/>
          <w:numId w:val="11"/>
        </w:numPr>
      </w:pPr>
      <w:r w:rsidRPr="00C86E49">
        <w:t>There is potential for a subset of patients on IMPELLA 2.5 or CP to require transition to an IMPELLA 5.0 or 5.5 for higher level support. There may also be patients who require reimplantation of an IMPELLA device (for example, due to pump thrombosis or accidental dislodgement).</w:t>
      </w:r>
    </w:p>
    <w:p w14:paraId="42470C9B" w14:textId="7FF8A067" w:rsidR="003F2970" w:rsidRPr="00C86E49" w:rsidRDefault="00137ED8" w:rsidP="00137ED8">
      <w:pPr>
        <w:pStyle w:val="Heading3"/>
      </w:pPr>
      <w:r w:rsidRPr="00C86E49">
        <w:t>Proposed fee</w:t>
      </w:r>
      <w:r w:rsidR="00830AFD" w:rsidRPr="00C86E49">
        <w:t>s</w:t>
      </w:r>
    </w:p>
    <w:p w14:paraId="794DF564" w14:textId="7375FF19" w:rsidR="000E761C" w:rsidRPr="00C86E49" w:rsidRDefault="005D01CF" w:rsidP="00227212">
      <w:r w:rsidRPr="00C86E49">
        <w:t>There w</w:t>
      </w:r>
      <w:r w:rsidR="00776B50" w:rsidRPr="00C86E49">
        <w:t>ere</w:t>
      </w:r>
      <w:r w:rsidRPr="00C86E49">
        <w:t xml:space="preserve"> inconsistenc</w:t>
      </w:r>
      <w:r w:rsidR="00776B50" w:rsidRPr="00C86E49">
        <w:t>ies</w:t>
      </w:r>
      <w:r w:rsidRPr="00C86E49">
        <w:t xml:space="preserve"> in the </w:t>
      </w:r>
      <w:r w:rsidR="00776B50" w:rsidRPr="00C86E49">
        <w:t xml:space="preserve">proposed </w:t>
      </w:r>
      <w:r w:rsidR="009D10AF" w:rsidRPr="00C86E49">
        <w:t xml:space="preserve">MBS item </w:t>
      </w:r>
      <w:r w:rsidRPr="00C86E49">
        <w:t xml:space="preserve">fees </w:t>
      </w:r>
      <w:r w:rsidR="00776B50" w:rsidRPr="00C86E49">
        <w:t xml:space="preserve">presented across the ADAR for the </w:t>
      </w:r>
      <w:r w:rsidR="00C26C5B" w:rsidRPr="00C86E49">
        <w:t>surgical insertion and surgical removal items</w:t>
      </w:r>
      <w:r w:rsidR="00776B50" w:rsidRPr="00C86E49">
        <w:t>.</w:t>
      </w:r>
      <w:r w:rsidR="000E761C" w:rsidRPr="00C86E49">
        <w:t xml:space="preserve"> </w:t>
      </w:r>
      <w:r w:rsidR="00E77267" w:rsidRPr="00C86E49">
        <w:t>T</w:t>
      </w:r>
      <w:r w:rsidR="00274C83" w:rsidRPr="00C86E49">
        <w:t>he</w:t>
      </w:r>
      <w:r w:rsidR="00E77267" w:rsidRPr="00C86E49">
        <w:t xml:space="preserve"> fees presented in t</w:t>
      </w:r>
      <w:r w:rsidR="00D93C8D" w:rsidRPr="00C86E49">
        <w:t xml:space="preserve">he </w:t>
      </w:r>
      <w:r w:rsidR="00776B50" w:rsidRPr="00C86E49">
        <w:t xml:space="preserve">Executive Summary </w:t>
      </w:r>
      <w:r w:rsidR="00E77267" w:rsidRPr="00C86E49">
        <w:t>are those</w:t>
      </w:r>
      <w:r w:rsidR="000E761C" w:rsidRPr="00C86E49">
        <w:t xml:space="preserve"> used in the economic evaluation </w:t>
      </w:r>
      <w:r w:rsidR="00746BF1" w:rsidRPr="00C86E49">
        <w:t xml:space="preserve">and financial analysis </w:t>
      </w:r>
      <w:r w:rsidR="000E761C" w:rsidRPr="00C86E49">
        <w:t xml:space="preserve">for these items. </w:t>
      </w:r>
    </w:p>
    <w:p w14:paraId="69166B29" w14:textId="6CF60E59" w:rsidR="00227212" w:rsidRPr="00C86E49" w:rsidRDefault="00284A7C" w:rsidP="00227212">
      <w:r w:rsidRPr="00C86E49">
        <w:t xml:space="preserve">The </w:t>
      </w:r>
      <w:r w:rsidR="00342DD7" w:rsidRPr="00C86E49">
        <w:t>ADAR</w:t>
      </w:r>
      <w:r w:rsidRPr="00C86E49">
        <w:t xml:space="preserve"> considered </w:t>
      </w:r>
      <w:r w:rsidR="009355D0" w:rsidRPr="00C86E49">
        <w:t xml:space="preserve">existing MBS services for </w:t>
      </w:r>
      <w:r w:rsidRPr="00C86E49">
        <w:t xml:space="preserve">VA-ECMO, </w:t>
      </w:r>
      <w:r w:rsidR="0031378D" w:rsidRPr="00C86E49">
        <w:t>IABP</w:t>
      </w:r>
      <w:r w:rsidRPr="00C86E49">
        <w:t xml:space="preserve"> and LVAD </w:t>
      </w:r>
      <w:r w:rsidR="00370480" w:rsidRPr="00C86E49">
        <w:t xml:space="preserve">relevant to informing the proposed MBS fees for IMVAD. </w:t>
      </w:r>
      <w:r w:rsidR="009355D0" w:rsidRPr="00C86E49">
        <w:t xml:space="preserve">The proposed fees were also informed by </w:t>
      </w:r>
      <w:r w:rsidR="00A317CB" w:rsidRPr="00C86E49">
        <w:t>local expert</w:t>
      </w:r>
      <w:r w:rsidR="00CB141E" w:rsidRPr="00C86E49">
        <w:t>s’</w:t>
      </w:r>
      <w:r w:rsidR="00A317CB" w:rsidRPr="00C86E49">
        <w:t xml:space="preserve"> advice and </w:t>
      </w:r>
      <w:r w:rsidR="00016171" w:rsidRPr="00C86E49">
        <w:t xml:space="preserve">working </w:t>
      </w:r>
      <w:r w:rsidR="00AC226A" w:rsidRPr="00C86E49">
        <w:t>R</w:t>
      </w:r>
      <w:r w:rsidR="00016171" w:rsidRPr="00C86E49">
        <w:t xml:space="preserve">elative </w:t>
      </w:r>
      <w:r w:rsidR="00AC226A" w:rsidRPr="00C86E49">
        <w:t>V</w:t>
      </w:r>
      <w:r w:rsidR="00016171" w:rsidRPr="00C86E49">
        <w:t xml:space="preserve">alue </w:t>
      </w:r>
      <w:r w:rsidR="00AC226A" w:rsidRPr="00C86E49">
        <w:t>U</w:t>
      </w:r>
      <w:r w:rsidR="00016171" w:rsidRPr="00C86E49">
        <w:t xml:space="preserve">nits (RVUs) for the Current Procedure Terminology (CPT) codes used in the </w:t>
      </w:r>
      <w:r w:rsidR="00922488" w:rsidRPr="00C86E49">
        <w:t>U</w:t>
      </w:r>
      <w:r w:rsidR="00BA6427" w:rsidRPr="00C86E49">
        <w:t>.S</w:t>
      </w:r>
      <w:r w:rsidR="00F11999" w:rsidRPr="00C86E49">
        <w:t>. to</w:t>
      </w:r>
      <w:r w:rsidR="00695147" w:rsidRPr="00C86E49">
        <w:t xml:space="preserve"> assign a reimbursement value to procedure</w:t>
      </w:r>
      <w:r w:rsidR="00F74375" w:rsidRPr="00C86E49">
        <w:t>s</w:t>
      </w:r>
      <w:r w:rsidR="00695147" w:rsidRPr="00C86E49">
        <w:t xml:space="preserve"> performed by </w:t>
      </w:r>
      <w:r w:rsidR="00A4356C" w:rsidRPr="00C86E49">
        <w:t>healthcare providers</w:t>
      </w:r>
      <w:r w:rsidR="00695147" w:rsidRPr="00C86E49">
        <w:t>.</w:t>
      </w:r>
    </w:p>
    <w:p w14:paraId="70A3BF12" w14:textId="35E5FBDE" w:rsidR="001E3B9C" w:rsidRPr="00C86E49" w:rsidRDefault="006C71D5" w:rsidP="00227212">
      <w:r w:rsidRPr="00C86E49">
        <w:t xml:space="preserve">Justification of the proposed MBS item fees is summarised in </w:t>
      </w:r>
      <w:r w:rsidRPr="00C86E49">
        <w:rPr>
          <w:color w:val="2B579A"/>
          <w:shd w:val="clear" w:color="auto" w:fill="E6E6E6"/>
        </w:rPr>
        <w:fldChar w:fldCharType="begin"/>
      </w:r>
      <w:r w:rsidRPr="00C86E49">
        <w:instrText xml:space="preserve"> REF _Ref151537967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 xml:space="preserve">Table </w:t>
      </w:r>
      <w:r w:rsidR="00EF3514" w:rsidRPr="00C86E49">
        <w:rPr>
          <w:noProof/>
        </w:rPr>
        <w:t>5</w:t>
      </w:r>
      <w:r w:rsidRPr="00C86E49">
        <w:rPr>
          <w:color w:val="2B579A"/>
          <w:shd w:val="clear" w:color="auto" w:fill="E6E6E6"/>
        </w:rPr>
        <w:fldChar w:fldCharType="end"/>
      </w:r>
      <w:r w:rsidRPr="00C86E49">
        <w:t>.</w:t>
      </w:r>
    </w:p>
    <w:p w14:paraId="395D592B" w14:textId="08640556" w:rsidR="006C71D5" w:rsidRPr="00C86E49" w:rsidRDefault="006C71D5" w:rsidP="006C71D5">
      <w:pPr>
        <w:pStyle w:val="Caption"/>
      </w:pPr>
      <w:bookmarkStart w:id="15" w:name="_Ref151537967"/>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5</w:t>
      </w:r>
      <w:r w:rsidR="007552E5">
        <w:rPr>
          <w:noProof/>
        </w:rPr>
        <w:fldChar w:fldCharType="end"/>
      </w:r>
      <w:bookmarkEnd w:id="15"/>
      <w:r w:rsidRPr="00C86E49">
        <w:tab/>
        <w:t>Justification of proposed MBS item fees</w:t>
      </w:r>
    </w:p>
    <w:tbl>
      <w:tblPr>
        <w:tblStyle w:val="TableGrid"/>
        <w:tblW w:w="0" w:type="auto"/>
        <w:tblLook w:val="04A0" w:firstRow="1" w:lastRow="0" w:firstColumn="1" w:lastColumn="0" w:noHBand="0" w:noVBand="1"/>
        <w:tblCaption w:val="Justification of proposed MBS item fees"/>
        <w:tblDescription w:val="This table summarises the proposed fee, basis for the proposed fee presented in the ADAR, and commentary notes for each proposed MBS item."/>
      </w:tblPr>
      <w:tblGrid>
        <w:gridCol w:w="1413"/>
        <w:gridCol w:w="1276"/>
        <w:gridCol w:w="2835"/>
        <w:gridCol w:w="3492"/>
      </w:tblGrid>
      <w:tr w:rsidR="006C71D5" w:rsidRPr="00C86E49" w14:paraId="75EC6A77" w14:textId="77777777" w:rsidTr="00BC67F5">
        <w:trPr>
          <w:tblHeader/>
        </w:trPr>
        <w:tc>
          <w:tcPr>
            <w:tcW w:w="1413" w:type="dxa"/>
          </w:tcPr>
          <w:p w14:paraId="47C3761C" w14:textId="5F4354B5" w:rsidR="006C71D5" w:rsidRPr="00C86E49" w:rsidRDefault="006C71D5" w:rsidP="00A60439">
            <w:pPr>
              <w:pStyle w:val="TableHeading0"/>
            </w:pPr>
            <w:r w:rsidRPr="00C86E49">
              <w:t>Proposed item</w:t>
            </w:r>
          </w:p>
        </w:tc>
        <w:tc>
          <w:tcPr>
            <w:tcW w:w="1276" w:type="dxa"/>
          </w:tcPr>
          <w:p w14:paraId="3096DA0D" w14:textId="3966B5FA" w:rsidR="006C71D5" w:rsidRPr="00C86E49" w:rsidRDefault="006C71D5" w:rsidP="00A60439">
            <w:pPr>
              <w:pStyle w:val="TableHeading0"/>
            </w:pPr>
            <w:r w:rsidRPr="00C86E49">
              <w:t>Proposed fee</w:t>
            </w:r>
          </w:p>
        </w:tc>
        <w:tc>
          <w:tcPr>
            <w:tcW w:w="2835" w:type="dxa"/>
          </w:tcPr>
          <w:p w14:paraId="2638024F" w14:textId="59DEC309" w:rsidR="006C71D5" w:rsidRPr="00C86E49" w:rsidRDefault="006F18E7" w:rsidP="00A60439">
            <w:pPr>
              <w:pStyle w:val="TableHeading0"/>
            </w:pPr>
            <w:r w:rsidRPr="00C86E49">
              <w:t>Basis for</w:t>
            </w:r>
            <w:r w:rsidR="00F36135" w:rsidRPr="00C86E49">
              <w:t xml:space="preserve"> proposed fee in</w:t>
            </w:r>
            <w:r w:rsidR="006C71D5" w:rsidRPr="00C86E49">
              <w:t xml:space="preserve"> ADAR</w:t>
            </w:r>
          </w:p>
        </w:tc>
        <w:tc>
          <w:tcPr>
            <w:tcW w:w="3492" w:type="dxa"/>
          </w:tcPr>
          <w:p w14:paraId="4DBD6584" w14:textId="65A2DF56" w:rsidR="006C71D5" w:rsidRPr="00C86E49" w:rsidRDefault="00F03764" w:rsidP="00A60439">
            <w:pPr>
              <w:pStyle w:val="TableHeading0"/>
            </w:pPr>
            <w:r w:rsidRPr="00C86E49">
              <w:t>Comments</w:t>
            </w:r>
          </w:p>
        </w:tc>
      </w:tr>
      <w:tr w:rsidR="00667B3F" w:rsidRPr="00C86E49" w14:paraId="4BBEE5C7" w14:textId="77777777" w:rsidTr="00BC67F5">
        <w:tc>
          <w:tcPr>
            <w:tcW w:w="1413" w:type="dxa"/>
          </w:tcPr>
          <w:p w14:paraId="09BD5E8E" w14:textId="0EFA793F" w:rsidR="00667B3F" w:rsidRPr="00C86E49" w:rsidRDefault="00667B3F" w:rsidP="00A60439">
            <w:pPr>
              <w:pStyle w:val="TableText"/>
            </w:pPr>
            <w:r w:rsidRPr="00C86E49">
              <w:t>Percutaneous insertion</w:t>
            </w:r>
          </w:p>
        </w:tc>
        <w:tc>
          <w:tcPr>
            <w:tcW w:w="1276" w:type="dxa"/>
          </w:tcPr>
          <w:p w14:paraId="40E122DC" w14:textId="54FA972E" w:rsidR="00667B3F" w:rsidRPr="00C86E49" w:rsidRDefault="00667B3F" w:rsidP="00A60439">
            <w:pPr>
              <w:pStyle w:val="TableText"/>
            </w:pPr>
            <w:r w:rsidRPr="00C86E49">
              <w:t>$693.65</w:t>
            </w:r>
          </w:p>
        </w:tc>
        <w:tc>
          <w:tcPr>
            <w:tcW w:w="2835" w:type="dxa"/>
          </w:tcPr>
          <w:p w14:paraId="35C61B8B" w14:textId="5D524AD0" w:rsidR="00416605" w:rsidRPr="00C86E49" w:rsidRDefault="0025157B" w:rsidP="00A60439">
            <w:pPr>
              <w:pStyle w:val="TableText"/>
            </w:pPr>
            <w:r w:rsidRPr="00C86E49">
              <w:t>RVU</w:t>
            </w:r>
            <w:r w:rsidR="00F36135" w:rsidRPr="00C86E49">
              <w:t>s for</w:t>
            </w:r>
            <w:r w:rsidRPr="00C86E49">
              <w:t xml:space="preserve"> IABP, IMPELLA and VA-ECMO</w:t>
            </w:r>
          </w:p>
          <w:p w14:paraId="18033162" w14:textId="1CDB4F08" w:rsidR="00667B3F" w:rsidRPr="00C86E49" w:rsidRDefault="00F94C72" w:rsidP="00A60439">
            <w:pPr>
              <w:pStyle w:val="TableText"/>
            </w:pPr>
            <w:r w:rsidRPr="00C86E49">
              <w:t>MBS fees for IABP and VA-ECMO</w:t>
            </w:r>
          </w:p>
        </w:tc>
        <w:tc>
          <w:tcPr>
            <w:tcW w:w="3492" w:type="dxa"/>
          </w:tcPr>
          <w:p w14:paraId="4D8A3FD0" w14:textId="4D209F5C" w:rsidR="00667B3F" w:rsidRPr="00C86E49" w:rsidRDefault="00C0749A" w:rsidP="00A60439">
            <w:pPr>
              <w:pStyle w:val="TableText"/>
            </w:pPr>
            <w:r w:rsidRPr="00C86E49">
              <w:t>H</w:t>
            </w:r>
            <w:r w:rsidR="00FB760D" w:rsidRPr="00C86E49">
              <w:t xml:space="preserve">igher fee than proposed in </w:t>
            </w:r>
            <w:r w:rsidR="00F63A22" w:rsidRPr="00C86E49">
              <w:t>MSAC a</w:t>
            </w:r>
            <w:r w:rsidR="00FB760D" w:rsidRPr="00C86E49">
              <w:t xml:space="preserve">pplication 1523 ($384.95) based on item 38362 for percutaneous insertion of IABP (fee for item 38362 </w:t>
            </w:r>
            <w:r w:rsidR="003B4CA3" w:rsidRPr="00C86E49">
              <w:t>wa</w:t>
            </w:r>
            <w:r w:rsidR="00FB760D" w:rsidRPr="00C86E49">
              <w:t>s $421.55</w:t>
            </w:r>
            <w:r w:rsidR="008E44BC" w:rsidRPr="00C86E49">
              <w:t xml:space="preserve"> at Oct 2023</w:t>
            </w:r>
            <w:r w:rsidR="00FB760D" w:rsidRPr="00C86E49">
              <w:t>).</w:t>
            </w:r>
          </w:p>
        </w:tc>
      </w:tr>
      <w:tr w:rsidR="008404AA" w:rsidRPr="00C86E49" w14:paraId="43586E6B" w14:textId="77777777" w:rsidTr="00BC67F5">
        <w:tc>
          <w:tcPr>
            <w:tcW w:w="1413" w:type="dxa"/>
          </w:tcPr>
          <w:p w14:paraId="7581ED9D" w14:textId="3A0A1192" w:rsidR="008404AA" w:rsidRPr="00C86E49" w:rsidRDefault="008404AA" w:rsidP="00A60439">
            <w:pPr>
              <w:pStyle w:val="TableText"/>
            </w:pPr>
            <w:r w:rsidRPr="00C86E49">
              <w:t xml:space="preserve">Surgical insertion </w:t>
            </w:r>
          </w:p>
        </w:tc>
        <w:tc>
          <w:tcPr>
            <w:tcW w:w="1276" w:type="dxa"/>
          </w:tcPr>
          <w:p w14:paraId="14859693" w14:textId="604CF58B" w:rsidR="008404AA" w:rsidRPr="00C86E49" w:rsidRDefault="008404AA" w:rsidP="00A60439">
            <w:pPr>
              <w:pStyle w:val="TableText"/>
            </w:pPr>
            <w:r w:rsidRPr="00C86E49">
              <w:t>$1,040.50</w:t>
            </w:r>
          </w:p>
        </w:tc>
        <w:tc>
          <w:tcPr>
            <w:tcW w:w="2835" w:type="dxa"/>
          </w:tcPr>
          <w:p w14:paraId="37527083" w14:textId="067B2CBA" w:rsidR="0009299B" w:rsidRPr="00C86E49" w:rsidRDefault="0081397B" w:rsidP="00A60439">
            <w:pPr>
              <w:pStyle w:val="TableText"/>
            </w:pPr>
            <w:r w:rsidRPr="00C86E49">
              <w:t xml:space="preserve">RVUs </w:t>
            </w:r>
            <w:r w:rsidR="00E35B53" w:rsidRPr="00C86E49">
              <w:t xml:space="preserve">for percutaneous and surgical insertion of </w:t>
            </w:r>
            <w:r w:rsidRPr="00C86E49">
              <w:t>IABP and VA-ECMO</w:t>
            </w:r>
          </w:p>
          <w:p w14:paraId="4C60F890" w14:textId="47044B7B" w:rsidR="00321B2F" w:rsidRPr="00C86E49" w:rsidRDefault="00321B2F" w:rsidP="00A60439">
            <w:pPr>
              <w:pStyle w:val="TableText"/>
            </w:pPr>
            <w:r w:rsidRPr="00C86E49">
              <w:t>Proposed MBS fee for percutaneous insertion of IMPELLA</w:t>
            </w:r>
          </w:p>
          <w:p w14:paraId="63EE46AA" w14:textId="56B32958" w:rsidR="008404AA" w:rsidRPr="00C86E49" w:rsidRDefault="00001241" w:rsidP="00A60439">
            <w:pPr>
              <w:pStyle w:val="TableText"/>
            </w:pPr>
            <w:r w:rsidRPr="00C86E49">
              <w:t>L</w:t>
            </w:r>
            <w:r w:rsidR="0081397B" w:rsidRPr="00C86E49">
              <w:t xml:space="preserve">arger difference in duration and complexity expected between </w:t>
            </w:r>
            <w:r w:rsidR="00F51054" w:rsidRPr="00C86E49">
              <w:t xml:space="preserve">insertion methods for </w:t>
            </w:r>
            <w:r w:rsidR="0081397B" w:rsidRPr="00C86E49">
              <w:t xml:space="preserve">IMVAD than </w:t>
            </w:r>
            <w:r w:rsidR="00F51054" w:rsidRPr="00C86E49">
              <w:t>for</w:t>
            </w:r>
            <w:r w:rsidR="0081397B" w:rsidRPr="00C86E49">
              <w:t xml:space="preserve"> VA-ECMO and IABP</w:t>
            </w:r>
          </w:p>
        </w:tc>
        <w:tc>
          <w:tcPr>
            <w:tcW w:w="3492" w:type="dxa"/>
          </w:tcPr>
          <w:p w14:paraId="4719C99D" w14:textId="7ABFD3BB" w:rsidR="008404AA" w:rsidRPr="00C86E49" w:rsidRDefault="00C0749A" w:rsidP="00A60439">
            <w:pPr>
              <w:pStyle w:val="TableText"/>
            </w:pPr>
            <w:r w:rsidRPr="00C86E49">
              <w:t>L</w:t>
            </w:r>
            <w:r w:rsidR="0008481B" w:rsidRPr="00C86E49">
              <w:t>ower</w:t>
            </w:r>
            <w:r w:rsidR="006202F2" w:rsidRPr="00C86E49">
              <w:t xml:space="preserve"> fee</w:t>
            </w:r>
            <w:r w:rsidR="0008481B" w:rsidRPr="00C86E49">
              <w:t xml:space="preserve"> than proposed in </w:t>
            </w:r>
            <w:r w:rsidR="001A31CE" w:rsidRPr="00C86E49">
              <w:t>MSAC a</w:t>
            </w:r>
            <w:r w:rsidR="0008481B" w:rsidRPr="00C86E49">
              <w:t>pplication 1523 ($1,480.00, $50 less than the LVAD code at the time</w:t>
            </w:r>
            <w:r w:rsidR="0054652E" w:rsidRPr="00C86E49">
              <w:t xml:space="preserve"> according to the ADAR</w:t>
            </w:r>
            <w:r w:rsidR="0008481B" w:rsidRPr="00C86E49">
              <w:t>).</w:t>
            </w:r>
            <w:r w:rsidR="00AA76E8" w:rsidRPr="00C86E49">
              <w:t xml:space="preserve"> </w:t>
            </w:r>
            <w:r w:rsidR="00194F35" w:rsidRPr="00C86E49">
              <w:t>MBS item 38615</w:t>
            </w:r>
            <w:r w:rsidR="000B15C6" w:rsidRPr="00C86E49">
              <w:t xml:space="preserve"> (</w:t>
            </w:r>
            <w:r w:rsidR="00C54DA4" w:rsidRPr="00C86E49">
              <w:t xml:space="preserve">for </w:t>
            </w:r>
            <w:r w:rsidR="000B15C6" w:rsidRPr="00C86E49">
              <w:t>LVAD insertion)</w:t>
            </w:r>
            <w:r w:rsidR="00194F35" w:rsidRPr="00C86E49">
              <w:t xml:space="preserve">, fee </w:t>
            </w:r>
            <w:proofErr w:type="gramStart"/>
            <w:r w:rsidR="008E44BC" w:rsidRPr="00C86E49">
              <w:t>at</w:t>
            </w:r>
            <w:proofErr w:type="gramEnd"/>
            <w:r w:rsidR="008E44BC" w:rsidRPr="00C86E49">
              <w:t xml:space="preserve"> Oct 2023 wa</w:t>
            </w:r>
            <w:r w:rsidR="003B4CA3" w:rsidRPr="00C86E49">
              <w:t xml:space="preserve">s </w:t>
            </w:r>
            <w:r w:rsidR="00194F35" w:rsidRPr="00C86E49">
              <w:t>$1,677.85</w:t>
            </w:r>
            <w:r w:rsidR="00C54DA4" w:rsidRPr="00C86E49">
              <w:t>.</w:t>
            </w:r>
          </w:p>
        </w:tc>
      </w:tr>
      <w:tr w:rsidR="003E6EA6" w:rsidRPr="00C86E49" w14:paraId="7CD25074" w14:textId="77777777" w:rsidTr="00BC67F5">
        <w:tc>
          <w:tcPr>
            <w:tcW w:w="1413" w:type="dxa"/>
          </w:tcPr>
          <w:p w14:paraId="3290C54E" w14:textId="4D441B44" w:rsidR="003E6EA6" w:rsidRPr="00C86E49" w:rsidRDefault="003E6EA6" w:rsidP="00E92530">
            <w:pPr>
              <w:pStyle w:val="TableText"/>
            </w:pPr>
            <w:r w:rsidRPr="00C86E49">
              <w:t>Surgical removal</w:t>
            </w:r>
          </w:p>
        </w:tc>
        <w:tc>
          <w:tcPr>
            <w:tcW w:w="1276" w:type="dxa"/>
          </w:tcPr>
          <w:p w14:paraId="76EE1148" w14:textId="5AC2C7FA" w:rsidR="003E6EA6" w:rsidRPr="00C86E49" w:rsidRDefault="003E6EA6" w:rsidP="00E92530">
            <w:pPr>
              <w:pStyle w:val="TableText"/>
            </w:pPr>
            <w:r w:rsidRPr="00C86E49">
              <w:t>$624.30</w:t>
            </w:r>
          </w:p>
        </w:tc>
        <w:tc>
          <w:tcPr>
            <w:tcW w:w="2835" w:type="dxa"/>
          </w:tcPr>
          <w:p w14:paraId="40F580B7" w14:textId="77777777" w:rsidR="004037E4" w:rsidRPr="00C86E49" w:rsidRDefault="001A6BE6" w:rsidP="00E92530">
            <w:pPr>
              <w:pStyle w:val="TableText"/>
            </w:pPr>
            <w:r w:rsidRPr="00C86E49">
              <w:t>RVU’s for surgical removal versus insertion of VA-ECMO</w:t>
            </w:r>
          </w:p>
          <w:p w14:paraId="2619F018" w14:textId="2975A46D" w:rsidR="003E6EA6" w:rsidRPr="00C86E49" w:rsidRDefault="00C0749A" w:rsidP="00E92530">
            <w:pPr>
              <w:pStyle w:val="TableText"/>
            </w:pPr>
            <w:r w:rsidRPr="00C86E49">
              <w:t>Proposed MBS fee for surgical insertion of IMPELLA</w:t>
            </w:r>
          </w:p>
        </w:tc>
        <w:tc>
          <w:tcPr>
            <w:tcW w:w="3492" w:type="dxa"/>
          </w:tcPr>
          <w:p w14:paraId="4C1C82CA" w14:textId="4D7679EE" w:rsidR="003E6EA6" w:rsidRPr="00C86E49" w:rsidRDefault="00BF7753" w:rsidP="00E92530">
            <w:pPr>
              <w:pStyle w:val="TableText"/>
            </w:pPr>
            <w:r w:rsidRPr="00C86E49">
              <w:t>L</w:t>
            </w:r>
            <w:r w:rsidR="00181D86" w:rsidRPr="00C86E49">
              <w:t>ower</w:t>
            </w:r>
            <w:r w:rsidRPr="00C86E49">
              <w:t xml:space="preserve"> fee</w:t>
            </w:r>
            <w:r w:rsidR="00181D86" w:rsidRPr="00C86E49">
              <w:t xml:space="preserve"> than proposed in </w:t>
            </w:r>
            <w:r w:rsidR="00E00341" w:rsidRPr="00C86E49">
              <w:t xml:space="preserve">MSAC </w:t>
            </w:r>
            <w:r w:rsidR="00181D86" w:rsidRPr="00C86E49">
              <w:t>application 1523 ($740.00), which was based on MBS item 38612 for IABP removal</w:t>
            </w:r>
            <w:r w:rsidR="00BF5906" w:rsidRPr="00C86E49">
              <w:t xml:space="preserve"> (</w:t>
            </w:r>
            <w:r w:rsidR="00181D86" w:rsidRPr="00C86E49">
              <w:t xml:space="preserve">fee </w:t>
            </w:r>
            <w:proofErr w:type="gramStart"/>
            <w:r w:rsidR="008E44BC" w:rsidRPr="00C86E49">
              <w:t>at</w:t>
            </w:r>
            <w:proofErr w:type="gramEnd"/>
            <w:r w:rsidR="008E44BC" w:rsidRPr="00C86E49">
              <w:t xml:space="preserve"> Oct 2023 wa</w:t>
            </w:r>
            <w:r w:rsidR="00181D86" w:rsidRPr="00C86E49">
              <w:t>s $588.30</w:t>
            </w:r>
            <w:r w:rsidR="00F26F97" w:rsidRPr="00C86E49">
              <w:t>)</w:t>
            </w:r>
            <w:r w:rsidR="00181D86" w:rsidRPr="00C86E49">
              <w:t xml:space="preserve">. </w:t>
            </w:r>
            <w:r w:rsidR="00EF5BB8" w:rsidRPr="00C86E49">
              <w:t>ADAR</w:t>
            </w:r>
            <w:r w:rsidR="00181D86" w:rsidRPr="00C86E49">
              <w:t xml:space="preserve"> claims that removal of IMPELLA is more complex than IABP removal.</w:t>
            </w:r>
          </w:p>
        </w:tc>
      </w:tr>
      <w:tr w:rsidR="004D69D5" w:rsidRPr="00C86E49" w14:paraId="6FEC26EC" w14:textId="77777777" w:rsidTr="00BC67F5">
        <w:tc>
          <w:tcPr>
            <w:tcW w:w="1413" w:type="dxa"/>
          </w:tcPr>
          <w:p w14:paraId="2B656083" w14:textId="73DD4A80" w:rsidR="004D69D5" w:rsidRPr="00C86E49" w:rsidRDefault="004D69D5" w:rsidP="00A60439">
            <w:pPr>
              <w:pStyle w:val="TableText"/>
            </w:pPr>
            <w:r w:rsidRPr="00C86E49">
              <w:t>Management of the device – first day</w:t>
            </w:r>
          </w:p>
        </w:tc>
        <w:tc>
          <w:tcPr>
            <w:tcW w:w="1276" w:type="dxa"/>
          </w:tcPr>
          <w:p w14:paraId="6B344A7E" w14:textId="704B6BBA" w:rsidR="004D69D5" w:rsidRPr="00C86E49" w:rsidRDefault="004D69D5" w:rsidP="00A60439">
            <w:pPr>
              <w:pStyle w:val="TableText"/>
            </w:pPr>
            <w:r w:rsidRPr="00C86E49">
              <w:t>$540.65</w:t>
            </w:r>
          </w:p>
        </w:tc>
        <w:tc>
          <w:tcPr>
            <w:tcW w:w="2835" w:type="dxa"/>
          </w:tcPr>
          <w:p w14:paraId="501AB9DC" w14:textId="2228236A" w:rsidR="004D69D5" w:rsidRPr="00C86E49" w:rsidRDefault="00661FBA" w:rsidP="00A60439">
            <w:pPr>
              <w:pStyle w:val="TableText"/>
            </w:pPr>
            <w:r w:rsidRPr="00C86E49">
              <w:t xml:space="preserve">Same as VA-ECMO </w:t>
            </w:r>
            <w:r w:rsidR="00BD6ACD" w:rsidRPr="00C86E49">
              <w:t>MBS item</w:t>
            </w:r>
            <w:r w:rsidRPr="00C86E49">
              <w:t xml:space="preserve"> 13834 and LVAD </w:t>
            </w:r>
            <w:r w:rsidR="007371AE" w:rsidRPr="00C86E49">
              <w:t>MBS item</w:t>
            </w:r>
            <w:r w:rsidRPr="00C86E49">
              <w:t xml:space="preserve"> 13851 for the management of the device – first day. </w:t>
            </w:r>
          </w:p>
        </w:tc>
        <w:tc>
          <w:tcPr>
            <w:tcW w:w="3492" w:type="dxa"/>
          </w:tcPr>
          <w:p w14:paraId="0F9B7754" w14:textId="094C8742" w:rsidR="00A42427" w:rsidRPr="00C86E49" w:rsidRDefault="007371AE" w:rsidP="00A60439">
            <w:pPr>
              <w:pStyle w:val="TableText"/>
            </w:pPr>
            <w:r w:rsidRPr="00C86E49">
              <w:t>S</w:t>
            </w:r>
            <w:r w:rsidR="00A42427" w:rsidRPr="00C86E49">
              <w:t xml:space="preserve">ubstantially higher </w:t>
            </w:r>
            <w:r w:rsidRPr="00C86E49">
              <w:t xml:space="preserve">fee </w:t>
            </w:r>
            <w:r w:rsidR="00A42427" w:rsidRPr="00C86E49">
              <w:t xml:space="preserve">than was proposed in </w:t>
            </w:r>
            <w:r w:rsidR="00DD7D45" w:rsidRPr="00C86E49">
              <w:t xml:space="preserve">MSAC </w:t>
            </w:r>
            <w:r w:rsidR="00A42427" w:rsidRPr="00C86E49">
              <w:t>application 1523 ($156.10), which was based on MBS item 13847 (IABP management on first day)</w:t>
            </w:r>
            <w:r w:rsidR="00630726" w:rsidRPr="00C86E49">
              <w:t>, which has since been deleted</w:t>
            </w:r>
            <w:r w:rsidR="00A42427" w:rsidRPr="00C86E49">
              <w:t xml:space="preserve">. </w:t>
            </w:r>
          </w:p>
          <w:p w14:paraId="2C5910F4" w14:textId="48EB57D1" w:rsidR="004D69D5" w:rsidRPr="00C86E49" w:rsidRDefault="00293321" w:rsidP="00A60439">
            <w:pPr>
              <w:pStyle w:val="TableText"/>
            </w:pPr>
            <w:r w:rsidRPr="00C86E49">
              <w:t>ADAR considered a similar level of resources would be required for VA-ECMO/LVAD and IMVAD patients.</w:t>
            </w:r>
          </w:p>
        </w:tc>
      </w:tr>
      <w:tr w:rsidR="007A1FF7" w:rsidRPr="00C86E49" w14:paraId="23A48680" w14:textId="77777777" w:rsidTr="00BC67F5">
        <w:tc>
          <w:tcPr>
            <w:tcW w:w="1413" w:type="dxa"/>
          </w:tcPr>
          <w:p w14:paraId="519E141C" w14:textId="3EAB5DCA" w:rsidR="007A1FF7" w:rsidRPr="00C86E49" w:rsidRDefault="007A1FF7" w:rsidP="00A60439">
            <w:pPr>
              <w:pStyle w:val="TableText"/>
            </w:pPr>
            <w:r w:rsidRPr="00C86E49">
              <w:t xml:space="preserve">Management of the device – </w:t>
            </w:r>
            <w:r w:rsidRPr="00C86E49">
              <w:lastRenderedPageBreak/>
              <w:t>each day after the first day</w:t>
            </w:r>
          </w:p>
        </w:tc>
        <w:tc>
          <w:tcPr>
            <w:tcW w:w="1276" w:type="dxa"/>
          </w:tcPr>
          <w:p w14:paraId="38765110" w14:textId="66197335" w:rsidR="007A1FF7" w:rsidRPr="00C86E49" w:rsidRDefault="007A1FF7" w:rsidP="00A60439">
            <w:pPr>
              <w:pStyle w:val="TableText"/>
            </w:pPr>
            <w:r w:rsidRPr="00C86E49">
              <w:lastRenderedPageBreak/>
              <w:t>$125.75</w:t>
            </w:r>
          </w:p>
        </w:tc>
        <w:tc>
          <w:tcPr>
            <w:tcW w:w="2835" w:type="dxa"/>
          </w:tcPr>
          <w:p w14:paraId="2E1092F4" w14:textId="68CC701A" w:rsidR="007A1FF7" w:rsidRPr="00C86E49" w:rsidRDefault="002F45F9" w:rsidP="00A60439">
            <w:pPr>
              <w:pStyle w:val="TableText"/>
            </w:pPr>
            <w:r w:rsidRPr="00C86E49">
              <w:t xml:space="preserve">Same as VA-ECMO </w:t>
            </w:r>
            <w:r w:rsidR="006C4A56" w:rsidRPr="00C86E49">
              <w:t>MBS item</w:t>
            </w:r>
            <w:r w:rsidRPr="00C86E49">
              <w:t xml:space="preserve"> 13835 and LVAD </w:t>
            </w:r>
            <w:r w:rsidR="00484324" w:rsidRPr="00C86E49">
              <w:t xml:space="preserve">MBS item </w:t>
            </w:r>
            <w:r w:rsidRPr="00C86E49">
              <w:t xml:space="preserve">13854 </w:t>
            </w:r>
            <w:r w:rsidRPr="00C86E49">
              <w:lastRenderedPageBreak/>
              <w:t xml:space="preserve">for the management of the device – each day after the first day. </w:t>
            </w:r>
          </w:p>
        </w:tc>
        <w:tc>
          <w:tcPr>
            <w:tcW w:w="3492" w:type="dxa"/>
          </w:tcPr>
          <w:p w14:paraId="4CE260B3" w14:textId="263B6DD0" w:rsidR="0082493E" w:rsidRPr="00C86E49" w:rsidRDefault="0082493E" w:rsidP="00A60439">
            <w:pPr>
              <w:pStyle w:val="TableText"/>
            </w:pPr>
            <w:r w:rsidRPr="00C86E49">
              <w:lastRenderedPageBreak/>
              <w:t>ADAR considered th</w:t>
            </w:r>
            <w:r w:rsidR="004D4CF1" w:rsidRPr="00C86E49">
              <w:t>e proposed fee</w:t>
            </w:r>
            <w:r w:rsidRPr="00C86E49">
              <w:t xml:space="preserve"> appropriate in the context of similar level of </w:t>
            </w:r>
            <w:r w:rsidRPr="00C86E49">
              <w:lastRenderedPageBreak/>
              <w:t>resources required for VA-ECMO/LVAD and IMVAD patients.</w:t>
            </w:r>
          </w:p>
        </w:tc>
      </w:tr>
    </w:tbl>
    <w:p w14:paraId="13BDD369" w14:textId="15DC98A3" w:rsidR="004D5E8E" w:rsidRPr="00C86E49" w:rsidRDefault="00776BC1" w:rsidP="00181E28">
      <w:pPr>
        <w:pStyle w:val="TableFigureFooter"/>
      </w:pPr>
      <w:r w:rsidRPr="00C86E49">
        <w:lastRenderedPageBreak/>
        <w:t xml:space="preserve">IABP = intra-aortic balloon pump; </w:t>
      </w:r>
      <w:r w:rsidR="00F53C52" w:rsidRPr="00C86E49">
        <w:t xml:space="preserve">LVAD = left ventricular assist device; </w:t>
      </w:r>
      <w:r w:rsidR="00102458" w:rsidRPr="00C86E49">
        <w:t xml:space="preserve">MBS = Medicare Benefits Schedule; </w:t>
      </w:r>
      <w:r w:rsidRPr="00C86E49">
        <w:t>MSAC = Medical Services Advisory Committee</w:t>
      </w:r>
      <w:r w:rsidR="00102458" w:rsidRPr="00C86E49">
        <w:t xml:space="preserve">; </w:t>
      </w:r>
      <w:r w:rsidR="00474829" w:rsidRPr="00C86E49">
        <w:t xml:space="preserve">RVU = relative value units; </w:t>
      </w:r>
      <w:r w:rsidR="00102458" w:rsidRPr="00C86E49">
        <w:t>VA-ECMO = veno-arterial extracorporeal membrane oxygenation</w:t>
      </w:r>
      <w:r w:rsidR="005A1707" w:rsidRPr="00C86E49">
        <w:t>.</w:t>
      </w:r>
    </w:p>
    <w:p w14:paraId="4CE7C7CF" w14:textId="682DCF43" w:rsidR="00181E28" w:rsidRPr="00C86E49" w:rsidRDefault="00181E28" w:rsidP="00181E28">
      <w:pPr>
        <w:pStyle w:val="TableFigureFooter"/>
      </w:pPr>
      <w:r w:rsidRPr="00C86E49">
        <w:t xml:space="preserve">Source: </w:t>
      </w:r>
      <w:r w:rsidR="00750AEA" w:rsidRPr="00C86E49">
        <w:t xml:space="preserve">Derived from </w:t>
      </w:r>
      <w:r w:rsidRPr="00C86E49">
        <w:t>Table 15 of MSAC 1523.1 ADAR+in-line commentary.</w:t>
      </w:r>
    </w:p>
    <w:p w14:paraId="34E0B08F" w14:textId="334A31BA" w:rsidR="00772829" w:rsidRPr="00C86E49" w:rsidRDefault="00932DE9" w:rsidP="002A18BE">
      <w:pPr>
        <w:pStyle w:val="Heading2"/>
        <w:numPr>
          <w:ilvl w:val="0"/>
          <w:numId w:val="0"/>
        </w:numPr>
      </w:pPr>
      <w:bookmarkStart w:id="16" w:name="_Toc69491419"/>
      <w:bookmarkStart w:id="17" w:name="_Ref151979562"/>
      <w:bookmarkStart w:id="18" w:name="_Ref151979574"/>
      <w:bookmarkStart w:id="19" w:name="_Ref151979598"/>
      <w:bookmarkStart w:id="20" w:name="_Ref151979628"/>
      <w:bookmarkStart w:id="21" w:name="_Ref151979652"/>
      <w:r w:rsidRPr="00C86E49">
        <w:t>7</w:t>
      </w:r>
      <w:r w:rsidR="00C36633" w:rsidRPr="00C86E49">
        <w:t>.</w:t>
      </w:r>
      <w:r w:rsidR="00C36633" w:rsidRPr="00C86E49">
        <w:tab/>
      </w:r>
      <w:r w:rsidR="00772829" w:rsidRPr="00C86E49">
        <w:t>Population</w:t>
      </w:r>
      <w:bookmarkEnd w:id="16"/>
      <w:bookmarkEnd w:id="17"/>
      <w:bookmarkEnd w:id="18"/>
      <w:bookmarkEnd w:id="19"/>
      <w:bookmarkEnd w:id="20"/>
      <w:bookmarkEnd w:id="21"/>
      <w:r w:rsidR="00772829" w:rsidRPr="00C86E49">
        <w:t xml:space="preserve"> </w:t>
      </w:r>
    </w:p>
    <w:p w14:paraId="0AE54D73" w14:textId="32A35EF8" w:rsidR="006D6B06" w:rsidRPr="00C86E49" w:rsidRDefault="006D6B06" w:rsidP="00266F86">
      <w:r w:rsidRPr="00C86E49">
        <w:t>The ADAR</w:t>
      </w:r>
      <w:r w:rsidR="00F01084" w:rsidRPr="00C86E49">
        <w:t xml:space="preserve"> include</w:t>
      </w:r>
      <w:r w:rsidR="005772F5" w:rsidRPr="00C86E49">
        <w:t>d</w:t>
      </w:r>
      <w:r w:rsidR="00F01084" w:rsidRPr="00C86E49">
        <w:t xml:space="preserve"> two patient populations </w:t>
      </w:r>
      <w:r w:rsidR="00122813" w:rsidRPr="00C86E49">
        <w:t xml:space="preserve">within the one PICO set. </w:t>
      </w:r>
      <w:r w:rsidR="0067375E" w:rsidRPr="00C86E49">
        <w:t>The intervention and comparator</w:t>
      </w:r>
      <w:r w:rsidR="005772F5" w:rsidRPr="00C86E49">
        <w:t xml:space="preserve"> we</w:t>
      </w:r>
      <w:r w:rsidR="0067375E" w:rsidRPr="00C86E49">
        <w:t>re different for the two populations, but the outcomes</w:t>
      </w:r>
      <w:r w:rsidR="005772F5" w:rsidRPr="00C86E49">
        <w:t xml:space="preserve"> we</w:t>
      </w:r>
      <w:r w:rsidR="0067375E" w:rsidRPr="00C86E49">
        <w:t>re the same.</w:t>
      </w:r>
      <w:r w:rsidR="00F01084" w:rsidRPr="00C86E49">
        <w:t xml:space="preserve"> </w:t>
      </w:r>
    </w:p>
    <w:p w14:paraId="46058631" w14:textId="3F3481D7" w:rsidR="00266F86" w:rsidRPr="00C86E49" w:rsidRDefault="00B7688A" w:rsidP="00266F86">
      <w:r w:rsidRPr="00C86E49">
        <w:t xml:space="preserve">The </w:t>
      </w:r>
      <w:r w:rsidR="009E2305" w:rsidRPr="00C86E49">
        <w:t xml:space="preserve">first </w:t>
      </w:r>
      <w:r w:rsidRPr="00C86E49">
        <w:t>population</w:t>
      </w:r>
      <w:r w:rsidR="009E2305" w:rsidRPr="00C86E49">
        <w:t xml:space="preserve"> </w:t>
      </w:r>
      <w:r w:rsidRPr="00C86E49">
        <w:t>include</w:t>
      </w:r>
      <w:r w:rsidR="00FF63D2" w:rsidRPr="00C86E49">
        <w:t xml:space="preserve">d </w:t>
      </w:r>
      <w:r w:rsidRPr="00C86E49">
        <w:t>patients with CS with no evidence of significant anoxic neurological injury.</w:t>
      </w:r>
      <w:r w:rsidR="00266F86" w:rsidRPr="00C86E49">
        <w:t xml:space="preserve"> Th</w:t>
      </w:r>
      <w:r w:rsidR="00631D79" w:rsidRPr="00C86E49">
        <w:t>e commentary noted th</w:t>
      </w:r>
      <w:r w:rsidR="00266F86" w:rsidRPr="00C86E49">
        <w:t xml:space="preserve">is is </w:t>
      </w:r>
      <w:r w:rsidR="00820455" w:rsidRPr="00C86E49">
        <w:t xml:space="preserve">consistent with the </w:t>
      </w:r>
      <w:r w:rsidR="00D72904" w:rsidRPr="00C86E49">
        <w:t xml:space="preserve">Ratified </w:t>
      </w:r>
      <w:r w:rsidR="009E58DC" w:rsidRPr="00C86E49">
        <w:t xml:space="preserve">PICO </w:t>
      </w:r>
      <w:r w:rsidR="00D72904" w:rsidRPr="00C86E49">
        <w:t>for</w:t>
      </w:r>
      <w:r w:rsidR="00031860" w:rsidRPr="00C86E49">
        <w:t xml:space="preserve"> MSAC application 1523 </w:t>
      </w:r>
      <w:r w:rsidR="00E34C8A" w:rsidRPr="00C86E49">
        <w:t>but</w:t>
      </w:r>
      <w:r w:rsidR="00631D79" w:rsidRPr="00C86E49">
        <w:t xml:space="preserve"> is</w:t>
      </w:r>
      <w:r w:rsidR="00E34C8A" w:rsidRPr="00C86E49">
        <w:t xml:space="preserve"> </w:t>
      </w:r>
      <w:r w:rsidR="00266F86" w:rsidRPr="00C86E49">
        <w:t>broader than the intended CS population</w:t>
      </w:r>
      <w:r w:rsidR="00073929" w:rsidRPr="00C86E49">
        <w:t>.</w:t>
      </w:r>
      <w:r w:rsidR="00266F86" w:rsidRPr="00C86E49">
        <w:t xml:space="preserve"> According to the </w:t>
      </w:r>
      <w:r w:rsidR="00C6239A" w:rsidRPr="00C86E49">
        <w:t xml:space="preserve">ADAR’s </w:t>
      </w:r>
      <w:r w:rsidR="00266F86" w:rsidRPr="00C86E49">
        <w:t xml:space="preserve">clinical management algorithm, MCS devices are recommended for use in addition to pharmacotherapy in patients with deteriorating shock after failure to respond to initial pharmacotherapy with inotropes ± vasopressors. </w:t>
      </w:r>
      <w:r w:rsidR="003516BA" w:rsidRPr="00C86E49">
        <w:t xml:space="preserve">The intervention </w:t>
      </w:r>
      <w:r w:rsidR="006D6DF3" w:rsidRPr="00C86E49">
        <w:t>relevant to</w:t>
      </w:r>
      <w:r w:rsidR="003516BA" w:rsidRPr="00C86E49">
        <w:t xml:space="preserve"> this population is</w:t>
      </w:r>
      <w:r w:rsidR="00E908F4" w:rsidRPr="00C86E49">
        <w:t xml:space="preserve"> IMPELLA</w:t>
      </w:r>
      <w:r w:rsidR="00B71386" w:rsidRPr="00C86E49">
        <w:t xml:space="preserve"> (</w:t>
      </w:r>
      <w:r w:rsidR="00776D28" w:rsidRPr="00C86E49">
        <w:t>as an add-on to</w:t>
      </w:r>
      <w:r w:rsidR="00B71386" w:rsidRPr="00C86E49">
        <w:t xml:space="preserve"> pharmac</w:t>
      </w:r>
      <w:r w:rsidR="005A4FB0" w:rsidRPr="00C86E49">
        <w:t>otherapy)</w:t>
      </w:r>
      <w:r w:rsidR="00E908F4" w:rsidRPr="00C86E49">
        <w:t>.</w:t>
      </w:r>
    </w:p>
    <w:p w14:paraId="5F45CF48" w14:textId="72595965" w:rsidR="0018068A" w:rsidRPr="00C86E49" w:rsidRDefault="00B7688A" w:rsidP="00B7688A">
      <w:r w:rsidRPr="00C86E49">
        <w:t xml:space="preserve">The </w:t>
      </w:r>
      <w:r w:rsidR="005631C5" w:rsidRPr="00C86E49">
        <w:t xml:space="preserve">second </w:t>
      </w:r>
      <w:r w:rsidRPr="00C86E49">
        <w:t xml:space="preserve">population </w:t>
      </w:r>
      <w:r w:rsidR="00DC3FD4" w:rsidRPr="00C86E49">
        <w:t>was</w:t>
      </w:r>
      <w:r w:rsidRPr="00C86E49">
        <w:t xml:space="preserve"> </w:t>
      </w:r>
      <w:r w:rsidR="00DD298C" w:rsidRPr="00C86E49">
        <w:t xml:space="preserve">broadly defined as </w:t>
      </w:r>
      <w:r w:rsidRPr="00C86E49">
        <w:t>patients with CS who are on VA-ECMO and require unloading</w:t>
      </w:r>
      <w:r w:rsidR="00F05A0E" w:rsidRPr="00C86E49">
        <w:t xml:space="preserve"> of the LV</w:t>
      </w:r>
      <w:r w:rsidRPr="00C86E49">
        <w:t xml:space="preserve">. </w:t>
      </w:r>
      <w:r w:rsidR="00E671E7" w:rsidRPr="00C86E49">
        <w:t>A</w:t>
      </w:r>
      <w:r w:rsidR="00C85CDE" w:rsidRPr="00C86E49">
        <w:t>s explained in the ADAR, a</w:t>
      </w:r>
      <w:r w:rsidR="00E671E7" w:rsidRPr="00C86E49">
        <w:t>lthough</w:t>
      </w:r>
      <w:r w:rsidR="0014524A" w:rsidRPr="00C86E49">
        <w:t xml:space="preserve"> VA-ECMO is an effective MCS for use in patients with CS, o</w:t>
      </w:r>
      <w:r w:rsidR="00743C91" w:rsidRPr="00C86E49">
        <w:t>ne of the disadvantages is that it causes a marked increase in LV afterload</w:t>
      </w:r>
      <w:r w:rsidR="00C72F99" w:rsidRPr="00C86E49">
        <w:t xml:space="preserve"> due to the retrograde flow </w:t>
      </w:r>
      <w:r w:rsidR="00B85202" w:rsidRPr="00C86E49">
        <w:t>of</w:t>
      </w:r>
      <w:r w:rsidR="0018068A" w:rsidRPr="00C86E49">
        <w:t xml:space="preserve"> </w:t>
      </w:r>
      <w:r w:rsidR="00C72F99" w:rsidRPr="00C86E49">
        <w:t>blood in the aorta</w:t>
      </w:r>
      <w:r w:rsidR="00743C91" w:rsidRPr="00C86E49">
        <w:t xml:space="preserve">, which further compromises the already failing myocardium. </w:t>
      </w:r>
      <w:r w:rsidR="00E07B89" w:rsidRPr="00C86E49">
        <w:t>The intervention relevant to this population is ECPELLA (IMPELLA added to VA-ECMO).</w:t>
      </w:r>
    </w:p>
    <w:p w14:paraId="24EC9F16" w14:textId="09EDF5F2" w:rsidR="00B7688A" w:rsidRPr="00C86E49" w:rsidRDefault="0067473D" w:rsidP="00B7688A">
      <w:r w:rsidRPr="00C86E49">
        <w:t>T</w:t>
      </w:r>
      <w:r w:rsidR="00B7688A" w:rsidRPr="00C86E49">
        <w:t>he ADAR claim</w:t>
      </w:r>
      <w:r w:rsidR="007063E2" w:rsidRPr="00C86E49">
        <w:t>ed</w:t>
      </w:r>
      <w:r w:rsidR="00B7688A" w:rsidRPr="00C86E49">
        <w:t xml:space="preserve"> there is no universally accepted definition of LV distension requiring LV unloading</w:t>
      </w:r>
      <w:r w:rsidR="00CC4809" w:rsidRPr="00C86E49">
        <w:t>. T</w:t>
      </w:r>
      <w:r w:rsidR="00B7688A" w:rsidRPr="00C86E49">
        <w:t xml:space="preserve">he decision to initiate ECPELLA is made by a MDT who consider echocardiographic, radiological, and clinical signs of impaired LV unloading or LV stasis (stone heart, pulmonary oedema, impending clotting on the </w:t>
      </w:r>
      <w:r w:rsidR="00015F65" w:rsidRPr="00C86E49">
        <w:t>LV</w:t>
      </w:r>
      <w:r w:rsidR="00B7688A" w:rsidRPr="00C86E49">
        <w:t>, significant aortic regurgitation).</w:t>
      </w:r>
      <w:r w:rsidR="006D6DF3" w:rsidRPr="00C86E49">
        <w:t xml:space="preserve"> </w:t>
      </w:r>
      <w:r w:rsidR="00B15D45" w:rsidRPr="00C86E49">
        <w:t>The ADAR</w:t>
      </w:r>
      <w:r w:rsidR="00CC4809" w:rsidRPr="00C86E49">
        <w:t>’s</w:t>
      </w:r>
      <w:r w:rsidR="00B15D45" w:rsidRPr="00C86E49">
        <w:t xml:space="preserve"> </w:t>
      </w:r>
      <w:r w:rsidR="00B85202" w:rsidRPr="00C86E49">
        <w:t xml:space="preserve">economic and financial analyses assume 25% of CS patients on VA-ECMO require </w:t>
      </w:r>
      <w:r w:rsidR="00ED527C" w:rsidRPr="00C86E49">
        <w:t>LV decompression</w:t>
      </w:r>
      <w:r w:rsidR="00CC4809" w:rsidRPr="00C86E49">
        <w:t>.</w:t>
      </w:r>
    </w:p>
    <w:p w14:paraId="6CD46C97" w14:textId="74E896D7" w:rsidR="006F6268" w:rsidRPr="00C86E49" w:rsidRDefault="00B91798" w:rsidP="00B7688A">
      <w:r w:rsidRPr="00C86E49">
        <w:t xml:space="preserve">The ADAR </w:t>
      </w:r>
      <w:r w:rsidR="00CF5EA2" w:rsidRPr="00C86E49">
        <w:t>claimed</w:t>
      </w:r>
      <w:r w:rsidR="0007050B" w:rsidRPr="00C86E49">
        <w:t xml:space="preserve"> that </w:t>
      </w:r>
      <w:r w:rsidR="00ED527C" w:rsidRPr="00C86E49">
        <w:t>the proposed populations, and consequent proposed MBS item descriptors were kept intentionally broad</w:t>
      </w:r>
      <w:r w:rsidR="00C11111" w:rsidRPr="00C86E49">
        <w:t xml:space="preserve">, </w:t>
      </w:r>
      <w:r w:rsidR="0007050B" w:rsidRPr="00C86E49">
        <w:t>g</w:t>
      </w:r>
      <w:r w:rsidR="0019543A" w:rsidRPr="00C86E49">
        <w:t>iven the heterogeneity in the population with CS, the complexity in classifying patients by stage in a consistent manner that relate</w:t>
      </w:r>
      <w:r w:rsidR="00400A43" w:rsidRPr="00C86E49">
        <w:t>s</w:t>
      </w:r>
      <w:r w:rsidR="0019543A" w:rsidRPr="00C86E49">
        <w:t xml:space="preserve"> specifically to </w:t>
      </w:r>
      <w:r w:rsidR="00400A43" w:rsidRPr="00C86E49">
        <w:t xml:space="preserve">patient </w:t>
      </w:r>
      <w:r w:rsidR="0019543A" w:rsidRPr="00C86E49">
        <w:t xml:space="preserve">management, </w:t>
      </w:r>
      <w:r w:rsidR="00E31D91" w:rsidRPr="00C86E49">
        <w:t xml:space="preserve">and </w:t>
      </w:r>
      <w:r w:rsidR="009E452C" w:rsidRPr="00C86E49">
        <w:t>the large element of clinical discretion associated with managing these patients</w:t>
      </w:r>
      <w:r w:rsidR="0019543A" w:rsidRPr="00C86E49">
        <w:t xml:space="preserve">. </w:t>
      </w:r>
      <w:r w:rsidR="00543FFE" w:rsidRPr="00C86E49">
        <w:t>The commentary note</w:t>
      </w:r>
      <w:r w:rsidR="00FD6632" w:rsidRPr="00C86E49">
        <w:t>d</w:t>
      </w:r>
      <w:r w:rsidR="00543FFE" w:rsidRPr="00C86E49">
        <w:t xml:space="preserve"> that the</w:t>
      </w:r>
      <w:r w:rsidR="00543FFE" w:rsidRPr="00C86E49">
        <w:rPr>
          <w:i/>
          <w:iCs/>
        </w:rPr>
        <w:t xml:space="preserve"> </w:t>
      </w:r>
      <w:r w:rsidR="00543FFE" w:rsidRPr="00C86E49">
        <w:t>CS populations investigated in clinical studies of IMPELLA/ECPELLA versus VA-ECMO were also broad, with a wide variety of aetiologies</w:t>
      </w:r>
      <w:r w:rsidR="00543FFE" w:rsidRPr="00C86E49">
        <w:rPr>
          <w:i/>
          <w:iCs/>
        </w:rPr>
        <w:t>.</w:t>
      </w:r>
    </w:p>
    <w:p w14:paraId="66BDFCC1" w14:textId="1ABD8A81" w:rsidR="00772829" w:rsidRPr="00C86E49" w:rsidRDefault="00932DE9" w:rsidP="002A18BE">
      <w:pPr>
        <w:pStyle w:val="Heading2"/>
        <w:numPr>
          <w:ilvl w:val="0"/>
          <w:numId w:val="0"/>
        </w:numPr>
      </w:pPr>
      <w:bookmarkStart w:id="22" w:name="_Toc69491420"/>
      <w:r w:rsidRPr="00C86E49">
        <w:t>8</w:t>
      </w:r>
      <w:r w:rsidR="00C36633" w:rsidRPr="00C86E49">
        <w:t>.</w:t>
      </w:r>
      <w:r w:rsidR="00C36633" w:rsidRPr="00C86E49">
        <w:tab/>
      </w:r>
      <w:r w:rsidR="00772829" w:rsidRPr="00C86E49">
        <w:t>Comparator</w:t>
      </w:r>
      <w:bookmarkEnd w:id="22"/>
    </w:p>
    <w:p w14:paraId="0F797857" w14:textId="0BCCFBCD" w:rsidR="00E74DB8" w:rsidRPr="00C86E49" w:rsidRDefault="00E74DB8" w:rsidP="00634687">
      <w:pPr>
        <w:pStyle w:val="Heading3"/>
      </w:pPr>
      <w:r w:rsidRPr="00C86E49">
        <w:t>IMPELLA</w:t>
      </w:r>
    </w:p>
    <w:p w14:paraId="39D6B52B" w14:textId="73145AC4" w:rsidR="009E711A" w:rsidRPr="00C86E49" w:rsidRDefault="00A31B14" w:rsidP="00397A14">
      <w:r w:rsidRPr="00C86E49">
        <w:t xml:space="preserve">The comparator to IMPELLA in </w:t>
      </w:r>
      <w:r w:rsidR="00D23E6F" w:rsidRPr="00C86E49">
        <w:t xml:space="preserve">MSAC </w:t>
      </w:r>
      <w:r w:rsidRPr="00C86E49">
        <w:t>application 1523 was ‘standard care (</w:t>
      </w:r>
      <w:proofErr w:type="gramStart"/>
      <w:r w:rsidRPr="00C86E49">
        <w:t>i.e.</w:t>
      </w:r>
      <w:proofErr w:type="gramEnd"/>
      <w:r w:rsidRPr="00C86E49">
        <w:t xml:space="preserve"> pharmacological therapy and/or intra-aortic balloon pump, and ECMO, percutaneous </w:t>
      </w:r>
      <w:r w:rsidR="008331F3" w:rsidRPr="00C86E49">
        <w:t>VADs</w:t>
      </w:r>
      <w:r w:rsidRPr="00C86E49">
        <w:t xml:space="preserve">)’. </w:t>
      </w:r>
      <w:r w:rsidR="009D5483" w:rsidRPr="00C86E49">
        <w:t xml:space="preserve">The ADAR </w:t>
      </w:r>
      <w:r w:rsidR="00900353" w:rsidRPr="00C86E49">
        <w:t xml:space="preserve">for application 1523.1 </w:t>
      </w:r>
      <w:r w:rsidR="009D5483" w:rsidRPr="00C86E49">
        <w:t xml:space="preserve">nominated VA-ECMO as the comparator to IMPELLA. </w:t>
      </w:r>
      <w:r w:rsidRPr="00C86E49">
        <w:t>The commentary agree</w:t>
      </w:r>
      <w:r w:rsidR="00D76787" w:rsidRPr="00C86E49">
        <w:t>d</w:t>
      </w:r>
      <w:r w:rsidRPr="00C86E49">
        <w:t xml:space="preserve"> that </w:t>
      </w:r>
      <w:r w:rsidR="00815395" w:rsidRPr="00C86E49">
        <w:t>this</w:t>
      </w:r>
      <w:r w:rsidRPr="00C86E49">
        <w:t xml:space="preserve"> change is consistent with MSAC advice and that omission of </w:t>
      </w:r>
      <w:r w:rsidR="0031378D" w:rsidRPr="00C86E49">
        <w:t xml:space="preserve">IABP </w:t>
      </w:r>
      <w:r w:rsidRPr="00C86E49">
        <w:t>and pharmacological therapy as comparators is appropriate</w:t>
      </w:r>
      <w:r w:rsidR="00AC6069" w:rsidRPr="00C86E49">
        <w:t>.</w:t>
      </w:r>
    </w:p>
    <w:p w14:paraId="24CF5190" w14:textId="7FB27D20" w:rsidR="00C00158" w:rsidRPr="00C86E49" w:rsidRDefault="00C00158" w:rsidP="00C00158">
      <w:r w:rsidRPr="00C86E49">
        <w:lastRenderedPageBreak/>
        <w:t>The commentary querie</w:t>
      </w:r>
      <w:r w:rsidR="00C70122" w:rsidRPr="00C86E49">
        <w:t>d</w:t>
      </w:r>
      <w:r w:rsidRPr="00C86E49">
        <w:t xml:space="preserve"> whether TandemHeart</w:t>
      </w:r>
      <w:r w:rsidR="00916F46" w:rsidRPr="00C86E49">
        <w:t xml:space="preserve"> (LivaNova)</w:t>
      </w:r>
      <w:r w:rsidR="00D81A93" w:rsidRPr="00C86E49">
        <w:t xml:space="preserve"> – </w:t>
      </w:r>
      <w:r w:rsidRPr="00C86E49">
        <w:t xml:space="preserve">a </w:t>
      </w:r>
      <w:r w:rsidR="004578EF" w:rsidRPr="00C86E49">
        <w:t>temporary</w:t>
      </w:r>
      <w:r w:rsidR="004D647E" w:rsidRPr="00C86E49">
        <w:t>,</w:t>
      </w:r>
      <w:r w:rsidR="004578EF" w:rsidRPr="00C86E49">
        <w:t xml:space="preserve"> </w:t>
      </w:r>
      <w:r w:rsidRPr="00C86E49">
        <w:t>percutaneous</w:t>
      </w:r>
      <w:r w:rsidR="000A7719" w:rsidRPr="00C86E49">
        <w:t>ly inserted</w:t>
      </w:r>
      <w:r w:rsidRPr="00C86E49">
        <w:t xml:space="preserve"> </w:t>
      </w:r>
      <w:r w:rsidR="008331F3" w:rsidRPr="00C86E49">
        <w:t>VAD</w:t>
      </w:r>
      <w:r w:rsidR="00D81A93" w:rsidRPr="00C86E49">
        <w:t xml:space="preserve"> – </w:t>
      </w:r>
      <w:r w:rsidRPr="00C86E49">
        <w:t>may also be an appropriate comparator to IMVAD for patients with CS</w:t>
      </w:r>
      <w:r w:rsidR="00D81A93" w:rsidRPr="00C86E49">
        <w:t>; however,</w:t>
      </w:r>
      <w:r w:rsidR="00AD3BB2" w:rsidRPr="00C86E49">
        <w:t xml:space="preserve"> it is </w:t>
      </w:r>
      <w:r w:rsidR="00E84A13" w:rsidRPr="00C86E49">
        <w:t xml:space="preserve">unclear </w:t>
      </w:r>
      <w:r w:rsidR="005C3244" w:rsidRPr="00C86E49">
        <w:t>whether TandemHeart is widely used in the private setting</w:t>
      </w:r>
      <w:r w:rsidRPr="00C86E49">
        <w:t>.</w:t>
      </w:r>
    </w:p>
    <w:p w14:paraId="76BE8790" w14:textId="16C9B6B7" w:rsidR="00927631" w:rsidRPr="00C86E49" w:rsidRDefault="00B426DD" w:rsidP="00397A14">
      <w:r w:rsidRPr="00C86E49">
        <w:t xml:space="preserve">The </w:t>
      </w:r>
      <w:r w:rsidR="00356ECB" w:rsidRPr="00C86E49">
        <w:t>commentary noted</w:t>
      </w:r>
      <w:r w:rsidR="00C70122" w:rsidRPr="00C86E49">
        <w:t xml:space="preserve"> </w:t>
      </w:r>
      <w:r w:rsidR="00356ECB" w:rsidRPr="00C86E49">
        <w:t>that</w:t>
      </w:r>
      <w:r w:rsidRPr="00C86E49">
        <w:t xml:space="preserve"> VA-ECMO can be used in a broader CS population than IMPELLA</w:t>
      </w:r>
      <w:r w:rsidR="00D32BBE" w:rsidRPr="00C86E49">
        <w:t xml:space="preserve">, </w:t>
      </w:r>
      <w:r w:rsidR="0073623C" w:rsidRPr="00C86E49">
        <w:t xml:space="preserve">including patients with </w:t>
      </w:r>
      <w:r w:rsidR="0034625C" w:rsidRPr="00C86E49">
        <w:t>right ventricular or biventricular failure</w:t>
      </w:r>
      <w:r w:rsidR="00D27294" w:rsidRPr="00C86E49">
        <w:t xml:space="preserve"> </w:t>
      </w:r>
      <w:r w:rsidRPr="00C86E49">
        <w:t>and/or severe concomitant respiratory dysfunction.</w:t>
      </w:r>
      <w:r w:rsidR="004B5AE6" w:rsidRPr="00C86E49">
        <w:t xml:space="preserve"> </w:t>
      </w:r>
      <w:r w:rsidR="007010E0" w:rsidRPr="00C86E49">
        <w:t xml:space="preserve">Therefore, while IMPELLA provides an additional option for use in patients with CS, it is only an alternative to VA-ECMO in patients with isolated LV </w:t>
      </w:r>
      <w:r w:rsidR="00585442" w:rsidRPr="00C86E49">
        <w:t>(</w:t>
      </w:r>
      <w:r w:rsidR="007010E0" w:rsidRPr="00C86E49">
        <w:t>or predominantly LV</w:t>
      </w:r>
      <w:r w:rsidR="00585442" w:rsidRPr="00C86E49">
        <w:t>)</w:t>
      </w:r>
      <w:r w:rsidR="007010E0" w:rsidRPr="00C86E49">
        <w:t xml:space="preserve"> failure.</w:t>
      </w:r>
    </w:p>
    <w:p w14:paraId="15EBE49C" w14:textId="3C48A998" w:rsidR="00E74DB8" w:rsidRPr="00C86E49" w:rsidRDefault="00E74DB8" w:rsidP="00E74DB8">
      <w:pPr>
        <w:pStyle w:val="Heading3"/>
      </w:pPr>
      <w:r w:rsidRPr="00C86E49">
        <w:t>ECPELLA</w:t>
      </w:r>
    </w:p>
    <w:p w14:paraId="0AA38EC1" w14:textId="69B149EF" w:rsidR="00A60320" w:rsidRPr="00C86E49" w:rsidRDefault="007829A1" w:rsidP="006A4EE1">
      <w:r w:rsidRPr="00C86E49">
        <w:t xml:space="preserve">VA-ECMO with or without </w:t>
      </w:r>
      <w:r w:rsidR="008331F3" w:rsidRPr="00C86E49">
        <w:t>SV</w:t>
      </w:r>
      <w:r w:rsidRPr="00C86E49">
        <w:t xml:space="preserve"> is nominated as the comparator</w:t>
      </w:r>
      <w:r w:rsidR="00B43D9C" w:rsidRPr="00C86E49">
        <w:t xml:space="preserve"> to ECPELLA. </w:t>
      </w:r>
      <w:r w:rsidR="00893789" w:rsidRPr="00C86E49">
        <w:t xml:space="preserve">This comparator has not been considered by MSAC previously. </w:t>
      </w:r>
      <w:r w:rsidR="006A4EE1" w:rsidRPr="00C86E49">
        <w:t>The commentary consider</w:t>
      </w:r>
      <w:r w:rsidR="0088187F" w:rsidRPr="00C86E49">
        <w:t>ed</w:t>
      </w:r>
      <w:r w:rsidR="006A4EE1" w:rsidRPr="00C86E49">
        <w:t xml:space="preserve"> </w:t>
      </w:r>
      <w:r w:rsidR="00EC0FAF" w:rsidRPr="00C86E49">
        <w:t xml:space="preserve">the comparator </w:t>
      </w:r>
      <w:r w:rsidR="00634797" w:rsidRPr="00C86E49">
        <w:t>reasonable but</w:t>
      </w:r>
      <w:r w:rsidR="00EC0FAF" w:rsidRPr="00C86E49">
        <w:t xml:space="preserve"> noted </w:t>
      </w:r>
      <w:r w:rsidR="006A4EE1" w:rsidRPr="00C86E49">
        <w:t>there are other less invasive approaches to decompress the LV during VA-ECMO</w:t>
      </w:r>
      <w:r w:rsidR="008F5BA9" w:rsidRPr="00C86E49">
        <w:t xml:space="preserve"> (</w:t>
      </w:r>
      <w:r w:rsidR="007F3024" w:rsidRPr="00C86E49">
        <w:t xml:space="preserve">for example, </w:t>
      </w:r>
      <w:r w:rsidR="002302DD" w:rsidRPr="00C86E49">
        <w:t xml:space="preserve">escalation of pharmacotherapy, IABP, </w:t>
      </w:r>
      <w:r w:rsidR="0010466A" w:rsidRPr="00C86E49">
        <w:t xml:space="preserve">percutaneous </w:t>
      </w:r>
      <w:r w:rsidR="00511B30" w:rsidRPr="00C86E49">
        <w:t>atrial septostomy</w:t>
      </w:r>
      <w:r w:rsidR="00E26AB0" w:rsidRPr="00C86E49">
        <w:t>, pulmonary artery drainage)</w:t>
      </w:r>
      <w:r w:rsidR="004005A7" w:rsidRPr="00C86E49">
        <w:t>.</w:t>
      </w:r>
      <w:r w:rsidR="00634797" w:rsidRPr="00C86E49">
        <w:rPr>
          <w:rStyle w:val="FootnoteReference"/>
        </w:rPr>
        <w:footnoteReference w:id="7"/>
      </w:r>
      <w:r w:rsidR="006A4EE1" w:rsidRPr="00C86E49">
        <w:t xml:space="preserve"> </w:t>
      </w:r>
      <w:r w:rsidR="007F3024" w:rsidRPr="00C86E49">
        <w:t>G</w:t>
      </w:r>
      <w:r w:rsidR="002036E1" w:rsidRPr="00C86E49">
        <w:t xml:space="preserve">iven its passive nature, complexity and invasiveness requiring open surgery, not all patients are suitable for SV, nor is expertise universally available, meaning it is not routinely available to all patients requiring </w:t>
      </w:r>
      <w:r w:rsidR="00484FCB" w:rsidRPr="00C86E49">
        <w:t xml:space="preserve">LV </w:t>
      </w:r>
      <w:r w:rsidR="002036E1" w:rsidRPr="00C86E49">
        <w:t>unloading</w:t>
      </w:r>
      <w:r w:rsidR="00484FCB" w:rsidRPr="00C86E49">
        <w:t>.</w:t>
      </w:r>
    </w:p>
    <w:p w14:paraId="748F6377" w14:textId="12253A3F" w:rsidR="007829A1" w:rsidRPr="00C86E49" w:rsidRDefault="0088187F" w:rsidP="006A4EE1">
      <w:r w:rsidRPr="00C86E49">
        <w:t>The commentary also noted that a</w:t>
      </w:r>
      <w:r w:rsidR="006A4EE1" w:rsidRPr="00C86E49">
        <w:t xml:space="preserve">lthough the intention is that IMPELLA is added to VA-ECMO only in </w:t>
      </w:r>
      <w:r w:rsidR="00BF3672" w:rsidRPr="00C86E49">
        <w:t>patients who develop increased afterload</w:t>
      </w:r>
      <w:r w:rsidR="006A4EE1" w:rsidRPr="00C86E49">
        <w:t>, the clinical evidence include</w:t>
      </w:r>
      <w:r w:rsidR="00E843E2" w:rsidRPr="00C86E49">
        <w:t>d</w:t>
      </w:r>
      <w:r w:rsidR="006A4EE1" w:rsidRPr="00C86E49">
        <w:t xml:space="preserve"> </w:t>
      </w:r>
      <w:r w:rsidR="00AB74D1" w:rsidRPr="00C86E49">
        <w:t>cases</w:t>
      </w:r>
      <w:r w:rsidR="006A4EE1" w:rsidRPr="00C86E49">
        <w:t xml:space="preserve"> where IMPELLA </w:t>
      </w:r>
      <w:r w:rsidR="00D27CDB" w:rsidRPr="00C86E49">
        <w:t>may have been</w:t>
      </w:r>
      <w:r w:rsidR="006A4EE1" w:rsidRPr="00C86E49">
        <w:t xml:space="preserve"> used pre-emptively as protection against LV distension/stasis.</w:t>
      </w:r>
    </w:p>
    <w:p w14:paraId="1F09CA74" w14:textId="77777777" w:rsidR="00932DE9" w:rsidRPr="00C86E49" w:rsidRDefault="00932DE9" w:rsidP="00932DE9">
      <w:pPr>
        <w:pStyle w:val="Heading2"/>
        <w:numPr>
          <w:ilvl w:val="0"/>
          <w:numId w:val="0"/>
        </w:numPr>
      </w:pPr>
      <w:bookmarkStart w:id="23" w:name="_Toc69491422"/>
      <w:r w:rsidRPr="00C86E49">
        <w:t>9.</w:t>
      </w:r>
      <w:r w:rsidRPr="00C86E49">
        <w:tab/>
        <w:t>Summary of public consultation input</w:t>
      </w:r>
    </w:p>
    <w:p w14:paraId="30C0EA9B" w14:textId="0D885796" w:rsidR="00F36F57" w:rsidRPr="00C86E49" w:rsidRDefault="00F36F57" w:rsidP="00F36F57">
      <w:pPr>
        <w:pStyle w:val="paragraph"/>
        <w:spacing w:before="0" w:beforeAutospacing="0" w:after="0" w:afterAutospacing="0"/>
        <w:textAlignment w:val="baseline"/>
        <w:rPr>
          <w:rFonts w:ascii="Franklin Gothic Book" w:hAnsi="Franklin Gothic Book" w:cs="Segoe UI"/>
          <w:sz w:val="22"/>
          <w:szCs w:val="22"/>
        </w:rPr>
      </w:pPr>
      <w:r w:rsidRPr="00C86E49">
        <w:rPr>
          <w:rStyle w:val="normaltextrun"/>
          <w:rFonts w:ascii="Franklin Gothic Book" w:hAnsi="Franklin Gothic Book" w:cs="Calibri"/>
          <w:sz w:val="22"/>
          <w:szCs w:val="22"/>
        </w:rPr>
        <w:t xml:space="preserve">A summary of previous consultation feedback received for MSAC Application 1523 is available in the Public Summary Document: </w:t>
      </w:r>
      <w:hyperlink r:id="rId12" w:tgtFrame="_blank" w:history="1">
        <w:r w:rsidRPr="00C86E49">
          <w:rPr>
            <w:rStyle w:val="normaltextrun"/>
            <w:rFonts w:ascii="Franklin Gothic Book" w:hAnsi="Franklin Gothic Book" w:cs="Calibri"/>
            <w:color w:val="0563C1"/>
            <w:sz w:val="22"/>
            <w:szCs w:val="22"/>
            <w:u w:val="single"/>
          </w:rPr>
          <w:t>http://www.msac.gov.au/internet/msac/publishing.nsf/Content/1523-public</w:t>
        </w:r>
      </w:hyperlink>
      <w:r w:rsidRPr="00C86E49">
        <w:rPr>
          <w:rStyle w:val="normaltextrun"/>
          <w:rFonts w:ascii="Franklin Gothic Book" w:hAnsi="Franklin Gothic Book" w:cs="Calibri"/>
          <w:sz w:val="22"/>
          <w:szCs w:val="22"/>
        </w:rPr>
        <w:t>  </w:t>
      </w:r>
      <w:r w:rsidRPr="00C86E49">
        <w:rPr>
          <w:rStyle w:val="eop"/>
          <w:rFonts w:ascii="Franklin Gothic Book" w:hAnsi="Franklin Gothic Book" w:cs="Calibri"/>
          <w:sz w:val="22"/>
          <w:szCs w:val="22"/>
        </w:rPr>
        <w:t> </w:t>
      </w:r>
    </w:p>
    <w:p w14:paraId="7636CA9D" w14:textId="1D7B7285" w:rsidR="009C0CE7" w:rsidRPr="00C86E49" w:rsidRDefault="00F36F57" w:rsidP="00D15C8D">
      <w:pPr>
        <w:pStyle w:val="paragraph"/>
        <w:spacing w:before="240" w:beforeAutospacing="0" w:after="240" w:afterAutospacing="0"/>
        <w:textAlignment w:val="baseline"/>
        <w:rPr>
          <w:rFonts w:ascii="Franklin Gothic Book" w:hAnsi="Franklin Gothic Book" w:cs="Segoe UI"/>
          <w:sz w:val="22"/>
          <w:szCs w:val="22"/>
        </w:rPr>
      </w:pPr>
      <w:r w:rsidRPr="00C86E49">
        <w:rPr>
          <w:rStyle w:val="normaltextrun"/>
          <w:rFonts w:ascii="Franklin Gothic Book" w:hAnsi="Franklin Gothic Book" w:cs="Calibri"/>
          <w:sz w:val="22"/>
          <w:szCs w:val="22"/>
        </w:rPr>
        <w:t>Further consultation input for this resubmission was received from three (3) individuals, all of whom were medical specialists. The feedback was supportive of the application. </w:t>
      </w:r>
      <w:r w:rsidR="763620DF" w:rsidRPr="00C86E49">
        <w:rPr>
          <w:rFonts w:ascii="Franklin Gothic Book" w:hAnsi="Franklin Gothic Book" w:cs="Segoe UI"/>
          <w:sz w:val="22"/>
          <w:szCs w:val="22"/>
        </w:rPr>
        <w:t xml:space="preserve"> </w:t>
      </w:r>
    </w:p>
    <w:p w14:paraId="7FDA5AD9" w14:textId="47D58680" w:rsidR="00D15C8D" w:rsidRPr="00C86E49" w:rsidRDefault="72B1F6CF" w:rsidP="1E12B377">
      <w:pPr>
        <w:pStyle w:val="paragraph"/>
        <w:spacing w:before="240" w:beforeAutospacing="0" w:after="240" w:afterAutospacing="0"/>
        <w:rPr>
          <w:rFonts w:ascii="Franklin Gothic Book" w:hAnsi="Franklin Gothic Book" w:cs="Segoe UI"/>
          <w:sz w:val="22"/>
          <w:szCs w:val="22"/>
        </w:rPr>
      </w:pPr>
      <w:r w:rsidRPr="00C86E49">
        <w:rPr>
          <w:rFonts w:ascii="Franklin Gothic Book" w:hAnsi="Franklin Gothic Book" w:cs="Segoe UI"/>
          <w:sz w:val="22"/>
          <w:szCs w:val="22"/>
        </w:rPr>
        <w:t>The applicant also provided letters of support from</w:t>
      </w:r>
      <w:r w:rsidR="00D15C8D" w:rsidRPr="00C86E49">
        <w:rPr>
          <w:rFonts w:ascii="Franklin Gothic Book" w:hAnsi="Franklin Gothic Book" w:cs="Segoe UI"/>
          <w:sz w:val="22"/>
          <w:szCs w:val="22"/>
        </w:rPr>
        <w:t xml:space="preserve"> three</w:t>
      </w:r>
      <w:r w:rsidR="4EC5B6A2" w:rsidRPr="00C86E49">
        <w:rPr>
          <w:rFonts w:ascii="Franklin Gothic Book" w:hAnsi="Franklin Gothic Book" w:cs="Segoe UI"/>
          <w:sz w:val="22"/>
          <w:szCs w:val="22"/>
        </w:rPr>
        <w:t xml:space="preserve"> (</w:t>
      </w:r>
      <w:r w:rsidR="00D15C8D" w:rsidRPr="00C86E49">
        <w:rPr>
          <w:rFonts w:ascii="Franklin Gothic Book" w:hAnsi="Franklin Gothic Book" w:cs="Segoe UI"/>
          <w:sz w:val="22"/>
          <w:szCs w:val="22"/>
        </w:rPr>
        <w:t>3</w:t>
      </w:r>
      <w:r w:rsidR="4EC5B6A2" w:rsidRPr="00C86E49">
        <w:rPr>
          <w:rFonts w:ascii="Franklin Gothic Book" w:hAnsi="Franklin Gothic Book" w:cs="Segoe UI"/>
          <w:sz w:val="22"/>
          <w:szCs w:val="22"/>
        </w:rPr>
        <w:t>)</w:t>
      </w:r>
      <w:r w:rsidR="6B3F77FB" w:rsidRPr="00C86E49">
        <w:rPr>
          <w:rFonts w:ascii="Franklin Gothic Book" w:hAnsi="Franklin Gothic Book" w:cs="Segoe UI"/>
          <w:sz w:val="22"/>
          <w:szCs w:val="22"/>
        </w:rPr>
        <w:t xml:space="preserve"> </w:t>
      </w:r>
      <w:r w:rsidR="4EC5B6A2" w:rsidRPr="00C86E49">
        <w:rPr>
          <w:rFonts w:ascii="Franklin Gothic Book" w:hAnsi="Franklin Gothic Book" w:cs="Segoe UI"/>
          <w:sz w:val="22"/>
          <w:szCs w:val="22"/>
        </w:rPr>
        <w:t xml:space="preserve">organisations: </w:t>
      </w:r>
    </w:p>
    <w:p w14:paraId="14D1A786" w14:textId="6595B7A6" w:rsidR="00D15C8D" w:rsidRPr="00C86E49" w:rsidRDefault="4EC5B6A2" w:rsidP="00FA4CEF">
      <w:pPr>
        <w:pStyle w:val="paragraph"/>
        <w:numPr>
          <w:ilvl w:val="0"/>
          <w:numId w:val="27"/>
        </w:numPr>
        <w:spacing w:before="240" w:beforeAutospacing="0" w:after="0" w:afterAutospacing="0"/>
        <w:ind w:left="714" w:hanging="357"/>
        <w:contextualSpacing/>
        <w:rPr>
          <w:rFonts w:ascii="Franklin Gothic Book" w:hAnsi="Franklin Gothic Book" w:cs="Segoe UI"/>
          <w:sz w:val="22"/>
          <w:szCs w:val="22"/>
        </w:rPr>
      </w:pPr>
      <w:r w:rsidRPr="00C86E49">
        <w:rPr>
          <w:rFonts w:ascii="Franklin Gothic Book" w:hAnsi="Franklin Gothic Book" w:cs="Segoe UI"/>
          <w:sz w:val="22"/>
          <w:szCs w:val="22"/>
        </w:rPr>
        <w:t xml:space="preserve">Australian and New Zealand Intensive Care Society (ANZICS) </w:t>
      </w:r>
    </w:p>
    <w:p w14:paraId="58D1770A" w14:textId="77777777" w:rsidR="00D15C8D" w:rsidRPr="00C86E49" w:rsidRDefault="00D15C8D" w:rsidP="00FA4CEF">
      <w:pPr>
        <w:pStyle w:val="paragraph"/>
        <w:numPr>
          <w:ilvl w:val="0"/>
          <w:numId w:val="27"/>
        </w:numPr>
        <w:spacing w:before="240" w:beforeAutospacing="0" w:after="0" w:afterAutospacing="0"/>
        <w:ind w:left="714" w:hanging="357"/>
        <w:contextualSpacing/>
        <w:rPr>
          <w:rFonts w:ascii="Franklin Gothic Book" w:hAnsi="Franklin Gothic Book" w:cs="Segoe UI"/>
          <w:sz w:val="22"/>
          <w:szCs w:val="22"/>
        </w:rPr>
      </w:pPr>
      <w:r w:rsidRPr="00C86E49">
        <w:rPr>
          <w:rFonts w:ascii="Franklin Gothic Book" w:hAnsi="Franklin Gothic Book" w:cs="Segoe UI"/>
          <w:sz w:val="22"/>
          <w:szCs w:val="22"/>
        </w:rPr>
        <w:t>Australian and New Zealand Society of Cardiac and Thoracic Surgeons (ANZSCTS)</w:t>
      </w:r>
    </w:p>
    <w:p w14:paraId="039EE37A" w14:textId="58E9CAE6" w:rsidR="76F7A5A5" w:rsidRPr="00C86E49" w:rsidRDefault="4EC5B6A2" w:rsidP="00FA4CEF">
      <w:pPr>
        <w:pStyle w:val="paragraph"/>
        <w:numPr>
          <w:ilvl w:val="0"/>
          <w:numId w:val="27"/>
        </w:numPr>
        <w:spacing w:before="240" w:beforeAutospacing="0" w:after="0" w:afterAutospacing="0"/>
        <w:ind w:left="714" w:hanging="357"/>
        <w:contextualSpacing/>
        <w:rPr>
          <w:rFonts w:ascii="Franklin Gothic Book" w:hAnsi="Franklin Gothic Book" w:cs="Segoe UI"/>
          <w:sz w:val="22"/>
          <w:szCs w:val="22"/>
        </w:rPr>
      </w:pPr>
      <w:r w:rsidRPr="00C86E49">
        <w:rPr>
          <w:rFonts w:ascii="Franklin Gothic Book" w:hAnsi="Franklin Gothic Book" w:cs="Segoe UI"/>
          <w:sz w:val="22"/>
          <w:szCs w:val="22"/>
        </w:rPr>
        <w:t xml:space="preserve">Cardiac Society of Australia and New Zealand (CSANZ). </w:t>
      </w:r>
    </w:p>
    <w:p w14:paraId="12734CCC" w14:textId="77777777" w:rsidR="00E854A2" w:rsidRPr="00C86E49" w:rsidRDefault="00E854A2" w:rsidP="00E854A2">
      <w:pPr>
        <w:pStyle w:val="paragraph"/>
        <w:spacing w:before="240" w:beforeAutospacing="0" w:after="0" w:afterAutospacing="0"/>
        <w:ind w:left="714"/>
        <w:contextualSpacing/>
        <w:rPr>
          <w:rFonts w:ascii="Franklin Gothic Book" w:hAnsi="Franklin Gothic Book" w:cs="Segoe UI"/>
          <w:sz w:val="22"/>
          <w:szCs w:val="22"/>
        </w:rPr>
      </w:pPr>
    </w:p>
    <w:p w14:paraId="5E59CBB9" w14:textId="322D680B" w:rsidR="00F36F57" w:rsidRPr="00C86E49" w:rsidRDefault="00F36F57" w:rsidP="00F36F57">
      <w:pPr>
        <w:pStyle w:val="paragraph"/>
        <w:keepNext/>
        <w:keepLines/>
        <w:spacing w:before="0" w:beforeAutospacing="0" w:after="0" w:afterAutospacing="0"/>
        <w:textAlignment w:val="baseline"/>
        <w:rPr>
          <w:rFonts w:ascii="Franklin Gothic Book" w:hAnsi="Franklin Gothic Book" w:cs="Segoe UI"/>
          <w:color w:val="000000"/>
          <w:sz w:val="22"/>
          <w:szCs w:val="22"/>
        </w:rPr>
      </w:pPr>
      <w:r w:rsidRPr="00C86E49">
        <w:rPr>
          <w:rStyle w:val="normaltextrun"/>
          <w:rFonts w:ascii="Franklin Gothic Book" w:hAnsi="Franklin Gothic Book" w:cs="Calibri"/>
          <w:b/>
          <w:bCs/>
          <w:sz w:val="22"/>
          <w:szCs w:val="22"/>
        </w:rPr>
        <w:t>Benefits: </w:t>
      </w:r>
      <w:r w:rsidRPr="00C86E49">
        <w:rPr>
          <w:rStyle w:val="eop"/>
          <w:rFonts w:ascii="Franklin Gothic Book" w:hAnsi="Franklin Gothic Book" w:cs="Calibri"/>
          <w:sz w:val="22"/>
          <w:szCs w:val="22"/>
        </w:rPr>
        <w:t> </w:t>
      </w:r>
    </w:p>
    <w:p w14:paraId="35E9648E" w14:textId="77777777" w:rsidR="00F36F57" w:rsidRPr="00C86E49" w:rsidRDefault="00F36F57" w:rsidP="00F36F57">
      <w:pPr>
        <w:pStyle w:val="paragraph"/>
        <w:keepNext/>
        <w:keepLines/>
        <w:spacing w:before="0" w:beforeAutospacing="0" w:after="0" w:afterAutospacing="0"/>
        <w:textAlignment w:val="baseline"/>
        <w:rPr>
          <w:rFonts w:ascii="Franklin Gothic Book" w:hAnsi="Franklin Gothic Book" w:cs="Segoe UI"/>
          <w:sz w:val="22"/>
          <w:szCs w:val="22"/>
        </w:rPr>
      </w:pPr>
      <w:r w:rsidRPr="00C86E49">
        <w:rPr>
          <w:rStyle w:val="normaltextrun"/>
          <w:rFonts w:ascii="Franklin Gothic Book" w:hAnsi="Franklin Gothic Book" w:cs="Calibri"/>
          <w:sz w:val="22"/>
          <w:szCs w:val="22"/>
        </w:rPr>
        <w:t>The feedback indicated the main benefits include:</w:t>
      </w:r>
      <w:r w:rsidRPr="00C86E49">
        <w:rPr>
          <w:rStyle w:val="eop"/>
          <w:rFonts w:ascii="Franklin Gothic Book" w:hAnsi="Franklin Gothic Book" w:cs="Calibri"/>
          <w:sz w:val="22"/>
          <w:szCs w:val="22"/>
        </w:rPr>
        <w:t> </w:t>
      </w:r>
    </w:p>
    <w:p w14:paraId="55C36816" w14:textId="03384D3C" w:rsidR="00F36F57" w:rsidRPr="00C86E49" w:rsidRDefault="00F36F57" w:rsidP="00FA4CEF">
      <w:pPr>
        <w:pStyle w:val="paragraph"/>
        <w:numPr>
          <w:ilvl w:val="0"/>
          <w:numId w:val="28"/>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t>Patients with CS requiring left ventricular support currently have limited treatment options, and this device helps sustain circulatory support while simultaneously reducing the workload on the left ventricle.</w:t>
      </w:r>
      <w:r w:rsidRPr="00C86E49">
        <w:rPr>
          <w:rStyle w:val="eop"/>
          <w:rFonts w:ascii="Franklin Gothic Book" w:hAnsi="Franklin Gothic Book" w:cs="Calibri"/>
          <w:sz w:val="22"/>
          <w:szCs w:val="22"/>
        </w:rPr>
        <w:t> </w:t>
      </w:r>
    </w:p>
    <w:p w14:paraId="447CFF4A" w14:textId="125D3E8C" w:rsidR="00F36F57" w:rsidRPr="00C86E49" w:rsidRDefault="00F36F57" w:rsidP="00FA4CEF">
      <w:pPr>
        <w:pStyle w:val="paragraph"/>
        <w:numPr>
          <w:ilvl w:val="0"/>
          <w:numId w:val="28"/>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t xml:space="preserve">The </w:t>
      </w:r>
      <w:r w:rsidR="00C14BCE" w:rsidRPr="00C86E49">
        <w:rPr>
          <w:rStyle w:val="normaltextrun"/>
          <w:rFonts w:ascii="Franklin Gothic Book" w:hAnsi="Franklin Gothic Book" w:cs="Calibri"/>
          <w:sz w:val="22"/>
          <w:szCs w:val="22"/>
        </w:rPr>
        <w:t xml:space="preserve">IMPELLA </w:t>
      </w:r>
      <w:r w:rsidRPr="00C86E49">
        <w:rPr>
          <w:rStyle w:val="normaltextrun"/>
          <w:rFonts w:ascii="Franklin Gothic Book" w:hAnsi="Franklin Gothic Book" w:cs="Calibri"/>
          <w:sz w:val="22"/>
          <w:szCs w:val="22"/>
        </w:rPr>
        <w:t>IMVAD improves systemic perfusion and coronary flow, leading to a decrease in myocardial oxygen demand and improving end-organ profusion. </w:t>
      </w:r>
      <w:r w:rsidRPr="00C86E49">
        <w:rPr>
          <w:rStyle w:val="eop"/>
          <w:rFonts w:ascii="Franklin Gothic Book" w:hAnsi="Franklin Gothic Book" w:cs="Calibri"/>
          <w:sz w:val="22"/>
          <w:szCs w:val="22"/>
        </w:rPr>
        <w:t> </w:t>
      </w:r>
    </w:p>
    <w:p w14:paraId="0A5A97EC" w14:textId="77777777" w:rsidR="00F36F57" w:rsidRPr="00C86E49" w:rsidRDefault="00F36F57" w:rsidP="00FA4CEF">
      <w:pPr>
        <w:pStyle w:val="paragraph"/>
        <w:numPr>
          <w:ilvl w:val="0"/>
          <w:numId w:val="28"/>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t>Observational study outcome data suggests that IMVAD may be associated with reduction in mortality in patients with cardiogenic shock.</w:t>
      </w:r>
      <w:r w:rsidRPr="00C86E49">
        <w:rPr>
          <w:rStyle w:val="eop"/>
          <w:rFonts w:ascii="Franklin Gothic Book" w:hAnsi="Franklin Gothic Book" w:cs="Calibri"/>
          <w:sz w:val="22"/>
          <w:szCs w:val="22"/>
        </w:rPr>
        <w:t> </w:t>
      </w:r>
    </w:p>
    <w:p w14:paraId="5082EAA3" w14:textId="39C6BB74" w:rsidR="00F36F57" w:rsidRPr="00C86E49" w:rsidRDefault="00F36F57" w:rsidP="00FA4CEF">
      <w:pPr>
        <w:pStyle w:val="paragraph"/>
        <w:numPr>
          <w:ilvl w:val="0"/>
          <w:numId w:val="28"/>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lastRenderedPageBreak/>
        <w:t>IMVAD can be inserted in any cardiac centre by a trained interventional cardiologist or intensive care specialist, unlike VA</w:t>
      </w:r>
      <w:r w:rsidR="002109F0" w:rsidRPr="00C86E49">
        <w:rPr>
          <w:rStyle w:val="normaltextrun"/>
          <w:rFonts w:ascii="Franklin Gothic Book" w:hAnsi="Franklin Gothic Book" w:cs="Calibri"/>
          <w:sz w:val="22"/>
          <w:szCs w:val="22"/>
        </w:rPr>
        <w:t>-</w:t>
      </w:r>
      <w:r w:rsidRPr="00C86E49">
        <w:rPr>
          <w:rStyle w:val="normaltextrun"/>
          <w:rFonts w:ascii="Franklin Gothic Book" w:hAnsi="Franklin Gothic Book" w:cs="Calibri"/>
          <w:sz w:val="22"/>
          <w:szCs w:val="22"/>
        </w:rPr>
        <w:t>ECMO therapy which is a complex intervention that needs high volume dedicated centres.</w:t>
      </w:r>
      <w:r w:rsidRPr="00C86E49">
        <w:rPr>
          <w:rStyle w:val="eop"/>
          <w:rFonts w:ascii="Franklin Gothic Book" w:hAnsi="Franklin Gothic Book" w:cs="Calibri"/>
          <w:sz w:val="22"/>
          <w:szCs w:val="22"/>
        </w:rPr>
        <w:t> </w:t>
      </w:r>
    </w:p>
    <w:p w14:paraId="73873191" w14:textId="0018B61D" w:rsidR="00F36F57" w:rsidRPr="00C86E49" w:rsidRDefault="00F36F57" w:rsidP="00FA4CEF">
      <w:pPr>
        <w:pStyle w:val="paragraph"/>
        <w:numPr>
          <w:ilvl w:val="0"/>
          <w:numId w:val="28"/>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t>Public funding will provide equity of access to IMVAD.</w:t>
      </w:r>
    </w:p>
    <w:p w14:paraId="24857466" w14:textId="77777777" w:rsidR="00F36F57" w:rsidRPr="00C86E49" w:rsidRDefault="00F36F57" w:rsidP="00F36F57">
      <w:pPr>
        <w:pStyle w:val="paragraph"/>
        <w:spacing w:before="240" w:beforeAutospacing="0" w:after="0" w:afterAutospacing="0"/>
        <w:textAlignment w:val="baseline"/>
        <w:rPr>
          <w:rFonts w:ascii="Franklin Gothic Book" w:hAnsi="Franklin Gothic Book" w:cs="Segoe UI"/>
          <w:color w:val="000000"/>
          <w:sz w:val="22"/>
          <w:szCs w:val="22"/>
        </w:rPr>
      </w:pPr>
      <w:r w:rsidRPr="00C86E49">
        <w:rPr>
          <w:rStyle w:val="normaltextrun"/>
          <w:rFonts w:ascii="Franklin Gothic Book" w:hAnsi="Franklin Gothic Book" w:cs="Calibri"/>
          <w:b/>
          <w:bCs/>
          <w:sz w:val="22"/>
          <w:szCs w:val="22"/>
        </w:rPr>
        <w:t>Disadvantages</w:t>
      </w:r>
      <w:r w:rsidRPr="00C86E49">
        <w:rPr>
          <w:rStyle w:val="eop"/>
          <w:rFonts w:ascii="Franklin Gothic Book" w:hAnsi="Franklin Gothic Book" w:cs="Calibri"/>
          <w:sz w:val="22"/>
          <w:szCs w:val="22"/>
        </w:rPr>
        <w:t> </w:t>
      </w:r>
    </w:p>
    <w:p w14:paraId="2ECF361C" w14:textId="77777777" w:rsidR="00F36F57" w:rsidRPr="00C86E49" w:rsidRDefault="00F36F57" w:rsidP="00F36F57">
      <w:pPr>
        <w:pStyle w:val="paragraph"/>
        <w:spacing w:before="0" w:beforeAutospacing="0" w:after="0" w:afterAutospacing="0"/>
        <w:textAlignment w:val="baseline"/>
        <w:rPr>
          <w:rFonts w:ascii="Franklin Gothic Book" w:hAnsi="Franklin Gothic Book" w:cs="Segoe UI"/>
          <w:color w:val="000000"/>
          <w:sz w:val="22"/>
          <w:szCs w:val="22"/>
        </w:rPr>
      </w:pPr>
      <w:r w:rsidRPr="00C86E49">
        <w:rPr>
          <w:rStyle w:val="normaltextrun"/>
          <w:rFonts w:ascii="Franklin Gothic Book" w:hAnsi="Franklin Gothic Book" w:cs="Calibri"/>
          <w:sz w:val="22"/>
          <w:szCs w:val="22"/>
        </w:rPr>
        <w:t>The feedback suggested the following disadvantages:</w:t>
      </w:r>
      <w:r w:rsidRPr="00C86E49">
        <w:rPr>
          <w:rStyle w:val="eop"/>
          <w:rFonts w:ascii="Franklin Gothic Book" w:hAnsi="Franklin Gothic Book" w:cs="Calibri"/>
          <w:sz w:val="22"/>
          <w:szCs w:val="22"/>
        </w:rPr>
        <w:t> </w:t>
      </w:r>
    </w:p>
    <w:p w14:paraId="5E5BADD5" w14:textId="77777777" w:rsidR="00F36F57" w:rsidRPr="00C86E49" w:rsidRDefault="00F36F57" w:rsidP="00FA4CEF">
      <w:pPr>
        <w:pStyle w:val="paragraph"/>
        <w:numPr>
          <w:ilvl w:val="0"/>
          <w:numId w:val="29"/>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t>If not properly inserted and monitored IMVAD can lead to limb ischaemia by occluding the common femoral artery, which could potentially lead to loss of the patient’s leg. </w:t>
      </w:r>
      <w:r w:rsidRPr="00C86E49">
        <w:rPr>
          <w:rStyle w:val="eop"/>
          <w:rFonts w:ascii="Franklin Gothic Book" w:hAnsi="Franklin Gothic Book" w:cs="Calibri"/>
          <w:sz w:val="22"/>
          <w:szCs w:val="22"/>
        </w:rPr>
        <w:t> </w:t>
      </w:r>
    </w:p>
    <w:p w14:paraId="779558A6" w14:textId="75C17037" w:rsidR="00F36F57" w:rsidRPr="00C86E49" w:rsidRDefault="00F36F57" w:rsidP="00FA4CEF">
      <w:pPr>
        <w:pStyle w:val="paragraph"/>
        <w:numPr>
          <w:ilvl w:val="0"/>
          <w:numId w:val="29"/>
        </w:numPr>
        <w:spacing w:before="0" w:beforeAutospacing="0" w:after="0" w:afterAutospacing="0"/>
        <w:textAlignment w:val="baseline"/>
        <w:rPr>
          <w:rFonts w:ascii="Franklin Gothic Book" w:hAnsi="Franklin Gothic Book" w:cs="Calibri"/>
          <w:color w:val="000000"/>
          <w:sz w:val="22"/>
          <w:szCs w:val="22"/>
        </w:rPr>
      </w:pPr>
      <w:r w:rsidRPr="00C86E49">
        <w:rPr>
          <w:rStyle w:val="normaltextrun"/>
          <w:rFonts w:ascii="Franklin Gothic Book" w:hAnsi="Franklin Gothic Book" w:cs="Calibri"/>
          <w:sz w:val="22"/>
          <w:szCs w:val="22"/>
        </w:rPr>
        <w:t xml:space="preserve">Risk of haemolysis, which can lead to multi-organ dysfunction, particularly renal </w:t>
      </w:r>
      <w:proofErr w:type="gramStart"/>
      <w:r w:rsidRPr="00C86E49">
        <w:rPr>
          <w:rStyle w:val="normaltextrun"/>
          <w:rFonts w:ascii="Franklin Gothic Book" w:hAnsi="Franklin Gothic Book" w:cs="Calibri"/>
          <w:sz w:val="22"/>
          <w:szCs w:val="22"/>
        </w:rPr>
        <w:t>failure</w:t>
      </w:r>
      <w:proofErr w:type="gramEnd"/>
      <w:r w:rsidRPr="00C86E49">
        <w:rPr>
          <w:rStyle w:val="normaltextrun"/>
          <w:rFonts w:ascii="Franklin Gothic Book" w:hAnsi="Franklin Gothic Book" w:cs="Calibri"/>
          <w:sz w:val="22"/>
          <w:szCs w:val="22"/>
        </w:rPr>
        <w:t xml:space="preserve"> and risk of bleeding at the site.</w:t>
      </w:r>
      <w:r w:rsidRPr="00C86E49">
        <w:rPr>
          <w:rStyle w:val="eop"/>
          <w:rFonts w:ascii="Franklin Gothic Book" w:hAnsi="Franklin Gothic Book" w:cs="Calibri"/>
          <w:sz w:val="22"/>
          <w:szCs w:val="22"/>
        </w:rPr>
        <w:t> </w:t>
      </w:r>
    </w:p>
    <w:p w14:paraId="3776E000" w14:textId="77777777" w:rsidR="00F36F57" w:rsidRPr="00C86E49" w:rsidRDefault="00F36F57" w:rsidP="00F36F57">
      <w:pPr>
        <w:pStyle w:val="paragraph"/>
        <w:spacing w:before="240" w:beforeAutospacing="0" w:after="0" w:afterAutospacing="0"/>
        <w:textAlignment w:val="baseline"/>
        <w:rPr>
          <w:rFonts w:ascii="Franklin Gothic Book" w:hAnsi="Franklin Gothic Book" w:cs="Segoe UI"/>
          <w:color w:val="000000"/>
          <w:sz w:val="22"/>
          <w:szCs w:val="22"/>
        </w:rPr>
      </w:pPr>
      <w:r w:rsidRPr="00C86E49">
        <w:rPr>
          <w:rStyle w:val="normaltextrun"/>
          <w:rFonts w:ascii="Franklin Gothic Book" w:hAnsi="Franklin Gothic Book" w:cs="Calibri"/>
          <w:b/>
          <w:bCs/>
          <w:sz w:val="22"/>
          <w:szCs w:val="22"/>
        </w:rPr>
        <w:t>Other comments </w:t>
      </w:r>
      <w:r w:rsidRPr="00C86E49">
        <w:rPr>
          <w:rStyle w:val="eop"/>
          <w:rFonts w:ascii="Franklin Gothic Book" w:hAnsi="Franklin Gothic Book" w:cs="Calibri"/>
          <w:sz w:val="22"/>
          <w:szCs w:val="22"/>
        </w:rPr>
        <w:t> </w:t>
      </w:r>
    </w:p>
    <w:p w14:paraId="35C7B2FB" w14:textId="5BC9D04F" w:rsidR="00932DE9" w:rsidRPr="00C86E49" w:rsidRDefault="00F36F57" w:rsidP="00F36F57">
      <w:pPr>
        <w:pStyle w:val="paragraph"/>
        <w:spacing w:before="0" w:beforeAutospacing="0" w:after="0" w:afterAutospacing="0"/>
        <w:textAlignment w:val="baseline"/>
        <w:rPr>
          <w:rFonts w:ascii="Franklin Gothic Book" w:hAnsi="Franklin Gothic Book" w:cs="Segoe UI"/>
          <w:color w:val="000000"/>
          <w:sz w:val="22"/>
          <w:szCs w:val="22"/>
        </w:rPr>
      </w:pPr>
      <w:r w:rsidRPr="00C86E49">
        <w:rPr>
          <w:rStyle w:val="normaltextrun"/>
          <w:rFonts w:ascii="Franklin Gothic Book" w:hAnsi="Franklin Gothic Book" w:cs="Calibri"/>
          <w:sz w:val="22"/>
          <w:szCs w:val="22"/>
        </w:rPr>
        <w:t>The feedback noted patient selection is important, as well as providing patients with multi-disciplinary team care (</w:t>
      </w:r>
      <w:proofErr w:type="gramStart"/>
      <w:r w:rsidRPr="00C86E49">
        <w:rPr>
          <w:rStyle w:val="normaltextrun"/>
          <w:rFonts w:ascii="Franklin Gothic Book" w:hAnsi="Franklin Gothic Book" w:cs="Calibri"/>
          <w:sz w:val="22"/>
          <w:szCs w:val="22"/>
        </w:rPr>
        <w:t>e.g.</w:t>
      </w:r>
      <w:proofErr w:type="gramEnd"/>
      <w:r w:rsidRPr="00C86E49">
        <w:rPr>
          <w:rStyle w:val="normaltextrun"/>
          <w:rFonts w:ascii="Franklin Gothic Book" w:hAnsi="Franklin Gothic Book" w:cs="Calibri"/>
          <w:sz w:val="22"/>
          <w:szCs w:val="22"/>
        </w:rPr>
        <w:t xml:space="preserve"> dieticians, pharmacists, physiotherapists, psychologists and social workers).</w:t>
      </w:r>
      <w:r w:rsidRPr="00C86E49">
        <w:rPr>
          <w:rStyle w:val="eop"/>
          <w:rFonts w:ascii="Franklin Gothic Book" w:hAnsi="Franklin Gothic Book" w:cs="Calibri"/>
          <w:sz w:val="22"/>
          <w:szCs w:val="22"/>
        </w:rPr>
        <w:t> </w:t>
      </w:r>
    </w:p>
    <w:p w14:paraId="03C7A1F1" w14:textId="0402DE72" w:rsidR="00772829" w:rsidRPr="00C86E49" w:rsidRDefault="00F36F57" w:rsidP="002A18BE">
      <w:pPr>
        <w:pStyle w:val="Heading2"/>
        <w:numPr>
          <w:ilvl w:val="0"/>
          <w:numId w:val="0"/>
        </w:numPr>
      </w:pPr>
      <w:r w:rsidRPr="00C86E49">
        <w:t>10</w:t>
      </w:r>
      <w:r w:rsidR="00C36633" w:rsidRPr="00C86E49">
        <w:t>.</w:t>
      </w:r>
      <w:r w:rsidR="00C36633" w:rsidRPr="00C86E49">
        <w:tab/>
      </w:r>
      <w:r w:rsidR="00772829" w:rsidRPr="00C86E49">
        <w:t>Characteristics of the evidence base</w:t>
      </w:r>
      <w:bookmarkEnd w:id="23"/>
    </w:p>
    <w:p w14:paraId="6ABECF99" w14:textId="7ED8FB10" w:rsidR="00013474" w:rsidRPr="00C86E49" w:rsidRDefault="00FC594D" w:rsidP="006B1628">
      <w:bookmarkStart w:id="24" w:name="_Hlk68276176"/>
      <w:r w:rsidRPr="00C86E49">
        <w:t xml:space="preserve">The </w:t>
      </w:r>
      <w:r w:rsidR="00ED2DCB" w:rsidRPr="00C86E49">
        <w:t xml:space="preserve">ADAR </w:t>
      </w:r>
      <w:r w:rsidRPr="00C86E49">
        <w:t>literature search</w:t>
      </w:r>
      <w:r w:rsidR="00770F41" w:rsidRPr="00C86E49">
        <w:t>es</w:t>
      </w:r>
      <w:r w:rsidRPr="00C86E49">
        <w:t xml:space="preserve"> sought to identify all comparative clinical studies of IMPELLA </w:t>
      </w:r>
      <w:r w:rsidR="00770F41" w:rsidRPr="00C86E49">
        <w:t xml:space="preserve">or ECPELLA </w:t>
      </w:r>
      <w:r w:rsidRPr="00C86E49">
        <w:t xml:space="preserve">versus VA-ECMO in patients with CS. </w:t>
      </w:r>
      <w:r w:rsidR="00013474" w:rsidRPr="00C86E49">
        <w:t xml:space="preserve">The ADAR identified no relevant </w:t>
      </w:r>
      <w:r w:rsidR="00245BB1" w:rsidRPr="00C86E49">
        <w:t>RCT</w:t>
      </w:r>
      <w:r w:rsidR="00876770" w:rsidRPr="00C86E49">
        <w:t>s</w:t>
      </w:r>
      <w:r w:rsidR="00013474" w:rsidRPr="00C86E49">
        <w:t xml:space="preserve">. </w:t>
      </w:r>
      <w:r w:rsidR="002E7D9B" w:rsidRPr="00C86E49">
        <w:t>One RCT</w:t>
      </w:r>
      <w:r w:rsidR="00431F2E" w:rsidRPr="00C86E49">
        <w:t xml:space="preserve"> </w:t>
      </w:r>
      <w:r w:rsidR="00E55D5D" w:rsidRPr="00C86E49">
        <w:t xml:space="preserve">currently </w:t>
      </w:r>
      <w:r w:rsidR="00431F2E" w:rsidRPr="00C86E49">
        <w:t>in-progress</w:t>
      </w:r>
      <w:r w:rsidR="002E7D9B" w:rsidRPr="00C86E49">
        <w:t xml:space="preserve"> </w:t>
      </w:r>
      <w:r w:rsidR="00431F2E" w:rsidRPr="00C86E49">
        <w:t>(</w:t>
      </w:r>
      <w:r w:rsidR="00463B65" w:rsidRPr="00C86E49">
        <w:t xml:space="preserve">UNLOAD ECMO </w:t>
      </w:r>
      <w:r w:rsidR="00431F2E" w:rsidRPr="00C86E49">
        <w:t>[</w:t>
      </w:r>
      <w:r w:rsidR="00463B65" w:rsidRPr="00C86E49">
        <w:t>NCT05577195</w:t>
      </w:r>
      <w:r w:rsidR="00E55D5D" w:rsidRPr="00C86E49">
        <w:t>]</w:t>
      </w:r>
      <w:r w:rsidR="00463B65" w:rsidRPr="00C86E49">
        <w:t>)</w:t>
      </w:r>
      <w:r w:rsidR="00E55D5D" w:rsidRPr="00C86E49">
        <w:t xml:space="preserve"> was identified that</w:t>
      </w:r>
      <w:r w:rsidR="00892DD9" w:rsidRPr="00C86E49">
        <w:t xml:space="preserve"> could potentially provide data of relevance to the ADAR for the ECPELLA population. </w:t>
      </w:r>
      <w:r w:rsidR="00334707" w:rsidRPr="00C86E49">
        <w:t>According to ClinicalTrials.gov</w:t>
      </w:r>
      <w:r w:rsidR="00233FB8" w:rsidRPr="00C86E49">
        <w:t>,</w:t>
      </w:r>
      <w:r w:rsidR="00334707" w:rsidRPr="00C86E49">
        <w:t xml:space="preserve"> the study</w:t>
      </w:r>
      <w:r w:rsidR="00E55D5D" w:rsidRPr="00C86E49">
        <w:t xml:space="preserve"> is currently recruiting participants and</w:t>
      </w:r>
      <w:r w:rsidR="00334707" w:rsidRPr="00C86E49">
        <w:t xml:space="preserve"> has an estimated completion date of December 2025. </w:t>
      </w:r>
    </w:p>
    <w:p w14:paraId="31F273AE" w14:textId="4E7E7584" w:rsidR="00C54736" w:rsidRPr="00C86E49" w:rsidRDefault="0042346C" w:rsidP="006B1628">
      <w:r w:rsidRPr="00C86E49">
        <w:t xml:space="preserve">Included studies were </w:t>
      </w:r>
      <w:r w:rsidR="00A752CC" w:rsidRPr="00C86E49">
        <w:t xml:space="preserve">categorised </w:t>
      </w:r>
      <w:r w:rsidRPr="00C86E49">
        <w:t>according to</w:t>
      </w:r>
      <w:r w:rsidR="00905492" w:rsidRPr="00C86E49">
        <w:t xml:space="preserve"> </w:t>
      </w:r>
      <w:proofErr w:type="gramStart"/>
      <w:r w:rsidR="00905492" w:rsidRPr="00C86E49">
        <w:t>whether or not</w:t>
      </w:r>
      <w:proofErr w:type="gramEnd"/>
      <w:r w:rsidR="00905492" w:rsidRPr="00C86E49">
        <w:t xml:space="preserve"> they used propensity score matching </w:t>
      </w:r>
      <w:r w:rsidR="00C4428B" w:rsidRPr="00C86E49">
        <w:t xml:space="preserve">(PSM) </w:t>
      </w:r>
      <w:r w:rsidR="00905492" w:rsidRPr="00C86E49">
        <w:t>and/or other adjustmen</w:t>
      </w:r>
      <w:r w:rsidR="0028512C" w:rsidRPr="00C86E49">
        <w:t>t methods to</w:t>
      </w:r>
      <w:r w:rsidR="00905492" w:rsidRPr="00C86E49">
        <w:t xml:space="preserve"> </w:t>
      </w:r>
      <w:r w:rsidR="00522C5B" w:rsidRPr="00C86E49">
        <w:t xml:space="preserve">account for differences in </w:t>
      </w:r>
      <w:r w:rsidR="00753E7C" w:rsidRPr="00C86E49">
        <w:t xml:space="preserve">demographic and </w:t>
      </w:r>
      <w:r w:rsidR="00784D80" w:rsidRPr="00C86E49">
        <w:t xml:space="preserve">baseline disease characteristics of participants. </w:t>
      </w:r>
      <w:r w:rsidR="00C8365A" w:rsidRPr="00C86E49">
        <w:t xml:space="preserve">The ADAR considered studies that were matched or adjusted as ‘pivotal’ evidence and unmatched/unadjusted studies as ‘supportive’ evidence. </w:t>
      </w:r>
      <w:r w:rsidR="00AE2FB1" w:rsidRPr="00C86E49">
        <w:t xml:space="preserve">The commentary noted that although this </w:t>
      </w:r>
      <w:r w:rsidR="00B91359" w:rsidRPr="00C86E49">
        <w:t xml:space="preserve">represented </w:t>
      </w:r>
      <w:r w:rsidR="00AE2FB1" w:rsidRPr="00C86E49">
        <w:t xml:space="preserve">an improvement on the naïve comparisons </w:t>
      </w:r>
      <w:r w:rsidR="000B6188" w:rsidRPr="00C86E49">
        <w:t>presented</w:t>
      </w:r>
      <w:r w:rsidR="00AE2FB1" w:rsidRPr="00C86E49">
        <w:t xml:space="preserve"> in </w:t>
      </w:r>
      <w:r w:rsidR="00110980" w:rsidRPr="00C86E49">
        <w:t>M</w:t>
      </w:r>
      <w:r w:rsidR="00D200E7" w:rsidRPr="00C86E49">
        <w:t>S</w:t>
      </w:r>
      <w:r w:rsidR="00110980" w:rsidRPr="00C86E49">
        <w:t>AC a</w:t>
      </w:r>
      <w:r w:rsidR="00AE2FB1" w:rsidRPr="00C86E49">
        <w:t xml:space="preserve">pplication 1523, </w:t>
      </w:r>
      <w:r w:rsidR="00ED30DF" w:rsidRPr="00C86E49">
        <w:t>some residual confounding may still exist</w:t>
      </w:r>
      <w:r w:rsidR="007708FD" w:rsidRPr="00C86E49">
        <w:t>;</w:t>
      </w:r>
      <w:r w:rsidR="000B30A8" w:rsidRPr="00C86E49">
        <w:t xml:space="preserve"> a limitation also acknowledged by the ADAR</w:t>
      </w:r>
      <w:r w:rsidR="00ED30DF" w:rsidRPr="00C86E49">
        <w:t>.</w:t>
      </w:r>
      <w:r w:rsidR="006E7F51" w:rsidRPr="00C86E49">
        <w:t xml:space="preserve"> The commentary noted that the availability of a well-designed and well-conducted RCT would provide the best evidence to inform the clinical therapeutic conclusions</w:t>
      </w:r>
      <w:r w:rsidR="0026508F" w:rsidRPr="00C86E49">
        <w:t>.</w:t>
      </w:r>
    </w:p>
    <w:p w14:paraId="5CDDF1B8" w14:textId="7A0B5C3E" w:rsidR="00DC56C7" w:rsidRPr="00C86E49" w:rsidRDefault="00DF12F9" w:rsidP="006B1628">
      <w:r w:rsidRPr="00C86E49">
        <w:t>Overall, there were 25 non-randomised studies included in th</w:t>
      </w:r>
      <w:r w:rsidR="004E594F" w:rsidRPr="00C86E49">
        <w:t>e</w:t>
      </w:r>
      <w:r w:rsidRPr="00C86E49">
        <w:t xml:space="preserve"> ADAR. </w:t>
      </w:r>
      <w:r w:rsidR="002142C3" w:rsidRPr="00C86E49">
        <w:t xml:space="preserve">Some </w:t>
      </w:r>
      <w:r w:rsidRPr="00C86E49">
        <w:t>studies</w:t>
      </w:r>
      <w:r w:rsidR="002142C3" w:rsidRPr="00C86E49">
        <w:t xml:space="preserve"> provided both matched/adjusted and unmatched/unadjusted data or provided data for multiple treatment arms and </w:t>
      </w:r>
      <w:r w:rsidR="00AF5BA8" w:rsidRPr="00C86E49">
        <w:t xml:space="preserve">may </w:t>
      </w:r>
      <w:r w:rsidR="0026508F" w:rsidRPr="00C86E49">
        <w:t>have been</w:t>
      </w:r>
      <w:r w:rsidR="002142C3" w:rsidRPr="00C86E49">
        <w:t xml:space="preserve"> included in more than one group.</w:t>
      </w:r>
    </w:p>
    <w:p w14:paraId="09F3E1B3" w14:textId="154E41B8" w:rsidR="00F22ACF" w:rsidRPr="00C86E49" w:rsidRDefault="00A67470" w:rsidP="006B1628">
      <w:r w:rsidRPr="00C86E49">
        <w:t>Eight of the IMPELLA versus VA-ECMO studies and five of the ECPELLA versus VA-ECMO</w:t>
      </w:r>
      <w:r w:rsidR="006F10E0" w:rsidRPr="00C86E49">
        <w:t xml:space="preserve"> </w:t>
      </w:r>
      <w:r w:rsidRPr="00C86E49">
        <w:t>±</w:t>
      </w:r>
      <w:r w:rsidR="006F10E0" w:rsidRPr="00C86E49">
        <w:t xml:space="preserve"> </w:t>
      </w:r>
      <w:r w:rsidRPr="00C86E49">
        <w:t xml:space="preserve">SV studies were conducted in larger registries, claims databases, or hospital databases </w:t>
      </w:r>
      <w:r w:rsidR="007F534F" w:rsidRPr="00C86E49">
        <w:t>with</w:t>
      </w:r>
      <w:r w:rsidRPr="00C86E49">
        <w:t xml:space="preserve"> multiple centres. </w:t>
      </w:r>
      <w:r w:rsidR="00F22ACF" w:rsidRPr="00C86E49">
        <w:t>These studies may be prone to reporting bias relating to consistency and accuracy in reporting (for example diagnosis of CS), and extent of reporting (for example, haemodynamic and laboratory results, procedure details, or procedural complications). While the ADAR reported that this bias is unlikely to influence the study results due its non-differential nature, the commentary disagreed, noting that important differences in the characteristics of the two groups may not have been captured.</w:t>
      </w:r>
    </w:p>
    <w:p w14:paraId="2E0543FB" w14:textId="57DA93F0" w:rsidR="0093677C" w:rsidRPr="00C86E49" w:rsidRDefault="0093677C" w:rsidP="0093677C">
      <w:r w:rsidRPr="00C86E49">
        <w:t>The studies included in th</w:t>
      </w:r>
      <w:r w:rsidR="00176B03" w:rsidRPr="00C86E49">
        <w:t>e</w:t>
      </w:r>
      <w:r w:rsidRPr="00C86E49">
        <w:t xml:space="preserve"> ADAR represent</w:t>
      </w:r>
      <w:r w:rsidR="00176B03" w:rsidRPr="00C86E49">
        <w:t>ed</w:t>
      </w:r>
      <w:r w:rsidRPr="00C86E49">
        <w:t xml:space="preserve"> a diverse range of CS patients recruited through varied eligibility criteria. While trial populations differ</w:t>
      </w:r>
      <w:r w:rsidR="00176B03" w:rsidRPr="00C86E49">
        <w:t>ed</w:t>
      </w:r>
      <w:r w:rsidRPr="00C86E49">
        <w:t xml:space="preserve">, when taken together the </w:t>
      </w:r>
      <w:r w:rsidR="005C6F34" w:rsidRPr="00C86E49">
        <w:t xml:space="preserve">ADAR proposed that </w:t>
      </w:r>
      <w:r w:rsidR="00F37E81" w:rsidRPr="00C86E49">
        <w:t xml:space="preserve">the </w:t>
      </w:r>
      <w:r w:rsidRPr="00C86E49">
        <w:t>trials reflect the epidemiology of CS</w:t>
      </w:r>
      <w:r w:rsidR="00176B03" w:rsidRPr="00C86E49">
        <w:t>;</w:t>
      </w:r>
      <w:r w:rsidRPr="00C86E49">
        <w:t xml:space="preserve"> that is, a population that </w:t>
      </w:r>
      <w:r w:rsidR="00176B03" w:rsidRPr="00C86E49">
        <w:t xml:space="preserve">is </w:t>
      </w:r>
      <w:r w:rsidR="00E01B8A" w:rsidRPr="00C86E49">
        <w:t>variable</w:t>
      </w:r>
      <w:r w:rsidRPr="00C86E49">
        <w:t xml:space="preserve"> with regards to </w:t>
      </w:r>
      <w:r w:rsidRPr="00C86E49">
        <w:lastRenderedPageBreak/>
        <w:t xml:space="preserve">shock aetiology, physiological </w:t>
      </w:r>
      <w:proofErr w:type="gramStart"/>
      <w:r w:rsidRPr="00C86E49">
        <w:t>parameters</w:t>
      </w:r>
      <w:proofErr w:type="gramEnd"/>
      <w:r w:rsidRPr="00C86E49">
        <w:t xml:space="preserve"> and shock severity, with decisions to treat made by a</w:t>
      </w:r>
      <w:r w:rsidR="00505EFB" w:rsidRPr="00C86E49">
        <w:t>n</w:t>
      </w:r>
      <w:r w:rsidRPr="00C86E49">
        <w:t xml:space="preserve"> MDT.</w:t>
      </w:r>
    </w:p>
    <w:p w14:paraId="4F8201B3" w14:textId="1A6904E7" w:rsidR="00584C1A" w:rsidRPr="00C86E49" w:rsidRDefault="00584C1A" w:rsidP="0093677C">
      <w:r w:rsidRPr="00C86E49">
        <w:t xml:space="preserve">The ADAR noted that studies that included patients with post cardiac arrest </w:t>
      </w:r>
      <w:r w:rsidR="000F6BE3" w:rsidRPr="00C86E49">
        <w:t>CS</w:t>
      </w:r>
      <w:r w:rsidRPr="00C86E49">
        <w:t xml:space="preserve"> (CA-CS) should be interpreted with caution due to the mortality risk of this group substantially exceeding that of patients with CS alone. These patients may have anoxic brain injury, an exclusion criterion based on the proposed population in the PICO, raising concerns regarding applicability.</w:t>
      </w:r>
    </w:p>
    <w:p w14:paraId="2118EB5F" w14:textId="0B4A99A3" w:rsidR="00631C30" w:rsidRPr="00C86E49" w:rsidRDefault="00E91CE9" w:rsidP="00D74BBB">
      <w:pPr>
        <w:pStyle w:val="Heading3"/>
      </w:pPr>
      <w:r w:rsidRPr="00C86E49">
        <w:t>IMPELLA</w:t>
      </w:r>
      <w:r w:rsidR="003309AD" w:rsidRPr="00C86E49">
        <w:t xml:space="preserve"> versus VA-ECMO</w:t>
      </w:r>
    </w:p>
    <w:p w14:paraId="19C0B557" w14:textId="52FC3D87" w:rsidR="00631C30" w:rsidRPr="00C86E49" w:rsidRDefault="001C6DBD" w:rsidP="001C6DBD">
      <w:r w:rsidRPr="00C86E49">
        <w:t>The ADAR</w:t>
      </w:r>
      <w:r w:rsidR="00B238B9" w:rsidRPr="00C86E49">
        <w:t xml:space="preserve"> included a total of 15 studies </w:t>
      </w:r>
      <w:r w:rsidR="00E91CE9" w:rsidRPr="00C86E49">
        <w:t xml:space="preserve">that </w:t>
      </w:r>
      <w:r w:rsidR="00B238B9" w:rsidRPr="00C86E49">
        <w:t xml:space="preserve">met the inclusion criteria for assessing the safety and effectiveness of IMPELLA compared to VA-ECMO. </w:t>
      </w:r>
      <w:r w:rsidR="00AF5BA8" w:rsidRPr="00C86E49">
        <w:t xml:space="preserve">The </w:t>
      </w:r>
      <w:r w:rsidR="001F7567" w:rsidRPr="00C86E49">
        <w:t>matched/adjusted</w:t>
      </w:r>
      <w:r w:rsidR="008E2C03" w:rsidRPr="00C86E49">
        <w:t xml:space="preserve"> </w:t>
      </w:r>
      <w:r w:rsidR="00AF5BA8" w:rsidRPr="00C86E49">
        <w:t xml:space="preserve">study characteristics are summarised in </w:t>
      </w:r>
      <w:r w:rsidR="00AB1F6E" w:rsidRPr="00C86E49">
        <w:rPr>
          <w:color w:val="2B579A"/>
          <w:shd w:val="clear" w:color="auto" w:fill="E6E6E6"/>
        </w:rPr>
        <w:fldChar w:fldCharType="begin"/>
      </w:r>
      <w:r w:rsidR="00AB1F6E" w:rsidRPr="00C86E49">
        <w:instrText xml:space="preserve"> REF _Ref151733449 \h </w:instrText>
      </w:r>
      <w:r w:rsidR="00C86E49">
        <w:rPr>
          <w:color w:val="2B579A"/>
          <w:shd w:val="clear" w:color="auto" w:fill="E6E6E6"/>
        </w:rPr>
        <w:instrText xml:space="preserve"> \* MERGEFORMAT </w:instrText>
      </w:r>
      <w:r w:rsidR="00AB1F6E" w:rsidRPr="00C86E49">
        <w:rPr>
          <w:color w:val="2B579A"/>
          <w:shd w:val="clear" w:color="auto" w:fill="E6E6E6"/>
        </w:rPr>
      </w:r>
      <w:r w:rsidR="00AB1F6E" w:rsidRPr="00C86E49">
        <w:rPr>
          <w:color w:val="2B579A"/>
          <w:shd w:val="clear" w:color="auto" w:fill="E6E6E6"/>
        </w:rPr>
        <w:fldChar w:fldCharType="separate"/>
      </w:r>
      <w:r w:rsidR="00EF3514" w:rsidRPr="00C86E49">
        <w:t xml:space="preserve">Table </w:t>
      </w:r>
      <w:r w:rsidR="00EF3514" w:rsidRPr="00C86E49">
        <w:rPr>
          <w:noProof/>
        </w:rPr>
        <w:t>6</w:t>
      </w:r>
      <w:r w:rsidR="00AB1F6E" w:rsidRPr="00C86E49">
        <w:rPr>
          <w:color w:val="2B579A"/>
          <w:shd w:val="clear" w:color="auto" w:fill="E6E6E6"/>
        </w:rPr>
        <w:fldChar w:fldCharType="end"/>
      </w:r>
      <w:r w:rsidR="005E11AA" w:rsidRPr="00C86E49">
        <w:t>.</w:t>
      </w:r>
    </w:p>
    <w:p w14:paraId="4451906D" w14:textId="11EF84E1" w:rsidR="003060F3" w:rsidRPr="00C86E49" w:rsidRDefault="003060F3" w:rsidP="003060F3">
      <w:r w:rsidRPr="00C86E49">
        <w:t>A key limitation of the included studies was that device selection (IMPELLA or VA-ECMO</w:t>
      </w:r>
      <w:proofErr w:type="gramStart"/>
      <w:r w:rsidRPr="00C86E49">
        <w:t>)</w:t>
      </w:r>
      <w:proofErr w:type="gramEnd"/>
      <w:r w:rsidRPr="00C86E49">
        <w:t xml:space="preserve"> and timing of device implantation was decided by the treating physician, guided by local policies, institutional algorithms, individual preferences, and/or experience. This could reduce the comparability of the patients in each study arm and introduce selection bias. While few studies provided details around how the decision for device selection was made, it appeared that patients with unilateral LV failure were treated with IMPELLA, while patients with biventricular failure and/or severe concomitant respiratory dysfunction were treated with VA-ECMO.</w:t>
      </w:r>
    </w:p>
    <w:p w14:paraId="72B1BFF2" w14:textId="4014BD3B" w:rsidR="00D955F3" w:rsidRPr="00C86E49" w:rsidRDefault="00DC3F11" w:rsidP="001C6DBD">
      <w:r w:rsidRPr="00C86E49">
        <w:t>Of the</w:t>
      </w:r>
      <w:r w:rsidR="00552E46" w:rsidRPr="00C86E49">
        <w:t xml:space="preserve"> </w:t>
      </w:r>
      <w:r w:rsidR="00720848" w:rsidRPr="00C86E49">
        <w:t>six</w:t>
      </w:r>
      <w:r w:rsidR="00552E46" w:rsidRPr="00C86E49">
        <w:t xml:space="preserve"> </w:t>
      </w:r>
      <w:r w:rsidR="00BE139D" w:rsidRPr="00C86E49">
        <w:t xml:space="preserve">matched/adjusted </w:t>
      </w:r>
      <w:r w:rsidR="00D955F3" w:rsidRPr="00C86E49">
        <w:t>studies</w:t>
      </w:r>
      <w:r w:rsidR="00552E46" w:rsidRPr="00C86E49">
        <w:t xml:space="preserve">, </w:t>
      </w:r>
      <w:r w:rsidR="00720848" w:rsidRPr="00C86E49">
        <w:t>four</w:t>
      </w:r>
      <w:r w:rsidR="00D955F3" w:rsidRPr="00C86E49">
        <w:t xml:space="preserve"> </w:t>
      </w:r>
      <w:r w:rsidR="00C4428B" w:rsidRPr="00C86E49">
        <w:t xml:space="preserve">used PSM </w:t>
      </w:r>
      <w:r w:rsidR="00464C0D" w:rsidRPr="00C86E49">
        <w:t>to balance covariates</w:t>
      </w:r>
      <w:r w:rsidR="00D955F3" w:rsidRPr="00C86E49">
        <w:t xml:space="preserve">, </w:t>
      </w:r>
      <w:r w:rsidR="00720848" w:rsidRPr="00C86E49">
        <w:t>one</w:t>
      </w:r>
      <w:r w:rsidR="00D955F3" w:rsidRPr="00C86E49">
        <w:t xml:space="preserve"> conducted propensity score adjusted analyses</w:t>
      </w:r>
      <w:r w:rsidR="004427CD" w:rsidRPr="00C86E49">
        <w:t xml:space="preserve"> and</w:t>
      </w:r>
      <w:r w:rsidR="00D955F3" w:rsidRPr="00C86E49">
        <w:t xml:space="preserve"> </w:t>
      </w:r>
      <w:r w:rsidR="00720848" w:rsidRPr="00C86E49">
        <w:t>one</w:t>
      </w:r>
      <w:r w:rsidR="00D955F3" w:rsidRPr="00C86E49">
        <w:t xml:space="preserve"> conducted SAVE score-adjusted analyses of mortality</w:t>
      </w:r>
      <w:r w:rsidR="004427CD" w:rsidRPr="00C86E49">
        <w:t>.</w:t>
      </w:r>
      <w:r w:rsidR="004B5D0F" w:rsidRPr="00C86E49">
        <w:rPr>
          <w:rStyle w:val="FootnoteReference"/>
        </w:rPr>
        <w:footnoteReference w:id="8"/>
      </w:r>
      <w:r w:rsidR="004427CD" w:rsidRPr="00C86E49">
        <w:t xml:space="preserve"> </w:t>
      </w:r>
      <w:r w:rsidR="005F3BD7" w:rsidRPr="00C86E49">
        <w:t>The commentary noted that the extent of matching</w:t>
      </w:r>
      <w:r w:rsidR="00E100DC" w:rsidRPr="00C86E49">
        <w:t>/adjustment</w:t>
      </w:r>
      <w:r w:rsidR="005F3BD7" w:rsidRPr="00C86E49">
        <w:t xml:space="preserve"> varied across the studies and the selection of matched variables was often influenced by the data fields available rather than important predictors of mortality. The methods of statistical adjustment used in </w:t>
      </w:r>
      <w:r w:rsidR="00B07A81" w:rsidRPr="00C86E49">
        <w:t>the two adjusted studies</w:t>
      </w:r>
      <w:r w:rsidR="005F3BD7" w:rsidRPr="00C86E49">
        <w:t xml:space="preserve"> are not as effective as </w:t>
      </w:r>
      <w:r w:rsidR="00E100DC" w:rsidRPr="00C86E49">
        <w:t>PSM</w:t>
      </w:r>
      <w:r w:rsidR="005F3BD7" w:rsidRPr="00C86E49">
        <w:t xml:space="preserve"> in terms of addressing potential confounding</w:t>
      </w:r>
      <w:r w:rsidR="001D5A68" w:rsidRPr="00C86E49">
        <w:t>.</w:t>
      </w:r>
    </w:p>
    <w:p w14:paraId="743A626F" w14:textId="797B1F10" w:rsidR="005F62DC" w:rsidRPr="00C86E49" w:rsidRDefault="003060F3" w:rsidP="003060F3">
      <w:r w:rsidRPr="00C86E49">
        <w:t>In general, the ADAR assessed the matched/adjusted studies to be at moderate risk of bias</w:t>
      </w:r>
      <w:r w:rsidR="00361165" w:rsidRPr="00C86E49">
        <w:t xml:space="preserve"> and the unmatched/unadjusted studies to be at high risk of bias</w:t>
      </w:r>
      <w:r w:rsidRPr="00C86E49">
        <w:t xml:space="preserve">. </w:t>
      </w:r>
      <w:r w:rsidR="00185C50" w:rsidRPr="00C86E49">
        <w:t>Of note,</w:t>
      </w:r>
      <w:r w:rsidR="005F62DC" w:rsidRPr="00C86E49">
        <w:t xml:space="preserve"> </w:t>
      </w:r>
      <w:r w:rsidR="00504638" w:rsidRPr="00C86E49">
        <w:t xml:space="preserve">nearly 10% of patients in Karatolios (2021) received both devices but were analysed according to the first device implanted (20 patients received IMPELLA first and 22 patients received VA-ECMO first). </w:t>
      </w:r>
      <w:r w:rsidR="002E403F" w:rsidRPr="00C86E49">
        <w:t xml:space="preserve">In the VA-ECMO cohort of Schiller (2019), </w:t>
      </w:r>
      <w:r w:rsidR="00B56E0D" w:rsidRPr="00C86E49">
        <w:t>17</w:t>
      </w:r>
      <w:r w:rsidR="002E403F" w:rsidRPr="00C86E49">
        <w:t xml:space="preserve">% had concomitant support with IMPELLA </w:t>
      </w:r>
      <w:r w:rsidR="00B56E0D" w:rsidRPr="00C86E49">
        <w:t xml:space="preserve">and 22% </w:t>
      </w:r>
      <w:r w:rsidR="00F51723" w:rsidRPr="00C86E49">
        <w:t xml:space="preserve">of patients were treated with IABP or LV drainage. </w:t>
      </w:r>
      <w:r w:rsidR="002E403F" w:rsidRPr="00C86E49">
        <w:t>Lemor (2020) also reported in-hospital use of IABP in 50% of IMPELLA patients and 48% of VA-ECMO patients.</w:t>
      </w:r>
    </w:p>
    <w:p w14:paraId="3E664ABE" w14:textId="1516AE6D" w:rsidR="00A310A4" w:rsidRPr="00C86E49" w:rsidRDefault="00A310A4" w:rsidP="003060F3">
      <w:r w:rsidRPr="00C86E49">
        <w:t xml:space="preserve">The commentary identified potential for overlap in patients in two propensity matched retrospective cohort studies conducted at the same institution in Germany over a similar </w:t>
      </w:r>
      <w:proofErr w:type="gramStart"/>
      <w:r w:rsidRPr="00C86E49">
        <w:t>time period</w:t>
      </w:r>
      <w:proofErr w:type="gramEnd"/>
      <w:r w:rsidRPr="00C86E49">
        <w:t xml:space="preserve"> (Karatolios 2021</w:t>
      </w:r>
      <w:r w:rsidR="00663BA4" w:rsidRPr="00C86E49">
        <w:t>;</w:t>
      </w:r>
      <w:r w:rsidRPr="00C86E49">
        <w:t xml:space="preserve"> Syntila 2021) and two retrospective analyses that included Medicare patients in the U.S. over a similar time period (Lemor 2020</w:t>
      </w:r>
      <w:r w:rsidR="00663BA4" w:rsidRPr="00C86E49">
        <w:t>;</w:t>
      </w:r>
      <w:r w:rsidRPr="00C86E49">
        <w:t xml:space="preserve"> Vetrovec 2020).</w:t>
      </w:r>
    </w:p>
    <w:p w14:paraId="2697C225" w14:textId="46F5B0FF" w:rsidR="00381B9C" w:rsidRPr="00C86E49" w:rsidRDefault="00381B9C" w:rsidP="00D74BBB">
      <w:pPr>
        <w:pStyle w:val="Heading3"/>
      </w:pPr>
      <w:r w:rsidRPr="00C86E49">
        <w:t xml:space="preserve">ECPELLA versus VA-ECMO </w:t>
      </w:r>
      <w:r w:rsidR="00D531B8" w:rsidRPr="00C86E49">
        <w:t>with or without</w:t>
      </w:r>
      <w:r w:rsidRPr="00C86E49">
        <w:t xml:space="preserve"> </w:t>
      </w:r>
      <w:r w:rsidR="00D531B8" w:rsidRPr="00C86E49">
        <w:t>surgical venting</w:t>
      </w:r>
    </w:p>
    <w:p w14:paraId="26FFD431" w14:textId="5DF39A01" w:rsidR="00381B9C" w:rsidRPr="00C86E49" w:rsidRDefault="00381B9C" w:rsidP="00381B9C">
      <w:r w:rsidRPr="00C86E49">
        <w:t>The ADAR included a total of 13 studies that met the inclusion criteria for assessing the safety and effectiveness of ECPELLA compared to VA-ECMO ± SV. The matched/adjusted study characteristics are summarised in Table 13 and the unmatched/unadjusted study characteristics are summarised in Table 14.</w:t>
      </w:r>
      <w:r w:rsidR="00A7715B" w:rsidRPr="00C86E49">
        <w:t xml:space="preserve"> </w:t>
      </w:r>
    </w:p>
    <w:p w14:paraId="5A25FF5F" w14:textId="08AD1C5C" w:rsidR="007E29BC" w:rsidRPr="00C86E49" w:rsidRDefault="007E29BC" w:rsidP="007E29BC">
      <w:r w:rsidRPr="00C86E49">
        <w:lastRenderedPageBreak/>
        <w:t>As for the IMPELLA studies, there is potential for selection bias in the ECPELLA studies relating to device selection and timing of device implantation</w:t>
      </w:r>
      <w:r w:rsidR="00B63524" w:rsidRPr="00C86E49">
        <w:t>.</w:t>
      </w:r>
      <w:r w:rsidRPr="00C86E49">
        <w:t xml:space="preserve"> The commentary noted variation within and between the ECPELLA studies in the timing of IMPELLA insertion relative to VA-ECMO (before, simultaneous or after). </w:t>
      </w:r>
    </w:p>
    <w:p w14:paraId="681F8516" w14:textId="6255C8F2" w:rsidR="00F300E1" w:rsidRPr="00C86E49" w:rsidRDefault="00F300E1" w:rsidP="00F300E1">
      <w:r w:rsidRPr="00C86E49">
        <w:t xml:space="preserve">Of the five matched/adjusted studies, two </w:t>
      </w:r>
      <w:r w:rsidR="00120F12" w:rsidRPr="00C86E49">
        <w:t>used PSM</w:t>
      </w:r>
      <w:r w:rsidRPr="00C86E49">
        <w:t xml:space="preserve"> to balance covariates, two conducted multivariable adjustment analyses and one conducted inverse probability treatment weighting (IPTW)-adjusted analyses. The ADAR acknowledged that the variables used for matching/adjustment differed across the studies and may not have </w:t>
      </w:r>
      <w:r w:rsidR="00D820B1" w:rsidRPr="00C86E49">
        <w:t>considered</w:t>
      </w:r>
      <w:r w:rsidRPr="00C86E49">
        <w:t xml:space="preserve"> all predictors of mortality in patients with CS.</w:t>
      </w:r>
    </w:p>
    <w:p w14:paraId="0079762F" w14:textId="168ED2A3" w:rsidR="00041C4C" w:rsidRPr="00C86E49" w:rsidRDefault="00041C4C" w:rsidP="00041C4C">
      <w:r w:rsidRPr="00C86E49">
        <w:t xml:space="preserve">The ADAR assessed the matched/adjusted studies as moderate risk of bias, and the unmatched/unadjusted studies as high risk of bias. Overall, the commentary agreed, though </w:t>
      </w:r>
      <w:r w:rsidR="00664FD6" w:rsidRPr="00C86E49">
        <w:t>had</w:t>
      </w:r>
      <w:r w:rsidRPr="00C86E49">
        <w:t xml:space="preserve"> concerns in relation to study applicability</w:t>
      </w:r>
      <w:r w:rsidR="00602784" w:rsidRPr="00C86E49">
        <w:t xml:space="preserve">, conduct and </w:t>
      </w:r>
      <w:r w:rsidR="00153FBC" w:rsidRPr="00C86E49">
        <w:t>analysis</w:t>
      </w:r>
      <w:r w:rsidRPr="00C86E49">
        <w:t>.</w:t>
      </w:r>
    </w:p>
    <w:p w14:paraId="45DE7F30" w14:textId="754AEDB1" w:rsidR="004854FB" w:rsidRPr="00C86E49" w:rsidRDefault="004854FB" w:rsidP="00041C4C">
      <w:r w:rsidRPr="00C86E49">
        <w:t>Radakovic (2022) was the only matched/adjusted study to compare ECPELLA to VA-ECMO plus a surgical vent.</w:t>
      </w:r>
      <w:r w:rsidR="007E29BC" w:rsidRPr="00C86E49">
        <w:t xml:space="preserve"> </w:t>
      </w:r>
      <w:r w:rsidR="00B809DB" w:rsidRPr="00C86E49">
        <w:t xml:space="preserve">In Patel (2018), 20% of patients in the ECPELLA cohort and 31% in the VA-ECMO cohort also had </w:t>
      </w:r>
      <w:r w:rsidR="00FC096D" w:rsidRPr="00C86E49">
        <w:t>a surgical vent</w:t>
      </w:r>
      <w:r w:rsidR="00B809DB" w:rsidRPr="00C86E49">
        <w:t>.</w:t>
      </w:r>
      <w:r w:rsidR="006A05DB" w:rsidRPr="00C86E49">
        <w:t xml:space="preserve"> IABP use was reported in the ECPELLA and VA-ECMO cohorts in Patel (2018) and Pappalardo (2017).</w:t>
      </w:r>
    </w:p>
    <w:p w14:paraId="705EACE4" w14:textId="3443D387" w:rsidR="004F7004" w:rsidRPr="00C86E49" w:rsidRDefault="004F7004" w:rsidP="00886EB1">
      <w:r w:rsidRPr="00C86E49">
        <w:t>Of the matched/</w:t>
      </w:r>
      <w:r w:rsidR="00C86044" w:rsidRPr="00C86E49">
        <w:t xml:space="preserve"> </w:t>
      </w:r>
      <w:r w:rsidRPr="00C86E49">
        <w:t xml:space="preserve">adjusted studies, </w:t>
      </w:r>
      <w:r w:rsidR="00886EB1" w:rsidRPr="00C86E49">
        <w:t xml:space="preserve">Pappalardo (2017) and Radakovic (2022) were the only studies that </w:t>
      </w:r>
      <w:r w:rsidR="001102E3" w:rsidRPr="00C86E49">
        <w:t xml:space="preserve">restricted the ECPELLA cohort </w:t>
      </w:r>
      <w:r w:rsidR="008A2B6E" w:rsidRPr="00C86E49">
        <w:t>to</w:t>
      </w:r>
      <w:r w:rsidR="00886EB1" w:rsidRPr="00C86E49">
        <w:t xml:space="preserve"> patients under VA-ECMO support who received IMPELLA for therapeutic LV decompression. </w:t>
      </w:r>
      <w:r w:rsidR="00C454CF" w:rsidRPr="00C86E49">
        <w:t>Several studies</w:t>
      </w:r>
      <w:r w:rsidR="002531F4" w:rsidRPr="00C86E49">
        <w:t xml:space="preserve"> </w:t>
      </w:r>
      <w:r w:rsidR="00B43FE0" w:rsidRPr="00C86E49">
        <w:t xml:space="preserve">included patients in the ECPELLA cohort who received IMPELLA before </w:t>
      </w:r>
      <w:r w:rsidR="00166CAD" w:rsidRPr="00C86E49">
        <w:t>VA-ECMO (</w:t>
      </w:r>
      <w:r w:rsidR="00F253C4" w:rsidRPr="00C86E49">
        <w:t>20% in Patel</w:t>
      </w:r>
      <w:r w:rsidR="002531F4" w:rsidRPr="00C86E49">
        <w:t xml:space="preserve"> </w:t>
      </w:r>
      <w:r w:rsidR="00217333" w:rsidRPr="00C86E49">
        <w:t>2018</w:t>
      </w:r>
      <w:r w:rsidR="00854F8F" w:rsidRPr="00C86E49">
        <w:t>;</w:t>
      </w:r>
      <w:r w:rsidR="004D60C1" w:rsidRPr="00C86E49">
        <w:t xml:space="preserve"> </w:t>
      </w:r>
      <w:r w:rsidR="002531F4" w:rsidRPr="00C86E49">
        <w:t>56% in Schrage</w:t>
      </w:r>
      <w:r w:rsidR="00217333" w:rsidRPr="00C86E49">
        <w:t xml:space="preserve"> 2020b</w:t>
      </w:r>
      <w:r w:rsidR="00854F8F" w:rsidRPr="00C86E49">
        <w:t xml:space="preserve">; number not reported in </w:t>
      </w:r>
      <w:r w:rsidR="001F2AD5" w:rsidRPr="00C86E49">
        <w:t>Hendrickson 2022)</w:t>
      </w:r>
      <w:r w:rsidR="00C454CF" w:rsidRPr="00C86E49">
        <w:t>.</w:t>
      </w:r>
    </w:p>
    <w:p w14:paraId="07B52D72" w14:textId="41E47405" w:rsidR="00BB1142" w:rsidRPr="00C86E49" w:rsidRDefault="00BB1142" w:rsidP="00381B9C">
      <w:r w:rsidRPr="00C86E49">
        <w:t>The commentary noted there was potential for patient overlap in two studies that recruited patients from the same centre in Germany during overlapping time periods (Pappalardo 2017 and Schrage 2020b). Similarly, there was potential that patients included in Patel (2018) and Schrage (2020b) may also be included in Hendrickson (2022) if their data contributed to the National Inpatient Sample database.</w:t>
      </w:r>
    </w:p>
    <w:p w14:paraId="65FC94E9" w14:textId="70AA4BFD" w:rsidR="00251241" w:rsidRPr="00C86E49" w:rsidRDefault="00251241" w:rsidP="001C6DBD">
      <w:pPr>
        <w:sectPr w:rsidR="00251241" w:rsidRPr="00C86E49" w:rsidSect="00B245D1">
          <w:footerReference w:type="even" r:id="rId13"/>
          <w:footerReference w:type="default" r:id="rId14"/>
          <w:type w:val="oddPage"/>
          <w:pgSz w:w="11906" w:h="16838"/>
          <w:pgMar w:top="1440" w:right="1440" w:bottom="1440" w:left="1440" w:header="708" w:footer="708" w:gutter="0"/>
          <w:cols w:space="708"/>
          <w:docGrid w:linePitch="360"/>
        </w:sectPr>
      </w:pPr>
    </w:p>
    <w:p w14:paraId="4EBEA5E9" w14:textId="2A7F9189" w:rsidR="00EB3037" w:rsidRPr="00C86E49" w:rsidRDefault="00EB3037" w:rsidP="00EB3037">
      <w:pPr>
        <w:pStyle w:val="Caption"/>
      </w:pPr>
      <w:bookmarkStart w:id="25" w:name="_Ref151733449"/>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6</w:t>
      </w:r>
      <w:r w:rsidR="007552E5">
        <w:rPr>
          <w:noProof/>
        </w:rPr>
        <w:fldChar w:fldCharType="end"/>
      </w:r>
      <w:bookmarkEnd w:id="25"/>
      <w:r w:rsidRPr="00C86E49">
        <w:tab/>
        <w:t xml:space="preserve">Key features of the </w:t>
      </w:r>
      <w:r w:rsidR="006A5F66" w:rsidRPr="00C86E49">
        <w:t>pivotal</w:t>
      </w:r>
      <w:r w:rsidRPr="00C86E49">
        <w:t xml:space="preserve"> evidence for IMPELLA versus VA-ECMO </w:t>
      </w:r>
      <w:r w:rsidR="00B25BC5" w:rsidRPr="00C86E49">
        <w:t>(</w:t>
      </w:r>
      <w:r w:rsidRPr="00C86E49">
        <w:t>matched/adjusted</w:t>
      </w:r>
      <w:r w:rsidR="00B25BC5" w:rsidRPr="00C86E49">
        <w:t>)</w:t>
      </w:r>
    </w:p>
    <w:tbl>
      <w:tblPr>
        <w:tblStyle w:val="TableGrid"/>
        <w:tblW w:w="5000" w:type="pct"/>
        <w:tblCellMar>
          <w:left w:w="85" w:type="dxa"/>
          <w:right w:w="85" w:type="dxa"/>
        </w:tblCellMar>
        <w:tblLook w:val="04A0" w:firstRow="1" w:lastRow="0" w:firstColumn="1" w:lastColumn="0" w:noHBand="0" w:noVBand="1"/>
        <w:tblCaption w:val="Key features of the pivotal evidence for IMPELLA versus VA-ECMO (matched/adjusted)"/>
        <w:tblDescription w:val="This table summarises the study characteristics of the matched/adjusted studies comparing IMPELLA with VA-ECMO. The table includes the country, number of participants, study design, risk of bias, population, intervention, comparator, key outcomes, and whether the result was used in the economic model. "/>
      </w:tblPr>
      <w:tblGrid>
        <w:gridCol w:w="1019"/>
        <w:gridCol w:w="2378"/>
        <w:gridCol w:w="2552"/>
        <w:gridCol w:w="1361"/>
        <w:gridCol w:w="1191"/>
        <w:gridCol w:w="1135"/>
        <w:gridCol w:w="2714"/>
        <w:gridCol w:w="1598"/>
      </w:tblGrid>
      <w:tr w:rsidR="00DA1ED0" w:rsidRPr="00C86E49" w14:paraId="741BFBEC" w14:textId="77777777" w:rsidTr="00D71AB7">
        <w:trPr>
          <w:trHeight w:val="282"/>
          <w:tblHeader/>
        </w:trPr>
        <w:tc>
          <w:tcPr>
            <w:tcW w:w="365" w:type="pct"/>
            <w:vAlign w:val="center"/>
          </w:tcPr>
          <w:p w14:paraId="29831870" w14:textId="5C5EF2B9" w:rsidR="008E5E49" w:rsidRPr="00C86E49" w:rsidRDefault="008E5E49" w:rsidP="007535A4">
            <w:pPr>
              <w:pStyle w:val="TableHeading0"/>
              <w:spacing w:before="40" w:after="40"/>
            </w:pPr>
            <w:r w:rsidRPr="00C86E49">
              <w:t>Study</w:t>
            </w:r>
          </w:p>
          <w:p w14:paraId="38CFF842" w14:textId="26F43411" w:rsidR="00DA41BA" w:rsidRPr="00C86E49" w:rsidRDefault="00DA41BA" w:rsidP="007535A4">
            <w:pPr>
              <w:pStyle w:val="TableHeading0"/>
              <w:spacing w:before="40" w:after="40"/>
            </w:pPr>
            <w:r w:rsidRPr="00C86E49">
              <w:t>Country</w:t>
            </w:r>
          </w:p>
        </w:tc>
        <w:tc>
          <w:tcPr>
            <w:tcW w:w="852" w:type="pct"/>
            <w:vAlign w:val="center"/>
          </w:tcPr>
          <w:p w14:paraId="1D73DCA3" w14:textId="0979740C" w:rsidR="008E5E49" w:rsidRPr="00C86E49" w:rsidRDefault="008E5E49" w:rsidP="007535A4">
            <w:pPr>
              <w:pStyle w:val="TableHeading0"/>
              <w:spacing w:before="40" w:after="40"/>
            </w:pPr>
            <w:r w:rsidRPr="00C86E49">
              <w:t>N</w:t>
            </w:r>
          </w:p>
        </w:tc>
        <w:tc>
          <w:tcPr>
            <w:tcW w:w="915" w:type="pct"/>
            <w:vAlign w:val="center"/>
          </w:tcPr>
          <w:p w14:paraId="3520A08B" w14:textId="3FD4BCD4" w:rsidR="008E5E49" w:rsidRPr="00C86E49" w:rsidRDefault="008E5E49" w:rsidP="007535A4">
            <w:pPr>
              <w:pStyle w:val="TableHeading0"/>
              <w:spacing w:before="40" w:after="40"/>
            </w:pPr>
            <w:r w:rsidRPr="00C86E49">
              <w:t>Study design</w:t>
            </w:r>
          </w:p>
          <w:p w14:paraId="00E418D5" w14:textId="3FBBBF5A" w:rsidR="008E5E49" w:rsidRPr="00C86E49" w:rsidRDefault="008E5E49" w:rsidP="007535A4">
            <w:pPr>
              <w:pStyle w:val="TableHeading0"/>
              <w:spacing w:before="40" w:after="40"/>
            </w:pPr>
            <w:r w:rsidRPr="00C86E49">
              <w:t>Risk of bias</w:t>
            </w:r>
          </w:p>
        </w:tc>
        <w:tc>
          <w:tcPr>
            <w:tcW w:w="488" w:type="pct"/>
            <w:vAlign w:val="center"/>
          </w:tcPr>
          <w:p w14:paraId="49995F06" w14:textId="20A8A4C8" w:rsidR="008E5E49" w:rsidRPr="00C86E49" w:rsidRDefault="008E5E49" w:rsidP="007535A4">
            <w:pPr>
              <w:pStyle w:val="TableHeading0"/>
              <w:spacing w:before="40" w:after="40"/>
            </w:pPr>
            <w:r w:rsidRPr="00C86E49">
              <w:t>Population</w:t>
            </w:r>
          </w:p>
        </w:tc>
        <w:tc>
          <w:tcPr>
            <w:tcW w:w="427" w:type="pct"/>
            <w:vAlign w:val="center"/>
          </w:tcPr>
          <w:p w14:paraId="1BDF3323" w14:textId="5D8EF0DF" w:rsidR="008E5E49" w:rsidRPr="00C86E49" w:rsidRDefault="008E5E49" w:rsidP="007535A4">
            <w:pPr>
              <w:pStyle w:val="TableHeading0"/>
              <w:spacing w:before="40" w:after="40"/>
            </w:pPr>
            <w:r w:rsidRPr="00C86E49">
              <w:t>Intervention</w:t>
            </w:r>
          </w:p>
        </w:tc>
        <w:tc>
          <w:tcPr>
            <w:tcW w:w="407" w:type="pct"/>
            <w:vAlign w:val="center"/>
          </w:tcPr>
          <w:p w14:paraId="5CB98F5E" w14:textId="4FBB7945" w:rsidR="008E5E49" w:rsidRPr="00C86E49" w:rsidRDefault="008E5E49" w:rsidP="007535A4">
            <w:pPr>
              <w:pStyle w:val="TableHeading0"/>
              <w:spacing w:before="40" w:after="40"/>
            </w:pPr>
            <w:r w:rsidRPr="00C86E49">
              <w:t>Comparator</w:t>
            </w:r>
          </w:p>
        </w:tc>
        <w:tc>
          <w:tcPr>
            <w:tcW w:w="973" w:type="pct"/>
            <w:vAlign w:val="center"/>
          </w:tcPr>
          <w:p w14:paraId="55BDF831" w14:textId="5F3C1075" w:rsidR="008E5E49" w:rsidRPr="00C86E49" w:rsidRDefault="008E5E49" w:rsidP="007535A4">
            <w:pPr>
              <w:pStyle w:val="TableHeading0"/>
              <w:spacing w:before="40" w:after="40"/>
            </w:pPr>
            <w:r w:rsidRPr="00C86E49">
              <w:t xml:space="preserve">Key </w:t>
            </w:r>
            <w:r w:rsidR="007F156D" w:rsidRPr="00C86E49">
              <w:t xml:space="preserve">clinical </w:t>
            </w:r>
            <w:r w:rsidRPr="00C86E49">
              <w:t>outcome(s)</w:t>
            </w:r>
          </w:p>
        </w:tc>
        <w:tc>
          <w:tcPr>
            <w:tcW w:w="573" w:type="pct"/>
            <w:vAlign w:val="center"/>
          </w:tcPr>
          <w:p w14:paraId="73E750FB" w14:textId="3028A597" w:rsidR="008E5E49" w:rsidRPr="00C86E49" w:rsidRDefault="008E5E49" w:rsidP="007535A4">
            <w:pPr>
              <w:pStyle w:val="TableHeading0"/>
              <w:spacing w:before="40" w:after="40"/>
            </w:pPr>
            <w:r w:rsidRPr="00C86E49">
              <w:t>Result used in economic model</w:t>
            </w:r>
          </w:p>
        </w:tc>
      </w:tr>
      <w:tr w:rsidR="00DA1ED0" w:rsidRPr="00C86E49" w14:paraId="509C407B" w14:textId="77777777" w:rsidTr="00D71AB7">
        <w:trPr>
          <w:tblHeader/>
        </w:trPr>
        <w:tc>
          <w:tcPr>
            <w:tcW w:w="365" w:type="pct"/>
          </w:tcPr>
          <w:p w14:paraId="006F534F" w14:textId="77777777" w:rsidR="008E5E49" w:rsidRPr="00C86E49" w:rsidRDefault="00057117" w:rsidP="00584E87">
            <w:pPr>
              <w:pStyle w:val="TableText"/>
            </w:pPr>
            <w:r w:rsidRPr="00C86E49">
              <w:t>Karatolios 2021</w:t>
            </w:r>
          </w:p>
          <w:p w14:paraId="709C7FAC" w14:textId="49DBB7FE" w:rsidR="00DA41BA" w:rsidRPr="00C86E49" w:rsidRDefault="00DA41BA" w:rsidP="00584E87">
            <w:pPr>
              <w:pStyle w:val="TableText"/>
            </w:pPr>
            <w:r w:rsidRPr="00C86E49">
              <w:t>Germany</w:t>
            </w:r>
          </w:p>
        </w:tc>
        <w:tc>
          <w:tcPr>
            <w:tcW w:w="852" w:type="pct"/>
          </w:tcPr>
          <w:p w14:paraId="1418F100" w14:textId="026A587A" w:rsidR="00CF116F" w:rsidRPr="00C86E49" w:rsidRDefault="00CF116F" w:rsidP="00584E87">
            <w:pPr>
              <w:pStyle w:val="TableText"/>
            </w:pPr>
            <w:r w:rsidRPr="00C86E49">
              <w:t>IMPELLA = 300 (83 matched)</w:t>
            </w:r>
          </w:p>
          <w:p w14:paraId="3EDADBE6" w14:textId="3B997F89" w:rsidR="008E5E49" w:rsidRPr="00C86E49" w:rsidRDefault="00CF116F" w:rsidP="00584E87">
            <w:pPr>
              <w:pStyle w:val="TableText"/>
            </w:pPr>
            <w:r w:rsidRPr="00C86E49">
              <w:t>VA-ECMO = 123 (83 matched)</w:t>
            </w:r>
          </w:p>
        </w:tc>
        <w:tc>
          <w:tcPr>
            <w:tcW w:w="915" w:type="pct"/>
          </w:tcPr>
          <w:p w14:paraId="524D9BB0" w14:textId="2723186E" w:rsidR="005E5DCB" w:rsidRPr="00C86E49" w:rsidRDefault="005E5DCB" w:rsidP="00584E87">
            <w:pPr>
              <w:pStyle w:val="TableText"/>
            </w:pPr>
            <w:r w:rsidRPr="00C86E49">
              <w:t xml:space="preserve">SC, </w:t>
            </w:r>
            <w:r w:rsidR="008E5A05" w:rsidRPr="00C86E49">
              <w:t>R (Sep 2014 to Sep 2019)</w:t>
            </w:r>
            <w:r w:rsidR="00222014" w:rsidRPr="00C86E49">
              <w:br/>
            </w:r>
            <w:r w:rsidRPr="00C86E49">
              <w:t>PSM analyses</w:t>
            </w:r>
          </w:p>
          <w:p w14:paraId="6D32EE7A" w14:textId="5CC827B8" w:rsidR="008E5E49" w:rsidRPr="00C86E49" w:rsidRDefault="005E5DCB" w:rsidP="00584E87">
            <w:pPr>
              <w:pStyle w:val="TableText"/>
            </w:pPr>
            <w:r w:rsidRPr="00C86E49">
              <w:t xml:space="preserve">Risk of bias: Good </w:t>
            </w:r>
            <w:r w:rsidRPr="00C86E49">
              <w:rPr>
                <w:i/>
                <w:iCs/>
              </w:rPr>
              <w:t>(</w:t>
            </w:r>
            <w:r w:rsidR="00DD48A3" w:rsidRPr="00C86E49">
              <w:rPr>
                <w:i/>
                <w:iCs/>
              </w:rPr>
              <w:t xml:space="preserve">? </w:t>
            </w:r>
            <w:r w:rsidRPr="00C86E49">
              <w:rPr>
                <w:i/>
              </w:rPr>
              <w:t>Fair, based on commentary)</w:t>
            </w:r>
          </w:p>
        </w:tc>
        <w:tc>
          <w:tcPr>
            <w:tcW w:w="488" w:type="pct"/>
          </w:tcPr>
          <w:p w14:paraId="55F3BC0D" w14:textId="793B8166" w:rsidR="008E5E49" w:rsidRPr="00C86E49" w:rsidRDefault="009D2CFE" w:rsidP="00584E87">
            <w:pPr>
              <w:pStyle w:val="TableText"/>
            </w:pPr>
            <w:r w:rsidRPr="00C86E49">
              <w:t xml:space="preserve">Any CS </w:t>
            </w:r>
            <w:r w:rsidR="002D773D" w:rsidRPr="00C86E49">
              <w:br/>
            </w:r>
            <w:r w:rsidRPr="00C86E49">
              <w:t>(~86% AMI-CS &amp; ~14% DCM/</w:t>
            </w:r>
            <w:r w:rsidR="002D773D" w:rsidRPr="00C86E49">
              <w:t xml:space="preserve"> </w:t>
            </w:r>
            <w:r w:rsidRPr="00C86E49">
              <w:t>myocarditis)</w:t>
            </w:r>
          </w:p>
        </w:tc>
        <w:tc>
          <w:tcPr>
            <w:tcW w:w="427" w:type="pct"/>
          </w:tcPr>
          <w:p w14:paraId="388657DB" w14:textId="0E5E80DB" w:rsidR="00534BD9" w:rsidRPr="00C86E49" w:rsidRDefault="00DB1489" w:rsidP="00584E87">
            <w:pPr>
              <w:pStyle w:val="TableText"/>
            </w:pPr>
            <w:r w:rsidRPr="00C86E49">
              <w:t>IMPELLA</w:t>
            </w:r>
          </w:p>
          <w:p w14:paraId="028210C6" w14:textId="3C703AA3" w:rsidR="008E5E49" w:rsidRPr="00C86E49" w:rsidRDefault="00DB1489" w:rsidP="00584E87">
            <w:pPr>
              <w:pStyle w:val="TableText"/>
            </w:pPr>
            <w:r w:rsidRPr="00C86E49">
              <w:t>2.5/ CP</w:t>
            </w:r>
          </w:p>
        </w:tc>
        <w:tc>
          <w:tcPr>
            <w:tcW w:w="407" w:type="pct"/>
          </w:tcPr>
          <w:p w14:paraId="52CA2B6F" w14:textId="1D5B8699" w:rsidR="008E5E49" w:rsidRPr="00C86E49" w:rsidRDefault="00735E44" w:rsidP="00584E87">
            <w:pPr>
              <w:pStyle w:val="TableText"/>
            </w:pPr>
            <w:r w:rsidRPr="00C86E49">
              <w:t>VA-ECMO</w:t>
            </w:r>
          </w:p>
        </w:tc>
        <w:tc>
          <w:tcPr>
            <w:tcW w:w="973" w:type="pct"/>
          </w:tcPr>
          <w:p w14:paraId="30F12150" w14:textId="1A757B7B" w:rsidR="008E5E49" w:rsidRPr="00C86E49" w:rsidRDefault="004729EC" w:rsidP="007D516B">
            <w:pPr>
              <w:pStyle w:val="TableText"/>
            </w:pPr>
            <w:r w:rsidRPr="00C86E49">
              <w:t>Survival (i</w:t>
            </w:r>
            <w:r w:rsidR="005B3B32" w:rsidRPr="00C86E49">
              <w:t>n-hospital</w:t>
            </w:r>
            <w:r w:rsidRPr="00C86E49">
              <w:t>,</w:t>
            </w:r>
            <w:r w:rsidR="005B3B32" w:rsidRPr="00C86E49">
              <w:t xml:space="preserve"> 6</w:t>
            </w:r>
            <w:r w:rsidR="00AB4E67" w:rsidRPr="00C86E49">
              <w:t> </w:t>
            </w:r>
            <w:r w:rsidR="005B3B32" w:rsidRPr="00C86E49">
              <w:t>mo</w:t>
            </w:r>
            <w:r w:rsidRPr="00C86E49">
              <w:t>)</w:t>
            </w:r>
            <w:r w:rsidR="007D516B" w:rsidRPr="00C86E49">
              <w:t>; b</w:t>
            </w:r>
            <w:r w:rsidR="005B3B32" w:rsidRPr="00C86E49">
              <w:t>leeding requiring transfusion</w:t>
            </w:r>
            <w:r w:rsidR="006D690B" w:rsidRPr="00C86E49">
              <w:t>;</w:t>
            </w:r>
            <w:r w:rsidR="005B3B32" w:rsidRPr="00C86E49">
              <w:t xml:space="preserve"> limb ischaemia requiring intervention</w:t>
            </w:r>
            <w:r w:rsidR="006D690B" w:rsidRPr="00C86E49">
              <w:t>;</w:t>
            </w:r>
            <w:r w:rsidR="005B3B32" w:rsidRPr="00C86E49">
              <w:t xml:space="preserve"> stroke</w:t>
            </w:r>
            <w:r w:rsidR="0014067F" w:rsidRPr="00C86E49">
              <w:t>; other complications</w:t>
            </w:r>
          </w:p>
        </w:tc>
        <w:tc>
          <w:tcPr>
            <w:tcW w:w="573" w:type="pct"/>
          </w:tcPr>
          <w:p w14:paraId="2D97B854" w14:textId="3DA154E9" w:rsidR="008E5E49" w:rsidRPr="00C86E49" w:rsidRDefault="005B3B32" w:rsidP="00584E87">
            <w:pPr>
              <w:pStyle w:val="TableText"/>
            </w:pPr>
            <w:r w:rsidRPr="00C86E49">
              <w:t>Yes</w:t>
            </w:r>
            <w:r w:rsidR="00CE39E0" w:rsidRPr="00C86E49">
              <w:br/>
              <w:t>(</w:t>
            </w:r>
            <w:r w:rsidR="00BB4B4B" w:rsidRPr="00C86E49">
              <w:t>1 &amp; 6</w:t>
            </w:r>
            <w:r w:rsidR="003154EC" w:rsidRPr="00C86E49">
              <w:t xml:space="preserve"> </w:t>
            </w:r>
            <w:r w:rsidR="00CE39E0" w:rsidRPr="00C86E49">
              <w:t>mo mortality</w:t>
            </w:r>
            <w:r w:rsidR="00DC11CF" w:rsidRPr="00C86E49">
              <w:t xml:space="preserve">; </w:t>
            </w:r>
            <w:r w:rsidR="006D5104" w:rsidRPr="00C86E49">
              <w:t>bleeding requiring transfusion</w:t>
            </w:r>
            <w:r w:rsidR="00CE39E0" w:rsidRPr="00C86E49">
              <w:t>)</w:t>
            </w:r>
          </w:p>
        </w:tc>
      </w:tr>
      <w:tr w:rsidR="00DA1ED0" w:rsidRPr="00C86E49" w14:paraId="11A7362A" w14:textId="77777777" w:rsidTr="00D71AB7">
        <w:trPr>
          <w:tblHeader/>
        </w:trPr>
        <w:tc>
          <w:tcPr>
            <w:tcW w:w="365" w:type="pct"/>
          </w:tcPr>
          <w:p w14:paraId="5069CFF7" w14:textId="77777777" w:rsidR="003D4AAD" w:rsidRPr="00C86E49" w:rsidRDefault="002B04F3" w:rsidP="002B04F3">
            <w:pPr>
              <w:pStyle w:val="TableText"/>
            </w:pPr>
            <w:r w:rsidRPr="00C86E49">
              <w:t>Lemor 2020</w:t>
            </w:r>
          </w:p>
          <w:p w14:paraId="15628C7F" w14:textId="43CAFCE6" w:rsidR="008E5E49" w:rsidRPr="00C86E49" w:rsidRDefault="003D4AAD" w:rsidP="002B04F3">
            <w:pPr>
              <w:pStyle w:val="TableText"/>
            </w:pPr>
            <w:r w:rsidRPr="00C86E49">
              <w:t>U.S.</w:t>
            </w:r>
          </w:p>
        </w:tc>
        <w:tc>
          <w:tcPr>
            <w:tcW w:w="852" w:type="pct"/>
          </w:tcPr>
          <w:p w14:paraId="1ECCD4C4" w14:textId="02D62899" w:rsidR="002B04F3" w:rsidRPr="00C86E49" w:rsidRDefault="002B04F3" w:rsidP="002B04F3">
            <w:pPr>
              <w:pStyle w:val="TableText"/>
            </w:pPr>
            <w:r w:rsidRPr="00C86E49">
              <w:t xml:space="preserve">IMPELLA = 5730 (450 matched) </w:t>
            </w:r>
          </w:p>
          <w:p w14:paraId="00B4A780" w14:textId="1F85292D" w:rsidR="008E5E49" w:rsidRPr="00C86E49" w:rsidRDefault="002B04F3" w:rsidP="002B04F3">
            <w:pPr>
              <w:pStyle w:val="TableText"/>
            </w:pPr>
            <w:r w:rsidRPr="00C86E49">
              <w:t>VA-ECMO = 560 (450 matched)</w:t>
            </w:r>
          </w:p>
        </w:tc>
        <w:tc>
          <w:tcPr>
            <w:tcW w:w="915" w:type="pct"/>
          </w:tcPr>
          <w:p w14:paraId="02A3168F" w14:textId="1DF9074D" w:rsidR="002B04F3" w:rsidRPr="00C86E49" w:rsidRDefault="002B04F3" w:rsidP="002B04F3">
            <w:pPr>
              <w:pStyle w:val="TableText"/>
            </w:pPr>
            <w:r w:rsidRPr="00C86E49">
              <w:t>R</w:t>
            </w:r>
            <w:r w:rsidR="0047457D" w:rsidRPr="00C86E49">
              <w:t xml:space="preserve"> (Oct 2015 to Dec 2017)</w:t>
            </w:r>
            <w:r w:rsidR="004141A6" w:rsidRPr="00C86E49">
              <w:t xml:space="preserve">, </w:t>
            </w:r>
            <w:r w:rsidRPr="00C86E49">
              <w:t>National Inpatient Sample</w:t>
            </w:r>
            <w:r w:rsidR="00361B46" w:rsidRPr="00C86E49">
              <w:t xml:space="preserve"> (NIS</w:t>
            </w:r>
            <w:r w:rsidR="007370BC" w:rsidRPr="00C86E49">
              <w:t>)</w:t>
            </w:r>
            <w:r w:rsidR="00222014" w:rsidRPr="00C86E49">
              <w:br/>
            </w:r>
            <w:r w:rsidRPr="00C86E49">
              <w:t>PSM analyses</w:t>
            </w:r>
          </w:p>
          <w:p w14:paraId="2D8A984B" w14:textId="45A50CC5" w:rsidR="008E5E49" w:rsidRPr="00C86E49" w:rsidRDefault="002B04F3" w:rsidP="002B04F3">
            <w:pPr>
              <w:pStyle w:val="TableText"/>
            </w:pPr>
            <w:r w:rsidRPr="00C86E49">
              <w:t>Risk of bias: Fair</w:t>
            </w:r>
          </w:p>
        </w:tc>
        <w:tc>
          <w:tcPr>
            <w:tcW w:w="488" w:type="pct"/>
          </w:tcPr>
          <w:p w14:paraId="390130F7" w14:textId="5BC25854" w:rsidR="008E5E49" w:rsidRPr="00C86E49" w:rsidRDefault="002B04F3" w:rsidP="002B04F3">
            <w:pPr>
              <w:pStyle w:val="TableText"/>
            </w:pPr>
            <w:r w:rsidRPr="00C86E49">
              <w:t>AMI-CS</w:t>
            </w:r>
            <w:r w:rsidR="00B17109" w:rsidRPr="00C86E49">
              <w:t xml:space="preserve"> &amp; </w:t>
            </w:r>
            <w:r w:rsidRPr="00C86E49">
              <w:t>PCI</w:t>
            </w:r>
          </w:p>
        </w:tc>
        <w:tc>
          <w:tcPr>
            <w:tcW w:w="427" w:type="pct"/>
          </w:tcPr>
          <w:p w14:paraId="4024E5A1" w14:textId="59D68EA5" w:rsidR="00534BD9" w:rsidRPr="00C86E49" w:rsidRDefault="0083363A" w:rsidP="00584E87">
            <w:pPr>
              <w:pStyle w:val="TableText"/>
            </w:pPr>
            <w:r w:rsidRPr="00C86E49">
              <w:t>IMPELLA</w:t>
            </w:r>
          </w:p>
          <w:p w14:paraId="7DC05027" w14:textId="3A1B309E" w:rsidR="008E5E49" w:rsidRPr="00C86E49" w:rsidRDefault="0083363A" w:rsidP="00584E87">
            <w:pPr>
              <w:pStyle w:val="TableText"/>
            </w:pPr>
            <w:r w:rsidRPr="00C86E49">
              <w:t>(</w:t>
            </w:r>
            <w:proofErr w:type="gramStart"/>
            <w:r w:rsidRPr="00C86E49">
              <w:t>device</w:t>
            </w:r>
            <w:proofErr w:type="gramEnd"/>
            <w:r w:rsidRPr="00C86E49">
              <w:t xml:space="preserve"> NS)</w:t>
            </w:r>
          </w:p>
        </w:tc>
        <w:tc>
          <w:tcPr>
            <w:tcW w:w="407" w:type="pct"/>
          </w:tcPr>
          <w:p w14:paraId="55CFD736" w14:textId="44383BCA" w:rsidR="008E5E49" w:rsidRPr="00C86E49" w:rsidRDefault="0083363A" w:rsidP="00584E87">
            <w:pPr>
              <w:pStyle w:val="TableText"/>
            </w:pPr>
            <w:r w:rsidRPr="00C86E49">
              <w:t>VA-ECMO</w:t>
            </w:r>
          </w:p>
        </w:tc>
        <w:tc>
          <w:tcPr>
            <w:tcW w:w="973" w:type="pct"/>
          </w:tcPr>
          <w:p w14:paraId="218013F4" w14:textId="4558F8BD" w:rsidR="008E5E49" w:rsidRPr="00C86E49" w:rsidRDefault="0009222A" w:rsidP="007D516B">
            <w:pPr>
              <w:pStyle w:val="TableText"/>
            </w:pPr>
            <w:r w:rsidRPr="00C86E49">
              <w:t>Mortality (i</w:t>
            </w:r>
            <w:r w:rsidR="0083363A" w:rsidRPr="00C86E49">
              <w:t>n-hospital</w:t>
            </w:r>
            <w:r w:rsidRPr="00C86E49">
              <w:t>)</w:t>
            </w:r>
            <w:r w:rsidR="007D516B" w:rsidRPr="00C86E49">
              <w:t xml:space="preserve">; </w:t>
            </w:r>
            <w:r w:rsidR="006D40CC" w:rsidRPr="00C86E49">
              <w:t>b</w:t>
            </w:r>
            <w:r w:rsidR="0083363A" w:rsidRPr="00C86E49">
              <w:t>lood transfusions</w:t>
            </w:r>
            <w:r w:rsidR="00127FAF" w:rsidRPr="00C86E49">
              <w:t xml:space="preserve">; </w:t>
            </w:r>
            <w:r w:rsidR="0083363A" w:rsidRPr="00C86E49">
              <w:t>stroke</w:t>
            </w:r>
            <w:r w:rsidR="00127FAF" w:rsidRPr="00C86E49">
              <w:t>;</w:t>
            </w:r>
            <w:r w:rsidR="0083363A" w:rsidRPr="00C86E49">
              <w:t xml:space="preserve"> haemolysis</w:t>
            </w:r>
            <w:r w:rsidR="0014067F" w:rsidRPr="00C86E49">
              <w:t>; other complications</w:t>
            </w:r>
          </w:p>
        </w:tc>
        <w:tc>
          <w:tcPr>
            <w:tcW w:w="573" w:type="pct"/>
          </w:tcPr>
          <w:p w14:paraId="498A293E" w14:textId="49384D97" w:rsidR="008E5E49" w:rsidRPr="00C86E49" w:rsidRDefault="007F7437" w:rsidP="00584E87">
            <w:pPr>
              <w:pStyle w:val="TableText"/>
            </w:pPr>
            <w:r w:rsidRPr="00C86E49">
              <w:t>Yes</w:t>
            </w:r>
            <w:r w:rsidRPr="00C86E49">
              <w:br/>
              <w:t>(</w:t>
            </w:r>
            <w:r w:rsidR="00BB4B4B" w:rsidRPr="00C86E49">
              <w:t xml:space="preserve">1 </w:t>
            </w:r>
            <w:r w:rsidRPr="00C86E49">
              <w:t>m</w:t>
            </w:r>
            <w:r w:rsidR="003154EC" w:rsidRPr="00C86E49">
              <w:t>o</w:t>
            </w:r>
            <w:r w:rsidRPr="00C86E49">
              <w:t xml:space="preserve"> mortality</w:t>
            </w:r>
            <w:r w:rsidR="006D5104" w:rsidRPr="00C86E49">
              <w:t>; bleeding requiring transfusion</w:t>
            </w:r>
            <w:r w:rsidRPr="00C86E49">
              <w:t>)</w:t>
            </w:r>
          </w:p>
        </w:tc>
      </w:tr>
      <w:tr w:rsidR="00DA1ED0" w:rsidRPr="00C86E49" w14:paraId="0F7B76DB" w14:textId="77777777" w:rsidTr="00D71AB7">
        <w:trPr>
          <w:tblHeader/>
        </w:trPr>
        <w:tc>
          <w:tcPr>
            <w:tcW w:w="365" w:type="pct"/>
          </w:tcPr>
          <w:p w14:paraId="4C89F30C" w14:textId="77777777" w:rsidR="00053B72" w:rsidRPr="00C86E49" w:rsidRDefault="001C6104" w:rsidP="001C6104">
            <w:pPr>
              <w:pStyle w:val="TableText"/>
            </w:pPr>
            <w:r w:rsidRPr="00C86E49">
              <w:t>Schiller 2019</w:t>
            </w:r>
          </w:p>
          <w:p w14:paraId="56D5AE1E" w14:textId="48A275AB" w:rsidR="008E5E49" w:rsidRPr="00C86E49" w:rsidRDefault="00053B72" w:rsidP="00966D22">
            <w:pPr>
              <w:pStyle w:val="TableText"/>
            </w:pPr>
            <w:r w:rsidRPr="00C86E49">
              <w:t>Sweden</w:t>
            </w:r>
          </w:p>
        </w:tc>
        <w:tc>
          <w:tcPr>
            <w:tcW w:w="852" w:type="pct"/>
          </w:tcPr>
          <w:p w14:paraId="20EDE88D" w14:textId="283FBF61" w:rsidR="001C6104" w:rsidRPr="00C86E49" w:rsidRDefault="001C6104" w:rsidP="001C6104">
            <w:pPr>
              <w:pStyle w:val="TableText"/>
            </w:pPr>
            <w:r w:rsidRPr="00C86E49">
              <w:t>IMPELLA = 48</w:t>
            </w:r>
          </w:p>
          <w:p w14:paraId="5E858BF7" w14:textId="10EC4711" w:rsidR="008E5E49" w:rsidRPr="00C86E49" w:rsidRDefault="001C6104" w:rsidP="001C6104">
            <w:pPr>
              <w:pStyle w:val="TableText"/>
            </w:pPr>
            <w:r w:rsidRPr="00C86E49">
              <w:t>VA-ECMO = 46</w:t>
            </w:r>
          </w:p>
        </w:tc>
        <w:tc>
          <w:tcPr>
            <w:tcW w:w="915" w:type="pct"/>
          </w:tcPr>
          <w:p w14:paraId="3E3227F3" w14:textId="4AFAD681" w:rsidR="001C6104" w:rsidRPr="00C86E49" w:rsidRDefault="001C6104" w:rsidP="001C6104">
            <w:pPr>
              <w:pStyle w:val="TableText"/>
            </w:pPr>
            <w:r w:rsidRPr="00C86E49">
              <w:t xml:space="preserve">SC, </w:t>
            </w:r>
            <w:r w:rsidR="0047457D" w:rsidRPr="00C86E49">
              <w:t>R</w:t>
            </w:r>
            <w:r w:rsidR="00053B72" w:rsidRPr="00C86E49">
              <w:t xml:space="preserve"> (Jan 2003 to Aug 2015)</w:t>
            </w:r>
            <w:r w:rsidR="00222014" w:rsidRPr="00C86E49">
              <w:br/>
            </w:r>
            <w:r w:rsidRPr="00C86E49">
              <w:t xml:space="preserve">SAVE score-adjusted analysis </w:t>
            </w:r>
            <w:r w:rsidR="007955A2" w:rsidRPr="00C86E49">
              <w:t xml:space="preserve">(for </w:t>
            </w:r>
            <w:r w:rsidRPr="00C86E49">
              <w:t>mortality</w:t>
            </w:r>
            <w:r w:rsidR="007955A2" w:rsidRPr="00C86E49">
              <w:t>)</w:t>
            </w:r>
          </w:p>
          <w:p w14:paraId="44575F1E" w14:textId="600868EE" w:rsidR="008E5E49" w:rsidRPr="00C86E49" w:rsidRDefault="001C6104" w:rsidP="001C6104">
            <w:pPr>
              <w:pStyle w:val="TableText"/>
            </w:pPr>
            <w:r w:rsidRPr="00C86E49">
              <w:t>Risk of bias: Fair</w:t>
            </w:r>
          </w:p>
        </w:tc>
        <w:tc>
          <w:tcPr>
            <w:tcW w:w="488" w:type="pct"/>
          </w:tcPr>
          <w:p w14:paraId="66E8DA50" w14:textId="2E7E2FC4" w:rsidR="008E5E49" w:rsidRPr="00C86E49" w:rsidRDefault="001C6104" w:rsidP="001C6104">
            <w:pPr>
              <w:pStyle w:val="TableText"/>
            </w:pPr>
            <w:r w:rsidRPr="00C86E49">
              <w:t>Any CS</w:t>
            </w:r>
            <w:r w:rsidR="008246A1" w:rsidRPr="00C86E49">
              <w:br/>
            </w:r>
            <w:r w:rsidRPr="00C86E49">
              <w:t>(~28% AMI &amp; ~34% post-cardiotomy)</w:t>
            </w:r>
          </w:p>
        </w:tc>
        <w:tc>
          <w:tcPr>
            <w:tcW w:w="427" w:type="pct"/>
          </w:tcPr>
          <w:p w14:paraId="14471825" w14:textId="16F954E1" w:rsidR="00534BD9" w:rsidRPr="00C86E49" w:rsidRDefault="001C6104" w:rsidP="00584E87">
            <w:pPr>
              <w:pStyle w:val="TableText"/>
            </w:pPr>
            <w:r w:rsidRPr="00C86E49">
              <w:t>IMPELLA</w:t>
            </w:r>
          </w:p>
          <w:p w14:paraId="0E0C15CB" w14:textId="6A428076" w:rsidR="008E5E49" w:rsidRPr="00C86E49" w:rsidRDefault="001C6104" w:rsidP="00584E87">
            <w:pPr>
              <w:pStyle w:val="TableText"/>
            </w:pPr>
            <w:r w:rsidRPr="00C86E49">
              <w:t>2.5/ CP/ 5.0/ LD</w:t>
            </w:r>
          </w:p>
        </w:tc>
        <w:tc>
          <w:tcPr>
            <w:tcW w:w="407" w:type="pct"/>
          </w:tcPr>
          <w:p w14:paraId="00ACC15A" w14:textId="66F1FF3D" w:rsidR="008E5E49" w:rsidRPr="00C86E49" w:rsidRDefault="00E05065" w:rsidP="00584E87">
            <w:pPr>
              <w:pStyle w:val="TableText"/>
            </w:pPr>
            <w:r w:rsidRPr="00C86E49">
              <w:t>VA-</w:t>
            </w:r>
            <w:r w:rsidR="001C6104" w:rsidRPr="00C86E49">
              <w:t xml:space="preserve">ECMO </w:t>
            </w:r>
            <w:r w:rsidR="00DD3B08" w:rsidRPr="00C86E49">
              <w:br/>
              <w:t>(</w:t>
            </w:r>
            <w:r w:rsidR="001C6104" w:rsidRPr="00C86E49">
              <w:t>± IMPELLA</w:t>
            </w:r>
            <w:r w:rsidR="00DD3B08" w:rsidRPr="00C86E49">
              <w:t>)</w:t>
            </w:r>
          </w:p>
        </w:tc>
        <w:tc>
          <w:tcPr>
            <w:tcW w:w="973" w:type="pct"/>
          </w:tcPr>
          <w:p w14:paraId="7E823A6F" w14:textId="0175AD99" w:rsidR="008E5E49" w:rsidRPr="00C86E49" w:rsidRDefault="001C6104" w:rsidP="00584E87">
            <w:pPr>
              <w:pStyle w:val="TableText"/>
            </w:pPr>
            <w:r w:rsidRPr="00C86E49">
              <w:t xml:space="preserve">Survival </w:t>
            </w:r>
            <w:r w:rsidR="004729EC" w:rsidRPr="00C86E49">
              <w:t>(</w:t>
            </w:r>
            <w:r w:rsidRPr="00C86E49">
              <w:t>30 d, 6 mo, 1</w:t>
            </w:r>
            <w:r w:rsidR="00476083" w:rsidRPr="00C86E49">
              <w:t> </w:t>
            </w:r>
            <w:r w:rsidRPr="00C86E49">
              <w:t>y, 2</w:t>
            </w:r>
            <w:r w:rsidR="000F02B5" w:rsidRPr="00C86E49">
              <w:t> </w:t>
            </w:r>
            <w:r w:rsidRPr="00C86E49">
              <w:t>y, 3</w:t>
            </w:r>
            <w:r w:rsidR="00476083" w:rsidRPr="00C86E49">
              <w:t> </w:t>
            </w:r>
            <w:r w:rsidRPr="00C86E49">
              <w:t>y, 4</w:t>
            </w:r>
            <w:r w:rsidR="00476083" w:rsidRPr="00C86E49">
              <w:t> </w:t>
            </w:r>
            <w:r w:rsidRPr="00C86E49">
              <w:t>y</w:t>
            </w:r>
            <w:r w:rsidR="004729EC" w:rsidRPr="00C86E49">
              <w:t>)</w:t>
            </w:r>
          </w:p>
        </w:tc>
        <w:tc>
          <w:tcPr>
            <w:tcW w:w="573" w:type="pct"/>
          </w:tcPr>
          <w:p w14:paraId="6508C2FD" w14:textId="4633D687" w:rsidR="008E5E49" w:rsidRPr="00C86E49" w:rsidRDefault="001C6104" w:rsidP="00584E87">
            <w:pPr>
              <w:pStyle w:val="TableText"/>
            </w:pPr>
            <w:r w:rsidRPr="00C86E49">
              <w:t>Yes</w:t>
            </w:r>
            <w:r w:rsidR="00CE39E0" w:rsidRPr="00C86E49">
              <w:br/>
            </w:r>
            <w:r w:rsidR="00B7473C" w:rsidRPr="00C86E49">
              <w:t>(</w:t>
            </w:r>
            <w:r w:rsidR="003154EC" w:rsidRPr="00C86E49">
              <w:t>6 mo</w:t>
            </w:r>
            <w:r w:rsidR="00BB4B4B" w:rsidRPr="00C86E49">
              <w:t xml:space="preserve"> mortality</w:t>
            </w:r>
            <w:r w:rsidR="00B7473C" w:rsidRPr="00C86E49">
              <w:t>)</w:t>
            </w:r>
          </w:p>
        </w:tc>
      </w:tr>
      <w:tr w:rsidR="00DA1ED0" w:rsidRPr="00C86E49" w14:paraId="4F906B78" w14:textId="77777777" w:rsidTr="00D71AB7">
        <w:trPr>
          <w:tblHeader/>
        </w:trPr>
        <w:tc>
          <w:tcPr>
            <w:tcW w:w="365" w:type="pct"/>
          </w:tcPr>
          <w:p w14:paraId="2848BDFD" w14:textId="3510AA29" w:rsidR="00BF242F" w:rsidRPr="00C86E49" w:rsidRDefault="00BF242F" w:rsidP="00BF242F">
            <w:pPr>
              <w:pStyle w:val="TableText"/>
            </w:pPr>
            <w:r w:rsidRPr="00C86E49">
              <w:t>Syntila 2021</w:t>
            </w:r>
          </w:p>
          <w:p w14:paraId="0E8B6489" w14:textId="5CCD7636" w:rsidR="008E5E49" w:rsidRPr="00C86E49" w:rsidRDefault="000B318A" w:rsidP="00BF242F">
            <w:pPr>
              <w:pStyle w:val="TableText"/>
            </w:pPr>
            <w:r w:rsidRPr="00C86E49">
              <w:t>Germany</w:t>
            </w:r>
          </w:p>
        </w:tc>
        <w:tc>
          <w:tcPr>
            <w:tcW w:w="852" w:type="pct"/>
          </w:tcPr>
          <w:p w14:paraId="43E22631" w14:textId="6C2E7F3F" w:rsidR="00BF242F" w:rsidRPr="00C86E49" w:rsidRDefault="00BF242F" w:rsidP="00BF242F">
            <w:pPr>
              <w:pStyle w:val="TableText"/>
            </w:pPr>
            <w:r w:rsidRPr="00C86E49">
              <w:t>IMPELLA = 105 (40 matched)</w:t>
            </w:r>
          </w:p>
          <w:p w14:paraId="149C9F5C" w14:textId="55E00B54" w:rsidR="008E5E49" w:rsidRPr="00C86E49" w:rsidRDefault="00BF242F" w:rsidP="00BF242F">
            <w:pPr>
              <w:pStyle w:val="TableText"/>
            </w:pPr>
            <w:r w:rsidRPr="00C86E49">
              <w:t>VA-ECMO = 54 (40 matched)</w:t>
            </w:r>
          </w:p>
        </w:tc>
        <w:tc>
          <w:tcPr>
            <w:tcW w:w="915" w:type="pct"/>
          </w:tcPr>
          <w:p w14:paraId="0129ECC6" w14:textId="5A7C5DCA" w:rsidR="00BF242F" w:rsidRPr="00C86E49" w:rsidRDefault="00BF242F" w:rsidP="00BF242F">
            <w:pPr>
              <w:pStyle w:val="TableText"/>
            </w:pPr>
            <w:r w:rsidRPr="00C86E49">
              <w:t xml:space="preserve">SC, </w:t>
            </w:r>
            <w:r w:rsidR="0047457D" w:rsidRPr="00C86E49">
              <w:t>R</w:t>
            </w:r>
            <w:r w:rsidRPr="00C86E49">
              <w:t xml:space="preserve"> </w:t>
            </w:r>
            <w:r w:rsidR="000B318A" w:rsidRPr="00C86E49">
              <w:t>(May 2015 to May 2020)</w:t>
            </w:r>
            <w:r w:rsidR="00933BA0" w:rsidRPr="00C86E49">
              <w:br/>
            </w:r>
            <w:r w:rsidRPr="00C86E49">
              <w:t>PSM analyses</w:t>
            </w:r>
          </w:p>
          <w:p w14:paraId="579A39C1" w14:textId="406D260C" w:rsidR="008E5E49" w:rsidRPr="00C86E49" w:rsidRDefault="00BF242F" w:rsidP="00BF242F">
            <w:pPr>
              <w:pStyle w:val="TableText"/>
            </w:pPr>
            <w:r w:rsidRPr="00C86E49">
              <w:t>Risk of bias: Fair</w:t>
            </w:r>
          </w:p>
        </w:tc>
        <w:tc>
          <w:tcPr>
            <w:tcW w:w="488" w:type="pct"/>
          </w:tcPr>
          <w:p w14:paraId="52A676D5" w14:textId="35852B1C" w:rsidR="008E5E49" w:rsidRPr="00C86E49" w:rsidRDefault="00F56334" w:rsidP="00F56334">
            <w:pPr>
              <w:pStyle w:val="TableText"/>
            </w:pPr>
            <w:r w:rsidRPr="00C86E49">
              <w:t>OHCA due to AMI with post-CA-CS</w:t>
            </w:r>
          </w:p>
        </w:tc>
        <w:tc>
          <w:tcPr>
            <w:tcW w:w="427" w:type="pct"/>
          </w:tcPr>
          <w:p w14:paraId="0AF558E9" w14:textId="3AD2920D" w:rsidR="00534BD9" w:rsidRPr="00C86E49" w:rsidRDefault="00F56334" w:rsidP="00584E87">
            <w:pPr>
              <w:pStyle w:val="TableText"/>
            </w:pPr>
            <w:r w:rsidRPr="00C86E49">
              <w:t>IMPELLA</w:t>
            </w:r>
          </w:p>
          <w:p w14:paraId="57299B6D" w14:textId="77BC3976" w:rsidR="008E5E49" w:rsidRPr="00C86E49" w:rsidRDefault="00F56334" w:rsidP="00584E87">
            <w:pPr>
              <w:pStyle w:val="TableText"/>
            </w:pPr>
            <w:r w:rsidRPr="00C86E49">
              <w:t>2.5/ CP</w:t>
            </w:r>
          </w:p>
        </w:tc>
        <w:tc>
          <w:tcPr>
            <w:tcW w:w="407" w:type="pct"/>
          </w:tcPr>
          <w:p w14:paraId="723C7A76" w14:textId="4F976915" w:rsidR="008E5E49" w:rsidRPr="00C86E49" w:rsidRDefault="00F56334" w:rsidP="00584E87">
            <w:pPr>
              <w:pStyle w:val="TableText"/>
            </w:pPr>
            <w:r w:rsidRPr="00C86E49">
              <w:t>VA-ECMO</w:t>
            </w:r>
          </w:p>
        </w:tc>
        <w:tc>
          <w:tcPr>
            <w:tcW w:w="973" w:type="pct"/>
          </w:tcPr>
          <w:p w14:paraId="15330737" w14:textId="6A73EC8E" w:rsidR="008E5E49" w:rsidRPr="00C86E49" w:rsidRDefault="00955616" w:rsidP="006D40CC">
            <w:pPr>
              <w:pStyle w:val="TableText"/>
            </w:pPr>
            <w:r w:rsidRPr="00C86E49">
              <w:t xml:space="preserve">Survival </w:t>
            </w:r>
            <w:r w:rsidR="0009222A" w:rsidRPr="00C86E49">
              <w:t>(</w:t>
            </w:r>
            <w:r w:rsidRPr="00C86E49">
              <w:t>to discharge</w:t>
            </w:r>
            <w:r w:rsidR="0009222A" w:rsidRPr="00C86E49">
              <w:t>, 12</w:t>
            </w:r>
            <w:r w:rsidR="000F02B5" w:rsidRPr="00C86E49">
              <w:t> </w:t>
            </w:r>
            <w:r w:rsidR="0009222A" w:rsidRPr="00C86E49">
              <w:t>mo)</w:t>
            </w:r>
            <w:r w:rsidR="006D40CC" w:rsidRPr="00C86E49">
              <w:t>; b</w:t>
            </w:r>
            <w:r w:rsidR="00024AFB" w:rsidRPr="00C86E49">
              <w:t>leeding requiring transfusion; limb ischaemia requiring intervention; stroke</w:t>
            </w:r>
            <w:r w:rsidR="006C1183" w:rsidRPr="00C86E49">
              <w:t>; other complications</w:t>
            </w:r>
          </w:p>
        </w:tc>
        <w:tc>
          <w:tcPr>
            <w:tcW w:w="573" w:type="pct"/>
          </w:tcPr>
          <w:p w14:paraId="61A896AE" w14:textId="0AFF4ACF" w:rsidR="008E5E49" w:rsidRPr="00C86E49" w:rsidRDefault="007F7437" w:rsidP="00584E87">
            <w:pPr>
              <w:pStyle w:val="TableText"/>
            </w:pPr>
            <w:r w:rsidRPr="00C86E49">
              <w:t>Yes</w:t>
            </w:r>
            <w:r w:rsidRPr="00C86E49">
              <w:br/>
              <w:t>(</w:t>
            </w:r>
            <w:r w:rsidR="00C7676E" w:rsidRPr="00C86E49">
              <w:t>1</w:t>
            </w:r>
            <w:r w:rsidR="00BB4B4B" w:rsidRPr="00C86E49">
              <w:t xml:space="preserve"> &amp; 6</w:t>
            </w:r>
            <w:r w:rsidR="003154EC" w:rsidRPr="00C86E49">
              <w:t xml:space="preserve"> mo</w:t>
            </w:r>
            <w:r w:rsidRPr="00C86E49">
              <w:t xml:space="preserve"> mortality</w:t>
            </w:r>
            <w:r w:rsidR="006D5104" w:rsidRPr="00C86E49">
              <w:t>; bleeding requiring transfusion</w:t>
            </w:r>
            <w:r w:rsidRPr="00C86E49">
              <w:t>)</w:t>
            </w:r>
          </w:p>
        </w:tc>
      </w:tr>
      <w:tr w:rsidR="00DA1ED0" w:rsidRPr="00C86E49" w14:paraId="697970A4" w14:textId="77777777" w:rsidTr="00D71AB7">
        <w:trPr>
          <w:tblHeader/>
        </w:trPr>
        <w:tc>
          <w:tcPr>
            <w:tcW w:w="365" w:type="pct"/>
          </w:tcPr>
          <w:p w14:paraId="4D92E4B0" w14:textId="77777777" w:rsidR="000B318A" w:rsidRPr="00C86E49" w:rsidRDefault="008913AF" w:rsidP="008913AF">
            <w:pPr>
              <w:pStyle w:val="TableText"/>
            </w:pPr>
            <w:r w:rsidRPr="00C86E49">
              <w:t>Vetrovec 2020</w:t>
            </w:r>
          </w:p>
          <w:p w14:paraId="3652C760" w14:textId="700284F3" w:rsidR="00955616" w:rsidRPr="00C86E49" w:rsidRDefault="000B318A" w:rsidP="008913AF">
            <w:pPr>
              <w:pStyle w:val="TableText"/>
            </w:pPr>
            <w:r w:rsidRPr="00C86E49">
              <w:t>U.S.</w:t>
            </w:r>
          </w:p>
        </w:tc>
        <w:tc>
          <w:tcPr>
            <w:tcW w:w="852" w:type="pct"/>
          </w:tcPr>
          <w:p w14:paraId="181D55B8" w14:textId="497AFAA4" w:rsidR="008913AF" w:rsidRPr="00C86E49" w:rsidRDefault="008913AF" w:rsidP="008913AF">
            <w:pPr>
              <w:pStyle w:val="TableText"/>
            </w:pPr>
            <w:r w:rsidRPr="00C86E49">
              <w:t>IMPELLA = 2510 (338 matched)</w:t>
            </w:r>
          </w:p>
          <w:p w14:paraId="20B77309" w14:textId="386E38A1" w:rsidR="00955616" w:rsidRPr="00C86E49" w:rsidRDefault="008913AF" w:rsidP="008913AF">
            <w:pPr>
              <w:pStyle w:val="TableText"/>
            </w:pPr>
            <w:r w:rsidRPr="00C86E49">
              <w:t>VA-ECMO = 340 (338 matched)</w:t>
            </w:r>
          </w:p>
        </w:tc>
        <w:tc>
          <w:tcPr>
            <w:tcW w:w="915" w:type="pct"/>
          </w:tcPr>
          <w:p w14:paraId="2F634505" w14:textId="12E645D0" w:rsidR="008913AF" w:rsidRPr="00C86E49" w:rsidRDefault="008913AF" w:rsidP="008913AF">
            <w:pPr>
              <w:pStyle w:val="TableText"/>
            </w:pPr>
            <w:r w:rsidRPr="00C86E49">
              <w:t>R</w:t>
            </w:r>
            <w:r w:rsidR="0047457D" w:rsidRPr="00C86E49">
              <w:t xml:space="preserve"> (Jan 2015 to Mar 2017)</w:t>
            </w:r>
            <w:r w:rsidR="004141A6" w:rsidRPr="00C86E49">
              <w:t xml:space="preserve">, </w:t>
            </w:r>
            <w:r w:rsidR="00922876" w:rsidRPr="00C86E49">
              <w:t>Medicare c</w:t>
            </w:r>
            <w:r w:rsidRPr="00C86E49">
              <w:t>laims analysis</w:t>
            </w:r>
            <w:r w:rsidR="00222014" w:rsidRPr="00C86E49">
              <w:br/>
            </w:r>
            <w:r w:rsidRPr="00C86E49">
              <w:t>PSM</w:t>
            </w:r>
            <w:r w:rsidR="007955A2" w:rsidRPr="00C86E49">
              <w:t xml:space="preserve"> analyses</w:t>
            </w:r>
          </w:p>
          <w:p w14:paraId="38C4ECD9" w14:textId="45052EC9" w:rsidR="00955616" w:rsidRPr="00C86E49" w:rsidRDefault="008913AF" w:rsidP="008913AF">
            <w:pPr>
              <w:pStyle w:val="TableText"/>
            </w:pPr>
            <w:r w:rsidRPr="00C86E49">
              <w:t xml:space="preserve">Risk of bias: Fair </w:t>
            </w:r>
            <w:r w:rsidRPr="00C86E49">
              <w:rPr>
                <w:i/>
                <w:iCs/>
              </w:rPr>
              <w:t>(</w:t>
            </w:r>
            <w:r w:rsidR="00602D54" w:rsidRPr="00C86E49">
              <w:rPr>
                <w:i/>
                <w:iCs/>
              </w:rPr>
              <w:t xml:space="preserve">? </w:t>
            </w:r>
            <w:r w:rsidRPr="00C86E49">
              <w:rPr>
                <w:i/>
              </w:rPr>
              <w:t>Poor, based on commentary)</w:t>
            </w:r>
          </w:p>
        </w:tc>
        <w:tc>
          <w:tcPr>
            <w:tcW w:w="488" w:type="pct"/>
          </w:tcPr>
          <w:p w14:paraId="75BF0CBB" w14:textId="3C271F40" w:rsidR="00955616" w:rsidRPr="00C86E49" w:rsidRDefault="005C4493" w:rsidP="00E90408">
            <w:pPr>
              <w:pStyle w:val="TableText"/>
            </w:pPr>
            <w:r w:rsidRPr="00C86E49">
              <w:t xml:space="preserve">AMI-CS </w:t>
            </w:r>
            <w:r w:rsidR="001A7376" w:rsidRPr="00C86E49">
              <w:br/>
            </w:r>
            <w:r w:rsidRPr="00C86E49">
              <w:t>(aged 65+ only</w:t>
            </w:r>
            <w:r w:rsidR="00E90408" w:rsidRPr="00C86E49">
              <w:t xml:space="preserve">, </w:t>
            </w:r>
            <w:r w:rsidR="005F4373" w:rsidRPr="00C86E49">
              <w:t>Medicare FFS beneficiaries</w:t>
            </w:r>
            <w:r w:rsidR="00E90408" w:rsidRPr="00C86E49">
              <w:t>)</w:t>
            </w:r>
          </w:p>
        </w:tc>
        <w:tc>
          <w:tcPr>
            <w:tcW w:w="427" w:type="pct"/>
          </w:tcPr>
          <w:p w14:paraId="071E6587" w14:textId="0DEE4FD4" w:rsidR="00534BD9" w:rsidRPr="00C86E49" w:rsidRDefault="006F2712" w:rsidP="00584E87">
            <w:pPr>
              <w:pStyle w:val="TableText"/>
            </w:pPr>
            <w:r w:rsidRPr="00C86E49">
              <w:t>IMPELLA</w:t>
            </w:r>
          </w:p>
          <w:p w14:paraId="3D586236" w14:textId="6FD98709" w:rsidR="00955616" w:rsidRPr="00C86E49" w:rsidRDefault="006F2712" w:rsidP="00584E87">
            <w:pPr>
              <w:pStyle w:val="TableText"/>
            </w:pPr>
            <w:r w:rsidRPr="00C86E49">
              <w:t>(</w:t>
            </w:r>
            <w:proofErr w:type="gramStart"/>
            <w:r w:rsidRPr="00C86E49">
              <w:t>device</w:t>
            </w:r>
            <w:proofErr w:type="gramEnd"/>
            <w:r w:rsidRPr="00C86E49">
              <w:t xml:space="preserve"> NS)</w:t>
            </w:r>
          </w:p>
        </w:tc>
        <w:tc>
          <w:tcPr>
            <w:tcW w:w="407" w:type="pct"/>
          </w:tcPr>
          <w:p w14:paraId="02BC8A43" w14:textId="1FFC6862" w:rsidR="00955616" w:rsidRPr="00C86E49" w:rsidRDefault="006F2712" w:rsidP="00584E87">
            <w:pPr>
              <w:pStyle w:val="TableText"/>
            </w:pPr>
            <w:r w:rsidRPr="00C86E49">
              <w:t>VA-ECMO</w:t>
            </w:r>
          </w:p>
        </w:tc>
        <w:tc>
          <w:tcPr>
            <w:tcW w:w="973" w:type="pct"/>
          </w:tcPr>
          <w:p w14:paraId="1610DB3F" w14:textId="5F1AEA40" w:rsidR="00955616" w:rsidRPr="00C86E49" w:rsidRDefault="00024AFB" w:rsidP="006F2712">
            <w:pPr>
              <w:pStyle w:val="TableText"/>
            </w:pPr>
            <w:r w:rsidRPr="00C86E49">
              <w:t>Mortality (in-hospital)</w:t>
            </w:r>
          </w:p>
        </w:tc>
        <w:tc>
          <w:tcPr>
            <w:tcW w:w="573" w:type="pct"/>
          </w:tcPr>
          <w:p w14:paraId="1FB7CE7E" w14:textId="22237F66" w:rsidR="00955616" w:rsidRPr="00C86E49" w:rsidRDefault="007F7437" w:rsidP="00584E87">
            <w:pPr>
              <w:pStyle w:val="TableText"/>
            </w:pPr>
            <w:r w:rsidRPr="00C86E49">
              <w:t>Yes</w:t>
            </w:r>
            <w:r w:rsidRPr="00C86E49">
              <w:br/>
              <w:t>(</w:t>
            </w:r>
            <w:r w:rsidR="00BB4B4B" w:rsidRPr="00C86E49">
              <w:t xml:space="preserve">1 </w:t>
            </w:r>
            <w:r w:rsidRPr="00C86E49">
              <w:t>m</w:t>
            </w:r>
            <w:r w:rsidR="003154EC" w:rsidRPr="00C86E49">
              <w:t>o</w:t>
            </w:r>
            <w:r w:rsidRPr="00C86E49">
              <w:t xml:space="preserve"> mortality)</w:t>
            </w:r>
          </w:p>
        </w:tc>
      </w:tr>
      <w:tr w:rsidR="00DA1ED0" w:rsidRPr="00C86E49" w14:paraId="654497CB" w14:textId="77777777" w:rsidTr="00D71AB7">
        <w:trPr>
          <w:tblHeader/>
        </w:trPr>
        <w:tc>
          <w:tcPr>
            <w:tcW w:w="365" w:type="pct"/>
          </w:tcPr>
          <w:p w14:paraId="79E8A3C2" w14:textId="62800525" w:rsidR="00530B40" w:rsidRPr="00C86E49" w:rsidRDefault="00530B40" w:rsidP="00530B40">
            <w:pPr>
              <w:pStyle w:val="TableText"/>
            </w:pPr>
            <w:r w:rsidRPr="00C86E49">
              <w:t>Wernly 2021</w:t>
            </w:r>
          </w:p>
          <w:p w14:paraId="0AF81D3E" w14:textId="6FED1872" w:rsidR="00815161" w:rsidRPr="00C86E49" w:rsidRDefault="000B318A" w:rsidP="00530B40">
            <w:pPr>
              <w:pStyle w:val="TableText"/>
            </w:pPr>
            <w:r w:rsidRPr="00C86E49">
              <w:t>Europe</w:t>
            </w:r>
          </w:p>
        </w:tc>
        <w:tc>
          <w:tcPr>
            <w:tcW w:w="852" w:type="pct"/>
          </w:tcPr>
          <w:p w14:paraId="0B0CF16D" w14:textId="0D729B20" w:rsidR="00530B40" w:rsidRPr="00C86E49" w:rsidRDefault="00530B40" w:rsidP="00530B40">
            <w:pPr>
              <w:pStyle w:val="TableText"/>
            </w:pPr>
            <w:r w:rsidRPr="00C86E49">
              <w:t>IMPELLA = 73</w:t>
            </w:r>
          </w:p>
          <w:p w14:paraId="6B86953C" w14:textId="52F9719A" w:rsidR="00815161" w:rsidRPr="00C86E49" w:rsidRDefault="00530B40" w:rsidP="00530B40">
            <w:pPr>
              <w:pStyle w:val="TableText"/>
            </w:pPr>
            <w:r w:rsidRPr="00C86E49">
              <w:t>VA-ECMO = 76</w:t>
            </w:r>
          </w:p>
        </w:tc>
        <w:tc>
          <w:tcPr>
            <w:tcW w:w="915" w:type="pct"/>
          </w:tcPr>
          <w:p w14:paraId="609DED52" w14:textId="0C4912B5" w:rsidR="00EC05C3" w:rsidRPr="00C86E49" w:rsidRDefault="00C96966" w:rsidP="00EC05C3">
            <w:pPr>
              <w:pStyle w:val="TableText"/>
            </w:pPr>
            <w:r w:rsidRPr="00C86E49">
              <w:t xml:space="preserve">MN, </w:t>
            </w:r>
            <w:r w:rsidR="00EC05C3" w:rsidRPr="00C86E49">
              <w:t xml:space="preserve">R </w:t>
            </w:r>
            <w:r w:rsidRPr="00C86E49">
              <w:t>(2005 to 2014)</w:t>
            </w:r>
            <w:r w:rsidR="004141A6" w:rsidRPr="00C86E49">
              <w:t>,</w:t>
            </w:r>
            <w:r w:rsidR="00383B8D" w:rsidRPr="00C86E49">
              <w:t xml:space="preserve"> IMPELLA-EUROSHOCK and German LifeBridge registries</w:t>
            </w:r>
            <w:r w:rsidR="004141A6" w:rsidRPr="00C86E49">
              <w:t xml:space="preserve"> </w:t>
            </w:r>
            <w:r w:rsidR="00222014" w:rsidRPr="00C86E49">
              <w:br/>
            </w:r>
            <w:r w:rsidR="00EC05C3" w:rsidRPr="00C86E49">
              <w:t>PS</w:t>
            </w:r>
            <w:r w:rsidR="00D0243B" w:rsidRPr="00C86E49">
              <w:t>-</w:t>
            </w:r>
            <w:r w:rsidR="00EC05C3" w:rsidRPr="00C86E49">
              <w:t>adjusted analyses</w:t>
            </w:r>
          </w:p>
          <w:p w14:paraId="2518041A" w14:textId="25A64CAA" w:rsidR="00815161" w:rsidRPr="00C86E49" w:rsidRDefault="00EC05C3" w:rsidP="00EC05C3">
            <w:pPr>
              <w:pStyle w:val="TableText"/>
              <w:rPr>
                <w:i/>
                <w:iCs/>
              </w:rPr>
            </w:pPr>
            <w:r w:rsidRPr="00C86E49">
              <w:t>Risk of bias: Fair</w:t>
            </w:r>
          </w:p>
        </w:tc>
        <w:tc>
          <w:tcPr>
            <w:tcW w:w="488" w:type="pct"/>
          </w:tcPr>
          <w:p w14:paraId="2562231A" w14:textId="521D348C" w:rsidR="00815161" w:rsidRPr="00C86E49" w:rsidRDefault="00EC05C3" w:rsidP="00EC05C3">
            <w:pPr>
              <w:pStyle w:val="TableText"/>
            </w:pPr>
            <w:r w:rsidRPr="00C86E49">
              <w:t>AMI-CS &amp; CA-CS</w:t>
            </w:r>
          </w:p>
        </w:tc>
        <w:tc>
          <w:tcPr>
            <w:tcW w:w="427" w:type="pct"/>
          </w:tcPr>
          <w:p w14:paraId="26CD39DB" w14:textId="011A4DC8" w:rsidR="00534BD9" w:rsidRPr="00C86E49" w:rsidRDefault="00E50DEB" w:rsidP="00584E87">
            <w:pPr>
              <w:pStyle w:val="TableText"/>
            </w:pPr>
            <w:r w:rsidRPr="00C86E49">
              <w:t>IMPELLA</w:t>
            </w:r>
          </w:p>
          <w:p w14:paraId="40E96520" w14:textId="39BD1B4D" w:rsidR="00815161" w:rsidRPr="00C86E49" w:rsidRDefault="00E50DEB" w:rsidP="00584E87">
            <w:pPr>
              <w:pStyle w:val="TableText"/>
            </w:pPr>
            <w:r w:rsidRPr="00C86E49">
              <w:t>2.5</w:t>
            </w:r>
          </w:p>
        </w:tc>
        <w:tc>
          <w:tcPr>
            <w:tcW w:w="407" w:type="pct"/>
          </w:tcPr>
          <w:p w14:paraId="54D95DCE" w14:textId="2923571D" w:rsidR="00815161" w:rsidRPr="00C86E49" w:rsidRDefault="00E50DEB" w:rsidP="00584E87">
            <w:pPr>
              <w:pStyle w:val="TableText"/>
            </w:pPr>
            <w:r w:rsidRPr="00C86E49">
              <w:t>VA-ECMO</w:t>
            </w:r>
          </w:p>
        </w:tc>
        <w:tc>
          <w:tcPr>
            <w:tcW w:w="973" w:type="pct"/>
          </w:tcPr>
          <w:p w14:paraId="31F0983B" w14:textId="064EFDC1" w:rsidR="00815161" w:rsidRPr="00C86E49" w:rsidRDefault="007F156D" w:rsidP="006D40CC">
            <w:pPr>
              <w:pStyle w:val="TableText"/>
            </w:pPr>
            <w:r w:rsidRPr="00C86E49">
              <w:t>Mortality (</w:t>
            </w:r>
            <w:r w:rsidR="000F02B5" w:rsidRPr="00C86E49">
              <w:t>30</w:t>
            </w:r>
            <w:r w:rsidR="00AB4E67" w:rsidRPr="00C86E49">
              <w:t> </w:t>
            </w:r>
            <w:r w:rsidR="000F02B5" w:rsidRPr="00C86E49">
              <w:t>d)</w:t>
            </w:r>
            <w:r w:rsidR="006D40CC" w:rsidRPr="00C86E49">
              <w:t>; b</w:t>
            </w:r>
            <w:r w:rsidR="00EC05C3" w:rsidRPr="00C86E49">
              <w:t>leeding requiring transfusion</w:t>
            </w:r>
            <w:r w:rsidR="000F02B5" w:rsidRPr="00C86E49">
              <w:t>; haemolysis; other complications</w:t>
            </w:r>
          </w:p>
        </w:tc>
        <w:tc>
          <w:tcPr>
            <w:tcW w:w="573" w:type="pct"/>
          </w:tcPr>
          <w:p w14:paraId="760CD497" w14:textId="62437696" w:rsidR="00815161" w:rsidRPr="00C86E49" w:rsidRDefault="007F7437" w:rsidP="00584E87">
            <w:pPr>
              <w:pStyle w:val="TableText"/>
            </w:pPr>
            <w:r w:rsidRPr="00C86E49">
              <w:t>Yes</w:t>
            </w:r>
            <w:r w:rsidRPr="00C86E49">
              <w:br/>
              <w:t>(</w:t>
            </w:r>
            <w:r w:rsidR="00BB4B4B" w:rsidRPr="00C86E49">
              <w:t xml:space="preserve">1 </w:t>
            </w:r>
            <w:r w:rsidRPr="00C86E49">
              <w:t>mo mortality</w:t>
            </w:r>
            <w:r w:rsidR="00E1482D" w:rsidRPr="00C86E49">
              <w:t>; bleeding requiring transfusion</w:t>
            </w:r>
            <w:r w:rsidRPr="00C86E49">
              <w:t>)</w:t>
            </w:r>
          </w:p>
        </w:tc>
      </w:tr>
    </w:tbl>
    <w:p w14:paraId="5539E9E6" w14:textId="022FF1D1" w:rsidR="00081F4C" w:rsidRPr="00C86E49" w:rsidRDefault="006F3AB5" w:rsidP="00DC6009">
      <w:pPr>
        <w:pStyle w:val="TableFigNoteLast"/>
        <w:spacing w:before="80" w:after="0"/>
      </w:pPr>
      <w:r w:rsidRPr="00C86E49">
        <w:t>AMI = acute myocardial infarction; CS = cardiogenic shock;</w:t>
      </w:r>
      <w:r w:rsidR="00D34F1C" w:rsidRPr="00C86E49">
        <w:t xml:space="preserve"> d = days</w:t>
      </w:r>
      <w:r w:rsidR="0063539B" w:rsidRPr="00C86E49">
        <w:t>;</w:t>
      </w:r>
      <w:r w:rsidRPr="00C86E49">
        <w:t xml:space="preserve"> </w:t>
      </w:r>
      <w:r w:rsidR="000137E7" w:rsidRPr="00C86E49">
        <w:t xml:space="preserve">DCM = dilated cardiomyopathy; </w:t>
      </w:r>
      <w:r w:rsidRPr="00C86E49">
        <w:t xml:space="preserve">FFS = fee-for-service; </w:t>
      </w:r>
      <w:r w:rsidR="00D34F1C" w:rsidRPr="00C86E49">
        <w:t>mo = month</w:t>
      </w:r>
      <w:r w:rsidR="0063539B" w:rsidRPr="00C86E49">
        <w:t>s</w:t>
      </w:r>
      <w:r w:rsidR="00D34F1C" w:rsidRPr="00C86E49">
        <w:t xml:space="preserve">; </w:t>
      </w:r>
      <w:r w:rsidR="00271255" w:rsidRPr="00C86E49">
        <w:t xml:space="preserve">MN = multinational; </w:t>
      </w:r>
      <w:r w:rsidR="001A5815" w:rsidRPr="00C86E49">
        <w:t xml:space="preserve">N = number of participants; </w:t>
      </w:r>
      <w:r w:rsidRPr="00C86E49">
        <w:t>NS = not specified; OHCA = out-of-hospital cardiac arrest; PCI = percutaneous coronary intervention; PS</w:t>
      </w:r>
      <w:r w:rsidR="00F91286" w:rsidRPr="00C86E49">
        <w:t> </w:t>
      </w:r>
      <w:r w:rsidRPr="00C86E49">
        <w:t>=</w:t>
      </w:r>
      <w:r w:rsidR="00F91286" w:rsidRPr="00C86E49">
        <w:t> </w:t>
      </w:r>
      <w:r w:rsidRPr="00C86E49">
        <w:t xml:space="preserve">propensity score; PSM = propensity score matched; </w:t>
      </w:r>
      <w:r w:rsidR="00CC0840" w:rsidRPr="00C86E49">
        <w:t>R = ret</w:t>
      </w:r>
      <w:r w:rsidR="001260D2" w:rsidRPr="00C86E49">
        <w:t xml:space="preserve">rospective; </w:t>
      </w:r>
      <w:r w:rsidR="003C5A1C" w:rsidRPr="00C86E49">
        <w:t xml:space="preserve">SAVE = Survival After Veno-arterial Extracorporeal membrane oxygenation; </w:t>
      </w:r>
      <w:r w:rsidRPr="00C86E49">
        <w:t>SC = single centre; U.S = United States; VA-ECMO</w:t>
      </w:r>
      <w:r w:rsidR="003E0F2D" w:rsidRPr="00C86E49">
        <w:t> </w:t>
      </w:r>
      <w:r w:rsidRPr="00C86E49">
        <w:t>=</w:t>
      </w:r>
      <w:r w:rsidR="003E0F2D" w:rsidRPr="00C86E49">
        <w:t> </w:t>
      </w:r>
      <w:r w:rsidRPr="00C86E49">
        <w:t>veno-arterial extracorporeal membrane oxygenation</w:t>
      </w:r>
      <w:r w:rsidR="0063539B" w:rsidRPr="00C86E49">
        <w:t>; y = years</w:t>
      </w:r>
      <w:r w:rsidRPr="00C86E49">
        <w:t>.</w:t>
      </w:r>
    </w:p>
    <w:p w14:paraId="676E8CBA" w14:textId="463676C0" w:rsidR="00750AEA" w:rsidRPr="00C86E49" w:rsidRDefault="00750AEA" w:rsidP="003715BA">
      <w:pPr>
        <w:pStyle w:val="TableFigureFooter"/>
        <w:spacing w:before="60"/>
      </w:pPr>
      <w:r w:rsidRPr="00C86E49">
        <w:t>Source: Derived from Table 23 of MSAC 1523.1 ADAR+in-line commentary</w:t>
      </w:r>
      <w:r w:rsidR="002F09B6" w:rsidRPr="00C86E49">
        <w:t>, which also pr</w:t>
      </w:r>
      <w:r w:rsidR="00536A14" w:rsidRPr="00C86E49">
        <w:t>esent</w:t>
      </w:r>
      <w:r w:rsidR="00D5764F" w:rsidRPr="00C86E49">
        <w:t>ed</w:t>
      </w:r>
      <w:r w:rsidR="00536A14" w:rsidRPr="00C86E49">
        <w:t xml:space="preserve"> the key features of the unmatched</w:t>
      </w:r>
      <w:r w:rsidR="00D5764F" w:rsidRPr="00C86E49">
        <w:t>/un</w:t>
      </w:r>
      <w:r w:rsidR="00536A14" w:rsidRPr="00C86E49">
        <w:t>adjusted studies</w:t>
      </w:r>
      <w:r w:rsidR="00D5764F" w:rsidRPr="00C86E49">
        <w:t xml:space="preserve"> (not shown here)</w:t>
      </w:r>
      <w:r w:rsidRPr="00C86E49">
        <w:t>.</w:t>
      </w:r>
    </w:p>
    <w:p w14:paraId="0E6AB21F" w14:textId="7AFEF49B" w:rsidR="00B25BC5" w:rsidRPr="00C86E49" w:rsidRDefault="00B25BC5" w:rsidP="00B25BC5">
      <w:pPr>
        <w:pStyle w:val="Caption"/>
      </w:pPr>
      <w:bookmarkStart w:id="26" w:name="_Ref151738308"/>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7</w:t>
      </w:r>
      <w:r w:rsidR="007552E5">
        <w:rPr>
          <w:noProof/>
        </w:rPr>
        <w:fldChar w:fldCharType="end"/>
      </w:r>
      <w:bookmarkEnd w:id="26"/>
      <w:r w:rsidRPr="00C86E49">
        <w:tab/>
        <w:t xml:space="preserve">Key features of the </w:t>
      </w:r>
      <w:r w:rsidR="006A5F66" w:rsidRPr="00C86E49">
        <w:t>pivotal</w:t>
      </w:r>
      <w:r w:rsidRPr="00C86E49">
        <w:t xml:space="preserve"> evidence for </w:t>
      </w:r>
      <w:r w:rsidR="00FB55C5" w:rsidRPr="00C86E49">
        <w:t>EC</w:t>
      </w:r>
      <w:r w:rsidRPr="00C86E49">
        <w:t xml:space="preserve">PELLA versus VA-ECMO </w:t>
      </w:r>
      <w:r w:rsidR="006A391D" w:rsidRPr="00C86E49">
        <w:t xml:space="preserve">with or without surgical venting </w:t>
      </w:r>
      <w:r w:rsidRPr="00C86E49">
        <w:t>(matched/adjusted)</w:t>
      </w:r>
    </w:p>
    <w:tbl>
      <w:tblPr>
        <w:tblStyle w:val="TableGrid"/>
        <w:tblW w:w="5000" w:type="pct"/>
        <w:tblCellMar>
          <w:left w:w="85" w:type="dxa"/>
          <w:right w:w="85" w:type="dxa"/>
        </w:tblCellMar>
        <w:tblLook w:val="04A0" w:firstRow="1" w:lastRow="0" w:firstColumn="1" w:lastColumn="0" w:noHBand="0" w:noVBand="1"/>
        <w:tblCaption w:val="Key features of the pivotal evidence for ECPELLA versus VA-ECMO with or without surgical venting (matched/adjusted)"/>
        <w:tblDescription w:val="This table summarises the study characteristics of the matched/adjusted studies comparing ECPELLA with VA-ECMO with or without surgical venting. The table includes the country, number of participants, study design, risk of bias, population, intervention, comparator, key outcomes, and whether the result was used in the economic model. "/>
      </w:tblPr>
      <w:tblGrid>
        <w:gridCol w:w="1382"/>
        <w:gridCol w:w="2520"/>
        <w:gridCol w:w="2567"/>
        <w:gridCol w:w="1541"/>
        <w:gridCol w:w="1122"/>
        <w:gridCol w:w="1100"/>
        <w:gridCol w:w="2095"/>
        <w:gridCol w:w="1621"/>
      </w:tblGrid>
      <w:tr w:rsidR="0051042F" w:rsidRPr="00C86E49" w14:paraId="6F9668D8" w14:textId="77777777" w:rsidTr="00D71AB7">
        <w:trPr>
          <w:tblHeader/>
        </w:trPr>
        <w:tc>
          <w:tcPr>
            <w:tcW w:w="495" w:type="pct"/>
            <w:vAlign w:val="center"/>
          </w:tcPr>
          <w:p w14:paraId="1B57857B" w14:textId="2CEC378F" w:rsidR="00B25BC5" w:rsidRPr="00C86E49" w:rsidRDefault="00B25BC5" w:rsidP="0077606B">
            <w:pPr>
              <w:pStyle w:val="TableHeading0"/>
              <w:keepNext/>
              <w:spacing w:before="40" w:after="40"/>
            </w:pPr>
            <w:r w:rsidRPr="00C86E49">
              <w:t>Study</w:t>
            </w:r>
          </w:p>
          <w:p w14:paraId="2E3FFB79" w14:textId="70066D36" w:rsidR="00934D55" w:rsidRPr="00C86E49" w:rsidRDefault="00934D55" w:rsidP="0077606B">
            <w:pPr>
              <w:pStyle w:val="TableHeading0"/>
              <w:keepNext/>
              <w:spacing w:before="40" w:after="40"/>
            </w:pPr>
            <w:r w:rsidRPr="00C86E49">
              <w:t>Country</w:t>
            </w:r>
          </w:p>
        </w:tc>
        <w:tc>
          <w:tcPr>
            <w:tcW w:w="903" w:type="pct"/>
            <w:vAlign w:val="center"/>
          </w:tcPr>
          <w:p w14:paraId="679F0AE0" w14:textId="77777777" w:rsidR="00B25BC5" w:rsidRPr="00C86E49" w:rsidRDefault="00B25BC5" w:rsidP="0077606B">
            <w:pPr>
              <w:pStyle w:val="TableHeading0"/>
              <w:keepNext/>
              <w:spacing w:before="40" w:after="40"/>
            </w:pPr>
            <w:r w:rsidRPr="00C86E49">
              <w:t>N</w:t>
            </w:r>
          </w:p>
        </w:tc>
        <w:tc>
          <w:tcPr>
            <w:tcW w:w="920" w:type="pct"/>
            <w:vAlign w:val="center"/>
          </w:tcPr>
          <w:p w14:paraId="5B711CDF" w14:textId="77777777" w:rsidR="00B25BC5" w:rsidRPr="00C86E49" w:rsidRDefault="00B25BC5" w:rsidP="0077606B">
            <w:pPr>
              <w:pStyle w:val="TableHeading0"/>
              <w:keepNext/>
              <w:spacing w:before="40" w:after="40"/>
            </w:pPr>
            <w:r w:rsidRPr="00C86E49">
              <w:t>Study design</w:t>
            </w:r>
          </w:p>
          <w:p w14:paraId="1D6D8DA0" w14:textId="77777777" w:rsidR="00B25BC5" w:rsidRPr="00C86E49" w:rsidRDefault="00B25BC5" w:rsidP="0077606B">
            <w:pPr>
              <w:pStyle w:val="TableHeading0"/>
              <w:keepNext/>
              <w:spacing w:before="40" w:after="40"/>
            </w:pPr>
            <w:r w:rsidRPr="00C86E49">
              <w:t>Risk of bias</w:t>
            </w:r>
          </w:p>
        </w:tc>
        <w:tc>
          <w:tcPr>
            <w:tcW w:w="552" w:type="pct"/>
            <w:vAlign w:val="center"/>
          </w:tcPr>
          <w:p w14:paraId="0EDEFB36" w14:textId="77777777" w:rsidR="00B25BC5" w:rsidRPr="00C86E49" w:rsidRDefault="00B25BC5" w:rsidP="0077606B">
            <w:pPr>
              <w:pStyle w:val="TableHeading0"/>
              <w:keepNext/>
              <w:spacing w:before="40" w:after="40"/>
            </w:pPr>
            <w:r w:rsidRPr="00C86E49">
              <w:t>Population</w:t>
            </w:r>
          </w:p>
        </w:tc>
        <w:tc>
          <w:tcPr>
            <w:tcW w:w="402" w:type="pct"/>
            <w:vAlign w:val="center"/>
          </w:tcPr>
          <w:p w14:paraId="1B57F00E" w14:textId="77777777" w:rsidR="00B25BC5" w:rsidRPr="00C86E49" w:rsidRDefault="00B25BC5" w:rsidP="0077606B">
            <w:pPr>
              <w:pStyle w:val="TableHeading0"/>
              <w:keepNext/>
              <w:spacing w:before="40" w:after="40"/>
            </w:pPr>
            <w:r w:rsidRPr="00C86E49">
              <w:t>Intervention</w:t>
            </w:r>
          </w:p>
        </w:tc>
        <w:tc>
          <w:tcPr>
            <w:tcW w:w="394" w:type="pct"/>
            <w:vAlign w:val="center"/>
          </w:tcPr>
          <w:p w14:paraId="17A10DB9" w14:textId="77777777" w:rsidR="00B25BC5" w:rsidRPr="00C86E49" w:rsidRDefault="00B25BC5" w:rsidP="0077606B">
            <w:pPr>
              <w:pStyle w:val="TableHeading0"/>
              <w:keepNext/>
              <w:spacing w:before="40" w:after="40"/>
            </w:pPr>
            <w:r w:rsidRPr="00C86E49">
              <w:t>Comparator</w:t>
            </w:r>
          </w:p>
        </w:tc>
        <w:tc>
          <w:tcPr>
            <w:tcW w:w="751" w:type="pct"/>
            <w:vAlign w:val="center"/>
          </w:tcPr>
          <w:p w14:paraId="1898345F" w14:textId="77777777" w:rsidR="00B25BC5" w:rsidRPr="00C86E49" w:rsidRDefault="00B25BC5" w:rsidP="0077606B">
            <w:pPr>
              <w:pStyle w:val="TableHeading0"/>
              <w:keepNext/>
              <w:spacing w:before="40" w:after="40"/>
            </w:pPr>
            <w:r w:rsidRPr="00C86E49">
              <w:t>Key outcome(s)</w:t>
            </w:r>
          </w:p>
        </w:tc>
        <w:tc>
          <w:tcPr>
            <w:tcW w:w="581" w:type="pct"/>
            <w:vAlign w:val="center"/>
          </w:tcPr>
          <w:p w14:paraId="221DE2E6" w14:textId="77777777" w:rsidR="00B25BC5" w:rsidRPr="00C86E49" w:rsidRDefault="00B25BC5" w:rsidP="0077606B">
            <w:pPr>
              <w:pStyle w:val="TableHeading0"/>
              <w:keepNext/>
              <w:spacing w:before="40" w:after="40"/>
            </w:pPr>
            <w:r w:rsidRPr="00C86E49">
              <w:t>Result used in economic model</w:t>
            </w:r>
          </w:p>
        </w:tc>
      </w:tr>
      <w:tr w:rsidR="0051042F" w:rsidRPr="00C86E49" w14:paraId="274E384C" w14:textId="77777777" w:rsidTr="00D71AB7">
        <w:trPr>
          <w:tblHeader/>
        </w:trPr>
        <w:tc>
          <w:tcPr>
            <w:tcW w:w="495" w:type="pct"/>
          </w:tcPr>
          <w:p w14:paraId="5387D492" w14:textId="08A5DEF2" w:rsidR="00CE77B1" w:rsidRPr="00C86E49" w:rsidRDefault="00CE77B1" w:rsidP="00E57A4E">
            <w:pPr>
              <w:pStyle w:val="TableText"/>
            </w:pPr>
            <w:r w:rsidRPr="00C86E49">
              <w:t>Hendrickson 2022</w:t>
            </w:r>
          </w:p>
          <w:p w14:paraId="784117C2" w14:textId="4215B2D3" w:rsidR="00B25BC5" w:rsidRPr="00C86E49" w:rsidRDefault="00934D55" w:rsidP="00E57A4E">
            <w:pPr>
              <w:pStyle w:val="TableText"/>
            </w:pPr>
            <w:r w:rsidRPr="00C86E49">
              <w:t>U.S.</w:t>
            </w:r>
          </w:p>
        </w:tc>
        <w:tc>
          <w:tcPr>
            <w:tcW w:w="903" w:type="pct"/>
          </w:tcPr>
          <w:p w14:paraId="7450D427" w14:textId="54732460" w:rsidR="00CE77B1" w:rsidRPr="00C86E49" w:rsidRDefault="00CE77B1" w:rsidP="00E57A4E">
            <w:pPr>
              <w:pStyle w:val="TableText"/>
            </w:pPr>
            <w:r w:rsidRPr="00C86E49">
              <w:t>ECPELLA = 1880</w:t>
            </w:r>
          </w:p>
          <w:p w14:paraId="74395FE4" w14:textId="5BE7C969" w:rsidR="00B25BC5" w:rsidRPr="00C86E49" w:rsidRDefault="00CE77B1" w:rsidP="00E57A4E">
            <w:pPr>
              <w:pStyle w:val="TableText"/>
            </w:pPr>
            <w:r w:rsidRPr="00C86E49">
              <w:t>VA-ECMO = 7440</w:t>
            </w:r>
          </w:p>
        </w:tc>
        <w:tc>
          <w:tcPr>
            <w:tcW w:w="920" w:type="pct"/>
          </w:tcPr>
          <w:p w14:paraId="5261B1F8" w14:textId="1065C5F6" w:rsidR="002A39DF" w:rsidRPr="00C86E49" w:rsidRDefault="008E44D9" w:rsidP="00E57A4E">
            <w:pPr>
              <w:pStyle w:val="TableText"/>
            </w:pPr>
            <w:r w:rsidRPr="00C86E49">
              <w:t>R (2016 to 2018),</w:t>
            </w:r>
            <w:r w:rsidR="002A39DF" w:rsidRPr="00C86E49">
              <w:t xml:space="preserve"> Healthcare Cost and Utilisation Project National Inpatient Sample </w:t>
            </w:r>
            <w:r w:rsidR="006166E3" w:rsidRPr="00C86E49">
              <w:t>(NIS)</w:t>
            </w:r>
            <w:r w:rsidRPr="00C86E49">
              <w:br/>
              <w:t>A</w:t>
            </w:r>
            <w:r w:rsidR="002A39DF" w:rsidRPr="00C86E49">
              <w:t>djusted analyses</w:t>
            </w:r>
          </w:p>
          <w:p w14:paraId="582095C1" w14:textId="08F55C40" w:rsidR="00B25BC5" w:rsidRPr="00C86E49" w:rsidRDefault="002A39DF" w:rsidP="00E57A4E">
            <w:pPr>
              <w:pStyle w:val="TableText"/>
            </w:pPr>
            <w:r w:rsidRPr="00C86E49">
              <w:t>Risk of bias: Fair</w:t>
            </w:r>
          </w:p>
        </w:tc>
        <w:tc>
          <w:tcPr>
            <w:tcW w:w="552" w:type="pct"/>
          </w:tcPr>
          <w:p w14:paraId="751DE48D" w14:textId="3E59BEFC" w:rsidR="00B25BC5" w:rsidRPr="00C86E49" w:rsidRDefault="002A39DF" w:rsidP="00E57A4E">
            <w:pPr>
              <w:pStyle w:val="TableText"/>
            </w:pPr>
            <w:r w:rsidRPr="00C86E49">
              <w:t>Any CS</w:t>
            </w:r>
          </w:p>
        </w:tc>
        <w:tc>
          <w:tcPr>
            <w:tcW w:w="402" w:type="pct"/>
          </w:tcPr>
          <w:p w14:paraId="015FF1D0" w14:textId="77777777" w:rsidR="0051042F" w:rsidRPr="00C86E49" w:rsidRDefault="002A39DF" w:rsidP="00E57A4E">
            <w:pPr>
              <w:pStyle w:val="TableText"/>
            </w:pPr>
            <w:r w:rsidRPr="00C86E49">
              <w:t>ECPELLA</w:t>
            </w:r>
          </w:p>
          <w:p w14:paraId="16D5F474" w14:textId="46E2AEFD" w:rsidR="00B25BC5" w:rsidRPr="00C86E49" w:rsidRDefault="002A39DF" w:rsidP="00E57A4E">
            <w:pPr>
              <w:pStyle w:val="TableText"/>
            </w:pPr>
            <w:r w:rsidRPr="00C86E49">
              <w:t>(</w:t>
            </w:r>
            <w:proofErr w:type="gramStart"/>
            <w:r w:rsidRPr="00C86E49">
              <w:t>device</w:t>
            </w:r>
            <w:proofErr w:type="gramEnd"/>
            <w:r w:rsidRPr="00C86E49">
              <w:t xml:space="preserve"> NS)</w:t>
            </w:r>
          </w:p>
        </w:tc>
        <w:tc>
          <w:tcPr>
            <w:tcW w:w="394" w:type="pct"/>
          </w:tcPr>
          <w:p w14:paraId="290FCA1A" w14:textId="3E9C54D0" w:rsidR="00B25BC5" w:rsidRPr="00C86E49" w:rsidRDefault="002A39DF" w:rsidP="00E57A4E">
            <w:pPr>
              <w:pStyle w:val="TableText"/>
            </w:pPr>
            <w:r w:rsidRPr="00C86E49">
              <w:t>VA-ECMO</w:t>
            </w:r>
          </w:p>
        </w:tc>
        <w:tc>
          <w:tcPr>
            <w:tcW w:w="751" w:type="pct"/>
          </w:tcPr>
          <w:p w14:paraId="5DC9179E" w14:textId="308A6F7E" w:rsidR="00B25BC5" w:rsidRPr="00C86E49" w:rsidRDefault="00706C77" w:rsidP="00E57A4E">
            <w:pPr>
              <w:pStyle w:val="TableText"/>
            </w:pPr>
            <w:r w:rsidRPr="00C86E49">
              <w:t>Mortality (i</w:t>
            </w:r>
            <w:r w:rsidR="002A39DF" w:rsidRPr="00C86E49">
              <w:t>n-hospital</w:t>
            </w:r>
            <w:r w:rsidRPr="00C86E49">
              <w:t>)</w:t>
            </w:r>
          </w:p>
        </w:tc>
        <w:tc>
          <w:tcPr>
            <w:tcW w:w="581" w:type="pct"/>
          </w:tcPr>
          <w:p w14:paraId="069BEFE1" w14:textId="1DA9E52F" w:rsidR="00B25BC5" w:rsidRPr="00C86E49" w:rsidRDefault="00231EC2" w:rsidP="00E57A4E">
            <w:pPr>
              <w:pStyle w:val="TableText"/>
            </w:pPr>
            <w:r w:rsidRPr="00C86E49">
              <w:t>Yes</w:t>
            </w:r>
            <w:r w:rsidRPr="00C86E49">
              <w:br/>
              <w:t>(1 mo mortality)</w:t>
            </w:r>
          </w:p>
        </w:tc>
      </w:tr>
      <w:tr w:rsidR="0051042F" w:rsidRPr="00C86E49" w14:paraId="04E27115" w14:textId="77777777" w:rsidTr="00D71AB7">
        <w:trPr>
          <w:tblHeader/>
        </w:trPr>
        <w:tc>
          <w:tcPr>
            <w:tcW w:w="495" w:type="pct"/>
          </w:tcPr>
          <w:p w14:paraId="788C594C" w14:textId="77777777" w:rsidR="00934D55" w:rsidRPr="00C86E49" w:rsidRDefault="0017472C" w:rsidP="00E57A4E">
            <w:pPr>
              <w:pStyle w:val="TableText"/>
            </w:pPr>
            <w:r w:rsidRPr="00C86E49">
              <w:t>Pappalardo 2017</w:t>
            </w:r>
          </w:p>
          <w:p w14:paraId="7ED27FDE" w14:textId="4CD9EA14" w:rsidR="00B25BC5" w:rsidRPr="00C86E49" w:rsidRDefault="00934D55" w:rsidP="00E57A4E">
            <w:pPr>
              <w:pStyle w:val="TableText"/>
            </w:pPr>
            <w:r w:rsidRPr="00C86E49">
              <w:t>Italy</w:t>
            </w:r>
            <w:r w:rsidR="00C22237" w:rsidRPr="00C86E49">
              <w:t>,</w:t>
            </w:r>
            <w:r w:rsidRPr="00C86E49">
              <w:t xml:space="preserve"> Germany</w:t>
            </w:r>
          </w:p>
        </w:tc>
        <w:tc>
          <w:tcPr>
            <w:tcW w:w="903" w:type="pct"/>
          </w:tcPr>
          <w:p w14:paraId="542CD7C8" w14:textId="58AA9EA2" w:rsidR="0017472C" w:rsidRPr="00C86E49" w:rsidRDefault="0017472C" w:rsidP="00E57A4E">
            <w:pPr>
              <w:pStyle w:val="TableText"/>
            </w:pPr>
            <w:r w:rsidRPr="00C86E49">
              <w:t>ECPELLA = 34 (21 matched)</w:t>
            </w:r>
          </w:p>
          <w:p w14:paraId="6C8053B1" w14:textId="701170B4" w:rsidR="00B25BC5" w:rsidRPr="00C86E49" w:rsidRDefault="0017472C" w:rsidP="00E57A4E">
            <w:pPr>
              <w:pStyle w:val="TableText"/>
            </w:pPr>
            <w:r w:rsidRPr="00C86E49">
              <w:t>VA-ECMO = 123 (42 matched)</w:t>
            </w:r>
          </w:p>
        </w:tc>
        <w:tc>
          <w:tcPr>
            <w:tcW w:w="920" w:type="pct"/>
          </w:tcPr>
          <w:p w14:paraId="3A744D17" w14:textId="58586B83" w:rsidR="0017472C" w:rsidRPr="00C86E49" w:rsidRDefault="00AA7AAE" w:rsidP="00E57A4E">
            <w:pPr>
              <w:pStyle w:val="TableText"/>
            </w:pPr>
            <w:r w:rsidRPr="00C86E49">
              <w:t>MC, R (Jan 2013 to Apr 2015)</w:t>
            </w:r>
            <w:r w:rsidR="00776E04" w:rsidRPr="00C86E49">
              <w:br/>
            </w:r>
            <w:r w:rsidR="0017472C" w:rsidRPr="00C86E49">
              <w:t>PSM analyses</w:t>
            </w:r>
          </w:p>
          <w:p w14:paraId="1217AACF" w14:textId="1ABE3E74" w:rsidR="00B25BC5" w:rsidRPr="00C86E49" w:rsidRDefault="0017472C" w:rsidP="00E57A4E">
            <w:pPr>
              <w:pStyle w:val="TableText"/>
            </w:pPr>
            <w:r w:rsidRPr="00C86E49">
              <w:t>Risk of bias: Fair</w:t>
            </w:r>
          </w:p>
        </w:tc>
        <w:tc>
          <w:tcPr>
            <w:tcW w:w="552" w:type="pct"/>
          </w:tcPr>
          <w:p w14:paraId="31008444" w14:textId="145B21D6" w:rsidR="00B25BC5" w:rsidRPr="00C86E49" w:rsidRDefault="0017472C" w:rsidP="00E57A4E">
            <w:pPr>
              <w:pStyle w:val="TableText"/>
            </w:pPr>
            <w:r w:rsidRPr="00C86E49">
              <w:t>Any, severe refractory CS</w:t>
            </w:r>
            <w:r w:rsidR="000D4F40" w:rsidRPr="00C86E49">
              <w:br/>
            </w:r>
            <w:r w:rsidRPr="00C86E49">
              <w:t>(~48% STEMI)</w:t>
            </w:r>
          </w:p>
        </w:tc>
        <w:tc>
          <w:tcPr>
            <w:tcW w:w="402" w:type="pct"/>
          </w:tcPr>
          <w:p w14:paraId="53D1F252" w14:textId="77777777" w:rsidR="0051042F" w:rsidRPr="00C86E49" w:rsidRDefault="0017472C" w:rsidP="00E57A4E">
            <w:pPr>
              <w:pStyle w:val="TableText"/>
            </w:pPr>
            <w:r w:rsidRPr="00C86E49">
              <w:t>ECPELLA</w:t>
            </w:r>
          </w:p>
          <w:p w14:paraId="7BDEFFF6" w14:textId="32AA8C37" w:rsidR="00B25BC5" w:rsidRPr="00C86E49" w:rsidRDefault="0017472C" w:rsidP="00E57A4E">
            <w:pPr>
              <w:pStyle w:val="TableText"/>
            </w:pPr>
            <w:r w:rsidRPr="00C86E49">
              <w:t>2.5/ CP</w:t>
            </w:r>
          </w:p>
        </w:tc>
        <w:tc>
          <w:tcPr>
            <w:tcW w:w="394" w:type="pct"/>
          </w:tcPr>
          <w:p w14:paraId="350E89B6" w14:textId="5A1C7D0B" w:rsidR="00B25BC5" w:rsidRPr="00C86E49" w:rsidRDefault="0017472C" w:rsidP="00E57A4E">
            <w:pPr>
              <w:pStyle w:val="TableText"/>
            </w:pPr>
            <w:r w:rsidRPr="00C86E49">
              <w:t>VA-ECMO</w:t>
            </w:r>
          </w:p>
        </w:tc>
        <w:tc>
          <w:tcPr>
            <w:tcW w:w="751" w:type="pct"/>
          </w:tcPr>
          <w:p w14:paraId="09C5E303" w14:textId="67A91FCB" w:rsidR="00B25BC5" w:rsidRPr="00C86E49" w:rsidRDefault="00706C77" w:rsidP="00706C77">
            <w:pPr>
              <w:pStyle w:val="TableText"/>
            </w:pPr>
            <w:r w:rsidRPr="00C86E49">
              <w:t xml:space="preserve">Mortality (in-hospital); </w:t>
            </w:r>
            <w:r w:rsidR="0017472C" w:rsidRPr="00C86E49">
              <w:t>bridg</w:t>
            </w:r>
            <w:r w:rsidRPr="00C86E49">
              <w:t>e</w:t>
            </w:r>
            <w:r w:rsidR="0017472C" w:rsidRPr="00C86E49">
              <w:t xml:space="preserve"> to next therapy or myocardial recovery</w:t>
            </w:r>
            <w:r w:rsidRPr="00C86E49">
              <w:t xml:space="preserve">; major bleeding; </w:t>
            </w:r>
            <w:r w:rsidR="0017472C" w:rsidRPr="00C86E49">
              <w:t>haemolysis</w:t>
            </w:r>
          </w:p>
        </w:tc>
        <w:tc>
          <w:tcPr>
            <w:tcW w:w="581" w:type="pct"/>
          </w:tcPr>
          <w:p w14:paraId="07A2A00B" w14:textId="4165A548" w:rsidR="00B25BC5" w:rsidRPr="00C86E49" w:rsidRDefault="006016C7" w:rsidP="00E57A4E">
            <w:pPr>
              <w:pStyle w:val="TableText"/>
            </w:pPr>
            <w:r w:rsidRPr="00C86E49">
              <w:t>Yes</w:t>
            </w:r>
            <w:r w:rsidRPr="00C86E49">
              <w:br/>
              <w:t>(1 mo mortality</w:t>
            </w:r>
            <w:r w:rsidR="00BC3A3D" w:rsidRPr="00C86E49">
              <w:t>; bleeding requiring transfusion</w:t>
            </w:r>
            <w:r w:rsidRPr="00C86E49">
              <w:t>)</w:t>
            </w:r>
          </w:p>
        </w:tc>
      </w:tr>
      <w:tr w:rsidR="0051042F" w:rsidRPr="00C86E49" w14:paraId="17B1C7AB" w14:textId="77777777" w:rsidTr="00D71AB7">
        <w:trPr>
          <w:tblHeader/>
        </w:trPr>
        <w:tc>
          <w:tcPr>
            <w:tcW w:w="495" w:type="pct"/>
          </w:tcPr>
          <w:p w14:paraId="1020B7D6" w14:textId="608EF8A0" w:rsidR="001A0802" w:rsidRPr="00C86E49" w:rsidRDefault="001A0802" w:rsidP="00E57A4E">
            <w:pPr>
              <w:pStyle w:val="TableText"/>
            </w:pPr>
            <w:r w:rsidRPr="00C86E49">
              <w:t>Patel 2018</w:t>
            </w:r>
          </w:p>
          <w:p w14:paraId="7E18F71C" w14:textId="528A6C1D" w:rsidR="00B25BC5" w:rsidRPr="00C86E49" w:rsidRDefault="00934D55" w:rsidP="00E57A4E">
            <w:pPr>
              <w:pStyle w:val="TableText"/>
            </w:pPr>
            <w:r w:rsidRPr="00C86E49">
              <w:t>U.S.</w:t>
            </w:r>
          </w:p>
        </w:tc>
        <w:tc>
          <w:tcPr>
            <w:tcW w:w="903" w:type="pct"/>
          </w:tcPr>
          <w:p w14:paraId="5D754BDA" w14:textId="673BAA64" w:rsidR="001A0802" w:rsidRPr="00C86E49" w:rsidRDefault="001A0802" w:rsidP="00E57A4E">
            <w:pPr>
              <w:pStyle w:val="TableText"/>
            </w:pPr>
            <w:r w:rsidRPr="00C86E49">
              <w:t>ECPELLA = 30</w:t>
            </w:r>
          </w:p>
          <w:p w14:paraId="1ECCEE20" w14:textId="0B843F4A" w:rsidR="00B25BC5" w:rsidRPr="00C86E49" w:rsidRDefault="001A0802" w:rsidP="00E57A4E">
            <w:pPr>
              <w:pStyle w:val="TableText"/>
            </w:pPr>
            <w:r w:rsidRPr="00C86E49">
              <w:t>VA-ECMO = 36</w:t>
            </w:r>
          </w:p>
        </w:tc>
        <w:tc>
          <w:tcPr>
            <w:tcW w:w="920" w:type="pct"/>
          </w:tcPr>
          <w:p w14:paraId="62524D75" w14:textId="64540940" w:rsidR="00934D55" w:rsidRPr="00C86E49" w:rsidRDefault="001A0802" w:rsidP="00934D55">
            <w:pPr>
              <w:pStyle w:val="TableText"/>
            </w:pPr>
            <w:r w:rsidRPr="00C86E49">
              <w:t xml:space="preserve">SC, </w:t>
            </w:r>
            <w:r w:rsidR="00776E04" w:rsidRPr="00C86E49">
              <w:t>R (2014 to 2016)</w:t>
            </w:r>
            <w:r w:rsidR="00F52533" w:rsidRPr="00C86E49">
              <w:br/>
              <w:t>A</w:t>
            </w:r>
            <w:r w:rsidRPr="00C86E49">
              <w:t xml:space="preserve">djusted </w:t>
            </w:r>
            <w:proofErr w:type="gramStart"/>
            <w:r w:rsidRPr="00C86E49">
              <w:t>analyses</w:t>
            </w:r>
            <w:proofErr w:type="gramEnd"/>
          </w:p>
          <w:p w14:paraId="36D80C54" w14:textId="6AC31E3E" w:rsidR="00B25BC5" w:rsidRPr="00C86E49" w:rsidRDefault="001A0802" w:rsidP="00934D55">
            <w:pPr>
              <w:pStyle w:val="TableText"/>
            </w:pPr>
            <w:r w:rsidRPr="00C86E49">
              <w:t xml:space="preserve">Risk of bias: Fair </w:t>
            </w:r>
            <w:r w:rsidRPr="00C86E49">
              <w:rPr>
                <w:i/>
                <w:iCs/>
              </w:rPr>
              <w:t>(</w:t>
            </w:r>
            <w:r w:rsidR="00EF2182" w:rsidRPr="00C86E49">
              <w:rPr>
                <w:i/>
                <w:iCs/>
              </w:rPr>
              <w:t xml:space="preserve">? </w:t>
            </w:r>
            <w:r w:rsidRPr="00C86E49">
              <w:rPr>
                <w:i/>
                <w:iCs/>
              </w:rPr>
              <w:t>Poor, based on commentary)</w:t>
            </w:r>
          </w:p>
        </w:tc>
        <w:tc>
          <w:tcPr>
            <w:tcW w:w="552" w:type="pct"/>
          </w:tcPr>
          <w:p w14:paraId="195DD007" w14:textId="48A727BE" w:rsidR="00B25BC5" w:rsidRPr="00C86E49" w:rsidRDefault="00104A47" w:rsidP="00E57A4E">
            <w:pPr>
              <w:pStyle w:val="TableText"/>
            </w:pPr>
            <w:r w:rsidRPr="00C86E49">
              <w:t>Any refractory CS</w:t>
            </w:r>
          </w:p>
        </w:tc>
        <w:tc>
          <w:tcPr>
            <w:tcW w:w="402" w:type="pct"/>
          </w:tcPr>
          <w:p w14:paraId="221F1324" w14:textId="77777777" w:rsidR="00104A47" w:rsidRPr="00C86E49" w:rsidRDefault="00104A47" w:rsidP="00E57A4E">
            <w:pPr>
              <w:pStyle w:val="TableText"/>
            </w:pPr>
            <w:r w:rsidRPr="00C86E49">
              <w:t>ECPELLA</w:t>
            </w:r>
          </w:p>
          <w:p w14:paraId="3F026A65" w14:textId="1D2E13A3" w:rsidR="00B25BC5" w:rsidRPr="00C86E49" w:rsidRDefault="00104A47" w:rsidP="00E57A4E">
            <w:pPr>
              <w:pStyle w:val="TableText"/>
            </w:pPr>
            <w:r w:rsidRPr="00C86E49">
              <w:t>2.5/ CP/ 5.0</w:t>
            </w:r>
          </w:p>
        </w:tc>
        <w:tc>
          <w:tcPr>
            <w:tcW w:w="394" w:type="pct"/>
          </w:tcPr>
          <w:p w14:paraId="5AB873F7" w14:textId="0864117B" w:rsidR="00B25BC5" w:rsidRPr="00C86E49" w:rsidRDefault="00104A47" w:rsidP="00E57A4E">
            <w:pPr>
              <w:pStyle w:val="TableText"/>
            </w:pPr>
            <w:r w:rsidRPr="00C86E49">
              <w:t>VA-ECMO</w:t>
            </w:r>
          </w:p>
        </w:tc>
        <w:tc>
          <w:tcPr>
            <w:tcW w:w="751" w:type="pct"/>
          </w:tcPr>
          <w:p w14:paraId="7145AB4F" w14:textId="72AC8193" w:rsidR="00B25BC5" w:rsidRPr="00C86E49" w:rsidRDefault="00706C77" w:rsidP="00706C77">
            <w:pPr>
              <w:pStyle w:val="TableText"/>
            </w:pPr>
            <w:r w:rsidRPr="00C86E49">
              <w:t>Mortality (</w:t>
            </w:r>
            <w:r w:rsidR="00104A47" w:rsidRPr="00C86E49">
              <w:t>30</w:t>
            </w:r>
            <w:r w:rsidRPr="00C86E49">
              <w:t xml:space="preserve"> d, </w:t>
            </w:r>
            <w:r w:rsidR="00104A47" w:rsidRPr="00C86E49">
              <w:t>12</w:t>
            </w:r>
            <w:r w:rsidRPr="00C86E49">
              <w:t xml:space="preserve"> mo); major bleeding; </w:t>
            </w:r>
            <w:r w:rsidR="00104A47" w:rsidRPr="00C86E49">
              <w:t>stroke</w:t>
            </w:r>
            <w:r w:rsidRPr="00C86E49">
              <w:t xml:space="preserve">; </w:t>
            </w:r>
            <w:r w:rsidR="00104A47" w:rsidRPr="00C86E49">
              <w:t>haemolysis</w:t>
            </w:r>
          </w:p>
        </w:tc>
        <w:tc>
          <w:tcPr>
            <w:tcW w:w="581" w:type="pct"/>
          </w:tcPr>
          <w:p w14:paraId="18C9FB13" w14:textId="5B462E41" w:rsidR="00B25BC5" w:rsidRPr="00C86E49" w:rsidRDefault="003039BD" w:rsidP="00E57A4E">
            <w:pPr>
              <w:pStyle w:val="TableText"/>
            </w:pPr>
            <w:r w:rsidRPr="00C86E49">
              <w:t>Yes</w:t>
            </w:r>
            <w:r w:rsidRPr="00C86E49">
              <w:br/>
              <w:t>(6</w:t>
            </w:r>
            <w:r w:rsidR="003154EC" w:rsidRPr="00C86E49">
              <w:t xml:space="preserve"> mo</w:t>
            </w:r>
            <w:r w:rsidRPr="00C86E49">
              <w:t xml:space="preserve"> mortality)</w:t>
            </w:r>
          </w:p>
        </w:tc>
      </w:tr>
      <w:tr w:rsidR="0051042F" w:rsidRPr="00C86E49" w14:paraId="757B097C" w14:textId="77777777" w:rsidTr="00D71AB7">
        <w:trPr>
          <w:tblHeader/>
        </w:trPr>
        <w:tc>
          <w:tcPr>
            <w:tcW w:w="495" w:type="pct"/>
          </w:tcPr>
          <w:p w14:paraId="61E49C98" w14:textId="77777777" w:rsidR="00934D55" w:rsidRPr="00C86E49" w:rsidRDefault="00EE50DD" w:rsidP="00E57A4E">
            <w:pPr>
              <w:pStyle w:val="TableText"/>
            </w:pPr>
            <w:r w:rsidRPr="00C86E49">
              <w:t>Radakovic 2022</w:t>
            </w:r>
          </w:p>
          <w:p w14:paraId="1A45B4B4" w14:textId="62E21FFA" w:rsidR="00B25BC5" w:rsidRPr="00C86E49" w:rsidRDefault="00934D55" w:rsidP="00E57A4E">
            <w:pPr>
              <w:pStyle w:val="TableText"/>
            </w:pPr>
            <w:r w:rsidRPr="00C86E49">
              <w:t>Germany</w:t>
            </w:r>
          </w:p>
        </w:tc>
        <w:tc>
          <w:tcPr>
            <w:tcW w:w="903" w:type="pct"/>
          </w:tcPr>
          <w:p w14:paraId="32E4EB9B" w14:textId="77777777" w:rsidR="00EE50DD" w:rsidRPr="00C86E49" w:rsidRDefault="00EE50DD" w:rsidP="00E57A4E">
            <w:pPr>
              <w:pStyle w:val="TableText"/>
            </w:pPr>
            <w:r w:rsidRPr="00C86E49">
              <w:t>ECPELLA = 71</w:t>
            </w:r>
          </w:p>
          <w:p w14:paraId="7F321F19" w14:textId="4FAC91DE" w:rsidR="00B25BC5" w:rsidRPr="00C86E49" w:rsidRDefault="00EE50DD" w:rsidP="00E57A4E">
            <w:pPr>
              <w:pStyle w:val="TableText"/>
            </w:pPr>
            <w:r w:rsidRPr="00C86E49">
              <w:t>VA-ECMO +</w:t>
            </w:r>
            <w:r w:rsidR="00A11E93" w:rsidRPr="00C86E49">
              <w:t> </w:t>
            </w:r>
            <w:r w:rsidRPr="00C86E49">
              <w:t>SV = 41</w:t>
            </w:r>
          </w:p>
        </w:tc>
        <w:tc>
          <w:tcPr>
            <w:tcW w:w="920" w:type="pct"/>
          </w:tcPr>
          <w:p w14:paraId="2F847DA3" w14:textId="7A6F9DB2" w:rsidR="00EE50DD" w:rsidRPr="00C86E49" w:rsidRDefault="00F52533" w:rsidP="00E57A4E">
            <w:pPr>
              <w:pStyle w:val="TableText"/>
            </w:pPr>
            <w:r w:rsidRPr="00C86E49">
              <w:t>SC, R (Jan 2009 to Feb 2020)</w:t>
            </w:r>
            <w:r w:rsidRPr="00C86E49">
              <w:br/>
            </w:r>
            <w:r w:rsidR="00EE50DD" w:rsidRPr="00C86E49">
              <w:t>IPTW-adjusted analyses</w:t>
            </w:r>
          </w:p>
          <w:p w14:paraId="40E00DC0" w14:textId="32125D61" w:rsidR="00B25BC5" w:rsidRPr="00C86E49" w:rsidRDefault="00EE50DD" w:rsidP="00E57A4E">
            <w:pPr>
              <w:pStyle w:val="TableText"/>
            </w:pPr>
            <w:r w:rsidRPr="00C86E49">
              <w:t>Risk of bias: Fair</w:t>
            </w:r>
          </w:p>
        </w:tc>
        <w:tc>
          <w:tcPr>
            <w:tcW w:w="552" w:type="pct"/>
          </w:tcPr>
          <w:p w14:paraId="6E7C4867" w14:textId="4C94F570" w:rsidR="00B25BC5" w:rsidRPr="00C86E49" w:rsidRDefault="00EE50DD" w:rsidP="00E57A4E">
            <w:pPr>
              <w:pStyle w:val="TableText"/>
            </w:pPr>
            <w:r w:rsidRPr="00C86E49">
              <w:t>AMI-CS</w:t>
            </w:r>
          </w:p>
        </w:tc>
        <w:tc>
          <w:tcPr>
            <w:tcW w:w="402" w:type="pct"/>
          </w:tcPr>
          <w:p w14:paraId="0BE2CAA6" w14:textId="77777777" w:rsidR="0051042F" w:rsidRPr="00C86E49" w:rsidRDefault="00EE50DD" w:rsidP="00E57A4E">
            <w:pPr>
              <w:pStyle w:val="TableText"/>
            </w:pPr>
            <w:r w:rsidRPr="00C86E49">
              <w:t>ECPELLA</w:t>
            </w:r>
          </w:p>
          <w:p w14:paraId="30F28677" w14:textId="0CDCC0F2" w:rsidR="00B25BC5" w:rsidRPr="00C86E49" w:rsidRDefault="00EE50DD" w:rsidP="00E57A4E">
            <w:pPr>
              <w:pStyle w:val="TableText"/>
            </w:pPr>
            <w:r w:rsidRPr="00C86E49">
              <w:t>2.5/ CP</w:t>
            </w:r>
          </w:p>
        </w:tc>
        <w:tc>
          <w:tcPr>
            <w:tcW w:w="394" w:type="pct"/>
          </w:tcPr>
          <w:p w14:paraId="631D3E32" w14:textId="24B557E7" w:rsidR="00B25BC5" w:rsidRPr="00C86E49" w:rsidRDefault="00EE50DD" w:rsidP="00E57A4E">
            <w:pPr>
              <w:pStyle w:val="TableText"/>
            </w:pPr>
            <w:r w:rsidRPr="00C86E49">
              <w:t>VA-ECMO plus SV</w:t>
            </w:r>
          </w:p>
        </w:tc>
        <w:tc>
          <w:tcPr>
            <w:tcW w:w="751" w:type="pct"/>
          </w:tcPr>
          <w:p w14:paraId="73E8027E" w14:textId="582F2BEF" w:rsidR="00B25BC5" w:rsidRPr="00C86E49" w:rsidRDefault="00374B57" w:rsidP="009C2636">
            <w:pPr>
              <w:pStyle w:val="TableText"/>
            </w:pPr>
            <w:r w:rsidRPr="00C86E49">
              <w:t xml:space="preserve">Mortality (30 d); </w:t>
            </w:r>
            <w:r w:rsidR="009C2636" w:rsidRPr="00C86E49">
              <w:t>m</w:t>
            </w:r>
            <w:r w:rsidR="00EE50DD" w:rsidRPr="00C86E49">
              <w:t>yocardial recovery or transition to durable MCS</w:t>
            </w:r>
            <w:r w:rsidR="009C2636" w:rsidRPr="00C86E49">
              <w:t xml:space="preserve">; </w:t>
            </w:r>
            <w:r w:rsidR="00EE50DD" w:rsidRPr="00C86E49">
              <w:t>stroke</w:t>
            </w:r>
            <w:r w:rsidR="009C2636" w:rsidRPr="00C86E49">
              <w:t xml:space="preserve">; </w:t>
            </w:r>
            <w:r w:rsidR="00EE50DD" w:rsidRPr="00C86E49">
              <w:t>peripheral ischaemic complications</w:t>
            </w:r>
            <w:r w:rsidR="001021F7" w:rsidRPr="00C86E49">
              <w:t>; sepsis</w:t>
            </w:r>
          </w:p>
        </w:tc>
        <w:tc>
          <w:tcPr>
            <w:tcW w:w="581" w:type="pct"/>
          </w:tcPr>
          <w:p w14:paraId="26B47F0E" w14:textId="3ED370E6" w:rsidR="00B25BC5" w:rsidRPr="00C86E49" w:rsidRDefault="006016C7" w:rsidP="00E57A4E">
            <w:pPr>
              <w:pStyle w:val="TableText"/>
            </w:pPr>
            <w:r w:rsidRPr="00C86E49">
              <w:t>SA only</w:t>
            </w:r>
          </w:p>
        </w:tc>
      </w:tr>
      <w:tr w:rsidR="0051042F" w:rsidRPr="00C86E49" w14:paraId="4E5A34E8" w14:textId="77777777" w:rsidTr="00D71AB7">
        <w:trPr>
          <w:tblHeader/>
        </w:trPr>
        <w:tc>
          <w:tcPr>
            <w:tcW w:w="495" w:type="pct"/>
          </w:tcPr>
          <w:p w14:paraId="48710A47" w14:textId="77777777" w:rsidR="00934D55" w:rsidRPr="00C86E49" w:rsidRDefault="00E119FA" w:rsidP="00E57A4E">
            <w:pPr>
              <w:pStyle w:val="TableText"/>
            </w:pPr>
            <w:r w:rsidRPr="00C86E49">
              <w:t>Schrage 2020b</w:t>
            </w:r>
          </w:p>
          <w:p w14:paraId="2F474287" w14:textId="68B8419A" w:rsidR="00FA7D49" w:rsidRPr="00C86E49" w:rsidRDefault="00934D55" w:rsidP="00E57A4E">
            <w:pPr>
              <w:pStyle w:val="TableText"/>
            </w:pPr>
            <w:r w:rsidRPr="00C86E49">
              <w:t>Germany, Italy, U.S., France</w:t>
            </w:r>
          </w:p>
        </w:tc>
        <w:tc>
          <w:tcPr>
            <w:tcW w:w="903" w:type="pct"/>
          </w:tcPr>
          <w:p w14:paraId="776E7586" w14:textId="5D11B048" w:rsidR="00E119FA" w:rsidRPr="00C86E49" w:rsidRDefault="00E119FA" w:rsidP="00E57A4E">
            <w:pPr>
              <w:pStyle w:val="TableText"/>
            </w:pPr>
            <w:r w:rsidRPr="00C86E49">
              <w:t>ECPELLA = 337 (255 matched)</w:t>
            </w:r>
          </w:p>
          <w:p w14:paraId="5BCFF268" w14:textId="639F9DD3" w:rsidR="00FA7D49" w:rsidRPr="00C86E49" w:rsidRDefault="00E119FA" w:rsidP="00E57A4E">
            <w:pPr>
              <w:pStyle w:val="TableText"/>
            </w:pPr>
            <w:r w:rsidRPr="00C86E49">
              <w:t>VA-ECMO = 349 (255 matched)</w:t>
            </w:r>
          </w:p>
        </w:tc>
        <w:tc>
          <w:tcPr>
            <w:tcW w:w="920" w:type="pct"/>
          </w:tcPr>
          <w:p w14:paraId="12FCEA8D" w14:textId="4B5A549F" w:rsidR="006D52FD" w:rsidRPr="00C86E49" w:rsidRDefault="009D4AC1" w:rsidP="00E57A4E">
            <w:pPr>
              <w:pStyle w:val="TableText"/>
            </w:pPr>
            <w:r w:rsidRPr="00C86E49">
              <w:t>MC, R (2005 to 2019)</w:t>
            </w:r>
            <w:r w:rsidRPr="00C86E49">
              <w:br/>
            </w:r>
            <w:r w:rsidR="006D52FD" w:rsidRPr="00C86E49">
              <w:t>PSM analyses</w:t>
            </w:r>
          </w:p>
          <w:p w14:paraId="539376EB" w14:textId="0BBED594" w:rsidR="00FA7D49" w:rsidRPr="00C86E49" w:rsidRDefault="006D52FD" w:rsidP="00E57A4E">
            <w:pPr>
              <w:pStyle w:val="TableText"/>
            </w:pPr>
            <w:r w:rsidRPr="00C86E49">
              <w:t>Risk of bias: Fair</w:t>
            </w:r>
          </w:p>
        </w:tc>
        <w:tc>
          <w:tcPr>
            <w:tcW w:w="552" w:type="pct"/>
          </w:tcPr>
          <w:p w14:paraId="5B45E7DE" w14:textId="42DCD727" w:rsidR="00FA7D49" w:rsidRPr="00C86E49" w:rsidRDefault="006D52FD" w:rsidP="00E57A4E">
            <w:pPr>
              <w:pStyle w:val="TableText"/>
            </w:pPr>
            <w:r w:rsidRPr="00C86E49">
              <w:t>Any CS excl. cardiotomy CS</w:t>
            </w:r>
            <w:r w:rsidR="000D4F40" w:rsidRPr="00C86E49">
              <w:br/>
            </w:r>
            <w:r w:rsidRPr="00C86E49">
              <w:t>(~63% AMI &amp; ~37% ischaemic)</w:t>
            </w:r>
          </w:p>
        </w:tc>
        <w:tc>
          <w:tcPr>
            <w:tcW w:w="402" w:type="pct"/>
          </w:tcPr>
          <w:p w14:paraId="57E974AA" w14:textId="77777777" w:rsidR="0051042F" w:rsidRPr="00C86E49" w:rsidRDefault="006D52FD" w:rsidP="00E57A4E">
            <w:pPr>
              <w:pStyle w:val="TableText"/>
            </w:pPr>
            <w:r w:rsidRPr="00C86E49">
              <w:t>ECPELLA</w:t>
            </w:r>
          </w:p>
          <w:p w14:paraId="23DD08F7" w14:textId="0887AC4B" w:rsidR="00FA7D49" w:rsidRPr="00C86E49" w:rsidRDefault="006D52FD" w:rsidP="00E57A4E">
            <w:pPr>
              <w:pStyle w:val="TableText"/>
            </w:pPr>
            <w:r w:rsidRPr="00C86E49">
              <w:t>2.5/ CP/ 5.0</w:t>
            </w:r>
          </w:p>
        </w:tc>
        <w:tc>
          <w:tcPr>
            <w:tcW w:w="394" w:type="pct"/>
          </w:tcPr>
          <w:p w14:paraId="71ADB2FC" w14:textId="029C6752" w:rsidR="00FA7D49" w:rsidRPr="00C86E49" w:rsidRDefault="006D52FD" w:rsidP="00E57A4E">
            <w:pPr>
              <w:pStyle w:val="TableText"/>
            </w:pPr>
            <w:r w:rsidRPr="00C86E49">
              <w:t>VA-ECMO</w:t>
            </w:r>
          </w:p>
        </w:tc>
        <w:tc>
          <w:tcPr>
            <w:tcW w:w="751" w:type="pct"/>
          </w:tcPr>
          <w:p w14:paraId="2FB863C9" w14:textId="109B6D7A" w:rsidR="00FA7D49" w:rsidRPr="00C86E49" w:rsidRDefault="001021F7" w:rsidP="00E57A4E">
            <w:pPr>
              <w:pStyle w:val="TableText"/>
            </w:pPr>
            <w:r w:rsidRPr="00C86E49">
              <w:t xml:space="preserve">Mortality (30 d); </w:t>
            </w:r>
            <w:r w:rsidR="006D52FD" w:rsidRPr="00C86E49">
              <w:t>bleeding</w:t>
            </w:r>
            <w:r w:rsidRPr="00C86E49">
              <w:t>;</w:t>
            </w:r>
            <w:r w:rsidR="006D52FD" w:rsidRPr="00C86E49">
              <w:t xml:space="preserve"> stroke</w:t>
            </w:r>
            <w:r w:rsidRPr="00C86E49">
              <w:t>;</w:t>
            </w:r>
            <w:r w:rsidR="006D52FD" w:rsidRPr="00C86E49">
              <w:t xml:space="preserve"> haemolysis</w:t>
            </w:r>
            <w:r w:rsidRPr="00C86E49">
              <w:t xml:space="preserve">; </w:t>
            </w:r>
            <w:r w:rsidR="006D52FD" w:rsidRPr="00C86E49">
              <w:t>ischaemia</w:t>
            </w:r>
          </w:p>
        </w:tc>
        <w:tc>
          <w:tcPr>
            <w:tcW w:w="581" w:type="pct"/>
          </w:tcPr>
          <w:p w14:paraId="4FD8E1C5" w14:textId="16D3497B" w:rsidR="00FA7D49" w:rsidRPr="00C86E49" w:rsidRDefault="00BC3A3D" w:rsidP="00E57A4E">
            <w:pPr>
              <w:pStyle w:val="TableText"/>
            </w:pPr>
            <w:r w:rsidRPr="00C86E49">
              <w:t>Yes</w:t>
            </w:r>
            <w:r w:rsidRPr="00C86E49">
              <w:br/>
              <w:t>(bleeding requiring transfusion)</w:t>
            </w:r>
          </w:p>
        </w:tc>
      </w:tr>
    </w:tbl>
    <w:p w14:paraId="1B542F83" w14:textId="3B28B734" w:rsidR="005F14C4" w:rsidRPr="00C86E49" w:rsidRDefault="005F14C4" w:rsidP="008A3EA9">
      <w:pPr>
        <w:pStyle w:val="TableFigNoteLast"/>
        <w:spacing w:before="80" w:after="0"/>
      </w:pPr>
      <w:r w:rsidRPr="00C86E49">
        <w:t>AMI = acute myocardial infarction; CS = cardiogenic shock;</w:t>
      </w:r>
      <w:r w:rsidR="001021F7" w:rsidRPr="00C86E49">
        <w:t xml:space="preserve"> d = day;</w:t>
      </w:r>
      <w:r w:rsidRPr="00C86E49">
        <w:t xml:space="preserve"> ECPELLA = VA-ECMO + IMPELLA; IPTW = inverse probability treatment weighting; </w:t>
      </w:r>
      <w:r w:rsidR="00A9123A" w:rsidRPr="00C86E49">
        <w:t xml:space="preserve">MC = multicentre; </w:t>
      </w:r>
      <w:r w:rsidRPr="00C86E49">
        <w:t xml:space="preserve">MCS = mechanical circulatory support; </w:t>
      </w:r>
      <w:r w:rsidR="004D732E" w:rsidRPr="00C86E49">
        <w:t xml:space="preserve">mo = month; </w:t>
      </w:r>
      <w:r w:rsidR="001A5815" w:rsidRPr="00C86E49">
        <w:t xml:space="preserve">N = number of participants; </w:t>
      </w:r>
      <w:r w:rsidRPr="00C86E49">
        <w:t xml:space="preserve">NS = not specified; PSM = propensity score matched; </w:t>
      </w:r>
      <w:r w:rsidR="00533F36" w:rsidRPr="00C86E49">
        <w:t xml:space="preserve">R = retrospective; </w:t>
      </w:r>
      <w:r w:rsidR="00BC3A3D" w:rsidRPr="00C86E49">
        <w:t xml:space="preserve">SA = sensitivity analyses; </w:t>
      </w:r>
      <w:r w:rsidRPr="00C86E49">
        <w:t xml:space="preserve">SC = single centre; </w:t>
      </w:r>
      <w:r w:rsidR="00997EAE" w:rsidRPr="00C86E49">
        <w:t xml:space="preserve">STEMI = ST-elevation myocardial infarction; </w:t>
      </w:r>
      <w:r w:rsidRPr="00C86E49">
        <w:t>SV = surgical venting; U.S = United States; VA-ECMO = veno-arterial extracorporeal membrane oxygenation.</w:t>
      </w:r>
    </w:p>
    <w:p w14:paraId="6296FB53" w14:textId="05192E6A" w:rsidR="008A3EA9" w:rsidRPr="00C86E49" w:rsidRDefault="008A3EA9" w:rsidP="008A3EA9">
      <w:pPr>
        <w:pStyle w:val="TableFigureFooter"/>
        <w:spacing w:before="60" w:after="240"/>
      </w:pPr>
      <w:r w:rsidRPr="00C86E49">
        <w:t>Source: Derived from Table 23 of MSAC 1523.1 ADAR+in-line commentary</w:t>
      </w:r>
      <w:r w:rsidR="00D5764F" w:rsidRPr="00C86E49">
        <w:t>, which also presented the key features of the unmatched/unadjusted studies (not shown here)</w:t>
      </w:r>
      <w:r w:rsidRPr="00C86E49">
        <w:t>.</w:t>
      </w:r>
    </w:p>
    <w:p w14:paraId="6A485B01" w14:textId="707D2DD3" w:rsidR="00F519FF" w:rsidRPr="00C86E49" w:rsidRDefault="00F519FF" w:rsidP="00F519FF">
      <w:pPr>
        <w:pStyle w:val="TableFigureFooter"/>
        <w:spacing w:before="60" w:after="240"/>
      </w:pPr>
    </w:p>
    <w:p w14:paraId="52C1CA67" w14:textId="1A154FF4" w:rsidR="00F519FF" w:rsidRPr="00C86E49" w:rsidRDefault="00F519FF" w:rsidP="002058DA">
      <w:pPr>
        <w:pStyle w:val="TableFigNoteLast"/>
        <w:sectPr w:rsidR="00F519FF" w:rsidRPr="00C86E49" w:rsidSect="00B245D1">
          <w:pgSz w:w="16838" w:h="11906" w:orient="landscape"/>
          <w:pgMar w:top="1440" w:right="1440" w:bottom="1440" w:left="1440" w:header="708" w:footer="708" w:gutter="0"/>
          <w:cols w:space="708"/>
          <w:docGrid w:linePitch="360"/>
        </w:sectPr>
      </w:pPr>
    </w:p>
    <w:p w14:paraId="3B9FC2AD" w14:textId="60EC7468" w:rsidR="00772829" w:rsidRPr="00C86E49" w:rsidRDefault="00F36F57" w:rsidP="002A18BE">
      <w:pPr>
        <w:pStyle w:val="Heading2"/>
        <w:numPr>
          <w:ilvl w:val="0"/>
          <w:numId w:val="0"/>
        </w:numPr>
      </w:pPr>
      <w:bookmarkStart w:id="27" w:name="_Toc69491423"/>
      <w:bookmarkEnd w:id="24"/>
      <w:r w:rsidRPr="00C86E49">
        <w:t>11</w:t>
      </w:r>
      <w:r w:rsidR="00C36633" w:rsidRPr="00C86E49">
        <w:t>.</w:t>
      </w:r>
      <w:r w:rsidR="00C36633" w:rsidRPr="00C86E49">
        <w:tab/>
      </w:r>
      <w:r w:rsidR="00772829" w:rsidRPr="00C86E49">
        <w:t>Comparative safety</w:t>
      </w:r>
      <w:bookmarkEnd w:id="27"/>
    </w:p>
    <w:p w14:paraId="7F8CF171" w14:textId="2F601A93" w:rsidR="006C75E2" w:rsidRPr="00C86E49" w:rsidRDefault="006C75E2" w:rsidP="00DF66C7">
      <w:r w:rsidRPr="00C86E49">
        <w:t xml:space="preserve">The </w:t>
      </w:r>
      <w:r w:rsidR="00512306" w:rsidRPr="00C86E49">
        <w:t xml:space="preserve">safety </w:t>
      </w:r>
      <w:r w:rsidRPr="00C86E49">
        <w:t>outcomes presented in the ADAR included</w:t>
      </w:r>
      <w:r w:rsidR="00F86C7E" w:rsidRPr="00C86E49">
        <w:t xml:space="preserve"> </w:t>
      </w:r>
      <w:r w:rsidR="0082232D" w:rsidRPr="00C86E49">
        <w:t>bleeding</w:t>
      </w:r>
      <w:r w:rsidR="00FB0E66" w:rsidRPr="00C86E49">
        <w:t xml:space="preserve"> event</w:t>
      </w:r>
      <w:r w:rsidR="0082232D" w:rsidRPr="00C86E49">
        <w:t xml:space="preserve">s requiring transfusion, </w:t>
      </w:r>
      <w:r w:rsidR="00942668" w:rsidRPr="00C86E49">
        <w:t xml:space="preserve">stroke, limb ischaemia, </w:t>
      </w:r>
      <w:proofErr w:type="gramStart"/>
      <w:r w:rsidR="00942668" w:rsidRPr="00C86E49">
        <w:t>haemolysis</w:t>
      </w:r>
      <w:proofErr w:type="gramEnd"/>
      <w:r w:rsidR="00942668" w:rsidRPr="00C86E49">
        <w:t xml:space="preserve"> and </w:t>
      </w:r>
      <w:r w:rsidR="00CC0C5E" w:rsidRPr="00C86E49">
        <w:t>‘</w:t>
      </w:r>
      <w:r w:rsidR="00942668" w:rsidRPr="00C86E49">
        <w:t>other</w:t>
      </w:r>
      <w:r w:rsidR="00CC0C5E" w:rsidRPr="00C86E49">
        <w:t>’</w:t>
      </w:r>
      <w:r w:rsidR="00942668" w:rsidRPr="00C86E49">
        <w:t xml:space="preserve"> </w:t>
      </w:r>
      <w:r w:rsidR="00CC0C5E" w:rsidRPr="00C86E49">
        <w:t>complications.</w:t>
      </w:r>
      <w:r w:rsidR="00CD13BF" w:rsidRPr="00C86E49">
        <w:t xml:space="preserve"> </w:t>
      </w:r>
      <w:r w:rsidR="00DC3AB8" w:rsidRPr="00C86E49">
        <w:t>Short</w:t>
      </w:r>
      <w:r w:rsidR="00FB0134" w:rsidRPr="00C86E49">
        <w:t>-term m</w:t>
      </w:r>
      <w:r w:rsidR="001C5C48" w:rsidRPr="00C86E49">
        <w:t>ortality (</w:t>
      </w:r>
      <w:r w:rsidR="007C0C14" w:rsidRPr="00C86E49">
        <w:t>30-day</w:t>
      </w:r>
      <w:r w:rsidR="005E5DD9" w:rsidRPr="00C86E49">
        <w:t>/in-hospital</w:t>
      </w:r>
      <w:r w:rsidR="007C0C14" w:rsidRPr="00C86E49">
        <w:t xml:space="preserve">) </w:t>
      </w:r>
      <w:r w:rsidR="00FB0134" w:rsidRPr="00C86E49">
        <w:t xml:space="preserve">and long-term </w:t>
      </w:r>
      <w:r w:rsidR="003972E2" w:rsidRPr="00C86E49">
        <w:t>mortality (</w:t>
      </w:r>
      <w:r w:rsidR="004D0D98" w:rsidRPr="00C86E49">
        <w:t xml:space="preserve">6 months onwards) are presented </w:t>
      </w:r>
      <w:r w:rsidR="00FF56C8" w:rsidRPr="00C86E49">
        <w:t>in Section 10</w:t>
      </w:r>
      <w:r w:rsidR="00D23FE7" w:rsidRPr="00C86E49">
        <w:t>.</w:t>
      </w:r>
      <w:r w:rsidR="00F24BF6" w:rsidRPr="00C86E49">
        <w:t xml:space="preserve"> </w:t>
      </w:r>
      <w:r w:rsidR="00BB4BCD" w:rsidRPr="00C86E49">
        <w:t xml:space="preserve">Results are shown </w:t>
      </w:r>
      <w:r w:rsidR="003225F5" w:rsidRPr="00C86E49">
        <w:t xml:space="preserve">below </w:t>
      </w:r>
      <w:r w:rsidR="00BB4BCD" w:rsidRPr="00C86E49">
        <w:t xml:space="preserve">for the </w:t>
      </w:r>
      <w:r w:rsidR="00E93A31" w:rsidRPr="00C86E49">
        <w:t xml:space="preserve">pivotal evidence (matched/adjusted </w:t>
      </w:r>
      <w:r w:rsidR="003225F5" w:rsidRPr="00C86E49">
        <w:t>studies) only.</w:t>
      </w:r>
    </w:p>
    <w:p w14:paraId="293A7394" w14:textId="2497126B" w:rsidR="0093541F" w:rsidRPr="00C86E49" w:rsidRDefault="00DF66C7" w:rsidP="006C75E2">
      <w:r w:rsidRPr="00C86E49">
        <w:t>Of note, t</w:t>
      </w:r>
      <w:r w:rsidR="0093541F" w:rsidRPr="00C86E49">
        <w:t xml:space="preserve">he ADAR excluded studies that did not report sufficient mortality or survival data. The commentary noted that while </w:t>
      </w:r>
      <w:r w:rsidRPr="00C86E49">
        <w:t>this</w:t>
      </w:r>
      <w:r w:rsidR="0093541F" w:rsidRPr="00C86E49">
        <w:t xml:space="preserve"> was the key clinical outcome, there may have been additional studies excluded from the ADAR that reported other outcomes of interest (including safety).</w:t>
      </w:r>
    </w:p>
    <w:p w14:paraId="0C1DC562" w14:textId="4DB01FE9" w:rsidR="00845AD8" w:rsidRPr="00C86E49" w:rsidRDefault="00E3052F" w:rsidP="00845AD8">
      <w:pPr>
        <w:pStyle w:val="Heading3"/>
      </w:pPr>
      <w:r w:rsidRPr="00C86E49">
        <w:t>Bleeding</w:t>
      </w:r>
      <w:r w:rsidR="007119C9" w:rsidRPr="00C86E49">
        <w:t xml:space="preserve"> events</w:t>
      </w:r>
      <w:r w:rsidRPr="00C86E49">
        <w:t xml:space="preserve"> requiring </w:t>
      </w:r>
      <w:proofErr w:type="gramStart"/>
      <w:r w:rsidRPr="00C86E49">
        <w:t>transfusion</w:t>
      </w:r>
      <w:proofErr w:type="gramEnd"/>
    </w:p>
    <w:p w14:paraId="21534C1C" w14:textId="73D0D5D5" w:rsidR="00E3052F" w:rsidRPr="00C86E49" w:rsidRDefault="00E3052F" w:rsidP="00E3052F">
      <w:pPr>
        <w:pStyle w:val="Heading4"/>
      </w:pPr>
      <w:r w:rsidRPr="00C86E49">
        <w:t>IMPELLA versus VA-ECMO</w:t>
      </w:r>
    </w:p>
    <w:p w14:paraId="338EE7A9" w14:textId="31D141A1" w:rsidR="001D4276" w:rsidRPr="00C86E49" w:rsidRDefault="00C46A38" w:rsidP="00C46A38">
      <w:r w:rsidRPr="00C86E49">
        <w:rPr>
          <w:color w:val="2B579A"/>
          <w:shd w:val="clear" w:color="auto" w:fill="E6E6E6"/>
        </w:rPr>
        <w:fldChar w:fldCharType="begin"/>
      </w:r>
      <w:r w:rsidRPr="00C86E49">
        <w:instrText xml:space="preserve"> REF _Ref151993000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 xml:space="preserve">Table </w:t>
      </w:r>
      <w:r w:rsidR="00EF3514" w:rsidRPr="00C86E49">
        <w:rPr>
          <w:noProof/>
        </w:rPr>
        <w:t>8</w:t>
      </w:r>
      <w:r w:rsidRPr="00C86E49">
        <w:rPr>
          <w:color w:val="2B579A"/>
          <w:shd w:val="clear" w:color="auto" w:fill="E6E6E6"/>
        </w:rPr>
        <w:fldChar w:fldCharType="end"/>
      </w:r>
      <w:r w:rsidRPr="00C86E49">
        <w:t xml:space="preserve"> presents the proportion of patients experiencing bleeding</w:t>
      </w:r>
      <w:r w:rsidR="007119C9" w:rsidRPr="00C86E49">
        <w:t xml:space="preserve"> event</w:t>
      </w:r>
      <w:r w:rsidRPr="00C86E49">
        <w:t>s requiring transfusion in the matched/adjusted IMPELLA versus VA-ECMO studies.</w:t>
      </w:r>
      <w:r w:rsidR="00236786" w:rsidRPr="00C86E49">
        <w:t xml:space="preserve"> </w:t>
      </w:r>
      <w:r w:rsidR="007B3FAE" w:rsidRPr="00C86E49">
        <w:t xml:space="preserve">Although </w:t>
      </w:r>
      <w:r w:rsidR="00E4592A" w:rsidRPr="00C86E49">
        <w:t xml:space="preserve">the largest study, </w:t>
      </w:r>
      <w:r w:rsidR="00702F5B" w:rsidRPr="00C86E49">
        <w:t>Lemor (2020)</w:t>
      </w:r>
      <w:r w:rsidR="008976E0" w:rsidRPr="00C86E49">
        <w:t>,</w:t>
      </w:r>
      <w:r w:rsidR="00702F5B" w:rsidRPr="00C86E49">
        <w:t xml:space="preserve"> </w:t>
      </w:r>
      <w:r w:rsidR="00F94ED1" w:rsidRPr="00C86E49">
        <w:t>reported</w:t>
      </w:r>
      <w:r w:rsidR="00702F5B" w:rsidRPr="00C86E49">
        <w:t xml:space="preserve"> no statistically significant difference </w:t>
      </w:r>
      <w:r w:rsidR="00F94ED1" w:rsidRPr="00C86E49">
        <w:t xml:space="preserve">between groups, </w:t>
      </w:r>
      <w:r w:rsidR="007B3FAE" w:rsidRPr="00C86E49">
        <w:t>the ADAR found a statistically significant difference</w:t>
      </w:r>
      <w:r w:rsidR="00A94B13" w:rsidRPr="00C86E49">
        <w:t xml:space="preserve"> for this study</w:t>
      </w:r>
      <w:r w:rsidR="00AC4404" w:rsidRPr="00C86E49">
        <w:t xml:space="preserve">, favouring IMPELLA. </w:t>
      </w:r>
      <w:r w:rsidR="004E56D2" w:rsidRPr="00C86E49">
        <w:t xml:space="preserve">The ADAR </w:t>
      </w:r>
      <w:r w:rsidR="008976E0" w:rsidRPr="00C86E49">
        <w:t>speculated th</w:t>
      </w:r>
      <w:r w:rsidR="008F6517" w:rsidRPr="00C86E49">
        <w:t>at</w:t>
      </w:r>
      <w:r w:rsidR="004E56D2" w:rsidRPr="00C86E49">
        <w:t xml:space="preserve"> th</w:t>
      </w:r>
      <w:r w:rsidR="008F6517" w:rsidRPr="00C86E49">
        <w:t>e</w:t>
      </w:r>
      <w:r w:rsidR="004E56D2" w:rsidRPr="00C86E49">
        <w:t xml:space="preserve"> discrepancy </w:t>
      </w:r>
      <w:r w:rsidR="008F6517" w:rsidRPr="00C86E49">
        <w:t xml:space="preserve">may be due </w:t>
      </w:r>
      <w:r w:rsidR="004E56D2" w:rsidRPr="00C86E49">
        <w:t xml:space="preserve">to </w:t>
      </w:r>
      <w:r w:rsidR="0073582D" w:rsidRPr="00C86E49">
        <w:t>different statistical methods.</w:t>
      </w:r>
      <w:r w:rsidR="00B23794" w:rsidRPr="00C86E49">
        <w:t xml:space="preserve"> </w:t>
      </w:r>
    </w:p>
    <w:p w14:paraId="64415F4A" w14:textId="2F6EE229" w:rsidR="006114FA" w:rsidRPr="00C86E49" w:rsidRDefault="00622EDB" w:rsidP="006B1A8F">
      <w:pPr>
        <w:pStyle w:val="Caption"/>
      </w:pPr>
      <w:bookmarkStart w:id="28" w:name="_Ref151993000"/>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8</w:t>
      </w:r>
      <w:r w:rsidR="007552E5">
        <w:rPr>
          <w:noProof/>
        </w:rPr>
        <w:fldChar w:fldCharType="end"/>
      </w:r>
      <w:bookmarkEnd w:id="28"/>
      <w:r w:rsidRPr="00C86E49">
        <w:tab/>
      </w:r>
      <w:r w:rsidR="008A6F68" w:rsidRPr="00C86E49">
        <w:t>B</w:t>
      </w:r>
      <w:r w:rsidR="00385169" w:rsidRPr="00C86E49">
        <w:t>leeding</w:t>
      </w:r>
      <w:r w:rsidR="007119C9" w:rsidRPr="00C86E49">
        <w:t xml:space="preserve"> event</w:t>
      </w:r>
      <w:r w:rsidR="00385169" w:rsidRPr="00C86E49">
        <w:t xml:space="preserve">s requiring transfusion in the matched/adjusted IMPELLA versus VA-ECMO </w:t>
      </w:r>
      <w:proofErr w:type="gramStart"/>
      <w:r w:rsidR="00385169" w:rsidRPr="00C86E49">
        <w:t>studies</w:t>
      </w:r>
      <w:proofErr w:type="gramEnd"/>
    </w:p>
    <w:tbl>
      <w:tblPr>
        <w:tblStyle w:val="TableGrid"/>
        <w:tblW w:w="5000" w:type="pct"/>
        <w:tblLayout w:type="fixed"/>
        <w:tblLook w:val="04A0" w:firstRow="1" w:lastRow="0" w:firstColumn="1" w:lastColumn="0" w:noHBand="0" w:noVBand="1"/>
        <w:tblCaption w:val="Bleeding events requiring transfusion in the matched/adjusted IMPELLA versus VA-ECMO studies"/>
        <w:tblDescription w:val="This table presents the individual study and meta-analysis results for bleeding events requiring transfusion in the matched/adjusted IMPELLA versus VA-ECMO studies."/>
      </w:tblPr>
      <w:tblGrid>
        <w:gridCol w:w="984"/>
        <w:gridCol w:w="425"/>
        <w:gridCol w:w="423"/>
        <w:gridCol w:w="289"/>
        <w:gridCol w:w="994"/>
        <w:gridCol w:w="992"/>
        <w:gridCol w:w="1560"/>
        <w:gridCol w:w="1560"/>
        <w:gridCol w:w="1789"/>
      </w:tblGrid>
      <w:tr w:rsidR="00D722EB" w:rsidRPr="00C86E49" w14:paraId="59E95EAA" w14:textId="77777777" w:rsidTr="009D2B4E">
        <w:trPr>
          <w:tblHeader/>
        </w:trPr>
        <w:tc>
          <w:tcPr>
            <w:tcW w:w="546" w:type="pct"/>
          </w:tcPr>
          <w:p w14:paraId="384CEFAC" w14:textId="2CDDFB67" w:rsidR="00CA1F79" w:rsidRPr="00C86E49" w:rsidRDefault="00CA1F79" w:rsidP="00CA1F79">
            <w:pPr>
              <w:pStyle w:val="TableHeading0"/>
            </w:pPr>
            <w:r w:rsidRPr="00C86E49">
              <w:t>Trial ID</w:t>
            </w:r>
          </w:p>
        </w:tc>
        <w:tc>
          <w:tcPr>
            <w:tcW w:w="631" w:type="pct"/>
            <w:gridSpan w:val="3"/>
          </w:tcPr>
          <w:p w14:paraId="055A4D3A" w14:textId="09170A4A" w:rsidR="00CA1F79" w:rsidRPr="00C86E49" w:rsidRDefault="00CA1F79" w:rsidP="00CA1F79">
            <w:pPr>
              <w:pStyle w:val="TableHeading0"/>
            </w:pPr>
            <w:r w:rsidRPr="00C86E49">
              <w:t>CS type</w:t>
            </w:r>
          </w:p>
        </w:tc>
        <w:tc>
          <w:tcPr>
            <w:tcW w:w="550" w:type="pct"/>
          </w:tcPr>
          <w:p w14:paraId="74514FC2" w14:textId="233B6536" w:rsidR="00CA1F79" w:rsidRPr="00C86E49" w:rsidRDefault="00CA1F79" w:rsidP="00CA1F79">
            <w:pPr>
              <w:pStyle w:val="TableHeading0"/>
            </w:pPr>
            <w:r w:rsidRPr="00C86E49">
              <w:t>IMPELLA</w:t>
            </w:r>
            <w:r w:rsidR="00EA5697" w:rsidRPr="00C86E49">
              <w:br/>
            </w:r>
            <w:r w:rsidRPr="00C86E49">
              <w:t>n/N (%)</w:t>
            </w:r>
          </w:p>
        </w:tc>
        <w:tc>
          <w:tcPr>
            <w:tcW w:w="550" w:type="pct"/>
          </w:tcPr>
          <w:p w14:paraId="6E6DAD53" w14:textId="1DC3A58E" w:rsidR="00CA1F79" w:rsidRPr="00C86E49" w:rsidRDefault="00CA1F79" w:rsidP="00CA1F79">
            <w:pPr>
              <w:pStyle w:val="TableHeading0"/>
            </w:pPr>
            <w:r w:rsidRPr="00C86E49">
              <w:t>VA-ECMO</w:t>
            </w:r>
            <w:r w:rsidR="00EA5697" w:rsidRPr="00C86E49">
              <w:br/>
            </w:r>
            <w:r w:rsidR="00FA79FD" w:rsidRPr="00C86E49">
              <w:t>n/N (%)</w:t>
            </w:r>
          </w:p>
        </w:tc>
        <w:tc>
          <w:tcPr>
            <w:tcW w:w="865" w:type="pct"/>
          </w:tcPr>
          <w:p w14:paraId="009F4011" w14:textId="1D806C66" w:rsidR="00CA1F79" w:rsidRPr="00C86E49" w:rsidRDefault="00745025" w:rsidP="00CA1F79">
            <w:pPr>
              <w:pStyle w:val="TableHeading0"/>
            </w:pPr>
            <w:r w:rsidRPr="00C86E49">
              <w:t>OR [95% CI]</w:t>
            </w:r>
            <w:r w:rsidR="00477060" w:rsidRPr="00C86E49">
              <w:br/>
            </w:r>
            <w:r w:rsidRPr="00C86E49">
              <w:t>p-value</w:t>
            </w:r>
          </w:p>
        </w:tc>
        <w:tc>
          <w:tcPr>
            <w:tcW w:w="865" w:type="pct"/>
          </w:tcPr>
          <w:p w14:paraId="786989D7" w14:textId="12EC44FF" w:rsidR="00CA1F79" w:rsidRPr="00C86E49" w:rsidRDefault="00534CBC" w:rsidP="00CA1F79">
            <w:pPr>
              <w:pStyle w:val="TableHeading0"/>
            </w:pPr>
            <w:r w:rsidRPr="00C86E49">
              <w:t>RR [95% CI]</w:t>
            </w:r>
            <w:r w:rsidR="00477060" w:rsidRPr="00C86E49">
              <w:br/>
            </w:r>
            <w:r w:rsidRPr="00C86E49">
              <w:t>p-value</w:t>
            </w:r>
          </w:p>
        </w:tc>
        <w:tc>
          <w:tcPr>
            <w:tcW w:w="993" w:type="pct"/>
          </w:tcPr>
          <w:p w14:paraId="03D9E9C2" w14:textId="11212ECA" w:rsidR="00CA1F79" w:rsidRPr="00C86E49" w:rsidRDefault="00CE2EFA" w:rsidP="00CA1F79">
            <w:pPr>
              <w:pStyle w:val="TableHeading0"/>
            </w:pPr>
            <w:r w:rsidRPr="00C86E49">
              <w:t>RD [95% CI]</w:t>
            </w:r>
            <w:r w:rsidR="00477060" w:rsidRPr="00C86E49">
              <w:br/>
            </w:r>
            <w:r w:rsidRPr="00C86E49">
              <w:t>p-value</w:t>
            </w:r>
          </w:p>
        </w:tc>
      </w:tr>
      <w:tr w:rsidR="00EA5697" w:rsidRPr="00C86E49" w14:paraId="6132976B" w14:textId="77777777" w:rsidTr="009D2B4E">
        <w:trPr>
          <w:tblHeader/>
        </w:trPr>
        <w:tc>
          <w:tcPr>
            <w:tcW w:w="546" w:type="pct"/>
            <w:tcBorders>
              <w:bottom w:val="single" w:sz="4" w:space="0" w:color="auto"/>
            </w:tcBorders>
          </w:tcPr>
          <w:p w14:paraId="68E17985" w14:textId="0329235B" w:rsidR="00736C33" w:rsidRPr="00C86E49" w:rsidRDefault="00904BBF" w:rsidP="00736C33">
            <w:pPr>
              <w:pStyle w:val="TableText"/>
            </w:pPr>
            <w:r w:rsidRPr="00C86E49">
              <w:t>Karatolios 2021</w:t>
            </w:r>
            <w:r w:rsidR="00F33A27" w:rsidRPr="00C86E49">
              <w:rPr>
                <w:vertAlign w:val="superscript"/>
              </w:rPr>
              <w:t>a</w:t>
            </w:r>
          </w:p>
        </w:tc>
        <w:tc>
          <w:tcPr>
            <w:tcW w:w="631" w:type="pct"/>
            <w:gridSpan w:val="3"/>
            <w:tcBorders>
              <w:bottom w:val="single" w:sz="4" w:space="0" w:color="auto"/>
            </w:tcBorders>
          </w:tcPr>
          <w:p w14:paraId="6D83911C" w14:textId="2C7CFC5E" w:rsidR="00736C33" w:rsidRPr="00C86E49" w:rsidRDefault="00B32CE6" w:rsidP="00736C33">
            <w:pPr>
              <w:pStyle w:val="TableText"/>
            </w:pPr>
            <w:r w:rsidRPr="00C86E49">
              <w:t>Any CS</w:t>
            </w:r>
          </w:p>
        </w:tc>
        <w:tc>
          <w:tcPr>
            <w:tcW w:w="550" w:type="pct"/>
          </w:tcPr>
          <w:p w14:paraId="6B62D362" w14:textId="1D454ECC" w:rsidR="00736C33" w:rsidRPr="00C86E49" w:rsidRDefault="008D7B5F" w:rsidP="00736C33">
            <w:pPr>
              <w:pStyle w:val="TableText"/>
            </w:pPr>
            <w:r w:rsidRPr="00C86E49">
              <w:t>10/83</w:t>
            </w:r>
            <w:r w:rsidR="00D26509" w:rsidRPr="00C86E49">
              <w:br/>
            </w:r>
            <w:r w:rsidRPr="00C86E49">
              <w:t>(12.0%)</w:t>
            </w:r>
          </w:p>
        </w:tc>
        <w:tc>
          <w:tcPr>
            <w:tcW w:w="550" w:type="pct"/>
          </w:tcPr>
          <w:p w14:paraId="49544C50" w14:textId="5C3E09C9" w:rsidR="00736C33" w:rsidRPr="00C86E49" w:rsidRDefault="007A4AD8" w:rsidP="00736C33">
            <w:pPr>
              <w:pStyle w:val="TableText"/>
            </w:pPr>
            <w:r w:rsidRPr="00C86E49">
              <w:t>12/83</w:t>
            </w:r>
            <w:r w:rsidR="00D26509" w:rsidRPr="00C86E49">
              <w:br/>
            </w:r>
            <w:r w:rsidRPr="00C86E49">
              <w:t>(14.5%)</w:t>
            </w:r>
          </w:p>
        </w:tc>
        <w:tc>
          <w:tcPr>
            <w:tcW w:w="865" w:type="pct"/>
          </w:tcPr>
          <w:p w14:paraId="420080B0" w14:textId="009EE249" w:rsidR="00736C33" w:rsidRPr="00C86E49" w:rsidRDefault="008D6CCB" w:rsidP="00736C33">
            <w:pPr>
              <w:pStyle w:val="TableText"/>
            </w:pPr>
            <w:r w:rsidRPr="00C86E49">
              <w:t>0.81</w:t>
            </w:r>
            <w:r w:rsidR="006F77E1" w:rsidRPr="00C86E49">
              <w:t xml:space="preserve"> </w:t>
            </w:r>
            <w:r w:rsidRPr="00C86E49">
              <w:t>[0.33, 1.99]</w:t>
            </w:r>
            <w:r w:rsidR="00F75751" w:rsidRPr="00C86E49">
              <w:br/>
            </w:r>
            <w:r w:rsidRPr="00C86E49">
              <w:t>p=0.65</w:t>
            </w:r>
          </w:p>
        </w:tc>
        <w:tc>
          <w:tcPr>
            <w:tcW w:w="865" w:type="pct"/>
          </w:tcPr>
          <w:p w14:paraId="2855C1CC" w14:textId="17BE1604" w:rsidR="00736C33" w:rsidRPr="00C86E49" w:rsidRDefault="006B5433" w:rsidP="00736C33">
            <w:pPr>
              <w:pStyle w:val="TableText"/>
            </w:pPr>
            <w:r w:rsidRPr="00C86E49">
              <w:t>0.83 [0.38, 1.82]</w:t>
            </w:r>
            <w:r w:rsidR="009622FE" w:rsidRPr="00C86E49">
              <w:br/>
            </w:r>
            <w:r w:rsidRPr="00C86E49">
              <w:t>p=0.65</w:t>
            </w:r>
          </w:p>
        </w:tc>
        <w:tc>
          <w:tcPr>
            <w:tcW w:w="993" w:type="pct"/>
          </w:tcPr>
          <w:p w14:paraId="7CF86B20" w14:textId="6C8D5DA6" w:rsidR="00736C33" w:rsidRPr="00C86E49" w:rsidRDefault="001410FF" w:rsidP="00736C33">
            <w:pPr>
              <w:pStyle w:val="TableText"/>
            </w:pPr>
            <w:r w:rsidRPr="00C86E49">
              <w:t>−</w:t>
            </w:r>
            <w:r w:rsidR="006B5433" w:rsidRPr="00C86E49">
              <w:t>0.02 [</w:t>
            </w:r>
            <w:r w:rsidRPr="00C86E49">
              <w:t>−</w:t>
            </w:r>
            <w:r w:rsidR="006B5433" w:rsidRPr="00C86E49">
              <w:t>0.13, 0.08]</w:t>
            </w:r>
            <w:r w:rsidR="009622FE" w:rsidRPr="00C86E49">
              <w:br/>
            </w:r>
            <w:r w:rsidR="006B5433" w:rsidRPr="00C86E49">
              <w:t>p=0.65</w:t>
            </w:r>
          </w:p>
        </w:tc>
      </w:tr>
      <w:tr w:rsidR="00EA5697" w:rsidRPr="00C86E49" w14:paraId="122F3F86" w14:textId="77777777" w:rsidTr="009D2B4E">
        <w:trPr>
          <w:tblHeader/>
        </w:trPr>
        <w:tc>
          <w:tcPr>
            <w:tcW w:w="546" w:type="pct"/>
            <w:tcBorders>
              <w:bottom w:val="nil"/>
            </w:tcBorders>
          </w:tcPr>
          <w:p w14:paraId="6CE7DA2E" w14:textId="12D8F243" w:rsidR="00736C33" w:rsidRPr="00C86E49" w:rsidRDefault="00904BBF" w:rsidP="00736C33">
            <w:pPr>
              <w:pStyle w:val="TableText"/>
            </w:pPr>
            <w:r w:rsidRPr="00C86E49">
              <w:t>Lemor 2020</w:t>
            </w:r>
            <w:r w:rsidR="00F33A27" w:rsidRPr="00C86E49">
              <w:rPr>
                <w:vertAlign w:val="superscript"/>
              </w:rPr>
              <w:t>b</w:t>
            </w:r>
          </w:p>
        </w:tc>
        <w:tc>
          <w:tcPr>
            <w:tcW w:w="631" w:type="pct"/>
            <w:gridSpan w:val="3"/>
            <w:tcBorders>
              <w:bottom w:val="nil"/>
            </w:tcBorders>
          </w:tcPr>
          <w:p w14:paraId="38270D60" w14:textId="51EA75C5" w:rsidR="00736C33" w:rsidRPr="00C86E49" w:rsidRDefault="00B32CE6" w:rsidP="00736C33">
            <w:pPr>
              <w:pStyle w:val="TableText"/>
            </w:pPr>
            <w:r w:rsidRPr="00C86E49">
              <w:t>AMI-CS</w:t>
            </w:r>
          </w:p>
        </w:tc>
        <w:tc>
          <w:tcPr>
            <w:tcW w:w="550" w:type="pct"/>
          </w:tcPr>
          <w:p w14:paraId="4D38ECF2" w14:textId="34F10E14" w:rsidR="00736C33" w:rsidRPr="00C86E49" w:rsidRDefault="008D7B5F" w:rsidP="00736C33">
            <w:pPr>
              <w:pStyle w:val="TableText"/>
            </w:pPr>
            <w:r w:rsidRPr="00C86E49">
              <w:t>100/450</w:t>
            </w:r>
            <w:r w:rsidR="00D26509" w:rsidRPr="00C86E49">
              <w:br/>
            </w:r>
            <w:r w:rsidRPr="00C86E49">
              <w:t>(22.2%)</w:t>
            </w:r>
          </w:p>
        </w:tc>
        <w:tc>
          <w:tcPr>
            <w:tcW w:w="550" w:type="pct"/>
          </w:tcPr>
          <w:p w14:paraId="1BE6EE49" w14:textId="27D2BB13" w:rsidR="00736C33" w:rsidRPr="00C86E49" w:rsidRDefault="007A4AD8" w:rsidP="00736C33">
            <w:pPr>
              <w:pStyle w:val="TableText"/>
            </w:pPr>
            <w:r w:rsidRPr="00C86E49">
              <w:t>140/450</w:t>
            </w:r>
            <w:r w:rsidR="00D26509" w:rsidRPr="00C86E49">
              <w:br/>
            </w:r>
            <w:r w:rsidRPr="00C86E49">
              <w:t>(31.1%)</w:t>
            </w:r>
          </w:p>
        </w:tc>
        <w:tc>
          <w:tcPr>
            <w:tcW w:w="865" w:type="pct"/>
          </w:tcPr>
          <w:p w14:paraId="4F18B4B2" w14:textId="1192EB7A" w:rsidR="00EA3221" w:rsidRPr="00C86E49" w:rsidRDefault="008C7CBB" w:rsidP="00736C33">
            <w:pPr>
              <w:pStyle w:val="TableText"/>
            </w:pPr>
            <w:r w:rsidRPr="00C86E49">
              <w:t>As r</w:t>
            </w:r>
            <w:r w:rsidR="00EA3221" w:rsidRPr="00C86E49">
              <w:t>eported:</w:t>
            </w:r>
            <w:r w:rsidR="00EA3221" w:rsidRPr="00C86E49">
              <w:br/>
              <w:t>0.63 [0.31, 1.28]</w:t>
            </w:r>
            <w:r w:rsidR="00EA3221" w:rsidRPr="00C86E49">
              <w:br/>
              <w:t>p=0.201</w:t>
            </w:r>
          </w:p>
          <w:p w14:paraId="05502F5B" w14:textId="455D8D31" w:rsidR="00736C33" w:rsidRPr="00C86E49" w:rsidRDefault="00EA3221" w:rsidP="00736C33">
            <w:pPr>
              <w:pStyle w:val="TableText"/>
            </w:pPr>
            <w:r w:rsidRPr="00C86E49">
              <w:t>ADAR calculat</w:t>
            </w:r>
            <w:r w:rsidR="00995316" w:rsidRPr="00C86E49">
              <w:t>ed</w:t>
            </w:r>
            <w:r w:rsidR="008D6CCB" w:rsidRPr="00C86E49">
              <w:t>:</w:t>
            </w:r>
            <w:r w:rsidR="009505F5" w:rsidRPr="00C86E49">
              <w:t xml:space="preserve"> </w:t>
            </w:r>
            <w:r w:rsidR="005E48C6" w:rsidRPr="00C86E49">
              <w:br/>
            </w:r>
            <w:r w:rsidR="009505F5" w:rsidRPr="00C86E49">
              <w:rPr>
                <w:b/>
                <w:bCs/>
              </w:rPr>
              <w:t>0.63 [0.47, 0.85]</w:t>
            </w:r>
            <w:r w:rsidRPr="00C86E49">
              <w:rPr>
                <w:b/>
                <w:bCs/>
              </w:rPr>
              <w:br/>
            </w:r>
            <w:r w:rsidR="009505F5" w:rsidRPr="00C86E49">
              <w:rPr>
                <w:b/>
                <w:bCs/>
              </w:rPr>
              <w:t>p=0.003</w:t>
            </w:r>
          </w:p>
        </w:tc>
        <w:tc>
          <w:tcPr>
            <w:tcW w:w="865" w:type="pct"/>
          </w:tcPr>
          <w:p w14:paraId="70355873" w14:textId="7C75327F" w:rsidR="00736C33" w:rsidRPr="00C86E49" w:rsidRDefault="006B5433" w:rsidP="00736C33">
            <w:pPr>
              <w:pStyle w:val="TableText"/>
              <w:rPr>
                <w:b/>
                <w:bCs/>
              </w:rPr>
            </w:pPr>
            <w:r w:rsidRPr="00C86E49">
              <w:rPr>
                <w:b/>
                <w:bCs/>
              </w:rPr>
              <w:t>0.71 [0.57, 0.89]</w:t>
            </w:r>
            <w:r w:rsidR="009622FE" w:rsidRPr="00C86E49">
              <w:rPr>
                <w:b/>
                <w:bCs/>
              </w:rPr>
              <w:br/>
            </w:r>
            <w:r w:rsidRPr="00C86E49">
              <w:rPr>
                <w:b/>
                <w:bCs/>
              </w:rPr>
              <w:t>p=0.003</w:t>
            </w:r>
          </w:p>
        </w:tc>
        <w:tc>
          <w:tcPr>
            <w:tcW w:w="993" w:type="pct"/>
          </w:tcPr>
          <w:p w14:paraId="498F1BED" w14:textId="7CDC3508" w:rsidR="00736C33" w:rsidRPr="00C86E49" w:rsidRDefault="001410FF" w:rsidP="00736C33">
            <w:pPr>
              <w:pStyle w:val="TableText"/>
              <w:rPr>
                <w:b/>
                <w:bCs/>
              </w:rPr>
            </w:pPr>
            <w:r w:rsidRPr="00C86E49">
              <w:rPr>
                <w:b/>
                <w:bCs/>
              </w:rPr>
              <w:t>−</w:t>
            </w:r>
            <w:r w:rsidR="006B5433" w:rsidRPr="00C86E49">
              <w:rPr>
                <w:b/>
                <w:bCs/>
              </w:rPr>
              <w:t>0.09 [</w:t>
            </w:r>
            <w:r w:rsidRPr="00C86E49">
              <w:rPr>
                <w:b/>
                <w:bCs/>
              </w:rPr>
              <w:t>−</w:t>
            </w:r>
            <w:r w:rsidR="006B5433" w:rsidRPr="00C86E49">
              <w:rPr>
                <w:b/>
                <w:bCs/>
              </w:rPr>
              <w:t xml:space="preserve">0.15, </w:t>
            </w:r>
            <w:r w:rsidRPr="00C86E49">
              <w:rPr>
                <w:b/>
                <w:bCs/>
              </w:rPr>
              <w:t>−</w:t>
            </w:r>
            <w:r w:rsidR="006B5433" w:rsidRPr="00C86E49">
              <w:rPr>
                <w:b/>
                <w:bCs/>
              </w:rPr>
              <w:t>0.03]</w:t>
            </w:r>
            <w:r w:rsidR="009622FE" w:rsidRPr="00C86E49">
              <w:rPr>
                <w:b/>
                <w:bCs/>
              </w:rPr>
              <w:br/>
            </w:r>
            <w:r w:rsidR="006B5433" w:rsidRPr="00C86E49">
              <w:rPr>
                <w:b/>
                <w:bCs/>
              </w:rPr>
              <w:t>p=0.002</w:t>
            </w:r>
          </w:p>
        </w:tc>
      </w:tr>
      <w:tr w:rsidR="00D722EB" w:rsidRPr="00C86E49" w14:paraId="39133381" w14:textId="77777777" w:rsidTr="009D2B4E">
        <w:trPr>
          <w:tblHeader/>
        </w:trPr>
        <w:tc>
          <w:tcPr>
            <w:tcW w:w="546" w:type="pct"/>
          </w:tcPr>
          <w:p w14:paraId="398337D5" w14:textId="58ACA01B" w:rsidR="00736C33" w:rsidRPr="00C86E49" w:rsidRDefault="00DE617F" w:rsidP="00736C33">
            <w:pPr>
              <w:pStyle w:val="TableText"/>
            </w:pPr>
            <w:r w:rsidRPr="00C86E49">
              <w:t>Syntila 2021</w:t>
            </w:r>
          </w:p>
        </w:tc>
        <w:tc>
          <w:tcPr>
            <w:tcW w:w="631" w:type="pct"/>
            <w:gridSpan w:val="3"/>
          </w:tcPr>
          <w:p w14:paraId="2F1882F3" w14:textId="6BC6420B" w:rsidR="00736C33" w:rsidRPr="00C86E49" w:rsidRDefault="00A27ABF" w:rsidP="00736C33">
            <w:pPr>
              <w:pStyle w:val="TableText"/>
            </w:pPr>
            <w:r w:rsidRPr="00C86E49">
              <w:t>OHCA due to AMI with post CS</w:t>
            </w:r>
          </w:p>
        </w:tc>
        <w:tc>
          <w:tcPr>
            <w:tcW w:w="550" w:type="pct"/>
          </w:tcPr>
          <w:p w14:paraId="5A6473ED" w14:textId="40A2D502" w:rsidR="00736C33" w:rsidRPr="00C86E49" w:rsidRDefault="008D7B5F" w:rsidP="00736C33">
            <w:pPr>
              <w:pStyle w:val="TableText"/>
            </w:pPr>
            <w:r w:rsidRPr="00C86E49">
              <w:t>4/40</w:t>
            </w:r>
            <w:r w:rsidR="00D26509" w:rsidRPr="00C86E49">
              <w:br/>
            </w:r>
            <w:r w:rsidRPr="00C86E49">
              <w:t>(10.0%)</w:t>
            </w:r>
          </w:p>
        </w:tc>
        <w:tc>
          <w:tcPr>
            <w:tcW w:w="550" w:type="pct"/>
          </w:tcPr>
          <w:p w14:paraId="5AC02828" w14:textId="45C14AAC" w:rsidR="00736C33" w:rsidRPr="00C86E49" w:rsidRDefault="007A4AD8" w:rsidP="00736C33">
            <w:pPr>
              <w:pStyle w:val="TableText"/>
            </w:pPr>
            <w:r w:rsidRPr="00C86E49">
              <w:t>13/40</w:t>
            </w:r>
            <w:r w:rsidR="00D26509" w:rsidRPr="00C86E49">
              <w:br/>
            </w:r>
            <w:r w:rsidRPr="00C86E49">
              <w:t>(32.5%)</w:t>
            </w:r>
          </w:p>
        </w:tc>
        <w:tc>
          <w:tcPr>
            <w:tcW w:w="865" w:type="pct"/>
          </w:tcPr>
          <w:p w14:paraId="18D1774D" w14:textId="50005558" w:rsidR="00736C33" w:rsidRPr="00C86E49" w:rsidRDefault="00E2356A" w:rsidP="00736C33">
            <w:pPr>
              <w:pStyle w:val="TableText"/>
              <w:rPr>
                <w:b/>
                <w:bCs/>
              </w:rPr>
            </w:pPr>
            <w:r w:rsidRPr="00C86E49">
              <w:rPr>
                <w:b/>
                <w:bCs/>
              </w:rPr>
              <w:t>0.23 [0.07, 0.79]</w:t>
            </w:r>
            <w:r w:rsidR="009622FE" w:rsidRPr="00C86E49">
              <w:rPr>
                <w:b/>
                <w:bCs/>
              </w:rPr>
              <w:br/>
            </w:r>
            <w:r w:rsidRPr="00C86E49">
              <w:rPr>
                <w:b/>
                <w:bCs/>
              </w:rPr>
              <w:t>p=0.02</w:t>
            </w:r>
          </w:p>
        </w:tc>
        <w:tc>
          <w:tcPr>
            <w:tcW w:w="865" w:type="pct"/>
          </w:tcPr>
          <w:p w14:paraId="36DA869C" w14:textId="06D057EF" w:rsidR="00736C33" w:rsidRPr="00C86E49" w:rsidRDefault="006B5433" w:rsidP="00736C33">
            <w:pPr>
              <w:pStyle w:val="TableText"/>
              <w:rPr>
                <w:b/>
                <w:bCs/>
              </w:rPr>
            </w:pPr>
            <w:r w:rsidRPr="00C86E49">
              <w:rPr>
                <w:b/>
                <w:bCs/>
              </w:rPr>
              <w:t>0.31 [0.11, 0.86]</w:t>
            </w:r>
            <w:r w:rsidR="009622FE" w:rsidRPr="00C86E49">
              <w:rPr>
                <w:b/>
                <w:bCs/>
              </w:rPr>
              <w:br/>
            </w:r>
            <w:r w:rsidRPr="00C86E49">
              <w:rPr>
                <w:b/>
                <w:bCs/>
              </w:rPr>
              <w:t>p=0.03</w:t>
            </w:r>
          </w:p>
        </w:tc>
        <w:tc>
          <w:tcPr>
            <w:tcW w:w="993" w:type="pct"/>
          </w:tcPr>
          <w:p w14:paraId="786AED01" w14:textId="7956EDAD" w:rsidR="00736C33" w:rsidRPr="00C86E49" w:rsidRDefault="001410FF" w:rsidP="00736C33">
            <w:pPr>
              <w:pStyle w:val="TableText"/>
              <w:rPr>
                <w:b/>
                <w:bCs/>
              </w:rPr>
            </w:pPr>
            <w:r w:rsidRPr="00C86E49">
              <w:rPr>
                <w:b/>
                <w:bCs/>
              </w:rPr>
              <w:t>−</w:t>
            </w:r>
            <w:r w:rsidR="006B5433" w:rsidRPr="00C86E49">
              <w:rPr>
                <w:b/>
                <w:bCs/>
              </w:rPr>
              <w:t xml:space="preserve">0.23 </w:t>
            </w:r>
            <w:r w:rsidR="00B247D8" w:rsidRPr="00C86E49">
              <w:rPr>
                <w:b/>
                <w:bCs/>
              </w:rPr>
              <w:t>[</w:t>
            </w:r>
            <w:r w:rsidRPr="00C86E49">
              <w:rPr>
                <w:b/>
                <w:bCs/>
              </w:rPr>
              <w:t>−</w:t>
            </w:r>
            <w:r w:rsidR="006B5433" w:rsidRPr="00C86E49">
              <w:rPr>
                <w:b/>
                <w:bCs/>
              </w:rPr>
              <w:t xml:space="preserve">0.40, </w:t>
            </w:r>
            <w:r w:rsidRPr="00C86E49">
              <w:rPr>
                <w:b/>
                <w:bCs/>
              </w:rPr>
              <w:t>−</w:t>
            </w:r>
            <w:r w:rsidR="006B5433" w:rsidRPr="00C86E49">
              <w:rPr>
                <w:b/>
                <w:bCs/>
              </w:rPr>
              <w:t>0.05]</w:t>
            </w:r>
            <w:r w:rsidR="009622FE" w:rsidRPr="00C86E49">
              <w:rPr>
                <w:b/>
                <w:bCs/>
              </w:rPr>
              <w:br/>
            </w:r>
            <w:r w:rsidR="006B5433" w:rsidRPr="00C86E49">
              <w:rPr>
                <w:b/>
                <w:bCs/>
              </w:rPr>
              <w:t>p=0.01</w:t>
            </w:r>
          </w:p>
        </w:tc>
      </w:tr>
      <w:tr w:rsidR="00D722EB" w:rsidRPr="00C86E49" w14:paraId="4EBBA988" w14:textId="77777777" w:rsidTr="009D2B4E">
        <w:trPr>
          <w:tblHeader/>
        </w:trPr>
        <w:tc>
          <w:tcPr>
            <w:tcW w:w="546" w:type="pct"/>
            <w:tcBorders>
              <w:bottom w:val="single" w:sz="4" w:space="0" w:color="auto"/>
            </w:tcBorders>
          </w:tcPr>
          <w:p w14:paraId="30ABA452" w14:textId="4B388F52" w:rsidR="00736C33" w:rsidRPr="00C86E49" w:rsidRDefault="00DE617F" w:rsidP="00736C33">
            <w:pPr>
              <w:pStyle w:val="TableText"/>
            </w:pPr>
            <w:r w:rsidRPr="00C86E49">
              <w:t>Wernly 2021</w:t>
            </w:r>
            <w:r w:rsidR="00610B4A" w:rsidRPr="00C86E49">
              <w:rPr>
                <w:vertAlign w:val="superscript"/>
              </w:rPr>
              <w:t>c</w:t>
            </w:r>
          </w:p>
        </w:tc>
        <w:tc>
          <w:tcPr>
            <w:tcW w:w="631" w:type="pct"/>
            <w:gridSpan w:val="3"/>
            <w:tcBorders>
              <w:bottom w:val="single" w:sz="4" w:space="0" w:color="auto"/>
            </w:tcBorders>
          </w:tcPr>
          <w:p w14:paraId="77482491" w14:textId="2FE0891F" w:rsidR="00736C33" w:rsidRPr="00C86E49" w:rsidRDefault="00A27ABF" w:rsidP="00736C33">
            <w:pPr>
              <w:pStyle w:val="TableText"/>
            </w:pPr>
            <w:r w:rsidRPr="00C86E49">
              <w:t>AMI-CS and CA-CS</w:t>
            </w:r>
          </w:p>
        </w:tc>
        <w:tc>
          <w:tcPr>
            <w:tcW w:w="550" w:type="pct"/>
            <w:tcBorders>
              <w:bottom w:val="single" w:sz="4" w:space="0" w:color="auto"/>
            </w:tcBorders>
          </w:tcPr>
          <w:p w14:paraId="25AFB913" w14:textId="4B42E5E4" w:rsidR="00736C33" w:rsidRPr="00C86E49" w:rsidRDefault="008D7B5F" w:rsidP="00736C33">
            <w:pPr>
              <w:pStyle w:val="TableText"/>
            </w:pPr>
            <w:r w:rsidRPr="00C86E49">
              <w:t>–</w:t>
            </w:r>
          </w:p>
        </w:tc>
        <w:tc>
          <w:tcPr>
            <w:tcW w:w="550" w:type="pct"/>
            <w:tcBorders>
              <w:bottom w:val="single" w:sz="4" w:space="0" w:color="auto"/>
            </w:tcBorders>
          </w:tcPr>
          <w:p w14:paraId="615BE50B" w14:textId="53DF1AE6" w:rsidR="00736C33" w:rsidRPr="00C86E49" w:rsidRDefault="007A4AD8" w:rsidP="00736C33">
            <w:pPr>
              <w:pStyle w:val="TableText"/>
            </w:pPr>
            <w:r w:rsidRPr="00C86E49">
              <w:t>–</w:t>
            </w:r>
          </w:p>
        </w:tc>
        <w:tc>
          <w:tcPr>
            <w:tcW w:w="865" w:type="pct"/>
            <w:tcBorders>
              <w:bottom w:val="single" w:sz="4" w:space="0" w:color="auto"/>
            </w:tcBorders>
          </w:tcPr>
          <w:p w14:paraId="1D6EBA5A" w14:textId="074E2167" w:rsidR="00736C33" w:rsidRPr="00C86E49" w:rsidRDefault="005343A6" w:rsidP="00736C33">
            <w:pPr>
              <w:pStyle w:val="TableText"/>
            </w:pPr>
            <w:r w:rsidRPr="00C86E49">
              <w:t>As reported:</w:t>
            </w:r>
            <w:r w:rsidRPr="00C86E49">
              <w:br/>
            </w:r>
            <w:r w:rsidR="00594298" w:rsidRPr="00C86E49">
              <w:t>0.44 [0.09, 2.10]</w:t>
            </w:r>
            <w:r w:rsidR="009622FE" w:rsidRPr="00C86E49">
              <w:br/>
            </w:r>
            <w:r w:rsidR="00594298" w:rsidRPr="00C86E49">
              <w:t>p=0.29</w:t>
            </w:r>
          </w:p>
        </w:tc>
        <w:tc>
          <w:tcPr>
            <w:tcW w:w="865" w:type="pct"/>
            <w:tcBorders>
              <w:bottom w:val="single" w:sz="4" w:space="0" w:color="auto"/>
            </w:tcBorders>
          </w:tcPr>
          <w:p w14:paraId="3BEFE2FD" w14:textId="1FD821D1" w:rsidR="00736C33" w:rsidRPr="00C86E49" w:rsidRDefault="006B5433" w:rsidP="00736C33">
            <w:pPr>
              <w:pStyle w:val="TableText"/>
            </w:pPr>
            <w:r w:rsidRPr="00C86E49">
              <w:t>NR</w:t>
            </w:r>
          </w:p>
        </w:tc>
        <w:tc>
          <w:tcPr>
            <w:tcW w:w="993" w:type="pct"/>
            <w:tcBorders>
              <w:bottom w:val="single" w:sz="4" w:space="0" w:color="auto"/>
            </w:tcBorders>
          </w:tcPr>
          <w:p w14:paraId="7CE3EB02" w14:textId="2961A8E0" w:rsidR="00736C33" w:rsidRPr="00C86E49" w:rsidRDefault="006B5433" w:rsidP="00736C33">
            <w:pPr>
              <w:pStyle w:val="TableText"/>
            </w:pPr>
            <w:r w:rsidRPr="00C86E49">
              <w:t>NR</w:t>
            </w:r>
          </w:p>
        </w:tc>
      </w:tr>
      <w:tr w:rsidR="00F45219" w:rsidRPr="00C86E49" w14:paraId="6FEBC93D" w14:textId="77777777" w:rsidTr="009D2B4E">
        <w:trPr>
          <w:tblHeader/>
        </w:trPr>
        <w:tc>
          <w:tcPr>
            <w:tcW w:w="782" w:type="pct"/>
            <w:gridSpan w:val="2"/>
            <w:tcBorders>
              <w:bottom w:val="dotted" w:sz="4" w:space="0" w:color="auto"/>
              <w:right w:val="nil"/>
            </w:tcBorders>
          </w:tcPr>
          <w:p w14:paraId="06FA9E5F" w14:textId="2E5B15F3" w:rsidR="003B6403" w:rsidRPr="00C86E49" w:rsidRDefault="003B6403" w:rsidP="00F85651">
            <w:pPr>
              <w:pStyle w:val="TableText"/>
            </w:pPr>
            <w:r w:rsidRPr="00C86E49">
              <w:t>Meta-analysis</w:t>
            </w:r>
          </w:p>
        </w:tc>
        <w:tc>
          <w:tcPr>
            <w:tcW w:w="394" w:type="pct"/>
            <w:gridSpan w:val="2"/>
            <w:tcBorders>
              <w:left w:val="nil"/>
              <w:bottom w:val="dotted" w:sz="4" w:space="0" w:color="auto"/>
            </w:tcBorders>
          </w:tcPr>
          <w:p w14:paraId="58C486DB" w14:textId="77777777" w:rsidR="00F85651" w:rsidRPr="00C86E49" w:rsidRDefault="00F85651" w:rsidP="00F85651">
            <w:pPr>
              <w:pStyle w:val="TableText"/>
            </w:pPr>
          </w:p>
        </w:tc>
        <w:tc>
          <w:tcPr>
            <w:tcW w:w="550" w:type="pct"/>
            <w:tcBorders>
              <w:bottom w:val="dotted" w:sz="4" w:space="0" w:color="auto"/>
            </w:tcBorders>
          </w:tcPr>
          <w:p w14:paraId="06765727" w14:textId="64ECDD4D" w:rsidR="00F85651" w:rsidRPr="00C86E49" w:rsidRDefault="00AA6A66" w:rsidP="00F85651">
            <w:pPr>
              <w:pStyle w:val="TableText"/>
            </w:pPr>
            <w:r w:rsidRPr="00C86E49">
              <w:t>114/573</w:t>
            </w:r>
            <w:r w:rsidR="00D26509" w:rsidRPr="00C86E49">
              <w:br/>
            </w:r>
            <w:r w:rsidRPr="00C86E49">
              <w:t>(19.9%)</w:t>
            </w:r>
          </w:p>
        </w:tc>
        <w:tc>
          <w:tcPr>
            <w:tcW w:w="550" w:type="pct"/>
            <w:tcBorders>
              <w:bottom w:val="dotted" w:sz="4" w:space="0" w:color="auto"/>
            </w:tcBorders>
          </w:tcPr>
          <w:p w14:paraId="04FA339C" w14:textId="15858F14" w:rsidR="00F85651" w:rsidRPr="00C86E49" w:rsidRDefault="00AA6A66" w:rsidP="00F85651">
            <w:pPr>
              <w:pStyle w:val="TableText"/>
            </w:pPr>
            <w:r w:rsidRPr="00C86E49">
              <w:t>165/573</w:t>
            </w:r>
            <w:r w:rsidR="00D26509" w:rsidRPr="00C86E49">
              <w:br/>
            </w:r>
            <w:r w:rsidRPr="00C86E49">
              <w:t>(28.8%)</w:t>
            </w:r>
          </w:p>
        </w:tc>
        <w:tc>
          <w:tcPr>
            <w:tcW w:w="865" w:type="pct"/>
            <w:tcBorders>
              <w:bottom w:val="dotted" w:sz="4" w:space="0" w:color="auto"/>
            </w:tcBorders>
          </w:tcPr>
          <w:p w14:paraId="0D9AA33E" w14:textId="4810E574" w:rsidR="00F85651" w:rsidRPr="00C86E49" w:rsidRDefault="00AA6A66" w:rsidP="00F85651">
            <w:pPr>
              <w:pStyle w:val="TableText"/>
              <w:rPr>
                <w:b/>
              </w:rPr>
            </w:pPr>
            <w:r w:rsidRPr="00C86E49">
              <w:rPr>
                <w:b/>
              </w:rPr>
              <w:t>0.61 [0.46, 0.80]</w:t>
            </w:r>
            <w:r w:rsidR="00454693" w:rsidRPr="00C86E49">
              <w:rPr>
                <w:b/>
              </w:rPr>
              <w:br/>
            </w:r>
            <w:r w:rsidRPr="00C86E49">
              <w:rPr>
                <w:b/>
              </w:rPr>
              <w:t>p=0.0004</w:t>
            </w:r>
          </w:p>
        </w:tc>
        <w:tc>
          <w:tcPr>
            <w:tcW w:w="865" w:type="pct"/>
            <w:tcBorders>
              <w:bottom w:val="dotted" w:sz="4" w:space="0" w:color="auto"/>
            </w:tcBorders>
          </w:tcPr>
          <w:p w14:paraId="00754483" w14:textId="79F84922" w:rsidR="00F85651" w:rsidRPr="00C86E49" w:rsidRDefault="00AA6A66" w:rsidP="00F85651">
            <w:pPr>
              <w:pStyle w:val="TableText"/>
              <w:rPr>
                <w:b/>
              </w:rPr>
            </w:pPr>
            <w:r w:rsidRPr="00C86E49">
              <w:rPr>
                <w:b/>
              </w:rPr>
              <w:t>0.67 [0.46, 0.97]</w:t>
            </w:r>
            <w:r w:rsidR="00454693" w:rsidRPr="00C86E49">
              <w:rPr>
                <w:b/>
              </w:rPr>
              <w:br/>
            </w:r>
            <w:r w:rsidRPr="00C86E49">
              <w:rPr>
                <w:b/>
              </w:rPr>
              <w:t>p=0.03</w:t>
            </w:r>
          </w:p>
        </w:tc>
        <w:tc>
          <w:tcPr>
            <w:tcW w:w="993" w:type="pct"/>
            <w:tcBorders>
              <w:bottom w:val="dotted" w:sz="4" w:space="0" w:color="auto"/>
            </w:tcBorders>
          </w:tcPr>
          <w:p w14:paraId="2DD217E7" w14:textId="0D332F1D" w:rsidR="00F85651" w:rsidRPr="00C86E49" w:rsidRDefault="001410FF" w:rsidP="00F85651">
            <w:pPr>
              <w:pStyle w:val="TableText"/>
              <w:rPr>
                <w:b/>
              </w:rPr>
            </w:pPr>
            <w:r w:rsidRPr="00C86E49">
              <w:rPr>
                <w:b/>
              </w:rPr>
              <w:t>−</w:t>
            </w:r>
            <w:r w:rsidR="00AA6A66" w:rsidRPr="00C86E49">
              <w:rPr>
                <w:b/>
              </w:rPr>
              <w:t>0.09 [</w:t>
            </w:r>
            <w:r w:rsidRPr="00C86E49">
              <w:rPr>
                <w:b/>
              </w:rPr>
              <w:t>−</w:t>
            </w:r>
            <w:r w:rsidR="00AA6A66" w:rsidRPr="00C86E49">
              <w:rPr>
                <w:b/>
              </w:rPr>
              <w:t xml:space="preserve">0.17, </w:t>
            </w:r>
            <w:r w:rsidRPr="00C86E49">
              <w:rPr>
                <w:b/>
              </w:rPr>
              <w:t>−</w:t>
            </w:r>
            <w:r w:rsidR="00AA6A66" w:rsidRPr="00C86E49">
              <w:rPr>
                <w:b/>
              </w:rPr>
              <w:t>0.01]</w:t>
            </w:r>
            <w:r w:rsidR="00454693" w:rsidRPr="00C86E49">
              <w:rPr>
                <w:b/>
              </w:rPr>
              <w:br/>
            </w:r>
            <w:r w:rsidR="00AA6A66" w:rsidRPr="00C86E49">
              <w:rPr>
                <w:b/>
              </w:rPr>
              <w:t>p=0.03</w:t>
            </w:r>
          </w:p>
        </w:tc>
      </w:tr>
      <w:tr w:rsidR="00BE6CBA" w:rsidRPr="00C86E49" w14:paraId="68965951" w14:textId="77777777" w:rsidTr="009D2B4E">
        <w:trPr>
          <w:tblHeader/>
        </w:trPr>
        <w:tc>
          <w:tcPr>
            <w:tcW w:w="1017" w:type="pct"/>
            <w:gridSpan w:val="3"/>
            <w:tcBorders>
              <w:top w:val="dotted" w:sz="4" w:space="0" w:color="auto"/>
              <w:right w:val="nil"/>
            </w:tcBorders>
          </w:tcPr>
          <w:p w14:paraId="64447E93" w14:textId="7A3B9DAD" w:rsidR="002051A3" w:rsidRPr="00C86E49" w:rsidRDefault="002051A3" w:rsidP="00BF3EFC">
            <w:pPr>
              <w:pStyle w:val="TableText"/>
            </w:pPr>
            <w:r w:rsidRPr="00C86E49">
              <w:t>Heterogeneity</w:t>
            </w:r>
          </w:p>
        </w:tc>
        <w:tc>
          <w:tcPr>
            <w:tcW w:w="159" w:type="pct"/>
            <w:tcBorders>
              <w:top w:val="dotted" w:sz="4" w:space="0" w:color="auto"/>
              <w:left w:val="nil"/>
              <w:right w:val="nil"/>
            </w:tcBorders>
          </w:tcPr>
          <w:p w14:paraId="74BD7B9C" w14:textId="77777777" w:rsidR="00BF3EFC" w:rsidRPr="00C86E49" w:rsidRDefault="00BF3EFC" w:rsidP="00BF3EFC">
            <w:pPr>
              <w:pStyle w:val="TableText"/>
            </w:pPr>
          </w:p>
        </w:tc>
        <w:tc>
          <w:tcPr>
            <w:tcW w:w="551" w:type="pct"/>
            <w:tcBorders>
              <w:top w:val="dotted" w:sz="4" w:space="0" w:color="auto"/>
              <w:left w:val="nil"/>
              <w:right w:val="nil"/>
            </w:tcBorders>
          </w:tcPr>
          <w:p w14:paraId="243C07B6" w14:textId="77777777" w:rsidR="00BF3EFC" w:rsidRPr="00C86E49" w:rsidRDefault="00BF3EFC" w:rsidP="00BF3EFC">
            <w:pPr>
              <w:pStyle w:val="TableText"/>
            </w:pPr>
          </w:p>
        </w:tc>
        <w:tc>
          <w:tcPr>
            <w:tcW w:w="550" w:type="pct"/>
            <w:tcBorders>
              <w:top w:val="dotted" w:sz="4" w:space="0" w:color="auto"/>
              <w:left w:val="nil"/>
            </w:tcBorders>
          </w:tcPr>
          <w:p w14:paraId="2E00844B" w14:textId="77777777" w:rsidR="00BF3EFC" w:rsidRPr="00C86E49" w:rsidRDefault="00BF3EFC" w:rsidP="00BF3EFC">
            <w:pPr>
              <w:pStyle w:val="TableText"/>
            </w:pPr>
          </w:p>
        </w:tc>
        <w:tc>
          <w:tcPr>
            <w:tcW w:w="865" w:type="pct"/>
            <w:tcBorders>
              <w:top w:val="dotted" w:sz="4" w:space="0" w:color="auto"/>
            </w:tcBorders>
          </w:tcPr>
          <w:p w14:paraId="64E00D68" w14:textId="672CE753" w:rsidR="00BF3EFC" w:rsidRPr="00C86E49" w:rsidRDefault="00563EBB" w:rsidP="00BF3EFC">
            <w:pPr>
              <w:pStyle w:val="TableText"/>
            </w:pPr>
            <w:r w:rsidRPr="00C86E49">
              <w:t>I</w:t>
            </w:r>
            <w:r w:rsidRPr="00C86E49">
              <w:rPr>
                <w:vertAlign w:val="superscript"/>
              </w:rPr>
              <w:t>2</w:t>
            </w:r>
            <w:r w:rsidRPr="00C86E49">
              <w:t>=0%; P=0.39</w:t>
            </w:r>
          </w:p>
        </w:tc>
        <w:tc>
          <w:tcPr>
            <w:tcW w:w="865" w:type="pct"/>
            <w:tcBorders>
              <w:top w:val="dotted" w:sz="4" w:space="0" w:color="auto"/>
            </w:tcBorders>
          </w:tcPr>
          <w:p w14:paraId="026F38A9" w14:textId="40B33E22" w:rsidR="00BF3EFC" w:rsidRPr="00C86E49" w:rsidRDefault="00563EBB" w:rsidP="00BF3EFC">
            <w:pPr>
              <w:pStyle w:val="TableText"/>
            </w:pPr>
            <w:r w:rsidRPr="00C86E49">
              <w:t>I</w:t>
            </w:r>
            <w:r w:rsidRPr="00C86E49">
              <w:rPr>
                <w:vertAlign w:val="superscript"/>
              </w:rPr>
              <w:t>2</w:t>
            </w:r>
            <w:r w:rsidRPr="00C86E49">
              <w:t>=25%; P=0.26</w:t>
            </w:r>
          </w:p>
        </w:tc>
        <w:tc>
          <w:tcPr>
            <w:tcW w:w="993" w:type="pct"/>
            <w:tcBorders>
              <w:top w:val="dotted" w:sz="4" w:space="0" w:color="auto"/>
            </w:tcBorders>
          </w:tcPr>
          <w:p w14:paraId="7FDD51C1" w14:textId="3763762B" w:rsidR="00BF3EFC" w:rsidRPr="00C86E49" w:rsidRDefault="00563EBB" w:rsidP="00BF3EFC">
            <w:pPr>
              <w:pStyle w:val="TableText"/>
            </w:pPr>
            <w:r w:rsidRPr="00C86E49">
              <w:t>I</w:t>
            </w:r>
            <w:r w:rsidRPr="00C86E49">
              <w:rPr>
                <w:vertAlign w:val="superscript"/>
              </w:rPr>
              <w:t>2</w:t>
            </w:r>
            <w:r w:rsidRPr="00C86E49">
              <w:t>=49%; P=0.14</w:t>
            </w:r>
          </w:p>
        </w:tc>
      </w:tr>
    </w:tbl>
    <w:p w14:paraId="3644B54B" w14:textId="7278897A" w:rsidR="0024155E" w:rsidRPr="00C86E49" w:rsidRDefault="0024155E" w:rsidP="00444467">
      <w:pPr>
        <w:pStyle w:val="TableFigureFooter"/>
      </w:pPr>
      <w:r w:rsidRPr="00C86E49">
        <w:t>AMI</w:t>
      </w:r>
      <w:r w:rsidR="004A1F4E" w:rsidRPr="00C86E49">
        <w:t xml:space="preserve"> =</w:t>
      </w:r>
      <w:r w:rsidRPr="00C86E49">
        <w:t xml:space="preserve"> acute myocardial infarction; CA</w:t>
      </w:r>
      <w:r w:rsidR="004A1F4E" w:rsidRPr="00C86E49">
        <w:t xml:space="preserve"> =</w:t>
      </w:r>
      <w:r w:rsidRPr="00C86E49">
        <w:t xml:space="preserve"> cardiac arrest; CI</w:t>
      </w:r>
      <w:r w:rsidR="004A1F4E" w:rsidRPr="00C86E49">
        <w:t xml:space="preserve"> =</w:t>
      </w:r>
      <w:r w:rsidRPr="00C86E49">
        <w:t xml:space="preserve"> confidence interval; CS</w:t>
      </w:r>
      <w:r w:rsidR="004A1F4E" w:rsidRPr="00C86E49">
        <w:t xml:space="preserve"> =</w:t>
      </w:r>
      <w:r w:rsidRPr="00C86E49">
        <w:t xml:space="preserve"> cardiogenic shock; </w:t>
      </w:r>
      <w:r w:rsidR="007A6E53" w:rsidRPr="00C86E49">
        <w:t xml:space="preserve">NR = not reported; </w:t>
      </w:r>
      <w:r w:rsidRPr="00C86E49">
        <w:t>OHCA</w:t>
      </w:r>
      <w:r w:rsidR="004A1F4E" w:rsidRPr="00C86E49">
        <w:t xml:space="preserve"> =</w:t>
      </w:r>
      <w:r w:rsidRPr="00C86E49">
        <w:t xml:space="preserve"> out-of-hospital cardiac arrest; OR</w:t>
      </w:r>
      <w:r w:rsidR="004A1F4E" w:rsidRPr="00C86E49">
        <w:t xml:space="preserve"> =</w:t>
      </w:r>
      <w:r w:rsidRPr="00C86E49">
        <w:t xml:space="preserve"> odds ratio; RD</w:t>
      </w:r>
      <w:r w:rsidR="004A1F4E" w:rsidRPr="00C86E49">
        <w:t xml:space="preserve"> =</w:t>
      </w:r>
      <w:r w:rsidRPr="00C86E49">
        <w:t xml:space="preserve"> risk difference; RR</w:t>
      </w:r>
      <w:r w:rsidR="004A1F4E" w:rsidRPr="00C86E49">
        <w:t xml:space="preserve"> =</w:t>
      </w:r>
      <w:r w:rsidRPr="00C86E49">
        <w:t xml:space="preserve"> relative risk; VA-ECMO</w:t>
      </w:r>
      <w:r w:rsidR="004A1F4E" w:rsidRPr="00C86E49">
        <w:t xml:space="preserve"> =</w:t>
      </w:r>
      <w:r w:rsidRPr="00C86E49">
        <w:t xml:space="preserve"> veno-arterial extracorporeal membrane oxygenation.</w:t>
      </w:r>
    </w:p>
    <w:p w14:paraId="63DF576B" w14:textId="76D26B97" w:rsidR="0024155E" w:rsidRPr="00C86E49" w:rsidRDefault="0024155E" w:rsidP="00444467">
      <w:pPr>
        <w:pStyle w:val="TableFigureFooter"/>
      </w:pPr>
      <w:r w:rsidRPr="00C86E49">
        <w:t xml:space="preserve">Note: Point estimates </w:t>
      </w:r>
      <w:r w:rsidR="000F3E0F" w:rsidRPr="00C86E49">
        <w:t xml:space="preserve">were </w:t>
      </w:r>
      <w:r w:rsidRPr="00C86E49">
        <w:t xml:space="preserve">calculated </w:t>
      </w:r>
      <w:r w:rsidR="00032E94" w:rsidRPr="00C86E49">
        <w:t>for the ADAR using</w:t>
      </w:r>
      <w:r w:rsidRPr="00C86E49">
        <w:t xml:space="preserve"> RevMan 5.3</w:t>
      </w:r>
      <w:r w:rsidR="005343A6" w:rsidRPr="00C86E49">
        <w:t>,</w:t>
      </w:r>
      <w:r w:rsidRPr="00C86E49">
        <w:t xml:space="preserve"> </w:t>
      </w:r>
      <w:r w:rsidR="00032E94" w:rsidRPr="00C86E49">
        <w:t xml:space="preserve">except </w:t>
      </w:r>
      <w:r w:rsidR="00477102" w:rsidRPr="00C86E49">
        <w:t xml:space="preserve">for </w:t>
      </w:r>
      <w:r w:rsidR="003D5B4B" w:rsidRPr="00C86E49">
        <w:t>Wernly 2021 (</w:t>
      </w:r>
      <w:r w:rsidR="00C30DB8" w:rsidRPr="00C86E49">
        <w:t xml:space="preserve">OR </w:t>
      </w:r>
      <w:r w:rsidR="00C24099" w:rsidRPr="00C86E49">
        <w:t xml:space="preserve">as </w:t>
      </w:r>
      <w:r w:rsidR="003D5B4B" w:rsidRPr="00C86E49">
        <w:t xml:space="preserve">reported in </w:t>
      </w:r>
      <w:r w:rsidR="00EF76EB" w:rsidRPr="00C86E49">
        <w:t xml:space="preserve">study </w:t>
      </w:r>
      <w:r w:rsidR="003D5B4B" w:rsidRPr="00C86E49">
        <w:t>publication)</w:t>
      </w:r>
      <w:r w:rsidR="009F6E76" w:rsidRPr="00C86E49">
        <w:t xml:space="preserve"> and Lemor 2020 (</w:t>
      </w:r>
      <w:r w:rsidR="00EF76EB" w:rsidRPr="00C86E49">
        <w:t xml:space="preserve">OR </w:t>
      </w:r>
      <w:r w:rsidR="00C24099" w:rsidRPr="00C86E49">
        <w:t xml:space="preserve">as </w:t>
      </w:r>
      <w:r w:rsidR="00EF76EB" w:rsidRPr="00C86E49">
        <w:t xml:space="preserve">reported in study publication </w:t>
      </w:r>
      <w:proofErr w:type="gramStart"/>
      <w:r w:rsidR="00EF76EB" w:rsidRPr="00C86E49">
        <w:t>and also</w:t>
      </w:r>
      <w:proofErr w:type="gramEnd"/>
      <w:r w:rsidR="00EF76EB" w:rsidRPr="00C86E49">
        <w:t xml:space="preserve"> </w:t>
      </w:r>
      <w:r w:rsidR="000A5126" w:rsidRPr="00C86E49">
        <w:t xml:space="preserve">as </w:t>
      </w:r>
      <w:r w:rsidR="00EF76EB" w:rsidRPr="00C86E49">
        <w:t xml:space="preserve">calculated </w:t>
      </w:r>
      <w:r w:rsidR="000A5126" w:rsidRPr="00C86E49">
        <w:t>in</w:t>
      </w:r>
      <w:r w:rsidR="00EF76EB" w:rsidRPr="00C86E49">
        <w:t xml:space="preserve"> the ADAR)</w:t>
      </w:r>
      <w:r w:rsidRPr="00C86E49">
        <w:t>. Statistically significant results are in bold.</w:t>
      </w:r>
    </w:p>
    <w:p w14:paraId="0A297EB0" w14:textId="0CC25697" w:rsidR="0024155E" w:rsidRPr="00C86E49" w:rsidRDefault="0024155E" w:rsidP="00444467">
      <w:pPr>
        <w:pStyle w:val="TableFigureFooter"/>
      </w:pPr>
      <w:r w:rsidRPr="00C86E49">
        <w:rPr>
          <w:vertAlign w:val="superscript"/>
        </w:rPr>
        <w:t>a</w:t>
      </w:r>
      <w:r w:rsidRPr="00C86E49">
        <w:t xml:space="preserve"> </w:t>
      </w:r>
      <w:r w:rsidR="00F54001" w:rsidRPr="00C86E49">
        <w:t>P</w:t>
      </w:r>
      <w:r w:rsidRPr="00C86E49">
        <w:t>ercentages reported in the matched VA-ECMO cohort in Karatolios (2021) differed to those calculated based on the n/N’s provided.</w:t>
      </w:r>
    </w:p>
    <w:p w14:paraId="74EDDF1B" w14:textId="46432874" w:rsidR="0024155E" w:rsidRPr="00C86E49" w:rsidRDefault="0024155E" w:rsidP="00444467">
      <w:pPr>
        <w:pStyle w:val="TableFigureFooter"/>
      </w:pPr>
      <w:r w:rsidRPr="00C86E49">
        <w:rPr>
          <w:vertAlign w:val="superscript"/>
        </w:rPr>
        <w:t>b</w:t>
      </w:r>
      <w:r w:rsidRPr="00C86E49">
        <w:t xml:space="preserve"> </w:t>
      </w:r>
      <w:r w:rsidR="00603C01" w:rsidRPr="00C86E49">
        <w:t>Numerators</w:t>
      </w:r>
      <w:r w:rsidRPr="00C86E49">
        <w:t xml:space="preserve"> were calculated based on the percentages reported in the Lemor (2020) publication</w:t>
      </w:r>
      <w:r w:rsidR="00961428" w:rsidRPr="00C86E49">
        <w:t xml:space="preserve">. </w:t>
      </w:r>
      <w:r w:rsidR="00A44A40" w:rsidRPr="00C86E49">
        <w:t>Risk</w:t>
      </w:r>
      <w:r w:rsidR="00C316D1" w:rsidRPr="00C86E49">
        <w:t xml:space="preserve">s relate to the PSM </w:t>
      </w:r>
      <w:r w:rsidR="00E05292" w:rsidRPr="00C86E49">
        <w:t>cohorts.</w:t>
      </w:r>
    </w:p>
    <w:p w14:paraId="113E7AC6" w14:textId="795A76D8" w:rsidR="00941DB4" w:rsidRPr="00C86E49" w:rsidRDefault="001D5E2D" w:rsidP="00444467">
      <w:pPr>
        <w:pStyle w:val="TableFigureFooter"/>
      </w:pPr>
      <w:r w:rsidRPr="00C86E49">
        <w:rPr>
          <w:vertAlign w:val="superscript"/>
        </w:rPr>
        <w:t>c</w:t>
      </w:r>
      <w:r w:rsidR="0024155E" w:rsidRPr="00C86E49">
        <w:t xml:space="preserve"> Wernly (2021) only report</w:t>
      </w:r>
      <w:r w:rsidR="00610B4A" w:rsidRPr="00C86E49">
        <w:t>ed</w:t>
      </w:r>
      <w:r w:rsidR="0024155E" w:rsidRPr="00C86E49">
        <w:t xml:space="preserve"> percentages for unadjusted data</w:t>
      </w:r>
      <w:r w:rsidR="001901A8" w:rsidRPr="00C86E49">
        <w:t xml:space="preserve">: </w:t>
      </w:r>
      <w:r w:rsidR="0024155E" w:rsidRPr="00C86E49">
        <w:t>IMPELLA 20/73 (27.4%) versus VA-ECMO 49/76 (64.5%).</w:t>
      </w:r>
    </w:p>
    <w:p w14:paraId="095C33B4" w14:textId="4296ED70" w:rsidR="0024155E" w:rsidRPr="00C86E49" w:rsidRDefault="0024155E" w:rsidP="00444467">
      <w:pPr>
        <w:pStyle w:val="TableFigureFooter"/>
      </w:pPr>
      <w:r w:rsidRPr="00C86E49">
        <w:t xml:space="preserve">Source: </w:t>
      </w:r>
      <w:r w:rsidR="00583E87" w:rsidRPr="00C86E49">
        <w:t xml:space="preserve">Excerpt from </w:t>
      </w:r>
      <w:r w:rsidR="00656746" w:rsidRPr="00C86E49">
        <w:t xml:space="preserve">Table 45 </w:t>
      </w:r>
      <w:r w:rsidR="00CE01E9" w:rsidRPr="00C86E49">
        <w:t xml:space="preserve">of </w:t>
      </w:r>
      <w:r w:rsidR="00656746" w:rsidRPr="00C86E49">
        <w:t>MSAC 1523.</w:t>
      </w:r>
      <w:r w:rsidR="00CE01E9" w:rsidRPr="00C86E49">
        <w:t>1</w:t>
      </w:r>
      <w:r w:rsidR="00B97C5B" w:rsidRPr="00C86E49">
        <w:t xml:space="preserve"> ADAR+in-line commentary</w:t>
      </w:r>
    </w:p>
    <w:p w14:paraId="36C885D9" w14:textId="0D2CABDB" w:rsidR="00D97126" w:rsidRPr="00C86E49" w:rsidRDefault="00D97126" w:rsidP="00D97126">
      <w:r w:rsidRPr="00C86E49">
        <w:t>The meta-analysis</w:t>
      </w:r>
      <w:r w:rsidR="00780A8A" w:rsidRPr="00C86E49">
        <w:t xml:space="preserve"> (</w:t>
      </w:r>
      <w:r w:rsidR="00780A8A" w:rsidRPr="00C86E49">
        <w:fldChar w:fldCharType="begin"/>
      </w:r>
      <w:r w:rsidR="00780A8A" w:rsidRPr="00C86E49">
        <w:instrText xml:space="preserve"> REF _Ref151993000 \h </w:instrText>
      </w:r>
      <w:r w:rsidR="00C86E49">
        <w:instrText xml:space="preserve"> \* MERGEFORMAT </w:instrText>
      </w:r>
      <w:r w:rsidR="00780A8A" w:rsidRPr="00C86E49">
        <w:fldChar w:fldCharType="separate"/>
      </w:r>
      <w:r w:rsidR="00EF3514" w:rsidRPr="00C86E49">
        <w:t xml:space="preserve">Table </w:t>
      </w:r>
      <w:r w:rsidR="00EF3514" w:rsidRPr="00C86E49">
        <w:rPr>
          <w:noProof/>
        </w:rPr>
        <w:t>8</w:t>
      </w:r>
      <w:r w:rsidR="00780A8A" w:rsidRPr="00C86E49">
        <w:fldChar w:fldCharType="end"/>
      </w:r>
      <w:r w:rsidR="00780A8A" w:rsidRPr="00C86E49">
        <w:t xml:space="preserve"> and </w:t>
      </w:r>
      <w:r w:rsidR="00780A8A" w:rsidRPr="00C86E49">
        <w:fldChar w:fldCharType="begin"/>
      </w:r>
      <w:r w:rsidR="00780A8A" w:rsidRPr="00C86E49">
        <w:instrText xml:space="preserve"> REF _Ref153549973 \h </w:instrText>
      </w:r>
      <w:r w:rsidR="00C86E49">
        <w:instrText xml:space="preserve"> \* MERGEFORMAT </w:instrText>
      </w:r>
      <w:r w:rsidR="00780A8A" w:rsidRPr="00C86E49">
        <w:fldChar w:fldCharType="separate"/>
      </w:r>
      <w:r w:rsidR="00EF3514" w:rsidRPr="00C86E49">
        <w:t xml:space="preserve">Figure </w:t>
      </w:r>
      <w:r w:rsidR="00EF3514" w:rsidRPr="00C86E49">
        <w:rPr>
          <w:noProof/>
        </w:rPr>
        <w:t>1</w:t>
      </w:r>
      <w:r w:rsidR="00780A8A" w:rsidRPr="00C86E49">
        <w:fldChar w:fldCharType="end"/>
      </w:r>
      <w:r w:rsidR="00780A8A" w:rsidRPr="00C86E49">
        <w:t xml:space="preserve">) </w:t>
      </w:r>
      <w:r w:rsidRPr="00C86E49">
        <w:t>showed statistically significantly lower odds of bleeding events requiring transfusion for patients treated with IMPELLA versus VA-ECMO. GRADE certainty of evidence for this outcome was low. The meta-analysed OR (0.61, 95% CI 0.46, 0.80) was used in the economic analysis. Meta-analysis performed using the Mantel-Haenszel method without Wernly (2021) resulted in a similar risk estimate (OR 0.59; 95% CI 0.36, 0.94; p=0.03).</w:t>
      </w:r>
    </w:p>
    <w:p w14:paraId="42D44C01" w14:textId="33802399" w:rsidR="00D97126" w:rsidRPr="00C86E49" w:rsidRDefault="00BD5A4D" w:rsidP="009D2B4E">
      <w:r w:rsidRPr="00C86E49">
        <w:t xml:space="preserve">The commentary noted potential for patient overlap in two retrospective cohort studies that were conducted at the same institution over a similar </w:t>
      </w:r>
      <w:proofErr w:type="gramStart"/>
      <w:r w:rsidRPr="00C86E49">
        <w:t>time period</w:t>
      </w:r>
      <w:proofErr w:type="gramEnd"/>
      <w:r w:rsidRPr="00C86E49">
        <w:t xml:space="preserve"> (Karatolios 2021; Syntila 2021).</w:t>
      </w:r>
    </w:p>
    <w:p w14:paraId="2667BD8F" w14:textId="4FD2487E" w:rsidR="00BF63F1" w:rsidRPr="00C86E49" w:rsidRDefault="0068799D" w:rsidP="0068799D">
      <w:pPr>
        <w:pStyle w:val="Caption"/>
      </w:pPr>
      <w:bookmarkStart w:id="29" w:name="_Ref153549973"/>
      <w:r w:rsidRPr="00C86E49">
        <w:t xml:space="preserve">Figure </w:t>
      </w:r>
      <w:r w:rsidR="007552E5">
        <w:fldChar w:fldCharType="begin"/>
      </w:r>
      <w:r w:rsidR="007552E5">
        <w:instrText xml:space="preserve"> SEQ Figure \* ARABIC </w:instrText>
      </w:r>
      <w:r w:rsidR="007552E5">
        <w:fldChar w:fldCharType="separate"/>
      </w:r>
      <w:r w:rsidR="00EF3514" w:rsidRPr="00C86E49">
        <w:rPr>
          <w:noProof/>
        </w:rPr>
        <w:t>1</w:t>
      </w:r>
      <w:r w:rsidR="007552E5">
        <w:rPr>
          <w:noProof/>
        </w:rPr>
        <w:fldChar w:fldCharType="end"/>
      </w:r>
      <w:bookmarkEnd w:id="29"/>
      <w:r w:rsidRPr="00C86E49">
        <w:tab/>
      </w:r>
      <w:r w:rsidR="008D1D78" w:rsidRPr="00C86E49">
        <w:t>Forest plot of bleeding</w:t>
      </w:r>
      <w:r w:rsidR="005A602D" w:rsidRPr="00C86E49">
        <w:t xml:space="preserve"> event</w:t>
      </w:r>
      <w:r w:rsidR="008D1D78" w:rsidRPr="00C86E49">
        <w:t xml:space="preserve">s requiring transfusion in the matched/adjusted IMPELLA versus VA-ECMO </w:t>
      </w:r>
      <w:proofErr w:type="gramStart"/>
      <w:r w:rsidR="008D1D78" w:rsidRPr="00C86E49">
        <w:t>studies</w:t>
      </w:r>
      <w:proofErr w:type="gramEnd"/>
    </w:p>
    <w:p w14:paraId="526CC18D" w14:textId="248A7417" w:rsidR="00EA1633" w:rsidRPr="00C86E49" w:rsidRDefault="00D76661" w:rsidP="00D76661">
      <w:pPr>
        <w:pBdr>
          <w:top w:val="single" w:sz="4" w:space="1" w:color="auto"/>
          <w:left w:val="single" w:sz="4" w:space="4" w:color="auto"/>
          <w:bottom w:val="single" w:sz="4" w:space="1" w:color="auto"/>
          <w:right w:val="single" w:sz="4" w:space="4" w:color="auto"/>
        </w:pBdr>
        <w:spacing w:after="0"/>
      </w:pPr>
      <w:r w:rsidRPr="00C86E49">
        <w:rPr>
          <w:noProof/>
          <w:color w:val="2B579A"/>
          <w:shd w:val="clear" w:color="auto" w:fill="E6E6E6"/>
        </w:rPr>
        <w:drawing>
          <wp:inline distT="0" distB="0" distL="0" distR="0" wp14:anchorId="65F041EF" wp14:editId="446F52E1">
            <wp:extent cx="5731510" cy="1362710"/>
            <wp:effectExtent l="0" t="0" r="2540" b="8890"/>
            <wp:docPr id="135671191" name="Picture 135671191" descr="This is a forest plot of the bleeding events requiring transfusion odds ratio results in the matched/adjusted IMPELLA versus VA-ECMO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1191" name="Picture 135671191" descr="This is a forest plot of the bleeding events requiring transfusion odds ratio results in the matched/adjusted IMPELLA versus VA-ECMO studies"/>
                    <pic:cNvPicPr/>
                  </pic:nvPicPr>
                  <pic:blipFill>
                    <a:blip r:embed="rId15"/>
                    <a:stretch>
                      <a:fillRect/>
                    </a:stretch>
                  </pic:blipFill>
                  <pic:spPr>
                    <a:xfrm>
                      <a:off x="0" y="0"/>
                      <a:ext cx="5731510" cy="1362710"/>
                    </a:xfrm>
                    <a:prstGeom prst="rect">
                      <a:avLst/>
                    </a:prstGeom>
                  </pic:spPr>
                </pic:pic>
              </a:graphicData>
            </a:graphic>
          </wp:inline>
        </w:drawing>
      </w:r>
    </w:p>
    <w:p w14:paraId="3085DACC" w14:textId="1A914AEB" w:rsidR="00D470A4" w:rsidRPr="00C86E49" w:rsidRDefault="00D470A4" w:rsidP="00D470A4">
      <w:pPr>
        <w:pStyle w:val="TableFigureFooter"/>
      </w:pPr>
      <w:r w:rsidRPr="00C86E49">
        <w:t xml:space="preserve">CI = confidence interval; </w:t>
      </w:r>
      <w:r w:rsidR="002F0A58" w:rsidRPr="00C86E49">
        <w:t>IV = </w:t>
      </w:r>
      <w:r w:rsidR="00360500" w:rsidRPr="00C86E49">
        <w:t xml:space="preserve">inverse variance; </w:t>
      </w:r>
      <w:r w:rsidR="0039622D" w:rsidRPr="00C86E49">
        <w:t xml:space="preserve">SE = standard error; </w:t>
      </w:r>
      <w:r w:rsidRPr="00C86E49">
        <w:t>VA-ECMO = veno-arterial extracorporeal membrane oxygenation.</w:t>
      </w:r>
    </w:p>
    <w:p w14:paraId="63FD5CFB" w14:textId="5C51B89A" w:rsidR="00A11EF4" w:rsidRPr="00C86E49" w:rsidRDefault="00A11EF4" w:rsidP="00D470A4">
      <w:pPr>
        <w:pStyle w:val="TableFigureFooter"/>
      </w:pPr>
      <w:r w:rsidRPr="00C86E49">
        <w:t>Note: Meta-analysis was conducted using the generic inverse variance method.</w:t>
      </w:r>
    </w:p>
    <w:p w14:paraId="196FD489" w14:textId="65B51E33" w:rsidR="00707924" w:rsidRPr="00C86E49" w:rsidRDefault="00707924" w:rsidP="00707924">
      <w:pPr>
        <w:pStyle w:val="TableFigureFooter"/>
      </w:pPr>
      <w:r w:rsidRPr="00C86E49">
        <w:t>Source: Figure 27 of MSAC 1523.1 ADAR+in-line commentary</w:t>
      </w:r>
      <w:r w:rsidR="004933DD" w:rsidRPr="00C86E49">
        <w:t>.</w:t>
      </w:r>
    </w:p>
    <w:p w14:paraId="39D60EC2" w14:textId="6BA85021" w:rsidR="00E3052F" w:rsidRPr="00C86E49" w:rsidRDefault="00E3052F" w:rsidP="00E3052F">
      <w:pPr>
        <w:pStyle w:val="Heading4"/>
      </w:pPr>
      <w:r w:rsidRPr="00C86E49">
        <w:t xml:space="preserve">ECPELLA versus VA-ECMO </w:t>
      </w:r>
      <w:r w:rsidR="00D531B8" w:rsidRPr="00C86E49">
        <w:t>with or without surgical venting</w:t>
      </w:r>
    </w:p>
    <w:p w14:paraId="464AA6A1" w14:textId="05C9AB28" w:rsidR="00B2779E" w:rsidRPr="00C86E49" w:rsidRDefault="007A41EC" w:rsidP="00B2779E">
      <w:r w:rsidRPr="00C86E49">
        <w:rPr>
          <w:color w:val="2B579A"/>
          <w:shd w:val="clear" w:color="auto" w:fill="E6E6E6"/>
        </w:rPr>
        <w:fldChar w:fldCharType="begin"/>
      </w:r>
      <w:r w:rsidRPr="00C86E49">
        <w:instrText xml:space="preserve"> REF _Ref151994885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 xml:space="preserve">Table </w:t>
      </w:r>
      <w:r w:rsidR="00EF3514" w:rsidRPr="00C86E49">
        <w:rPr>
          <w:noProof/>
        </w:rPr>
        <w:t>9</w:t>
      </w:r>
      <w:r w:rsidRPr="00C86E49">
        <w:rPr>
          <w:color w:val="2B579A"/>
          <w:shd w:val="clear" w:color="auto" w:fill="E6E6E6"/>
        </w:rPr>
        <w:fldChar w:fldCharType="end"/>
      </w:r>
      <w:r w:rsidRPr="00C86E49">
        <w:t xml:space="preserve"> </w:t>
      </w:r>
      <w:r w:rsidR="005B5BC5" w:rsidRPr="00C86E49">
        <w:t>provides the results for bleeding</w:t>
      </w:r>
      <w:r w:rsidR="005A602D" w:rsidRPr="00C86E49">
        <w:t xml:space="preserve"> event</w:t>
      </w:r>
      <w:r w:rsidR="005B5BC5" w:rsidRPr="00C86E49">
        <w:t xml:space="preserve">s requiring transfusion in </w:t>
      </w:r>
      <w:r w:rsidR="005818CF" w:rsidRPr="00C86E49">
        <w:t xml:space="preserve">matched </w:t>
      </w:r>
      <w:r w:rsidR="005B5BC5" w:rsidRPr="00C86E49">
        <w:t>ECPELLA versus VA-ECMO ± SV studies</w:t>
      </w:r>
      <w:r w:rsidR="008E777E" w:rsidRPr="00C86E49">
        <w:t xml:space="preserve">. </w:t>
      </w:r>
      <w:r w:rsidR="0091517F" w:rsidRPr="00C86E49">
        <w:t xml:space="preserve">The commentary noted </w:t>
      </w:r>
      <w:r w:rsidR="005B7E95" w:rsidRPr="00C86E49">
        <w:t>there is potential for patient overlap and double counting in the meta-analysis a</w:t>
      </w:r>
      <w:r w:rsidR="0091517F" w:rsidRPr="00C86E49">
        <w:t xml:space="preserve">s </w:t>
      </w:r>
      <w:r w:rsidR="00186AD6" w:rsidRPr="00C86E49">
        <w:t xml:space="preserve">the two studies </w:t>
      </w:r>
      <w:r w:rsidR="0011024E" w:rsidRPr="00C86E49">
        <w:t xml:space="preserve">(Pappalardo 2017; Schrage 2020b) </w:t>
      </w:r>
      <w:r w:rsidR="00186AD6" w:rsidRPr="00C86E49">
        <w:t>were</w:t>
      </w:r>
      <w:r w:rsidR="0091517F" w:rsidRPr="00C86E49">
        <w:t xml:space="preserve"> conducted at the same institution over a similar </w:t>
      </w:r>
      <w:proofErr w:type="gramStart"/>
      <w:r w:rsidR="0091517F" w:rsidRPr="00C86E49">
        <w:t>time period</w:t>
      </w:r>
      <w:proofErr w:type="gramEnd"/>
      <w:r w:rsidR="0091517F" w:rsidRPr="00C86E49">
        <w:t>.</w:t>
      </w:r>
    </w:p>
    <w:p w14:paraId="468881B2" w14:textId="64AA8AC7" w:rsidR="00815BC4" w:rsidRPr="00C86E49" w:rsidRDefault="006F1CE8" w:rsidP="00B2779E">
      <w:r w:rsidRPr="00C86E49">
        <w:t xml:space="preserve">The </w:t>
      </w:r>
      <w:r w:rsidR="00FF683B" w:rsidRPr="00C86E49">
        <w:t>meta-analysis showed</w:t>
      </w:r>
      <w:r w:rsidRPr="00C86E49">
        <w:t xml:space="preserve"> a statistically significantly </w:t>
      </w:r>
      <w:r w:rsidR="004C12B2" w:rsidRPr="00C86E49">
        <w:t>higher odds of bleeding</w:t>
      </w:r>
      <w:r w:rsidR="005A602D" w:rsidRPr="00C86E49">
        <w:t xml:space="preserve"> event</w:t>
      </w:r>
      <w:r w:rsidR="004C12B2" w:rsidRPr="00C86E49">
        <w:t xml:space="preserve">s requiring transfusion for patients treated with ECPELLA versus VA-ECMO. </w:t>
      </w:r>
      <w:r w:rsidR="000F1061" w:rsidRPr="00C86E49">
        <w:t xml:space="preserve">The ADAR commented that this was expected given </w:t>
      </w:r>
      <w:r w:rsidR="00CD0C5D" w:rsidRPr="00C86E49">
        <w:t>that</w:t>
      </w:r>
      <w:r w:rsidR="000F1061" w:rsidRPr="00C86E49">
        <w:t xml:space="preserve"> patients in the ECPELLA cohort were treated with two MCS devices as opposed to one in the VA-ECMO cohort. </w:t>
      </w:r>
      <w:r w:rsidR="00C53175" w:rsidRPr="00C86E49">
        <w:t>The addition of a second device, including the need for a second arterial access, increases the likelihood of bleeding/isch</w:t>
      </w:r>
      <w:r w:rsidR="007E057F" w:rsidRPr="00C86E49">
        <w:t>a</w:t>
      </w:r>
      <w:r w:rsidR="00C53175" w:rsidRPr="00C86E49">
        <w:t>emic complications, especially because ultrasound-guided vascular access</w:t>
      </w:r>
      <w:r w:rsidR="00AE5C2F" w:rsidRPr="00C86E49">
        <w:t xml:space="preserve"> (</w:t>
      </w:r>
      <w:r w:rsidR="00C53175" w:rsidRPr="00C86E49">
        <w:t>which could reduce such complications</w:t>
      </w:r>
      <w:r w:rsidR="00AE5C2F" w:rsidRPr="00C86E49">
        <w:t xml:space="preserve">) </w:t>
      </w:r>
      <w:r w:rsidR="00C53175" w:rsidRPr="00C86E49">
        <w:t xml:space="preserve">is not always feasible in </w:t>
      </w:r>
      <w:r w:rsidR="00AE5C2F" w:rsidRPr="00C86E49">
        <w:t>CS</w:t>
      </w:r>
      <w:r w:rsidR="00C53175" w:rsidRPr="00C86E49">
        <w:t xml:space="preserve"> (Schrage</w:t>
      </w:r>
      <w:r w:rsidR="00815BC4" w:rsidRPr="00C86E49">
        <w:t xml:space="preserve"> 2020b)</w:t>
      </w:r>
      <w:r w:rsidR="00C53175" w:rsidRPr="00C86E49">
        <w:t>.</w:t>
      </w:r>
    </w:p>
    <w:p w14:paraId="55452E8E" w14:textId="46B97E36" w:rsidR="00D61D0E" w:rsidRPr="00D61D0E" w:rsidRDefault="00156F2B" w:rsidP="00D61D0E">
      <w:r w:rsidRPr="00C86E49">
        <w:t xml:space="preserve">GRADE certainty of evidence for this outcome was low. The meta-analysed OR </w:t>
      </w:r>
      <w:r w:rsidR="00BF329B" w:rsidRPr="00C86E49">
        <w:t>(</w:t>
      </w:r>
      <w:r w:rsidR="006F1CE8" w:rsidRPr="00C86E49">
        <w:t>1.65</w:t>
      </w:r>
      <w:r w:rsidR="00BF329B" w:rsidRPr="00C86E49">
        <w:t xml:space="preserve">, </w:t>
      </w:r>
      <w:r w:rsidR="006F1CE8" w:rsidRPr="00C86E49">
        <w:t>95% CI 1.15, 2.37)</w:t>
      </w:r>
      <w:r w:rsidR="007B798C" w:rsidRPr="00C86E49">
        <w:t xml:space="preserve"> was used in the </w:t>
      </w:r>
      <w:r w:rsidR="000F1061" w:rsidRPr="00C86E49">
        <w:t>economic analysis</w:t>
      </w:r>
      <w:r w:rsidR="006F1CE8" w:rsidRPr="00C86E49">
        <w:t xml:space="preserve">. </w:t>
      </w:r>
      <w:bookmarkStart w:id="30" w:name="_Ref151994885"/>
      <w:r w:rsidR="00D61D0E">
        <w:br w:type="page"/>
      </w:r>
    </w:p>
    <w:p w14:paraId="19254ED7" w14:textId="7E170C70" w:rsidR="00B2779E" w:rsidRPr="00C86E49" w:rsidRDefault="00B2779E" w:rsidP="009E6A19">
      <w:pPr>
        <w:pStyle w:val="Caption"/>
      </w:pPr>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9</w:t>
      </w:r>
      <w:r w:rsidR="007552E5">
        <w:rPr>
          <w:noProof/>
        </w:rPr>
        <w:fldChar w:fldCharType="end"/>
      </w:r>
      <w:bookmarkEnd w:id="30"/>
      <w:r w:rsidRPr="00C86E49">
        <w:tab/>
      </w:r>
      <w:r w:rsidR="001B5224" w:rsidRPr="00C86E49">
        <w:t>B</w:t>
      </w:r>
      <w:r w:rsidR="009E6A19" w:rsidRPr="00C86E49">
        <w:t>leeding</w:t>
      </w:r>
      <w:r w:rsidR="005A602D" w:rsidRPr="00C86E49">
        <w:t xml:space="preserve"> event</w:t>
      </w:r>
      <w:r w:rsidR="009E6A19" w:rsidRPr="00C86E49">
        <w:t xml:space="preserve">s requiring transfusion in the matched/adjusted ECPELLA versus VA-ECMO </w:t>
      </w:r>
      <w:proofErr w:type="gramStart"/>
      <w:r w:rsidR="009E6A19" w:rsidRPr="00C86E49">
        <w:t>studies</w:t>
      </w:r>
      <w:proofErr w:type="gramEnd"/>
    </w:p>
    <w:tbl>
      <w:tblPr>
        <w:tblStyle w:val="TableGrid"/>
        <w:tblW w:w="5000" w:type="pct"/>
        <w:tblLook w:val="04A0" w:firstRow="1" w:lastRow="0" w:firstColumn="1" w:lastColumn="0" w:noHBand="0" w:noVBand="1"/>
        <w:tblCaption w:val="Bleeding events requiring transfusion in the matched/adjusted ECPELLA versus VA-ECMO studies"/>
        <w:tblDescription w:val="This table shows the individual study and meta-analysis results for bleeding events requiring transfusion in the matched/adjusted ECPELLA versus VA-ECMO studies."/>
      </w:tblPr>
      <w:tblGrid>
        <w:gridCol w:w="1055"/>
        <w:gridCol w:w="358"/>
        <w:gridCol w:w="849"/>
        <w:gridCol w:w="994"/>
        <w:gridCol w:w="1010"/>
        <w:gridCol w:w="1556"/>
        <w:gridCol w:w="1560"/>
        <w:gridCol w:w="1634"/>
      </w:tblGrid>
      <w:tr w:rsidR="00732E93" w:rsidRPr="00C86E49" w14:paraId="050A4A43" w14:textId="77777777" w:rsidTr="009D2B4E">
        <w:trPr>
          <w:tblHeader/>
        </w:trPr>
        <w:tc>
          <w:tcPr>
            <w:tcW w:w="585" w:type="pct"/>
          </w:tcPr>
          <w:p w14:paraId="19AAE06C" w14:textId="77777777" w:rsidR="00B91495" w:rsidRPr="00C86E49" w:rsidRDefault="00B91495">
            <w:pPr>
              <w:pStyle w:val="TableHeading0"/>
            </w:pPr>
            <w:r w:rsidRPr="00C86E49">
              <w:t>Trial ID</w:t>
            </w:r>
          </w:p>
        </w:tc>
        <w:tc>
          <w:tcPr>
            <w:tcW w:w="669" w:type="pct"/>
            <w:gridSpan w:val="2"/>
          </w:tcPr>
          <w:p w14:paraId="2D574ACF" w14:textId="77777777" w:rsidR="00B91495" w:rsidRPr="00C86E49" w:rsidRDefault="00B91495">
            <w:pPr>
              <w:pStyle w:val="TableHeading0"/>
            </w:pPr>
            <w:r w:rsidRPr="00C86E49">
              <w:t>CS type</w:t>
            </w:r>
          </w:p>
        </w:tc>
        <w:tc>
          <w:tcPr>
            <w:tcW w:w="545" w:type="pct"/>
          </w:tcPr>
          <w:p w14:paraId="08DDA1DF" w14:textId="5B057B61" w:rsidR="00B91495" w:rsidRPr="00C86E49" w:rsidRDefault="002F0D09">
            <w:pPr>
              <w:pStyle w:val="TableHeading0"/>
            </w:pPr>
            <w:r w:rsidRPr="00C86E49">
              <w:t>EC</w:t>
            </w:r>
            <w:r w:rsidR="00B91495" w:rsidRPr="00C86E49">
              <w:t>PELLA</w:t>
            </w:r>
            <w:r w:rsidR="00A15540" w:rsidRPr="00C86E49">
              <w:br/>
            </w:r>
            <w:r w:rsidR="00B91495" w:rsidRPr="00C86E49">
              <w:t>n/N (%)</w:t>
            </w:r>
          </w:p>
        </w:tc>
        <w:tc>
          <w:tcPr>
            <w:tcW w:w="560" w:type="pct"/>
          </w:tcPr>
          <w:p w14:paraId="3997A41B" w14:textId="4F01E1B8" w:rsidR="00B91495" w:rsidRPr="00C86E49" w:rsidRDefault="00B91495">
            <w:pPr>
              <w:pStyle w:val="TableHeading0"/>
            </w:pPr>
            <w:r w:rsidRPr="00C86E49">
              <w:t>VA-ECMO</w:t>
            </w:r>
            <w:r w:rsidR="00A15540" w:rsidRPr="00C86E49">
              <w:br/>
            </w:r>
            <w:r w:rsidRPr="00C86E49">
              <w:t>n/N (%)</w:t>
            </w:r>
          </w:p>
        </w:tc>
        <w:tc>
          <w:tcPr>
            <w:tcW w:w="863" w:type="pct"/>
          </w:tcPr>
          <w:p w14:paraId="097F6D37" w14:textId="163D2B56" w:rsidR="00B91495" w:rsidRPr="00C86E49" w:rsidRDefault="00B91495">
            <w:pPr>
              <w:pStyle w:val="TableHeading0"/>
            </w:pPr>
            <w:r w:rsidRPr="00C86E49">
              <w:t>OR [95% CI]</w:t>
            </w:r>
            <w:r w:rsidR="002C68C6" w:rsidRPr="00C86E49">
              <w:br/>
            </w:r>
            <w:r w:rsidRPr="00C86E49">
              <w:t>p-value</w:t>
            </w:r>
          </w:p>
        </w:tc>
        <w:tc>
          <w:tcPr>
            <w:tcW w:w="865" w:type="pct"/>
          </w:tcPr>
          <w:p w14:paraId="788D7C71" w14:textId="43B42D67" w:rsidR="00B91495" w:rsidRPr="00C86E49" w:rsidRDefault="00B91495">
            <w:pPr>
              <w:pStyle w:val="TableHeading0"/>
            </w:pPr>
            <w:r w:rsidRPr="00C86E49">
              <w:t>RR [95% CI]</w:t>
            </w:r>
            <w:r w:rsidR="002C68C6" w:rsidRPr="00C86E49">
              <w:br/>
            </w:r>
            <w:r w:rsidRPr="00C86E49">
              <w:t>p-value</w:t>
            </w:r>
          </w:p>
        </w:tc>
        <w:tc>
          <w:tcPr>
            <w:tcW w:w="912" w:type="pct"/>
          </w:tcPr>
          <w:p w14:paraId="66EBF45C" w14:textId="4F4D0A20" w:rsidR="00B91495" w:rsidRPr="00C86E49" w:rsidRDefault="00B91495">
            <w:pPr>
              <w:pStyle w:val="TableHeading0"/>
            </w:pPr>
            <w:r w:rsidRPr="00C86E49">
              <w:t xml:space="preserve">RD [95% CI] </w:t>
            </w:r>
            <w:r w:rsidR="002C68C6" w:rsidRPr="00C86E49">
              <w:br/>
            </w:r>
            <w:r w:rsidRPr="00C86E49">
              <w:t>p-value</w:t>
            </w:r>
          </w:p>
        </w:tc>
      </w:tr>
      <w:tr w:rsidR="00732E93" w:rsidRPr="00C86E49" w14:paraId="41009B90" w14:textId="77777777" w:rsidTr="009D2B4E">
        <w:trPr>
          <w:tblHeader/>
        </w:trPr>
        <w:tc>
          <w:tcPr>
            <w:tcW w:w="585" w:type="pct"/>
            <w:tcBorders>
              <w:bottom w:val="single" w:sz="4" w:space="0" w:color="auto"/>
            </w:tcBorders>
          </w:tcPr>
          <w:p w14:paraId="76CFA1D6" w14:textId="62666432" w:rsidR="00B91495" w:rsidRPr="00C86E49" w:rsidRDefault="00D25FD6">
            <w:pPr>
              <w:pStyle w:val="TableText"/>
            </w:pPr>
            <w:r w:rsidRPr="00C86E49">
              <w:t>Pappalardo 2017</w:t>
            </w:r>
          </w:p>
        </w:tc>
        <w:tc>
          <w:tcPr>
            <w:tcW w:w="669" w:type="pct"/>
            <w:gridSpan w:val="2"/>
            <w:tcBorders>
              <w:bottom w:val="single" w:sz="4" w:space="0" w:color="auto"/>
            </w:tcBorders>
          </w:tcPr>
          <w:p w14:paraId="5B328018" w14:textId="42D3331C" w:rsidR="00B91495" w:rsidRPr="00C86E49" w:rsidRDefault="00C17866">
            <w:pPr>
              <w:pStyle w:val="TableText"/>
            </w:pPr>
            <w:r w:rsidRPr="00C86E49">
              <w:t>Severe refractory CS</w:t>
            </w:r>
          </w:p>
        </w:tc>
        <w:tc>
          <w:tcPr>
            <w:tcW w:w="545" w:type="pct"/>
          </w:tcPr>
          <w:p w14:paraId="3B68F807" w14:textId="42C36557" w:rsidR="00B91495" w:rsidRPr="00C86E49" w:rsidRDefault="00272BE6">
            <w:pPr>
              <w:pStyle w:val="TableText"/>
            </w:pPr>
            <w:r w:rsidRPr="00C86E49">
              <w:t>8/21</w:t>
            </w:r>
            <w:r w:rsidR="00732E93" w:rsidRPr="00C86E49">
              <w:br/>
            </w:r>
            <w:r w:rsidRPr="00C86E49">
              <w:t>(38.1%)</w:t>
            </w:r>
          </w:p>
        </w:tc>
        <w:tc>
          <w:tcPr>
            <w:tcW w:w="560" w:type="pct"/>
          </w:tcPr>
          <w:p w14:paraId="4500002E" w14:textId="6C09B846" w:rsidR="00B91495" w:rsidRPr="00C86E49" w:rsidRDefault="00C679FB">
            <w:pPr>
              <w:pStyle w:val="TableText"/>
            </w:pPr>
            <w:r w:rsidRPr="00C86E49">
              <w:t>12/42</w:t>
            </w:r>
            <w:r w:rsidR="00732E93" w:rsidRPr="00C86E49">
              <w:br/>
            </w:r>
            <w:r w:rsidRPr="00C86E49">
              <w:t>(28.6%)</w:t>
            </w:r>
          </w:p>
        </w:tc>
        <w:tc>
          <w:tcPr>
            <w:tcW w:w="863" w:type="pct"/>
          </w:tcPr>
          <w:p w14:paraId="2C13C42C" w14:textId="2F63C675" w:rsidR="00B91495" w:rsidRPr="00C86E49" w:rsidRDefault="00D62534">
            <w:pPr>
              <w:pStyle w:val="TableText"/>
            </w:pPr>
            <w:r w:rsidRPr="00C86E49">
              <w:t>1.54 [0.51, 4.65]</w:t>
            </w:r>
            <w:r w:rsidR="00732E93" w:rsidRPr="00C86E49">
              <w:br/>
            </w:r>
            <w:r w:rsidRPr="00C86E49">
              <w:t>p=0.45</w:t>
            </w:r>
          </w:p>
        </w:tc>
        <w:tc>
          <w:tcPr>
            <w:tcW w:w="865" w:type="pct"/>
          </w:tcPr>
          <w:p w14:paraId="0D598F33" w14:textId="6275C799" w:rsidR="00B91495" w:rsidRPr="00C86E49" w:rsidRDefault="00EA1D8C">
            <w:pPr>
              <w:pStyle w:val="TableText"/>
            </w:pPr>
            <w:r w:rsidRPr="00C86E49">
              <w:t>1.33 [0.65, 2.75]</w:t>
            </w:r>
            <w:r w:rsidR="00A15540" w:rsidRPr="00C86E49">
              <w:br/>
            </w:r>
            <w:r w:rsidRPr="00C86E49">
              <w:t>p=0.44</w:t>
            </w:r>
          </w:p>
        </w:tc>
        <w:tc>
          <w:tcPr>
            <w:tcW w:w="912" w:type="pct"/>
          </w:tcPr>
          <w:p w14:paraId="3FD74862" w14:textId="1010590E" w:rsidR="00B91495" w:rsidRPr="00C86E49" w:rsidRDefault="00CC5615">
            <w:pPr>
              <w:pStyle w:val="TableText"/>
            </w:pPr>
            <w:r w:rsidRPr="00C86E49">
              <w:t>0.10 [</w:t>
            </w:r>
            <w:r w:rsidR="002459E7" w:rsidRPr="00C86E49">
              <w:t>−</w:t>
            </w:r>
            <w:r w:rsidRPr="00C86E49">
              <w:t>0.15, 0.34]</w:t>
            </w:r>
            <w:r w:rsidR="00A15540" w:rsidRPr="00C86E49">
              <w:br/>
            </w:r>
            <w:r w:rsidRPr="00C86E49">
              <w:t>p=0.45</w:t>
            </w:r>
          </w:p>
        </w:tc>
      </w:tr>
      <w:tr w:rsidR="00732E93" w:rsidRPr="00C86E49" w14:paraId="23EB9F9A" w14:textId="77777777" w:rsidTr="009D2B4E">
        <w:trPr>
          <w:tblHeader/>
        </w:trPr>
        <w:tc>
          <w:tcPr>
            <w:tcW w:w="585" w:type="pct"/>
            <w:tcBorders>
              <w:bottom w:val="single" w:sz="4" w:space="0" w:color="auto"/>
            </w:tcBorders>
          </w:tcPr>
          <w:p w14:paraId="6B96CA78" w14:textId="70A3BE57" w:rsidR="00B91495" w:rsidRPr="00C86E49" w:rsidRDefault="00D25FD6" w:rsidP="00E52BAB">
            <w:pPr>
              <w:pStyle w:val="TableText"/>
            </w:pPr>
            <w:r w:rsidRPr="00C86E49">
              <w:t>Schrage 2020b</w:t>
            </w:r>
            <w:r w:rsidR="00454AB3" w:rsidRPr="00C86E49">
              <w:rPr>
                <w:vertAlign w:val="superscript"/>
              </w:rPr>
              <w:t>a</w:t>
            </w:r>
          </w:p>
        </w:tc>
        <w:tc>
          <w:tcPr>
            <w:tcW w:w="669" w:type="pct"/>
            <w:gridSpan w:val="2"/>
            <w:tcBorders>
              <w:bottom w:val="single" w:sz="4" w:space="0" w:color="auto"/>
            </w:tcBorders>
          </w:tcPr>
          <w:p w14:paraId="0FFEBAD4" w14:textId="3B5C82C1" w:rsidR="00B91495" w:rsidRPr="00C86E49" w:rsidRDefault="00C17866">
            <w:pPr>
              <w:pStyle w:val="TableText"/>
            </w:pPr>
            <w:r w:rsidRPr="00C86E49">
              <w:t>Any CS</w:t>
            </w:r>
          </w:p>
        </w:tc>
        <w:tc>
          <w:tcPr>
            <w:tcW w:w="545" w:type="pct"/>
            <w:tcBorders>
              <w:bottom w:val="single" w:sz="4" w:space="0" w:color="auto"/>
            </w:tcBorders>
          </w:tcPr>
          <w:p w14:paraId="3A5201BA" w14:textId="44BFD797" w:rsidR="00B91495" w:rsidRPr="00C86E49" w:rsidRDefault="00272BE6">
            <w:pPr>
              <w:pStyle w:val="TableText"/>
            </w:pPr>
            <w:r w:rsidRPr="00C86E49">
              <w:t>123/241</w:t>
            </w:r>
            <w:r w:rsidR="00732E93" w:rsidRPr="00C86E49">
              <w:br/>
            </w:r>
            <w:r w:rsidRPr="00C86E49">
              <w:t>(51.0%)</w:t>
            </w:r>
          </w:p>
        </w:tc>
        <w:tc>
          <w:tcPr>
            <w:tcW w:w="560" w:type="pct"/>
            <w:tcBorders>
              <w:bottom w:val="single" w:sz="4" w:space="0" w:color="auto"/>
            </w:tcBorders>
          </w:tcPr>
          <w:p w14:paraId="77190493" w14:textId="340BE3C2" w:rsidR="00B91495" w:rsidRPr="00C86E49" w:rsidRDefault="00C679FB">
            <w:pPr>
              <w:pStyle w:val="TableText"/>
            </w:pPr>
            <w:r w:rsidRPr="00C86E49">
              <w:t>74/192</w:t>
            </w:r>
            <w:r w:rsidR="00732E93" w:rsidRPr="00C86E49">
              <w:br/>
            </w:r>
            <w:r w:rsidRPr="00C86E49">
              <w:t>(38.5%)</w:t>
            </w:r>
          </w:p>
        </w:tc>
        <w:tc>
          <w:tcPr>
            <w:tcW w:w="863" w:type="pct"/>
            <w:tcBorders>
              <w:bottom w:val="single" w:sz="4" w:space="0" w:color="auto"/>
            </w:tcBorders>
          </w:tcPr>
          <w:p w14:paraId="15D16A99" w14:textId="0E990423" w:rsidR="00B91495" w:rsidRPr="00C86E49" w:rsidRDefault="00D62534">
            <w:pPr>
              <w:pStyle w:val="TableText"/>
              <w:rPr>
                <w:b/>
                <w:bCs/>
              </w:rPr>
            </w:pPr>
            <w:r w:rsidRPr="00C86E49">
              <w:rPr>
                <w:b/>
                <w:bCs/>
              </w:rPr>
              <w:t>1.66 [1.13, 2.44]</w:t>
            </w:r>
            <w:r w:rsidR="00732E93" w:rsidRPr="00C86E49">
              <w:rPr>
                <w:b/>
                <w:bCs/>
              </w:rPr>
              <w:br/>
            </w:r>
            <w:r w:rsidRPr="00C86E49">
              <w:rPr>
                <w:b/>
                <w:bCs/>
              </w:rPr>
              <w:t>p=0.01</w:t>
            </w:r>
          </w:p>
        </w:tc>
        <w:tc>
          <w:tcPr>
            <w:tcW w:w="865" w:type="pct"/>
            <w:tcBorders>
              <w:bottom w:val="single" w:sz="4" w:space="0" w:color="auto"/>
            </w:tcBorders>
            <w:vAlign w:val="bottom"/>
          </w:tcPr>
          <w:p w14:paraId="1DF33857" w14:textId="3747906C" w:rsidR="00B91495" w:rsidRPr="00375AEF" w:rsidRDefault="00EA1D8C" w:rsidP="0072634F">
            <w:pPr>
              <w:pStyle w:val="TableText"/>
              <w:jc w:val="center"/>
              <w:rPr>
                <w:b/>
                <w:bCs/>
              </w:rPr>
            </w:pPr>
            <w:r w:rsidRPr="00C86E49">
              <w:rPr>
                <w:b/>
                <w:bCs/>
              </w:rPr>
              <w:t>1</w:t>
            </w:r>
            <w:r w:rsidR="00B52905" w:rsidRPr="00C86E49">
              <w:rPr>
                <w:b/>
                <w:bCs/>
              </w:rPr>
              <w:t>.32 [1.07, 1</w:t>
            </w:r>
            <w:r w:rsidRPr="00C86E49">
              <w:rPr>
                <w:b/>
                <w:bCs/>
              </w:rPr>
              <w:t>.65]</w:t>
            </w:r>
            <w:r w:rsidR="00A15540" w:rsidRPr="00375AEF">
              <w:rPr>
                <w:b/>
                <w:bCs/>
              </w:rPr>
              <w:br/>
            </w:r>
            <w:r w:rsidRPr="00C86E49">
              <w:rPr>
                <w:b/>
                <w:bCs/>
              </w:rPr>
              <w:t>p=0.01</w:t>
            </w:r>
          </w:p>
        </w:tc>
        <w:tc>
          <w:tcPr>
            <w:tcW w:w="912" w:type="pct"/>
            <w:tcBorders>
              <w:bottom w:val="single" w:sz="4" w:space="0" w:color="auto"/>
            </w:tcBorders>
          </w:tcPr>
          <w:p w14:paraId="16C52365" w14:textId="0E0C0A55" w:rsidR="00B91495" w:rsidRPr="00375AEF" w:rsidRDefault="00CC5615">
            <w:pPr>
              <w:pStyle w:val="TableText"/>
              <w:rPr>
                <w:b/>
                <w:bCs/>
              </w:rPr>
            </w:pPr>
            <w:r w:rsidRPr="00C86E49">
              <w:rPr>
                <w:b/>
                <w:bCs/>
              </w:rPr>
              <w:t>0.</w:t>
            </w:r>
            <w:r w:rsidR="00AE4C40" w:rsidRPr="00C86E49">
              <w:rPr>
                <w:b/>
                <w:bCs/>
              </w:rPr>
              <w:t>12 [0.03, 0.22</w:t>
            </w:r>
            <w:r w:rsidRPr="00C86E49">
              <w:rPr>
                <w:b/>
                <w:bCs/>
              </w:rPr>
              <w:t>]</w:t>
            </w:r>
            <w:r w:rsidR="00A15540" w:rsidRPr="00375AEF">
              <w:rPr>
                <w:b/>
                <w:bCs/>
              </w:rPr>
              <w:br/>
            </w:r>
            <w:r w:rsidRPr="00C86E49">
              <w:rPr>
                <w:b/>
                <w:bCs/>
              </w:rPr>
              <w:t>p=0.009</w:t>
            </w:r>
          </w:p>
        </w:tc>
      </w:tr>
      <w:tr w:rsidR="00732E93" w:rsidRPr="00C86E49" w14:paraId="3C33DACE" w14:textId="77777777" w:rsidTr="009D2B4E">
        <w:trPr>
          <w:tblHeader/>
        </w:trPr>
        <w:tc>
          <w:tcPr>
            <w:tcW w:w="784" w:type="pct"/>
            <w:gridSpan w:val="2"/>
            <w:tcBorders>
              <w:bottom w:val="dotted" w:sz="4" w:space="0" w:color="auto"/>
              <w:right w:val="nil"/>
            </w:tcBorders>
          </w:tcPr>
          <w:p w14:paraId="45AC5DEA" w14:textId="23540B6B" w:rsidR="00B91495" w:rsidRPr="00C86E49" w:rsidRDefault="00CC186B">
            <w:pPr>
              <w:pStyle w:val="TableText"/>
            </w:pPr>
            <w:r w:rsidRPr="00C86E49">
              <w:t>Meta-analys</w:t>
            </w:r>
            <w:r w:rsidR="00AB0B4F" w:rsidRPr="00C86E49">
              <w:t>i</w:t>
            </w:r>
            <w:r w:rsidRPr="00C86E49">
              <w:t>s</w:t>
            </w:r>
          </w:p>
        </w:tc>
        <w:tc>
          <w:tcPr>
            <w:tcW w:w="471" w:type="pct"/>
            <w:tcBorders>
              <w:left w:val="nil"/>
              <w:bottom w:val="dotted" w:sz="4" w:space="0" w:color="auto"/>
            </w:tcBorders>
          </w:tcPr>
          <w:p w14:paraId="721868F0" w14:textId="77777777" w:rsidR="00B91495" w:rsidRPr="00C86E49" w:rsidRDefault="00B91495">
            <w:pPr>
              <w:pStyle w:val="TableText"/>
            </w:pPr>
          </w:p>
        </w:tc>
        <w:tc>
          <w:tcPr>
            <w:tcW w:w="545" w:type="pct"/>
            <w:tcBorders>
              <w:bottom w:val="dotted" w:sz="4" w:space="0" w:color="auto"/>
            </w:tcBorders>
          </w:tcPr>
          <w:p w14:paraId="2D7EBBDF" w14:textId="181DBCEC" w:rsidR="00B91495" w:rsidRPr="00C86E49" w:rsidRDefault="00272BE6">
            <w:pPr>
              <w:pStyle w:val="TableText"/>
            </w:pPr>
            <w:r w:rsidRPr="00C86E49">
              <w:t>131/262</w:t>
            </w:r>
            <w:r w:rsidR="00732E93" w:rsidRPr="00C86E49">
              <w:br/>
            </w:r>
            <w:r w:rsidRPr="00C86E49">
              <w:t>(50.0%)</w:t>
            </w:r>
          </w:p>
        </w:tc>
        <w:tc>
          <w:tcPr>
            <w:tcW w:w="560" w:type="pct"/>
            <w:tcBorders>
              <w:bottom w:val="dotted" w:sz="4" w:space="0" w:color="auto"/>
            </w:tcBorders>
          </w:tcPr>
          <w:p w14:paraId="71FA229D" w14:textId="345EBF8E" w:rsidR="00B91495" w:rsidRPr="00C86E49" w:rsidRDefault="00C679FB">
            <w:pPr>
              <w:pStyle w:val="TableText"/>
            </w:pPr>
            <w:r w:rsidRPr="00C86E49">
              <w:t>86/234</w:t>
            </w:r>
            <w:r w:rsidR="00732E93" w:rsidRPr="00C86E49">
              <w:br/>
            </w:r>
            <w:r w:rsidRPr="00C86E49">
              <w:t>(36.8%)</w:t>
            </w:r>
          </w:p>
        </w:tc>
        <w:tc>
          <w:tcPr>
            <w:tcW w:w="863" w:type="pct"/>
            <w:tcBorders>
              <w:bottom w:val="dotted" w:sz="4" w:space="0" w:color="auto"/>
            </w:tcBorders>
          </w:tcPr>
          <w:p w14:paraId="240EE19D" w14:textId="069FC054" w:rsidR="00B91495" w:rsidRPr="00C86E49" w:rsidRDefault="00D62534">
            <w:pPr>
              <w:pStyle w:val="TableText"/>
              <w:rPr>
                <w:b/>
              </w:rPr>
            </w:pPr>
            <w:r w:rsidRPr="00C86E49">
              <w:rPr>
                <w:b/>
              </w:rPr>
              <w:t>1.65 [1.15, 2.37]</w:t>
            </w:r>
            <w:r w:rsidR="00732E93" w:rsidRPr="00C86E49">
              <w:rPr>
                <w:b/>
              </w:rPr>
              <w:br/>
            </w:r>
            <w:r w:rsidRPr="00C86E49">
              <w:rPr>
                <w:b/>
              </w:rPr>
              <w:t>p=0.007</w:t>
            </w:r>
          </w:p>
        </w:tc>
        <w:tc>
          <w:tcPr>
            <w:tcW w:w="865" w:type="pct"/>
            <w:tcBorders>
              <w:bottom w:val="dotted" w:sz="4" w:space="0" w:color="auto"/>
            </w:tcBorders>
          </w:tcPr>
          <w:p w14:paraId="69F2122F" w14:textId="31646449" w:rsidR="00B91495" w:rsidRPr="00C86E49" w:rsidRDefault="00EA1D8C">
            <w:pPr>
              <w:pStyle w:val="TableText"/>
              <w:rPr>
                <w:b/>
              </w:rPr>
            </w:pPr>
            <w:r w:rsidRPr="00C86E49">
              <w:rPr>
                <w:b/>
              </w:rPr>
              <w:t>1.32 [1.08, 1.63]</w:t>
            </w:r>
            <w:r w:rsidR="00A15540" w:rsidRPr="00C86E49">
              <w:rPr>
                <w:b/>
              </w:rPr>
              <w:br/>
            </w:r>
            <w:r w:rsidRPr="00C86E49">
              <w:rPr>
                <w:b/>
              </w:rPr>
              <w:t>p=0.008</w:t>
            </w:r>
          </w:p>
        </w:tc>
        <w:tc>
          <w:tcPr>
            <w:tcW w:w="912" w:type="pct"/>
            <w:tcBorders>
              <w:bottom w:val="dotted" w:sz="4" w:space="0" w:color="auto"/>
            </w:tcBorders>
          </w:tcPr>
          <w:p w14:paraId="06B0803A" w14:textId="663B07E4" w:rsidR="00B91495" w:rsidRPr="00C86E49" w:rsidRDefault="00CC5615">
            <w:pPr>
              <w:pStyle w:val="TableText"/>
              <w:rPr>
                <w:b/>
              </w:rPr>
            </w:pPr>
            <w:r w:rsidRPr="00C86E49">
              <w:rPr>
                <w:b/>
              </w:rPr>
              <w:t>0.12 [0.03, 0.21]</w:t>
            </w:r>
            <w:r w:rsidR="00A15540" w:rsidRPr="00C86E49">
              <w:rPr>
                <w:b/>
              </w:rPr>
              <w:br/>
            </w:r>
            <w:r w:rsidRPr="00C86E49">
              <w:rPr>
                <w:b/>
              </w:rPr>
              <w:t>p=0.007</w:t>
            </w:r>
          </w:p>
        </w:tc>
      </w:tr>
      <w:tr w:rsidR="00732E93" w:rsidRPr="00C86E49" w14:paraId="148E4E3D" w14:textId="77777777" w:rsidTr="009D2B4E">
        <w:trPr>
          <w:tblHeader/>
        </w:trPr>
        <w:tc>
          <w:tcPr>
            <w:tcW w:w="784" w:type="pct"/>
            <w:gridSpan w:val="2"/>
            <w:tcBorders>
              <w:top w:val="dotted" w:sz="4" w:space="0" w:color="auto"/>
              <w:right w:val="nil"/>
            </w:tcBorders>
          </w:tcPr>
          <w:p w14:paraId="2C5DF158" w14:textId="01AA9D88" w:rsidR="00B91495" w:rsidRPr="00C86E49" w:rsidRDefault="00D51CAD">
            <w:pPr>
              <w:pStyle w:val="TableText"/>
            </w:pPr>
            <w:r w:rsidRPr="00C86E49">
              <w:t xml:space="preserve">Heterogeneity </w:t>
            </w:r>
          </w:p>
        </w:tc>
        <w:tc>
          <w:tcPr>
            <w:tcW w:w="471" w:type="pct"/>
            <w:tcBorders>
              <w:top w:val="dotted" w:sz="4" w:space="0" w:color="auto"/>
              <w:left w:val="nil"/>
              <w:right w:val="nil"/>
            </w:tcBorders>
          </w:tcPr>
          <w:p w14:paraId="506157F9" w14:textId="77777777" w:rsidR="00B91495" w:rsidRPr="00C86E49" w:rsidRDefault="00B91495">
            <w:pPr>
              <w:pStyle w:val="TableText"/>
            </w:pPr>
          </w:p>
        </w:tc>
        <w:tc>
          <w:tcPr>
            <w:tcW w:w="551" w:type="pct"/>
            <w:tcBorders>
              <w:top w:val="dotted" w:sz="4" w:space="0" w:color="auto"/>
              <w:left w:val="nil"/>
              <w:right w:val="nil"/>
            </w:tcBorders>
          </w:tcPr>
          <w:p w14:paraId="4178DB07" w14:textId="77777777" w:rsidR="00B91495" w:rsidRPr="00C86E49" w:rsidRDefault="00B91495">
            <w:pPr>
              <w:pStyle w:val="TableText"/>
            </w:pPr>
          </w:p>
        </w:tc>
        <w:tc>
          <w:tcPr>
            <w:tcW w:w="554" w:type="pct"/>
            <w:tcBorders>
              <w:top w:val="dotted" w:sz="4" w:space="0" w:color="auto"/>
              <w:left w:val="nil"/>
            </w:tcBorders>
          </w:tcPr>
          <w:p w14:paraId="547760C7" w14:textId="77777777" w:rsidR="00B91495" w:rsidRPr="00C86E49" w:rsidRDefault="00B91495">
            <w:pPr>
              <w:pStyle w:val="TableText"/>
            </w:pPr>
          </w:p>
        </w:tc>
        <w:tc>
          <w:tcPr>
            <w:tcW w:w="863" w:type="pct"/>
            <w:tcBorders>
              <w:top w:val="dotted" w:sz="4" w:space="0" w:color="auto"/>
            </w:tcBorders>
          </w:tcPr>
          <w:p w14:paraId="02C885D8" w14:textId="6A678AF7" w:rsidR="00B91495" w:rsidRPr="00C86E49" w:rsidRDefault="00D62534">
            <w:pPr>
              <w:pStyle w:val="TableText"/>
            </w:pPr>
            <w:r w:rsidRPr="00C86E49">
              <w:t>I</w:t>
            </w:r>
            <w:r w:rsidRPr="00C86E49">
              <w:rPr>
                <w:vertAlign w:val="superscript"/>
              </w:rPr>
              <w:t>2</w:t>
            </w:r>
            <w:r w:rsidRPr="00C86E49">
              <w:t>=0%; P=0.90</w:t>
            </w:r>
          </w:p>
        </w:tc>
        <w:tc>
          <w:tcPr>
            <w:tcW w:w="865" w:type="pct"/>
            <w:tcBorders>
              <w:top w:val="dotted" w:sz="4" w:space="0" w:color="auto"/>
            </w:tcBorders>
          </w:tcPr>
          <w:p w14:paraId="61C350E3" w14:textId="77CCB5E2" w:rsidR="00B91495" w:rsidRPr="00C86E49" w:rsidRDefault="00EA1D8C">
            <w:pPr>
              <w:pStyle w:val="TableText"/>
            </w:pPr>
            <w:r w:rsidRPr="00C86E49">
              <w:t>I</w:t>
            </w:r>
            <w:r w:rsidRPr="00C86E49">
              <w:rPr>
                <w:vertAlign w:val="superscript"/>
              </w:rPr>
              <w:t>2</w:t>
            </w:r>
            <w:r w:rsidRPr="00C86E49">
              <w:t>=0%; P=0.99</w:t>
            </w:r>
          </w:p>
        </w:tc>
        <w:tc>
          <w:tcPr>
            <w:tcW w:w="912" w:type="pct"/>
            <w:tcBorders>
              <w:top w:val="dotted" w:sz="4" w:space="0" w:color="auto"/>
            </w:tcBorders>
          </w:tcPr>
          <w:p w14:paraId="1D02EEC2" w14:textId="096A7C83" w:rsidR="00B91495" w:rsidRPr="00C86E49" w:rsidRDefault="00CC5615">
            <w:pPr>
              <w:pStyle w:val="TableText"/>
            </w:pPr>
            <w:r w:rsidRPr="00C86E49">
              <w:t>I</w:t>
            </w:r>
            <w:r w:rsidRPr="00C86E49">
              <w:rPr>
                <w:vertAlign w:val="superscript"/>
              </w:rPr>
              <w:t>2</w:t>
            </w:r>
            <w:r w:rsidRPr="00C86E49">
              <w:t>=0%; P=0.83</w:t>
            </w:r>
          </w:p>
        </w:tc>
      </w:tr>
    </w:tbl>
    <w:p w14:paraId="736C9801" w14:textId="7CBF35A4" w:rsidR="003500F1" w:rsidRPr="00C86E49" w:rsidRDefault="003500F1" w:rsidP="003500F1">
      <w:pPr>
        <w:pStyle w:val="TableFigureFooter"/>
      </w:pPr>
      <w:r w:rsidRPr="00C86E49">
        <w:t>CI</w:t>
      </w:r>
      <w:r w:rsidR="00EB2EFE" w:rsidRPr="00C86E49">
        <w:t xml:space="preserve"> =</w:t>
      </w:r>
      <w:r w:rsidRPr="00C86E49">
        <w:t xml:space="preserve"> confidence interval; CS</w:t>
      </w:r>
      <w:r w:rsidR="00EB2EFE" w:rsidRPr="00C86E49">
        <w:t xml:space="preserve"> =</w:t>
      </w:r>
      <w:r w:rsidRPr="00C86E49">
        <w:t xml:space="preserve"> cardiogenic shock; VA-ECMO</w:t>
      </w:r>
      <w:r w:rsidR="00EB2EFE" w:rsidRPr="00C86E49">
        <w:t xml:space="preserve"> =</w:t>
      </w:r>
      <w:r w:rsidRPr="00C86E49">
        <w:t xml:space="preserve"> veno-arterial extracorporeal membrane oxygenation; ECPELLA</w:t>
      </w:r>
      <w:r w:rsidR="00EB2EFE" w:rsidRPr="00C86E49">
        <w:t xml:space="preserve"> =</w:t>
      </w:r>
      <w:r w:rsidRPr="00C86E49">
        <w:t xml:space="preserve"> IMPELLA + VA-ECMO; OR</w:t>
      </w:r>
      <w:r w:rsidR="00EB2EFE" w:rsidRPr="00C86E49">
        <w:t xml:space="preserve"> =</w:t>
      </w:r>
      <w:r w:rsidRPr="00C86E49">
        <w:t xml:space="preserve"> odds ratio; RD</w:t>
      </w:r>
      <w:r w:rsidR="00EB2EFE" w:rsidRPr="00C86E49">
        <w:t xml:space="preserve"> =</w:t>
      </w:r>
      <w:r w:rsidRPr="00C86E49">
        <w:t xml:space="preserve"> risk difference; RR</w:t>
      </w:r>
      <w:r w:rsidR="00EB2EFE" w:rsidRPr="00C86E49">
        <w:t xml:space="preserve"> =</w:t>
      </w:r>
      <w:r w:rsidRPr="00C86E49">
        <w:t xml:space="preserve"> relative risk.</w:t>
      </w:r>
    </w:p>
    <w:p w14:paraId="4BA7C14C" w14:textId="68481034" w:rsidR="003500F1" w:rsidRPr="00C86E49" w:rsidRDefault="00E920E0" w:rsidP="003500F1">
      <w:pPr>
        <w:pStyle w:val="TableFigureFooter"/>
      </w:pPr>
      <w:r w:rsidRPr="00C86E49">
        <w:t xml:space="preserve">Note: Point estimates </w:t>
      </w:r>
      <w:r w:rsidR="000F3E0F" w:rsidRPr="00C86E49">
        <w:t xml:space="preserve">were </w:t>
      </w:r>
      <w:r w:rsidRPr="00C86E49">
        <w:t>calculated for the ADAR using RevMan 5.3, except where noted. Statistically significant results are in bold.</w:t>
      </w:r>
    </w:p>
    <w:p w14:paraId="40B277CE" w14:textId="2CC1EB4B" w:rsidR="00B91495" w:rsidRPr="00C86E49" w:rsidRDefault="0087476E" w:rsidP="003500F1">
      <w:pPr>
        <w:pStyle w:val="TableFigureFooter"/>
      </w:pPr>
      <w:r w:rsidRPr="00C86E49">
        <w:rPr>
          <w:vertAlign w:val="superscript"/>
        </w:rPr>
        <w:t>a</w:t>
      </w:r>
      <w:r w:rsidR="003500F1" w:rsidRPr="00C86E49">
        <w:rPr>
          <w:vertAlign w:val="superscript"/>
        </w:rPr>
        <w:t xml:space="preserve"> </w:t>
      </w:r>
      <w:r w:rsidR="007078C4" w:rsidRPr="00C86E49">
        <w:t>D</w:t>
      </w:r>
      <w:r w:rsidR="00454AB3" w:rsidRPr="00C86E49">
        <w:t>enominator</w:t>
      </w:r>
      <w:r w:rsidR="003500F1" w:rsidRPr="00C86E49">
        <w:t xml:space="preserve"> </w:t>
      </w:r>
      <w:r w:rsidR="007078C4" w:rsidRPr="00C86E49">
        <w:t>reported</w:t>
      </w:r>
      <w:r w:rsidR="003500F1" w:rsidRPr="00C86E49">
        <w:t xml:space="preserve"> was less than the ITT matched population (N=255 for both cohort</w:t>
      </w:r>
      <w:r w:rsidR="00954AB5" w:rsidRPr="00C86E49">
        <w:t>s</w:t>
      </w:r>
      <w:r w:rsidR="003500F1" w:rsidRPr="00C86E49">
        <w:t xml:space="preserve">), likely </w:t>
      </w:r>
      <w:r w:rsidR="001135C7" w:rsidRPr="00C86E49">
        <w:t xml:space="preserve">due to </w:t>
      </w:r>
      <w:r w:rsidR="003500F1" w:rsidRPr="00C86E49">
        <w:t>missing data</w:t>
      </w:r>
      <w:r w:rsidR="001135C7" w:rsidRPr="00C86E49">
        <w:t>.</w:t>
      </w:r>
    </w:p>
    <w:p w14:paraId="60696B2F" w14:textId="10116D23" w:rsidR="003500F1" w:rsidRPr="00C86E49" w:rsidRDefault="003500F1" w:rsidP="003500F1">
      <w:pPr>
        <w:pStyle w:val="TableFigureFooter"/>
      </w:pPr>
      <w:r w:rsidRPr="00C86E49">
        <w:t>Source: Table 47 of MSAC 1523.1 ADAR+in-line commentary</w:t>
      </w:r>
      <w:r w:rsidR="00E27017" w:rsidRPr="00C86E49">
        <w:t>, including commentary corrections</w:t>
      </w:r>
    </w:p>
    <w:p w14:paraId="57903BE8" w14:textId="1A4D0155" w:rsidR="007E23F3" w:rsidRPr="00C86E49" w:rsidRDefault="007E23F3" w:rsidP="007E23F3">
      <w:pPr>
        <w:pStyle w:val="Caption"/>
      </w:pPr>
      <w:r w:rsidRPr="00C86E49">
        <w:t xml:space="preserve">Figure </w:t>
      </w:r>
      <w:r w:rsidR="007552E5">
        <w:fldChar w:fldCharType="begin"/>
      </w:r>
      <w:r w:rsidR="007552E5">
        <w:instrText xml:space="preserve"> SEQ Figure \* ARABIC </w:instrText>
      </w:r>
      <w:r w:rsidR="007552E5">
        <w:fldChar w:fldCharType="separate"/>
      </w:r>
      <w:r w:rsidR="00EF3514" w:rsidRPr="00C86E49">
        <w:rPr>
          <w:noProof/>
        </w:rPr>
        <w:t>2</w:t>
      </w:r>
      <w:r w:rsidR="007552E5">
        <w:rPr>
          <w:noProof/>
        </w:rPr>
        <w:fldChar w:fldCharType="end"/>
      </w:r>
      <w:r w:rsidRPr="00C86E49">
        <w:tab/>
        <w:t>Forest plot of bleeding</w:t>
      </w:r>
      <w:r w:rsidR="005A602D" w:rsidRPr="00C86E49">
        <w:t xml:space="preserve"> event</w:t>
      </w:r>
      <w:r w:rsidRPr="00C86E49">
        <w:t xml:space="preserve">s requiring transfusion in the matched/adjusted ECPELLA versus VA-ECMO </w:t>
      </w:r>
      <w:proofErr w:type="gramStart"/>
      <w:r w:rsidRPr="00C86E49">
        <w:t>studies</w:t>
      </w:r>
      <w:proofErr w:type="gramEnd"/>
    </w:p>
    <w:p w14:paraId="535726E5" w14:textId="010D4809" w:rsidR="007E23F3" w:rsidRPr="00C86E49" w:rsidRDefault="00E6590A" w:rsidP="007E23F3">
      <w:pPr>
        <w:pBdr>
          <w:top w:val="single" w:sz="4" w:space="1" w:color="auto"/>
          <w:left w:val="single" w:sz="4" w:space="4" w:color="auto"/>
          <w:bottom w:val="single" w:sz="4" w:space="1" w:color="auto"/>
          <w:right w:val="single" w:sz="4" w:space="4" w:color="auto"/>
        </w:pBdr>
        <w:spacing w:after="0"/>
      </w:pPr>
      <w:r w:rsidRPr="00C86E49">
        <w:rPr>
          <w:noProof/>
          <w:color w:val="2B579A"/>
          <w:shd w:val="clear" w:color="auto" w:fill="E6E6E6"/>
        </w:rPr>
        <w:drawing>
          <wp:inline distT="0" distB="0" distL="0" distR="0" wp14:anchorId="759132DE" wp14:editId="67D5CA85">
            <wp:extent cx="5731510" cy="1170940"/>
            <wp:effectExtent l="0" t="0" r="2540" b="0"/>
            <wp:docPr id="501451016" name="Picture 501451016" descr="This is a forest plot of the bleeding events requiring transfusion odds ratio results in the matched/adjusted ECPELLA versus VA-ECMO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51016" name="Picture 501451016" descr="This is a forest plot of the bleeding events requiring transfusion odds ratio results in the matched/adjusted ECPELLA versus VA-ECMO studies."/>
                    <pic:cNvPicPr/>
                  </pic:nvPicPr>
                  <pic:blipFill>
                    <a:blip r:embed="rId16"/>
                    <a:stretch>
                      <a:fillRect/>
                    </a:stretch>
                  </pic:blipFill>
                  <pic:spPr>
                    <a:xfrm>
                      <a:off x="0" y="0"/>
                      <a:ext cx="5731510" cy="1170940"/>
                    </a:xfrm>
                    <a:prstGeom prst="rect">
                      <a:avLst/>
                    </a:prstGeom>
                  </pic:spPr>
                </pic:pic>
              </a:graphicData>
            </a:graphic>
          </wp:inline>
        </w:drawing>
      </w:r>
    </w:p>
    <w:p w14:paraId="517C0372" w14:textId="4EEC744F" w:rsidR="007E23F3" w:rsidRPr="00C86E49" w:rsidRDefault="007E23F3" w:rsidP="007E23F3">
      <w:pPr>
        <w:pStyle w:val="TableFigureFooter"/>
      </w:pPr>
      <w:r w:rsidRPr="00C86E49">
        <w:t xml:space="preserve">CI = confidence interval; </w:t>
      </w:r>
      <w:r w:rsidR="009C71D0" w:rsidRPr="00C86E49">
        <w:t>M-H = </w:t>
      </w:r>
      <w:r w:rsidR="00222937" w:rsidRPr="00C86E49">
        <w:t>Mantel-Haen</w:t>
      </w:r>
      <w:r w:rsidR="000A3119" w:rsidRPr="00C86E49">
        <w:t xml:space="preserve">szel; </w:t>
      </w:r>
      <w:r w:rsidRPr="00C86E49">
        <w:t>VA-ECMO = veno-arterial extracorporeal membrane oxygenation.</w:t>
      </w:r>
    </w:p>
    <w:p w14:paraId="7600E98E" w14:textId="75EAC64A" w:rsidR="00A70920" w:rsidRPr="00C86E49" w:rsidRDefault="007E23F3" w:rsidP="007E23F3">
      <w:pPr>
        <w:pStyle w:val="TableFigureFooter"/>
      </w:pPr>
      <w:r w:rsidRPr="00C86E49">
        <w:t>Source: Figure 2</w:t>
      </w:r>
      <w:r w:rsidR="00897379" w:rsidRPr="00C86E49">
        <w:t>9</w:t>
      </w:r>
      <w:r w:rsidRPr="00C86E49">
        <w:t xml:space="preserve"> of MSAC 1523.1 ADAR+in-line commentary</w:t>
      </w:r>
    </w:p>
    <w:p w14:paraId="1A37B2DB" w14:textId="44398C19" w:rsidR="00A84333" w:rsidRPr="00C86E49" w:rsidRDefault="00F44A0A" w:rsidP="00A84333">
      <w:pPr>
        <w:pStyle w:val="Heading3"/>
      </w:pPr>
      <w:r w:rsidRPr="00C86E49">
        <w:t>Stroke</w:t>
      </w:r>
    </w:p>
    <w:p w14:paraId="70FC6475" w14:textId="3929A5BF" w:rsidR="008502FB" w:rsidRPr="00C86E49" w:rsidRDefault="008502FB" w:rsidP="008502FB">
      <w:pPr>
        <w:pStyle w:val="Heading4"/>
      </w:pPr>
      <w:r w:rsidRPr="00C86E49">
        <w:t>IMPELLA versus VA-ECMO</w:t>
      </w:r>
    </w:p>
    <w:p w14:paraId="76B133FA" w14:textId="703EFE94" w:rsidR="00993F86" w:rsidRPr="00C86E49" w:rsidRDefault="00993F86" w:rsidP="00C66F30">
      <w:r w:rsidRPr="00C86E49">
        <w:t xml:space="preserve">Two </w:t>
      </w:r>
      <w:r w:rsidR="002A4D84" w:rsidRPr="00C86E49">
        <w:t>matched</w:t>
      </w:r>
      <w:r w:rsidR="0048022D" w:rsidRPr="00C86E49">
        <w:t xml:space="preserve"> </w:t>
      </w:r>
      <w:r w:rsidRPr="00C86E49">
        <w:t xml:space="preserve">studies reported </w:t>
      </w:r>
      <w:r w:rsidR="002B24FD" w:rsidRPr="00C86E49">
        <w:t xml:space="preserve">any </w:t>
      </w:r>
      <w:r w:rsidRPr="00C86E49">
        <w:t xml:space="preserve">stroke (type not specified). </w:t>
      </w:r>
      <w:r w:rsidR="0024164C" w:rsidRPr="00C86E49">
        <w:t xml:space="preserve">In Karatolios (2021), </w:t>
      </w:r>
      <w:r w:rsidR="003459D6" w:rsidRPr="00C86E49">
        <w:t>two patients in each cohort experienc</w:t>
      </w:r>
      <w:r w:rsidR="0024164C" w:rsidRPr="00C86E49">
        <w:t>ed</w:t>
      </w:r>
      <w:r w:rsidR="003459D6" w:rsidRPr="00C86E49">
        <w:t xml:space="preserve"> a stroke.</w:t>
      </w:r>
      <w:r w:rsidR="005D45FA" w:rsidRPr="00C86E49">
        <w:t xml:space="preserve"> </w:t>
      </w:r>
      <w:r w:rsidR="00650724" w:rsidRPr="00C86E49">
        <w:t>N</w:t>
      </w:r>
      <w:r w:rsidR="00676077" w:rsidRPr="00C86E49">
        <w:t xml:space="preserve">o patients in either cohort </w:t>
      </w:r>
      <w:r w:rsidR="00650724" w:rsidRPr="00C86E49">
        <w:t xml:space="preserve">of Syntila (2021) </w:t>
      </w:r>
      <w:r w:rsidR="00676077" w:rsidRPr="00C86E49">
        <w:t>experienced a stroke.</w:t>
      </w:r>
    </w:p>
    <w:p w14:paraId="315B2B66" w14:textId="219ED34C" w:rsidR="003F31B5" w:rsidRPr="00C86E49" w:rsidRDefault="003F31B5" w:rsidP="00C66F30">
      <w:r w:rsidRPr="00C86E49">
        <w:t xml:space="preserve">Lemor (2020) reported a numerically higher proportion of patients experiencing acute ischaemic stroke in the VA-ECMO arm (5.6%) compared to the IMPELLA arm (1.1%) in the PSM population. </w:t>
      </w:r>
      <w:r w:rsidR="00135180" w:rsidRPr="00C86E49">
        <w:t xml:space="preserve">However, </w:t>
      </w:r>
      <w:r w:rsidR="001909F5" w:rsidRPr="00C86E49">
        <w:t xml:space="preserve">the </w:t>
      </w:r>
      <w:r w:rsidRPr="00C86E49">
        <w:t xml:space="preserve">OR </w:t>
      </w:r>
      <w:r w:rsidR="001909F5" w:rsidRPr="00C86E49">
        <w:t>reported in the</w:t>
      </w:r>
      <w:r w:rsidRPr="00C86E49">
        <w:t xml:space="preserve"> publication</w:t>
      </w:r>
      <w:r w:rsidR="001909F5" w:rsidRPr="00C86E49">
        <w:t xml:space="preserve"> </w:t>
      </w:r>
      <w:r w:rsidRPr="00C86E49">
        <w:t xml:space="preserve">for the PSM population </w:t>
      </w:r>
      <w:r w:rsidR="001909F5" w:rsidRPr="00C86E49">
        <w:t>was not statistically significant</w:t>
      </w:r>
      <w:r w:rsidRPr="00C86E49">
        <w:t xml:space="preserve"> (p=0.134)</w:t>
      </w:r>
      <w:r w:rsidR="001909F5" w:rsidRPr="00C86E49">
        <w:t>.</w:t>
      </w:r>
    </w:p>
    <w:p w14:paraId="25066229" w14:textId="103297CC" w:rsidR="008502FB" w:rsidRPr="00C86E49" w:rsidRDefault="008502FB" w:rsidP="008502FB">
      <w:pPr>
        <w:pStyle w:val="Heading4"/>
      </w:pPr>
      <w:r w:rsidRPr="00C86E49">
        <w:t xml:space="preserve">ECPELLA versus VA-ECMO </w:t>
      </w:r>
      <w:r w:rsidR="00D531B8" w:rsidRPr="00C86E49">
        <w:t>with or without surgical venting</w:t>
      </w:r>
    </w:p>
    <w:p w14:paraId="25A03C8B" w14:textId="66A62129" w:rsidR="004A0DF1" w:rsidRPr="00C86E49" w:rsidRDefault="005D566D" w:rsidP="004A0DF1">
      <w:r w:rsidRPr="00C86E49">
        <w:t xml:space="preserve">Two </w:t>
      </w:r>
      <w:r w:rsidR="00050ADE" w:rsidRPr="00C86E49">
        <w:t xml:space="preserve">matched/adjusted </w:t>
      </w:r>
      <w:r w:rsidRPr="00C86E49">
        <w:t xml:space="preserve">studies reported rates of ischaemic stroke. </w:t>
      </w:r>
      <w:r w:rsidR="000F59A1" w:rsidRPr="00C86E49">
        <w:t xml:space="preserve">Schrage (2020b) reported </w:t>
      </w:r>
      <w:r w:rsidR="00996E48" w:rsidRPr="00C86E49">
        <w:t>ischaemic stroke in 7.0% of</w:t>
      </w:r>
      <w:r w:rsidR="000F59A1" w:rsidRPr="00C86E49">
        <w:t xml:space="preserve"> ECPELLA patients </w:t>
      </w:r>
      <w:r w:rsidR="00996E48" w:rsidRPr="00C86E49">
        <w:t>and 9.1% of</w:t>
      </w:r>
      <w:r w:rsidR="000F59A1" w:rsidRPr="00C86E49">
        <w:t xml:space="preserve"> VA-ECMO patients</w:t>
      </w:r>
      <w:r w:rsidR="00176242" w:rsidRPr="00C86E49">
        <w:t xml:space="preserve">. </w:t>
      </w:r>
      <w:r w:rsidR="000F59A1" w:rsidRPr="00C86E49">
        <w:t xml:space="preserve">Radakovic (2022) reported a RR </w:t>
      </w:r>
      <w:r w:rsidR="00662E36" w:rsidRPr="00C86E49">
        <w:t>that indicated</w:t>
      </w:r>
      <w:r w:rsidR="000F59A1" w:rsidRPr="00C86E49">
        <w:t xml:space="preserve"> no difference between the two cohorts. </w:t>
      </w:r>
      <w:r w:rsidR="00AF086F" w:rsidRPr="00C86E49">
        <w:t>M</w:t>
      </w:r>
      <w:r w:rsidR="000F59A1" w:rsidRPr="00C86E49">
        <w:t>eta-</w:t>
      </w:r>
      <w:r w:rsidR="007F25E5" w:rsidRPr="00C86E49">
        <w:t>analysis</w:t>
      </w:r>
      <w:r w:rsidR="00176242" w:rsidRPr="00C86E49">
        <w:t xml:space="preserve"> showed no </w:t>
      </w:r>
      <w:r w:rsidR="00892D3F" w:rsidRPr="00C86E49">
        <w:t xml:space="preserve">statistically significant difference between cohorts </w:t>
      </w:r>
      <w:r w:rsidR="000F59A1" w:rsidRPr="00C86E49">
        <w:t>(RR</w:t>
      </w:r>
      <w:r w:rsidR="007F25E5" w:rsidRPr="00C86E49">
        <w:t xml:space="preserve"> </w:t>
      </w:r>
      <w:r w:rsidR="000F59A1" w:rsidRPr="00C86E49">
        <w:t>0.84</w:t>
      </w:r>
      <w:r w:rsidR="007F25E5" w:rsidRPr="00C86E49">
        <w:t xml:space="preserve">, </w:t>
      </w:r>
      <w:r w:rsidR="000F59A1" w:rsidRPr="00C86E49">
        <w:t>95% CI 0.50, 1.41</w:t>
      </w:r>
      <w:r w:rsidR="00795D43" w:rsidRPr="00C86E49">
        <w:t>; p</w:t>
      </w:r>
      <w:r w:rsidR="00F47507" w:rsidRPr="00C86E49">
        <w:t>=0.50</w:t>
      </w:r>
      <w:r w:rsidR="000F59A1" w:rsidRPr="00C86E49">
        <w:t>).</w:t>
      </w:r>
    </w:p>
    <w:p w14:paraId="3AA17C10" w14:textId="1738BCE0" w:rsidR="00C228AD" w:rsidRPr="00C86E49" w:rsidRDefault="00C228AD" w:rsidP="004A0DF1">
      <w:r w:rsidRPr="00C86E49">
        <w:t xml:space="preserve">Schrage (2020b) reported </w:t>
      </w:r>
      <w:r w:rsidR="004911F9" w:rsidRPr="00C86E49">
        <w:t xml:space="preserve">haemorrhagic stroke in </w:t>
      </w:r>
      <w:r w:rsidR="0046401D" w:rsidRPr="00C86E49">
        <w:t>3.2% of ECPELLA patients and 5.5% of VA-ECMO patients</w:t>
      </w:r>
      <w:r w:rsidR="00EB709D" w:rsidRPr="00C86E49">
        <w:t xml:space="preserve"> (p=0.27).</w:t>
      </w:r>
    </w:p>
    <w:p w14:paraId="42283171" w14:textId="0E24153A" w:rsidR="004E33A5" w:rsidRPr="00C86E49" w:rsidRDefault="004E33A5" w:rsidP="00E615B3">
      <w:pPr>
        <w:pStyle w:val="Heading3"/>
      </w:pPr>
      <w:r w:rsidRPr="00C86E49">
        <w:t>Limb ischaemia</w:t>
      </w:r>
    </w:p>
    <w:p w14:paraId="1967FE27" w14:textId="7A741860" w:rsidR="00451363" w:rsidRPr="00C86E49" w:rsidRDefault="00451363" w:rsidP="00451363">
      <w:pPr>
        <w:pStyle w:val="Heading4"/>
      </w:pPr>
      <w:r w:rsidRPr="00C86E49">
        <w:t>IMPELLA versus VA-ECMO</w:t>
      </w:r>
    </w:p>
    <w:p w14:paraId="2FBDA4CC" w14:textId="3FD027C1" w:rsidR="00451363" w:rsidRPr="00C86E49" w:rsidRDefault="008A57AB" w:rsidP="00451363">
      <w:r w:rsidRPr="00C86E49">
        <w:t xml:space="preserve">Two </w:t>
      </w:r>
      <w:r w:rsidR="002A4D84" w:rsidRPr="00C86E49">
        <w:t xml:space="preserve">matched </w:t>
      </w:r>
      <w:r w:rsidRPr="00C86E49">
        <w:t>studies reported rates of limb ischaemia</w:t>
      </w:r>
      <w:r w:rsidR="00AC2629" w:rsidRPr="00C86E49">
        <w:t xml:space="preserve"> requiring intervention</w:t>
      </w:r>
      <w:r w:rsidRPr="00C86E49">
        <w:t xml:space="preserve">. </w:t>
      </w:r>
      <w:r w:rsidR="00E7743A" w:rsidRPr="00C86E49">
        <w:t xml:space="preserve">In </w:t>
      </w:r>
      <w:r w:rsidR="00A23F7C" w:rsidRPr="00C86E49">
        <w:t>Karatolios (2021)</w:t>
      </w:r>
      <w:r w:rsidR="00E7743A" w:rsidRPr="00C86E49">
        <w:t xml:space="preserve">, 8.4% of the IMPELLA cohort and 14.5% of the VA-ECMO cohort </w:t>
      </w:r>
      <w:r w:rsidR="00175D45" w:rsidRPr="00C86E49">
        <w:t xml:space="preserve">reported limb ischaemia (p=0.23). </w:t>
      </w:r>
      <w:r w:rsidR="00CC21E5" w:rsidRPr="00C86E49">
        <w:t xml:space="preserve">Syntila (2021) </w:t>
      </w:r>
      <w:r w:rsidR="001C4151" w:rsidRPr="00C86E49">
        <w:t xml:space="preserve">reported </w:t>
      </w:r>
      <w:r w:rsidR="00FF7E34" w:rsidRPr="00C86E49">
        <w:t>a significant</w:t>
      </w:r>
      <w:r w:rsidR="00692A9A" w:rsidRPr="00C86E49">
        <w:t>l</w:t>
      </w:r>
      <w:r w:rsidR="00FF7E34" w:rsidRPr="00C86E49">
        <w:t>y lower rate of limb ischaemia in the IMPELLA cohort compared with VA-ECMO (2.5% versus 20.0%; p=0.04)</w:t>
      </w:r>
      <w:r w:rsidR="00692A9A" w:rsidRPr="00C86E49">
        <w:t xml:space="preserve">. </w:t>
      </w:r>
      <w:r w:rsidR="001A3B9D" w:rsidRPr="00C86E49">
        <w:t>Meta-analysis showed no statistically significant difference between the two cohorts (</w:t>
      </w:r>
      <w:r w:rsidR="004E72C3" w:rsidRPr="00C86E49">
        <w:t>OR 0.31, 95% CI 0.06, 1.49</w:t>
      </w:r>
      <w:r w:rsidR="008E2AC4" w:rsidRPr="00C86E49">
        <w:t>; p=0.14</w:t>
      </w:r>
      <w:r w:rsidR="004E72C3" w:rsidRPr="00C86E49">
        <w:t>)</w:t>
      </w:r>
      <w:r w:rsidR="00515316" w:rsidRPr="00C86E49">
        <w:t xml:space="preserve"> and moderate heterogeneity.</w:t>
      </w:r>
    </w:p>
    <w:p w14:paraId="5702D83A" w14:textId="77777777" w:rsidR="00451363" w:rsidRPr="00C86E49" w:rsidRDefault="00451363" w:rsidP="00451363">
      <w:pPr>
        <w:pStyle w:val="Heading4"/>
      </w:pPr>
      <w:r w:rsidRPr="00C86E49">
        <w:t>ECPELLA versus VA-ECMO with or without surgical venting</w:t>
      </w:r>
    </w:p>
    <w:p w14:paraId="1F4C8E7B" w14:textId="775A23CB" w:rsidR="00451363" w:rsidRPr="00C86E49" w:rsidRDefault="005B5040" w:rsidP="00451363">
      <w:r w:rsidRPr="00C86E49">
        <w:t xml:space="preserve">Radakovic (2022) was the only </w:t>
      </w:r>
      <w:r w:rsidR="00415317" w:rsidRPr="00C86E49">
        <w:t xml:space="preserve">adjusted </w:t>
      </w:r>
      <w:r w:rsidRPr="00C86E49">
        <w:t xml:space="preserve">study to report limb ischaemia for ECPELLA versus VA-ECMO plus surgical vent. </w:t>
      </w:r>
      <w:r w:rsidR="002A09E6" w:rsidRPr="00C86E49">
        <w:t>The</w:t>
      </w:r>
      <w:r w:rsidRPr="00C86E49">
        <w:t xml:space="preserve"> RR </w:t>
      </w:r>
      <w:r w:rsidR="00735576" w:rsidRPr="00C86E49">
        <w:t xml:space="preserve">indicated </w:t>
      </w:r>
      <w:r w:rsidRPr="00C86E49">
        <w:t xml:space="preserve">that numerically fewer VA-ECMO plus SV patients experienced limb ischaemia compared </w:t>
      </w:r>
      <w:r w:rsidR="00E1764C" w:rsidRPr="00C86E49">
        <w:t>with</w:t>
      </w:r>
      <w:r w:rsidRPr="00C86E49">
        <w:t xml:space="preserve"> ECPELLA patients</w:t>
      </w:r>
      <w:r w:rsidR="0077038B" w:rsidRPr="00C86E49">
        <w:t xml:space="preserve">, though the difference was not statistically significant (2.10, 95% CI 0.80, 5.56; </w:t>
      </w:r>
      <w:r w:rsidRPr="00C86E49">
        <w:t>p=0.13).</w:t>
      </w:r>
    </w:p>
    <w:p w14:paraId="2D03F566" w14:textId="77777777" w:rsidR="004E33A5" w:rsidRPr="00C86E49" w:rsidRDefault="004E33A5" w:rsidP="00E615B3">
      <w:pPr>
        <w:pStyle w:val="Heading3"/>
      </w:pPr>
      <w:r w:rsidRPr="00C86E49">
        <w:t>Haemolysis</w:t>
      </w:r>
    </w:p>
    <w:p w14:paraId="71B6D319" w14:textId="5AC458D8" w:rsidR="001C1A77" w:rsidRPr="00C86E49" w:rsidRDefault="001C1A77" w:rsidP="001C1A77">
      <w:pPr>
        <w:pStyle w:val="Heading4"/>
      </w:pPr>
      <w:r w:rsidRPr="00C86E49">
        <w:t>IMPELLA versus VA-ECMO</w:t>
      </w:r>
    </w:p>
    <w:p w14:paraId="5622AAFC" w14:textId="6CCBFE91" w:rsidR="001C1A77" w:rsidRPr="00C86E49" w:rsidRDefault="000351EA" w:rsidP="001C1A77">
      <w:r w:rsidRPr="00C86E49">
        <w:t xml:space="preserve">Two </w:t>
      </w:r>
      <w:r w:rsidR="00957EC5" w:rsidRPr="00C86E49">
        <w:t xml:space="preserve">matched/adjusted </w:t>
      </w:r>
      <w:r w:rsidRPr="00C86E49">
        <w:t xml:space="preserve">studies reported </w:t>
      </w:r>
      <w:r w:rsidR="00DC1C83" w:rsidRPr="00C86E49">
        <w:t xml:space="preserve">the proportion of patients experiencing haemolysis (no definitions were provided). </w:t>
      </w:r>
      <w:r w:rsidR="00FF260E" w:rsidRPr="00C86E49">
        <w:t xml:space="preserve">Lemor (2020) reported identical rates of haemolysis in </w:t>
      </w:r>
      <w:r w:rsidR="00AC157B" w:rsidRPr="00C86E49">
        <w:t xml:space="preserve">the IMPELLA and VA-ECMO </w:t>
      </w:r>
      <w:r w:rsidR="00FF260E" w:rsidRPr="00C86E49">
        <w:t>cohort</w:t>
      </w:r>
      <w:r w:rsidR="00AC157B" w:rsidRPr="00C86E49">
        <w:t>s</w:t>
      </w:r>
      <w:r w:rsidR="00FF260E" w:rsidRPr="00C86E49">
        <w:t xml:space="preserve"> (</w:t>
      </w:r>
      <w:r w:rsidR="00304528" w:rsidRPr="00C86E49">
        <w:t xml:space="preserve">1.1%). </w:t>
      </w:r>
      <w:r w:rsidR="00897E6C" w:rsidRPr="00C86E49">
        <w:t>Wernly (2021) reported an adjusted OR of 0.63 (95% CI 0.08, 5.23; p=0.67).</w:t>
      </w:r>
      <w:r w:rsidR="00EC3131" w:rsidRPr="00C86E49">
        <w:t xml:space="preserve"> Meta-analysis showed no statistically significant difference between the </w:t>
      </w:r>
      <w:r w:rsidR="008245AB" w:rsidRPr="00C86E49">
        <w:t>two cohorts (</w:t>
      </w:r>
      <w:r w:rsidR="007D3AB3" w:rsidRPr="00C86E49">
        <w:t>OR 0.89, 95% CI 0.30, 2.60; p=0.83).</w:t>
      </w:r>
    </w:p>
    <w:p w14:paraId="411D1D18" w14:textId="77777777" w:rsidR="001C1A77" w:rsidRPr="00C86E49" w:rsidRDefault="001C1A77" w:rsidP="001C1A77">
      <w:pPr>
        <w:pStyle w:val="Heading4"/>
      </w:pPr>
      <w:r w:rsidRPr="00C86E49">
        <w:t>ECPELLA versus VA-ECMO with or without surgical venting</w:t>
      </w:r>
    </w:p>
    <w:p w14:paraId="367B8214" w14:textId="24B7D2A8" w:rsidR="00382F2F" w:rsidRPr="00C86E49" w:rsidRDefault="00745596" w:rsidP="001C1A77">
      <w:r w:rsidRPr="00C86E49">
        <w:t xml:space="preserve">Haemolysis was </w:t>
      </w:r>
      <w:r w:rsidR="00C83DF1" w:rsidRPr="00C86E49">
        <w:t xml:space="preserve">reported in two matched </w:t>
      </w:r>
      <w:r w:rsidR="009743FF" w:rsidRPr="00C86E49">
        <w:t>studies</w:t>
      </w:r>
      <w:r w:rsidR="006A3B7B" w:rsidRPr="00C86E49">
        <w:t xml:space="preserve"> (Pappalardo 2017</w:t>
      </w:r>
      <w:r w:rsidR="003F4D08" w:rsidRPr="00C86E49">
        <w:t>;</w:t>
      </w:r>
      <w:r w:rsidR="006A3B7B" w:rsidRPr="00C86E49">
        <w:t xml:space="preserve"> Schrage 2020b)</w:t>
      </w:r>
      <w:r w:rsidR="009F7C8F" w:rsidRPr="00C86E49">
        <w:t xml:space="preserve">, though different definitions were used. </w:t>
      </w:r>
      <w:r w:rsidR="00FC34DF" w:rsidRPr="00C86E49">
        <w:t>Both studies</w:t>
      </w:r>
      <w:r w:rsidR="003C00C1" w:rsidRPr="00C86E49">
        <w:t xml:space="preserve"> reported a statistically significantly higher proportion of ECPELLA patients with haemolysis compared </w:t>
      </w:r>
      <w:r w:rsidR="00FC34DF" w:rsidRPr="00C86E49">
        <w:t>with</w:t>
      </w:r>
      <w:r w:rsidR="003C00C1" w:rsidRPr="00C86E49">
        <w:t xml:space="preserve"> VA-ECMO patients</w:t>
      </w:r>
      <w:r w:rsidR="00DA4A1F" w:rsidRPr="00C86E49">
        <w:t>. T</w:t>
      </w:r>
      <w:r w:rsidR="00FC34DF" w:rsidRPr="00C86E49">
        <w:t xml:space="preserve">he </w:t>
      </w:r>
      <w:r w:rsidR="003C00C1" w:rsidRPr="00C86E49">
        <w:t>meta-analys</w:t>
      </w:r>
      <w:r w:rsidR="00FC34DF" w:rsidRPr="00C86E49">
        <w:t xml:space="preserve">is </w:t>
      </w:r>
      <w:r w:rsidR="00DA4A1F" w:rsidRPr="00C86E49">
        <w:t>showed</w:t>
      </w:r>
      <w:r w:rsidR="00FC34DF" w:rsidRPr="00C86E49">
        <w:t xml:space="preserve"> no statistically significant difference </w:t>
      </w:r>
      <w:r w:rsidR="001B32D5" w:rsidRPr="00C86E49">
        <w:t>between the cohorts</w:t>
      </w:r>
      <w:r w:rsidR="003C00C1" w:rsidRPr="00C86E49">
        <w:t xml:space="preserve"> </w:t>
      </w:r>
      <w:r w:rsidR="001C73EF" w:rsidRPr="00C86E49">
        <w:t xml:space="preserve">in terms of OR </w:t>
      </w:r>
      <w:r w:rsidR="001B32D5" w:rsidRPr="00C86E49">
        <w:t>(</w:t>
      </w:r>
      <w:r w:rsidR="004D7399" w:rsidRPr="00C86E49">
        <w:t xml:space="preserve">see </w:t>
      </w:r>
      <w:r w:rsidR="004D7399" w:rsidRPr="00C86E49">
        <w:rPr>
          <w:color w:val="2B579A"/>
          <w:shd w:val="clear" w:color="auto" w:fill="E6E6E6"/>
        </w:rPr>
        <w:fldChar w:fldCharType="begin"/>
      </w:r>
      <w:r w:rsidR="004D7399" w:rsidRPr="00C86E49">
        <w:instrText xml:space="preserve"> REF _Ref152088309 \h </w:instrText>
      </w:r>
      <w:r w:rsidR="00C86E49">
        <w:rPr>
          <w:color w:val="2B579A"/>
          <w:shd w:val="clear" w:color="auto" w:fill="E6E6E6"/>
        </w:rPr>
        <w:instrText xml:space="preserve"> \* MERGEFORMAT </w:instrText>
      </w:r>
      <w:r w:rsidR="004D7399" w:rsidRPr="00C86E49">
        <w:rPr>
          <w:color w:val="2B579A"/>
          <w:shd w:val="clear" w:color="auto" w:fill="E6E6E6"/>
        </w:rPr>
      </w:r>
      <w:r w:rsidR="004D7399" w:rsidRPr="00C86E49">
        <w:rPr>
          <w:color w:val="2B579A"/>
          <w:shd w:val="clear" w:color="auto" w:fill="E6E6E6"/>
        </w:rPr>
        <w:fldChar w:fldCharType="separate"/>
      </w:r>
      <w:r w:rsidR="00EF3514" w:rsidRPr="00C86E49">
        <w:t xml:space="preserve">Figure </w:t>
      </w:r>
      <w:r w:rsidR="00EF3514" w:rsidRPr="00C86E49">
        <w:rPr>
          <w:noProof/>
        </w:rPr>
        <w:t>3</w:t>
      </w:r>
      <w:r w:rsidR="004D7399" w:rsidRPr="00C86E49">
        <w:rPr>
          <w:color w:val="2B579A"/>
          <w:shd w:val="clear" w:color="auto" w:fill="E6E6E6"/>
        </w:rPr>
        <w:fldChar w:fldCharType="end"/>
      </w:r>
      <w:r w:rsidR="001B32D5" w:rsidRPr="00C86E49">
        <w:t>)</w:t>
      </w:r>
      <w:r w:rsidR="001C73EF" w:rsidRPr="00C86E49">
        <w:t xml:space="preserve">, but a </w:t>
      </w:r>
      <w:r w:rsidR="006F76FC" w:rsidRPr="00C86E49">
        <w:t xml:space="preserve">highly </w:t>
      </w:r>
      <w:r w:rsidR="001C73EF" w:rsidRPr="00C86E49">
        <w:t xml:space="preserve">statistically </w:t>
      </w:r>
      <w:r w:rsidR="0041209A" w:rsidRPr="00C86E49">
        <w:t xml:space="preserve">significant difference </w:t>
      </w:r>
      <w:r w:rsidR="00DA4A1F" w:rsidRPr="00C86E49">
        <w:t xml:space="preserve">in </w:t>
      </w:r>
      <w:r w:rsidR="0041209A" w:rsidRPr="00C86E49">
        <w:t>R</w:t>
      </w:r>
      <w:r w:rsidR="00DA4A1F" w:rsidRPr="00C86E49">
        <w:t>R (</w:t>
      </w:r>
      <w:r w:rsidR="0041209A" w:rsidRPr="00C86E49">
        <w:t>1.78</w:t>
      </w:r>
      <w:r w:rsidR="00021259" w:rsidRPr="00C86E49">
        <w:t xml:space="preserve">, 95% CI </w:t>
      </w:r>
      <w:r w:rsidR="0041209A" w:rsidRPr="00C86E49">
        <w:t>1.18, 2.69; p=0.006)</w:t>
      </w:r>
      <w:r w:rsidR="006F76FC" w:rsidRPr="00C86E49">
        <w:t xml:space="preserve"> –Forest plot not shown</w:t>
      </w:r>
      <w:r w:rsidR="00382F2F" w:rsidRPr="00C86E49">
        <w:t xml:space="preserve"> in ADAR</w:t>
      </w:r>
      <w:r w:rsidR="001B32D5" w:rsidRPr="00C86E49">
        <w:t>.</w:t>
      </w:r>
      <w:r w:rsidR="004D7399" w:rsidRPr="00C86E49">
        <w:t xml:space="preserve"> </w:t>
      </w:r>
    </w:p>
    <w:p w14:paraId="123FE0A4" w14:textId="5216244D" w:rsidR="001C1A77" w:rsidRPr="00C86E49" w:rsidRDefault="001C02B1" w:rsidP="001C1A77">
      <w:r w:rsidRPr="00C86E49">
        <w:t>Of note, t</w:t>
      </w:r>
      <w:r w:rsidR="004D7399" w:rsidRPr="00C86E49">
        <w:t xml:space="preserve">here is potential for patient overlap and double counting </w:t>
      </w:r>
      <w:r w:rsidRPr="00C86E49">
        <w:t xml:space="preserve">in the meta-analysis </w:t>
      </w:r>
      <w:r w:rsidR="004D7399" w:rsidRPr="00C86E49">
        <w:t xml:space="preserve">as the studies were conducted at the same institution in Germany over a similar </w:t>
      </w:r>
      <w:proofErr w:type="gramStart"/>
      <w:r w:rsidR="004D7399" w:rsidRPr="00C86E49">
        <w:t>time period</w:t>
      </w:r>
      <w:proofErr w:type="gramEnd"/>
      <w:r w:rsidR="004D7399" w:rsidRPr="00C86E49">
        <w:t>.</w:t>
      </w:r>
    </w:p>
    <w:p w14:paraId="02289929" w14:textId="78F1C995" w:rsidR="00E67110" w:rsidRPr="00C86E49" w:rsidRDefault="00E67110" w:rsidP="00E67110">
      <w:pPr>
        <w:pStyle w:val="Caption"/>
      </w:pPr>
      <w:bookmarkStart w:id="31" w:name="_Ref152088309"/>
      <w:r w:rsidRPr="00C86E49">
        <w:t xml:space="preserve">Figure </w:t>
      </w:r>
      <w:r w:rsidR="007552E5">
        <w:fldChar w:fldCharType="begin"/>
      </w:r>
      <w:r w:rsidR="007552E5">
        <w:instrText xml:space="preserve"> SEQ Figure \* ARABIC </w:instrText>
      </w:r>
      <w:r w:rsidR="007552E5">
        <w:fldChar w:fldCharType="separate"/>
      </w:r>
      <w:r w:rsidR="00EF3514" w:rsidRPr="00C86E49">
        <w:rPr>
          <w:noProof/>
        </w:rPr>
        <w:t>3</w:t>
      </w:r>
      <w:r w:rsidR="007552E5">
        <w:rPr>
          <w:noProof/>
        </w:rPr>
        <w:fldChar w:fldCharType="end"/>
      </w:r>
      <w:bookmarkEnd w:id="31"/>
      <w:r w:rsidRPr="00C86E49">
        <w:tab/>
        <w:t xml:space="preserve">Forest plot of </w:t>
      </w:r>
      <w:r w:rsidR="00A263F6" w:rsidRPr="00C86E49">
        <w:t>haemolysis</w:t>
      </w:r>
      <w:r w:rsidRPr="00C86E49">
        <w:t xml:space="preserve"> in the matched/adjusted ECPELLA versus VA-ECMO studies</w:t>
      </w:r>
    </w:p>
    <w:p w14:paraId="6A887C94" w14:textId="70749A51" w:rsidR="00E67110" w:rsidRPr="00C86E49" w:rsidRDefault="002170E1" w:rsidP="00E67110">
      <w:pPr>
        <w:pBdr>
          <w:top w:val="single" w:sz="4" w:space="1" w:color="auto"/>
          <w:left w:val="single" w:sz="4" w:space="4" w:color="auto"/>
          <w:bottom w:val="single" w:sz="4" w:space="1" w:color="auto"/>
          <w:right w:val="single" w:sz="4" w:space="4" w:color="auto"/>
        </w:pBdr>
        <w:spacing w:after="0"/>
      </w:pPr>
      <w:r w:rsidRPr="00C86E49">
        <w:rPr>
          <w:noProof/>
          <w:color w:val="2B579A"/>
          <w:shd w:val="clear" w:color="auto" w:fill="E6E6E6"/>
        </w:rPr>
        <w:drawing>
          <wp:inline distT="0" distB="0" distL="0" distR="0" wp14:anchorId="44510EF6" wp14:editId="7CC362F8">
            <wp:extent cx="5731510" cy="1170940"/>
            <wp:effectExtent l="0" t="0" r="2540" b="0"/>
            <wp:docPr id="1929235763" name="Picture 1929235763" descr="This is a forest plot of the haemolysis odds ratio results in the matched/adjusted ECPELLA versus VA-ECMO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35763" name="Picture 1929235763" descr="This is a forest plot of the haemolysis odds ratio results in the matched/adjusted ECPELLA versus VA-ECMO studies"/>
                    <pic:cNvPicPr/>
                  </pic:nvPicPr>
                  <pic:blipFill>
                    <a:blip r:embed="rId17"/>
                    <a:stretch>
                      <a:fillRect/>
                    </a:stretch>
                  </pic:blipFill>
                  <pic:spPr>
                    <a:xfrm>
                      <a:off x="0" y="0"/>
                      <a:ext cx="5731510" cy="1170940"/>
                    </a:xfrm>
                    <a:prstGeom prst="rect">
                      <a:avLst/>
                    </a:prstGeom>
                  </pic:spPr>
                </pic:pic>
              </a:graphicData>
            </a:graphic>
          </wp:inline>
        </w:drawing>
      </w:r>
    </w:p>
    <w:p w14:paraId="11202CF0" w14:textId="5ADF2CF6" w:rsidR="00E67110" w:rsidRPr="00C86E49" w:rsidRDefault="00E67110" w:rsidP="00E67110">
      <w:pPr>
        <w:pStyle w:val="TableFigureFooter"/>
      </w:pPr>
      <w:r w:rsidRPr="00C86E49">
        <w:t xml:space="preserve">CI = confidence interval; </w:t>
      </w:r>
      <w:r w:rsidR="000F0AA9" w:rsidRPr="00C86E49">
        <w:t>M-H = Mantel</w:t>
      </w:r>
      <w:r w:rsidR="00087059" w:rsidRPr="00C86E49">
        <w:t xml:space="preserve">-Haenszel; </w:t>
      </w:r>
      <w:r w:rsidRPr="00C86E49">
        <w:t>VA-ECMO = veno-arterial extracorporeal membrane oxygenation.</w:t>
      </w:r>
    </w:p>
    <w:p w14:paraId="1A689E46" w14:textId="35B30C1C" w:rsidR="00E67110" w:rsidRPr="00C86E49" w:rsidRDefault="00E67110" w:rsidP="00E67110">
      <w:pPr>
        <w:pStyle w:val="TableFigureFooter"/>
      </w:pPr>
      <w:r w:rsidRPr="00C86E49">
        <w:t xml:space="preserve">Source: Figure </w:t>
      </w:r>
      <w:r w:rsidR="002170E1" w:rsidRPr="00C86E49">
        <w:t>42</w:t>
      </w:r>
      <w:r w:rsidRPr="00C86E49">
        <w:t xml:space="preserve"> of MSAC 1523.1 ADAR+in-line commentary</w:t>
      </w:r>
    </w:p>
    <w:p w14:paraId="4335D843" w14:textId="72BBE318" w:rsidR="00E615B3" w:rsidRPr="00C86E49" w:rsidRDefault="00E615B3" w:rsidP="00E615B3">
      <w:pPr>
        <w:pStyle w:val="Heading3"/>
      </w:pPr>
      <w:r w:rsidRPr="00C86E49">
        <w:t>Other complications</w:t>
      </w:r>
    </w:p>
    <w:p w14:paraId="0FE2C059" w14:textId="2944D9B8" w:rsidR="00D41555" w:rsidRPr="00C86E49" w:rsidRDefault="00D41555" w:rsidP="00D41555">
      <w:pPr>
        <w:pStyle w:val="Heading4"/>
      </w:pPr>
      <w:r w:rsidRPr="00C86E49">
        <w:t>IMPELLA versus VA-ECMO</w:t>
      </w:r>
    </w:p>
    <w:p w14:paraId="64B07FA4" w14:textId="457F91A9" w:rsidR="00E6547E" w:rsidRPr="00C86E49" w:rsidRDefault="004F3C3C" w:rsidP="00E6547E">
      <w:r w:rsidRPr="00C86E49">
        <w:t xml:space="preserve">Rates of other complications </w:t>
      </w:r>
      <w:r w:rsidR="006F2748" w:rsidRPr="00C86E49">
        <w:t>(</w:t>
      </w:r>
      <w:r w:rsidR="00C803DE" w:rsidRPr="00C86E49">
        <w:t xml:space="preserve">including </w:t>
      </w:r>
      <w:r w:rsidR="006F2748" w:rsidRPr="00C86E49">
        <w:t xml:space="preserve">acute kidney injury, myocardial reinfarction, </w:t>
      </w:r>
      <w:r w:rsidR="0086797D" w:rsidRPr="00C86E49">
        <w:t>acute respiratory failure, acute liver failure, vascular complications,</w:t>
      </w:r>
      <w:r w:rsidR="00C803DE" w:rsidRPr="00C86E49">
        <w:t xml:space="preserve"> renal failure, multi-organ failure</w:t>
      </w:r>
      <w:r w:rsidR="006F2748" w:rsidRPr="00C86E49">
        <w:t xml:space="preserve">) </w:t>
      </w:r>
      <w:r w:rsidR="00697857" w:rsidRPr="00C86E49">
        <w:t>we</w:t>
      </w:r>
      <w:r w:rsidRPr="00C86E49">
        <w:t>re reported in the ADAR</w:t>
      </w:r>
      <w:r w:rsidR="00FC2515" w:rsidRPr="00C86E49">
        <w:t xml:space="preserve"> for the matched/adjusted studies</w:t>
      </w:r>
      <w:r w:rsidRPr="00C86E49">
        <w:t xml:space="preserve">. </w:t>
      </w:r>
      <w:r w:rsidR="00A41D5F" w:rsidRPr="00C86E49">
        <w:t xml:space="preserve">Few studies contributed data towards individual complications/adverse events, hence </w:t>
      </w:r>
      <w:r w:rsidR="00ED197E" w:rsidRPr="00C86E49">
        <w:t>firm conclusions cannot be drawn</w:t>
      </w:r>
      <w:r w:rsidR="00A41D5F" w:rsidRPr="00C86E49">
        <w:t>.</w:t>
      </w:r>
    </w:p>
    <w:p w14:paraId="4A089776" w14:textId="23916688" w:rsidR="00E615B3" w:rsidRPr="00C86E49" w:rsidRDefault="00E615B3" w:rsidP="00E615B3">
      <w:pPr>
        <w:pStyle w:val="Heading4"/>
      </w:pPr>
      <w:r w:rsidRPr="00C86E49">
        <w:t xml:space="preserve">ECPELLA versus VA-ECMO </w:t>
      </w:r>
      <w:r w:rsidR="00D531B8" w:rsidRPr="00C86E49">
        <w:t>with or without surgical venting</w:t>
      </w:r>
    </w:p>
    <w:p w14:paraId="3E331E6F" w14:textId="2F5FDE4D" w:rsidR="008502FB" w:rsidRPr="00C86E49" w:rsidRDefault="00ED6DCE" w:rsidP="008502FB">
      <w:r w:rsidRPr="00C86E49">
        <w:t xml:space="preserve">Rates of other complications were reported by </w:t>
      </w:r>
      <w:r w:rsidR="00EC4304" w:rsidRPr="00C86E49">
        <w:t>three matched/adjusted studies (</w:t>
      </w:r>
      <w:r w:rsidRPr="00C86E49">
        <w:t>Pappalardo (2017</w:t>
      </w:r>
      <w:r w:rsidR="00EC4304" w:rsidRPr="00C86E49">
        <w:t xml:space="preserve">; Schrage 2020b; Radakovic 2022). </w:t>
      </w:r>
      <w:r w:rsidR="00697857" w:rsidRPr="00C86E49">
        <w:t xml:space="preserve">Only one study contributed data for each </w:t>
      </w:r>
      <w:r w:rsidR="0075519B" w:rsidRPr="00C86E49">
        <w:t xml:space="preserve">adverse event, </w:t>
      </w:r>
      <w:proofErr w:type="gramStart"/>
      <w:r w:rsidR="0075519B" w:rsidRPr="00C86E49">
        <w:t>with the exception of</w:t>
      </w:r>
      <w:proofErr w:type="gramEnd"/>
      <w:r w:rsidR="0075519B" w:rsidRPr="00C86E49">
        <w:t xml:space="preserve"> sepsis</w:t>
      </w:r>
      <w:r w:rsidR="00B22DC9" w:rsidRPr="00C86E49">
        <w:t>, which affected more ECPELLA patients than VA-ECMO patients, though the difference did not reach statistical significance (OR 1.30, 95% CI 0.96, 1.76; p=0.09). S</w:t>
      </w:r>
      <w:r w:rsidR="00C5699C" w:rsidRPr="00C86E49">
        <w:t>everal</w:t>
      </w:r>
      <w:r w:rsidR="00C92095" w:rsidRPr="00C86E49">
        <w:t xml:space="preserve"> adverse events were more common in patients treated with ECPELLA than VA-ECMO</w:t>
      </w:r>
      <w:r w:rsidR="00C5699C" w:rsidRPr="00C86E49">
        <w:t xml:space="preserve">, though </w:t>
      </w:r>
      <w:r w:rsidR="00584C98" w:rsidRPr="00C86E49">
        <w:t>firm conclusions cannot be drawn</w:t>
      </w:r>
      <w:r w:rsidR="009559FA" w:rsidRPr="00C86E49">
        <w:t xml:space="preserve"> </w:t>
      </w:r>
      <w:proofErr w:type="gramStart"/>
      <w:r w:rsidR="009559FA" w:rsidRPr="00C86E49">
        <w:t>on the basis of</w:t>
      </w:r>
      <w:proofErr w:type="gramEnd"/>
      <w:r w:rsidR="009559FA" w:rsidRPr="00C86E49">
        <w:t xml:space="preserve"> the </w:t>
      </w:r>
      <w:r w:rsidR="00835079" w:rsidRPr="00C86E49">
        <w:t>limited evidence available</w:t>
      </w:r>
      <w:r w:rsidR="00B22DC9" w:rsidRPr="00C86E49">
        <w:t>.</w:t>
      </w:r>
    </w:p>
    <w:p w14:paraId="3717AA01" w14:textId="5892C634" w:rsidR="00772829" w:rsidRPr="00C86E49" w:rsidRDefault="00F36F57" w:rsidP="002A18BE">
      <w:pPr>
        <w:pStyle w:val="Heading2"/>
        <w:numPr>
          <w:ilvl w:val="0"/>
          <w:numId w:val="0"/>
        </w:numPr>
      </w:pPr>
      <w:bookmarkStart w:id="32" w:name="_Toc69491424"/>
      <w:r w:rsidRPr="00C86E49">
        <w:t>12</w:t>
      </w:r>
      <w:r w:rsidR="00C36633" w:rsidRPr="00C86E49">
        <w:t>.</w:t>
      </w:r>
      <w:r w:rsidR="00C36633" w:rsidRPr="00C86E49">
        <w:tab/>
      </w:r>
      <w:r w:rsidR="00772829" w:rsidRPr="00C86E49">
        <w:t>Comparative effectiveness</w:t>
      </w:r>
      <w:bookmarkEnd w:id="32"/>
    </w:p>
    <w:p w14:paraId="3F2FFCCB" w14:textId="1099E904" w:rsidR="008129D5" w:rsidRPr="00C86E49" w:rsidRDefault="00F14D0D" w:rsidP="008129D5">
      <w:r w:rsidRPr="00C86E49">
        <w:t>The</w:t>
      </w:r>
      <w:r w:rsidR="00661F1B" w:rsidRPr="00C86E49">
        <w:t xml:space="preserve"> primary </w:t>
      </w:r>
      <w:r w:rsidR="00A00AC8" w:rsidRPr="00C86E49">
        <w:t>outcome reported in the ADAR</w:t>
      </w:r>
      <w:r w:rsidRPr="00C86E49">
        <w:t xml:space="preserve"> was mortality</w:t>
      </w:r>
      <w:r w:rsidR="00A00AC8" w:rsidRPr="00C86E49">
        <w:t xml:space="preserve">. </w:t>
      </w:r>
      <w:r w:rsidR="00180DFB" w:rsidRPr="00C86E49">
        <w:t>The ADAR noted a range of variables</w:t>
      </w:r>
      <w:r w:rsidR="004A49C1" w:rsidRPr="00C86E49">
        <w:t xml:space="preserve"> </w:t>
      </w:r>
      <w:r w:rsidR="00F75CF2" w:rsidRPr="00C86E49">
        <w:t xml:space="preserve">that potentially </w:t>
      </w:r>
      <w:r w:rsidR="004A49C1" w:rsidRPr="00C86E49">
        <w:t xml:space="preserve">predict mortality </w:t>
      </w:r>
      <w:r w:rsidR="00E71573" w:rsidRPr="00C86E49">
        <w:t>in patients with CS</w:t>
      </w:r>
      <w:r w:rsidR="00643811" w:rsidRPr="00C86E49">
        <w:t>, suggesting that at a minimum</w:t>
      </w:r>
      <w:r w:rsidR="00A33BC6" w:rsidRPr="00C86E49">
        <w:t xml:space="preserve"> the following </w:t>
      </w:r>
      <w:r w:rsidR="002F70C9" w:rsidRPr="00C86E49">
        <w:t>are important to consider</w:t>
      </w:r>
      <w:r w:rsidR="005248D1" w:rsidRPr="00C86E49">
        <w:t xml:space="preserve"> </w:t>
      </w:r>
      <w:r w:rsidR="00684E3A" w:rsidRPr="00C86E49">
        <w:t xml:space="preserve">when </w:t>
      </w:r>
      <w:r w:rsidR="006556BD" w:rsidRPr="00C86E49">
        <w:t>attempting to match study cohorts to mitigate potential confounding</w:t>
      </w:r>
      <w:r w:rsidR="002F70C9" w:rsidRPr="00C86E49">
        <w:t xml:space="preserve">: age, pH, lactate, </w:t>
      </w:r>
      <w:r w:rsidR="007758E4" w:rsidRPr="00C86E49">
        <w:t>alanine transaminase (ALT)</w:t>
      </w:r>
      <w:r w:rsidR="002F70C9" w:rsidRPr="00C86E49">
        <w:t xml:space="preserve">, </w:t>
      </w:r>
      <w:r w:rsidR="003259D3" w:rsidRPr="00C86E49">
        <w:t>systolic blood pressure</w:t>
      </w:r>
      <w:r w:rsidR="002F70C9" w:rsidRPr="00C86E49">
        <w:t xml:space="preserve">, </w:t>
      </w:r>
      <w:r w:rsidR="003259D3" w:rsidRPr="00C86E49">
        <w:t>out-of-hospital cardiac arrest</w:t>
      </w:r>
      <w:r w:rsidR="007F7316" w:rsidRPr="00C86E49">
        <w:t>,</w:t>
      </w:r>
      <w:r w:rsidR="002F70C9" w:rsidRPr="00C86E49">
        <w:t xml:space="preserve"> and the number of devices utilised</w:t>
      </w:r>
      <w:r w:rsidR="00B816E9" w:rsidRPr="00C86E49">
        <w:t>.</w:t>
      </w:r>
      <w:r w:rsidR="007A342F" w:rsidRPr="00C86E49">
        <w:t xml:space="preserve"> </w:t>
      </w:r>
      <w:r w:rsidR="0060707D" w:rsidRPr="00C86E49">
        <w:t>T</w:t>
      </w:r>
      <w:r w:rsidR="007A342F" w:rsidRPr="00C86E49">
        <w:t>he commentary</w:t>
      </w:r>
      <w:r w:rsidR="0060707D" w:rsidRPr="00C86E49">
        <w:t xml:space="preserve"> noted that</w:t>
      </w:r>
      <w:r w:rsidR="007A342F" w:rsidRPr="00C86E49">
        <w:t xml:space="preserve"> </w:t>
      </w:r>
      <w:r w:rsidR="00C418AB" w:rsidRPr="00C86E49">
        <w:t>very few of the included studies matched/adjusted using these variables.</w:t>
      </w:r>
    </w:p>
    <w:p w14:paraId="1D656892" w14:textId="374EFB5C" w:rsidR="00812632" w:rsidRPr="00C86E49" w:rsidRDefault="009A3373" w:rsidP="008129D5">
      <w:r w:rsidRPr="00C86E49">
        <w:t xml:space="preserve">None of the included studies </w:t>
      </w:r>
      <w:r w:rsidR="000A2A25" w:rsidRPr="00C86E49">
        <w:t>included</w:t>
      </w:r>
      <w:r w:rsidRPr="00C86E49">
        <w:t xml:space="preserve"> quality of life</w:t>
      </w:r>
      <w:r w:rsidR="00A03832" w:rsidRPr="00C86E49">
        <w:t xml:space="preserve"> as an outcome</w:t>
      </w:r>
      <w:r w:rsidR="00F66896" w:rsidRPr="00C86E49">
        <w:t>.</w:t>
      </w:r>
    </w:p>
    <w:p w14:paraId="17013C61" w14:textId="41E3ECFA" w:rsidR="005B7503" w:rsidRPr="00C86E49" w:rsidRDefault="002A56A6" w:rsidP="005B7503">
      <w:pPr>
        <w:pStyle w:val="Heading3"/>
      </w:pPr>
      <w:r w:rsidRPr="00C86E49">
        <w:t>30</w:t>
      </w:r>
      <w:r w:rsidR="003B1735" w:rsidRPr="00C86E49">
        <w:t>-day</w:t>
      </w:r>
      <w:r w:rsidRPr="00C86E49">
        <w:t>/</w:t>
      </w:r>
      <w:r w:rsidR="00620560" w:rsidRPr="00C86E49">
        <w:t>i</w:t>
      </w:r>
      <w:r w:rsidR="00195F5A" w:rsidRPr="00C86E49">
        <w:t>n-hospital m</w:t>
      </w:r>
      <w:r w:rsidR="005B7503" w:rsidRPr="00C86E49">
        <w:t>ortality</w:t>
      </w:r>
    </w:p>
    <w:p w14:paraId="02397D04" w14:textId="07D8A275" w:rsidR="00B115EA" w:rsidRPr="00C86E49" w:rsidRDefault="00B115EA" w:rsidP="00B115EA">
      <w:pPr>
        <w:pStyle w:val="Heading4"/>
      </w:pPr>
      <w:r w:rsidRPr="00C86E49">
        <w:t>IMPELLA versus VA-ECMO</w:t>
      </w:r>
    </w:p>
    <w:p w14:paraId="529A2A56" w14:textId="7F570D64" w:rsidR="00D61D0E" w:rsidRPr="00D61D0E" w:rsidRDefault="007456FC" w:rsidP="00D61D0E">
      <w:r w:rsidRPr="00C86E49">
        <w:rPr>
          <w:color w:val="2B579A"/>
          <w:shd w:val="clear" w:color="auto" w:fill="E6E6E6"/>
        </w:rPr>
        <w:fldChar w:fldCharType="begin"/>
      </w:r>
      <w:r w:rsidRPr="00C86E49">
        <w:instrText xml:space="preserve"> REF _Ref152065890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 xml:space="preserve">Table </w:t>
      </w:r>
      <w:r w:rsidR="00EF3514" w:rsidRPr="00C86E49">
        <w:rPr>
          <w:noProof/>
        </w:rPr>
        <w:t>10</w:t>
      </w:r>
      <w:r w:rsidRPr="00C86E49">
        <w:rPr>
          <w:color w:val="2B579A"/>
          <w:shd w:val="clear" w:color="auto" w:fill="E6E6E6"/>
        </w:rPr>
        <w:fldChar w:fldCharType="end"/>
      </w:r>
      <w:r w:rsidRPr="00C86E49">
        <w:t xml:space="preserve"> </w:t>
      </w:r>
      <w:r w:rsidR="00324E51" w:rsidRPr="00C86E49">
        <w:t xml:space="preserve">and </w:t>
      </w:r>
      <w:r w:rsidR="00324E51" w:rsidRPr="00C86E49">
        <w:rPr>
          <w:color w:val="2B579A"/>
          <w:shd w:val="clear" w:color="auto" w:fill="E6E6E6"/>
        </w:rPr>
        <w:fldChar w:fldCharType="begin"/>
      </w:r>
      <w:r w:rsidR="00324E51" w:rsidRPr="00C86E49">
        <w:instrText xml:space="preserve"> REF _Ref152096318 \h </w:instrText>
      </w:r>
      <w:r w:rsidR="00C86E49">
        <w:rPr>
          <w:color w:val="2B579A"/>
          <w:shd w:val="clear" w:color="auto" w:fill="E6E6E6"/>
        </w:rPr>
        <w:instrText xml:space="preserve"> \* MERGEFORMAT </w:instrText>
      </w:r>
      <w:r w:rsidR="00324E51" w:rsidRPr="00C86E49">
        <w:rPr>
          <w:color w:val="2B579A"/>
          <w:shd w:val="clear" w:color="auto" w:fill="E6E6E6"/>
        </w:rPr>
      </w:r>
      <w:r w:rsidR="00324E51" w:rsidRPr="00C86E49">
        <w:rPr>
          <w:color w:val="2B579A"/>
          <w:shd w:val="clear" w:color="auto" w:fill="E6E6E6"/>
        </w:rPr>
        <w:fldChar w:fldCharType="separate"/>
      </w:r>
      <w:r w:rsidR="00EF3514" w:rsidRPr="00C86E49">
        <w:t xml:space="preserve">Figure </w:t>
      </w:r>
      <w:r w:rsidR="00EF3514" w:rsidRPr="00C86E49">
        <w:rPr>
          <w:noProof/>
        </w:rPr>
        <w:t>4</w:t>
      </w:r>
      <w:r w:rsidR="00324E51" w:rsidRPr="00C86E49">
        <w:rPr>
          <w:color w:val="2B579A"/>
          <w:shd w:val="clear" w:color="auto" w:fill="E6E6E6"/>
        </w:rPr>
        <w:fldChar w:fldCharType="end"/>
      </w:r>
      <w:r w:rsidR="00324E51" w:rsidRPr="00C86E49">
        <w:t xml:space="preserve"> </w:t>
      </w:r>
      <w:r w:rsidRPr="00C86E49">
        <w:t>present 30-day/in-hospital mortality after temporary MCS in the matched/</w:t>
      </w:r>
      <w:r w:rsidR="009B3150" w:rsidRPr="00C86E49">
        <w:t xml:space="preserve"> </w:t>
      </w:r>
      <w:r w:rsidRPr="00C86E49">
        <w:t>adjusted IMPELLA versus VA-ECMO studies</w:t>
      </w:r>
      <w:r w:rsidR="00DA7578" w:rsidRPr="00C86E49">
        <w:t>.</w:t>
      </w:r>
      <w:bookmarkStart w:id="33" w:name="_Ref152065890"/>
      <w:r w:rsidR="00D61D0E">
        <w:br w:type="page"/>
      </w:r>
    </w:p>
    <w:p w14:paraId="226193DD" w14:textId="4A810498" w:rsidR="00661936" w:rsidRPr="00C86E49" w:rsidRDefault="004408AF" w:rsidP="004408AF">
      <w:pPr>
        <w:pStyle w:val="Caption"/>
      </w:pPr>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10</w:t>
      </w:r>
      <w:r w:rsidR="007552E5">
        <w:rPr>
          <w:noProof/>
        </w:rPr>
        <w:fldChar w:fldCharType="end"/>
      </w:r>
      <w:bookmarkEnd w:id="33"/>
      <w:r w:rsidRPr="00C86E49">
        <w:tab/>
      </w:r>
      <w:r w:rsidR="00DD6C6C" w:rsidRPr="00C86E49">
        <w:t>30-day/in-hospital mortality in the matched/adjusted IMPELLA versus VA-ECMO studies</w:t>
      </w:r>
    </w:p>
    <w:tbl>
      <w:tblPr>
        <w:tblStyle w:val="TableGrid"/>
        <w:tblW w:w="5000" w:type="pct"/>
        <w:tblLayout w:type="fixed"/>
        <w:tblLook w:val="04A0" w:firstRow="1" w:lastRow="0" w:firstColumn="1" w:lastColumn="0" w:noHBand="0" w:noVBand="1"/>
        <w:tblCaption w:val="30-day/in-hospital mortality in the matched/adjusted IMPELLA versus VA-ECMO studies"/>
        <w:tblDescription w:val="This table shows the individual study and meta-analyses results for 30 day/in-hospital mortality in the matched/adjusted IMPELLA versus VA-ECMO studies."/>
      </w:tblPr>
      <w:tblGrid>
        <w:gridCol w:w="1413"/>
        <w:gridCol w:w="422"/>
        <w:gridCol w:w="274"/>
        <w:gridCol w:w="299"/>
        <w:gridCol w:w="994"/>
        <w:gridCol w:w="1010"/>
        <w:gridCol w:w="1560"/>
        <w:gridCol w:w="1421"/>
        <w:gridCol w:w="1623"/>
      </w:tblGrid>
      <w:tr w:rsidR="000D5EF3" w:rsidRPr="00C86E49" w14:paraId="68A0C7AB" w14:textId="77777777" w:rsidTr="002279EC">
        <w:trPr>
          <w:tblHeader/>
        </w:trPr>
        <w:tc>
          <w:tcPr>
            <w:tcW w:w="784" w:type="pct"/>
            <w:tcMar>
              <w:left w:w="85" w:type="dxa"/>
              <w:right w:w="85" w:type="dxa"/>
            </w:tcMar>
          </w:tcPr>
          <w:p w14:paraId="74FB979D" w14:textId="4FA960AF" w:rsidR="00661936" w:rsidRPr="00C86E49" w:rsidRDefault="00661936">
            <w:pPr>
              <w:pStyle w:val="TableHeading0"/>
            </w:pPr>
            <w:r w:rsidRPr="00C86E49">
              <w:t>Trial ID</w:t>
            </w:r>
            <w:r w:rsidR="00B41516" w:rsidRPr="00C86E49">
              <w:br/>
            </w:r>
            <w:r w:rsidRPr="00C86E49">
              <w:t>(tim</w:t>
            </w:r>
            <w:r w:rsidR="005B54EF" w:rsidRPr="00C86E49">
              <w:t>ing</w:t>
            </w:r>
            <w:r w:rsidRPr="00C86E49">
              <w:t>)</w:t>
            </w:r>
          </w:p>
        </w:tc>
        <w:tc>
          <w:tcPr>
            <w:tcW w:w="552" w:type="pct"/>
            <w:gridSpan w:val="3"/>
            <w:tcMar>
              <w:left w:w="85" w:type="dxa"/>
              <w:right w:w="85" w:type="dxa"/>
            </w:tcMar>
          </w:tcPr>
          <w:p w14:paraId="72F45F76" w14:textId="77777777" w:rsidR="00661936" w:rsidRPr="00C86E49" w:rsidRDefault="00661936">
            <w:pPr>
              <w:pStyle w:val="TableHeading0"/>
            </w:pPr>
            <w:r w:rsidRPr="00C86E49">
              <w:t>CS type</w:t>
            </w:r>
          </w:p>
        </w:tc>
        <w:tc>
          <w:tcPr>
            <w:tcW w:w="551" w:type="pct"/>
            <w:tcMar>
              <w:left w:w="85" w:type="dxa"/>
              <w:right w:w="85" w:type="dxa"/>
            </w:tcMar>
          </w:tcPr>
          <w:p w14:paraId="23FF34C5" w14:textId="747279F3" w:rsidR="00661936" w:rsidRPr="00C86E49" w:rsidRDefault="00661936">
            <w:pPr>
              <w:pStyle w:val="TableHeading0"/>
            </w:pPr>
            <w:r w:rsidRPr="00C86E49">
              <w:t>IMPELLA</w:t>
            </w:r>
            <w:r w:rsidR="005B54EF" w:rsidRPr="00C86E49">
              <w:br/>
            </w:r>
            <w:r w:rsidRPr="00C86E49">
              <w:t>n/N (%)</w:t>
            </w:r>
          </w:p>
        </w:tc>
        <w:tc>
          <w:tcPr>
            <w:tcW w:w="557" w:type="pct"/>
            <w:tcMar>
              <w:left w:w="85" w:type="dxa"/>
              <w:right w:w="85" w:type="dxa"/>
            </w:tcMar>
          </w:tcPr>
          <w:p w14:paraId="109829A2" w14:textId="43E7DE0A" w:rsidR="00661936" w:rsidRPr="00C86E49" w:rsidRDefault="00661936">
            <w:pPr>
              <w:pStyle w:val="TableHeading0"/>
            </w:pPr>
            <w:r w:rsidRPr="00C86E49">
              <w:t>VA-ECMO</w:t>
            </w:r>
            <w:r w:rsidR="005B54EF" w:rsidRPr="00C86E49">
              <w:br/>
            </w:r>
            <w:r w:rsidRPr="00C86E49">
              <w:t>n/N (%)</w:t>
            </w:r>
          </w:p>
        </w:tc>
        <w:tc>
          <w:tcPr>
            <w:tcW w:w="865" w:type="pct"/>
            <w:tcMar>
              <w:left w:w="85" w:type="dxa"/>
              <w:right w:w="85" w:type="dxa"/>
            </w:tcMar>
          </w:tcPr>
          <w:p w14:paraId="3881EAF1" w14:textId="7838C02B" w:rsidR="00661936" w:rsidRPr="00C86E49" w:rsidRDefault="00661936">
            <w:pPr>
              <w:pStyle w:val="TableHeading0"/>
            </w:pPr>
            <w:r w:rsidRPr="00C86E49">
              <w:t xml:space="preserve">OR [95% CI] </w:t>
            </w:r>
            <w:r w:rsidR="00EE6975" w:rsidRPr="00C86E49">
              <w:br/>
            </w:r>
            <w:r w:rsidRPr="00C86E49">
              <w:t>p-value</w:t>
            </w:r>
          </w:p>
        </w:tc>
        <w:tc>
          <w:tcPr>
            <w:tcW w:w="788" w:type="pct"/>
            <w:tcMar>
              <w:left w:w="85" w:type="dxa"/>
              <w:right w:w="85" w:type="dxa"/>
            </w:tcMar>
          </w:tcPr>
          <w:p w14:paraId="6B1EF724" w14:textId="34312DA1" w:rsidR="00661936" w:rsidRPr="00C86E49" w:rsidRDefault="00661936">
            <w:pPr>
              <w:pStyle w:val="TableHeading0"/>
            </w:pPr>
            <w:r w:rsidRPr="00C86E49">
              <w:t xml:space="preserve">RR [95% CI] </w:t>
            </w:r>
            <w:r w:rsidR="00EE6975" w:rsidRPr="00C86E49">
              <w:br/>
            </w:r>
            <w:r w:rsidRPr="00C86E49">
              <w:t>p-value</w:t>
            </w:r>
          </w:p>
        </w:tc>
        <w:tc>
          <w:tcPr>
            <w:tcW w:w="903" w:type="pct"/>
            <w:tcMar>
              <w:left w:w="85" w:type="dxa"/>
              <w:right w:w="85" w:type="dxa"/>
            </w:tcMar>
          </w:tcPr>
          <w:p w14:paraId="1DFC06E2" w14:textId="5DB044A4" w:rsidR="00661936" w:rsidRPr="00C86E49" w:rsidRDefault="00661936">
            <w:pPr>
              <w:pStyle w:val="TableHeading0"/>
            </w:pPr>
            <w:r w:rsidRPr="00C86E49">
              <w:t xml:space="preserve">RD [95% CI] </w:t>
            </w:r>
            <w:r w:rsidR="00EE6975" w:rsidRPr="00C86E49">
              <w:br/>
            </w:r>
            <w:r w:rsidRPr="00C86E49">
              <w:t>p-value</w:t>
            </w:r>
          </w:p>
        </w:tc>
      </w:tr>
      <w:tr w:rsidR="002179A4" w:rsidRPr="00C86E49" w14:paraId="12BFF8B5" w14:textId="77777777" w:rsidTr="002279EC">
        <w:tc>
          <w:tcPr>
            <w:tcW w:w="784" w:type="pct"/>
            <w:tcBorders>
              <w:bottom w:val="single" w:sz="4" w:space="0" w:color="auto"/>
            </w:tcBorders>
            <w:tcMar>
              <w:left w:w="85" w:type="dxa"/>
              <w:right w:w="85" w:type="dxa"/>
            </w:tcMar>
          </w:tcPr>
          <w:p w14:paraId="17270F46" w14:textId="56EB12EC" w:rsidR="00075705" w:rsidRPr="00C86E49" w:rsidRDefault="00F47625" w:rsidP="0036689B">
            <w:pPr>
              <w:pStyle w:val="TableText"/>
            </w:pPr>
            <w:r w:rsidRPr="00C86E49">
              <w:t>Karatolios 2021</w:t>
            </w:r>
            <w:r w:rsidR="0036689B" w:rsidRPr="00C86E49">
              <w:br/>
            </w:r>
            <w:r w:rsidRPr="00C86E49">
              <w:t>(In-hospital)</w:t>
            </w:r>
          </w:p>
        </w:tc>
        <w:tc>
          <w:tcPr>
            <w:tcW w:w="552" w:type="pct"/>
            <w:gridSpan w:val="3"/>
            <w:tcBorders>
              <w:bottom w:val="single" w:sz="4" w:space="0" w:color="auto"/>
            </w:tcBorders>
            <w:tcMar>
              <w:left w:w="85" w:type="dxa"/>
              <w:right w:w="85" w:type="dxa"/>
            </w:tcMar>
          </w:tcPr>
          <w:p w14:paraId="5081BA9C" w14:textId="273C1210" w:rsidR="00075705" w:rsidRPr="00C86E49" w:rsidRDefault="00EC3AEB" w:rsidP="00075705">
            <w:pPr>
              <w:pStyle w:val="TableText"/>
            </w:pPr>
            <w:r w:rsidRPr="00C86E49">
              <w:t>Any CS</w:t>
            </w:r>
          </w:p>
        </w:tc>
        <w:tc>
          <w:tcPr>
            <w:tcW w:w="551" w:type="pct"/>
            <w:tcMar>
              <w:left w:w="85" w:type="dxa"/>
              <w:right w:w="85" w:type="dxa"/>
            </w:tcMar>
          </w:tcPr>
          <w:p w14:paraId="1BE0C5C5" w14:textId="637A264E" w:rsidR="00075705" w:rsidRPr="00C86E49" w:rsidRDefault="007F012E" w:rsidP="007F012E">
            <w:pPr>
              <w:pStyle w:val="TableText"/>
            </w:pPr>
            <w:r w:rsidRPr="00C86E49">
              <w:t>41/83</w:t>
            </w:r>
            <w:r w:rsidR="00472EFF" w:rsidRPr="00C86E49">
              <w:br/>
            </w:r>
            <w:r w:rsidRPr="00C86E49">
              <w:t>(49.4%)</w:t>
            </w:r>
          </w:p>
        </w:tc>
        <w:tc>
          <w:tcPr>
            <w:tcW w:w="557" w:type="pct"/>
            <w:tcMar>
              <w:left w:w="85" w:type="dxa"/>
              <w:right w:w="85" w:type="dxa"/>
            </w:tcMar>
          </w:tcPr>
          <w:p w14:paraId="190FDAE7" w14:textId="429F3DD2" w:rsidR="00075705" w:rsidRPr="00C86E49" w:rsidRDefault="003A4387" w:rsidP="003A4387">
            <w:pPr>
              <w:pStyle w:val="TableText"/>
            </w:pPr>
            <w:r w:rsidRPr="00C86E49">
              <w:t>51/83</w:t>
            </w:r>
            <w:r w:rsidR="00472EFF" w:rsidRPr="00C86E49">
              <w:br/>
            </w:r>
            <w:r w:rsidRPr="00C86E49">
              <w:t>(61.4%)</w:t>
            </w:r>
          </w:p>
        </w:tc>
        <w:tc>
          <w:tcPr>
            <w:tcW w:w="865" w:type="pct"/>
            <w:tcMar>
              <w:left w:w="85" w:type="dxa"/>
              <w:right w:w="85" w:type="dxa"/>
            </w:tcMar>
          </w:tcPr>
          <w:p w14:paraId="104D9C93" w14:textId="2A7B3B0B" w:rsidR="00075705" w:rsidRPr="00C86E49" w:rsidRDefault="00075705" w:rsidP="00075705">
            <w:pPr>
              <w:pStyle w:val="TableText"/>
            </w:pPr>
            <w:r w:rsidRPr="00C86E49">
              <w:t>0.61 [0.33, 1.14]</w:t>
            </w:r>
            <w:r w:rsidR="00AB4F18" w:rsidRPr="00C86E49">
              <w:br/>
            </w:r>
            <w:r w:rsidRPr="00C86E49">
              <w:t>p=0.12</w:t>
            </w:r>
          </w:p>
        </w:tc>
        <w:tc>
          <w:tcPr>
            <w:tcW w:w="788" w:type="pct"/>
            <w:tcMar>
              <w:left w:w="85" w:type="dxa"/>
              <w:right w:w="85" w:type="dxa"/>
            </w:tcMar>
          </w:tcPr>
          <w:p w14:paraId="0C7C5FEA" w14:textId="604D44D1" w:rsidR="00075705" w:rsidRPr="00C86E49" w:rsidRDefault="00075705" w:rsidP="00075705">
            <w:pPr>
              <w:pStyle w:val="TableText"/>
            </w:pPr>
            <w:r w:rsidRPr="00C86E49">
              <w:t>0.80 [0.61, 1.06]</w:t>
            </w:r>
            <w:r w:rsidR="00472EFF" w:rsidRPr="00C86E49">
              <w:br/>
            </w:r>
            <w:r w:rsidRPr="00C86E49">
              <w:t>p=0.12</w:t>
            </w:r>
          </w:p>
        </w:tc>
        <w:tc>
          <w:tcPr>
            <w:tcW w:w="903" w:type="pct"/>
            <w:tcMar>
              <w:left w:w="85" w:type="dxa"/>
              <w:right w:w="85" w:type="dxa"/>
            </w:tcMar>
          </w:tcPr>
          <w:p w14:paraId="1A784371" w14:textId="67BA0285" w:rsidR="00075705" w:rsidRPr="00C86E49" w:rsidRDefault="00075705" w:rsidP="00075705">
            <w:pPr>
              <w:pStyle w:val="TableText"/>
            </w:pPr>
            <w:r w:rsidRPr="00C86E49">
              <w:t>-0.12 [-0.27, 0.03]</w:t>
            </w:r>
            <w:r w:rsidR="00472EFF" w:rsidRPr="00C86E49">
              <w:br/>
            </w:r>
            <w:r w:rsidRPr="00C86E49">
              <w:t>p=0.12</w:t>
            </w:r>
          </w:p>
        </w:tc>
      </w:tr>
      <w:tr w:rsidR="002179A4" w:rsidRPr="00C86E49" w14:paraId="18897B86" w14:textId="77777777" w:rsidTr="002279EC">
        <w:tc>
          <w:tcPr>
            <w:tcW w:w="784" w:type="pct"/>
            <w:tcBorders>
              <w:bottom w:val="nil"/>
            </w:tcBorders>
            <w:tcMar>
              <w:left w:w="85" w:type="dxa"/>
              <w:right w:w="85" w:type="dxa"/>
            </w:tcMar>
          </w:tcPr>
          <w:p w14:paraId="2E8B0450" w14:textId="130B1C49" w:rsidR="00267C69" w:rsidRPr="00C86E49" w:rsidRDefault="007B5CCB" w:rsidP="0036689B">
            <w:pPr>
              <w:pStyle w:val="TableText"/>
            </w:pPr>
            <w:r w:rsidRPr="00C86E49">
              <w:t>Lemor 2020</w:t>
            </w:r>
            <w:r w:rsidR="001D5E2D" w:rsidRPr="00C86E49">
              <w:rPr>
                <w:vertAlign w:val="superscript"/>
              </w:rPr>
              <w:t>a</w:t>
            </w:r>
            <w:r w:rsidR="0036689B" w:rsidRPr="00C86E49">
              <w:br/>
            </w:r>
            <w:r w:rsidRPr="00C86E49">
              <w:t>(In-hospital)</w:t>
            </w:r>
          </w:p>
        </w:tc>
        <w:tc>
          <w:tcPr>
            <w:tcW w:w="552" w:type="pct"/>
            <w:gridSpan w:val="3"/>
            <w:tcBorders>
              <w:bottom w:val="nil"/>
            </w:tcBorders>
            <w:tcMar>
              <w:left w:w="85" w:type="dxa"/>
              <w:right w:w="85" w:type="dxa"/>
            </w:tcMar>
          </w:tcPr>
          <w:p w14:paraId="26314476" w14:textId="24B0BA35" w:rsidR="00267C69" w:rsidRPr="00C86E49" w:rsidRDefault="007C5595" w:rsidP="00267C69">
            <w:pPr>
              <w:pStyle w:val="TableText"/>
            </w:pPr>
            <w:r w:rsidRPr="00C86E49">
              <w:t>AMI-CS</w:t>
            </w:r>
          </w:p>
        </w:tc>
        <w:tc>
          <w:tcPr>
            <w:tcW w:w="551" w:type="pct"/>
            <w:tcMar>
              <w:left w:w="85" w:type="dxa"/>
              <w:right w:w="85" w:type="dxa"/>
            </w:tcMar>
          </w:tcPr>
          <w:p w14:paraId="4B1C1CB6" w14:textId="6F1721CA" w:rsidR="00267C69" w:rsidRPr="00C86E49" w:rsidRDefault="00D5482C" w:rsidP="00267C69">
            <w:pPr>
              <w:pStyle w:val="TableText"/>
            </w:pPr>
            <w:r w:rsidRPr="00C86E49">
              <w:t>120/450</w:t>
            </w:r>
            <w:r w:rsidR="00472EFF" w:rsidRPr="00C86E49">
              <w:br/>
            </w:r>
            <w:r w:rsidRPr="00C86E49">
              <w:t>(26.7%)</w:t>
            </w:r>
          </w:p>
        </w:tc>
        <w:tc>
          <w:tcPr>
            <w:tcW w:w="557" w:type="pct"/>
            <w:tcMar>
              <w:left w:w="85" w:type="dxa"/>
              <w:right w:w="85" w:type="dxa"/>
            </w:tcMar>
          </w:tcPr>
          <w:p w14:paraId="108654A7" w14:textId="4F15A377" w:rsidR="00267C69" w:rsidRPr="00C86E49" w:rsidRDefault="00D5482C" w:rsidP="00267C69">
            <w:pPr>
              <w:pStyle w:val="TableText"/>
            </w:pPr>
            <w:r w:rsidRPr="00C86E49">
              <w:t>195/450</w:t>
            </w:r>
            <w:r w:rsidR="00472EFF" w:rsidRPr="00C86E49">
              <w:br/>
            </w:r>
            <w:r w:rsidRPr="00C86E49">
              <w:t>(43.3%)</w:t>
            </w:r>
          </w:p>
        </w:tc>
        <w:tc>
          <w:tcPr>
            <w:tcW w:w="865" w:type="pct"/>
            <w:tcMar>
              <w:left w:w="85" w:type="dxa"/>
              <w:right w:w="85" w:type="dxa"/>
            </w:tcMar>
          </w:tcPr>
          <w:p w14:paraId="7FCCDE6A" w14:textId="6E914E54" w:rsidR="00995316" w:rsidRPr="00C86E49" w:rsidRDefault="00995316" w:rsidP="00995316">
            <w:pPr>
              <w:pStyle w:val="TableText"/>
              <w:rPr>
                <w:b/>
                <w:bCs/>
              </w:rPr>
            </w:pPr>
            <w:r w:rsidRPr="00C86E49">
              <w:t>As reported:</w:t>
            </w:r>
            <w:r w:rsidR="00C8725A" w:rsidRPr="00C86E49">
              <w:br/>
            </w:r>
            <w:r w:rsidRPr="00C86E49">
              <w:rPr>
                <w:b/>
                <w:bCs/>
              </w:rPr>
              <w:t>0.48 [0.25, 0.89]</w:t>
            </w:r>
            <w:r w:rsidRPr="00C86E49">
              <w:rPr>
                <w:b/>
                <w:bCs/>
              </w:rPr>
              <w:br/>
              <w:t>p=0.021</w:t>
            </w:r>
          </w:p>
          <w:p w14:paraId="0C6A38AD" w14:textId="45ED5CCC" w:rsidR="00267C69" w:rsidRPr="00C86E49" w:rsidRDefault="00995316" w:rsidP="00C8725A">
            <w:pPr>
              <w:pStyle w:val="TableText"/>
              <w:rPr>
                <w:b/>
                <w:bCs/>
              </w:rPr>
            </w:pPr>
            <w:r w:rsidRPr="00C86E49">
              <w:t>ADAR c</w:t>
            </w:r>
            <w:r w:rsidR="00C43668" w:rsidRPr="00C86E49">
              <w:t>alculated:</w:t>
            </w:r>
            <w:r w:rsidR="00C8725A" w:rsidRPr="00C86E49">
              <w:br/>
            </w:r>
            <w:r w:rsidR="00C43668" w:rsidRPr="00C86E49">
              <w:rPr>
                <w:b/>
                <w:bCs/>
              </w:rPr>
              <w:t>0.48 [0.36, 0.63]</w:t>
            </w:r>
            <w:r w:rsidR="00AB4F18" w:rsidRPr="00C86E49">
              <w:rPr>
                <w:b/>
                <w:bCs/>
              </w:rPr>
              <w:br/>
            </w:r>
            <w:r w:rsidR="00C43668" w:rsidRPr="00C86E49">
              <w:rPr>
                <w:b/>
                <w:bCs/>
              </w:rPr>
              <w:t>p&lt;0.00001</w:t>
            </w:r>
          </w:p>
        </w:tc>
        <w:tc>
          <w:tcPr>
            <w:tcW w:w="788" w:type="pct"/>
            <w:tcMar>
              <w:left w:w="85" w:type="dxa"/>
              <w:right w:w="85" w:type="dxa"/>
            </w:tcMar>
          </w:tcPr>
          <w:p w14:paraId="620D0C8D" w14:textId="70C8E215" w:rsidR="00267C69" w:rsidRPr="00C86E49" w:rsidRDefault="008F62D6" w:rsidP="00267C69">
            <w:pPr>
              <w:pStyle w:val="TableText"/>
              <w:rPr>
                <w:b/>
                <w:bCs/>
              </w:rPr>
            </w:pPr>
            <w:r w:rsidRPr="00C86E49">
              <w:rPr>
                <w:b/>
                <w:bCs/>
              </w:rPr>
              <w:t>0.62 [0.51, 0.74]</w:t>
            </w:r>
            <w:r w:rsidR="00472EFF" w:rsidRPr="00C86E49">
              <w:rPr>
                <w:b/>
                <w:bCs/>
              </w:rPr>
              <w:br/>
            </w:r>
            <w:r w:rsidRPr="00C86E49">
              <w:rPr>
                <w:b/>
                <w:bCs/>
              </w:rPr>
              <w:t>p&lt;0.00001</w:t>
            </w:r>
          </w:p>
        </w:tc>
        <w:tc>
          <w:tcPr>
            <w:tcW w:w="903" w:type="pct"/>
            <w:tcMar>
              <w:left w:w="85" w:type="dxa"/>
              <w:right w:w="85" w:type="dxa"/>
            </w:tcMar>
          </w:tcPr>
          <w:p w14:paraId="29A776E8" w14:textId="16C9635A" w:rsidR="00267C69" w:rsidRPr="00C86E49" w:rsidRDefault="008F62D6" w:rsidP="00267C69">
            <w:pPr>
              <w:pStyle w:val="TableText"/>
              <w:rPr>
                <w:b/>
                <w:bCs/>
              </w:rPr>
            </w:pPr>
            <w:r w:rsidRPr="00C86E49">
              <w:rPr>
                <w:b/>
                <w:bCs/>
              </w:rPr>
              <w:t>-0.17 [-0.23, -0.11]</w:t>
            </w:r>
            <w:r w:rsidR="00472EFF" w:rsidRPr="00C86E49">
              <w:rPr>
                <w:b/>
                <w:bCs/>
              </w:rPr>
              <w:br/>
            </w:r>
            <w:r w:rsidRPr="00C86E49">
              <w:rPr>
                <w:b/>
                <w:bCs/>
              </w:rPr>
              <w:t>p&lt;0.00001</w:t>
            </w:r>
          </w:p>
        </w:tc>
      </w:tr>
      <w:tr w:rsidR="000D5EF3" w:rsidRPr="00C86E49" w14:paraId="6AA5C9CB" w14:textId="77777777" w:rsidTr="002279EC">
        <w:tc>
          <w:tcPr>
            <w:tcW w:w="784" w:type="pct"/>
            <w:tcMar>
              <w:left w:w="85" w:type="dxa"/>
              <w:right w:w="85" w:type="dxa"/>
            </w:tcMar>
          </w:tcPr>
          <w:p w14:paraId="694C4E2D" w14:textId="39D01F29" w:rsidR="00267C69" w:rsidRPr="00C86E49" w:rsidRDefault="00B74D68" w:rsidP="0036689B">
            <w:pPr>
              <w:pStyle w:val="TableText"/>
            </w:pPr>
            <w:r w:rsidRPr="00C86E49">
              <w:t>Syntila 2021</w:t>
            </w:r>
            <w:r w:rsidR="0036689B" w:rsidRPr="00C86E49">
              <w:br/>
            </w:r>
            <w:r w:rsidRPr="00C86E49">
              <w:t>(In-hospital)</w:t>
            </w:r>
          </w:p>
        </w:tc>
        <w:tc>
          <w:tcPr>
            <w:tcW w:w="552" w:type="pct"/>
            <w:gridSpan w:val="3"/>
            <w:tcMar>
              <w:left w:w="85" w:type="dxa"/>
              <w:right w:w="85" w:type="dxa"/>
            </w:tcMar>
          </w:tcPr>
          <w:p w14:paraId="2F600CAF" w14:textId="459F0641" w:rsidR="00267C69" w:rsidRPr="00C86E49" w:rsidRDefault="009B47BB" w:rsidP="00267C69">
            <w:pPr>
              <w:pStyle w:val="TableText"/>
            </w:pPr>
            <w:r w:rsidRPr="00C86E49">
              <w:t>OHCA due to AMI with post CS</w:t>
            </w:r>
          </w:p>
        </w:tc>
        <w:tc>
          <w:tcPr>
            <w:tcW w:w="551" w:type="pct"/>
            <w:tcMar>
              <w:left w:w="85" w:type="dxa"/>
              <w:right w:w="85" w:type="dxa"/>
            </w:tcMar>
          </w:tcPr>
          <w:p w14:paraId="12D3647A" w14:textId="16D5C4A5" w:rsidR="00267C69" w:rsidRPr="00C86E49" w:rsidRDefault="00D56D7D" w:rsidP="00267C69">
            <w:pPr>
              <w:pStyle w:val="TableText"/>
            </w:pPr>
            <w:r w:rsidRPr="00C86E49">
              <w:t>22/40</w:t>
            </w:r>
            <w:r w:rsidR="00AB4F18" w:rsidRPr="00C86E49">
              <w:br/>
            </w:r>
            <w:r w:rsidRPr="00C86E49">
              <w:t>(55.0%)</w:t>
            </w:r>
          </w:p>
        </w:tc>
        <w:tc>
          <w:tcPr>
            <w:tcW w:w="557" w:type="pct"/>
            <w:tcMar>
              <w:left w:w="85" w:type="dxa"/>
              <w:right w:w="85" w:type="dxa"/>
            </w:tcMar>
          </w:tcPr>
          <w:p w14:paraId="52C25A0F" w14:textId="4539CC0D" w:rsidR="00267C69" w:rsidRPr="00C86E49" w:rsidRDefault="00AA71C6" w:rsidP="00267C69">
            <w:pPr>
              <w:pStyle w:val="TableText"/>
            </w:pPr>
            <w:r w:rsidRPr="00C86E49">
              <w:t>27/40</w:t>
            </w:r>
            <w:r w:rsidR="00AB4F18" w:rsidRPr="00C86E49">
              <w:br/>
            </w:r>
            <w:r w:rsidRPr="00C86E49">
              <w:t>(67.5%)</w:t>
            </w:r>
          </w:p>
        </w:tc>
        <w:tc>
          <w:tcPr>
            <w:tcW w:w="865" w:type="pct"/>
            <w:tcMar>
              <w:left w:w="85" w:type="dxa"/>
              <w:right w:w="85" w:type="dxa"/>
            </w:tcMar>
          </w:tcPr>
          <w:p w14:paraId="0505E511" w14:textId="048DA70F" w:rsidR="00267C69" w:rsidRPr="00C86E49" w:rsidRDefault="00AA71C6" w:rsidP="00267C69">
            <w:pPr>
              <w:pStyle w:val="TableText"/>
            </w:pPr>
            <w:r w:rsidRPr="00C86E49">
              <w:t>0.59 [0.24, 1.46]</w:t>
            </w:r>
            <w:r w:rsidR="00472EFF" w:rsidRPr="00C86E49">
              <w:br/>
            </w:r>
            <w:r w:rsidRPr="00C86E49">
              <w:t>p=0.25</w:t>
            </w:r>
          </w:p>
        </w:tc>
        <w:tc>
          <w:tcPr>
            <w:tcW w:w="788" w:type="pct"/>
            <w:tcMar>
              <w:left w:w="85" w:type="dxa"/>
              <w:right w:w="85" w:type="dxa"/>
            </w:tcMar>
          </w:tcPr>
          <w:p w14:paraId="4E317B11" w14:textId="4DFC58A5" w:rsidR="00267C69" w:rsidRPr="00C86E49" w:rsidRDefault="00AA71C6" w:rsidP="00267C69">
            <w:pPr>
              <w:pStyle w:val="TableText"/>
            </w:pPr>
            <w:r w:rsidRPr="00C86E49">
              <w:t>0.81 [0.57, 1.16]</w:t>
            </w:r>
            <w:r w:rsidR="00472EFF" w:rsidRPr="00C86E49">
              <w:br/>
            </w:r>
            <w:r w:rsidRPr="00C86E49">
              <w:t>p=0.26</w:t>
            </w:r>
          </w:p>
        </w:tc>
        <w:tc>
          <w:tcPr>
            <w:tcW w:w="903" w:type="pct"/>
            <w:tcMar>
              <w:left w:w="85" w:type="dxa"/>
              <w:right w:w="85" w:type="dxa"/>
            </w:tcMar>
          </w:tcPr>
          <w:p w14:paraId="5B4B165D" w14:textId="51DDC29E" w:rsidR="00267C69" w:rsidRPr="00C86E49" w:rsidRDefault="00AA71C6" w:rsidP="00267C69">
            <w:pPr>
              <w:pStyle w:val="TableText"/>
            </w:pPr>
            <w:r w:rsidRPr="00C86E49">
              <w:t>-0.13 [-0.34, 0.09]</w:t>
            </w:r>
            <w:r w:rsidR="00472EFF" w:rsidRPr="00C86E49">
              <w:br/>
            </w:r>
            <w:r w:rsidRPr="00C86E49">
              <w:t>p=0.25</w:t>
            </w:r>
          </w:p>
        </w:tc>
      </w:tr>
      <w:tr w:rsidR="000D5EF3" w:rsidRPr="00C86E49" w14:paraId="2DE4D69B" w14:textId="77777777" w:rsidTr="002279EC">
        <w:tc>
          <w:tcPr>
            <w:tcW w:w="784" w:type="pct"/>
            <w:tcMar>
              <w:left w:w="85" w:type="dxa"/>
              <w:right w:w="85" w:type="dxa"/>
            </w:tcMar>
          </w:tcPr>
          <w:p w14:paraId="7AAEDE12" w14:textId="1F710881" w:rsidR="00267C69" w:rsidRPr="00C86E49" w:rsidRDefault="00715A03" w:rsidP="0036689B">
            <w:pPr>
              <w:pStyle w:val="TableText"/>
            </w:pPr>
            <w:r w:rsidRPr="00C86E49">
              <w:t>Vetrovec 2020</w:t>
            </w:r>
            <w:r w:rsidR="0036689B" w:rsidRPr="00C86E49">
              <w:br/>
            </w:r>
            <w:r w:rsidRPr="00C86E49">
              <w:t>(In-hospital)</w:t>
            </w:r>
          </w:p>
        </w:tc>
        <w:tc>
          <w:tcPr>
            <w:tcW w:w="552" w:type="pct"/>
            <w:gridSpan w:val="3"/>
            <w:tcMar>
              <w:left w:w="85" w:type="dxa"/>
              <w:right w:w="85" w:type="dxa"/>
            </w:tcMar>
          </w:tcPr>
          <w:p w14:paraId="218A57C5" w14:textId="302A8234" w:rsidR="00267C69" w:rsidRPr="00C86E49" w:rsidRDefault="007C0F43" w:rsidP="00267C69">
            <w:pPr>
              <w:pStyle w:val="TableText"/>
            </w:pPr>
            <w:r w:rsidRPr="00C86E49">
              <w:t>AMI-CS</w:t>
            </w:r>
          </w:p>
        </w:tc>
        <w:tc>
          <w:tcPr>
            <w:tcW w:w="551" w:type="pct"/>
            <w:tcMar>
              <w:left w:w="85" w:type="dxa"/>
              <w:right w:w="85" w:type="dxa"/>
            </w:tcMar>
          </w:tcPr>
          <w:p w14:paraId="5355E487" w14:textId="014BD919" w:rsidR="00267C69" w:rsidRPr="00C86E49" w:rsidRDefault="007C0F43" w:rsidP="00267C69">
            <w:pPr>
              <w:pStyle w:val="TableText"/>
            </w:pPr>
            <w:r w:rsidRPr="00C86E49">
              <w:t>178/338</w:t>
            </w:r>
            <w:r w:rsidR="00AB4F18" w:rsidRPr="00C86E49">
              <w:br/>
            </w:r>
            <w:r w:rsidRPr="00C86E49">
              <w:t>(52.7%)</w:t>
            </w:r>
          </w:p>
        </w:tc>
        <w:tc>
          <w:tcPr>
            <w:tcW w:w="557" w:type="pct"/>
            <w:tcMar>
              <w:left w:w="85" w:type="dxa"/>
              <w:right w:w="85" w:type="dxa"/>
            </w:tcMar>
          </w:tcPr>
          <w:p w14:paraId="212CDF38" w14:textId="5E42F167" w:rsidR="00267C69" w:rsidRPr="00C86E49" w:rsidRDefault="007C0F43" w:rsidP="00267C69">
            <w:pPr>
              <w:pStyle w:val="TableText"/>
            </w:pPr>
            <w:r w:rsidRPr="00C86E49">
              <w:t>217/338</w:t>
            </w:r>
            <w:r w:rsidR="00AB4F18" w:rsidRPr="00C86E49">
              <w:br/>
            </w:r>
            <w:r w:rsidRPr="00C86E49">
              <w:t>(64.2%)</w:t>
            </w:r>
          </w:p>
        </w:tc>
        <w:tc>
          <w:tcPr>
            <w:tcW w:w="865" w:type="pct"/>
            <w:tcMar>
              <w:left w:w="85" w:type="dxa"/>
              <w:right w:w="85" w:type="dxa"/>
            </w:tcMar>
          </w:tcPr>
          <w:p w14:paraId="517C2875" w14:textId="254B67F0" w:rsidR="00267C69" w:rsidRPr="00C86E49" w:rsidRDefault="007C0F43" w:rsidP="00267C69">
            <w:pPr>
              <w:pStyle w:val="TableText"/>
              <w:rPr>
                <w:b/>
                <w:bCs/>
              </w:rPr>
            </w:pPr>
            <w:r w:rsidRPr="00C86E49">
              <w:rPr>
                <w:b/>
                <w:bCs/>
              </w:rPr>
              <w:t>0.62 [0.46, 0.84]</w:t>
            </w:r>
            <w:r w:rsidR="00472EFF" w:rsidRPr="00C86E49">
              <w:rPr>
                <w:b/>
                <w:bCs/>
              </w:rPr>
              <w:br/>
            </w:r>
            <w:r w:rsidRPr="00C86E49">
              <w:rPr>
                <w:b/>
                <w:bCs/>
              </w:rPr>
              <w:t>p=0.002</w:t>
            </w:r>
          </w:p>
        </w:tc>
        <w:tc>
          <w:tcPr>
            <w:tcW w:w="788" w:type="pct"/>
            <w:tcMar>
              <w:left w:w="85" w:type="dxa"/>
              <w:right w:w="85" w:type="dxa"/>
            </w:tcMar>
          </w:tcPr>
          <w:p w14:paraId="2328E46D" w14:textId="39BF8038" w:rsidR="00267C69" w:rsidRPr="00C86E49" w:rsidRDefault="007C0F43" w:rsidP="00267C69">
            <w:pPr>
              <w:pStyle w:val="TableText"/>
              <w:rPr>
                <w:b/>
                <w:bCs/>
              </w:rPr>
            </w:pPr>
            <w:r w:rsidRPr="00C86E49">
              <w:rPr>
                <w:b/>
                <w:bCs/>
              </w:rPr>
              <w:t>0.82 [0.72, 0.93]</w:t>
            </w:r>
            <w:r w:rsidR="00472EFF" w:rsidRPr="00C86E49">
              <w:rPr>
                <w:b/>
                <w:bCs/>
              </w:rPr>
              <w:br/>
            </w:r>
            <w:r w:rsidRPr="00C86E49">
              <w:rPr>
                <w:b/>
                <w:bCs/>
              </w:rPr>
              <w:t>p=0.003</w:t>
            </w:r>
          </w:p>
        </w:tc>
        <w:tc>
          <w:tcPr>
            <w:tcW w:w="903" w:type="pct"/>
            <w:tcMar>
              <w:left w:w="85" w:type="dxa"/>
              <w:right w:w="85" w:type="dxa"/>
            </w:tcMar>
          </w:tcPr>
          <w:p w14:paraId="72CFEDDB" w14:textId="200D11BA" w:rsidR="00267C69" w:rsidRPr="00C86E49" w:rsidRDefault="007C0F43" w:rsidP="00267C69">
            <w:pPr>
              <w:pStyle w:val="TableText"/>
              <w:rPr>
                <w:b/>
                <w:bCs/>
              </w:rPr>
            </w:pPr>
            <w:r w:rsidRPr="00C86E49">
              <w:rPr>
                <w:b/>
                <w:bCs/>
              </w:rPr>
              <w:t>-0.12 [-0.19, -0.04]</w:t>
            </w:r>
            <w:r w:rsidR="00472EFF" w:rsidRPr="00C86E49">
              <w:rPr>
                <w:b/>
                <w:bCs/>
              </w:rPr>
              <w:br/>
            </w:r>
            <w:r w:rsidRPr="00C86E49">
              <w:rPr>
                <w:b/>
                <w:bCs/>
              </w:rPr>
              <w:t>p=0.002</w:t>
            </w:r>
          </w:p>
        </w:tc>
      </w:tr>
      <w:tr w:rsidR="002179A4" w:rsidRPr="00C86E49" w14:paraId="1AC7A7E3" w14:textId="77777777" w:rsidTr="002279EC">
        <w:tc>
          <w:tcPr>
            <w:tcW w:w="784" w:type="pct"/>
            <w:tcBorders>
              <w:bottom w:val="single" w:sz="4" w:space="0" w:color="auto"/>
            </w:tcBorders>
            <w:tcMar>
              <w:left w:w="85" w:type="dxa"/>
              <w:right w:w="85" w:type="dxa"/>
            </w:tcMar>
          </w:tcPr>
          <w:p w14:paraId="2F04AAA9" w14:textId="4BE1F998" w:rsidR="00267C69" w:rsidRPr="00C86E49" w:rsidRDefault="00D63B1D" w:rsidP="0036689B">
            <w:pPr>
              <w:pStyle w:val="TableText"/>
            </w:pPr>
            <w:r w:rsidRPr="00C86E49">
              <w:t>Wernly 2021</w:t>
            </w:r>
            <w:r w:rsidR="004952F4" w:rsidRPr="00C86E49">
              <w:rPr>
                <w:vertAlign w:val="superscript"/>
              </w:rPr>
              <w:t>b</w:t>
            </w:r>
            <w:r w:rsidR="0036689B" w:rsidRPr="00C86E49">
              <w:br/>
            </w:r>
            <w:r w:rsidRPr="00C86E49">
              <w:t>(30</w:t>
            </w:r>
            <w:r w:rsidR="00225077" w:rsidRPr="00C86E49">
              <w:t>-</w:t>
            </w:r>
            <w:r w:rsidRPr="00C86E49">
              <w:t>day)</w:t>
            </w:r>
          </w:p>
        </w:tc>
        <w:tc>
          <w:tcPr>
            <w:tcW w:w="552" w:type="pct"/>
            <w:gridSpan w:val="3"/>
            <w:tcBorders>
              <w:bottom w:val="single" w:sz="4" w:space="0" w:color="auto"/>
            </w:tcBorders>
            <w:tcMar>
              <w:left w:w="85" w:type="dxa"/>
              <w:right w:w="85" w:type="dxa"/>
            </w:tcMar>
          </w:tcPr>
          <w:p w14:paraId="6113F095" w14:textId="60E72B78" w:rsidR="00267C69" w:rsidRPr="00C86E49" w:rsidRDefault="00450F9F" w:rsidP="00267C69">
            <w:pPr>
              <w:pStyle w:val="TableText"/>
            </w:pPr>
            <w:r w:rsidRPr="00C86E49">
              <w:t>AMI-CS and CA-CS</w:t>
            </w:r>
          </w:p>
        </w:tc>
        <w:tc>
          <w:tcPr>
            <w:tcW w:w="551" w:type="pct"/>
            <w:tcBorders>
              <w:bottom w:val="single" w:sz="4" w:space="0" w:color="auto"/>
            </w:tcBorders>
            <w:tcMar>
              <w:left w:w="85" w:type="dxa"/>
              <w:right w:w="85" w:type="dxa"/>
            </w:tcMar>
          </w:tcPr>
          <w:p w14:paraId="55016024" w14:textId="6C2EB32D" w:rsidR="00267C69" w:rsidRPr="00C86E49" w:rsidRDefault="00E4285E" w:rsidP="00267C69">
            <w:pPr>
              <w:pStyle w:val="TableText"/>
            </w:pPr>
            <w:r w:rsidRPr="00C86E49">
              <w:t>–</w:t>
            </w:r>
          </w:p>
        </w:tc>
        <w:tc>
          <w:tcPr>
            <w:tcW w:w="557" w:type="pct"/>
            <w:tcBorders>
              <w:bottom w:val="single" w:sz="4" w:space="0" w:color="auto"/>
            </w:tcBorders>
            <w:tcMar>
              <w:left w:w="85" w:type="dxa"/>
              <w:right w:w="85" w:type="dxa"/>
            </w:tcMar>
          </w:tcPr>
          <w:p w14:paraId="30D22104" w14:textId="569CB4B1" w:rsidR="00267C69" w:rsidRPr="00C86E49" w:rsidRDefault="00E4285E" w:rsidP="00267C69">
            <w:pPr>
              <w:pStyle w:val="TableText"/>
            </w:pPr>
            <w:r w:rsidRPr="00C86E49">
              <w:t>–</w:t>
            </w:r>
          </w:p>
        </w:tc>
        <w:tc>
          <w:tcPr>
            <w:tcW w:w="865" w:type="pct"/>
            <w:tcBorders>
              <w:bottom w:val="single" w:sz="4" w:space="0" w:color="auto"/>
            </w:tcBorders>
            <w:tcMar>
              <w:left w:w="85" w:type="dxa"/>
              <w:right w:w="85" w:type="dxa"/>
            </w:tcMar>
          </w:tcPr>
          <w:p w14:paraId="08496B6D" w14:textId="68F80BE2" w:rsidR="00267C69" w:rsidRPr="00C86E49" w:rsidRDefault="00560162" w:rsidP="00267C69">
            <w:pPr>
              <w:pStyle w:val="TableText"/>
            </w:pPr>
            <w:r w:rsidRPr="00C86E49">
              <w:t>As reported:</w:t>
            </w:r>
            <w:r w:rsidRPr="00C86E49">
              <w:br/>
            </w:r>
            <w:r w:rsidR="00E4285E" w:rsidRPr="00C86E49">
              <w:t>4.19 [0.53, 33.25]</w:t>
            </w:r>
            <w:r w:rsidR="003337CC" w:rsidRPr="00C86E49">
              <w:rPr>
                <w:vertAlign w:val="superscript"/>
              </w:rPr>
              <w:t>c</w:t>
            </w:r>
            <w:r w:rsidR="00472EFF" w:rsidRPr="00C86E49">
              <w:br/>
            </w:r>
            <w:r w:rsidR="001A36D1" w:rsidRPr="00C86E49">
              <w:t>4.</w:t>
            </w:r>
            <w:r w:rsidR="005302A9" w:rsidRPr="00C86E49">
              <w:t xml:space="preserve">37 [0.51, </w:t>
            </w:r>
            <w:proofErr w:type="gramStart"/>
            <w:r w:rsidR="005302A9" w:rsidRPr="00C86E49">
              <w:t>37.27]</w:t>
            </w:r>
            <w:r w:rsidR="003337CC" w:rsidRPr="00C86E49">
              <w:rPr>
                <w:vertAlign w:val="superscript"/>
              </w:rPr>
              <w:t>d</w:t>
            </w:r>
            <w:proofErr w:type="gramEnd"/>
            <w:r w:rsidR="001A36D1" w:rsidRPr="00C86E49">
              <w:br/>
            </w:r>
            <w:r w:rsidR="00E4285E" w:rsidRPr="00C86E49">
              <w:t>p=0.17</w:t>
            </w:r>
          </w:p>
        </w:tc>
        <w:tc>
          <w:tcPr>
            <w:tcW w:w="788" w:type="pct"/>
            <w:tcBorders>
              <w:bottom w:val="single" w:sz="4" w:space="0" w:color="auto"/>
            </w:tcBorders>
            <w:tcMar>
              <w:left w:w="85" w:type="dxa"/>
              <w:right w:w="85" w:type="dxa"/>
            </w:tcMar>
          </w:tcPr>
          <w:p w14:paraId="03AAE754" w14:textId="554EED0D" w:rsidR="00267C69" w:rsidRPr="00C86E49" w:rsidRDefault="00E4285E" w:rsidP="00267C69">
            <w:pPr>
              <w:pStyle w:val="TableText"/>
            </w:pPr>
            <w:r w:rsidRPr="00C86E49">
              <w:t>NR</w:t>
            </w:r>
          </w:p>
        </w:tc>
        <w:tc>
          <w:tcPr>
            <w:tcW w:w="903" w:type="pct"/>
            <w:tcBorders>
              <w:bottom w:val="single" w:sz="4" w:space="0" w:color="auto"/>
            </w:tcBorders>
            <w:tcMar>
              <w:left w:w="85" w:type="dxa"/>
              <w:right w:w="85" w:type="dxa"/>
            </w:tcMar>
          </w:tcPr>
          <w:p w14:paraId="4E7933DE" w14:textId="4FE8EA48" w:rsidR="00267C69" w:rsidRPr="00C86E49" w:rsidRDefault="00E4285E" w:rsidP="00267C69">
            <w:pPr>
              <w:pStyle w:val="TableText"/>
            </w:pPr>
            <w:r w:rsidRPr="00C86E49">
              <w:t>NR</w:t>
            </w:r>
          </w:p>
        </w:tc>
      </w:tr>
      <w:tr w:rsidR="00D17DFA" w:rsidRPr="00C86E49" w14:paraId="759686E8" w14:textId="77777777" w:rsidTr="002279EC">
        <w:tc>
          <w:tcPr>
            <w:tcW w:w="1170" w:type="pct"/>
            <w:gridSpan w:val="3"/>
            <w:tcBorders>
              <w:bottom w:val="dotted" w:sz="4" w:space="0" w:color="auto"/>
              <w:right w:val="nil"/>
            </w:tcBorders>
            <w:tcMar>
              <w:left w:w="85" w:type="dxa"/>
              <w:right w:w="85" w:type="dxa"/>
            </w:tcMar>
          </w:tcPr>
          <w:p w14:paraId="27696D1E" w14:textId="1B49F1A7" w:rsidR="00267C69" w:rsidRPr="00C86E49" w:rsidRDefault="00FB2397" w:rsidP="00267C69">
            <w:pPr>
              <w:pStyle w:val="TableText"/>
            </w:pPr>
            <w:r w:rsidRPr="00C86E49">
              <w:t xml:space="preserve">Meta-analysis </w:t>
            </w:r>
            <w:r w:rsidR="00E65EC1" w:rsidRPr="00C86E49">
              <w:br/>
              <w:t xml:space="preserve">excl. </w:t>
            </w:r>
            <w:r w:rsidRPr="00C86E49">
              <w:t>Wernly 2021</w:t>
            </w:r>
          </w:p>
        </w:tc>
        <w:tc>
          <w:tcPr>
            <w:tcW w:w="166" w:type="pct"/>
            <w:tcBorders>
              <w:left w:val="nil"/>
              <w:bottom w:val="dotted" w:sz="4" w:space="0" w:color="auto"/>
            </w:tcBorders>
            <w:tcMar>
              <w:left w:w="85" w:type="dxa"/>
              <w:right w:w="85" w:type="dxa"/>
            </w:tcMar>
          </w:tcPr>
          <w:p w14:paraId="128BDC03" w14:textId="77777777" w:rsidR="00267C69" w:rsidRPr="00C86E49" w:rsidRDefault="00267C69" w:rsidP="00267C69">
            <w:pPr>
              <w:pStyle w:val="TableText"/>
            </w:pPr>
          </w:p>
        </w:tc>
        <w:tc>
          <w:tcPr>
            <w:tcW w:w="551" w:type="pct"/>
            <w:tcBorders>
              <w:bottom w:val="dotted" w:sz="4" w:space="0" w:color="auto"/>
            </w:tcBorders>
            <w:tcMar>
              <w:left w:w="85" w:type="dxa"/>
              <w:right w:w="85" w:type="dxa"/>
            </w:tcMar>
          </w:tcPr>
          <w:p w14:paraId="1A8416D7" w14:textId="4D623842" w:rsidR="00267C69" w:rsidRPr="00C86E49" w:rsidRDefault="002B23C1" w:rsidP="00267C69">
            <w:pPr>
              <w:pStyle w:val="TableText"/>
            </w:pPr>
            <w:r w:rsidRPr="00C86E49">
              <w:t>361/911</w:t>
            </w:r>
            <w:r w:rsidR="00AB4F18" w:rsidRPr="00C86E49">
              <w:br/>
            </w:r>
            <w:r w:rsidRPr="00C86E49">
              <w:t>(39.6%)</w:t>
            </w:r>
          </w:p>
        </w:tc>
        <w:tc>
          <w:tcPr>
            <w:tcW w:w="557" w:type="pct"/>
            <w:tcBorders>
              <w:bottom w:val="dotted" w:sz="4" w:space="0" w:color="auto"/>
            </w:tcBorders>
            <w:tcMar>
              <w:left w:w="85" w:type="dxa"/>
              <w:right w:w="85" w:type="dxa"/>
            </w:tcMar>
          </w:tcPr>
          <w:p w14:paraId="586CEEFA" w14:textId="661C8339" w:rsidR="00267C69" w:rsidRPr="00C86E49" w:rsidRDefault="002B23C1" w:rsidP="00267C69">
            <w:pPr>
              <w:pStyle w:val="TableText"/>
            </w:pPr>
            <w:r w:rsidRPr="00C86E49">
              <w:t>490/911</w:t>
            </w:r>
            <w:r w:rsidR="00AB4F18" w:rsidRPr="00C86E49">
              <w:br/>
            </w:r>
            <w:r w:rsidRPr="00C86E49">
              <w:t>(53.8%)</w:t>
            </w:r>
          </w:p>
        </w:tc>
        <w:tc>
          <w:tcPr>
            <w:tcW w:w="865" w:type="pct"/>
            <w:tcBorders>
              <w:bottom w:val="dotted" w:sz="4" w:space="0" w:color="auto"/>
            </w:tcBorders>
            <w:tcMar>
              <w:left w:w="85" w:type="dxa"/>
              <w:right w:w="85" w:type="dxa"/>
            </w:tcMar>
          </w:tcPr>
          <w:p w14:paraId="6618C17D" w14:textId="6CC1F1B7" w:rsidR="00267C69" w:rsidRPr="00C86E49" w:rsidRDefault="002B23C1" w:rsidP="00267C69">
            <w:pPr>
              <w:pStyle w:val="TableText"/>
              <w:rPr>
                <w:b/>
              </w:rPr>
            </w:pPr>
            <w:r w:rsidRPr="00C86E49">
              <w:rPr>
                <w:b/>
              </w:rPr>
              <w:t>0.55 [0.45, 0.66]</w:t>
            </w:r>
            <w:r w:rsidR="00472EFF" w:rsidRPr="00C86E49">
              <w:rPr>
                <w:b/>
              </w:rPr>
              <w:br/>
            </w:r>
            <w:r w:rsidRPr="00C86E49">
              <w:rPr>
                <w:b/>
              </w:rPr>
              <w:t>p&lt;0.00001</w:t>
            </w:r>
          </w:p>
        </w:tc>
        <w:tc>
          <w:tcPr>
            <w:tcW w:w="788" w:type="pct"/>
            <w:tcBorders>
              <w:bottom w:val="dotted" w:sz="4" w:space="0" w:color="auto"/>
            </w:tcBorders>
            <w:tcMar>
              <w:left w:w="85" w:type="dxa"/>
              <w:right w:w="85" w:type="dxa"/>
            </w:tcMar>
          </w:tcPr>
          <w:p w14:paraId="5EC3BBFD" w14:textId="7F2DC9DA" w:rsidR="00267C69" w:rsidRPr="00C86E49" w:rsidRDefault="002B23C1" w:rsidP="00267C69">
            <w:pPr>
              <w:pStyle w:val="TableText"/>
              <w:rPr>
                <w:b/>
              </w:rPr>
            </w:pPr>
            <w:r w:rsidRPr="00C86E49">
              <w:rPr>
                <w:b/>
              </w:rPr>
              <w:t>0.75 [0.64, 0.89]</w:t>
            </w:r>
            <w:r w:rsidR="00472EFF" w:rsidRPr="00C86E49">
              <w:rPr>
                <w:b/>
              </w:rPr>
              <w:br/>
            </w:r>
            <w:r w:rsidRPr="00C86E49">
              <w:rPr>
                <w:b/>
              </w:rPr>
              <w:t>p=0.0006</w:t>
            </w:r>
          </w:p>
        </w:tc>
        <w:tc>
          <w:tcPr>
            <w:tcW w:w="903" w:type="pct"/>
            <w:tcBorders>
              <w:bottom w:val="dotted" w:sz="4" w:space="0" w:color="auto"/>
            </w:tcBorders>
            <w:tcMar>
              <w:left w:w="85" w:type="dxa"/>
              <w:right w:w="85" w:type="dxa"/>
            </w:tcMar>
          </w:tcPr>
          <w:p w14:paraId="160FC21D" w14:textId="62C03B8A" w:rsidR="00267C69" w:rsidRPr="00C86E49" w:rsidRDefault="002B23C1" w:rsidP="00267C69">
            <w:pPr>
              <w:pStyle w:val="TableText"/>
              <w:rPr>
                <w:b/>
              </w:rPr>
            </w:pPr>
            <w:r w:rsidRPr="00C86E49">
              <w:rPr>
                <w:b/>
              </w:rPr>
              <w:t>-0.14 [-0.19, -0.10]</w:t>
            </w:r>
            <w:r w:rsidR="00472EFF" w:rsidRPr="00C86E49">
              <w:rPr>
                <w:b/>
              </w:rPr>
              <w:br/>
            </w:r>
            <w:r w:rsidRPr="00C86E49">
              <w:rPr>
                <w:b/>
              </w:rPr>
              <w:t>p&lt;0.00001</w:t>
            </w:r>
          </w:p>
        </w:tc>
      </w:tr>
      <w:tr w:rsidR="001D3D87" w:rsidRPr="00C86E49" w14:paraId="263D1BB4" w14:textId="77777777" w:rsidTr="001D3D87">
        <w:tc>
          <w:tcPr>
            <w:tcW w:w="1018" w:type="pct"/>
            <w:gridSpan w:val="2"/>
            <w:tcBorders>
              <w:top w:val="dotted" w:sz="4" w:space="0" w:color="auto"/>
              <w:bottom w:val="single" w:sz="4" w:space="0" w:color="auto"/>
              <w:right w:val="nil"/>
            </w:tcBorders>
            <w:tcMar>
              <w:left w:w="85" w:type="dxa"/>
              <w:right w:w="85" w:type="dxa"/>
            </w:tcMar>
          </w:tcPr>
          <w:p w14:paraId="708B699F" w14:textId="341422D4" w:rsidR="00267C69" w:rsidRPr="00C86E49" w:rsidRDefault="00C77356" w:rsidP="00267C69">
            <w:pPr>
              <w:pStyle w:val="TableText"/>
            </w:pPr>
            <w:r w:rsidRPr="00C86E49">
              <w:t>Heterogeneity</w:t>
            </w:r>
          </w:p>
        </w:tc>
        <w:tc>
          <w:tcPr>
            <w:tcW w:w="318" w:type="pct"/>
            <w:gridSpan w:val="2"/>
            <w:tcBorders>
              <w:top w:val="dotted" w:sz="4" w:space="0" w:color="auto"/>
              <w:left w:val="nil"/>
              <w:bottom w:val="single" w:sz="4" w:space="0" w:color="auto"/>
              <w:right w:val="nil"/>
            </w:tcBorders>
            <w:tcMar>
              <w:left w:w="85" w:type="dxa"/>
              <w:right w:w="85" w:type="dxa"/>
            </w:tcMar>
          </w:tcPr>
          <w:p w14:paraId="2F5FE1E3" w14:textId="77777777" w:rsidR="00267C69" w:rsidRPr="00C86E49" w:rsidRDefault="00267C69" w:rsidP="00267C69">
            <w:pPr>
              <w:pStyle w:val="TableText"/>
            </w:pPr>
          </w:p>
        </w:tc>
        <w:tc>
          <w:tcPr>
            <w:tcW w:w="551" w:type="pct"/>
            <w:tcBorders>
              <w:top w:val="dotted" w:sz="4" w:space="0" w:color="auto"/>
              <w:left w:val="nil"/>
              <w:bottom w:val="single" w:sz="4" w:space="0" w:color="auto"/>
              <w:right w:val="nil"/>
            </w:tcBorders>
            <w:tcMar>
              <w:left w:w="85" w:type="dxa"/>
              <w:right w:w="85" w:type="dxa"/>
            </w:tcMar>
          </w:tcPr>
          <w:p w14:paraId="0C699550" w14:textId="77777777" w:rsidR="00267C69" w:rsidRPr="00C86E49" w:rsidRDefault="00267C69" w:rsidP="00267C69">
            <w:pPr>
              <w:pStyle w:val="TableText"/>
            </w:pPr>
          </w:p>
        </w:tc>
        <w:tc>
          <w:tcPr>
            <w:tcW w:w="557" w:type="pct"/>
            <w:tcBorders>
              <w:top w:val="dotted" w:sz="4" w:space="0" w:color="auto"/>
              <w:left w:val="nil"/>
              <w:bottom w:val="single" w:sz="4" w:space="0" w:color="auto"/>
            </w:tcBorders>
            <w:tcMar>
              <w:left w:w="85" w:type="dxa"/>
              <w:right w:w="85" w:type="dxa"/>
            </w:tcMar>
          </w:tcPr>
          <w:p w14:paraId="4991DB5B" w14:textId="77777777" w:rsidR="00267C69" w:rsidRPr="00C86E49" w:rsidRDefault="00267C69" w:rsidP="00267C69">
            <w:pPr>
              <w:pStyle w:val="TableText"/>
            </w:pPr>
          </w:p>
        </w:tc>
        <w:tc>
          <w:tcPr>
            <w:tcW w:w="865" w:type="pct"/>
            <w:tcBorders>
              <w:top w:val="dotted" w:sz="4" w:space="0" w:color="auto"/>
              <w:bottom w:val="single" w:sz="4" w:space="0" w:color="auto"/>
            </w:tcBorders>
            <w:tcMar>
              <w:left w:w="85" w:type="dxa"/>
              <w:right w:w="85" w:type="dxa"/>
            </w:tcMar>
          </w:tcPr>
          <w:p w14:paraId="7B98FBDC" w14:textId="5F32AEFD" w:rsidR="00267C69" w:rsidRPr="00C86E49" w:rsidRDefault="00D05319" w:rsidP="00267C69">
            <w:pPr>
              <w:pStyle w:val="TableText"/>
            </w:pPr>
            <w:r w:rsidRPr="00C86E49">
              <w:t>I</w:t>
            </w:r>
            <w:r w:rsidRPr="00C86E49">
              <w:rPr>
                <w:vertAlign w:val="superscript"/>
              </w:rPr>
              <w:t>2</w:t>
            </w:r>
            <w:r w:rsidRPr="00C86E49">
              <w:t>=0%; P=0.63</w:t>
            </w:r>
          </w:p>
        </w:tc>
        <w:tc>
          <w:tcPr>
            <w:tcW w:w="788" w:type="pct"/>
            <w:tcBorders>
              <w:top w:val="dotted" w:sz="4" w:space="0" w:color="auto"/>
              <w:bottom w:val="single" w:sz="4" w:space="0" w:color="auto"/>
            </w:tcBorders>
            <w:tcMar>
              <w:left w:w="85" w:type="dxa"/>
              <w:right w:w="85" w:type="dxa"/>
            </w:tcMar>
          </w:tcPr>
          <w:p w14:paraId="370323E7" w14:textId="366FFB40" w:rsidR="00267C69" w:rsidRPr="00C86E49" w:rsidRDefault="00D05319" w:rsidP="00267C69">
            <w:pPr>
              <w:pStyle w:val="TableText"/>
            </w:pPr>
            <w:r w:rsidRPr="00C86E49">
              <w:t>I</w:t>
            </w:r>
            <w:r w:rsidRPr="00C86E49">
              <w:rPr>
                <w:vertAlign w:val="superscript"/>
              </w:rPr>
              <w:t>2</w:t>
            </w:r>
            <w:r w:rsidRPr="00C86E49">
              <w:t>=57%; P=0.07</w:t>
            </w:r>
          </w:p>
        </w:tc>
        <w:tc>
          <w:tcPr>
            <w:tcW w:w="903" w:type="pct"/>
            <w:tcBorders>
              <w:top w:val="dotted" w:sz="4" w:space="0" w:color="auto"/>
              <w:bottom w:val="single" w:sz="4" w:space="0" w:color="auto"/>
            </w:tcBorders>
            <w:tcMar>
              <w:left w:w="85" w:type="dxa"/>
              <w:right w:w="85" w:type="dxa"/>
            </w:tcMar>
          </w:tcPr>
          <w:p w14:paraId="0E852DDC" w14:textId="010689D7" w:rsidR="00267C69" w:rsidRPr="00C86E49" w:rsidRDefault="00D05319" w:rsidP="00267C69">
            <w:pPr>
              <w:pStyle w:val="TableText"/>
            </w:pPr>
            <w:r w:rsidRPr="00C86E49">
              <w:t>I</w:t>
            </w:r>
            <w:r w:rsidRPr="00C86E49">
              <w:rPr>
                <w:vertAlign w:val="superscript"/>
              </w:rPr>
              <w:t>2</w:t>
            </w:r>
            <w:r w:rsidRPr="00C86E49">
              <w:t>=0%; P=0.75</w:t>
            </w:r>
          </w:p>
        </w:tc>
      </w:tr>
      <w:tr w:rsidR="001D3D87" w:rsidRPr="00C86E49" w14:paraId="626DE7B0" w14:textId="77777777" w:rsidTr="002279EC">
        <w:tc>
          <w:tcPr>
            <w:tcW w:w="1018" w:type="pct"/>
            <w:gridSpan w:val="2"/>
            <w:tcBorders>
              <w:bottom w:val="dotted" w:sz="4" w:space="0" w:color="auto"/>
              <w:right w:val="nil"/>
            </w:tcBorders>
            <w:tcMar>
              <w:left w:w="85" w:type="dxa"/>
              <w:right w:w="85" w:type="dxa"/>
            </w:tcMar>
          </w:tcPr>
          <w:p w14:paraId="7071C3B2" w14:textId="42CEA49C" w:rsidR="00267C69" w:rsidRPr="00C86E49" w:rsidRDefault="003C6CD5" w:rsidP="00267C69">
            <w:pPr>
              <w:pStyle w:val="TableText"/>
            </w:pPr>
            <w:r w:rsidRPr="00C86E49">
              <w:t xml:space="preserve">Meta-analysis </w:t>
            </w:r>
            <w:r w:rsidR="00E65EC1" w:rsidRPr="00C86E49">
              <w:br/>
              <w:t xml:space="preserve">incl. </w:t>
            </w:r>
            <w:r w:rsidRPr="00C86E49">
              <w:t>Wernly 2021</w:t>
            </w:r>
            <w:r w:rsidR="00D17DFA" w:rsidRPr="00C86E49">
              <w:rPr>
                <w:vertAlign w:val="superscript"/>
              </w:rPr>
              <w:t>e</w:t>
            </w:r>
          </w:p>
        </w:tc>
        <w:tc>
          <w:tcPr>
            <w:tcW w:w="318" w:type="pct"/>
            <w:gridSpan w:val="2"/>
            <w:tcBorders>
              <w:left w:val="nil"/>
              <w:bottom w:val="dotted" w:sz="4" w:space="0" w:color="auto"/>
              <w:right w:val="nil"/>
            </w:tcBorders>
            <w:tcMar>
              <w:left w:w="85" w:type="dxa"/>
              <w:right w:w="85" w:type="dxa"/>
            </w:tcMar>
          </w:tcPr>
          <w:p w14:paraId="576D7255" w14:textId="77777777" w:rsidR="00267C69" w:rsidRPr="00C86E49" w:rsidRDefault="00267C69" w:rsidP="00267C69">
            <w:pPr>
              <w:pStyle w:val="TableText"/>
            </w:pPr>
          </w:p>
        </w:tc>
        <w:tc>
          <w:tcPr>
            <w:tcW w:w="551" w:type="pct"/>
            <w:tcBorders>
              <w:left w:val="nil"/>
              <w:bottom w:val="dotted" w:sz="4" w:space="0" w:color="auto"/>
              <w:right w:val="nil"/>
            </w:tcBorders>
            <w:tcMar>
              <w:left w:w="85" w:type="dxa"/>
              <w:right w:w="85" w:type="dxa"/>
            </w:tcMar>
          </w:tcPr>
          <w:p w14:paraId="1CC80BA9" w14:textId="77777777" w:rsidR="00267C69" w:rsidRPr="00C86E49" w:rsidRDefault="00267C69" w:rsidP="00267C69">
            <w:pPr>
              <w:pStyle w:val="TableText"/>
            </w:pPr>
          </w:p>
        </w:tc>
        <w:tc>
          <w:tcPr>
            <w:tcW w:w="557" w:type="pct"/>
            <w:tcBorders>
              <w:left w:val="nil"/>
              <w:bottom w:val="dotted" w:sz="4" w:space="0" w:color="auto"/>
            </w:tcBorders>
            <w:tcMar>
              <w:left w:w="85" w:type="dxa"/>
              <w:right w:w="85" w:type="dxa"/>
            </w:tcMar>
          </w:tcPr>
          <w:p w14:paraId="417411A2" w14:textId="77777777" w:rsidR="00267C69" w:rsidRPr="00C86E49" w:rsidRDefault="00267C69" w:rsidP="00267C69">
            <w:pPr>
              <w:pStyle w:val="TableText"/>
            </w:pPr>
          </w:p>
        </w:tc>
        <w:tc>
          <w:tcPr>
            <w:tcW w:w="865" w:type="pct"/>
            <w:tcBorders>
              <w:bottom w:val="dotted" w:sz="4" w:space="0" w:color="auto"/>
            </w:tcBorders>
            <w:tcMar>
              <w:left w:w="85" w:type="dxa"/>
              <w:right w:w="85" w:type="dxa"/>
            </w:tcMar>
          </w:tcPr>
          <w:p w14:paraId="1CD55962" w14:textId="79ADEA96" w:rsidR="00267C69" w:rsidRPr="00C86E49" w:rsidRDefault="00D06B4E" w:rsidP="00267C69">
            <w:pPr>
              <w:pStyle w:val="TableText"/>
              <w:rPr>
                <w:b/>
              </w:rPr>
            </w:pPr>
            <w:r w:rsidRPr="00C86E49">
              <w:rPr>
                <w:b/>
                <w:bCs/>
              </w:rPr>
              <w:t>0.57 [0.44, 0.74]</w:t>
            </w:r>
            <w:r w:rsidR="003933C5" w:rsidRPr="00C86E49">
              <w:rPr>
                <w:b/>
                <w:bCs/>
              </w:rPr>
              <w:br/>
            </w:r>
            <w:r w:rsidRPr="00C86E49">
              <w:rPr>
                <w:b/>
                <w:bCs/>
              </w:rPr>
              <w:t>p&lt;0.0001</w:t>
            </w:r>
          </w:p>
        </w:tc>
        <w:tc>
          <w:tcPr>
            <w:tcW w:w="788" w:type="pct"/>
            <w:tcBorders>
              <w:bottom w:val="dotted" w:sz="4" w:space="0" w:color="auto"/>
            </w:tcBorders>
            <w:tcMar>
              <w:left w:w="85" w:type="dxa"/>
              <w:right w:w="85" w:type="dxa"/>
            </w:tcMar>
          </w:tcPr>
          <w:p w14:paraId="3FD2BCCC" w14:textId="1509C710" w:rsidR="00267C69" w:rsidRPr="00C86E49" w:rsidRDefault="00D06B4E" w:rsidP="00267C69">
            <w:pPr>
              <w:pStyle w:val="TableText"/>
            </w:pPr>
            <w:r w:rsidRPr="00C86E49">
              <w:t>–</w:t>
            </w:r>
          </w:p>
        </w:tc>
        <w:tc>
          <w:tcPr>
            <w:tcW w:w="903" w:type="pct"/>
            <w:tcBorders>
              <w:bottom w:val="dotted" w:sz="4" w:space="0" w:color="auto"/>
            </w:tcBorders>
            <w:tcMar>
              <w:left w:w="85" w:type="dxa"/>
              <w:right w:w="85" w:type="dxa"/>
            </w:tcMar>
          </w:tcPr>
          <w:p w14:paraId="12A1C0CB" w14:textId="332664AA" w:rsidR="00267C69" w:rsidRPr="00C86E49" w:rsidRDefault="00D06B4E" w:rsidP="00267C69">
            <w:pPr>
              <w:pStyle w:val="TableText"/>
            </w:pPr>
            <w:r w:rsidRPr="00C86E49">
              <w:t>–</w:t>
            </w:r>
          </w:p>
        </w:tc>
      </w:tr>
      <w:tr w:rsidR="001D3D87" w:rsidRPr="00C86E49" w14:paraId="4CD141F0" w14:textId="77777777" w:rsidTr="001D3D87">
        <w:tc>
          <w:tcPr>
            <w:tcW w:w="1018" w:type="pct"/>
            <w:gridSpan w:val="2"/>
            <w:tcBorders>
              <w:top w:val="dotted" w:sz="4" w:space="0" w:color="auto"/>
              <w:right w:val="nil"/>
            </w:tcBorders>
            <w:tcMar>
              <w:left w:w="85" w:type="dxa"/>
              <w:right w:w="85" w:type="dxa"/>
            </w:tcMar>
          </w:tcPr>
          <w:p w14:paraId="4D358B7A" w14:textId="6646B1D6" w:rsidR="00437C89" w:rsidRPr="00C86E49" w:rsidRDefault="00B65444" w:rsidP="00D06B4E">
            <w:pPr>
              <w:pStyle w:val="TableText"/>
            </w:pPr>
            <w:r w:rsidRPr="00C86E49">
              <w:t>Heterogeneity</w:t>
            </w:r>
          </w:p>
        </w:tc>
        <w:tc>
          <w:tcPr>
            <w:tcW w:w="318" w:type="pct"/>
            <w:gridSpan w:val="2"/>
            <w:tcBorders>
              <w:top w:val="dotted" w:sz="4" w:space="0" w:color="auto"/>
              <w:left w:val="nil"/>
              <w:right w:val="nil"/>
            </w:tcBorders>
            <w:tcMar>
              <w:left w:w="85" w:type="dxa"/>
              <w:right w:w="85" w:type="dxa"/>
            </w:tcMar>
          </w:tcPr>
          <w:p w14:paraId="1A34B6F7" w14:textId="77777777" w:rsidR="00437C89" w:rsidRPr="00C86E49" w:rsidRDefault="00437C89" w:rsidP="00D06B4E">
            <w:pPr>
              <w:pStyle w:val="TableText"/>
            </w:pPr>
          </w:p>
        </w:tc>
        <w:tc>
          <w:tcPr>
            <w:tcW w:w="548" w:type="pct"/>
            <w:tcBorders>
              <w:top w:val="dotted" w:sz="4" w:space="0" w:color="auto"/>
              <w:left w:val="nil"/>
              <w:right w:val="nil"/>
            </w:tcBorders>
            <w:tcMar>
              <w:left w:w="85" w:type="dxa"/>
              <w:right w:w="85" w:type="dxa"/>
            </w:tcMar>
          </w:tcPr>
          <w:p w14:paraId="735BEDEE" w14:textId="77777777" w:rsidR="00437C89" w:rsidRPr="00C86E49" w:rsidRDefault="00437C89" w:rsidP="00D06B4E">
            <w:pPr>
              <w:pStyle w:val="TableText"/>
            </w:pPr>
          </w:p>
        </w:tc>
        <w:tc>
          <w:tcPr>
            <w:tcW w:w="560" w:type="pct"/>
            <w:tcBorders>
              <w:top w:val="dotted" w:sz="4" w:space="0" w:color="auto"/>
              <w:left w:val="nil"/>
            </w:tcBorders>
            <w:tcMar>
              <w:left w:w="85" w:type="dxa"/>
              <w:right w:w="85" w:type="dxa"/>
            </w:tcMar>
          </w:tcPr>
          <w:p w14:paraId="28C3B940" w14:textId="77777777" w:rsidR="00437C89" w:rsidRPr="00C86E49" w:rsidRDefault="00437C89" w:rsidP="00D06B4E">
            <w:pPr>
              <w:pStyle w:val="TableText"/>
            </w:pPr>
          </w:p>
        </w:tc>
        <w:tc>
          <w:tcPr>
            <w:tcW w:w="865" w:type="pct"/>
            <w:tcBorders>
              <w:top w:val="dotted" w:sz="4" w:space="0" w:color="auto"/>
            </w:tcBorders>
            <w:tcMar>
              <w:left w:w="85" w:type="dxa"/>
              <w:right w:w="85" w:type="dxa"/>
            </w:tcMar>
          </w:tcPr>
          <w:p w14:paraId="77A69467" w14:textId="299DC26E" w:rsidR="00437C89" w:rsidRPr="00C86E49" w:rsidRDefault="0016371D" w:rsidP="00D06B4E">
            <w:pPr>
              <w:pStyle w:val="TableText"/>
              <w:rPr>
                <w:b/>
                <w:bCs/>
              </w:rPr>
            </w:pPr>
            <w:r w:rsidRPr="00C86E49">
              <w:t>I</w:t>
            </w:r>
            <w:r w:rsidRPr="00C86E49">
              <w:rPr>
                <w:vertAlign w:val="superscript"/>
              </w:rPr>
              <w:t>2</w:t>
            </w:r>
            <w:r w:rsidRPr="00C86E49">
              <w:t>=27%; P=0.24</w:t>
            </w:r>
          </w:p>
        </w:tc>
        <w:tc>
          <w:tcPr>
            <w:tcW w:w="788" w:type="pct"/>
            <w:tcBorders>
              <w:top w:val="dotted" w:sz="4" w:space="0" w:color="auto"/>
            </w:tcBorders>
            <w:tcMar>
              <w:left w:w="85" w:type="dxa"/>
              <w:right w:w="85" w:type="dxa"/>
            </w:tcMar>
          </w:tcPr>
          <w:p w14:paraId="4C98308C" w14:textId="2438B607" w:rsidR="00437C89" w:rsidRPr="00C86E49" w:rsidRDefault="0016371D" w:rsidP="00D06B4E">
            <w:pPr>
              <w:pStyle w:val="TableText"/>
            </w:pPr>
            <w:r w:rsidRPr="00C86E49">
              <w:t>–</w:t>
            </w:r>
          </w:p>
        </w:tc>
        <w:tc>
          <w:tcPr>
            <w:tcW w:w="903" w:type="pct"/>
            <w:tcBorders>
              <w:top w:val="dotted" w:sz="4" w:space="0" w:color="auto"/>
            </w:tcBorders>
            <w:tcMar>
              <w:left w:w="85" w:type="dxa"/>
              <w:right w:w="85" w:type="dxa"/>
            </w:tcMar>
          </w:tcPr>
          <w:p w14:paraId="058B51E4" w14:textId="2EABE9A2" w:rsidR="00437C89" w:rsidRPr="00C86E49" w:rsidRDefault="0016371D" w:rsidP="00D06B4E">
            <w:pPr>
              <w:pStyle w:val="TableText"/>
            </w:pPr>
            <w:r w:rsidRPr="00C86E49">
              <w:t>–</w:t>
            </w:r>
          </w:p>
        </w:tc>
      </w:tr>
    </w:tbl>
    <w:p w14:paraId="60F0CE6E" w14:textId="04A2A9F6" w:rsidR="00C8725A" w:rsidRPr="00C86E49" w:rsidRDefault="00C8725A" w:rsidP="00C8725A">
      <w:pPr>
        <w:pStyle w:val="TableFigureFooter"/>
      </w:pPr>
      <w:r w:rsidRPr="00C86E49">
        <w:t xml:space="preserve">AMI = acute myocardial infarction; CA = cardiac arrest; CI = confidence interval; CS = cardiogenic shock; </w:t>
      </w:r>
      <w:r w:rsidR="00D4440F" w:rsidRPr="00C86E49">
        <w:t xml:space="preserve">NR = not reported; </w:t>
      </w:r>
      <w:r w:rsidRPr="00C86E49">
        <w:t>OHCA = out-of-hospital cardiac arrest; OR = odds ratio; RD = risk difference; RR = relative risk; VA-ECMO = veno-arterial extracorporeal membrane oxygenation.</w:t>
      </w:r>
    </w:p>
    <w:p w14:paraId="1CCE81EB" w14:textId="28A22FAA" w:rsidR="00560162" w:rsidRPr="00C86E49" w:rsidRDefault="00560162" w:rsidP="00560162">
      <w:pPr>
        <w:pStyle w:val="TableFigureFooter"/>
      </w:pPr>
      <w:r w:rsidRPr="00C86E49">
        <w:t xml:space="preserve">Note: </w:t>
      </w:r>
      <w:r w:rsidR="00546678" w:rsidRPr="00C86E49">
        <w:t>Survival rates from Karatolios (2021) and Syntila (2021) were converted to mortality rates to enable comparison</w:t>
      </w:r>
      <w:r w:rsidR="000F3E0F" w:rsidRPr="00C86E49">
        <w:t xml:space="preserve">. </w:t>
      </w:r>
      <w:r w:rsidRPr="00C86E49">
        <w:t xml:space="preserve">Point estimates </w:t>
      </w:r>
      <w:r w:rsidR="000F3E0F" w:rsidRPr="00C86E49">
        <w:t xml:space="preserve">were </w:t>
      </w:r>
      <w:r w:rsidRPr="00C86E49">
        <w:t xml:space="preserve">calculated for the ADAR using RevMan 5.3, except </w:t>
      </w:r>
      <w:r w:rsidR="00C92076" w:rsidRPr="00C86E49">
        <w:t xml:space="preserve">for Wernly 2021 (OR as reported in study publication) and Lemor 2020 (OR as reported in study publication </w:t>
      </w:r>
      <w:proofErr w:type="gramStart"/>
      <w:r w:rsidR="00C92076" w:rsidRPr="00C86E49">
        <w:t>and also</w:t>
      </w:r>
      <w:proofErr w:type="gramEnd"/>
      <w:r w:rsidR="00C92076" w:rsidRPr="00C86E49">
        <w:t xml:space="preserve"> as calculated in the ADAR)</w:t>
      </w:r>
      <w:r w:rsidRPr="00C86E49">
        <w:t>. Statistically significant results are in bold.</w:t>
      </w:r>
    </w:p>
    <w:p w14:paraId="72160285" w14:textId="1E1C8B30" w:rsidR="00B14A76" w:rsidRPr="00C86E49" w:rsidRDefault="001D5E2D" w:rsidP="00B14A76">
      <w:pPr>
        <w:pStyle w:val="TableFigureFooter"/>
      </w:pPr>
      <w:r w:rsidRPr="00C86E49">
        <w:rPr>
          <w:vertAlign w:val="superscript"/>
        </w:rPr>
        <w:t>a</w:t>
      </w:r>
      <w:r w:rsidR="00B14A76" w:rsidRPr="00C86E49">
        <w:rPr>
          <w:vertAlign w:val="superscript"/>
        </w:rPr>
        <w:t xml:space="preserve"> </w:t>
      </w:r>
      <w:r w:rsidR="00692AD7" w:rsidRPr="00C86E49">
        <w:t>Risks</w:t>
      </w:r>
      <w:r w:rsidR="00A73964" w:rsidRPr="00C86E49">
        <w:t xml:space="preserve"> relate to the PSM cohorts.</w:t>
      </w:r>
    </w:p>
    <w:p w14:paraId="5B1A08BD" w14:textId="449B1700" w:rsidR="003337CC" w:rsidRPr="00C86E49" w:rsidRDefault="004952F4" w:rsidP="00B14A76">
      <w:pPr>
        <w:pStyle w:val="TableFigureFooter"/>
      </w:pPr>
      <w:r w:rsidRPr="00C86E49">
        <w:rPr>
          <w:vertAlign w:val="superscript"/>
        </w:rPr>
        <w:t>b</w:t>
      </w:r>
      <w:r w:rsidR="00B14A76" w:rsidRPr="00C86E49">
        <w:t xml:space="preserve"> Wernly (2021) only </w:t>
      </w:r>
      <w:r w:rsidR="00966DD9" w:rsidRPr="00C86E49">
        <w:t xml:space="preserve">reported </w:t>
      </w:r>
      <w:r w:rsidR="00B14A76" w:rsidRPr="00C86E49">
        <w:t>percentages for unadjusted data</w:t>
      </w:r>
      <w:r w:rsidRPr="00C86E49">
        <w:t>:</w:t>
      </w:r>
      <w:r w:rsidR="00B14A76" w:rsidRPr="00C86E49">
        <w:t xml:space="preserve"> IMPELLA 51/73 (69.9%) versus VA-ECMO 63/76 (82.9%)</w:t>
      </w:r>
      <w:r w:rsidR="004746FD" w:rsidRPr="00C86E49">
        <w:t xml:space="preserve">. </w:t>
      </w:r>
    </w:p>
    <w:p w14:paraId="7D238092" w14:textId="7F4E13C8" w:rsidR="00661936" w:rsidRPr="00C86E49" w:rsidRDefault="003337CC" w:rsidP="00B14A76">
      <w:pPr>
        <w:pStyle w:val="TableFigureFooter"/>
      </w:pPr>
      <w:r w:rsidRPr="00C86E49">
        <w:rPr>
          <w:vertAlign w:val="superscript"/>
        </w:rPr>
        <w:t>c</w:t>
      </w:r>
      <w:r w:rsidRPr="00C86E49">
        <w:t xml:space="preserve"> </w:t>
      </w:r>
      <w:r w:rsidR="004746FD" w:rsidRPr="00C86E49">
        <w:t>Reported OR is adjusted for lactate.</w:t>
      </w:r>
    </w:p>
    <w:p w14:paraId="3A772AEC" w14:textId="15536E19" w:rsidR="00BE7BF6" w:rsidRPr="00C86E49" w:rsidRDefault="008856DF" w:rsidP="00B14A76">
      <w:pPr>
        <w:pStyle w:val="TableFigureFooter"/>
      </w:pPr>
      <w:r w:rsidRPr="00C86E49">
        <w:rPr>
          <w:vertAlign w:val="superscript"/>
        </w:rPr>
        <w:t>d</w:t>
      </w:r>
      <w:r w:rsidR="00BE7BF6" w:rsidRPr="00C86E49">
        <w:t xml:space="preserve"> </w:t>
      </w:r>
      <w:r w:rsidRPr="00C86E49">
        <w:t>Reported OR is a</w:t>
      </w:r>
      <w:r w:rsidR="00BE7BF6" w:rsidRPr="00C86E49">
        <w:t>djusted for lactate</w:t>
      </w:r>
      <w:r w:rsidR="00BA0D2A" w:rsidRPr="00C86E49">
        <w:t xml:space="preserve"> plus procedural feasibility and vascular injury.</w:t>
      </w:r>
    </w:p>
    <w:p w14:paraId="747C91C6" w14:textId="2059FA7F" w:rsidR="00C8725A" w:rsidRPr="00C86E49" w:rsidRDefault="00C8725A" w:rsidP="00C8725A">
      <w:pPr>
        <w:pStyle w:val="TableFigureFooter"/>
      </w:pPr>
      <w:r w:rsidRPr="00C86E49">
        <w:t xml:space="preserve">Source: Excerpt from Table </w:t>
      </w:r>
      <w:r w:rsidR="008856DF" w:rsidRPr="00C86E49">
        <w:t>34</w:t>
      </w:r>
      <w:r w:rsidRPr="00C86E49">
        <w:t xml:space="preserve"> of MSAC 1523.1 ADAR+in-line commentary</w:t>
      </w:r>
    </w:p>
    <w:p w14:paraId="2A34FDC3" w14:textId="7D8A8CE8" w:rsidR="006F0EEF" w:rsidRPr="00C86E49" w:rsidRDefault="006F0EEF" w:rsidP="006F0EEF">
      <w:pPr>
        <w:pStyle w:val="Caption"/>
      </w:pPr>
      <w:bookmarkStart w:id="34" w:name="_Ref152096318"/>
      <w:r w:rsidRPr="00C86E49">
        <w:t xml:space="preserve">Figure </w:t>
      </w:r>
      <w:r w:rsidR="007552E5">
        <w:fldChar w:fldCharType="begin"/>
      </w:r>
      <w:r w:rsidR="007552E5">
        <w:instrText xml:space="preserve"> SEQ Figure \* ARABIC </w:instrText>
      </w:r>
      <w:r w:rsidR="007552E5">
        <w:fldChar w:fldCharType="separate"/>
      </w:r>
      <w:r w:rsidR="00EF3514" w:rsidRPr="00C86E49">
        <w:rPr>
          <w:noProof/>
        </w:rPr>
        <w:t>4</w:t>
      </w:r>
      <w:r w:rsidR="007552E5">
        <w:rPr>
          <w:noProof/>
        </w:rPr>
        <w:fldChar w:fldCharType="end"/>
      </w:r>
      <w:bookmarkEnd w:id="34"/>
      <w:r w:rsidRPr="00C86E49">
        <w:tab/>
        <w:t xml:space="preserve">Forest plot of </w:t>
      </w:r>
      <w:r w:rsidR="00D90312" w:rsidRPr="00C86E49">
        <w:t>30-day/in-hospital mortality</w:t>
      </w:r>
      <w:r w:rsidRPr="00C86E49">
        <w:t xml:space="preserve"> in the matched/adjusted IMPELLA versus VA-ECMO studies</w:t>
      </w:r>
    </w:p>
    <w:p w14:paraId="4DF7DCCF" w14:textId="49E98A2F" w:rsidR="006F0EEF" w:rsidRPr="00C86E49" w:rsidRDefault="005D2278" w:rsidP="006F0EEF">
      <w:pPr>
        <w:pBdr>
          <w:top w:val="single" w:sz="4" w:space="1" w:color="auto"/>
          <w:left w:val="single" w:sz="4" w:space="4" w:color="auto"/>
          <w:bottom w:val="single" w:sz="4" w:space="1" w:color="auto"/>
          <w:right w:val="single" w:sz="4" w:space="4" w:color="auto"/>
        </w:pBdr>
        <w:spacing w:after="0"/>
      </w:pPr>
      <w:r w:rsidRPr="00C86E49">
        <w:rPr>
          <w:noProof/>
          <w:color w:val="2B579A"/>
          <w:shd w:val="clear" w:color="auto" w:fill="E6E6E6"/>
        </w:rPr>
        <w:drawing>
          <wp:inline distT="0" distB="0" distL="0" distR="0" wp14:anchorId="1F670DCF" wp14:editId="74A91B28">
            <wp:extent cx="5731510" cy="1486535"/>
            <wp:effectExtent l="0" t="0" r="2540" b="0"/>
            <wp:docPr id="1578504270" name="Picture 1578504270" descr="This is a forest plot of the 30-day/in-hospital mortality odds ratio results in the matched/adjusted IMPELLA versus VA-ECMO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04270" name="Picture 1578504270" descr="This is a forest plot of the 30-day/in-hospital mortality odds ratio results in the matched/adjusted IMPELLA versus VA-ECMO studies."/>
                    <pic:cNvPicPr/>
                  </pic:nvPicPr>
                  <pic:blipFill>
                    <a:blip r:embed="rId18"/>
                    <a:stretch>
                      <a:fillRect/>
                    </a:stretch>
                  </pic:blipFill>
                  <pic:spPr>
                    <a:xfrm>
                      <a:off x="0" y="0"/>
                      <a:ext cx="5731510" cy="1486535"/>
                    </a:xfrm>
                    <a:prstGeom prst="rect">
                      <a:avLst/>
                    </a:prstGeom>
                  </pic:spPr>
                </pic:pic>
              </a:graphicData>
            </a:graphic>
          </wp:inline>
        </w:drawing>
      </w:r>
    </w:p>
    <w:p w14:paraId="38DEC92A" w14:textId="2D7CCB92" w:rsidR="006F0EEF" w:rsidRPr="00C86E49" w:rsidRDefault="006F0EEF" w:rsidP="006F0EEF">
      <w:pPr>
        <w:pStyle w:val="TableFigureFooter"/>
      </w:pPr>
      <w:r w:rsidRPr="00C86E49">
        <w:t xml:space="preserve">CI = confidence interval; </w:t>
      </w:r>
      <w:r w:rsidR="009D403F" w:rsidRPr="00C86E49">
        <w:t xml:space="preserve">IV = inverse variance; </w:t>
      </w:r>
      <w:r w:rsidRPr="00C86E49">
        <w:t>SE = standard error; VA-ECMO = veno-arterial extracorporeal membrane oxygenation.</w:t>
      </w:r>
    </w:p>
    <w:p w14:paraId="623E0275" w14:textId="245DBC88" w:rsidR="006F0EEF" w:rsidRPr="00C86E49" w:rsidRDefault="006F0EEF" w:rsidP="006F0EEF">
      <w:pPr>
        <w:pStyle w:val="TableFigureFooter"/>
      </w:pPr>
      <w:r w:rsidRPr="00C86E49">
        <w:t xml:space="preserve">Source: Figure </w:t>
      </w:r>
      <w:r w:rsidR="00B57E73" w:rsidRPr="00C86E49">
        <w:t>13</w:t>
      </w:r>
      <w:r w:rsidRPr="00C86E49">
        <w:t xml:space="preserve"> of MSAC 1523.1 ADAR+in-line commentary.</w:t>
      </w:r>
    </w:p>
    <w:p w14:paraId="3E13AF4E" w14:textId="7FDC1176" w:rsidR="00324E51" w:rsidRPr="00C86E49" w:rsidRDefault="00324E51" w:rsidP="00324E51">
      <w:r w:rsidRPr="00C86E49">
        <w:t>The ADAR concluded there was a statistically significantly lower probability of death within 30</w:t>
      </w:r>
      <w:r w:rsidR="00843B67" w:rsidRPr="00C86E49">
        <w:t> </w:t>
      </w:r>
      <w:r w:rsidRPr="00C86E49">
        <w:t xml:space="preserve">days/hospital discharge for IMPELLA compared with VA-ECMO, with the number needed to treat (NNT) </w:t>
      </w:r>
      <w:r w:rsidR="005C23D8" w:rsidRPr="00C86E49">
        <w:t xml:space="preserve">to avoid one death </w:t>
      </w:r>
      <w:r w:rsidR="00A40263" w:rsidRPr="00C86E49">
        <w:t>being eight</w:t>
      </w:r>
      <w:r w:rsidRPr="00C86E49">
        <w:t>. GRADE certainty of evidence for this outcome was low. The meta-analysed OR (0.57, 95% CI 0.44, 0.74) was used in the economic analysis.</w:t>
      </w:r>
    </w:p>
    <w:p w14:paraId="44154F9F" w14:textId="0364A64C" w:rsidR="00D30CF4" w:rsidRPr="00C86E49" w:rsidRDefault="00D30CF4" w:rsidP="00D352D4">
      <w:r w:rsidRPr="00C86E49">
        <w:t xml:space="preserve">The commentary noted the potential for double counting because Karatolios (2021) and Syntila (2021) were conducted at the same institution over a similar </w:t>
      </w:r>
      <w:proofErr w:type="gramStart"/>
      <w:r w:rsidRPr="00C86E49">
        <w:t>time period</w:t>
      </w:r>
      <w:proofErr w:type="gramEnd"/>
      <w:r w:rsidR="00FA218F" w:rsidRPr="00C86E49">
        <w:t xml:space="preserve">. </w:t>
      </w:r>
      <w:r w:rsidR="00806830" w:rsidRPr="00C86E49">
        <w:t>P</w:t>
      </w:r>
      <w:r w:rsidRPr="00C86E49">
        <w:t>atients in Karatolios (2021) were analysed according to the first device implante</w:t>
      </w:r>
      <w:r w:rsidR="00806830" w:rsidRPr="00C86E49">
        <w:t xml:space="preserve">d. </w:t>
      </w:r>
      <w:r w:rsidR="00093FD1" w:rsidRPr="00C86E49">
        <w:t>Lemor (2020) reported use of IABP in 50% of IMPELLA patients and 48% of VA-ECMO.</w:t>
      </w:r>
      <w:r w:rsidR="00103CB3" w:rsidRPr="00C86E49">
        <w:t xml:space="preserve"> Wernly (2021) included patients with CA-CS who have a substantially higher mortality risk than patients with CS alone.</w:t>
      </w:r>
    </w:p>
    <w:p w14:paraId="4C775C5C" w14:textId="25CFF0C4" w:rsidR="007E2951" w:rsidRPr="00C86E49" w:rsidRDefault="007E2951" w:rsidP="007E2951">
      <w:r w:rsidRPr="00C86E49">
        <w:t xml:space="preserve">Although not reported in the </w:t>
      </w:r>
      <w:r w:rsidR="00AC2EEE" w:rsidRPr="00C86E49">
        <w:t xml:space="preserve">ADAR’s </w:t>
      </w:r>
      <w:r w:rsidRPr="00C86E49">
        <w:t>clinical evaluation</w:t>
      </w:r>
      <w:r w:rsidR="00AC2EEE" w:rsidRPr="00C86E49">
        <w:t xml:space="preserve">, the </w:t>
      </w:r>
      <w:r w:rsidR="00605351" w:rsidRPr="00C86E49">
        <w:t xml:space="preserve">Cox regression curve adjusted (using the SAVE score) for survival </w:t>
      </w:r>
      <w:r w:rsidR="00711F42" w:rsidRPr="00C86E49">
        <w:t xml:space="preserve">in </w:t>
      </w:r>
      <w:r w:rsidRPr="00C86E49">
        <w:t xml:space="preserve">Schiller 2019 </w:t>
      </w:r>
      <w:r w:rsidR="00711F42" w:rsidRPr="00C86E49">
        <w:t xml:space="preserve">showed a 30-day survival </w:t>
      </w:r>
      <w:r w:rsidR="00374DB1" w:rsidRPr="00C86E49">
        <w:t>that was similar for</w:t>
      </w:r>
      <w:r w:rsidR="00711F42" w:rsidRPr="00C86E49">
        <w:t xml:space="preserve"> IMPELLA </w:t>
      </w:r>
      <w:r w:rsidR="00374DB1" w:rsidRPr="00C86E49">
        <w:t xml:space="preserve">and </w:t>
      </w:r>
      <w:r w:rsidR="00C35604" w:rsidRPr="00C86E49">
        <w:t xml:space="preserve">VA-ECMO </w:t>
      </w:r>
      <w:r w:rsidR="00374DB1" w:rsidRPr="00C86E49">
        <w:t xml:space="preserve">(60% and </w:t>
      </w:r>
      <w:r w:rsidR="00127787" w:rsidRPr="00C86E49">
        <w:t>61.9%, respectively)</w:t>
      </w:r>
      <w:r w:rsidR="0019449C" w:rsidRPr="00C86E49">
        <w:t>.</w:t>
      </w:r>
    </w:p>
    <w:p w14:paraId="2DC12F5F" w14:textId="42D51968" w:rsidR="00B115EA" w:rsidRPr="00C86E49" w:rsidRDefault="00B115EA" w:rsidP="00B115EA">
      <w:pPr>
        <w:pStyle w:val="Heading4"/>
      </w:pPr>
      <w:r w:rsidRPr="00C86E49">
        <w:t xml:space="preserve">ECPELLA versus VA-ECMO </w:t>
      </w:r>
      <w:r w:rsidR="00D531B8" w:rsidRPr="00C86E49">
        <w:t>with or without surgical venting</w:t>
      </w:r>
    </w:p>
    <w:p w14:paraId="594D8D89" w14:textId="72904172" w:rsidR="009B3150" w:rsidRPr="00C86E49" w:rsidRDefault="009B3150" w:rsidP="009B3150">
      <w:r w:rsidRPr="00C86E49">
        <w:rPr>
          <w:color w:val="2B579A"/>
          <w:shd w:val="clear" w:color="auto" w:fill="E6E6E6"/>
        </w:rPr>
        <w:fldChar w:fldCharType="begin"/>
      </w:r>
      <w:r w:rsidRPr="00C86E49">
        <w:instrText xml:space="preserve"> REF _Ref152068402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 xml:space="preserve">Table </w:t>
      </w:r>
      <w:r w:rsidR="00EF3514" w:rsidRPr="00C86E49">
        <w:rPr>
          <w:noProof/>
        </w:rPr>
        <w:t>11</w:t>
      </w:r>
      <w:r w:rsidRPr="00C86E49">
        <w:rPr>
          <w:color w:val="2B579A"/>
          <w:shd w:val="clear" w:color="auto" w:fill="E6E6E6"/>
        </w:rPr>
        <w:fldChar w:fldCharType="end"/>
      </w:r>
      <w:r w:rsidRPr="00C86E49">
        <w:t xml:space="preserve"> and </w:t>
      </w:r>
      <w:r w:rsidRPr="00C86E49">
        <w:rPr>
          <w:color w:val="2B579A"/>
          <w:shd w:val="clear" w:color="auto" w:fill="E6E6E6"/>
        </w:rPr>
        <w:fldChar w:fldCharType="begin"/>
      </w:r>
      <w:r w:rsidRPr="00C86E49">
        <w:instrText xml:space="preserve"> REF _Ref152068564 \h </w:instrText>
      </w:r>
      <w:r w:rsidR="00C86E49">
        <w:rPr>
          <w:color w:val="2B579A"/>
          <w:shd w:val="clear" w:color="auto" w:fill="E6E6E6"/>
        </w:rPr>
        <w:instrText xml:space="preserve"> \* MERGEFORMAT </w:instrText>
      </w:r>
      <w:r w:rsidRPr="00C86E49">
        <w:rPr>
          <w:color w:val="2B579A"/>
          <w:shd w:val="clear" w:color="auto" w:fill="E6E6E6"/>
        </w:rPr>
      </w:r>
      <w:r w:rsidRPr="00C86E49">
        <w:rPr>
          <w:color w:val="2B579A"/>
          <w:shd w:val="clear" w:color="auto" w:fill="E6E6E6"/>
        </w:rPr>
        <w:fldChar w:fldCharType="separate"/>
      </w:r>
      <w:r w:rsidR="00EF3514" w:rsidRPr="00C86E49">
        <w:t xml:space="preserve">Figure </w:t>
      </w:r>
      <w:r w:rsidR="00EF3514" w:rsidRPr="00C86E49">
        <w:rPr>
          <w:noProof/>
        </w:rPr>
        <w:t>5</w:t>
      </w:r>
      <w:r w:rsidRPr="00C86E49">
        <w:rPr>
          <w:color w:val="2B579A"/>
          <w:shd w:val="clear" w:color="auto" w:fill="E6E6E6"/>
        </w:rPr>
        <w:fldChar w:fldCharType="end"/>
      </w:r>
      <w:r w:rsidRPr="00C86E49">
        <w:t xml:space="preserve"> present 30-day/in-hospital mortality after temporary MCS in the matched/ adjusted ECPELLA versus VA-ECMO </w:t>
      </w:r>
      <w:r w:rsidR="00863D0B" w:rsidRPr="00C86E49">
        <w:t xml:space="preserve">± SV </w:t>
      </w:r>
      <w:r w:rsidRPr="00C86E49">
        <w:t>studies.</w:t>
      </w:r>
    </w:p>
    <w:p w14:paraId="2525D41F" w14:textId="27B183CB" w:rsidR="004C6ED9" w:rsidRPr="00C86E49" w:rsidRDefault="004C6ED9" w:rsidP="004C6ED9">
      <w:r w:rsidRPr="00C86E49">
        <w:t xml:space="preserve">The ADAR concluded that ECPELLA is associated with </w:t>
      </w:r>
      <w:r w:rsidR="00634774" w:rsidRPr="00C86E49">
        <w:t xml:space="preserve">a </w:t>
      </w:r>
      <w:r w:rsidRPr="00C86E49">
        <w:t xml:space="preserve">statistically significant lower probability of death within 30 days/hospital discharge </w:t>
      </w:r>
      <w:r w:rsidR="00452FFF" w:rsidRPr="00C86E49">
        <w:t>compared with</w:t>
      </w:r>
      <w:r w:rsidRPr="00C86E49">
        <w:t xml:space="preserve"> VA-ECMO. </w:t>
      </w:r>
      <w:r w:rsidR="00946F32" w:rsidRPr="00C86E49">
        <w:t>The meta-analysed OR (0.</w:t>
      </w:r>
      <w:r w:rsidR="000F7184" w:rsidRPr="00C86E49">
        <w:t>71</w:t>
      </w:r>
      <w:r w:rsidR="00946F32" w:rsidRPr="00C86E49">
        <w:t>, 95% CI 0.</w:t>
      </w:r>
      <w:r w:rsidR="00B171AA" w:rsidRPr="00C86E49">
        <w:t>19</w:t>
      </w:r>
      <w:r w:rsidR="00946F32" w:rsidRPr="00C86E49">
        <w:t xml:space="preserve">, </w:t>
      </w:r>
      <w:r w:rsidR="00B171AA" w:rsidRPr="00C86E49">
        <w:t>2.60</w:t>
      </w:r>
      <w:r w:rsidR="005209F3" w:rsidRPr="00C86E49">
        <w:t>; p=0.60</w:t>
      </w:r>
      <w:r w:rsidR="00946F32" w:rsidRPr="00C86E49">
        <w:t>) was used in the economic analysis</w:t>
      </w:r>
      <w:r w:rsidR="00B57823" w:rsidRPr="00C86E49">
        <w:t>.</w:t>
      </w:r>
      <w:r w:rsidR="00946F32" w:rsidRPr="00C86E49">
        <w:t xml:space="preserve"> </w:t>
      </w:r>
      <w:r w:rsidRPr="00C86E49">
        <w:t>The commentary noted that none of the meta-analyses reached the threshold for statistical significance (p&lt; 0.05) and GRADE certainty of evidence was very low (OR) and low (RR and HR).</w:t>
      </w:r>
    </w:p>
    <w:p w14:paraId="7329F1C2" w14:textId="774E9333" w:rsidR="004C6ED9" w:rsidRPr="00C86E49" w:rsidRDefault="004C6ED9" w:rsidP="004C6ED9">
      <w:r w:rsidRPr="00C86E49">
        <w:t>The commentary noted the potential for double counting due to patient overlap in Pappalardo (2017) and Schrage (2020b)</w:t>
      </w:r>
      <w:r w:rsidR="00190E12" w:rsidRPr="00C86E49">
        <w:t xml:space="preserve">. The commentary also noted </w:t>
      </w:r>
      <w:r w:rsidRPr="00C86E49">
        <w:t xml:space="preserve">the use of IMPELLA prior to VA-ECMO in 56% of the ECPELLA cohort in Schrage (2020b) and 20% of the ECPELLA cohort in Patel (2018). Patel (2018) also reported that 20% of patients in the ECPELLA group and 31% of patients in the VA-ECMO group received </w:t>
      </w:r>
      <w:r w:rsidR="00F46C65" w:rsidRPr="00C86E49">
        <w:t>SV</w:t>
      </w:r>
      <w:r w:rsidRPr="00C86E49">
        <w:t>. Furthermore, there were notable differences between cohorts at baseline in Patel (2018) that may have biased the mortality results in favour of ECPELLA.</w:t>
      </w:r>
    </w:p>
    <w:p w14:paraId="15370E39" w14:textId="3694B121" w:rsidR="004C6ED9" w:rsidRPr="00C86E49" w:rsidRDefault="004C6ED9" w:rsidP="009B3150">
      <w:r w:rsidRPr="00C86E49">
        <w:t xml:space="preserve">The commentary concluded that given the heterogeneity across the studies, </w:t>
      </w:r>
      <w:r w:rsidR="002F12AE" w:rsidRPr="00C86E49">
        <w:t xml:space="preserve">applicability issues, </w:t>
      </w:r>
      <w:r w:rsidRPr="00C86E49">
        <w:t xml:space="preserve">inconsistency in methods of analysis and direction of effect, and </w:t>
      </w:r>
      <w:r w:rsidR="002F12AE" w:rsidRPr="00C86E49">
        <w:t xml:space="preserve">concerns that attempts to rectify selection bias may not have </w:t>
      </w:r>
      <w:proofErr w:type="gramStart"/>
      <w:r w:rsidR="002F12AE" w:rsidRPr="00C86E49">
        <w:t>entirely eliminated</w:t>
      </w:r>
      <w:proofErr w:type="gramEnd"/>
      <w:r w:rsidR="002F12AE" w:rsidRPr="00C86E49">
        <w:t xml:space="preserve"> </w:t>
      </w:r>
      <w:r w:rsidR="00354EF6" w:rsidRPr="00C86E49">
        <w:t xml:space="preserve">residual </w:t>
      </w:r>
      <w:r w:rsidR="002F12AE" w:rsidRPr="00C86E49">
        <w:t>confounding</w:t>
      </w:r>
      <w:r w:rsidRPr="00C86E49">
        <w:t>, the findings for ECPELLA versus VA-ECMO with regards to 30-day/in-hospital mortality were uncertai</w:t>
      </w:r>
      <w:r w:rsidR="002F12AE" w:rsidRPr="00C86E49">
        <w:t>n</w:t>
      </w:r>
      <w:r w:rsidRPr="00C86E49">
        <w:t>.</w:t>
      </w:r>
    </w:p>
    <w:p w14:paraId="71AD06C4" w14:textId="2B2A04BF" w:rsidR="00D842E7" w:rsidRPr="00C86E49" w:rsidRDefault="00D842E7" w:rsidP="00D842E7">
      <w:pPr>
        <w:pStyle w:val="Caption"/>
      </w:pPr>
      <w:bookmarkStart w:id="35" w:name="_Ref152068402"/>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11</w:t>
      </w:r>
      <w:r w:rsidR="007552E5">
        <w:rPr>
          <w:noProof/>
        </w:rPr>
        <w:fldChar w:fldCharType="end"/>
      </w:r>
      <w:bookmarkEnd w:id="35"/>
      <w:r w:rsidRPr="00C86E49">
        <w:tab/>
      </w:r>
      <w:r w:rsidR="00B41516" w:rsidRPr="00C86E49">
        <w:t>30-day/in-hospital mortality in the matched/adjusted ECPELLA versus VA-ECMO ± surgical vent studies</w:t>
      </w:r>
    </w:p>
    <w:tbl>
      <w:tblPr>
        <w:tblStyle w:val="TableGrid"/>
        <w:tblW w:w="5000" w:type="pct"/>
        <w:tblLayout w:type="fixed"/>
        <w:tblLook w:val="04A0" w:firstRow="1" w:lastRow="0" w:firstColumn="1" w:lastColumn="0" w:noHBand="0" w:noVBand="1"/>
        <w:tblCaption w:val="30-day/in-hospital mortality in the matched/adjusted ECPELLA versus VA-ECMO ± surgical vent studies"/>
        <w:tblDescription w:val="This table shows the 30-day/in-hospital mortality individual study and meta-analysis results for the matched/adjusted studies of ECPELLA versus VA-ECMO with or without SV. "/>
      </w:tblPr>
      <w:tblGrid>
        <w:gridCol w:w="1413"/>
        <w:gridCol w:w="992"/>
        <w:gridCol w:w="992"/>
        <w:gridCol w:w="994"/>
        <w:gridCol w:w="1417"/>
        <w:gridCol w:w="1417"/>
        <w:gridCol w:w="1791"/>
      </w:tblGrid>
      <w:tr w:rsidR="003C61C0" w:rsidRPr="00C86E49" w14:paraId="30872929" w14:textId="77777777" w:rsidTr="008D7B9F">
        <w:trPr>
          <w:tblHeader/>
        </w:trPr>
        <w:tc>
          <w:tcPr>
            <w:tcW w:w="784" w:type="pct"/>
            <w:tcMar>
              <w:left w:w="85" w:type="dxa"/>
              <w:right w:w="85" w:type="dxa"/>
            </w:tcMar>
          </w:tcPr>
          <w:p w14:paraId="08C3990D" w14:textId="54FEC5AD" w:rsidR="00B41516" w:rsidRPr="00C86E49" w:rsidRDefault="00B41516" w:rsidP="004C6ED9">
            <w:pPr>
              <w:pStyle w:val="TableHeading0"/>
              <w:keepNext/>
            </w:pPr>
            <w:r w:rsidRPr="00C86E49">
              <w:t>Trial ID</w:t>
            </w:r>
            <w:r w:rsidRPr="00C86E49">
              <w:br/>
              <w:t>(</w:t>
            </w:r>
            <w:r w:rsidR="00486502" w:rsidRPr="00C86E49">
              <w:t>timing</w:t>
            </w:r>
            <w:r w:rsidRPr="00C86E49">
              <w:t>)</w:t>
            </w:r>
          </w:p>
        </w:tc>
        <w:tc>
          <w:tcPr>
            <w:tcW w:w="550" w:type="pct"/>
            <w:tcMar>
              <w:left w:w="85" w:type="dxa"/>
              <w:right w:w="85" w:type="dxa"/>
            </w:tcMar>
          </w:tcPr>
          <w:p w14:paraId="52D34F0E" w14:textId="77777777" w:rsidR="00B41516" w:rsidRPr="00C86E49" w:rsidRDefault="00B41516" w:rsidP="004C6ED9">
            <w:pPr>
              <w:pStyle w:val="TableHeading0"/>
              <w:keepNext/>
            </w:pPr>
            <w:r w:rsidRPr="00C86E49">
              <w:t>CS type</w:t>
            </w:r>
          </w:p>
        </w:tc>
        <w:tc>
          <w:tcPr>
            <w:tcW w:w="550" w:type="pct"/>
            <w:tcMar>
              <w:left w:w="85" w:type="dxa"/>
              <w:right w:w="85" w:type="dxa"/>
            </w:tcMar>
          </w:tcPr>
          <w:p w14:paraId="0F8CA2EE" w14:textId="3C81C0D3" w:rsidR="00B41516" w:rsidRPr="00C86E49" w:rsidRDefault="00B41516" w:rsidP="004C6ED9">
            <w:pPr>
              <w:pStyle w:val="TableHeading0"/>
              <w:keepNext/>
            </w:pPr>
            <w:r w:rsidRPr="00C86E49">
              <w:t>ECPELLA</w:t>
            </w:r>
            <w:r w:rsidR="00486502" w:rsidRPr="00C86E49">
              <w:br/>
            </w:r>
            <w:r w:rsidRPr="00C86E49">
              <w:t>n/N (%)</w:t>
            </w:r>
          </w:p>
        </w:tc>
        <w:tc>
          <w:tcPr>
            <w:tcW w:w="551" w:type="pct"/>
            <w:tcMar>
              <w:left w:w="85" w:type="dxa"/>
              <w:right w:w="85" w:type="dxa"/>
            </w:tcMar>
          </w:tcPr>
          <w:p w14:paraId="21534BF2" w14:textId="1FA5F7BC" w:rsidR="00B41516" w:rsidRPr="00C86E49" w:rsidRDefault="00B41516" w:rsidP="004C6ED9">
            <w:pPr>
              <w:pStyle w:val="TableHeading0"/>
              <w:keepNext/>
            </w:pPr>
            <w:r w:rsidRPr="00C86E49">
              <w:t>VA-ECMO</w:t>
            </w:r>
            <w:r w:rsidR="00486502" w:rsidRPr="00C86E49">
              <w:br/>
            </w:r>
            <w:r w:rsidRPr="00C86E49">
              <w:t>n/N (%)</w:t>
            </w:r>
          </w:p>
        </w:tc>
        <w:tc>
          <w:tcPr>
            <w:tcW w:w="786" w:type="pct"/>
            <w:tcMar>
              <w:left w:w="85" w:type="dxa"/>
              <w:right w:w="85" w:type="dxa"/>
            </w:tcMar>
          </w:tcPr>
          <w:p w14:paraId="13954155" w14:textId="4AB89DE0" w:rsidR="00B41516" w:rsidRPr="00C86E49" w:rsidRDefault="00B41516" w:rsidP="004C6ED9">
            <w:pPr>
              <w:pStyle w:val="TableHeading0"/>
              <w:keepNext/>
            </w:pPr>
            <w:r w:rsidRPr="00C86E49">
              <w:t>OR [95% CI]</w:t>
            </w:r>
            <w:r w:rsidRPr="00C86E49">
              <w:br/>
              <w:t>p-value</w:t>
            </w:r>
          </w:p>
        </w:tc>
        <w:tc>
          <w:tcPr>
            <w:tcW w:w="786" w:type="pct"/>
            <w:tcMar>
              <w:left w:w="85" w:type="dxa"/>
              <w:right w:w="85" w:type="dxa"/>
            </w:tcMar>
          </w:tcPr>
          <w:p w14:paraId="5FF8191E" w14:textId="278D860C" w:rsidR="00B41516" w:rsidRPr="00C86E49" w:rsidRDefault="00B41516" w:rsidP="004C6ED9">
            <w:pPr>
              <w:pStyle w:val="TableHeading0"/>
              <w:keepNext/>
            </w:pPr>
            <w:r w:rsidRPr="00C86E49">
              <w:t>RR [95% CI]</w:t>
            </w:r>
            <w:r w:rsidRPr="00C86E49">
              <w:br/>
              <w:t>p-value</w:t>
            </w:r>
          </w:p>
        </w:tc>
        <w:tc>
          <w:tcPr>
            <w:tcW w:w="993" w:type="pct"/>
            <w:tcMar>
              <w:left w:w="85" w:type="dxa"/>
              <w:right w:w="85" w:type="dxa"/>
            </w:tcMar>
          </w:tcPr>
          <w:p w14:paraId="4BE8796D" w14:textId="77777777" w:rsidR="00B41516" w:rsidRPr="00C86E49" w:rsidRDefault="00B41516" w:rsidP="004C6ED9">
            <w:pPr>
              <w:pStyle w:val="TableHeading0"/>
              <w:keepNext/>
            </w:pPr>
            <w:r w:rsidRPr="00C86E49">
              <w:t xml:space="preserve">RD [95% CI] </w:t>
            </w:r>
            <w:r w:rsidRPr="00C86E49">
              <w:br/>
              <w:t>p-value</w:t>
            </w:r>
          </w:p>
        </w:tc>
      </w:tr>
      <w:tr w:rsidR="003C61C0" w:rsidRPr="00C86E49" w14:paraId="3C8BBD15" w14:textId="77777777" w:rsidTr="008D7B9F">
        <w:trPr>
          <w:tblHeader/>
        </w:trPr>
        <w:tc>
          <w:tcPr>
            <w:tcW w:w="784" w:type="pct"/>
            <w:tcMar>
              <w:left w:w="85" w:type="dxa"/>
              <w:right w:w="85" w:type="dxa"/>
            </w:tcMar>
          </w:tcPr>
          <w:p w14:paraId="7495CC9B" w14:textId="423F8A57" w:rsidR="00B41516" w:rsidRPr="00C86E49" w:rsidRDefault="00545183" w:rsidP="0036689B">
            <w:pPr>
              <w:pStyle w:val="TableText"/>
            </w:pPr>
            <w:r w:rsidRPr="00C86E49">
              <w:t>Hendrickson 2022</w:t>
            </w:r>
            <w:r w:rsidR="00685CFF" w:rsidRPr="00C86E49">
              <w:rPr>
                <w:vertAlign w:val="superscript"/>
              </w:rPr>
              <w:t>a</w:t>
            </w:r>
            <w:r w:rsidR="0036689B" w:rsidRPr="00C86E49">
              <w:br/>
            </w:r>
            <w:r w:rsidRPr="00C86E49">
              <w:t>(In-hospital)</w:t>
            </w:r>
          </w:p>
        </w:tc>
        <w:tc>
          <w:tcPr>
            <w:tcW w:w="550" w:type="pct"/>
            <w:tcMar>
              <w:left w:w="85" w:type="dxa"/>
              <w:right w:w="85" w:type="dxa"/>
            </w:tcMar>
          </w:tcPr>
          <w:p w14:paraId="31D75DDB" w14:textId="00FFE4B5" w:rsidR="00B41516" w:rsidRPr="00C86E49" w:rsidRDefault="006D437D" w:rsidP="00545183">
            <w:pPr>
              <w:pStyle w:val="TableText"/>
            </w:pPr>
            <w:r w:rsidRPr="00C86E49">
              <w:t>Any CS</w:t>
            </w:r>
          </w:p>
        </w:tc>
        <w:tc>
          <w:tcPr>
            <w:tcW w:w="550" w:type="pct"/>
            <w:tcMar>
              <w:left w:w="85" w:type="dxa"/>
              <w:right w:w="85" w:type="dxa"/>
            </w:tcMar>
          </w:tcPr>
          <w:p w14:paraId="2E3864AA" w14:textId="1AAB02F9" w:rsidR="00B41516" w:rsidRPr="00C86E49" w:rsidRDefault="006D437D" w:rsidP="00545183">
            <w:pPr>
              <w:pStyle w:val="TableText"/>
            </w:pPr>
            <w:r w:rsidRPr="00C86E49">
              <w:t>–</w:t>
            </w:r>
          </w:p>
        </w:tc>
        <w:tc>
          <w:tcPr>
            <w:tcW w:w="551" w:type="pct"/>
            <w:tcMar>
              <w:left w:w="85" w:type="dxa"/>
              <w:right w:w="85" w:type="dxa"/>
            </w:tcMar>
          </w:tcPr>
          <w:p w14:paraId="447A99E3" w14:textId="2D9DDC5B" w:rsidR="00B41516" w:rsidRPr="00C86E49" w:rsidRDefault="006D437D" w:rsidP="00545183">
            <w:pPr>
              <w:pStyle w:val="TableText"/>
            </w:pPr>
            <w:r w:rsidRPr="00C86E49">
              <w:t>–</w:t>
            </w:r>
          </w:p>
        </w:tc>
        <w:tc>
          <w:tcPr>
            <w:tcW w:w="786" w:type="pct"/>
            <w:tcMar>
              <w:left w:w="85" w:type="dxa"/>
              <w:right w:w="85" w:type="dxa"/>
            </w:tcMar>
          </w:tcPr>
          <w:p w14:paraId="2E6E61EC" w14:textId="6FAE2D66" w:rsidR="00B41516" w:rsidRPr="00C86E49" w:rsidRDefault="00876679" w:rsidP="00545183">
            <w:pPr>
              <w:pStyle w:val="TableText"/>
            </w:pPr>
            <w:r w:rsidRPr="00C86E49">
              <w:t xml:space="preserve">As reported: </w:t>
            </w:r>
            <w:r w:rsidR="006D437D" w:rsidRPr="00C86E49">
              <w:t>1.24 [0.98, 1.57]</w:t>
            </w:r>
            <w:r w:rsidR="00486502" w:rsidRPr="00C86E49">
              <w:br/>
            </w:r>
            <w:r w:rsidR="006D437D" w:rsidRPr="00C86E49">
              <w:t>p=0.07</w:t>
            </w:r>
          </w:p>
        </w:tc>
        <w:tc>
          <w:tcPr>
            <w:tcW w:w="786" w:type="pct"/>
            <w:tcMar>
              <w:left w:w="85" w:type="dxa"/>
              <w:right w:w="85" w:type="dxa"/>
            </w:tcMar>
          </w:tcPr>
          <w:p w14:paraId="5BAF6703" w14:textId="48B96E4E" w:rsidR="00B41516" w:rsidRPr="00C86E49" w:rsidRDefault="006D437D" w:rsidP="00545183">
            <w:pPr>
              <w:pStyle w:val="TableText"/>
            </w:pPr>
            <w:r w:rsidRPr="00C86E49">
              <w:t>NR</w:t>
            </w:r>
          </w:p>
        </w:tc>
        <w:tc>
          <w:tcPr>
            <w:tcW w:w="993" w:type="pct"/>
            <w:tcMar>
              <w:left w:w="85" w:type="dxa"/>
              <w:right w:w="85" w:type="dxa"/>
            </w:tcMar>
          </w:tcPr>
          <w:p w14:paraId="730FB47B" w14:textId="0CC990E3" w:rsidR="00B41516" w:rsidRPr="00C86E49" w:rsidRDefault="006D437D" w:rsidP="00545183">
            <w:pPr>
              <w:pStyle w:val="TableText"/>
            </w:pPr>
            <w:r w:rsidRPr="00C86E49">
              <w:t>NR</w:t>
            </w:r>
          </w:p>
        </w:tc>
      </w:tr>
      <w:tr w:rsidR="003C61C0" w:rsidRPr="00C86E49" w14:paraId="7462A39A" w14:textId="77777777" w:rsidTr="008D7B9F">
        <w:trPr>
          <w:tblHeader/>
        </w:trPr>
        <w:tc>
          <w:tcPr>
            <w:tcW w:w="784" w:type="pct"/>
            <w:tcMar>
              <w:left w:w="85" w:type="dxa"/>
              <w:right w:w="85" w:type="dxa"/>
            </w:tcMar>
          </w:tcPr>
          <w:p w14:paraId="605D55F4" w14:textId="492AEEAE" w:rsidR="00E62522" w:rsidRPr="00C86E49" w:rsidRDefault="001C29BA" w:rsidP="0036689B">
            <w:pPr>
              <w:pStyle w:val="TableText"/>
            </w:pPr>
            <w:r w:rsidRPr="00C86E49">
              <w:t>Pappalardo 2017</w:t>
            </w:r>
            <w:r w:rsidR="0036689B" w:rsidRPr="00C86E49">
              <w:br/>
            </w:r>
            <w:r w:rsidRPr="00C86E49">
              <w:t>(In-hospital)</w:t>
            </w:r>
          </w:p>
        </w:tc>
        <w:tc>
          <w:tcPr>
            <w:tcW w:w="550" w:type="pct"/>
            <w:tcMar>
              <w:left w:w="85" w:type="dxa"/>
              <w:right w:w="85" w:type="dxa"/>
            </w:tcMar>
          </w:tcPr>
          <w:p w14:paraId="77B7652D" w14:textId="73F59E9C" w:rsidR="00E62522" w:rsidRPr="00C86E49" w:rsidRDefault="006D437D" w:rsidP="00545183">
            <w:pPr>
              <w:pStyle w:val="TableText"/>
            </w:pPr>
            <w:r w:rsidRPr="00C86E49">
              <w:t>Severe refractory CS</w:t>
            </w:r>
          </w:p>
        </w:tc>
        <w:tc>
          <w:tcPr>
            <w:tcW w:w="550" w:type="pct"/>
            <w:tcMar>
              <w:left w:w="85" w:type="dxa"/>
              <w:right w:w="85" w:type="dxa"/>
            </w:tcMar>
          </w:tcPr>
          <w:p w14:paraId="51B172FF" w14:textId="34E402CD" w:rsidR="00E62522" w:rsidRPr="00C86E49" w:rsidRDefault="006D437D" w:rsidP="00545183">
            <w:pPr>
              <w:pStyle w:val="TableText"/>
            </w:pPr>
            <w:r w:rsidRPr="00C86E49">
              <w:t>10/21</w:t>
            </w:r>
            <w:r w:rsidR="00486502" w:rsidRPr="00C86E49">
              <w:br/>
            </w:r>
            <w:r w:rsidRPr="00C86E49">
              <w:t>(47.6%)</w:t>
            </w:r>
          </w:p>
        </w:tc>
        <w:tc>
          <w:tcPr>
            <w:tcW w:w="551" w:type="pct"/>
            <w:tcMar>
              <w:left w:w="85" w:type="dxa"/>
              <w:right w:w="85" w:type="dxa"/>
            </w:tcMar>
          </w:tcPr>
          <w:p w14:paraId="1F958006" w14:textId="4860F58A" w:rsidR="00E62522" w:rsidRPr="00C86E49" w:rsidRDefault="006D437D" w:rsidP="00545183">
            <w:pPr>
              <w:pStyle w:val="TableText"/>
            </w:pPr>
            <w:r w:rsidRPr="00C86E49">
              <w:t>31/42</w:t>
            </w:r>
            <w:r w:rsidR="00486502" w:rsidRPr="00C86E49">
              <w:br/>
            </w:r>
            <w:r w:rsidRPr="00C86E49">
              <w:t>(73.8%)</w:t>
            </w:r>
          </w:p>
        </w:tc>
        <w:tc>
          <w:tcPr>
            <w:tcW w:w="786" w:type="pct"/>
            <w:tcMar>
              <w:left w:w="85" w:type="dxa"/>
              <w:right w:w="85" w:type="dxa"/>
            </w:tcMar>
          </w:tcPr>
          <w:p w14:paraId="455D226C" w14:textId="208CFF8C" w:rsidR="00E62522" w:rsidRPr="00C86E49" w:rsidRDefault="00235732" w:rsidP="00545183">
            <w:pPr>
              <w:pStyle w:val="TableText"/>
              <w:rPr>
                <w:b/>
                <w:bCs/>
              </w:rPr>
            </w:pPr>
            <w:r w:rsidRPr="00C86E49">
              <w:t xml:space="preserve">As reported: </w:t>
            </w:r>
            <w:r w:rsidR="006D437D" w:rsidRPr="00C86E49">
              <w:rPr>
                <w:b/>
                <w:bCs/>
              </w:rPr>
              <w:t>0.32 [0.11, 0.97]</w:t>
            </w:r>
            <w:r w:rsidR="00486502" w:rsidRPr="00C86E49">
              <w:rPr>
                <w:b/>
                <w:bCs/>
              </w:rPr>
              <w:br/>
            </w:r>
            <w:r w:rsidR="006D437D" w:rsidRPr="00C86E49">
              <w:rPr>
                <w:b/>
                <w:bCs/>
              </w:rPr>
              <w:t>p=0.04</w:t>
            </w:r>
          </w:p>
        </w:tc>
        <w:tc>
          <w:tcPr>
            <w:tcW w:w="786" w:type="pct"/>
            <w:tcMar>
              <w:left w:w="85" w:type="dxa"/>
              <w:right w:w="85" w:type="dxa"/>
            </w:tcMar>
          </w:tcPr>
          <w:p w14:paraId="20FE6493" w14:textId="12BE012C" w:rsidR="00E62522" w:rsidRPr="00C86E49" w:rsidRDefault="00391B4D" w:rsidP="00545183">
            <w:pPr>
              <w:pStyle w:val="TableText"/>
            </w:pPr>
            <w:r w:rsidRPr="00C86E49">
              <w:t xml:space="preserve">As reported: </w:t>
            </w:r>
            <w:r w:rsidR="006D437D" w:rsidRPr="00C86E49">
              <w:t>0.65 [0.40, 1.05]</w:t>
            </w:r>
            <w:r w:rsidR="00486502" w:rsidRPr="00C86E49">
              <w:br/>
            </w:r>
            <w:r w:rsidR="006D437D" w:rsidRPr="00C86E49">
              <w:t>p=0.08</w:t>
            </w:r>
          </w:p>
        </w:tc>
        <w:tc>
          <w:tcPr>
            <w:tcW w:w="993" w:type="pct"/>
            <w:tcMar>
              <w:left w:w="85" w:type="dxa"/>
              <w:right w:w="85" w:type="dxa"/>
            </w:tcMar>
          </w:tcPr>
          <w:p w14:paraId="5A651EFD" w14:textId="43E57C5B" w:rsidR="00E62522" w:rsidRPr="00C86E49" w:rsidRDefault="00821C58" w:rsidP="00545183">
            <w:pPr>
              <w:pStyle w:val="TableText"/>
              <w:rPr>
                <w:b/>
                <w:bCs/>
              </w:rPr>
            </w:pPr>
            <w:r w:rsidRPr="00C86E49">
              <w:rPr>
                <w:b/>
                <w:bCs/>
              </w:rPr>
              <w:t>−</w:t>
            </w:r>
            <w:r w:rsidR="006D437D" w:rsidRPr="00C86E49">
              <w:rPr>
                <w:b/>
                <w:bCs/>
              </w:rPr>
              <w:t>0.26 [</w:t>
            </w:r>
            <w:r w:rsidRPr="00C86E49">
              <w:rPr>
                <w:b/>
                <w:bCs/>
              </w:rPr>
              <w:t>−</w:t>
            </w:r>
            <w:r w:rsidR="006D437D" w:rsidRPr="00C86E49">
              <w:rPr>
                <w:b/>
                <w:bCs/>
              </w:rPr>
              <w:t xml:space="preserve">0.51, </w:t>
            </w:r>
            <w:r w:rsidRPr="00C86E49">
              <w:rPr>
                <w:b/>
                <w:bCs/>
              </w:rPr>
              <w:t>−</w:t>
            </w:r>
            <w:r w:rsidR="006D437D" w:rsidRPr="00C86E49">
              <w:rPr>
                <w:b/>
                <w:bCs/>
              </w:rPr>
              <w:t>0.01]</w:t>
            </w:r>
            <w:r w:rsidR="00176B8A" w:rsidRPr="00C86E49">
              <w:rPr>
                <w:b/>
                <w:bCs/>
              </w:rPr>
              <w:br/>
            </w:r>
            <w:r w:rsidR="006D437D" w:rsidRPr="00C86E49">
              <w:rPr>
                <w:b/>
                <w:bCs/>
              </w:rPr>
              <w:t>p=0.04</w:t>
            </w:r>
          </w:p>
        </w:tc>
      </w:tr>
      <w:tr w:rsidR="00E72282" w:rsidRPr="00C86E49" w14:paraId="5E45C406" w14:textId="77777777" w:rsidTr="008D7B9F">
        <w:trPr>
          <w:tblHeader/>
        </w:trPr>
        <w:tc>
          <w:tcPr>
            <w:tcW w:w="784" w:type="pct"/>
            <w:tcBorders>
              <w:bottom w:val="single" w:sz="4" w:space="0" w:color="auto"/>
            </w:tcBorders>
            <w:tcMar>
              <w:left w:w="85" w:type="dxa"/>
              <w:right w:w="85" w:type="dxa"/>
            </w:tcMar>
          </w:tcPr>
          <w:p w14:paraId="554FF64A" w14:textId="58043D2B" w:rsidR="00E62522" w:rsidRPr="00C86E49" w:rsidRDefault="00205F5D" w:rsidP="0036689B">
            <w:pPr>
              <w:pStyle w:val="TableText"/>
            </w:pPr>
            <w:r w:rsidRPr="00C86E49">
              <w:t>Radakovic 2022</w:t>
            </w:r>
            <w:r w:rsidR="00AC45BC" w:rsidRPr="00C86E49">
              <w:rPr>
                <w:vertAlign w:val="superscript"/>
              </w:rPr>
              <w:t>b</w:t>
            </w:r>
            <w:r w:rsidR="0036689B" w:rsidRPr="00C86E49">
              <w:br/>
            </w:r>
            <w:r w:rsidRPr="00C86E49">
              <w:t>(30-day)</w:t>
            </w:r>
          </w:p>
        </w:tc>
        <w:tc>
          <w:tcPr>
            <w:tcW w:w="550" w:type="pct"/>
            <w:tcBorders>
              <w:bottom w:val="single" w:sz="4" w:space="0" w:color="auto"/>
            </w:tcBorders>
            <w:tcMar>
              <w:left w:w="85" w:type="dxa"/>
              <w:right w:w="85" w:type="dxa"/>
            </w:tcMar>
          </w:tcPr>
          <w:p w14:paraId="77A86499" w14:textId="30D2C2FB" w:rsidR="00E62522" w:rsidRPr="00C86E49" w:rsidRDefault="006D437D" w:rsidP="00545183">
            <w:pPr>
              <w:pStyle w:val="TableText"/>
            </w:pPr>
            <w:r w:rsidRPr="00C86E49">
              <w:t>AMI-CS</w:t>
            </w:r>
          </w:p>
        </w:tc>
        <w:tc>
          <w:tcPr>
            <w:tcW w:w="550" w:type="pct"/>
            <w:tcBorders>
              <w:bottom w:val="single" w:sz="4" w:space="0" w:color="auto"/>
            </w:tcBorders>
            <w:tcMar>
              <w:left w:w="85" w:type="dxa"/>
              <w:right w:w="85" w:type="dxa"/>
            </w:tcMar>
          </w:tcPr>
          <w:p w14:paraId="12283B1E" w14:textId="35AB8CAA" w:rsidR="00E62522" w:rsidRPr="00C86E49" w:rsidRDefault="006D437D" w:rsidP="00545183">
            <w:pPr>
              <w:pStyle w:val="TableText"/>
            </w:pPr>
            <w:r w:rsidRPr="00C86E49">
              <w:t>–</w:t>
            </w:r>
          </w:p>
        </w:tc>
        <w:tc>
          <w:tcPr>
            <w:tcW w:w="551" w:type="pct"/>
            <w:tcBorders>
              <w:bottom w:val="single" w:sz="4" w:space="0" w:color="auto"/>
            </w:tcBorders>
            <w:tcMar>
              <w:left w:w="85" w:type="dxa"/>
              <w:right w:w="85" w:type="dxa"/>
            </w:tcMar>
          </w:tcPr>
          <w:p w14:paraId="2C70B95A" w14:textId="11401AC5" w:rsidR="00E62522" w:rsidRPr="00C86E49" w:rsidRDefault="006D437D" w:rsidP="00545183">
            <w:pPr>
              <w:pStyle w:val="TableText"/>
            </w:pPr>
            <w:r w:rsidRPr="00C86E49">
              <w:t>–</w:t>
            </w:r>
          </w:p>
        </w:tc>
        <w:tc>
          <w:tcPr>
            <w:tcW w:w="786" w:type="pct"/>
            <w:tcBorders>
              <w:bottom w:val="single" w:sz="4" w:space="0" w:color="auto"/>
            </w:tcBorders>
            <w:tcMar>
              <w:left w:w="85" w:type="dxa"/>
              <w:right w:w="85" w:type="dxa"/>
            </w:tcMar>
          </w:tcPr>
          <w:p w14:paraId="7B838829" w14:textId="3DA3A9B9" w:rsidR="00E62522" w:rsidRPr="00C86E49" w:rsidRDefault="006D437D" w:rsidP="00545183">
            <w:pPr>
              <w:pStyle w:val="TableText"/>
            </w:pPr>
            <w:r w:rsidRPr="00C86E49">
              <w:t>NR</w:t>
            </w:r>
          </w:p>
        </w:tc>
        <w:tc>
          <w:tcPr>
            <w:tcW w:w="786" w:type="pct"/>
            <w:tcBorders>
              <w:bottom w:val="single" w:sz="4" w:space="0" w:color="auto"/>
            </w:tcBorders>
            <w:tcMar>
              <w:left w:w="85" w:type="dxa"/>
              <w:right w:w="85" w:type="dxa"/>
            </w:tcMar>
          </w:tcPr>
          <w:p w14:paraId="000B7E44" w14:textId="1E3FA0BF" w:rsidR="00E62522" w:rsidRPr="00C86E49" w:rsidRDefault="00391B4D" w:rsidP="00545183">
            <w:pPr>
              <w:pStyle w:val="TableText"/>
            </w:pPr>
            <w:r w:rsidRPr="00C86E49">
              <w:t xml:space="preserve">As reported: </w:t>
            </w:r>
            <w:r w:rsidR="006D437D" w:rsidRPr="00C86E49">
              <w:t>0.78 [0.47, 1.30]</w:t>
            </w:r>
            <w:r w:rsidR="00486502" w:rsidRPr="00C86E49">
              <w:br/>
            </w:r>
            <w:r w:rsidR="006D437D" w:rsidRPr="00C86E49">
              <w:t>p=0.35</w:t>
            </w:r>
          </w:p>
        </w:tc>
        <w:tc>
          <w:tcPr>
            <w:tcW w:w="993" w:type="pct"/>
            <w:tcBorders>
              <w:bottom w:val="single" w:sz="4" w:space="0" w:color="auto"/>
            </w:tcBorders>
            <w:tcMar>
              <w:left w:w="85" w:type="dxa"/>
              <w:right w:w="85" w:type="dxa"/>
            </w:tcMar>
          </w:tcPr>
          <w:p w14:paraId="53F7A36F" w14:textId="4E197F15" w:rsidR="00E62522" w:rsidRPr="00C86E49" w:rsidRDefault="006D437D" w:rsidP="00545183">
            <w:pPr>
              <w:pStyle w:val="TableText"/>
            </w:pPr>
            <w:r w:rsidRPr="00C86E49">
              <w:t>NR</w:t>
            </w:r>
          </w:p>
        </w:tc>
      </w:tr>
      <w:tr w:rsidR="00FB1E67" w:rsidRPr="00C86E49" w14:paraId="3BBB1B19" w14:textId="77777777" w:rsidTr="008D7B9F">
        <w:trPr>
          <w:tblHeader/>
        </w:trPr>
        <w:tc>
          <w:tcPr>
            <w:tcW w:w="784" w:type="pct"/>
            <w:tcBorders>
              <w:bottom w:val="dotted" w:sz="4" w:space="0" w:color="auto"/>
              <w:right w:val="nil"/>
            </w:tcBorders>
            <w:tcMar>
              <w:left w:w="85" w:type="dxa"/>
              <w:right w:w="85" w:type="dxa"/>
            </w:tcMar>
          </w:tcPr>
          <w:p w14:paraId="2D70CA5B" w14:textId="01C45ABF" w:rsidR="00E62522" w:rsidRPr="00C86E49" w:rsidRDefault="00971B0C" w:rsidP="00545183">
            <w:pPr>
              <w:pStyle w:val="TableText"/>
            </w:pPr>
            <w:r w:rsidRPr="00C86E49">
              <w:t>Meta-analys</w:t>
            </w:r>
            <w:r w:rsidR="00325E48" w:rsidRPr="00C86E49">
              <w:t>i</w:t>
            </w:r>
            <w:r w:rsidRPr="00C86E49">
              <w:t>s</w:t>
            </w:r>
          </w:p>
        </w:tc>
        <w:tc>
          <w:tcPr>
            <w:tcW w:w="550" w:type="pct"/>
            <w:tcBorders>
              <w:left w:val="nil"/>
              <w:bottom w:val="dotted" w:sz="4" w:space="0" w:color="auto"/>
              <w:right w:val="nil"/>
            </w:tcBorders>
            <w:tcMar>
              <w:left w:w="85" w:type="dxa"/>
              <w:right w:w="85" w:type="dxa"/>
            </w:tcMar>
          </w:tcPr>
          <w:p w14:paraId="5B0FD65B" w14:textId="77777777" w:rsidR="00E62522" w:rsidRPr="00C86E49" w:rsidRDefault="00E62522" w:rsidP="00545183">
            <w:pPr>
              <w:pStyle w:val="TableText"/>
            </w:pPr>
          </w:p>
        </w:tc>
        <w:tc>
          <w:tcPr>
            <w:tcW w:w="550" w:type="pct"/>
            <w:tcBorders>
              <w:left w:val="nil"/>
              <w:bottom w:val="dotted" w:sz="4" w:space="0" w:color="auto"/>
              <w:right w:val="nil"/>
            </w:tcBorders>
            <w:tcMar>
              <w:left w:w="85" w:type="dxa"/>
              <w:right w:w="85" w:type="dxa"/>
            </w:tcMar>
          </w:tcPr>
          <w:p w14:paraId="099F3DF9" w14:textId="0614BF99" w:rsidR="00E62522" w:rsidRPr="00C86E49" w:rsidRDefault="00E62522" w:rsidP="00545183">
            <w:pPr>
              <w:pStyle w:val="TableText"/>
            </w:pPr>
          </w:p>
        </w:tc>
        <w:tc>
          <w:tcPr>
            <w:tcW w:w="551" w:type="pct"/>
            <w:tcBorders>
              <w:left w:val="nil"/>
              <w:bottom w:val="dotted" w:sz="4" w:space="0" w:color="auto"/>
            </w:tcBorders>
            <w:tcMar>
              <w:left w:w="85" w:type="dxa"/>
              <w:right w:w="85" w:type="dxa"/>
            </w:tcMar>
          </w:tcPr>
          <w:p w14:paraId="3D1935ED" w14:textId="6506FCCA" w:rsidR="00E62522" w:rsidRPr="00C86E49" w:rsidRDefault="00E62522" w:rsidP="00545183">
            <w:pPr>
              <w:pStyle w:val="TableText"/>
            </w:pPr>
          </w:p>
        </w:tc>
        <w:tc>
          <w:tcPr>
            <w:tcW w:w="786" w:type="pct"/>
            <w:tcBorders>
              <w:bottom w:val="dotted" w:sz="4" w:space="0" w:color="auto"/>
            </w:tcBorders>
            <w:tcMar>
              <w:left w:w="85" w:type="dxa"/>
              <w:right w:w="85" w:type="dxa"/>
            </w:tcMar>
          </w:tcPr>
          <w:p w14:paraId="0B368EFB" w14:textId="4026C162" w:rsidR="00E62522" w:rsidRPr="00C86E49" w:rsidRDefault="006D437D" w:rsidP="00545183">
            <w:pPr>
              <w:pStyle w:val="TableText"/>
            </w:pPr>
            <w:r w:rsidRPr="00C86E49">
              <w:t>0.71 [0.19, 2.60]</w:t>
            </w:r>
            <w:r w:rsidR="00FB1E67" w:rsidRPr="00C86E49">
              <w:br/>
            </w:r>
            <w:r w:rsidRPr="00C86E49">
              <w:t>p=0.60</w:t>
            </w:r>
          </w:p>
        </w:tc>
        <w:tc>
          <w:tcPr>
            <w:tcW w:w="786" w:type="pct"/>
            <w:tcBorders>
              <w:bottom w:val="dotted" w:sz="4" w:space="0" w:color="auto"/>
            </w:tcBorders>
            <w:tcMar>
              <w:left w:w="85" w:type="dxa"/>
              <w:right w:w="85" w:type="dxa"/>
            </w:tcMar>
          </w:tcPr>
          <w:p w14:paraId="4717EA68" w14:textId="69725685" w:rsidR="00E62522" w:rsidRPr="00C86E49" w:rsidRDefault="006D437D" w:rsidP="00545183">
            <w:pPr>
              <w:pStyle w:val="TableText"/>
            </w:pPr>
            <w:r w:rsidRPr="00C86E49">
              <w:t>0.71 [0.50, 1.00]</w:t>
            </w:r>
            <w:r w:rsidR="00486502" w:rsidRPr="00C86E49">
              <w:br/>
            </w:r>
            <w:r w:rsidRPr="00C86E49">
              <w:t>p=0.05</w:t>
            </w:r>
          </w:p>
        </w:tc>
        <w:tc>
          <w:tcPr>
            <w:tcW w:w="993" w:type="pct"/>
            <w:tcBorders>
              <w:bottom w:val="dotted" w:sz="4" w:space="0" w:color="auto"/>
            </w:tcBorders>
            <w:tcMar>
              <w:left w:w="85" w:type="dxa"/>
              <w:right w:w="85" w:type="dxa"/>
            </w:tcMar>
          </w:tcPr>
          <w:p w14:paraId="7B886C99" w14:textId="75C2C0A9" w:rsidR="00E62522" w:rsidRPr="00C86E49" w:rsidRDefault="006D437D" w:rsidP="00545183">
            <w:pPr>
              <w:pStyle w:val="TableText"/>
            </w:pPr>
            <w:r w:rsidRPr="00C86E49">
              <w:t>-</w:t>
            </w:r>
          </w:p>
        </w:tc>
      </w:tr>
      <w:tr w:rsidR="00E72282" w:rsidRPr="00C86E49" w14:paraId="17D0DDA8" w14:textId="77777777" w:rsidTr="008D7B9F">
        <w:trPr>
          <w:tblHeader/>
        </w:trPr>
        <w:tc>
          <w:tcPr>
            <w:tcW w:w="784" w:type="pct"/>
            <w:tcBorders>
              <w:top w:val="dotted" w:sz="4" w:space="0" w:color="auto"/>
              <w:right w:val="nil"/>
            </w:tcBorders>
            <w:tcMar>
              <w:left w:w="85" w:type="dxa"/>
              <w:right w:w="85" w:type="dxa"/>
            </w:tcMar>
          </w:tcPr>
          <w:p w14:paraId="6BD26062" w14:textId="5FD8B041" w:rsidR="00E62522" w:rsidRPr="00C86E49" w:rsidRDefault="00BA75A6" w:rsidP="00545183">
            <w:pPr>
              <w:pStyle w:val="TableText"/>
            </w:pPr>
            <w:r w:rsidRPr="00C86E49">
              <w:t>Heterogeneity</w:t>
            </w:r>
          </w:p>
        </w:tc>
        <w:tc>
          <w:tcPr>
            <w:tcW w:w="550" w:type="pct"/>
            <w:tcBorders>
              <w:top w:val="dotted" w:sz="4" w:space="0" w:color="auto"/>
              <w:left w:val="nil"/>
              <w:right w:val="nil"/>
            </w:tcBorders>
            <w:tcMar>
              <w:left w:w="85" w:type="dxa"/>
              <w:right w:w="85" w:type="dxa"/>
            </w:tcMar>
          </w:tcPr>
          <w:p w14:paraId="00C877F2" w14:textId="77777777" w:rsidR="00E62522" w:rsidRPr="00C86E49" w:rsidRDefault="00E62522" w:rsidP="00545183">
            <w:pPr>
              <w:pStyle w:val="TableText"/>
            </w:pPr>
          </w:p>
        </w:tc>
        <w:tc>
          <w:tcPr>
            <w:tcW w:w="550" w:type="pct"/>
            <w:tcBorders>
              <w:top w:val="dotted" w:sz="4" w:space="0" w:color="auto"/>
              <w:left w:val="nil"/>
              <w:right w:val="nil"/>
            </w:tcBorders>
            <w:tcMar>
              <w:left w:w="85" w:type="dxa"/>
              <w:right w:w="85" w:type="dxa"/>
            </w:tcMar>
          </w:tcPr>
          <w:p w14:paraId="25AE1CD0" w14:textId="77777777" w:rsidR="00E62522" w:rsidRPr="00C86E49" w:rsidRDefault="00E62522" w:rsidP="00545183">
            <w:pPr>
              <w:pStyle w:val="TableText"/>
            </w:pPr>
          </w:p>
        </w:tc>
        <w:tc>
          <w:tcPr>
            <w:tcW w:w="551" w:type="pct"/>
            <w:tcBorders>
              <w:top w:val="dotted" w:sz="4" w:space="0" w:color="auto"/>
              <w:left w:val="nil"/>
            </w:tcBorders>
            <w:tcMar>
              <w:left w:w="85" w:type="dxa"/>
              <w:right w:w="85" w:type="dxa"/>
            </w:tcMar>
          </w:tcPr>
          <w:p w14:paraId="23941D40" w14:textId="77777777" w:rsidR="00E62522" w:rsidRPr="00C86E49" w:rsidRDefault="00E62522" w:rsidP="00545183">
            <w:pPr>
              <w:pStyle w:val="TableText"/>
            </w:pPr>
          </w:p>
        </w:tc>
        <w:tc>
          <w:tcPr>
            <w:tcW w:w="786" w:type="pct"/>
            <w:tcBorders>
              <w:top w:val="dotted" w:sz="4" w:space="0" w:color="auto"/>
            </w:tcBorders>
            <w:tcMar>
              <w:left w:w="85" w:type="dxa"/>
              <w:right w:w="85" w:type="dxa"/>
            </w:tcMar>
          </w:tcPr>
          <w:p w14:paraId="0432DC62" w14:textId="4B661CAA" w:rsidR="00E62522" w:rsidRPr="00C86E49" w:rsidRDefault="006D437D" w:rsidP="00545183">
            <w:pPr>
              <w:pStyle w:val="TableText"/>
              <w:rPr>
                <w:bCs/>
              </w:rPr>
            </w:pPr>
            <w:r w:rsidRPr="00C86E49">
              <w:rPr>
                <w:bCs/>
              </w:rPr>
              <w:t>I</w:t>
            </w:r>
            <w:r w:rsidRPr="00C86E49">
              <w:rPr>
                <w:bCs/>
                <w:vertAlign w:val="superscript"/>
              </w:rPr>
              <w:t>2</w:t>
            </w:r>
            <w:r w:rsidRPr="00C86E49">
              <w:rPr>
                <w:bCs/>
              </w:rPr>
              <w:t>=82%; P=0.02</w:t>
            </w:r>
          </w:p>
        </w:tc>
        <w:tc>
          <w:tcPr>
            <w:tcW w:w="786" w:type="pct"/>
            <w:tcBorders>
              <w:top w:val="dotted" w:sz="4" w:space="0" w:color="auto"/>
            </w:tcBorders>
            <w:tcMar>
              <w:left w:w="85" w:type="dxa"/>
              <w:right w:w="85" w:type="dxa"/>
            </w:tcMar>
          </w:tcPr>
          <w:p w14:paraId="2E3D594E" w14:textId="2766769B" w:rsidR="00E62522" w:rsidRPr="00C86E49" w:rsidRDefault="006D437D" w:rsidP="00545183">
            <w:pPr>
              <w:pStyle w:val="TableText"/>
            </w:pPr>
            <w:r w:rsidRPr="00C86E49">
              <w:t>I</w:t>
            </w:r>
            <w:r w:rsidRPr="00C86E49">
              <w:rPr>
                <w:vertAlign w:val="superscript"/>
              </w:rPr>
              <w:t>2</w:t>
            </w:r>
            <w:r w:rsidRPr="00C86E49">
              <w:t>=0%; P=0.60</w:t>
            </w:r>
          </w:p>
        </w:tc>
        <w:tc>
          <w:tcPr>
            <w:tcW w:w="993" w:type="pct"/>
            <w:tcBorders>
              <w:top w:val="dotted" w:sz="4" w:space="0" w:color="auto"/>
            </w:tcBorders>
            <w:tcMar>
              <w:left w:w="85" w:type="dxa"/>
              <w:right w:w="85" w:type="dxa"/>
            </w:tcMar>
          </w:tcPr>
          <w:p w14:paraId="0297E24A" w14:textId="20E0F1C6" w:rsidR="00E62522" w:rsidRPr="00C86E49" w:rsidRDefault="006D437D" w:rsidP="00545183">
            <w:pPr>
              <w:pStyle w:val="TableText"/>
            </w:pPr>
            <w:r w:rsidRPr="00C86E49">
              <w:t>-</w:t>
            </w:r>
          </w:p>
        </w:tc>
      </w:tr>
    </w:tbl>
    <w:p w14:paraId="3504B33A" w14:textId="3593B0EC" w:rsidR="006D0360" w:rsidRPr="00C86E49" w:rsidRDefault="006D0360" w:rsidP="001D7A08">
      <w:pPr>
        <w:pStyle w:val="TableFigureFooter"/>
      </w:pPr>
      <w:r w:rsidRPr="00C86E49">
        <w:t>AMI</w:t>
      </w:r>
      <w:r w:rsidR="001D7A08" w:rsidRPr="00C86E49">
        <w:t xml:space="preserve"> =</w:t>
      </w:r>
      <w:r w:rsidRPr="00C86E49">
        <w:t xml:space="preserve"> acute myocardial infarction; CI</w:t>
      </w:r>
      <w:r w:rsidR="001D7A08" w:rsidRPr="00C86E49">
        <w:t xml:space="preserve"> =</w:t>
      </w:r>
      <w:r w:rsidRPr="00C86E49">
        <w:t xml:space="preserve"> confidence interval; CS</w:t>
      </w:r>
      <w:r w:rsidR="001D7A08" w:rsidRPr="00C86E49">
        <w:t xml:space="preserve"> =</w:t>
      </w:r>
      <w:r w:rsidRPr="00C86E49">
        <w:t xml:space="preserve"> cardiogenic shock; ECPELLA</w:t>
      </w:r>
      <w:r w:rsidR="001D7A08" w:rsidRPr="00C86E49">
        <w:t xml:space="preserve"> =</w:t>
      </w:r>
      <w:r w:rsidRPr="00C86E49">
        <w:t xml:space="preserve"> IMPELLA + VA-ECMO; NR</w:t>
      </w:r>
      <w:r w:rsidR="001D7A08" w:rsidRPr="00C86E49">
        <w:t xml:space="preserve"> =</w:t>
      </w:r>
      <w:r w:rsidRPr="00C86E49">
        <w:t xml:space="preserve"> not reported; OR</w:t>
      </w:r>
      <w:r w:rsidR="001D7A08" w:rsidRPr="00C86E49">
        <w:t xml:space="preserve"> =</w:t>
      </w:r>
      <w:r w:rsidRPr="00C86E49">
        <w:t xml:space="preserve"> odds ratio; RD</w:t>
      </w:r>
      <w:r w:rsidR="001D7A08" w:rsidRPr="00C86E49">
        <w:t xml:space="preserve"> =</w:t>
      </w:r>
      <w:r w:rsidRPr="00C86E49">
        <w:t xml:space="preserve"> risk difference; RR</w:t>
      </w:r>
      <w:r w:rsidR="001D7A08" w:rsidRPr="00C86E49">
        <w:t xml:space="preserve"> =</w:t>
      </w:r>
      <w:r w:rsidRPr="00C86E49">
        <w:t xml:space="preserve"> relative risk; VA-ECMO</w:t>
      </w:r>
      <w:r w:rsidR="001D7A08" w:rsidRPr="00C86E49">
        <w:t xml:space="preserve"> =</w:t>
      </w:r>
      <w:r w:rsidRPr="00C86E49">
        <w:t xml:space="preserve"> veno-arterial extracorporeal membrane oxygenation.</w:t>
      </w:r>
    </w:p>
    <w:p w14:paraId="1421DF92" w14:textId="7AD31C48" w:rsidR="006D0360" w:rsidRPr="00C86E49" w:rsidRDefault="006D0360" w:rsidP="001D7A08">
      <w:pPr>
        <w:pStyle w:val="TableFigureFooter"/>
      </w:pPr>
      <w:r w:rsidRPr="00C86E49">
        <w:t xml:space="preserve">Notes: </w:t>
      </w:r>
      <w:r w:rsidR="003569D4" w:rsidRPr="00C86E49">
        <w:t>E</w:t>
      </w:r>
      <w:r w:rsidRPr="00C86E49">
        <w:t xml:space="preserve">ffect sizes were calculated using RevMan </w:t>
      </w:r>
      <w:r w:rsidR="003569D4" w:rsidRPr="00C86E49">
        <w:t xml:space="preserve">5.3 </w:t>
      </w:r>
      <w:r w:rsidR="008C61B9" w:rsidRPr="00C86E49">
        <w:t>using</w:t>
      </w:r>
      <w:r w:rsidRPr="00C86E49">
        <w:t xml:space="preserve"> the proportions reported, unless effect sizes were reported in the publications. </w:t>
      </w:r>
      <w:r w:rsidR="0031073A" w:rsidRPr="00C86E49">
        <w:t>Meta-analyses used</w:t>
      </w:r>
      <w:r w:rsidRPr="00C86E49">
        <w:t xml:space="preserve"> the generic inverse variance method. Statistically significant results are in bold.</w:t>
      </w:r>
    </w:p>
    <w:p w14:paraId="728AAAD8" w14:textId="07558F81" w:rsidR="006D0360" w:rsidRPr="00C86E49" w:rsidRDefault="006D0360" w:rsidP="001D7A08">
      <w:pPr>
        <w:pStyle w:val="TableFigureFooter"/>
      </w:pPr>
      <w:r w:rsidRPr="00C86E49">
        <w:rPr>
          <w:vertAlign w:val="superscript"/>
        </w:rPr>
        <w:t xml:space="preserve">a </w:t>
      </w:r>
      <w:r w:rsidRPr="00C86E49">
        <w:t>Hendrickson (2022) only reports percentages for unadjusted data</w:t>
      </w:r>
      <w:r w:rsidR="00685CFF" w:rsidRPr="00C86E49">
        <w:t xml:space="preserve">: </w:t>
      </w:r>
      <w:r w:rsidRPr="00C86E49">
        <w:t>ECPELLA 1065/1880 (56.6%) versus VA-ECMO 3845/7440 (51.7%)</w:t>
      </w:r>
      <w:r w:rsidR="00BD6724" w:rsidRPr="00C86E49">
        <w:t>.</w:t>
      </w:r>
    </w:p>
    <w:p w14:paraId="660166C7" w14:textId="491C26AB" w:rsidR="00B41516" w:rsidRPr="00C86E49" w:rsidRDefault="006D0360" w:rsidP="001D7A08">
      <w:pPr>
        <w:pStyle w:val="TableFigureFooter"/>
      </w:pPr>
      <w:r w:rsidRPr="00C86E49">
        <w:rPr>
          <w:vertAlign w:val="superscript"/>
        </w:rPr>
        <w:t>b</w:t>
      </w:r>
      <w:r w:rsidRPr="00C86E49">
        <w:t xml:space="preserve"> Radakovic (2022) only reports percentages for unadjusted data</w:t>
      </w:r>
      <w:r w:rsidR="00AC45BC" w:rsidRPr="00C86E49">
        <w:t>:</w:t>
      </w:r>
      <w:r w:rsidRPr="00C86E49">
        <w:t xml:space="preserve"> ECPELLA 38/71 (53.5%) versus VA-ECMO+SV 26/41 (63.4%)</w:t>
      </w:r>
      <w:r w:rsidR="00BD6724" w:rsidRPr="00C86E49">
        <w:t>.</w:t>
      </w:r>
    </w:p>
    <w:p w14:paraId="582C4C40" w14:textId="02BA29CC" w:rsidR="00F17F68" w:rsidRPr="00C86E49" w:rsidRDefault="00F17F68" w:rsidP="001D7A08">
      <w:pPr>
        <w:pStyle w:val="TableFigureFooter"/>
      </w:pPr>
      <w:r w:rsidRPr="00C86E49">
        <w:t>Source: Table 36 of MSAC 1523.1 ADAR+in-line commentary</w:t>
      </w:r>
      <w:r w:rsidR="00FE2473" w:rsidRPr="00C86E49">
        <w:t>.</w:t>
      </w:r>
    </w:p>
    <w:p w14:paraId="73B74E4F" w14:textId="22037D89" w:rsidR="00C043C7" w:rsidRPr="00C86E49" w:rsidRDefault="00AF0708" w:rsidP="00F13BB4">
      <w:pPr>
        <w:pStyle w:val="Caption"/>
      </w:pPr>
      <w:bookmarkStart w:id="36" w:name="_Ref152068564"/>
      <w:r w:rsidRPr="00C86E49">
        <w:t xml:space="preserve">Figure </w:t>
      </w:r>
      <w:r w:rsidR="007552E5">
        <w:fldChar w:fldCharType="begin"/>
      </w:r>
      <w:r w:rsidR="007552E5">
        <w:instrText xml:space="preserve"> SEQ Figure \* ARABIC </w:instrText>
      </w:r>
      <w:r w:rsidR="007552E5">
        <w:fldChar w:fldCharType="separate"/>
      </w:r>
      <w:r w:rsidR="00EF3514" w:rsidRPr="00C86E49">
        <w:rPr>
          <w:noProof/>
        </w:rPr>
        <w:t>5</w:t>
      </w:r>
      <w:r w:rsidR="007552E5">
        <w:rPr>
          <w:noProof/>
        </w:rPr>
        <w:fldChar w:fldCharType="end"/>
      </w:r>
      <w:bookmarkEnd w:id="36"/>
      <w:r w:rsidRPr="00C86E49">
        <w:tab/>
      </w:r>
      <w:r w:rsidR="00F13BB4" w:rsidRPr="00C86E49">
        <w:t>Forest plot</w:t>
      </w:r>
      <w:r w:rsidR="00804D85" w:rsidRPr="00C86E49">
        <w:t xml:space="preserve">s </w:t>
      </w:r>
      <w:r w:rsidR="00F13BB4" w:rsidRPr="00C86E49">
        <w:t xml:space="preserve">of 30-day/in-hospital mortality in the matched/adjusted ECPELLA versus VA-ECMO ± </w:t>
      </w:r>
      <w:r w:rsidR="00745B1F" w:rsidRPr="00C86E49">
        <w:t>surgical vent</w:t>
      </w:r>
      <w:r w:rsidR="00FE2088" w:rsidRPr="00C86E49">
        <w:t xml:space="preserve"> </w:t>
      </w:r>
      <w:r w:rsidR="00F13BB4" w:rsidRPr="00C86E49">
        <w:t>studies</w:t>
      </w:r>
    </w:p>
    <w:p w14:paraId="07FBD00A" w14:textId="5D96088D" w:rsidR="003B0B82" w:rsidRPr="00C86E49" w:rsidRDefault="00115FB1" w:rsidP="0056215E">
      <w:pPr>
        <w:pBdr>
          <w:top w:val="single" w:sz="4" w:space="1" w:color="auto"/>
          <w:left w:val="single" w:sz="4" w:space="4" w:color="auto"/>
          <w:bottom w:val="single" w:sz="4" w:space="1" w:color="auto"/>
          <w:right w:val="single" w:sz="4" w:space="4" w:color="auto"/>
        </w:pBdr>
        <w:spacing w:after="0"/>
      </w:pPr>
      <w:r w:rsidRPr="00C86E49">
        <w:rPr>
          <w:noProof/>
          <w:color w:val="2B579A"/>
          <w:shd w:val="clear" w:color="auto" w:fill="E6E6E6"/>
        </w:rPr>
        <w:drawing>
          <wp:inline distT="0" distB="0" distL="0" distR="0" wp14:anchorId="332B9D84" wp14:editId="3289ADF4">
            <wp:extent cx="5731510" cy="1135380"/>
            <wp:effectExtent l="0" t="0" r="2540" b="7620"/>
            <wp:docPr id="1835591119" name="Picture 1835591119" descr="This is a forest plot of the 30-day/in-hospital mortality odds ratio results for the matched/adjusted ECPELLA versus VA-ECMO with or without surgical venting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91119" name="Picture 1835591119" descr="This is a forest plot of the 30-day/in-hospital mortality odds ratio results for the matched/adjusted ECPELLA versus VA-ECMO with or without surgical venting studies. "/>
                    <pic:cNvPicPr/>
                  </pic:nvPicPr>
                  <pic:blipFill>
                    <a:blip r:embed="rId19"/>
                    <a:stretch>
                      <a:fillRect/>
                    </a:stretch>
                  </pic:blipFill>
                  <pic:spPr>
                    <a:xfrm>
                      <a:off x="0" y="0"/>
                      <a:ext cx="5731510" cy="1135380"/>
                    </a:xfrm>
                    <a:prstGeom prst="rect">
                      <a:avLst/>
                    </a:prstGeom>
                  </pic:spPr>
                </pic:pic>
              </a:graphicData>
            </a:graphic>
          </wp:inline>
        </w:drawing>
      </w:r>
      <w:r w:rsidR="00745B1F" w:rsidRPr="00C86E49">
        <w:rPr>
          <w:noProof/>
          <w:color w:val="2B579A"/>
          <w:shd w:val="clear" w:color="auto" w:fill="E6E6E6"/>
        </w:rPr>
        <w:drawing>
          <wp:inline distT="0" distB="0" distL="0" distR="0" wp14:anchorId="5FD2F9D7" wp14:editId="0C0A9FD9">
            <wp:extent cx="5731510" cy="995680"/>
            <wp:effectExtent l="0" t="0" r="2540" b="0"/>
            <wp:docPr id="1395351695" name="Picture 1395351695" descr="This is a forest plot of the 30-day/in-hospital mortality risk ratio results for the matched/adjusted ECPELLA versus VA-ECMO with or without surgical venting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51695" name="Picture 1395351695" descr="This is a forest plot of the 30-day/in-hospital mortality risk ratio results for the matched/adjusted ECPELLA versus VA-ECMO with or without surgical venting studies. "/>
                    <pic:cNvPicPr/>
                  </pic:nvPicPr>
                  <pic:blipFill>
                    <a:blip r:embed="rId20"/>
                    <a:stretch>
                      <a:fillRect/>
                    </a:stretch>
                  </pic:blipFill>
                  <pic:spPr>
                    <a:xfrm>
                      <a:off x="0" y="0"/>
                      <a:ext cx="5731510" cy="995680"/>
                    </a:xfrm>
                    <a:prstGeom prst="rect">
                      <a:avLst/>
                    </a:prstGeom>
                  </pic:spPr>
                </pic:pic>
              </a:graphicData>
            </a:graphic>
          </wp:inline>
        </w:drawing>
      </w:r>
      <w:r w:rsidR="003B0B82" w:rsidRPr="00C86E49">
        <w:rPr>
          <w:noProof/>
          <w:color w:val="2B579A"/>
          <w:shd w:val="clear" w:color="auto" w:fill="E6E6E6"/>
        </w:rPr>
        <w:drawing>
          <wp:inline distT="0" distB="0" distL="0" distR="0" wp14:anchorId="746F49AA" wp14:editId="411C44CD">
            <wp:extent cx="5730875" cy="1091565"/>
            <wp:effectExtent l="0" t="0" r="3175" b="0"/>
            <wp:docPr id="319198578" name="Picture 319198578" descr="This is a forest plot of the 30-day/in-hospital mortality hazard ratio results for the matched/adjusted ECPELLA versus VA-ECMO with or without surgical venting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8578" name="Picture 319198578" descr="This is a forest plot of the 30-day/in-hospital mortality hazard ratio results for the matched/adjusted ECPELLA versus VA-ECMO with or without surgical venting studi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1091565"/>
                    </a:xfrm>
                    <a:prstGeom prst="rect">
                      <a:avLst/>
                    </a:prstGeom>
                    <a:noFill/>
                  </pic:spPr>
                </pic:pic>
              </a:graphicData>
            </a:graphic>
          </wp:inline>
        </w:drawing>
      </w:r>
    </w:p>
    <w:p w14:paraId="58F6A115" w14:textId="523DCE69" w:rsidR="00F13BB4" w:rsidRPr="00C86E49" w:rsidRDefault="00876A99" w:rsidP="00876A99">
      <w:pPr>
        <w:pStyle w:val="TableFigureFooter"/>
      </w:pPr>
      <w:r w:rsidRPr="00C86E49">
        <w:t xml:space="preserve">CI = confidence interval; ECPELLA = IMPELLA plus VA-ECMO; </w:t>
      </w:r>
      <w:r w:rsidR="008B55A0" w:rsidRPr="00C86E49">
        <w:t xml:space="preserve">IV = inverse variance; </w:t>
      </w:r>
      <w:r w:rsidRPr="00C86E49">
        <w:t>SE = standard error; VA-ECMO = veno-arterial extracorporeal membrane oxygenation.</w:t>
      </w:r>
    </w:p>
    <w:p w14:paraId="4D1D7023" w14:textId="7B5A37F3" w:rsidR="0040160B" w:rsidRPr="00C86E49" w:rsidRDefault="0040160B" w:rsidP="00876A99">
      <w:pPr>
        <w:pStyle w:val="TableFigureFooter"/>
      </w:pPr>
      <w:r w:rsidRPr="00C86E49">
        <w:t xml:space="preserve">Source: Figure </w:t>
      </w:r>
      <w:r w:rsidR="00254526" w:rsidRPr="00C86E49">
        <w:t>15, Figure 16, and Figure 17</w:t>
      </w:r>
      <w:r w:rsidRPr="00C86E49">
        <w:t xml:space="preserve"> of MSAC 1523.1 ADAR+in-line commentary.</w:t>
      </w:r>
    </w:p>
    <w:p w14:paraId="0D3B162E" w14:textId="5D0342CA" w:rsidR="009E7F77" w:rsidRPr="00C86E49" w:rsidRDefault="002A3193" w:rsidP="009E7F77">
      <w:pPr>
        <w:pStyle w:val="Heading3"/>
      </w:pPr>
      <w:r w:rsidRPr="00C86E49">
        <w:t>Long-term mortality</w:t>
      </w:r>
    </w:p>
    <w:p w14:paraId="62553209" w14:textId="3CBB4DA7" w:rsidR="002A3193" w:rsidRPr="00C86E49" w:rsidRDefault="002A3193" w:rsidP="002A3193">
      <w:pPr>
        <w:pStyle w:val="Heading4"/>
      </w:pPr>
      <w:r w:rsidRPr="00C86E49">
        <w:t>IMPELLA versus VA-ECMO</w:t>
      </w:r>
    </w:p>
    <w:p w14:paraId="5CD8AB92" w14:textId="232BABCD" w:rsidR="000F2A71" w:rsidRPr="00C86E49" w:rsidRDefault="004976FE" w:rsidP="000F2A71">
      <w:r w:rsidRPr="00C86E49">
        <w:t>Only three of the matched/adjusted IMPELLA versus VA-ECMO studies measured mortality beyond 30</w:t>
      </w:r>
      <w:r w:rsidR="002970C3" w:rsidRPr="00C86E49">
        <w:t xml:space="preserve"> </w:t>
      </w:r>
      <w:r w:rsidRPr="00C86E49">
        <w:t xml:space="preserve">days/in-hospital. The longer-term mortality </w:t>
      </w:r>
      <w:r w:rsidR="00655B2D" w:rsidRPr="00C86E49">
        <w:t>results from</w:t>
      </w:r>
      <w:r w:rsidRPr="00C86E49">
        <w:t xml:space="preserve"> </w:t>
      </w:r>
      <w:r w:rsidR="000B1822" w:rsidRPr="00C86E49">
        <w:t>these</w:t>
      </w:r>
      <w:r w:rsidRPr="00C86E49">
        <w:t xml:space="preserve"> studies are </w:t>
      </w:r>
      <w:r w:rsidR="00F6768D" w:rsidRPr="00C86E49">
        <w:t>presented</w:t>
      </w:r>
      <w:r w:rsidRPr="00C86E49">
        <w:t xml:space="preserve"> in</w:t>
      </w:r>
      <w:r w:rsidR="009624E0" w:rsidRPr="00C86E49">
        <w:t xml:space="preserve"> </w:t>
      </w:r>
      <w:r w:rsidR="00F6768D" w:rsidRPr="00C86E49">
        <w:rPr>
          <w:color w:val="2B579A"/>
          <w:shd w:val="clear" w:color="auto" w:fill="E6E6E6"/>
        </w:rPr>
        <w:fldChar w:fldCharType="begin"/>
      </w:r>
      <w:r w:rsidR="00F6768D" w:rsidRPr="00C86E49">
        <w:instrText xml:space="preserve"> REF _Ref152071946 \h </w:instrText>
      </w:r>
      <w:r w:rsidR="00C86E49">
        <w:rPr>
          <w:color w:val="2B579A"/>
          <w:shd w:val="clear" w:color="auto" w:fill="E6E6E6"/>
        </w:rPr>
        <w:instrText xml:space="preserve"> \* MERGEFORMAT </w:instrText>
      </w:r>
      <w:r w:rsidR="00F6768D" w:rsidRPr="00C86E49">
        <w:rPr>
          <w:color w:val="2B579A"/>
          <w:shd w:val="clear" w:color="auto" w:fill="E6E6E6"/>
        </w:rPr>
      </w:r>
      <w:r w:rsidR="00F6768D" w:rsidRPr="00C86E49">
        <w:rPr>
          <w:color w:val="2B579A"/>
          <w:shd w:val="clear" w:color="auto" w:fill="E6E6E6"/>
        </w:rPr>
        <w:fldChar w:fldCharType="separate"/>
      </w:r>
      <w:r w:rsidR="00EF3514" w:rsidRPr="00C86E49">
        <w:t xml:space="preserve">Table </w:t>
      </w:r>
      <w:r w:rsidR="00EF3514" w:rsidRPr="00C86E49">
        <w:rPr>
          <w:noProof/>
        </w:rPr>
        <w:t>12</w:t>
      </w:r>
      <w:r w:rsidR="00F6768D" w:rsidRPr="00C86E49">
        <w:rPr>
          <w:color w:val="2B579A"/>
          <w:shd w:val="clear" w:color="auto" w:fill="E6E6E6"/>
        </w:rPr>
        <w:fldChar w:fldCharType="end"/>
      </w:r>
      <w:r w:rsidRPr="00C86E49">
        <w:t>.</w:t>
      </w:r>
      <w:r w:rsidR="008C1741" w:rsidRPr="00C86E49">
        <w:t xml:space="preserve"> </w:t>
      </w:r>
      <w:r w:rsidR="00CD305D" w:rsidRPr="00C86E49">
        <w:t>M</w:t>
      </w:r>
      <w:r w:rsidR="00FA5E10" w:rsidRPr="00C86E49">
        <w:t>eta-analysis</w:t>
      </w:r>
      <w:r w:rsidR="000F2A71" w:rsidRPr="00C86E49">
        <w:t xml:space="preserve"> of </w:t>
      </w:r>
      <w:r w:rsidR="00CD305D" w:rsidRPr="00C86E49">
        <w:t xml:space="preserve">the </w:t>
      </w:r>
      <w:r w:rsidR="000F2A71" w:rsidRPr="00C86E49">
        <w:t xml:space="preserve">two studies </w:t>
      </w:r>
      <w:r w:rsidR="00CD305D" w:rsidRPr="00C86E49">
        <w:t xml:space="preserve">that reported 6-month </w:t>
      </w:r>
      <w:r w:rsidR="0059615B" w:rsidRPr="00C86E49">
        <w:t xml:space="preserve">mortality (converted from survival) </w:t>
      </w:r>
      <w:r w:rsidR="00014C74" w:rsidRPr="00C86E49">
        <w:t xml:space="preserve">found no statistically significant difference between </w:t>
      </w:r>
      <w:r w:rsidR="000F2A71" w:rsidRPr="00C86E49">
        <w:t xml:space="preserve">IMPELLA </w:t>
      </w:r>
      <w:r w:rsidR="00515BA5" w:rsidRPr="00C86E49">
        <w:t>and</w:t>
      </w:r>
      <w:r w:rsidR="000F2A71" w:rsidRPr="00C86E49">
        <w:t xml:space="preserve"> VA-ECMO. The commentary noted the potential for double counting</w:t>
      </w:r>
      <w:r w:rsidR="00051E35" w:rsidRPr="00C86E49">
        <w:t xml:space="preserve"> due to patient overlap</w:t>
      </w:r>
      <w:r w:rsidR="000F2A71" w:rsidRPr="00C86E49">
        <w:t xml:space="preserve">. </w:t>
      </w:r>
    </w:p>
    <w:p w14:paraId="7F3AE63D" w14:textId="34596A55" w:rsidR="000F2A71" w:rsidRPr="00C86E49" w:rsidRDefault="000F2A71" w:rsidP="000F2A71">
      <w:r w:rsidRPr="00C86E49">
        <w:t>The ADAR stated that whilst the analysis likely lacked power to detect a statistically significant difference, studies reporting multiple timepoints indicate</w:t>
      </w:r>
      <w:r w:rsidR="00BD5C7A" w:rsidRPr="00C86E49">
        <w:t>d</w:t>
      </w:r>
      <w:r w:rsidRPr="00C86E49">
        <w:t xml:space="preserve"> that patients surviving to 30</w:t>
      </w:r>
      <w:r w:rsidR="00BD5C7A" w:rsidRPr="00C86E49">
        <w:t xml:space="preserve"> </w:t>
      </w:r>
      <w:r w:rsidRPr="00C86E49">
        <w:t>days</w:t>
      </w:r>
      <w:r w:rsidR="00BD5C7A" w:rsidRPr="00C86E49">
        <w:t>/ hospital discharge</w:t>
      </w:r>
      <w:r w:rsidRPr="00C86E49">
        <w:t xml:space="preserve"> are likely to survive over the longer-term, meaning the benefit is expected to be maintained. The commentary noted that in studies with data at multiple timepoints, mortality continued to increase (albeit slowly) in the IMPELLA </w:t>
      </w:r>
      <w:r w:rsidR="00C2494D" w:rsidRPr="00C86E49">
        <w:t>coh</w:t>
      </w:r>
      <w:r w:rsidR="0039381C" w:rsidRPr="00C86E49">
        <w:t>ort</w:t>
      </w:r>
      <w:r w:rsidRPr="00C86E49">
        <w:t xml:space="preserve"> but was constant in </w:t>
      </w:r>
      <w:r w:rsidR="0039381C" w:rsidRPr="00C86E49">
        <w:t xml:space="preserve">patients receiving </w:t>
      </w:r>
      <w:r w:rsidRPr="00C86E49">
        <w:t xml:space="preserve">VA-ECMO. The only study that reported 5-year data </w:t>
      </w:r>
      <w:r w:rsidR="00317090" w:rsidRPr="00C86E49">
        <w:t>found</w:t>
      </w:r>
      <w:r w:rsidRPr="00C86E49">
        <w:t xml:space="preserve"> numerically higher mortality in the IMPELLA </w:t>
      </w:r>
      <w:r w:rsidR="00C2494D" w:rsidRPr="00C86E49">
        <w:t>cohort</w:t>
      </w:r>
      <w:r w:rsidRPr="00C86E49">
        <w:t>.</w:t>
      </w:r>
    </w:p>
    <w:p w14:paraId="07FAE9B3" w14:textId="66E87D30" w:rsidR="00F6768D" w:rsidRPr="00C86E49" w:rsidRDefault="00F6768D" w:rsidP="00F6768D">
      <w:pPr>
        <w:pStyle w:val="Caption"/>
      </w:pPr>
      <w:bookmarkStart w:id="37" w:name="_Ref152071946"/>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12</w:t>
      </w:r>
      <w:r w:rsidR="007552E5">
        <w:rPr>
          <w:noProof/>
        </w:rPr>
        <w:fldChar w:fldCharType="end"/>
      </w:r>
      <w:bookmarkEnd w:id="37"/>
      <w:r w:rsidR="004C72F5" w:rsidRPr="00C86E49">
        <w:tab/>
      </w:r>
      <w:r w:rsidR="001B56B3" w:rsidRPr="00C86E49">
        <w:t>Long</w:t>
      </w:r>
      <w:r w:rsidR="000F2A71" w:rsidRPr="00C86E49">
        <w:t>er</w:t>
      </w:r>
      <w:r w:rsidR="001B56B3" w:rsidRPr="00C86E49">
        <w:t>-term mortality in the matched/adjusted IMPELLA versus VA-ECMO studies</w:t>
      </w:r>
    </w:p>
    <w:tbl>
      <w:tblPr>
        <w:tblStyle w:val="TableGrid"/>
        <w:tblW w:w="5000" w:type="pct"/>
        <w:tblLayout w:type="fixed"/>
        <w:tblLook w:val="04A0" w:firstRow="1" w:lastRow="0" w:firstColumn="1" w:lastColumn="0" w:noHBand="0" w:noVBand="1"/>
        <w:tblCaption w:val="Longer-term mortality in the matched/adjusted IMPELLA versus VA-ECMO studies"/>
        <w:tblDescription w:val="This table shows the longer-term mortality individual study and meta-analysis results for the matched/adjusted IMPELLA versus VA-ECMO studies. "/>
      </w:tblPr>
      <w:tblGrid>
        <w:gridCol w:w="988"/>
        <w:gridCol w:w="564"/>
        <w:gridCol w:w="285"/>
        <w:gridCol w:w="139"/>
        <w:gridCol w:w="144"/>
        <w:gridCol w:w="427"/>
        <w:gridCol w:w="992"/>
        <w:gridCol w:w="990"/>
        <w:gridCol w:w="1417"/>
        <w:gridCol w:w="994"/>
        <w:gridCol w:w="141"/>
        <w:gridCol w:w="290"/>
        <w:gridCol w:w="1645"/>
      </w:tblGrid>
      <w:tr w:rsidR="00D94671" w:rsidRPr="00C86E49" w14:paraId="7EC895DF" w14:textId="77777777" w:rsidTr="00C77288">
        <w:trPr>
          <w:tblHeader/>
        </w:trPr>
        <w:tc>
          <w:tcPr>
            <w:tcW w:w="548" w:type="pct"/>
            <w:tcBorders>
              <w:bottom w:val="single" w:sz="4" w:space="0" w:color="auto"/>
            </w:tcBorders>
            <w:tcMar>
              <w:left w:w="85" w:type="dxa"/>
              <w:right w:w="85" w:type="dxa"/>
            </w:tcMar>
          </w:tcPr>
          <w:p w14:paraId="04C1A82C" w14:textId="1DE71958" w:rsidR="004C72F5" w:rsidRPr="00C86E49" w:rsidRDefault="004C72F5">
            <w:pPr>
              <w:pStyle w:val="TableHeading0"/>
            </w:pPr>
            <w:r w:rsidRPr="00C86E49">
              <w:t>Trial ID</w:t>
            </w:r>
          </w:p>
        </w:tc>
        <w:tc>
          <w:tcPr>
            <w:tcW w:w="865" w:type="pct"/>
            <w:gridSpan w:val="5"/>
            <w:tcBorders>
              <w:bottom w:val="single" w:sz="4" w:space="0" w:color="auto"/>
            </w:tcBorders>
            <w:tcMar>
              <w:left w:w="85" w:type="dxa"/>
              <w:right w:w="85" w:type="dxa"/>
            </w:tcMar>
          </w:tcPr>
          <w:p w14:paraId="145D56E9" w14:textId="77777777" w:rsidR="004C72F5" w:rsidRPr="00C86E49" w:rsidRDefault="004C72F5">
            <w:pPr>
              <w:pStyle w:val="TableHeading0"/>
            </w:pPr>
            <w:r w:rsidRPr="00C86E49">
              <w:t>CS type</w:t>
            </w:r>
          </w:p>
        </w:tc>
        <w:tc>
          <w:tcPr>
            <w:tcW w:w="550" w:type="pct"/>
            <w:tcBorders>
              <w:bottom w:val="single" w:sz="4" w:space="0" w:color="auto"/>
            </w:tcBorders>
            <w:tcMar>
              <w:left w:w="85" w:type="dxa"/>
              <w:right w:w="85" w:type="dxa"/>
            </w:tcMar>
          </w:tcPr>
          <w:p w14:paraId="5BDBE197" w14:textId="41DF6465" w:rsidR="004C72F5" w:rsidRPr="00C86E49" w:rsidRDefault="004C72F5">
            <w:pPr>
              <w:pStyle w:val="TableHeading0"/>
            </w:pPr>
            <w:r w:rsidRPr="00C86E49">
              <w:t>IMPELLA</w:t>
            </w:r>
            <w:r w:rsidR="00776E8C" w:rsidRPr="00C86E49">
              <w:br/>
            </w:r>
            <w:r w:rsidRPr="00C86E49">
              <w:t>n/N (%)</w:t>
            </w:r>
          </w:p>
        </w:tc>
        <w:tc>
          <w:tcPr>
            <w:tcW w:w="549" w:type="pct"/>
            <w:tcBorders>
              <w:bottom w:val="single" w:sz="4" w:space="0" w:color="auto"/>
            </w:tcBorders>
            <w:tcMar>
              <w:left w:w="85" w:type="dxa"/>
              <w:right w:w="85" w:type="dxa"/>
            </w:tcMar>
          </w:tcPr>
          <w:p w14:paraId="1D6A397F" w14:textId="3051AC2B" w:rsidR="004C72F5" w:rsidRPr="00C86E49" w:rsidRDefault="004C72F5">
            <w:pPr>
              <w:pStyle w:val="TableHeading0"/>
            </w:pPr>
            <w:r w:rsidRPr="00C86E49">
              <w:t>VA-ECMO</w:t>
            </w:r>
            <w:r w:rsidR="00776E8C" w:rsidRPr="00C86E49">
              <w:br/>
            </w:r>
            <w:r w:rsidRPr="00C86E49">
              <w:t>n/N (%)</w:t>
            </w:r>
          </w:p>
        </w:tc>
        <w:tc>
          <w:tcPr>
            <w:tcW w:w="786" w:type="pct"/>
            <w:tcBorders>
              <w:bottom w:val="single" w:sz="4" w:space="0" w:color="auto"/>
            </w:tcBorders>
            <w:tcMar>
              <w:left w:w="85" w:type="dxa"/>
              <w:right w:w="85" w:type="dxa"/>
            </w:tcMar>
          </w:tcPr>
          <w:p w14:paraId="0F2C763C" w14:textId="77777777" w:rsidR="004C72F5" w:rsidRPr="00C86E49" w:rsidRDefault="004C72F5">
            <w:pPr>
              <w:pStyle w:val="TableHeading0"/>
            </w:pPr>
            <w:r w:rsidRPr="00C86E49">
              <w:t xml:space="preserve">OR [95% CI] </w:t>
            </w:r>
            <w:r w:rsidRPr="00C86E49">
              <w:br/>
              <w:t>p-value</w:t>
            </w:r>
          </w:p>
        </w:tc>
        <w:tc>
          <w:tcPr>
            <w:tcW w:w="790" w:type="pct"/>
            <w:gridSpan w:val="3"/>
            <w:tcBorders>
              <w:bottom w:val="single" w:sz="4" w:space="0" w:color="auto"/>
            </w:tcBorders>
            <w:tcMar>
              <w:left w:w="85" w:type="dxa"/>
              <w:right w:w="85" w:type="dxa"/>
            </w:tcMar>
          </w:tcPr>
          <w:p w14:paraId="37C09F02" w14:textId="77777777" w:rsidR="004C72F5" w:rsidRPr="00C86E49" w:rsidRDefault="004C72F5">
            <w:pPr>
              <w:pStyle w:val="TableHeading0"/>
            </w:pPr>
            <w:r w:rsidRPr="00C86E49">
              <w:t xml:space="preserve">RR [95% CI] </w:t>
            </w:r>
            <w:r w:rsidRPr="00C86E49">
              <w:br/>
              <w:t>p-value</w:t>
            </w:r>
          </w:p>
        </w:tc>
        <w:tc>
          <w:tcPr>
            <w:tcW w:w="912" w:type="pct"/>
            <w:tcBorders>
              <w:bottom w:val="single" w:sz="4" w:space="0" w:color="auto"/>
            </w:tcBorders>
            <w:tcMar>
              <w:left w:w="85" w:type="dxa"/>
              <w:right w:w="85" w:type="dxa"/>
            </w:tcMar>
          </w:tcPr>
          <w:p w14:paraId="73A0E6F1" w14:textId="77777777" w:rsidR="004C72F5" w:rsidRPr="00C86E49" w:rsidRDefault="004C72F5">
            <w:pPr>
              <w:pStyle w:val="TableHeading0"/>
            </w:pPr>
            <w:r w:rsidRPr="00C86E49">
              <w:t xml:space="preserve">RD [95% CI] </w:t>
            </w:r>
            <w:r w:rsidRPr="00C86E49">
              <w:br/>
              <w:t>p-value</w:t>
            </w:r>
          </w:p>
        </w:tc>
      </w:tr>
      <w:tr w:rsidR="00D94671" w:rsidRPr="00C86E49" w14:paraId="720AA9FA" w14:textId="77777777" w:rsidTr="00C77288">
        <w:trPr>
          <w:tblHeader/>
        </w:trPr>
        <w:tc>
          <w:tcPr>
            <w:tcW w:w="1096" w:type="pct"/>
            <w:gridSpan w:val="4"/>
            <w:tcBorders>
              <w:right w:val="nil"/>
            </w:tcBorders>
            <w:tcMar>
              <w:left w:w="85" w:type="dxa"/>
              <w:right w:w="85" w:type="dxa"/>
            </w:tcMar>
          </w:tcPr>
          <w:p w14:paraId="0785EBC6" w14:textId="730F0631" w:rsidR="00B373AD" w:rsidRPr="00C86E49" w:rsidRDefault="005D57C0" w:rsidP="00AE1234">
            <w:pPr>
              <w:pStyle w:val="In-tableHeading"/>
            </w:pPr>
            <w:r w:rsidRPr="00C86E49">
              <w:t>6-month mortality</w:t>
            </w:r>
          </w:p>
        </w:tc>
        <w:tc>
          <w:tcPr>
            <w:tcW w:w="317" w:type="pct"/>
            <w:gridSpan w:val="2"/>
            <w:tcBorders>
              <w:left w:val="nil"/>
              <w:right w:val="nil"/>
            </w:tcBorders>
            <w:tcMar>
              <w:left w:w="85" w:type="dxa"/>
              <w:right w:w="85" w:type="dxa"/>
            </w:tcMar>
          </w:tcPr>
          <w:p w14:paraId="37B2C30D" w14:textId="77777777" w:rsidR="00B373AD" w:rsidRPr="00C86E49" w:rsidRDefault="00B373AD" w:rsidP="00C01E2B">
            <w:pPr>
              <w:pStyle w:val="TableText"/>
            </w:pPr>
          </w:p>
        </w:tc>
        <w:tc>
          <w:tcPr>
            <w:tcW w:w="550" w:type="pct"/>
            <w:tcBorders>
              <w:left w:val="nil"/>
              <w:right w:val="nil"/>
            </w:tcBorders>
            <w:tcMar>
              <w:left w:w="85" w:type="dxa"/>
              <w:right w:w="85" w:type="dxa"/>
            </w:tcMar>
          </w:tcPr>
          <w:p w14:paraId="5FF1A56F" w14:textId="77777777" w:rsidR="00B373AD" w:rsidRPr="00C86E49" w:rsidRDefault="00B373AD" w:rsidP="00C01E2B">
            <w:pPr>
              <w:pStyle w:val="TableText"/>
            </w:pPr>
          </w:p>
        </w:tc>
        <w:tc>
          <w:tcPr>
            <w:tcW w:w="549" w:type="pct"/>
            <w:tcBorders>
              <w:left w:val="nil"/>
              <w:right w:val="nil"/>
            </w:tcBorders>
            <w:tcMar>
              <w:left w:w="85" w:type="dxa"/>
              <w:right w:w="85" w:type="dxa"/>
            </w:tcMar>
          </w:tcPr>
          <w:p w14:paraId="546479C0" w14:textId="77777777" w:rsidR="00B373AD" w:rsidRPr="00C86E49" w:rsidRDefault="00B373AD" w:rsidP="00C01E2B">
            <w:pPr>
              <w:pStyle w:val="TableText"/>
            </w:pPr>
          </w:p>
        </w:tc>
        <w:tc>
          <w:tcPr>
            <w:tcW w:w="786" w:type="pct"/>
            <w:tcBorders>
              <w:left w:val="nil"/>
              <w:right w:val="nil"/>
            </w:tcBorders>
            <w:tcMar>
              <w:left w:w="85" w:type="dxa"/>
              <w:right w:w="85" w:type="dxa"/>
            </w:tcMar>
          </w:tcPr>
          <w:p w14:paraId="2D9FA034" w14:textId="77777777" w:rsidR="00B373AD" w:rsidRPr="00C86E49" w:rsidRDefault="00B373AD" w:rsidP="00C01E2B">
            <w:pPr>
              <w:pStyle w:val="TableText"/>
            </w:pPr>
          </w:p>
        </w:tc>
        <w:tc>
          <w:tcPr>
            <w:tcW w:w="790" w:type="pct"/>
            <w:gridSpan w:val="3"/>
            <w:tcBorders>
              <w:left w:val="nil"/>
              <w:right w:val="nil"/>
            </w:tcBorders>
            <w:tcMar>
              <w:left w:w="85" w:type="dxa"/>
              <w:right w:w="85" w:type="dxa"/>
            </w:tcMar>
          </w:tcPr>
          <w:p w14:paraId="5FD1C27B" w14:textId="77777777" w:rsidR="00B373AD" w:rsidRPr="00C86E49" w:rsidRDefault="00B373AD" w:rsidP="00C01E2B">
            <w:pPr>
              <w:pStyle w:val="TableText"/>
            </w:pPr>
          </w:p>
        </w:tc>
        <w:tc>
          <w:tcPr>
            <w:tcW w:w="912" w:type="pct"/>
            <w:tcBorders>
              <w:left w:val="nil"/>
            </w:tcBorders>
            <w:tcMar>
              <w:left w:w="85" w:type="dxa"/>
              <w:right w:w="85" w:type="dxa"/>
            </w:tcMar>
          </w:tcPr>
          <w:p w14:paraId="0D1ECF7D" w14:textId="77777777" w:rsidR="00B373AD" w:rsidRPr="00C86E49" w:rsidRDefault="00B373AD" w:rsidP="00C01E2B">
            <w:pPr>
              <w:pStyle w:val="TableText"/>
            </w:pPr>
          </w:p>
        </w:tc>
      </w:tr>
      <w:tr w:rsidR="00D94671" w:rsidRPr="00C86E49" w14:paraId="4210F2DA" w14:textId="77777777" w:rsidTr="00C77288">
        <w:trPr>
          <w:tblHeader/>
        </w:trPr>
        <w:tc>
          <w:tcPr>
            <w:tcW w:w="548" w:type="pct"/>
            <w:tcMar>
              <w:left w:w="85" w:type="dxa"/>
              <w:right w:w="85" w:type="dxa"/>
            </w:tcMar>
          </w:tcPr>
          <w:p w14:paraId="02A8E4B5" w14:textId="476B82B1" w:rsidR="00C01E2B" w:rsidRPr="00C86E49" w:rsidRDefault="003E16B0" w:rsidP="00C01E2B">
            <w:pPr>
              <w:pStyle w:val="TableText"/>
            </w:pPr>
            <w:r w:rsidRPr="00C86E49">
              <w:t>Karatolios 2021</w:t>
            </w:r>
          </w:p>
        </w:tc>
        <w:tc>
          <w:tcPr>
            <w:tcW w:w="865" w:type="pct"/>
            <w:gridSpan w:val="5"/>
            <w:tcMar>
              <w:left w:w="85" w:type="dxa"/>
              <w:right w:w="85" w:type="dxa"/>
            </w:tcMar>
          </w:tcPr>
          <w:p w14:paraId="245A977F" w14:textId="32B0FC42" w:rsidR="00C01E2B" w:rsidRPr="00C86E49" w:rsidRDefault="003E16B0" w:rsidP="00C01E2B">
            <w:pPr>
              <w:pStyle w:val="TableText"/>
            </w:pPr>
            <w:r w:rsidRPr="00C86E49">
              <w:t>Any CS</w:t>
            </w:r>
          </w:p>
        </w:tc>
        <w:tc>
          <w:tcPr>
            <w:tcW w:w="550" w:type="pct"/>
            <w:tcMar>
              <w:left w:w="85" w:type="dxa"/>
              <w:right w:w="85" w:type="dxa"/>
            </w:tcMar>
          </w:tcPr>
          <w:p w14:paraId="4272AF44" w14:textId="30A16D33" w:rsidR="00C01E2B" w:rsidRPr="00C86E49" w:rsidRDefault="003E16B0" w:rsidP="00C01E2B">
            <w:pPr>
              <w:pStyle w:val="TableText"/>
            </w:pPr>
            <w:r w:rsidRPr="00C86E49">
              <w:t>45/83</w:t>
            </w:r>
            <w:r w:rsidR="00776E8C" w:rsidRPr="00C86E49">
              <w:br/>
            </w:r>
            <w:r w:rsidRPr="00C86E49">
              <w:t>(54.2%)</w:t>
            </w:r>
          </w:p>
        </w:tc>
        <w:tc>
          <w:tcPr>
            <w:tcW w:w="549" w:type="pct"/>
            <w:tcMar>
              <w:left w:w="85" w:type="dxa"/>
              <w:right w:w="85" w:type="dxa"/>
            </w:tcMar>
          </w:tcPr>
          <w:p w14:paraId="44BAA329" w14:textId="168B604A" w:rsidR="00C01E2B" w:rsidRPr="00C86E49" w:rsidRDefault="003E16B0" w:rsidP="00C01E2B">
            <w:pPr>
              <w:pStyle w:val="TableText"/>
            </w:pPr>
            <w:r w:rsidRPr="00C86E49">
              <w:t>51/83</w:t>
            </w:r>
            <w:r w:rsidR="00EC3A33" w:rsidRPr="00C86E49">
              <w:br/>
            </w:r>
            <w:r w:rsidRPr="00C86E49">
              <w:t>(61.4%)</w:t>
            </w:r>
          </w:p>
        </w:tc>
        <w:tc>
          <w:tcPr>
            <w:tcW w:w="786" w:type="pct"/>
            <w:tcMar>
              <w:left w:w="85" w:type="dxa"/>
              <w:right w:w="85" w:type="dxa"/>
            </w:tcMar>
          </w:tcPr>
          <w:p w14:paraId="47124578" w14:textId="7FF7B8F1" w:rsidR="00C01E2B" w:rsidRPr="00C86E49" w:rsidRDefault="003E16B0" w:rsidP="00C01E2B">
            <w:pPr>
              <w:pStyle w:val="TableText"/>
            </w:pPr>
            <w:r w:rsidRPr="00C86E49">
              <w:t>0.74 [0.40, 1.38]</w:t>
            </w:r>
            <w:r w:rsidR="00EC3A33" w:rsidRPr="00C86E49">
              <w:br/>
            </w:r>
            <w:r w:rsidRPr="00C86E49">
              <w:t>p=0.35</w:t>
            </w:r>
          </w:p>
        </w:tc>
        <w:tc>
          <w:tcPr>
            <w:tcW w:w="790" w:type="pct"/>
            <w:gridSpan w:val="3"/>
            <w:tcMar>
              <w:left w:w="85" w:type="dxa"/>
              <w:right w:w="85" w:type="dxa"/>
            </w:tcMar>
          </w:tcPr>
          <w:p w14:paraId="22FFE3D0" w14:textId="2D7ABE5D" w:rsidR="00C01E2B" w:rsidRPr="00C86E49" w:rsidRDefault="003E16B0" w:rsidP="00C01E2B">
            <w:pPr>
              <w:pStyle w:val="TableText"/>
            </w:pPr>
            <w:r w:rsidRPr="00C86E49">
              <w:t>0.88 [0.68, 1.15]</w:t>
            </w:r>
            <w:r w:rsidR="00EC3A33" w:rsidRPr="00C86E49">
              <w:br/>
            </w:r>
            <w:r w:rsidRPr="00C86E49">
              <w:t>p=0.35</w:t>
            </w:r>
          </w:p>
        </w:tc>
        <w:tc>
          <w:tcPr>
            <w:tcW w:w="912" w:type="pct"/>
            <w:tcMar>
              <w:left w:w="85" w:type="dxa"/>
              <w:right w:w="85" w:type="dxa"/>
            </w:tcMar>
          </w:tcPr>
          <w:p w14:paraId="4DD36686" w14:textId="43CFACED" w:rsidR="00C01E2B" w:rsidRPr="00C86E49" w:rsidRDefault="006B780D" w:rsidP="00C01E2B">
            <w:pPr>
              <w:pStyle w:val="TableText"/>
            </w:pPr>
            <w:r w:rsidRPr="00C86E49">
              <w:t>−</w:t>
            </w:r>
            <w:r w:rsidR="003E16B0" w:rsidRPr="00C86E49">
              <w:t>0.07 [</w:t>
            </w:r>
            <w:r w:rsidRPr="00C86E49">
              <w:t>−</w:t>
            </w:r>
            <w:r w:rsidR="003E16B0" w:rsidRPr="00C86E49">
              <w:t>0.22, 0.08]</w:t>
            </w:r>
            <w:r w:rsidR="00EC3A33" w:rsidRPr="00C86E49">
              <w:br/>
            </w:r>
            <w:r w:rsidR="003E16B0" w:rsidRPr="00C86E49">
              <w:t>p=0.34</w:t>
            </w:r>
          </w:p>
        </w:tc>
      </w:tr>
      <w:tr w:rsidR="007A2B73" w:rsidRPr="00C86E49" w14:paraId="05C187EC" w14:textId="77777777" w:rsidTr="00C77288">
        <w:trPr>
          <w:tblHeader/>
        </w:trPr>
        <w:tc>
          <w:tcPr>
            <w:tcW w:w="548" w:type="pct"/>
            <w:tcBorders>
              <w:bottom w:val="single" w:sz="4" w:space="0" w:color="auto"/>
            </w:tcBorders>
            <w:tcMar>
              <w:left w:w="85" w:type="dxa"/>
              <w:right w:w="85" w:type="dxa"/>
            </w:tcMar>
          </w:tcPr>
          <w:p w14:paraId="6E370025" w14:textId="44E83BA3" w:rsidR="00C01E2B" w:rsidRPr="00C86E49" w:rsidRDefault="003E16B0" w:rsidP="00C01E2B">
            <w:pPr>
              <w:pStyle w:val="TableText"/>
            </w:pPr>
            <w:r w:rsidRPr="00C86E49">
              <w:t xml:space="preserve">Syntila </w:t>
            </w:r>
            <w:r w:rsidR="007C3D06" w:rsidRPr="00C86E49">
              <w:br/>
            </w:r>
            <w:r w:rsidRPr="00C86E49">
              <w:t>2021</w:t>
            </w:r>
          </w:p>
        </w:tc>
        <w:tc>
          <w:tcPr>
            <w:tcW w:w="865" w:type="pct"/>
            <w:gridSpan w:val="5"/>
            <w:tcBorders>
              <w:bottom w:val="single" w:sz="4" w:space="0" w:color="auto"/>
            </w:tcBorders>
            <w:tcMar>
              <w:left w:w="85" w:type="dxa"/>
              <w:right w:w="85" w:type="dxa"/>
            </w:tcMar>
          </w:tcPr>
          <w:p w14:paraId="4F0D904A" w14:textId="51FD5966" w:rsidR="00C01E2B" w:rsidRPr="00C86E49" w:rsidRDefault="003E16B0" w:rsidP="00C01E2B">
            <w:pPr>
              <w:pStyle w:val="TableText"/>
            </w:pPr>
            <w:r w:rsidRPr="00C86E49">
              <w:t>OHCA due to AMI with post CS</w:t>
            </w:r>
          </w:p>
        </w:tc>
        <w:tc>
          <w:tcPr>
            <w:tcW w:w="550" w:type="pct"/>
            <w:tcBorders>
              <w:bottom w:val="single" w:sz="4" w:space="0" w:color="auto"/>
            </w:tcBorders>
            <w:tcMar>
              <w:left w:w="85" w:type="dxa"/>
              <w:right w:w="85" w:type="dxa"/>
            </w:tcMar>
          </w:tcPr>
          <w:p w14:paraId="566542AB" w14:textId="2BB4A01B" w:rsidR="00C01E2B" w:rsidRPr="00C86E49" w:rsidRDefault="003E16B0" w:rsidP="00C01E2B">
            <w:pPr>
              <w:pStyle w:val="TableText"/>
            </w:pPr>
            <w:r w:rsidRPr="00C86E49">
              <w:t>23/40</w:t>
            </w:r>
            <w:r w:rsidR="00776E8C" w:rsidRPr="00C86E49">
              <w:br/>
            </w:r>
            <w:r w:rsidRPr="00C86E49">
              <w:t>(57.5%)</w:t>
            </w:r>
          </w:p>
        </w:tc>
        <w:tc>
          <w:tcPr>
            <w:tcW w:w="549" w:type="pct"/>
            <w:tcBorders>
              <w:bottom w:val="single" w:sz="4" w:space="0" w:color="auto"/>
            </w:tcBorders>
            <w:tcMar>
              <w:left w:w="85" w:type="dxa"/>
              <w:right w:w="85" w:type="dxa"/>
            </w:tcMar>
          </w:tcPr>
          <w:p w14:paraId="05BB8785" w14:textId="0906A334" w:rsidR="00C01E2B" w:rsidRPr="00C86E49" w:rsidRDefault="003E16B0" w:rsidP="00C01E2B">
            <w:pPr>
              <w:pStyle w:val="TableText"/>
            </w:pPr>
            <w:r w:rsidRPr="00C86E49">
              <w:t>27/40</w:t>
            </w:r>
            <w:r w:rsidR="00EC3A33" w:rsidRPr="00C86E49">
              <w:br/>
            </w:r>
            <w:r w:rsidRPr="00C86E49">
              <w:t>(67.5%)</w:t>
            </w:r>
          </w:p>
        </w:tc>
        <w:tc>
          <w:tcPr>
            <w:tcW w:w="786" w:type="pct"/>
            <w:tcBorders>
              <w:bottom w:val="single" w:sz="4" w:space="0" w:color="auto"/>
            </w:tcBorders>
            <w:tcMar>
              <w:left w:w="85" w:type="dxa"/>
              <w:right w:w="85" w:type="dxa"/>
            </w:tcMar>
          </w:tcPr>
          <w:p w14:paraId="064AB44A" w14:textId="74FB0530" w:rsidR="00C01E2B" w:rsidRPr="00C86E49" w:rsidRDefault="003E16B0" w:rsidP="00C01E2B">
            <w:pPr>
              <w:pStyle w:val="TableText"/>
            </w:pPr>
            <w:r w:rsidRPr="00C86E49">
              <w:t>0.65 [0.26, 1.62]</w:t>
            </w:r>
            <w:r w:rsidR="00EC3A33" w:rsidRPr="00C86E49">
              <w:br/>
            </w:r>
            <w:r w:rsidRPr="00C86E49">
              <w:t>p=0.36</w:t>
            </w:r>
          </w:p>
        </w:tc>
        <w:tc>
          <w:tcPr>
            <w:tcW w:w="790" w:type="pct"/>
            <w:gridSpan w:val="3"/>
            <w:tcBorders>
              <w:bottom w:val="single" w:sz="4" w:space="0" w:color="auto"/>
            </w:tcBorders>
            <w:tcMar>
              <w:left w:w="85" w:type="dxa"/>
              <w:right w:w="85" w:type="dxa"/>
            </w:tcMar>
          </w:tcPr>
          <w:p w14:paraId="7AF32C7B" w14:textId="7F0698F0" w:rsidR="00C01E2B" w:rsidRPr="00C86E49" w:rsidRDefault="003E16B0" w:rsidP="00C01E2B">
            <w:pPr>
              <w:pStyle w:val="TableText"/>
            </w:pPr>
            <w:r w:rsidRPr="00C86E49">
              <w:t>0.85 [0.60, 1.20]</w:t>
            </w:r>
            <w:r w:rsidR="00EC3A33" w:rsidRPr="00C86E49">
              <w:br/>
            </w:r>
            <w:r w:rsidRPr="00C86E49">
              <w:t>p=0.36</w:t>
            </w:r>
          </w:p>
        </w:tc>
        <w:tc>
          <w:tcPr>
            <w:tcW w:w="912" w:type="pct"/>
            <w:tcBorders>
              <w:bottom w:val="single" w:sz="4" w:space="0" w:color="auto"/>
            </w:tcBorders>
            <w:tcMar>
              <w:left w:w="85" w:type="dxa"/>
              <w:right w:w="85" w:type="dxa"/>
            </w:tcMar>
          </w:tcPr>
          <w:p w14:paraId="5DFE7453" w14:textId="7A306855" w:rsidR="00C01E2B" w:rsidRPr="00C86E49" w:rsidRDefault="0075554A" w:rsidP="00C01E2B">
            <w:pPr>
              <w:pStyle w:val="TableText"/>
            </w:pPr>
            <w:r w:rsidRPr="00C86E49">
              <w:t>−</w:t>
            </w:r>
            <w:r w:rsidR="003E16B0" w:rsidRPr="00C86E49">
              <w:t>0.10 [</w:t>
            </w:r>
            <w:r w:rsidRPr="00C86E49">
              <w:t>−</w:t>
            </w:r>
            <w:r w:rsidR="003E16B0" w:rsidRPr="00C86E49">
              <w:t>0.31, 0.11]</w:t>
            </w:r>
            <w:r w:rsidR="00EC3A33" w:rsidRPr="00C86E49">
              <w:br/>
            </w:r>
            <w:r w:rsidR="003E16B0" w:rsidRPr="00C86E49">
              <w:t>p=0.35</w:t>
            </w:r>
          </w:p>
        </w:tc>
      </w:tr>
      <w:tr w:rsidR="005463AB" w:rsidRPr="00C86E49" w14:paraId="5C548180" w14:textId="77777777" w:rsidTr="00C77288">
        <w:trPr>
          <w:tblHeader/>
        </w:trPr>
        <w:tc>
          <w:tcPr>
            <w:tcW w:w="861" w:type="pct"/>
            <w:gridSpan w:val="2"/>
            <w:tcBorders>
              <w:bottom w:val="dotted" w:sz="4" w:space="0" w:color="auto"/>
              <w:right w:val="nil"/>
            </w:tcBorders>
            <w:tcMar>
              <w:left w:w="85" w:type="dxa"/>
              <w:right w:w="85" w:type="dxa"/>
            </w:tcMar>
          </w:tcPr>
          <w:p w14:paraId="76C21A1E" w14:textId="5D51DFA5" w:rsidR="00C01E2B" w:rsidRPr="00C86E49" w:rsidRDefault="003E16B0" w:rsidP="00C01E2B">
            <w:pPr>
              <w:pStyle w:val="TableText"/>
            </w:pPr>
            <w:r w:rsidRPr="00C86E49">
              <w:t>Meta-analysis</w:t>
            </w:r>
          </w:p>
        </w:tc>
        <w:tc>
          <w:tcPr>
            <w:tcW w:w="552" w:type="pct"/>
            <w:gridSpan w:val="4"/>
            <w:tcBorders>
              <w:left w:val="nil"/>
              <w:bottom w:val="dotted" w:sz="4" w:space="0" w:color="auto"/>
              <w:right w:val="single" w:sz="4" w:space="0" w:color="auto"/>
            </w:tcBorders>
            <w:tcMar>
              <w:left w:w="85" w:type="dxa"/>
              <w:right w:w="85" w:type="dxa"/>
            </w:tcMar>
          </w:tcPr>
          <w:p w14:paraId="0F70F659" w14:textId="77777777" w:rsidR="00C01E2B" w:rsidRPr="00C86E49" w:rsidRDefault="00C01E2B" w:rsidP="00C01E2B">
            <w:pPr>
              <w:pStyle w:val="TableText"/>
            </w:pPr>
          </w:p>
        </w:tc>
        <w:tc>
          <w:tcPr>
            <w:tcW w:w="550" w:type="pct"/>
            <w:tcBorders>
              <w:left w:val="single" w:sz="4" w:space="0" w:color="auto"/>
              <w:bottom w:val="dotted" w:sz="4" w:space="0" w:color="auto"/>
            </w:tcBorders>
            <w:tcMar>
              <w:left w:w="85" w:type="dxa"/>
              <w:right w:w="85" w:type="dxa"/>
            </w:tcMar>
          </w:tcPr>
          <w:p w14:paraId="7BA77B23" w14:textId="7BAEB4B1" w:rsidR="00C01E2B" w:rsidRPr="00C86E49" w:rsidRDefault="00554009" w:rsidP="00C01E2B">
            <w:pPr>
              <w:pStyle w:val="TableText"/>
            </w:pPr>
            <w:r w:rsidRPr="00C86E49">
              <w:t>68/123</w:t>
            </w:r>
            <w:r w:rsidR="00776E8C" w:rsidRPr="00C86E49">
              <w:br/>
            </w:r>
            <w:r w:rsidRPr="00C86E49">
              <w:t>(55.3%)</w:t>
            </w:r>
          </w:p>
        </w:tc>
        <w:tc>
          <w:tcPr>
            <w:tcW w:w="549" w:type="pct"/>
            <w:tcBorders>
              <w:bottom w:val="dotted" w:sz="4" w:space="0" w:color="auto"/>
            </w:tcBorders>
            <w:tcMar>
              <w:left w:w="85" w:type="dxa"/>
              <w:right w:w="85" w:type="dxa"/>
            </w:tcMar>
          </w:tcPr>
          <w:p w14:paraId="632BE081" w14:textId="36A0304D" w:rsidR="00C01E2B" w:rsidRPr="00C86E49" w:rsidRDefault="00554009" w:rsidP="00C01E2B">
            <w:pPr>
              <w:pStyle w:val="TableText"/>
            </w:pPr>
            <w:r w:rsidRPr="00C86E49">
              <w:t>78/123</w:t>
            </w:r>
            <w:r w:rsidR="00EC3A33" w:rsidRPr="00C86E49">
              <w:br/>
            </w:r>
            <w:r w:rsidRPr="00C86E49">
              <w:t>(63.4%)</w:t>
            </w:r>
          </w:p>
        </w:tc>
        <w:tc>
          <w:tcPr>
            <w:tcW w:w="786" w:type="pct"/>
            <w:tcBorders>
              <w:bottom w:val="dotted" w:sz="4" w:space="0" w:color="auto"/>
            </w:tcBorders>
            <w:tcMar>
              <w:left w:w="85" w:type="dxa"/>
              <w:right w:w="85" w:type="dxa"/>
            </w:tcMar>
          </w:tcPr>
          <w:p w14:paraId="25509932" w14:textId="7C57E9B6" w:rsidR="00C01E2B" w:rsidRPr="00C86E49" w:rsidRDefault="00554009" w:rsidP="00C01E2B">
            <w:pPr>
              <w:pStyle w:val="TableText"/>
            </w:pPr>
            <w:r w:rsidRPr="00C86E49">
              <w:t>0.71 [0.43, 1.19]</w:t>
            </w:r>
            <w:r w:rsidR="00EC3A33" w:rsidRPr="00C86E49">
              <w:br/>
            </w:r>
            <w:r w:rsidRPr="00C86E49">
              <w:t>p=0.19</w:t>
            </w:r>
          </w:p>
        </w:tc>
        <w:tc>
          <w:tcPr>
            <w:tcW w:w="790" w:type="pct"/>
            <w:gridSpan w:val="3"/>
            <w:tcBorders>
              <w:bottom w:val="dotted" w:sz="4" w:space="0" w:color="auto"/>
            </w:tcBorders>
            <w:tcMar>
              <w:left w:w="85" w:type="dxa"/>
              <w:right w:w="85" w:type="dxa"/>
            </w:tcMar>
          </w:tcPr>
          <w:p w14:paraId="2011CEF6" w14:textId="1AC8E1E4" w:rsidR="00C01E2B" w:rsidRPr="00C86E49" w:rsidRDefault="00554009" w:rsidP="00C01E2B">
            <w:pPr>
              <w:pStyle w:val="TableText"/>
            </w:pPr>
            <w:r w:rsidRPr="00C86E49">
              <w:t>0.87 [0.71, 1.07]</w:t>
            </w:r>
            <w:r w:rsidR="00EC3A33" w:rsidRPr="00C86E49">
              <w:br/>
            </w:r>
            <w:r w:rsidRPr="00C86E49">
              <w:t>p=0.19</w:t>
            </w:r>
          </w:p>
        </w:tc>
        <w:tc>
          <w:tcPr>
            <w:tcW w:w="912" w:type="pct"/>
            <w:tcBorders>
              <w:bottom w:val="dotted" w:sz="4" w:space="0" w:color="auto"/>
            </w:tcBorders>
            <w:tcMar>
              <w:left w:w="85" w:type="dxa"/>
              <w:right w:w="85" w:type="dxa"/>
            </w:tcMar>
          </w:tcPr>
          <w:p w14:paraId="663D64E5" w14:textId="3F3A8433" w:rsidR="00C01E2B" w:rsidRPr="00C86E49" w:rsidRDefault="00CD70C3" w:rsidP="00C01E2B">
            <w:pPr>
              <w:pStyle w:val="TableText"/>
            </w:pPr>
            <w:r w:rsidRPr="00C86E49">
              <w:t>−</w:t>
            </w:r>
            <w:r w:rsidR="00554009" w:rsidRPr="00C86E49">
              <w:t>0.08 [</w:t>
            </w:r>
            <w:r w:rsidRPr="00C86E49">
              <w:t>−</w:t>
            </w:r>
            <w:r w:rsidR="00554009" w:rsidRPr="00C86E49">
              <w:t>0.20, 0.04]</w:t>
            </w:r>
            <w:r w:rsidR="00EC3A33" w:rsidRPr="00C86E49">
              <w:br/>
            </w:r>
            <w:r w:rsidR="00554009" w:rsidRPr="00C86E49">
              <w:t>p=0.19</w:t>
            </w:r>
          </w:p>
        </w:tc>
      </w:tr>
      <w:tr w:rsidR="007A2B73" w:rsidRPr="00C86E49" w14:paraId="19412EC2" w14:textId="77777777" w:rsidTr="002279EC">
        <w:trPr>
          <w:tblHeader/>
        </w:trPr>
        <w:tc>
          <w:tcPr>
            <w:tcW w:w="1019" w:type="pct"/>
            <w:gridSpan w:val="3"/>
            <w:tcBorders>
              <w:top w:val="dotted" w:sz="4" w:space="0" w:color="auto"/>
              <w:bottom w:val="single" w:sz="4" w:space="0" w:color="auto"/>
              <w:right w:val="nil"/>
            </w:tcBorders>
            <w:tcMar>
              <w:left w:w="85" w:type="dxa"/>
              <w:right w:w="85" w:type="dxa"/>
            </w:tcMar>
          </w:tcPr>
          <w:p w14:paraId="124636FD" w14:textId="632DE3B2" w:rsidR="00C01E2B" w:rsidRPr="00C86E49" w:rsidRDefault="003316FB" w:rsidP="00C01E2B">
            <w:pPr>
              <w:pStyle w:val="TableText"/>
            </w:pPr>
            <w:r w:rsidRPr="00C86E49">
              <w:t>Heterogeneity</w:t>
            </w:r>
          </w:p>
        </w:tc>
        <w:tc>
          <w:tcPr>
            <w:tcW w:w="394" w:type="pct"/>
            <w:gridSpan w:val="3"/>
            <w:tcBorders>
              <w:top w:val="dotted" w:sz="4" w:space="0" w:color="auto"/>
              <w:left w:val="nil"/>
              <w:bottom w:val="single" w:sz="4" w:space="0" w:color="auto"/>
              <w:right w:val="nil"/>
            </w:tcBorders>
            <w:tcMar>
              <w:left w:w="85" w:type="dxa"/>
              <w:right w:w="85" w:type="dxa"/>
            </w:tcMar>
          </w:tcPr>
          <w:p w14:paraId="2AB847D3" w14:textId="77777777" w:rsidR="00C01E2B" w:rsidRPr="00C86E49" w:rsidRDefault="00C01E2B" w:rsidP="00C01E2B">
            <w:pPr>
              <w:pStyle w:val="TableText"/>
            </w:pPr>
          </w:p>
        </w:tc>
        <w:tc>
          <w:tcPr>
            <w:tcW w:w="550" w:type="pct"/>
            <w:tcBorders>
              <w:top w:val="dotted" w:sz="4" w:space="0" w:color="auto"/>
              <w:left w:val="nil"/>
              <w:bottom w:val="single" w:sz="4" w:space="0" w:color="auto"/>
              <w:right w:val="nil"/>
            </w:tcBorders>
            <w:tcMar>
              <w:left w:w="85" w:type="dxa"/>
              <w:right w:w="85" w:type="dxa"/>
            </w:tcMar>
          </w:tcPr>
          <w:p w14:paraId="7AA8412A" w14:textId="77777777" w:rsidR="00C01E2B" w:rsidRPr="00C86E49" w:rsidRDefault="00C01E2B" w:rsidP="00C01E2B">
            <w:pPr>
              <w:pStyle w:val="TableText"/>
            </w:pPr>
          </w:p>
        </w:tc>
        <w:tc>
          <w:tcPr>
            <w:tcW w:w="549" w:type="pct"/>
            <w:tcBorders>
              <w:top w:val="dotted" w:sz="4" w:space="0" w:color="auto"/>
              <w:left w:val="nil"/>
              <w:bottom w:val="single" w:sz="4" w:space="0" w:color="auto"/>
            </w:tcBorders>
            <w:tcMar>
              <w:left w:w="85" w:type="dxa"/>
              <w:right w:w="85" w:type="dxa"/>
            </w:tcMar>
          </w:tcPr>
          <w:p w14:paraId="23D8EE75" w14:textId="77777777" w:rsidR="00C01E2B" w:rsidRPr="00C86E49" w:rsidRDefault="00C01E2B" w:rsidP="00C01E2B">
            <w:pPr>
              <w:pStyle w:val="TableText"/>
            </w:pPr>
          </w:p>
        </w:tc>
        <w:tc>
          <w:tcPr>
            <w:tcW w:w="786" w:type="pct"/>
            <w:tcBorders>
              <w:top w:val="dotted" w:sz="4" w:space="0" w:color="auto"/>
              <w:bottom w:val="single" w:sz="4" w:space="0" w:color="auto"/>
            </w:tcBorders>
            <w:tcMar>
              <w:left w:w="85" w:type="dxa"/>
              <w:right w:w="85" w:type="dxa"/>
            </w:tcMar>
          </w:tcPr>
          <w:p w14:paraId="5440BE44" w14:textId="0FDE192C" w:rsidR="00C01E2B" w:rsidRPr="00C86E49" w:rsidRDefault="000D314A" w:rsidP="00C01E2B">
            <w:pPr>
              <w:pStyle w:val="TableText"/>
            </w:pPr>
            <w:r w:rsidRPr="00C86E49">
              <w:t>I</w:t>
            </w:r>
            <w:r w:rsidRPr="00C86E49">
              <w:rPr>
                <w:vertAlign w:val="superscript"/>
              </w:rPr>
              <w:t>2</w:t>
            </w:r>
            <w:r w:rsidRPr="00C86E49">
              <w:t>=0%; P=0.81</w:t>
            </w:r>
          </w:p>
        </w:tc>
        <w:tc>
          <w:tcPr>
            <w:tcW w:w="790" w:type="pct"/>
            <w:gridSpan w:val="3"/>
            <w:tcBorders>
              <w:top w:val="dotted" w:sz="4" w:space="0" w:color="auto"/>
              <w:bottom w:val="single" w:sz="4" w:space="0" w:color="auto"/>
            </w:tcBorders>
            <w:tcMar>
              <w:left w:w="85" w:type="dxa"/>
              <w:right w:w="85" w:type="dxa"/>
            </w:tcMar>
          </w:tcPr>
          <w:p w14:paraId="52D026A5" w14:textId="5678798F" w:rsidR="00C01E2B" w:rsidRPr="00C86E49" w:rsidRDefault="000D314A" w:rsidP="00C01E2B">
            <w:pPr>
              <w:pStyle w:val="TableText"/>
            </w:pPr>
            <w:r w:rsidRPr="00C86E49">
              <w:t>I</w:t>
            </w:r>
            <w:r w:rsidRPr="00C86E49">
              <w:rPr>
                <w:vertAlign w:val="superscript"/>
              </w:rPr>
              <w:t>2</w:t>
            </w:r>
            <w:r w:rsidRPr="00C86E49">
              <w:t>=0%; P=0.87</w:t>
            </w:r>
          </w:p>
        </w:tc>
        <w:tc>
          <w:tcPr>
            <w:tcW w:w="912" w:type="pct"/>
            <w:tcBorders>
              <w:top w:val="dotted" w:sz="4" w:space="0" w:color="auto"/>
              <w:bottom w:val="single" w:sz="4" w:space="0" w:color="auto"/>
            </w:tcBorders>
            <w:tcMar>
              <w:left w:w="85" w:type="dxa"/>
              <w:right w:w="85" w:type="dxa"/>
            </w:tcMar>
          </w:tcPr>
          <w:p w14:paraId="16677005" w14:textId="66DC5536" w:rsidR="00C01E2B" w:rsidRPr="00C86E49" w:rsidRDefault="000D314A" w:rsidP="00C01E2B">
            <w:pPr>
              <w:pStyle w:val="TableText"/>
            </w:pPr>
            <w:r w:rsidRPr="00C86E49">
              <w:t>I</w:t>
            </w:r>
            <w:r w:rsidRPr="00C86E49">
              <w:rPr>
                <w:vertAlign w:val="superscript"/>
              </w:rPr>
              <w:t>2</w:t>
            </w:r>
            <w:r w:rsidRPr="00C86E49">
              <w:t>=0%; P=0.83</w:t>
            </w:r>
          </w:p>
        </w:tc>
      </w:tr>
      <w:tr w:rsidR="00D94671" w:rsidRPr="00C86E49" w14:paraId="574B206D" w14:textId="77777777" w:rsidTr="002279EC">
        <w:trPr>
          <w:tblHeader/>
        </w:trPr>
        <w:tc>
          <w:tcPr>
            <w:tcW w:w="1176" w:type="pct"/>
            <w:gridSpan w:val="5"/>
            <w:tcBorders>
              <w:right w:val="nil"/>
            </w:tcBorders>
            <w:tcMar>
              <w:left w:w="85" w:type="dxa"/>
              <w:right w:w="85" w:type="dxa"/>
            </w:tcMar>
          </w:tcPr>
          <w:p w14:paraId="4E528985" w14:textId="69B65465" w:rsidR="00C01E2B" w:rsidRPr="00C86E49" w:rsidRDefault="00DA1B80" w:rsidP="00DA1B80">
            <w:pPr>
              <w:pStyle w:val="In-tableHeading"/>
            </w:pPr>
            <w:r w:rsidRPr="00C86E49">
              <w:t>12-month mortality</w:t>
            </w:r>
          </w:p>
        </w:tc>
        <w:tc>
          <w:tcPr>
            <w:tcW w:w="237" w:type="pct"/>
            <w:tcBorders>
              <w:left w:val="nil"/>
              <w:right w:val="nil"/>
            </w:tcBorders>
            <w:tcMar>
              <w:left w:w="85" w:type="dxa"/>
              <w:right w:w="85" w:type="dxa"/>
            </w:tcMar>
          </w:tcPr>
          <w:p w14:paraId="4F728CB5" w14:textId="77777777" w:rsidR="00C01E2B" w:rsidRPr="00C86E49" w:rsidRDefault="00C01E2B" w:rsidP="00C01E2B">
            <w:pPr>
              <w:pStyle w:val="TableText"/>
            </w:pPr>
          </w:p>
        </w:tc>
        <w:tc>
          <w:tcPr>
            <w:tcW w:w="550" w:type="pct"/>
            <w:tcBorders>
              <w:left w:val="nil"/>
              <w:right w:val="nil"/>
            </w:tcBorders>
            <w:tcMar>
              <w:left w:w="85" w:type="dxa"/>
              <w:right w:w="85" w:type="dxa"/>
            </w:tcMar>
          </w:tcPr>
          <w:p w14:paraId="788CC9FA" w14:textId="77777777" w:rsidR="00C01E2B" w:rsidRPr="00C86E49" w:rsidRDefault="00C01E2B" w:rsidP="00C01E2B">
            <w:pPr>
              <w:pStyle w:val="TableText"/>
            </w:pPr>
          </w:p>
        </w:tc>
        <w:tc>
          <w:tcPr>
            <w:tcW w:w="549" w:type="pct"/>
            <w:tcBorders>
              <w:left w:val="nil"/>
              <w:right w:val="nil"/>
            </w:tcBorders>
            <w:tcMar>
              <w:left w:w="85" w:type="dxa"/>
              <w:right w:w="85" w:type="dxa"/>
            </w:tcMar>
          </w:tcPr>
          <w:p w14:paraId="4C2D6DF0" w14:textId="77777777" w:rsidR="00C01E2B" w:rsidRPr="00C86E49" w:rsidRDefault="00C01E2B" w:rsidP="00C01E2B">
            <w:pPr>
              <w:pStyle w:val="TableText"/>
            </w:pPr>
          </w:p>
        </w:tc>
        <w:tc>
          <w:tcPr>
            <w:tcW w:w="786" w:type="pct"/>
            <w:tcBorders>
              <w:left w:val="nil"/>
              <w:right w:val="nil"/>
            </w:tcBorders>
            <w:tcMar>
              <w:left w:w="85" w:type="dxa"/>
              <w:right w:w="85" w:type="dxa"/>
            </w:tcMar>
          </w:tcPr>
          <w:p w14:paraId="05DF5C3E" w14:textId="77777777" w:rsidR="00C01E2B" w:rsidRPr="00C86E49" w:rsidRDefault="00C01E2B" w:rsidP="00C01E2B">
            <w:pPr>
              <w:pStyle w:val="TableText"/>
            </w:pPr>
          </w:p>
        </w:tc>
        <w:tc>
          <w:tcPr>
            <w:tcW w:w="790" w:type="pct"/>
            <w:gridSpan w:val="3"/>
            <w:tcBorders>
              <w:left w:val="nil"/>
              <w:right w:val="nil"/>
            </w:tcBorders>
            <w:tcMar>
              <w:left w:w="85" w:type="dxa"/>
              <w:right w:w="85" w:type="dxa"/>
            </w:tcMar>
          </w:tcPr>
          <w:p w14:paraId="64E27802" w14:textId="77777777" w:rsidR="00C01E2B" w:rsidRPr="00C86E49" w:rsidRDefault="00C01E2B" w:rsidP="00C01E2B">
            <w:pPr>
              <w:pStyle w:val="TableText"/>
            </w:pPr>
          </w:p>
        </w:tc>
        <w:tc>
          <w:tcPr>
            <w:tcW w:w="912" w:type="pct"/>
            <w:tcBorders>
              <w:left w:val="nil"/>
            </w:tcBorders>
            <w:tcMar>
              <w:left w:w="85" w:type="dxa"/>
              <w:right w:w="85" w:type="dxa"/>
            </w:tcMar>
          </w:tcPr>
          <w:p w14:paraId="5F22DB7C" w14:textId="77777777" w:rsidR="00C01E2B" w:rsidRPr="00C86E49" w:rsidRDefault="00C01E2B" w:rsidP="00C01E2B">
            <w:pPr>
              <w:pStyle w:val="TableText"/>
            </w:pPr>
          </w:p>
        </w:tc>
      </w:tr>
      <w:tr w:rsidR="00D94671" w:rsidRPr="00C86E49" w14:paraId="520112D3" w14:textId="77777777" w:rsidTr="00C77288">
        <w:trPr>
          <w:tblHeader/>
        </w:trPr>
        <w:tc>
          <w:tcPr>
            <w:tcW w:w="548" w:type="pct"/>
            <w:tcBorders>
              <w:bottom w:val="single" w:sz="4" w:space="0" w:color="auto"/>
            </w:tcBorders>
            <w:tcMar>
              <w:left w:w="85" w:type="dxa"/>
              <w:right w:w="85" w:type="dxa"/>
            </w:tcMar>
          </w:tcPr>
          <w:p w14:paraId="4C02CAEE" w14:textId="1C44C38B" w:rsidR="00C01E2B" w:rsidRPr="00C86E49" w:rsidRDefault="00D405A9" w:rsidP="00C01E2B">
            <w:pPr>
              <w:pStyle w:val="TableText"/>
            </w:pPr>
            <w:r w:rsidRPr="00C86E49">
              <w:t xml:space="preserve">Syntila </w:t>
            </w:r>
            <w:r w:rsidR="007C3D06" w:rsidRPr="00C86E49">
              <w:br/>
            </w:r>
            <w:r w:rsidRPr="00C86E49">
              <w:t>2021</w:t>
            </w:r>
          </w:p>
        </w:tc>
        <w:tc>
          <w:tcPr>
            <w:tcW w:w="865" w:type="pct"/>
            <w:gridSpan w:val="5"/>
            <w:tcBorders>
              <w:bottom w:val="single" w:sz="4" w:space="0" w:color="auto"/>
            </w:tcBorders>
            <w:tcMar>
              <w:left w:w="85" w:type="dxa"/>
              <w:right w:w="85" w:type="dxa"/>
            </w:tcMar>
          </w:tcPr>
          <w:p w14:paraId="222FE4CE" w14:textId="660B0EFF" w:rsidR="00C01E2B" w:rsidRPr="00C86E49" w:rsidRDefault="003830AB" w:rsidP="00C01E2B">
            <w:pPr>
              <w:pStyle w:val="TableText"/>
            </w:pPr>
            <w:r w:rsidRPr="00C86E49">
              <w:t>OHCA due to AMI with post CS</w:t>
            </w:r>
          </w:p>
        </w:tc>
        <w:tc>
          <w:tcPr>
            <w:tcW w:w="550" w:type="pct"/>
            <w:tcBorders>
              <w:bottom w:val="single" w:sz="4" w:space="0" w:color="auto"/>
            </w:tcBorders>
            <w:tcMar>
              <w:left w:w="85" w:type="dxa"/>
              <w:right w:w="85" w:type="dxa"/>
            </w:tcMar>
          </w:tcPr>
          <w:p w14:paraId="22696C3C" w14:textId="37BD1C10" w:rsidR="00C01E2B" w:rsidRPr="00C86E49" w:rsidRDefault="003830AB" w:rsidP="00C01E2B">
            <w:pPr>
              <w:pStyle w:val="TableText"/>
            </w:pPr>
            <w:r w:rsidRPr="00C86E49">
              <w:t>24/40</w:t>
            </w:r>
            <w:r w:rsidR="00776E8C" w:rsidRPr="00C86E49">
              <w:br/>
            </w:r>
            <w:r w:rsidRPr="00C86E49">
              <w:t>(60.0%)</w:t>
            </w:r>
          </w:p>
        </w:tc>
        <w:tc>
          <w:tcPr>
            <w:tcW w:w="549" w:type="pct"/>
            <w:tcBorders>
              <w:bottom w:val="single" w:sz="4" w:space="0" w:color="auto"/>
            </w:tcBorders>
            <w:tcMar>
              <w:left w:w="85" w:type="dxa"/>
              <w:right w:w="85" w:type="dxa"/>
            </w:tcMar>
          </w:tcPr>
          <w:p w14:paraId="4169F285" w14:textId="565DCCCD" w:rsidR="00C01E2B" w:rsidRPr="00C86E49" w:rsidRDefault="003830AB" w:rsidP="00C01E2B">
            <w:pPr>
              <w:pStyle w:val="TableText"/>
            </w:pPr>
            <w:r w:rsidRPr="00C86E49">
              <w:t>27/40</w:t>
            </w:r>
            <w:r w:rsidR="00EC3A33" w:rsidRPr="00C86E49">
              <w:br/>
            </w:r>
            <w:r w:rsidRPr="00C86E49">
              <w:t>(67.5%)</w:t>
            </w:r>
          </w:p>
        </w:tc>
        <w:tc>
          <w:tcPr>
            <w:tcW w:w="786" w:type="pct"/>
            <w:tcBorders>
              <w:bottom w:val="single" w:sz="4" w:space="0" w:color="auto"/>
            </w:tcBorders>
            <w:tcMar>
              <w:left w:w="85" w:type="dxa"/>
              <w:right w:w="85" w:type="dxa"/>
            </w:tcMar>
          </w:tcPr>
          <w:p w14:paraId="18899F0D" w14:textId="7B00AC2F" w:rsidR="00C01E2B" w:rsidRPr="00C86E49" w:rsidRDefault="003830AB" w:rsidP="00C01E2B">
            <w:pPr>
              <w:pStyle w:val="TableText"/>
            </w:pPr>
            <w:r w:rsidRPr="00C86E49">
              <w:t>0.72 [0.29, 1.80]</w:t>
            </w:r>
            <w:r w:rsidR="00EC3A33" w:rsidRPr="00C86E49">
              <w:br/>
            </w:r>
            <w:r w:rsidRPr="00C86E49">
              <w:t>p=0.49</w:t>
            </w:r>
          </w:p>
        </w:tc>
        <w:tc>
          <w:tcPr>
            <w:tcW w:w="790" w:type="pct"/>
            <w:gridSpan w:val="3"/>
            <w:tcBorders>
              <w:bottom w:val="single" w:sz="4" w:space="0" w:color="auto"/>
            </w:tcBorders>
            <w:tcMar>
              <w:left w:w="85" w:type="dxa"/>
              <w:right w:w="85" w:type="dxa"/>
            </w:tcMar>
          </w:tcPr>
          <w:p w14:paraId="72A77B2E" w14:textId="53CEB3C4" w:rsidR="00C01E2B" w:rsidRPr="00C86E49" w:rsidRDefault="003830AB" w:rsidP="00C01E2B">
            <w:pPr>
              <w:pStyle w:val="TableText"/>
            </w:pPr>
            <w:r w:rsidRPr="00C86E49">
              <w:t>0.89 [0.64, 1.24]</w:t>
            </w:r>
            <w:r w:rsidR="00EC3A33" w:rsidRPr="00C86E49">
              <w:br/>
            </w:r>
            <w:r w:rsidRPr="00C86E49">
              <w:t>p=0.49</w:t>
            </w:r>
          </w:p>
        </w:tc>
        <w:tc>
          <w:tcPr>
            <w:tcW w:w="912" w:type="pct"/>
            <w:tcBorders>
              <w:bottom w:val="single" w:sz="4" w:space="0" w:color="auto"/>
            </w:tcBorders>
            <w:tcMar>
              <w:left w:w="85" w:type="dxa"/>
              <w:right w:w="85" w:type="dxa"/>
            </w:tcMar>
          </w:tcPr>
          <w:p w14:paraId="1E2D7C2A" w14:textId="44935F37" w:rsidR="00C01E2B" w:rsidRPr="00C86E49" w:rsidRDefault="00EE2205" w:rsidP="00C01E2B">
            <w:pPr>
              <w:pStyle w:val="TableText"/>
            </w:pPr>
            <w:r w:rsidRPr="00C86E49">
              <w:t>−</w:t>
            </w:r>
            <w:r w:rsidR="003830AB" w:rsidRPr="00C86E49">
              <w:t>0.08 [</w:t>
            </w:r>
            <w:r w:rsidRPr="00C86E49">
              <w:t>−</w:t>
            </w:r>
            <w:r w:rsidR="003830AB" w:rsidRPr="00C86E49">
              <w:t>0.29, 0.14]</w:t>
            </w:r>
            <w:r w:rsidR="00EC3A33" w:rsidRPr="00C86E49">
              <w:br/>
            </w:r>
            <w:r w:rsidR="003830AB" w:rsidRPr="00C86E49">
              <w:t>p=0.48</w:t>
            </w:r>
          </w:p>
        </w:tc>
      </w:tr>
      <w:tr w:rsidR="005463AB" w:rsidRPr="00C86E49" w14:paraId="78E3B36E" w14:textId="77777777" w:rsidTr="002279EC">
        <w:trPr>
          <w:tblHeader/>
        </w:trPr>
        <w:tc>
          <w:tcPr>
            <w:tcW w:w="1176" w:type="pct"/>
            <w:gridSpan w:val="5"/>
            <w:tcBorders>
              <w:bottom w:val="single" w:sz="4" w:space="0" w:color="auto"/>
              <w:right w:val="nil"/>
            </w:tcBorders>
            <w:tcMar>
              <w:left w:w="85" w:type="dxa"/>
              <w:right w:w="85" w:type="dxa"/>
            </w:tcMar>
          </w:tcPr>
          <w:p w14:paraId="56CE75D1" w14:textId="387C3BEB" w:rsidR="00C01E2B" w:rsidRPr="00C86E49" w:rsidRDefault="00DA1B80" w:rsidP="00DA1B80">
            <w:pPr>
              <w:pStyle w:val="In-tableHeading"/>
            </w:pPr>
            <w:r w:rsidRPr="00C86E49">
              <w:t>5-year mortality</w:t>
            </w:r>
          </w:p>
        </w:tc>
        <w:tc>
          <w:tcPr>
            <w:tcW w:w="237" w:type="pct"/>
            <w:tcBorders>
              <w:left w:val="nil"/>
              <w:bottom w:val="single" w:sz="4" w:space="0" w:color="auto"/>
              <w:right w:val="nil"/>
            </w:tcBorders>
            <w:tcMar>
              <w:left w:w="85" w:type="dxa"/>
              <w:right w:w="85" w:type="dxa"/>
            </w:tcMar>
          </w:tcPr>
          <w:p w14:paraId="498AB29C" w14:textId="77777777" w:rsidR="00C01E2B" w:rsidRPr="00C86E49" w:rsidRDefault="00C01E2B" w:rsidP="00C01E2B">
            <w:pPr>
              <w:pStyle w:val="TableText"/>
            </w:pPr>
          </w:p>
        </w:tc>
        <w:tc>
          <w:tcPr>
            <w:tcW w:w="550" w:type="pct"/>
            <w:tcBorders>
              <w:left w:val="nil"/>
              <w:bottom w:val="single" w:sz="4" w:space="0" w:color="auto"/>
              <w:right w:val="nil"/>
            </w:tcBorders>
            <w:tcMar>
              <w:left w:w="85" w:type="dxa"/>
              <w:right w:w="85" w:type="dxa"/>
            </w:tcMar>
          </w:tcPr>
          <w:p w14:paraId="68F2E2C9" w14:textId="77777777" w:rsidR="00C01E2B" w:rsidRPr="00C86E49" w:rsidRDefault="00C01E2B" w:rsidP="00C01E2B">
            <w:pPr>
              <w:pStyle w:val="TableText"/>
            </w:pPr>
          </w:p>
        </w:tc>
        <w:tc>
          <w:tcPr>
            <w:tcW w:w="549" w:type="pct"/>
            <w:tcBorders>
              <w:left w:val="nil"/>
              <w:bottom w:val="single" w:sz="4" w:space="0" w:color="auto"/>
              <w:right w:val="nil"/>
            </w:tcBorders>
            <w:tcMar>
              <w:left w:w="85" w:type="dxa"/>
              <w:right w:w="85" w:type="dxa"/>
            </w:tcMar>
          </w:tcPr>
          <w:p w14:paraId="48F32A3C" w14:textId="77777777" w:rsidR="00C01E2B" w:rsidRPr="00C86E49" w:rsidRDefault="00C01E2B" w:rsidP="00C01E2B">
            <w:pPr>
              <w:pStyle w:val="TableText"/>
            </w:pPr>
          </w:p>
        </w:tc>
        <w:tc>
          <w:tcPr>
            <w:tcW w:w="786" w:type="pct"/>
            <w:tcBorders>
              <w:left w:val="nil"/>
              <w:bottom w:val="single" w:sz="4" w:space="0" w:color="auto"/>
              <w:right w:val="nil"/>
            </w:tcBorders>
            <w:tcMar>
              <w:left w:w="85" w:type="dxa"/>
              <w:right w:w="85" w:type="dxa"/>
            </w:tcMar>
          </w:tcPr>
          <w:p w14:paraId="33A82B3F" w14:textId="77777777" w:rsidR="00C01E2B" w:rsidRPr="00C86E49" w:rsidRDefault="00C01E2B" w:rsidP="00C01E2B">
            <w:pPr>
              <w:pStyle w:val="TableText"/>
            </w:pPr>
          </w:p>
        </w:tc>
        <w:tc>
          <w:tcPr>
            <w:tcW w:w="790" w:type="pct"/>
            <w:gridSpan w:val="3"/>
            <w:tcBorders>
              <w:left w:val="nil"/>
              <w:bottom w:val="single" w:sz="4" w:space="0" w:color="auto"/>
              <w:right w:val="nil"/>
            </w:tcBorders>
            <w:tcMar>
              <w:left w:w="85" w:type="dxa"/>
              <w:right w:w="85" w:type="dxa"/>
            </w:tcMar>
          </w:tcPr>
          <w:p w14:paraId="558FD57E" w14:textId="77777777" w:rsidR="00C01E2B" w:rsidRPr="00C86E49" w:rsidRDefault="00C01E2B" w:rsidP="00C01E2B">
            <w:pPr>
              <w:pStyle w:val="TableText"/>
            </w:pPr>
          </w:p>
        </w:tc>
        <w:tc>
          <w:tcPr>
            <w:tcW w:w="912" w:type="pct"/>
            <w:tcBorders>
              <w:left w:val="nil"/>
              <w:bottom w:val="single" w:sz="4" w:space="0" w:color="auto"/>
            </w:tcBorders>
            <w:tcMar>
              <w:left w:w="85" w:type="dxa"/>
              <w:right w:w="85" w:type="dxa"/>
            </w:tcMar>
          </w:tcPr>
          <w:p w14:paraId="09FE392A" w14:textId="77777777" w:rsidR="00C01E2B" w:rsidRPr="00C86E49" w:rsidRDefault="00C01E2B" w:rsidP="00C01E2B">
            <w:pPr>
              <w:pStyle w:val="TableText"/>
            </w:pPr>
          </w:p>
        </w:tc>
      </w:tr>
      <w:tr w:rsidR="00462994" w:rsidRPr="00C86E49" w14:paraId="67DC99A9" w14:textId="77777777" w:rsidTr="00C77288">
        <w:trPr>
          <w:trHeight w:val="355"/>
          <w:tblHeader/>
        </w:trPr>
        <w:tc>
          <w:tcPr>
            <w:tcW w:w="548" w:type="pct"/>
            <w:tcBorders>
              <w:bottom w:val="nil"/>
            </w:tcBorders>
            <w:tcMar>
              <w:left w:w="85" w:type="dxa"/>
              <w:right w:w="85" w:type="dxa"/>
            </w:tcMar>
          </w:tcPr>
          <w:p w14:paraId="5769B6C9" w14:textId="13230DF3" w:rsidR="00C01E2B" w:rsidRPr="00C86E49" w:rsidRDefault="00FA2509" w:rsidP="00C01E2B">
            <w:pPr>
              <w:pStyle w:val="TableText"/>
            </w:pPr>
            <w:r w:rsidRPr="00C86E49">
              <w:t>Schiller 2019</w:t>
            </w:r>
          </w:p>
        </w:tc>
        <w:tc>
          <w:tcPr>
            <w:tcW w:w="865" w:type="pct"/>
            <w:gridSpan w:val="5"/>
            <w:tcMar>
              <w:left w:w="85" w:type="dxa"/>
              <w:right w:w="85" w:type="dxa"/>
            </w:tcMar>
          </w:tcPr>
          <w:p w14:paraId="0D962180" w14:textId="5AC5938D" w:rsidR="00C01E2B" w:rsidRPr="00C86E49" w:rsidRDefault="00FA2509" w:rsidP="00C01E2B">
            <w:pPr>
              <w:pStyle w:val="TableText"/>
            </w:pPr>
            <w:r w:rsidRPr="00C86E49">
              <w:t>Any CS</w:t>
            </w:r>
          </w:p>
        </w:tc>
        <w:tc>
          <w:tcPr>
            <w:tcW w:w="550" w:type="pct"/>
            <w:tcMar>
              <w:left w:w="85" w:type="dxa"/>
              <w:right w:w="85" w:type="dxa"/>
            </w:tcMar>
          </w:tcPr>
          <w:p w14:paraId="538FF53B" w14:textId="1EE5C6C8" w:rsidR="00C01E2B" w:rsidRPr="00C86E49" w:rsidRDefault="000A4F38" w:rsidP="00C01E2B">
            <w:pPr>
              <w:pStyle w:val="TableText"/>
            </w:pPr>
            <w:r w:rsidRPr="00C86E49">
              <w:t>NR/48</w:t>
            </w:r>
          </w:p>
        </w:tc>
        <w:tc>
          <w:tcPr>
            <w:tcW w:w="549" w:type="pct"/>
            <w:tcMar>
              <w:left w:w="85" w:type="dxa"/>
              <w:right w:w="85" w:type="dxa"/>
            </w:tcMar>
          </w:tcPr>
          <w:p w14:paraId="54BFA815" w14:textId="70079C87" w:rsidR="00C01E2B" w:rsidRPr="00C86E49" w:rsidRDefault="000A4F38" w:rsidP="00C01E2B">
            <w:pPr>
              <w:pStyle w:val="TableText"/>
            </w:pPr>
            <w:r w:rsidRPr="00C86E49">
              <w:t>NR/46</w:t>
            </w:r>
          </w:p>
        </w:tc>
        <w:tc>
          <w:tcPr>
            <w:tcW w:w="1415" w:type="pct"/>
            <w:gridSpan w:val="3"/>
            <w:tcBorders>
              <w:bottom w:val="single" w:sz="4" w:space="0" w:color="auto"/>
              <w:right w:val="nil"/>
            </w:tcBorders>
            <w:tcMar>
              <w:left w:w="85" w:type="dxa"/>
              <w:right w:w="85" w:type="dxa"/>
            </w:tcMar>
          </w:tcPr>
          <w:p w14:paraId="57A00AB0" w14:textId="38D77AB8" w:rsidR="00C01E2B" w:rsidRPr="00C86E49" w:rsidRDefault="00E54548" w:rsidP="00C01E2B">
            <w:pPr>
              <w:pStyle w:val="TableText"/>
            </w:pPr>
            <w:r w:rsidRPr="00C86E49">
              <w:t xml:space="preserve">HR </w:t>
            </w:r>
            <w:r w:rsidR="00B800AA" w:rsidRPr="00C86E49">
              <w:t>1.05 [</w:t>
            </w:r>
            <w:r w:rsidR="0071040A" w:rsidRPr="00C86E49">
              <w:t xml:space="preserve">95% CI </w:t>
            </w:r>
            <w:r w:rsidR="00B800AA" w:rsidRPr="00C86E49">
              <w:t>0.58, 1.91]</w:t>
            </w:r>
            <w:r w:rsidR="007E24C7" w:rsidRPr="00C86E49">
              <w:br/>
            </w:r>
            <w:r w:rsidR="00B800AA" w:rsidRPr="00C86E49">
              <w:t>p=0.87</w:t>
            </w:r>
          </w:p>
        </w:tc>
        <w:tc>
          <w:tcPr>
            <w:tcW w:w="161" w:type="pct"/>
            <w:tcBorders>
              <w:left w:val="nil"/>
              <w:bottom w:val="single" w:sz="4" w:space="0" w:color="auto"/>
              <w:right w:val="nil"/>
            </w:tcBorders>
            <w:tcMar>
              <w:left w:w="85" w:type="dxa"/>
              <w:right w:w="85" w:type="dxa"/>
            </w:tcMar>
          </w:tcPr>
          <w:p w14:paraId="31C6F2B5" w14:textId="77777777" w:rsidR="00C01E2B" w:rsidRPr="00C86E49" w:rsidRDefault="00C01E2B" w:rsidP="00C01E2B">
            <w:pPr>
              <w:pStyle w:val="TableText"/>
            </w:pPr>
          </w:p>
        </w:tc>
        <w:tc>
          <w:tcPr>
            <w:tcW w:w="912" w:type="pct"/>
            <w:tcBorders>
              <w:left w:val="nil"/>
              <w:bottom w:val="single" w:sz="4" w:space="0" w:color="auto"/>
            </w:tcBorders>
            <w:tcMar>
              <w:left w:w="85" w:type="dxa"/>
              <w:right w:w="85" w:type="dxa"/>
            </w:tcMar>
          </w:tcPr>
          <w:p w14:paraId="3859CB64" w14:textId="77777777" w:rsidR="00C01E2B" w:rsidRPr="00C86E49" w:rsidRDefault="00C01E2B" w:rsidP="00C01E2B">
            <w:pPr>
              <w:pStyle w:val="TableText"/>
            </w:pPr>
          </w:p>
        </w:tc>
      </w:tr>
      <w:tr w:rsidR="00C22237" w:rsidRPr="00C86E49" w14:paraId="4CE26121" w14:textId="77777777" w:rsidTr="00C77288">
        <w:trPr>
          <w:tblHeader/>
        </w:trPr>
        <w:tc>
          <w:tcPr>
            <w:tcW w:w="548" w:type="pct"/>
            <w:tcBorders>
              <w:top w:val="nil"/>
            </w:tcBorders>
            <w:tcMar>
              <w:left w:w="85" w:type="dxa"/>
              <w:right w:w="85" w:type="dxa"/>
            </w:tcMar>
          </w:tcPr>
          <w:p w14:paraId="51B1AC5C" w14:textId="77777777" w:rsidR="00FA2509" w:rsidRPr="00C86E49" w:rsidRDefault="00FA2509" w:rsidP="00FA2509">
            <w:pPr>
              <w:pStyle w:val="TableText"/>
            </w:pPr>
          </w:p>
        </w:tc>
        <w:tc>
          <w:tcPr>
            <w:tcW w:w="865" w:type="pct"/>
            <w:gridSpan w:val="5"/>
            <w:tcMar>
              <w:left w:w="85" w:type="dxa"/>
              <w:right w:w="85" w:type="dxa"/>
            </w:tcMar>
          </w:tcPr>
          <w:p w14:paraId="282E2C86" w14:textId="47EF62C8" w:rsidR="00FA2509" w:rsidRPr="00C86E49" w:rsidRDefault="00FA2509" w:rsidP="00FA2509">
            <w:pPr>
              <w:pStyle w:val="TableText"/>
            </w:pPr>
            <w:r w:rsidRPr="00C86E49">
              <w:t>Any CS</w:t>
            </w:r>
            <w:r w:rsidR="00D76EE1" w:rsidRPr="00C86E49">
              <w:br/>
            </w:r>
            <w:r w:rsidRPr="00C86E49">
              <w:t>(excl. PC-CS)</w:t>
            </w:r>
          </w:p>
        </w:tc>
        <w:tc>
          <w:tcPr>
            <w:tcW w:w="550" w:type="pct"/>
            <w:tcMar>
              <w:left w:w="85" w:type="dxa"/>
              <w:right w:w="85" w:type="dxa"/>
            </w:tcMar>
          </w:tcPr>
          <w:p w14:paraId="0E6EE820" w14:textId="6F0CD7E2" w:rsidR="00FA2509" w:rsidRPr="00C86E49" w:rsidRDefault="000A4F38" w:rsidP="00FA2509">
            <w:pPr>
              <w:pStyle w:val="TableText"/>
            </w:pPr>
            <w:r w:rsidRPr="00C86E49">
              <w:t>NR/39</w:t>
            </w:r>
          </w:p>
        </w:tc>
        <w:tc>
          <w:tcPr>
            <w:tcW w:w="549" w:type="pct"/>
            <w:tcMar>
              <w:left w:w="85" w:type="dxa"/>
              <w:right w:w="85" w:type="dxa"/>
            </w:tcMar>
          </w:tcPr>
          <w:p w14:paraId="4FCBC620" w14:textId="5AC2E838" w:rsidR="00FA2509" w:rsidRPr="00C86E49" w:rsidRDefault="000A4F38" w:rsidP="00FA2509">
            <w:pPr>
              <w:pStyle w:val="TableText"/>
            </w:pPr>
            <w:r w:rsidRPr="00C86E49">
              <w:t>NR/23</w:t>
            </w:r>
          </w:p>
        </w:tc>
        <w:tc>
          <w:tcPr>
            <w:tcW w:w="1337" w:type="pct"/>
            <w:gridSpan w:val="2"/>
            <w:tcBorders>
              <w:right w:val="nil"/>
            </w:tcBorders>
            <w:tcMar>
              <w:left w:w="85" w:type="dxa"/>
              <w:right w:w="85" w:type="dxa"/>
            </w:tcMar>
          </w:tcPr>
          <w:p w14:paraId="577CA3CC" w14:textId="1978F710" w:rsidR="00FA2509" w:rsidRPr="00C86E49" w:rsidRDefault="00E54548" w:rsidP="00FA2509">
            <w:pPr>
              <w:pStyle w:val="TableText"/>
            </w:pPr>
            <w:r w:rsidRPr="00C86E49">
              <w:t xml:space="preserve">HR </w:t>
            </w:r>
            <w:r w:rsidR="003849B8" w:rsidRPr="00C86E49">
              <w:t>1.56 [</w:t>
            </w:r>
            <w:r w:rsidR="0071040A" w:rsidRPr="00C86E49">
              <w:t xml:space="preserve">95% CI </w:t>
            </w:r>
            <w:r w:rsidR="003849B8" w:rsidRPr="00C86E49">
              <w:t>0.56–2.38]</w:t>
            </w:r>
            <w:r w:rsidR="007E24C7" w:rsidRPr="00C86E49">
              <w:br/>
            </w:r>
            <w:r w:rsidR="003849B8" w:rsidRPr="00C86E49">
              <w:t>p=NR</w:t>
            </w:r>
          </w:p>
        </w:tc>
        <w:tc>
          <w:tcPr>
            <w:tcW w:w="239" w:type="pct"/>
            <w:gridSpan w:val="2"/>
            <w:tcBorders>
              <w:left w:val="nil"/>
              <w:right w:val="nil"/>
            </w:tcBorders>
            <w:tcMar>
              <w:left w:w="85" w:type="dxa"/>
              <w:right w:w="85" w:type="dxa"/>
            </w:tcMar>
          </w:tcPr>
          <w:p w14:paraId="63A4B1B5" w14:textId="77777777" w:rsidR="00FA2509" w:rsidRPr="00C86E49" w:rsidRDefault="00FA2509" w:rsidP="00FA2509">
            <w:pPr>
              <w:pStyle w:val="TableText"/>
            </w:pPr>
          </w:p>
        </w:tc>
        <w:tc>
          <w:tcPr>
            <w:tcW w:w="912" w:type="pct"/>
            <w:tcBorders>
              <w:left w:val="nil"/>
            </w:tcBorders>
            <w:tcMar>
              <w:left w:w="85" w:type="dxa"/>
              <w:right w:w="85" w:type="dxa"/>
            </w:tcMar>
          </w:tcPr>
          <w:p w14:paraId="40425C79" w14:textId="77777777" w:rsidR="00FA2509" w:rsidRPr="00C86E49" w:rsidRDefault="00FA2509" w:rsidP="00FA2509">
            <w:pPr>
              <w:pStyle w:val="TableText"/>
            </w:pPr>
          </w:p>
        </w:tc>
      </w:tr>
    </w:tbl>
    <w:p w14:paraId="0AB80498" w14:textId="74185CFE" w:rsidR="00FE6C2B" w:rsidRPr="00C86E49" w:rsidRDefault="00FE6C2B" w:rsidP="00FE6C2B">
      <w:pPr>
        <w:pStyle w:val="TableFigureFooter"/>
      </w:pPr>
      <w:r w:rsidRPr="00C86E49">
        <w:t xml:space="preserve">AMI = acute myocardial infarction; CI = confidence interval; CS = cardiogenic shock; </w:t>
      </w:r>
      <w:r w:rsidR="00B860B5" w:rsidRPr="00C86E49">
        <w:t xml:space="preserve">HR = hazard ratio; </w:t>
      </w:r>
      <w:r w:rsidRPr="00C86E49">
        <w:t>NR = not reported; OHCA</w:t>
      </w:r>
      <w:r w:rsidR="00374E64" w:rsidRPr="00C86E49">
        <w:t xml:space="preserve"> =</w:t>
      </w:r>
      <w:r w:rsidRPr="00C86E49">
        <w:t xml:space="preserve"> out-of-hospital cardiac arrest; OR</w:t>
      </w:r>
      <w:r w:rsidR="00374E64" w:rsidRPr="00C86E49">
        <w:t xml:space="preserve"> =</w:t>
      </w:r>
      <w:r w:rsidRPr="00C86E49">
        <w:t xml:space="preserve"> odds ratio; PC-CS</w:t>
      </w:r>
      <w:r w:rsidR="00374E64" w:rsidRPr="00C86E49">
        <w:t xml:space="preserve"> =</w:t>
      </w:r>
      <w:r w:rsidRPr="00C86E49">
        <w:t xml:space="preserve"> post-cardiotomy cardiogenic shock; RD</w:t>
      </w:r>
      <w:r w:rsidR="00374E64" w:rsidRPr="00C86E49">
        <w:t xml:space="preserve"> =</w:t>
      </w:r>
      <w:r w:rsidRPr="00C86E49">
        <w:t xml:space="preserve"> risk difference; RR</w:t>
      </w:r>
      <w:r w:rsidR="00374E64" w:rsidRPr="00C86E49">
        <w:t xml:space="preserve"> =</w:t>
      </w:r>
      <w:r w:rsidRPr="00C86E49">
        <w:t xml:space="preserve"> relative risk; VA-ECMO</w:t>
      </w:r>
      <w:r w:rsidR="00374E64" w:rsidRPr="00C86E49">
        <w:t xml:space="preserve"> =</w:t>
      </w:r>
      <w:r w:rsidRPr="00C86E49">
        <w:t xml:space="preserve"> veno-arterial extracorporeal membrane oxygenation.</w:t>
      </w:r>
    </w:p>
    <w:p w14:paraId="4FE6F120" w14:textId="64C8B29F" w:rsidR="004C72F5" w:rsidRPr="00C86E49" w:rsidRDefault="00FE6C2B" w:rsidP="00FE6C2B">
      <w:pPr>
        <w:pStyle w:val="TableFigureFooter"/>
      </w:pPr>
      <w:r w:rsidRPr="00C86E49">
        <w:t xml:space="preserve">Notes: Survival rates from Karatolios (2021) and Syntila (2021) were converted to mortality rates, consistent with mortality </w:t>
      </w:r>
      <w:r w:rsidR="00143835" w:rsidRPr="00C86E49">
        <w:t>ra</w:t>
      </w:r>
      <w:r w:rsidR="00452FF5" w:rsidRPr="00C86E49">
        <w:t>tes</w:t>
      </w:r>
      <w:r w:rsidRPr="00C86E49">
        <w:t xml:space="preserve"> at 30</w:t>
      </w:r>
      <w:r w:rsidR="00452FF5" w:rsidRPr="00C86E49">
        <w:t xml:space="preserve"> </w:t>
      </w:r>
      <w:r w:rsidRPr="00C86E49">
        <w:t>days/in-hospital.</w:t>
      </w:r>
    </w:p>
    <w:p w14:paraId="0EEB23BD" w14:textId="35114220" w:rsidR="00AB3A16" w:rsidRPr="00C86E49" w:rsidRDefault="00AB3A16" w:rsidP="00FE6C2B">
      <w:pPr>
        <w:pStyle w:val="TableFigureFooter"/>
      </w:pPr>
      <w:r w:rsidRPr="00C86E49">
        <w:t xml:space="preserve">Source: Table 38 </w:t>
      </w:r>
      <w:r w:rsidR="00C246D1" w:rsidRPr="00C86E49">
        <w:t xml:space="preserve">of </w:t>
      </w:r>
      <w:r w:rsidRPr="00C86E49">
        <w:t>MSAC 1523.1 ADAR+in-line commentary.</w:t>
      </w:r>
    </w:p>
    <w:p w14:paraId="359D7BA1" w14:textId="1FA4A5DA" w:rsidR="002A3193" w:rsidRPr="00C86E49" w:rsidRDefault="002A3193" w:rsidP="002A3193">
      <w:pPr>
        <w:pStyle w:val="Heading4"/>
      </w:pPr>
      <w:r w:rsidRPr="00C86E49">
        <w:t xml:space="preserve">ECPELLA versus VA-ECMO </w:t>
      </w:r>
      <w:r w:rsidR="00D531B8" w:rsidRPr="00C86E49">
        <w:t>with or without surgical venting</w:t>
      </w:r>
    </w:p>
    <w:p w14:paraId="39E713FF" w14:textId="50E6D84D" w:rsidR="00A37F78" w:rsidRPr="00C86E49" w:rsidRDefault="00AE268A" w:rsidP="00AE268A">
      <w:r w:rsidRPr="00C86E49">
        <w:t>Long-term mortality was not reported by any of the matched/adjusted ECPELLA versus VA-ECMO ± SV studies besides Patel (2018)</w:t>
      </w:r>
      <w:r w:rsidR="001421D3" w:rsidRPr="00C86E49">
        <w:t>,</w:t>
      </w:r>
      <w:r w:rsidRPr="00C86E49">
        <w:t xml:space="preserve"> </w:t>
      </w:r>
      <w:r w:rsidR="00CE08F0" w:rsidRPr="00C86E49">
        <w:t>which</w:t>
      </w:r>
      <w:r w:rsidRPr="00C86E49">
        <w:t xml:space="preserve"> reported </w:t>
      </w:r>
      <w:r w:rsidR="00BD6617" w:rsidRPr="00C86E49">
        <w:t>a</w:t>
      </w:r>
      <w:r w:rsidR="000E2B13" w:rsidRPr="00C86E49">
        <w:t>n adjusted</w:t>
      </w:r>
      <w:r w:rsidR="00BD6617" w:rsidRPr="00C86E49">
        <w:t xml:space="preserve"> HR </w:t>
      </w:r>
      <w:r w:rsidR="004E229F" w:rsidRPr="00C86E49">
        <w:t xml:space="preserve">for 12-month all-cause mortality </w:t>
      </w:r>
      <w:r w:rsidRPr="00C86E49">
        <w:t xml:space="preserve">of 0.39 </w:t>
      </w:r>
      <w:r w:rsidR="00B52578" w:rsidRPr="00C86E49">
        <w:t>(</w:t>
      </w:r>
      <w:r w:rsidR="004E229F" w:rsidRPr="00C86E49">
        <w:t xml:space="preserve">95% CI </w:t>
      </w:r>
      <w:r w:rsidRPr="00C86E49">
        <w:t>0.19, 0.81</w:t>
      </w:r>
      <w:r w:rsidR="004E229F" w:rsidRPr="00C86E49">
        <w:t>)</w:t>
      </w:r>
      <w:r w:rsidRPr="00C86E49">
        <w:t xml:space="preserve">, indicating statistically significantly lower mortality in the ECPELLA cohort versus </w:t>
      </w:r>
      <w:r w:rsidR="009B78CB" w:rsidRPr="00C86E49">
        <w:t xml:space="preserve">the </w:t>
      </w:r>
      <w:r w:rsidRPr="00C86E49">
        <w:t xml:space="preserve">VA-ECMO cohort. </w:t>
      </w:r>
      <w:r w:rsidR="00A37F78" w:rsidRPr="00C86E49">
        <w:t>GRADE certainty of evidence was very low.</w:t>
      </w:r>
    </w:p>
    <w:p w14:paraId="58613983" w14:textId="0AE969AF" w:rsidR="00B115EA" w:rsidRPr="00C86E49" w:rsidRDefault="00C127DA" w:rsidP="00B115EA">
      <w:r w:rsidRPr="00C86E49">
        <w:t>The ADAR commented that t</w:t>
      </w:r>
      <w:r w:rsidR="00AE268A" w:rsidRPr="00C86E49">
        <w:t>his HR and the associated CIs are almost identical to the adjusted HR for 30-day mortality reported by Patel (2018), suggesting the relative benefit of effect is maintained over the longer-term.</w:t>
      </w:r>
      <w:r w:rsidR="00280C85" w:rsidRPr="00C86E49">
        <w:t xml:space="preserve"> </w:t>
      </w:r>
      <w:r w:rsidR="001D61F8" w:rsidRPr="00C86E49">
        <w:t>The commentary noted that</w:t>
      </w:r>
      <w:r w:rsidR="00AE268A" w:rsidRPr="00C86E49">
        <w:t xml:space="preserve"> Patel (2018) was a small study (30 ECPELLA and 36 VA-ECMO) with minimal statistical adjustment (STEMI and PCI only). There were notable differences between cohorts at baseline in age and lactate levels that were not variables in the adjusted analyses and may have biased the mortality results in favour of ECPELLA.</w:t>
      </w:r>
      <w:r w:rsidR="00C85EAA" w:rsidRPr="00C86E49">
        <w:t xml:space="preserve"> </w:t>
      </w:r>
    </w:p>
    <w:p w14:paraId="213924C6" w14:textId="11D5654C" w:rsidR="00772829" w:rsidRPr="00C86E49" w:rsidRDefault="00772829" w:rsidP="00204D61">
      <w:pPr>
        <w:pStyle w:val="Heading3"/>
      </w:pPr>
      <w:r w:rsidRPr="00C86E49">
        <w:t>Clinical claim</w:t>
      </w:r>
    </w:p>
    <w:p w14:paraId="1CDF1EFE" w14:textId="2837412F" w:rsidR="00D40E7C" w:rsidRPr="00C86E49" w:rsidRDefault="00D40E7C" w:rsidP="002279EC">
      <w:r w:rsidRPr="00C86E49">
        <w:t xml:space="preserve">In previous deliberations of IMPELLA (MSAC application 1523), MSAC concluded that the effectiveness </w:t>
      </w:r>
      <w:r w:rsidR="00EE2017" w:rsidRPr="00C86E49">
        <w:t xml:space="preserve">and safety </w:t>
      </w:r>
      <w:r w:rsidRPr="00C86E49">
        <w:t>of IMPELLA was uncertain</w:t>
      </w:r>
      <w:r w:rsidR="00EE2017" w:rsidRPr="00C86E49">
        <w:t xml:space="preserve"> compared with VA-ECMO</w:t>
      </w:r>
      <w:r w:rsidRPr="00C86E49">
        <w:t>. The analysis of matched/adjusted studies in the ADAR for application 1523.1 is more rigorous than previous</w:t>
      </w:r>
      <w:r w:rsidR="008F651E" w:rsidRPr="00C86E49">
        <w:t>ly undertaken</w:t>
      </w:r>
      <w:r w:rsidRPr="00C86E49">
        <w:t xml:space="preserve"> but the clinical claims continue to rely </w:t>
      </w:r>
      <w:r w:rsidR="00635FFA" w:rsidRPr="00C86E49">
        <w:t xml:space="preserve">entirely </w:t>
      </w:r>
      <w:r w:rsidRPr="00C86E49">
        <w:t>on non-randomised studies and low or very low certainty evidence.</w:t>
      </w:r>
    </w:p>
    <w:p w14:paraId="3C2C7FDC" w14:textId="6176DEB6" w:rsidR="00A74F7E" w:rsidRPr="00C86E49" w:rsidRDefault="007E6C1A" w:rsidP="00C01285">
      <w:pPr>
        <w:pStyle w:val="Heading4"/>
      </w:pPr>
      <w:r w:rsidRPr="00C86E49">
        <w:t>IMPELLA versus VA-ECMO</w:t>
      </w:r>
    </w:p>
    <w:p w14:paraId="374A2912" w14:textId="01ED1CB4" w:rsidR="00745CD1" w:rsidRPr="00C86E49" w:rsidRDefault="00745CD1" w:rsidP="00745CD1">
      <w:r w:rsidRPr="00C86E49">
        <w:t>The ADAR concluded that the use of IMPELLA result</w:t>
      </w:r>
      <w:r w:rsidR="008A6913" w:rsidRPr="00C86E49">
        <w:t>s</w:t>
      </w:r>
      <w:r w:rsidRPr="00C86E49">
        <w:t xml:space="preserve"> in </w:t>
      </w:r>
      <w:r w:rsidRPr="00C86E49">
        <w:rPr>
          <w:b/>
          <w:bCs/>
        </w:rPr>
        <w:t>superior effectiveness</w:t>
      </w:r>
      <w:r w:rsidRPr="00C86E49">
        <w:t xml:space="preserve"> compared with VA-ECMO with respect to mortality. </w:t>
      </w:r>
      <w:r w:rsidR="00325182" w:rsidRPr="00C86E49">
        <w:t xml:space="preserve">The </w:t>
      </w:r>
      <w:r w:rsidRPr="00C86E49">
        <w:t xml:space="preserve">GRADE certainty of evidence for this outcome </w:t>
      </w:r>
      <w:r w:rsidR="00C47EB8" w:rsidRPr="00C86E49">
        <w:t>wa</w:t>
      </w:r>
      <w:r w:rsidRPr="00C86E49">
        <w:t>s low (30-day</w:t>
      </w:r>
      <w:r w:rsidR="00566005" w:rsidRPr="00C86E49">
        <w:t>/in-hospital</w:t>
      </w:r>
      <w:r w:rsidRPr="00C86E49">
        <w:t xml:space="preserve"> and 6-month mortality) and very low (12-month mortality)</w:t>
      </w:r>
      <w:r w:rsidR="00C058CA" w:rsidRPr="00C86E49">
        <w:t xml:space="preserve">. </w:t>
      </w:r>
      <w:r w:rsidR="00F11565" w:rsidRPr="00C86E49">
        <w:t xml:space="preserve">Furthermore, </w:t>
      </w:r>
      <w:r w:rsidR="00EE2017" w:rsidRPr="00C86E49">
        <w:t>superiority</w:t>
      </w:r>
      <w:r w:rsidR="00F11565" w:rsidRPr="00C86E49">
        <w:t xml:space="preserve"> only holds for</w:t>
      </w:r>
      <w:r w:rsidR="00566005" w:rsidRPr="00C86E49">
        <w:t xml:space="preserve"> 30-day/</w:t>
      </w:r>
      <w:r w:rsidR="00F11565" w:rsidRPr="00C86E49">
        <w:t>in-hospita</w:t>
      </w:r>
      <w:r w:rsidR="00400FB5" w:rsidRPr="00C86E49">
        <w:t>l</w:t>
      </w:r>
      <w:r w:rsidR="00F11565" w:rsidRPr="00C86E49">
        <w:t xml:space="preserve"> mortality; there were no statistically significant differences between groups in longer-term mortality (at 6 months, 12 </w:t>
      </w:r>
      <w:proofErr w:type="gramStart"/>
      <w:r w:rsidR="00F11565" w:rsidRPr="00C86E49">
        <w:t>months</w:t>
      </w:r>
      <w:proofErr w:type="gramEnd"/>
      <w:r w:rsidR="00F11565" w:rsidRPr="00C86E49">
        <w:t xml:space="preserve"> or 5 years)</w:t>
      </w:r>
      <w:r w:rsidRPr="00C86E49">
        <w:t>.</w:t>
      </w:r>
    </w:p>
    <w:p w14:paraId="3672D593" w14:textId="598C0FC5" w:rsidR="00EC02DE" w:rsidRPr="00C86E49" w:rsidRDefault="00745CD1" w:rsidP="00EC02DE">
      <w:r w:rsidRPr="00C86E49">
        <w:t xml:space="preserve">The </w:t>
      </w:r>
      <w:r w:rsidR="00BF749B" w:rsidRPr="00C86E49">
        <w:t>ADAR concluded that the</w:t>
      </w:r>
      <w:r w:rsidRPr="00C86E49">
        <w:t xml:space="preserve"> use of IMPELLA results in </w:t>
      </w:r>
      <w:r w:rsidRPr="00C86E49">
        <w:rPr>
          <w:b/>
          <w:bCs/>
        </w:rPr>
        <w:t>superior safety</w:t>
      </w:r>
      <w:r w:rsidRPr="00C86E49">
        <w:t xml:space="preserve"> compared with VA-ECMO with respect to bleeding</w:t>
      </w:r>
      <w:r w:rsidR="005A602D" w:rsidRPr="00C86E49">
        <w:t xml:space="preserve"> event</w:t>
      </w:r>
      <w:r w:rsidRPr="00C86E49">
        <w:t xml:space="preserve">s requiring transfusion. </w:t>
      </w:r>
      <w:r w:rsidR="000324B9" w:rsidRPr="00C86E49">
        <w:t xml:space="preserve">The </w:t>
      </w:r>
      <w:r w:rsidRPr="00C86E49">
        <w:t xml:space="preserve">GRADE certainty of evidence </w:t>
      </w:r>
      <w:r w:rsidR="00E9244D" w:rsidRPr="00C86E49">
        <w:t xml:space="preserve">for this outcome </w:t>
      </w:r>
      <w:r w:rsidR="00EE2794" w:rsidRPr="00C86E49">
        <w:t>wa</w:t>
      </w:r>
      <w:r w:rsidRPr="00C86E49">
        <w:t>s low.</w:t>
      </w:r>
    </w:p>
    <w:p w14:paraId="73C4497F" w14:textId="3966F73E" w:rsidR="007E6C1A" w:rsidRPr="00C86E49" w:rsidRDefault="007E6C1A" w:rsidP="00C01285">
      <w:pPr>
        <w:pStyle w:val="Heading4"/>
      </w:pPr>
      <w:r w:rsidRPr="00C86E49">
        <w:t xml:space="preserve">ECPELLA versus VA-ECMO </w:t>
      </w:r>
      <w:r w:rsidR="00D531B8" w:rsidRPr="00C86E49">
        <w:t>with or without surgical venting</w:t>
      </w:r>
    </w:p>
    <w:p w14:paraId="3AE714E6" w14:textId="02CBDE4A" w:rsidR="004535B0" w:rsidRPr="00C86E49" w:rsidRDefault="004535B0" w:rsidP="004535B0">
      <w:r w:rsidRPr="00C86E49">
        <w:t xml:space="preserve">The ADAR concluded that the use of ECPELLA results in </w:t>
      </w:r>
      <w:r w:rsidRPr="00C86E49">
        <w:rPr>
          <w:b/>
          <w:bCs/>
        </w:rPr>
        <w:t>superior effectiveness</w:t>
      </w:r>
      <w:r w:rsidRPr="00C86E49">
        <w:t xml:space="preserve"> compared with VA-ECMO </w:t>
      </w:r>
      <w:r w:rsidR="00CE4E97" w:rsidRPr="00C86E49">
        <w:t>(</w:t>
      </w:r>
      <w:r w:rsidRPr="00C86E49">
        <w:t>with or without SV</w:t>
      </w:r>
      <w:r w:rsidR="00CE4E97" w:rsidRPr="00C86E49">
        <w:t>)</w:t>
      </w:r>
      <w:r w:rsidRPr="00C86E49">
        <w:t xml:space="preserve"> with respect to mortality. </w:t>
      </w:r>
      <w:r w:rsidR="00E461A2" w:rsidRPr="00C86E49">
        <w:t xml:space="preserve">The commentary noted </w:t>
      </w:r>
      <w:r w:rsidR="004A1418" w:rsidRPr="00C86E49">
        <w:t xml:space="preserve">the evidence </w:t>
      </w:r>
      <w:r w:rsidR="00635FFA" w:rsidRPr="00C86E49">
        <w:t>for superiority</w:t>
      </w:r>
      <w:r w:rsidR="00320949" w:rsidRPr="00C86E49">
        <w:t xml:space="preserve"> </w:t>
      </w:r>
      <w:r w:rsidR="00E461A2" w:rsidRPr="00C86E49">
        <w:t>was not compelling</w:t>
      </w:r>
      <w:r w:rsidR="008B6040" w:rsidRPr="00C86E49">
        <w:t xml:space="preserve"> and</w:t>
      </w:r>
      <w:r w:rsidR="000F411B" w:rsidRPr="00C86E49">
        <w:t xml:space="preserve"> the </w:t>
      </w:r>
      <w:r w:rsidR="00492B7F" w:rsidRPr="00C86E49">
        <w:t>GRADE certainty of evidence for this outcome was low to very low</w:t>
      </w:r>
      <w:r w:rsidR="00966626" w:rsidRPr="00C86E49">
        <w:t xml:space="preserve"> (</w:t>
      </w:r>
      <w:r w:rsidR="009918FA" w:rsidRPr="00C86E49">
        <w:t>30-day</w:t>
      </w:r>
      <w:r w:rsidR="007C55FB" w:rsidRPr="00C86E49">
        <w:t>/in-hospital</w:t>
      </w:r>
      <w:r w:rsidR="000F411B" w:rsidRPr="00C86E49">
        <w:t xml:space="preserve"> mortality</w:t>
      </w:r>
      <w:r w:rsidR="009918FA" w:rsidRPr="00C86E49">
        <w:t xml:space="preserve">) </w:t>
      </w:r>
      <w:r w:rsidR="006B4C00" w:rsidRPr="00C86E49">
        <w:t>and very low (</w:t>
      </w:r>
      <w:r w:rsidR="000F411B" w:rsidRPr="00C86E49">
        <w:t>12-month mortality)</w:t>
      </w:r>
      <w:r w:rsidR="00E461A2" w:rsidRPr="00C86E49">
        <w:t xml:space="preserve">. The commentary’s interpretation </w:t>
      </w:r>
      <w:r w:rsidR="00810C76" w:rsidRPr="00C86E49">
        <w:t>wa</w:t>
      </w:r>
      <w:r w:rsidR="00E461A2" w:rsidRPr="00C86E49">
        <w:t>s</w:t>
      </w:r>
      <w:r w:rsidR="00810C76" w:rsidRPr="00C86E49">
        <w:t xml:space="preserve"> that t</w:t>
      </w:r>
      <w:r w:rsidR="00E461A2" w:rsidRPr="00C86E49">
        <w:t xml:space="preserve">he use of ECPELLA results in </w:t>
      </w:r>
      <w:r w:rsidR="00E461A2" w:rsidRPr="00C86E49">
        <w:rPr>
          <w:b/>
          <w:bCs/>
        </w:rPr>
        <w:t>uncertain</w:t>
      </w:r>
      <w:r w:rsidR="00F53486" w:rsidRPr="00C86E49">
        <w:rPr>
          <w:b/>
          <w:bCs/>
        </w:rPr>
        <w:t xml:space="preserve"> </w:t>
      </w:r>
      <w:r w:rsidR="00E461A2" w:rsidRPr="00C86E49">
        <w:rPr>
          <w:b/>
          <w:bCs/>
        </w:rPr>
        <w:t>effectiveness</w:t>
      </w:r>
      <w:r w:rsidR="00E461A2" w:rsidRPr="00C86E49">
        <w:t xml:space="preserve"> compared with VA-ECMO </w:t>
      </w:r>
      <w:r w:rsidR="0061022F" w:rsidRPr="00C86E49">
        <w:t xml:space="preserve">(with or without SV) </w:t>
      </w:r>
      <w:r w:rsidR="00E461A2" w:rsidRPr="00C86E49">
        <w:t>with respect to mortality.</w:t>
      </w:r>
    </w:p>
    <w:p w14:paraId="2D0D560F" w14:textId="40360253" w:rsidR="00510C13" w:rsidRPr="00C86E49" w:rsidRDefault="004535B0" w:rsidP="00510C13">
      <w:r w:rsidRPr="00C86E49">
        <w:t xml:space="preserve">The </w:t>
      </w:r>
      <w:r w:rsidR="00BD10A5" w:rsidRPr="00C86E49">
        <w:t>ADAR concluded that the</w:t>
      </w:r>
      <w:r w:rsidRPr="00C86E49">
        <w:t xml:space="preserve"> use of ECPELLA results in </w:t>
      </w:r>
      <w:r w:rsidRPr="00C86E49">
        <w:rPr>
          <w:b/>
          <w:bCs/>
        </w:rPr>
        <w:t>inferior safety</w:t>
      </w:r>
      <w:r w:rsidRPr="00C86E49">
        <w:t xml:space="preserve"> compared with VA-ECMO </w:t>
      </w:r>
      <w:r w:rsidR="00330930" w:rsidRPr="00C86E49">
        <w:t>(</w:t>
      </w:r>
      <w:r w:rsidRPr="00C86E49">
        <w:t>with or without SV</w:t>
      </w:r>
      <w:r w:rsidR="00330930" w:rsidRPr="00C86E49">
        <w:t>)</w:t>
      </w:r>
      <w:r w:rsidRPr="00C86E49">
        <w:t xml:space="preserve"> with respect to bleeding</w:t>
      </w:r>
      <w:r w:rsidR="005A602D" w:rsidRPr="00C86E49">
        <w:t xml:space="preserve"> event</w:t>
      </w:r>
      <w:r w:rsidRPr="00C86E49">
        <w:t xml:space="preserve">s requiring transfusion. </w:t>
      </w:r>
      <w:r w:rsidR="001E674E" w:rsidRPr="00C86E49">
        <w:t xml:space="preserve">The </w:t>
      </w:r>
      <w:r w:rsidRPr="00C86E49">
        <w:t xml:space="preserve">GRADE certainty of evidence </w:t>
      </w:r>
      <w:r w:rsidR="00E9244D" w:rsidRPr="00C86E49">
        <w:t xml:space="preserve">for this outcome </w:t>
      </w:r>
      <w:r w:rsidR="001E674E" w:rsidRPr="00C86E49">
        <w:t>wa</w:t>
      </w:r>
      <w:r w:rsidRPr="00C86E49">
        <w:t>s low.</w:t>
      </w:r>
      <w:r w:rsidR="009162C0" w:rsidRPr="00C86E49">
        <w:t xml:space="preserve"> </w:t>
      </w:r>
      <w:r w:rsidR="00E93AC1" w:rsidRPr="00C86E49">
        <w:t xml:space="preserve">Based on the limited evidence available, </w:t>
      </w:r>
      <w:r w:rsidR="009162C0" w:rsidRPr="00C86E49">
        <w:t xml:space="preserve">ECPELLA may </w:t>
      </w:r>
      <w:r w:rsidR="0090563D" w:rsidRPr="00C86E49">
        <w:t xml:space="preserve">also </w:t>
      </w:r>
      <w:r w:rsidR="00C3070D" w:rsidRPr="00C86E49">
        <w:t>result in increased</w:t>
      </w:r>
      <w:r w:rsidR="00171CE7" w:rsidRPr="00C86E49">
        <w:t xml:space="preserve"> haemolysis</w:t>
      </w:r>
      <w:r w:rsidR="001215F7" w:rsidRPr="00C86E49">
        <w:t xml:space="preserve">. </w:t>
      </w:r>
      <w:r w:rsidR="00240AA7" w:rsidRPr="00C86E49">
        <w:t xml:space="preserve">However, ECPELLA is non-inferior to VA-ECMO in terms of </w:t>
      </w:r>
      <w:r w:rsidR="00C9588C" w:rsidRPr="00C86E49">
        <w:t xml:space="preserve">30-day/in-hospital </w:t>
      </w:r>
      <w:r w:rsidR="00240AA7" w:rsidRPr="00C86E49">
        <w:t>stroke.</w:t>
      </w:r>
    </w:p>
    <w:p w14:paraId="0D09C9E4" w14:textId="2800ACD8" w:rsidR="00772829" w:rsidRPr="00C86E49" w:rsidRDefault="00C36633" w:rsidP="002A18BE">
      <w:pPr>
        <w:pStyle w:val="Heading2"/>
        <w:numPr>
          <w:ilvl w:val="0"/>
          <w:numId w:val="0"/>
        </w:numPr>
      </w:pPr>
      <w:bookmarkStart w:id="38" w:name="_Toc69491425"/>
      <w:r w:rsidRPr="00C86E49">
        <w:t>1</w:t>
      </w:r>
      <w:r w:rsidR="00F36F57" w:rsidRPr="00C86E49">
        <w:t>3</w:t>
      </w:r>
      <w:r w:rsidRPr="00C86E49">
        <w:t>.</w:t>
      </w:r>
      <w:r w:rsidRPr="00C86E49">
        <w:tab/>
      </w:r>
      <w:r w:rsidR="00772829" w:rsidRPr="00C86E49">
        <w:t>Economic evaluation</w:t>
      </w:r>
      <w:bookmarkEnd w:id="38"/>
    </w:p>
    <w:p w14:paraId="49EBED86" w14:textId="5D6A94D6" w:rsidR="003A7228" w:rsidRPr="00C86E49" w:rsidRDefault="00137BDD" w:rsidP="003A7228">
      <w:r w:rsidRPr="00C86E49">
        <w:t xml:space="preserve">A summary of the economic </w:t>
      </w:r>
      <w:r w:rsidR="00AE7D77" w:rsidRPr="00C86E49">
        <w:t xml:space="preserve">evaluation is provided in </w:t>
      </w:r>
      <w:r w:rsidR="00AE7D77" w:rsidRPr="00C86E49">
        <w:rPr>
          <w:color w:val="2B579A"/>
          <w:shd w:val="clear" w:color="auto" w:fill="E6E6E6"/>
        </w:rPr>
        <w:fldChar w:fldCharType="begin"/>
      </w:r>
      <w:r w:rsidR="00AE7D77" w:rsidRPr="00C86E49">
        <w:instrText xml:space="preserve"> REF _Ref69725820 \h </w:instrText>
      </w:r>
      <w:r w:rsidR="00C86E49">
        <w:rPr>
          <w:color w:val="2B579A"/>
          <w:shd w:val="clear" w:color="auto" w:fill="E6E6E6"/>
        </w:rPr>
        <w:instrText xml:space="preserve"> \* MERGEFORMAT </w:instrText>
      </w:r>
      <w:r w:rsidR="00AE7D77" w:rsidRPr="00C86E49">
        <w:rPr>
          <w:color w:val="2B579A"/>
          <w:shd w:val="clear" w:color="auto" w:fill="E6E6E6"/>
        </w:rPr>
      </w:r>
      <w:r w:rsidR="00AE7D77" w:rsidRPr="00C86E49">
        <w:rPr>
          <w:color w:val="2B579A"/>
          <w:shd w:val="clear" w:color="auto" w:fill="E6E6E6"/>
        </w:rPr>
        <w:fldChar w:fldCharType="separate"/>
      </w:r>
      <w:r w:rsidR="00EF3514" w:rsidRPr="00C86E49">
        <w:t>Table </w:t>
      </w:r>
      <w:r w:rsidR="00EF3514" w:rsidRPr="00C86E49">
        <w:rPr>
          <w:noProof/>
        </w:rPr>
        <w:t>13</w:t>
      </w:r>
      <w:r w:rsidR="00AE7D77" w:rsidRPr="00C86E49">
        <w:rPr>
          <w:color w:val="2B579A"/>
          <w:shd w:val="clear" w:color="auto" w:fill="E6E6E6"/>
        </w:rPr>
        <w:fldChar w:fldCharType="end"/>
      </w:r>
      <w:r w:rsidR="00AE7D77" w:rsidRPr="00C86E49">
        <w:t xml:space="preserve">. </w:t>
      </w:r>
      <w:proofErr w:type="gramStart"/>
      <w:r w:rsidR="00C574E8" w:rsidRPr="00C86E49">
        <w:t>On the basis of</w:t>
      </w:r>
      <w:proofErr w:type="gramEnd"/>
      <w:r w:rsidR="00C574E8" w:rsidRPr="00C86E49">
        <w:t xml:space="preserve"> the </w:t>
      </w:r>
      <w:r w:rsidR="0052105A" w:rsidRPr="00C86E49">
        <w:t xml:space="preserve">ADAR’s </w:t>
      </w:r>
      <w:r w:rsidR="00324870" w:rsidRPr="00C86E49">
        <w:t xml:space="preserve">clinical claims of superior effectiveness of IMPELLA and ECPELLA compared with </w:t>
      </w:r>
      <w:r w:rsidR="00BC296D" w:rsidRPr="00C86E49">
        <w:t>the comparator</w:t>
      </w:r>
      <w:r w:rsidR="00C574E8" w:rsidRPr="00C86E49">
        <w:t>, two cost-utility analyses (</w:t>
      </w:r>
      <w:r w:rsidR="000D613D" w:rsidRPr="00C86E49">
        <w:t>IMPELLA and ECPELLA)</w:t>
      </w:r>
      <w:r w:rsidR="007E1987" w:rsidRPr="00C86E49">
        <w:t xml:space="preserve"> were presented</w:t>
      </w:r>
      <w:r w:rsidR="0052105A" w:rsidRPr="00C86E49">
        <w:t xml:space="preserve">. </w:t>
      </w:r>
      <w:r w:rsidR="000D613D" w:rsidRPr="00C86E49">
        <w:t xml:space="preserve">The commentary noted </w:t>
      </w:r>
      <w:r w:rsidR="004A0FB8" w:rsidRPr="00C86E49">
        <w:t xml:space="preserve">that </w:t>
      </w:r>
      <w:r w:rsidR="00BC296D" w:rsidRPr="00C86E49">
        <w:t>the appropriateness of a cost-utility analysis for ECPELLA versus VA-ECMO ± SV is questionable</w:t>
      </w:r>
      <w:r w:rsidR="004A0FB8" w:rsidRPr="00C86E49">
        <w:t xml:space="preserve"> given </w:t>
      </w:r>
      <w:r w:rsidR="00A347DD" w:rsidRPr="00C86E49">
        <w:t>that</w:t>
      </w:r>
      <w:r w:rsidR="004E0772" w:rsidRPr="00C86E49">
        <w:t xml:space="preserve"> (i)</w:t>
      </w:r>
      <w:r w:rsidR="00A347DD" w:rsidRPr="00C86E49">
        <w:t xml:space="preserve"> ECPELLA </w:t>
      </w:r>
      <w:r w:rsidR="004E0772" w:rsidRPr="00C86E49">
        <w:t>is more costly</w:t>
      </w:r>
      <w:r w:rsidR="00412F9B" w:rsidRPr="00C86E49">
        <w:t xml:space="preserve"> than </w:t>
      </w:r>
      <w:r w:rsidR="004E0772" w:rsidRPr="00C86E49">
        <w:t xml:space="preserve">VA-ECMO ± SV, (ii) ECPELLA </w:t>
      </w:r>
      <w:r w:rsidR="00A347DD" w:rsidRPr="00C86E49">
        <w:t xml:space="preserve">is inferior </w:t>
      </w:r>
      <w:r w:rsidR="006A28CC" w:rsidRPr="00C86E49">
        <w:t>in terms of safety</w:t>
      </w:r>
      <w:r w:rsidR="004E0772" w:rsidRPr="00C86E49">
        <w:t>, and (iii)</w:t>
      </w:r>
      <w:r w:rsidR="006A28CC" w:rsidRPr="00C86E49">
        <w:t xml:space="preserve"> </w:t>
      </w:r>
      <w:r w:rsidR="004A0FB8" w:rsidRPr="00C86E49">
        <w:t xml:space="preserve">the clinical claim for superior effectiveness of ECPELLA is </w:t>
      </w:r>
      <w:r w:rsidR="00665E3B" w:rsidRPr="00C86E49">
        <w:t xml:space="preserve">uncertain </w:t>
      </w:r>
      <w:r w:rsidR="004A0FB8" w:rsidRPr="00C86E49">
        <w:t>with respect to mortality</w:t>
      </w:r>
      <w:r w:rsidR="00D772F4" w:rsidRPr="00C86E49">
        <w:t>.</w:t>
      </w:r>
    </w:p>
    <w:p w14:paraId="7832FEBA" w14:textId="07467DF0" w:rsidR="00C107C3" w:rsidRPr="00C86E49" w:rsidRDefault="00C107C3" w:rsidP="00670650">
      <w:pPr>
        <w:pStyle w:val="Caption"/>
        <w:tabs>
          <w:tab w:val="left" w:pos="1134"/>
        </w:tabs>
        <w:ind w:left="1134" w:hanging="1134"/>
      </w:pPr>
      <w:bookmarkStart w:id="39" w:name="_Ref69725820"/>
      <w:r w:rsidRPr="00C86E49">
        <w:t>Table</w:t>
      </w:r>
      <w:r w:rsidR="004A4FDF" w:rsidRPr="00C86E49">
        <w:t> </w:t>
      </w:r>
      <w:r w:rsidRPr="00C86E49">
        <w:rPr>
          <w:color w:val="2B579A"/>
          <w:shd w:val="clear" w:color="auto" w:fill="E6E6E6"/>
        </w:rPr>
        <w:fldChar w:fldCharType="begin"/>
      </w:r>
      <w:r w:rsidRPr="00C86E49">
        <w:rPr>
          <w:noProof/>
        </w:rPr>
        <w:instrText xml:space="preserve"> SEQ Table \* ARABIC </w:instrText>
      </w:r>
      <w:r w:rsidRPr="00C86E49">
        <w:rPr>
          <w:color w:val="2B579A"/>
          <w:shd w:val="clear" w:color="auto" w:fill="E6E6E6"/>
        </w:rPr>
        <w:fldChar w:fldCharType="separate"/>
      </w:r>
      <w:r w:rsidR="00EF3514" w:rsidRPr="00C86E49">
        <w:rPr>
          <w:noProof/>
        </w:rPr>
        <w:t>13</w:t>
      </w:r>
      <w:r w:rsidRPr="00C86E49">
        <w:rPr>
          <w:color w:val="2B579A"/>
          <w:shd w:val="clear" w:color="auto" w:fill="E6E6E6"/>
        </w:rPr>
        <w:fldChar w:fldCharType="end"/>
      </w:r>
      <w:bookmarkEnd w:id="39"/>
      <w:r w:rsidRPr="00C86E49">
        <w:tab/>
        <w:t xml:space="preserve">Summary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697"/>
        <w:gridCol w:w="7319"/>
      </w:tblGrid>
      <w:tr w:rsidR="002A3511" w:rsidRPr="00C86E49" w14:paraId="3C0DF1BD" w14:textId="2726922C" w:rsidTr="000F7484">
        <w:trPr>
          <w:tblHeader/>
        </w:trPr>
        <w:tc>
          <w:tcPr>
            <w:tcW w:w="941" w:type="pct"/>
          </w:tcPr>
          <w:p w14:paraId="57632985" w14:textId="77777777" w:rsidR="002A3511" w:rsidRPr="00C86E49" w:rsidRDefault="002A3511" w:rsidP="0088074E">
            <w:pPr>
              <w:pStyle w:val="TableHeading"/>
              <w:keepNext w:val="0"/>
              <w:rPr>
                <w:szCs w:val="20"/>
              </w:rPr>
            </w:pPr>
            <w:bookmarkStart w:id="40" w:name="Title_Table5"/>
            <w:bookmarkStart w:id="41" w:name="_Hlk68276446"/>
            <w:bookmarkEnd w:id="40"/>
            <w:r w:rsidRPr="00C86E49">
              <w:rPr>
                <w:szCs w:val="20"/>
              </w:rPr>
              <w:t>Component</w:t>
            </w:r>
          </w:p>
        </w:tc>
        <w:tc>
          <w:tcPr>
            <w:tcW w:w="4059" w:type="pct"/>
          </w:tcPr>
          <w:p w14:paraId="123CA837" w14:textId="77777777" w:rsidR="002A3511" w:rsidRPr="00C86E49" w:rsidRDefault="002A3511" w:rsidP="0088074E">
            <w:pPr>
              <w:pStyle w:val="TableHeading"/>
              <w:keepNext w:val="0"/>
              <w:rPr>
                <w:szCs w:val="20"/>
              </w:rPr>
            </w:pPr>
            <w:r w:rsidRPr="00C86E49">
              <w:rPr>
                <w:szCs w:val="20"/>
              </w:rPr>
              <w:t>Description</w:t>
            </w:r>
          </w:p>
        </w:tc>
      </w:tr>
      <w:tr w:rsidR="002A3511" w:rsidRPr="00C86E49" w14:paraId="31113E27" w14:textId="755DAA21" w:rsidTr="000F7484">
        <w:tc>
          <w:tcPr>
            <w:tcW w:w="941" w:type="pct"/>
          </w:tcPr>
          <w:p w14:paraId="7DFFBC7E" w14:textId="77777777" w:rsidR="002A3511" w:rsidRPr="00C86E49" w:rsidRDefault="002A3511" w:rsidP="0088074E">
            <w:pPr>
              <w:pStyle w:val="TableText"/>
              <w:rPr>
                <w:szCs w:val="20"/>
              </w:rPr>
            </w:pPr>
            <w:r w:rsidRPr="00C86E49">
              <w:rPr>
                <w:szCs w:val="20"/>
              </w:rPr>
              <w:t>Perspective</w:t>
            </w:r>
          </w:p>
        </w:tc>
        <w:tc>
          <w:tcPr>
            <w:tcW w:w="4059" w:type="pct"/>
          </w:tcPr>
          <w:p w14:paraId="56EF2FFF" w14:textId="5F53ECEC" w:rsidR="002A3511" w:rsidRPr="00C86E49" w:rsidRDefault="002A3511" w:rsidP="0088074E">
            <w:pPr>
              <w:pStyle w:val="TableText"/>
              <w:rPr>
                <w:szCs w:val="20"/>
              </w:rPr>
            </w:pPr>
            <w:r w:rsidRPr="00C86E49">
              <w:rPr>
                <w:szCs w:val="20"/>
              </w:rPr>
              <w:t>Healthcare system</w:t>
            </w:r>
          </w:p>
        </w:tc>
      </w:tr>
      <w:tr w:rsidR="002A3511" w:rsidRPr="00C86E49" w14:paraId="3AE7C53E" w14:textId="3AF3CBC2" w:rsidTr="002F45AE">
        <w:tc>
          <w:tcPr>
            <w:tcW w:w="941" w:type="pct"/>
          </w:tcPr>
          <w:p w14:paraId="7D8A22F3" w14:textId="77777777" w:rsidR="002A3511" w:rsidRPr="00C86E49" w:rsidRDefault="002A3511" w:rsidP="0088074E">
            <w:pPr>
              <w:pStyle w:val="TableText"/>
              <w:rPr>
                <w:szCs w:val="20"/>
              </w:rPr>
            </w:pPr>
            <w:r w:rsidRPr="00C86E49">
              <w:rPr>
                <w:szCs w:val="20"/>
              </w:rPr>
              <w:t>Population</w:t>
            </w:r>
          </w:p>
        </w:tc>
        <w:tc>
          <w:tcPr>
            <w:tcW w:w="4059" w:type="pct"/>
          </w:tcPr>
          <w:p w14:paraId="61E8283E" w14:textId="2BE623DF" w:rsidR="00BF3EEC" w:rsidRPr="00C86E49" w:rsidRDefault="00BF3EEC" w:rsidP="0088074E">
            <w:pPr>
              <w:pStyle w:val="Tabletext0"/>
            </w:pPr>
            <w:r w:rsidRPr="00C86E49">
              <w:t xml:space="preserve">Population 1: </w:t>
            </w:r>
            <w:r w:rsidR="00A316E0" w:rsidRPr="00C86E49">
              <w:t>Patients with r</w:t>
            </w:r>
            <w:r w:rsidRPr="00C86E49">
              <w:t>efractory cardiogenic shock</w:t>
            </w:r>
          </w:p>
          <w:p w14:paraId="376BBABD" w14:textId="1668DC35" w:rsidR="002A3511" w:rsidRPr="00C86E49" w:rsidRDefault="00BF3EEC" w:rsidP="0088074E">
            <w:pPr>
              <w:pStyle w:val="TableText"/>
              <w:rPr>
                <w:szCs w:val="20"/>
              </w:rPr>
            </w:pPr>
            <w:r w:rsidRPr="00C86E49">
              <w:t xml:space="preserve">Population 2: </w:t>
            </w:r>
            <w:r w:rsidR="00A316E0" w:rsidRPr="00C86E49">
              <w:t xml:space="preserve">Patients with </w:t>
            </w:r>
            <w:r w:rsidR="000E5FB8" w:rsidRPr="00C86E49">
              <w:t>cardiogenic shock on VA-ECMO who require unloading of the left ventricle</w:t>
            </w:r>
          </w:p>
        </w:tc>
      </w:tr>
      <w:tr w:rsidR="002C5D4D" w:rsidRPr="00C86E49" w14:paraId="4E4D72C0" w14:textId="77777777" w:rsidTr="002F45AE">
        <w:tc>
          <w:tcPr>
            <w:tcW w:w="941" w:type="pct"/>
          </w:tcPr>
          <w:p w14:paraId="6EC066D8" w14:textId="2B7A34BC" w:rsidR="002C5D4D" w:rsidRPr="00C86E49" w:rsidRDefault="002C5D4D" w:rsidP="0088074E">
            <w:pPr>
              <w:pStyle w:val="TableText"/>
              <w:rPr>
                <w:szCs w:val="20"/>
              </w:rPr>
            </w:pPr>
            <w:r w:rsidRPr="00C86E49">
              <w:rPr>
                <w:szCs w:val="20"/>
              </w:rPr>
              <w:t>Intervention</w:t>
            </w:r>
          </w:p>
        </w:tc>
        <w:tc>
          <w:tcPr>
            <w:tcW w:w="4059" w:type="pct"/>
          </w:tcPr>
          <w:p w14:paraId="3A83DA6A" w14:textId="71597E9C" w:rsidR="002C5D4D" w:rsidRPr="00C86E49" w:rsidRDefault="002C5D4D" w:rsidP="0088074E">
            <w:pPr>
              <w:pStyle w:val="Tabletext0"/>
            </w:pPr>
            <w:r w:rsidRPr="00C86E49">
              <w:t>Population 1: IMPELLA</w:t>
            </w:r>
          </w:p>
          <w:p w14:paraId="66365AFC" w14:textId="4645B4DB" w:rsidR="002C5D4D" w:rsidRPr="00C86E49" w:rsidRDefault="002C5D4D" w:rsidP="0088074E">
            <w:pPr>
              <w:pStyle w:val="Tabletext0"/>
            </w:pPr>
            <w:r w:rsidRPr="00C86E49">
              <w:t xml:space="preserve">Population 2: </w:t>
            </w:r>
            <w:r w:rsidR="00B556FB" w:rsidRPr="00C86E49">
              <w:t>IMPELLA added to VA-ECMO (</w:t>
            </w:r>
            <w:r w:rsidRPr="00C86E49">
              <w:t>ECPELLA</w:t>
            </w:r>
            <w:r w:rsidR="00B556FB" w:rsidRPr="00C86E49">
              <w:t>)</w:t>
            </w:r>
          </w:p>
        </w:tc>
      </w:tr>
      <w:tr w:rsidR="002C5D4D" w:rsidRPr="00C86E49" w14:paraId="750830A5" w14:textId="33978BE8" w:rsidTr="000F7484">
        <w:tc>
          <w:tcPr>
            <w:tcW w:w="941" w:type="pct"/>
          </w:tcPr>
          <w:p w14:paraId="59B80C68" w14:textId="77777777" w:rsidR="002C5D4D" w:rsidRPr="00C86E49" w:rsidRDefault="002C5D4D" w:rsidP="0088074E">
            <w:pPr>
              <w:pStyle w:val="TableText"/>
              <w:rPr>
                <w:szCs w:val="20"/>
              </w:rPr>
            </w:pPr>
            <w:r w:rsidRPr="00C86E49">
              <w:rPr>
                <w:szCs w:val="20"/>
              </w:rPr>
              <w:t>Comparator</w:t>
            </w:r>
          </w:p>
        </w:tc>
        <w:tc>
          <w:tcPr>
            <w:tcW w:w="4059" w:type="pct"/>
          </w:tcPr>
          <w:p w14:paraId="13B37573" w14:textId="0359095F" w:rsidR="002C5D4D" w:rsidRPr="00C86E49" w:rsidRDefault="002C5D4D" w:rsidP="0088074E">
            <w:pPr>
              <w:pStyle w:val="Tabletext0"/>
            </w:pPr>
            <w:r w:rsidRPr="00C86E49">
              <w:t>Population 1: VA-ECMO</w:t>
            </w:r>
          </w:p>
          <w:p w14:paraId="04C0D717" w14:textId="64DE02FF" w:rsidR="002C5D4D" w:rsidRPr="00C86E49" w:rsidRDefault="002C5D4D" w:rsidP="0088074E">
            <w:pPr>
              <w:pStyle w:val="Tabletext0"/>
            </w:pPr>
            <w:r w:rsidRPr="00C86E49">
              <w:t xml:space="preserve">Population 2: VA-ECMO </w:t>
            </w:r>
            <w:r w:rsidR="00B556FB" w:rsidRPr="00C86E49">
              <w:t>with or w</w:t>
            </w:r>
            <w:r w:rsidR="003C6CEE" w:rsidRPr="00C86E49">
              <w:t>i</w:t>
            </w:r>
            <w:r w:rsidR="00B556FB" w:rsidRPr="00C86E49">
              <w:t>thout</w:t>
            </w:r>
            <w:r w:rsidRPr="00C86E49">
              <w:t xml:space="preserve"> </w:t>
            </w:r>
            <w:r w:rsidR="00B556FB" w:rsidRPr="00C86E49">
              <w:t>surgical venting</w:t>
            </w:r>
          </w:p>
        </w:tc>
      </w:tr>
      <w:tr w:rsidR="002C5D4D" w:rsidRPr="00C86E49" w14:paraId="352DFBB5" w14:textId="23E331A7" w:rsidTr="000F7484">
        <w:tc>
          <w:tcPr>
            <w:tcW w:w="941" w:type="pct"/>
          </w:tcPr>
          <w:p w14:paraId="563F18FC" w14:textId="77777777" w:rsidR="002C5D4D" w:rsidRPr="00C86E49" w:rsidRDefault="002C5D4D" w:rsidP="0088074E">
            <w:pPr>
              <w:pStyle w:val="TableText"/>
              <w:rPr>
                <w:szCs w:val="20"/>
              </w:rPr>
            </w:pPr>
            <w:r w:rsidRPr="00C86E49">
              <w:rPr>
                <w:szCs w:val="20"/>
              </w:rPr>
              <w:t>Type(s) of analysis</w:t>
            </w:r>
          </w:p>
        </w:tc>
        <w:tc>
          <w:tcPr>
            <w:tcW w:w="4059" w:type="pct"/>
          </w:tcPr>
          <w:p w14:paraId="4DAE5CE1" w14:textId="280292D7" w:rsidR="002C5D4D" w:rsidRPr="00C86E49" w:rsidRDefault="00835F13" w:rsidP="0088074E">
            <w:pPr>
              <w:pStyle w:val="TableText"/>
              <w:rPr>
                <w:szCs w:val="20"/>
              </w:rPr>
            </w:pPr>
            <w:r w:rsidRPr="00C86E49">
              <w:rPr>
                <w:szCs w:val="20"/>
              </w:rPr>
              <w:t>C</w:t>
            </w:r>
            <w:r w:rsidR="002C5D4D" w:rsidRPr="00C86E49">
              <w:rPr>
                <w:szCs w:val="20"/>
              </w:rPr>
              <w:t>ost-utility analysis</w:t>
            </w:r>
          </w:p>
        </w:tc>
      </w:tr>
      <w:tr w:rsidR="002C5D4D" w:rsidRPr="00C86E49" w14:paraId="6CB6FA6B" w14:textId="0CFF196E" w:rsidTr="000F7484">
        <w:tc>
          <w:tcPr>
            <w:tcW w:w="941" w:type="pct"/>
          </w:tcPr>
          <w:p w14:paraId="401E0BAC" w14:textId="77777777" w:rsidR="002C5D4D" w:rsidRPr="00C86E49" w:rsidRDefault="002C5D4D" w:rsidP="0088074E">
            <w:pPr>
              <w:pStyle w:val="TableText"/>
              <w:rPr>
                <w:szCs w:val="20"/>
              </w:rPr>
            </w:pPr>
            <w:r w:rsidRPr="00C86E49">
              <w:rPr>
                <w:szCs w:val="20"/>
              </w:rPr>
              <w:t>Outcomes</w:t>
            </w:r>
          </w:p>
        </w:tc>
        <w:tc>
          <w:tcPr>
            <w:tcW w:w="4059" w:type="pct"/>
          </w:tcPr>
          <w:p w14:paraId="5BB292CF" w14:textId="6F66FE10" w:rsidR="002C5D4D" w:rsidRPr="00C86E49" w:rsidRDefault="00835F13" w:rsidP="0088074E">
            <w:pPr>
              <w:pStyle w:val="TableText"/>
              <w:rPr>
                <w:szCs w:val="20"/>
              </w:rPr>
            </w:pPr>
            <w:r w:rsidRPr="00C86E49">
              <w:rPr>
                <w:szCs w:val="20"/>
              </w:rPr>
              <w:t>Life</w:t>
            </w:r>
            <w:r w:rsidR="003C6CEE" w:rsidRPr="00C86E49">
              <w:rPr>
                <w:szCs w:val="20"/>
              </w:rPr>
              <w:t xml:space="preserve"> </w:t>
            </w:r>
            <w:r w:rsidR="002C5D4D" w:rsidRPr="00C86E49">
              <w:rPr>
                <w:szCs w:val="20"/>
              </w:rPr>
              <w:t xml:space="preserve">years gained, </w:t>
            </w:r>
            <w:r w:rsidR="00EA7499" w:rsidRPr="00C86E49">
              <w:rPr>
                <w:szCs w:val="20"/>
              </w:rPr>
              <w:t>QALYs</w:t>
            </w:r>
            <w:r w:rsidR="003C6CEE" w:rsidRPr="00C86E49">
              <w:rPr>
                <w:szCs w:val="20"/>
              </w:rPr>
              <w:t xml:space="preserve"> gained</w:t>
            </w:r>
          </w:p>
        </w:tc>
      </w:tr>
      <w:tr w:rsidR="002C5D4D" w:rsidRPr="00C86E49" w14:paraId="643C0794" w14:textId="7BA4E085" w:rsidTr="000F7484">
        <w:tc>
          <w:tcPr>
            <w:tcW w:w="941" w:type="pct"/>
          </w:tcPr>
          <w:p w14:paraId="42B1D84D" w14:textId="77777777" w:rsidR="002C5D4D" w:rsidRPr="00C86E49" w:rsidRDefault="002C5D4D" w:rsidP="0088074E">
            <w:pPr>
              <w:pStyle w:val="TableText"/>
              <w:rPr>
                <w:szCs w:val="20"/>
              </w:rPr>
            </w:pPr>
            <w:r w:rsidRPr="00C86E49">
              <w:rPr>
                <w:szCs w:val="20"/>
              </w:rPr>
              <w:t>Time horizon</w:t>
            </w:r>
          </w:p>
        </w:tc>
        <w:tc>
          <w:tcPr>
            <w:tcW w:w="4059" w:type="pct"/>
          </w:tcPr>
          <w:p w14:paraId="3BC3DE82" w14:textId="37437486" w:rsidR="002C5D4D" w:rsidRPr="00C86E49" w:rsidRDefault="00D9092C" w:rsidP="0088074E">
            <w:pPr>
              <w:pStyle w:val="TableText"/>
              <w:rPr>
                <w:szCs w:val="20"/>
              </w:rPr>
            </w:pPr>
            <w:r w:rsidRPr="00C86E49">
              <w:rPr>
                <w:szCs w:val="20"/>
              </w:rPr>
              <w:t>Lifetime</w:t>
            </w:r>
            <w:r w:rsidR="00F32881" w:rsidRPr="00C86E49">
              <w:rPr>
                <w:szCs w:val="20"/>
              </w:rPr>
              <w:t xml:space="preserve"> (5-, 10- and 20-year time horizons were tested in sensitivity analyses)</w:t>
            </w:r>
          </w:p>
        </w:tc>
      </w:tr>
      <w:tr w:rsidR="002C5D4D" w:rsidRPr="00C86E49" w14:paraId="0949BCCC" w14:textId="4456977C" w:rsidTr="000F7484">
        <w:tc>
          <w:tcPr>
            <w:tcW w:w="941" w:type="pct"/>
          </w:tcPr>
          <w:p w14:paraId="6DFB973F" w14:textId="77777777" w:rsidR="002C5D4D" w:rsidRPr="00C86E49" w:rsidRDefault="002C5D4D" w:rsidP="0088074E">
            <w:pPr>
              <w:pStyle w:val="TableText"/>
              <w:rPr>
                <w:szCs w:val="20"/>
              </w:rPr>
            </w:pPr>
            <w:r w:rsidRPr="00C86E49">
              <w:rPr>
                <w:szCs w:val="20"/>
              </w:rPr>
              <w:t>Computational method</w:t>
            </w:r>
          </w:p>
        </w:tc>
        <w:tc>
          <w:tcPr>
            <w:tcW w:w="4059" w:type="pct"/>
          </w:tcPr>
          <w:p w14:paraId="67E64DF6" w14:textId="04416EBD" w:rsidR="002C5D4D" w:rsidRPr="00C86E49" w:rsidRDefault="002C5D4D" w:rsidP="0088074E">
            <w:pPr>
              <w:pStyle w:val="TableText"/>
              <w:rPr>
                <w:szCs w:val="20"/>
              </w:rPr>
            </w:pPr>
            <w:r w:rsidRPr="00C86E49">
              <w:rPr>
                <w:szCs w:val="20"/>
              </w:rPr>
              <w:t>Markov</w:t>
            </w:r>
            <w:r w:rsidR="00D9092C" w:rsidRPr="00C86E49">
              <w:rPr>
                <w:szCs w:val="20"/>
              </w:rPr>
              <w:t xml:space="preserve"> cohort</w:t>
            </w:r>
          </w:p>
        </w:tc>
      </w:tr>
      <w:tr w:rsidR="002C5D4D" w:rsidRPr="00C86E49" w14:paraId="780AB6C6" w14:textId="5D51678D" w:rsidTr="000F7484">
        <w:tc>
          <w:tcPr>
            <w:tcW w:w="941" w:type="pct"/>
          </w:tcPr>
          <w:p w14:paraId="6CDC9D32" w14:textId="77777777" w:rsidR="002C5D4D" w:rsidRPr="00C86E49" w:rsidRDefault="002C5D4D" w:rsidP="0088074E">
            <w:pPr>
              <w:pStyle w:val="TableText"/>
              <w:rPr>
                <w:szCs w:val="20"/>
              </w:rPr>
            </w:pPr>
            <w:r w:rsidRPr="00C86E49">
              <w:rPr>
                <w:szCs w:val="20"/>
              </w:rPr>
              <w:t>Generation of the base case</w:t>
            </w:r>
          </w:p>
        </w:tc>
        <w:tc>
          <w:tcPr>
            <w:tcW w:w="4059" w:type="pct"/>
          </w:tcPr>
          <w:p w14:paraId="7B5450F5" w14:textId="77777777" w:rsidR="002C5D4D" w:rsidRPr="00C86E49" w:rsidRDefault="000434A0" w:rsidP="0088074E">
            <w:pPr>
              <w:pStyle w:val="TableText"/>
              <w:rPr>
                <w:szCs w:val="20"/>
              </w:rPr>
            </w:pPr>
            <w:r w:rsidRPr="00C86E49">
              <w:rPr>
                <w:szCs w:val="20"/>
              </w:rPr>
              <w:t>Modelled analysis</w:t>
            </w:r>
          </w:p>
          <w:p w14:paraId="6687851E" w14:textId="5EF85DA5" w:rsidR="000434A0" w:rsidRPr="00C86E49" w:rsidRDefault="001D08CA" w:rsidP="0088074E">
            <w:pPr>
              <w:pStyle w:val="TableText"/>
              <w:rPr>
                <w:szCs w:val="20"/>
              </w:rPr>
            </w:pPr>
            <w:r w:rsidRPr="00C86E49">
              <w:t>Step 1: Matched/adjusted study-based analysis; Step 2: extrapolation of survival; Step 3: translation of life years to QALYs</w:t>
            </w:r>
          </w:p>
        </w:tc>
      </w:tr>
      <w:tr w:rsidR="002C5D4D" w:rsidRPr="00C86E49" w14:paraId="03A3B794" w14:textId="3A58F192" w:rsidTr="000F7484">
        <w:tc>
          <w:tcPr>
            <w:tcW w:w="941" w:type="pct"/>
          </w:tcPr>
          <w:p w14:paraId="4E12B2D4" w14:textId="77777777" w:rsidR="002C5D4D" w:rsidRPr="00C86E49" w:rsidRDefault="002C5D4D" w:rsidP="0088074E">
            <w:pPr>
              <w:pStyle w:val="TableText"/>
              <w:rPr>
                <w:szCs w:val="20"/>
              </w:rPr>
            </w:pPr>
            <w:r w:rsidRPr="00C86E49">
              <w:rPr>
                <w:szCs w:val="20"/>
              </w:rPr>
              <w:t>Health states</w:t>
            </w:r>
          </w:p>
        </w:tc>
        <w:tc>
          <w:tcPr>
            <w:tcW w:w="4059" w:type="pct"/>
          </w:tcPr>
          <w:p w14:paraId="3E63543F" w14:textId="2CFCEA06" w:rsidR="002C5D4D" w:rsidRPr="00C86E49" w:rsidRDefault="001D08CA" w:rsidP="0088074E">
            <w:pPr>
              <w:pStyle w:val="TableText"/>
              <w:rPr>
                <w:szCs w:val="20"/>
              </w:rPr>
            </w:pPr>
            <w:r w:rsidRPr="00C86E49">
              <w:rPr>
                <w:szCs w:val="20"/>
              </w:rPr>
              <w:t>Alive and Dead</w:t>
            </w:r>
          </w:p>
        </w:tc>
      </w:tr>
      <w:tr w:rsidR="002C5D4D" w:rsidRPr="00C86E49" w14:paraId="0212C695" w14:textId="63F9F923" w:rsidTr="000F7484">
        <w:tc>
          <w:tcPr>
            <w:tcW w:w="941" w:type="pct"/>
          </w:tcPr>
          <w:p w14:paraId="3AC64F34" w14:textId="77777777" w:rsidR="002C5D4D" w:rsidRPr="00C86E49" w:rsidRDefault="002C5D4D" w:rsidP="0088074E">
            <w:pPr>
              <w:pStyle w:val="TableText"/>
              <w:rPr>
                <w:szCs w:val="20"/>
              </w:rPr>
            </w:pPr>
            <w:r w:rsidRPr="00C86E49">
              <w:rPr>
                <w:szCs w:val="20"/>
              </w:rPr>
              <w:t>Cycle length</w:t>
            </w:r>
          </w:p>
        </w:tc>
        <w:tc>
          <w:tcPr>
            <w:tcW w:w="4059" w:type="pct"/>
          </w:tcPr>
          <w:p w14:paraId="64D95EB2" w14:textId="0A8E5346" w:rsidR="002C5D4D" w:rsidRPr="00C86E49" w:rsidRDefault="008E3448" w:rsidP="0088074E">
            <w:pPr>
              <w:pStyle w:val="TableText"/>
              <w:rPr>
                <w:szCs w:val="20"/>
              </w:rPr>
            </w:pPr>
            <w:r w:rsidRPr="00C86E49">
              <w:rPr>
                <w:szCs w:val="20"/>
              </w:rPr>
              <w:t>Monthly, then yearly</w:t>
            </w:r>
          </w:p>
        </w:tc>
      </w:tr>
      <w:tr w:rsidR="002C5D4D" w:rsidRPr="00C86E49" w14:paraId="2976544F" w14:textId="76387CDF" w:rsidTr="000F7484">
        <w:tc>
          <w:tcPr>
            <w:tcW w:w="941" w:type="pct"/>
          </w:tcPr>
          <w:p w14:paraId="2558F588" w14:textId="77777777" w:rsidR="002C5D4D" w:rsidRPr="00C86E49" w:rsidRDefault="002C5D4D" w:rsidP="0088074E">
            <w:pPr>
              <w:pStyle w:val="TableText"/>
              <w:rPr>
                <w:szCs w:val="20"/>
              </w:rPr>
            </w:pPr>
            <w:r w:rsidRPr="00C86E49">
              <w:rPr>
                <w:szCs w:val="20"/>
              </w:rPr>
              <w:t>Transition probabilities</w:t>
            </w:r>
          </w:p>
        </w:tc>
        <w:tc>
          <w:tcPr>
            <w:tcW w:w="4059" w:type="pct"/>
          </w:tcPr>
          <w:p w14:paraId="43B247B9" w14:textId="36646D73" w:rsidR="002C5D4D" w:rsidRPr="00C86E49" w:rsidRDefault="00782667" w:rsidP="0088074E">
            <w:pPr>
              <w:pStyle w:val="TableText"/>
              <w:rPr>
                <w:szCs w:val="20"/>
              </w:rPr>
            </w:pPr>
            <w:r w:rsidRPr="00C86E49">
              <w:t>Patients are attributed a mortality risk each cycle</w:t>
            </w:r>
            <w:r w:rsidR="00D431AF" w:rsidRPr="00C86E49">
              <w:t xml:space="preserve">. </w:t>
            </w:r>
            <w:r w:rsidRPr="00C86E49">
              <w:t>Matched/adjusted study-based mortality risks are applied in the first cycle (one month), derived from identified matched studies (see Sectio</w:t>
            </w:r>
            <w:r w:rsidR="00C23D4E" w:rsidRPr="00C86E49">
              <w:t>n 10</w:t>
            </w:r>
            <w:r w:rsidRPr="00C86E49">
              <w:t>) reporting 30-day or in-hospital mortality</w:t>
            </w:r>
            <w:r w:rsidR="00D431AF" w:rsidRPr="00C86E49">
              <w:t xml:space="preserve">. </w:t>
            </w:r>
            <w:r w:rsidRPr="00C86E49">
              <w:t>Mortality risks in cycle 2 to cycle 6 are derived from the limited long-term data available from matched/adjusted studies, assuming no difference between treatment arms</w:t>
            </w:r>
            <w:r w:rsidR="00D431AF" w:rsidRPr="00C86E49">
              <w:t xml:space="preserve">. </w:t>
            </w:r>
            <w:r w:rsidRPr="00C86E49">
              <w:t>Mortality risks in cycle 7 onwards are based on age- and sex-matched general population mortality risks (</w:t>
            </w:r>
            <w:proofErr w:type="gramStart"/>
            <w:r w:rsidRPr="00C86E49">
              <w:t>i.e.</w:t>
            </w:r>
            <w:proofErr w:type="gramEnd"/>
            <w:r w:rsidR="00C23D4E" w:rsidRPr="00C86E49">
              <w:t xml:space="preserve"> </w:t>
            </w:r>
            <w:r w:rsidRPr="00C86E49">
              <w:t>lifetables).</w:t>
            </w:r>
          </w:p>
        </w:tc>
      </w:tr>
      <w:tr w:rsidR="00AC4D16" w:rsidRPr="00C86E49" w14:paraId="009CDA6F" w14:textId="77777777" w:rsidTr="000F7484">
        <w:tc>
          <w:tcPr>
            <w:tcW w:w="941" w:type="pct"/>
          </w:tcPr>
          <w:p w14:paraId="3088AF30" w14:textId="268F3E0B" w:rsidR="00AC4D16" w:rsidRPr="00C86E49" w:rsidRDefault="00B147B8" w:rsidP="0088074E">
            <w:pPr>
              <w:pStyle w:val="TableText"/>
              <w:rPr>
                <w:szCs w:val="20"/>
              </w:rPr>
            </w:pPr>
            <w:r w:rsidRPr="00C86E49">
              <w:rPr>
                <w:szCs w:val="20"/>
              </w:rPr>
              <w:t>Quality of life inputs</w:t>
            </w:r>
          </w:p>
        </w:tc>
        <w:tc>
          <w:tcPr>
            <w:tcW w:w="4059" w:type="pct"/>
          </w:tcPr>
          <w:p w14:paraId="06B59EE1" w14:textId="6696A830" w:rsidR="00AC4D16" w:rsidRPr="00C86E49" w:rsidRDefault="00B147B8" w:rsidP="0088074E">
            <w:pPr>
              <w:pStyle w:val="TableText"/>
              <w:rPr>
                <w:szCs w:val="20"/>
              </w:rPr>
            </w:pPr>
            <w:r w:rsidRPr="00C86E49">
              <w:rPr>
                <w:szCs w:val="20"/>
              </w:rPr>
              <w:t>Berger (2021)</w:t>
            </w:r>
            <w:r w:rsidR="00576276" w:rsidRPr="00C86E49">
              <w:rPr>
                <w:szCs w:val="20"/>
              </w:rPr>
              <w:t xml:space="preserve"> – patients</w:t>
            </w:r>
            <w:r w:rsidR="00BC015C" w:rsidRPr="00C86E49">
              <w:rPr>
                <w:szCs w:val="20"/>
              </w:rPr>
              <w:t xml:space="preserve"> in Germany</w:t>
            </w:r>
            <w:r w:rsidR="00576276" w:rsidRPr="00C86E49">
              <w:rPr>
                <w:szCs w:val="20"/>
              </w:rPr>
              <w:t xml:space="preserve"> </w:t>
            </w:r>
            <w:r w:rsidR="003E27B6" w:rsidRPr="00C86E49">
              <w:rPr>
                <w:szCs w:val="20"/>
              </w:rPr>
              <w:t xml:space="preserve">treated with VA-ECMO </w:t>
            </w:r>
            <w:r w:rsidR="00A74304" w:rsidRPr="00C86E49">
              <w:rPr>
                <w:szCs w:val="20"/>
              </w:rPr>
              <w:t>for</w:t>
            </w:r>
            <w:r w:rsidR="00BF1A45" w:rsidRPr="00C86E49">
              <w:rPr>
                <w:szCs w:val="20"/>
              </w:rPr>
              <w:t xml:space="preserve"> cardiogenic shock </w:t>
            </w:r>
            <w:r w:rsidR="00A74304" w:rsidRPr="00C86E49">
              <w:rPr>
                <w:szCs w:val="20"/>
              </w:rPr>
              <w:t>who underwent urgent</w:t>
            </w:r>
            <w:r w:rsidR="00576276" w:rsidRPr="00C86E49">
              <w:rPr>
                <w:szCs w:val="20"/>
              </w:rPr>
              <w:t xml:space="preserve"> LVAD</w:t>
            </w:r>
            <w:r w:rsidR="00A74304" w:rsidRPr="00C86E49">
              <w:rPr>
                <w:szCs w:val="20"/>
              </w:rPr>
              <w:t xml:space="preserve"> implantation</w:t>
            </w:r>
          </w:p>
        </w:tc>
      </w:tr>
      <w:tr w:rsidR="00AC4D16" w:rsidRPr="00C86E49" w14:paraId="0B219475" w14:textId="77777777" w:rsidTr="000F7484">
        <w:tc>
          <w:tcPr>
            <w:tcW w:w="941" w:type="pct"/>
          </w:tcPr>
          <w:p w14:paraId="263344E5" w14:textId="6B04130C" w:rsidR="00AC4D16" w:rsidRPr="00C86E49" w:rsidRDefault="00196FA9" w:rsidP="0088074E">
            <w:pPr>
              <w:pStyle w:val="TableText"/>
              <w:rPr>
                <w:szCs w:val="20"/>
              </w:rPr>
            </w:pPr>
            <w:r w:rsidRPr="00C86E49">
              <w:rPr>
                <w:szCs w:val="20"/>
              </w:rPr>
              <w:t>Cost inputs</w:t>
            </w:r>
          </w:p>
        </w:tc>
        <w:tc>
          <w:tcPr>
            <w:tcW w:w="4059" w:type="pct"/>
          </w:tcPr>
          <w:p w14:paraId="17E6C508" w14:textId="0FC1CF2E" w:rsidR="00AC4D16" w:rsidRPr="00C86E49" w:rsidRDefault="00196FA9" w:rsidP="0088074E">
            <w:pPr>
              <w:pStyle w:val="TableText"/>
              <w:rPr>
                <w:szCs w:val="20"/>
              </w:rPr>
            </w:pPr>
            <w:r w:rsidRPr="00C86E49">
              <w:t xml:space="preserve">MBS, AR-DRG (PHDB); NBPL; Alfred Hospital </w:t>
            </w:r>
            <w:r w:rsidR="00D431AF" w:rsidRPr="00C86E49">
              <w:t>(personal communication)</w:t>
            </w:r>
          </w:p>
        </w:tc>
      </w:tr>
      <w:tr w:rsidR="002C5D4D" w:rsidRPr="00C86E49" w14:paraId="0619B77B" w14:textId="65D0CC25" w:rsidTr="000F7484">
        <w:tc>
          <w:tcPr>
            <w:tcW w:w="941" w:type="pct"/>
          </w:tcPr>
          <w:p w14:paraId="3B8D14D8" w14:textId="77777777" w:rsidR="002C5D4D" w:rsidRPr="00C86E49" w:rsidRDefault="002C5D4D" w:rsidP="0088074E">
            <w:pPr>
              <w:pStyle w:val="TableText"/>
              <w:rPr>
                <w:szCs w:val="20"/>
              </w:rPr>
            </w:pPr>
            <w:r w:rsidRPr="00C86E49">
              <w:rPr>
                <w:szCs w:val="20"/>
              </w:rPr>
              <w:t>Discount rate</w:t>
            </w:r>
          </w:p>
        </w:tc>
        <w:tc>
          <w:tcPr>
            <w:tcW w:w="4059" w:type="pct"/>
          </w:tcPr>
          <w:p w14:paraId="2E657A83" w14:textId="4E681976" w:rsidR="002C5D4D" w:rsidRPr="00C86E49" w:rsidRDefault="002C5D4D" w:rsidP="0088074E">
            <w:pPr>
              <w:pStyle w:val="TableText"/>
              <w:rPr>
                <w:szCs w:val="20"/>
              </w:rPr>
            </w:pPr>
            <w:r w:rsidRPr="00C86E49">
              <w:rPr>
                <w:szCs w:val="20"/>
              </w:rPr>
              <w:t xml:space="preserve">5% for costs and </w:t>
            </w:r>
            <w:r w:rsidR="009B1B08" w:rsidRPr="00C86E49">
              <w:rPr>
                <w:szCs w:val="20"/>
              </w:rPr>
              <w:t xml:space="preserve">for </w:t>
            </w:r>
            <w:r w:rsidRPr="00C86E49">
              <w:rPr>
                <w:szCs w:val="20"/>
              </w:rPr>
              <w:t>outcomes</w:t>
            </w:r>
          </w:p>
        </w:tc>
      </w:tr>
      <w:tr w:rsidR="002C5D4D" w:rsidRPr="00C86E49" w14:paraId="507E6356" w14:textId="7BFC4306" w:rsidTr="000F7484">
        <w:tc>
          <w:tcPr>
            <w:tcW w:w="941" w:type="pct"/>
          </w:tcPr>
          <w:p w14:paraId="23A08C87" w14:textId="77777777" w:rsidR="002C5D4D" w:rsidRPr="00C86E49" w:rsidRDefault="002C5D4D" w:rsidP="0088074E">
            <w:pPr>
              <w:pStyle w:val="TableText"/>
              <w:rPr>
                <w:szCs w:val="20"/>
              </w:rPr>
            </w:pPr>
            <w:r w:rsidRPr="00C86E49">
              <w:rPr>
                <w:szCs w:val="20"/>
              </w:rPr>
              <w:t>Software</w:t>
            </w:r>
          </w:p>
        </w:tc>
        <w:tc>
          <w:tcPr>
            <w:tcW w:w="4059" w:type="pct"/>
          </w:tcPr>
          <w:p w14:paraId="613BDC46" w14:textId="193D9208" w:rsidR="002C5D4D" w:rsidRPr="00C86E49" w:rsidRDefault="002C5D4D" w:rsidP="0088074E">
            <w:pPr>
              <w:pStyle w:val="TableText"/>
              <w:rPr>
                <w:szCs w:val="20"/>
              </w:rPr>
            </w:pPr>
            <w:r w:rsidRPr="00C86E49">
              <w:rPr>
                <w:szCs w:val="20"/>
              </w:rPr>
              <w:t>Excel</w:t>
            </w:r>
          </w:p>
        </w:tc>
      </w:tr>
    </w:tbl>
    <w:bookmarkEnd w:id="41"/>
    <w:p w14:paraId="5AFE33E6" w14:textId="5FD62674" w:rsidR="00B77E61" w:rsidRPr="00C86E49" w:rsidRDefault="00DE50DE" w:rsidP="00D86EA0">
      <w:pPr>
        <w:pStyle w:val="TableFigureFooter"/>
      </w:pPr>
      <w:r w:rsidRPr="00C86E49">
        <w:t>AR-DRG = Australian-Refined Diagnosis Related Group</w:t>
      </w:r>
      <w:r w:rsidR="00323B08" w:rsidRPr="00C86E49">
        <w:t>s</w:t>
      </w:r>
      <w:r w:rsidRPr="00C86E49">
        <w:t xml:space="preserve">; </w:t>
      </w:r>
      <w:r w:rsidR="00B77E61" w:rsidRPr="00C86E49">
        <w:t>MBS</w:t>
      </w:r>
      <w:r w:rsidR="00740062" w:rsidRPr="00C86E49">
        <w:t xml:space="preserve"> = </w:t>
      </w:r>
      <w:r w:rsidR="00B77E61" w:rsidRPr="00C86E49">
        <w:t>Medicare Benefits Schedule; NBPL</w:t>
      </w:r>
      <w:r w:rsidR="00740062" w:rsidRPr="00C86E49">
        <w:t xml:space="preserve"> = </w:t>
      </w:r>
      <w:r w:rsidR="00B77E61" w:rsidRPr="00C86E49">
        <w:t>National Blood Products List; PHDB</w:t>
      </w:r>
      <w:r w:rsidR="00740062" w:rsidRPr="00C86E49">
        <w:t xml:space="preserve"> = </w:t>
      </w:r>
      <w:r w:rsidR="00B77E61" w:rsidRPr="00C86E49">
        <w:t>Private Hospitals Data Bureau; QALY</w:t>
      </w:r>
      <w:r w:rsidR="00740062" w:rsidRPr="00C86E49">
        <w:t xml:space="preserve"> = </w:t>
      </w:r>
      <w:r w:rsidR="00B77E61" w:rsidRPr="00C86E49">
        <w:t>quality</w:t>
      </w:r>
      <w:r w:rsidR="00EA7499" w:rsidRPr="00C86E49">
        <w:t>-</w:t>
      </w:r>
      <w:r w:rsidR="00B77E61" w:rsidRPr="00C86E49">
        <w:t>adjusted life years; VA-ECMO, veno-arterial extracorporeal membrane oxygenation.</w:t>
      </w:r>
    </w:p>
    <w:p w14:paraId="39D95843" w14:textId="7268C63F" w:rsidR="00B365FA" w:rsidRPr="00C86E49" w:rsidRDefault="00B365FA" w:rsidP="00D86EA0">
      <w:pPr>
        <w:pStyle w:val="TableFigureFooter"/>
      </w:pPr>
      <w:r w:rsidRPr="00C86E49">
        <w:t>Source: Table 63 of MSAC 1523.1 ADAR+in-line commentary</w:t>
      </w:r>
      <w:r w:rsidR="00827C73" w:rsidRPr="00C86E49">
        <w:t>, with commentary additions</w:t>
      </w:r>
    </w:p>
    <w:p w14:paraId="6DA32564" w14:textId="0C21A25A" w:rsidR="004E0A58" w:rsidRPr="00C86E49" w:rsidRDefault="004B3EF6" w:rsidP="007E1987">
      <w:r w:rsidRPr="00C86E49">
        <w:t>All costs applied in the model</w:t>
      </w:r>
      <w:r w:rsidR="00D03DEF" w:rsidRPr="00C86E49">
        <w:t>s we</w:t>
      </w:r>
      <w:r w:rsidRPr="00C86E49">
        <w:t>re accumulated as a part of the initial hospitalisation</w:t>
      </w:r>
      <w:r w:rsidR="00E70A1B" w:rsidRPr="00C86E49">
        <w:t xml:space="preserve">. </w:t>
      </w:r>
      <w:r w:rsidR="00D03DEF" w:rsidRPr="00C86E49">
        <w:t>T</w:t>
      </w:r>
      <w:r w:rsidR="004E0A58" w:rsidRPr="00C86E49">
        <w:t>he model</w:t>
      </w:r>
      <w:r w:rsidR="00D03DEF" w:rsidRPr="00C86E49">
        <w:t>s</w:t>
      </w:r>
      <w:r w:rsidR="004E0A58" w:rsidRPr="00C86E49">
        <w:t xml:space="preserve"> include</w:t>
      </w:r>
      <w:r w:rsidR="00D03DEF" w:rsidRPr="00C86E49">
        <w:t>d</w:t>
      </w:r>
      <w:r w:rsidR="004E0A58" w:rsidRPr="00C86E49">
        <w:t xml:space="preserve"> a lump sum cost in cycle one to account for differences in safety </w:t>
      </w:r>
      <w:r w:rsidR="00D03DEF" w:rsidRPr="00C86E49">
        <w:t>(incidence of bleeding</w:t>
      </w:r>
      <w:r w:rsidR="005A602D" w:rsidRPr="00C86E49">
        <w:t xml:space="preserve"> event</w:t>
      </w:r>
      <w:r w:rsidR="00D03DEF" w:rsidRPr="00C86E49">
        <w:t xml:space="preserve">s requiring transfusion) </w:t>
      </w:r>
      <w:r w:rsidR="004E0A58" w:rsidRPr="00C86E49">
        <w:t>between the treatments.</w:t>
      </w:r>
    </w:p>
    <w:p w14:paraId="06F923D2" w14:textId="70CD1AD9" w:rsidR="006A0B86" w:rsidRPr="00C86E49" w:rsidRDefault="00EB256F" w:rsidP="007E1987">
      <w:r w:rsidRPr="00C86E49">
        <w:t>Based on</w:t>
      </w:r>
      <w:r w:rsidR="002D48F5" w:rsidRPr="00C86E49">
        <w:t xml:space="preserve"> </w:t>
      </w:r>
      <w:r w:rsidRPr="00C86E49">
        <w:t>the limited procedural information provided</w:t>
      </w:r>
      <w:r w:rsidR="000949B9" w:rsidRPr="00C86E49">
        <w:t xml:space="preserve"> </w:t>
      </w:r>
      <w:r w:rsidR="00F3026D" w:rsidRPr="00C86E49">
        <w:t xml:space="preserve">in the </w:t>
      </w:r>
      <w:r w:rsidRPr="00C86E49">
        <w:t>matched studies, t</w:t>
      </w:r>
      <w:r w:rsidR="006A0B86" w:rsidRPr="00C86E49">
        <w:t xml:space="preserve">he </w:t>
      </w:r>
      <w:r w:rsidR="00AD5E9C" w:rsidRPr="00C86E49">
        <w:t xml:space="preserve">base case </w:t>
      </w:r>
      <w:r w:rsidR="006A0B86" w:rsidRPr="00C86E49">
        <w:t>models assume</w:t>
      </w:r>
      <w:r w:rsidR="00456811" w:rsidRPr="00C86E49">
        <w:t>d</w:t>
      </w:r>
      <w:r w:rsidR="006A0B86" w:rsidRPr="00C86E49">
        <w:t xml:space="preserve"> </w:t>
      </w:r>
      <w:r w:rsidR="00220389" w:rsidRPr="00C86E49">
        <w:t xml:space="preserve">the same </w:t>
      </w:r>
      <w:r w:rsidR="003E1377" w:rsidRPr="00C86E49">
        <w:t xml:space="preserve">5-day duration of MCS for </w:t>
      </w:r>
      <w:r w:rsidR="00582917" w:rsidRPr="00C86E49">
        <w:t>the intervention and comparator.</w:t>
      </w:r>
      <w:r w:rsidR="002D48F5" w:rsidRPr="00C86E49">
        <w:t xml:space="preserve"> Likewise</w:t>
      </w:r>
      <w:r w:rsidRPr="00C86E49">
        <w:t>,</w:t>
      </w:r>
      <w:r w:rsidR="002D48F5" w:rsidRPr="00C86E49">
        <w:t xml:space="preserve"> the hospital length of stay </w:t>
      </w:r>
      <w:r w:rsidR="00456811" w:rsidRPr="00C86E49">
        <w:t>was</w:t>
      </w:r>
      <w:r w:rsidR="002D48F5" w:rsidRPr="00C86E49">
        <w:t xml:space="preserve"> assumed </w:t>
      </w:r>
      <w:r w:rsidR="00AD5E9C" w:rsidRPr="00C86E49">
        <w:t xml:space="preserve">to be the same for the intervention and comparator (11 days for </w:t>
      </w:r>
      <w:r w:rsidR="00DD02C0" w:rsidRPr="00C86E49">
        <w:t>Population 1 and 14 days for Population 2).</w:t>
      </w:r>
      <w:r w:rsidR="00456811" w:rsidRPr="00C86E49">
        <w:t xml:space="preserve"> </w:t>
      </w:r>
    </w:p>
    <w:p w14:paraId="164F2EC7" w14:textId="5CDCCCE0" w:rsidR="00566C56" w:rsidRPr="00C86E49" w:rsidRDefault="00456811" w:rsidP="007E1987">
      <w:r w:rsidRPr="00C86E49">
        <w:t xml:space="preserve">The results of the stepped </w:t>
      </w:r>
      <w:r w:rsidR="00F55B06" w:rsidRPr="00C86E49">
        <w:t>economic analysis</w:t>
      </w:r>
      <w:r w:rsidR="00CD26FF" w:rsidRPr="00C86E49">
        <w:t xml:space="preserve"> for IMPELLA versus VA-ECMO </w:t>
      </w:r>
      <w:r w:rsidR="002E0D58" w:rsidRPr="00C86E49">
        <w:t xml:space="preserve">are presented in </w:t>
      </w:r>
      <w:r w:rsidR="002E0D58" w:rsidRPr="00C86E49">
        <w:rPr>
          <w:color w:val="2B579A"/>
          <w:shd w:val="clear" w:color="auto" w:fill="E6E6E6"/>
        </w:rPr>
        <w:fldChar w:fldCharType="begin"/>
      </w:r>
      <w:r w:rsidR="002E0D58" w:rsidRPr="00C86E49">
        <w:instrText xml:space="preserve"> REF _Ref69725870 \h </w:instrText>
      </w:r>
      <w:r w:rsidR="00C86E49">
        <w:rPr>
          <w:color w:val="2B579A"/>
          <w:shd w:val="clear" w:color="auto" w:fill="E6E6E6"/>
        </w:rPr>
        <w:instrText xml:space="preserve"> \* MERGEFORMAT </w:instrText>
      </w:r>
      <w:r w:rsidR="002E0D58" w:rsidRPr="00C86E49">
        <w:rPr>
          <w:color w:val="2B579A"/>
          <w:shd w:val="clear" w:color="auto" w:fill="E6E6E6"/>
        </w:rPr>
      </w:r>
      <w:r w:rsidR="002E0D58" w:rsidRPr="00C86E49">
        <w:rPr>
          <w:color w:val="2B579A"/>
          <w:shd w:val="clear" w:color="auto" w:fill="E6E6E6"/>
        </w:rPr>
        <w:fldChar w:fldCharType="separate"/>
      </w:r>
      <w:r w:rsidR="00EF3514" w:rsidRPr="00C86E49">
        <w:t>Table </w:t>
      </w:r>
      <w:r w:rsidR="00EF3514" w:rsidRPr="00C86E49">
        <w:rPr>
          <w:noProof/>
        </w:rPr>
        <w:t>14</w:t>
      </w:r>
      <w:r w:rsidR="002E0D58" w:rsidRPr="00C86E49">
        <w:rPr>
          <w:color w:val="2B579A"/>
          <w:shd w:val="clear" w:color="auto" w:fill="E6E6E6"/>
        </w:rPr>
        <w:fldChar w:fldCharType="end"/>
      </w:r>
      <w:r w:rsidR="002E0D58" w:rsidRPr="00C86E49">
        <w:t xml:space="preserve">. </w:t>
      </w:r>
    </w:p>
    <w:p w14:paraId="3650A475" w14:textId="2670725E" w:rsidR="00FC5603" w:rsidRPr="00C86E49" w:rsidRDefault="00FC5603" w:rsidP="00FC5603">
      <w:pPr>
        <w:pStyle w:val="Caption"/>
      </w:pPr>
      <w:bookmarkStart w:id="42" w:name="_Ref69725870"/>
      <w:r w:rsidRPr="00C86E49">
        <w:t>Table</w:t>
      </w:r>
      <w:r w:rsidR="004A4FDF" w:rsidRPr="00C86E49">
        <w:t> </w:t>
      </w:r>
      <w:r w:rsidRPr="00C86E49">
        <w:rPr>
          <w:color w:val="2B579A"/>
          <w:shd w:val="clear" w:color="auto" w:fill="E6E6E6"/>
        </w:rPr>
        <w:fldChar w:fldCharType="begin"/>
      </w:r>
      <w:r w:rsidRPr="00C86E49">
        <w:rPr>
          <w:noProof/>
        </w:rPr>
        <w:instrText xml:space="preserve"> SEQ Table \* ARABIC </w:instrText>
      </w:r>
      <w:r w:rsidRPr="00C86E49">
        <w:rPr>
          <w:color w:val="2B579A"/>
          <w:shd w:val="clear" w:color="auto" w:fill="E6E6E6"/>
        </w:rPr>
        <w:fldChar w:fldCharType="separate"/>
      </w:r>
      <w:r w:rsidR="00EF3514" w:rsidRPr="00C86E49">
        <w:rPr>
          <w:noProof/>
        </w:rPr>
        <w:t>14</w:t>
      </w:r>
      <w:r w:rsidRPr="00C86E49">
        <w:rPr>
          <w:color w:val="2B579A"/>
          <w:shd w:val="clear" w:color="auto" w:fill="E6E6E6"/>
        </w:rPr>
        <w:fldChar w:fldCharType="end"/>
      </w:r>
      <w:bookmarkEnd w:id="42"/>
      <w:r w:rsidRPr="00C86E49">
        <w:t xml:space="preserve"> </w:t>
      </w:r>
      <w:r w:rsidR="004A7CFD" w:rsidRPr="00C86E49">
        <w:tab/>
      </w:r>
      <w:r w:rsidRPr="00C86E49">
        <w:t>Results of the stepped economic analysis</w:t>
      </w:r>
      <w:r w:rsidR="0031106D" w:rsidRPr="00C86E49">
        <w:t xml:space="preserve">: </w:t>
      </w:r>
      <w:r w:rsidR="00665564" w:rsidRPr="00C86E49">
        <w:t>IMPELLA versus VA-ECMO</w:t>
      </w:r>
    </w:p>
    <w:tbl>
      <w:tblPr>
        <w:tblStyle w:val="TableGrid1"/>
        <w:tblW w:w="5000" w:type="pct"/>
        <w:tblLayout w:type="fixed"/>
        <w:tblLook w:val="04A0" w:firstRow="1" w:lastRow="0" w:firstColumn="1" w:lastColumn="0" w:noHBand="0" w:noVBand="1"/>
        <w:tblCaption w:val="Results of the stepped economic analyses: IMPELLA versus VA-ECMO"/>
        <w:tblDescription w:val="This table shows the results of the stepped economic analysis."/>
      </w:tblPr>
      <w:tblGrid>
        <w:gridCol w:w="3115"/>
        <w:gridCol w:w="1417"/>
        <w:gridCol w:w="1417"/>
        <w:gridCol w:w="1417"/>
        <w:gridCol w:w="1650"/>
      </w:tblGrid>
      <w:tr w:rsidR="00B33C09" w:rsidRPr="00C86E49" w14:paraId="74A67C2B" w14:textId="77777777" w:rsidTr="00B33C09">
        <w:trPr>
          <w:cnfStyle w:val="100000000000" w:firstRow="1" w:lastRow="0" w:firstColumn="0" w:lastColumn="0" w:oddVBand="0" w:evenVBand="0" w:oddHBand="0" w:evenHBand="0" w:firstRowFirstColumn="0" w:firstRowLastColumn="0" w:lastRowFirstColumn="0" w:lastRowLastColumn="0"/>
          <w:cantSplit/>
          <w:trHeight w:val="300"/>
          <w:tblHeader/>
        </w:trPr>
        <w:tc>
          <w:tcPr>
            <w:tcW w:w="1727" w:type="pct"/>
            <w:tcBorders>
              <w:bottom w:val="single" w:sz="4" w:space="0" w:color="auto"/>
            </w:tcBorders>
            <w:noWrap/>
            <w:tcMar>
              <w:left w:w="85" w:type="dxa"/>
              <w:right w:w="85" w:type="dxa"/>
            </w:tcMar>
            <w:hideMark/>
          </w:tcPr>
          <w:p w14:paraId="69924570" w14:textId="4A3FE106" w:rsidR="00B33C09" w:rsidRPr="00C86E49" w:rsidRDefault="00B33C09" w:rsidP="005D2304">
            <w:pPr>
              <w:pStyle w:val="TableHeading"/>
            </w:pPr>
            <w:bookmarkStart w:id="43" w:name="Title_Table6"/>
            <w:bookmarkStart w:id="44" w:name="_Hlk68276518"/>
            <w:bookmarkEnd w:id="43"/>
            <w:r w:rsidRPr="00C86E49">
              <w:t>Step</w:t>
            </w:r>
          </w:p>
        </w:tc>
        <w:tc>
          <w:tcPr>
            <w:tcW w:w="786" w:type="pct"/>
            <w:tcBorders>
              <w:bottom w:val="single" w:sz="4" w:space="0" w:color="auto"/>
            </w:tcBorders>
            <w:tcMar>
              <w:left w:w="85" w:type="dxa"/>
              <w:right w:w="85" w:type="dxa"/>
            </w:tcMar>
          </w:tcPr>
          <w:p w14:paraId="2A986FAA" w14:textId="3BBCD039" w:rsidR="00B33C09" w:rsidRPr="00C86E49" w:rsidRDefault="00B33C09" w:rsidP="00AC3721">
            <w:pPr>
              <w:pStyle w:val="TableHeading"/>
              <w:jc w:val="center"/>
            </w:pPr>
            <w:r w:rsidRPr="00C86E49">
              <w:t>IMPELLA</w:t>
            </w:r>
          </w:p>
        </w:tc>
        <w:tc>
          <w:tcPr>
            <w:tcW w:w="786" w:type="pct"/>
            <w:tcBorders>
              <w:bottom w:val="single" w:sz="4" w:space="0" w:color="auto"/>
            </w:tcBorders>
            <w:noWrap/>
            <w:tcMar>
              <w:left w:w="85" w:type="dxa"/>
              <w:right w:w="85" w:type="dxa"/>
            </w:tcMar>
          </w:tcPr>
          <w:p w14:paraId="2B7EDBFD" w14:textId="6B038DB7" w:rsidR="00B33C09" w:rsidRPr="00C86E49" w:rsidRDefault="00B33C09" w:rsidP="00AC3721">
            <w:pPr>
              <w:pStyle w:val="TableHeading"/>
              <w:jc w:val="center"/>
            </w:pPr>
            <w:r w:rsidRPr="00C86E49">
              <w:t>VA-ECMO</w:t>
            </w:r>
          </w:p>
        </w:tc>
        <w:tc>
          <w:tcPr>
            <w:tcW w:w="786" w:type="pct"/>
            <w:tcBorders>
              <w:bottom w:val="single" w:sz="4" w:space="0" w:color="auto"/>
            </w:tcBorders>
            <w:noWrap/>
            <w:tcMar>
              <w:left w:w="85" w:type="dxa"/>
              <w:right w:w="85" w:type="dxa"/>
            </w:tcMar>
            <w:hideMark/>
          </w:tcPr>
          <w:p w14:paraId="381A89D4" w14:textId="6A354BA9" w:rsidR="00B33C09" w:rsidRPr="00C86E49" w:rsidRDefault="00B33C09" w:rsidP="00AC3721">
            <w:pPr>
              <w:pStyle w:val="TableHeading"/>
              <w:jc w:val="center"/>
            </w:pPr>
            <w:r w:rsidRPr="00C86E49">
              <w:t>Increment</w:t>
            </w:r>
          </w:p>
        </w:tc>
        <w:tc>
          <w:tcPr>
            <w:tcW w:w="915" w:type="pct"/>
            <w:tcMar>
              <w:left w:w="85" w:type="dxa"/>
              <w:right w:w="85" w:type="dxa"/>
            </w:tcMar>
          </w:tcPr>
          <w:p w14:paraId="6D2662BA" w14:textId="77777777" w:rsidR="00B33C09" w:rsidRPr="00C86E49" w:rsidRDefault="00B33C09" w:rsidP="00AC3721">
            <w:pPr>
              <w:pStyle w:val="TableHeading"/>
              <w:jc w:val="center"/>
            </w:pPr>
            <w:r w:rsidRPr="00C86E49">
              <w:t>ICER</w:t>
            </w:r>
          </w:p>
        </w:tc>
      </w:tr>
      <w:tr w:rsidR="00B33C09" w:rsidRPr="00C86E49" w14:paraId="68424E2E" w14:textId="77777777" w:rsidTr="00B33C09">
        <w:trPr>
          <w:cantSplit/>
          <w:trHeight w:val="300"/>
        </w:trPr>
        <w:tc>
          <w:tcPr>
            <w:tcW w:w="1727" w:type="pct"/>
            <w:tcBorders>
              <w:top w:val="single" w:sz="4" w:space="0" w:color="auto"/>
              <w:right w:val="nil"/>
            </w:tcBorders>
            <w:noWrap/>
            <w:tcMar>
              <w:left w:w="85" w:type="dxa"/>
              <w:right w:w="85" w:type="dxa"/>
            </w:tcMar>
          </w:tcPr>
          <w:p w14:paraId="0DB0D7FD" w14:textId="444575C0" w:rsidR="00B33C09" w:rsidRPr="00C86E49" w:rsidRDefault="00B33C09" w:rsidP="00B33C09">
            <w:pPr>
              <w:pStyle w:val="TableText"/>
              <w:keepNext/>
            </w:pPr>
            <w:r w:rsidRPr="00C86E49">
              <w:t>Step 1: Matched/ adjusted study-based analysis</w:t>
            </w:r>
          </w:p>
        </w:tc>
        <w:tc>
          <w:tcPr>
            <w:tcW w:w="786" w:type="pct"/>
            <w:tcBorders>
              <w:top w:val="single" w:sz="4" w:space="0" w:color="auto"/>
              <w:left w:val="nil"/>
              <w:right w:val="nil"/>
            </w:tcBorders>
            <w:tcMar>
              <w:left w:w="85" w:type="dxa"/>
              <w:right w:w="85" w:type="dxa"/>
            </w:tcMar>
          </w:tcPr>
          <w:p w14:paraId="545AB65D" w14:textId="77777777" w:rsidR="00B33C09" w:rsidRPr="00C86E49" w:rsidRDefault="00B33C09" w:rsidP="00B33C09">
            <w:pPr>
              <w:pStyle w:val="TableText"/>
              <w:keepNext/>
              <w:jc w:val="center"/>
            </w:pPr>
          </w:p>
        </w:tc>
        <w:tc>
          <w:tcPr>
            <w:tcW w:w="786" w:type="pct"/>
            <w:tcBorders>
              <w:top w:val="single" w:sz="4" w:space="0" w:color="auto"/>
              <w:left w:val="nil"/>
              <w:right w:val="nil"/>
            </w:tcBorders>
            <w:noWrap/>
            <w:tcMar>
              <w:left w:w="85" w:type="dxa"/>
              <w:right w:w="85" w:type="dxa"/>
            </w:tcMar>
          </w:tcPr>
          <w:p w14:paraId="3712E321" w14:textId="77777777" w:rsidR="00B33C09" w:rsidRPr="00C86E49" w:rsidRDefault="00B33C09" w:rsidP="00B33C09">
            <w:pPr>
              <w:pStyle w:val="TableText"/>
              <w:keepNext/>
              <w:jc w:val="center"/>
            </w:pPr>
          </w:p>
        </w:tc>
        <w:tc>
          <w:tcPr>
            <w:tcW w:w="786" w:type="pct"/>
            <w:tcBorders>
              <w:top w:val="single" w:sz="4" w:space="0" w:color="auto"/>
              <w:left w:val="nil"/>
              <w:right w:val="nil"/>
            </w:tcBorders>
            <w:noWrap/>
            <w:tcMar>
              <w:left w:w="85" w:type="dxa"/>
              <w:right w:w="85" w:type="dxa"/>
            </w:tcMar>
          </w:tcPr>
          <w:p w14:paraId="208CB810" w14:textId="77777777" w:rsidR="00B33C09" w:rsidRPr="00C86E49" w:rsidRDefault="00B33C09" w:rsidP="00B33C09">
            <w:pPr>
              <w:pStyle w:val="TableText"/>
              <w:keepNext/>
              <w:jc w:val="center"/>
            </w:pPr>
          </w:p>
        </w:tc>
        <w:tc>
          <w:tcPr>
            <w:tcW w:w="915" w:type="pct"/>
            <w:tcBorders>
              <w:top w:val="nil"/>
              <w:left w:val="nil"/>
              <w:bottom w:val="single" w:sz="4" w:space="0" w:color="auto"/>
            </w:tcBorders>
            <w:tcMar>
              <w:left w:w="85" w:type="dxa"/>
              <w:right w:w="85" w:type="dxa"/>
            </w:tcMar>
          </w:tcPr>
          <w:p w14:paraId="517DF58F" w14:textId="77777777" w:rsidR="00B33C09" w:rsidRPr="00C86E49" w:rsidRDefault="00B33C09" w:rsidP="00B33C09">
            <w:pPr>
              <w:pStyle w:val="TableText"/>
              <w:keepNext/>
              <w:jc w:val="center"/>
            </w:pPr>
          </w:p>
        </w:tc>
      </w:tr>
      <w:tr w:rsidR="00B33C09" w:rsidRPr="00C86E49" w14:paraId="292448CE" w14:textId="77777777" w:rsidTr="00B33C09">
        <w:trPr>
          <w:cantSplit/>
          <w:trHeight w:val="300"/>
        </w:trPr>
        <w:tc>
          <w:tcPr>
            <w:tcW w:w="1727" w:type="pct"/>
            <w:tcBorders>
              <w:top w:val="nil"/>
            </w:tcBorders>
            <w:noWrap/>
            <w:tcMar>
              <w:left w:w="85" w:type="dxa"/>
              <w:right w:w="85" w:type="dxa"/>
            </w:tcMar>
          </w:tcPr>
          <w:p w14:paraId="27C4E49E" w14:textId="5848ACA9" w:rsidR="00B33C09" w:rsidRPr="00C86E49" w:rsidRDefault="00B33C09" w:rsidP="00FC0F28">
            <w:pPr>
              <w:pStyle w:val="TableText"/>
            </w:pPr>
            <w:r w:rsidRPr="00C86E49">
              <w:t>Costs</w:t>
            </w:r>
          </w:p>
        </w:tc>
        <w:tc>
          <w:tcPr>
            <w:tcW w:w="786" w:type="pct"/>
            <w:tcBorders>
              <w:top w:val="nil"/>
            </w:tcBorders>
            <w:tcMar>
              <w:left w:w="85" w:type="dxa"/>
              <w:right w:w="85" w:type="dxa"/>
            </w:tcMar>
          </w:tcPr>
          <w:p w14:paraId="71681E8A" w14:textId="624FB419" w:rsidR="00B33C09" w:rsidRPr="00375AEF" w:rsidRDefault="00B33C09" w:rsidP="00AC3721">
            <w:pPr>
              <w:pStyle w:val="TableText"/>
              <w:jc w:val="center"/>
            </w:pPr>
            <w:r w:rsidRPr="00375AEF">
              <w:t>$</w:t>
            </w:r>
            <w:r w:rsidR="00151B52" w:rsidRPr="00375AEF">
              <w:rPr>
                <w:b/>
                <w:bCs/>
              </w:rPr>
              <w:t>redacted</w:t>
            </w:r>
          </w:p>
        </w:tc>
        <w:tc>
          <w:tcPr>
            <w:tcW w:w="786" w:type="pct"/>
            <w:tcBorders>
              <w:top w:val="nil"/>
            </w:tcBorders>
            <w:noWrap/>
            <w:tcMar>
              <w:left w:w="85" w:type="dxa"/>
              <w:right w:w="85" w:type="dxa"/>
            </w:tcMar>
          </w:tcPr>
          <w:p w14:paraId="47833E77" w14:textId="5F3E8BF2" w:rsidR="00B33C09" w:rsidRPr="00C86E49" w:rsidRDefault="00B33C09" w:rsidP="00AC3721">
            <w:pPr>
              <w:pStyle w:val="TableText"/>
              <w:jc w:val="center"/>
            </w:pPr>
            <w:r w:rsidRPr="00C86E49">
              <w:t>$54,302</w:t>
            </w:r>
          </w:p>
        </w:tc>
        <w:tc>
          <w:tcPr>
            <w:tcW w:w="786" w:type="pct"/>
            <w:tcBorders>
              <w:top w:val="nil"/>
            </w:tcBorders>
            <w:noWrap/>
            <w:tcMar>
              <w:left w:w="85" w:type="dxa"/>
              <w:right w:w="85" w:type="dxa"/>
            </w:tcMar>
          </w:tcPr>
          <w:p w14:paraId="503762C1" w14:textId="26BD034B" w:rsidR="00B33C09" w:rsidRPr="00375AEF" w:rsidRDefault="00B33C09" w:rsidP="00AC3721">
            <w:pPr>
              <w:pStyle w:val="TableText"/>
              <w:jc w:val="center"/>
            </w:pPr>
            <w:r w:rsidRPr="00375AEF">
              <w:t>$</w:t>
            </w:r>
            <w:r w:rsidR="00151B52" w:rsidRPr="00375AEF">
              <w:rPr>
                <w:b/>
                <w:bCs/>
              </w:rPr>
              <w:t>redacted</w:t>
            </w:r>
          </w:p>
        </w:tc>
        <w:tc>
          <w:tcPr>
            <w:tcW w:w="915" w:type="pct"/>
            <w:tcBorders>
              <w:top w:val="single" w:sz="4" w:space="0" w:color="auto"/>
              <w:bottom w:val="nil"/>
            </w:tcBorders>
            <w:tcMar>
              <w:left w:w="85" w:type="dxa"/>
              <w:right w:w="85" w:type="dxa"/>
            </w:tcMar>
          </w:tcPr>
          <w:p w14:paraId="77D45DED" w14:textId="3C34106A" w:rsidR="00B33C09" w:rsidRPr="00375AEF" w:rsidRDefault="00B33C09" w:rsidP="00AC3721">
            <w:pPr>
              <w:pStyle w:val="TableText"/>
              <w:jc w:val="center"/>
            </w:pPr>
            <w:r w:rsidRPr="00375AEF">
              <w:t>$</w:t>
            </w:r>
            <w:r w:rsidR="00151B52" w:rsidRPr="00375AEF">
              <w:rPr>
                <w:b/>
                <w:bCs/>
              </w:rPr>
              <w:t>redacted</w:t>
            </w:r>
          </w:p>
        </w:tc>
      </w:tr>
      <w:tr w:rsidR="00B33C09" w:rsidRPr="00C86E49" w14:paraId="1556D7B6" w14:textId="77777777" w:rsidTr="00B33C09">
        <w:trPr>
          <w:cantSplit/>
          <w:trHeight w:val="300"/>
        </w:trPr>
        <w:tc>
          <w:tcPr>
            <w:tcW w:w="1727" w:type="pct"/>
            <w:tcBorders>
              <w:top w:val="nil"/>
              <w:bottom w:val="single" w:sz="4" w:space="0" w:color="auto"/>
            </w:tcBorders>
            <w:noWrap/>
            <w:tcMar>
              <w:left w:w="85" w:type="dxa"/>
              <w:right w:w="85" w:type="dxa"/>
            </w:tcMar>
          </w:tcPr>
          <w:p w14:paraId="76B00F1E" w14:textId="54737330" w:rsidR="00B33C09" w:rsidRPr="00C86E49" w:rsidRDefault="00B33C09" w:rsidP="00FC0F28">
            <w:pPr>
              <w:pStyle w:val="TableText"/>
            </w:pPr>
            <w:r w:rsidRPr="00C86E49">
              <w:t>Outcomes (% alive at 30 days/ hospital discharge)</w:t>
            </w:r>
          </w:p>
        </w:tc>
        <w:tc>
          <w:tcPr>
            <w:tcW w:w="786" w:type="pct"/>
            <w:tcBorders>
              <w:top w:val="nil"/>
              <w:bottom w:val="single" w:sz="4" w:space="0" w:color="auto"/>
            </w:tcBorders>
            <w:tcMar>
              <w:left w:w="85" w:type="dxa"/>
              <w:right w:w="85" w:type="dxa"/>
            </w:tcMar>
          </w:tcPr>
          <w:p w14:paraId="5B40F77F" w14:textId="58FBD166" w:rsidR="00B33C09" w:rsidRPr="00C86E49" w:rsidRDefault="00FF4D9A" w:rsidP="00AC3721">
            <w:pPr>
              <w:pStyle w:val="TableText"/>
              <w:jc w:val="center"/>
            </w:pPr>
            <w:r w:rsidRPr="00C86E49">
              <w:t>58.1</w:t>
            </w:r>
            <w:r w:rsidR="00B33C09" w:rsidRPr="00C86E49">
              <w:t>%</w:t>
            </w:r>
          </w:p>
        </w:tc>
        <w:tc>
          <w:tcPr>
            <w:tcW w:w="786" w:type="pct"/>
            <w:tcBorders>
              <w:top w:val="nil"/>
              <w:bottom w:val="single" w:sz="4" w:space="0" w:color="auto"/>
            </w:tcBorders>
            <w:noWrap/>
            <w:tcMar>
              <w:left w:w="85" w:type="dxa"/>
              <w:right w:w="85" w:type="dxa"/>
            </w:tcMar>
          </w:tcPr>
          <w:p w14:paraId="666397E1" w14:textId="4F9D0ADF" w:rsidR="00B33C09" w:rsidRPr="00C86E49" w:rsidRDefault="00926119" w:rsidP="00AC3721">
            <w:pPr>
              <w:pStyle w:val="TableText"/>
              <w:jc w:val="center"/>
            </w:pPr>
            <w:r w:rsidRPr="00C86E49">
              <w:t>44.1</w:t>
            </w:r>
            <w:r w:rsidR="00B33C09" w:rsidRPr="00C86E49">
              <w:t>%</w:t>
            </w:r>
          </w:p>
        </w:tc>
        <w:tc>
          <w:tcPr>
            <w:tcW w:w="786" w:type="pct"/>
            <w:tcBorders>
              <w:top w:val="nil"/>
              <w:bottom w:val="single" w:sz="4" w:space="0" w:color="auto"/>
            </w:tcBorders>
            <w:noWrap/>
            <w:tcMar>
              <w:left w:w="85" w:type="dxa"/>
              <w:right w:w="85" w:type="dxa"/>
            </w:tcMar>
          </w:tcPr>
          <w:p w14:paraId="7AC13E98" w14:textId="63A98694" w:rsidR="00B33C09" w:rsidRPr="00C86E49" w:rsidRDefault="00B33C09" w:rsidP="00AC3721">
            <w:pPr>
              <w:pStyle w:val="TableText"/>
              <w:jc w:val="center"/>
            </w:pPr>
            <w:r w:rsidRPr="00C86E49">
              <w:t>14.0%</w:t>
            </w:r>
          </w:p>
        </w:tc>
        <w:tc>
          <w:tcPr>
            <w:tcW w:w="915" w:type="pct"/>
            <w:tcBorders>
              <w:top w:val="nil"/>
            </w:tcBorders>
            <w:tcMar>
              <w:left w:w="85" w:type="dxa"/>
              <w:right w:w="85" w:type="dxa"/>
            </w:tcMar>
          </w:tcPr>
          <w:p w14:paraId="628B4EB1" w14:textId="507FB37B" w:rsidR="00B33C09" w:rsidRPr="00C86E49" w:rsidRDefault="00B33C09" w:rsidP="00AC3721">
            <w:pPr>
              <w:pStyle w:val="TableText"/>
              <w:jc w:val="center"/>
            </w:pPr>
            <w:r w:rsidRPr="00C86E49">
              <w:t>per patient alive at 30 days/ hospital discharge</w:t>
            </w:r>
          </w:p>
        </w:tc>
      </w:tr>
      <w:tr w:rsidR="00B33C09" w:rsidRPr="00C86E49" w14:paraId="480FF45E" w14:textId="77777777" w:rsidTr="00B33C09">
        <w:trPr>
          <w:cantSplit/>
          <w:trHeight w:val="300"/>
        </w:trPr>
        <w:tc>
          <w:tcPr>
            <w:tcW w:w="1727" w:type="pct"/>
            <w:tcBorders>
              <w:top w:val="single" w:sz="4" w:space="0" w:color="auto"/>
              <w:right w:val="nil"/>
            </w:tcBorders>
            <w:noWrap/>
            <w:tcMar>
              <w:left w:w="85" w:type="dxa"/>
              <w:right w:w="85" w:type="dxa"/>
            </w:tcMar>
          </w:tcPr>
          <w:p w14:paraId="16E175C5" w14:textId="0F6517DF" w:rsidR="00B33C09" w:rsidRPr="00C86E49" w:rsidRDefault="00B33C09" w:rsidP="00FC0F28">
            <w:pPr>
              <w:pStyle w:val="TableText"/>
            </w:pPr>
            <w:r w:rsidRPr="00C86E49">
              <w:t>Step 2: Extrapolation of survival</w:t>
            </w:r>
          </w:p>
        </w:tc>
        <w:tc>
          <w:tcPr>
            <w:tcW w:w="786" w:type="pct"/>
            <w:tcBorders>
              <w:top w:val="single" w:sz="4" w:space="0" w:color="auto"/>
              <w:left w:val="nil"/>
              <w:right w:val="nil"/>
            </w:tcBorders>
            <w:tcMar>
              <w:left w:w="85" w:type="dxa"/>
              <w:right w:w="85" w:type="dxa"/>
            </w:tcMar>
          </w:tcPr>
          <w:p w14:paraId="626FC907" w14:textId="77777777" w:rsidR="00B33C09" w:rsidRPr="00C86E49" w:rsidRDefault="00B33C09" w:rsidP="00AC3721">
            <w:pPr>
              <w:pStyle w:val="TableText"/>
              <w:jc w:val="center"/>
            </w:pPr>
          </w:p>
        </w:tc>
        <w:tc>
          <w:tcPr>
            <w:tcW w:w="786" w:type="pct"/>
            <w:tcBorders>
              <w:top w:val="single" w:sz="4" w:space="0" w:color="auto"/>
              <w:left w:val="nil"/>
              <w:right w:val="nil"/>
            </w:tcBorders>
            <w:noWrap/>
            <w:tcMar>
              <w:left w:w="85" w:type="dxa"/>
              <w:right w:w="85" w:type="dxa"/>
            </w:tcMar>
          </w:tcPr>
          <w:p w14:paraId="757FEFCD" w14:textId="77777777" w:rsidR="00B33C09" w:rsidRPr="00C86E49" w:rsidRDefault="00B33C09" w:rsidP="00AC3721">
            <w:pPr>
              <w:pStyle w:val="TableText"/>
              <w:jc w:val="center"/>
            </w:pPr>
          </w:p>
        </w:tc>
        <w:tc>
          <w:tcPr>
            <w:tcW w:w="786" w:type="pct"/>
            <w:tcBorders>
              <w:top w:val="single" w:sz="4" w:space="0" w:color="auto"/>
              <w:left w:val="nil"/>
              <w:right w:val="nil"/>
            </w:tcBorders>
            <w:noWrap/>
            <w:tcMar>
              <w:left w:w="85" w:type="dxa"/>
              <w:right w:w="85" w:type="dxa"/>
            </w:tcMar>
          </w:tcPr>
          <w:p w14:paraId="7A641E71" w14:textId="77777777" w:rsidR="00B33C09" w:rsidRPr="00C86E49" w:rsidRDefault="00B33C09" w:rsidP="00AC3721">
            <w:pPr>
              <w:pStyle w:val="TableText"/>
              <w:jc w:val="center"/>
            </w:pPr>
          </w:p>
        </w:tc>
        <w:tc>
          <w:tcPr>
            <w:tcW w:w="915" w:type="pct"/>
            <w:tcBorders>
              <w:top w:val="nil"/>
              <w:left w:val="nil"/>
              <w:bottom w:val="single" w:sz="4" w:space="0" w:color="auto"/>
            </w:tcBorders>
            <w:tcMar>
              <w:left w:w="85" w:type="dxa"/>
              <w:right w:w="85" w:type="dxa"/>
            </w:tcMar>
          </w:tcPr>
          <w:p w14:paraId="6DF0C058" w14:textId="77777777" w:rsidR="00B33C09" w:rsidRPr="00C86E49" w:rsidRDefault="00B33C09" w:rsidP="00AC3721">
            <w:pPr>
              <w:pStyle w:val="TableText"/>
              <w:jc w:val="center"/>
            </w:pPr>
          </w:p>
        </w:tc>
      </w:tr>
      <w:tr w:rsidR="00B33C09" w:rsidRPr="00C86E49" w14:paraId="02393C21" w14:textId="77777777" w:rsidTr="00B33C09">
        <w:trPr>
          <w:cantSplit/>
          <w:trHeight w:val="300"/>
        </w:trPr>
        <w:tc>
          <w:tcPr>
            <w:tcW w:w="1727" w:type="pct"/>
            <w:tcBorders>
              <w:top w:val="nil"/>
            </w:tcBorders>
            <w:noWrap/>
            <w:tcMar>
              <w:left w:w="85" w:type="dxa"/>
              <w:right w:w="85" w:type="dxa"/>
            </w:tcMar>
          </w:tcPr>
          <w:p w14:paraId="367C0303" w14:textId="4DD1A2D9" w:rsidR="00B33C09" w:rsidRPr="00C86E49" w:rsidRDefault="00B33C09" w:rsidP="00635A3F">
            <w:pPr>
              <w:pStyle w:val="TableText"/>
            </w:pPr>
            <w:r w:rsidRPr="00C86E49">
              <w:t>Costs</w:t>
            </w:r>
          </w:p>
        </w:tc>
        <w:tc>
          <w:tcPr>
            <w:tcW w:w="786" w:type="pct"/>
            <w:tcBorders>
              <w:top w:val="nil"/>
            </w:tcBorders>
            <w:tcMar>
              <w:left w:w="85" w:type="dxa"/>
              <w:right w:w="85" w:type="dxa"/>
            </w:tcMar>
          </w:tcPr>
          <w:p w14:paraId="1B04E8C9" w14:textId="346686E1" w:rsidR="00B33C09" w:rsidRPr="00C86E49" w:rsidRDefault="00B33C09" w:rsidP="00635A3F">
            <w:pPr>
              <w:pStyle w:val="TableText"/>
              <w:jc w:val="center"/>
            </w:pPr>
            <w:r w:rsidRPr="00375AEF">
              <w:t>$</w:t>
            </w:r>
            <w:r w:rsidR="00151B52" w:rsidRPr="00375AEF">
              <w:rPr>
                <w:b/>
                <w:bCs/>
              </w:rPr>
              <w:t>redacted</w:t>
            </w:r>
          </w:p>
        </w:tc>
        <w:tc>
          <w:tcPr>
            <w:tcW w:w="786" w:type="pct"/>
            <w:tcBorders>
              <w:top w:val="nil"/>
            </w:tcBorders>
            <w:noWrap/>
            <w:tcMar>
              <w:left w:w="85" w:type="dxa"/>
              <w:right w:w="85" w:type="dxa"/>
            </w:tcMar>
          </w:tcPr>
          <w:p w14:paraId="4E8C511F" w14:textId="6C3834E9" w:rsidR="00B33C09" w:rsidRPr="00C86E49" w:rsidRDefault="00B33C09" w:rsidP="00635A3F">
            <w:pPr>
              <w:pStyle w:val="TableText"/>
              <w:jc w:val="center"/>
            </w:pPr>
            <w:r w:rsidRPr="00C86E49">
              <w:t>$54,302</w:t>
            </w:r>
          </w:p>
        </w:tc>
        <w:tc>
          <w:tcPr>
            <w:tcW w:w="786" w:type="pct"/>
            <w:tcBorders>
              <w:top w:val="nil"/>
            </w:tcBorders>
            <w:noWrap/>
            <w:tcMar>
              <w:left w:w="85" w:type="dxa"/>
              <w:right w:w="85" w:type="dxa"/>
            </w:tcMar>
          </w:tcPr>
          <w:p w14:paraId="3D5DE62F" w14:textId="5C512D71" w:rsidR="00B33C09" w:rsidRPr="00375AEF" w:rsidRDefault="00B33C09" w:rsidP="00635A3F">
            <w:pPr>
              <w:pStyle w:val="TableText"/>
              <w:jc w:val="center"/>
            </w:pPr>
            <w:r w:rsidRPr="00375AEF">
              <w:t>$</w:t>
            </w:r>
            <w:r w:rsidR="00151B52" w:rsidRPr="00375AEF">
              <w:rPr>
                <w:b/>
                <w:bCs/>
              </w:rPr>
              <w:t>redacted</w:t>
            </w:r>
          </w:p>
        </w:tc>
        <w:tc>
          <w:tcPr>
            <w:tcW w:w="915" w:type="pct"/>
            <w:tcBorders>
              <w:top w:val="single" w:sz="4" w:space="0" w:color="auto"/>
              <w:bottom w:val="nil"/>
            </w:tcBorders>
            <w:tcMar>
              <w:left w:w="85" w:type="dxa"/>
              <w:right w:w="85" w:type="dxa"/>
            </w:tcMar>
          </w:tcPr>
          <w:p w14:paraId="56547C81" w14:textId="314941BC" w:rsidR="00B33C09" w:rsidRPr="00375AEF" w:rsidRDefault="00B33C09" w:rsidP="00635A3F">
            <w:pPr>
              <w:pStyle w:val="TableText"/>
              <w:jc w:val="center"/>
            </w:pPr>
            <w:r w:rsidRPr="00375AEF">
              <w:t>$</w:t>
            </w:r>
            <w:r w:rsidR="00151B52" w:rsidRPr="00375AEF">
              <w:rPr>
                <w:b/>
                <w:bCs/>
              </w:rPr>
              <w:t>redacted</w:t>
            </w:r>
            <w:r w:rsidRPr="00375AEF">
              <w:t xml:space="preserve"> </w:t>
            </w:r>
          </w:p>
        </w:tc>
      </w:tr>
      <w:tr w:rsidR="00B33C09" w:rsidRPr="00C86E49" w14:paraId="413A068C" w14:textId="77777777" w:rsidTr="00B33C09">
        <w:trPr>
          <w:cantSplit/>
          <w:trHeight w:val="300"/>
        </w:trPr>
        <w:tc>
          <w:tcPr>
            <w:tcW w:w="1727" w:type="pct"/>
            <w:tcBorders>
              <w:top w:val="nil"/>
              <w:bottom w:val="single" w:sz="4" w:space="0" w:color="auto"/>
            </w:tcBorders>
            <w:noWrap/>
            <w:tcMar>
              <w:left w:w="85" w:type="dxa"/>
              <w:right w:w="85" w:type="dxa"/>
            </w:tcMar>
          </w:tcPr>
          <w:p w14:paraId="7FF9E128" w14:textId="024B3510" w:rsidR="00B33C09" w:rsidRPr="00C86E49" w:rsidRDefault="00B33C09" w:rsidP="00572D57">
            <w:pPr>
              <w:pStyle w:val="TableText"/>
            </w:pPr>
            <w:r w:rsidRPr="00C86E49">
              <w:t>Outcomes</w:t>
            </w:r>
            <w:r w:rsidR="00F21ECA" w:rsidRPr="00C86E49">
              <w:t xml:space="preserve"> (LYs)</w:t>
            </w:r>
          </w:p>
        </w:tc>
        <w:tc>
          <w:tcPr>
            <w:tcW w:w="786" w:type="pct"/>
            <w:tcBorders>
              <w:top w:val="nil"/>
              <w:bottom w:val="single" w:sz="4" w:space="0" w:color="auto"/>
            </w:tcBorders>
            <w:tcMar>
              <w:left w:w="85" w:type="dxa"/>
              <w:right w:w="85" w:type="dxa"/>
            </w:tcMar>
          </w:tcPr>
          <w:p w14:paraId="303FC52E" w14:textId="33C9E8C5" w:rsidR="00B33C09" w:rsidRPr="00C86E49" w:rsidRDefault="00B33C09" w:rsidP="00572D57">
            <w:pPr>
              <w:pStyle w:val="TableText"/>
              <w:jc w:val="center"/>
            </w:pPr>
            <w:r w:rsidRPr="00C86E49">
              <w:t>11.681</w:t>
            </w:r>
          </w:p>
        </w:tc>
        <w:tc>
          <w:tcPr>
            <w:tcW w:w="786" w:type="pct"/>
            <w:tcBorders>
              <w:top w:val="nil"/>
              <w:bottom w:val="single" w:sz="4" w:space="0" w:color="auto"/>
            </w:tcBorders>
            <w:noWrap/>
            <w:tcMar>
              <w:left w:w="85" w:type="dxa"/>
              <w:right w:w="85" w:type="dxa"/>
            </w:tcMar>
          </w:tcPr>
          <w:p w14:paraId="197C33AE" w14:textId="07FBFAE1" w:rsidR="00B33C09" w:rsidRPr="00C86E49" w:rsidRDefault="00B33C09" w:rsidP="00572D57">
            <w:pPr>
              <w:pStyle w:val="TableText"/>
              <w:jc w:val="center"/>
            </w:pPr>
            <w:r w:rsidRPr="00C86E49">
              <w:t>8.883</w:t>
            </w:r>
          </w:p>
        </w:tc>
        <w:tc>
          <w:tcPr>
            <w:tcW w:w="786" w:type="pct"/>
            <w:tcBorders>
              <w:top w:val="nil"/>
              <w:bottom w:val="single" w:sz="4" w:space="0" w:color="auto"/>
            </w:tcBorders>
            <w:noWrap/>
            <w:tcMar>
              <w:left w:w="85" w:type="dxa"/>
              <w:right w:w="85" w:type="dxa"/>
            </w:tcMar>
          </w:tcPr>
          <w:p w14:paraId="7C0B3C40" w14:textId="67060AB3" w:rsidR="00B33C09" w:rsidRPr="00C86E49" w:rsidRDefault="00B33C09" w:rsidP="00572D57">
            <w:pPr>
              <w:pStyle w:val="TableText"/>
              <w:jc w:val="center"/>
            </w:pPr>
            <w:r w:rsidRPr="00C86E49">
              <w:t>2.798</w:t>
            </w:r>
          </w:p>
        </w:tc>
        <w:tc>
          <w:tcPr>
            <w:tcW w:w="915" w:type="pct"/>
            <w:tcBorders>
              <w:top w:val="nil"/>
            </w:tcBorders>
            <w:tcMar>
              <w:left w:w="85" w:type="dxa"/>
              <w:right w:w="85" w:type="dxa"/>
            </w:tcMar>
          </w:tcPr>
          <w:p w14:paraId="561365ED" w14:textId="56B6FE87" w:rsidR="00B33C09" w:rsidRPr="00C86E49" w:rsidRDefault="00B33C09" w:rsidP="00572D57">
            <w:pPr>
              <w:pStyle w:val="TableText"/>
              <w:jc w:val="center"/>
            </w:pPr>
            <w:r w:rsidRPr="00C86E49">
              <w:t xml:space="preserve">per </w:t>
            </w:r>
            <w:r w:rsidR="00793229" w:rsidRPr="00C86E49">
              <w:t>LY</w:t>
            </w:r>
          </w:p>
        </w:tc>
      </w:tr>
      <w:tr w:rsidR="00B33C09" w:rsidRPr="00C86E49" w14:paraId="76FE552B" w14:textId="77777777" w:rsidTr="00B33C09">
        <w:trPr>
          <w:cantSplit/>
          <w:trHeight w:val="300"/>
        </w:trPr>
        <w:tc>
          <w:tcPr>
            <w:tcW w:w="1727" w:type="pct"/>
            <w:tcBorders>
              <w:top w:val="single" w:sz="4" w:space="0" w:color="auto"/>
              <w:bottom w:val="single" w:sz="4" w:space="0" w:color="auto"/>
              <w:right w:val="nil"/>
            </w:tcBorders>
            <w:noWrap/>
            <w:tcMar>
              <w:left w:w="85" w:type="dxa"/>
              <w:right w:w="85" w:type="dxa"/>
            </w:tcMar>
          </w:tcPr>
          <w:p w14:paraId="08F42002" w14:textId="32C98226" w:rsidR="00B33C09" w:rsidRPr="00C86E49" w:rsidRDefault="00B33C09" w:rsidP="00267E0C">
            <w:pPr>
              <w:pStyle w:val="TableText"/>
              <w:keepNext/>
            </w:pPr>
            <w:r w:rsidRPr="00C86E49">
              <w:t>Step 3: Translation of life years to QALYs</w:t>
            </w:r>
          </w:p>
        </w:tc>
        <w:tc>
          <w:tcPr>
            <w:tcW w:w="786" w:type="pct"/>
            <w:tcBorders>
              <w:top w:val="single" w:sz="4" w:space="0" w:color="auto"/>
              <w:left w:val="nil"/>
              <w:bottom w:val="single" w:sz="4" w:space="0" w:color="auto"/>
              <w:right w:val="nil"/>
            </w:tcBorders>
            <w:tcMar>
              <w:left w:w="85" w:type="dxa"/>
              <w:right w:w="85" w:type="dxa"/>
            </w:tcMar>
          </w:tcPr>
          <w:p w14:paraId="187CAA9F" w14:textId="77777777" w:rsidR="00B33C09" w:rsidRPr="00C86E49" w:rsidRDefault="00B33C09" w:rsidP="006F185A">
            <w:pPr>
              <w:pStyle w:val="TableText"/>
              <w:jc w:val="center"/>
            </w:pPr>
          </w:p>
        </w:tc>
        <w:tc>
          <w:tcPr>
            <w:tcW w:w="786" w:type="pct"/>
            <w:tcBorders>
              <w:top w:val="single" w:sz="4" w:space="0" w:color="auto"/>
              <w:left w:val="nil"/>
              <w:bottom w:val="single" w:sz="4" w:space="0" w:color="auto"/>
              <w:right w:val="nil"/>
            </w:tcBorders>
            <w:noWrap/>
            <w:tcMar>
              <w:left w:w="85" w:type="dxa"/>
              <w:right w:w="85" w:type="dxa"/>
            </w:tcMar>
          </w:tcPr>
          <w:p w14:paraId="01AA4A97" w14:textId="77777777" w:rsidR="00B33C09" w:rsidRPr="00C86E49" w:rsidRDefault="00B33C09" w:rsidP="006F185A">
            <w:pPr>
              <w:pStyle w:val="TableText"/>
              <w:jc w:val="center"/>
            </w:pPr>
          </w:p>
        </w:tc>
        <w:tc>
          <w:tcPr>
            <w:tcW w:w="786" w:type="pct"/>
            <w:tcBorders>
              <w:top w:val="single" w:sz="4" w:space="0" w:color="auto"/>
              <w:left w:val="nil"/>
              <w:bottom w:val="single" w:sz="4" w:space="0" w:color="auto"/>
              <w:right w:val="nil"/>
            </w:tcBorders>
            <w:noWrap/>
            <w:tcMar>
              <w:left w:w="85" w:type="dxa"/>
              <w:right w:w="85" w:type="dxa"/>
            </w:tcMar>
          </w:tcPr>
          <w:p w14:paraId="731088CC" w14:textId="77777777" w:rsidR="00B33C09" w:rsidRPr="00C86E49" w:rsidRDefault="00B33C09" w:rsidP="006F185A">
            <w:pPr>
              <w:pStyle w:val="TableText"/>
              <w:jc w:val="center"/>
            </w:pPr>
          </w:p>
        </w:tc>
        <w:tc>
          <w:tcPr>
            <w:tcW w:w="915" w:type="pct"/>
            <w:tcBorders>
              <w:top w:val="nil"/>
              <w:left w:val="nil"/>
              <w:bottom w:val="single" w:sz="4" w:space="0" w:color="auto"/>
            </w:tcBorders>
            <w:tcMar>
              <w:left w:w="85" w:type="dxa"/>
              <w:right w:w="85" w:type="dxa"/>
            </w:tcMar>
          </w:tcPr>
          <w:p w14:paraId="5C5D010E" w14:textId="77777777" w:rsidR="00B33C09" w:rsidRPr="00C86E49" w:rsidRDefault="00B33C09" w:rsidP="006F185A">
            <w:pPr>
              <w:pStyle w:val="TableText"/>
              <w:jc w:val="center"/>
            </w:pPr>
          </w:p>
        </w:tc>
      </w:tr>
      <w:tr w:rsidR="00B33C09" w:rsidRPr="00C86E49" w14:paraId="021F1536" w14:textId="77777777" w:rsidTr="00B33C09">
        <w:trPr>
          <w:cantSplit/>
          <w:trHeight w:val="300"/>
        </w:trPr>
        <w:tc>
          <w:tcPr>
            <w:tcW w:w="1727" w:type="pct"/>
            <w:tcBorders>
              <w:top w:val="single" w:sz="4" w:space="0" w:color="auto"/>
              <w:bottom w:val="single" w:sz="4" w:space="0" w:color="auto"/>
            </w:tcBorders>
            <w:noWrap/>
            <w:tcMar>
              <w:left w:w="85" w:type="dxa"/>
              <w:right w:w="85" w:type="dxa"/>
            </w:tcMar>
          </w:tcPr>
          <w:p w14:paraId="64CBA5FD" w14:textId="4B5138FE" w:rsidR="00B33C09" w:rsidRPr="00C86E49" w:rsidRDefault="00B33C09" w:rsidP="00635A3F">
            <w:pPr>
              <w:pStyle w:val="TableText"/>
            </w:pPr>
            <w:r w:rsidRPr="00C86E49">
              <w:t>Costs</w:t>
            </w:r>
          </w:p>
        </w:tc>
        <w:tc>
          <w:tcPr>
            <w:tcW w:w="786" w:type="pct"/>
            <w:tcBorders>
              <w:top w:val="single" w:sz="4" w:space="0" w:color="auto"/>
              <w:bottom w:val="single" w:sz="4" w:space="0" w:color="auto"/>
            </w:tcBorders>
            <w:tcMar>
              <w:left w:w="85" w:type="dxa"/>
              <w:right w:w="85" w:type="dxa"/>
            </w:tcMar>
          </w:tcPr>
          <w:p w14:paraId="5FDB30D1" w14:textId="626BA289" w:rsidR="00B33C09" w:rsidRPr="00C86E49" w:rsidRDefault="00B33C09" w:rsidP="00635A3F">
            <w:pPr>
              <w:pStyle w:val="TableText"/>
              <w:jc w:val="center"/>
            </w:pPr>
            <w:r w:rsidRPr="00375AEF">
              <w:t>$</w:t>
            </w:r>
            <w:r w:rsidR="00151B52" w:rsidRPr="00375AEF">
              <w:rPr>
                <w:b/>
                <w:bCs/>
              </w:rPr>
              <w:t>redacted</w:t>
            </w:r>
          </w:p>
        </w:tc>
        <w:tc>
          <w:tcPr>
            <w:tcW w:w="786" w:type="pct"/>
            <w:tcBorders>
              <w:top w:val="single" w:sz="4" w:space="0" w:color="auto"/>
              <w:bottom w:val="single" w:sz="4" w:space="0" w:color="auto"/>
            </w:tcBorders>
            <w:noWrap/>
            <w:tcMar>
              <w:left w:w="85" w:type="dxa"/>
              <w:right w:w="85" w:type="dxa"/>
            </w:tcMar>
          </w:tcPr>
          <w:p w14:paraId="73ABDA10" w14:textId="172843B9" w:rsidR="00B33C09" w:rsidRPr="00C86E49" w:rsidRDefault="00B33C09" w:rsidP="00635A3F">
            <w:pPr>
              <w:pStyle w:val="TableText"/>
              <w:jc w:val="center"/>
            </w:pPr>
            <w:r w:rsidRPr="00C86E49">
              <w:t>$54,302</w:t>
            </w:r>
          </w:p>
        </w:tc>
        <w:tc>
          <w:tcPr>
            <w:tcW w:w="786" w:type="pct"/>
            <w:tcBorders>
              <w:top w:val="single" w:sz="4" w:space="0" w:color="auto"/>
              <w:bottom w:val="single" w:sz="4" w:space="0" w:color="auto"/>
            </w:tcBorders>
            <w:noWrap/>
            <w:tcMar>
              <w:left w:w="85" w:type="dxa"/>
              <w:right w:w="85" w:type="dxa"/>
            </w:tcMar>
          </w:tcPr>
          <w:p w14:paraId="0C51352D" w14:textId="5647486C" w:rsidR="00B33C09" w:rsidRPr="00375AEF" w:rsidRDefault="00B33C09" w:rsidP="00635A3F">
            <w:pPr>
              <w:pStyle w:val="TableText"/>
              <w:jc w:val="center"/>
            </w:pPr>
            <w:r w:rsidRPr="00375AEF">
              <w:t>$</w:t>
            </w:r>
            <w:r w:rsidR="00151B52" w:rsidRPr="00375AEF">
              <w:rPr>
                <w:b/>
                <w:bCs/>
              </w:rPr>
              <w:t>redacted</w:t>
            </w:r>
          </w:p>
        </w:tc>
        <w:tc>
          <w:tcPr>
            <w:tcW w:w="915" w:type="pct"/>
            <w:tcBorders>
              <w:top w:val="single" w:sz="4" w:space="0" w:color="auto"/>
              <w:bottom w:val="nil"/>
            </w:tcBorders>
            <w:tcMar>
              <w:left w:w="85" w:type="dxa"/>
              <w:right w:w="85" w:type="dxa"/>
            </w:tcMar>
          </w:tcPr>
          <w:p w14:paraId="2271C854" w14:textId="07B22B3C" w:rsidR="00B33C09" w:rsidRPr="00375AEF" w:rsidRDefault="00B33C09" w:rsidP="00635A3F">
            <w:pPr>
              <w:pStyle w:val="TableText"/>
              <w:jc w:val="center"/>
            </w:pPr>
            <w:r w:rsidRPr="00375AEF">
              <w:t>$</w:t>
            </w:r>
            <w:r w:rsidR="00151B52" w:rsidRPr="00375AEF">
              <w:rPr>
                <w:b/>
                <w:bCs/>
              </w:rPr>
              <w:t>redacted</w:t>
            </w:r>
            <w:r w:rsidRPr="00375AEF">
              <w:t xml:space="preserve"> </w:t>
            </w:r>
          </w:p>
        </w:tc>
      </w:tr>
      <w:tr w:rsidR="00B33C09" w:rsidRPr="00C86E49" w14:paraId="0352DEC7" w14:textId="77777777" w:rsidTr="00B33C09">
        <w:trPr>
          <w:cantSplit/>
          <w:trHeight w:val="300"/>
        </w:trPr>
        <w:tc>
          <w:tcPr>
            <w:tcW w:w="1727" w:type="pct"/>
            <w:tcBorders>
              <w:top w:val="single" w:sz="4" w:space="0" w:color="auto"/>
            </w:tcBorders>
            <w:noWrap/>
            <w:tcMar>
              <w:left w:w="85" w:type="dxa"/>
              <w:right w:w="85" w:type="dxa"/>
            </w:tcMar>
          </w:tcPr>
          <w:p w14:paraId="6C835FB7" w14:textId="7281445D" w:rsidR="00B33C09" w:rsidRPr="00C86E49" w:rsidRDefault="00B33C09" w:rsidP="00FC0F28">
            <w:pPr>
              <w:pStyle w:val="TableText"/>
            </w:pPr>
            <w:r w:rsidRPr="00C86E49">
              <w:t>Outcomes</w:t>
            </w:r>
            <w:r w:rsidR="00F21ECA" w:rsidRPr="00C86E49">
              <w:t xml:space="preserve"> (QALYs)</w:t>
            </w:r>
          </w:p>
        </w:tc>
        <w:tc>
          <w:tcPr>
            <w:tcW w:w="786" w:type="pct"/>
            <w:tcBorders>
              <w:top w:val="single" w:sz="4" w:space="0" w:color="auto"/>
            </w:tcBorders>
            <w:tcMar>
              <w:left w:w="85" w:type="dxa"/>
              <w:right w:w="85" w:type="dxa"/>
            </w:tcMar>
          </w:tcPr>
          <w:p w14:paraId="06FBDCF4" w14:textId="796C9E4A" w:rsidR="00B33C09" w:rsidRPr="00C86E49" w:rsidRDefault="00B33C09" w:rsidP="00AC3721">
            <w:pPr>
              <w:pStyle w:val="TableText"/>
              <w:jc w:val="center"/>
            </w:pPr>
            <w:r w:rsidRPr="00C86E49">
              <w:t>5.038</w:t>
            </w:r>
          </w:p>
        </w:tc>
        <w:tc>
          <w:tcPr>
            <w:tcW w:w="786" w:type="pct"/>
            <w:tcBorders>
              <w:top w:val="single" w:sz="4" w:space="0" w:color="auto"/>
            </w:tcBorders>
            <w:noWrap/>
            <w:tcMar>
              <w:left w:w="85" w:type="dxa"/>
              <w:right w:w="85" w:type="dxa"/>
            </w:tcMar>
          </w:tcPr>
          <w:p w14:paraId="07583EA8" w14:textId="2A2C7455" w:rsidR="00B33C09" w:rsidRPr="00C86E49" w:rsidRDefault="00B33C09" w:rsidP="00AC3721">
            <w:pPr>
              <w:pStyle w:val="TableText"/>
              <w:jc w:val="center"/>
            </w:pPr>
            <w:r w:rsidRPr="00C86E49">
              <w:t>3.832</w:t>
            </w:r>
          </w:p>
        </w:tc>
        <w:tc>
          <w:tcPr>
            <w:tcW w:w="786" w:type="pct"/>
            <w:tcBorders>
              <w:top w:val="single" w:sz="4" w:space="0" w:color="auto"/>
            </w:tcBorders>
            <w:noWrap/>
            <w:tcMar>
              <w:left w:w="85" w:type="dxa"/>
              <w:right w:w="85" w:type="dxa"/>
            </w:tcMar>
          </w:tcPr>
          <w:p w14:paraId="4356B938" w14:textId="712A48AA" w:rsidR="00B33C09" w:rsidRPr="00C86E49" w:rsidRDefault="00B33C09" w:rsidP="00AC3721">
            <w:pPr>
              <w:pStyle w:val="TableText"/>
              <w:jc w:val="center"/>
            </w:pPr>
            <w:r w:rsidRPr="00C86E49">
              <w:t>1.206</w:t>
            </w:r>
          </w:p>
        </w:tc>
        <w:tc>
          <w:tcPr>
            <w:tcW w:w="915" w:type="pct"/>
            <w:tcBorders>
              <w:top w:val="nil"/>
            </w:tcBorders>
            <w:tcMar>
              <w:left w:w="85" w:type="dxa"/>
              <w:right w:w="85" w:type="dxa"/>
            </w:tcMar>
          </w:tcPr>
          <w:p w14:paraId="710C6385" w14:textId="19981410" w:rsidR="00B33C09" w:rsidRPr="00C86E49" w:rsidRDefault="00B33C09" w:rsidP="00AC3721">
            <w:pPr>
              <w:pStyle w:val="TableText"/>
              <w:jc w:val="center"/>
            </w:pPr>
            <w:r w:rsidRPr="00C86E49">
              <w:t>per QALY</w:t>
            </w:r>
          </w:p>
        </w:tc>
      </w:tr>
    </w:tbl>
    <w:p w14:paraId="3ADBA72E" w14:textId="032BBFEC" w:rsidR="00777E0C" w:rsidRPr="00C86E49" w:rsidRDefault="00777E0C" w:rsidP="00D86EA0">
      <w:pPr>
        <w:pStyle w:val="TableFigureFooter"/>
        <w:rPr>
          <w:rFonts w:eastAsia="Calibri"/>
        </w:rPr>
      </w:pPr>
      <w:r w:rsidRPr="00C86E49">
        <w:rPr>
          <w:rFonts w:eastAsia="Calibri"/>
        </w:rPr>
        <w:t>ICER</w:t>
      </w:r>
      <w:r w:rsidRPr="00C86E49">
        <w:rPr>
          <w:rFonts w:eastAsiaTheme="minorHAnsi"/>
        </w:rPr>
        <w:t xml:space="preserve"> = </w:t>
      </w:r>
      <w:r w:rsidRPr="00C86E49">
        <w:rPr>
          <w:rFonts w:eastAsia="Calibri"/>
        </w:rPr>
        <w:t xml:space="preserve">incremental cost-effectiveness ratio; </w:t>
      </w:r>
      <w:r w:rsidR="002964A8" w:rsidRPr="00C86E49">
        <w:rPr>
          <w:rFonts w:eastAsia="Calibri"/>
        </w:rPr>
        <w:t>LY</w:t>
      </w:r>
      <w:r w:rsidR="00793229" w:rsidRPr="00C86E49">
        <w:rPr>
          <w:rFonts w:eastAsia="Calibri"/>
        </w:rPr>
        <w:t xml:space="preserve"> = life year; </w:t>
      </w:r>
      <w:r w:rsidRPr="00C86E49">
        <w:rPr>
          <w:rFonts w:eastAsia="Calibri"/>
        </w:rPr>
        <w:t>QALY</w:t>
      </w:r>
      <w:r w:rsidRPr="00C86E49">
        <w:t xml:space="preserve"> </w:t>
      </w:r>
      <w:r w:rsidRPr="00C86E49">
        <w:rPr>
          <w:rFonts w:eastAsia="Calibri"/>
        </w:rPr>
        <w:t>= quality adjusted life years; VA-ECMO</w:t>
      </w:r>
      <w:r w:rsidRPr="00C86E49">
        <w:t xml:space="preserve"> </w:t>
      </w:r>
      <w:r w:rsidRPr="00C86E49">
        <w:rPr>
          <w:rFonts w:eastAsia="Calibri"/>
        </w:rPr>
        <w:t>= veno-arterial extracorporeal membrane oxygenation.</w:t>
      </w:r>
    </w:p>
    <w:p w14:paraId="0C080130" w14:textId="16B49B31" w:rsidR="00192520" w:rsidRPr="00C86E49" w:rsidRDefault="00192520" w:rsidP="00D86EA0">
      <w:pPr>
        <w:pStyle w:val="TableFigureFooter"/>
      </w:pPr>
      <w:r w:rsidRPr="00C86E49">
        <w:t xml:space="preserve">Note: Cost inputs were taken from the ADAR, not updated to reflect </w:t>
      </w:r>
      <w:r w:rsidR="000662E8" w:rsidRPr="00C86E49">
        <w:t xml:space="preserve">current </w:t>
      </w:r>
      <w:r w:rsidRPr="00C86E49">
        <w:t>MBS fee</w:t>
      </w:r>
      <w:r w:rsidR="000662E8" w:rsidRPr="00C86E49">
        <w:t>s</w:t>
      </w:r>
      <w:r w:rsidRPr="00C86E49">
        <w:t>.</w:t>
      </w:r>
    </w:p>
    <w:p w14:paraId="582A6D9F" w14:textId="71246245" w:rsidR="00777E0C" w:rsidRPr="00C86E49" w:rsidRDefault="00777E0C" w:rsidP="00D86EA0">
      <w:pPr>
        <w:pStyle w:val="TableFigureFooter"/>
      </w:pPr>
      <w:r w:rsidRPr="00C86E49">
        <w:t xml:space="preserve">Source: </w:t>
      </w:r>
      <w:r w:rsidR="0061395E" w:rsidRPr="00C86E49">
        <w:t xml:space="preserve">Derived from </w:t>
      </w:r>
      <w:r w:rsidRPr="00C86E49">
        <w:t xml:space="preserve">Table </w:t>
      </w:r>
      <w:r w:rsidR="000F7CAE" w:rsidRPr="00C86E49">
        <w:t>98</w:t>
      </w:r>
      <w:r w:rsidR="00F777DF" w:rsidRPr="00C86E49">
        <w:t xml:space="preserve">, Table 100, Table </w:t>
      </w:r>
      <w:proofErr w:type="gramStart"/>
      <w:r w:rsidR="00F777DF" w:rsidRPr="00C86E49">
        <w:t>101</w:t>
      </w:r>
      <w:proofErr w:type="gramEnd"/>
      <w:r w:rsidR="00F777DF" w:rsidRPr="00C86E49">
        <w:t xml:space="preserve"> </w:t>
      </w:r>
      <w:r w:rsidR="000D3E54" w:rsidRPr="00C86E49">
        <w:t xml:space="preserve">and Table 71 </w:t>
      </w:r>
      <w:r w:rsidRPr="00C86E49">
        <w:t>of MSAC 1523.1 ADAR+in-line commentary.</w:t>
      </w:r>
    </w:p>
    <w:p w14:paraId="666BF035" w14:textId="1DACA63D" w:rsidR="002005DB" w:rsidRPr="00C86E49" w:rsidRDefault="004A55CC" w:rsidP="001F3702">
      <w:r w:rsidRPr="00C86E49">
        <w:t xml:space="preserve">The </w:t>
      </w:r>
      <w:r w:rsidR="00276504" w:rsidRPr="00C86E49">
        <w:t xml:space="preserve">results of the stepped economic analysis </w:t>
      </w:r>
      <w:r w:rsidR="00C610DA" w:rsidRPr="00C86E49">
        <w:t>for</w:t>
      </w:r>
      <w:r w:rsidR="001F3702" w:rsidRPr="00C86E49">
        <w:t xml:space="preserve"> ECPELLA versus VA-ECMO ± SV</w:t>
      </w:r>
      <w:r w:rsidR="00BA6D3E" w:rsidRPr="00C86E49">
        <w:t xml:space="preserve"> </w:t>
      </w:r>
      <w:r w:rsidR="00276504" w:rsidRPr="00C86E49">
        <w:t xml:space="preserve">are presented in </w:t>
      </w:r>
      <w:r w:rsidR="00515A8D" w:rsidRPr="00C86E49">
        <w:fldChar w:fldCharType="begin"/>
      </w:r>
      <w:r w:rsidR="00515A8D" w:rsidRPr="00C86E49">
        <w:instrText xml:space="preserve"> REF _Ref152148024 \h </w:instrText>
      </w:r>
      <w:r w:rsidR="00C86E49">
        <w:instrText xml:space="preserve"> \* MERGEFORMAT </w:instrText>
      </w:r>
      <w:r w:rsidR="00515A8D" w:rsidRPr="00C86E49">
        <w:fldChar w:fldCharType="separate"/>
      </w:r>
      <w:r w:rsidR="00EF3514" w:rsidRPr="00C86E49">
        <w:t>Table </w:t>
      </w:r>
      <w:r w:rsidR="00EF3514" w:rsidRPr="00C86E49">
        <w:rPr>
          <w:noProof/>
        </w:rPr>
        <w:t>15</w:t>
      </w:r>
      <w:r w:rsidR="00515A8D" w:rsidRPr="00C86E49">
        <w:fldChar w:fldCharType="end"/>
      </w:r>
      <w:r w:rsidR="00276504" w:rsidRPr="00C86E49">
        <w:t>.</w:t>
      </w:r>
      <w:r w:rsidR="00515A8D" w:rsidRPr="00C86E49">
        <w:t xml:space="preserve"> </w:t>
      </w:r>
      <w:r w:rsidR="00215C98" w:rsidRPr="00C86E49">
        <w:t>S</w:t>
      </w:r>
      <w:r w:rsidR="001F3702" w:rsidRPr="00C86E49">
        <w:t xml:space="preserve">lightly different results were obtained by the commentary due to a discrepancy between the ADAR and commentary in the weighted average 30-day/in-hospital mortality risks calculated from the included studies. </w:t>
      </w:r>
    </w:p>
    <w:p w14:paraId="31B618A3" w14:textId="31DBE880" w:rsidR="00D61D0E" w:rsidRPr="00D61D0E" w:rsidRDefault="002005DB" w:rsidP="00D61D0E">
      <w:r w:rsidRPr="00C86E49">
        <w:t xml:space="preserve">The cost-utility estimates are subject to considerable uncertainty because the 30-day mortality risks applied in the first cycle </w:t>
      </w:r>
      <w:r w:rsidR="00E5728D" w:rsidRPr="00C86E49">
        <w:t xml:space="preserve">(favouring ECPELLA) </w:t>
      </w:r>
      <w:r w:rsidRPr="00C86E49">
        <w:t>were based on a meta-analysis that showed no statistically significant difference between ECPELLA and VA-ECMO ± SV.</w:t>
      </w:r>
      <w:r w:rsidR="00E31C69" w:rsidRPr="00C86E49">
        <w:t xml:space="preserve"> </w:t>
      </w:r>
      <w:r w:rsidR="00DC5EB2" w:rsidRPr="00C86E49">
        <w:t xml:space="preserve">If </w:t>
      </w:r>
      <w:r w:rsidR="006C4773" w:rsidRPr="00C86E49">
        <w:t xml:space="preserve">ECPELLA is </w:t>
      </w:r>
      <w:r w:rsidR="001F0AB6" w:rsidRPr="00C86E49">
        <w:t xml:space="preserve">considered </w:t>
      </w:r>
      <w:r w:rsidR="00DC5EB2" w:rsidRPr="00C86E49">
        <w:t xml:space="preserve">non-inferior </w:t>
      </w:r>
      <w:r w:rsidR="006C4773" w:rsidRPr="00C86E49">
        <w:t xml:space="preserve">to VA-ECMO ± SV in terms of mortality </w:t>
      </w:r>
      <w:r w:rsidR="00163DFF" w:rsidRPr="00C86E49">
        <w:t xml:space="preserve">(which is </w:t>
      </w:r>
      <w:r w:rsidR="00E214AA" w:rsidRPr="00C86E49">
        <w:t xml:space="preserve">a </w:t>
      </w:r>
      <w:r w:rsidR="00163DFF" w:rsidRPr="00C86E49">
        <w:t xml:space="preserve">reasonable </w:t>
      </w:r>
      <w:r w:rsidR="004B3F50" w:rsidRPr="00C86E49">
        <w:t xml:space="preserve">interpretation of </w:t>
      </w:r>
      <w:r w:rsidR="00E214AA" w:rsidRPr="00C86E49">
        <w:t xml:space="preserve">evidence available) </w:t>
      </w:r>
      <w:r w:rsidR="006C4773" w:rsidRPr="00C86E49">
        <w:t>and inferior in terms of safety</w:t>
      </w:r>
      <w:r w:rsidR="001F0AB6" w:rsidRPr="00C86E49">
        <w:t xml:space="preserve">, </w:t>
      </w:r>
      <w:r w:rsidR="00DC5850" w:rsidRPr="00C86E49">
        <w:t xml:space="preserve">consideration of cost-effectiveness </w:t>
      </w:r>
      <w:r w:rsidR="00A9032D" w:rsidRPr="00C86E49">
        <w:t>may not be appropriate</w:t>
      </w:r>
      <w:r w:rsidR="00A82ED6" w:rsidRPr="00C86E49">
        <w:t>.</w:t>
      </w:r>
      <w:bookmarkStart w:id="45" w:name="_Ref152148024"/>
      <w:r w:rsidR="00D61D0E">
        <w:br w:type="page"/>
      </w:r>
    </w:p>
    <w:p w14:paraId="710C497E" w14:textId="41068200" w:rsidR="00FD2F36" w:rsidRPr="00C86E49" w:rsidRDefault="00FD2F36" w:rsidP="00FD2F36">
      <w:pPr>
        <w:pStyle w:val="Caption"/>
      </w:pPr>
      <w:r w:rsidRPr="00C86E49">
        <w:t>Table </w:t>
      </w:r>
      <w:r w:rsidRPr="00C86E49">
        <w:rPr>
          <w:color w:val="2B579A"/>
          <w:shd w:val="clear" w:color="auto" w:fill="E6E6E6"/>
        </w:rPr>
        <w:fldChar w:fldCharType="begin"/>
      </w:r>
      <w:r w:rsidRPr="00C86E49">
        <w:rPr>
          <w:noProof/>
        </w:rPr>
        <w:instrText xml:space="preserve"> SEQ Table \* ARABIC </w:instrText>
      </w:r>
      <w:r w:rsidRPr="00C86E49">
        <w:rPr>
          <w:color w:val="2B579A"/>
          <w:shd w:val="clear" w:color="auto" w:fill="E6E6E6"/>
        </w:rPr>
        <w:fldChar w:fldCharType="separate"/>
      </w:r>
      <w:r w:rsidR="00EF3514" w:rsidRPr="00C86E49">
        <w:rPr>
          <w:noProof/>
        </w:rPr>
        <w:t>15</w:t>
      </w:r>
      <w:r w:rsidRPr="00C86E49">
        <w:rPr>
          <w:color w:val="2B579A"/>
          <w:shd w:val="clear" w:color="auto" w:fill="E6E6E6"/>
        </w:rPr>
        <w:fldChar w:fldCharType="end"/>
      </w:r>
      <w:bookmarkEnd w:id="45"/>
      <w:r w:rsidRPr="00C86E49">
        <w:t xml:space="preserve"> </w:t>
      </w:r>
      <w:r w:rsidRPr="00C86E49">
        <w:tab/>
        <w:t>Results of the stepped economic analysis</w:t>
      </w:r>
      <w:r w:rsidR="00040B2A" w:rsidRPr="00C86E49">
        <w:t xml:space="preserve">: </w:t>
      </w:r>
      <w:r w:rsidRPr="00C86E49">
        <w:t>ECPELLA versus VA-ECMO ± surgical venting</w:t>
      </w:r>
    </w:p>
    <w:tbl>
      <w:tblPr>
        <w:tblStyle w:val="TableGrid1"/>
        <w:tblW w:w="5000" w:type="pct"/>
        <w:tblLayout w:type="fixed"/>
        <w:tblLook w:val="04A0" w:firstRow="1" w:lastRow="0" w:firstColumn="1" w:lastColumn="0" w:noHBand="0" w:noVBand="1"/>
        <w:tblCaption w:val="Results of the stepped economic analysis: ECPELLA versus VA-ECMO ± surgical venting"/>
        <w:tblDescription w:val="This table shows the results of the stepped economic analysis for ECPELLA versus VA-ECMO ± surgical venting"/>
      </w:tblPr>
      <w:tblGrid>
        <w:gridCol w:w="3115"/>
        <w:gridCol w:w="1417"/>
        <w:gridCol w:w="1417"/>
        <w:gridCol w:w="1417"/>
        <w:gridCol w:w="1650"/>
      </w:tblGrid>
      <w:tr w:rsidR="006A60A1" w:rsidRPr="00C86E49" w14:paraId="77580DB1" w14:textId="77777777" w:rsidTr="009410A1">
        <w:trPr>
          <w:cnfStyle w:val="100000000000" w:firstRow="1" w:lastRow="0" w:firstColumn="0" w:lastColumn="0" w:oddVBand="0" w:evenVBand="0" w:oddHBand="0" w:evenHBand="0" w:firstRowFirstColumn="0" w:firstRowLastColumn="0" w:lastRowFirstColumn="0" w:lastRowLastColumn="0"/>
          <w:cantSplit/>
          <w:trHeight w:val="300"/>
          <w:tblHeader/>
        </w:trPr>
        <w:tc>
          <w:tcPr>
            <w:tcW w:w="1727" w:type="pct"/>
            <w:tcBorders>
              <w:bottom w:val="single" w:sz="4" w:space="0" w:color="auto"/>
            </w:tcBorders>
            <w:noWrap/>
            <w:tcMar>
              <w:left w:w="85" w:type="dxa"/>
              <w:right w:w="85" w:type="dxa"/>
            </w:tcMar>
            <w:hideMark/>
          </w:tcPr>
          <w:p w14:paraId="22987B07" w14:textId="77777777" w:rsidR="006A60A1" w:rsidRPr="00C86E49" w:rsidRDefault="006A60A1">
            <w:pPr>
              <w:pStyle w:val="TableHeading"/>
            </w:pPr>
            <w:r w:rsidRPr="00C86E49">
              <w:t>Step</w:t>
            </w:r>
          </w:p>
        </w:tc>
        <w:tc>
          <w:tcPr>
            <w:tcW w:w="786" w:type="pct"/>
            <w:tcBorders>
              <w:bottom w:val="single" w:sz="4" w:space="0" w:color="auto"/>
            </w:tcBorders>
            <w:tcMar>
              <w:left w:w="85" w:type="dxa"/>
              <w:right w:w="85" w:type="dxa"/>
            </w:tcMar>
          </w:tcPr>
          <w:p w14:paraId="4EB488B8" w14:textId="1914373F" w:rsidR="006A60A1" w:rsidRPr="00C86E49" w:rsidRDefault="006A60A1">
            <w:pPr>
              <w:pStyle w:val="TableHeading"/>
              <w:jc w:val="center"/>
            </w:pPr>
            <w:r w:rsidRPr="00C86E49">
              <w:t>ECPELLA</w:t>
            </w:r>
          </w:p>
        </w:tc>
        <w:tc>
          <w:tcPr>
            <w:tcW w:w="786" w:type="pct"/>
            <w:tcBorders>
              <w:bottom w:val="single" w:sz="4" w:space="0" w:color="auto"/>
            </w:tcBorders>
            <w:noWrap/>
            <w:tcMar>
              <w:left w:w="85" w:type="dxa"/>
              <w:right w:w="85" w:type="dxa"/>
            </w:tcMar>
          </w:tcPr>
          <w:p w14:paraId="7EEDD820" w14:textId="32B749D8" w:rsidR="006A60A1" w:rsidRPr="00C86E49" w:rsidRDefault="006A60A1">
            <w:pPr>
              <w:pStyle w:val="TableHeading"/>
              <w:jc w:val="center"/>
            </w:pPr>
            <w:r w:rsidRPr="00C86E49">
              <w:t>VA-ECMO ± SV</w:t>
            </w:r>
          </w:p>
        </w:tc>
        <w:tc>
          <w:tcPr>
            <w:tcW w:w="786" w:type="pct"/>
            <w:tcBorders>
              <w:bottom w:val="single" w:sz="4" w:space="0" w:color="auto"/>
            </w:tcBorders>
            <w:noWrap/>
            <w:tcMar>
              <w:left w:w="85" w:type="dxa"/>
              <w:right w:w="85" w:type="dxa"/>
            </w:tcMar>
            <w:hideMark/>
          </w:tcPr>
          <w:p w14:paraId="7ECDC43E" w14:textId="61C84048" w:rsidR="006A60A1" w:rsidRPr="00C86E49" w:rsidRDefault="006A60A1">
            <w:pPr>
              <w:pStyle w:val="TableHeading"/>
              <w:jc w:val="center"/>
            </w:pPr>
            <w:r w:rsidRPr="00C86E49">
              <w:t>Increment</w:t>
            </w:r>
          </w:p>
        </w:tc>
        <w:tc>
          <w:tcPr>
            <w:tcW w:w="915" w:type="pct"/>
            <w:tcMar>
              <w:left w:w="85" w:type="dxa"/>
              <w:right w:w="85" w:type="dxa"/>
            </w:tcMar>
          </w:tcPr>
          <w:p w14:paraId="36EE8459" w14:textId="77777777" w:rsidR="006A60A1" w:rsidRPr="00C86E49" w:rsidRDefault="006A60A1">
            <w:pPr>
              <w:pStyle w:val="TableHeading"/>
              <w:jc w:val="center"/>
            </w:pPr>
            <w:r w:rsidRPr="00C86E49">
              <w:t>ICER</w:t>
            </w:r>
          </w:p>
        </w:tc>
      </w:tr>
      <w:tr w:rsidR="006A60A1" w:rsidRPr="00C86E49" w14:paraId="13C299E6" w14:textId="77777777" w:rsidTr="009410A1">
        <w:trPr>
          <w:cantSplit/>
          <w:trHeight w:val="300"/>
        </w:trPr>
        <w:tc>
          <w:tcPr>
            <w:tcW w:w="1727" w:type="pct"/>
            <w:tcBorders>
              <w:top w:val="single" w:sz="4" w:space="0" w:color="auto"/>
              <w:right w:val="nil"/>
            </w:tcBorders>
            <w:noWrap/>
            <w:tcMar>
              <w:left w:w="85" w:type="dxa"/>
              <w:right w:w="85" w:type="dxa"/>
            </w:tcMar>
          </w:tcPr>
          <w:p w14:paraId="08122475" w14:textId="77777777" w:rsidR="006A60A1" w:rsidRPr="00C86E49" w:rsidRDefault="006A60A1">
            <w:pPr>
              <w:pStyle w:val="TableText"/>
            </w:pPr>
            <w:r w:rsidRPr="00C86E49">
              <w:t>Step 1: Matched/ adjusted study-based analysis</w:t>
            </w:r>
          </w:p>
        </w:tc>
        <w:tc>
          <w:tcPr>
            <w:tcW w:w="786" w:type="pct"/>
            <w:tcBorders>
              <w:top w:val="single" w:sz="4" w:space="0" w:color="auto"/>
              <w:left w:val="nil"/>
              <w:right w:val="nil"/>
            </w:tcBorders>
            <w:tcMar>
              <w:left w:w="85" w:type="dxa"/>
              <w:right w:w="85" w:type="dxa"/>
            </w:tcMar>
          </w:tcPr>
          <w:p w14:paraId="3B0D585F" w14:textId="77777777" w:rsidR="006A60A1" w:rsidRPr="00C86E49" w:rsidRDefault="006A60A1">
            <w:pPr>
              <w:pStyle w:val="TableText"/>
              <w:jc w:val="center"/>
            </w:pPr>
          </w:p>
        </w:tc>
        <w:tc>
          <w:tcPr>
            <w:tcW w:w="786" w:type="pct"/>
            <w:tcBorders>
              <w:top w:val="single" w:sz="4" w:space="0" w:color="auto"/>
              <w:left w:val="nil"/>
              <w:right w:val="nil"/>
            </w:tcBorders>
            <w:noWrap/>
            <w:tcMar>
              <w:left w:w="85" w:type="dxa"/>
              <w:right w:w="85" w:type="dxa"/>
            </w:tcMar>
          </w:tcPr>
          <w:p w14:paraId="0A041360" w14:textId="77777777" w:rsidR="006A60A1" w:rsidRPr="00C86E49" w:rsidRDefault="006A60A1">
            <w:pPr>
              <w:pStyle w:val="TableText"/>
              <w:jc w:val="center"/>
            </w:pPr>
          </w:p>
        </w:tc>
        <w:tc>
          <w:tcPr>
            <w:tcW w:w="786" w:type="pct"/>
            <w:tcBorders>
              <w:top w:val="single" w:sz="4" w:space="0" w:color="auto"/>
              <w:left w:val="nil"/>
              <w:right w:val="nil"/>
            </w:tcBorders>
            <w:noWrap/>
            <w:tcMar>
              <w:left w:w="85" w:type="dxa"/>
              <w:right w:w="85" w:type="dxa"/>
            </w:tcMar>
          </w:tcPr>
          <w:p w14:paraId="052FFA37" w14:textId="77777777" w:rsidR="006A60A1" w:rsidRPr="00C86E49" w:rsidRDefault="006A60A1">
            <w:pPr>
              <w:pStyle w:val="TableText"/>
              <w:jc w:val="center"/>
            </w:pPr>
          </w:p>
        </w:tc>
        <w:tc>
          <w:tcPr>
            <w:tcW w:w="915" w:type="pct"/>
            <w:tcBorders>
              <w:top w:val="nil"/>
              <w:left w:val="nil"/>
              <w:bottom w:val="single" w:sz="4" w:space="0" w:color="auto"/>
            </w:tcBorders>
            <w:tcMar>
              <w:left w:w="85" w:type="dxa"/>
              <w:right w:w="85" w:type="dxa"/>
            </w:tcMar>
          </w:tcPr>
          <w:p w14:paraId="1C9ED0F2" w14:textId="77777777" w:rsidR="006A60A1" w:rsidRPr="00C86E49" w:rsidRDefault="006A60A1">
            <w:pPr>
              <w:pStyle w:val="TableText"/>
              <w:jc w:val="center"/>
            </w:pPr>
          </w:p>
        </w:tc>
      </w:tr>
      <w:tr w:rsidR="006A60A1" w:rsidRPr="00C86E49" w14:paraId="22CCFC9E" w14:textId="77777777" w:rsidTr="009410A1">
        <w:trPr>
          <w:cantSplit/>
          <w:trHeight w:val="300"/>
        </w:trPr>
        <w:tc>
          <w:tcPr>
            <w:tcW w:w="1727" w:type="pct"/>
            <w:tcBorders>
              <w:top w:val="nil"/>
            </w:tcBorders>
            <w:noWrap/>
            <w:tcMar>
              <w:left w:w="85" w:type="dxa"/>
              <w:right w:w="85" w:type="dxa"/>
            </w:tcMar>
          </w:tcPr>
          <w:p w14:paraId="2B96D90F" w14:textId="77777777" w:rsidR="006A60A1" w:rsidRPr="00C86E49" w:rsidRDefault="006A60A1">
            <w:pPr>
              <w:pStyle w:val="TableText"/>
            </w:pPr>
            <w:r w:rsidRPr="00C86E49">
              <w:t>Costs</w:t>
            </w:r>
          </w:p>
        </w:tc>
        <w:tc>
          <w:tcPr>
            <w:tcW w:w="786" w:type="pct"/>
            <w:tcBorders>
              <w:top w:val="nil"/>
            </w:tcBorders>
            <w:tcMar>
              <w:left w:w="85" w:type="dxa"/>
              <w:right w:w="85" w:type="dxa"/>
            </w:tcMar>
          </w:tcPr>
          <w:p w14:paraId="5511D962" w14:textId="593141A9" w:rsidR="006A60A1" w:rsidRPr="00375AEF" w:rsidRDefault="006A60A1">
            <w:pPr>
              <w:pStyle w:val="TableText"/>
              <w:jc w:val="center"/>
            </w:pPr>
            <w:r w:rsidRPr="00375AEF">
              <w:t>$</w:t>
            </w:r>
            <w:r w:rsidR="008052C4" w:rsidRPr="00375AEF">
              <w:rPr>
                <w:b/>
                <w:bCs/>
              </w:rPr>
              <w:t>redacted</w:t>
            </w:r>
          </w:p>
        </w:tc>
        <w:tc>
          <w:tcPr>
            <w:tcW w:w="786" w:type="pct"/>
            <w:tcBorders>
              <w:top w:val="nil"/>
            </w:tcBorders>
            <w:noWrap/>
            <w:tcMar>
              <w:left w:w="85" w:type="dxa"/>
              <w:right w:w="85" w:type="dxa"/>
            </w:tcMar>
          </w:tcPr>
          <w:p w14:paraId="28CD62A3" w14:textId="31C3B533" w:rsidR="006A60A1" w:rsidRPr="00C86E49" w:rsidRDefault="006A60A1">
            <w:pPr>
              <w:pStyle w:val="TableText"/>
              <w:jc w:val="center"/>
            </w:pPr>
            <w:r w:rsidRPr="00C86E49">
              <w:t>$63,853</w:t>
            </w:r>
          </w:p>
        </w:tc>
        <w:tc>
          <w:tcPr>
            <w:tcW w:w="786" w:type="pct"/>
            <w:tcBorders>
              <w:top w:val="nil"/>
            </w:tcBorders>
            <w:noWrap/>
            <w:tcMar>
              <w:left w:w="85" w:type="dxa"/>
              <w:right w:w="85" w:type="dxa"/>
            </w:tcMar>
          </w:tcPr>
          <w:p w14:paraId="48834A79" w14:textId="51B0D852" w:rsidR="006A60A1" w:rsidRPr="00375AEF" w:rsidRDefault="006A60A1">
            <w:pPr>
              <w:pStyle w:val="TableText"/>
              <w:jc w:val="center"/>
            </w:pPr>
            <w:r w:rsidRPr="00375AEF">
              <w:t>$</w:t>
            </w:r>
            <w:r w:rsidR="008052C4" w:rsidRPr="00375AEF">
              <w:rPr>
                <w:b/>
                <w:bCs/>
              </w:rPr>
              <w:t>redacted</w:t>
            </w:r>
          </w:p>
        </w:tc>
        <w:tc>
          <w:tcPr>
            <w:tcW w:w="915" w:type="pct"/>
            <w:tcBorders>
              <w:top w:val="single" w:sz="4" w:space="0" w:color="auto"/>
              <w:bottom w:val="nil"/>
            </w:tcBorders>
            <w:tcMar>
              <w:left w:w="85" w:type="dxa"/>
              <w:right w:w="85" w:type="dxa"/>
            </w:tcMar>
          </w:tcPr>
          <w:p w14:paraId="6FCCE729" w14:textId="08679929" w:rsidR="006A60A1" w:rsidRPr="00375AEF" w:rsidRDefault="006A60A1">
            <w:pPr>
              <w:pStyle w:val="TableText"/>
              <w:jc w:val="center"/>
            </w:pPr>
            <w:r w:rsidRPr="00375AEF">
              <w:t>$</w:t>
            </w:r>
            <w:r w:rsidR="008052C4" w:rsidRPr="00375AEF">
              <w:rPr>
                <w:b/>
                <w:bCs/>
              </w:rPr>
              <w:t>redacted</w:t>
            </w:r>
          </w:p>
        </w:tc>
      </w:tr>
      <w:tr w:rsidR="006A60A1" w:rsidRPr="00C86E49" w14:paraId="496356C1" w14:textId="77777777" w:rsidTr="009410A1">
        <w:trPr>
          <w:cantSplit/>
          <w:trHeight w:val="300"/>
        </w:trPr>
        <w:tc>
          <w:tcPr>
            <w:tcW w:w="1727" w:type="pct"/>
            <w:tcBorders>
              <w:top w:val="nil"/>
              <w:bottom w:val="single" w:sz="4" w:space="0" w:color="auto"/>
            </w:tcBorders>
            <w:noWrap/>
            <w:tcMar>
              <w:left w:w="85" w:type="dxa"/>
              <w:right w:w="85" w:type="dxa"/>
            </w:tcMar>
          </w:tcPr>
          <w:p w14:paraId="2D040274" w14:textId="77777777" w:rsidR="006A60A1" w:rsidRPr="00C86E49" w:rsidRDefault="006A60A1">
            <w:pPr>
              <w:pStyle w:val="TableText"/>
            </w:pPr>
            <w:r w:rsidRPr="00C86E49">
              <w:t>Outcomes (% alive at 30 days/ hospital discharge)</w:t>
            </w:r>
          </w:p>
        </w:tc>
        <w:tc>
          <w:tcPr>
            <w:tcW w:w="786" w:type="pct"/>
            <w:tcBorders>
              <w:top w:val="nil"/>
              <w:bottom w:val="single" w:sz="4" w:space="0" w:color="auto"/>
            </w:tcBorders>
            <w:tcMar>
              <w:left w:w="85" w:type="dxa"/>
              <w:right w:w="85" w:type="dxa"/>
            </w:tcMar>
          </w:tcPr>
          <w:p w14:paraId="0DDEF9CE" w14:textId="6022FF21" w:rsidR="006A60A1" w:rsidRPr="00C86E49" w:rsidRDefault="006A60A1">
            <w:pPr>
              <w:pStyle w:val="TableText"/>
              <w:jc w:val="center"/>
            </w:pPr>
            <w:r w:rsidRPr="00C86E49">
              <w:t>59.9%</w:t>
            </w:r>
          </w:p>
        </w:tc>
        <w:tc>
          <w:tcPr>
            <w:tcW w:w="786" w:type="pct"/>
            <w:tcBorders>
              <w:top w:val="nil"/>
              <w:bottom w:val="single" w:sz="4" w:space="0" w:color="auto"/>
            </w:tcBorders>
            <w:noWrap/>
            <w:tcMar>
              <w:left w:w="85" w:type="dxa"/>
              <w:right w:w="85" w:type="dxa"/>
            </w:tcMar>
          </w:tcPr>
          <w:p w14:paraId="3E220943" w14:textId="2A3A8B8F" w:rsidR="006A60A1" w:rsidRPr="00C86E49" w:rsidRDefault="006A60A1">
            <w:pPr>
              <w:pStyle w:val="TableText"/>
              <w:jc w:val="center"/>
            </w:pPr>
            <w:r w:rsidRPr="00C86E49">
              <w:t>62.7%</w:t>
            </w:r>
          </w:p>
        </w:tc>
        <w:tc>
          <w:tcPr>
            <w:tcW w:w="786" w:type="pct"/>
            <w:tcBorders>
              <w:top w:val="nil"/>
              <w:bottom w:val="single" w:sz="4" w:space="0" w:color="auto"/>
            </w:tcBorders>
            <w:noWrap/>
            <w:tcMar>
              <w:left w:w="85" w:type="dxa"/>
              <w:right w:w="85" w:type="dxa"/>
            </w:tcMar>
          </w:tcPr>
          <w:p w14:paraId="75C91BD7" w14:textId="409E4DA9" w:rsidR="006A60A1" w:rsidRPr="00C86E49" w:rsidRDefault="006A60A1">
            <w:pPr>
              <w:pStyle w:val="TableText"/>
              <w:jc w:val="center"/>
            </w:pPr>
            <w:r w:rsidRPr="00C86E49">
              <w:t>7.9%</w:t>
            </w:r>
          </w:p>
        </w:tc>
        <w:tc>
          <w:tcPr>
            <w:tcW w:w="915" w:type="pct"/>
            <w:tcBorders>
              <w:top w:val="nil"/>
            </w:tcBorders>
            <w:tcMar>
              <w:left w:w="85" w:type="dxa"/>
              <w:right w:w="85" w:type="dxa"/>
            </w:tcMar>
          </w:tcPr>
          <w:p w14:paraId="3F3E056F" w14:textId="77777777" w:rsidR="006A60A1" w:rsidRPr="00C86E49" w:rsidRDefault="006A60A1">
            <w:pPr>
              <w:pStyle w:val="TableText"/>
              <w:jc w:val="center"/>
            </w:pPr>
            <w:r w:rsidRPr="00C86E49">
              <w:t>per patient alive at 30 days/ hospital discharge</w:t>
            </w:r>
          </w:p>
        </w:tc>
      </w:tr>
      <w:tr w:rsidR="006A60A1" w:rsidRPr="00C86E49" w14:paraId="0209C7DD" w14:textId="77777777" w:rsidTr="009410A1">
        <w:trPr>
          <w:cantSplit/>
          <w:trHeight w:val="300"/>
        </w:trPr>
        <w:tc>
          <w:tcPr>
            <w:tcW w:w="1727" w:type="pct"/>
            <w:tcBorders>
              <w:top w:val="nil"/>
              <w:bottom w:val="single" w:sz="4" w:space="0" w:color="auto"/>
            </w:tcBorders>
            <w:noWrap/>
            <w:tcMar>
              <w:left w:w="85" w:type="dxa"/>
              <w:right w:w="85" w:type="dxa"/>
            </w:tcMar>
          </w:tcPr>
          <w:p w14:paraId="14F4E9B8" w14:textId="710B33E5" w:rsidR="006A60A1" w:rsidRPr="00C86E49" w:rsidRDefault="006A60A1">
            <w:pPr>
              <w:pStyle w:val="TableText"/>
            </w:pPr>
            <w:r w:rsidRPr="00C86E49">
              <w:t>Outcomes – commentary revised</w:t>
            </w:r>
            <w:r w:rsidRPr="00C86E49">
              <w:rPr>
                <w:vertAlign w:val="superscript"/>
              </w:rPr>
              <w:t>a</w:t>
            </w:r>
          </w:p>
        </w:tc>
        <w:tc>
          <w:tcPr>
            <w:tcW w:w="786" w:type="pct"/>
            <w:tcBorders>
              <w:top w:val="nil"/>
              <w:bottom w:val="single" w:sz="4" w:space="0" w:color="auto"/>
            </w:tcBorders>
            <w:tcMar>
              <w:left w:w="85" w:type="dxa"/>
              <w:right w:w="85" w:type="dxa"/>
            </w:tcMar>
          </w:tcPr>
          <w:p w14:paraId="12B6ECF9" w14:textId="477399F6" w:rsidR="006A60A1" w:rsidRPr="00C86E49" w:rsidRDefault="006A60A1">
            <w:pPr>
              <w:pStyle w:val="TableText"/>
              <w:jc w:val="center"/>
            </w:pPr>
            <w:r w:rsidRPr="00C86E49">
              <w:t>54.4%</w:t>
            </w:r>
          </w:p>
        </w:tc>
        <w:tc>
          <w:tcPr>
            <w:tcW w:w="786" w:type="pct"/>
            <w:tcBorders>
              <w:top w:val="nil"/>
              <w:bottom w:val="single" w:sz="4" w:space="0" w:color="auto"/>
            </w:tcBorders>
            <w:noWrap/>
            <w:tcMar>
              <w:left w:w="85" w:type="dxa"/>
              <w:right w:w="85" w:type="dxa"/>
            </w:tcMar>
          </w:tcPr>
          <w:p w14:paraId="0EADB79E" w14:textId="7A9463BA" w:rsidR="006A60A1" w:rsidRPr="00C86E49" w:rsidRDefault="006A60A1">
            <w:pPr>
              <w:pStyle w:val="TableText"/>
              <w:jc w:val="center"/>
            </w:pPr>
            <w:r w:rsidRPr="00C86E49">
              <w:t>62.7%</w:t>
            </w:r>
          </w:p>
        </w:tc>
        <w:tc>
          <w:tcPr>
            <w:tcW w:w="786" w:type="pct"/>
            <w:tcBorders>
              <w:top w:val="nil"/>
              <w:bottom w:val="single" w:sz="4" w:space="0" w:color="auto"/>
            </w:tcBorders>
            <w:noWrap/>
            <w:tcMar>
              <w:left w:w="85" w:type="dxa"/>
              <w:right w:w="85" w:type="dxa"/>
            </w:tcMar>
          </w:tcPr>
          <w:p w14:paraId="30BCC8AA" w14:textId="061F4449" w:rsidR="006A60A1" w:rsidRPr="00C86E49" w:rsidRDefault="006A60A1">
            <w:pPr>
              <w:pStyle w:val="TableText"/>
              <w:jc w:val="center"/>
            </w:pPr>
            <w:r w:rsidRPr="00C86E49">
              <w:t>8.2%</w:t>
            </w:r>
          </w:p>
        </w:tc>
        <w:tc>
          <w:tcPr>
            <w:tcW w:w="915" w:type="pct"/>
            <w:tcBorders>
              <w:top w:val="nil"/>
            </w:tcBorders>
            <w:tcMar>
              <w:left w:w="85" w:type="dxa"/>
              <w:right w:w="85" w:type="dxa"/>
            </w:tcMar>
          </w:tcPr>
          <w:p w14:paraId="556AECC3" w14:textId="36FA6DA9" w:rsidR="006A60A1" w:rsidRPr="00C86E49" w:rsidRDefault="006A60A1">
            <w:pPr>
              <w:pStyle w:val="TableText"/>
              <w:jc w:val="center"/>
            </w:pPr>
            <w:r w:rsidRPr="00C86E49">
              <w:t>-</w:t>
            </w:r>
          </w:p>
        </w:tc>
      </w:tr>
      <w:tr w:rsidR="006A60A1" w:rsidRPr="00C86E49" w14:paraId="4F42FC21" w14:textId="77777777" w:rsidTr="009410A1">
        <w:trPr>
          <w:cantSplit/>
          <w:trHeight w:val="300"/>
        </w:trPr>
        <w:tc>
          <w:tcPr>
            <w:tcW w:w="1727" w:type="pct"/>
            <w:tcBorders>
              <w:top w:val="single" w:sz="4" w:space="0" w:color="auto"/>
              <w:right w:val="nil"/>
            </w:tcBorders>
            <w:noWrap/>
            <w:tcMar>
              <w:left w:w="85" w:type="dxa"/>
              <w:right w:w="85" w:type="dxa"/>
            </w:tcMar>
          </w:tcPr>
          <w:p w14:paraId="03040561" w14:textId="77777777" w:rsidR="006A60A1" w:rsidRPr="00C86E49" w:rsidRDefault="006A60A1">
            <w:pPr>
              <w:pStyle w:val="TableText"/>
            </w:pPr>
            <w:r w:rsidRPr="00C86E49">
              <w:t>Step 2: Extrapolation of survival</w:t>
            </w:r>
          </w:p>
        </w:tc>
        <w:tc>
          <w:tcPr>
            <w:tcW w:w="786" w:type="pct"/>
            <w:tcBorders>
              <w:top w:val="single" w:sz="4" w:space="0" w:color="auto"/>
              <w:left w:val="nil"/>
              <w:right w:val="nil"/>
            </w:tcBorders>
            <w:tcMar>
              <w:left w:w="85" w:type="dxa"/>
              <w:right w:w="85" w:type="dxa"/>
            </w:tcMar>
          </w:tcPr>
          <w:p w14:paraId="4C4F16DB" w14:textId="77777777" w:rsidR="006A60A1" w:rsidRPr="00C86E49" w:rsidRDefault="006A60A1">
            <w:pPr>
              <w:pStyle w:val="TableText"/>
              <w:jc w:val="center"/>
            </w:pPr>
          </w:p>
        </w:tc>
        <w:tc>
          <w:tcPr>
            <w:tcW w:w="786" w:type="pct"/>
            <w:tcBorders>
              <w:top w:val="single" w:sz="4" w:space="0" w:color="auto"/>
              <w:left w:val="nil"/>
              <w:right w:val="nil"/>
            </w:tcBorders>
            <w:noWrap/>
            <w:tcMar>
              <w:left w:w="85" w:type="dxa"/>
              <w:right w:w="85" w:type="dxa"/>
            </w:tcMar>
          </w:tcPr>
          <w:p w14:paraId="112CA761" w14:textId="77777777" w:rsidR="006A60A1" w:rsidRPr="00C86E49" w:rsidRDefault="006A60A1">
            <w:pPr>
              <w:pStyle w:val="TableText"/>
              <w:jc w:val="center"/>
            </w:pPr>
          </w:p>
        </w:tc>
        <w:tc>
          <w:tcPr>
            <w:tcW w:w="786" w:type="pct"/>
            <w:tcBorders>
              <w:top w:val="single" w:sz="4" w:space="0" w:color="auto"/>
              <w:left w:val="nil"/>
              <w:right w:val="nil"/>
            </w:tcBorders>
            <w:noWrap/>
            <w:tcMar>
              <w:left w:w="85" w:type="dxa"/>
              <w:right w:w="85" w:type="dxa"/>
            </w:tcMar>
          </w:tcPr>
          <w:p w14:paraId="0E152936" w14:textId="77777777" w:rsidR="006A60A1" w:rsidRPr="00C86E49" w:rsidRDefault="006A60A1">
            <w:pPr>
              <w:pStyle w:val="TableText"/>
              <w:jc w:val="center"/>
            </w:pPr>
          </w:p>
        </w:tc>
        <w:tc>
          <w:tcPr>
            <w:tcW w:w="915" w:type="pct"/>
            <w:tcBorders>
              <w:top w:val="nil"/>
              <w:left w:val="nil"/>
              <w:bottom w:val="single" w:sz="4" w:space="0" w:color="auto"/>
            </w:tcBorders>
            <w:tcMar>
              <w:left w:w="85" w:type="dxa"/>
              <w:right w:w="85" w:type="dxa"/>
            </w:tcMar>
          </w:tcPr>
          <w:p w14:paraId="5CDAC1A0" w14:textId="77777777" w:rsidR="006A60A1" w:rsidRPr="00C86E49" w:rsidRDefault="006A60A1">
            <w:pPr>
              <w:pStyle w:val="TableText"/>
              <w:jc w:val="center"/>
            </w:pPr>
          </w:p>
        </w:tc>
      </w:tr>
      <w:tr w:rsidR="006A60A1" w:rsidRPr="00C86E49" w14:paraId="3D69D036" w14:textId="77777777" w:rsidTr="009410A1">
        <w:trPr>
          <w:cantSplit/>
          <w:trHeight w:val="300"/>
        </w:trPr>
        <w:tc>
          <w:tcPr>
            <w:tcW w:w="1727" w:type="pct"/>
            <w:tcBorders>
              <w:top w:val="nil"/>
            </w:tcBorders>
            <w:noWrap/>
            <w:tcMar>
              <w:left w:w="85" w:type="dxa"/>
              <w:right w:w="85" w:type="dxa"/>
            </w:tcMar>
          </w:tcPr>
          <w:p w14:paraId="57CF5222" w14:textId="77777777" w:rsidR="006A60A1" w:rsidRPr="00C86E49" w:rsidRDefault="006A60A1" w:rsidP="005964DD">
            <w:pPr>
              <w:pStyle w:val="TableText"/>
            </w:pPr>
            <w:r w:rsidRPr="00C86E49">
              <w:t>Costs</w:t>
            </w:r>
          </w:p>
        </w:tc>
        <w:tc>
          <w:tcPr>
            <w:tcW w:w="786" w:type="pct"/>
            <w:tcBorders>
              <w:top w:val="nil"/>
            </w:tcBorders>
            <w:tcMar>
              <w:left w:w="85" w:type="dxa"/>
              <w:right w:w="85" w:type="dxa"/>
            </w:tcMar>
          </w:tcPr>
          <w:p w14:paraId="478EBB84" w14:textId="096B656E" w:rsidR="006A60A1" w:rsidRPr="00C86E49" w:rsidRDefault="006A60A1" w:rsidP="005964DD">
            <w:pPr>
              <w:pStyle w:val="TableText"/>
              <w:jc w:val="center"/>
            </w:pPr>
            <w:r w:rsidRPr="00375AEF">
              <w:t>$</w:t>
            </w:r>
            <w:r w:rsidR="008052C4" w:rsidRPr="00375AEF">
              <w:rPr>
                <w:b/>
                <w:bCs/>
              </w:rPr>
              <w:t>redacted</w:t>
            </w:r>
          </w:p>
        </w:tc>
        <w:tc>
          <w:tcPr>
            <w:tcW w:w="786" w:type="pct"/>
            <w:tcBorders>
              <w:top w:val="nil"/>
            </w:tcBorders>
            <w:noWrap/>
            <w:tcMar>
              <w:left w:w="85" w:type="dxa"/>
              <w:right w:w="85" w:type="dxa"/>
            </w:tcMar>
          </w:tcPr>
          <w:p w14:paraId="49BC96A3" w14:textId="68C79BAA" w:rsidR="006A60A1" w:rsidRPr="00375AEF" w:rsidRDefault="006A60A1" w:rsidP="005964DD">
            <w:pPr>
              <w:pStyle w:val="TableText"/>
              <w:jc w:val="center"/>
            </w:pPr>
            <w:r w:rsidRPr="00C86E49">
              <w:t>$63,853</w:t>
            </w:r>
          </w:p>
        </w:tc>
        <w:tc>
          <w:tcPr>
            <w:tcW w:w="786" w:type="pct"/>
            <w:tcBorders>
              <w:top w:val="nil"/>
            </w:tcBorders>
            <w:noWrap/>
            <w:tcMar>
              <w:left w:w="85" w:type="dxa"/>
              <w:right w:w="85" w:type="dxa"/>
            </w:tcMar>
          </w:tcPr>
          <w:p w14:paraId="09B15EBC" w14:textId="781EF4E4" w:rsidR="006A60A1" w:rsidRPr="00375AEF" w:rsidRDefault="006A60A1" w:rsidP="005964DD">
            <w:pPr>
              <w:pStyle w:val="TableText"/>
              <w:jc w:val="center"/>
            </w:pPr>
            <w:r w:rsidRPr="00375AEF">
              <w:t>$</w:t>
            </w:r>
            <w:r w:rsidR="008052C4" w:rsidRPr="00375AEF">
              <w:rPr>
                <w:b/>
                <w:bCs/>
              </w:rPr>
              <w:t>redacted</w:t>
            </w:r>
          </w:p>
        </w:tc>
        <w:tc>
          <w:tcPr>
            <w:tcW w:w="915" w:type="pct"/>
            <w:tcBorders>
              <w:top w:val="single" w:sz="4" w:space="0" w:color="auto"/>
              <w:bottom w:val="nil"/>
            </w:tcBorders>
            <w:tcMar>
              <w:left w:w="85" w:type="dxa"/>
              <w:right w:w="85" w:type="dxa"/>
            </w:tcMar>
          </w:tcPr>
          <w:p w14:paraId="748C1761" w14:textId="56A5B70D" w:rsidR="006A60A1" w:rsidRPr="00375AEF" w:rsidRDefault="006A60A1" w:rsidP="005964DD">
            <w:pPr>
              <w:pStyle w:val="TableText"/>
              <w:jc w:val="center"/>
            </w:pPr>
            <w:r w:rsidRPr="00375AEF">
              <w:t>$</w:t>
            </w:r>
            <w:r w:rsidR="008052C4" w:rsidRPr="00375AEF">
              <w:rPr>
                <w:b/>
                <w:bCs/>
              </w:rPr>
              <w:t>redacted</w:t>
            </w:r>
          </w:p>
        </w:tc>
      </w:tr>
      <w:tr w:rsidR="006A60A1" w:rsidRPr="00C86E49" w14:paraId="332B2898" w14:textId="77777777" w:rsidTr="009410A1">
        <w:trPr>
          <w:cantSplit/>
          <w:trHeight w:val="300"/>
        </w:trPr>
        <w:tc>
          <w:tcPr>
            <w:tcW w:w="1727" w:type="pct"/>
            <w:tcBorders>
              <w:top w:val="nil"/>
              <w:bottom w:val="single" w:sz="4" w:space="0" w:color="auto"/>
            </w:tcBorders>
            <w:noWrap/>
            <w:tcMar>
              <w:left w:w="85" w:type="dxa"/>
              <w:right w:w="85" w:type="dxa"/>
            </w:tcMar>
          </w:tcPr>
          <w:p w14:paraId="1F6577B8" w14:textId="3304A170" w:rsidR="006A60A1" w:rsidRPr="00C86E49" w:rsidRDefault="006A60A1">
            <w:pPr>
              <w:pStyle w:val="TableText"/>
            </w:pPr>
            <w:r w:rsidRPr="00C86E49">
              <w:t>Outcomes</w:t>
            </w:r>
            <w:r w:rsidR="00F21ECA" w:rsidRPr="00C86E49">
              <w:t xml:space="preserve"> (LYs)</w:t>
            </w:r>
          </w:p>
        </w:tc>
        <w:tc>
          <w:tcPr>
            <w:tcW w:w="786" w:type="pct"/>
            <w:tcBorders>
              <w:top w:val="nil"/>
              <w:bottom w:val="single" w:sz="4" w:space="0" w:color="auto"/>
            </w:tcBorders>
            <w:tcMar>
              <w:left w:w="85" w:type="dxa"/>
              <w:right w:w="85" w:type="dxa"/>
            </w:tcMar>
          </w:tcPr>
          <w:p w14:paraId="12AE87FE" w14:textId="212B6095" w:rsidR="006A60A1" w:rsidRPr="00C86E49" w:rsidRDefault="006A60A1">
            <w:pPr>
              <w:pStyle w:val="TableText"/>
              <w:jc w:val="center"/>
            </w:pPr>
            <w:r w:rsidRPr="00C86E49">
              <w:t>8.960</w:t>
            </w:r>
          </w:p>
        </w:tc>
        <w:tc>
          <w:tcPr>
            <w:tcW w:w="786" w:type="pct"/>
            <w:tcBorders>
              <w:top w:val="nil"/>
              <w:bottom w:val="single" w:sz="4" w:space="0" w:color="auto"/>
            </w:tcBorders>
            <w:noWrap/>
            <w:tcMar>
              <w:left w:w="85" w:type="dxa"/>
              <w:right w:w="85" w:type="dxa"/>
            </w:tcMar>
          </w:tcPr>
          <w:p w14:paraId="4CA3CCF3" w14:textId="69B02CA4" w:rsidR="006A60A1" w:rsidRPr="00C86E49" w:rsidRDefault="006A60A1">
            <w:pPr>
              <w:pStyle w:val="TableText"/>
              <w:jc w:val="center"/>
            </w:pPr>
            <w:r w:rsidRPr="00C86E49">
              <w:t>7.206</w:t>
            </w:r>
          </w:p>
        </w:tc>
        <w:tc>
          <w:tcPr>
            <w:tcW w:w="786" w:type="pct"/>
            <w:tcBorders>
              <w:top w:val="nil"/>
              <w:bottom w:val="single" w:sz="4" w:space="0" w:color="auto"/>
            </w:tcBorders>
            <w:noWrap/>
            <w:tcMar>
              <w:left w:w="85" w:type="dxa"/>
              <w:right w:w="85" w:type="dxa"/>
            </w:tcMar>
          </w:tcPr>
          <w:p w14:paraId="1CBBB440" w14:textId="2567E1F9" w:rsidR="006A60A1" w:rsidRPr="00C86E49" w:rsidRDefault="006A60A1">
            <w:pPr>
              <w:pStyle w:val="TableText"/>
              <w:jc w:val="center"/>
            </w:pPr>
            <w:r w:rsidRPr="00C86E49">
              <w:t>1.753</w:t>
            </w:r>
          </w:p>
        </w:tc>
        <w:tc>
          <w:tcPr>
            <w:tcW w:w="915" w:type="pct"/>
            <w:tcBorders>
              <w:top w:val="nil"/>
            </w:tcBorders>
            <w:tcMar>
              <w:left w:w="85" w:type="dxa"/>
              <w:right w:w="85" w:type="dxa"/>
            </w:tcMar>
          </w:tcPr>
          <w:p w14:paraId="67FEC07B" w14:textId="454F6200" w:rsidR="006A60A1" w:rsidRPr="00C86E49" w:rsidRDefault="006A60A1">
            <w:pPr>
              <w:pStyle w:val="TableText"/>
              <w:jc w:val="center"/>
            </w:pPr>
            <w:r w:rsidRPr="00C86E49">
              <w:t xml:space="preserve">per </w:t>
            </w:r>
            <w:r w:rsidR="00AC21BF" w:rsidRPr="00C86E49">
              <w:t>LY</w:t>
            </w:r>
          </w:p>
        </w:tc>
      </w:tr>
      <w:tr w:rsidR="006A60A1" w:rsidRPr="00C86E49" w14:paraId="48AC0987" w14:textId="77777777" w:rsidTr="009410A1">
        <w:trPr>
          <w:cantSplit/>
          <w:trHeight w:val="300"/>
        </w:trPr>
        <w:tc>
          <w:tcPr>
            <w:tcW w:w="1727" w:type="pct"/>
            <w:tcBorders>
              <w:top w:val="nil"/>
              <w:bottom w:val="single" w:sz="4" w:space="0" w:color="auto"/>
            </w:tcBorders>
            <w:noWrap/>
            <w:tcMar>
              <w:left w:w="85" w:type="dxa"/>
              <w:right w:w="85" w:type="dxa"/>
            </w:tcMar>
          </w:tcPr>
          <w:p w14:paraId="04D5A1F6" w14:textId="0150C12C" w:rsidR="006A60A1" w:rsidRPr="00C86E49" w:rsidRDefault="006A60A1">
            <w:pPr>
              <w:pStyle w:val="TableText"/>
            </w:pPr>
            <w:r w:rsidRPr="00C86E49">
              <w:t>Outcomes – commentary revised</w:t>
            </w:r>
            <w:r w:rsidRPr="00C86E49">
              <w:rPr>
                <w:vertAlign w:val="superscript"/>
              </w:rPr>
              <w:t>a</w:t>
            </w:r>
          </w:p>
        </w:tc>
        <w:tc>
          <w:tcPr>
            <w:tcW w:w="786" w:type="pct"/>
            <w:tcBorders>
              <w:top w:val="nil"/>
              <w:bottom w:val="single" w:sz="4" w:space="0" w:color="auto"/>
            </w:tcBorders>
            <w:tcMar>
              <w:left w:w="85" w:type="dxa"/>
              <w:right w:w="85" w:type="dxa"/>
            </w:tcMar>
          </w:tcPr>
          <w:p w14:paraId="12B31C88" w14:textId="52C930D5" w:rsidR="006A60A1" w:rsidRPr="00C86E49" w:rsidRDefault="006A60A1">
            <w:pPr>
              <w:pStyle w:val="TableText"/>
              <w:jc w:val="center"/>
            </w:pPr>
            <w:r w:rsidRPr="00C86E49">
              <w:t>10.185</w:t>
            </w:r>
          </w:p>
        </w:tc>
        <w:tc>
          <w:tcPr>
            <w:tcW w:w="786" w:type="pct"/>
            <w:tcBorders>
              <w:top w:val="nil"/>
              <w:bottom w:val="single" w:sz="4" w:space="0" w:color="auto"/>
            </w:tcBorders>
            <w:noWrap/>
            <w:tcMar>
              <w:left w:w="85" w:type="dxa"/>
              <w:right w:w="85" w:type="dxa"/>
            </w:tcMar>
          </w:tcPr>
          <w:p w14:paraId="7C5A4FCA" w14:textId="32F14151" w:rsidR="006A60A1" w:rsidRPr="00C86E49" w:rsidRDefault="006A60A1">
            <w:pPr>
              <w:pStyle w:val="TableText"/>
              <w:jc w:val="center"/>
            </w:pPr>
            <w:r w:rsidRPr="00C86E49">
              <w:t>8.341</w:t>
            </w:r>
          </w:p>
        </w:tc>
        <w:tc>
          <w:tcPr>
            <w:tcW w:w="786" w:type="pct"/>
            <w:tcBorders>
              <w:top w:val="nil"/>
              <w:bottom w:val="single" w:sz="4" w:space="0" w:color="auto"/>
            </w:tcBorders>
            <w:noWrap/>
            <w:tcMar>
              <w:left w:w="85" w:type="dxa"/>
              <w:right w:w="85" w:type="dxa"/>
            </w:tcMar>
          </w:tcPr>
          <w:p w14:paraId="25F2A8A3" w14:textId="70699130" w:rsidR="006A60A1" w:rsidRPr="00C86E49" w:rsidRDefault="006A60A1">
            <w:pPr>
              <w:pStyle w:val="TableText"/>
              <w:jc w:val="center"/>
            </w:pPr>
            <w:r w:rsidRPr="00C86E49">
              <w:t>1.844</w:t>
            </w:r>
          </w:p>
        </w:tc>
        <w:tc>
          <w:tcPr>
            <w:tcW w:w="915" w:type="pct"/>
            <w:tcBorders>
              <w:top w:val="nil"/>
            </w:tcBorders>
            <w:tcMar>
              <w:left w:w="85" w:type="dxa"/>
              <w:right w:w="85" w:type="dxa"/>
            </w:tcMar>
          </w:tcPr>
          <w:p w14:paraId="693C483C" w14:textId="116F757E" w:rsidR="0076014B" w:rsidRPr="00C86E49" w:rsidRDefault="006A60A1" w:rsidP="00E64FBD">
            <w:pPr>
              <w:pStyle w:val="TableText"/>
              <w:jc w:val="center"/>
            </w:pPr>
            <w:r w:rsidRPr="00C86E49">
              <w:t>$23,435</w:t>
            </w:r>
            <w:r w:rsidR="00E64FBD" w:rsidRPr="00C86E49">
              <w:br/>
              <w:t xml:space="preserve">per </w:t>
            </w:r>
            <w:r w:rsidR="00AC21BF" w:rsidRPr="00C86E49">
              <w:t>LY</w:t>
            </w:r>
          </w:p>
        </w:tc>
      </w:tr>
      <w:tr w:rsidR="006A60A1" w:rsidRPr="00C86E49" w14:paraId="0B4E557D" w14:textId="77777777" w:rsidTr="009410A1">
        <w:trPr>
          <w:cantSplit/>
          <w:trHeight w:val="300"/>
        </w:trPr>
        <w:tc>
          <w:tcPr>
            <w:tcW w:w="1727" w:type="pct"/>
            <w:tcBorders>
              <w:top w:val="single" w:sz="4" w:space="0" w:color="auto"/>
              <w:bottom w:val="single" w:sz="4" w:space="0" w:color="auto"/>
              <w:right w:val="nil"/>
            </w:tcBorders>
            <w:noWrap/>
            <w:tcMar>
              <w:left w:w="85" w:type="dxa"/>
              <w:right w:w="85" w:type="dxa"/>
            </w:tcMar>
          </w:tcPr>
          <w:p w14:paraId="19C11701" w14:textId="77777777" w:rsidR="006A60A1" w:rsidRPr="00C86E49" w:rsidRDefault="006A60A1" w:rsidP="00CF38F4">
            <w:pPr>
              <w:pStyle w:val="TableText"/>
              <w:keepNext/>
            </w:pPr>
            <w:r w:rsidRPr="00C86E49">
              <w:t>Step 3: Translation of life years to QALYs</w:t>
            </w:r>
          </w:p>
        </w:tc>
        <w:tc>
          <w:tcPr>
            <w:tcW w:w="786" w:type="pct"/>
            <w:tcBorders>
              <w:top w:val="single" w:sz="4" w:space="0" w:color="auto"/>
              <w:left w:val="nil"/>
              <w:bottom w:val="single" w:sz="4" w:space="0" w:color="auto"/>
              <w:right w:val="nil"/>
            </w:tcBorders>
            <w:tcMar>
              <w:left w:w="85" w:type="dxa"/>
              <w:right w:w="85" w:type="dxa"/>
            </w:tcMar>
          </w:tcPr>
          <w:p w14:paraId="1F9C354A" w14:textId="77777777" w:rsidR="006A60A1" w:rsidRPr="00C86E49" w:rsidRDefault="006A60A1">
            <w:pPr>
              <w:pStyle w:val="TableText"/>
              <w:jc w:val="center"/>
            </w:pPr>
          </w:p>
        </w:tc>
        <w:tc>
          <w:tcPr>
            <w:tcW w:w="786" w:type="pct"/>
            <w:tcBorders>
              <w:top w:val="single" w:sz="4" w:space="0" w:color="auto"/>
              <w:left w:val="nil"/>
              <w:bottom w:val="single" w:sz="4" w:space="0" w:color="auto"/>
              <w:right w:val="nil"/>
            </w:tcBorders>
            <w:noWrap/>
            <w:tcMar>
              <w:left w:w="85" w:type="dxa"/>
              <w:right w:w="85" w:type="dxa"/>
            </w:tcMar>
          </w:tcPr>
          <w:p w14:paraId="46B52D00" w14:textId="77777777" w:rsidR="006A60A1" w:rsidRPr="00C86E49" w:rsidRDefault="006A60A1">
            <w:pPr>
              <w:pStyle w:val="TableText"/>
              <w:jc w:val="center"/>
            </w:pPr>
          </w:p>
        </w:tc>
        <w:tc>
          <w:tcPr>
            <w:tcW w:w="786" w:type="pct"/>
            <w:tcBorders>
              <w:top w:val="single" w:sz="4" w:space="0" w:color="auto"/>
              <w:left w:val="nil"/>
              <w:bottom w:val="single" w:sz="4" w:space="0" w:color="auto"/>
              <w:right w:val="nil"/>
            </w:tcBorders>
            <w:noWrap/>
            <w:tcMar>
              <w:left w:w="85" w:type="dxa"/>
              <w:right w:w="85" w:type="dxa"/>
            </w:tcMar>
          </w:tcPr>
          <w:p w14:paraId="32811D04" w14:textId="77777777" w:rsidR="006A60A1" w:rsidRPr="00C86E49" w:rsidRDefault="006A60A1">
            <w:pPr>
              <w:pStyle w:val="TableText"/>
              <w:jc w:val="center"/>
            </w:pPr>
          </w:p>
        </w:tc>
        <w:tc>
          <w:tcPr>
            <w:tcW w:w="915" w:type="pct"/>
            <w:tcBorders>
              <w:top w:val="nil"/>
              <w:left w:val="nil"/>
              <w:bottom w:val="single" w:sz="4" w:space="0" w:color="auto"/>
            </w:tcBorders>
            <w:tcMar>
              <w:left w:w="85" w:type="dxa"/>
              <w:right w:w="85" w:type="dxa"/>
            </w:tcMar>
          </w:tcPr>
          <w:p w14:paraId="1E42FF71" w14:textId="77777777" w:rsidR="006A60A1" w:rsidRPr="00C86E49" w:rsidRDefault="006A60A1">
            <w:pPr>
              <w:pStyle w:val="TableText"/>
              <w:jc w:val="center"/>
            </w:pPr>
          </w:p>
        </w:tc>
      </w:tr>
      <w:tr w:rsidR="006A60A1" w:rsidRPr="00C86E49" w14:paraId="455E4AF9" w14:textId="77777777" w:rsidTr="009410A1">
        <w:trPr>
          <w:cantSplit/>
          <w:trHeight w:val="300"/>
        </w:trPr>
        <w:tc>
          <w:tcPr>
            <w:tcW w:w="1727" w:type="pct"/>
            <w:tcBorders>
              <w:top w:val="single" w:sz="4" w:space="0" w:color="auto"/>
              <w:bottom w:val="single" w:sz="4" w:space="0" w:color="auto"/>
            </w:tcBorders>
            <w:noWrap/>
            <w:tcMar>
              <w:left w:w="85" w:type="dxa"/>
              <w:right w:w="85" w:type="dxa"/>
            </w:tcMar>
          </w:tcPr>
          <w:p w14:paraId="5732622B" w14:textId="77777777" w:rsidR="006A60A1" w:rsidRPr="00C86E49" w:rsidRDefault="006A60A1" w:rsidP="005964DD">
            <w:pPr>
              <w:pStyle w:val="TableText"/>
            </w:pPr>
            <w:r w:rsidRPr="00C86E49">
              <w:t>Costs</w:t>
            </w:r>
          </w:p>
        </w:tc>
        <w:tc>
          <w:tcPr>
            <w:tcW w:w="786" w:type="pct"/>
            <w:tcBorders>
              <w:top w:val="single" w:sz="4" w:space="0" w:color="auto"/>
              <w:bottom w:val="single" w:sz="4" w:space="0" w:color="auto"/>
            </w:tcBorders>
            <w:tcMar>
              <w:left w:w="85" w:type="dxa"/>
              <w:right w:w="85" w:type="dxa"/>
            </w:tcMar>
          </w:tcPr>
          <w:p w14:paraId="42ECE995" w14:textId="2E6C610A" w:rsidR="006A60A1" w:rsidRPr="00C86E49" w:rsidRDefault="006A60A1" w:rsidP="005964DD">
            <w:pPr>
              <w:pStyle w:val="TableText"/>
              <w:jc w:val="center"/>
            </w:pPr>
            <w:r w:rsidRPr="00375AEF">
              <w:t>$</w:t>
            </w:r>
            <w:r w:rsidR="008052C4" w:rsidRPr="00375AEF">
              <w:rPr>
                <w:b/>
                <w:bCs/>
              </w:rPr>
              <w:t>redacted</w:t>
            </w:r>
          </w:p>
        </w:tc>
        <w:tc>
          <w:tcPr>
            <w:tcW w:w="786" w:type="pct"/>
            <w:tcBorders>
              <w:top w:val="single" w:sz="4" w:space="0" w:color="auto"/>
              <w:bottom w:val="single" w:sz="4" w:space="0" w:color="auto"/>
            </w:tcBorders>
            <w:noWrap/>
            <w:tcMar>
              <w:left w:w="85" w:type="dxa"/>
              <w:right w:w="85" w:type="dxa"/>
            </w:tcMar>
          </w:tcPr>
          <w:p w14:paraId="15C9CA6E" w14:textId="4FF76B6D" w:rsidR="006A60A1" w:rsidRPr="00C86E49" w:rsidRDefault="006A60A1" w:rsidP="005964DD">
            <w:pPr>
              <w:pStyle w:val="TableText"/>
              <w:jc w:val="center"/>
            </w:pPr>
            <w:r w:rsidRPr="00C86E49">
              <w:t>$63,853</w:t>
            </w:r>
          </w:p>
        </w:tc>
        <w:tc>
          <w:tcPr>
            <w:tcW w:w="786" w:type="pct"/>
            <w:tcBorders>
              <w:top w:val="single" w:sz="4" w:space="0" w:color="auto"/>
              <w:bottom w:val="single" w:sz="4" w:space="0" w:color="auto"/>
            </w:tcBorders>
            <w:noWrap/>
            <w:tcMar>
              <w:left w:w="85" w:type="dxa"/>
              <w:right w:w="85" w:type="dxa"/>
            </w:tcMar>
          </w:tcPr>
          <w:p w14:paraId="15B9220F" w14:textId="0ED38504" w:rsidR="006A60A1" w:rsidRPr="00375AEF" w:rsidRDefault="006A60A1" w:rsidP="005964DD">
            <w:pPr>
              <w:pStyle w:val="TableText"/>
              <w:jc w:val="center"/>
            </w:pPr>
            <w:r w:rsidRPr="00375AEF">
              <w:t>$</w:t>
            </w:r>
            <w:r w:rsidR="008052C4" w:rsidRPr="00375AEF">
              <w:rPr>
                <w:b/>
                <w:bCs/>
              </w:rPr>
              <w:t>redacted</w:t>
            </w:r>
          </w:p>
        </w:tc>
        <w:tc>
          <w:tcPr>
            <w:tcW w:w="915" w:type="pct"/>
            <w:tcBorders>
              <w:top w:val="single" w:sz="4" w:space="0" w:color="auto"/>
              <w:bottom w:val="nil"/>
            </w:tcBorders>
            <w:tcMar>
              <w:left w:w="85" w:type="dxa"/>
              <w:right w:w="85" w:type="dxa"/>
            </w:tcMar>
          </w:tcPr>
          <w:p w14:paraId="7A5C6366" w14:textId="63A2AFC3" w:rsidR="006A60A1" w:rsidRPr="00375AEF" w:rsidRDefault="006A60A1" w:rsidP="005964DD">
            <w:pPr>
              <w:pStyle w:val="TableText"/>
              <w:jc w:val="center"/>
            </w:pPr>
            <w:r w:rsidRPr="00375AEF">
              <w:t>$</w:t>
            </w:r>
            <w:r w:rsidR="008052C4" w:rsidRPr="00375AEF">
              <w:rPr>
                <w:b/>
                <w:bCs/>
              </w:rPr>
              <w:t>redacted</w:t>
            </w:r>
          </w:p>
        </w:tc>
      </w:tr>
      <w:tr w:rsidR="006A60A1" w:rsidRPr="00C86E49" w14:paraId="376AE922" w14:textId="77777777" w:rsidTr="009410A1">
        <w:trPr>
          <w:cantSplit/>
          <w:trHeight w:val="300"/>
        </w:trPr>
        <w:tc>
          <w:tcPr>
            <w:tcW w:w="1727" w:type="pct"/>
            <w:tcBorders>
              <w:top w:val="single" w:sz="4" w:space="0" w:color="auto"/>
              <w:bottom w:val="single" w:sz="4" w:space="0" w:color="auto"/>
            </w:tcBorders>
            <w:noWrap/>
            <w:tcMar>
              <w:left w:w="85" w:type="dxa"/>
              <w:right w:w="85" w:type="dxa"/>
            </w:tcMar>
          </w:tcPr>
          <w:p w14:paraId="4D6F034E" w14:textId="0AFE1A26" w:rsidR="006A60A1" w:rsidRPr="00C86E49" w:rsidRDefault="006A60A1">
            <w:pPr>
              <w:pStyle w:val="TableText"/>
            </w:pPr>
            <w:r w:rsidRPr="00C86E49">
              <w:t>Outcomes</w:t>
            </w:r>
            <w:r w:rsidR="00F21ECA" w:rsidRPr="00C86E49">
              <w:t xml:space="preserve"> (QALYs)</w:t>
            </w:r>
          </w:p>
        </w:tc>
        <w:tc>
          <w:tcPr>
            <w:tcW w:w="786" w:type="pct"/>
            <w:tcBorders>
              <w:top w:val="single" w:sz="4" w:space="0" w:color="auto"/>
              <w:bottom w:val="single" w:sz="4" w:space="0" w:color="auto"/>
            </w:tcBorders>
            <w:tcMar>
              <w:left w:w="85" w:type="dxa"/>
              <w:right w:w="85" w:type="dxa"/>
            </w:tcMar>
          </w:tcPr>
          <w:p w14:paraId="36DEA0CD" w14:textId="53A6029C" w:rsidR="006A60A1" w:rsidRPr="00C86E49" w:rsidRDefault="006A60A1">
            <w:pPr>
              <w:pStyle w:val="TableText"/>
              <w:jc w:val="center"/>
            </w:pPr>
            <w:r w:rsidRPr="00C86E49">
              <w:t>3.512</w:t>
            </w:r>
          </w:p>
        </w:tc>
        <w:tc>
          <w:tcPr>
            <w:tcW w:w="786" w:type="pct"/>
            <w:tcBorders>
              <w:top w:val="single" w:sz="4" w:space="0" w:color="auto"/>
              <w:bottom w:val="single" w:sz="4" w:space="0" w:color="auto"/>
            </w:tcBorders>
            <w:noWrap/>
            <w:tcMar>
              <w:left w:w="85" w:type="dxa"/>
              <w:right w:w="85" w:type="dxa"/>
            </w:tcMar>
          </w:tcPr>
          <w:p w14:paraId="15CBADAB" w14:textId="409A7A09" w:rsidR="006A60A1" w:rsidRPr="00C86E49" w:rsidRDefault="006A60A1">
            <w:pPr>
              <w:pStyle w:val="TableText"/>
              <w:jc w:val="center"/>
            </w:pPr>
            <w:r w:rsidRPr="00C86E49">
              <w:t>2.826</w:t>
            </w:r>
          </w:p>
        </w:tc>
        <w:tc>
          <w:tcPr>
            <w:tcW w:w="786" w:type="pct"/>
            <w:tcBorders>
              <w:top w:val="single" w:sz="4" w:space="0" w:color="auto"/>
              <w:bottom w:val="single" w:sz="4" w:space="0" w:color="auto"/>
            </w:tcBorders>
            <w:noWrap/>
            <w:tcMar>
              <w:left w:w="85" w:type="dxa"/>
              <w:right w:w="85" w:type="dxa"/>
            </w:tcMar>
          </w:tcPr>
          <w:p w14:paraId="3A0AF877" w14:textId="0849A3EA" w:rsidR="006A60A1" w:rsidRPr="00C86E49" w:rsidRDefault="006A60A1">
            <w:pPr>
              <w:pStyle w:val="TableText"/>
              <w:jc w:val="center"/>
            </w:pPr>
            <w:r w:rsidRPr="00C86E49">
              <w:t>0.686</w:t>
            </w:r>
          </w:p>
        </w:tc>
        <w:tc>
          <w:tcPr>
            <w:tcW w:w="915" w:type="pct"/>
            <w:tcBorders>
              <w:top w:val="nil"/>
              <w:bottom w:val="single" w:sz="4" w:space="0" w:color="auto"/>
            </w:tcBorders>
            <w:tcMar>
              <w:left w:w="85" w:type="dxa"/>
              <w:right w:w="85" w:type="dxa"/>
            </w:tcMar>
          </w:tcPr>
          <w:p w14:paraId="51EACA97" w14:textId="77777777" w:rsidR="006A60A1" w:rsidRPr="00C86E49" w:rsidRDefault="006A60A1">
            <w:pPr>
              <w:pStyle w:val="TableText"/>
              <w:jc w:val="center"/>
            </w:pPr>
            <w:r w:rsidRPr="00C86E49">
              <w:t>per QALY</w:t>
            </w:r>
          </w:p>
        </w:tc>
      </w:tr>
      <w:tr w:rsidR="006A60A1" w:rsidRPr="00C86E49" w14:paraId="3E96F1AF" w14:textId="77777777" w:rsidTr="009410A1">
        <w:trPr>
          <w:cantSplit/>
          <w:trHeight w:val="300"/>
        </w:trPr>
        <w:tc>
          <w:tcPr>
            <w:tcW w:w="1727" w:type="pct"/>
            <w:tcBorders>
              <w:top w:val="single" w:sz="4" w:space="0" w:color="auto"/>
            </w:tcBorders>
            <w:noWrap/>
            <w:tcMar>
              <w:left w:w="85" w:type="dxa"/>
              <w:right w:w="85" w:type="dxa"/>
            </w:tcMar>
          </w:tcPr>
          <w:p w14:paraId="04849CB5" w14:textId="72A619DE" w:rsidR="006A60A1" w:rsidRPr="00C86E49" w:rsidRDefault="006A60A1">
            <w:pPr>
              <w:pStyle w:val="TableText"/>
            </w:pPr>
            <w:r w:rsidRPr="00C86E49">
              <w:t>Outcomes – commentary revised</w:t>
            </w:r>
            <w:r w:rsidRPr="00C86E49">
              <w:rPr>
                <w:vertAlign w:val="superscript"/>
              </w:rPr>
              <w:t>a</w:t>
            </w:r>
          </w:p>
        </w:tc>
        <w:tc>
          <w:tcPr>
            <w:tcW w:w="786" w:type="pct"/>
            <w:tcBorders>
              <w:top w:val="single" w:sz="4" w:space="0" w:color="auto"/>
            </w:tcBorders>
            <w:tcMar>
              <w:left w:w="85" w:type="dxa"/>
              <w:right w:w="85" w:type="dxa"/>
            </w:tcMar>
          </w:tcPr>
          <w:p w14:paraId="6E7C6F1E" w14:textId="16EF0250" w:rsidR="006A60A1" w:rsidRPr="00C86E49" w:rsidRDefault="006A60A1">
            <w:pPr>
              <w:pStyle w:val="TableText"/>
              <w:jc w:val="center"/>
            </w:pPr>
            <w:r w:rsidRPr="00C86E49">
              <w:t>3.922</w:t>
            </w:r>
          </w:p>
        </w:tc>
        <w:tc>
          <w:tcPr>
            <w:tcW w:w="786" w:type="pct"/>
            <w:tcBorders>
              <w:top w:val="single" w:sz="4" w:space="0" w:color="auto"/>
            </w:tcBorders>
            <w:noWrap/>
            <w:tcMar>
              <w:left w:w="85" w:type="dxa"/>
              <w:right w:w="85" w:type="dxa"/>
            </w:tcMar>
          </w:tcPr>
          <w:p w14:paraId="36BFC7E9" w14:textId="403AD46E" w:rsidR="006A60A1" w:rsidRPr="00C86E49" w:rsidRDefault="006A60A1">
            <w:pPr>
              <w:pStyle w:val="TableText"/>
              <w:jc w:val="center"/>
            </w:pPr>
            <w:r w:rsidRPr="00C86E49">
              <w:t>3.270</w:t>
            </w:r>
          </w:p>
        </w:tc>
        <w:tc>
          <w:tcPr>
            <w:tcW w:w="786" w:type="pct"/>
            <w:tcBorders>
              <w:top w:val="single" w:sz="4" w:space="0" w:color="auto"/>
            </w:tcBorders>
            <w:noWrap/>
            <w:tcMar>
              <w:left w:w="85" w:type="dxa"/>
              <w:right w:w="85" w:type="dxa"/>
            </w:tcMar>
          </w:tcPr>
          <w:p w14:paraId="1E8E5408" w14:textId="202ADC92" w:rsidR="006A60A1" w:rsidRPr="00C86E49" w:rsidRDefault="006A60A1">
            <w:pPr>
              <w:pStyle w:val="TableText"/>
              <w:jc w:val="center"/>
            </w:pPr>
            <w:r w:rsidRPr="00C86E49">
              <w:t>0.722</w:t>
            </w:r>
          </w:p>
        </w:tc>
        <w:tc>
          <w:tcPr>
            <w:tcW w:w="915" w:type="pct"/>
            <w:tcBorders>
              <w:top w:val="single" w:sz="4" w:space="0" w:color="auto"/>
            </w:tcBorders>
            <w:tcMar>
              <w:left w:w="85" w:type="dxa"/>
              <w:right w:w="85" w:type="dxa"/>
            </w:tcMar>
          </w:tcPr>
          <w:p w14:paraId="553A7492" w14:textId="733DA65A" w:rsidR="006A60A1" w:rsidRPr="00C86E49" w:rsidRDefault="006A60A1">
            <w:pPr>
              <w:pStyle w:val="TableText"/>
              <w:jc w:val="center"/>
            </w:pPr>
            <w:r w:rsidRPr="00375AEF">
              <w:t>$</w:t>
            </w:r>
            <w:r w:rsidR="008052C4" w:rsidRPr="00375AEF">
              <w:rPr>
                <w:b/>
                <w:bCs/>
              </w:rPr>
              <w:t>redacted</w:t>
            </w:r>
            <w:r w:rsidR="0076014B" w:rsidRPr="00375AEF">
              <w:br/>
              <w:t>per QALY</w:t>
            </w:r>
          </w:p>
        </w:tc>
      </w:tr>
    </w:tbl>
    <w:p w14:paraId="3BFF2618" w14:textId="415841A8" w:rsidR="00A50A23" w:rsidRPr="00C86E49" w:rsidRDefault="00507C05" w:rsidP="00A50A23">
      <w:pPr>
        <w:pStyle w:val="TableFigureFooter"/>
        <w:rPr>
          <w:rFonts w:eastAsia="Calibri"/>
        </w:rPr>
      </w:pPr>
      <w:r w:rsidRPr="00C86E49">
        <w:rPr>
          <w:rFonts w:eastAsia="Calibri"/>
        </w:rPr>
        <w:t>ECPELLA = VA</w:t>
      </w:r>
      <w:r w:rsidR="00842C76" w:rsidRPr="00C86E49">
        <w:rPr>
          <w:rFonts w:eastAsia="Calibri"/>
        </w:rPr>
        <w:t>-</w:t>
      </w:r>
      <w:r w:rsidRPr="00C86E49">
        <w:rPr>
          <w:rFonts w:eastAsia="Calibri"/>
        </w:rPr>
        <w:t xml:space="preserve">ECMO + IMPELLA; </w:t>
      </w:r>
      <w:r w:rsidR="00A50A23" w:rsidRPr="00C86E49">
        <w:rPr>
          <w:rFonts w:eastAsia="Calibri"/>
        </w:rPr>
        <w:t>ICER</w:t>
      </w:r>
      <w:r w:rsidR="00A50A23" w:rsidRPr="00C86E49">
        <w:rPr>
          <w:rFonts w:eastAsiaTheme="minorHAnsi"/>
        </w:rPr>
        <w:t xml:space="preserve"> = </w:t>
      </w:r>
      <w:r w:rsidR="00A50A23" w:rsidRPr="00C86E49">
        <w:rPr>
          <w:rFonts w:eastAsia="Calibri"/>
        </w:rPr>
        <w:t xml:space="preserve">incremental cost-effectiveness ratio; </w:t>
      </w:r>
      <w:r w:rsidR="00AC21BF" w:rsidRPr="00C86E49">
        <w:rPr>
          <w:rFonts w:eastAsia="Calibri"/>
        </w:rPr>
        <w:t xml:space="preserve">LY = life year; </w:t>
      </w:r>
      <w:r w:rsidR="00A50A23" w:rsidRPr="00C86E49">
        <w:rPr>
          <w:rFonts w:eastAsia="Calibri"/>
        </w:rPr>
        <w:t>QALY</w:t>
      </w:r>
      <w:r w:rsidR="00A50A23" w:rsidRPr="00C86E49">
        <w:t xml:space="preserve"> </w:t>
      </w:r>
      <w:r w:rsidR="00A50A23" w:rsidRPr="00C86E49">
        <w:rPr>
          <w:rFonts w:eastAsia="Calibri"/>
        </w:rPr>
        <w:t>= quality adjusted life years; SV = surgical venting; VA-ECMO</w:t>
      </w:r>
      <w:r w:rsidR="00A50A23" w:rsidRPr="00C86E49">
        <w:t xml:space="preserve"> </w:t>
      </w:r>
      <w:r w:rsidR="00A50A23" w:rsidRPr="00C86E49">
        <w:rPr>
          <w:rFonts w:eastAsia="Calibri"/>
        </w:rPr>
        <w:t>= veno-arterial extracorporeal membrane oxygenation.</w:t>
      </w:r>
    </w:p>
    <w:p w14:paraId="231FB6FF" w14:textId="7247D1B4" w:rsidR="00C14895" w:rsidRPr="00C86E49" w:rsidRDefault="00A50A23" w:rsidP="00A50A23">
      <w:pPr>
        <w:pStyle w:val="TableFigureFooter"/>
      </w:pPr>
      <w:r w:rsidRPr="00C86E49">
        <w:t xml:space="preserve">Note: Cost inputs were taken from the ADAR, not updated to reflect </w:t>
      </w:r>
      <w:r w:rsidR="000662E8" w:rsidRPr="00C86E49">
        <w:t xml:space="preserve">current </w:t>
      </w:r>
      <w:r w:rsidRPr="00C86E49">
        <w:t xml:space="preserve">MBS fees. </w:t>
      </w:r>
    </w:p>
    <w:p w14:paraId="4665498D" w14:textId="20D0D88D" w:rsidR="00A50A23" w:rsidRPr="00C86E49" w:rsidRDefault="00C14895" w:rsidP="00A50A23">
      <w:pPr>
        <w:pStyle w:val="TableFigureFooter"/>
      </w:pPr>
      <w:proofErr w:type="gramStart"/>
      <w:r w:rsidRPr="00C86E49">
        <w:rPr>
          <w:vertAlign w:val="superscript"/>
        </w:rPr>
        <w:t>a</w:t>
      </w:r>
      <w:proofErr w:type="gramEnd"/>
      <w:r w:rsidRPr="00C86E49">
        <w:t xml:space="preserve"> </w:t>
      </w:r>
      <w:r w:rsidR="00A50A23" w:rsidRPr="00C86E49">
        <w:t>Alternative 30-day/in-hospital mortality risk weightings were used in the commentary calculations (Table 72 of MSAC 1523.1 ADAR+in-line commentary).</w:t>
      </w:r>
    </w:p>
    <w:p w14:paraId="08CB3EE6" w14:textId="06624AF0" w:rsidR="00F777DF" w:rsidRPr="00C86E49" w:rsidRDefault="00A50A23" w:rsidP="005964DD">
      <w:pPr>
        <w:pStyle w:val="TableFigureFooter"/>
      </w:pPr>
      <w:r w:rsidRPr="00C86E49">
        <w:t>Source: Table 99</w:t>
      </w:r>
      <w:r w:rsidR="00A61B3D" w:rsidRPr="00C86E49">
        <w:t xml:space="preserve">, Table </w:t>
      </w:r>
      <w:r w:rsidR="000B2CF5" w:rsidRPr="00C86E49">
        <w:t xml:space="preserve">102, Table </w:t>
      </w:r>
      <w:proofErr w:type="gramStart"/>
      <w:r w:rsidR="000B2CF5" w:rsidRPr="00C86E49">
        <w:t>103</w:t>
      </w:r>
      <w:proofErr w:type="gramEnd"/>
      <w:r w:rsidR="00B21EC4" w:rsidRPr="00C86E49">
        <w:t xml:space="preserve"> and Table</w:t>
      </w:r>
      <w:r w:rsidR="00864C40" w:rsidRPr="00C86E49">
        <w:t xml:space="preserve"> 74</w:t>
      </w:r>
      <w:r w:rsidRPr="00C86E49">
        <w:t xml:space="preserve"> of MSAC 1523.1 ADAR+in-line commentary.</w:t>
      </w:r>
    </w:p>
    <w:bookmarkEnd w:id="44"/>
    <w:p w14:paraId="37FFA595" w14:textId="0F25264D" w:rsidR="00875302" w:rsidRPr="00C86E49" w:rsidRDefault="00875302" w:rsidP="00875302">
      <w:r w:rsidRPr="00C86E49">
        <w:t xml:space="preserve">The </w:t>
      </w:r>
      <w:r w:rsidR="00CF72B4" w:rsidRPr="00C86E49">
        <w:t>ADAR’s economic evaluation</w:t>
      </w:r>
      <w:r w:rsidRPr="00C86E49">
        <w:t xml:space="preserve"> do</w:t>
      </w:r>
      <w:r w:rsidR="00CF72B4" w:rsidRPr="00C86E49">
        <w:t>es</w:t>
      </w:r>
      <w:r w:rsidRPr="00C86E49">
        <w:t xml:space="preserve"> not take into consideration several factors that could increase costs </w:t>
      </w:r>
      <w:r w:rsidR="00DE4B93" w:rsidRPr="00C86E49">
        <w:t>relating to</w:t>
      </w:r>
      <w:r w:rsidRPr="00C86E49">
        <w:t xml:space="preserve"> IMPELLA</w:t>
      </w:r>
      <w:r w:rsidR="00CF72B4" w:rsidRPr="00C86E49">
        <w:t xml:space="preserve"> and change the cost-effectiveness estimates</w:t>
      </w:r>
      <w:r w:rsidRPr="00C86E49">
        <w:t>:</w:t>
      </w:r>
    </w:p>
    <w:p w14:paraId="331B546D" w14:textId="7EBFFBB1" w:rsidR="00DE4B93" w:rsidRPr="00C86E49" w:rsidRDefault="00875302" w:rsidP="00FA4CEF">
      <w:pPr>
        <w:pStyle w:val="ListParagraph"/>
        <w:numPr>
          <w:ilvl w:val="0"/>
          <w:numId w:val="13"/>
        </w:numPr>
      </w:pPr>
      <w:r w:rsidRPr="00C86E49">
        <w:t xml:space="preserve">some patients who receive IMPELLA may receive VA-ECMO afterwards due to respiratory failure, RHF, hemodynamic deterioration or progressive multi-organ </w:t>
      </w:r>
      <w:proofErr w:type="gramStart"/>
      <w:r w:rsidRPr="00C86E49">
        <w:t>failure</w:t>
      </w:r>
      <w:proofErr w:type="gramEnd"/>
    </w:p>
    <w:p w14:paraId="414B760E" w14:textId="7D14B40A" w:rsidR="00DA416F" w:rsidRPr="00C86E49" w:rsidRDefault="00875302" w:rsidP="00FA4CEF">
      <w:pPr>
        <w:pStyle w:val="ListParagraph"/>
        <w:numPr>
          <w:ilvl w:val="0"/>
          <w:numId w:val="13"/>
        </w:numPr>
      </w:pPr>
      <w:r w:rsidRPr="00C86E49">
        <w:t>some patients on IMPELLA 2.5 or CP may require transition to an IMPELLA 5.0 or 5.5</w:t>
      </w:r>
    </w:p>
    <w:p w14:paraId="47634891" w14:textId="24D0D486" w:rsidR="001C08D3" w:rsidRPr="00C86E49" w:rsidRDefault="001C08D3" w:rsidP="00FA4CEF">
      <w:pPr>
        <w:pStyle w:val="ListParagraph"/>
        <w:numPr>
          <w:ilvl w:val="0"/>
          <w:numId w:val="13"/>
        </w:numPr>
      </w:pPr>
      <w:r w:rsidRPr="00C86E49">
        <w:t xml:space="preserve">some patients with IMPELLA 5.0 or 5.5 may require </w:t>
      </w:r>
      <w:proofErr w:type="gramStart"/>
      <w:r w:rsidRPr="00C86E49">
        <w:t>reimplantation</w:t>
      </w:r>
      <w:proofErr w:type="gramEnd"/>
    </w:p>
    <w:p w14:paraId="6467D83E" w14:textId="0F3EC308" w:rsidR="00A27D27" w:rsidRPr="00C86E49" w:rsidRDefault="00875302" w:rsidP="00FA4CEF">
      <w:pPr>
        <w:pStyle w:val="ListParagraph"/>
        <w:numPr>
          <w:ilvl w:val="0"/>
          <w:numId w:val="13"/>
        </w:numPr>
        <w:spacing w:after="240"/>
        <w:ind w:left="714" w:hanging="357"/>
      </w:pPr>
      <w:r w:rsidRPr="00C86E49">
        <w:t>duration of support on IMPELLA may be longer in practice because the IMPELLA 5.5 can be used for up to 30 days, which is advantageous when waiting for a heart transplant.</w:t>
      </w:r>
    </w:p>
    <w:p w14:paraId="40FC0FAD" w14:textId="5C199FF5" w:rsidR="009B7BEF" w:rsidRPr="00C86E49" w:rsidRDefault="005C4B23" w:rsidP="009B7BEF">
      <w:r w:rsidRPr="00C86E49">
        <w:t xml:space="preserve">Both </w:t>
      </w:r>
      <w:r w:rsidR="009B7BEF" w:rsidRPr="00C86E49">
        <w:t xml:space="preserve">economic evaluations were most sensitive to the applied time horizon, short-term </w:t>
      </w:r>
      <w:proofErr w:type="gramStart"/>
      <w:r w:rsidR="009B7BEF" w:rsidRPr="00C86E49">
        <w:t>mortality</w:t>
      </w:r>
      <w:proofErr w:type="gramEnd"/>
      <w:r w:rsidR="009B7BEF" w:rsidRPr="00C86E49">
        <w:t xml:space="preserve"> and long-term standardised mortality rates. </w:t>
      </w:r>
    </w:p>
    <w:p w14:paraId="56EB7C23" w14:textId="601A803C" w:rsidR="00610ABA" w:rsidRPr="00C86E49" w:rsidRDefault="008B5B67" w:rsidP="00330A0A">
      <w:r w:rsidRPr="00C86E49">
        <w:t xml:space="preserve">The results of key </w:t>
      </w:r>
      <w:r w:rsidRPr="00C86E49">
        <w:rPr>
          <w:rStyle w:val="InstructionaltextChar"/>
          <w:color w:val="auto"/>
        </w:rPr>
        <w:t>univariate</w:t>
      </w:r>
      <w:r w:rsidRPr="00C86E49">
        <w:rPr>
          <w:color w:val="538135" w:themeColor="accent6" w:themeShade="BF"/>
        </w:rPr>
        <w:t xml:space="preserve"> </w:t>
      </w:r>
      <w:r w:rsidRPr="00C86E49">
        <w:t>sensitivity analyses are summarised below.</w:t>
      </w:r>
    </w:p>
    <w:p w14:paraId="2C785A4C" w14:textId="2307068B" w:rsidR="008B5B67" w:rsidRPr="00C86E49" w:rsidRDefault="008B5B67" w:rsidP="00D61D0E">
      <w:pPr>
        <w:pStyle w:val="Caption"/>
        <w:keepLines/>
      </w:pPr>
      <w:bookmarkStart w:id="46" w:name="_Ref69726347"/>
      <w:r w:rsidRPr="00C86E49">
        <w:t>Table</w:t>
      </w:r>
      <w:r w:rsidR="003571C2" w:rsidRPr="00C86E49">
        <w:t> </w:t>
      </w:r>
      <w:r w:rsidR="007552E5">
        <w:fldChar w:fldCharType="begin"/>
      </w:r>
      <w:r w:rsidR="007552E5">
        <w:instrText xml:space="preserve"> SEQ Table \* AR</w:instrText>
      </w:r>
      <w:r w:rsidR="007552E5">
        <w:instrText xml:space="preserve">ABIC </w:instrText>
      </w:r>
      <w:r w:rsidR="007552E5">
        <w:fldChar w:fldCharType="separate"/>
      </w:r>
      <w:r w:rsidR="00EF3514" w:rsidRPr="00C86E49">
        <w:rPr>
          <w:noProof/>
        </w:rPr>
        <w:t>16</w:t>
      </w:r>
      <w:r w:rsidR="007552E5">
        <w:rPr>
          <w:noProof/>
        </w:rPr>
        <w:fldChar w:fldCharType="end"/>
      </w:r>
      <w:bookmarkEnd w:id="46"/>
      <w:r w:rsidRPr="00C86E49">
        <w:tab/>
        <w:t>Sensitivity analyses</w:t>
      </w:r>
      <w:r w:rsidR="009F41F8" w:rsidRPr="00C86E49">
        <w:t>: IMPELLA versus VA-ECMO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nsitivity analyses: IMPELLA versus VA-ECMO"/>
        <w:tblDescription w:val="This table shows the results of the sensitivity analyses for IMPELLA versus VA-ECMO."/>
      </w:tblPr>
      <w:tblGrid>
        <w:gridCol w:w="4249"/>
        <w:gridCol w:w="1701"/>
        <w:gridCol w:w="1701"/>
        <w:gridCol w:w="1365"/>
      </w:tblGrid>
      <w:tr w:rsidR="008B5B67" w:rsidRPr="00C86E49" w14:paraId="69171B90" w14:textId="77777777" w:rsidTr="003233A7">
        <w:trPr>
          <w:cantSplit/>
          <w:trHeight w:val="420"/>
          <w:tblHeader/>
        </w:trPr>
        <w:tc>
          <w:tcPr>
            <w:tcW w:w="2356" w:type="pct"/>
            <w:vAlign w:val="center"/>
          </w:tcPr>
          <w:p w14:paraId="202CD84C" w14:textId="77777777" w:rsidR="008B5B67" w:rsidRPr="00C86E49" w:rsidRDefault="008B5B67" w:rsidP="00D61D0E">
            <w:pPr>
              <w:pStyle w:val="In-tableHeading"/>
              <w:keepLines/>
            </w:pPr>
            <w:bookmarkStart w:id="47" w:name="Title_Table11" w:colFirst="0" w:colLast="0"/>
            <w:bookmarkStart w:id="48" w:name="_Hlk68276702"/>
            <w:r w:rsidRPr="00C86E49">
              <w:t>Analyses</w:t>
            </w:r>
          </w:p>
        </w:tc>
        <w:tc>
          <w:tcPr>
            <w:tcW w:w="943" w:type="pct"/>
            <w:vAlign w:val="center"/>
          </w:tcPr>
          <w:p w14:paraId="7372A868" w14:textId="77777777" w:rsidR="008B5B67" w:rsidRPr="00C86E49" w:rsidRDefault="008B5B67" w:rsidP="00D61D0E">
            <w:pPr>
              <w:pStyle w:val="In-tableHeading"/>
              <w:keepLines/>
              <w:jc w:val="center"/>
            </w:pPr>
            <w:r w:rsidRPr="00C86E49">
              <w:t>Incremental cost</w:t>
            </w:r>
          </w:p>
        </w:tc>
        <w:tc>
          <w:tcPr>
            <w:tcW w:w="943" w:type="pct"/>
            <w:vAlign w:val="center"/>
          </w:tcPr>
          <w:p w14:paraId="10B3A4F5" w14:textId="77777777" w:rsidR="008B5B67" w:rsidRPr="00C86E49" w:rsidRDefault="008B5B67" w:rsidP="00D61D0E">
            <w:pPr>
              <w:pStyle w:val="In-tableHeading"/>
              <w:keepLines/>
              <w:jc w:val="center"/>
            </w:pPr>
            <w:r w:rsidRPr="00C86E49">
              <w:t>Incremental QALY</w:t>
            </w:r>
          </w:p>
        </w:tc>
        <w:tc>
          <w:tcPr>
            <w:tcW w:w="757" w:type="pct"/>
            <w:vAlign w:val="center"/>
          </w:tcPr>
          <w:p w14:paraId="56CBF231" w14:textId="77777777" w:rsidR="008B5B67" w:rsidRPr="00C86E49" w:rsidRDefault="008B5B67" w:rsidP="00D61D0E">
            <w:pPr>
              <w:pStyle w:val="In-tableHeading"/>
              <w:keepLines/>
              <w:jc w:val="center"/>
            </w:pPr>
            <w:r w:rsidRPr="00C86E49">
              <w:t>ICER</w:t>
            </w:r>
          </w:p>
        </w:tc>
      </w:tr>
      <w:bookmarkEnd w:id="47"/>
      <w:tr w:rsidR="00955208" w:rsidRPr="00C86E49" w14:paraId="451EB8ED" w14:textId="77777777" w:rsidTr="00FC1769">
        <w:trPr>
          <w:cantSplit/>
        </w:trPr>
        <w:tc>
          <w:tcPr>
            <w:tcW w:w="2356" w:type="pct"/>
            <w:tcBorders>
              <w:bottom w:val="single" w:sz="4" w:space="0" w:color="auto"/>
            </w:tcBorders>
          </w:tcPr>
          <w:p w14:paraId="36895461" w14:textId="77777777" w:rsidR="00955208" w:rsidRPr="00C86E49" w:rsidRDefault="00955208" w:rsidP="00D61D0E">
            <w:pPr>
              <w:pStyle w:val="TableText"/>
              <w:keepNext/>
              <w:keepLines/>
              <w:rPr>
                <w:b/>
              </w:rPr>
            </w:pPr>
            <w:r w:rsidRPr="00C86E49">
              <w:rPr>
                <w:b/>
              </w:rPr>
              <w:t>Base case</w:t>
            </w:r>
          </w:p>
        </w:tc>
        <w:tc>
          <w:tcPr>
            <w:tcW w:w="943" w:type="pct"/>
            <w:tcBorders>
              <w:bottom w:val="single" w:sz="4" w:space="0" w:color="auto"/>
            </w:tcBorders>
          </w:tcPr>
          <w:p w14:paraId="4D76EAC0" w14:textId="7FA9163C" w:rsidR="00955208" w:rsidRPr="00375AEF" w:rsidRDefault="00955208" w:rsidP="00D61D0E">
            <w:pPr>
              <w:pStyle w:val="TableText"/>
              <w:keepNext/>
              <w:keepLines/>
              <w:jc w:val="center"/>
              <w:rPr>
                <w:b/>
                <w:bCs/>
              </w:rPr>
            </w:pPr>
            <w:r w:rsidRPr="00375AEF">
              <w:rPr>
                <w:b/>
                <w:bCs/>
              </w:rPr>
              <w:t>$</w:t>
            </w:r>
            <w:r w:rsidR="00246143" w:rsidRPr="00375AEF">
              <w:rPr>
                <w:b/>
                <w:bCs/>
              </w:rPr>
              <w:t>redacted</w:t>
            </w:r>
          </w:p>
        </w:tc>
        <w:tc>
          <w:tcPr>
            <w:tcW w:w="943" w:type="pct"/>
            <w:tcBorders>
              <w:bottom w:val="single" w:sz="4" w:space="0" w:color="auto"/>
            </w:tcBorders>
          </w:tcPr>
          <w:p w14:paraId="66189599" w14:textId="15274FBB" w:rsidR="00955208" w:rsidRPr="00C86E49" w:rsidRDefault="00955208" w:rsidP="00D61D0E">
            <w:pPr>
              <w:pStyle w:val="TableText"/>
              <w:keepNext/>
              <w:keepLines/>
              <w:jc w:val="center"/>
              <w:rPr>
                <w:b/>
                <w:bCs/>
              </w:rPr>
            </w:pPr>
            <w:r w:rsidRPr="00C86E49">
              <w:rPr>
                <w:b/>
                <w:bCs/>
              </w:rPr>
              <w:t>1.2055</w:t>
            </w:r>
          </w:p>
        </w:tc>
        <w:tc>
          <w:tcPr>
            <w:tcW w:w="757" w:type="pct"/>
            <w:shd w:val="clear" w:color="auto" w:fill="auto"/>
          </w:tcPr>
          <w:p w14:paraId="58300438" w14:textId="14C6E885" w:rsidR="00955208" w:rsidRPr="00375AEF" w:rsidRDefault="00955208" w:rsidP="00D61D0E">
            <w:pPr>
              <w:pStyle w:val="TableText"/>
              <w:keepNext/>
              <w:keepLines/>
              <w:jc w:val="center"/>
              <w:rPr>
                <w:b/>
                <w:bCs/>
              </w:rPr>
            </w:pPr>
            <w:r w:rsidRPr="00375AEF">
              <w:rPr>
                <w:b/>
                <w:bCs/>
              </w:rPr>
              <w:t>$</w:t>
            </w:r>
            <w:r w:rsidR="00246143" w:rsidRPr="00375AEF">
              <w:rPr>
                <w:b/>
                <w:bCs/>
              </w:rPr>
              <w:t>redacted</w:t>
            </w:r>
          </w:p>
        </w:tc>
      </w:tr>
      <w:tr w:rsidR="00317498" w:rsidRPr="00C86E49" w14:paraId="38F07362" w14:textId="77777777" w:rsidTr="003233A7">
        <w:trPr>
          <w:cantSplit/>
        </w:trPr>
        <w:tc>
          <w:tcPr>
            <w:tcW w:w="2356" w:type="pct"/>
            <w:tcBorders>
              <w:right w:val="nil"/>
            </w:tcBorders>
          </w:tcPr>
          <w:p w14:paraId="27F499DC" w14:textId="3C0ED3AD" w:rsidR="00317498" w:rsidRPr="00C86E49" w:rsidRDefault="00317498" w:rsidP="00D61D0E">
            <w:pPr>
              <w:pStyle w:val="TableText"/>
              <w:keepNext/>
              <w:keepLines/>
            </w:pPr>
            <w:r w:rsidRPr="00C86E49">
              <w:t>Time horizon (base case: lifetime, 37 years)</w:t>
            </w:r>
          </w:p>
        </w:tc>
        <w:tc>
          <w:tcPr>
            <w:tcW w:w="943" w:type="pct"/>
            <w:tcBorders>
              <w:left w:val="nil"/>
              <w:right w:val="nil"/>
            </w:tcBorders>
          </w:tcPr>
          <w:p w14:paraId="6DBF6602" w14:textId="77777777" w:rsidR="00317498" w:rsidRPr="00375AEF" w:rsidRDefault="00317498" w:rsidP="00D61D0E">
            <w:pPr>
              <w:pStyle w:val="TableText"/>
              <w:keepNext/>
              <w:keepLines/>
              <w:jc w:val="center"/>
            </w:pPr>
          </w:p>
        </w:tc>
        <w:tc>
          <w:tcPr>
            <w:tcW w:w="943" w:type="pct"/>
            <w:tcBorders>
              <w:left w:val="nil"/>
              <w:right w:val="nil"/>
            </w:tcBorders>
          </w:tcPr>
          <w:p w14:paraId="62B959CE" w14:textId="77777777" w:rsidR="00317498" w:rsidRPr="00C86E49" w:rsidRDefault="00317498" w:rsidP="00D61D0E">
            <w:pPr>
              <w:pStyle w:val="TableText"/>
              <w:keepNext/>
              <w:keepLines/>
              <w:jc w:val="center"/>
            </w:pPr>
          </w:p>
        </w:tc>
        <w:tc>
          <w:tcPr>
            <w:tcW w:w="757" w:type="pct"/>
            <w:tcBorders>
              <w:left w:val="nil"/>
            </w:tcBorders>
          </w:tcPr>
          <w:p w14:paraId="7BB71012" w14:textId="77777777" w:rsidR="00317498" w:rsidRPr="00375AEF" w:rsidRDefault="00317498" w:rsidP="00D61D0E">
            <w:pPr>
              <w:pStyle w:val="TableText"/>
              <w:keepNext/>
              <w:keepLines/>
              <w:jc w:val="center"/>
            </w:pPr>
          </w:p>
        </w:tc>
      </w:tr>
      <w:tr w:rsidR="00317498" w:rsidRPr="00C86E49" w14:paraId="00742E59" w14:textId="77777777" w:rsidTr="003233A7">
        <w:trPr>
          <w:cantSplit/>
        </w:trPr>
        <w:tc>
          <w:tcPr>
            <w:tcW w:w="2356" w:type="pct"/>
          </w:tcPr>
          <w:p w14:paraId="648CA0C4" w14:textId="77777777" w:rsidR="00317498" w:rsidRPr="00C86E49" w:rsidRDefault="00317498" w:rsidP="00D61D0E">
            <w:pPr>
              <w:pStyle w:val="TableText"/>
              <w:keepNext/>
              <w:keepLines/>
              <w:ind w:firstLine="164"/>
            </w:pPr>
            <w:r w:rsidRPr="00C86E49">
              <w:t>20 years</w:t>
            </w:r>
          </w:p>
        </w:tc>
        <w:tc>
          <w:tcPr>
            <w:tcW w:w="943" w:type="pct"/>
          </w:tcPr>
          <w:p w14:paraId="02006748" w14:textId="2DD2FF5F" w:rsidR="00317498" w:rsidRPr="00375AEF" w:rsidRDefault="00317498" w:rsidP="00D61D0E">
            <w:pPr>
              <w:pStyle w:val="TableText"/>
              <w:keepNext/>
              <w:keepLines/>
              <w:jc w:val="center"/>
            </w:pPr>
            <w:r w:rsidRPr="00375AEF">
              <w:t>$</w:t>
            </w:r>
            <w:r w:rsidR="00246143" w:rsidRPr="00375AEF">
              <w:rPr>
                <w:b/>
                <w:bCs/>
              </w:rPr>
              <w:t>redacted</w:t>
            </w:r>
          </w:p>
        </w:tc>
        <w:tc>
          <w:tcPr>
            <w:tcW w:w="943" w:type="pct"/>
          </w:tcPr>
          <w:p w14:paraId="6486F418" w14:textId="442DD450" w:rsidR="00317498" w:rsidRPr="00C86E49" w:rsidRDefault="00317498" w:rsidP="00D61D0E">
            <w:pPr>
              <w:pStyle w:val="TableText"/>
              <w:keepNext/>
              <w:keepLines/>
              <w:jc w:val="center"/>
            </w:pPr>
            <w:r w:rsidRPr="00C86E49">
              <w:t>1.0720</w:t>
            </w:r>
          </w:p>
        </w:tc>
        <w:tc>
          <w:tcPr>
            <w:tcW w:w="757" w:type="pct"/>
          </w:tcPr>
          <w:p w14:paraId="284F2CBE" w14:textId="129BBD2D" w:rsidR="00317498" w:rsidRPr="00375AEF" w:rsidRDefault="00317498" w:rsidP="00D61D0E">
            <w:pPr>
              <w:pStyle w:val="TableText"/>
              <w:keepNext/>
              <w:keepLines/>
              <w:jc w:val="center"/>
            </w:pPr>
            <w:r w:rsidRPr="00375AEF">
              <w:t>$</w:t>
            </w:r>
            <w:r w:rsidR="00246143" w:rsidRPr="00375AEF">
              <w:rPr>
                <w:b/>
              </w:rPr>
              <w:t>r</w:t>
            </w:r>
            <w:r w:rsidR="00246143" w:rsidRPr="00375AEF">
              <w:rPr>
                <w:b/>
                <w:bCs/>
              </w:rPr>
              <w:t>edacted</w:t>
            </w:r>
          </w:p>
        </w:tc>
      </w:tr>
      <w:tr w:rsidR="00317498" w:rsidRPr="00C86E49" w14:paraId="4520D3D7" w14:textId="77777777" w:rsidTr="003233A7">
        <w:trPr>
          <w:cantSplit/>
          <w:trHeight w:val="283"/>
        </w:trPr>
        <w:tc>
          <w:tcPr>
            <w:tcW w:w="2356" w:type="pct"/>
            <w:tcBorders>
              <w:bottom w:val="single" w:sz="4" w:space="0" w:color="auto"/>
            </w:tcBorders>
          </w:tcPr>
          <w:p w14:paraId="0422BE17" w14:textId="77777777" w:rsidR="00317498" w:rsidRPr="00C86E49" w:rsidRDefault="00317498" w:rsidP="00D61D0E">
            <w:pPr>
              <w:pStyle w:val="TableText"/>
              <w:keepNext/>
              <w:keepLines/>
              <w:ind w:firstLine="164"/>
            </w:pPr>
            <w:r w:rsidRPr="00C86E49">
              <w:t>10 years</w:t>
            </w:r>
          </w:p>
        </w:tc>
        <w:tc>
          <w:tcPr>
            <w:tcW w:w="943" w:type="pct"/>
            <w:tcBorders>
              <w:bottom w:val="single" w:sz="4" w:space="0" w:color="auto"/>
            </w:tcBorders>
          </w:tcPr>
          <w:p w14:paraId="43E31CD9" w14:textId="7BB51CC5" w:rsidR="00317498" w:rsidRPr="00375AEF" w:rsidRDefault="00317498" w:rsidP="00D61D0E">
            <w:pPr>
              <w:pStyle w:val="TableText"/>
              <w:keepNext/>
              <w:keepLines/>
              <w:jc w:val="center"/>
            </w:pPr>
            <w:r w:rsidRPr="00375AEF">
              <w:t>$</w:t>
            </w:r>
            <w:r w:rsidR="00246143" w:rsidRPr="00375AEF">
              <w:rPr>
                <w:b/>
                <w:bCs/>
              </w:rPr>
              <w:t>redacted</w:t>
            </w:r>
            <w:r w:rsidR="00246143" w:rsidRPr="00375AEF">
              <w:t xml:space="preserve"> </w:t>
            </w:r>
          </w:p>
        </w:tc>
        <w:tc>
          <w:tcPr>
            <w:tcW w:w="943" w:type="pct"/>
            <w:tcBorders>
              <w:bottom w:val="single" w:sz="4" w:space="0" w:color="auto"/>
            </w:tcBorders>
          </w:tcPr>
          <w:p w14:paraId="7AD68169" w14:textId="5F7797EF" w:rsidR="00317498" w:rsidRPr="00C86E49" w:rsidRDefault="00317498" w:rsidP="00D61D0E">
            <w:pPr>
              <w:pStyle w:val="TableText"/>
              <w:keepNext/>
              <w:keepLines/>
              <w:jc w:val="center"/>
            </w:pPr>
            <w:r w:rsidRPr="00C86E49">
              <w:t>0.7233</w:t>
            </w:r>
          </w:p>
        </w:tc>
        <w:tc>
          <w:tcPr>
            <w:tcW w:w="757" w:type="pct"/>
          </w:tcPr>
          <w:p w14:paraId="122F8C2A" w14:textId="6E1D9EF6" w:rsidR="00317498" w:rsidRPr="00375AEF" w:rsidRDefault="00317498" w:rsidP="00D61D0E">
            <w:pPr>
              <w:pStyle w:val="TableText"/>
              <w:keepNext/>
              <w:keepLines/>
              <w:jc w:val="center"/>
            </w:pPr>
            <w:r w:rsidRPr="00375AEF">
              <w:t>$</w:t>
            </w:r>
            <w:r w:rsidR="00246143" w:rsidRPr="00375AEF">
              <w:rPr>
                <w:b/>
                <w:bCs/>
              </w:rPr>
              <w:t>redacted</w:t>
            </w:r>
            <w:r w:rsidR="00246143" w:rsidRPr="00375AEF">
              <w:t xml:space="preserve"> </w:t>
            </w:r>
          </w:p>
        </w:tc>
      </w:tr>
      <w:tr w:rsidR="00A31B78" w:rsidRPr="00C86E49" w14:paraId="6962C460" w14:textId="77777777" w:rsidTr="003233A7">
        <w:trPr>
          <w:cantSplit/>
          <w:trHeight w:val="283"/>
        </w:trPr>
        <w:tc>
          <w:tcPr>
            <w:tcW w:w="2356" w:type="pct"/>
            <w:tcBorders>
              <w:bottom w:val="single" w:sz="4" w:space="0" w:color="auto"/>
            </w:tcBorders>
          </w:tcPr>
          <w:p w14:paraId="08048068" w14:textId="16E6140A" w:rsidR="00A31B78" w:rsidRPr="00C86E49" w:rsidRDefault="00A31B78" w:rsidP="00D61D0E">
            <w:pPr>
              <w:pStyle w:val="TableText"/>
              <w:keepNext/>
              <w:keepLines/>
              <w:ind w:firstLine="164"/>
            </w:pPr>
            <w:r w:rsidRPr="00C86E49">
              <w:t>5 years</w:t>
            </w:r>
          </w:p>
        </w:tc>
        <w:tc>
          <w:tcPr>
            <w:tcW w:w="943" w:type="pct"/>
            <w:tcBorders>
              <w:bottom w:val="single" w:sz="4" w:space="0" w:color="auto"/>
            </w:tcBorders>
          </w:tcPr>
          <w:p w14:paraId="2FBEBB66" w14:textId="016824B4" w:rsidR="00A31B78" w:rsidRPr="00375AEF" w:rsidRDefault="00A31B78" w:rsidP="00D61D0E">
            <w:pPr>
              <w:pStyle w:val="TableText"/>
              <w:keepNext/>
              <w:keepLines/>
              <w:jc w:val="center"/>
            </w:pPr>
            <w:r w:rsidRPr="00375AEF">
              <w:t>$</w:t>
            </w:r>
            <w:r w:rsidR="00246143" w:rsidRPr="00375AEF">
              <w:rPr>
                <w:b/>
                <w:bCs/>
              </w:rPr>
              <w:t>redacted</w:t>
            </w:r>
          </w:p>
        </w:tc>
        <w:tc>
          <w:tcPr>
            <w:tcW w:w="943" w:type="pct"/>
            <w:tcBorders>
              <w:bottom w:val="single" w:sz="4" w:space="0" w:color="auto"/>
            </w:tcBorders>
          </w:tcPr>
          <w:p w14:paraId="4327F293" w14:textId="3A1AE928" w:rsidR="00A31B78" w:rsidRPr="00C86E49" w:rsidRDefault="00F97672" w:rsidP="00D61D0E">
            <w:pPr>
              <w:pStyle w:val="TableText"/>
              <w:keepNext/>
              <w:keepLines/>
              <w:jc w:val="center"/>
            </w:pPr>
            <w:r w:rsidRPr="00C86E49">
              <w:t>0.</w:t>
            </w:r>
            <w:r w:rsidR="001F656E" w:rsidRPr="00C86E49">
              <w:t>4323</w:t>
            </w:r>
          </w:p>
        </w:tc>
        <w:tc>
          <w:tcPr>
            <w:tcW w:w="757" w:type="pct"/>
          </w:tcPr>
          <w:p w14:paraId="6E91C5EB" w14:textId="1354BF12" w:rsidR="00A31B78" w:rsidRPr="00375AEF" w:rsidRDefault="001F656E" w:rsidP="00D61D0E">
            <w:pPr>
              <w:pStyle w:val="TableText"/>
              <w:keepNext/>
              <w:keepLines/>
              <w:jc w:val="center"/>
            </w:pPr>
            <w:r w:rsidRPr="00375AEF">
              <w:t>$</w:t>
            </w:r>
            <w:r w:rsidR="00246143" w:rsidRPr="00375AEF">
              <w:rPr>
                <w:b/>
                <w:bCs/>
              </w:rPr>
              <w:t>redacted</w:t>
            </w:r>
          </w:p>
        </w:tc>
      </w:tr>
      <w:tr w:rsidR="008B5B67" w:rsidRPr="00C86E49" w14:paraId="607079A8" w14:textId="12BA454D" w:rsidTr="003233A7">
        <w:trPr>
          <w:cantSplit/>
          <w:trHeight w:val="283"/>
        </w:trPr>
        <w:tc>
          <w:tcPr>
            <w:tcW w:w="2356" w:type="pct"/>
            <w:tcBorders>
              <w:right w:val="nil"/>
            </w:tcBorders>
          </w:tcPr>
          <w:p w14:paraId="176BBBDF" w14:textId="4F156857" w:rsidR="008B5B67" w:rsidRPr="00C86E49" w:rsidRDefault="00EB14BC" w:rsidP="002E6CFC">
            <w:pPr>
              <w:pStyle w:val="TableText"/>
            </w:pPr>
            <w:r w:rsidRPr="00C86E49">
              <w:t>Relative mortality in cycle 1</w:t>
            </w:r>
            <w:r w:rsidR="00823FA8" w:rsidRPr="00C86E49">
              <w:t xml:space="preserve"> (</w:t>
            </w:r>
            <w:r w:rsidR="00A00FFC" w:rsidRPr="00C86E49">
              <w:t>base case: OR = 0.57)</w:t>
            </w:r>
          </w:p>
        </w:tc>
        <w:tc>
          <w:tcPr>
            <w:tcW w:w="943" w:type="pct"/>
            <w:tcBorders>
              <w:left w:val="nil"/>
              <w:right w:val="nil"/>
            </w:tcBorders>
          </w:tcPr>
          <w:p w14:paraId="1B13088B" w14:textId="61C33AF8" w:rsidR="008B5B67" w:rsidRPr="00375AEF" w:rsidRDefault="008B5B67" w:rsidP="002E6CFC">
            <w:pPr>
              <w:pStyle w:val="TableText"/>
              <w:jc w:val="center"/>
              <w:rPr>
                <w:rFonts w:eastAsia="Calibri"/>
                <w:szCs w:val="20"/>
              </w:rPr>
            </w:pPr>
          </w:p>
        </w:tc>
        <w:tc>
          <w:tcPr>
            <w:tcW w:w="943" w:type="pct"/>
            <w:tcBorders>
              <w:left w:val="nil"/>
              <w:right w:val="nil"/>
            </w:tcBorders>
          </w:tcPr>
          <w:p w14:paraId="443B8E9E" w14:textId="19BA1F00" w:rsidR="008B5B67" w:rsidRPr="00C86E49" w:rsidRDefault="008B5B67" w:rsidP="002E6CFC">
            <w:pPr>
              <w:pStyle w:val="TableText"/>
              <w:jc w:val="center"/>
              <w:rPr>
                <w:rFonts w:eastAsia="Calibri"/>
                <w:szCs w:val="20"/>
              </w:rPr>
            </w:pPr>
          </w:p>
        </w:tc>
        <w:tc>
          <w:tcPr>
            <w:tcW w:w="757" w:type="pct"/>
            <w:tcBorders>
              <w:left w:val="nil"/>
            </w:tcBorders>
          </w:tcPr>
          <w:p w14:paraId="3BDB203C" w14:textId="144413DA" w:rsidR="008B5B67" w:rsidRPr="00375AEF" w:rsidRDefault="008B5B67" w:rsidP="002E6CFC">
            <w:pPr>
              <w:pStyle w:val="TableText"/>
              <w:jc w:val="center"/>
              <w:rPr>
                <w:rFonts w:eastAsia="Calibri"/>
                <w:szCs w:val="20"/>
              </w:rPr>
            </w:pPr>
          </w:p>
        </w:tc>
      </w:tr>
      <w:tr w:rsidR="00A044BE" w:rsidRPr="00C86E49" w14:paraId="0F5A5D19" w14:textId="77777777" w:rsidTr="003233A7">
        <w:trPr>
          <w:cantSplit/>
          <w:trHeight w:val="283"/>
        </w:trPr>
        <w:tc>
          <w:tcPr>
            <w:tcW w:w="2356" w:type="pct"/>
          </w:tcPr>
          <w:p w14:paraId="48F0FE71" w14:textId="027B7348" w:rsidR="00A044BE" w:rsidRPr="00C86E49" w:rsidRDefault="00A044BE" w:rsidP="00EB74E7">
            <w:pPr>
              <w:pStyle w:val="TableText"/>
              <w:ind w:firstLine="164"/>
            </w:pPr>
            <w:r w:rsidRPr="00C86E49">
              <w:t>Lower confidence limit (OR</w:t>
            </w:r>
            <w:r w:rsidR="00117038" w:rsidRPr="00C86E49">
              <w:t> </w:t>
            </w:r>
            <w:r w:rsidRPr="00C86E49">
              <w:t>=</w:t>
            </w:r>
            <w:r w:rsidR="00117038" w:rsidRPr="00C86E49">
              <w:t> </w:t>
            </w:r>
            <w:r w:rsidRPr="00C86E49">
              <w:t>0.44)</w:t>
            </w:r>
          </w:p>
        </w:tc>
        <w:tc>
          <w:tcPr>
            <w:tcW w:w="943" w:type="pct"/>
          </w:tcPr>
          <w:p w14:paraId="605DFFC1" w14:textId="3532D96D" w:rsidR="00A044BE" w:rsidRPr="00375AEF" w:rsidRDefault="00A044BE" w:rsidP="002E6CFC">
            <w:pPr>
              <w:pStyle w:val="TableText"/>
              <w:jc w:val="center"/>
              <w:rPr>
                <w:rFonts w:eastAsia="Calibri"/>
                <w:szCs w:val="20"/>
              </w:rPr>
            </w:pPr>
            <w:r w:rsidRPr="00375AEF">
              <w:t>$</w:t>
            </w:r>
            <w:r w:rsidR="00246143" w:rsidRPr="00375AEF">
              <w:rPr>
                <w:b/>
              </w:rPr>
              <w:t>r</w:t>
            </w:r>
            <w:r w:rsidR="00246143" w:rsidRPr="00375AEF">
              <w:rPr>
                <w:b/>
                <w:bCs/>
              </w:rPr>
              <w:t>edacted</w:t>
            </w:r>
          </w:p>
        </w:tc>
        <w:tc>
          <w:tcPr>
            <w:tcW w:w="943" w:type="pct"/>
          </w:tcPr>
          <w:p w14:paraId="11296CA1" w14:textId="7BCB9BFC" w:rsidR="00A044BE" w:rsidRPr="00C86E49" w:rsidRDefault="00A044BE" w:rsidP="002E6CFC">
            <w:pPr>
              <w:pStyle w:val="TableText"/>
              <w:jc w:val="center"/>
              <w:rPr>
                <w:rFonts w:eastAsia="Calibri"/>
                <w:szCs w:val="20"/>
              </w:rPr>
            </w:pPr>
            <w:r w:rsidRPr="00C86E49">
              <w:t>1.7361</w:t>
            </w:r>
          </w:p>
        </w:tc>
        <w:tc>
          <w:tcPr>
            <w:tcW w:w="757" w:type="pct"/>
          </w:tcPr>
          <w:p w14:paraId="7D3903F9" w14:textId="7ACBFF4D" w:rsidR="00A044BE" w:rsidRPr="00375AEF" w:rsidRDefault="00A044BE" w:rsidP="002E6CFC">
            <w:pPr>
              <w:pStyle w:val="TableText"/>
              <w:jc w:val="center"/>
              <w:rPr>
                <w:rFonts w:eastAsia="Calibri"/>
                <w:szCs w:val="20"/>
              </w:rPr>
            </w:pPr>
            <w:r w:rsidRPr="00375AEF">
              <w:t>$</w:t>
            </w:r>
            <w:r w:rsidR="00246143" w:rsidRPr="00375AEF">
              <w:rPr>
                <w:b/>
                <w:bCs/>
              </w:rPr>
              <w:t>redacted</w:t>
            </w:r>
          </w:p>
        </w:tc>
      </w:tr>
      <w:tr w:rsidR="00A044BE" w:rsidRPr="00C86E49" w14:paraId="02FADD65" w14:textId="77777777" w:rsidTr="003233A7">
        <w:trPr>
          <w:cantSplit/>
          <w:trHeight w:val="283"/>
        </w:trPr>
        <w:tc>
          <w:tcPr>
            <w:tcW w:w="2356" w:type="pct"/>
            <w:tcBorders>
              <w:bottom w:val="single" w:sz="4" w:space="0" w:color="auto"/>
            </w:tcBorders>
          </w:tcPr>
          <w:p w14:paraId="18B24274" w14:textId="241E0312" w:rsidR="00A044BE" w:rsidRPr="00C86E49" w:rsidRDefault="00A044BE" w:rsidP="00EB74E7">
            <w:pPr>
              <w:pStyle w:val="TableText"/>
              <w:ind w:firstLine="164"/>
            </w:pPr>
            <w:r w:rsidRPr="00C86E49">
              <w:t>Upper confidence limit (OR</w:t>
            </w:r>
            <w:r w:rsidR="00117038" w:rsidRPr="00C86E49">
              <w:t> </w:t>
            </w:r>
            <w:r w:rsidRPr="00C86E49">
              <w:t>=</w:t>
            </w:r>
            <w:r w:rsidR="00117038" w:rsidRPr="00C86E49">
              <w:t> </w:t>
            </w:r>
            <w:r w:rsidRPr="00C86E49">
              <w:t>0.74)</w:t>
            </w:r>
          </w:p>
        </w:tc>
        <w:tc>
          <w:tcPr>
            <w:tcW w:w="943" w:type="pct"/>
            <w:tcBorders>
              <w:bottom w:val="single" w:sz="4" w:space="0" w:color="auto"/>
            </w:tcBorders>
          </w:tcPr>
          <w:p w14:paraId="09AC22BA" w14:textId="7F0E2737" w:rsidR="00A044BE" w:rsidRPr="00375AEF" w:rsidRDefault="00A044BE" w:rsidP="002E6CFC">
            <w:pPr>
              <w:pStyle w:val="TableText"/>
              <w:jc w:val="center"/>
              <w:rPr>
                <w:rFonts w:eastAsia="Calibri"/>
                <w:szCs w:val="20"/>
              </w:rPr>
            </w:pPr>
            <w:r w:rsidRPr="00375AEF">
              <w:t>$</w:t>
            </w:r>
            <w:r w:rsidR="00246143" w:rsidRPr="00375AEF">
              <w:rPr>
                <w:b/>
                <w:bCs/>
              </w:rPr>
              <w:t>redacted</w:t>
            </w:r>
          </w:p>
        </w:tc>
        <w:tc>
          <w:tcPr>
            <w:tcW w:w="943" w:type="pct"/>
            <w:tcBorders>
              <w:bottom w:val="single" w:sz="4" w:space="0" w:color="auto"/>
            </w:tcBorders>
          </w:tcPr>
          <w:p w14:paraId="2BBCF118" w14:textId="7861F2D3" w:rsidR="00A044BE" w:rsidRPr="00C86E49" w:rsidRDefault="00A044BE" w:rsidP="002E6CFC">
            <w:pPr>
              <w:pStyle w:val="TableText"/>
              <w:jc w:val="center"/>
              <w:rPr>
                <w:rFonts w:eastAsia="Calibri"/>
                <w:szCs w:val="20"/>
              </w:rPr>
            </w:pPr>
            <w:r w:rsidRPr="00C86E49">
              <w:t>0.6479</w:t>
            </w:r>
          </w:p>
        </w:tc>
        <w:tc>
          <w:tcPr>
            <w:tcW w:w="757" w:type="pct"/>
          </w:tcPr>
          <w:p w14:paraId="0A79F00D" w14:textId="5D036356" w:rsidR="00A044BE" w:rsidRPr="00375AEF" w:rsidRDefault="00A044BE" w:rsidP="002E6CFC">
            <w:pPr>
              <w:pStyle w:val="TableText"/>
              <w:jc w:val="center"/>
              <w:rPr>
                <w:rFonts w:eastAsia="Calibri"/>
                <w:szCs w:val="20"/>
              </w:rPr>
            </w:pPr>
            <w:r w:rsidRPr="00375AEF">
              <w:t>$</w:t>
            </w:r>
            <w:r w:rsidR="00246143" w:rsidRPr="00375AEF">
              <w:rPr>
                <w:b/>
                <w:bCs/>
              </w:rPr>
              <w:t>redacted</w:t>
            </w:r>
          </w:p>
        </w:tc>
      </w:tr>
      <w:tr w:rsidR="00CE40D1" w:rsidRPr="00C86E49" w14:paraId="4355C9AC" w14:textId="77777777" w:rsidTr="003233A7">
        <w:trPr>
          <w:cantSplit/>
          <w:trHeight w:val="283"/>
        </w:trPr>
        <w:tc>
          <w:tcPr>
            <w:tcW w:w="2356" w:type="pct"/>
            <w:tcBorders>
              <w:right w:val="nil"/>
            </w:tcBorders>
          </w:tcPr>
          <w:p w14:paraId="6D0C27C8" w14:textId="16F10C84" w:rsidR="00CE40D1" w:rsidRPr="00C86E49" w:rsidRDefault="000C3BF3" w:rsidP="002E6CFC">
            <w:pPr>
              <w:pStyle w:val="TableText"/>
            </w:pPr>
            <w:r w:rsidRPr="00C86E49">
              <w:t xml:space="preserve">Mortality cycle 7 onwards (base case: SMR = </w:t>
            </w:r>
            <w:r w:rsidR="00507BF4" w:rsidRPr="00C86E49">
              <w:t>1.0)</w:t>
            </w:r>
          </w:p>
        </w:tc>
        <w:tc>
          <w:tcPr>
            <w:tcW w:w="943" w:type="pct"/>
            <w:tcBorders>
              <w:left w:val="nil"/>
              <w:right w:val="nil"/>
            </w:tcBorders>
          </w:tcPr>
          <w:p w14:paraId="065F176D" w14:textId="77777777" w:rsidR="00CE40D1" w:rsidRPr="00375AEF" w:rsidRDefault="00CE40D1" w:rsidP="002E6CFC">
            <w:pPr>
              <w:pStyle w:val="TableText"/>
              <w:jc w:val="center"/>
              <w:rPr>
                <w:rFonts w:eastAsia="Calibri"/>
                <w:szCs w:val="20"/>
              </w:rPr>
            </w:pPr>
          </w:p>
        </w:tc>
        <w:tc>
          <w:tcPr>
            <w:tcW w:w="943" w:type="pct"/>
            <w:tcBorders>
              <w:left w:val="nil"/>
              <w:right w:val="nil"/>
            </w:tcBorders>
          </w:tcPr>
          <w:p w14:paraId="09126D12" w14:textId="77777777" w:rsidR="00CE40D1" w:rsidRPr="00C86E49" w:rsidRDefault="00CE40D1" w:rsidP="002E6CFC">
            <w:pPr>
              <w:pStyle w:val="TableText"/>
              <w:jc w:val="center"/>
              <w:rPr>
                <w:rFonts w:eastAsia="Calibri"/>
                <w:szCs w:val="20"/>
              </w:rPr>
            </w:pPr>
          </w:p>
        </w:tc>
        <w:tc>
          <w:tcPr>
            <w:tcW w:w="757" w:type="pct"/>
            <w:tcBorders>
              <w:left w:val="nil"/>
            </w:tcBorders>
          </w:tcPr>
          <w:p w14:paraId="22EEEF0F" w14:textId="77777777" w:rsidR="00CE40D1" w:rsidRPr="00375AEF" w:rsidRDefault="00CE40D1" w:rsidP="002E6CFC">
            <w:pPr>
              <w:pStyle w:val="TableText"/>
              <w:jc w:val="center"/>
              <w:rPr>
                <w:rFonts w:eastAsia="Calibri"/>
                <w:szCs w:val="20"/>
              </w:rPr>
            </w:pPr>
          </w:p>
        </w:tc>
      </w:tr>
      <w:tr w:rsidR="0082385D" w:rsidRPr="00C86E49" w14:paraId="092D4EBE" w14:textId="77777777" w:rsidTr="003233A7">
        <w:trPr>
          <w:cantSplit/>
          <w:trHeight w:val="283"/>
        </w:trPr>
        <w:tc>
          <w:tcPr>
            <w:tcW w:w="2356" w:type="pct"/>
          </w:tcPr>
          <w:p w14:paraId="4D26A04D" w14:textId="0519AAA6" w:rsidR="0082385D" w:rsidRPr="00C86E49" w:rsidRDefault="0082385D" w:rsidP="00EB74E7">
            <w:pPr>
              <w:pStyle w:val="TableText"/>
              <w:ind w:firstLine="164"/>
            </w:pPr>
            <w:r w:rsidRPr="00C86E49">
              <w:t>SMR = 2</w:t>
            </w:r>
          </w:p>
        </w:tc>
        <w:tc>
          <w:tcPr>
            <w:tcW w:w="943" w:type="pct"/>
          </w:tcPr>
          <w:p w14:paraId="5DE09B7D" w14:textId="6606CBE8" w:rsidR="0082385D" w:rsidRPr="00375AEF" w:rsidRDefault="0082385D" w:rsidP="002E6CFC">
            <w:pPr>
              <w:pStyle w:val="TableText"/>
              <w:jc w:val="center"/>
              <w:rPr>
                <w:rFonts w:eastAsia="Calibri"/>
                <w:szCs w:val="20"/>
              </w:rPr>
            </w:pPr>
            <w:r w:rsidRPr="00375AEF">
              <w:t>$</w:t>
            </w:r>
            <w:r w:rsidR="00246143" w:rsidRPr="00375AEF">
              <w:rPr>
                <w:b/>
                <w:bCs/>
              </w:rPr>
              <w:t>redacted</w:t>
            </w:r>
          </w:p>
        </w:tc>
        <w:tc>
          <w:tcPr>
            <w:tcW w:w="943" w:type="pct"/>
          </w:tcPr>
          <w:p w14:paraId="0CB9EB5F" w14:textId="53CD5C87" w:rsidR="0082385D" w:rsidRPr="00C86E49" w:rsidRDefault="0082385D" w:rsidP="002E6CFC">
            <w:pPr>
              <w:pStyle w:val="TableText"/>
              <w:jc w:val="center"/>
              <w:rPr>
                <w:rFonts w:eastAsia="Calibri"/>
                <w:szCs w:val="20"/>
              </w:rPr>
            </w:pPr>
            <w:r w:rsidRPr="00C86E49">
              <w:t>1.0346</w:t>
            </w:r>
          </w:p>
        </w:tc>
        <w:tc>
          <w:tcPr>
            <w:tcW w:w="757" w:type="pct"/>
          </w:tcPr>
          <w:p w14:paraId="538750A3" w14:textId="2DC9722D" w:rsidR="0082385D" w:rsidRPr="00375AEF" w:rsidRDefault="0082385D" w:rsidP="002E6CFC">
            <w:pPr>
              <w:pStyle w:val="TableText"/>
              <w:jc w:val="center"/>
              <w:rPr>
                <w:rFonts w:eastAsia="Calibri"/>
                <w:szCs w:val="20"/>
              </w:rPr>
            </w:pPr>
            <w:r w:rsidRPr="00375AEF">
              <w:t>$</w:t>
            </w:r>
            <w:r w:rsidR="00246143" w:rsidRPr="00375AEF">
              <w:rPr>
                <w:b/>
                <w:bCs/>
              </w:rPr>
              <w:t>redacted</w:t>
            </w:r>
          </w:p>
        </w:tc>
      </w:tr>
      <w:tr w:rsidR="0082385D" w:rsidRPr="00C86E49" w14:paraId="656B2A89" w14:textId="77777777" w:rsidTr="003233A7">
        <w:trPr>
          <w:cantSplit/>
          <w:trHeight w:val="283"/>
        </w:trPr>
        <w:tc>
          <w:tcPr>
            <w:tcW w:w="2356" w:type="pct"/>
          </w:tcPr>
          <w:p w14:paraId="7D73B238" w14:textId="6DE97D89" w:rsidR="0082385D" w:rsidRPr="00C86E49" w:rsidRDefault="0082385D" w:rsidP="00EB74E7">
            <w:pPr>
              <w:pStyle w:val="TableText"/>
              <w:ind w:firstLine="164"/>
            </w:pPr>
            <w:r w:rsidRPr="00C86E49">
              <w:t>SMR = 5</w:t>
            </w:r>
          </w:p>
        </w:tc>
        <w:tc>
          <w:tcPr>
            <w:tcW w:w="943" w:type="pct"/>
          </w:tcPr>
          <w:p w14:paraId="5A89015B" w14:textId="242DFB98" w:rsidR="0082385D" w:rsidRPr="00375AEF" w:rsidRDefault="0082385D" w:rsidP="002E6CFC">
            <w:pPr>
              <w:pStyle w:val="TableText"/>
              <w:jc w:val="center"/>
              <w:rPr>
                <w:rFonts w:eastAsia="Calibri"/>
                <w:szCs w:val="20"/>
              </w:rPr>
            </w:pPr>
            <w:r w:rsidRPr="00375AEF">
              <w:t>$</w:t>
            </w:r>
            <w:r w:rsidR="00246143" w:rsidRPr="00375AEF">
              <w:rPr>
                <w:b/>
                <w:bCs/>
              </w:rPr>
              <w:t>redacted</w:t>
            </w:r>
          </w:p>
        </w:tc>
        <w:tc>
          <w:tcPr>
            <w:tcW w:w="943" w:type="pct"/>
          </w:tcPr>
          <w:p w14:paraId="5505F95E" w14:textId="601D7CC1" w:rsidR="0082385D" w:rsidRPr="00C86E49" w:rsidRDefault="0082385D" w:rsidP="002E6CFC">
            <w:pPr>
              <w:pStyle w:val="TableText"/>
              <w:jc w:val="center"/>
              <w:rPr>
                <w:rFonts w:eastAsia="Calibri"/>
                <w:szCs w:val="20"/>
              </w:rPr>
            </w:pPr>
            <w:r w:rsidRPr="00C86E49">
              <w:t>0.7782</w:t>
            </w:r>
          </w:p>
        </w:tc>
        <w:tc>
          <w:tcPr>
            <w:tcW w:w="757" w:type="pct"/>
          </w:tcPr>
          <w:p w14:paraId="613C67E8" w14:textId="1319C87E" w:rsidR="0082385D" w:rsidRPr="00375AEF" w:rsidRDefault="0082385D" w:rsidP="002E6CFC">
            <w:pPr>
              <w:pStyle w:val="TableText"/>
              <w:jc w:val="center"/>
              <w:rPr>
                <w:rFonts w:eastAsia="Calibri"/>
                <w:szCs w:val="20"/>
              </w:rPr>
            </w:pPr>
            <w:r w:rsidRPr="00375AEF">
              <w:t>$</w:t>
            </w:r>
            <w:r w:rsidR="00246143" w:rsidRPr="00375AEF">
              <w:rPr>
                <w:b/>
                <w:bCs/>
              </w:rPr>
              <w:t>redacted</w:t>
            </w:r>
          </w:p>
        </w:tc>
      </w:tr>
    </w:tbl>
    <w:p w14:paraId="1449AA11" w14:textId="1052F808" w:rsidR="008B5B67" w:rsidRPr="00C86E49" w:rsidRDefault="0045093D" w:rsidP="001F6F44">
      <w:pPr>
        <w:pStyle w:val="TableFigureFooter"/>
        <w:spacing w:after="600"/>
        <w:rPr>
          <w:rFonts w:eastAsia="Calibri"/>
        </w:rPr>
      </w:pPr>
      <w:bookmarkStart w:id="49" w:name="_Hlk68276759"/>
      <w:bookmarkEnd w:id="48"/>
      <w:r w:rsidRPr="00C86E49">
        <w:rPr>
          <w:rFonts w:eastAsia="Calibri"/>
          <w:szCs w:val="20"/>
        </w:rPr>
        <w:t xml:space="preserve">ICER = incremental cost-effectiveness ratio; </w:t>
      </w:r>
      <w:r w:rsidR="00582DCF" w:rsidRPr="00C86E49">
        <w:rPr>
          <w:rFonts w:eastAsia="Calibri"/>
          <w:szCs w:val="20"/>
        </w:rPr>
        <w:t xml:space="preserve">OR = odds ratio; </w:t>
      </w:r>
      <w:r w:rsidR="008B5B67" w:rsidRPr="00C86E49">
        <w:rPr>
          <w:rFonts w:eastAsia="Calibri"/>
          <w:szCs w:val="20"/>
        </w:rPr>
        <w:t>QALY = quality adjusted life year</w:t>
      </w:r>
      <w:r w:rsidR="00582DCF" w:rsidRPr="00C86E49">
        <w:rPr>
          <w:rFonts w:eastAsia="Calibri"/>
          <w:szCs w:val="20"/>
        </w:rPr>
        <w:t>; SMR = standardised mortality rate</w:t>
      </w:r>
      <w:r w:rsidR="00EC44C1" w:rsidRPr="00C86E49">
        <w:rPr>
          <w:rFonts w:eastAsia="Calibri"/>
          <w:szCs w:val="20"/>
        </w:rPr>
        <w:t xml:space="preserve">; </w:t>
      </w:r>
      <w:r w:rsidR="00EC44C1" w:rsidRPr="00C86E49">
        <w:t>VA-ECMO = veno-arterial extracorporeal membrane oxygenation</w:t>
      </w:r>
      <w:r w:rsidR="00EC44C1" w:rsidRPr="00C86E49">
        <w:rPr>
          <w:rFonts w:eastAsia="Calibri"/>
        </w:rPr>
        <w:t>.</w:t>
      </w:r>
    </w:p>
    <w:p w14:paraId="4A7F979C" w14:textId="0C014B58" w:rsidR="002202DA" w:rsidRPr="00C86E49" w:rsidRDefault="002202DA" w:rsidP="002202DA">
      <w:pPr>
        <w:pStyle w:val="TableFigureFooter"/>
      </w:pPr>
      <w:r w:rsidRPr="00C86E49">
        <w:t>Source: Exce</w:t>
      </w:r>
      <w:r w:rsidR="00427CD6" w:rsidRPr="00C86E49">
        <w:t>r</w:t>
      </w:r>
      <w:r w:rsidRPr="00C86E49">
        <w:t>pt from Table 106 of MSAC 1523.1 ADAR+in-line commentary.</w:t>
      </w:r>
    </w:p>
    <w:p w14:paraId="636E4F57" w14:textId="7D04FEBA" w:rsidR="003233A7" w:rsidRPr="00C86E49" w:rsidRDefault="003233A7" w:rsidP="003233A7">
      <w:pPr>
        <w:pStyle w:val="Caption"/>
      </w:pPr>
      <w:r w:rsidRPr="00C86E49">
        <w:t>Table </w:t>
      </w:r>
      <w:r w:rsidR="007552E5">
        <w:fldChar w:fldCharType="begin"/>
      </w:r>
      <w:r w:rsidR="007552E5">
        <w:instrText xml:space="preserve"> SEQ Table \* ARABIC </w:instrText>
      </w:r>
      <w:r w:rsidR="007552E5">
        <w:fldChar w:fldCharType="separate"/>
      </w:r>
      <w:r w:rsidR="00EF3514" w:rsidRPr="00C86E49">
        <w:rPr>
          <w:noProof/>
        </w:rPr>
        <w:t>17</w:t>
      </w:r>
      <w:r w:rsidR="007552E5">
        <w:rPr>
          <w:noProof/>
        </w:rPr>
        <w:fldChar w:fldCharType="end"/>
      </w:r>
      <w:r w:rsidRPr="00C86E49">
        <w:tab/>
        <w:t>Sensitivity analyses: ECPELLA versus VA-ECMO ± surgical venting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nsitivity analyses: ECPELLA versus VA-ECMO ± surgical venting"/>
        <w:tblDescription w:val="This table shows the results of the sensitivity analyses for ECPELLA versus VA-ECMO ± surgical venting."/>
      </w:tblPr>
      <w:tblGrid>
        <w:gridCol w:w="4249"/>
        <w:gridCol w:w="1701"/>
        <w:gridCol w:w="1701"/>
        <w:gridCol w:w="1365"/>
      </w:tblGrid>
      <w:tr w:rsidR="003233A7" w:rsidRPr="00C86E49" w14:paraId="10D71436" w14:textId="77777777">
        <w:trPr>
          <w:cantSplit/>
          <w:trHeight w:val="420"/>
          <w:tblHeader/>
        </w:trPr>
        <w:tc>
          <w:tcPr>
            <w:tcW w:w="2356" w:type="pct"/>
            <w:vAlign w:val="center"/>
          </w:tcPr>
          <w:p w14:paraId="19E698C5" w14:textId="0642FD1E" w:rsidR="003233A7" w:rsidRPr="00C86E49" w:rsidRDefault="003233A7" w:rsidP="00B52647">
            <w:pPr>
              <w:pStyle w:val="In-tableHeading"/>
              <w:keepNext w:val="0"/>
            </w:pPr>
            <w:r w:rsidRPr="00C86E49">
              <w:t>Analyses</w:t>
            </w:r>
            <w:r w:rsidR="00255951" w:rsidRPr="00C86E49">
              <w:rPr>
                <w:vertAlign w:val="superscript"/>
              </w:rPr>
              <w:t>a</w:t>
            </w:r>
          </w:p>
        </w:tc>
        <w:tc>
          <w:tcPr>
            <w:tcW w:w="943" w:type="pct"/>
            <w:vAlign w:val="center"/>
          </w:tcPr>
          <w:p w14:paraId="3E7F8114" w14:textId="77777777" w:rsidR="003233A7" w:rsidRPr="00C86E49" w:rsidRDefault="003233A7" w:rsidP="00B52647">
            <w:pPr>
              <w:pStyle w:val="In-tableHeading"/>
              <w:keepNext w:val="0"/>
              <w:jc w:val="center"/>
            </w:pPr>
            <w:r w:rsidRPr="00C86E49">
              <w:t>Incremental cost</w:t>
            </w:r>
          </w:p>
        </w:tc>
        <w:tc>
          <w:tcPr>
            <w:tcW w:w="943" w:type="pct"/>
            <w:vAlign w:val="center"/>
          </w:tcPr>
          <w:p w14:paraId="3C87A8FE" w14:textId="77777777" w:rsidR="003233A7" w:rsidRPr="00C86E49" w:rsidRDefault="003233A7" w:rsidP="00B52647">
            <w:pPr>
              <w:pStyle w:val="In-tableHeading"/>
              <w:keepNext w:val="0"/>
              <w:jc w:val="center"/>
            </w:pPr>
            <w:r w:rsidRPr="00C86E49">
              <w:t>Incremental QALY</w:t>
            </w:r>
          </w:p>
        </w:tc>
        <w:tc>
          <w:tcPr>
            <w:tcW w:w="757" w:type="pct"/>
            <w:vAlign w:val="center"/>
          </w:tcPr>
          <w:p w14:paraId="3B6AF21D" w14:textId="77777777" w:rsidR="003233A7" w:rsidRPr="00C86E49" w:rsidRDefault="003233A7" w:rsidP="00B52647">
            <w:pPr>
              <w:pStyle w:val="In-tableHeading"/>
              <w:keepNext w:val="0"/>
              <w:jc w:val="center"/>
            </w:pPr>
            <w:r w:rsidRPr="00C86E49">
              <w:t>ICER</w:t>
            </w:r>
          </w:p>
        </w:tc>
      </w:tr>
      <w:tr w:rsidR="004F50D2" w:rsidRPr="00C86E49" w14:paraId="01A4167B" w14:textId="77777777">
        <w:trPr>
          <w:cantSplit/>
          <w:trHeight w:val="283"/>
        </w:trPr>
        <w:tc>
          <w:tcPr>
            <w:tcW w:w="2356" w:type="pct"/>
            <w:tcBorders>
              <w:bottom w:val="single" w:sz="4" w:space="0" w:color="auto"/>
            </w:tcBorders>
          </w:tcPr>
          <w:p w14:paraId="49B1F432" w14:textId="37FF5170" w:rsidR="004F50D2" w:rsidRPr="00C86E49" w:rsidRDefault="004F50D2" w:rsidP="00B52647">
            <w:pPr>
              <w:pStyle w:val="TableText"/>
              <w:rPr>
                <w:b/>
                <w:bCs/>
              </w:rPr>
            </w:pPr>
            <w:r w:rsidRPr="00C86E49">
              <w:rPr>
                <w:b/>
                <w:bCs/>
              </w:rPr>
              <w:t>Base case</w:t>
            </w:r>
          </w:p>
        </w:tc>
        <w:tc>
          <w:tcPr>
            <w:tcW w:w="943" w:type="pct"/>
            <w:tcBorders>
              <w:bottom w:val="single" w:sz="4" w:space="0" w:color="auto"/>
            </w:tcBorders>
          </w:tcPr>
          <w:p w14:paraId="4AF1F2B6" w14:textId="5F2D4E2E" w:rsidR="004F50D2" w:rsidRPr="00375AEF" w:rsidRDefault="009A1742" w:rsidP="00B52647">
            <w:pPr>
              <w:pStyle w:val="TableText"/>
              <w:jc w:val="center"/>
              <w:rPr>
                <w:b/>
                <w:bCs/>
                <w:color w:val="000000" w:themeColor="text1"/>
              </w:rPr>
            </w:pPr>
            <w:r w:rsidRPr="00375AEF">
              <w:rPr>
                <w:b/>
                <w:bCs/>
                <w:color w:val="000000" w:themeColor="text1"/>
              </w:rPr>
              <w:t>$</w:t>
            </w:r>
            <w:r w:rsidR="00246143" w:rsidRPr="00375AEF">
              <w:rPr>
                <w:b/>
                <w:bCs/>
              </w:rPr>
              <w:t>redacted</w:t>
            </w:r>
            <w:r w:rsidR="00246143" w:rsidRPr="00375AEF">
              <w:rPr>
                <w:b/>
                <w:bCs/>
                <w:color w:val="000000" w:themeColor="text1"/>
              </w:rPr>
              <w:t xml:space="preserve"> </w:t>
            </w:r>
          </w:p>
        </w:tc>
        <w:tc>
          <w:tcPr>
            <w:tcW w:w="943" w:type="pct"/>
            <w:tcBorders>
              <w:bottom w:val="single" w:sz="4" w:space="0" w:color="auto"/>
            </w:tcBorders>
          </w:tcPr>
          <w:p w14:paraId="3EF91412" w14:textId="6D4857AC" w:rsidR="004F50D2" w:rsidRPr="00C86E49" w:rsidRDefault="00B57E1D" w:rsidP="00B52647">
            <w:pPr>
              <w:pStyle w:val="TableText"/>
              <w:jc w:val="center"/>
              <w:rPr>
                <w:b/>
                <w:bCs/>
                <w:color w:val="000000" w:themeColor="text1"/>
              </w:rPr>
            </w:pPr>
            <w:r w:rsidRPr="00C86E49">
              <w:rPr>
                <w:b/>
                <w:bCs/>
                <w:color w:val="000000" w:themeColor="text1"/>
              </w:rPr>
              <w:t>0.</w:t>
            </w:r>
            <w:r w:rsidR="00E000F7" w:rsidRPr="00C86E49">
              <w:rPr>
                <w:b/>
                <w:bCs/>
                <w:color w:val="000000" w:themeColor="text1"/>
              </w:rPr>
              <w:t>722</w:t>
            </w:r>
          </w:p>
        </w:tc>
        <w:tc>
          <w:tcPr>
            <w:tcW w:w="757" w:type="pct"/>
          </w:tcPr>
          <w:p w14:paraId="7483DC37" w14:textId="681D34B1" w:rsidR="004F50D2" w:rsidRPr="00375AEF" w:rsidRDefault="001B1D0E" w:rsidP="00B52647">
            <w:pPr>
              <w:pStyle w:val="TableText"/>
              <w:jc w:val="center"/>
              <w:rPr>
                <w:b/>
                <w:bCs/>
                <w:color w:val="000000" w:themeColor="text1"/>
              </w:rPr>
            </w:pPr>
            <w:r w:rsidRPr="00375AEF">
              <w:rPr>
                <w:b/>
                <w:bCs/>
                <w:color w:val="000000" w:themeColor="text1"/>
              </w:rPr>
              <w:t>$</w:t>
            </w:r>
            <w:r w:rsidR="00246143" w:rsidRPr="00375AEF">
              <w:rPr>
                <w:b/>
                <w:bCs/>
              </w:rPr>
              <w:t>redacted</w:t>
            </w:r>
          </w:p>
        </w:tc>
      </w:tr>
      <w:tr w:rsidR="003233A7" w:rsidRPr="00C86E49" w14:paraId="3804E8B3" w14:textId="77777777">
        <w:trPr>
          <w:cantSplit/>
        </w:trPr>
        <w:tc>
          <w:tcPr>
            <w:tcW w:w="2356" w:type="pct"/>
            <w:tcBorders>
              <w:right w:val="nil"/>
            </w:tcBorders>
          </w:tcPr>
          <w:p w14:paraId="5C3366AD" w14:textId="15481A63" w:rsidR="003233A7" w:rsidRPr="00C86E49" w:rsidRDefault="003233A7" w:rsidP="00B52647">
            <w:pPr>
              <w:pStyle w:val="TableText"/>
            </w:pPr>
            <w:r w:rsidRPr="00C86E49">
              <w:t xml:space="preserve">Time horizon (base case: lifetime, </w:t>
            </w:r>
            <w:r w:rsidR="00EC6D37" w:rsidRPr="00C86E49">
              <w:t>43</w:t>
            </w:r>
            <w:r w:rsidRPr="00C86E49">
              <w:t xml:space="preserve"> years)</w:t>
            </w:r>
          </w:p>
        </w:tc>
        <w:tc>
          <w:tcPr>
            <w:tcW w:w="943" w:type="pct"/>
            <w:tcBorders>
              <w:left w:val="nil"/>
              <w:right w:val="nil"/>
            </w:tcBorders>
          </w:tcPr>
          <w:p w14:paraId="3AF6D0DE" w14:textId="45A83EA1" w:rsidR="003233A7" w:rsidRPr="00375AEF" w:rsidRDefault="003233A7" w:rsidP="00B52647">
            <w:pPr>
              <w:pStyle w:val="TableText"/>
              <w:jc w:val="center"/>
              <w:rPr>
                <w:color w:val="000000" w:themeColor="text1"/>
              </w:rPr>
            </w:pPr>
          </w:p>
        </w:tc>
        <w:tc>
          <w:tcPr>
            <w:tcW w:w="943" w:type="pct"/>
            <w:tcBorders>
              <w:left w:val="nil"/>
              <w:right w:val="nil"/>
            </w:tcBorders>
          </w:tcPr>
          <w:p w14:paraId="29B79C35" w14:textId="77777777" w:rsidR="003233A7" w:rsidRPr="00C86E49" w:rsidRDefault="003233A7" w:rsidP="00B52647">
            <w:pPr>
              <w:pStyle w:val="TableText"/>
              <w:jc w:val="center"/>
              <w:rPr>
                <w:color w:val="000000" w:themeColor="text1"/>
              </w:rPr>
            </w:pPr>
          </w:p>
        </w:tc>
        <w:tc>
          <w:tcPr>
            <w:tcW w:w="757" w:type="pct"/>
            <w:tcBorders>
              <w:left w:val="nil"/>
            </w:tcBorders>
          </w:tcPr>
          <w:p w14:paraId="03F062A4" w14:textId="77777777" w:rsidR="003233A7" w:rsidRPr="00375AEF" w:rsidRDefault="003233A7" w:rsidP="00B52647">
            <w:pPr>
              <w:pStyle w:val="TableText"/>
              <w:jc w:val="center"/>
              <w:rPr>
                <w:color w:val="000000" w:themeColor="text1"/>
              </w:rPr>
            </w:pPr>
          </w:p>
        </w:tc>
      </w:tr>
      <w:tr w:rsidR="00AC1705" w:rsidRPr="00C86E49" w14:paraId="2D693F6D" w14:textId="77777777">
        <w:trPr>
          <w:cantSplit/>
        </w:trPr>
        <w:tc>
          <w:tcPr>
            <w:tcW w:w="2356" w:type="pct"/>
          </w:tcPr>
          <w:p w14:paraId="2F5FDA91" w14:textId="77777777" w:rsidR="00AC1705" w:rsidRPr="00C86E49" w:rsidRDefault="00AC1705" w:rsidP="00B52647">
            <w:pPr>
              <w:pStyle w:val="TableText"/>
              <w:ind w:firstLine="164"/>
            </w:pPr>
            <w:r w:rsidRPr="00C86E49">
              <w:t>20 years</w:t>
            </w:r>
          </w:p>
        </w:tc>
        <w:tc>
          <w:tcPr>
            <w:tcW w:w="943" w:type="pct"/>
          </w:tcPr>
          <w:p w14:paraId="0B50C7B8" w14:textId="6F083BAC" w:rsidR="00AC1705" w:rsidRPr="00375AEF" w:rsidRDefault="00246143" w:rsidP="00B52647">
            <w:pPr>
              <w:pStyle w:val="TableText"/>
              <w:jc w:val="center"/>
              <w:rPr>
                <w:color w:val="000000" w:themeColor="text1"/>
              </w:rPr>
            </w:pPr>
            <w:r w:rsidRPr="00375AEF">
              <w:rPr>
                <w:b/>
                <w:bCs/>
              </w:rPr>
              <w:t xml:space="preserve"> redacted</w:t>
            </w:r>
          </w:p>
        </w:tc>
        <w:tc>
          <w:tcPr>
            <w:tcW w:w="943" w:type="pct"/>
          </w:tcPr>
          <w:p w14:paraId="350A858F" w14:textId="57E4F77A" w:rsidR="00AC1705" w:rsidRPr="00C86E49" w:rsidRDefault="008C1AF7" w:rsidP="00B52647">
            <w:pPr>
              <w:pStyle w:val="TableText"/>
              <w:jc w:val="center"/>
              <w:rPr>
                <w:color w:val="000000" w:themeColor="text1"/>
              </w:rPr>
            </w:pPr>
            <w:r w:rsidRPr="00C86E49">
              <w:rPr>
                <w:color w:val="000000" w:themeColor="text1"/>
              </w:rPr>
              <w:t>0.</w:t>
            </w:r>
            <w:r w:rsidR="009C193A" w:rsidRPr="00C86E49">
              <w:rPr>
                <w:color w:val="000000" w:themeColor="text1"/>
              </w:rPr>
              <w:t>601</w:t>
            </w:r>
          </w:p>
        </w:tc>
        <w:tc>
          <w:tcPr>
            <w:tcW w:w="757" w:type="pct"/>
          </w:tcPr>
          <w:p w14:paraId="6FB27CC3" w14:textId="29E63158" w:rsidR="00AC1705" w:rsidRPr="00375AEF" w:rsidRDefault="008C1AF7" w:rsidP="00B52647">
            <w:pPr>
              <w:pStyle w:val="TableText"/>
              <w:jc w:val="center"/>
              <w:rPr>
                <w:color w:val="000000" w:themeColor="text1"/>
              </w:rPr>
            </w:pPr>
            <w:r w:rsidRPr="00375AEF">
              <w:rPr>
                <w:color w:val="000000" w:themeColor="text1"/>
              </w:rPr>
              <w:t>$</w:t>
            </w:r>
            <w:r w:rsidR="00246143" w:rsidRPr="00375AEF">
              <w:rPr>
                <w:b/>
                <w:bCs/>
              </w:rPr>
              <w:t>redacted</w:t>
            </w:r>
          </w:p>
        </w:tc>
      </w:tr>
      <w:tr w:rsidR="00AC1705" w:rsidRPr="00C86E49" w14:paraId="39095A35" w14:textId="77777777">
        <w:trPr>
          <w:cantSplit/>
          <w:trHeight w:val="283"/>
        </w:trPr>
        <w:tc>
          <w:tcPr>
            <w:tcW w:w="2356" w:type="pct"/>
            <w:tcBorders>
              <w:bottom w:val="single" w:sz="4" w:space="0" w:color="auto"/>
            </w:tcBorders>
          </w:tcPr>
          <w:p w14:paraId="39B2F25E" w14:textId="77777777" w:rsidR="00AC1705" w:rsidRPr="00C86E49" w:rsidRDefault="00AC1705" w:rsidP="00B52647">
            <w:pPr>
              <w:pStyle w:val="TableText"/>
              <w:ind w:firstLine="164"/>
            </w:pPr>
            <w:r w:rsidRPr="00C86E49">
              <w:t>10 years</w:t>
            </w:r>
          </w:p>
        </w:tc>
        <w:tc>
          <w:tcPr>
            <w:tcW w:w="943" w:type="pct"/>
            <w:tcBorders>
              <w:bottom w:val="single" w:sz="4" w:space="0" w:color="auto"/>
            </w:tcBorders>
          </w:tcPr>
          <w:p w14:paraId="2108DBB7" w14:textId="7EFFBA2F" w:rsidR="00AC1705" w:rsidRPr="00375AEF" w:rsidRDefault="00AC1705" w:rsidP="00B52647">
            <w:pPr>
              <w:pStyle w:val="TableText"/>
              <w:jc w:val="center"/>
              <w:rPr>
                <w:color w:val="000000" w:themeColor="text1"/>
              </w:rPr>
            </w:pPr>
            <w:r w:rsidRPr="00375AEF">
              <w:t>$</w:t>
            </w:r>
            <w:r w:rsidR="00246143" w:rsidRPr="00375AEF">
              <w:rPr>
                <w:b/>
                <w:bCs/>
              </w:rPr>
              <w:t>redacted</w:t>
            </w:r>
          </w:p>
        </w:tc>
        <w:tc>
          <w:tcPr>
            <w:tcW w:w="943" w:type="pct"/>
            <w:tcBorders>
              <w:bottom w:val="single" w:sz="4" w:space="0" w:color="auto"/>
            </w:tcBorders>
          </w:tcPr>
          <w:p w14:paraId="6BE1AD9B" w14:textId="6D49C023" w:rsidR="00AC1705" w:rsidRPr="00C86E49" w:rsidRDefault="008C1AF7" w:rsidP="00B52647">
            <w:pPr>
              <w:pStyle w:val="TableText"/>
              <w:jc w:val="center"/>
              <w:rPr>
                <w:color w:val="000000" w:themeColor="text1"/>
              </w:rPr>
            </w:pPr>
            <w:r w:rsidRPr="00C86E49">
              <w:rPr>
                <w:color w:val="000000" w:themeColor="text1"/>
              </w:rPr>
              <w:t>0.</w:t>
            </w:r>
            <w:r w:rsidR="009C193A" w:rsidRPr="00C86E49">
              <w:rPr>
                <w:color w:val="000000" w:themeColor="text1"/>
              </w:rPr>
              <w:t>395</w:t>
            </w:r>
          </w:p>
        </w:tc>
        <w:tc>
          <w:tcPr>
            <w:tcW w:w="757" w:type="pct"/>
          </w:tcPr>
          <w:p w14:paraId="4BCE0101" w14:textId="33968646" w:rsidR="00AC1705" w:rsidRPr="00375AEF" w:rsidRDefault="00FE5C92" w:rsidP="00B52647">
            <w:pPr>
              <w:pStyle w:val="TableText"/>
              <w:jc w:val="center"/>
              <w:rPr>
                <w:color w:val="000000" w:themeColor="text1"/>
              </w:rPr>
            </w:pPr>
            <w:r w:rsidRPr="00375AEF">
              <w:rPr>
                <w:color w:val="000000" w:themeColor="text1"/>
              </w:rPr>
              <w:t>$</w:t>
            </w:r>
            <w:r w:rsidR="00246143" w:rsidRPr="00375AEF">
              <w:rPr>
                <w:b/>
                <w:bCs/>
              </w:rPr>
              <w:t>redacted</w:t>
            </w:r>
          </w:p>
        </w:tc>
      </w:tr>
      <w:tr w:rsidR="006E3125" w:rsidRPr="00C86E49" w14:paraId="470D80F5" w14:textId="77777777">
        <w:trPr>
          <w:cantSplit/>
          <w:trHeight w:val="283"/>
        </w:trPr>
        <w:tc>
          <w:tcPr>
            <w:tcW w:w="2356" w:type="pct"/>
            <w:tcBorders>
              <w:bottom w:val="single" w:sz="4" w:space="0" w:color="auto"/>
            </w:tcBorders>
          </w:tcPr>
          <w:p w14:paraId="4143185A" w14:textId="28643C30" w:rsidR="006E3125" w:rsidRPr="00C86E49" w:rsidRDefault="006E3125" w:rsidP="00B52647">
            <w:pPr>
              <w:pStyle w:val="TableText"/>
              <w:ind w:firstLine="164"/>
            </w:pPr>
            <w:r w:rsidRPr="00C86E49">
              <w:t>5 years</w:t>
            </w:r>
          </w:p>
        </w:tc>
        <w:tc>
          <w:tcPr>
            <w:tcW w:w="943" w:type="pct"/>
            <w:tcBorders>
              <w:bottom w:val="single" w:sz="4" w:space="0" w:color="auto"/>
            </w:tcBorders>
          </w:tcPr>
          <w:p w14:paraId="460A162D" w14:textId="30AA062B" w:rsidR="006E3125" w:rsidRPr="00375AEF" w:rsidRDefault="006E3125" w:rsidP="00B52647">
            <w:pPr>
              <w:pStyle w:val="TableText"/>
              <w:jc w:val="center"/>
            </w:pPr>
            <w:r w:rsidRPr="00375AEF">
              <w:t>$</w:t>
            </w:r>
            <w:r w:rsidR="00246143" w:rsidRPr="00375AEF">
              <w:rPr>
                <w:b/>
                <w:bCs/>
              </w:rPr>
              <w:t>redacted</w:t>
            </w:r>
          </w:p>
        </w:tc>
        <w:tc>
          <w:tcPr>
            <w:tcW w:w="943" w:type="pct"/>
            <w:tcBorders>
              <w:bottom w:val="single" w:sz="4" w:space="0" w:color="auto"/>
            </w:tcBorders>
          </w:tcPr>
          <w:p w14:paraId="0C01A241" w14:textId="52AC16BA" w:rsidR="006E3125" w:rsidRPr="00C86E49" w:rsidRDefault="00A068AC" w:rsidP="00B52647">
            <w:pPr>
              <w:pStyle w:val="TableText"/>
              <w:jc w:val="center"/>
              <w:rPr>
                <w:color w:val="000000" w:themeColor="text1"/>
              </w:rPr>
            </w:pPr>
            <w:r w:rsidRPr="00C86E49">
              <w:rPr>
                <w:color w:val="000000" w:themeColor="text1"/>
              </w:rPr>
              <w:t>0.2</w:t>
            </w:r>
            <w:r w:rsidR="00347FA7" w:rsidRPr="00C86E49">
              <w:rPr>
                <w:color w:val="000000" w:themeColor="text1"/>
              </w:rPr>
              <w:t>34</w:t>
            </w:r>
          </w:p>
        </w:tc>
        <w:tc>
          <w:tcPr>
            <w:tcW w:w="757" w:type="pct"/>
          </w:tcPr>
          <w:p w14:paraId="35BA4C4A" w14:textId="05BB7831" w:rsidR="006E3125" w:rsidRPr="00375AEF" w:rsidRDefault="002E18D9" w:rsidP="00B52647">
            <w:pPr>
              <w:pStyle w:val="TableText"/>
              <w:jc w:val="center"/>
              <w:rPr>
                <w:color w:val="000000" w:themeColor="text1"/>
              </w:rPr>
            </w:pPr>
            <w:r w:rsidRPr="00375AEF">
              <w:rPr>
                <w:color w:val="000000" w:themeColor="text1"/>
              </w:rPr>
              <w:t>$</w:t>
            </w:r>
            <w:r w:rsidR="00246143" w:rsidRPr="00375AEF">
              <w:rPr>
                <w:b/>
                <w:bCs/>
              </w:rPr>
              <w:t>redacted</w:t>
            </w:r>
          </w:p>
        </w:tc>
      </w:tr>
      <w:tr w:rsidR="003233A7" w:rsidRPr="00C86E49" w14:paraId="48D6F9E4" w14:textId="77777777">
        <w:trPr>
          <w:cantSplit/>
          <w:trHeight w:val="283"/>
        </w:trPr>
        <w:tc>
          <w:tcPr>
            <w:tcW w:w="2356" w:type="pct"/>
            <w:tcBorders>
              <w:right w:val="nil"/>
            </w:tcBorders>
          </w:tcPr>
          <w:p w14:paraId="36D66ABD" w14:textId="19081A52" w:rsidR="003233A7" w:rsidRPr="00C86E49" w:rsidRDefault="003233A7" w:rsidP="00B52647">
            <w:pPr>
              <w:pStyle w:val="TableText"/>
            </w:pPr>
            <w:r w:rsidRPr="00C86E49">
              <w:t>Relative mortality in cycle 1 (base case: OR = 0.</w:t>
            </w:r>
            <w:r w:rsidR="00173BF9" w:rsidRPr="00C86E49">
              <w:t>71</w:t>
            </w:r>
            <w:r w:rsidRPr="00C86E49">
              <w:t>)</w:t>
            </w:r>
          </w:p>
        </w:tc>
        <w:tc>
          <w:tcPr>
            <w:tcW w:w="943" w:type="pct"/>
            <w:tcBorders>
              <w:left w:val="nil"/>
              <w:right w:val="nil"/>
            </w:tcBorders>
          </w:tcPr>
          <w:p w14:paraId="5AC99313" w14:textId="77777777" w:rsidR="003233A7" w:rsidRPr="00375AEF" w:rsidRDefault="003233A7" w:rsidP="00B52647">
            <w:pPr>
              <w:pStyle w:val="TableText"/>
              <w:jc w:val="center"/>
              <w:rPr>
                <w:rFonts w:eastAsia="Calibri"/>
                <w:color w:val="000000" w:themeColor="text1"/>
                <w:szCs w:val="20"/>
              </w:rPr>
            </w:pPr>
          </w:p>
        </w:tc>
        <w:tc>
          <w:tcPr>
            <w:tcW w:w="943" w:type="pct"/>
            <w:tcBorders>
              <w:left w:val="nil"/>
              <w:right w:val="nil"/>
            </w:tcBorders>
          </w:tcPr>
          <w:p w14:paraId="021C2582" w14:textId="77777777" w:rsidR="003233A7" w:rsidRPr="00C86E49" w:rsidRDefault="003233A7" w:rsidP="00B52647">
            <w:pPr>
              <w:pStyle w:val="TableText"/>
              <w:jc w:val="center"/>
              <w:rPr>
                <w:rFonts w:eastAsia="Calibri"/>
                <w:color w:val="000000" w:themeColor="text1"/>
                <w:szCs w:val="20"/>
              </w:rPr>
            </w:pPr>
          </w:p>
        </w:tc>
        <w:tc>
          <w:tcPr>
            <w:tcW w:w="757" w:type="pct"/>
            <w:tcBorders>
              <w:left w:val="nil"/>
            </w:tcBorders>
          </w:tcPr>
          <w:p w14:paraId="0CD7AB65" w14:textId="77777777" w:rsidR="003233A7" w:rsidRPr="00375AEF" w:rsidRDefault="003233A7" w:rsidP="00B52647">
            <w:pPr>
              <w:pStyle w:val="TableText"/>
              <w:jc w:val="center"/>
              <w:rPr>
                <w:rFonts w:eastAsia="Calibri"/>
                <w:color w:val="000000" w:themeColor="text1"/>
                <w:szCs w:val="20"/>
              </w:rPr>
            </w:pPr>
          </w:p>
        </w:tc>
      </w:tr>
      <w:tr w:rsidR="00391448" w:rsidRPr="00C86E49" w14:paraId="16E4F019" w14:textId="77777777">
        <w:trPr>
          <w:cantSplit/>
          <w:trHeight w:val="283"/>
        </w:trPr>
        <w:tc>
          <w:tcPr>
            <w:tcW w:w="2356" w:type="pct"/>
          </w:tcPr>
          <w:p w14:paraId="7A3D7323" w14:textId="424BB8B4" w:rsidR="00391448" w:rsidRPr="00C86E49" w:rsidRDefault="00391448" w:rsidP="00B52647">
            <w:pPr>
              <w:pStyle w:val="TableText"/>
              <w:ind w:firstLine="164"/>
            </w:pPr>
            <w:r w:rsidRPr="00C86E49">
              <w:t>Lower confidence limit (OR</w:t>
            </w:r>
            <w:r w:rsidR="0023351A" w:rsidRPr="00C86E49">
              <w:t> </w:t>
            </w:r>
            <w:r w:rsidR="003233A7" w:rsidRPr="00C86E49">
              <w:t>=</w:t>
            </w:r>
            <w:r w:rsidR="0023351A" w:rsidRPr="00C86E49">
              <w:t> </w:t>
            </w:r>
            <w:r w:rsidRPr="00C86E49">
              <w:t>0.19)</w:t>
            </w:r>
          </w:p>
        </w:tc>
        <w:tc>
          <w:tcPr>
            <w:tcW w:w="943" w:type="pct"/>
          </w:tcPr>
          <w:p w14:paraId="2276F609" w14:textId="03FE97BE" w:rsidR="00391448" w:rsidRPr="00375AEF" w:rsidRDefault="00391448" w:rsidP="00B52647">
            <w:pPr>
              <w:pStyle w:val="TableText"/>
              <w:jc w:val="center"/>
              <w:rPr>
                <w:rFonts w:eastAsia="Calibri"/>
                <w:color w:val="000000" w:themeColor="text1"/>
                <w:szCs w:val="20"/>
              </w:rPr>
            </w:pPr>
            <w:r w:rsidRPr="00375AEF">
              <w:t>$</w:t>
            </w:r>
            <w:r w:rsidR="00246143" w:rsidRPr="00375AEF">
              <w:rPr>
                <w:b/>
                <w:bCs/>
              </w:rPr>
              <w:t>redacted</w:t>
            </w:r>
          </w:p>
        </w:tc>
        <w:tc>
          <w:tcPr>
            <w:tcW w:w="943" w:type="pct"/>
          </w:tcPr>
          <w:p w14:paraId="48C97589" w14:textId="2702B6AD" w:rsidR="00391448" w:rsidRPr="00C86E49" w:rsidRDefault="00C62A2B" w:rsidP="00B52647">
            <w:pPr>
              <w:pStyle w:val="TableText"/>
              <w:jc w:val="center"/>
              <w:rPr>
                <w:rFonts w:eastAsia="Calibri"/>
                <w:color w:val="000000" w:themeColor="text1"/>
                <w:szCs w:val="20"/>
              </w:rPr>
            </w:pPr>
            <w:r w:rsidRPr="00C86E49">
              <w:rPr>
                <w:rFonts w:eastAsia="Calibri"/>
                <w:color w:val="000000" w:themeColor="text1"/>
                <w:szCs w:val="20"/>
              </w:rPr>
              <w:t>3.351</w:t>
            </w:r>
          </w:p>
        </w:tc>
        <w:tc>
          <w:tcPr>
            <w:tcW w:w="757" w:type="pct"/>
          </w:tcPr>
          <w:p w14:paraId="73AEE06F" w14:textId="59100061" w:rsidR="00391448" w:rsidRPr="00375AEF" w:rsidRDefault="006B78D3" w:rsidP="00B52647">
            <w:pPr>
              <w:pStyle w:val="TableText"/>
              <w:jc w:val="center"/>
              <w:rPr>
                <w:rFonts w:eastAsia="Calibri"/>
                <w:color w:val="000000" w:themeColor="text1"/>
                <w:szCs w:val="20"/>
              </w:rPr>
            </w:pPr>
            <w:r w:rsidRPr="00375AEF">
              <w:rPr>
                <w:rFonts w:eastAsia="Calibri"/>
                <w:color w:val="000000" w:themeColor="text1"/>
                <w:szCs w:val="20"/>
              </w:rPr>
              <w:t>$</w:t>
            </w:r>
            <w:r w:rsidR="00246143" w:rsidRPr="00375AEF">
              <w:rPr>
                <w:b/>
                <w:bCs/>
              </w:rPr>
              <w:t>redacted</w:t>
            </w:r>
          </w:p>
        </w:tc>
      </w:tr>
      <w:tr w:rsidR="00391448" w:rsidRPr="00C86E49" w14:paraId="305BDC3E" w14:textId="77777777">
        <w:trPr>
          <w:cantSplit/>
          <w:trHeight w:val="283"/>
        </w:trPr>
        <w:tc>
          <w:tcPr>
            <w:tcW w:w="2356" w:type="pct"/>
            <w:tcBorders>
              <w:bottom w:val="single" w:sz="4" w:space="0" w:color="auto"/>
            </w:tcBorders>
          </w:tcPr>
          <w:p w14:paraId="67DBA69A" w14:textId="276B0C4E" w:rsidR="00391448" w:rsidRPr="00C86E49" w:rsidRDefault="00391448" w:rsidP="00B52647">
            <w:pPr>
              <w:pStyle w:val="TableText"/>
              <w:ind w:firstLine="164"/>
            </w:pPr>
            <w:r w:rsidRPr="00C86E49">
              <w:t>Upper confidence limit (OR</w:t>
            </w:r>
            <w:r w:rsidR="0023351A" w:rsidRPr="00C86E49">
              <w:t> </w:t>
            </w:r>
            <w:r w:rsidR="003233A7" w:rsidRPr="00C86E49">
              <w:t>=</w:t>
            </w:r>
            <w:r w:rsidR="0023351A" w:rsidRPr="00C86E49">
              <w:t> </w:t>
            </w:r>
            <w:r w:rsidRPr="00C86E49">
              <w:t>2.61)</w:t>
            </w:r>
          </w:p>
        </w:tc>
        <w:tc>
          <w:tcPr>
            <w:tcW w:w="943" w:type="pct"/>
            <w:tcBorders>
              <w:bottom w:val="single" w:sz="4" w:space="0" w:color="auto"/>
            </w:tcBorders>
          </w:tcPr>
          <w:p w14:paraId="709352A3" w14:textId="55EB7775" w:rsidR="00391448" w:rsidRPr="00375AEF" w:rsidRDefault="00391448" w:rsidP="00B52647">
            <w:pPr>
              <w:pStyle w:val="TableText"/>
              <w:jc w:val="center"/>
              <w:rPr>
                <w:rFonts w:eastAsia="Calibri"/>
                <w:color w:val="000000" w:themeColor="text1"/>
                <w:szCs w:val="20"/>
              </w:rPr>
            </w:pPr>
            <w:r w:rsidRPr="00375AEF">
              <w:t>$</w:t>
            </w:r>
            <w:r w:rsidR="00246143" w:rsidRPr="00375AEF">
              <w:rPr>
                <w:b/>
                <w:bCs/>
              </w:rPr>
              <w:t>redacted</w:t>
            </w:r>
          </w:p>
        </w:tc>
        <w:tc>
          <w:tcPr>
            <w:tcW w:w="943" w:type="pct"/>
            <w:tcBorders>
              <w:bottom w:val="single" w:sz="4" w:space="0" w:color="auto"/>
            </w:tcBorders>
          </w:tcPr>
          <w:p w14:paraId="5ED6183F" w14:textId="2140523B" w:rsidR="00391448" w:rsidRPr="00C86E49" w:rsidRDefault="006B78D3" w:rsidP="00B52647">
            <w:pPr>
              <w:pStyle w:val="TableText"/>
              <w:jc w:val="center"/>
              <w:rPr>
                <w:rFonts w:eastAsia="Calibri"/>
                <w:color w:val="000000" w:themeColor="text1"/>
                <w:szCs w:val="20"/>
              </w:rPr>
            </w:pPr>
            <w:r w:rsidRPr="00C86E49">
              <w:rPr>
                <w:rFonts w:eastAsia="Calibri"/>
                <w:color w:val="000000" w:themeColor="text1"/>
                <w:szCs w:val="20"/>
              </w:rPr>
              <w:t>-</w:t>
            </w:r>
            <w:r w:rsidR="008616E8" w:rsidRPr="00C86E49">
              <w:rPr>
                <w:rFonts w:eastAsia="Calibri"/>
                <w:color w:val="000000" w:themeColor="text1"/>
                <w:szCs w:val="20"/>
              </w:rPr>
              <w:t>1.631</w:t>
            </w:r>
          </w:p>
        </w:tc>
        <w:tc>
          <w:tcPr>
            <w:tcW w:w="757" w:type="pct"/>
          </w:tcPr>
          <w:p w14:paraId="566D0B6B" w14:textId="793BB29F" w:rsidR="00391448" w:rsidRPr="00375AEF" w:rsidRDefault="00524B8B" w:rsidP="00B52647">
            <w:pPr>
              <w:pStyle w:val="TableText"/>
              <w:jc w:val="center"/>
              <w:rPr>
                <w:rFonts w:eastAsia="Calibri"/>
                <w:color w:val="000000" w:themeColor="text1"/>
                <w:szCs w:val="20"/>
              </w:rPr>
            </w:pPr>
            <w:r w:rsidRPr="00375AEF">
              <w:rPr>
                <w:rFonts w:eastAsia="Calibri"/>
                <w:color w:val="000000" w:themeColor="text1"/>
                <w:szCs w:val="20"/>
              </w:rPr>
              <w:t>Dominated</w:t>
            </w:r>
          </w:p>
        </w:tc>
      </w:tr>
      <w:tr w:rsidR="003233A7" w:rsidRPr="00C86E49" w14:paraId="16B87E54" w14:textId="77777777">
        <w:trPr>
          <w:cantSplit/>
          <w:trHeight w:val="283"/>
        </w:trPr>
        <w:tc>
          <w:tcPr>
            <w:tcW w:w="2356" w:type="pct"/>
            <w:tcBorders>
              <w:right w:val="nil"/>
            </w:tcBorders>
          </w:tcPr>
          <w:p w14:paraId="4F1CFE3B" w14:textId="77777777" w:rsidR="003233A7" w:rsidRPr="00C86E49" w:rsidRDefault="003233A7" w:rsidP="00B52647">
            <w:pPr>
              <w:pStyle w:val="TableText"/>
            </w:pPr>
            <w:r w:rsidRPr="00C86E49">
              <w:t>Mortality cycle 7 onwards (base case: SMR = 1.0)</w:t>
            </w:r>
          </w:p>
        </w:tc>
        <w:tc>
          <w:tcPr>
            <w:tcW w:w="943" w:type="pct"/>
            <w:tcBorders>
              <w:left w:val="nil"/>
              <w:right w:val="nil"/>
            </w:tcBorders>
          </w:tcPr>
          <w:p w14:paraId="2651F0C1" w14:textId="77777777" w:rsidR="003233A7" w:rsidRPr="00375AEF" w:rsidRDefault="003233A7" w:rsidP="00B52647">
            <w:pPr>
              <w:pStyle w:val="TableText"/>
              <w:jc w:val="center"/>
              <w:rPr>
                <w:rFonts w:eastAsia="Calibri"/>
                <w:color w:val="000000" w:themeColor="text1"/>
                <w:szCs w:val="20"/>
              </w:rPr>
            </w:pPr>
          </w:p>
        </w:tc>
        <w:tc>
          <w:tcPr>
            <w:tcW w:w="943" w:type="pct"/>
            <w:tcBorders>
              <w:left w:val="nil"/>
              <w:right w:val="nil"/>
            </w:tcBorders>
          </w:tcPr>
          <w:p w14:paraId="308DF55B" w14:textId="77777777" w:rsidR="003233A7" w:rsidRPr="00C86E49" w:rsidRDefault="003233A7" w:rsidP="00B52647">
            <w:pPr>
              <w:pStyle w:val="TableText"/>
              <w:jc w:val="center"/>
              <w:rPr>
                <w:rFonts w:eastAsia="Calibri"/>
                <w:color w:val="000000" w:themeColor="text1"/>
                <w:szCs w:val="20"/>
              </w:rPr>
            </w:pPr>
          </w:p>
        </w:tc>
        <w:tc>
          <w:tcPr>
            <w:tcW w:w="757" w:type="pct"/>
            <w:tcBorders>
              <w:left w:val="nil"/>
            </w:tcBorders>
          </w:tcPr>
          <w:p w14:paraId="510A6459" w14:textId="77777777" w:rsidR="003233A7" w:rsidRPr="00375AEF" w:rsidRDefault="003233A7" w:rsidP="00B52647">
            <w:pPr>
              <w:pStyle w:val="TableText"/>
              <w:jc w:val="center"/>
              <w:rPr>
                <w:rFonts w:eastAsia="Calibri"/>
                <w:color w:val="000000" w:themeColor="text1"/>
                <w:szCs w:val="20"/>
              </w:rPr>
            </w:pPr>
          </w:p>
        </w:tc>
      </w:tr>
      <w:tr w:rsidR="00391448" w:rsidRPr="00C86E49" w14:paraId="59FE3F1C" w14:textId="77777777">
        <w:trPr>
          <w:cantSplit/>
          <w:trHeight w:val="283"/>
        </w:trPr>
        <w:tc>
          <w:tcPr>
            <w:tcW w:w="2356" w:type="pct"/>
          </w:tcPr>
          <w:p w14:paraId="3ED327BE" w14:textId="77777777" w:rsidR="00391448" w:rsidRPr="00C86E49" w:rsidRDefault="00391448" w:rsidP="00B52647">
            <w:pPr>
              <w:pStyle w:val="TableText"/>
              <w:ind w:firstLine="164"/>
            </w:pPr>
            <w:r w:rsidRPr="00C86E49">
              <w:t>SMR = 2</w:t>
            </w:r>
          </w:p>
        </w:tc>
        <w:tc>
          <w:tcPr>
            <w:tcW w:w="943" w:type="pct"/>
          </w:tcPr>
          <w:p w14:paraId="45A88BF3" w14:textId="4552A4C3" w:rsidR="00391448" w:rsidRPr="00375AEF" w:rsidRDefault="00391448" w:rsidP="00B52647">
            <w:pPr>
              <w:pStyle w:val="TableText"/>
              <w:jc w:val="center"/>
              <w:rPr>
                <w:rFonts w:eastAsia="Calibri"/>
                <w:color w:val="000000" w:themeColor="text1"/>
                <w:szCs w:val="20"/>
              </w:rPr>
            </w:pPr>
            <w:r w:rsidRPr="00375AEF">
              <w:t>$</w:t>
            </w:r>
            <w:r w:rsidR="00625265" w:rsidRPr="00375AEF">
              <w:rPr>
                <w:b/>
                <w:bCs/>
              </w:rPr>
              <w:t>redacted</w:t>
            </w:r>
          </w:p>
        </w:tc>
        <w:tc>
          <w:tcPr>
            <w:tcW w:w="943" w:type="pct"/>
          </w:tcPr>
          <w:p w14:paraId="6E0DC0A4" w14:textId="3B9F56C8" w:rsidR="00391448" w:rsidRPr="00C86E49" w:rsidRDefault="00F46491" w:rsidP="00B52647">
            <w:pPr>
              <w:pStyle w:val="TableText"/>
              <w:jc w:val="center"/>
              <w:rPr>
                <w:rFonts w:eastAsia="Calibri"/>
                <w:color w:val="000000" w:themeColor="text1"/>
                <w:szCs w:val="20"/>
              </w:rPr>
            </w:pPr>
            <w:r w:rsidRPr="00C86E49">
              <w:rPr>
                <w:rFonts w:eastAsia="Calibri"/>
                <w:color w:val="000000" w:themeColor="text1"/>
                <w:szCs w:val="20"/>
              </w:rPr>
              <w:t>0.</w:t>
            </w:r>
            <w:r w:rsidR="00BC1E54" w:rsidRPr="00C86E49">
              <w:rPr>
                <w:rFonts w:eastAsia="Calibri"/>
                <w:color w:val="000000" w:themeColor="text1"/>
                <w:szCs w:val="20"/>
              </w:rPr>
              <w:t>639</w:t>
            </w:r>
          </w:p>
        </w:tc>
        <w:tc>
          <w:tcPr>
            <w:tcW w:w="757" w:type="pct"/>
          </w:tcPr>
          <w:p w14:paraId="20A44BD7" w14:textId="0E879DD7" w:rsidR="00391448" w:rsidRPr="00375AEF" w:rsidRDefault="00BC1E54" w:rsidP="00B52647">
            <w:pPr>
              <w:pStyle w:val="TableText"/>
              <w:jc w:val="center"/>
              <w:rPr>
                <w:rFonts w:eastAsia="Calibri"/>
                <w:color w:val="000000" w:themeColor="text1"/>
                <w:szCs w:val="20"/>
              </w:rPr>
            </w:pPr>
            <w:r w:rsidRPr="00375AEF">
              <w:rPr>
                <w:rFonts w:eastAsia="Calibri"/>
                <w:color w:val="000000" w:themeColor="text1"/>
                <w:szCs w:val="20"/>
              </w:rPr>
              <w:t>$</w:t>
            </w:r>
            <w:r w:rsidR="00625265" w:rsidRPr="00375AEF">
              <w:rPr>
                <w:b/>
                <w:bCs/>
              </w:rPr>
              <w:t>redacted</w:t>
            </w:r>
          </w:p>
        </w:tc>
      </w:tr>
      <w:tr w:rsidR="00391448" w:rsidRPr="00C86E49" w14:paraId="18A86950" w14:textId="77777777">
        <w:trPr>
          <w:cantSplit/>
          <w:trHeight w:val="283"/>
        </w:trPr>
        <w:tc>
          <w:tcPr>
            <w:tcW w:w="2356" w:type="pct"/>
          </w:tcPr>
          <w:p w14:paraId="09C8045E" w14:textId="77777777" w:rsidR="00391448" w:rsidRPr="00C86E49" w:rsidRDefault="00391448" w:rsidP="00B52647">
            <w:pPr>
              <w:pStyle w:val="TableText"/>
              <w:ind w:firstLine="164"/>
            </w:pPr>
            <w:r w:rsidRPr="00C86E49">
              <w:t>SMR = 5</w:t>
            </w:r>
          </w:p>
        </w:tc>
        <w:tc>
          <w:tcPr>
            <w:tcW w:w="943" w:type="pct"/>
          </w:tcPr>
          <w:p w14:paraId="595C52E7" w14:textId="03BF0226" w:rsidR="00391448" w:rsidRPr="00375AEF" w:rsidRDefault="00391448" w:rsidP="00B52647">
            <w:pPr>
              <w:pStyle w:val="TableText"/>
              <w:jc w:val="center"/>
              <w:rPr>
                <w:rFonts w:eastAsia="Calibri"/>
                <w:color w:val="000000" w:themeColor="text1"/>
                <w:szCs w:val="20"/>
              </w:rPr>
            </w:pPr>
            <w:r w:rsidRPr="00375AEF">
              <w:t>$</w:t>
            </w:r>
            <w:r w:rsidR="00625265" w:rsidRPr="00375AEF">
              <w:rPr>
                <w:b/>
                <w:bCs/>
              </w:rPr>
              <w:t>redacted</w:t>
            </w:r>
          </w:p>
        </w:tc>
        <w:tc>
          <w:tcPr>
            <w:tcW w:w="943" w:type="pct"/>
          </w:tcPr>
          <w:p w14:paraId="45E55011" w14:textId="351EC15F" w:rsidR="00391448" w:rsidRPr="00C86E49" w:rsidRDefault="00BC1E54" w:rsidP="00B52647">
            <w:pPr>
              <w:pStyle w:val="TableText"/>
              <w:jc w:val="center"/>
              <w:rPr>
                <w:rFonts w:eastAsia="Calibri"/>
                <w:color w:val="000000" w:themeColor="text1"/>
                <w:szCs w:val="20"/>
              </w:rPr>
            </w:pPr>
            <w:r w:rsidRPr="00C86E49">
              <w:rPr>
                <w:rFonts w:eastAsia="Calibri"/>
                <w:color w:val="000000" w:themeColor="text1"/>
                <w:szCs w:val="20"/>
              </w:rPr>
              <w:t>0.507</w:t>
            </w:r>
          </w:p>
        </w:tc>
        <w:tc>
          <w:tcPr>
            <w:tcW w:w="757" w:type="pct"/>
          </w:tcPr>
          <w:p w14:paraId="093D8873" w14:textId="51C21264" w:rsidR="00391448" w:rsidRPr="00375AEF" w:rsidRDefault="00BC1E54" w:rsidP="00B52647">
            <w:pPr>
              <w:pStyle w:val="TableText"/>
              <w:jc w:val="center"/>
              <w:rPr>
                <w:rFonts w:eastAsia="Calibri"/>
                <w:color w:val="000000" w:themeColor="text1"/>
                <w:szCs w:val="20"/>
              </w:rPr>
            </w:pPr>
            <w:r w:rsidRPr="00375AEF">
              <w:rPr>
                <w:rFonts w:eastAsia="Calibri"/>
                <w:color w:val="000000" w:themeColor="text1"/>
                <w:szCs w:val="20"/>
              </w:rPr>
              <w:t>$</w:t>
            </w:r>
            <w:r w:rsidR="00625265" w:rsidRPr="00375AEF">
              <w:rPr>
                <w:b/>
                <w:bCs/>
              </w:rPr>
              <w:t>redacted</w:t>
            </w:r>
          </w:p>
        </w:tc>
      </w:tr>
    </w:tbl>
    <w:p w14:paraId="19ECA407" w14:textId="069D0036" w:rsidR="003233A7" w:rsidRPr="00C86E49" w:rsidRDefault="003233A7" w:rsidP="001F6F44">
      <w:pPr>
        <w:pStyle w:val="TableFigureFooter"/>
        <w:spacing w:after="600"/>
      </w:pPr>
      <w:r w:rsidRPr="00C86E49">
        <w:rPr>
          <w:rFonts w:eastAsia="Calibri"/>
          <w:szCs w:val="20"/>
        </w:rPr>
        <w:t xml:space="preserve">ICER = incremental cost-effectiveness ratio; OR = odds ratio; QALY = quality adjusted life year; SMR = standardised mortality rate; </w:t>
      </w:r>
      <w:r w:rsidRPr="00C86E49">
        <w:t>VA-ECMO = veno-arterial extracorporeal membrane oxygenation.</w:t>
      </w:r>
    </w:p>
    <w:p w14:paraId="6A51BEAD" w14:textId="2417017D" w:rsidR="00A54BE0" w:rsidRPr="00C86E49" w:rsidRDefault="00A54BE0" w:rsidP="001F6F44">
      <w:pPr>
        <w:pStyle w:val="TableFigureFooter"/>
        <w:spacing w:after="600"/>
        <w:rPr>
          <w:rFonts w:eastAsia="Calibri"/>
        </w:rPr>
      </w:pPr>
      <w:r w:rsidRPr="00C86E49">
        <w:rPr>
          <w:vertAlign w:val="superscript"/>
        </w:rPr>
        <w:t>a</w:t>
      </w:r>
      <w:r w:rsidRPr="00C86E49">
        <w:t xml:space="preserve"> </w:t>
      </w:r>
      <w:r w:rsidR="00590A39" w:rsidRPr="00C86E49">
        <w:t>Commentary a</w:t>
      </w:r>
      <w:r w:rsidRPr="00C86E49">
        <w:t xml:space="preserve">lternative 30-day/in-hospital mortality risk weightings were used in the calculations </w:t>
      </w:r>
      <w:r w:rsidR="00255951" w:rsidRPr="00C86E49">
        <w:t>shown here</w:t>
      </w:r>
      <w:r w:rsidRPr="00C86E49">
        <w:t>.</w:t>
      </w:r>
    </w:p>
    <w:p w14:paraId="54CB4D02" w14:textId="2F10895C" w:rsidR="002202DA" w:rsidRPr="00C86E49" w:rsidRDefault="002202DA" w:rsidP="002202DA">
      <w:pPr>
        <w:pStyle w:val="TableFigureFooter"/>
      </w:pPr>
      <w:r w:rsidRPr="00C86E49">
        <w:t>Source: Exce</w:t>
      </w:r>
      <w:r w:rsidR="00D22850" w:rsidRPr="00C86E49">
        <w:t>r</w:t>
      </w:r>
      <w:r w:rsidRPr="00C86E49">
        <w:t>pt from Table 107 of MSAC 1523.1 ADAR+in-line commentary.</w:t>
      </w:r>
    </w:p>
    <w:p w14:paraId="25AE2BAC" w14:textId="678503FB" w:rsidR="00772829" w:rsidRPr="00C86E49" w:rsidRDefault="00C36633" w:rsidP="002A18BE">
      <w:pPr>
        <w:pStyle w:val="Heading2"/>
        <w:numPr>
          <w:ilvl w:val="0"/>
          <w:numId w:val="0"/>
        </w:numPr>
      </w:pPr>
      <w:bookmarkStart w:id="50" w:name="_Toc69491426"/>
      <w:bookmarkEnd w:id="49"/>
      <w:r w:rsidRPr="00C86E49">
        <w:t>1</w:t>
      </w:r>
      <w:r w:rsidR="00F36F57" w:rsidRPr="00C86E49">
        <w:t>4</w:t>
      </w:r>
      <w:r w:rsidRPr="00C86E49">
        <w:t>.</w:t>
      </w:r>
      <w:r w:rsidRPr="00C86E49">
        <w:tab/>
      </w:r>
      <w:r w:rsidR="00772829" w:rsidRPr="00C86E49">
        <w:t>Financial/budgetary impacts</w:t>
      </w:r>
      <w:bookmarkEnd w:id="50"/>
    </w:p>
    <w:p w14:paraId="48A1FFA8" w14:textId="244C7A7C" w:rsidR="006F796B" w:rsidRPr="00C86E49" w:rsidRDefault="006F796B" w:rsidP="005E029F">
      <w:r w:rsidRPr="00C86E49">
        <w:t>A market share approach was used to estimate the financial impact of listing services for the insertion, management, and removal of IMPELLA on the MBS for CS patients requiring MCS, and the associated IMPELLA kit on the Prescribed List.</w:t>
      </w:r>
    </w:p>
    <w:p w14:paraId="1C818CC5" w14:textId="3D1FD355" w:rsidR="001B1ED1" w:rsidRPr="00C86E49" w:rsidRDefault="001B1ED1" w:rsidP="005E029F">
      <w:r w:rsidRPr="00C86E49">
        <w:t>The market share approach employed historical MBS data for VA-ECMO services to estimate the number of patients requiring MCS in a private (MBS) setting, and Extracorporeal Life Support Organisation (ELSO) registry data to estimate the proportion of these patients with a CS indication.</w:t>
      </w:r>
    </w:p>
    <w:p w14:paraId="5CC645D9" w14:textId="7987FDD7" w:rsidR="009E28AB" w:rsidRPr="00C86E49" w:rsidRDefault="00E1449F" w:rsidP="00CD4790">
      <w:pPr>
        <w:pStyle w:val="Heading3"/>
      </w:pPr>
      <w:r w:rsidRPr="00C86E49">
        <w:t>Estimated use of the proposed technology</w:t>
      </w:r>
    </w:p>
    <w:p w14:paraId="5DD84227" w14:textId="0372251E" w:rsidR="000C7F5A" w:rsidRPr="00C86E49" w:rsidRDefault="00B31DD5" w:rsidP="005E029F">
      <w:r w:rsidRPr="00C86E49">
        <w:t xml:space="preserve">The estimated uptake of IMPELLA and ECPELLA on the MBS is summarised in </w:t>
      </w:r>
      <w:r w:rsidR="00FD4B61" w:rsidRPr="00C86E49">
        <w:rPr>
          <w:color w:val="2B579A"/>
          <w:shd w:val="clear" w:color="auto" w:fill="E6E6E6"/>
        </w:rPr>
        <w:fldChar w:fldCharType="begin"/>
      </w:r>
      <w:r w:rsidR="00FD4B61" w:rsidRPr="00C86E49">
        <w:instrText xml:space="preserve"> REF _Ref152080645 \h </w:instrText>
      </w:r>
      <w:r w:rsidR="00C86E49">
        <w:rPr>
          <w:color w:val="2B579A"/>
          <w:shd w:val="clear" w:color="auto" w:fill="E6E6E6"/>
        </w:rPr>
        <w:instrText xml:space="preserve"> \* MERGEFORMAT </w:instrText>
      </w:r>
      <w:r w:rsidR="00FD4B61" w:rsidRPr="00C86E49">
        <w:rPr>
          <w:color w:val="2B579A"/>
          <w:shd w:val="clear" w:color="auto" w:fill="E6E6E6"/>
        </w:rPr>
      </w:r>
      <w:r w:rsidR="00FD4B61" w:rsidRPr="00C86E49">
        <w:rPr>
          <w:color w:val="2B579A"/>
          <w:shd w:val="clear" w:color="auto" w:fill="E6E6E6"/>
        </w:rPr>
        <w:fldChar w:fldCharType="separate"/>
      </w:r>
      <w:r w:rsidR="00EF3514" w:rsidRPr="00C86E49">
        <w:t xml:space="preserve">Table </w:t>
      </w:r>
      <w:r w:rsidR="00EF3514" w:rsidRPr="00C86E49">
        <w:rPr>
          <w:noProof/>
        </w:rPr>
        <w:t>18</w:t>
      </w:r>
      <w:r w:rsidR="00FD4B61" w:rsidRPr="00C86E49">
        <w:rPr>
          <w:color w:val="2B579A"/>
          <w:shd w:val="clear" w:color="auto" w:fill="E6E6E6"/>
        </w:rPr>
        <w:fldChar w:fldCharType="end"/>
      </w:r>
      <w:r w:rsidR="00FD4B61" w:rsidRPr="00C86E49">
        <w:t>.</w:t>
      </w:r>
      <w:r w:rsidR="008018F4" w:rsidRPr="00C86E49">
        <w:t xml:space="preserve"> </w:t>
      </w:r>
      <w:r w:rsidR="00D23861" w:rsidRPr="00C86E49">
        <w:t>The estimates assume that IMPELLA will substitute some VA-ECMO services on the MBS, and that ECPELLA will be added to a proportion of VA-ECMO services on the MBS.</w:t>
      </w:r>
    </w:p>
    <w:p w14:paraId="5E954E37" w14:textId="3B774D09" w:rsidR="00B31DD5" w:rsidRPr="00C86E49" w:rsidRDefault="00DF1542" w:rsidP="00B31DD5">
      <w:pPr>
        <w:pStyle w:val="Caption"/>
      </w:pPr>
      <w:bookmarkStart w:id="51" w:name="_Ref152080645"/>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18</w:t>
      </w:r>
      <w:r w:rsidR="007552E5">
        <w:rPr>
          <w:noProof/>
        </w:rPr>
        <w:fldChar w:fldCharType="end"/>
      </w:r>
      <w:bookmarkEnd w:id="51"/>
      <w:r w:rsidR="00B31DD5" w:rsidRPr="00C86E49">
        <w:tab/>
      </w:r>
      <w:r w:rsidR="00E021E9" w:rsidRPr="00C86E49">
        <w:t>Estimated uptake of IMPELLA and ECPELLA on the MBS</w:t>
      </w:r>
    </w:p>
    <w:tbl>
      <w:tblPr>
        <w:tblStyle w:val="TableGrid"/>
        <w:tblW w:w="0" w:type="auto"/>
        <w:tblLook w:val="04A0" w:firstRow="1" w:lastRow="0" w:firstColumn="1" w:lastColumn="0" w:noHBand="0" w:noVBand="1"/>
        <w:tblCaption w:val="Estimated uptake of IMPELLA and ECPELLA on the MBS"/>
        <w:tblDescription w:val="This table shows the estimated uptake of IMPELLA and ECPELLA on the MBS from 2024 to 2028. "/>
      </w:tblPr>
      <w:tblGrid>
        <w:gridCol w:w="563"/>
        <w:gridCol w:w="1816"/>
        <w:gridCol w:w="1046"/>
        <w:gridCol w:w="1046"/>
        <w:gridCol w:w="1046"/>
        <w:gridCol w:w="1046"/>
        <w:gridCol w:w="1046"/>
        <w:gridCol w:w="1407"/>
      </w:tblGrid>
      <w:tr w:rsidR="00325766" w:rsidRPr="00C86E49" w14:paraId="66B15576" w14:textId="77777777" w:rsidTr="00492299">
        <w:trPr>
          <w:tblHeader/>
        </w:trPr>
        <w:tc>
          <w:tcPr>
            <w:tcW w:w="563" w:type="dxa"/>
          </w:tcPr>
          <w:p w14:paraId="52767A41" w14:textId="2811D42E" w:rsidR="00325766" w:rsidRPr="00C86E49" w:rsidRDefault="00586053" w:rsidP="00A04126">
            <w:pPr>
              <w:pStyle w:val="TableHeading0"/>
              <w:spacing w:before="60"/>
            </w:pPr>
            <w:r w:rsidRPr="00C86E49">
              <w:t>Row</w:t>
            </w:r>
          </w:p>
        </w:tc>
        <w:tc>
          <w:tcPr>
            <w:tcW w:w="2551" w:type="dxa"/>
          </w:tcPr>
          <w:p w14:paraId="263CF691" w14:textId="77777777" w:rsidR="00325766" w:rsidRPr="00C86E49" w:rsidRDefault="00325766" w:rsidP="00A04126">
            <w:pPr>
              <w:pStyle w:val="TableHeading0"/>
              <w:spacing w:before="60"/>
            </w:pPr>
          </w:p>
        </w:tc>
        <w:tc>
          <w:tcPr>
            <w:tcW w:w="850" w:type="dxa"/>
          </w:tcPr>
          <w:p w14:paraId="0BCBE22F" w14:textId="3ACCF619" w:rsidR="00325766" w:rsidRPr="00C86E49" w:rsidRDefault="00586053" w:rsidP="00A04126">
            <w:pPr>
              <w:pStyle w:val="TableHeading0"/>
              <w:spacing w:before="60"/>
            </w:pPr>
            <w:r w:rsidRPr="00C86E49">
              <w:t xml:space="preserve">2024 </w:t>
            </w:r>
            <w:r w:rsidRPr="00C86E49">
              <w:br/>
              <w:t>(Year 1)</w:t>
            </w:r>
          </w:p>
        </w:tc>
        <w:tc>
          <w:tcPr>
            <w:tcW w:w="851" w:type="dxa"/>
          </w:tcPr>
          <w:p w14:paraId="27B0DFD2" w14:textId="05B393A6" w:rsidR="00325766" w:rsidRPr="00C86E49" w:rsidRDefault="00586053" w:rsidP="00A04126">
            <w:pPr>
              <w:pStyle w:val="TableHeading0"/>
              <w:spacing w:before="60"/>
            </w:pPr>
            <w:r w:rsidRPr="00C86E49">
              <w:t>2025</w:t>
            </w:r>
            <w:r w:rsidRPr="00C86E49">
              <w:br/>
              <w:t>(Year 2)</w:t>
            </w:r>
          </w:p>
        </w:tc>
        <w:tc>
          <w:tcPr>
            <w:tcW w:w="820" w:type="dxa"/>
          </w:tcPr>
          <w:p w14:paraId="47873E5A" w14:textId="0610EF94" w:rsidR="00325766" w:rsidRPr="00C86E49" w:rsidRDefault="00586053" w:rsidP="00A04126">
            <w:pPr>
              <w:pStyle w:val="TableHeading0"/>
              <w:spacing w:before="60"/>
            </w:pPr>
            <w:r w:rsidRPr="00C86E49">
              <w:t>2026</w:t>
            </w:r>
            <w:r w:rsidRPr="00C86E49">
              <w:br/>
              <w:t>(Year 3)</w:t>
            </w:r>
          </w:p>
        </w:tc>
        <w:tc>
          <w:tcPr>
            <w:tcW w:w="881" w:type="dxa"/>
          </w:tcPr>
          <w:p w14:paraId="2A6FCBFA" w14:textId="0BE710BC" w:rsidR="00325766" w:rsidRPr="00C86E49" w:rsidRDefault="00586053" w:rsidP="00A04126">
            <w:pPr>
              <w:pStyle w:val="TableHeading0"/>
              <w:spacing w:before="60"/>
            </w:pPr>
            <w:r w:rsidRPr="00C86E49">
              <w:t>2027</w:t>
            </w:r>
            <w:r w:rsidRPr="00C86E49">
              <w:br/>
              <w:t>(Year 4)</w:t>
            </w:r>
          </w:p>
        </w:tc>
        <w:tc>
          <w:tcPr>
            <w:tcW w:w="850" w:type="dxa"/>
          </w:tcPr>
          <w:p w14:paraId="1DF10206" w14:textId="5FAC9FB7" w:rsidR="00325766" w:rsidRPr="00C86E49" w:rsidRDefault="00586053" w:rsidP="00A04126">
            <w:pPr>
              <w:pStyle w:val="TableHeading0"/>
              <w:spacing w:before="60"/>
            </w:pPr>
            <w:r w:rsidRPr="00C86E49">
              <w:t>2028</w:t>
            </w:r>
            <w:r w:rsidRPr="00C86E49">
              <w:br/>
              <w:t>(Year 5)</w:t>
            </w:r>
          </w:p>
        </w:tc>
        <w:tc>
          <w:tcPr>
            <w:tcW w:w="1650" w:type="dxa"/>
          </w:tcPr>
          <w:p w14:paraId="41E76F9B" w14:textId="7EF033AB" w:rsidR="00325766" w:rsidRPr="00C86E49" w:rsidRDefault="00586053" w:rsidP="00A04126">
            <w:pPr>
              <w:pStyle w:val="TableHeading0"/>
              <w:spacing w:before="60"/>
            </w:pPr>
            <w:r w:rsidRPr="00C86E49">
              <w:t>Source/ calculation</w:t>
            </w:r>
          </w:p>
        </w:tc>
      </w:tr>
      <w:tr w:rsidR="004D1B23" w:rsidRPr="00C86E49" w14:paraId="6E793CD7" w14:textId="77777777" w:rsidTr="00492299">
        <w:trPr>
          <w:tblHeader/>
        </w:trPr>
        <w:tc>
          <w:tcPr>
            <w:tcW w:w="563" w:type="dxa"/>
          </w:tcPr>
          <w:p w14:paraId="0D039A8A" w14:textId="39B8913D" w:rsidR="004D1B23" w:rsidRPr="00C86E49" w:rsidRDefault="009549CB" w:rsidP="00586053">
            <w:pPr>
              <w:pStyle w:val="TableText"/>
            </w:pPr>
            <w:r w:rsidRPr="00C86E49">
              <w:t>A</w:t>
            </w:r>
          </w:p>
        </w:tc>
        <w:tc>
          <w:tcPr>
            <w:tcW w:w="2551" w:type="dxa"/>
          </w:tcPr>
          <w:p w14:paraId="5E4C649E" w14:textId="79979A4B" w:rsidR="004D1B23" w:rsidRPr="00C86E49" w:rsidRDefault="009D21F2" w:rsidP="00586053">
            <w:pPr>
              <w:pStyle w:val="TableText"/>
            </w:pPr>
            <w:r w:rsidRPr="00C86E49">
              <w:t>Estimated VA-ECMO services</w:t>
            </w:r>
          </w:p>
        </w:tc>
        <w:tc>
          <w:tcPr>
            <w:tcW w:w="850" w:type="dxa"/>
          </w:tcPr>
          <w:p w14:paraId="33BCDBFD" w14:textId="36EC4A84" w:rsidR="004D1B23" w:rsidRPr="00C86E49" w:rsidRDefault="001022FB" w:rsidP="00586053">
            <w:pPr>
              <w:pStyle w:val="TableText"/>
            </w:pPr>
            <w:r w:rsidRPr="00C86E49">
              <w:t>37</w:t>
            </w:r>
          </w:p>
        </w:tc>
        <w:tc>
          <w:tcPr>
            <w:tcW w:w="851" w:type="dxa"/>
          </w:tcPr>
          <w:p w14:paraId="6F504389" w14:textId="12A43BFF" w:rsidR="004D1B23" w:rsidRPr="00C86E49" w:rsidRDefault="001022FB" w:rsidP="00586053">
            <w:pPr>
              <w:pStyle w:val="TableText"/>
            </w:pPr>
            <w:r w:rsidRPr="00C86E49">
              <w:t>38</w:t>
            </w:r>
          </w:p>
        </w:tc>
        <w:tc>
          <w:tcPr>
            <w:tcW w:w="820" w:type="dxa"/>
          </w:tcPr>
          <w:p w14:paraId="753BDBAC" w14:textId="71FE8884" w:rsidR="004D1B23" w:rsidRPr="00C86E49" w:rsidRDefault="001022FB" w:rsidP="00586053">
            <w:pPr>
              <w:pStyle w:val="TableText"/>
            </w:pPr>
            <w:r w:rsidRPr="00C86E49">
              <w:t>38</w:t>
            </w:r>
          </w:p>
        </w:tc>
        <w:tc>
          <w:tcPr>
            <w:tcW w:w="881" w:type="dxa"/>
          </w:tcPr>
          <w:p w14:paraId="14674DE6" w14:textId="355412A5" w:rsidR="004D1B23" w:rsidRPr="00C86E49" w:rsidRDefault="001022FB" w:rsidP="00586053">
            <w:pPr>
              <w:pStyle w:val="TableText"/>
            </w:pPr>
            <w:r w:rsidRPr="00C86E49">
              <w:t>39</w:t>
            </w:r>
          </w:p>
        </w:tc>
        <w:tc>
          <w:tcPr>
            <w:tcW w:w="850" w:type="dxa"/>
          </w:tcPr>
          <w:p w14:paraId="5A242022" w14:textId="669F597A" w:rsidR="004D1B23" w:rsidRPr="00C86E49" w:rsidRDefault="001022FB" w:rsidP="00586053">
            <w:pPr>
              <w:pStyle w:val="TableText"/>
            </w:pPr>
            <w:r w:rsidRPr="00C86E49">
              <w:t>39</w:t>
            </w:r>
          </w:p>
        </w:tc>
        <w:tc>
          <w:tcPr>
            <w:tcW w:w="1650" w:type="dxa"/>
          </w:tcPr>
          <w:p w14:paraId="36F19F4E" w14:textId="7E6DC60E" w:rsidR="004D1B23" w:rsidRPr="00C86E49" w:rsidRDefault="009549CB" w:rsidP="00586053">
            <w:pPr>
              <w:pStyle w:val="TableText"/>
            </w:pPr>
            <w:r w:rsidRPr="00C86E49">
              <w:t xml:space="preserve">Extrapolated from </w:t>
            </w:r>
            <w:r w:rsidR="009D21F2" w:rsidRPr="00C86E49">
              <w:t>Medicare statistics</w:t>
            </w:r>
          </w:p>
        </w:tc>
      </w:tr>
      <w:tr w:rsidR="004963AA" w:rsidRPr="00C86E49" w14:paraId="55F02B17" w14:textId="77777777" w:rsidTr="00492299">
        <w:trPr>
          <w:tblHeader/>
        </w:trPr>
        <w:tc>
          <w:tcPr>
            <w:tcW w:w="563" w:type="dxa"/>
          </w:tcPr>
          <w:p w14:paraId="02A1AEDC" w14:textId="54541599" w:rsidR="004963AA" w:rsidRPr="00C86E49" w:rsidRDefault="009549CB" w:rsidP="004963AA">
            <w:pPr>
              <w:pStyle w:val="TableText"/>
            </w:pPr>
            <w:r w:rsidRPr="00C86E49">
              <w:t>B</w:t>
            </w:r>
          </w:p>
        </w:tc>
        <w:tc>
          <w:tcPr>
            <w:tcW w:w="2551" w:type="dxa"/>
          </w:tcPr>
          <w:p w14:paraId="0FBDD124" w14:textId="79AB9E17" w:rsidR="004963AA" w:rsidRPr="00C86E49" w:rsidRDefault="004963AA" w:rsidP="004963AA">
            <w:pPr>
              <w:pStyle w:val="TableText"/>
            </w:pPr>
            <w:r w:rsidRPr="00C86E49">
              <w:t>% VA-ECMO for CS</w:t>
            </w:r>
          </w:p>
        </w:tc>
        <w:tc>
          <w:tcPr>
            <w:tcW w:w="850" w:type="dxa"/>
          </w:tcPr>
          <w:p w14:paraId="000D13CC" w14:textId="4295E4F9" w:rsidR="004963AA" w:rsidRPr="00C86E49" w:rsidRDefault="004963AA" w:rsidP="004963AA">
            <w:pPr>
              <w:pStyle w:val="TableText"/>
            </w:pPr>
            <w:r w:rsidRPr="00C86E49">
              <w:t>60.7%</w:t>
            </w:r>
          </w:p>
        </w:tc>
        <w:tc>
          <w:tcPr>
            <w:tcW w:w="851" w:type="dxa"/>
          </w:tcPr>
          <w:p w14:paraId="10BD28B1" w14:textId="46439F66" w:rsidR="004963AA" w:rsidRPr="00C86E49" w:rsidRDefault="004963AA" w:rsidP="004963AA">
            <w:pPr>
              <w:pStyle w:val="TableText"/>
            </w:pPr>
            <w:r w:rsidRPr="00C86E49">
              <w:t>60.7%</w:t>
            </w:r>
          </w:p>
        </w:tc>
        <w:tc>
          <w:tcPr>
            <w:tcW w:w="820" w:type="dxa"/>
          </w:tcPr>
          <w:p w14:paraId="43CECEE4" w14:textId="2B46E8E4" w:rsidR="004963AA" w:rsidRPr="00C86E49" w:rsidRDefault="004963AA" w:rsidP="004963AA">
            <w:pPr>
              <w:pStyle w:val="TableText"/>
            </w:pPr>
            <w:r w:rsidRPr="00C86E49">
              <w:t>60.7%</w:t>
            </w:r>
          </w:p>
        </w:tc>
        <w:tc>
          <w:tcPr>
            <w:tcW w:w="881" w:type="dxa"/>
          </w:tcPr>
          <w:p w14:paraId="6FE3D7FC" w14:textId="5A614EB0" w:rsidR="004963AA" w:rsidRPr="00C86E49" w:rsidRDefault="004963AA" w:rsidP="004963AA">
            <w:pPr>
              <w:pStyle w:val="TableText"/>
            </w:pPr>
            <w:r w:rsidRPr="00C86E49">
              <w:t>60.7%</w:t>
            </w:r>
          </w:p>
        </w:tc>
        <w:tc>
          <w:tcPr>
            <w:tcW w:w="850" w:type="dxa"/>
          </w:tcPr>
          <w:p w14:paraId="12E1E067" w14:textId="6214AA4D" w:rsidR="004963AA" w:rsidRPr="00C86E49" w:rsidRDefault="004963AA" w:rsidP="004963AA">
            <w:pPr>
              <w:pStyle w:val="TableText"/>
            </w:pPr>
            <w:r w:rsidRPr="00C86E49">
              <w:t>60.7%</w:t>
            </w:r>
          </w:p>
        </w:tc>
        <w:tc>
          <w:tcPr>
            <w:tcW w:w="1650" w:type="dxa"/>
          </w:tcPr>
          <w:p w14:paraId="7E6A7AA6" w14:textId="4E1358E5" w:rsidR="004963AA" w:rsidRPr="00C86E49" w:rsidRDefault="004963AA" w:rsidP="004963AA">
            <w:pPr>
              <w:pStyle w:val="TableText"/>
            </w:pPr>
            <w:r w:rsidRPr="00C86E49">
              <w:t xml:space="preserve">ELSO </w:t>
            </w:r>
            <w:r w:rsidR="009549CB" w:rsidRPr="00C86E49">
              <w:t xml:space="preserve">Registry </w:t>
            </w:r>
            <w:r w:rsidRPr="00C86E49">
              <w:t>2016</w:t>
            </w:r>
          </w:p>
        </w:tc>
      </w:tr>
      <w:tr w:rsidR="00325766" w:rsidRPr="00C86E49" w14:paraId="5A7DC21B" w14:textId="77777777" w:rsidTr="00492299">
        <w:trPr>
          <w:tblHeader/>
        </w:trPr>
        <w:tc>
          <w:tcPr>
            <w:tcW w:w="563" w:type="dxa"/>
          </w:tcPr>
          <w:p w14:paraId="3C288CFF" w14:textId="36A46F93" w:rsidR="00325766" w:rsidRPr="00C86E49" w:rsidRDefault="00452254" w:rsidP="00586053">
            <w:pPr>
              <w:pStyle w:val="TableText"/>
            </w:pPr>
            <w:r w:rsidRPr="00C86E49">
              <w:t>C</w:t>
            </w:r>
          </w:p>
        </w:tc>
        <w:tc>
          <w:tcPr>
            <w:tcW w:w="2551" w:type="dxa"/>
          </w:tcPr>
          <w:p w14:paraId="7AB5F983" w14:textId="3F88426C" w:rsidR="00325766" w:rsidRPr="00C86E49" w:rsidRDefault="0091567F" w:rsidP="00586053">
            <w:pPr>
              <w:pStyle w:val="TableText"/>
            </w:pPr>
            <w:r w:rsidRPr="00C86E49">
              <w:t>Total patients requiring MCS for CS</w:t>
            </w:r>
          </w:p>
        </w:tc>
        <w:tc>
          <w:tcPr>
            <w:tcW w:w="850" w:type="dxa"/>
          </w:tcPr>
          <w:p w14:paraId="3231FF7E" w14:textId="471C9273" w:rsidR="00325766" w:rsidRPr="00C86E49" w:rsidRDefault="0091567F" w:rsidP="00586053">
            <w:pPr>
              <w:pStyle w:val="TableText"/>
            </w:pPr>
            <w:r w:rsidRPr="00C86E49">
              <w:t>23</w:t>
            </w:r>
          </w:p>
        </w:tc>
        <w:tc>
          <w:tcPr>
            <w:tcW w:w="851" w:type="dxa"/>
          </w:tcPr>
          <w:p w14:paraId="432343A3" w14:textId="23A87E27" w:rsidR="00325766" w:rsidRPr="00C86E49" w:rsidRDefault="0091567F" w:rsidP="00586053">
            <w:pPr>
              <w:pStyle w:val="TableText"/>
            </w:pPr>
            <w:r w:rsidRPr="00C86E49">
              <w:t>23</w:t>
            </w:r>
          </w:p>
        </w:tc>
        <w:tc>
          <w:tcPr>
            <w:tcW w:w="820" w:type="dxa"/>
          </w:tcPr>
          <w:p w14:paraId="3AE6AD44" w14:textId="5D29D047" w:rsidR="00325766" w:rsidRPr="00C86E49" w:rsidRDefault="001C663A" w:rsidP="00586053">
            <w:pPr>
              <w:pStyle w:val="TableText"/>
            </w:pPr>
            <w:r w:rsidRPr="00C86E49">
              <w:t>23</w:t>
            </w:r>
          </w:p>
        </w:tc>
        <w:tc>
          <w:tcPr>
            <w:tcW w:w="881" w:type="dxa"/>
          </w:tcPr>
          <w:p w14:paraId="3E91D681" w14:textId="55E9884D" w:rsidR="00325766" w:rsidRPr="00C86E49" w:rsidRDefault="001C663A" w:rsidP="00586053">
            <w:pPr>
              <w:pStyle w:val="TableText"/>
            </w:pPr>
            <w:r w:rsidRPr="00C86E49">
              <w:t>24</w:t>
            </w:r>
          </w:p>
        </w:tc>
        <w:tc>
          <w:tcPr>
            <w:tcW w:w="850" w:type="dxa"/>
          </w:tcPr>
          <w:p w14:paraId="7BDEF3AB" w14:textId="4A35E0B3" w:rsidR="00325766" w:rsidRPr="00C86E49" w:rsidRDefault="001C663A" w:rsidP="00586053">
            <w:pPr>
              <w:pStyle w:val="TableText"/>
            </w:pPr>
            <w:r w:rsidRPr="00C86E49">
              <w:t>24</w:t>
            </w:r>
          </w:p>
        </w:tc>
        <w:tc>
          <w:tcPr>
            <w:tcW w:w="1650" w:type="dxa"/>
          </w:tcPr>
          <w:p w14:paraId="3336DB09" w14:textId="60E4EB8A" w:rsidR="00325766" w:rsidRPr="00C86E49" w:rsidRDefault="00714CCF" w:rsidP="00586053">
            <w:pPr>
              <w:pStyle w:val="TableText"/>
            </w:pPr>
            <w:r w:rsidRPr="00C86E49">
              <w:t>A x B</w:t>
            </w:r>
          </w:p>
        </w:tc>
      </w:tr>
      <w:tr w:rsidR="00325766" w:rsidRPr="00C86E49" w14:paraId="30FABC59" w14:textId="77777777" w:rsidTr="00492299">
        <w:trPr>
          <w:tblHeader/>
        </w:trPr>
        <w:tc>
          <w:tcPr>
            <w:tcW w:w="563" w:type="dxa"/>
          </w:tcPr>
          <w:p w14:paraId="258C7DD8" w14:textId="5BED6162" w:rsidR="00325766" w:rsidRPr="00C86E49" w:rsidRDefault="00714CCF" w:rsidP="00586053">
            <w:pPr>
              <w:pStyle w:val="TableText"/>
            </w:pPr>
            <w:r w:rsidRPr="00C86E49">
              <w:t>D</w:t>
            </w:r>
          </w:p>
        </w:tc>
        <w:tc>
          <w:tcPr>
            <w:tcW w:w="2551" w:type="dxa"/>
          </w:tcPr>
          <w:p w14:paraId="19C4A0DC" w14:textId="53159334" w:rsidR="00325766" w:rsidRPr="00C86E49" w:rsidRDefault="0091567F" w:rsidP="00586053">
            <w:pPr>
              <w:pStyle w:val="TableText"/>
            </w:pPr>
            <w:r w:rsidRPr="00C86E49">
              <w:t>Uptake of IMPELLA, %</w:t>
            </w:r>
          </w:p>
        </w:tc>
        <w:tc>
          <w:tcPr>
            <w:tcW w:w="850" w:type="dxa"/>
          </w:tcPr>
          <w:p w14:paraId="275BE626" w14:textId="60D28BB8" w:rsidR="00325766" w:rsidRPr="00C86E49" w:rsidRDefault="001E1C18" w:rsidP="00586053">
            <w:pPr>
              <w:pStyle w:val="TableText"/>
            </w:pPr>
            <w:r w:rsidRPr="00375AEF">
              <w:rPr>
                <w:b/>
                <w:bCs/>
              </w:rPr>
              <w:t>redacted</w:t>
            </w:r>
            <w:r w:rsidR="0091567F" w:rsidRPr="00375AEF">
              <w:t>%</w:t>
            </w:r>
          </w:p>
        </w:tc>
        <w:tc>
          <w:tcPr>
            <w:tcW w:w="851" w:type="dxa"/>
          </w:tcPr>
          <w:p w14:paraId="0B990B90" w14:textId="0846EC5C" w:rsidR="00325766" w:rsidRPr="00C86E49" w:rsidRDefault="001E1C18" w:rsidP="00586053">
            <w:pPr>
              <w:pStyle w:val="TableText"/>
            </w:pPr>
            <w:r w:rsidRPr="00375AEF">
              <w:rPr>
                <w:b/>
                <w:bCs/>
              </w:rPr>
              <w:t>redacted</w:t>
            </w:r>
            <w:r w:rsidR="0091567F" w:rsidRPr="00375AEF">
              <w:t>%</w:t>
            </w:r>
          </w:p>
        </w:tc>
        <w:tc>
          <w:tcPr>
            <w:tcW w:w="820" w:type="dxa"/>
          </w:tcPr>
          <w:p w14:paraId="095D38EE" w14:textId="23E64916" w:rsidR="00325766" w:rsidRPr="00C86E49" w:rsidRDefault="00AC6FAF" w:rsidP="00586053">
            <w:pPr>
              <w:pStyle w:val="TableText"/>
            </w:pPr>
            <w:r w:rsidRPr="00375AEF">
              <w:rPr>
                <w:b/>
                <w:bCs/>
              </w:rPr>
              <w:t>redacted</w:t>
            </w:r>
            <w:r w:rsidR="001C663A" w:rsidRPr="00375AEF">
              <w:t>%</w:t>
            </w:r>
          </w:p>
        </w:tc>
        <w:tc>
          <w:tcPr>
            <w:tcW w:w="881" w:type="dxa"/>
          </w:tcPr>
          <w:p w14:paraId="585DBCFB" w14:textId="548E854B" w:rsidR="00325766" w:rsidRPr="00C86E49" w:rsidRDefault="00AC6FAF" w:rsidP="00586053">
            <w:pPr>
              <w:pStyle w:val="TableText"/>
            </w:pPr>
            <w:r w:rsidRPr="00375AEF">
              <w:rPr>
                <w:b/>
                <w:bCs/>
              </w:rPr>
              <w:t>redacted</w:t>
            </w:r>
            <w:r w:rsidR="001C663A" w:rsidRPr="00375AEF">
              <w:t>%</w:t>
            </w:r>
          </w:p>
        </w:tc>
        <w:tc>
          <w:tcPr>
            <w:tcW w:w="850" w:type="dxa"/>
          </w:tcPr>
          <w:p w14:paraId="1F27BDB4" w14:textId="7A9C5FD7" w:rsidR="00325766" w:rsidRPr="00C86E49" w:rsidRDefault="00AC6FAF" w:rsidP="00586053">
            <w:pPr>
              <w:pStyle w:val="TableText"/>
            </w:pPr>
            <w:r w:rsidRPr="00375AEF">
              <w:rPr>
                <w:b/>
                <w:bCs/>
              </w:rPr>
              <w:t>redacted</w:t>
            </w:r>
            <w:r w:rsidR="001C663A" w:rsidRPr="00375AEF">
              <w:t>%</w:t>
            </w:r>
          </w:p>
        </w:tc>
        <w:tc>
          <w:tcPr>
            <w:tcW w:w="1650" w:type="dxa"/>
          </w:tcPr>
          <w:p w14:paraId="52A57808" w14:textId="11E0AF5D" w:rsidR="00325766" w:rsidRPr="00C86E49" w:rsidRDefault="00027778" w:rsidP="00586053">
            <w:pPr>
              <w:pStyle w:val="TableText"/>
            </w:pPr>
            <w:r w:rsidRPr="00C86E49">
              <w:t>ADAR assumption</w:t>
            </w:r>
          </w:p>
        </w:tc>
      </w:tr>
      <w:tr w:rsidR="00325766" w:rsidRPr="00C86E49" w14:paraId="378817E5" w14:textId="77777777" w:rsidTr="00492299">
        <w:trPr>
          <w:tblHeader/>
        </w:trPr>
        <w:tc>
          <w:tcPr>
            <w:tcW w:w="563" w:type="dxa"/>
          </w:tcPr>
          <w:p w14:paraId="1E187C53" w14:textId="5BB6FD94" w:rsidR="00325766" w:rsidRPr="00C86E49" w:rsidRDefault="00714CCF" w:rsidP="00586053">
            <w:pPr>
              <w:pStyle w:val="TableText"/>
            </w:pPr>
            <w:r w:rsidRPr="00C86E49">
              <w:t>E</w:t>
            </w:r>
          </w:p>
        </w:tc>
        <w:tc>
          <w:tcPr>
            <w:tcW w:w="2551" w:type="dxa"/>
          </w:tcPr>
          <w:p w14:paraId="2C663566" w14:textId="49EBA2D0" w:rsidR="00325766" w:rsidRPr="00C86E49" w:rsidRDefault="0091567F" w:rsidP="00586053">
            <w:pPr>
              <w:pStyle w:val="TableText"/>
            </w:pPr>
            <w:r w:rsidRPr="00C86E49">
              <w:t>Uptake of IMPELLA, n</w:t>
            </w:r>
          </w:p>
        </w:tc>
        <w:tc>
          <w:tcPr>
            <w:tcW w:w="850" w:type="dxa"/>
          </w:tcPr>
          <w:p w14:paraId="681B5B33" w14:textId="5C15B3E3" w:rsidR="00325766" w:rsidRPr="00C86E49" w:rsidRDefault="00AC6FAF" w:rsidP="00586053">
            <w:pPr>
              <w:pStyle w:val="TableText"/>
            </w:pPr>
            <w:r w:rsidRPr="00375AEF">
              <w:rPr>
                <w:b/>
                <w:bCs/>
              </w:rPr>
              <w:t>redacted</w:t>
            </w:r>
          </w:p>
        </w:tc>
        <w:tc>
          <w:tcPr>
            <w:tcW w:w="851" w:type="dxa"/>
          </w:tcPr>
          <w:p w14:paraId="7C86A8DD" w14:textId="47A3042D" w:rsidR="00325766" w:rsidRPr="00C86E49" w:rsidRDefault="00AC6FAF" w:rsidP="00586053">
            <w:pPr>
              <w:pStyle w:val="TableText"/>
            </w:pPr>
            <w:r w:rsidRPr="00375AEF">
              <w:rPr>
                <w:b/>
                <w:bCs/>
              </w:rPr>
              <w:t>redacted</w:t>
            </w:r>
          </w:p>
        </w:tc>
        <w:tc>
          <w:tcPr>
            <w:tcW w:w="820" w:type="dxa"/>
          </w:tcPr>
          <w:p w14:paraId="5509115B" w14:textId="53E3FDBA" w:rsidR="00325766" w:rsidRPr="00C86E49" w:rsidRDefault="00AC6FAF" w:rsidP="00586053">
            <w:pPr>
              <w:pStyle w:val="TableText"/>
            </w:pPr>
            <w:r w:rsidRPr="00375AEF">
              <w:rPr>
                <w:b/>
                <w:bCs/>
              </w:rPr>
              <w:t>redacted</w:t>
            </w:r>
          </w:p>
        </w:tc>
        <w:tc>
          <w:tcPr>
            <w:tcW w:w="881" w:type="dxa"/>
          </w:tcPr>
          <w:p w14:paraId="57EBBFA0" w14:textId="6C899811" w:rsidR="00325766" w:rsidRPr="00C86E49" w:rsidRDefault="00AC6FAF" w:rsidP="00586053">
            <w:pPr>
              <w:pStyle w:val="TableText"/>
            </w:pPr>
            <w:r w:rsidRPr="00375AEF">
              <w:rPr>
                <w:b/>
                <w:bCs/>
              </w:rPr>
              <w:t>redacted</w:t>
            </w:r>
          </w:p>
        </w:tc>
        <w:tc>
          <w:tcPr>
            <w:tcW w:w="850" w:type="dxa"/>
          </w:tcPr>
          <w:p w14:paraId="0A2348BA" w14:textId="759BB9A9" w:rsidR="00325766" w:rsidRPr="00C86E49" w:rsidRDefault="00AC6FAF" w:rsidP="00586053">
            <w:pPr>
              <w:pStyle w:val="TableText"/>
            </w:pPr>
            <w:r w:rsidRPr="00375AEF">
              <w:rPr>
                <w:b/>
                <w:bCs/>
              </w:rPr>
              <w:t>redacted</w:t>
            </w:r>
          </w:p>
        </w:tc>
        <w:tc>
          <w:tcPr>
            <w:tcW w:w="1650" w:type="dxa"/>
          </w:tcPr>
          <w:p w14:paraId="06A9B4C2" w14:textId="2DED6196" w:rsidR="00325766" w:rsidRPr="00C86E49" w:rsidRDefault="00714CCF" w:rsidP="00586053">
            <w:pPr>
              <w:pStyle w:val="TableText"/>
            </w:pPr>
            <w:r w:rsidRPr="00C86E49">
              <w:t xml:space="preserve">C x </w:t>
            </w:r>
            <w:r w:rsidR="00081531" w:rsidRPr="00C86E49">
              <w:t>D</w:t>
            </w:r>
          </w:p>
        </w:tc>
      </w:tr>
      <w:tr w:rsidR="00325766" w:rsidRPr="00C86E49" w14:paraId="7B14323D" w14:textId="77777777" w:rsidTr="00492299">
        <w:trPr>
          <w:tblHeader/>
        </w:trPr>
        <w:tc>
          <w:tcPr>
            <w:tcW w:w="563" w:type="dxa"/>
          </w:tcPr>
          <w:p w14:paraId="7B09867A" w14:textId="3A922ACF" w:rsidR="00325766" w:rsidRPr="00C86E49" w:rsidRDefault="00DA228A" w:rsidP="00586053">
            <w:pPr>
              <w:pStyle w:val="TableText"/>
            </w:pPr>
            <w:r w:rsidRPr="00C86E49">
              <w:t>F</w:t>
            </w:r>
          </w:p>
        </w:tc>
        <w:tc>
          <w:tcPr>
            <w:tcW w:w="2551" w:type="dxa"/>
          </w:tcPr>
          <w:p w14:paraId="3778F1CE" w14:textId="0493C627" w:rsidR="00325766" w:rsidRPr="00C86E49" w:rsidRDefault="0091567F" w:rsidP="00586053">
            <w:pPr>
              <w:pStyle w:val="TableText"/>
            </w:pPr>
            <w:r w:rsidRPr="00C86E49">
              <w:t>Uptake of ECPELLA, %</w:t>
            </w:r>
          </w:p>
        </w:tc>
        <w:tc>
          <w:tcPr>
            <w:tcW w:w="850" w:type="dxa"/>
          </w:tcPr>
          <w:p w14:paraId="35E12C80" w14:textId="722E8167" w:rsidR="00325766" w:rsidRPr="00C86E49" w:rsidRDefault="00AC6FAF" w:rsidP="00586053">
            <w:pPr>
              <w:pStyle w:val="TableText"/>
            </w:pPr>
            <w:r w:rsidRPr="00375AEF">
              <w:rPr>
                <w:b/>
                <w:bCs/>
              </w:rPr>
              <w:t>redacted</w:t>
            </w:r>
            <w:r w:rsidR="0091567F" w:rsidRPr="00375AEF">
              <w:t>%</w:t>
            </w:r>
          </w:p>
        </w:tc>
        <w:tc>
          <w:tcPr>
            <w:tcW w:w="851" w:type="dxa"/>
          </w:tcPr>
          <w:p w14:paraId="1A74FAFA" w14:textId="7D2733BE" w:rsidR="00325766" w:rsidRPr="00C86E49" w:rsidRDefault="00AC6FAF" w:rsidP="00586053">
            <w:pPr>
              <w:pStyle w:val="TableText"/>
            </w:pPr>
            <w:r w:rsidRPr="00375AEF">
              <w:rPr>
                <w:b/>
                <w:bCs/>
              </w:rPr>
              <w:t>redacted</w:t>
            </w:r>
            <w:r w:rsidR="0091567F" w:rsidRPr="00375AEF">
              <w:t>%</w:t>
            </w:r>
          </w:p>
        </w:tc>
        <w:tc>
          <w:tcPr>
            <w:tcW w:w="820" w:type="dxa"/>
          </w:tcPr>
          <w:p w14:paraId="14CCFF72" w14:textId="63F8EC71" w:rsidR="00325766" w:rsidRPr="00C86E49" w:rsidRDefault="00AC6FAF" w:rsidP="00586053">
            <w:pPr>
              <w:pStyle w:val="TableText"/>
            </w:pPr>
            <w:r w:rsidRPr="00375AEF">
              <w:rPr>
                <w:b/>
                <w:bCs/>
              </w:rPr>
              <w:t>redacted</w:t>
            </w:r>
            <w:r w:rsidR="001C663A" w:rsidRPr="00375AEF">
              <w:t>%</w:t>
            </w:r>
          </w:p>
        </w:tc>
        <w:tc>
          <w:tcPr>
            <w:tcW w:w="881" w:type="dxa"/>
          </w:tcPr>
          <w:p w14:paraId="17707BDA" w14:textId="5F93A4F5" w:rsidR="00325766" w:rsidRPr="00C86E49" w:rsidRDefault="00AC6FAF" w:rsidP="00586053">
            <w:pPr>
              <w:pStyle w:val="TableText"/>
            </w:pPr>
            <w:r w:rsidRPr="00375AEF">
              <w:rPr>
                <w:b/>
                <w:bCs/>
              </w:rPr>
              <w:t>redacted</w:t>
            </w:r>
            <w:r w:rsidR="001C663A" w:rsidRPr="00375AEF">
              <w:t>%</w:t>
            </w:r>
          </w:p>
        </w:tc>
        <w:tc>
          <w:tcPr>
            <w:tcW w:w="850" w:type="dxa"/>
          </w:tcPr>
          <w:p w14:paraId="514C1FF4" w14:textId="3E2C3926" w:rsidR="00325766" w:rsidRPr="00C86E49" w:rsidRDefault="00AC6FAF" w:rsidP="00586053">
            <w:pPr>
              <w:pStyle w:val="TableText"/>
            </w:pPr>
            <w:r w:rsidRPr="00375AEF">
              <w:rPr>
                <w:b/>
                <w:bCs/>
              </w:rPr>
              <w:t>redacted</w:t>
            </w:r>
            <w:r w:rsidR="001C663A" w:rsidRPr="00375AEF">
              <w:t>%</w:t>
            </w:r>
          </w:p>
        </w:tc>
        <w:tc>
          <w:tcPr>
            <w:tcW w:w="1650" w:type="dxa"/>
          </w:tcPr>
          <w:p w14:paraId="7072B199" w14:textId="1AFCFA72" w:rsidR="00325766" w:rsidRPr="00C86E49" w:rsidRDefault="00027778" w:rsidP="00586053">
            <w:pPr>
              <w:pStyle w:val="TableText"/>
            </w:pPr>
            <w:r w:rsidRPr="00C86E49">
              <w:t>ADAR assumption</w:t>
            </w:r>
          </w:p>
        </w:tc>
      </w:tr>
      <w:tr w:rsidR="00325766" w:rsidRPr="00C86E49" w14:paraId="021B4F3D" w14:textId="77777777" w:rsidTr="00492299">
        <w:trPr>
          <w:tblHeader/>
        </w:trPr>
        <w:tc>
          <w:tcPr>
            <w:tcW w:w="563" w:type="dxa"/>
          </w:tcPr>
          <w:p w14:paraId="50D85182" w14:textId="3AB4B919" w:rsidR="00325766" w:rsidRPr="00C86E49" w:rsidRDefault="00DA228A" w:rsidP="00586053">
            <w:pPr>
              <w:pStyle w:val="TableText"/>
            </w:pPr>
            <w:r w:rsidRPr="00C86E49">
              <w:t>G</w:t>
            </w:r>
          </w:p>
        </w:tc>
        <w:tc>
          <w:tcPr>
            <w:tcW w:w="2551" w:type="dxa"/>
          </w:tcPr>
          <w:p w14:paraId="15BBD21A" w14:textId="4C57361D" w:rsidR="00325766" w:rsidRPr="00C86E49" w:rsidRDefault="0091567F" w:rsidP="00586053">
            <w:pPr>
              <w:pStyle w:val="TableText"/>
            </w:pPr>
            <w:r w:rsidRPr="00C86E49">
              <w:t>Uptake of ECPELLA, n</w:t>
            </w:r>
          </w:p>
        </w:tc>
        <w:tc>
          <w:tcPr>
            <w:tcW w:w="850" w:type="dxa"/>
          </w:tcPr>
          <w:p w14:paraId="6177FC2C" w14:textId="41994118" w:rsidR="00325766" w:rsidRPr="00C86E49" w:rsidRDefault="00AC6FAF" w:rsidP="00586053">
            <w:pPr>
              <w:pStyle w:val="TableText"/>
            </w:pPr>
            <w:r w:rsidRPr="00375AEF">
              <w:rPr>
                <w:b/>
                <w:bCs/>
              </w:rPr>
              <w:t>redacted</w:t>
            </w:r>
          </w:p>
        </w:tc>
        <w:tc>
          <w:tcPr>
            <w:tcW w:w="851" w:type="dxa"/>
          </w:tcPr>
          <w:p w14:paraId="5311FDD3" w14:textId="2F630AD7" w:rsidR="00325766" w:rsidRPr="00C86E49" w:rsidRDefault="00AC6FAF" w:rsidP="00586053">
            <w:pPr>
              <w:pStyle w:val="TableText"/>
            </w:pPr>
            <w:r w:rsidRPr="00375AEF">
              <w:rPr>
                <w:b/>
                <w:bCs/>
              </w:rPr>
              <w:t>redacted</w:t>
            </w:r>
          </w:p>
        </w:tc>
        <w:tc>
          <w:tcPr>
            <w:tcW w:w="820" w:type="dxa"/>
          </w:tcPr>
          <w:p w14:paraId="74435952" w14:textId="05A39AC6" w:rsidR="00325766" w:rsidRPr="00C86E49" w:rsidRDefault="00AC6FAF" w:rsidP="00586053">
            <w:pPr>
              <w:pStyle w:val="TableText"/>
            </w:pPr>
            <w:r w:rsidRPr="00375AEF">
              <w:rPr>
                <w:b/>
                <w:bCs/>
              </w:rPr>
              <w:t>redacted</w:t>
            </w:r>
          </w:p>
        </w:tc>
        <w:tc>
          <w:tcPr>
            <w:tcW w:w="881" w:type="dxa"/>
          </w:tcPr>
          <w:p w14:paraId="56C69E8A" w14:textId="70754809" w:rsidR="00325766" w:rsidRPr="00C86E49" w:rsidRDefault="00AC6FAF" w:rsidP="00586053">
            <w:pPr>
              <w:pStyle w:val="TableText"/>
            </w:pPr>
            <w:r w:rsidRPr="00375AEF">
              <w:rPr>
                <w:b/>
                <w:bCs/>
              </w:rPr>
              <w:t>redacted</w:t>
            </w:r>
          </w:p>
        </w:tc>
        <w:tc>
          <w:tcPr>
            <w:tcW w:w="850" w:type="dxa"/>
          </w:tcPr>
          <w:p w14:paraId="1CBD08CC" w14:textId="5E59849E" w:rsidR="00325766" w:rsidRPr="00C86E49" w:rsidRDefault="00AC6FAF" w:rsidP="00586053">
            <w:pPr>
              <w:pStyle w:val="TableText"/>
            </w:pPr>
            <w:r w:rsidRPr="00375AEF">
              <w:rPr>
                <w:b/>
                <w:bCs/>
              </w:rPr>
              <w:t>redacted</w:t>
            </w:r>
          </w:p>
        </w:tc>
        <w:tc>
          <w:tcPr>
            <w:tcW w:w="1650" w:type="dxa"/>
          </w:tcPr>
          <w:p w14:paraId="1B074CD5" w14:textId="2A90B7EC" w:rsidR="00325766" w:rsidRPr="00C86E49" w:rsidRDefault="00CE6FF6" w:rsidP="00586053">
            <w:pPr>
              <w:pStyle w:val="TableText"/>
            </w:pPr>
            <w:r w:rsidRPr="00C86E49">
              <w:t xml:space="preserve">C x </w:t>
            </w:r>
            <w:r w:rsidR="00732585" w:rsidRPr="00C86E49">
              <w:t>F</w:t>
            </w:r>
          </w:p>
        </w:tc>
      </w:tr>
    </w:tbl>
    <w:p w14:paraId="2F52D825" w14:textId="47E82BCD" w:rsidR="00F10989" w:rsidRPr="00C86E49" w:rsidRDefault="00780345" w:rsidP="00F10989">
      <w:pPr>
        <w:pStyle w:val="TableFigureFooter"/>
      </w:pPr>
      <w:r w:rsidRPr="00C86E49">
        <w:t xml:space="preserve">ADAR = Applicant Developed Assessment Report; </w:t>
      </w:r>
      <w:r w:rsidR="00F10989" w:rsidRPr="00C86E49">
        <w:t>CS</w:t>
      </w:r>
      <w:r w:rsidRPr="00C86E49">
        <w:t xml:space="preserve"> = </w:t>
      </w:r>
      <w:r w:rsidR="00F10989" w:rsidRPr="00C86E49">
        <w:t xml:space="preserve">cardiogenic shock; </w:t>
      </w:r>
      <w:r w:rsidR="00EF284B" w:rsidRPr="00C86E49">
        <w:t xml:space="preserve">ELSO = </w:t>
      </w:r>
      <w:r w:rsidR="00061873" w:rsidRPr="00C86E49">
        <w:t>Extracorporeal Life Support Organisation</w:t>
      </w:r>
      <w:r w:rsidR="009549CB" w:rsidRPr="00C86E49">
        <w:t xml:space="preserve">; </w:t>
      </w:r>
      <w:r w:rsidR="00F10989" w:rsidRPr="00C86E49">
        <w:t>MCS</w:t>
      </w:r>
      <w:r w:rsidRPr="00C86E49">
        <w:t xml:space="preserve"> = </w:t>
      </w:r>
      <w:r w:rsidR="00F10989" w:rsidRPr="00C86E49">
        <w:t>mechanical circulatory support</w:t>
      </w:r>
      <w:r w:rsidR="00052895" w:rsidRPr="00C86E49">
        <w:t>; VA-ECMO = veno-arterial extracorporeal membrane oxygenation</w:t>
      </w:r>
      <w:r w:rsidR="00F10989" w:rsidRPr="00C86E49">
        <w:t>.</w:t>
      </w:r>
    </w:p>
    <w:p w14:paraId="2BF435E9" w14:textId="15FCA33E" w:rsidR="001C77FB" w:rsidRPr="00C86E49" w:rsidRDefault="001C77FB" w:rsidP="00F10989">
      <w:pPr>
        <w:pStyle w:val="TableFigureFooter"/>
      </w:pPr>
      <w:r w:rsidRPr="00C86E49">
        <w:t xml:space="preserve">Source: </w:t>
      </w:r>
      <w:r w:rsidR="00A95D2E" w:rsidRPr="00C86E49">
        <w:t>Compiled</w:t>
      </w:r>
      <w:r w:rsidRPr="00C86E49">
        <w:t xml:space="preserve"> from </w:t>
      </w:r>
      <w:r w:rsidR="009549CB" w:rsidRPr="00C86E49">
        <w:t xml:space="preserve">Table 110 and </w:t>
      </w:r>
      <w:r w:rsidRPr="00C86E49">
        <w:t xml:space="preserve">Table 111 of </w:t>
      </w:r>
      <w:r w:rsidR="00716BB3" w:rsidRPr="00C86E49">
        <w:t xml:space="preserve">MSAC </w:t>
      </w:r>
      <w:r w:rsidRPr="00C86E49">
        <w:t>1523.1 ADAR+in-line commentary.</w:t>
      </w:r>
    </w:p>
    <w:p w14:paraId="7556611E" w14:textId="51586EE9" w:rsidR="00DE4B88" w:rsidRPr="00C86E49" w:rsidRDefault="00DE4B88" w:rsidP="00DE4B88">
      <w:r w:rsidRPr="00C86E49">
        <w:t>The commentary noted that although it is reasonable to assume that the uptake of IMPELLA-related services by hospitals for CS patients will be gradual during the first year to allow for necessary equipment and expertise to be acquired, no references or data were provided to support the uptake estimates. Although not explicitly mentioned in the ADAR:</w:t>
      </w:r>
    </w:p>
    <w:p w14:paraId="0DD8A9E6" w14:textId="62EFEFAA" w:rsidR="00DE4B88" w:rsidRPr="00C86E49" w:rsidRDefault="00DE4B88" w:rsidP="00FA4CEF">
      <w:pPr>
        <w:pStyle w:val="ListParagraph"/>
        <w:numPr>
          <w:ilvl w:val="0"/>
          <w:numId w:val="14"/>
        </w:numPr>
      </w:pPr>
      <w:r w:rsidRPr="00C86E49">
        <w:t xml:space="preserve">a proportion of CS patients will not be suitable for </w:t>
      </w:r>
      <w:r w:rsidR="002030E4" w:rsidRPr="00C86E49">
        <w:t>IMPELLA</w:t>
      </w:r>
      <w:r w:rsidRPr="00C86E49">
        <w:t xml:space="preserve"> (for example, patients with RVF or biventricular failure)</w:t>
      </w:r>
    </w:p>
    <w:p w14:paraId="4DA33E6D" w14:textId="45158C0D" w:rsidR="00432D7B" w:rsidRPr="00C86E49" w:rsidRDefault="00DE4B88" w:rsidP="00D61D0E">
      <w:pPr>
        <w:pStyle w:val="ListParagraph"/>
        <w:numPr>
          <w:ilvl w:val="0"/>
          <w:numId w:val="14"/>
        </w:numPr>
      </w:pPr>
      <w:r w:rsidRPr="00C86E49">
        <w:t>LV unloading</w:t>
      </w:r>
      <w:r w:rsidR="007804AF" w:rsidRPr="00C86E49">
        <w:t xml:space="preserve"> is required in approximately 25% of CS patients on VA-ECMO</w:t>
      </w:r>
      <w:r w:rsidRPr="00C86E49">
        <w:t>.</w:t>
      </w:r>
    </w:p>
    <w:p w14:paraId="5AB42561" w14:textId="17DC7AA5" w:rsidR="007853D6" w:rsidRPr="00C86E49" w:rsidRDefault="007853D6" w:rsidP="007853D6">
      <w:pPr>
        <w:pStyle w:val="Heading3"/>
      </w:pPr>
      <w:r w:rsidRPr="00C86E49">
        <w:t>Estimation of financial impact to the MBS</w:t>
      </w:r>
    </w:p>
    <w:p w14:paraId="4A7EF013" w14:textId="4D0690CB" w:rsidR="005E029F" w:rsidRPr="00C86E49" w:rsidRDefault="005E029F" w:rsidP="005E029F">
      <w:r w:rsidRPr="00C86E49">
        <w:t xml:space="preserve">The </w:t>
      </w:r>
      <w:r w:rsidR="00B04494" w:rsidRPr="00C86E49">
        <w:t>net</w:t>
      </w:r>
      <w:r w:rsidRPr="00C86E49">
        <w:t xml:space="preserve"> financial implications to the MBS resulting from the proposed listing of IMPELLA and ECPELLA are summarised in </w:t>
      </w:r>
      <w:r w:rsidR="003571C2" w:rsidRPr="00C86E49">
        <w:rPr>
          <w:color w:val="2B579A"/>
          <w:shd w:val="clear" w:color="auto" w:fill="E6E6E6"/>
        </w:rPr>
        <w:fldChar w:fldCharType="begin"/>
      </w:r>
      <w:r w:rsidR="003571C2" w:rsidRPr="00C86E49">
        <w:rPr>
          <w:rStyle w:val="InstructionaltextChar"/>
        </w:rPr>
        <w:instrText xml:space="preserve"> REF _Ref69726382 \h </w:instrText>
      </w:r>
      <w:r w:rsidR="00C86E49">
        <w:rPr>
          <w:color w:val="2B579A"/>
          <w:shd w:val="clear" w:color="auto" w:fill="E6E6E6"/>
        </w:rPr>
        <w:instrText xml:space="preserve"> \* MERGEFORMAT </w:instrText>
      </w:r>
      <w:r w:rsidR="003571C2" w:rsidRPr="00C86E49">
        <w:rPr>
          <w:color w:val="2B579A"/>
          <w:shd w:val="clear" w:color="auto" w:fill="E6E6E6"/>
        </w:rPr>
      </w:r>
      <w:r w:rsidR="003571C2" w:rsidRPr="00C86E49">
        <w:rPr>
          <w:color w:val="2B579A"/>
          <w:shd w:val="clear" w:color="auto" w:fill="E6E6E6"/>
        </w:rPr>
        <w:fldChar w:fldCharType="separate"/>
      </w:r>
      <w:r w:rsidR="00EF3514" w:rsidRPr="00C86E49">
        <w:t>Table </w:t>
      </w:r>
      <w:r w:rsidR="00EF3514" w:rsidRPr="00C86E49">
        <w:rPr>
          <w:noProof/>
        </w:rPr>
        <w:t>19</w:t>
      </w:r>
      <w:r w:rsidR="003571C2" w:rsidRPr="00C86E49">
        <w:rPr>
          <w:color w:val="2B579A"/>
          <w:shd w:val="clear" w:color="auto" w:fill="E6E6E6"/>
        </w:rPr>
        <w:fldChar w:fldCharType="end"/>
      </w:r>
      <w:r w:rsidRPr="00C86E49">
        <w:t xml:space="preserve">. </w:t>
      </w:r>
      <w:r w:rsidR="00767953" w:rsidRPr="00C86E49">
        <w:t xml:space="preserve">The ADAR noted that </w:t>
      </w:r>
      <w:r w:rsidR="0030538A" w:rsidRPr="00C86E49">
        <w:t>l</w:t>
      </w:r>
      <w:r w:rsidR="00511E4C" w:rsidRPr="00C86E49">
        <w:t>isting of IMPELLA/ECPELLA on the MBS for CS is estimated to be effectively cost neutral, with marginal cost savings expected each year over the first five</w:t>
      </w:r>
      <w:r w:rsidR="0011748D" w:rsidRPr="00C86E49">
        <w:t xml:space="preserve"> </w:t>
      </w:r>
      <w:r w:rsidR="00511E4C" w:rsidRPr="00C86E49">
        <w:t>years of listing</w:t>
      </w:r>
      <w:r w:rsidR="00452C2A" w:rsidRPr="00C86E49">
        <w:t xml:space="preserve">. </w:t>
      </w:r>
    </w:p>
    <w:p w14:paraId="021555BD" w14:textId="1114A3D9" w:rsidR="008171FC" w:rsidRPr="00C86E49" w:rsidRDefault="008171FC" w:rsidP="008171FC">
      <w:r w:rsidRPr="00C86E49">
        <w:t xml:space="preserve">The commentary noted that these estimates do not take into consideration several factors </w:t>
      </w:r>
      <w:r w:rsidR="00BA5F2F" w:rsidRPr="00C86E49">
        <w:t xml:space="preserve">(outlined in Section 11) </w:t>
      </w:r>
      <w:r w:rsidRPr="00C86E49">
        <w:t xml:space="preserve">that could increase costs </w:t>
      </w:r>
      <w:r w:rsidR="009F653A" w:rsidRPr="00C86E49">
        <w:t>relating to IMPELLA</w:t>
      </w:r>
      <w:r w:rsidR="00BA5F2F" w:rsidRPr="00C86E49">
        <w:t xml:space="preserve"> and </w:t>
      </w:r>
      <w:r w:rsidR="00793977" w:rsidRPr="00C86E49">
        <w:t>the total cost to the MBS</w:t>
      </w:r>
      <w:r w:rsidR="00907395" w:rsidRPr="00C86E49">
        <w:t>.</w:t>
      </w:r>
    </w:p>
    <w:p w14:paraId="33FCA9D4" w14:textId="4C3822E1" w:rsidR="00D428B9" w:rsidRPr="00C86E49" w:rsidRDefault="00D428B9" w:rsidP="00215AFB">
      <w:pPr>
        <w:pStyle w:val="Caption"/>
      </w:pPr>
      <w:bookmarkStart w:id="52" w:name="_Ref69726382"/>
      <w:r w:rsidRPr="00C86E49">
        <w:t>Table</w:t>
      </w:r>
      <w:r w:rsidR="003571C2" w:rsidRPr="00C86E49">
        <w:t> </w:t>
      </w:r>
      <w:r w:rsidR="007552E5">
        <w:fldChar w:fldCharType="begin"/>
      </w:r>
      <w:r w:rsidR="007552E5">
        <w:instrText xml:space="preserve"> SEQ Table \* ARABIC </w:instrText>
      </w:r>
      <w:r w:rsidR="007552E5">
        <w:fldChar w:fldCharType="separate"/>
      </w:r>
      <w:r w:rsidR="00EF3514" w:rsidRPr="00C86E49">
        <w:rPr>
          <w:noProof/>
        </w:rPr>
        <w:t>19</w:t>
      </w:r>
      <w:r w:rsidR="007552E5">
        <w:rPr>
          <w:noProof/>
        </w:rPr>
        <w:fldChar w:fldCharType="end"/>
      </w:r>
      <w:bookmarkEnd w:id="52"/>
      <w:r w:rsidRPr="00C86E49">
        <w:tab/>
        <w:t xml:space="preserve">Net financial implications of </w:t>
      </w:r>
      <w:r w:rsidR="0060033B" w:rsidRPr="00C86E49">
        <w:t xml:space="preserve">listing </w:t>
      </w:r>
      <w:r w:rsidR="00E9713D" w:rsidRPr="00C86E49">
        <w:t>IMPELLA and ECPELLA</w:t>
      </w:r>
      <w:r w:rsidRPr="00C86E49">
        <w:t xml:space="preserve"> </w:t>
      </w:r>
      <w:r w:rsidR="00E9713D" w:rsidRPr="00C86E49">
        <w:t xml:space="preserve">for CS </w:t>
      </w:r>
      <w:r w:rsidRPr="00C86E49">
        <w:t>to the</w:t>
      </w:r>
      <w:r w:rsidR="00E9713D" w:rsidRPr="00C86E49">
        <w:t xml:space="preserve"> MBS</w:t>
      </w:r>
    </w:p>
    <w:tbl>
      <w:tblPr>
        <w:tblW w:w="5000" w:type="pct"/>
        <w:tblCellMar>
          <w:left w:w="0" w:type="dxa"/>
          <w:right w:w="0" w:type="dxa"/>
        </w:tblCellMar>
        <w:tblLook w:val="04A0" w:firstRow="1" w:lastRow="0" w:firstColumn="1" w:lastColumn="0" w:noHBand="0" w:noVBand="1"/>
        <w:tblCaption w:val="Net financial implications of listing IMPELLA and ECPELLA for CS to the MBS"/>
        <w:tblDescription w:val="This table shows the net financial implications of listing IMPELLA and ECPELLA for CS to the MBS over the first five years of listing."/>
      </w:tblPr>
      <w:tblGrid>
        <w:gridCol w:w="4569"/>
        <w:gridCol w:w="382"/>
        <w:gridCol w:w="425"/>
        <w:gridCol w:w="81"/>
        <w:gridCol w:w="899"/>
        <w:gridCol w:w="888"/>
        <w:gridCol w:w="888"/>
        <w:gridCol w:w="874"/>
      </w:tblGrid>
      <w:tr w:rsidR="0005609C" w:rsidRPr="00C86E49" w14:paraId="10C955A8" w14:textId="77777777" w:rsidTr="002279EC">
        <w:trPr>
          <w:tblHeader/>
        </w:trPr>
        <w:tc>
          <w:tcPr>
            <w:tcW w:w="253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0E1C75E0" w:rsidR="0005609C" w:rsidRPr="00C86E49" w:rsidRDefault="0005609C" w:rsidP="002C77A2">
            <w:pPr>
              <w:pStyle w:val="TableText"/>
              <w:rPr>
                <w:b/>
                <w:bCs/>
              </w:rPr>
            </w:pPr>
            <w:bookmarkStart w:id="53" w:name="Title_Table12" w:colFirst="0" w:colLast="0"/>
            <w:bookmarkStart w:id="54" w:name="_Hlk68276802"/>
          </w:p>
        </w:tc>
        <w:tc>
          <w:tcPr>
            <w:tcW w:w="49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02FC81" w14:textId="69EF1743" w:rsidR="0005609C" w:rsidRPr="00C86E49" w:rsidRDefault="0005609C" w:rsidP="002C77A2">
            <w:pPr>
              <w:pStyle w:val="TableText"/>
              <w:rPr>
                <w:b/>
                <w:bCs/>
              </w:rPr>
            </w:pPr>
            <w:r w:rsidRPr="00C86E49">
              <w:rPr>
                <w:b/>
                <w:bCs/>
              </w:rPr>
              <w:t>Year 1</w:t>
            </w:r>
          </w:p>
        </w:tc>
        <w:tc>
          <w:tcPr>
            <w:tcW w:w="49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59DA5DF" w14:textId="5F40FC96" w:rsidR="0005609C" w:rsidRPr="00C86E49" w:rsidRDefault="0005609C" w:rsidP="002C77A2">
            <w:pPr>
              <w:pStyle w:val="TableText"/>
              <w:rPr>
                <w:b/>
                <w:bCs/>
              </w:rPr>
            </w:pPr>
            <w:r w:rsidRPr="00C86E49">
              <w:rPr>
                <w:b/>
                <w:bCs/>
              </w:rPr>
              <w:t>Year 2</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F14104" w14:textId="3BB7F978" w:rsidR="0005609C" w:rsidRPr="00C86E49" w:rsidRDefault="0005609C" w:rsidP="002C77A2">
            <w:pPr>
              <w:pStyle w:val="TableText"/>
              <w:rPr>
                <w:b/>
                <w:bCs/>
              </w:rPr>
            </w:pPr>
            <w:r w:rsidRPr="00C86E49">
              <w:rPr>
                <w:b/>
                <w:bCs/>
              </w:rPr>
              <w:t>Year 3</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580A99" w14:textId="35E3C709" w:rsidR="0005609C" w:rsidRPr="00C86E49" w:rsidRDefault="0005609C" w:rsidP="002C77A2">
            <w:pPr>
              <w:pStyle w:val="TableText"/>
              <w:rPr>
                <w:b/>
                <w:bCs/>
              </w:rPr>
            </w:pPr>
            <w:r w:rsidRPr="00C86E49">
              <w:rPr>
                <w:b/>
                <w:bCs/>
              </w:rPr>
              <w:t>Year 4</w:t>
            </w:r>
          </w:p>
        </w:tc>
        <w:tc>
          <w:tcPr>
            <w:tcW w:w="48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99B68C0" w14:textId="38249C79" w:rsidR="0005609C" w:rsidRPr="00C86E49" w:rsidRDefault="0005609C" w:rsidP="002C77A2">
            <w:pPr>
              <w:pStyle w:val="TableText"/>
              <w:rPr>
                <w:b/>
                <w:bCs/>
              </w:rPr>
            </w:pPr>
            <w:r w:rsidRPr="00C86E49">
              <w:rPr>
                <w:b/>
                <w:bCs/>
              </w:rPr>
              <w:t>Year 5</w:t>
            </w:r>
          </w:p>
        </w:tc>
      </w:tr>
      <w:bookmarkEnd w:id="53"/>
      <w:tr w:rsidR="0005609C" w:rsidRPr="00C86E49" w14:paraId="2434BC2A" w14:textId="77777777" w:rsidTr="002279EC">
        <w:trPr>
          <w:tblHeader/>
        </w:trPr>
        <w:tc>
          <w:tcPr>
            <w:tcW w:w="2749" w:type="pct"/>
            <w:gridSpan w:val="2"/>
            <w:tcBorders>
              <w:top w:val="single" w:sz="8" w:space="0" w:color="auto"/>
              <w:left w:val="single" w:sz="8" w:space="0" w:color="auto"/>
              <w:bottom w:val="single" w:sz="8" w:space="0" w:color="auto"/>
            </w:tcBorders>
            <w:tcMar>
              <w:top w:w="0" w:type="dxa"/>
              <w:left w:w="108" w:type="dxa"/>
              <w:bottom w:w="0" w:type="dxa"/>
              <w:right w:w="108" w:type="dxa"/>
            </w:tcMar>
          </w:tcPr>
          <w:p w14:paraId="6F7A3CF1" w14:textId="15641789" w:rsidR="0005609C" w:rsidRPr="00C86E49" w:rsidRDefault="0005609C" w:rsidP="002C77A2">
            <w:pPr>
              <w:pStyle w:val="TableText"/>
            </w:pPr>
            <w:r w:rsidRPr="00C86E49">
              <w:rPr>
                <w:b/>
                <w:bCs/>
              </w:rPr>
              <w:t>Estimated use and cost of the proposed health technology</w:t>
            </w:r>
          </w:p>
        </w:tc>
        <w:tc>
          <w:tcPr>
            <w:tcW w:w="236" w:type="pct"/>
            <w:tcBorders>
              <w:top w:val="single" w:sz="8" w:space="0" w:color="auto"/>
              <w:bottom w:val="single" w:sz="8" w:space="0" w:color="auto"/>
            </w:tcBorders>
            <w:tcMar>
              <w:top w:w="0" w:type="dxa"/>
              <w:left w:w="108" w:type="dxa"/>
              <w:bottom w:w="0" w:type="dxa"/>
              <w:right w:w="108" w:type="dxa"/>
            </w:tcMar>
          </w:tcPr>
          <w:p w14:paraId="3F80DBD1" w14:textId="77777777" w:rsidR="0005609C" w:rsidRPr="00C86E49" w:rsidRDefault="0005609C" w:rsidP="002C77A2">
            <w:pPr>
              <w:pStyle w:val="TableText"/>
            </w:pPr>
          </w:p>
        </w:tc>
        <w:tc>
          <w:tcPr>
            <w:tcW w:w="544" w:type="pct"/>
            <w:gridSpan w:val="2"/>
            <w:tcBorders>
              <w:top w:val="single" w:sz="8" w:space="0" w:color="auto"/>
              <w:bottom w:val="single" w:sz="8" w:space="0" w:color="auto"/>
            </w:tcBorders>
            <w:tcMar>
              <w:top w:w="0" w:type="dxa"/>
              <w:left w:w="108" w:type="dxa"/>
              <w:bottom w:w="0" w:type="dxa"/>
              <w:right w:w="108" w:type="dxa"/>
            </w:tcMar>
          </w:tcPr>
          <w:p w14:paraId="4D7DBAEA" w14:textId="77777777" w:rsidR="0005609C" w:rsidRPr="00C86E49" w:rsidRDefault="0005609C" w:rsidP="002C77A2">
            <w:pPr>
              <w:pStyle w:val="TableText"/>
            </w:pPr>
          </w:p>
        </w:tc>
        <w:tc>
          <w:tcPr>
            <w:tcW w:w="493" w:type="pct"/>
            <w:tcBorders>
              <w:top w:val="single" w:sz="8" w:space="0" w:color="auto"/>
              <w:bottom w:val="single" w:sz="8" w:space="0" w:color="auto"/>
            </w:tcBorders>
            <w:tcMar>
              <w:top w:w="0" w:type="dxa"/>
              <w:left w:w="108" w:type="dxa"/>
              <w:bottom w:w="0" w:type="dxa"/>
              <w:right w:w="108" w:type="dxa"/>
            </w:tcMar>
          </w:tcPr>
          <w:p w14:paraId="6B78829D" w14:textId="77777777" w:rsidR="0005609C" w:rsidRPr="00C86E49" w:rsidRDefault="0005609C" w:rsidP="002C77A2">
            <w:pPr>
              <w:pStyle w:val="TableText"/>
            </w:pPr>
          </w:p>
        </w:tc>
        <w:tc>
          <w:tcPr>
            <w:tcW w:w="493" w:type="pct"/>
            <w:tcBorders>
              <w:top w:val="single" w:sz="8" w:space="0" w:color="auto"/>
              <w:bottom w:val="single" w:sz="8" w:space="0" w:color="auto"/>
            </w:tcBorders>
            <w:tcMar>
              <w:top w:w="0" w:type="dxa"/>
              <w:left w:w="108" w:type="dxa"/>
              <w:bottom w:w="0" w:type="dxa"/>
              <w:right w:w="108" w:type="dxa"/>
            </w:tcMar>
          </w:tcPr>
          <w:p w14:paraId="0937B88D" w14:textId="77777777" w:rsidR="0005609C" w:rsidRPr="00C86E49" w:rsidRDefault="0005609C" w:rsidP="002C77A2">
            <w:pPr>
              <w:pStyle w:val="TableText"/>
            </w:pPr>
          </w:p>
        </w:tc>
        <w:tc>
          <w:tcPr>
            <w:tcW w:w="485" w:type="pct"/>
            <w:tcBorders>
              <w:top w:val="single" w:sz="8" w:space="0" w:color="auto"/>
              <w:bottom w:val="single" w:sz="8" w:space="0" w:color="auto"/>
              <w:right w:val="single" w:sz="8" w:space="0" w:color="auto"/>
            </w:tcBorders>
            <w:tcMar>
              <w:top w:w="0" w:type="dxa"/>
              <w:left w:w="108" w:type="dxa"/>
              <w:bottom w:w="0" w:type="dxa"/>
              <w:right w:w="108" w:type="dxa"/>
            </w:tcMar>
          </w:tcPr>
          <w:p w14:paraId="39AFA1E9" w14:textId="77777777" w:rsidR="0005609C" w:rsidRPr="00C86E49" w:rsidRDefault="0005609C" w:rsidP="002C77A2">
            <w:pPr>
              <w:pStyle w:val="TableText"/>
            </w:pPr>
          </w:p>
        </w:tc>
      </w:tr>
      <w:tr w:rsidR="0005609C" w:rsidRPr="00C86E49" w14:paraId="16C50CDA" w14:textId="77777777" w:rsidTr="002279EC">
        <w:trPr>
          <w:tblHeader/>
        </w:trPr>
        <w:tc>
          <w:tcPr>
            <w:tcW w:w="2537"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B7783D5" w14:textId="528A0436" w:rsidR="0005609C" w:rsidRPr="00C86E49" w:rsidRDefault="0005609C" w:rsidP="002C77A2">
            <w:pPr>
              <w:pStyle w:val="TableText"/>
            </w:pPr>
            <w:r w:rsidRPr="00C86E49">
              <w:t>Total cost of IMPELLA/ECPELLA-related services</w:t>
            </w:r>
          </w:p>
        </w:tc>
        <w:tc>
          <w:tcPr>
            <w:tcW w:w="493" w:type="pct"/>
            <w:gridSpan w:val="3"/>
            <w:tcBorders>
              <w:top w:val="nil"/>
              <w:left w:val="nil"/>
              <w:bottom w:val="single" w:sz="4" w:space="0" w:color="auto"/>
              <w:right w:val="single" w:sz="8" w:space="0" w:color="auto"/>
            </w:tcBorders>
            <w:tcMar>
              <w:top w:w="0" w:type="dxa"/>
              <w:left w:w="108" w:type="dxa"/>
              <w:bottom w:w="0" w:type="dxa"/>
              <w:right w:w="108" w:type="dxa"/>
            </w:tcMar>
          </w:tcPr>
          <w:p w14:paraId="73095266" w14:textId="4194BE20" w:rsidR="0005609C" w:rsidRPr="00C86E49" w:rsidRDefault="0005609C" w:rsidP="002C77A2">
            <w:pPr>
              <w:pStyle w:val="TableText"/>
            </w:pPr>
            <w:r w:rsidRPr="00C86E49">
              <w:t>$40,908</w:t>
            </w:r>
          </w:p>
        </w:tc>
        <w:tc>
          <w:tcPr>
            <w:tcW w:w="499" w:type="pct"/>
            <w:tcBorders>
              <w:top w:val="nil"/>
              <w:left w:val="nil"/>
              <w:bottom w:val="single" w:sz="4" w:space="0" w:color="auto"/>
              <w:right w:val="single" w:sz="8" w:space="0" w:color="auto"/>
            </w:tcBorders>
            <w:tcMar>
              <w:top w:w="0" w:type="dxa"/>
              <w:left w:w="108" w:type="dxa"/>
              <w:bottom w:w="0" w:type="dxa"/>
              <w:right w:w="108" w:type="dxa"/>
            </w:tcMar>
          </w:tcPr>
          <w:p w14:paraId="47AB12F5" w14:textId="024EAD3F" w:rsidR="0005609C" w:rsidRPr="00C86E49" w:rsidRDefault="0005609C" w:rsidP="002C77A2">
            <w:pPr>
              <w:pStyle w:val="TableText"/>
            </w:pPr>
            <w:r w:rsidRPr="00C86E49">
              <w:t>$56,508</w:t>
            </w:r>
          </w:p>
        </w:tc>
        <w:tc>
          <w:tcPr>
            <w:tcW w:w="493" w:type="pct"/>
            <w:tcBorders>
              <w:top w:val="nil"/>
              <w:left w:val="nil"/>
              <w:bottom w:val="single" w:sz="4" w:space="0" w:color="auto"/>
              <w:right w:val="single" w:sz="8" w:space="0" w:color="auto"/>
            </w:tcBorders>
            <w:tcMar>
              <w:top w:w="0" w:type="dxa"/>
              <w:left w:w="108" w:type="dxa"/>
              <w:bottom w:w="0" w:type="dxa"/>
              <w:right w:w="108" w:type="dxa"/>
            </w:tcMar>
          </w:tcPr>
          <w:p w14:paraId="09031D3F" w14:textId="1F590ADA" w:rsidR="0005609C" w:rsidRPr="00C86E49" w:rsidRDefault="0005609C" w:rsidP="002C77A2">
            <w:pPr>
              <w:pStyle w:val="TableText"/>
            </w:pPr>
            <w:r w:rsidRPr="00C86E49">
              <w:t>$72,567</w:t>
            </w:r>
          </w:p>
        </w:tc>
        <w:tc>
          <w:tcPr>
            <w:tcW w:w="493" w:type="pct"/>
            <w:tcBorders>
              <w:top w:val="nil"/>
              <w:left w:val="nil"/>
              <w:bottom w:val="single" w:sz="4" w:space="0" w:color="auto"/>
              <w:right w:val="single" w:sz="8" w:space="0" w:color="auto"/>
            </w:tcBorders>
            <w:tcMar>
              <w:top w:w="0" w:type="dxa"/>
              <w:left w:w="108" w:type="dxa"/>
              <w:bottom w:w="0" w:type="dxa"/>
              <w:right w:w="108" w:type="dxa"/>
            </w:tcMar>
          </w:tcPr>
          <w:p w14:paraId="57859E00" w14:textId="3602132E" w:rsidR="0005609C" w:rsidRPr="00C86E49" w:rsidRDefault="0005609C" w:rsidP="002C77A2">
            <w:pPr>
              <w:pStyle w:val="TableText"/>
            </w:pPr>
            <w:r w:rsidRPr="00C86E49">
              <w:t>$73,655</w:t>
            </w:r>
          </w:p>
        </w:tc>
        <w:tc>
          <w:tcPr>
            <w:tcW w:w="485" w:type="pct"/>
            <w:tcBorders>
              <w:top w:val="nil"/>
              <w:left w:val="nil"/>
              <w:bottom w:val="single" w:sz="4" w:space="0" w:color="auto"/>
              <w:right w:val="single" w:sz="8" w:space="0" w:color="auto"/>
            </w:tcBorders>
            <w:tcMar>
              <w:top w:w="0" w:type="dxa"/>
              <w:left w:w="108" w:type="dxa"/>
              <w:bottom w:w="0" w:type="dxa"/>
              <w:right w:w="108" w:type="dxa"/>
            </w:tcMar>
          </w:tcPr>
          <w:p w14:paraId="3C0B54F8" w14:textId="08A6AF38" w:rsidR="0005609C" w:rsidRPr="00C86E49" w:rsidRDefault="0005609C" w:rsidP="002C77A2">
            <w:pPr>
              <w:pStyle w:val="TableText"/>
            </w:pPr>
            <w:r w:rsidRPr="00C86E49">
              <w:t>$74,760</w:t>
            </w:r>
          </w:p>
        </w:tc>
      </w:tr>
      <w:tr w:rsidR="0005609C" w:rsidRPr="00C86E49" w14:paraId="755DEAF4" w14:textId="77777777" w:rsidTr="002279EC">
        <w:trPr>
          <w:tblHeader/>
        </w:trPr>
        <w:tc>
          <w:tcPr>
            <w:tcW w:w="253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8ACBFB" w14:textId="4A5C67D8" w:rsidR="0005609C" w:rsidRPr="00C86E49" w:rsidRDefault="0005609C" w:rsidP="002C77A2">
            <w:pPr>
              <w:pStyle w:val="TableText"/>
            </w:pPr>
            <w:r w:rsidRPr="00C86E49">
              <w:t>- co-payments</w:t>
            </w:r>
          </w:p>
        </w:tc>
        <w:tc>
          <w:tcPr>
            <w:tcW w:w="493"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07C02C49" w14:textId="7D9CB335" w:rsidR="0005609C" w:rsidRPr="00C86E49" w:rsidRDefault="0005609C" w:rsidP="002C77A2">
            <w:pPr>
              <w:pStyle w:val="TableText"/>
            </w:pPr>
            <w:r w:rsidRPr="00C86E49">
              <w:t>$10,222</w:t>
            </w:r>
          </w:p>
        </w:tc>
        <w:tc>
          <w:tcPr>
            <w:tcW w:w="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6FA6A9" w14:textId="7F93FD79" w:rsidR="0005609C" w:rsidRPr="00C86E49" w:rsidRDefault="0005609C" w:rsidP="002C77A2">
            <w:pPr>
              <w:pStyle w:val="TableText"/>
            </w:pPr>
            <w:r w:rsidRPr="00C86E49">
              <w:t>$14,121</w:t>
            </w:r>
          </w:p>
        </w:tc>
        <w:tc>
          <w:tcPr>
            <w:tcW w:w="49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599FCD" w14:textId="6B7009A9" w:rsidR="0005609C" w:rsidRPr="00C86E49" w:rsidRDefault="0005609C" w:rsidP="002C77A2">
            <w:pPr>
              <w:pStyle w:val="TableText"/>
            </w:pPr>
            <w:r w:rsidRPr="00C86E49">
              <w:t>$18,134</w:t>
            </w:r>
          </w:p>
        </w:tc>
        <w:tc>
          <w:tcPr>
            <w:tcW w:w="49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9543F6F" w14:textId="442F783A" w:rsidR="0005609C" w:rsidRPr="00C86E49" w:rsidRDefault="0005609C" w:rsidP="002C77A2">
            <w:pPr>
              <w:pStyle w:val="TableText"/>
            </w:pPr>
            <w:r w:rsidRPr="00C86E49">
              <w:t>$18,406</w:t>
            </w:r>
          </w:p>
        </w:tc>
        <w:tc>
          <w:tcPr>
            <w:tcW w:w="48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12557F" w14:textId="6C242F32" w:rsidR="0005609C" w:rsidRPr="00C86E49" w:rsidRDefault="0005609C" w:rsidP="002C77A2">
            <w:pPr>
              <w:pStyle w:val="TableText"/>
            </w:pPr>
            <w:r w:rsidRPr="00C86E49">
              <w:t>$18,682</w:t>
            </w:r>
          </w:p>
        </w:tc>
      </w:tr>
      <w:tr w:rsidR="0005609C" w:rsidRPr="00C86E49" w14:paraId="55A6176D" w14:textId="77777777" w:rsidTr="002279EC">
        <w:trPr>
          <w:tblHeader/>
        </w:trPr>
        <w:tc>
          <w:tcPr>
            <w:tcW w:w="253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0B7D44" w14:textId="5608A8ED" w:rsidR="0005609C" w:rsidRPr="00C86E49" w:rsidRDefault="0005609C" w:rsidP="002C77A2">
            <w:pPr>
              <w:pStyle w:val="TableText"/>
            </w:pPr>
            <w:r w:rsidRPr="00C86E49">
              <w:t>- net cost to MBS</w:t>
            </w:r>
          </w:p>
        </w:tc>
        <w:tc>
          <w:tcPr>
            <w:tcW w:w="49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66D15F76" w14:textId="4333811B" w:rsidR="0005609C" w:rsidRPr="00C86E49" w:rsidRDefault="0005609C" w:rsidP="002C77A2">
            <w:pPr>
              <w:pStyle w:val="TableText"/>
            </w:pPr>
            <w:r w:rsidRPr="00C86E49">
              <w:t>$30,685</w:t>
            </w:r>
          </w:p>
        </w:tc>
        <w:tc>
          <w:tcPr>
            <w:tcW w:w="4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480FD5" w14:textId="29ECD109" w:rsidR="0005609C" w:rsidRPr="00C86E49" w:rsidRDefault="0005609C" w:rsidP="002C77A2">
            <w:pPr>
              <w:pStyle w:val="TableText"/>
            </w:pPr>
            <w:r w:rsidRPr="00C86E49">
              <w:t>$42,387</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C940950" w14:textId="7D1C1324" w:rsidR="0005609C" w:rsidRPr="00C86E49" w:rsidRDefault="0005609C" w:rsidP="002C77A2">
            <w:pPr>
              <w:pStyle w:val="TableText"/>
            </w:pPr>
            <w:r w:rsidRPr="00C86E49">
              <w:t>$54,433</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6361EF9" w14:textId="39175A38" w:rsidR="0005609C" w:rsidRPr="00C86E49" w:rsidRDefault="0005609C" w:rsidP="002C77A2">
            <w:pPr>
              <w:pStyle w:val="TableText"/>
            </w:pPr>
            <w:r w:rsidRPr="00C86E49">
              <w:t>$55,250</w:t>
            </w:r>
          </w:p>
        </w:tc>
        <w:tc>
          <w:tcPr>
            <w:tcW w:w="4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54F194A" w14:textId="4FECDFD9" w:rsidR="0005609C" w:rsidRPr="00C86E49" w:rsidRDefault="0005609C" w:rsidP="002C77A2">
            <w:pPr>
              <w:pStyle w:val="TableText"/>
            </w:pPr>
            <w:r w:rsidRPr="00C86E49">
              <w:t>$56,078</w:t>
            </w:r>
          </w:p>
        </w:tc>
      </w:tr>
      <w:tr w:rsidR="0005609C" w:rsidRPr="00C86E49" w14:paraId="518E0346" w14:textId="77777777" w:rsidTr="002279EC">
        <w:trPr>
          <w:tblHeader/>
        </w:trPr>
        <w:tc>
          <w:tcPr>
            <w:tcW w:w="2537" w:type="pct"/>
            <w:tcBorders>
              <w:top w:val="single" w:sz="8" w:space="0" w:color="auto"/>
              <w:left w:val="single" w:sz="8" w:space="0" w:color="auto"/>
              <w:bottom w:val="single" w:sz="8" w:space="0" w:color="auto"/>
            </w:tcBorders>
            <w:tcMar>
              <w:top w:w="0" w:type="dxa"/>
              <w:left w:w="108" w:type="dxa"/>
              <w:bottom w:w="0" w:type="dxa"/>
              <w:right w:w="108" w:type="dxa"/>
            </w:tcMar>
          </w:tcPr>
          <w:p w14:paraId="7BD66D92" w14:textId="568818A9" w:rsidR="0005609C" w:rsidRPr="00C86E49" w:rsidRDefault="0005609C" w:rsidP="002C77A2">
            <w:pPr>
              <w:pStyle w:val="TableText"/>
            </w:pPr>
            <w:r w:rsidRPr="00C86E49">
              <w:rPr>
                <w:b/>
                <w:bCs/>
              </w:rPr>
              <w:t>Change in use and cost of other health technologies</w:t>
            </w:r>
          </w:p>
        </w:tc>
        <w:tc>
          <w:tcPr>
            <w:tcW w:w="493" w:type="pct"/>
            <w:gridSpan w:val="3"/>
            <w:tcBorders>
              <w:top w:val="single" w:sz="8" w:space="0" w:color="auto"/>
              <w:bottom w:val="single" w:sz="8" w:space="0" w:color="auto"/>
            </w:tcBorders>
            <w:tcMar>
              <w:top w:w="0" w:type="dxa"/>
              <w:left w:w="108" w:type="dxa"/>
              <w:bottom w:w="0" w:type="dxa"/>
              <w:right w:w="108" w:type="dxa"/>
            </w:tcMar>
          </w:tcPr>
          <w:p w14:paraId="6C366629" w14:textId="77777777" w:rsidR="0005609C" w:rsidRPr="00C86E49" w:rsidRDefault="0005609C" w:rsidP="002C77A2">
            <w:pPr>
              <w:pStyle w:val="TableText"/>
            </w:pPr>
          </w:p>
        </w:tc>
        <w:tc>
          <w:tcPr>
            <w:tcW w:w="499" w:type="pct"/>
            <w:tcBorders>
              <w:top w:val="single" w:sz="8" w:space="0" w:color="auto"/>
              <w:bottom w:val="single" w:sz="8" w:space="0" w:color="auto"/>
            </w:tcBorders>
            <w:tcMar>
              <w:top w:w="0" w:type="dxa"/>
              <w:left w:w="108" w:type="dxa"/>
              <w:bottom w:w="0" w:type="dxa"/>
              <w:right w:w="108" w:type="dxa"/>
            </w:tcMar>
          </w:tcPr>
          <w:p w14:paraId="7DFA10ED" w14:textId="77777777" w:rsidR="0005609C" w:rsidRPr="00C86E49" w:rsidRDefault="0005609C" w:rsidP="002C77A2">
            <w:pPr>
              <w:pStyle w:val="TableText"/>
            </w:pPr>
          </w:p>
        </w:tc>
        <w:tc>
          <w:tcPr>
            <w:tcW w:w="493" w:type="pct"/>
            <w:tcBorders>
              <w:top w:val="single" w:sz="8" w:space="0" w:color="auto"/>
              <w:bottom w:val="single" w:sz="8" w:space="0" w:color="auto"/>
            </w:tcBorders>
            <w:tcMar>
              <w:top w:w="0" w:type="dxa"/>
              <w:left w:w="108" w:type="dxa"/>
              <w:bottom w:w="0" w:type="dxa"/>
              <w:right w:w="108" w:type="dxa"/>
            </w:tcMar>
          </w:tcPr>
          <w:p w14:paraId="7D6852CC" w14:textId="77777777" w:rsidR="0005609C" w:rsidRPr="00C86E49" w:rsidRDefault="0005609C" w:rsidP="002C77A2">
            <w:pPr>
              <w:pStyle w:val="TableText"/>
            </w:pPr>
          </w:p>
        </w:tc>
        <w:tc>
          <w:tcPr>
            <w:tcW w:w="493" w:type="pct"/>
            <w:tcBorders>
              <w:top w:val="single" w:sz="8" w:space="0" w:color="auto"/>
              <w:bottom w:val="single" w:sz="8" w:space="0" w:color="auto"/>
            </w:tcBorders>
            <w:tcMar>
              <w:top w:w="0" w:type="dxa"/>
              <w:left w:w="108" w:type="dxa"/>
              <w:bottom w:w="0" w:type="dxa"/>
              <w:right w:w="108" w:type="dxa"/>
            </w:tcMar>
          </w:tcPr>
          <w:p w14:paraId="263D624F" w14:textId="77777777" w:rsidR="0005609C" w:rsidRPr="00C86E49" w:rsidRDefault="0005609C" w:rsidP="002C77A2">
            <w:pPr>
              <w:pStyle w:val="TableText"/>
            </w:pPr>
          </w:p>
        </w:tc>
        <w:tc>
          <w:tcPr>
            <w:tcW w:w="485" w:type="pct"/>
            <w:tcBorders>
              <w:top w:val="single" w:sz="8" w:space="0" w:color="auto"/>
              <w:bottom w:val="single" w:sz="8" w:space="0" w:color="auto"/>
              <w:right w:val="single" w:sz="8" w:space="0" w:color="auto"/>
            </w:tcBorders>
            <w:tcMar>
              <w:top w:w="0" w:type="dxa"/>
              <w:left w:w="108" w:type="dxa"/>
              <w:bottom w:w="0" w:type="dxa"/>
              <w:right w:w="108" w:type="dxa"/>
            </w:tcMar>
          </w:tcPr>
          <w:p w14:paraId="1BF13077" w14:textId="77777777" w:rsidR="0005609C" w:rsidRPr="00C86E49" w:rsidRDefault="0005609C" w:rsidP="002C77A2">
            <w:pPr>
              <w:pStyle w:val="TableText"/>
            </w:pPr>
          </w:p>
        </w:tc>
      </w:tr>
      <w:tr w:rsidR="00E32969" w:rsidRPr="00C86E49" w14:paraId="141B431A" w14:textId="77777777" w:rsidTr="002279EC">
        <w:trPr>
          <w:tblHeader/>
        </w:trPr>
        <w:tc>
          <w:tcPr>
            <w:tcW w:w="2537"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673F8140" w14:textId="2D2975FB" w:rsidR="00E32969" w:rsidRPr="00C86E49" w:rsidRDefault="00E32969" w:rsidP="002C77A2">
            <w:pPr>
              <w:pStyle w:val="TableText"/>
            </w:pPr>
            <w:r w:rsidRPr="00C86E49">
              <w:t>Substituted VA-ECMO-related services</w:t>
            </w:r>
          </w:p>
        </w:tc>
        <w:tc>
          <w:tcPr>
            <w:tcW w:w="493" w:type="pct"/>
            <w:gridSpan w:val="3"/>
            <w:tcBorders>
              <w:top w:val="nil"/>
              <w:left w:val="nil"/>
              <w:bottom w:val="single" w:sz="4" w:space="0" w:color="auto"/>
              <w:right w:val="single" w:sz="8" w:space="0" w:color="auto"/>
            </w:tcBorders>
            <w:tcMar>
              <w:top w:w="0" w:type="dxa"/>
              <w:left w:w="108" w:type="dxa"/>
              <w:bottom w:w="0" w:type="dxa"/>
              <w:right w:w="108" w:type="dxa"/>
            </w:tcMar>
          </w:tcPr>
          <w:p w14:paraId="0A4E6D7D" w14:textId="40B5EFBC" w:rsidR="00E32969" w:rsidRPr="00C86E49" w:rsidRDefault="00E32969" w:rsidP="002C77A2">
            <w:pPr>
              <w:pStyle w:val="TableText"/>
            </w:pPr>
            <w:r w:rsidRPr="00C86E49">
              <w:t>$41,970</w:t>
            </w:r>
          </w:p>
        </w:tc>
        <w:tc>
          <w:tcPr>
            <w:tcW w:w="499" w:type="pct"/>
            <w:tcBorders>
              <w:top w:val="nil"/>
              <w:left w:val="nil"/>
              <w:bottom w:val="single" w:sz="4" w:space="0" w:color="auto"/>
              <w:right w:val="single" w:sz="8" w:space="0" w:color="auto"/>
            </w:tcBorders>
            <w:tcMar>
              <w:top w:w="0" w:type="dxa"/>
              <w:left w:w="108" w:type="dxa"/>
              <w:bottom w:w="0" w:type="dxa"/>
              <w:right w:w="108" w:type="dxa"/>
            </w:tcMar>
          </w:tcPr>
          <w:p w14:paraId="7DCB03D6" w14:textId="1EBACDC0" w:rsidR="00E32969" w:rsidRPr="00C86E49" w:rsidRDefault="00E32969" w:rsidP="002C77A2">
            <w:pPr>
              <w:pStyle w:val="TableText"/>
            </w:pPr>
            <w:r w:rsidRPr="00C86E49">
              <w:t>$57,881</w:t>
            </w:r>
          </w:p>
        </w:tc>
        <w:tc>
          <w:tcPr>
            <w:tcW w:w="493" w:type="pct"/>
            <w:tcBorders>
              <w:top w:val="nil"/>
              <w:left w:val="nil"/>
              <w:bottom w:val="single" w:sz="4" w:space="0" w:color="auto"/>
              <w:right w:val="single" w:sz="8" w:space="0" w:color="auto"/>
            </w:tcBorders>
            <w:tcMar>
              <w:top w:w="0" w:type="dxa"/>
              <w:left w:w="108" w:type="dxa"/>
              <w:bottom w:w="0" w:type="dxa"/>
              <w:right w:w="108" w:type="dxa"/>
            </w:tcMar>
          </w:tcPr>
          <w:p w14:paraId="705F281E" w14:textId="7F73F90A" w:rsidR="00E32969" w:rsidRPr="00C86E49" w:rsidRDefault="00E32969" w:rsidP="002C77A2">
            <w:pPr>
              <w:pStyle w:val="TableText"/>
            </w:pPr>
            <w:r w:rsidRPr="00C86E49">
              <w:t>$74,259</w:t>
            </w:r>
          </w:p>
        </w:tc>
        <w:tc>
          <w:tcPr>
            <w:tcW w:w="493" w:type="pct"/>
            <w:tcBorders>
              <w:top w:val="nil"/>
              <w:left w:val="nil"/>
              <w:bottom w:val="single" w:sz="4" w:space="0" w:color="auto"/>
              <w:right w:val="single" w:sz="8" w:space="0" w:color="auto"/>
            </w:tcBorders>
            <w:tcMar>
              <w:top w:w="0" w:type="dxa"/>
              <w:left w:w="108" w:type="dxa"/>
              <w:bottom w:w="0" w:type="dxa"/>
              <w:right w:w="108" w:type="dxa"/>
            </w:tcMar>
          </w:tcPr>
          <w:p w14:paraId="0D92FF03" w14:textId="1F2600FA" w:rsidR="00E32969" w:rsidRPr="00C86E49" w:rsidRDefault="00E32969" w:rsidP="002C77A2">
            <w:pPr>
              <w:pStyle w:val="TableText"/>
            </w:pPr>
            <w:r w:rsidRPr="00C86E49">
              <w:t>$75,373</w:t>
            </w:r>
          </w:p>
        </w:tc>
        <w:tc>
          <w:tcPr>
            <w:tcW w:w="485" w:type="pct"/>
            <w:tcBorders>
              <w:top w:val="nil"/>
              <w:left w:val="nil"/>
              <w:bottom w:val="single" w:sz="4" w:space="0" w:color="auto"/>
              <w:right w:val="single" w:sz="8" w:space="0" w:color="auto"/>
            </w:tcBorders>
            <w:tcMar>
              <w:top w:w="0" w:type="dxa"/>
              <w:left w:w="108" w:type="dxa"/>
              <w:bottom w:w="0" w:type="dxa"/>
              <w:right w:w="108" w:type="dxa"/>
            </w:tcMar>
          </w:tcPr>
          <w:p w14:paraId="5B4DD028" w14:textId="1000328B" w:rsidR="00E32969" w:rsidRPr="00C86E49" w:rsidRDefault="00E32969" w:rsidP="002C77A2">
            <w:pPr>
              <w:pStyle w:val="TableText"/>
            </w:pPr>
            <w:r w:rsidRPr="00C86E49">
              <w:t>$76,504</w:t>
            </w:r>
          </w:p>
        </w:tc>
      </w:tr>
      <w:tr w:rsidR="00E32969" w:rsidRPr="00C86E49" w14:paraId="3D0475C2" w14:textId="77777777" w:rsidTr="002279EC">
        <w:trPr>
          <w:tblHeader/>
        </w:trPr>
        <w:tc>
          <w:tcPr>
            <w:tcW w:w="253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EA0546" w14:textId="2A9FF720" w:rsidR="00E32969" w:rsidRPr="00C86E49" w:rsidRDefault="00E32969" w:rsidP="002C77A2">
            <w:pPr>
              <w:pStyle w:val="TableText"/>
            </w:pPr>
            <w:r w:rsidRPr="00C86E49">
              <w:t>- co-payments</w:t>
            </w:r>
          </w:p>
        </w:tc>
        <w:tc>
          <w:tcPr>
            <w:tcW w:w="493"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50D93D8C" w14:textId="729FA90D" w:rsidR="00E32969" w:rsidRPr="00C86E49" w:rsidRDefault="00E32969" w:rsidP="002C77A2">
            <w:pPr>
              <w:pStyle w:val="TableText"/>
            </w:pPr>
            <w:r w:rsidRPr="00C86E49">
              <w:t>$10,488</w:t>
            </w:r>
          </w:p>
        </w:tc>
        <w:tc>
          <w:tcPr>
            <w:tcW w:w="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91B0C16" w14:textId="72255E84" w:rsidR="00E32969" w:rsidRPr="00C86E49" w:rsidRDefault="00E32969" w:rsidP="002C77A2">
            <w:pPr>
              <w:pStyle w:val="TableText"/>
            </w:pPr>
            <w:r w:rsidRPr="00C86E49">
              <w:t>$14,464</w:t>
            </w:r>
          </w:p>
        </w:tc>
        <w:tc>
          <w:tcPr>
            <w:tcW w:w="49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DAB74DE" w14:textId="1EA7E577" w:rsidR="00E32969" w:rsidRPr="00C86E49" w:rsidRDefault="00E32969" w:rsidP="002C77A2">
            <w:pPr>
              <w:pStyle w:val="TableText"/>
            </w:pPr>
            <w:r w:rsidRPr="00C86E49">
              <w:t>$18,556</w:t>
            </w:r>
          </w:p>
        </w:tc>
        <w:tc>
          <w:tcPr>
            <w:tcW w:w="49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5AF506D" w14:textId="2A1AD548" w:rsidR="00E32969" w:rsidRPr="00C86E49" w:rsidRDefault="00E32969" w:rsidP="002C77A2">
            <w:pPr>
              <w:pStyle w:val="TableText"/>
            </w:pPr>
            <w:r w:rsidRPr="00C86E49">
              <w:t>$18,835</w:t>
            </w:r>
          </w:p>
        </w:tc>
        <w:tc>
          <w:tcPr>
            <w:tcW w:w="48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1AD2F08" w14:textId="6274F6D5" w:rsidR="00E32969" w:rsidRPr="00C86E49" w:rsidRDefault="00E32969" w:rsidP="002C77A2">
            <w:pPr>
              <w:pStyle w:val="TableText"/>
            </w:pPr>
            <w:r w:rsidRPr="00C86E49">
              <w:t>$19,117</w:t>
            </w:r>
          </w:p>
        </w:tc>
      </w:tr>
      <w:tr w:rsidR="00E32969" w:rsidRPr="00C86E49" w14:paraId="7537920A" w14:textId="77777777" w:rsidTr="002279EC">
        <w:trPr>
          <w:tblHeader/>
        </w:trPr>
        <w:tc>
          <w:tcPr>
            <w:tcW w:w="253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267375" w14:textId="55D85167" w:rsidR="00E32969" w:rsidRPr="00C86E49" w:rsidRDefault="00E32969" w:rsidP="002C77A2">
            <w:pPr>
              <w:pStyle w:val="TableText"/>
            </w:pPr>
            <w:r w:rsidRPr="00C86E49">
              <w:t>- net cost to MBS</w:t>
            </w:r>
          </w:p>
        </w:tc>
        <w:tc>
          <w:tcPr>
            <w:tcW w:w="49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3128437E" w14:textId="3C2E34C0" w:rsidR="00E32969" w:rsidRPr="00C86E49" w:rsidRDefault="00E32969" w:rsidP="002C77A2">
            <w:pPr>
              <w:pStyle w:val="TableText"/>
            </w:pPr>
            <w:r w:rsidRPr="00C86E49">
              <w:t>$31,482</w:t>
            </w:r>
          </w:p>
        </w:tc>
        <w:tc>
          <w:tcPr>
            <w:tcW w:w="4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0B21981" w14:textId="53AA8EC1" w:rsidR="00E32969" w:rsidRPr="00C86E49" w:rsidRDefault="00E32969" w:rsidP="002C77A2">
            <w:pPr>
              <w:pStyle w:val="TableText"/>
            </w:pPr>
            <w:r w:rsidRPr="00C86E49">
              <w:t>$43,417</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8956CE" w14:textId="51335642" w:rsidR="00E32969" w:rsidRPr="00C86E49" w:rsidRDefault="00E32969" w:rsidP="002C77A2">
            <w:pPr>
              <w:pStyle w:val="TableText"/>
            </w:pPr>
            <w:r w:rsidRPr="00C86E49">
              <w:t>$55,703</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D4213C" w14:textId="3980FB24" w:rsidR="00E32969" w:rsidRPr="00C86E49" w:rsidRDefault="00E32969" w:rsidP="002C77A2">
            <w:pPr>
              <w:pStyle w:val="TableText"/>
            </w:pPr>
            <w:r w:rsidRPr="00C86E49">
              <w:t>$56,538</w:t>
            </w:r>
          </w:p>
        </w:tc>
        <w:tc>
          <w:tcPr>
            <w:tcW w:w="4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B0BD324" w14:textId="242F73C3" w:rsidR="00E32969" w:rsidRPr="00C86E49" w:rsidRDefault="00E32969" w:rsidP="002C77A2">
            <w:pPr>
              <w:pStyle w:val="TableText"/>
            </w:pPr>
            <w:r w:rsidRPr="00C86E49">
              <w:t>$57,387</w:t>
            </w:r>
          </w:p>
        </w:tc>
      </w:tr>
      <w:tr w:rsidR="0005609C" w:rsidRPr="00C86E49" w14:paraId="1D7F897A" w14:textId="77777777" w:rsidTr="002279EC">
        <w:trPr>
          <w:tblHeader/>
        </w:trPr>
        <w:tc>
          <w:tcPr>
            <w:tcW w:w="2537" w:type="pct"/>
            <w:tcBorders>
              <w:top w:val="single" w:sz="8" w:space="0" w:color="auto"/>
              <w:left w:val="single" w:sz="8" w:space="0" w:color="auto"/>
              <w:bottom w:val="single" w:sz="8" w:space="0" w:color="auto"/>
            </w:tcBorders>
            <w:tcMar>
              <w:top w:w="0" w:type="dxa"/>
              <w:left w:w="108" w:type="dxa"/>
              <w:bottom w:w="0" w:type="dxa"/>
              <w:right w:w="108" w:type="dxa"/>
            </w:tcMar>
            <w:hideMark/>
          </w:tcPr>
          <w:p w14:paraId="6FEA76BA" w14:textId="3FFAD255" w:rsidR="0005609C" w:rsidRPr="00C86E49" w:rsidRDefault="0005609C" w:rsidP="002C77A2">
            <w:pPr>
              <w:pStyle w:val="TableText"/>
              <w:rPr>
                <w:b/>
                <w:bCs/>
              </w:rPr>
            </w:pPr>
            <w:r w:rsidRPr="00C86E49">
              <w:rPr>
                <w:b/>
                <w:bCs/>
              </w:rPr>
              <w:t>Net financial impact to the MBS</w:t>
            </w:r>
          </w:p>
        </w:tc>
        <w:tc>
          <w:tcPr>
            <w:tcW w:w="493" w:type="pct"/>
            <w:gridSpan w:val="3"/>
            <w:tcBorders>
              <w:top w:val="single" w:sz="8" w:space="0" w:color="auto"/>
              <w:bottom w:val="single" w:sz="8" w:space="0" w:color="auto"/>
            </w:tcBorders>
            <w:tcMar>
              <w:top w:w="0" w:type="dxa"/>
              <w:left w:w="108" w:type="dxa"/>
              <w:bottom w:w="0" w:type="dxa"/>
              <w:right w:w="108" w:type="dxa"/>
            </w:tcMar>
          </w:tcPr>
          <w:p w14:paraId="10D9A965" w14:textId="77777777" w:rsidR="0005609C" w:rsidRPr="00C86E49" w:rsidRDefault="0005609C" w:rsidP="002C77A2">
            <w:pPr>
              <w:pStyle w:val="TableText"/>
              <w:rPr>
                <w:b/>
                <w:bCs/>
              </w:rPr>
            </w:pPr>
          </w:p>
        </w:tc>
        <w:tc>
          <w:tcPr>
            <w:tcW w:w="499" w:type="pct"/>
            <w:tcBorders>
              <w:top w:val="single" w:sz="8" w:space="0" w:color="auto"/>
              <w:bottom w:val="single" w:sz="8" w:space="0" w:color="auto"/>
            </w:tcBorders>
            <w:tcMar>
              <w:top w:w="0" w:type="dxa"/>
              <w:left w:w="108" w:type="dxa"/>
              <w:bottom w:w="0" w:type="dxa"/>
              <w:right w:w="108" w:type="dxa"/>
            </w:tcMar>
          </w:tcPr>
          <w:p w14:paraId="094449DB" w14:textId="77777777" w:rsidR="0005609C" w:rsidRPr="00C86E49" w:rsidRDefault="0005609C" w:rsidP="002C77A2">
            <w:pPr>
              <w:pStyle w:val="TableText"/>
              <w:rPr>
                <w:b/>
                <w:bCs/>
              </w:rPr>
            </w:pPr>
          </w:p>
        </w:tc>
        <w:tc>
          <w:tcPr>
            <w:tcW w:w="493" w:type="pct"/>
            <w:tcBorders>
              <w:top w:val="single" w:sz="8" w:space="0" w:color="auto"/>
              <w:bottom w:val="single" w:sz="8" w:space="0" w:color="auto"/>
            </w:tcBorders>
            <w:tcMar>
              <w:top w:w="0" w:type="dxa"/>
              <w:left w:w="108" w:type="dxa"/>
              <w:bottom w:w="0" w:type="dxa"/>
              <w:right w:w="108" w:type="dxa"/>
            </w:tcMar>
          </w:tcPr>
          <w:p w14:paraId="1BD218F3" w14:textId="77777777" w:rsidR="0005609C" w:rsidRPr="00C86E49" w:rsidRDefault="0005609C" w:rsidP="002C77A2">
            <w:pPr>
              <w:pStyle w:val="TableText"/>
              <w:rPr>
                <w:b/>
                <w:bCs/>
              </w:rPr>
            </w:pPr>
          </w:p>
        </w:tc>
        <w:tc>
          <w:tcPr>
            <w:tcW w:w="493" w:type="pct"/>
            <w:tcBorders>
              <w:top w:val="single" w:sz="8" w:space="0" w:color="auto"/>
              <w:bottom w:val="single" w:sz="8" w:space="0" w:color="auto"/>
            </w:tcBorders>
            <w:tcMar>
              <w:top w:w="0" w:type="dxa"/>
              <w:left w:w="108" w:type="dxa"/>
              <w:bottom w:w="0" w:type="dxa"/>
              <w:right w:w="108" w:type="dxa"/>
            </w:tcMar>
          </w:tcPr>
          <w:p w14:paraId="6613D334" w14:textId="77777777" w:rsidR="0005609C" w:rsidRPr="00C86E49" w:rsidRDefault="0005609C" w:rsidP="002C77A2">
            <w:pPr>
              <w:pStyle w:val="TableText"/>
              <w:rPr>
                <w:b/>
                <w:bCs/>
              </w:rPr>
            </w:pPr>
          </w:p>
        </w:tc>
        <w:tc>
          <w:tcPr>
            <w:tcW w:w="485" w:type="pct"/>
            <w:tcBorders>
              <w:top w:val="single" w:sz="8" w:space="0" w:color="auto"/>
              <w:bottom w:val="single" w:sz="8" w:space="0" w:color="auto"/>
              <w:right w:val="single" w:sz="8" w:space="0" w:color="auto"/>
            </w:tcBorders>
            <w:tcMar>
              <w:top w:w="0" w:type="dxa"/>
              <w:left w:w="108" w:type="dxa"/>
              <w:bottom w:w="0" w:type="dxa"/>
              <w:right w:w="108" w:type="dxa"/>
            </w:tcMar>
          </w:tcPr>
          <w:p w14:paraId="219A632F" w14:textId="77777777" w:rsidR="0005609C" w:rsidRPr="00C86E49" w:rsidRDefault="0005609C" w:rsidP="002C77A2">
            <w:pPr>
              <w:pStyle w:val="TableText"/>
              <w:rPr>
                <w:b/>
                <w:bCs/>
              </w:rPr>
            </w:pPr>
          </w:p>
        </w:tc>
      </w:tr>
      <w:tr w:rsidR="0025312A" w:rsidRPr="00C86E49" w14:paraId="2109ACB4" w14:textId="77777777" w:rsidTr="002279EC">
        <w:trPr>
          <w:tblHeader/>
        </w:trPr>
        <w:tc>
          <w:tcPr>
            <w:tcW w:w="253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BFB1F2B" w14:textId="5626B85D" w:rsidR="0025312A" w:rsidRPr="00C86E49" w:rsidRDefault="0025312A" w:rsidP="002C77A2">
            <w:pPr>
              <w:pStyle w:val="TableText"/>
              <w:rPr>
                <w:b/>
                <w:bCs/>
              </w:rPr>
            </w:pPr>
            <w:r w:rsidRPr="00C86E49">
              <w:t>Total net cost</w:t>
            </w:r>
          </w:p>
        </w:tc>
        <w:tc>
          <w:tcPr>
            <w:tcW w:w="493"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14:paraId="0BE77C7B" w14:textId="5B692A1B" w:rsidR="0025312A" w:rsidRPr="00C86E49" w:rsidRDefault="0025312A" w:rsidP="002C77A2">
            <w:pPr>
              <w:pStyle w:val="TableText"/>
              <w:rPr>
                <w:b/>
                <w:bCs/>
              </w:rPr>
            </w:pPr>
            <w:r w:rsidRPr="00C86E49">
              <w:t>-$1,062</w:t>
            </w:r>
          </w:p>
        </w:tc>
        <w:tc>
          <w:tcPr>
            <w:tcW w:w="499"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4A9F3594" w14:textId="6C812B2B" w:rsidR="0025312A" w:rsidRPr="00C86E49" w:rsidRDefault="0025312A" w:rsidP="002C77A2">
            <w:pPr>
              <w:pStyle w:val="TableText"/>
              <w:rPr>
                <w:b/>
                <w:bCs/>
              </w:rPr>
            </w:pPr>
            <w:r w:rsidRPr="00C86E49">
              <w:t>-$1,373</w:t>
            </w:r>
          </w:p>
        </w:tc>
        <w:tc>
          <w:tcPr>
            <w:tcW w:w="493"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8D73FC3" w14:textId="3261F6E6" w:rsidR="0025312A" w:rsidRPr="00C86E49" w:rsidRDefault="0025312A" w:rsidP="002C77A2">
            <w:pPr>
              <w:pStyle w:val="TableText"/>
              <w:rPr>
                <w:b/>
                <w:bCs/>
              </w:rPr>
            </w:pPr>
            <w:r w:rsidRPr="00C86E49">
              <w:t>-$1,693</w:t>
            </w:r>
          </w:p>
        </w:tc>
        <w:tc>
          <w:tcPr>
            <w:tcW w:w="493"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4B6033D" w14:textId="7349AD25" w:rsidR="0025312A" w:rsidRPr="00C86E49" w:rsidRDefault="0025312A" w:rsidP="002C77A2">
            <w:pPr>
              <w:pStyle w:val="TableText"/>
              <w:rPr>
                <w:b/>
                <w:bCs/>
              </w:rPr>
            </w:pPr>
            <w:r w:rsidRPr="00C86E49">
              <w:t>-$1,718</w:t>
            </w:r>
          </w:p>
        </w:tc>
        <w:tc>
          <w:tcPr>
            <w:tcW w:w="485"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5A72E79" w14:textId="6C844B3E" w:rsidR="0025312A" w:rsidRPr="00C86E49" w:rsidRDefault="0025312A" w:rsidP="002C77A2">
            <w:pPr>
              <w:pStyle w:val="TableText"/>
              <w:rPr>
                <w:b/>
                <w:bCs/>
              </w:rPr>
            </w:pPr>
            <w:r w:rsidRPr="00C86E49">
              <w:t>-$1,744</w:t>
            </w:r>
          </w:p>
        </w:tc>
      </w:tr>
      <w:tr w:rsidR="0025312A" w:rsidRPr="00C86E49" w14:paraId="2E95D265" w14:textId="77777777" w:rsidTr="002279EC">
        <w:trPr>
          <w:tblHeader/>
        </w:trPr>
        <w:tc>
          <w:tcPr>
            <w:tcW w:w="253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4EFDDF" w14:textId="267BB735" w:rsidR="0025312A" w:rsidRPr="00C86E49" w:rsidRDefault="0025312A" w:rsidP="002C77A2">
            <w:pPr>
              <w:pStyle w:val="TableText"/>
              <w:rPr>
                <w:b/>
                <w:bCs/>
              </w:rPr>
            </w:pPr>
            <w:r w:rsidRPr="00C86E49">
              <w:t>- co-payments</w:t>
            </w:r>
          </w:p>
        </w:tc>
        <w:tc>
          <w:tcPr>
            <w:tcW w:w="493"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046E25FD" w14:textId="2A476B75" w:rsidR="0025312A" w:rsidRPr="00C86E49" w:rsidRDefault="0025312A" w:rsidP="002C77A2">
            <w:pPr>
              <w:pStyle w:val="TableText"/>
              <w:rPr>
                <w:b/>
                <w:bCs/>
              </w:rPr>
            </w:pPr>
            <w:r w:rsidRPr="00C86E49">
              <w:t>-$265</w:t>
            </w:r>
          </w:p>
        </w:tc>
        <w:tc>
          <w:tcPr>
            <w:tcW w:w="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0B40373" w14:textId="10F22A91" w:rsidR="0025312A" w:rsidRPr="00C86E49" w:rsidRDefault="0025312A" w:rsidP="002C77A2">
            <w:pPr>
              <w:pStyle w:val="TableText"/>
              <w:rPr>
                <w:b/>
                <w:bCs/>
              </w:rPr>
            </w:pPr>
            <w:r w:rsidRPr="00C86E49">
              <w:t>-$343</w:t>
            </w:r>
          </w:p>
        </w:tc>
        <w:tc>
          <w:tcPr>
            <w:tcW w:w="49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4F51084" w14:textId="3557C5F5" w:rsidR="0025312A" w:rsidRPr="00C86E49" w:rsidRDefault="0025312A" w:rsidP="002C77A2">
            <w:pPr>
              <w:pStyle w:val="TableText"/>
              <w:rPr>
                <w:b/>
                <w:bCs/>
              </w:rPr>
            </w:pPr>
            <w:r w:rsidRPr="00C86E49">
              <w:t>-$423</w:t>
            </w:r>
          </w:p>
        </w:tc>
        <w:tc>
          <w:tcPr>
            <w:tcW w:w="49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8878B92" w14:textId="03521436" w:rsidR="0025312A" w:rsidRPr="00C86E49" w:rsidRDefault="0025312A" w:rsidP="002C77A2">
            <w:pPr>
              <w:pStyle w:val="TableText"/>
              <w:rPr>
                <w:b/>
                <w:bCs/>
              </w:rPr>
            </w:pPr>
            <w:r w:rsidRPr="00C86E49">
              <w:t>-$429</w:t>
            </w:r>
          </w:p>
        </w:tc>
        <w:tc>
          <w:tcPr>
            <w:tcW w:w="48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3021DED" w14:textId="7EDE04AD" w:rsidR="0025312A" w:rsidRPr="00C86E49" w:rsidRDefault="0025312A" w:rsidP="002C77A2">
            <w:pPr>
              <w:pStyle w:val="TableText"/>
              <w:rPr>
                <w:b/>
                <w:bCs/>
              </w:rPr>
            </w:pPr>
            <w:r w:rsidRPr="00C86E49">
              <w:t>-$436</w:t>
            </w:r>
          </w:p>
        </w:tc>
      </w:tr>
      <w:tr w:rsidR="0025312A" w:rsidRPr="00C86E49" w14:paraId="42ECA4E9" w14:textId="77777777" w:rsidTr="002279EC">
        <w:trPr>
          <w:tblHeader/>
        </w:trPr>
        <w:tc>
          <w:tcPr>
            <w:tcW w:w="253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52FD091" w14:textId="7330238C" w:rsidR="0025312A" w:rsidRPr="00C86E49" w:rsidRDefault="0025312A" w:rsidP="002C77A2">
            <w:pPr>
              <w:pStyle w:val="TableText"/>
              <w:rPr>
                <w:b/>
                <w:bCs/>
              </w:rPr>
            </w:pPr>
            <w:r w:rsidRPr="00C86E49">
              <w:t>- net cost to MBS</w:t>
            </w:r>
          </w:p>
        </w:tc>
        <w:tc>
          <w:tcPr>
            <w:tcW w:w="49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7661422F" w14:textId="26664F5F" w:rsidR="0025312A" w:rsidRPr="00C86E49" w:rsidRDefault="0025312A" w:rsidP="002C77A2">
            <w:pPr>
              <w:pStyle w:val="TableText"/>
              <w:rPr>
                <w:b/>
                <w:bCs/>
              </w:rPr>
            </w:pPr>
            <w:r w:rsidRPr="00C86E49">
              <w:t>-$797</w:t>
            </w:r>
          </w:p>
        </w:tc>
        <w:tc>
          <w:tcPr>
            <w:tcW w:w="4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C34FA6A" w14:textId="3DFFB6EB" w:rsidR="0025312A" w:rsidRPr="00C86E49" w:rsidRDefault="0025312A" w:rsidP="002C77A2">
            <w:pPr>
              <w:pStyle w:val="TableText"/>
              <w:rPr>
                <w:b/>
                <w:bCs/>
              </w:rPr>
            </w:pPr>
            <w:r w:rsidRPr="00C86E49">
              <w:t>-$1,030</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777795D" w14:textId="1619332F" w:rsidR="0025312A" w:rsidRPr="00C86E49" w:rsidRDefault="0025312A" w:rsidP="002C77A2">
            <w:pPr>
              <w:pStyle w:val="TableText"/>
              <w:rPr>
                <w:b/>
                <w:bCs/>
              </w:rPr>
            </w:pPr>
            <w:r w:rsidRPr="00C86E49">
              <w:t>-$1,270</w:t>
            </w:r>
          </w:p>
        </w:tc>
        <w:tc>
          <w:tcPr>
            <w:tcW w:w="49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D77E236" w14:textId="5FCD556F" w:rsidR="0025312A" w:rsidRPr="00C86E49" w:rsidRDefault="0025312A" w:rsidP="002C77A2">
            <w:pPr>
              <w:pStyle w:val="TableText"/>
              <w:rPr>
                <w:b/>
                <w:bCs/>
              </w:rPr>
            </w:pPr>
            <w:r w:rsidRPr="00C86E49">
              <w:t>-$1,289</w:t>
            </w:r>
          </w:p>
        </w:tc>
        <w:tc>
          <w:tcPr>
            <w:tcW w:w="4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B2E345E" w14:textId="6353687A" w:rsidR="0025312A" w:rsidRPr="00C86E49" w:rsidRDefault="0025312A" w:rsidP="002C77A2">
            <w:pPr>
              <w:pStyle w:val="TableText"/>
              <w:rPr>
                <w:b/>
                <w:bCs/>
              </w:rPr>
            </w:pPr>
            <w:r w:rsidRPr="00C86E49">
              <w:t>-$1,308</w:t>
            </w:r>
          </w:p>
        </w:tc>
      </w:tr>
    </w:tbl>
    <w:p w14:paraId="314B5062" w14:textId="5226F41E" w:rsidR="00215AFB" w:rsidRPr="00C86E49" w:rsidRDefault="00726C84" w:rsidP="00880FE2">
      <w:pPr>
        <w:pStyle w:val="TableFigureFooter"/>
        <w:spacing w:after="0"/>
      </w:pPr>
      <w:bookmarkStart w:id="55" w:name="_Hlk68276814"/>
      <w:bookmarkEnd w:id="54"/>
      <w:r w:rsidRPr="00C86E49">
        <w:t xml:space="preserve">CS = cardiogenic shock; </w:t>
      </w:r>
      <w:r w:rsidR="003608B9" w:rsidRPr="00C86E49">
        <w:t xml:space="preserve">MBS = Medicare Benefits Schedule; </w:t>
      </w:r>
      <w:r w:rsidR="00CF2BBD" w:rsidRPr="00C86E49">
        <w:t>VA-ECMO = veno-arterial extracorporeal membrane oxygenation</w:t>
      </w:r>
      <w:r w:rsidR="006B299E" w:rsidRPr="00C86E49">
        <w:t>.</w:t>
      </w:r>
    </w:p>
    <w:p w14:paraId="5D57E4D0" w14:textId="19BDDB84" w:rsidR="0025312A" w:rsidRPr="00C86E49" w:rsidRDefault="0025312A" w:rsidP="00880FE2">
      <w:pPr>
        <w:pStyle w:val="TableFigureFooter"/>
        <w:spacing w:before="0" w:after="240"/>
      </w:pPr>
      <w:r w:rsidRPr="00C86E49">
        <w:t xml:space="preserve">Source: </w:t>
      </w:r>
      <w:r w:rsidR="005B4D5D" w:rsidRPr="00C86E49">
        <w:t>Table 118</w:t>
      </w:r>
      <w:r w:rsidR="00740C55" w:rsidRPr="00C86E49">
        <w:t xml:space="preserve"> of MSAC 1523.1 ADAR+in-line commentary</w:t>
      </w:r>
      <w:r w:rsidR="00B431E0" w:rsidRPr="00C86E49">
        <w:t>.</w:t>
      </w:r>
      <w:r w:rsidR="005B4D5D" w:rsidRPr="00C86E49">
        <w:t xml:space="preserve"> </w:t>
      </w:r>
    </w:p>
    <w:bookmarkEnd w:id="55"/>
    <w:p w14:paraId="11A3546C" w14:textId="643CB46A" w:rsidR="007853D6" w:rsidRPr="00C86E49" w:rsidRDefault="007853D6" w:rsidP="007853D6">
      <w:pPr>
        <w:pStyle w:val="Heading3"/>
      </w:pPr>
      <w:r w:rsidRPr="00C86E49">
        <w:t>Estimation of impact to other health budgets</w:t>
      </w:r>
    </w:p>
    <w:p w14:paraId="1D3E1E81" w14:textId="0FED8B9F" w:rsidR="003C5C56" w:rsidRPr="00C86E49" w:rsidRDefault="00F62961" w:rsidP="003C5C56">
      <w:r w:rsidRPr="00C86E49">
        <w:t xml:space="preserve">The applicant intends to </w:t>
      </w:r>
      <w:proofErr w:type="gramStart"/>
      <w:r w:rsidRPr="00C86E49">
        <w:t>submit an application</w:t>
      </w:r>
      <w:proofErr w:type="gramEnd"/>
      <w:r w:rsidRPr="00C86E49">
        <w:t xml:space="preserve"> seeking listing of an IMPELLA kit </w:t>
      </w:r>
      <w:r w:rsidR="00651671" w:rsidRPr="00C86E49">
        <w:t xml:space="preserve">(includes the single use IMPELLA IMVAD and one purge cassette) </w:t>
      </w:r>
      <w:r w:rsidRPr="00C86E49">
        <w:t>on the Prescribed List at a reimbursed price of $</w:t>
      </w:r>
      <w:r w:rsidR="00AC6FAF" w:rsidRPr="00375AEF">
        <w:rPr>
          <w:b/>
          <w:bCs/>
        </w:rPr>
        <w:t>redacted</w:t>
      </w:r>
      <w:r w:rsidRPr="00C86E49">
        <w:t xml:space="preserve"> per unit.</w:t>
      </w:r>
      <w:r w:rsidR="00B8270D" w:rsidRPr="00C86E49">
        <w:t xml:space="preserve"> As such, listing of IMPELLA on the MBS is expected to result in a financial impact to private health insurers</w:t>
      </w:r>
      <w:r w:rsidR="00C44AAF" w:rsidRPr="00C86E49">
        <w:t xml:space="preserve"> (see </w:t>
      </w:r>
      <w:r w:rsidR="00C44AAF" w:rsidRPr="00C86E49">
        <w:rPr>
          <w:color w:val="2B579A"/>
          <w:shd w:val="clear" w:color="auto" w:fill="E6E6E6"/>
        </w:rPr>
        <w:fldChar w:fldCharType="begin"/>
      </w:r>
      <w:r w:rsidR="00C44AAF" w:rsidRPr="00C86E49">
        <w:instrText xml:space="preserve"> REF _Ref152081639 \h </w:instrText>
      </w:r>
      <w:r w:rsidR="00C86E49">
        <w:rPr>
          <w:color w:val="2B579A"/>
          <w:shd w:val="clear" w:color="auto" w:fill="E6E6E6"/>
        </w:rPr>
        <w:instrText xml:space="preserve"> \* MERGEFORMAT </w:instrText>
      </w:r>
      <w:r w:rsidR="00C44AAF" w:rsidRPr="00C86E49">
        <w:rPr>
          <w:color w:val="2B579A"/>
          <w:shd w:val="clear" w:color="auto" w:fill="E6E6E6"/>
        </w:rPr>
      </w:r>
      <w:r w:rsidR="00C44AAF" w:rsidRPr="00C86E49">
        <w:rPr>
          <w:color w:val="2B579A"/>
          <w:shd w:val="clear" w:color="auto" w:fill="E6E6E6"/>
        </w:rPr>
        <w:fldChar w:fldCharType="separate"/>
      </w:r>
      <w:r w:rsidR="00EF3514" w:rsidRPr="00C86E49">
        <w:t xml:space="preserve">Table </w:t>
      </w:r>
      <w:r w:rsidR="00EF3514" w:rsidRPr="00C86E49">
        <w:rPr>
          <w:noProof/>
        </w:rPr>
        <w:t>20</w:t>
      </w:r>
      <w:r w:rsidR="00C44AAF" w:rsidRPr="00C86E49">
        <w:rPr>
          <w:color w:val="2B579A"/>
          <w:shd w:val="clear" w:color="auto" w:fill="E6E6E6"/>
        </w:rPr>
        <w:fldChar w:fldCharType="end"/>
      </w:r>
      <w:r w:rsidR="00C44AAF" w:rsidRPr="00C86E49">
        <w:t>)</w:t>
      </w:r>
      <w:r w:rsidR="00B8270D" w:rsidRPr="00C86E49">
        <w:t>.</w:t>
      </w:r>
    </w:p>
    <w:p w14:paraId="04BD2EA7" w14:textId="5FB4BEF2" w:rsidR="000A3EAD" w:rsidRPr="00C86E49" w:rsidRDefault="000A3EAD" w:rsidP="000A3EAD">
      <w:r w:rsidRPr="00C86E49">
        <w:t>The commentary noted that the total cost to private health insurers of IMPELLA kits does not take into consideration that some patients may need more than one device:</w:t>
      </w:r>
    </w:p>
    <w:p w14:paraId="68B38220" w14:textId="6E294E18" w:rsidR="000A3EAD" w:rsidRPr="00C86E49" w:rsidRDefault="000A3EAD" w:rsidP="00FA4CEF">
      <w:pPr>
        <w:pStyle w:val="ListParagraph"/>
        <w:numPr>
          <w:ilvl w:val="0"/>
          <w:numId w:val="12"/>
        </w:numPr>
      </w:pPr>
      <w:r w:rsidRPr="00C86E49">
        <w:t xml:space="preserve">a small proportion of patients using IMPELLA </w:t>
      </w:r>
      <w:proofErr w:type="gramStart"/>
      <w:r w:rsidRPr="00C86E49">
        <w:t>2.5</w:t>
      </w:r>
      <w:proofErr w:type="gramEnd"/>
      <w:r w:rsidRPr="00C86E49">
        <w:t xml:space="preserve"> or CP may need to ‘upgrade’ to an IMPELLA 5.0 or 5.5 for higher level support</w:t>
      </w:r>
    </w:p>
    <w:p w14:paraId="64913DA9" w14:textId="42161B68" w:rsidR="00C44AAF" w:rsidRPr="00C86E49" w:rsidRDefault="000A3EAD" w:rsidP="00FA4CEF">
      <w:pPr>
        <w:pStyle w:val="ListParagraph"/>
        <w:numPr>
          <w:ilvl w:val="0"/>
          <w:numId w:val="12"/>
        </w:numPr>
      </w:pPr>
      <w:r w:rsidRPr="00C86E49">
        <w:t>a small proportion of patients with IMPELLA 5.0 or 5.5 may require reimplantation due to pump thrombosis or accidental dislodgement.</w:t>
      </w:r>
    </w:p>
    <w:p w14:paraId="164080F0" w14:textId="0C88C929" w:rsidR="00CC21D7" w:rsidRPr="00C86E49" w:rsidRDefault="004F646A" w:rsidP="00CC21D7">
      <w:r w:rsidRPr="00C86E49">
        <w:t>In t</w:t>
      </w:r>
      <w:r w:rsidR="00553A4F" w:rsidRPr="00C86E49">
        <w:t xml:space="preserve">he ADAR economic analysis, the </w:t>
      </w:r>
      <w:r w:rsidR="00912EDE" w:rsidRPr="00C86E49">
        <w:t>ADAR included costs for a two purge cassettes per episode of care (5 days duration)</w:t>
      </w:r>
      <w:r w:rsidR="00190DB9" w:rsidRPr="00C86E49">
        <w:t xml:space="preserve">. </w:t>
      </w:r>
      <w:r w:rsidR="00651671" w:rsidRPr="00C86E49">
        <w:t xml:space="preserve">If </w:t>
      </w:r>
      <w:r w:rsidR="007631AF" w:rsidRPr="00C86E49">
        <w:t>the IMPELLA kit is listed on the PL, it will cover the cost of one purge cassette.</w:t>
      </w:r>
      <w:r w:rsidR="00445A3B" w:rsidRPr="00C86E49">
        <w:t xml:space="preserve"> </w:t>
      </w:r>
      <w:r w:rsidR="000E5C8A" w:rsidRPr="00C86E49">
        <w:t>The ADAR</w:t>
      </w:r>
      <w:r w:rsidR="00666381" w:rsidRPr="00C86E49">
        <w:t xml:space="preserve"> did not provide clarity on who would pay for</w:t>
      </w:r>
      <w:r w:rsidR="00190DB9" w:rsidRPr="00C86E49">
        <w:t xml:space="preserve"> second purge cassette or any</w:t>
      </w:r>
      <w:r w:rsidR="00666381" w:rsidRPr="00C86E49">
        <w:t xml:space="preserve"> additional purge </w:t>
      </w:r>
      <w:r w:rsidR="004C4316" w:rsidRPr="00C86E49">
        <w:t>cassettes</w:t>
      </w:r>
      <w:r w:rsidR="00190DB9" w:rsidRPr="00C86E49">
        <w:t xml:space="preserve"> </w:t>
      </w:r>
      <w:r w:rsidR="0097662E" w:rsidRPr="00C86E49">
        <w:t>(</w:t>
      </w:r>
      <w:r w:rsidR="00190DB9" w:rsidRPr="00C86E49">
        <w:t xml:space="preserve">for longer </w:t>
      </w:r>
      <w:r w:rsidR="00C04DBC" w:rsidRPr="00C86E49">
        <w:t>episodes of c</w:t>
      </w:r>
      <w:r w:rsidR="0097662E" w:rsidRPr="00C86E49">
        <w:t>ar</w:t>
      </w:r>
      <w:r w:rsidR="00C04DBC" w:rsidRPr="00C86E49">
        <w:t>e)</w:t>
      </w:r>
      <w:r w:rsidR="004C4316" w:rsidRPr="00C86E49">
        <w:t xml:space="preserve">, that are changed every couple of days at a cost of </w:t>
      </w:r>
      <w:r w:rsidR="00F0485A" w:rsidRPr="00375AEF">
        <w:t>$</w:t>
      </w:r>
      <w:r w:rsidR="00AC6FAF" w:rsidRPr="00375AEF">
        <w:rPr>
          <w:b/>
          <w:bCs/>
        </w:rPr>
        <w:t>redacted</w:t>
      </w:r>
      <w:r w:rsidR="00F0485A" w:rsidRPr="00375AEF">
        <w:t xml:space="preserve"> </w:t>
      </w:r>
      <w:r w:rsidR="00F0485A" w:rsidRPr="00C86E49">
        <w:t>per cassette.</w:t>
      </w:r>
    </w:p>
    <w:p w14:paraId="17C2FB1F" w14:textId="12C6AE80" w:rsidR="003C5C56" w:rsidRPr="00C86E49" w:rsidRDefault="003C5C56" w:rsidP="003C5C56">
      <w:pPr>
        <w:pStyle w:val="Caption"/>
      </w:pPr>
      <w:bookmarkStart w:id="56" w:name="_Ref152081639"/>
      <w:r w:rsidRPr="00C86E49">
        <w:t xml:space="preserve">Table </w:t>
      </w:r>
      <w:r w:rsidR="007552E5">
        <w:fldChar w:fldCharType="begin"/>
      </w:r>
      <w:r w:rsidR="007552E5">
        <w:instrText xml:space="preserve"> SEQ Table \* ARABIC </w:instrText>
      </w:r>
      <w:r w:rsidR="007552E5">
        <w:fldChar w:fldCharType="separate"/>
      </w:r>
      <w:r w:rsidR="00EF3514" w:rsidRPr="00C86E49">
        <w:rPr>
          <w:noProof/>
        </w:rPr>
        <w:t>20</w:t>
      </w:r>
      <w:r w:rsidR="007552E5">
        <w:rPr>
          <w:noProof/>
        </w:rPr>
        <w:fldChar w:fldCharType="end"/>
      </w:r>
      <w:bookmarkEnd w:id="56"/>
      <w:r w:rsidRPr="00C86E49">
        <w:tab/>
      </w:r>
      <w:r w:rsidR="00586C6C" w:rsidRPr="00C86E49">
        <w:t>Net impact to private health insurers of listing the IMPELLA kit on the Prescribed List</w:t>
      </w:r>
    </w:p>
    <w:tbl>
      <w:tblPr>
        <w:tblStyle w:val="TableGrid"/>
        <w:tblW w:w="0" w:type="auto"/>
        <w:tblLook w:val="04A0" w:firstRow="1" w:lastRow="0" w:firstColumn="1" w:lastColumn="0" w:noHBand="0" w:noVBand="1"/>
        <w:tblCaption w:val="Net impact to private health insurers of listing the IMPELLA kit on the Prescribed List"/>
        <w:tblDescription w:val="This table shows the net impact to private health insurers of listing the IMPELLA kit on the Prescribed List over the first five years."/>
      </w:tblPr>
      <w:tblGrid>
        <w:gridCol w:w="563"/>
        <w:gridCol w:w="2394"/>
        <w:gridCol w:w="991"/>
        <w:gridCol w:w="991"/>
        <w:gridCol w:w="991"/>
        <w:gridCol w:w="991"/>
        <w:gridCol w:w="991"/>
        <w:gridCol w:w="1104"/>
      </w:tblGrid>
      <w:tr w:rsidR="00AC6FAF" w:rsidRPr="00C86E49" w14:paraId="4748634D" w14:textId="77777777" w:rsidTr="008D64B2">
        <w:trPr>
          <w:tblHeader/>
        </w:trPr>
        <w:tc>
          <w:tcPr>
            <w:tcW w:w="563" w:type="dxa"/>
          </w:tcPr>
          <w:p w14:paraId="36DD0557" w14:textId="7D5447FA" w:rsidR="00926188" w:rsidRPr="00C86E49" w:rsidRDefault="00A675DD" w:rsidP="00D61D0E">
            <w:pPr>
              <w:pStyle w:val="TableHeading0"/>
              <w:spacing w:before="0" w:after="0"/>
            </w:pPr>
            <w:r w:rsidRPr="00C86E49">
              <w:t>Row</w:t>
            </w:r>
          </w:p>
        </w:tc>
        <w:tc>
          <w:tcPr>
            <w:tcW w:w="2652" w:type="dxa"/>
          </w:tcPr>
          <w:p w14:paraId="5822A130" w14:textId="77777777" w:rsidR="00926188" w:rsidRPr="00C86E49" w:rsidRDefault="00926188" w:rsidP="00D61D0E">
            <w:pPr>
              <w:pStyle w:val="TableHeading0"/>
              <w:spacing w:before="0" w:after="0"/>
            </w:pPr>
          </w:p>
        </w:tc>
        <w:tc>
          <w:tcPr>
            <w:tcW w:w="937" w:type="dxa"/>
          </w:tcPr>
          <w:p w14:paraId="438E8C53" w14:textId="255A348A" w:rsidR="00926188" w:rsidRPr="00C86E49" w:rsidRDefault="00A675DD" w:rsidP="00D61D0E">
            <w:pPr>
              <w:pStyle w:val="TableHeading0"/>
              <w:spacing w:before="0" w:after="0"/>
            </w:pPr>
            <w:r w:rsidRPr="00C86E49">
              <w:t>Year 1</w:t>
            </w:r>
          </w:p>
        </w:tc>
        <w:tc>
          <w:tcPr>
            <w:tcW w:w="937" w:type="dxa"/>
          </w:tcPr>
          <w:p w14:paraId="4EAA167B" w14:textId="109E4935" w:rsidR="00926188" w:rsidRPr="00C86E49" w:rsidRDefault="00A675DD" w:rsidP="00D61D0E">
            <w:pPr>
              <w:pStyle w:val="TableHeading0"/>
              <w:spacing w:before="0" w:after="0"/>
            </w:pPr>
            <w:r w:rsidRPr="00C86E49">
              <w:t>Year 2</w:t>
            </w:r>
          </w:p>
        </w:tc>
        <w:tc>
          <w:tcPr>
            <w:tcW w:w="937" w:type="dxa"/>
          </w:tcPr>
          <w:p w14:paraId="6E2D4DB7" w14:textId="236B3D23" w:rsidR="00926188" w:rsidRPr="00C86E49" w:rsidRDefault="00A675DD" w:rsidP="00D61D0E">
            <w:pPr>
              <w:pStyle w:val="TableHeading0"/>
              <w:spacing w:before="0" w:after="0"/>
            </w:pPr>
            <w:r w:rsidRPr="00C86E49">
              <w:t>Year 3</w:t>
            </w:r>
          </w:p>
        </w:tc>
        <w:tc>
          <w:tcPr>
            <w:tcW w:w="937" w:type="dxa"/>
          </w:tcPr>
          <w:p w14:paraId="5B0B47EF" w14:textId="64153B1C" w:rsidR="00926188" w:rsidRPr="00C86E49" w:rsidRDefault="00A675DD" w:rsidP="00D61D0E">
            <w:pPr>
              <w:pStyle w:val="TableHeading0"/>
              <w:spacing w:before="0" w:after="0"/>
            </w:pPr>
            <w:r w:rsidRPr="00C86E49">
              <w:t>Year 4</w:t>
            </w:r>
          </w:p>
        </w:tc>
        <w:tc>
          <w:tcPr>
            <w:tcW w:w="937" w:type="dxa"/>
          </w:tcPr>
          <w:p w14:paraId="5AD38FBD" w14:textId="1D898162" w:rsidR="00926188" w:rsidRPr="00C86E49" w:rsidRDefault="00A675DD" w:rsidP="00D61D0E">
            <w:pPr>
              <w:pStyle w:val="TableHeading0"/>
              <w:spacing w:before="0" w:after="0"/>
            </w:pPr>
            <w:r w:rsidRPr="00C86E49">
              <w:t>Year 5</w:t>
            </w:r>
          </w:p>
        </w:tc>
        <w:tc>
          <w:tcPr>
            <w:tcW w:w="1116" w:type="dxa"/>
          </w:tcPr>
          <w:p w14:paraId="013E1F6E" w14:textId="3F3548C5" w:rsidR="00926188" w:rsidRPr="00C86E49" w:rsidRDefault="00A675DD" w:rsidP="00D61D0E">
            <w:pPr>
              <w:pStyle w:val="TableHeading0"/>
              <w:spacing w:before="0" w:after="0"/>
            </w:pPr>
            <w:r w:rsidRPr="00C86E49">
              <w:t>Source / calculation</w:t>
            </w:r>
          </w:p>
        </w:tc>
      </w:tr>
      <w:tr w:rsidR="00AC6FAF" w:rsidRPr="00C86E49" w14:paraId="402FB691" w14:textId="77777777" w:rsidTr="008D64B2">
        <w:trPr>
          <w:tblHeader/>
        </w:trPr>
        <w:tc>
          <w:tcPr>
            <w:tcW w:w="563" w:type="dxa"/>
          </w:tcPr>
          <w:p w14:paraId="3F165E7C" w14:textId="503A9A53" w:rsidR="00926188" w:rsidRPr="00C86E49" w:rsidRDefault="00105D4B" w:rsidP="00D61D0E">
            <w:pPr>
              <w:pStyle w:val="TableText"/>
              <w:spacing w:before="0" w:after="0"/>
            </w:pPr>
            <w:r w:rsidRPr="00C86E49">
              <w:t>A</w:t>
            </w:r>
          </w:p>
        </w:tc>
        <w:tc>
          <w:tcPr>
            <w:tcW w:w="2652" w:type="dxa"/>
          </w:tcPr>
          <w:p w14:paraId="5833945C" w14:textId="1C3D363A" w:rsidR="00926188" w:rsidRPr="00C86E49" w:rsidRDefault="00105D4B" w:rsidP="00D61D0E">
            <w:pPr>
              <w:pStyle w:val="TableText"/>
              <w:spacing w:before="0" w:after="0"/>
            </w:pPr>
            <w:r w:rsidRPr="00C86E49">
              <w:t>IMPELLA/ECPELLA procedures</w:t>
            </w:r>
          </w:p>
        </w:tc>
        <w:tc>
          <w:tcPr>
            <w:tcW w:w="937" w:type="dxa"/>
          </w:tcPr>
          <w:p w14:paraId="4DCF7B0B" w14:textId="7699DD5E" w:rsidR="00926188" w:rsidRPr="00C86E49" w:rsidRDefault="00AC6FAF" w:rsidP="00D61D0E">
            <w:pPr>
              <w:pStyle w:val="TableText"/>
              <w:spacing w:before="0" w:after="0"/>
            </w:pPr>
            <w:r w:rsidRPr="00375AEF">
              <w:rPr>
                <w:b/>
                <w:bCs/>
              </w:rPr>
              <w:t>redacted</w:t>
            </w:r>
          </w:p>
        </w:tc>
        <w:tc>
          <w:tcPr>
            <w:tcW w:w="937" w:type="dxa"/>
          </w:tcPr>
          <w:p w14:paraId="2BB024DF" w14:textId="07CE5730" w:rsidR="00926188" w:rsidRPr="00C86E49" w:rsidRDefault="00AC6FAF" w:rsidP="00D61D0E">
            <w:pPr>
              <w:pStyle w:val="TableText"/>
              <w:spacing w:before="0" w:after="0"/>
            </w:pPr>
            <w:r w:rsidRPr="00375AEF">
              <w:rPr>
                <w:b/>
                <w:bCs/>
              </w:rPr>
              <w:t>redacted</w:t>
            </w:r>
          </w:p>
        </w:tc>
        <w:tc>
          <w:tcPr>
            <w:tcW w:w="937" w:type="dxa"/>
          </w:tcPr>
          <w:p w14:paraId="1F834A9E" w14:textId="11F37F9E" w:rsidR="00926188" w:rsidRPr="00C86E49" w:rsidRDefault="00AC6FAF" w:rsidP="00D61D0E">
            <w:pPr>
              <w:pStyle w:val="TableText"/>
              <w:spacing w:before="0" w:after="0"/>
            </w:pPr>
            <w:r w:rsidRPr="00375AEF">
              <w:rPr>
                <w:b/>
                <w:bCs/>
              </w:rPr>
              <w:t>redacted</w:t>
            </w:r>
          </w:p>
        </w:tc>
        <w:tc>
          <w:tcPr>
            <w:tcW w:w="937" w:type="dxa"/>
          </w:tcPr>
          <w:p w14:paraId="0AD24D71" w14:textId="45738632" w:rsidR="00926188" w:rsidRPr="00C86E49" w:rsidRDefault="00AC6FAF" w:rsidP="00D61D0E">
            <w:pPr>
              <w:pStyle w:val="TableText"/>
              <w:spacing w:before="0" w:after="0"/>
            </w:pPr>
            <w:r w:rsidRPr="00375AEF">
              <w:rPr>
                <w:b/>
                <w:bCs/>
              </w:rPr>
              <w:t>redacted</w:t>
            </w:r>
          </w:p>
        </w:tc>
        <w:tc>
          <w:tcPr>
            <w:tcW w:w="937" w:type="dxa"/>
          </w:tcPr>
          <w:p w14:paraId="40F1AAD0" w14:textId="7BF01609" w:rsidR="00926188" w:rsidRPr="00C86E49" w:rsidRDefault="00AC6FAF" w:rsidP="00D61D0E">
            <w:pPr>
              <w:pStyle w:val="TableText"/>
              <w:spacing w:before="0" w:after="0"/>
            </w:pPr>
            <w:r w:rsidRPr="00375AEF">
              <w:rPr>
                <w:b/>
                <w:bCs/>
              </w:rPr>
              <w:t>redacted</w:t>
            </w:r>
          </w:p>
        </w:tc>
        <w:tc>
          <w:tcPr>
            <w:tcW w:w="1116" w:type="dxa"/>
          </w:tcPr>
          <w:p w14:paraId="1232C156" w14:textId="5D68DD79" w:rsidR="00926188" w:rsidRPr="00C86E49" w:rsidRDefault="00110588" w:rsidP="00D61D0E">
            <w:pPr>
              <w:pStyle w:val="TableText"/>
              <w:spacing w:before="0" w:after="0"/>
            </w:pPr>
            <w:r w:rsidRPr="00C86E49">
              <w:t xml:space="preserve">Table </w:t>
            </w:r>
            <w:r w:rsidR="008732CD" w:rsidRPr="00C86E49">
              <w:t>26</w:t>
            </w:r>
          </w:p>
        </w:tc>
      </w:tr>
      <w:tr w:rsidR="00AC6FAF" w:rsidRPr="00C86E49" w14:paraId="21715912" w14:textId="77777777" w:rsidTr="008D64B2">
        <w:trPr>
          <w:tblHeader/>
        </w:trPr>
        <w:tc>
          <w:tcPr>
            <w:tcW w:w="563" w:type="dxa"/>
          </w:tcPr>
          <w:p w14:paraId="017BA69B" w14:textId="5DE45A50" w:rsidR="00926188" w:rsidRPr="00C86E49" w:rsidRDefault="00105D4B" w:rsidP="00D61D0E">
            <w:pPr>
              <w:pStyle w:val="TableText"/>
              <w:spacing w:before="0" w:after="0"/>
            </w:pPr>
            <w:r w:rsidRPr="00C86E49">
              <w:t>B</w:t>
            </w:r>
          </w:p>
        </w:tc>
        <w:tc>
          <w:tcPr>
            <w:tcW w:w="2652" w:type="dxa"/>
          </w:tcPr>
          <w:p w14:paraId="7FB3382F" w14:textId="58D47DA4" w:rsidR="00926188" w:rsidRPr="00C86E49" w:rsidRDefault="00105D4B" w:rsidP="00D61D0E">
            <w:pPr>
              <w:pStyle w:val="TableText"/>
              <w:spacing w:before="0" w:after="0"/>
            </w:pPr>
            <w:r w:rsidRPr="00C86E49">
              <w:t>IMPELLA kits per procedure</w:t>
            </w:r>
          </w:p>
        </w:tc>
        <w:tc>
          <w:tcPr>
            <w:tcW w:w="937" w:type="dxa"/>
          </w:tcPr>
          <w:p w14:paraId="197F65E7" w14:textId="01BEE1E5" w:rsidR="00926188" w:rsidRPr="00C86E49" w:rsidRDefault="00C67A5E" w:rsidP="00D61D0E">
            <w:pPr>
              <w:pStyle w:val="TableText"/>
              <w:spacing w:before="0" w:after="0"/>
            </w:pPr>
            <w:r w:rsidRPr="00C86E49">
              <w:t>1.0</w:t>
            </w:r>
          </w:p>
        </w:tc>
        <w:tc>
          <w:tcPr>
            <w:tcW w:w="937" w:type="dxa"/>
          </w:tcPr>
          <w:p w14:paraId="4775137A" w14:textId="12ECCEEF" w:rsidR="00926188" w:rsidRPr="00C86E49" w:rsidRDefault="00C67A5E" w:rsidP="00D61D0E">
            <w:pPr>
              <w:pStyle w:val="TableText"/>
              <w:spacing w:before="0" w:after="0"/>
            </w:pPr>
            <w:r w:rsidRPr="00C86E49">
              <w:t>1.0</w:t>
            </w:r>
          </w:p>
        </w:tc>
        <w:tc>
          <w:tcPr>
            <w:tcW w:w="937" w:type="dxa"/>
          </w:tcPr>
          <w:p w14:paraId="717910E0" w14:textId="21CB57E8" w:rsidR="00926188" w:rsidRPr="00C86E49" w:rsidRDefault="00C67A5E" w:rsidP="00D61D0E">
            <w:pPr>
              <w:pStyle w:val="TableText"/>
              <w:spacing w:before="0" w:after="0"/>
            </w:pPr>
            <w:r w:rsidRPr="00C86E49">
              <w:t>1.0</w:t>
            </w:r>
          </w:p>
        </w:tc>
        <w:tc>
          <w:tcPr>
            <w:tcW w:w="937" w:type="dxa"/>
          </w:tcPr>
          <w:p w14:paraId="4C894E3F" w14:textId="10F828CA" w:rsidR="00926188" w:rsidRPr="00C86E49" w:rsidRDefault="00C67A5E" w:rsidP="00D61D0E">
            <w:pPr>
              <w:pStyle w:val="TableText"/>
              <w:spacing w:before="0" w:after="0"/>
            </w:pPr>
            <w:r w:rsidRPr="00C86E49">
              <w:t>1.0</w:t>
            </w:r>
          </w:p>
        </w:tc>
        <w:tc>
          <w:tcPr>
            <w:tcW w:w="937" w:type="dxa"/>
          </w:tcPr>
          <w:p w14:paraId="4A8B9DE1" w14:textId="1B418821" w:rsidR="00926188" w:rsidRPr="00C86E49" w:rsidRDefault="00C67A5E" w:rsidP="00D61D0E">
            <w:pPr>
              <w:pStyle w:val="TableText"/>
              <w:spacing w:before="0" w:after="0"/>
            </w:pPr>
            <w:r w:rsidRPr="00C86E49">
              <w:t>1.0</w:t>
            </w:r>
          </w:p>
        </w:tc>
        <w:tc>
          <w:tcPr>
            <w:tcW w:w="1116" w:type="dxa"/>
          </w:tcPr>
          <w:p w14:paraId="69349628" w14:textId="587FD94B" w:rsidR="00926188" w:rsidRPr="00C86E49" w:rsidRDefault="00876024" w:rsidP="00D61D0E">
            <w:pPr>
              <w:pStyle w:val="TableText"/>
              <w:spacing w:before="0" w:after="0"/>
            </w:pPr>
            <w:r w:rsidRPr="00C86E49">
              <w:t>Assumption</w:t>
            </w:r>
          </w:p>
        </w:tc>
      </w:tr>
      <w:tr w:rsidR="00AC6FAF" w:rsidRPr="00C86E49" w14:paraId="7CFBAA2D" w14:textId="77777777" w:rsidTr="008D64B2">
        <w:trPr>
          <w:tblHeader/>
        </w:trPr>
        <w:tc>
          <w:tcPr>
            <w:tcW w:w="563" w:type="dxa"/>
          </w:tcPr>
          <w:p w14:paraId="1472C788" w14:textId="18CF8AEB" w:rsidR="00926188" w:rsidRPr="00C86E49" w:rsidRDefault="00105D4B" w:rsidP="00D61D0E">
            <w:pPr>
              <w:pStyle w:val="TableText"/>
              <w:spacing w:before="0" w:after="0"/>
            </w:pPr>
            <w:r w:rsidRPr="00C86E49">
              <w:t>C</w:t>
            </w:r>
          </w:p>
        </w:tc>
        <w:tc>
          <w:tcPr>
            <w:tcW w:w="2652" w:type="dxa"/>
          </w:tcPr>
          <w:p w14:paraId="125D6488" w14:textId="2E026043" w:rsidR="00926188" w:rsidRPr="00C86E49" w:rsidRDefault="00105D4B" w:rsidP="00D61D0E">
            <w:pPr>
              <w:pStyle w:val="TableText"/>
              <w:spacing w:before="0" w:after="0"/>
            </w:pPr>
            <w:r w:rsidRPr="00C86E49">
              <w:t>Total IMPELLA kits used</w:t>
            </w:r>
          </w:p>
        </w:tc>
        <w:tc>
          <w:tcPr>
            <w:tcW w:w="937" w:type="dxa"/>
          </w:tcPr>
          <w:p w14:paraId="23E66AC2" w14:textId="448A4A5C" w:rsidR="00926188" w:rsidRPr="00C86E49" w:rsidRDefault="00AC6FAF" w:rsidP="00D61D0E">
            <w:pPr>
              <w:pStyle w:val="TableText"/>
              <w:spacing w:before="0" w:after="0"/>
            </w:pPr>
            <w:r w:rsidRPr="00375AEF">
              <w:rPr>
                <w:b/>
                <w:bCs/>
              </w:rPr>
              <w:t>redacted</w:t>
            </w:r>
          </w:p>
        </w:tc>
        <w:tc>
          <w:tcPr>
            <w:tcW w:w="937" w:type="dxa"/>
          </w:tcPr>
          <w:p w14:paraId="599A548A" w14:textId="08538544" w:rsidR="00926188" w:rsidRPr="00C86E49" w:rsidRDefault="00AC6FAF" w:rsidP="00D61D0E">
            <w:pPr>
              <w:pStyle w:val="TableText"/>
              <w:spacing w:before="0" w:after="0"/>
            </w:pPr>
            <w:r w:rsidRPr="00375AEF">
              <w:rPr>
                <w:b/>
                <w:bCs/>
              </w:rPr>
              <w:t>redacted</w:t>
            </w:r>
          </w:p>
        </w:tc>
        <w:tc>
          <w:tcPr>
            <w:tcW w:w="937" w:type="dxa"/>
          </w:tcPr>
          <w:p w14:paraId="10AA1797" w14:textId="072C2D04" w:rsidR="00926188" w:rsidRPr="00C86E49" w:rsidRDefault="00AC6FAF" w:rsidP="00D61D0E">
            <w:pPr>
              <w:pStyle w:val="TableText"/>
              <w:spacing w:before="0" w:after="0"/>
            </w:pPr>
            <w:r w:rsidRPr="00375AEF">
              <w:rPr>
                <w:b/>
                <w:bCs/>
              </w:rPr>
              <w:t>redacted</w:t>
            </w:r>
          </w:p>
        </w:tc>
        <w:tc>
          <w:tcPr>
            <w:tcW w:w="937" w:type="dxa"/>
          </w:tcPr>
          <w:p w14:paraId="6857AD15" w14:textId="44C7A57B" w:rsidR="00926188" w:rsidRPr="00C86E49" w:rsidRDefault="00AC6FAF" w:rsidP="00D61D0E">
            <w:pPr>
              <w:pStyle w:val="TableText"/>
              <w:spacing w:before="0" w:after="0"/>
            </w:pPr>
            <w:r w:rsidRPr="00375AEF">
              <w:rPr>
                <w:b/>
                <w:bCs/>
              </w:rPr>
              <w:t>redacted</w:t>
            </w:r>
          </w:p>
        </w:tc>
        <w:tc>
          <w:tcPr>
            <w:tcW w:w="937" w:type="dxa"/>
          </w:tcPr>
          <w:p w14:paraId="0697E56F" w14:textId="3A242DE9" w:rsidR="00926188" w:rsidRPr="00C86E49" w:rsidRDefault="00AC6FAF" w:rsidP="00D61D0E">
            <w:pPr>
              <w:pStyle w:val="TableText"/>
              <w:spacing w:before="0" w:after="0"/>
            </w:pPr>
            <w:r w:rsidRPr="00375AEF">
              <w:rPr>
                <w:b/>
                <w:bCs/>
              </w:rPr>
              <w:t>redacted</w:t>
            </w:r>
          </w:p>
        </w:tc>
        <w:tc>
          <w:tcPr>
            <w:tcW w:w="1116" w:type="dxa"/>
          </w:tcPr>
          <w:p w14:paraId="0C498EE5" w14:textId="380D2BB1" w:rsidR="00926188" w:rsidRPr="00C86E49" w:rsidRDefault="00876024" w:rsidP="00D61D0E">
            <w:pPr>
              <w:pStyle w:val="TableText"/>
              <w:spacing w:before="0" w:after="0"/>
            </w:pPr>
            <w:r w:rsidRPr="00C86E49">
              <w:t>A</w:t>
            </w:r>
            <w:r w:rsidR="0066070F" w:rsidRPr="00C86E49">
              <w:t xml:space="preserve"> x </w:t>
            </w:r>
            <w:r w:rsidRPr="00C86E49">
              <w:t>B</w:t>
            </w:r>
          </w:p>
        </w:tc>
      </w:tr>
      <w:tr w:rsidR="00AC6FAF" w:rsidRPr="00C86E49" w14:paraId="705D0841" w14:textId="77777777" w:rsidTr="008D64B2">
        <w:trPr>
          <w:tblHeader/>
        </w:trPr>
        <w:tc>
          <w:tcPr>
            <w:tcW w:w="563" w:type="dxa"/>
          </w:tcPr>
          <w:p w14:paraId="5DBC6905" w14:textId="44CD13FC" w:rsidR="00926188" w:rsidRPr="00C86E49" w:rsidRDefault="00105D4B" w:rsidP="00D61D0E">
            <w:pPr>
              <w:pStyle w:val="TableText"/>
              <w:spacing w:before="0" w:after="0"/>
            </w:pPr>
            <w:r w:rsidRPr="00C86E49">
              <w:t>D</w:t>
            </w:r>
          </w:p>
        </w:tc>
        <w:tc>
          <w:tcPr>
            <w:tcW w:w="2652" w:type="dxa"/>
          </w:tcPr>
          <w:p w14:paraId="2015DB94" w14:textId="435A69AC" w:rsidR="00926188" w:rsidRPr="00C86E49" w:rsidRDefault="00105D4B" w:rsidP="00D61D0E">
            <w:pPr>
              <w:pStyle w:val="TableText"/>
              <w:spacing w:before="0" w:after="0"/>
            </w:pPr>
            <w:r w:rsidRPr="00C86E49">
              <w:t>Price per IMPELLA kit</w:t>
            </w:r>
          </w:p>
        </w:tc>
        <w:tc>
          <w:tcPr>
            <w:tcW w:w="937" w:type="dxa"/>
          </w:tcPr>
          <w:p w14:paraId="019592CA" w14:textId="19020F66" w:rsidR="00926188" w:rsidRPr="00C86E49" w:rsidRDefault="00C67A5E" w:rsidP="00D61D0E">
            <w:pPr>
              <w:pStyle w:val="TableText"/>
              <w:spacing w:before="0" w:after="0"/>
            </w:pPr>
            <w:r w:rsidRPr="00C86E49">
              <w:t>$</w:t>
            </w:r>
            <w:r w:rsidR="00AC6FAF" w:rsidRPr="00C86E49">
              <w:rPr>
                <w:b/>
              </w:rPr>
              <w:t>r</w:t>
            </w:r>
            <w:r w:rsidR="00AC6FAF" w:rsidRPr="00375AEF">
              <w:rPr>
                <w:b/>
                <w:bCs/>
              </w:rPr>
              <w:t>edacted</w:t>
            </w:r>
            <w:r w:rsidR="00AC6FAF" w:rsidRPr="00375AEF">
              <w:t xml:space="preserve"> </w:t>
            </w:r>
          </w:p>
        </w:tc>
        <w:tc>
          <w:tcPr>
            <w:tcW w:w="937" w:type="dxa"/>
          </w:tcPr>
          <w:p w14:paraId="622CF093" w14:textId="7F158807"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71162326" w14:textId="78107BC9"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794F55BF" w14:textId="2B69C8FA"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739984C8" w14:textId="144FFB82" w:rsidR="00926188" w:rsidRPr="00C86E49" w:rsidRDefault="00C67A5E" w:rsidP="00D61D0E">
            <w:pPr>
              <w:pStyle w:val="TableText"/>
              <w:spacing w:before="0" w:after="0"/>
            </w:pPr>
            <w:r w:rsidRPr="00C86E49">
              <w:t>$</w:t>
            </w:r>
            <w:r w:rsidR="00AC6FAF" w:rsidRPr="00375AEF">
              <w:rPr>
                <w:b/>
                <w:bCs/>
              </w:rPr>
              <w:t>redacted</w:t>
            </w:r>
          </w:p>
        </w:tc>
        <w:tc>
          <w:tcPr>
            <w:tcW w:w="1116" w:type="dxa"/>
          </w:tcPr>
          <w:p w14:paraId="6387EB5C" w14:textId="4BEA87FF" w:rsidR="00926188" w:rsidRPr="00C86E49" w:rsidRDefault="00876024" w:rsidP="00D61D0E">
            <w:pPr>
              <w:pStyle w:val="TableText"/>
              <w:spacing w:before="0" w:after="0"/>
            </w:pPr>
            <w:r w:rsidRPr="00C86E49">
              <w:t>Proposed</w:t>
            </w:r>
          </w:p>
        </w:tc>
      </w:tr>
      <w:tr w:rsidR="00AC6FAF" w:rsidRPr="00C86E49" w14:paraId="45D07745" w14:textId="77777777" w:rsidTr="008D64B2">
        <w:trPr>
          <w:tblHeader/>
        </w:trPr>
        <w:tc>
          <w:tcPr>
            <w:tcW w:w="563" w:type="dxa"/>
          </w:tcPr>
          <w:p w14:paraId="3C128BAB" w14:textId="16C6B36F" w:rsidR="00926188" w:rsidRPr="00C86E49" w:rsidRDefault="00105D4B" w:rsidP="00D61D0E">
            <w:pPr>
              <w:pStyle w:val="TableText"/>
              <w:spacing w:before="0" w:after="0"/>
            </w:pPr>
            <w:r w:rsidRPr="00C86E49">
              <w:t>E</w:t>
            </w:r>
          </w:p>
        </w:tc>
        <w:tc>
          <w:tcPr>
            <w:tcW w:w="2652" w:type="dxa"/>
          </w:tcPr>
          <w:p w14:paraId="2E84E1E2" w14:textId="5FDE79B8" w:rsidR="00926188" w:rsidRPr="00C86E49" w:rsidRDefault="00105D4B" w:rsidP="00D61D0E">
            <w:pPr>
              <w:pStyle w:val="TableText"/>
              <w:spacing w:before="0" w:after="0"/>
            </w:pPr>
            <w:r w:rsidRPr="00C86E49">
              <w:t>Total cost to Private Health Insurers</w:t>
            </w:r>
          </w:p>
        </w:tc>
        <w:tc>
          <w:tcPr>
            <w:tcW w:w="937" w:type="dxa"/>
          </w:tcPr>
          <w:p w14:paraId="3ADA6EDF" w14:textId="5B707827"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68DC3DB2" w14:textId="04BE466A"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6437C9F3" w14:textId="12A0069C"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4B4B6BE2" w14:textId="202A47B2" w:rsidR="00926188" w:rsidRPr="00C86E49" w:rsidRDefault="00C67A5E" w:rsidP="00D61D0E">
            <w:pPr>
              <w:pStyle w:val="TableText"/>
              <w:spacing w:before="0" w:after="0"/>
            </w:pPr>
            <w:r w:rsidRPr="00C86E49">
              <w:t>$</w:t>
            </w:r>
            <w:r w:rsidR="00AC6FAF" w:rsidRPr="00375AEF">
              <w:rPr>
                <w:b/>
                <w:bCs/>
              </w:rPr>
              <w:t>redacted</w:t>
            </w:r>
          </w:p>
        </w:tc>
        <w:tc>
          <w:tcPr>
            <w:tcW w:w="937" w:type="dxa"/>
          </w:tcPr>
          <w:p w14:paraId="27769991" w14:textId="110D33E9" w:rsidR="00926188" w:rsidRPr="00C86E49" w:rsidRDefault="00C67A5E" w:rsidP="00D61D0E">
            <w:pPr>
              <w:pStyle w:val="TableText"/>
              <w:spacing w:before="0" w:after="0"/>
            </w:pPr>
            <w:r w:rsidRPr="00C86E49">
              <w:t>$</w:t>
            </w:r>
            <w:r w:rsidR="00AC6FAF" w:rsidRPr="00375AEF">
              <w:rPr>
                <w:b/>
                <w:bCs/>
              </w:rPr>
              <w:t>redacted</w:t>
            </w:r>
          </w:p>
        </w:tc>
        <w:tc>
          <w:tcPr>
            <w:tcW w:w="1116" w:type="dxa"/>
          </w:tcPr>
          <w:p w14:paraId="0BEE08B3" w14:textId="6610EDF9" w:rsidR="00926188" w:rsidRPr="00C86E49" w:rsidRDefault="00876024" w:rsidP="00D61D0E">
            <w:pPr>
              <w:pStyle w:val="TableText"/>
              <w:spacing w:before="0" w:after="0"/>
            </w:pPr>
            <w:r w:rsidRPr="00C86E49">
              <w:t>C</w:t>
            </w:r>
            <w:r w:rsidR="0066070F" w:rsidRPr="00C86E49">
              <w:t xml:space="preserve"> x </w:t>
            </w:r>
            <w:r w:rsidRPr="00C86E49">
              <w:t>D</w:t>
            </w:r>
          </w:p>
        </w:tc>
      </w:tr>
    </w:tbl>
    <w:p w14:paraId="776351D4" w14:textId="016F4B94" w:rsidR="00586C6C" w:rsidRPr="00C86E49" w:rsidRDefault="00646D7C" w:rsidP="00646D7C">
      <w:pPr>
        <w:pStyle w:val="TableFigureFooter"/>
      </w:pPr>
      <w:r w:rsidRPr="00C86E49">
        <w:t xml:space="preserve">Source: </w:t>
      </w:r>
      <w:r w:rsidR="00F85162" w:rsidRPr="00C86E49">
        <w:t xml:space="preserve">Table 119 of MSAC 1523.1 ADAR+in-line commentary. </w:t>
      </w:r>
    </w:p>
    <w:p w14:paraId="2BB2BA8B" w14:textId="23DD187C" w:rsidR="00141208" w:rsidRPr="00C86E49" w:rsidRDefault="00141208" w:rsidP="00853620">
      <w:r w:rsidRPr="00C86E49">
        <w:t xml:space="preserve">The ADAR acknowledged there is uncertainty surrounding several inputs applied in </w:t>
      </w:r>
      <w:r w:rsidR="00853620" w:rsidRPr="00C86E49">
        <w:t xml:space="preserve">the </w:t>
      </w:r>
      <w:r w:rsidRPr="00C86E49">
        <w:t xml:space="preserve">financial estimates, including the proportion of VA-ECMO services used for CS and the uptake of IMPELLA/ECPELLA. However, as IMPELLA/ECPELLA are expected to substitute </w:t>
      </w:r>
      <w:r w:rsidR="00BC4F90" w:rsidRPr="00C86E49">
        <w:t>for</w:t>
      </w:r>
      <w:r w:rsidRPr="00C86E49">
        <w:t xml:space="preserve"> existing VA-ECMO (± SV), these uncertainties do not significantly impact the projected financial impact to the MBS of listing IMPELLA and ECPELLA for CS.</w:t>
      </w:r>
    </w:p>
    <w:p w14:paraId="67809245" w14:textId="20DB6163" w:rsidR="00325593" w:rsidRPr="00C86E49" w:rsidRDefault="00325593" w:rsidP="00853620">
      <w:r w:rsidRPr="00C86E49">
        <w:t xml:space="preserve">The commentary noted the </w:t>
      </w:r>
      <w:r w:rsidR="003F2B90" w:rsidRPr="00C86E49">
        <w:t>net financial impact to the MBS may increase if:</w:t>
      </w:r>
    </w:p>
    <w:p w14:paraId="045D9067" w14:textId="77777777" w:rsidR="002E4899" w:rsidRPr="00C86E49" w:rsidRDefault="002E4899" w:rsidP="00FA4CEF">
      <w:pPr>
        <w:pStyle w:val="ListParagraph"/>
        <w:numPr>
          <w:ilvl w:val="0"/>
          <w:numId w:val="15"/>
        </w:numPr>
      </w:pPr>
      <w:r w:rsidRPr="00C86E49">
        <w:t xml:space="preserve">private hospitals develop appropriate facilities and expertise to manage patients in </w:t>
      </w:r>
      <w:proofErr w:type="gramStart"/>
      <w:r w:rsidRPr="00C86E49">
        <w:t>CS</w:t>
      </w:r>
      <w:proofErr w:type="gramEnd"/>
    </w:p>
    <w:p w14:paraId="39B683A9" w14:textId="5461A907" w:rsidR="002E4899" w:rsidRPr="00C86E49" w:rsidRDefault="002E4899" w:rsidP="00FA4CEF">
      <w:pPr>
        <w:pStyle w:val="ListParagraph"/>
        <w:numPr>
          <w:ilvl w:val="0"/>
          <w:numId w:val="15"/>
        </w:numPr>
      </w:pPr>
      <w:r w:rsidRPr="00C86E49">
        <w:t xml:space="preserve">IMPELLA is used in settings where VA-ECMO is not available for use as an alternative treatment </w:t>
      </w:r>
      <w:proofErr w:type="gramStart"/>
      <w:r w:rsidRPr="00C86E49">
        <w:t>option</w:t>
      </w:r>
      <w:proofErr w:type="gramEnd"/>
    </w:p>
    <w:p w14:paraId="2EAF41D3" w14:textId="69CEB304" w:rsidR="003F2B90" w:rsidRPr="00C86E49" w:rsidRDefault="002E4899" w:rsidP="00FA4CEF">
      <w:pPr>
        <w:pStyle w:val="ListParagraph"/>
        <w:numPr>
          <w:ilvl w:val="0"/>
          <w:numId w:val="15"/>
        </w:numPr>
      </w:pPr>
      <w:r w:rsidRPr="00C86E49">
        <w:t>ECPELLA is used pre-emptively rather than to unload patients on VA-ECMO with increased LV afterload.</w:t>
      </w:r>
    </w:p>
    <w:p w14:paraId="68A7ED9E" w14:textId="18EC7E69" w:rsidR="00F36F57" w:rsidRPr="00C86E49" w:rsidRDefault="00F36F57" w:rsidP="00F36F57">
      <w:pPr>
        <w:pStyle w:val="Heading2"/>
        <w:numPr>
          <w:ilvl w:val="0"/>
          <w:numId w:val="0"/>
        </w:numPr>
      </w:pPr>
      <w:r w:rsidRPr="00C86E49">
        <w:t>1</w:t>
      </w:r>
      <w:r w:rsidR="00E756B0" w:rsidRPr="00C86E49">
        <w:t>5</w:t>
      </w:r>
      <w:r w:rsidRPr="00C86E49">
        <w:t>.</w:t>
      </w:r>
      <w:r w:rsidRPr="00C86E49">
        <w:tab/>
        <w:t>Key issues from ESC to MSAC</w:t>
      </w:r>
    </w:p>
    <w:p w14:paraId="61D530C0" w14:textId="77777777" w:rsidR="00932DE9" w:rsidRPr="00C86E49" w:rsidRDefault="00932DE9" w:rsidP="00932DE9">
      <w:pPr>
        <w:pStyle w:val="BoxName0"/>
      </w:pPr>
      <w:r w:rsidRPr="00C86E49">
        <w:t>Main issues for MSAC consideration</w:t>
      </w:r>
    </w:p>
    <w:p w14:paraId="4ABC28D7" w14:textId="77777777" w:rsidR="00932DE9" w:rsidRPr="00C86E49" w:rsidRDefault="00932DE9" w:rsidP="00932DE9">
      <w:pPr>
        <w:pStyle w:val="BoxName0"/>
      </w:pPr>
      <w:r w:rsidRPr="00C86E49">
        <w:t>Clinical issues:</w:t>
      </w:r>
    </w:p>
    <w:p w14:paraId="2F7799F2" w14:textId="77777777" w:rsidR="00932DE9" w:rsidRPr="00C86E49" w:rsidRDefault="00932DE9" w:rsidP="00932DE9">
      <w:pPr>
        <w:pStyle w:val="BoxBullet"/>
        <w:rPr>
          <w:rFonts w:eastAsia="Arial"/>
        </w:rPr>
      </w:pPr>
      <w:r w:rsidRPr="00C86E49">
        <w:t>The previous application 1523 was based on low-quality clinical evidence for effectiveness and safety, and the quality of the evidence in this resubmission 1523.1 has not improved substantially.  The proposed population has been appropriately narrowed on MSAC advice to only those patients with cardiogenic shock (CS) with no evidence of significant anoxic neurological injury.</w:t>
      </w:r>
    </w:p>
    <w:p w14:paraId="1A59AA97" w14:textId="77777777" w:rsidR="00932DE9" w:rsidRPr="00C86E49" w:rsidRDefault="00932DE9" w:rsidP="00932DE9">
      <w:pPr>
        <w:pStyle w:val="BoxBullet"/>
        <w:rPr>
          <w:b/>
          <w:bCs/>
        </w:rPr>
      </w:pPr>
      <w:r w:rsidRPr="00C86E49">
        <w:t xml:space="preserve">No randomised clinical trials (RCT) were available comparing the intervention with either comparator in the proposed population. Therefore, the key clinical evidence base is informed by matched/adjusted non-randomised studies. However, selection bias and the potential for confounding remain a threat to internal validity for the non-randomised studies. ESC considered the quality of evidence was low even in the matched/adjusted studies presented in the ADAR. However, ESC acknowledged that the evidence may not improve </w:t>
      </w:r>
      <w:proofErr w:type="gramStart"/>
      <w:r w:rsidRPr="00C86E49">
        <w:t>in the near future</w:t>
      </w:r>
      <w:proofErr w:type="gramEnd"/>
      <w:r w:rsidRPr="00C86E49">
        <w:t>.</w:t>
      </w:r>
    </w:p>
    <w:p w14:paraId="7CF215E1" w14:textId="77777777" w:rsidR="00932DE9" w:rsidRPr="00C86E49" w:rsidRDefault="00932DE9" w:rsidP="00932DE9">
      <w:pPr>
        <w:pStyle w:val="BoxBullet"/>
        <w:rPr>
          <w:b/>
          <w:bCs/>
        </w:rPr>
      </w:pPr>
      <w:r w:rsidRPr="00C86E49">
        <w:t>The low-quality evidence indicated that IMPELLA had superior safety (reduced bleeding events requiring transfusion) and effectiveness (reduced in-hospital/30-day mortality) compared to VA-ECMO. However, no statistically significant difference in mortality was observed at 6-months and 12-months post intervention.</w:t>
      </w:r>
    </w:p>
    <w:p w14:paraId="6E3E4D53" w14:textId="77777777" w:rsidR="00932DE9" w:rsidRPr="00C86E49" w:rsidRDefault="00932DE9" w:rsidP="00932DE9">
      <w:pPr>
        <w:pStyle w:val="BoxBullet"/>
        <w:rPr>
          <w:b/>
          <w:bCs/>
        </w:rPr>
      </w:pPr>
      <w:r w:rsidRPr="00C86E49">
        <w:t>The low-quality evidence indicated that ECPELLA (IMPELLA in addition to VA-ECMO) had inferior safety compared to VA-ECMO ± surgical venting (SV). Although, the evidence indicated that ECPELLA reduced in-hospital/30-day mortality compared to VA-ECMO ± SV, this reduction was not statistically significant. The evidence also indicated the mortality reduction was sustained to 12-months post-intervention; however, this outcome was based on one small (n=66) low-quality observational study.</w:t>
      </w:r>
    </w:p>
    <w:p w14:paraId="67295B44" w14:textId="77777777" w:rsidR="00932DE9" w:rsidRPr="00C86E49" w:rsidRDefault="00932DE9" w:rsidP="00932DE9">
      <w:pPr>
        <w:pStyle w:val="BoxBullet"/>
        <w:rPr>
          <w:color w:val="000000" w:themeColor="text1"/>
        </w:rPr>
      </w:pPr>
      <w:r w:rsidRPr="00C86E49">
        <w:rPr>
          <w:color w:val="000000" w:themeColor="text1"/>
        </w:rPr>
        <w:t>The potential need for re-implantation of the initial device, or transition to an IMVAD offering a higher level of support has not been considered in the assessment of cost-effectiveness or total costs.</w:t>
      </w:r>
    </w:p>
    <w:p w14:paraId="389F321F" w14:textId="77777777" w:rsidR="00932DE9" w:rsidRPr="00C86E49" w:rsidRDefault="00932DE9" w:rsidP="00932DE9">
      <w:pPr>
        <w:pStyle w:val="BoxBullet"/>
        <w:rPr>
          <w:color w:val="000000" w:themeColor="text1"/>
        </w:rPr>
      </w:pPr>
      <w:r w:rsidRPr="00C86E49">
        <w:rPr>
          <w:color w:val="000000" w:themeColor="text1"/>
        </w:rPr>
        <w:t xml:space="preserve">Confirmation is needed as to whether the proposed population would include paediatric </w:t>
      </w:r>
      <w:proofErr w:type="gramStart"/>
      <w:r w:rsidRPr="00C86E49">
        <w:rPr>
          <w:color w:val="000000" w:themeColor="text1"/>
        </w:rPr>
        <w:t>patients, if</w:t>
      </w:r>
      <w:proofErr w:type="gramEnd"/>
      <w:r w:rsidRPr="00C86E49">
        <w:rPr>
          <w:color w:val="000000" w:themeColor="text1"/>
        </w:rPr>
        <w:t xml:space="preserve"> paediatric sized devices become available.</w:t>
      </w:r>
    </w:p>
    <w:p w14:paraId="4E5290C0" w14:textId="77777777" w:rsidR="00932DE9" w:rsidRPr="00C86E49" w:rsidRDefault="00932DE9" w:rsidP="00932DE9">
      <w:pPr>
        <w:pStyle w:val="BoxHeading"/>
      </w:pPr>
      <w:r w:rsidRPr="00C86E49">
        <w:t>Economic issues:</w:t>
      </w:r>
    </w:p>
    <w:p w14:paraId="5087E626" w14:textId="77777777" w:rsidR="00932DE9" w:rsidRPr="00C86E49" w:rsidRDefault="00932DE9" w:rsidP="00932DE9">
      <w:pPr>
        <w:pStyle w:val="BoxBullet"/>
        <w:rPr>
          <w:b/>
          <w:bCs/>
        </w:rPr>
      </w:pPr>
      <w:r w:rsidRPr="00C86E49">
        <w:t>The magnitude of the mortality differential at 30 days is the most important driver in the economic models and was informed by low- to very low-certainty evidence. Mortality risks over the extrapolated period (beyond one month) were derived from the limited long-term data available and assumed no difference between treatment groups. MSAC may wish to consider that the within-trial estimates presented the most confidence for calculating cost-effectiveness.</w:t>
      </w:r>
    </w:p>
    <w:p w14:paraId="089515D3" w14:textId="77777777" w:rsidR="00932DE9" w:rsidRPr="00C86E49" w:rsidRDefault="00932DE9" w:rsidP="00932DE9">
      <w:pPr>
        <w:pStyle w:val="BoxBullet"/>
      </w:pPr>
      <w:r w:rsidRPr="00C86E49">
        <w:t>The cost-utility analysis for ECPELLA versus VA-ECMO ± SV is subject to considerable uncertainty given the effectiveness of ECPELLA compared with VA-ECMO ± SV is equivocal with respect to mortality. Further, the evidence indicates ECPELLA has inferior safety compared to ECMO ± SV. MSAC wish to consider whether a cost-utility analysis is appropriate for population proposed to receive ECPELLA (</w:t>
      </w:r>
      <w:proofErr w:type="gramStart"/>
      <w:r w:rsidRPr="00C86E49">
        <w:t>i.e.</w:t>
      </w:r>
      <w:proofErr w:type="gramEnd"/>
      <w:r w:rsidRPr="00C86E49">
        <w:t xml:space="preserve"> patients with CS who are on VA-ECMO and requiring LV).</w:t>
      </w:r>
    </w:p>
    <w:p w14:paraId="5A730735" w14:textId="77777777" w:rsidR="00932DE9" w:rsidRPr="00C86E49" w:rsidRDefault="00932DE9" w:rsidP="00932DE9">
      <w:pPr>
        <w:pStyle w:val="BoxHeading"/>
      </w:pPr>
      <w:r w:rsidRPr="00C86E49">
        <w:t>Financial issues:</w:t>
      </w:r>
    </w:p>
    <w:p w14:paraId="09E86801" w14:textId="77777777" w:rsidR="00932DE9" w:rsidRPr="00C86E49" w:rsidRDefault="00932DE9" w:rsidP="00932DE9">
      <w:pPr>
        <w:pStyle w:val="BoxBullet"/>
        <w:rPr>
          <w:b/>
          <w:bCs/>
        </w:rPr>
      </w:pPr>
      <w:r w:rsidRPr="00C86E49">
        <w:t xml:space="preserve">The financial impact to the MBS may increase if: </w:t>
      </w:r>
    </w:p>
    <w:p w14:paraId="33EAA97C" w14:textId="77777777" w:rsidR="00932DE9" w:rsidRPr="00C86E49" w:rsidRDefault="00932DE9" w:rsidP="00FA4CEF">
      <w:pPr>
        <w:pStyle w:val="BoxBullet"/>
        <w:numPr>
          <w:ilvl w:val="0"/>
          <w:numId w:val="23"/>
        </w:numPr>
        <w:tabs>
          <w:tab w:val="clear" w:pos="357"/>
          <w:tab w:val="num" w:pos="709"/>
        </w:tabs>
        <w:rPr>
          <w:b/>
          <w:bCs/>
        </w:rPr>
      </w:pPr>
      <w:r w:rsidRPr="00C86E49">
        <w:t>private hospitals develop appropriate facilities and expertise to manage patients in CS, or</w:t>
      </w:r>
    </w:p>
    <w:p w14:paraId="4C74B996" w14:textId="77777777" w:rsidR="00932DE9" w:rsidRPr="00C86E49" w:rsidRDefault="00932DE9" w:rsidP="00FA4CEF">
      <w:pPr>
        <w:pStyle w:val="BoxBullet"/>
        <w:numPr>
          <w:ilvl w:val="0"/>
          <w:numId w:val="23"/>
        </w:numPr>
        <w:tabs>
          <w:tab w:val="clear" w:pos="357"/>
          <w:tab w:val="num" w:pos="709"/>
        </w:tabs>
        <w:rPr>
          <w:b/>
          <w:bCs/>
        </w:rPr>
      </w:pPr>
      <w:r w:rsidRPr="00C86E49">
        <w:t xml:space="preserve">IMPELLA is used in settings where VA-ECMO is not available, or </w:t>
      </w:r>
    </w:p>
    <w:p w14:paraId="35008A88" w14:textId="77777777" w:rsidR="00932DE9" w:rsidRPr="00C86E49" w:rsidRDefault="00932DE9" w:rsidP="00FA4CEF">
      <w:pPr>
        <w:pStyle w:val="BoxBullet"/>
        <w:numPr>
          <w:ilvl w:val="0"/>
          <w:numId w:val="23"/>
        </w:numPr>
        <w:tabs>
          <w:tab w:val="clear" w:pos="357"/>
          <w:tab w:val="num" w:pos="709"/>
        </w:tabs>
        <w:rPr>
          <w:b/>
          <w:bCs/>
        </w:rPr>
      </w:pPr>
      <w:r w:rsidRPr="00C86E49">
        <w:t>ECPELLA is used pre-emptively rather than to unload patients on VA-ECMO with increased LV afterload. </w:t>
      </w:r>
    </w:p>
    <w:p w14:paraId="70CF517B" w14:textId="77777777" w:rsidR="00932DE9" w:rsidRPr="00C86E49" w:rsidRDefault="00932DE9" w:rsidP="00932DE9">
      <w:pPr>
        <w:pStyle w:val="Heading2"/>
        <w:numPr>
          <w:ilvl w:val="0"/>
          <w:numId w:val="0"/>
        </w:numPr>
        <w:rPr>
          <w:rStyle w:val="Strong"/>
          <w:rFonts w:ascii="Franklin Gothic Book" w:hAnsi="Franklin Gothic Book" w:cs="Times New Roman"/>
          <w:b w:val="0"/>
          <w:bCs w:val="0"/>
          <w:color w:val="000000"/>
          <w:sz w:val="24"/>
          <w:szCs w:val="24"/>
          <w:lang w:eastAsia="en-AU"/>
        </w:rPr>
      </w:pPr>
      <w:r w:rsidRPr="00C86E49">
        <w:rPr>
          <w:rStyle w:val="Strong"/>
          <w:sz w:val="24"/>
          <w:szCs w:val="24"/>
        </w:rPr>
        <w:t>ESC discussion</w:t>
      </w:r>
    </w:p>
    <w:p w14:paraId="5C75BFDC" w14:textId="77777777" w:rsidR="00932DE9" w:rsidRPr="00C86E49" w:rsidRDefault="00932DE9" w:rsidP="00932DE9">
      <w:r w:rsidRPr="00C86E49">
        <w:t xml:space="preserve">ESC noted this reapplication from Abiomed requested Medicare Benefits Schedule (MBS) listing of transluminal insertion and management of IMPELLA, an intravascular microaxial left ventricular assist device (IMVAD), for the management of patients with cardiogenic shock (CS) requiring temporary mechanical circulatory support (MCS). </w:t>
      </w:r>
    </w:p>
    <w:p w14:paraId="2C4E5595" w14:textId="77777777" w:rsidR="00932DE9" w:rsidRPr="00C86E49" w:rsidRDefault="00932DE9" w:rsidP="00932DE9">
      <w:r w:rsidRPr="00C86E49">
        <w:t xml:space="preserve">ESC noted that acute myocardial infarction (AMI) with left ventricular (LV) dysfunction accounts for 81% of patients with CS. Further, CS-complicated AMI is the leading cause of mortality in patients hospitalised due to AMI. Other causes of CS include heart failure, cardiac arrest, cardiomyopathy, </w:t>
      </w:r>
      <w:proofErr w:type="gramStart"/>
      <w:r w:rsidRPr="00C86E49">
        <w:t>myocarditis</w:t>
      </w:r>
      <w:proofErr w:type="gramEnd"/>
      <w:r w:rsidRPr="00C86E49">
        <w:t xml:space="preserve"> and endocarditis. Although the in</w:t>
      </w:r>
      <w:r w:rsidRPr="00C86E49">
        <w:rPr>
          <w:rFonts w:ascii="Cambria Math" w:hAnsi="Cambria Math" w:cs="Cambria Math"/>
        </w:rPr>
        <w:t>‐</w:t>
      </w:r>
      <w:r w:rsidRPr="00C86E49">
        <w:t>hospital mortality in patients with CS has improved over time, longer-term mortality in CS has remained relatively consistent over the past two decades, with 40–50% of patients surviving beyond 6 months.</w:t>
      </w:r>
    </w:p>
    <w:p w14:paraId="5435F5DE" w14:textId="77777777" w:rsidR="00932DE9" w:rsidRPr="00C86E49" w:rsidRDefault="00932DE9" w:rsidP="00932DE9">
      <w:r w:rsidRPr="00C86E49">
        <w:t>ESC noted that IMPELLA is a transluminal microaxial ventricular assist device that is inserted percutaneously or surgically. The IMPELLA devices are cardiac-assist devices that are intended to stabilise haemodynamics, unload the ventricle, augment peak coronary flow, perfuse the end organs, reduce myocardial oxygen demand and allow for recovery of the native heart.</w:t>
      </w:r>
    </w:p>
    <w:p w14:paraId="35261D17" w14:textId="6F5C7DA2" w:rsidR="00932DE9" w:rsidRPr="00C86E49" w:rsidRDefault="00932DE9" w:rsidP="00932DE9">
      <w:r w:rsidRPr="00C86E49">
        <w:t>ESC noted that MSAC previously considered and did not support public funding of IMPELLA (</w:t>
      </w:r>
      <w:hyperlink r:id="rId22" w:history="1">
        <w:r w:rsidRPr="00C86E49">
          <w:rPr>
            <w:rStyle w:val="Hyperlink"/>
          </w:rPr>
          <w:t>application 1523</w:t>
        </w:r>
      </w:hyperlink>
      <w:r w:rsidRPr="00C86E49">
        <w:t xml:space="preserve">) at their November 2019 meeting. MSAC application 1523 sought reimbursement of IMPELLA for patients with CS, high-risk percutaneous coronary </w:t>
      </w:r>
      <w:proofErr w:type="gramStart"/>
      <w:r w:rsidRPr="00C86E49">
        <w:t>intervention</w:t>
      </w:r>
      <w:proofErr w:type="gramEnd"/>
      <w:r w:rsidRPr="00C86E49">
        <w:t xml:space="preserve"> and isolated right heart failure.</w:t>
      </w:r>
      <w:r w:rsidRPr="00C86E49">
        <w:rPr>
          <w:rStyle w:val="Strong"/>
          <w:b w:val="0"/>
          <w:bCs w:val="0"/>
        </w:rPr>
        <w:t xml:space="preserve"> At the time,</w:t>
      </w:r>
      <w:r w:rsidRPr="00C86E49">
        <w:rPr>
          <w:rStyle w:val="Strong"/>
        </w:rPr>
        <w:t xml:space="preserve"> </w:t>
      </w:r>
      <w:r w:rsidRPr="00C86E49">
        <w:t xml:space="preserve">MSAC considered that the evidence for comparative safety and effectiveness was too uncertain relative to standard care in all three populations, which had flow-on effects to the economic analyses. MSAC considered the financial estimates were also highly uncertain and likely underestimated for all three populations. MSAC considered that additional data from randomised controlled trials (RCTs) would be required to give greater certainty regarding comparative safety, </w:t>
      </w:r>
      <w:proofErr w:type="gramStart"/>
      <w:r w:rsidRPr="00C86E49">
        <w:t>effectiveness</w:t>
      </w:r>
      <w:proofErr w:type="gramEnd"/>
      <w:r w:rsidRPr="00C86E49">
        <w:t xml:space="preserve"> and cost-effectiveness.  </w:t>
      </w:r>
    </w:p>
    <w:p w14:paraId="1236D439" w14:textId="77777777" w:rsidR="00932DE9" w:rsidRPr="00C86E49" w:rsidRDefault="00932DE9" w:rsidP="00932DE9">
      <w:r w:rsidRPr="00C86E49">
        <w:t xml:space="preserve">ESC noted that this resubmission focussed on patients with CS (with no evidence of significant anoxic neurological injury) that were considered as two patient populations with different interventions and comparators: </w:t>
      </w:r>
    </w:p>
    <w:p w14:paraId="5C785284" w14:textId="77777777" w:rsidR="00932DE9" w:rsidRPr="00C86E49" w:rsidRDefault="00932DE9" w:rsidP="00FA4CEF">
      <w:pPr>
        <w:pStyle w:val="ListParagraph"/>
        <w:numPr>
          <w:ilvl w:val="0"/>
          <w:numId w:val="18"/>
        </w:numPr>
      </w:pPr>
      <w:r w:rsidRPr="00C86E49">
        <w:t>Patients with CS who do not respond to pharmacotherapy – the intervention for this population was IMPELLA, which was compared to veno-arterial extracorporeal membrane oxygenation (VA-ECMO).</w:t>
      </w:r>
    </w:p>
    <w:p w14:paraId="0F027A8E" w14:textId="77777777" w:rsidR="00932DE9" w:rsidRPr="00C86E49" w:rsidRDefault="00932DE9" w:rsidP="00FA4CEF">
      <w:pPr>
        <w:pStyle w:val="ListParagraph"/>
        <w:numPr>
          <w:ilvl w:val="0"/>
          <w:numId w:val="18"/>
        </w:numPr>
      </w:pPr>
      <w:r w:rsidRPr="00C86E49">
        <w:t>Patients with CS who are on VA-ECMO and requiring LV unloading – the intervention for this population was ECPELLA, which was compared to VA-ECMO ± surgical venting (SV).</w:t>
      </w:r>
    </w:p>
    <w:p w14:paraId="6D2462F0" w14:textId="77777777" w:rsidR="00932DE9" w:rsidRPr="00C86E49" w:rsidRDefault="00932DE9" w:rsidP="00932DE9">
      <w:r w:rsidRPr="00C86E49">
        <w:t>ESC requested the applicant clarify in its pre-MSAC response to MSAC whether the proposed population would include paediatric patients, if appropriately sized devices for use in paediatric patients were to become available.</w:t>
      </w:r>
    </w:p>
    <w:p w14:paraId="27F48AB9" w14:textId="77777777" w:rsidR="00932DE9" w:rsidRPr="00C86E49" w:rsidRDefault="00932DE9" w:rsidP="00932DE9">
      <w:pPr>
        <w:tabs>
          <w:tab w:val="left" w:pos="3686"/>
        </w:tabs>
        <w:spacing w:line="256" w:lineRule="auto"/>
      </w:pPr>
      <w:r w:rsidRPr="00C86E49">
        <w:t>ESC noted and welcomed the consultation input received from 1 individual, who was a medical specialist, but noted the lack of consumer input for this reapplication. ESC noted that consumers may be concerned by the apparent selection bias of patients for the studies in that there were more men than women. ESC noted that AMI is more common in men than women, but also acknowledged that women are continually underrepresented in clinical trials. ESC noted the lack of quality-of-life analysis in the clinical evidence presented in applicant-developed assessment report (ADAR) for patients with the IMPELLA device.</w:t>
      </w:r>
    </w:p>
    <w:p w14:paraId="6B7AA6A8" w14:textId="77777777" w:rsidR="00932DE9" w:rsidRPr="00C86E49" w:rsidRDefault="00932DE9" w:rsidP="00932DE9">
      <w:r w:rsidRPr="00C86E49">
        <w:t>ESC noted that the proposed setting for IMVAD devices is centres that are equipped to use VA-ECMO, which is the MCS device used in CS patients who have not stabilised despite pharmacotherapy. IMPELLA used in combination with VA-ECMO is referred to as ECPELLA.</w:t>
      </w:r>
    </w:p>
    <w:p w14:paraId="5B5877DC" w14:textId="27121E5E" w:rsidR="00932DE9" w:rsidRPr="00C86E49" w:rsidRDefault="00932DE9" w:rsidP="00932DE9">
      <w:r w:rsidRPr="00C86E49">
        <w:t xml:space="preserve">ESC considered that the ADAR proposed MBS descriptors did not sufficiently define the intended population for the percutaneous and surgical insertion MBS items. Therefore, ESC considered the additions suggested by the department (as shown in Section 4, </w:t>
      </w:r>
      <w:r w:rsidRPr="00375AEF">
        <w:fldChar w:fldCharType="begin"/>
      </w:r>
      <w:r w:rsidRPr="00C86E49">
        <w:instrText xml:space="preserve"> REF _Ref154067714 \h </w:instrText>
      </w:r>
      <w:r w:rsidR="00C86E49">
        <w:instrText xml:space="preserve"> \* MERGEFORMAT </w:instrText>
      </w:r>
      <w:r w:rsidRPr="00375AEF">
        <w:fldChar w:fldCharType="separate"/>
      </w:r>
      <w:r w:rsidR="00EF3514" w:rsidRPr="00C86E49">
        <w:t xml:space="preserve">Table </w:t>
      </w:r>
      <w:r w:rsidR="00EF3514" w:rsidRPr="00C86E49">
        <w:rPr>
          <w:noProof/>
        </w:rPr>
        <w:t>4</w:t>
      </w:r>
      <w:r w:rsidRPr="00375AEF">
        <w:fldChar w:fldCharType="end"/>
      </w:r>
      <w:r w:rsidRPr="00C86E49">
        <w:t xml:space="preserve">) to be more appropriate. ESC noted that the applicant’s pre-ESC response expressed that the applicant was willing to work with MSAC and the </w:t>
      </w:r>
      <w:r w:rsidR="00D42DC9" w:rsidRPr="00C86E49">
        <w:t>d</w:t>
      </w:r>
      <w:r w:rsidRPr="00C86E49">
        <w:t xml:space="preserve">epartment on the descriptor. </w:t>
      </w:r>
      <w:r w:rsidRPr="00C86E49">
        <w:rPr>
          <w:rStyle w:val="Strong"/>
          <w:b w:val="0"/>
          <w:bCs w:val="0"/>
        </w:rPr>
        <w:t>ESC did not recommend any additional wording for the three removal and management MBS items. ESC considered it appropriate to include “</w:t>
      </w:r>
      <w:r w:rsidRPr="00C86E49">
        <w:rPr>
          <w:bCs/>
        </w:rPr>
        <w:t>an</w:t>
      </w:r>
      <w:r w:rsidRPr="00C86E49">
        <w:t>aes” and/or “assist” for the open surgical insertion MBS item, but not for the percutaneous insertion MBS item. ESC also confirmed that it was appropriate to include associated imaging for both insertion items.</w:t>
      </w:r>
    </w:p>
    <w:p w14:paraId="6BFB2470" w14:textId="77777777" w:rsidR="00932DE9" w:rsidRPr="00C86E49" w:rsidRDefault="00932DE9" w:rsidP="00932DE9">
      <w:r w:rsidRPr="00C86E49">
        <w:t>ESC considered it appropriate to include an explanatory note advising that provision of the service should be limited to providers who have undertaken competency training and certification (provided by Abiomed), and to centres equipped with VA-ECMO that have the appropriate facilities and expertise to provide the service and manage patients in CS. ESC also considered it appropriate to include in an explanatory note that the decision to initiate a patient with CS on an IMVAD (and selection of IMVAD type) should be determined by a multidisciplinary team (MDT), typically including an interventional cardiologist, cardiothoracic surgeon, heart failure specialist and intensivist.</w:t>
      </w:r>
    </w:p>
    <w:p w14:paraId="1CB1BDA6" w14:textId="77777777" w:rsidR="00932DE9" w:rsidRPr="00C86E49" w:rsidRDefault="00932DE9" w:rsidP="00932DE9">
      <w:pPr>
        <w:rPr>
          <w:rStyle w:val="Strong"/>
          <w:b w:val="0"/>
          <w:bCs w:val="0"/>
        </w:rPr>
      </w:pPr>
      <w:r w:rsidRPr="00C86E49">
        <w:t>ESC noted that the IMVAD insertion approach depends on the patient’s vasculature (assessed using fluoroscopy) and the IMPELLA model. The descriptor for MBS item 13832 (peripheral cannulation for VA-ECMO) includes “ultrasound guidance where clinically appropriate” and explicitly states that “no separate ultrasound item is payable with this item”. ESC advised that the proposed descriptors should include fluoroscopy in the proposed fee for the IMVAD insertion services and that no additional fluoroscopy item should be payable.</w:t>
      </w:r>
    </w:p>
    <w:p w14:paraId="69C53E94" w14:textId="77777777" w:rsidR="00932DE9" w:rsidRPr="00C86E49" w:rsidRDefault="00932DE9" w:rsidP="00932DE9">
      <w:r w:rsidRPr="00C86E49">
        <w:rPr>
          <w:rStyle w:val="Strong"/>
          <w:b w:val="0"/>
          <w:bCs w:val="0"/>
        </w:rPr>
        <w:t>ESC noted the clinical management algorithm. ESC noted that</w:t>
      </w:r>
      <w:r w:rsidRPr="00C86E49">
        <w:t xml:space="preserve"> IMVAD devices on the MBS would provide clinicians with an alternative MCS option for patients who are in CS, with a different mechanism of action to VA-ECMO. A disadvantage of VA-ECMO is that oxygenated blood returning to the body flows retrograde in the aorta, causing a marked increase in LV afterload. ECPELLA (IMPELLA used in combination with VA-ECMO) is proposed to be used in a narrowly defined population of patients who are on VA-ECMO and require LV unloading. ESC also noted the intended duration of uses for the IMPELLA devices is stated in the Australian Register of Therapeutic Goods (ARTG) and acknowledged that extended duration of use, beyond the ARTG specified durations, was a clinical possibility if the patient was showing clinical improvement. ESC considered this appropriate to be a clinical decision and for this reason, ESC considered it unnecessary to include duration suggestions in any explanatory notes.</w:t>
      </w:r>
    </w:p>
    <w:p w14:paraId="4EFE9339" w14:textId="77777777" w:rsidR="00932DE9" w:rsidRPr="00C86E49" w:rsidRDefault="00932DE9" w:rsidP="00932DE9">
      <w:r w:rsidRPr="00C86E49">
        <w:t xml:space="preserve">ESC noted that the evidence </w:t>
      </w:r>
      <w:proofErr w:type="gramStart"/>
      <w:r w:rsidRPr="00C86E49">
        <w:t>base</w:t>
      </w:r>
      <w:proofErr w:type="gramEnd"/>
      <w:r w:rsidRPr="00C86E49">
        <w:t xml:space="preserve"> for the comparative safety and effectiveness of IMPELLA did not include any data from RCTs. ESC noted the applicant’s pre-ESC response stated that although there have been multiple attempts to conduct RCTs, most have been discontinued due to low enrolment and asserted that, because of the urgent nature of the clinical scenario, recruiting patients and conducting RCTs in this therapeutic area is difficult. ESC was uncertain this meant an RCT could not be completed and noted there is a current ongoing RCT (UNLOAD ECMO [NCT05577195]) comparing ECPELLA with VA-ECMO in patients with CS (primary outcome is 30-day mortality and 12-month mortality is a secondary outcome). Although ESC acknowledged the applicant’s argument creates uncertainty regarding when and whether this RCT will be completed, ESC noted the RCT may provide information that could impact decision making if completed. </w:t>
      </w:r>
    </w:p>
    <w:p w14:paraId="1762DB49" w14:textId="77777777" w:rsidR="00932DE9" w:rsidRPr="00C86E49" w:rsidRDefault="00932DE9" w:rsidP="00932DE9">
      <w:r w:rsidRPr="00C86E49">
        <w:t>ESC noted the resubmission presented non-randomised studies that used matching and/or other adjustment methods as the key evidence (N=6 for IMPELLA versus VA-ECMO and N=5 for ECPELLA versus VA-ECMO ± SV). ESC noted the ADAR attempted to present the next best level of evidence by selecting matched/adjusted studies as the key evidence, however. ESC considered the concerns raised by the commentary to be valid. ESC noted concerns regarding potential participant duplication across some studies. Further, covariates (patient characteristics, comorbidities, haemodynamic and laboratory values) were often not reported for the included studies, meaning the selection and extent of matching/adjusting varied such that selection bias and the potential for confounding remain a threat to internal validity for the non-randomised studies. Therefore, ESC considered the clinical evidence to be of low to very low quality. ESC queried whether retrospective analysis to obtain the missing covariate information could improve the matching/adjustment.</w:t>
      </w:r>
    </w:p>
    <w:p w14:paraId="4683305F" w14:textId="77777777" w:rsidR="00932DE9" w:rsidRPr="00C86E49" w:rsidRDefault="00932DE9" w:rsidP="00932DE9">
      <w:r w:rsidRPr="00C86E49">
        <w:t>Regarding comparative safety, ESC noted the main safety outcome was bleeding events requiring transfusion. For IMPELLA versus VA-ECMO, the evidence suggested that IMPELLA resulted in a reduction in bleeding events requiring transfusion (odds ratio [OR] = 0.61, range 0.46–0.80, n = 1,295, four observational studies). ESC considered that this appeared to support the ADAR’s claim of superior safety, but there remained uncertainty due to the low-quality evidence. For ECPELLA versus VA-ECMO </w:t>
      </w:r>
      <w:r w:rsidRPr="00C86E49">
        <w:rPr>
          <w:u w:val="single"/>
        </w:rPr>
        <w:t>+</w:t>
      </w:r>
      <w:r w:rsidRPr="00C86E49">
        <w:t> SV, the evidence suggested ECPELLA results in an increase in bleeding events requiring transfusion (OR = 1.65, range 1.15–2.37, n = 496, two observational studies). ESC considered that this indicated ECPELLA had inferior safety compared to VA-ECMO ± SV, but again noted this was based on low-quality evidence.</w:t>
      </w:r>
    </w:p>
    <w:p w14:paraId="31E396D6" w14:textId="77777777" w:rsidR="00932DE9" w:rsidRPr="00C86E49" w:rsidRDefault="00932DE9" w:rsidP="00932DE9">
      <w:r w:rsidRPr="00C86E49">
        <w:t>Regarding comparative effectiveness, ESC noted the main effectiveness outcome was in-hospital/30-day mortality. For IMPELLA versus VA-ECMO, the evidence suggested that IMPELLA resulted in a decrease in in-hospital/30-day mortality (OR = 0.57, range 0.44–0.74, n = 1,971, five observational studies). ESC considered that this appeared to support the ADAR’s clinical claim of superior effectiveness but that there remained uncertainty due to the low-quality evidence at 30 days. However, ESC noted that the limited data (of low to very-low quality) available at 6- and 12-months post-intervention did not demonstrate a difference in mortality at these longer time points. For ECPELLA versus VA-ECMO </w:t>
      </w:r>
      <w:r w:rsidRPr="00C86E49">
        <w:rPr>
          <w:u w:val="single"/>
        </w:rPr>
        <w:t>+</w:t>
      </w:r>
      <w:r w:rsidRPr="00C86E49">
        <w:t xml:space="preserve"> SV, the evidence suggested ECPELLA results in a non-statistically significant reduction in in-hospital/30-day mortality (risk ratio [RR] = 0.71, range 0.50–1.00, n = 175, two observational studies). ESC noted there was also some evidence to suggest this improvement is sustained to 12 months post-intervention; however, this was based on one small (n=66) low quality observational study. </w:t>
      </w:r>
    </w:p>
    <w:p w14:paraId="031E5FEB" w14:textId="77777777" w:rsidR="00932DE9" w:rsidRPr="00C86E49" w:rsidRDefault="00932DE9" w:rsidP="00932DE9">
      <w:r w:rsidRPr="00C86E49">
        <w:t xml:space="preserve">Overall, ESC considered the comparative safety and effectiveness of IMPELLA versus VA-ECMO and ECPELLA versus VA-ECMO ± SV remained highly uncertain due to the low to very-low quality evidence, and therefore, the clinical claims were highly uncertain. However, ESC acknowledged that it was unlikely that any better-quality evidence would be available </w:t>
      </w:r>
      <w:proofErr w:type="gramStart"/>
      <w:r w:rsidRPr="00C86E49">
        <w:t>in the near future</w:t>
      </w:r>
      <w:proofErr w:type="gramEnd"/>
      <w:r w:rsidRPr="00C86E49">
        <w:t xml:space="preserve">. </w:t>
      </w:r>
    </w:p>
    <w:p w14:paraId="3F527B7C" w14:textId="77777777" w:rsidR="00932DE9" w:rsidRPr="00C86E49" w:rsidRDefault="00932DE9" w:rsidP="00932DE9">
      <w:pPr>
        <w:pStyle w:val="NormalBeforeBullet0"/>
      </w:pPr>
      <w:r w:rsidRPr="00C86E49">
        <w:t>ESC noted the ADAR presented two stepped cost-utility analyses (CUA) comparing IMPELLA versus VA-ECMO and ECPELLA versus VA-ECMO ± SV:</w:t>
      </w:r>
    </w:p>
    <w:p w14:paraId="5A5817F8"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Step 1: matched/adjusted study-based analysis (comparative non-randomised studies) – percentage alive at 30 days</w:t>
      </w:r>
    </w:p>
    <w:p w14:paraId="009C605C"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 xml:space="preserve">Step 2: extrapolation of survival to lifetime </w:t>
      </w:r>
    </w:p>
    <w:p w14:paraId="0A29660B" w14:textId="77777777" w:rsidR="00932DE9" w:rsidRPr="00C86E49" w:rsidRDefault="00932DE9" w:rsidP="00FA4CEF">
      <w:pPr>
        <w:pStyle w:val="BulletLast"/>
        <w:numPr>
          <w:ilvl w:val="0"/>
          <w:numId w:val="16"/>
        </w:numPr>
      </w:pPr>
      <w:r w:rsidRPr="00C86E49">
        <w:t>Step 3: translation of life years to quality-adjusted life years (QALYs).</w:t>
      </w:r>
    </w:p>
    <w:p w14:paraId="713C6572" w14:textId="77777777" w:rsidR="00932DE9" w:rsidRPr="00C86E49" w:rsidRDefault="00932DE9" w:rsidP="00932DE9">
      <w:r w:rsidRPr="00C86E49">
        <w:t xml:space="preserve">ESC considered that the comparator, structural model issues and assumptions that favoured the intervention in the previous application (MSAC 1523) had been addressed in this resubmission. However, ESC noted that the uncertainty from the low-quality clinical evidence remained a key issue that created high uncertainty in the economic evaluation. </w:t>
      </w:r>
    </w:p>
    <w:p w14:paraId="350CCDA0" w14:textId="7A5274A0" w:rsidR="00932DE9" w:rsidRPr="00C86E49" w:rsidRDefault="00932DE9" w:rsidP="00932DE9">
      <w:r w:rsidRPr="00C86E49">
        <w:t>For IMPELLA versus VA-ECMO, ESC noted the within-trial estimates (step 1) resulted in an incremental cost-effectiveness ratio (ICER) of $</w:t>
      </w:r>
      <w:r w:rsidR="009108AF" w:rsidRPr="00375AEF">
        <w:rPr>
          <w:b/>
          <w:bCs/>
        </w:rPr>
        <w:t>redacted</w:t>
      </w:r>
      <w:r w:rsidR="009108AF" w:rsidRPr="00375AEF">
        <w:t xml:space="preserve"> </w:t>
      </w:r>
      <w:r w:rsidRPr="00C86E49">
        <w:t xml:space="preserve">per patient alive at 30 days/ hospital discharge. After step 2, the ICER dropped to </w:t>
      </w:r>
      <w:r w:rsidRPr="00375AEF">
        <w:t>$</w:t>
      </w:r>
      <w:r w:rsidR="009108AF" w:rsidRPr="00375AEF">
        <w:rPr>
          <w:b/>
          <w:bCs/>
        </w:rPr>
        <w:t>redacted</w:t>
      </w:r>
      <w:r w:rsidRPr="00375AEF">
        <w:t xml:space="preserve"> </w:t>
      </w:r>
      <w:r w:rsidRPr="00C86E49">
        <w:t>per life year (LY) and after step 3, the ICER increased again to $</w:t>
      </w:r>
      <w:r w:rsidR="009108AF" w:rsidRPr="00375AEF">
        <w:rPr>
          <w:b/>
          <w:bCs/>
        </w:rPr>
        <w:t>redacted</w:t>
      </w:r>
      <w:r w:rsidR="009108AF" w:rsidRPr="00375AEF" w:rsidDel="009108AF">
        <w:t xml:space="preserve"> </w:t>
      </w:r>
      <w:r w:rsidRPr="00C86E49">
        <w:t>per quality adjusted life year (QALY). ESC noted that the magnitude of the in-hospital/30-day mortality differential (informed by low to very-low certainty evidence) was the most important driver in the economic model. ESC considered it reasonable that the ADAR assumed no difference (between the groups) in mortality risks over the extrapolated period (beyond one month</w:t>
      </w:r>
      <w:proofErr w:type="gramStart"/>
      <w:r w:rsidRPr="00C86E49">
        <w:t>), but</w:t>
      </w:r>
      <w:proofErr w:type="gramEnd"/>
      <w:r w:rsidRPr="00C86E49">
        <w:t xml:space="preserve"> noted that this resulted in the highly uncertain difference in the in-hospital/30-day mortality being extrapolated out over a lifetime horizon. Because of this, ESC considered the results of the within-trial estimates (step 1) to be the most reliable ICER. </w:t>
      </w:r>
    </w:p>
    <w:p w14:paraId="47393117" w14:textId="793166CD" w:rsidR="00932DE9" w:rsidRPr="00C86E49" w:rsidRDefault="00932DE9" w:rsidP="00932DE9">
      <w:r w:rsidRPr="00C86E49">
        <w:t>For ECPELLA versus VA-ECMO</w:t>
      </w:r>
      <w:r w:rsidR="00582FC1" w:rsidRPr="00C86E49">
        <w:t xml:space="preserve"> </w:t>
      </w:r>
      <w:r w:rsidRPr="00C86E49">
        <w:t>±</w:t>
      </w:r>
      <w:r w:rsidR="00582FC1" w:rsidRPr="00C86E49">
        <w:t xml:space="preserve"> </w:t>
      </w:r>
      <w:r w:rsidRPr="00C86E49">
        <w:t>SA, ESC noted the model assumed clinical difference in mortality in the first month, even though the trial did not demonstrate a statistically significant difference in in-hospital/30-day mortality between ECPELLA and VA-ECMO ± SV (RR=0.17; range 0.50–1.00), and then assumed no difference (between the groups) in mortality risks over the extrapolated period (beyond one month). ESC agreed with the commentary that, given the clinical evidence indicated inferior safety and equivocal effectiveness with respect to mortality, the use of a CUA may not be justified. ESC noted that ADAR base case ICERs were</w:t>
      </w:r>
      <w:r w:rsidRPr="00375AEF">
        <w:t xml:space="preserve"> $</w:t>
      </w:r>
      <w:r w:rsidR="009108AF" w:rsidRPr="00375AEF">
        <w:rPr>
          <w:b/>
          <w:bCs/>
        </w:rPr>
        <w:t>redacted</w:t>
      </w:r>
      <w:r w:rsidR="009108AF" w:rsidRPr="00375AEF" w:rsidDel="009108AF">
        <w:t xml:space="preserve"> </w:t>
      </w:r>
      <w:r w:rsidRPr="00C86E49">
        <w:t xml:space="preserve">per patient alive at 30 days/ hospital discharge (step 1_, </w:t>
      </w:r>
      <w:r w:rsidRPr="00375AEF">
        <w:t>$</w:t>
      </w:r>
      <w:r w:rsidR="009108AF" w:rsidRPr="00375AEF">
        <w:rPr>
          <w:b/>
          <w:bCs/>
        </w:rPr>
        <w:t>redacted</w:t>
      </w:r>
      <w:r w:rsidR="009108AF" w:rsidRPr="00375AEF" w:rsidDel="009108AF">
        <w:t xml:space="preserve"> </w:t>
      </w:r>
      <w:r w:rsidRPr="00C86E49">
        <w:t xml:space="preserve">per LY (step 2), and </w:t>
      </w:r>
      <w:r w:rsidRPr="00375AEF">
        <w:t>$</w:t>
      </w:r>
      <w:r w:rsidR="009108AF" w:rsidRPr="00375AEF">
        <w:rPr>
          <w:b/>
          <w:bCs/>
        </w:rPr>
        <w:t>redacted</w:t>
      </w:r>
      <w:r w:rsidR="009108AF" w:rsidRPr="00375AEF" w:rsidDel="009108AF">
        <w:t xml:space="preserve"> </w:t>
      </w:r>
      <w:r w:rsidRPr="00C86E49">
        <w:t xml:space="preserve">per QALY (step 3). The commentary provided alternative 30-day/in-hospital mortality risk weightings, which resulted in slight decreases to the ICERs after steps 2 and 3 to </w:t>
      </w:r>
      <w:r w:rsidRPr="00375AEF">
        <w:t>$</w:t>
      </w:r>
      <w:r w:rsidR="009108AF" w:rsidRPr="00375AEF">
        <w:rPr>
          <w:b/>
          <w:bCs/>
        </w:rPr>
        <w:t>redacted</w:t>
      </w:r>
      <w:r w:rsidR="009108AF" w:rsidRPr="00375AEF" w:rsidDel="009108AF">
        <w:t xml:space="preserve"> </w:t>
      </w:r>
      <w:r w:rsidRPr="00C86E49">
        <w:t xml:space="preserve">per LY and </w:t>
      </w:r>
      <w:r w:rsidRPr="00375AEF">
        <w:t>$</w:t>
      </w:r>
      <w:r w:rsidR="009108AF" w:rsidRPr="00375AEF">
        <w:rPr>
          <w:b/>
          <w:bCs/>
        </w:rPr>
        <w:t>redacted</w:t>
      </w:r>
      <w:r w:rsidR="009108AF" w:rsidRPr="00375AEF" w:rsidDel="009108AF">
        <w:t xml:space="preserve"> </w:t>
      </w:r>
      <w:r w:rsidRPr="00C86E49">
        <w:t>per QALY, respectively.</w:t>
      </w:r>
    </w:p>
    <w:p w14:paraId="781D2182" w14:textId="77777777" w:rsidR="00932DE9" w:rsidRPr="00C86E49" w:rsidRDefault="00932DE9" w:rsidP="00932DE9">
      <w:pPr>
        <w:pStyle w:val="NormalBeforeBullet0"/>
      </w:pPr>
      <w:r w:rsidRPr="00C86E49">
        <w:t>ESC noted the commentary’s concerns that the following factors could increase costs relating to IMPELLA and thereby reduce the cost-effectiveness for the population proposed to receive IMPELLO (</w:t>
      </w:r>
      <w:proofErr w:type="gramStart"/>
      <w:r w:rsidRPr="00C86E49">
        <w:t>i.e.</w:t>
      </w:r>
      <w:proofErr w:type="gramEnd"/>
      <w:r w:rsidRPr="00C86E49">
        <w:t xml:space="preserve"> patients with CS who do not respond to pharmacotherapy):</w:t>
      </w:r>
    </w:p>
    <w:p w14:paraId="109B767C"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the need for subsequent ECMO</w:t>
      </w:r>
    </w:p>
    <w:p w14:paraId="371D2912"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the need for reimplantation</w:t>
      </w:r>
    </w:p>
    <w:p w14:paraId="74BD6FF4"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 xml:space="preserve">a switch to an IMPELLA device offering higher-level </w:t>
      </w:r>
      <w:proofErr w:type="gramStart"/>
      <w:r w:rsidRPr="00C86E49">
        <w:rPr>
          <w:rFonts w:ascii="Franklin Gothic Book" w:hAnsi="Franklin Gothic Book"/>
        </w:rPr>
        <w:t>support</w:t>
      </w:r>
      <w:proofErr w:type="gramEnd"/>
      <w:r w:rsidRPr="00C86E49">
        <w:rPr>
          <w:rFonts w:ascii="Franklin Gothic Book" w:hAnsi="Franklin Gothic Book"/>
        </w:rPr>
        <w:t xml:space="preserve"> </w:t>
      </w:r>
    </w:p>
    <w:p w14:paraId="227CCA5F" w14:textId="77777777" w:rsidR="00932DE9" w:rsidRPr="00C86E49" w:rsidRDefault="00932DE9" w:rsidP="00FA4CEF">
      <w:pPr>
        <w:pStyle w:val="BulletLast"/>
        <w:numPr>
          <w:ilvl w:val="0"/>
          <w:numId w:val="16"/>
        </w:numPr>
      </w:pPr>
      <w:r w:rsidRPr="00C86E49">
        <w:t xml:space="preserve">the extended duration of support on IMPELLA 5.5. </w:t>
      </w:r>
    </w:p>
    <w:p w14:paraId="286C5330" w14:textId="77777777" w:rsidR="00932DE9" w:rsidRPr="00C86E49" w:rsidRDefault="00932DE9" w:rsidP="00932DE9">
      <w:r w:rsidRPr="00C86E49">
        <w:t>ESC considered that about 25% of patients would require subsequent VA-ECMO, but that it was unlikely to be used routinely in combination as ECPELLA. ESC considered it appropriate for this to be a clinical decision.</w:t>
      </w:r>
    </w:p>
    <w:p w14:paraId="5EC02683" w14:textId="77777777" w:rsidR="00932DE9" w:rsidRPr="00C86E49" w:rsidRDefault="00932DE9" w:rsidP="00932DE9">
      <w:pPr>
        <w:rPr>
          <w:lang w:val="en-US"/>
        </w:rPr>
      </w:pPr>
      <w:r w:rsidRPr="00C86E49">
        <w:rPr>
          <w:lang w:val="en-US"/>
        </w:rPr>
        <w:t>Regarding reimplantation (</w:t>
      </w:r>
      <w:proofErr w:type="gramStart"/>
      <w:r w:rsidRPr="00C86E49">
        <w:rPr>
          <w:lang w:val="en-US"/>
        </w:rPr>
        <w:t>e.g.</w:t>
      </w:r>
      <w:proofErr w:type="gramEnd"/>
      <w:r w:rsidRPr="00C86E49">
        <w:rPr>
          <w:lang w:val="en-US"/>
        </w:rPr>
        <w:t xml:space="preserve"> due to pump thrombosis or dislodgement), ESC acknowledged that device thrombosis was a possibility for IMPELLA. However, ESC noted that this had not been observed in the included evidence, and that the risk can be minimised by adherence to anticoagulation protocols and guidelines. ESC noted the applicant’s pre-ESC response stated that in persistent thrombosis cases, Abiomed will provide a free-of-charge replacement. It is also the global Abiomed policy to warrant the replacement working pump for the same patient and procedure. ESC also considered it important to note that device thrombosis could also </w:t>
      </w:r>
      <w:r w:rsidRPr="00C86E49">
        <w:t>occur</w:t>
      </w:r>
      <w:r w:rsidRPr="00C86E49">
        <w:rPr>
          <w:lang w:val="en-US"/>
        </w:rPr>
        <w:t xml:space="preserve"> with VA-ECMO devices, which may require exchange of the whole circuit.</w:t>
      </w:r>
    </w:p>
    <w:p w14:paraId="0C9253C6" w14:textId="77777777" w:rsidR="00932DE9" w:rsidRPr="00C86E49" w:rsidRDefault="00932DE9" w:rsidP="00932DE9">
      <w:r w:rsidRPr="00C86E49">
        <w:t xml:space="preserve">Regarding transitioning to a higher level of IMPELLA support, ESC noted that the applicant’s pre-ESC response stated that were no such occurrences reported in the included evidence and that, since implementation in 2019, no patients who have received an IMPELLA device in Australia (n = 227) have required escalation. The applicant’s pre-ESC response stated the Shock Team can determine the appropriate pump size for any given patient before implantation based on the patient’s haemodynamic conditions and body size, type of CS, and ejection fraction, which ESC inferred would decrease the chances of needing to be transitioned to a different device. </w:t>
      </w:r>
    </w:p>
    <w:p w14:paraId="64A480C9" w14:textId="77777777" w:rsidR="00932DE9" w:rsidRPr="00C86E49" w:rsidRDefault="00932DE9" w:rsidP="00932DE9">
      <w:r w:rsidRPr="00C86E49">
        <w:t xml:space="preserve">ESC noted the financial impact analysis suggested a cost savings to the MBS of $797 in year 1 to $1,308 in year 5. However, ESC noted that the utilisation of IMPELLA is likely to be predominately in the public hospital setting. Similarly, the comparator VA-ECMO is predominately used in a public setting. In 2022, there were 36 services for VA-ECMO first-day management (MBS item 13834), which accounted for ~19% of all Australian VA-ECMO patients captured in the EXCEL Registry that year. </w:t>
      </w:r>
    </w:p>
    <w:p w14:paraId="15ED7F28" w14:textId="77777777" w:rsidR="00932DE9" w:rsidRPr="00C86E49" w:rsidRDefault="00932DE9" w:rsidP="00932DE9">
      <w:pPr>
        <w:pStyle w:val="NormalBeforeBullet0"/>
      </w:pPr>
      <w:r w:rsidRPr="00C86E49">
        <w:t>ESC noted that the costs to the MBS may increase if:</w:t>
      </w:r>
    </w:p>
    <w:p w14:paraId="5333D6BB"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private hospitals develop appropriate facilities and expertise to manage patients in CS (which ESC considered unlikely; see discussion below), or</w:t>
      </w:r>
    </w:p>
    <w:p w14:paraId="06C19C6D" w14:textId="77777777" w:rsidR="00932DE9" w:rsidRPr="00C86E49" w:rsidRDefault="00932DE9" w:rsidP="00FA4CEF">
      <w:pPr>
        <w:pStyle w:val="Bullet"/>
        <w:numPr>
          <w:ilvl w:val="0"/>
          <w:numId w:val="16"/>
        </w:numPr>
        <w:spacing w:before="0"/>
        <w:rPr>
          <w:rFonts w:ascii="Franklin Gothic Book" w:hAnsi="Franklin Gothic Book"/>
        </w:rPr>
      </w:pPr>
      <w:r w:rsidRPr="00C86E49">
        <w:rPr>
          <w:rFonts w:ascii="Franklin Gothic Book" w:hAnsi="Franklin Gothic Book"/>
        </w:rPr>
        <w:t>IMPELLA® is used in settings where VA-ECMO is not available, or</w:t>
      </w:r>
    </w:p>
    <w:p w14:paraId="4C9AC8EE" w14:textId="77777777" w:rsidR="00932DE9" w:rsidRPr="00C86E49" w:rsidRDefault="00932DE9" w:rsidP="00FA4CEF">
      <w:pPr>
        <w:pStyle w:val="BulletLast"/>
        <w:numPr>
          <w:ilvl w:val="0"/>
          <w:numId w:val="16"/>
        </w:numPr>
      </w:pPr>
      <w:r w:rsidRPr="00C86E49">
        <w:t>ECPELLA is used pre-emptively rather than to unload patients on VA-ECMO with increased LV afterload.</w:t>
      </w:r>
    </w:p>
    <w:p w14:paraId="5626C804" w14:textId="28D417FF" w:rsidR="000F173B" w:rsidRDefault="00932DE9" w:rsidP="000F173B">
      <w:r w:rsidRPr="00C86E49">
        <w:t xml:space="preserve">ESC noted main financial impact would be to private health insurers </w:t>
      </w:r>
      <w:r w:rsidRPr="00375AEF">
        <w:t>($</w:t>
      </w:r>
      <w:r w:rsidR="001B120E" w:rsidRPr="00375AEF">
        <w:rPr>
          <w:b/>
          <w:bCs/>
        </w:rPr>
        <w:t>redacted</w:t>
      </w:r>
      <w:r w:rsidR="001B120E" w:rsidRPr="00375AEF" w:rsidDel="001B120E">
        <w:t xml:space="preserve"> </w:t>
      </w:r>
      <w:r w:rsidRPr="00C86E49">
        <w:t>in year 1 to $</w:t>
      </w:r>
      <w:r w:rsidR="001B120E" w:rsidRPr="00375AEF">
        <w:rPr>
          <w:b/>
          <w:bCs/>
        </w:rPr>
        <w:t>redacted</w:t>
      </w:r>
      <w:r w:rsidR="001B120E" w:rsidRPr="00375AEF" w:rsidDel="001B120E">
        <w:t xml:space="preserve"> </w:t>
      </w:r>
      <w:r w:rsidRPr="00C86E49">
        <w:t>in year 5) if the IMPELLA device is listed on the IMPELLA device is not currently listed on the Prescribed List of Medical Devices and Human Tissue Products (PL). However, ESC noted that the IMPELLA device’s cost of $</w:t>
      </w:r>
      <w:r w:rsidR="001B120E" w:rsidRPr="00375AEF">
        <w:rPr>
          <w:b/>
          <w:bCs/>
        </w:rPr>
        <w:t>redacted</w:t>
      </w:r>
      <w:r w:rsidR="001B120E" w:rsidRPr="00375AEF" w:rsidDel="001B120E">
        <w:t xml:space="preserve"> </w:t>
      </w:r>
      <w:r w:rsidRPr="00C86E49">
        <w:t xml:space="preserve">may fall to hospitals or be borne as out-of-pocket costs by patients if it is not listed on the PL. If to be borne by the patient, ESC questioned the ability to get informed patient financial consent for a device that costs </w:t>
      </w:r>
      <w:r w:rsidRPr="00375AEF">
        <w:t>$</w:t>
      </w:r>
      <w:r w:rsidR="00A90D07" w:rsidRPr="00375AEF">
        <w:rPr>
          <w:b/>
          <w:bCs/>
        </w:rPr>
        <w:t>redacted</w:t>
      </w:r>
      <w:r w:rsidR="00A90D07" w:rsidRPr="00375AEF" w:rsidDel="00A90D07">
        <w:t xml:space="preserve"> </w:t>
      </w:r>
      <w:r w:rsidRPr="00C86E49">
        <w:t>noting the applicant’s pre-ESC comments on the difficulty of conducting RCTs for this intervention. ESC considered that the likelihood of private hospitals providing this service in the future was low, as the private hospital would need to be collocated with an appropriate public centre, thus limiting the options. ESC also noted the Australian and New Zealand Intensive Care Society’s strong preference for IMPELLA to be delivered in the public system.</w:t>
      </w:r>
      <w:r w:rsidR="000F173B">
        <w:br w:type="page"/>
      </w:r>
    </w:p>
    <w:p w14:paraId="616803BF" w14:textId="77777777" w:rsidR="00F36F57" w:rsidRPr="00C86E49" w:rsidRDefault="00F36F57" w:rsidP="00F36F57">
      <w:pPr>
        <w:pStyle w:val="Heading2"/>
        <w:numPr>
          <w:ilvl w:val="0"/>
          <w:numId w:val="0"/>
        </w:numPr>
      </w:pPr>
      <w:r w:rsidRPr="00C86E49">
        <w:t>17.</w:t>
      </w:r>
      <w:r w:rsidRPr="00C86E49">
        <w:tab/>
        <w:t>Applicant comments on MSAC’s Public Summary Document</w:t>
      </w:r>
    </w:p>
    <w:p w14:paraId="6E64940B" w14:textId="48510933" w:rsidR="00F36F57" w:rsidRPr="00D61D0E" w:rsidRDefault="00282D40" w:rsidP="00F36F57">
      <w:pPr>
        <w:spacing w:after="240"/>
      </w:pPr>
      <w:r w:rsidRPr="00D61D0E">
        <w:t>Abiomed welcome</w:t>
      </w:r>
      <w:r w:rsidR="00FA4CEF" w:rsidRPr="00D61D0E">
        <w:t>s</w:t>
      </w:r>
      <w:r w:rsidRPr="00D61D0E">
        <w:t xml:space="preserve"> MSAC’s recommendation to create new MBS items for the insertion and removal of an IMVAD device in patients with CS. Abiomed believes this is an important step in addressing a high clinical need of improved outcomes in</w:t>
      </w:r>
      <w:r w:rsidR="00B02BA1" w:rsidRPr="00D61D0E">
        <w:t xml:space="preserve"> CS</w:t>
      </w:r>
      <w:r w:rsidRPr="00D61D0E">
        <w:t xml:space="preserve"> patients with</w:t>
      </w:r>
      <w:r w:rsidR="00B02BA1" w:rsidRPr="00D61D0E">
        <w:t xml:space="preserve"> life-threatening condition</w:t>
      </w:r>
      <w:r w:rsidRPr="00D61D0E">
        <w:t xml:space="preserve">. </w:t>
      </w:r>
      <w:r w:rsidR="00B02BA1" w:rsidRPr="00D61D0E">
        <w:t xml:space="preserve">We believe that this positive recommendation by MSAC shows a significant milestone for Abiomed in improving the outcomes </w:t>
      </w:r>
      <w:r w:rsidR="00970025" w:rsidRPr="00D61D0E">
        <w:t>for</w:t>
      </w:r>
      <w:r w:rsidR="00B02BA1" w:rsidRPr="00D61D0E">
        <w:t xml:space="preserve"> patient</w:t>
      </w:r>
      <w:r w:rsidR="00970025" w:rsidRPr="00D61D0E">
        <w:t>s</w:t>
      </w:r>
      <w:r w:rsidR="00B02BA1" w:rsidRPr="00D61D0E">
        <w:t xml:space="preserve"> with CS in Australia and a testament of the safety, clinical </w:t>
      </w:r>
      <w:r w:rsidR="00185A66" w:rsidRPr="00D61D0E">
        <w:t>effectiveness,</w:t>
      </w:r>
      <w:r w:rsidR="00B02BA1" w:rsidRPr="00D61D0E">
        <w:t xml:space="preserve"> and cost-effectiveness of Impella </w:t>
      </w:r>
      <w:r w:rsidR="00402D49" w:rsidRPr="00D61D0E">
        <w:t xml:space="preserve">and ECPELLA </w:t>
      </w:r>
      <w:r w:rsidR="00B02BA1" w:rsidRPr="00D61D0E">
        <w:t xml:space="preserve">to treat patients with CS in Australia Healthcare System. </w:t>
      </w:r>
    </w:p>
    <w:p w14:paraId="23906C26" w14:textId="77777777" w:rsidR="00F36F57" w:rsidRPr="00C86E49" w:rsidRDefault="00F36F57" w:rsidP="00F36F57">
      <w:pPr>
        <w:pStyle w:val="Heading2"/>
        <w:numPr>
          <w:ilvl w:val="0"/>
          <w:numId w:val="0"/>
        </w:numPr>
      </w:pPr>
      <w:r w:rsidRPr="00C86E49">
        <w:t>18.</w:t>
      </w:r>
      <w:r w:rsidRPr="00C86E49">
        <w:tab/>
        <w:t>Further information on MSAC</w:t>
      </w:r>
    </w:p>
    <w:p w14:paraId="619D1255" w14:textId="7841524B" w:rsidR="00932DE9" w:rsidRPr="00F36F57" w:rsidRDefault="00F36F57" w:rsidP="00F36F57">
      <w:pPr>
        <w:pStyle w:val="BodyText"/>
        <w:rPr>
          <w:rFonts w:ascii="Franklin Gothic Book" w:hAnsi="Franklin Gothic Book" w:cstheme="minorBidi"/>
          <w:b/>
          <w:bCs/>
          <w:i/>
          <w:iCs/>
          <w:sz w:val="22"/>
        </w:rPr>
      </w:pPr>
      <w:r w:rsidRPr="00C86E49">
        <w:rPr>
          <w:rFonts w:ascii="Franklin Gothic Book" w:hAnsi="Franklin Gothic Book"/>
          <w:bCs/>
          <w:iCs/>
          <w:sz w:val="22"/>
        </w:rPr>
        <w:t xml:space="preserve">MSAC Terms of Reference and other information are available on the MSAC Website: </w:t>
      </w:r>
      <w:hyperlink r:id="rId23" w:tooltip="Link to the MSAC website" w:history="1">
        <w:r w:rsidRPr="00C86E49">
          <w:rPr>
            <w:rStyle w:val="Hyperlink"/>
            <w:rFonts w:ascii="Franklin Gothic Book" w:hAnsi="Franklin Gothic Book"/>
            <w:bCs/>
            <w:iCs/>
            <w:sz w:val="22"/>
          </w:rPr>
          <w:t>visit the MSAC website</w:t>
        </w:r>
      </w:hyperlink>
    </w:p>
    <w:sectPr w:rsidR="00932DE9" w:rsidRPr="00F36F57" w:rsidSect="00B245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0841" w14:textId="77777777" w:rsidR="00E23759" w:rsidRDefault="00E23759" w:rsidP="00B62DF2">
      <w:pPr>
        <w:spacing w:after="0" w:line="240" w:lineRule="auto"/>
      </w:pPr>
      <w:r>
        <w:separator/>
      </w:r>
    </w:p>
  </w:endnote>
  <w:endnote w:type="continuationSeparator" w:id="0">
    <w:p w14:paraId="6280FCA1" w14:textId="77777777" w:rsidR="00E23759" w:rsidRDefault="00E23759" w:rsidP="00B62DF2">
      <w:pPr>
        <w:spacing w:after="0" w:line="240" w:lineRule="auto"/>
      </w:pPr>
      <w:r>
        <w:continuationSeparator/>
      </w:r>
    </w:p>
  </w:endnote>
  <w:endnote w:type="continuationNotice" w:id="1">
    <w:p w14:paraId="0EB056BF" w14:textId="77777777" w:rsidR="00E23759" w:rsidRDefault="00E237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7F20C15D" w:rsidR="005947B5" w:rsidRDefault="005947B5" w:rsidP="006A0A6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20BD3">
          <w:rPr>
            <w:noProof/>
          </w:rPr>
          <w:t>22</w:t>
        </w:r>
        <w:r>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2660EBD4" w:rsidR="005947B5" w:rsidRDefault="005947B5" w:rsidP="00052DD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20BD3">
          <w:rPr>
            <w:noProof/>
          </w:rPr>
          <w:t>21</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08F0" w14:textId="77777777" w:rsidR="00E23759" w:rsidRDefault="00E23759" w:rsidP="00B62DF2">
      <w:pPr>
        <w:spacing w:after="0" w:line="240" w:lineRule="auto"/>
      </w:pPr>
      <w:r>
        <w:separator/>
      </w:r>
    </w:p>
  </w:footnote>
  <w:footnote w:type="continuationSeparator" w:id="0">
    <w:p w14:paraId="3286397F" w14:textId="77777777" w:rsidR="00E23759" w:rsidRDefault="00E23759" w:rsidP="00B62DF2">
      <w:pPr>
        <w:spacing w:after="0" w:line="240" w:lineRule="auto"/>
      </w:pPr>
      <w:r>
        <w:continuationSeparator/>
      </w:r>
    </w:p>
  </w:footnote>
  <w:footnote w:type="continuationNotice" w:id="1">
    <w:p w14:paraId="7A6894B7" w14:textId="77777777" w:rsidR="00E23759" w:rsidRDefault="00E23759">
      <w:pPr>
        <w:spacing w:before="0" w:after="0" w:line="240" w:lineRule="auto"/>
      </w:pPr>
    </w:p>
  </w:footnote>
  <w:footnote w:id="2">
    <w:p w14:paraId="1293EF67" w14:textId="7F9BA950" w:rsidR="00554647" w:rsidRDefault="00554647">
      <w:pPr>
        <w:pStyle w:val="FootnoteText"/>
      </w:pPr>
      <w:r>
        <w:rPr>
          <w:rStyle w:val="FootnoteReference"/>
        </w:rPr>
        <w:footnoteRef/>
      </w:r>
      <w:r>
        <w:t xml:space="preserve"> </w:t>
      </w:r>
      <w:r w:rsidR="004E756E">
        <w:t xml:space="preserve">TGA Recall Reference </w:t>
      </w:r>
      <w:r w:rsidR="004E756E" w:rsidRPr="002D60BA">
        <w:t>RC-2024-RN-00205-1</w:t>
      </w:r>
    </w:p>
  </w:footnote>
  <w:footnote w:id="3">
    <w:p w14:paraId="1BC4AFAB" w14:textId="39D7470F" w:rsidR="00554647" w:rsidRDefault="00554647">
      <w:pPr>
        <w:pStyle w:val="FootnoteText"/>
      </w:pPr>
      <w:r>
        <w:rPr>
          <w:rStyle w:val="FootnoteReference"/>
        </w:rPr>
        <w:footnoteRef/>
      </w:r>
      <w:r>
        <w:t xml:space="preserve"> </w:t>
      </w:r>
      <w:r w:rsidR="004E756E" w:rsidRPr="00770C01">
        <w:t>https://www.fda.gov/medical-devices/medical-device-recalls/abiomed-recalls-instructions-use-impella-left-sided-blood-pumps-due-perforation-risks</w:t>
      </w:r>
    </w:p>
  </w:footnote>
  <w:footnote w:id="4">
    <w:p w14:paraId="7FE7F499" w14:textId="02F4453A" w:rsidR="0049040F" w:rsidRDefault="0049040F" w:rsidP="0049040F">
      <w:pPr>
        <w:pStyle w:val="FootnoteText"/>
      </w:pPr>
      <w:r w:rsidRPr="5CC1421E">
        <w:rPr>
          <w:rStyle w:val="FootnoteReference"/>
        </w:rPr>
        <w:footnoteRef/>
      </w:r>
      <w:r>
        <w:t xml:space="preserve"> </w:t>
      </w:r>
      <w:r w:rsidR="00F64FE9">
        <w:rPr>
          <w:rFonts w:eastAsiaTheme="minorEastAsia"/>
        </w:rPr>
        <w:t>Steinacher E</w:t>
      </w:r>
      <w:r w:rsidRPr="004E756E">
        <w:rPr>
          <w:rFonts w:eastAsiaTheme="minorEastAsia"/>
        </w:rPr>
        <w:t>, et al.</w:t>
      </w:r>
      <w:r w:rsidRPr="3402F3C6">
        <w:rPr>
          <w:rFonts w:eastAsiaTheme="minorEastAsia"/>
        </w:rPr>
        <w:t xml:space="preserve"> (2022)</w:t>
      </w:r>
      <w:r w:rsidRPr="004E756E">
        <w:rPr>
          <w:rFonts w:eastAsiaTheme="minorEastAsia"/>
        </w:rPr>
        <w:t xml:space="preserve"> </w:t>
      </w:r>
      <w:r w:rsidR="00F64FE9" w:rsidRPr="00F64FE9">
        <w:rPr>
          <w:rFonts w:eastAsiaTheme="minorEastAsia"/>
        </w:rPr>
        <w:t>Cardiogenic Shock Does Not Portend Poor Long-Term Survival in Patients Undergoing Primary Percutaneous Coronary Intervention</w:t>
      </w:r>
      <w:r w:rsidRPr="004E756E">
        <w:rPr>
          <w:rFonts w:eastAsiaTheme="minorEastAsia"/>
        </w:rPr>
        <w:t xml:space="preserve">. </w:t>
      </w:r>
      <w:r w:rsidR="00664784">
        <w:rPr>
          <w:rFonts w:eastAsiaTheme="minorEastAsia"/>
          <w:i/>
        </w:rPr>
        <w:t>J Pers Med</w:t>
      </w:r>
      <w:r w:rsidRPr="004E756E">
        <w:rPr>
          <w:rFonts w:eastAsiaTheme="minorEastAsia"/>
        </w:rPr>
        <w:t>;</w:t>
      </w:r>
      <w:r w:rsidRPr="0183A9A6">
        <w:rPr>
          <w:rFonts w:eastAsiaTheme="minorEastAsia"/>
        </w:rPr>
        <w:t xml:space="preserve"> </w:t>
      </w:r>
      <w:r w:rsidR="00120B0D" w:rsidRPr="00120B0D">
        <w:rPr>
          <w:rFonts w:eastAsiaTheme="minorEastAsia"/>
        </w:rPr>
        <w:t>12(8): 1193</w:t>
      </w:r>
      <w:r w:rsidRPr="004E756E">
        <w:rPr>
          <w:rFonts w:eastAsiaTheme="minorEastAsia"/>
        </w:rPr>
        <w:t>.</w:t>
      </w:r>
    </w:p>
  </w:footnote>
  <w:footnote w:id="5">
    <w:p w14:paraId="1CA8CCC9" w14:textId="123D5A66" w:rsidR="001B109F" w:rsidRPr="003D22B8" w:rsidRDefault="001B109F">
      <w:pPr>
        <w:pStyle w:val="FootnoteText"/>
      </w:pPr>
      <w:r>
        <w:rPr>
          <w:rStyle w:val="FootnoteReference"/>
        </w:rPr>
        <w:footnoteRef/>
      </w:r>
      <w:r>
        <w:t xml:space="preserve"> </w:t>
      </w:r>
      <w:r w:rsidR="00137B76" w:rsidRPr="00137B76">
        <w:t>Møller</w:t>
      </w:r>
      <w:r w:rsidR="00137B76">
        <w:t xml:space="preserve"> J et al. (2024) </w:t>
      </w:r>
      <w:r w:rsidR="005B7FD2" w:rsidRPr="005B7FD2">
        <w:t>Microaxial Flow Pump or Standard Care in Infarct-Related Cardiogenic Shock</w:t>
      </w:r>
      <w:r w:rsidR="005B7FD2">
        <w:t>.</w:t>
      </w:r>
      <w:r w:rsidR="003D22B8">
        <w:t xml:space="preserve"> </w:t>
      </w:r>
      <w:r w:rsidR="003D22B8" w:rsidRPr="003D22B8">
        <w:rPr>
          <w:i/>
          <w:iCs/>
        </w:rPr>
        <w:t>The New England Journal of Medicine.</w:t>
      </w:r>
      <w:r w:rsidR="003D22B8">
        <w:rPr>
          <w:i/>
          <w:iCs/>
        </w:rPr>
        <w:t xml:space="preserve"> </w:t>
      </w:r>
      <w:r w:rsidR="00C13F86" w:rsidRPr="00C13F86">
        <w:t>390(15):1382-1393</w:t>
      </w:r>
    </w:p>
  </w:footnote>
  <w:footnote w:id="6">
    <w:p w14:paraId="3C203BE6" w14:textId="1175A480" w:rsidR="003B45EF" w:rsidRDefault="003B45EF" w:rsidP="003B45EF">
      <w:pPr>
        <w:pStyle w:val="FootnoteText"/>
      </w:pPr>
      <w:r>
        <w:rPr>
          <w:rStyle w:val="FootnoteReference"/>
        </w:rPr>
        <w:footnoteRef/>
      </w:r>
      <w:r>
        <w:t xml:space="preserve"> </w:t>
      </w:r>
      <w:r w:rsidRPr="00AF57DD">
        <w:t xml:space="preserve">Hodgson </w:t>
      </w:r>
      <w:r w:rsidR="003C3686" w:rsidRPr="003C3686">
        <w:t>CL,</w:t>
      </w:r>
      <w:r w:rsidR="003C3686">
        <w:t xml:space="preserve"> </w:t>
      </w:r>
      <w:r w:rsidR="00656F6D">
        <w:t>et al.</w:t>
      </w:r>
      <w:r w:rsidR="005D1CD6">
        <w:t xml:space="preserve"> </w:t>
      </w:r>
      <w:r w:rsidR="00FE5E09">
        <w:t>(</w:t>
      </w:r>
      <w:r w:rsidRPr="00AF57DD">
        <w:t>2022</w:t>
      </w:r>
      <w:r w:rsidR="00FE5E09">
        <w:t>)</w:t>
      </w:r>
      <w:r w:rsidRPr="00AF57DD">
        <w:t xml:space="preserve"> </w:t>
      </w:r>
      <w:r w:rsidRPr="008D3E5C">
        <w:rPr>
          <w:i/>
        </w:rPr>
        <w:t>The EXCEL Registry Report 2019-2021</w:t>
      </w:r>
      <w:r w:rsidR="006545CA">
        <w:t>,</w:t>
      </w:r>
      <w:r w:rsidRPr="00AF57DD">
        <w:t xml:space="preserve"> Monash University, Australian and New Zealand Intensive Care Research Centre. Report No 3, 30 pages.</w:t>
      </w:r>
    </w:p>
  </w:footnote>
  <w:footnote w:id="7">
    <w:p w14:paraId="5A43E48C" w14:textId="6934796C" w:rsidR="00634797" w:rsidRDefault="00634797">
      <w:pPr>
        <w:pStyle w:val="FootnoteText"/>
      </w:pPr>
      <w:r>
        <w:rPr>
          <w:rStyle w:val="FootnoteReference"/>
        </w:rPr>
        <w:footnoteRef/>
      </w:r>
      <w:r>
        <w:t xml:space="preserve"> </w:t>
      </w:r>
      <w:r w:rsidRPr="00634797">
        <w:t xml:space="preserve">Ezad </w:t>
      </w:r>
      <w:r w:rsidR="004870F9" w:rsidRPr="004870F9">
        <w:t>SM</w:t>
      </w:r>
      <w:r w:rsidR="00A55744">
        <w:t xml:space="preserve"> et al.</w:t>
      </w:r>
      <w:r w:rsidR="004870F9" w:rsidRPr="004870F9">
        <w:t xml:space="preserve"> </w:t>
      </w:r>
      <w:r w:rsidRPr="00634797">
        <w:t xml:space="preserve">(2023) </w:t>
      </w:r>
      <w:r w:rsidR="00D70EDD">
        <w:t>‘</w:t>
      </w:r>
      <w:r w:rsidRPr="00634797">
        <w:t>Unloading the left ventricle in venoarterial ECMO: In whom, when and how?</w:t>
      </w:r>
      <w:r w:rsidR="00D70EDD">
        <w:t>’</w:t>
      </w:r>
      <w:r w:rsidR="00B134F7">
        <w:t>,</w:t>
      </w:r>
      <w:r w:rsidRPr="00634797">
        <w:t xml:space="preserve"> </w:t>
      </w:r>
      <w:r w:rsidRPr="00ED17FF">
        <w:rPr>
          <w:i/>
        </w:rPr>
        <w:t>Circulation</w:t>
      </w:r>
      <w:r w:rsidRPr="00634797">
        <w:t>, 147</w:t>
      </w:r>
      <w:r w:rsidR="00021ED6">
        <w:t>(16)</w:t>
      </w:r>
      <w:r w:rsidRPr="00634797">
        <w:t>:1237-1250</w:t>
      </w:r>
      <w:r w:rsidR="009F7105">
        <w:t>,</w:t>
      </w:r>
      <w:r w:rsidRPr="00634797">
        <w:t xml:space="preserve"> </w:t>
      </w:r>
      <w:r w:rsidR="0066616A">
        <w:t>doi</w:t>
      </w:r>
      <w:r w:rsidRPr="00634797">
        <w:t>: 10.1161/CIRCULATIONAHA.122.062371</w:t>
      </w:r>
      <w:r w:rsidR="00695DE6">
        <w:t>.</w:t>
      </w:r>
    </w:p>
  </w:footnote>
  <w:footnote w:id="8">
    <w:p w14:paraId="35746B17" w14:textId="65170E3C" w:rsidR="004B5D0F" w:rsidRDefault="004B5D0F">
      <w:pPr>
        <w:pStyle w:val="FootnoteText"/>
      </w:pPr>
      <w:r>
        <w:rPr>
          <w:rStyle w:val="FootnoteReference"/>
        </w:rPr>
        <w:footnoteRef/>
      </w:r>
      <w:r>
        <w:t xml:space="preserve"> SAVE score variables included diagnosis, age, weight, haemodynamics, respiratory values, renal </w:t>
      </w:r>
      <w:proofErr w:type="gramStart"/>
      <w:r>
        <w:t>conditions</w:t>
      </w:r>
      <w:proofErr w:type="gramEnd"/>
      <w:r>
        <w:t xml:space="preserve"> and other organ failures.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DE00"/>
    <w:multiLevelType w:val="hybridMultilevel"/>
    <w:tmpl w:val="3662B2F8"/>
    <w:lvl w:ilvl="0" w:tplc="7E6A3322">
      <w:start w:val="1"/>
      <w:numFmt w:val="decimal"/>
      <w:lvlText w:val="%1."/>
      <w:lvlJc w:val="left"/>
      <w:pPr>
        <w:ind w:left="720" w:hanging="360"/>
      </w:pPr>
    </w:lvl>
    <w:lvl w:ilvl="1" w:tplc="ECDA1D44">
      <w:start w:val="1"/>
      <w:numFmt w:val="lowerRoman"/>
      <w:lvlText w:val="%2."/>
      <w:lvlJc w:val="right"/>
      <w:pPr>
        <w:ind w:left="1440" w:hanging="360"/>
      </w:pPr>
    </w:lvl>
    <w:lvl w:ilvl="2" w:tplc="1FFEB770">
      <w:start w:val="1"/>
      <w:numFmt w:val="lowerRoman"/>
      <w:lvlText w:val="%3."/>
      <w:lvlJc w:val="right"/>
      <w:pPr>
        <w:ind w:left="2160" w:hanging="180"/>
      </w:pPr>
    </w:lvl>
    <w:lvl w:ilvl="3" w:tplc="F766CF44">
      <w:start w:val="1"/>
      <w:numFmt w:val="decimal"/>
      <w:lvlText w:val="%4."/>
      <w:lvlJc w:val="left"/>
      <w:pPr>
        <w:ind w:left="2880" w:hanging="360"/>
      </w:pPr>
    </w:lvl>
    <w:lvl w:ilvl="4" w:tplc="097E66C0">
      <w:start w:val="1"/>
      <w:numFmt w:val="lowerLetter"/>
      <w:lvlText w:val="%5."/>
      <w:lvlJc w:val="left"/>
      <w:pPr>
        <w:ind w:left="3600" w:hanging="360"/>
      </w:pPr>
    </w:lvl>
    <w:lvl w:ilvl="5" w:tplc="5B4ABBB4">
      <w:start w:val="1"/>
      <w:numFmt w:val="lowerRoman"/>
      <w:lvlText w:val="%6."/>
      <w:lvlJc w:val="right"/>
      <w:pPr>
        <w:ind w:left="4320" w:hanging="180"/>
      </w:pPr>
    </w:lvl>
    <w:lvl w:ilvl="6" w:tplc="662C2752">
      <w:start w:val="1"/>
      <w:numFmt w:val="decimal"/>
      <w:lvlText w:val="%7."/>
      <w:lvlJc w:val="left"/>
      <w:pPr>
        <w:ind w:left="5040" w:hanging="360"/>
      </w:pPr>
    </w:lvl>
    <w:lvl w:ilvl="7" w:tplc="F0F45C86">
      <w:start w:val="1"/>
      <w:numFmt w:val="lowerLetter"/>
      <w:lvlText w:val="%8."/>
      <w:lvlJc w:val="left"/>
      <w:pPr>
        <w:ind w:left="5760" w:hanging="360"/>
      </w:pPr>
    </w:lvl>
    <w:lvl w:ilvl="8" w:tplc="1E2252D2">
      <w:start w:val="1"/>
      <w:numFmt w:val="lowerRoman"/>
      <w:lvlText w:val="%9."/>
      <w:lvlJc w:val="right"/>
      <w:pPr>
        <w:ind w:left="6480" w:hanging="180"/>
      </w:p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6C2487"/>
    <w:multiLevelType w:val="hybridMultilevel"/>
    <w:tmpl w:val="1C80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8B73B5"/>
    <w:multiLevelType w:val="hybridMultilevel"/>
    <w:tmpl w:val="AFE099E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DB820A7"/>
    <w:multiLevelType w:val="hybridMultilevel"/>
    <w:tmpl w:val="D26888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FF041C9"/>
    <w:multiLevelType w:val="hybridMultilevel"/>
    <w:tmpl w:val="0BD65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A520CD"/>
    <w:multiLevelType w:val="hybridMultilevel"/>
    <w:tmpl w:val="03E01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147D"/>
    <w:multiLevelType w:val="hybridMultilevel"/>
    <w:tmpl w:val="473E6FA2"/>
    <w:lvl w:ilvl="0" w:tplc="2D740FB4">
      <w:start w:val="1"/>
      <w:numFmt w:val="bullet"/>
      <w:lvlText w:val=""/>
      <w:lvlJc w:val="left"/>
      <w:pPr>
        <w:ind w:left="720" w:hanging="360"/>
      </w:pPr>
      <w:rPr>
        <w:rFonts w:ascii="Symbol" w:hAnsi="Symbol"/>
      </w:rPr>
    </w:lvl>
    <w:lvl w:ilvl="1" w:tplc="E2FA2750">
      <w:start w:val="1"/>
      <w:numFmt w:val="bullet"/>
      <w:lvlText w:val=""/>
      <w:lvlJc w:val="left"/>
      <w:pPr>
        <w:ind w:left="720" w:hanging="360"/>
      </w:pPr>
      <w:rPr>
        <w:rFonts w:ascii="Symbol" w:hAnsi="Symbol"/>
      </w:rPr>
    </w:lvl>
    <w:lvl w:ilvl="2" w:tplc="81005FC2">
      <w:start w:val="1"/>
      <w:numFmt w:val="bullet"/>
      <w:lvlText w:val=""/>
      <w:lvlJc w:val="left"/>
      <w:pPr>
        <w:ind w:left="720" w:hanging="360"/>
      </w:pPr>
      <w:rPr>
        <w:rFonts w:ascii="Symbol" w:hAnsi="Symbol"/>
      </w:rPr>
    </w:lvl>
    <w:lvl w:ilvl="3" w:tplc="FF60B738">
      <w:start w:val="1"/>
      <w:numFmt w:val="bullet"/>
      <w:lvlText w:val=""/>
      <w:lvlJc w:val="left"/>
      <w:pPr>
        <w:ind w:left="720" w:hanging="360"/>
      </w:pPr>
      <w:rPr>
        <w:rFonts w:ascii="Symbol" w:hAnsi="Symbol"/>
      </w:rPr>
    </w:lvl>
    <w:lvl w:ilvl="4" w:tplc="74AECEB0">
      <w:start w:val="1"/>
      <w:numFmt w:val="bullet"/>
      <w:lvlText w:val=""/>
      <w:lvlJc w:val="left"/>
      <w:pPr>
        <w:ind w:left="720" w:hanging="360"/>
      </w:pPr>
      <w:rPr>
        <w:rFonts w:ascii="Symbol" w:hAnsi="Symbol"/>
      </w:rPr>
    </w:lvl>
    <w:lvl w:ilvl="5" w:tplc="BBC62860">
      <w:start w:val="1"/>
      <w:numFmt w:val="bullet"/>
      <w:lvlText w:val=""/>
      <w:lvlJc w:val="left"/>
      <w:pPr>
        <w:ind w:left="720" w:hanging="360"/>
      </w:pPr>
      <w:rPr>
        <w:rFonts w:ascii="Symbol" w:hAnsi="Symbol"/>
      </w:rPr>
    </w:lvl>
    <w:lvl w:ilvl="6" w:tplc="3EE0A894">
      <w:start w:val="1"/>
      <w:numFmt w:val="bullet"/>
      <w:lvlText w:val=""/>
      <w:lvlJc w:val="left"/>
      <w:pPr>
        <w:ind w:left="720" w:hanging="360"/>
      </w:pPr>
      <w:rPr>
        <w:rFonts w:ascii="Symbol" w:hAnsi="Symbol"/>
      </w:rPr>
    </w:lvl>
    <w:lvl w:ilvl="7" w:tplc="C656708A">
      <w:start w:val="1"/>
      <w:numFmt w:val="bullet"/>
      <w:lvlText w:val=""/>
      <w:lvlJc w:val="left"/>
      <w:pPr>
        <w:ind w:left="720" w:hanging="360"/>
      </w:pPr>
      <w:rPr>
        <w:rFonts w:ascii="Symbol" w:hAnsi="Symbol"/>
      </w:rPr>
    </w:lvl>
    <w:lvl w:ilvl="8" w:tplc="DEB0C50C">
      <w:start w:val="1"/>
      <w:numFmt w:val="bullet"/>
      <w:lvlText w:val=""/>
      <w:lvlJc w:val="left"/>
      <w:pPr>
        <w:ind w:left="720" w:hanging="360"/>
      </w:pPr>
      <w:rPr>
        <w:rFonts w:ascii="Symbol" w:hAnsi="Symbol"/>
      </w:rPr>
    </w:lvl>
  </w:abstractNum>
  <w:abstractNum w:abstractNumId="14" w15:restartNumberingAfterBreak="0">
    <w:nsid w:val="4467762D"/>
    <w:multiLevelType w:val="hybridMultilevel"/>
    <w:tmpl w:val="93AE2704"/>
    <w:lvl w:ilvl="0" w:tplc="7DA220AC">
      <w:start w:val="1"/>
      <w:numFmt w:val="lowerLetter"/>
      <w:lvlText w:val="%1)"/>
      <w:lvlJc w:val="left"/>
      <w:pPr>
        <w:ind w:left="720" w:hanging="360"/>
      </w:pPr>
      <w:rPr>
        <w:color w:val="auto"/>
      </w:rPr>
    </w:lvl>
    <w:lvl w:ilvl="1" w:tplc="1FDA4ABA">
      <w:start w:val="1"/>
      <w:numFmt w:val="lowerRoman"/>
      <w:lvlText w:val="%2."/>
      <w:lvlJc w:val="right"/>
      <w:pPr>
        <w:ind w:left="1440" w:hanging="360"/>
      </w:pPr>
      <w:rPr>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F1AF56A"/>
    <w:multiLevelType w:val="hybridMultilevel"/>
    <w:tmpl w:val="0D34C016"/>
    <w:lvl w:ilvl="0" w:tplc="9C088358">
      <w:start w:val="1"/>
      <w:numFmt w:val="decimal"/>
      <w:lvlText w:val="%1."/>
      <w:lvlJc w:val="left"/>
      <w:pPr>
        <w:ind w:left="720" w:hanging="360"/>
      </w:pPr>
    </w:lvl>
    <w:lvl w:ilvl="1" w:tplc="3482E2B8">
      <w:start w:val="1"/>
      <w:numFmt w:val="lowerRoman"/>
      <w:lvlText w:val="%2."/>
      <w:lvlJc w:val="right"/>
      <w:pPr>
        <w:ind w:left="1440" w:hanging="360"/>
      </w:pPr>
    </w:lvl>
    <w:lvl w:ilvl="2" w:tplc="3FB4345E">
      <w:start w:val="1"/>
      <w:numFmt w:val="lowerRoman"/>
      <w:lvlText w:val="%3."/>
      <w:lvlJc w:val="right"/>
      <w:pPr>
        <w:ind w:left="2160" w:hanging="180"/>
      </w:pPr>
    </w:lvl>
    <w:lvl w:ilvl="3" w:tplc="72208F6A">
      <w:start w:val="1"/>
      <w:numFmt w:val="decimal"/>
      <w:lvlText w:val="%4."/>
      <w:lvlJc w:val="left"/>
      <w:pPr>
        <w:ind w:left="2880" w:hanging="360"/>
      </w:pPr>
    </w:lvl>
    <w:lvl w:ilvl="4" w:tplc="5F6C058E">
      <w:start w:val="1"/>
      <w:numFmt w:val="lowerLetter"/>
      <w:lvlText w:val="%5."/>
      <w:lvlJc w:val="left"/>
      <w:pPr>
        <w:ind w:left="3600" w:hanging="360"/>
      </w:pPr>
    </w:lvl>
    <w:lvl w:ilvl="5" w:tplc="56929F04">
      <w:start w:val="1"/>
      <w:numFmt w:val="lowerRoman"/>
      <w:lvlText w:val="%6."/>
      <w:lvlJc w:val="right"/>
      <w:pPr>
        <w:ind w:left="4320" w:hanging="180"/>
      </w:pPr>
    </w:lvl>
    <w:lvl w:ilvl="6" w:tplc="CFAC6E32">
      <w:start w:val="1"/>
      <w:numFmt w:val="decimal"/>
      <w:lvlText w:val="%7."/>
      <w:lvlJc w:val="left"/>
      <w:pPr>
        <w:ind w:left="5040" w:hanging="360"/>
      </w:pPr>
    </w:lvl>
    <w:lvl w:ilvl="7" w:tplc="D0165F9E">
      <w:start w:val="1"/>
      <w:numFmt w:val="lowerLetter"/>
      <w:lvlText w:val="%8."/>
      <w:lvlJc w:val="left"/>
      <w:pPr>
        <w:ind w:left="5760" w:hanging="360"/>
      </w:pPr>
    </w:lvl>
    <w:lvl w:ilvl="8" w:tplc="A5D44CE8">
      <w:start w:val="1"/>
      <w:numFmt w:val="lowerRoman"/>
      <w:lvlText w:val="%9."/>
      <w:lvlJc w:val="right"/>
      <w:pPr>
        <w:ind w:left="6480" w:hanging="180"/>
      </w:pPr>
    </w:lvl>
  </w:abstractNum>
  <w:abstractNum w:abstractNumId="17" w15:restartNumberingAfterBreak="0">
    <w:nsid w:val="5663654E"/>
    <w:multiLevelType w:val="hybridMultilevel"/>
    <w:tmpl w:val="42D07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61C51"/>
    <w:multiLevelType w:val="hybridMultilevel"/>
    <w:tmpl w:val="0CD6B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1A4FEC"/>
    <w:multiLevelType w:val="hybridMultilevel"/>
    <w:tmpl w:val="D0A02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56245"/>
    <w:multiLevelType w:val="hybridMultilevel"/>
    <w:tmpl w:val="7178802E"/>
    <w:lvl w:ilvl="0" w:tplc="2EE8C574">
      <w:start w:val="1"/>
      <w:numFmt w:val="lowerLetter"/>
      <w:lvlText w:val="(%1)"/>
      <w:lvlJc w:val="left"/>
      <w:pPr>
        <w:ind w:left="585" w:hanging="360"/>
      </w:pPr>
      <w:rPr>
        <w:rFonts w:ascii="Arial Narrow" w:hAnsi="Arial Narrow" w:hint="default"/>
        <w:sz w:val="20"/>
      </w:rPr>
    </w:lvl>
    <w:lvl w:ilvl="1" w:tplc="0C090019" w:tentative="1">
      <w:start w:val="1"/>
      <w:numFmt w:val="lowerLetter"/>
      <w:lvlText w:val="%2."/>
      <w:lvlJc w:val="left"/>
      <w:pPr>
        <w:ind w:left="1305" w:hanging="360"/>
      </w:pPr>
    </w:lvl>
    <w:lvl w:ilvl="2" w:tplc="0C09001B" w:tentative="1">
      <w:start w:val="1"/>
      <w:numFmt w:val="lowerRoman"/>
      <w:lvlText w:val="%3."/>
      <w:lvlJc w:val="right"/>
      <w:pPr>
        <w:ind w:left="2025" w:hanging="180"/>
      </w:pPr>
    </w:lvl>
    <w:lvl w:ilvl="3" w:tplc="0C09000F" w:tentative="1">
      <w:start w:val="1"/>
      <w:numFmt w:val="decimal"/>
      <w:lvlText w:val="%4."/>
      <w:lvlJc w:val="left"/>
      <w:pPr>
        <w:ind w:left="2745" w:hanging="360"/>
      </w:pPr>
    </w:lvl>
    <w:lvl w:ilvl="4" w:tplc="0C090019" w:tentative="1">
      <w:start w:val="1"/>
      <w:numFmt w:val="lowerLetter"/>
      <w:lvlText w:val="%5."/>
      <w:lvlJc w:val="left"/>
      <w:pPr>
        <w:ind w:left="3465" w:hanging="360"/>
      </w:pPr>
    </w:lvl>
    <w:lvl w:ilvl="5" w:tplc="0C09001B" w:tentative="1">
      <w:start w:val="1"/>
      <w:numFmt w:val="lowerRoman"/>
      <w:lvlText w:val="%6."/>
      <w:lvlJc w:val="right"/>
      <w:pPr>
        <w:ind w:left="4185" w:hanging="180"/>
      </w:pPr>
    </w:lvl>
    <w:lvl w:ilvl="6" w:tplc="0C09000F" w:tentative="1">
      <w:start w:val="1"/>
      <w:numFmt w:val="decimal"/>
      <w:lvlText w:val="%7."/>
      <w:lvlJc w:val="left"/>
      <w:pPr>
        <w:ind w:left="4905" w:hanging="360"/>
      </w:pPr>
    </w:lvl>
    <w:lvl w:ilvl="7" w:tplc="0C090019" w:tentative="1">
      <w:start w:val="1"/>
      <w:numFmt w:val="lowerLetter"/>
      <w:lvlText w:val="%8."/>
      <w:lvlJc w:val="left"/>
      <w:pPr>
        <w:ind w:left="5625" w:hanging="360"/>
      </w:pPr>
    </w:lvl>
    <w:lvl w:ilvl="8" w:tplc="0C09001B" w:tentative="1">
      <w:start w:val="1"/>
      <w:numFmt w:val="lowerRoman"/>
      <w:lvlText w:val="%9."/>
      <w:lvlJc w:val="right"/>
      <w:pPr>
        <w:ind w:left="6345" w:hanging="180"/>
      </w:pPr>
    </w:lvl>
  </w:abstractNum>
  <w:abstractNum w:abstractNumId="21" w15:restartNumberingAfterBreak="0">
    <w:nsid w:val="5F6F6CF4"/>
    <w:multiLevelType w:val="hybridMultilevel"/>
    <w:tmpl w:val="512A4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134CF6"/>
    <w:multiLevelType w:val="hybridMultilevel"/>
    <w:tmpl w:val="A1FCC9BC"/>
    <w:lvl w:ilvl="0" w:tplc="A95251CC">
      <w:start w:val="1"/>
      <w:numFmt w:val="bullet"/>
      <w:lvlText w:val=""/>
      <w:lvlJc w:val="left"/>
      <w:pPr>
        <w:ind w:left="720" w:hanging="360"/>
      </w:pPr>
      <w:rPr>
        <w:rFonts w:ascii="Symbol" w:hAnsi="Symbol"/>
      </w:rPr>
    </w:lvl>
    <w:lvl w:ilvl="1" w:tplc="88C8FEF0">
      <w:start w:val="1"/>
      <w:numFmt w:val="bullet"/>
      <w:lvlText w:val=""/>
      <w:lvlJc w:val="left"/>
      <w:pPr>
        <w:ind w:left="720" w:hanging="360"/>
      </w:pPr>
      <w:rPr>
        <w:rFonts w:ascii="Symbol" w:hAnsi="Symbol"/>
      </w:rPr>
    </w:lvl>
    <w:lvl w:ilvl="2" w:tplc="06C2BB74">
      <w:start w:val="1"/>
      <w:numFmt w:val="bullet"/>
      <w:lvlText w:val=""/>
      <w:lvlJc w:val="left"/>
      <w:pPr>
        <w:ind w:left="720" w:hanging="360"/>
      </w:pPr>
      <w:rPr>
        <w:rFonts w:ascii="Symbol" w:hAnsi="Symbol"/>
      </w:rPr>
    </w:lvl>
    <w:lvl w:ilvl="3" w:tplc="FE36E52C">
      <w:start w:val="1"/>
      <w:numFmt w:val="bullet"/>
      <w:lvlText w:val=""/>
      <w:lvlJc w:val="left"/>
      <w:pPr>
        <w:ind w:left="720" w:hanging="360"/>
      </w:pPr>
      <w:rPr>
        <w:rFonts w:ascii="Symbol" w:hAnsi="Symbol"/>
      </w:rPr>
    </w:lvl>
    <w:lvl w:ilvl="4" w:tplc="6E3A344E">
      <w:start w:val="1"/>
      <w:numFmt w:val="bullet"/>
      <w:lvlText w:val=""/>
      <w:lvlJc w:val="left"/>
      <w:pPr>
        <w:ind w:left="720" w:hanging="360"/>
      </w:pPr>
      <w:rPr>
        <w:rFonts w:ascii="Symbol" w:hAnsi="Symbol"/>
      </w:rPr>
    </w:lvl>
    <w:lvl w:ilvl="5" w:tplc="E8A21DC6">
      <w:start w:val="1"/>
      <w:numFmt w:val="bullet"/>
      <w:lvlText w:val=""/>
      <w:lvlJc w:val="left"/>
      <w:pPr>
        <w:ind w:left="720" w:hanging="360"/>
      </w:pPr>
      <w:rPr>
        <w:rFonts w:ascii="Symbol" w:hAnsi="Symbol"/>
      </w:rPr>
    </w:lvl>
    <w:lvl w:ilvl="6" w:tplc="92C295FC">
      <w:start w:val="1"/>
      <w:numFmt w:val="bullet"/>
      <w:lvlText w:val=""/>
      <w:lvlJc w:val="left"/>
      <w:pPr>
        <w:ind w:left="720" w:hanging="360"/>
      </w:pPr>
      <w:rPr>
        <w:rFonts w:ascii="Symbol" w:hAnsi="Symbol"/>
      </w:rPr>
    </w:lvl>
    <w:lvl w:ilvl="7" w:tplc="607AC090">
      <w:start w:val="1"/>
      <w:numFmt w:val="bullet"/>
      <w:lvlText w:val=""/>
      <w:lvlJc w:val="left"/>
      <w:pPr>
        <w:ind w:left="720" w:hanging="360"/>
      </w:pPr>
      <w:rPr>
        <w:rFonts w:ascii="Symbol" w:hAnsi="Symbol"/>
      </w:rPr>
    </w:lvl>
    <w:lvl w:ilvl="8" w:tplc="0D84E3F6">
      <w:start w:val="1"/>
      <w:numFmt w:val="bullet"/>
      <w:lvlText w:val=""/>
      <w:lvlJc w:val="left"/>
      <w:pPr>
        <w:ind w:left="720" w:hanging="360"/>
      </w:pPr>
      <w:rPr>
        <w:rFonts w:ascii="Symbol" w:hAnsi="Symbol"/>
      </w:rPr>
    </w:lvl>
  </w:abstractNum>
  <w:abstractNum w:abstractNumId="23" w15:restartNumberingAfterBreak="0">
    <w:nsid w:val="626751CE"/>
    <w:multiLevelType w:val="hybridMultilevel"/>
    <w:tmpl w:val="17DA8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721E50"/>
    <w:multiLevelType w:val="hybridMultilevel"/>
    <w:tmpl w:val="68EE0896"/>
    <w:lvl w:ilvl="0" w:tplc="0C090003">
      <w:start w:val="1"/>
      <w:numFmt w:val="bullet"/>
      <w:lvlText w:val="o"/>
      <w:lvlJc w:val="left"/>
      <w:pPr>
        <w:tabs>
          <w:tab w:val="num" w:pos="357"/>
        </w:tabs>
        <w:ind w:left="357" w:hanging="357"/>
      </w:pPr>
      <w:rPr>
        <w:rFonts w:ascii="Courier New" w:hAnsi="Courier New" w:cs="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3927673"/>
    <w:multiLevelType w:val="hybridMultilevel"/>
    <w:tmpl w:val="C666E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934C8E"/>
    <w:multiLevelType w:val="hybridMultilevel"/>
    <w:tmpl w:val="DD662E46"/>
    <w:lvl w:ilvl="0" w:tplc="AF20E33E">
      <w:start w:val="1"/>
      <w:numFmt w:val="lowerLetter"/>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01C72"/>
    <w:multiLevelType w:val="hybridMultilevel"/>
    <w:tmpl w:val="FA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459765719">
    <w:abstractNumId w:val="11"/>
  </w:num>
  <w:num w:numId="2" w16cid:durableId="1821577903">
    <w:abstractNumId w:val="30"/>
  </w:num>
  <w:num w:numId="3" w16cid:durableId="1859151656">
    <w:abstractNumId w:val="1"/>
  </w:num>
  <w:num w:numId="4" w16cid:durableId="1097793710">
    <w:abstractNumId w:val="4"/>
  </w:num>
  <w:num w:numId="5" w16cid:durableId="1593010890">
    <w:abstractNumId w:val="27"/>
  </w:num>
  <w:num w:numId="6" w16cid:durableId="1743792066">
    <w:abstractNumId w:val="5"/>
  </w:num>
  <w:num w:numId="7" w16cid:durableId="533688869">
    <w:abstractNumId w:val="7"/>
  </w:num>
  <w:num w:numId="8" w16cid:durableId="172233918">
    <w:abstractNumId w:val="10"/>
  </w:num>
  <w:num w:numId="9" w16cid:durableId="1806268690">
    <w:abstractNumId w:val="15"/>
  </w:num>
  <w:num w:numId="10" w16cid:durableId="1240018114">
    <w:abstractNumId w:val="17"/>
  </w:num>
  <w:num w:numId="11" w16cid:durableId="846165966">
    <w:abstractNumId w:val="21"/>
  </w:num>
  <w:num w:numId="12" w16cid:durableId="1168445584">
    <w:abstractNumId w:val="3"/>
  </w:num>
  <w:num w:numId="13" w16cid:durableId="1675378036">
    <w:abstractNumId w:val="19"/>
  </w:num>
  <w:num w:numId="14" w16cid:durableId="346830148">
    <w:abstractNumId w:val="8"/>
  </w:num>
  <w:num w:numId="15" w16cid:durableId="976492089">
    <w:abstractNumId w:val="12"/>
  </w:num>
  <w:num w:numId="16" w16cid:durableId="755126233">
    <w:abstractNumId w:val="28"/>
  </w:num>
  <w:num w:numId="17" w16cid:durableId="47995664">
    <w:abstractNumId w:val="2"/>
  </w:num>
  <w:num w:numId="18" w16cid:durableId="376782427">
    <w:abstractNumId w:val="25"/>
  </w:num>
  <w:num w:numId="19" w16cid:durableId="595291218">
    <w:abstractNumId w:val="20"/>
  </w:num>
  <w:num w:numId="20" w16cid:durableId="1240558879">
    <w:abstractNumId w:val="26"/>
  </w:num>
  <w:num w:numId="21" w16cid:durableId="802312062">
    <w:abstractNumId w:val="16"/>
  </w:num>
  <w:num w:numId="22" w16cid:durableId="1674525256">
    <w:abstractNumId w:val="0"/>
  </w:num>
  <w:num w:numId="23" w16cid:durableId="542642815">
    <w:abstractNumId w:val="24"/>
  </w:num>
  <w:num w:numId="24" w16cid:durableId="1663269">
    <w:abstractNumId w:val="29"/>
  </w:num>
  <w:num w:numId="25" w16cid:durableId="510414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037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18107">
    <w:abstractNumId w:val="9"/>
  </w:num>
  <w:num w:numId="28" w16cid:durableId="1311666739">
    <w:abstractNumId w:val="18"/>
  </w:num>
  <w:num w:numId="29" w16cid:durableId="1229225864">
    <w:abstractNumId w:val="23"/>
  </w:num>
  <w:num w:numId="30" w16cid:durableId="92166737">
    <w:abstractNumId w:val="22"/>
  </w:num>
  <w:num w:numId="31" w16cid:durableId="207057271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4CE"/>
    <w:rsid w:val="000009CF"/>
    <w:rsid w:val="0000109A"/>
    <w:rsid w:val="00001241"/>
    <w:rsid w:val="00001316"/>
    <w:rsid w:val="0000193A"/>
    <w:rsid w:val="00001AE6"/>
    <w:rsid w:val="00001BD1"/>
    <w:rsid w:val="00001D55"/>
    <w:rsid w:val="0000223A"/>
    <w:rsid w:val="00002932"/>
    <w:rsid w:val="00002A1A"/>
    <w:rsid w:val="00002A83"/>
    <w:rsid w:val="00002FD9"/>
    <w:rsid w:val="0000321E"/>
    <w:rsid w:val="0000330C"/>
    <w:rsid w:val="0000362A"/>
    <w:rsid w:val="000039CD"/>
    <w:rsid w:val="000039E4"/>
    <w:rsid w:val="00003A6E"/>
    <w:rsid w:val="00003B89"/>
    <w:rsid w:val="00003F2D"/>
    <w:rsid w:val="000049FA"/>
    <w:rsid w:val="00004D69"/>
    <w:rsid w:val="00004F7F"/>
    <w:rsid w:val="0000538C"/>
    <w:rsid w:val="000054C9"/>
    <w:rsid w:val="00005D31"/>
    <w:rsid w:val="00006002"/>
    <w:rsid w:val="0000612B"/>
    <w:rsid w:val="000061B6"/>
    <w:rsid w:val="000066B7"/>
    <w:rsid w:val="000067B8"/>
    <w:rsid w:val="00006B8A"/>
    <w:rsid w:val="00006E71"/>
    <w:rsid w:val="000071A9"/>
    <w:rsid w:val="000075B9"/>
    <w:rsid w:val="000076B2"/>
    <w:rsid w:val="000079D8"/>
    <w:rsid w:val="00007E97"/>
    <w:rsid w:val="00007F28"/>
    <w:rsid w:val="0001013A"/>
    <w:rsid w:val="000106CF"/>
    <w:rsid w:val="0001076A"/>
    <w:rsid w:val="000107B2"/>
    <w:rsid w:val="000109A8"/>
    <w:rsid w:val="00010FA3"/>
    <w:rsid w:val="00011568"/>
    <w:rsid w:val="000116FE"/>
    <w:rsid w:val="0001179E"/>
    <w:rsid w:val="00011DDC"/>
    <w:rsid w:val="0001206D"/>
    <w:rsid w:val="000125AA"/>
    <w:rsid w:val="00012681"/>
    <w:rsid w:val="00012A92"/>
    <w:rsid w:val="00012D68"/>
    <w:rsid w:val="00012EC1"/>
    <w:rsid w:val="0001305F"/>
    <w:rsid w:val="000132D6"/>
    <w:rsid w:val="00013474"/>
    <w:rsid w:val="000134C2"/>
    <w:rsid w:val="000137E7"/>
    <w:rsid w:val="00013844"/>
    <w:rsid w:val="00014974"/>
    <w:rsid w:val="00014C3D"/>
    <w:rsid w:val="00014C74"/>
    <w:rsid w:val="00015154"/>
    <w:rsid w:val="0001562F"/>
    <w:rsid w:val="00015793"/>
    <w:rsid w:val="00015E92"/>
    <w:rsid w:val="00015F65"/>
    <w:rsid w:val="00016171"/>
    <w:rsid w:val="000164A2"/>
    <w:rsid w:val="00016AAE"/>
    <w:rsid w:val="00016EE7"/>
    <w:rsid w:val="000179C3"/>
    <w:rsid w:val="00017CA3"/>
    <w:rsid w:val="0002013C"/>
    <w:rsid w:val="00020CBF"/>
    <w:rsid w:val="000211E6"/>
    <w:rsid w:val="00021259"/>
    <w:rsid w:val="00021A92"/>
    <w:rsid w:val="00021D44"/>
    <w:rsid w:val="00021E1F"/>
    <w:rsid w:val="00021ED6"/>
    <w:rsid w:val="00022113"/>
    <w:rsid w:val="0002213D"/>
    <w:rsid w:val="00022279"/>
    <w:rsid w:val="000228B8"/>
    <w:rsid w:val="00022B9E"/>
    <w:rsid w:val="00022C69"/>
    <w:rsid w:val="00022D19"/>
    <w:rsid w:val="00023056"/>
    <w:rsid w:val="00023165"/>
    <w:rsid w:val="0002357B"/>
    <w:rsid w:val="000236E0"/>
    <w:rsid w:val="0002381B"/>
    <w:rsid w:val="00023BFF"/>
    <w:rsid w:val="00024031"/>
    <w:rsid w:val="00024514"/>
    <w:rsid w:val="00024AFB"/>
    <w:rsid w:val="00024EA5"/>
    <w:rsid w:val="00024F19"/>
    <w:rsid w:val="00024F52"/>
    <w:rsid w:val="000255A3"/>
    <w:rsid w:val="00025C8E"/>
    <w:rsid w:val="00025D0F"/>
    <w:rsid w:val="00026073"/>
    <w:rsid w:val="000261CE"/>
    <w:rsid w:val="00026494"/>
    <w:rsid w:val="000266DD"/>
    <w:rsid w:val="00026931"/>
    <w:rsid w:val="000269B4"/>
    <w:rsid w:val="00026BBF"/>
    <w:rsid w:val="00026BD7"/>
    <w:rsid w:val="00026E6C"/>
    <w:rsid w:val="00026F37"/>
    <w:rsid w:val="0002725F"/>
    <w:rsid w:val="000274CF"/>
    <w:rsid w:val="0002755F"/>
    <w:rsid w:val="00027717"/>
    <w:rsid w:val="00027778"/>
    <w:rsid w:val="00030779"/>
    <w:rsid w:val="00030B39"/>
    <w:rsid w:val="00031685"/>
    <w:rsid w:val="00031860"/>
    <w:rsid w:val="00031CC0"/>
    <w:rsid w:val="00032267"/>
    <w:rsid w:val="000322F4"/>
    <w:rsid w:val="000323AE"/>
    <w:rsid w:val="000324B9"/>
    <w:rsid w:val="000326DD"/>
    <w:rsid w:val="000328F1"/>
    <w:rsid w:val="0003299E"/>
    <w:rsid w:val="000329DF"/>
    <w:rsid w:val="00032B56"/>
    <w:rsid w:val="00032CD1"/>
    <w:rsid w:val="00032E94"/>
    <w:rsid w:val="0003394A"/>
    <w:rsid w:val="000339D5"/>
    <w:rsid w:val="00033B2E"/>
    <w:rsid w:val="00033CDD"/>
    <w:rsid w:val="00033D20"/>
    <w:rsid w:val="0003412A"/>
    <w:rsid w:val="0003423A"/>
    <w:rsid w:val="00034632"/>
    <w:rsid w:val="0003477F"/>
    <w:rsid w:val="000351EA"/>
    <w:rsid w:val="00035BE9"/>
    <w:rsid w:val="00035F49"/>
    <w:rsid w:val="000363F6"/>
    <w:rsid w:val="00036433"/>
    <w:rsid w:val="000367E0"/>
    <w:rsid w:val="00036AD8"/>
    <w:rsid w:val="00036B0B"/>
    <w:rsid w:val="00036EE4"/>
    <w:rsid w:val="00037037"/>
    <w:rsid w:val="00037302"/>
    <w:rsid w:val="000376F0"/>
    <w:rsid w:val="000379CF"/>
    <w:rsid w:val="00037DDF"/>
    <w:rsid w:val="0004005D"/>
    <w:rsid w:val="00040132"/>
    <w:rsid w:val="00040137"/>
    <w:rsid w:val="00040140"/>
    <w:rsid w:val="00040828"/>
    <w:rsid w:val="000409A0"/>
    <w:rsid w:val="00040ADF"/>
    <w:rsid w:val="00040B2A"/>
    <w:rsid w:val="00040CA3"/>
    <w:rsid w:val="00040E43"/>
    <w:rsid w:val="00040FB4"/>
    <w:rsid w:val="00041206"/>
    <w:rsid w:val="000412DF"/>
    <w:rsid w:val="0004178C"/>
    <w:rsid w:val="00041C4C"/>
    <w:rsid w:val="00041F5D"/>
    <w:rsid w:val="000420BB"/>
    <w:rsid w:val="00042445"/>
    <w:rsid w:val="00042756"/>
    <w:rsid w:val="00042781"/>
    <w:rsid w:val="00042D68"/>
    <w:rsid w:val="00042DD9"/>
    <w:rsid w:val="000434A0"/>
    <w:rsid w:val="0004382B"/>
    <w:rsid w:val="00043B42"/>
    <w:rsid w:val="000443A6"/>
    <w:rsid w:val="0004493C"/>
    <w:rsid w:val="000449D1"/>
    <w:rsid w:val="00044DB4"/>
    <w:rsid w:val="0004554F"/>
    <w:rsid w:val="0004557B"/>
    <w:rsid w:val="000456C7"/>
    <w:rsid w:val="000456DD"/>
    <w:rsid w:val="000458AB"/>
    <w:rsid w:val="00045A72"/>
    <w:rsid w:val="00045B13"/>
    <w:rsid w:val="00045B8D"/>
    <w:rsid w:val="00045CC5"/>
    <w:rsid w:val="000463EE"/>
    <w:rsid w:val="000465CF"/>
    <w:rsid w:val="0004667D"/>
    <w:rsid w:val="00046A1D"/>
    <w:rsid w:val="00046B6A"/>
    <w:rsid w:val="000470F0"/>
    <w:rsid w:val="00047130"/>
    <w:rsid w:val="00047132"/>
    <w:rsid w:val="000471AB"/>
    <w:rsid w:val="000472D4"/>
    <w:rsid w:val="0004736D"/>
    <w:rsid w:val="00047983"/>
    <w:rsid w:val="00047B88"/>
    <w:rsid w:val="00047F36"/>
    <w:rsid w:val="00050242"/>
    <w:rsid w:val="00050ADE"/>
    <w:rsid w:val="00050B23"/>
    <w:rsid w:val="00050ECC"/>
    <w:rsid w:val="00051042"/>
    <w:rsid w:val="000510B7"/>
    <w:rsid w:val="00051411"/>
    <w:rsid w:val="0005147E"/>
    <w:rsid w:val="000519FB"/>
    <w:rsid w:val="00051DE6"/>
    <w:rsid w:val="00051E35"/>
    <w:rsid w:val="00051F28"/>
    <w:rsid w:val="0005229B"/>
    <w:rsid w:val="00052435"/>
    <w:rsid w:val="000524E6"/>
    <w:rsid w:val="00052895"/>
    <w:rsid w:val="00052908"/>
    <w:rsid w:val="00052916"/>
    <w:rsid w:val="00052DB7"/>
    <w:rsid w:val="00052DD3"/>
    <w:rsid w:val="00053198"/>
    <w:rsid w:val="0005326D"/>
    <w:rsid w:val="000535D4"/>
    <w:rsid w:val="00053758"/>
    <w:rsid w:val="00053B72"/>
    <w:rsid w:val="00053C80"/>
    <w:rsid w:val="00053F6C"/>
    <w:rsid w:val="000542A0"/>
    <w:rsid w:val="0005477F"/>
    <w:rsid w:val="00054928"/>
    <w:rsid w:val="00054C07"/>
    <w:rsid w:val="00054D8A"/>
    <w:rsid w:val="00054DCB"/>
    <w:rsid w:val="000552A3"/>
    <w:rsid w:val="00055376"/>
    <w:rsid w:val="00055B00"/>
    <w:rsid w:val="00055B8F"/>
    <w:rsid w:val="00055C58"/>
    <w:rsid w:val="00055D4A"/>
    <w:rsid w:val="0005609C"/>
    <w:rsid w:val="0005648E"/>
    <w:rsid w:val="0005682B"/>
    <w:rsid w:val="0005696E"/>
    <w:rsid w:val="00056F23"/>
    <w:rsid w:val="00056FFB"/>
    <w:rsid w:val="00057117"/>
    <w:rsid w:val="000571A4"/>
    <w:rsid w:val="00057636"/>
    <w:rsid w:val="00057A5A"/>
    <w:rsid w:val="00057A6B"/>
    <w:rsid w:val="00057B69"/>
    <w:rsid w:val="00057D09"/>
    <w:rsid w:val="00057E42"/>
    <w:rsid w:val="000602FB"/>
    <w:rsid w:val="000603BA"/>
    <w:rsid w:val="00060502"/>
    <w:rsid w:val="00060FC8"/>
    <w:rsid w:val="00061139"/>
    <w:rsid w:val="000612E3"/>
    <w:rsid w:val="000612F3"/>
    <w:rsid w:val="00061873"/>
    <w:rsid w:val="00062134"/>
    <w:rsid w:val="0006218E"/>
    <w:rsid w:val="000621BC"/>
    <w:rsid w:val="000622F4"/>
    <w:rsid w:val="000624FE"/>
    <w:rsid w:val="00062B16"/>
    <w:rsid w:val="00062B7D"/>
    <w:rsid w:val="0006339C"/>
    <w:rsid w:val="000634E4"/>
    <w:rsid w:val="00063508"/>
    <w:rsid w:val="0006362B"/>
    <w:rsid w:val="00063799"/>
    <w:rsid w:val="000639F9"/>
    <w:rsid w:val="0006439A"/>
    <w:rsid w:val="000643B1"/>
    <w:rsid w:val="00064783"/>
    <w:rsid w:val="000647C2"/>
    <w:rsid w:val="00064FD5"/>
    <w:rsid w:val="00065275"/>
    <w:rsid w:val="00065725"/>
    <w:rsid w:val="00065AB8"/>
    <w:rsid w:val="000660A4"/>
    <w:rsid w:val="000662E8"/>
    <w:rsid w:val="000663E4"/>
    <w:rsid w:val="0006640B"/>
    <w:rsid w:val="00066585"/>
    <w:rsid w:val="00066D02"/>
    <w:rsid w:val="00066F5C"/>
    <w:rsid w:val="00066FAB"/>
    <w:rsid w:val="000674F2"/>
    <w:rsid w:val="0006769D"/>
    <w:rsid w:val="00067BD9"/>
    <w:rsid w:val="0007021F"/>
    <w:rsid w:val="000702B2"/>
    <w:rsid w:val="0007050B"/>
    <w:rsid w:val="0007052F"/>
    <w:rsid w:val="000709A0"/>
    <w:rsid w:val="00070B14"/>
    <w:rsid w:val="00070BD3"/>
    <w:rsid w:val="00070E2A"/>
    <w:rsid w:val="0007113B"/>
    <w:rsid w:val="000711CF"/>
    <w:rsid w:val="000712F2"/>
    <w:rsid w:val="000715DE"/>
    <w:rsid w:val="00071B55"/>
    <w:rsid w:val="00071DFB"/>
    <w:rsid w:val="00071FF4"/>
    <w:rsid w:val="0007215A"/>
    <w:rsid w:val="00072276"/>
    <w:rsid w:val="00072492"/>
    <w:rsid w:val="00072597"/>
    <w:rsid w:val="00072C4D"/>
    <w:rsid w:val="00072EDC"/>
    <w:rsid w:val="00073221"/>
    <w:rsid w:val="000736C3"/>
    <w:rsid w:val="000738BB"/>
    <w:rsid w:val="00073929"/>
    <w:rsid w:val="00073C0B"/>
    <w:rsid w:val="00073D18"/>
    <w:rsid w:val="00073D95"/>
    <w:rsid w:val="00073E95"/>
    <w:rsid w:val="000740A4"/>
    <w:rsid w:val="00074199"/>
    <w:rsid w:val="00074421"/>
    <w:rsid w:val="00075705"/>
    <w:rsid w:val="00075E80"/>
    <w:rsid w:val="00075EC9"/>
    <w:rsid w:val="000762B8"/>
    <w:rsid w:val="00076A90"/>
    <w:rsid w:val="00076E19"/>
    <w:rsid w:val="00076E42"/>
    <w:rsid w:val="00076F32"/>
    <w:rsid w:val="00076F42"/>
    <w:rsid w:val="000773EE"/>
    <w:rsid w:val="00077971"/>
    <w:rsid w:val="00077D11"/>
    <w:rsid w:val="00077D90"/>
    <w:rsid w:val="00077DFF"/>
    <w:rsid w:val="00077E39"/>
    <w:rsid w:val="00077F0A"/>
    <w:rsid w:val="00080169"/>
    <w:rsid w:val="00080241"/>
    <w:rsid w:val="0008033B"/>
    <w:rsid w:val="000803C0"/>
    <w:rsid w:val="000805CC"/>
    <w:rsid w:val="000808D5"/>
    <w:rsid w:val="00080989"/>
    <w:rsid w:val="000811B8"/>
    <w:rsid w:val="00081250"/>
    <w:rsid w:val="00081531"/>
    <w:rsid w:val="00081778"/>
    <w:rsid w:val="00081A0F"/>
    <w:rsid w:val="00081C03"/>
    <w:rsid w:val="00081F4C"/>
    <w:rsid w:val="00082080"/>
    <w:rsid w:val="00082245"/>
    <w:rsid w:val="00082C37"/>
    <w:rsid w:val="00082E18"/>
    <w:rsid w:val="000834C7"/>
    <w:rsid w:val="0008370B"/>
    <w:rsid w:val="00083C26"/>
    <w:rsid w:val="00083E4D"/>
    <w:rsid w:val="000845CE"/>
    <w:rsid w:val="00084667"/>
    <w:rsid w:val="000846F7"/>
    <w:rsid w:val="0008476E"/>
    <w:rsid w:val="0008481B"/>
    <w:rsid w:val="00084832"/>
    <w:rsid w:val="000849C7"/>
    <w:rsid w:val="000850DD"/>
    <w:rsid w:val="000856C1"/>
    <w:rsid w:val="00085819"/>
    <w:rsid w:val="00085A28"/>
    <w:rsid w:val="00085D02"/>
    <w:rsid w:val="0008699F"/>
    <w:rsid w:val="00086E2C"/>
    <w:rsid w:val="00087059"/>
    <w:rsid w:val="000870B6"/>
    <w:rsid w:val="00087248"/>
    <w:rsid w:val="0008769B"/>
    <w:rsid w:val="00087DC8"/>
    <w:rsid w:val="00087E6C"/>
    <w:rsid w:val="0009035C"/>
    <w:rsid w:val="000904D2"/>
    <w:rsid w:val="00090613"/>
    <w:rsid w:val="00090704"/>
    <w:rsid w:val="00090BD1"/>
    <w:rsid w:val="00090C02"/>
    <w:rsid w:val="00090FCC"/>
    <w:rsid w:val="00091075"/>
    <w:rsid w:val="00091187"/>
    <w:rsid w:val="00091857"/>
    <w:rsid w:val="000919E9"/>
    <w:rsid w:val="00091A24"/>
    <w:rsid w:val="00091C59"/>
    <w:rsid w:val="0009222A"/>
    <w:rsid w:val="0009267A"/>
    <w:rsid w:val="00092825"/>
    <w:rsid w:val="00092854"/>
    <w:rsid w:val="000928BC"/>
    <w:rsid w:val="0009299B"/>
    <w:rsid w:val="00092A21"/>
    <w:rsid w:val="00092BC4"/>
    <w:rsid w:val="00092D25"/>
    <w:rsid w:val="0009334D"/>
    <w:rsid w:val="00093B59"/>
    <w:rsid w:val="00093D9A"/>
    <w:rsid w:val="00093DDD"/>
    <w:rsid w:val="00093FD1"/>
    <w:rsid w:val="00094261"/>
    <w:rsid w:val="0009434C"/>
    <w:rsid w:val="000943A9"/>
    <w:rsid w:val="00094656"/>
    <w:rsid w:val="000949B9"/>
    <w:rsid w:val="000949FC"/>
    <w:rsid w:val="00094BA2"/>
    <w:rsid w:val="00094EB5"/>
    <w:rsid w:val="00094FF0"/>
    <w:rsid w:val="00095535"/>
    <w:rsid w:val="0009602B"/>
    <w:rsid w:val="000963EA"/>
    <w:rsid w:val="00096B52"/>
    <w:rsid w:val="00096CD8"/>
    <w:rsid w:val="00096EE2"/>
    <w:rsid w:val="000971B9"/>
    <w:rsid w:val="000974E3"/>
    <w:rsid w:val="000977AE"/>
    <w:rsid w:val="00097811"/>
    <w:rsid w:val="00097DAD"/>
    <w:rsid w:val="00097ECA"/>
    <w:rsid w:val="00097FA9"/>
    <w:rsid w:val="000A04EF"/>
    <w:rsid w:val="000A0C2D"/>
    <w:rsid w:val="000A0E75"/>
    <w:rsid w:val="000A0E93"/>
    <w:rsid w:val="000A10BF"/>
    <w:rsid w:val="000A172D"/>
    <w:rsid w:val="000A27D9"/>
    <w:rsid w:val="000A27F4"/>
    <w:rsid w:val="000A2A25"/>
    <w:rsid w:val="000A2ACD"/>
    <w:rsid w:val="000A2B65"/>
    <w:rsid w:val="000A2DA8"/>
    <w:rsid w:val="000A2FDB"/>
    <w:rsid w:val="000A3119"/>
    <w:rsid w:val="000A325E"/>
    <w:rsid w:val="000A32C8"/>
    <w:rsid w:val="000A3389"/>
    <w:rsid w:val="000A38E8"/>
    <w:rsid w:val="000A3EAD"/>
    <w:rsid w:val="000A3F2A"/>
    <w:rsid w:val="000A44EC"/>
    <w:rsid w:val="000A4F38"/>
    <w:rsid w:val="000A5126"/>
    <w:rsid w:val="000A51E3"/>
    <w:rsid w:val="000A530F"/>
    <w:rsid w:val="000A5379"/>
    <w:rsid w:val="000A556E"/>
    <w:rsid w:val="000A55A7"/>
    <w:rsid w:val="000A587A"/>
    <w:rsid w:val="000A5A37"/>
    <w:rsid w:val="000A5C47"/>
    <w:rsid w:val="000A5DBD"/>
    <w:rsid w:val="000A629E"/>
    <w:rsid w:val="000A63B3"/>
    <w:rsid w:val="000A6B30"/>
    <w:rsid w:val="000A6BB9"/>
    <w:rsid w:val="000A733C"/>
    <w:rsid w:val="000A7719"/>
    <w:rsid w:val="000A799D"/>
    <w:rsid w:val="000A79C2"/>
    <w:rsid w:val="000B031A"/>
    <w:rsid w:val="000B032D"/>
    <w:rsid w:val="000B0ADC"/>
    <w:rsid w:val="000B0BFE"/>
    <w:rsid w:val="000B0E23"/>
    <w:rsid w:val="000B110E"/>
    <w:rsid w:val="000B1544"/>
    <w:rsid w:val="000B15A8"/>
    <w:rsid w:val="000B15C6"/>
    <w:rsid w:val="000B15F2"/>
    <w:rsid w:val="000B1822"/>
    <w:rsid w:val="000B1E2C"/>
    <w:rsid w:val="000B277D"/>
    <w:rsid w:val="000B2CF5"/>
    <w:rsid w:val="000B2D6E"/>
    <w:rsid w:val="000B30A8"/>
    <w:rsid w:val="000B318A"/>
    <w:rsid w:val="000B32F6"/>
    <w:rsid w:val="000B3330"/>
    <w:rsid w:val="000B342C"/>
    <w:rsid w:val="000B3852"/>
    <w:rsid w:val="000B38FC"/>
    <w:rsid w:val="000B39AC"/>
    <w:rsid w:val="000B3CAE"/>
    <w:rsid w:val="000B3CBB"/>
    <w:rsid w:val="000B4121"/>
    <w:rsid w:val="000B41F2"/>
    <w:rsid w:val="000B423F"/>
    <w:rsid w:val="000B45AC"/>
    <w:rsid w:val="000B4C21"/>
    <w:rsid w:val="000B53B5"/>
    <w:rsid w:val="000B56EC"/>
    <w:rsid w:val="000B5849"/>
    <w:rsid w:val="000B58BE"/>
    <w:rsid w:val="000B5DC0"/>
    <w:rsid w:val="000B6175"/>
    <w:rsid w:val="000B6188"/>
    <w:rsid w:val="000B6ACB"/>
    <w:rsid w:val="000B6CF0"/>
    <w:rsid w:val="000B720C"/>
    <w:rsid w:val="000B7630"/>
    <w:rsid w:val="000B7665"/>
    <w:rsid w:val="000B7AB1"/>
    <w:rsid w:val="000B7DB6"/>
    <w:rsid w:val="000C009A"/>
    <w:rsid w:val="000C04FA"/>
    <w:rsid w:val="000C07BB"/>
    <w:rsid w:val="000C0B59"/>
    <w:rsid w:val="000C0CBA"/>
    <w:rsid w:val="000C104A"/>
    <w:rsid w:val="000C104F"/>
    <w:rsid w:val="000C174A"/>
    <w:rsid w:val="000C17BF"/>
    <w:rsid w:val="000C1A9A"/>
    <w:rsid w:val="000C2248"/>
    <w:rsid w:val="000C24B6"/>
    <w:rsid w:val="000C2850"/>
    <w:rsid w:val="000C2967"/>
    <w:rsid w:val="000C2B17"/>
    <w:rsid w:val="000C2FD8"/>
    <w:rsid w:val="000C320D"/>
    <w:rsid w:val="000C369C"/>
    <w:rsid w:val="000C3750"/>
    <w:rsid w:val="000C37F0"/>
    <w:rsid w:val="000C3BF3"/>
    <w:rsid w:val="000C3C47"/>
    <w:rsid w:val="000C3E51"/>
    <w:rsid w:val="000C4EB6"/>
    <w:rsid w:val="000C4F59"/>
    <w:rsid w:val="000C4F5D"/>
    <w:rsid w:val="000C4FF3"/>
    <w:rsid w:val="000C51AF"/>
    <w:rsid w:val="000C521F"/>
    <w:rsid w:val="000C5446"/>
    <w:rsid w:val="000C55C4"/>
    <w:rsid w:val="000C5A76"/>
    <w:rsid w:val="000C5CBC"/>
    <w:rsid w:val="000C5F73"/>
    <w:rsid w:val="000C64D0"/>
    <w:rsid w:val="000C660B"/>
    <w:rsid w:val="000C663F"/>
    <w:rsid w:val="000C6A67"/>
    <w:rsid w:val="000C6B56"/>
    <w:rsid w:val="000C6D66"/>
    <w:rsid w:val="000C7625"/>
    <w:rsid w:val="000C7C46"/>
    <w:rsid w:val="000C7F5A"/>
    <w:rsid w:val="000D08E6"/>
    <w:rsid w:val="000D14D5"/>
    <w:rsid w:val="000D176B"/>
    <w:rsid w:val="000D17F7"/>
    <w:rsid w:val="000D1B52"/>
    <w:rsid w:val="000D1C49"/>
    <w:rsid w:val="000D1DB6"/>
    <w:rsid w:val="000D1F0A"/>
    <w:rsid w:val="000D209F"/>
    <w:rsid w:val="000D28FB"/>
    <w:rsid w:val="000D2DB8"/>
    <w:rsid w:val="000D314A"/>
    <w:rsid w:val="000D32DE"/>
    <w:rsid w:val="000D3321"/>
    <w:rsid w:val="000D3336"/>
    <w:rsid w:val="000D3A6F"/>
    <w:rsid w:val="000D3DF2"/>
    <w:rsid w:val="000D3E54"/>
    <w:rsid w:val="000D40B3"/>
    <w:rsid w:val="000D419B"/>
    <w:rsid w:val="000D428E"/>
    <w:rsid w:val="000D4364"/>
    <w:rsid w:val="000D43FC"/>
    <w:rsid w:val="000D4966"/>
    <w:rsid w:val="000D4C1B"/>
    <w:rsid w:val="000D4E68"/>
    <w:rsid w:val="000D4F40"/>
    <w:rsid w:val="000D5523"/>
    <w:rsid w:val="000D5A0D"/>
    <w:rsid w:val="000D5ABB"/>
    <w:rsid w:val="000D5D0B"/>
    <w:rsid w:val="000D5DE9"/>
    <w:rsid w:val="000D5DEC"/>
    <w:rsid w:val="000D5EF3"/>
    <w:rsid w:val="000D613D"/>
    <w:rsid w:val="000D6425"/>
    <w:rsid w:val="000D6CB6"/>
    <w:rsid w:val="000D6F4A"/>
    <w:rsid w:val="000D7441"/>
    <w:rsid w:val="000D7824"/>
    <w:rsid w:val="000D7859"/>
    <w:rsid w:val="000D7A71"/>
    <w:rsid w:val="000D7FF4"/>
    <w:rsid w:val="000E03DC"/>
    <w:rsid w:val="000E0809"/>
    <w:rsid w:val="000E105D"/>
    <w:rsid w:val="000E1124"/>
    <w:rsid w:val="000E1CC9"/>
    <w:rsid w:val="000E2232"/>
    <w:rsid w:val="000E224F"/>
    <w:rsid w:val="000E2B13"/>
    <w:rsid w:val="000E3025"/>
    <w:rsid w:val="000E365B"/>
    <w:rsid w:val="000E3D3C"/>
    <w:rsid w:val="000E3F6D"/>
    <w:rsid w:val="000E458E"/>
    <w:rsid w:val="000E4B68"/>
    <w:rsid w:val="000E4CE2"/>
    <w:rsid w:val="000E4EDC"/>
    <w:rsid w:val="000E5531"/>
    <w:rsid w:val="000E5614"/>
    <w:rsid w:val="000E5628"/>
    <w:rsid w:val="000E57D3"/>
    <w:rsid w:val="000E59DE"/>
    <w:rsid w:val="000E5C8A"/>
    <w:rsid w:val="000E5DA8"/>
    <w:rsid w:val="000E5DAA"/>
    <w:rsid w:val="000E5FB8"/>
    <w:rsid w:val="000E623B"/>
    <w:rsid w:val="000E6410"/>
    <w:rsid w:val="000E678B"/>
    <w:rsid w:val="000E69F3"/>
    <w:rsid w:val="000E6B50"/>
    <w:rsid w:val="000E6C0A"/>
    <w:rsid w:val="000E722E"/>
    <w:rsid w:val="000E761C"/>
    <w:rsid w:val="000E7A81"/>
    <w:rsid w:val="000E7BC3"/>
    <w:rsid w:val="000F00B9"/>
    <w:rsid w:val="000F00BD"/>
    <w:rsid w:val="000F02B5"/>
    <w:rsid w:val="000F02D5"/>
    <w:rsid w:val="000F04AB"/>
    <w:rsid w:val="000F08CD"/>
    <w:rsid w:val="000F0A2E"/>
    <w:rsid w:val="000F0AA9"/>
    <w:rsid w:val="000F0BE1"/>
    <w:rsid w:val="000F1061"/>
    <w:rsid w:val="000F10A1"/>
    <w:rsid w:val="000F1531"/>
    <w:rsid w:val="000F15E2"/>
    <w:rsid w:val="000F173B"/>
    <w:rsid w:val="000F1CD5"/>
    <w:rsid w:val="000F26E1"/>
    <w:rsid w:val="000F2A71"/>
    <w:rsid w:val="000F2E01"/>
    <w:rsid w:val="000F35C1"/>
    <w:rsid w:val="000F388F"/>
    <w:rsid w:val="000F3AC9"/>
    <w:rsid w:val="000F3E0F"/>
    <w:rsid w:val="000F411B"/>
    <w:rsid w:val="000F469A"/>
    <w:rsid w:val="000F4972"/>
    <w:rsid w:val="000F49E3"/>
    <w:rsid w:val="000F4E94"/>
    <w:rsid w:val="000F541D"/>
    <w:rsid w:val="000F569B"/>
    <w:rsid w:val="000F59A1"/>
    <w:rsid w:val="000F59D9"/>
    <w:rsid w:val="000F5A54"/>
    <w:rsid w:val="000F678A"/>
    <w:rsid w:val="000F6860"/>
    <w:rsid w:val="000F6918"/>
    <w:rsid w:val="000F6AD1"/>
    <w:rsid w:val="000F6BE3"/>
    <w:rsid w:val="000F7184"/>
    <w:rsid w:val="000F71AC"/>
    <w:rsid w:val="000F7466"/>
    <w:rsid w:val="000F7484"/>
    <w:rsid w:val="000F7570"/>
    <w:rsid w:val="000F7987"/>
    <w:rsid w:val="000F7B47"/>
    <w:rsid w:val="000F7CAE"/>
    <w:rsid w:val="001003DD"/>
    <w:rsid w:val="0010051C"/>
    <w:rsid w:val="0010057A"/>
    <w:rsid w:val="00100BC4"/>
    <w:rsid w:val="00101103"/>
    <w:rsid w:val="00101874"/>
    <w:rsid w:val="00101B7C"/>
    <w:rsid w:val="001021AA"/>
    <w:rsid w:val="001021F7"/>
    <w:rsid w:val="001022FB"/>
    <w:rsid w:val="00102458"/>
    <w:rsid w:val="00103422"/>
    <w:rsid w:val="00103CB3"/>
    <w:rsid w:val="00103E7A"/>
    <w:rsid w:val="0010411C"/>
    <w:rsid w:val="00104278"/>
    <w:rsid w:val="001043A5"/>
    <w:rsid w:val="0010448B"/>
    <w:rsid w:val="0010466A"/>
    <w:rsid w:val="00104674"/>
    <w:rsid w:val="001046C1"/>
    <w:rsid w:val="00104A47"/>
    <w:rsid w:val="00104C8E"/>
    <w:rsid w:val="00104E8A"/>
    <w:rsid w:val="00104FD4"/>
    <w:rsid w:val="001050F0"/>
    <w:rsid w:val="00105190"/>
    <w:rsid w:val="0010521F"/>
    <w:rsid w:val="001054CD"/>
    <w:rsid w:val="001055B0"/>
    <w:rsid w:val="00105609"/>
    <w:rsid w:val="00105C33"/>
    <w:rsid w:val="00105D4B"/>
    <w:rsid w:val="001061C3"/>
    <w:rsid w:val="0010625A"/>
    <w:rsid w:val="0010631A"/>
    <w:rsid w:val="0010633B"/>
    <w:rsid w:val="0010641E"/>
    <w:rsid w:val="001065C9"/>
    <w:rsid w:val="00106D63"/>
    <w:rsid w:val="001070A7"/>
    <w:rsid w:val="00107524"/>
    <w:rsid w:val="0010778B"/>
    <w:rsid w:val="001079D3"/>
    <w:rsid w:val="00107DCD"/>
    <w:rsid w:val="00107EF0"/>
    <w:rsid w:val="00110175"/>
    <w:rsid w:val="0011024E"/>
    <w:rsid w:val="001102E3"/>
    <w:rsid w:val="00110588"/>
    <w:rsid w:val="00110902"/>
    <w:rsid w:val="00110980"/>
    <w:rsid w:val="00110AC3"/>
    <w:rsid w:val="00111094"/>
    <w:rsid w:val="00111417"/>
    <w:rsid w:val="0011181E"/>
    <w:rsid w:val="00111BF6"/>
    <w:rsid w:val="00111DB2"/>
    <w:rsid w:val="0011205B"/>
    <w:rsid w:val="001126D1"/>
    <w:rsid w:val="001127F2"/>
    <w:rsid w:val="001135C7"/>
    <w:rsid w:val="00113901"/>
    <w:rsid w:val="0011395E"/>
    <w:rsid w:val="00113BFC"/>
    <w:rsid w:val="00113C60"/>
    <w:rsid w:val="00114023"/>
    <w:rsid w:val="001141B1"/>
    <w:rsid w:val="00114C3B"/>
    <w:rsid w:val="001154D9"/>
    <w:rsid w:val="00115691"/>
    <w:rsid w:val="0011574D"/>
    <w:rsid w:val="00115E7E"/>
    <w:rsid w:val="00115FB1"/>
    <w:rsid w:val="0011615A"/>
    <w:rsid w:val="001161DE"/>
    <w:rsid w:val="001162A8"/>
    <w:rsid w:val="0011630C"/>
    <w:rsid w:val="0011678F"/>
    <w:rsid w:val="00116F54"/>
    <w:rsid w:val="00117038"/>
    <w:rsid w:val="00117039"/>
    <w:rsid w:val="00117057"/>
    <w:rsid w:val="00117075"/>
    <w:rsid w:val="0011717C"/>
    <w:rsid w:val="0011748D"/>
    <w:rsid w:val="001175B3"/>
    <w:rsid w:val="001177D5"/>
    <w:rsid w:val="00117879"/>
    <w:rsid w:val="00117F04"/>
    <w:rsid w:val="00120300"/>
    <w:rsid w:val="00120684"/>
    <w:rsid w:val="001207B4"/>
    <w:rsid w:val="00120B0D"/>
    <w:rsid w:val="00120BD3"/>
    <w:rsid w:val="00120CA7"/>
    <w:rsid w:val="00120CFA"/>
    <w:rsid w:val="00120F12"/>
    <w:rsid w:val="001210CD"/>
    <w:rsid w:val="00121349"/>
    <w:rsid w:val="001215A1"/>
    <w:rsid w:val="001215F7"/>
    <w:rsid w:val="00122039"/>
    <w:rsid w:val="001222CF"/>
    <w:rsid w:val="001224ED"/>
    <w:rsid w:val="00122813"/>
    <w:rsid w:val="00122AE3"/>
    <w:rsid w:val="00122BE4"/>
    <w:rsid w:val="00122EE1"/>
    <w:rsid w:val="001232ED"/>
    <w:rsid w:val="0012364D"/>
    <w:rsid w:val="00123658"/>
    <w:rsid w:val="001237AF"/>
    <w:rsid w:val="00123BB1"/>
    <w:rsid w:val="00123DE4"/>
    <w:rsid w:val="0012430C"/>
    <w:rsid w:val="001243AC"/>
    <w:rsid w:val="00124700"/>
    <w:rsid w:val="001247B9"/>
    <w:rsid w:val="001247EB"/>
    <w:rsid w:val="00124C3F"/>
    <w:rsid w:val="00124F3C"/>
    <w:rsid w:val="00125041"/>
    <w:rsid w:val="001252FE"/>
    <w:rsid w:val="00125354"/>
    <w:rsid w:val="00125750"/>
    <w:rsid w:val="001257BE"/>
    <w:rsid w:val="00125B61"/>
    <w:rsid w:val="001260D2"/>
    <w:rsid w:val="00126122"/>
    <w:rsid w:val="001264C4"/>
    <w:rsid w:val="00126646"/>
    <w:rsid w:val="0012677E"/>
    <w:rsid w:val="001269C9"/>
    <w:rsid w:val="00126AD9"/>
    <w:rsid w:val="001276D5"/>
    <w:rsid w:val="00127787"/>
    <w:rsid w:val="00127B10"/>
    <w:rsid w:val="00127FAF"/>
    <w:rsid w:val="00130721"/>
    <w:rsid w:val="00131202"/>
    <w:rsid w:val="0013128C"/>
    <w:rsid w:val="00131305"/>
    <w:rsid w:val="001319CC"/>
    <w:rsid w:val="00131D45"/>
    <w:rsid w:val="001320F0"/>
    <w:rsid w:val="001328B3"/>
    <w:rsid w:val="0013291C"/>
    <w:rsid w:val="001329B2"/>
    <w:rsid w:val="00132E88"/>
    <w:rsid w:val="00133259"/>
    <w:rsid w:val="001336E0"/>
    <w:rsid w:val="001337F9"/>
    <w:rsid w:val="00133AC6"/>
    <w:rsid w:val="00133BEC"/>
    <w:rsid w:val="00133D22"/>
    <w:rsid w:val="00133D36"/>
    <w:rsid w:val="00133EF8"/>
    <w:rsid w:val="00133F34"/>
    <w:rsid w:val="00133F54"/>
    <w:rsid w:val="00133FA4"/>
    <w:rsid w:val="00133FAD"/>
    <w:rsid w:val="0013418C"/>
    <w:rsid w:val="00134D79"/>
    <w:rsid w:val="00134E5A"/>
    <w:rsid w:val="00134F69"/>
    <w:rsid w:val="0013509A"/>
    <w:rsid w:val="00135180"/>
    <w:rsid w:val="001351C8"/>
    <w:rsid w:val="00135273"/>
    <w:rsid w:val="001357F6"/>
    <w:rsid w:val="001359E1"/>
    <w:rsid w:val="00135FC9"/>
    <w:rsid w:val="00136278"/>
    <w:rsid w:val="0013660B"/>
    <w:rsid w:val="00136850"/>
    <w:rsid w:val="00137065"/>
    <w:rsid w:val="001370EF"/>
    <w:rsid w:val="0013728C"/>
    <w:rsid w:val="001375AF"/>
    <w:rsid w:val="00137920"/>
    <w:rsid w:val="00137958"/>
    <w:rsid w:val="00137B6B"/>
    <w:rsid w:val="00137B76"/>
    <w:rsid w:val="00137BDD"/>
    <w:rsid w:val="00137E9E"/>
    <w:rsid w:val="00137ED8"/>
    <w:rsid w:val="00140428"/>
    <w:rsid w:val="0014067F"/>
    <w:rsid w:val="00140748"/>
    <w:rsid w:val="00140823"/>
    <w:rsid w:val="00141072"/>
    <w:rsid w:val="001410FF"/>
    <w:rsid w:val="00141208"/>
    <w:rsid w:val="00141210"/>
    <w:rsid w:val="001413DC"/>
    <w:rsid w:val="00141553"/>
    <w:rsid w:val="00141C8D"/>
    <w:rsid w:val="00141ECE"/>
    <w:rsid w:val="00141EF2"/>
    <w:rsid w:val="00141FD1"/>
    <w:rsid w:val="001421D3"/>
    <w:rsid w:val="0014244D"/>
    <w:rsid w:val="0014255F"/>
    <w:rsid w:val="00142A29"/>
    <w:rsid w:val="00142C78"/>
    <w:rsid w:val="00142FD1"/>
    <w:rsid w:val="001433ED"/>
    <w:rsid w:val="00143478"/>
    <w:rsid w:val="00143738"/>
    <w:rsid w:val="00143835"/>
    <w:rsid w:val="00143EE3"/>
    <w:rsid w:val="00143F2F"/>
    <w:rsid w:val="00144282"/>
    <w:rsid w:val="0014445C"/>
    <w:rsid w:val="0014446E"/>
    <w:rsid w:val="00144B09"/>
    <w:rsid w:val="00144E8F"/>
    <w:rsid w:val="00145068"/>
    <w:rsid w:val="001450FD"/>
    <w:rsid w:val="0014524A"/>
    <w:rsid w:val="001454E7"/>
    <w:rsid w:val="00145675"/>
    <w:rsid w:val="001457BE"/>
    <w:rsid w:val="001457F0"/>
    <w:rsid w:val="00145AD7"/>
    <w:rsid w:val="00145EAB"/>
    <w:rsid w:val="001461DF"/>
    <w:rsid w:val="0014656F"/>
    <w:rsid w:val="00146624"/>
    <w:rsid w:val="001466BD"/>
    <w:rsid w:val="001466E1"/>
    <w:rsid w:val="00146A37"/>
    <w:rsid w:val="00146BDC"/>
    <w:rsid w:val="00147314"/>
    <w:rsid w:val="00147396"/>
    <w:rsid w:val="00147641"/>
    <w:rsid w:val="001476E6"/>
    <w:rsid w:val="0014772D"/>
    <w:rsid w:val="00147B5A"/>
    <w:rsid w:val="0015010E"/>
    <w:rsid w:val="0015023B"/>
    <w:rsid w:val="00150376"/>
    <w:rsid w:val="00150437"/>
    <w:rsid w:val="00150BF3"/>
    <w:rsid w:val="00150EC7"/>
    <w:rsid w:val="00151338"/>
    <w:rsid w:val="00151B52"/>
    <w:rsid w:val="00151D66"/>
    <w:rsid w:val="00151DBD"/>
    <w:rsid w:val="00151E46"/>
    <w:rsid w:val="001526A4"/>
    <w:rsid w:val="0015291B"/>
    <w:rsid w:val="00152E9A"/>
    <w:rsid w:val="001531D6"/>
    <w:rsid w:val="00153FBC"/>
    <w:rsid w:val="001543E0"/>
    <w:rsid w:val="0015441A"/>
    <w:rsid w:val="001545DD"/>
    <w:rsid w:val="00154841"/>
    <w:rsid w:val="00154B18"/>
    <w:rsid w:val="00154B2E"/>
    <w:rsid w:val="00154D0F"/>
    <w:rsid w:val="00154FA5"/>
    <w:rsid w:val="0015532D"/>
    <w:rsid w:val="00155434"/>
    <w:rsid w:val="00155BDA"/>
    <w:rsid w:val="00155DD5"/>
    <w:rsid w:val="001564A0"/>
    <w:rsid w:val="001567D7"/>
    <w:rsid w:val="0015696C"/>
    <w:rsid w:val="00156C4C"/>
    <w:rsid w:val="00156F2B"/>
    <w:rsid w:val="00156FA7"/>
    <w:rsid w:val="001573BC"/>
    <w:rsid w:val="00157A2C"/>
    <w:rsid w:val="00157D5E"/>
    <w:rsid w:val="0016023A"/>
    <w:rsid w:val="0016040B"/>
    <w:rsid w:val="00160547"/>
    <w:rsid w:val="001605C0"/>
    <w:rsid w:val="0016066D"/>
    <w:rsid w:val="00160DD5"/>
    <w:rsid w:val="0016105E"/>
    <w:rsid w:val="0016108B"/>
    <w:rsid w:val="001612C3"/>
    <w:rsid w:val="001619D6"/>
    <w:rsid w:val="00161ABE"/>
    <w:rsid w:val="00161FA0"/>
    <w:rsid w:val="001623EF"/>
    <w:rsid w:val="001626FF"/>
    <w:rsid w:val="00162D9D"/>
    <w:rsid w:val="00162DBF"/>
    <w:rsid w:val="0016300F"/>
    <w:rsid w:val="0016334B"/>
    <w:rsid w:val="001635B9"/>
    <w:rsid w:val="0016371D"/>
    <w:rsid w:val="0016398C"/>
    <w:rsid w:val="00163DFF"/>
    <w:rsid w:val="001644C3"/>
    <w:rsid w:val="0016486D"/>
    <w:rsid w:val="00164CF8"/>
    <w:rsid w:val="00165024"/>
    <w:rsid w:val="001653AE"/>
    <w:rsid w:val="001655F2"/>
    <w:rsid w:val="00165D2F"/>
    <w:rsid w:val="00165FE4"/>
    <w:rsid w:val="0016613B"/>
    <w:rsid w:val="00166265"/>
    <w:rsid w:val="00166734"/>
    <w:rsid w:val="00166C9F"/>
    <w:rsid w:val="00166CAD"/>
    <w:rsid w:val="001674EC"/>
    <w:rsid w:val="00167683"/>
    <w:rsid w:val="00167763"/>
    <w:rsid w:val="0017098D"/>
    <w:rsid w:val="00170D5B"/>
    <w:rsid w:val="0017104D"/>
    <w:rsid w:val="00171381"/>
    <w:rsid w:val="001715DB"/>
    <w:rsid w:val="001717AA"/>
    <w:rsid w:val="00171CE7"/>
    <w:rsid w:val="00171CF5"/>
    <w:rsid w:val="00172567"/>
    <w:rsid w:val="001725D3"/>
    <w:rsid w:val="00172A77"/>
    <w:rsid w:val="00172B8F"/>
    <w:rsid w:val="00172E85"/>
    <w:rsid w:val="0017346F"/>
    <w:rsid w:val="001736F8"/>
    <w:rsid w:val="00173BF9"/>
    <w:rsid w:val="00173D06"/>
    <w:rsid w:val="00173D85"/>
    <w:rsid w:val="00173E6D"/>
    <w:rsid w:val="00173E9B"/>
    <w:rsid w:val="00173F22"/>
    <w:rsid w:val="00174611"/>
    <w:rsid w:val="0017472C"/>
    <w:rsid w:val="00174CAE"/>
    <w:rsid w:val="00174D0A"/>
    <w:rsid w:val="00174FD4"/>
    <w:rsid w:val="001753DE"/>
    <w:rsid w:val="00175B6B"/>
    <w:rsid w:val="00175D45"/>
    <w:rsid w:val="00176116"/>
    <w:rsid w:val="00176242"/>
    <w:rsid w:val="00176595"/>
    <w:rsid w:val="00176601"/>
    <w:rsid w:val="00176B03"/>
    <w:rsid w:val="00176B8A"/>
    <w:rsid w:val="00176C06"/>
    <w:rsid w:val="001778C3"/>
    <w:rsid w:val="00177B80"/>
    <w:rsid w:val="0018022E"/>
    <w:rsid w:val="0018068A"/>
    <w:rsid w:val="001809A2"/>
    <w:rsid w:val="00180DFB"/>
    <w:rsid w:val="001810FC"/>
    <w:rsid w:val="00181187"/>
    <w:rsid w:val="0018156C"/>
    <w:rsid w:val="001816A2"/>
    <w:rsid w:val="00181874"/>
    <w:rsid w:val="00181D86"/>
    <w:rsid w:val="00181E28"/>
    <w:rsid w:val="00181E2A"/>
    <w:rsid w:val="00181F7F"/>
    <w:rsid w:val="00182E02"/>
    <w:rsid w:val="00183323"/>
    <w:rsid w:val="001836A1"/>
    <w:rsid w:val="001837B1"/>
    <w:rsid w:val="0018411C"/>
    <w:rsid w:val="00184558"/>
    <w:rsid w:val="001846B2"/>
    <w:rsid w:val="001846F5"/>
    <w:rsid w:val="00184BAE"/>
    <w:rsid w:val="00184BC2"/>
    <w:rsid w:val="00184CA3"/>
    <w:rsid w:val="00184DA0"/>
    <w:rsid w:val="0018515D"/>
    <w:rsid w:val="001856C3"/>
    <w:rsid w:val="00185A66"/>
    <w:rsid w:val="00185C50"/>
    <w:rsid w:val="00185DC1"/>
    <w:rsid w:val="00185DE2"/>
    <w:rsid w:val="00185F8E"/>
    <w:rsid w:val="00186AD6"/>
    <w:rsid w:val="00186F79"/>
    <w:rsid w:val="00186FD0"/>
    <w:rsid w:val="00187891"/>
    <w:rsid w:val="00187CBE"/>
    <w:rsid w:val="001901A8"/>
    <w:rsid w:val="00190403"/>
    <w:rsid w:val="001909EF"/>
    <w:rsid w:val="001909F5"/>
    <w:rsid w:val="00190DB9"/>
    <w:rsid w:val="00190E12"/>
    <w:rsid w:val="00190E60"/>
    <w:rsid w:val="0019139E"/>
    <w:rsid w:val="001920B3"/>
    <w:rsid w:val="00192520"/>
    <w:rsid w:val="001926D2"/>
    <w:rsid w:val="00192F00"/>
    <w:rsid w:val="0019337F"/>
    <w:rsid w:val="0019362A"/>
    <w:rsid w:val="00193826"/>
    <w:rsid w:val="00193C19"/>
    <w:rsid w:val="00193F54"/>
    <w:rsid w:val="001940FA"/>
    <w:rsid w:val="0019449C"/>
    <w:rsid w:val="0019452A"/>
    <w:rsid w:val="0019474E"/>
    <w:rsid w:val="00194DF3"/>
    <w:rsid w:val="00194F35"/>
    <w:rsid w:val="00195005"/>
    <w:rsid w:val="0019512A"/>
    <w:rsid w:val="001951DE"/>
    <w:rsid w:val="0019543A"/>
    <w:rsid w:val="00195546"/>
    <w:rsid w:val="00195723"/>
    <w:rsid w:val="00195728"/>
    <w:rsid w:val="001958FF"/>
    <w:rsid w:val="00195AC9"/>
    <w:rsid w:val="00195C17"/>
    <w:rsid w:val="00195F5A"/>
    <w:rsid w:val="001961F3"/>
    <w:rsid w:val="001963D1"/>
    <w:rsid w:val="00196518"/>
    <w:rsid w:val="00196604"/>
    <w:rsid w:val="00196685"/>
    <w:rsid w:val="00196A6E"/>
    <w:rsid w:val="00196CA9"/>
    <w:rsid w:val="00196FA9"/>
    <w:rsid w:val="001970C0"/>
    <w:rsid w:val="001973E5"/>
    <w:rsid w:val="0019789A"/>
    <w:rsid w:val="001979B6"/>
    <w:rsid w:val="00197B22"/>
    <w:rsid w:val="001A02F7"/>
    <w:rsid w:val="001A036D"/>
    <w:rsid w:val="001A06CD"/>
    <w:rsid w:val="001A0802"/>
    <w:rsid w:val="001A0BCB"/>
    <w:rsid w:val="001A0BFA"/>
    <w:rsid w:val="001A0ED3"/>
    <w:rsid w:val="001A16B9"/>
    <w:rsid w:val="001A1A0B"/>
    <w:rsid w:val="001A1CB7"/>
    <w:rsid w:val="001A1D3B"/>
    <w:rsid w:val="001A2B9B"/>
    <w:rsid w:val="001A2E01"/>
    <w:rsid w:val="001A2FD1"/>
    <w:rsid w:val="001A30DF"/>
    <w:rsid w:val="001A31CE"/>
    <w:rsid w:val="001A36D1"/>
    <w:rsid w:val="001A3778"/>
    <w:rsid w:val="001A37EE"/>
    <w:rsid w:val="001A3845"/>
    <w:rsid w:val="001A3B9D"/>
    <w:rsid w:val="001A3D76"/>
    <w:rsid w:val="001A3E43"/>
    <w:rsid w:val="001A41FD"/>
    <w:rsid w:val="001A420B"/>
    <w:rsid w:val="001A4B97"/>
    <w:rsid w:val="001A4F7D"/>
    <w:rsid w:val="001A4FDE"/>
    <w:rsid w:val="001A5105"/>
    <w:rsid w:val="001A5314"/>
    <w:rsid w:val="001A54F4"/>
    <w:rsid w:val="001A556F"/>
    <w:rsid w:val="001A5815"/>
    <w:rsid w:val="001A597F"/>
    <w:rsid w:val="001A5E3A"/>
    <w:rsid w:val="001A607F"/>
    <w:rsid w:val="001A60F9"/>
    <w:rsid w:val="001A64F4"/>
    <w:rsid w:val="001A6BE6"/>
    <w:rsid w:val="001A6D08"/>
    <w:rsid w:val="001A6D50"/>
    <w:rsid w:val="001A7376"/>
    <w:rsid w:val="001A7B42"/>
    <w:rsid w:val="001A7B55"/>
    <w:rsid w:val="001A7BAE"/>
    <w:rsid w:val="001A7D8F"/>
    <w:rsid w:val="001B04F7"/>
    <w:rsid w:val="001B0523"/>
    <w:rsid w:val="001B0796"/>
    <w:rsid w:val="001B07DA"/>
    <w:rsid w:val="001B0845"/>
    <w:rsid w:val="001B0C37"/>
    <w:rsid w:val="001B104E"/>
    <w:rsid w:val="001B109F"/>
    <w:rsid w:val="001B120E"/>
    <w:rsid w:val="001B1725"/>
    <w:rsid w:val="001B179A"/>
    <w:rsid w:val="001B1A5E"/>
    <w:rsid w:val="001B1CB9"/>
    <w:rsid w:val="001B1CF0"/>
    <w:rsid w:val="001B1D0E"/>
    <w:rsid w:val="001B1ED1"/>
    <w:rsid w:val="001B25F1"/>
    <w:rsid w:val="001B2610"/>
    <w:rsid w:val="001B2A97"/>
    <w:rsid w:val="001B2CD4"/>
    <w:rsid w:val="001B2E7E"/>
    <w:rsid w:val="001B3013"/>
    <w:rsid w:val="001B32D5"/>
    <w:rsid w:val="001B4153"/>
    <w:rsid w:val="001B430A"/>
    <w:rsid w:val="001B480D"/>
    <w:rsid w:val="001B4A26"/>
    <w:rsid w:val="001B5224"/>
    <w:rsid w:val="001B52C1"/>
    <w:rsid w:val="001B56B3"/>
    <w:rsid w:val="001B5759"/>
    <w:rsid w:val="001B57AB"/>
    <w:rsid w:val="001B5A40"/>
    <w:rsid w:val="001B5BC9"/>
    <w:rsid w:val="001B6411"/>
    <w:rsid w:val="001B685F"/>
    <w:rsid w:val="001B6B20"/>
    <w:rsid w:val="001B7035"/>
    <w:rsid w:val="001B706A"/>
    <w:rsid w:val="001B7329"/>
    <w:rsid w:val="001B7667"/>
    <w:rsid w:val="001B7A50"/>
    <w:rsid w:val="001B7F17"/>
    <w:rsid w:val="001B7F85"/>
    <w:rsid w:val="001C02B1"/>
    <w:rsid w:val="001C04B2"/>
    <w:rsid w:val="001C0538"/>
    <w:rsid w:val="001C0661"/>
    <w:rsid w:val="001C0758"/>
    <w:rsid w:val="001C08D3"/>
    <w:rsid w:val="001C0A7C"/>
    <w:rsid w:val="001C0B6A"/>
    <w:rsid w:val="001C1245"/>
    <w:rsid w:val="001C12F1"/>
    <w:rsid w:val="001C174A"/>
    <w:rsid w:val="001C1772"/>
    <w:rsid w:val="001C18DE"/>
    <w:rsid w:val="001C1A77"/>
    <w:rsid w:val="001C1D05"/>
    <w:rsid w:val="001C2080"/>
    <w:rsid w:val="001C28F1"/>
    <w:rsid w:val="001C29BA"/>
    <w:rsid w:val="001C2A48"/>
    <w:rsid w:val="001C2E6A"/>
    <w:rsid w:val="001C2F2D"/>
    <w:rsid w:val="001C328A"/>
    <w:rsid w:val="001C399D"/>
    <w:rsid w:val="001C3F5D"/>
    <w:rsid w:val="001C3FBF"/>
    <w:rsid w:val="001C4151"/>
    <w:rsid w:val="001C46C7"/>
    <w:rsid w:val="001C49AB"/>
    <w:rsid w:val="001C4AA7"/>
    <w:rsid w:val="001C4D53"/>
    <w:rsid w:val="001C5311"/>
    <w:rsid w:val="001C538A"/>
    <w:rsid w:val="001C542F"/>
    <w:rsid w:val="001C5932"/>
    <w:rsid w:val="001C5B52"/>
    <w:rsid w:val="001C5C48"/>
    <w:rsid w:val="001C5CCA"/>
    <w:rsid w:val="001C5CED"/>
    <w:rsid w:val="001C6104"/>
    <w:rsid w:val="001C663A"/>
    <w:rsid w:val="001C69D2"/>
    <w:rsid w:val="001C69E3"/>
    <w:rsid w:val="001C6BAE"/>
    <w:rsid w:val="001C6DBD"/>
    <w:rsid w:val="001C6DFD"/>
    <w:rsid w:val="001C73EF"/>
    <w:rsid w:val="001C7614"/>
    <w:rsid w:val="001C77FB"/>
    <w:rsid w:val="001C7970"/>
    <w:rsid w:val="001C7A55"/>
    <w:rsid w:val="001C7A9F"/>
    <w:rsid w:val="001C7F7C"/>
    <w:rsid w:val="001D08CA"/>
    <w:rsid w:val="001D097D"/>
    <w:rsid w:val="001D0BEE"/>
    <w:rsid w:val="001D0CE2"/>
    <w:rsid w:val="001D0D33"/>
    <w:rsid w:val="001D13B3"/>
    <w:rsid w:val="001D1810"/>
    <w:rsid w:val="001D1D2B"/>
    <w:rsid w:val="001D223E"/>
    <w:rsid w:val="001D2507"/>
    <w:rsid w:val="001D271D"/>
    <w:rsid w:val="001D2A66"/>
    <w:rsid w:val="001D2E79"/>
    <w:rsid w:val="001D32C0"/>
    <w:rsid w:val="001D3358"/>
    <w:rsid w:val="001D34EB"/>
    <w:rsid w:val="001D350B"/>
    <w:rsid w:val="001D3A64"/>
    <w:rsid w:val="001D3BF6"/>
    <w:rsid w:val="001D3D87"/>
    <w:rsid w:val="001D4276"/>
    <w:rsid w:val="001D492C"/>
    <w:rsid w:val="001D492D"/>
    <w:rsid w:val="001D4B82"/>
    <w:rsid w:val="001D4D63"/>
    <w:rsid w:val="001D5376"/>
    <w:rsid w:val="001D5793"/>
    <w:rsid w:val="001D5974"/>
    <w:rsid w:val="001D5A68"/>
    <w:rsid w:val="001D5D50"/>
    <w:rsid w:val="001D5E2D"/>
    <w:rsid w:val="001D5F21"/>
    <w:rsid w:val="001D61F8"/>
    <w:rsid w:val="001D64BF"/>
    <w:rsid w:val="001D68E8"/>
    <w:rsid w:val="001D74A7"/>
    <w:rsid w:val="001D7535"/>
    <w:rsid w:val="001D76C8"/>
    <w:rsid w:val="001D798F"/>
    <w:rsid w:val="001D7A08"/>
    <w:rsid w:val="001E0208"/>
    <w:rsid w:val="001E0813"/>
    <w:rsid w:val="001E08AB"/>
    <w:rsid w:val="001E0DD8"/>
    <w:rsid w:val="001E1327"/>
    <w:rsid w:val="001E15A5"/>
    <w:rsid w:val="001E15F2"/>
    <w:rsid w:val="001E1C18"/>
    <w:rsid w:val="001E1DAB"/>
    <w:rsid w:val="001E21C8"/>
    <w:rsid w:val="001E22F7"/>
    <w:rsid w:val="001E2574"/>
    <w:rsid w:val="001E274F"/>
    <w:rsid w:val="001E32D8"/>
    <w:rsid w:val="001E35A0"/>
    <w:rsid w:val="001E3652"/>
    <w:rsid w:val="001E3A41"/>
    <w:rsid w:val="001E3A62"/>
    <w:rsid w:val="001E3B9C"/>
    <w:rsid w:val="001E4149"/>
    <w:rsid w:val="001E4579"/>
    <w:rsid w:val="001E462C"/>
    <w:rsid w:val="001E465F"/>
    <w:rsid w:val="001E4B40"/>
    <w:rsid w:val="001E4F00"/>
    <w:rsid w:val="001E565A"/>
    <w:rsid w:val="001E5B00"/>
    <w:rsid w:val="001E5F69"/>
    <w:rsid w:val="001E6084"/>
    <w:rsid w:val="001E674E"/>
    <w:rsid w:val="001E6B39"/>
    <w:rsid w:val="001E70C4"/>
    <w:rsid w:val="001E77FF"/>
    <w:rsid w:val="001E7C15"/>
    <w:rsid w:val="001F03CE"/>
    <w:rsid w:val="001F04AC"/>
    <w:rsid w:val="001F0AB6"/>
    <w:rsid w:val="001F0FB7"/>
    <w:rsid w:val="001F10C2"/>
    <w:rsid w:val="001F1336"/>
    <w:rsid w:val="001F1EE2"/>
    <w:rsid w:val="001F2037"/>
    <w:rsid w:val="001F2234"/>
    <w:rsid w:val="001F2373"/>
    <w:rsid w:val="001F2574"/>
    <w:rsid w:val="001F2847"/>
    <w:rsid w:val="001F2902"/>
    <w:rsid w:val="001F2AD5"/>
    <w:rsid w:val="001F30A9"/>
    <w:rsid w:val="001F3702"/>
    <w:rsid w:val="001F3979"/>
    <w:rsid w:val="001F3F36"/>
    <w:rsid w:val="001F40A7"/>
    <w:rsid w:val="001F41B5"/>
    <w:rsid w:val="001F46F7"/>
    <w:rsid w:val="001F491E"/>
    <w:rsid w:val="001F4A98"/>
    <w:rsid w:val="001F5216"/>
    <w:rsid w:val="001F5382"/>
    <w:rsid w:val="001F5473"/>
    <w:rsid w:val="001F56B4"/>
    <w:rsid w:val="001F58EB"/>
    <w:rsid w:val="001F58FC"/>
    <w:rsid w:val="001F5BDB"/>
    <w:rsid w:val="001F602D"/>
    <w:rsid w:val="001F613A"/>
    <w:rsid w:val="001F63D2"/>
    <w:rsid w:val="001F656E"/>
    <w:rsid w:val="001F658C"/>
    <w:rsid w:val="001F6677"/>
    <w:rsid w:val="001F6683"/>
    <w:rsid w:val="001F675C"/>
    <w:rsid w:val="001F69BD"/>
    <w:rsid w:val="001F6D89"/>
    <w:rsid w:val="001F6F44"/>
    <w:rsid w:val="001F702C"/>
    <w:rsid w:val="001F70D2"/>
    <w:rsid w:val="001F7563"/>
    <w:rsid w:val="001F7567"/>
    <w:rsid w:val="001F7814"/>
    <w:rsid w:val="001F7AD1"/>
    <w:rsid w:val="001F7F36"/>
    <w:rsid w:val="002005DB"/>
    <w:rsid w:val="00200E20"/>
    <w:rsid w:val="00201447"/>
    <w:rsid w:val="002016A9"/>
    <w:rsid w:val="002017B3"/>
    <w:rsid w:val="002017E9"/>
    <w:rsid w:val="00201931"/>
    <w:rsid w:val="00201DBF"/>
    <w:rsid w:val="00201DCD"/>
    <w:rsid w:val="00202077"/>
    <w:rsid w:val="002024D3"/>
    <w:rsid w:val="00202648"/>
    <w:rsid w:val="00202A79"/>
    <w:rsid w:val="002030E4"/>
    <w:rsid w:val="002031EC"/>
    <w:rsid w:val="002036E1"/>
    <w:rsid w:val="00203A63"/>
    <w:rsid w:val="00203C1D"/>
    <w:rsid w:val="0020461D"/>
    <w:rsid w:val="002048CD"/>
    <w:rsid w:val="00204BFE"/>
    <w:rsid w:val="00204D61"/>
    <w:rsid w:val="00205028"/>
    <w:rsid w:val="002051A3"/>
    <w:rsid w:val="002053E7"/>
    <w:rsid w:val="00205441"/>
    <w:rsid w:val="00205670"/>
    <w:rsid w:val="00205781"/>
    <w:rsid w:val="002058DA"/>
    <w:rsid w:val="00205F5D"/>
    <w:rsid w:val="00206367"/>
    <w:rsid w:val="002064B7"/>
    <w:rsid w:val="00206603"/>
    <w:rsid w:val="002068BB"/>
    <w:rsid w:val="00206A9A"/>
    <w:rsid w:val="0020719A"/>
    <w:rsid w:val="002072F8"/>
    <w:rsid w:val="00207A11"/>
    <w:rsid w:val="00207AE0"/>
    <w:rsid w:val="00207F59"/>
    <w:rsid w:val="00207FE2"/>
    <w:rsid w:val="00210065"/>
    <w:rsid w:val="00210191"/>
    <w:rsid w:val="002109F0"/>
    <w:rsid w:val="00210E6D"/>
    <w:rsid w:val="00210ED0"/>
    <w:rsid w:val="00211111"/>
    <w:rsid w:val="0021115F"/>
    <w:rsid w:val="00211DC3"/>
    <w:rsid w:val="0021210C"/>
    <w:rsid w:val="00212AAE"/>
    <w:rsid w:val="00212AF7"/>
    <w:rsid w:val="00212CA0"/>
    <w:rsid w:val="002133F0"/>
    <w:rsid w:val="002134B0"/>
    <w:rsid w:val="00213849"/>
    <w:rsid w:val="002138BA"/>
    <w:rsid w:val="00213CF6"/>
    <w:rsid w:val="00213ECC"/>
    <w:rsid w:val="002142C3"/>
    <w:rsid w:val="00214645"/>
    <w:rsid w:val="00214744"/>
    <w:rsid w:val="00214D07"/>
    <w:rsid w:val="00214F12"/>
    <w:rsid w:val="00215027"/>
    <w:rsid w:val="002155B6"/>
    <w:rsid w:val="002157E4"/>
    <w:rsid w:val="00215AFB"/>
    <w:rsid w:val="00215C98"/>
    <w:rsid w:val="00215DEA"/>
    <w:rsid w:val="00215FE8"/>
    <w:rsid w:val="00216291"/>
    <w:rsid w:val="00216372"/>
    <w:rsid w:val="002163E8"/>
    <w:rsid w:val="00216553"/>
    <w:rsid w:val="00217062"/>
    <w:rsid w:val="002170E1"/>
    <w:rsid w:val="002172E2"/>
    <w:rsid w:val="0021730C"/>
    <w:rsid w:val="00217333"/>
    <w:rsid w:val="00217489"/>
    <w:rsid w:val="0021778B"/>
    <w:rsid w:val="002179A4"/>
    <w:rsid w:val="00217CAC"/>
    <w:rsid w:val="00217F44"/>
    <w:rsid w:val="002200D8"/>
    <w:rsid w:val="002202DA"/>
    <w:rsid w:val="00220389"/>
    <w:rsid w:val="00220A8C"/>
    <w:rsid w:val="00220B4E"/>
    <w:rsid w:val="002211AC"/>
    <w:rsid w:val="00221B4D"/>
    <w:rsid w:val="00222014"/>
    <w:rsid w:val="00222133"/>
    <w:rsid w:val="00222937"/>
    <w:rsid w:val="00222F84"/>
    <w:rsid w:val="002233A8"/>
    <w:rsid w:val="00223664"/>
    <w:rsid w:val="00223A56"/>
    <w:rsid w:val="00223C46"/>
    <w:rsid w:val="0022400E"/>
    <w:rsid w:val="002241B1"/>
    <w:rsid w:val="00224ADC"/>
    <w:rsid w:val="00224BC8"/>
    <w:rsid w:val="00224CC6"/>
    <w:rsid w:val="00224FC6"/>
    <w:rsid w:val="00225077"/>
    <w:rsid w:val="002250D0"/>
    <w:rsid w:val="0022512C"/>
    <w:rsid w:val="002256CA"/>
    <w:rsid w:val="00225833"/>
    <w:rsid w:val="00226095"/>
    <w:rsid w:val="00226201"/>
    <w:rsid w:val="00226237"/>
    <w:rsid w:val="00226612"/>
    <w:rsid w:val="00226960"/>
    <w:rsid w:val="00226E36"/>
    <w:rsid w:val="00227212"/>
    <w:rsid w:val="00227375"/>
    <w:rsid w:val="0022738E"/>
    <w:rsid w:val="002274ED"/>
    <w:rsid w:val="002276A6"/>
    <w:rsid w:val="00227738"/>
    <w:rsid w:val="002277F4"/>
    <w:rsid w:val="00227943"/>
    <w:rsid w:val="002279EC"/>
    <w:rsid w:val="00227B37"/>
    <w:rsid w:val="00227B89"/>
    <w:rsid w:val="00227D10"/>
    <w:rsid w:val="00227F43"/>
    <w:rsid w:val="0022B180"/>
    <w:rsid w:val="002302DD"/>
    <w:rsid w:val="00230A40"/>
    <w:rsid w:val="00230BC0"/>
    <w:rsid w:val="00231A3E"/>
    <w:rsid w:val="00231AE8"/>
    <w:rsid w:val="00231D78"/>
    <w:rsid w:val="00231EC2"/>
    <w:rsid w:val="00231FC5"/>
    <w:rsid w:val="0023214D"/>
    <w:rsid w:val="0023246B"/>
    <w:rsid w:val="002324CA"/>
    <w:rsid w:val="00232596"/>
    <w:rsid w:val="00232603"/>
    <w:rsid w:val="00232A49"/>
    <w:rsid w:val="00232C1A"/>
    <w:rsid w:val="00232C49"/>
    <w:rsid w:val="0023328B"/>
    <w:rsid w:val="002332C9"/>
    <w:rsid w:val="0023351A"/>
    <w:rsid w:val="00233B9A"/>
    <w:rsid w:val="00233FB8"/>
    <w:rsid w:val="002340EE"/>
    <w:rsid w:val="00234640"/>
    <w:rsid w:val="002347DA"/>
    <w:rsid w:val="00235327"/>
    <w:rsid w:val="002353FD"/>
    <w:rsid w:val="00235732"/>
    <w:rsid w:val="00235854"/>
    <w:rsid w:val="00235E51"/>
    <w:rsid w:val="00236003"/>
    <w:rsid w:val="00236351"/>
    <w:rsid w:val="002364DB"/>
    <w:rsid w:val="002366B0"/>
    <w:rsid w:val="00236786"/>
    <w:rsid w:val="00236A14"/>
    <w:rsid w:val="00236E45"/>
    <w:rsid w:val="00237027"/>
    <w:rsid w:val="002370B0"/>
    <w:rsid w:val="0023770E"/>
    <w:rsid w:val="00237BC6"/>
    <w:rsid w:val="00237F18"/>
    <w:rsid w:val="00240106"/>
    <w:rsid w:val="00240AA7"/>
    <w:rsid w:val="00240CF8"/>
    <w:rsid w:val="002411C7"/>
    <w:rsid w:val="0024155E"/>
    <w:rsid w:val="0024164C"/>
    <w:rsid w:val="00241AA4"/>
    <w:rsid w:val="00241DF6"/>
    <w:rsid w:val="0024208D"/>
    <w:rsid w:val="00242434"/>
    <w:rsid w:val="00242865"/>
    <w:rsid w:val="00242F4E"/>
    <w:rsid w:val="002433D6"/>
    <w:rsid w:val="002434C9"/>
    <w:rsid w:val="0024358C"/>
    <w:rsid w:val="0024372F"/>
    <w:rsid w:val="00243C10"/>
    <w:rsid w:val="002447BB"/>
    <w:rsid w:val="0024503D"/>
    <w:rsid w:val="0024507C"/>
    <w:rsid w:val="00245186"/>
    <w:rsid w:val="002452A0"/>
    <w:rsid w:val="00245596"/>
    <w:rsid w:val="00245957"/>
    <w:rsid w:val="002459E7"/>
    <w:rsid w:val="00245BB1"/>
    <w:rsid w:val="00246143"/>
    <w:rsid w:val="002462E6"/>
    <w:rsid w:val="002463A6"/>
    <w:rsid w:val="00246552"/>
    <w:rsid w:val="0024676C"/>
    <w:rsid w:val="00246948"/>
    <w:rsid w:val="00246960"/>
    <w:rsid w:val="00246AC3"/>
    <w:rsid w:val="00246ADB"/>
    <w:rsid w:val="00247131"/>
    <w:rsid w:val="0024765A"/>
    <w:rsid w:val="00247746"/>
    <w:rsid w:val="00247AE8"/>
    <w:rsid w:val="00247DA1"/>
    <w:rsid w:val="002508B8"/>
    <w:rsid w:val="002509E6"/>
    <w:rsid w:val="00250F8E"/>
    <w:rsid w:val="002511A0"/>
    <w:rsid w:val="00251241"/>
    <w:rsid w:val="00251400"/>
    <w:rsid w:val="0025157B"/>
    <w:rsid w:val="002517A5"/>
    <w:rsid w:val="00251854"/>
    <w:rsid w:val="002518F4"/>
    <w:rsid w:val="00251F6C"/>
    <w:rsid w:val="00251F91"/>
    <w:rsid w:val="0025212B"/>
    <w:rsid w:val="0025243B"/>
    <w:rsid w:val="0025249C"/>
    <w:rsid w:val="00252544"/>
    <w:rsid w:val="0025255C"/>
    <w:rsid w:val="00252BC3"/>
    <w:rsid w:val="0025312A"/>
    <w:rsid w:val="002531F4"/>
    <w:rsid w:val="002535D2"/>
    <w:rsid w:val="002537C5"/>
    <w:rsid w:val="00253895"/>
    <w:rsid w:val="002538E6"/>
    <w:rsid w:val="002539ED"/>
    <w:rsid w:val="0025440D"/>
    <w:rsid w:val="00254450"/>
    <w:rsid w:val="0025450E"/>
    <w:rsid w:val="00254526"/>
    <w:rsid w:val="0025457E"/>
    <w:rsid w:val="00255152"/>
    <w:rsid w:val="0025554E"/>
    <w:rsid w:val="002555C2"/>
    <w:rsid w:val="00255951"/>
    <w:rsid w:val="00255B2E"/>
    <w:rsid w:val="00255BA0"/>
    <w:rsid w:val="00255FAC"/>
    <w:rsid w:val="00256149"/>
    <w:rsid w:val="00256558"/>
    <w:rsid w:val="00256B76"/>
    <w:rsid w:val="00257039"/>
    <w:rsid w:val="00257105"/>
    <w:rsid w:val="00257EE8"/>
    <w:rsid w:val="0026041F"/>
    <w:rsid w:val="00260539"/>
    <w:rsid w:val="002605AB"/>
    <w:rsid w:val="00260D8F"/>
    <w:rsid w:val="0026177C"/>
    <w:rsid w:val="002617EE"/>
    <w:rsid w:val="00261A3F"/>
    <w:rsid w:val="00261BE7"/>
    <w:rsid w:val="0026216F"/>
    <w:rsid w:val="00262394"/>
    <w:rsid w:val="002625D1"/>
    <w:rsid w:val="00262EBF"/>
    <w:rsid w:val="0026312F"/>
    <w:rsid w:val="002638F4"/>
    <w:rsid w:val="00263CEE"/>
    <w:rsid w:val="0026403A"/>
    <w:rsid w:val="00264495"/>
    <w:rsid w:val="002649E0"/>
    <w:rsid w:val="00264A25"/>
    <w:rsid w:val="00264D0F"/>
    <w:rsid w:val="00265010"/>
    <w:rsid w:val="0026508F"/>
    <w:rsid w:val="002651F9"/>
    <w:rsid w:val="0026596A"/>
    <w:rsid w:val="00265C67"/>
    <w:rsid w:val="00265D48"/>
    <w:rsid w:val="002661D5"/>
    <w:rsid w:val="002667E6"/>
    <w:rsid w:val="00266862"/>
    <w:rsid w:val="00266C34"/>
    <w:rsid w:val="00266CF3"/>
    <w:rsid w:val="00266F86"/>
    <w:rsid w:val="002679F1"/>
    <w:rsid w:val="00267C56"/>
    <w:rsid w:val="00267C69"/>
    <w:rsid w:val="00267E0C"/>
    <w:rsid w:val="0027057F"/>
    <w:rsid w:val="00271117"/>
    <w:rsid w:val="002711D4"/>
    <w:rsid w:val="00271236"/>
    <w:rsid w:val="00271255"/>
    <w:rsid w:val="0027160C"/>
    <w:rsid w:val="00271D16"/>
    <w:rsid w:val="0027298E"/>
    <w:rsid w:val="00272BE6"/>
    <w:rsid w:val="00273077"/>
    <w:rsid w:val="002731AC"/>
    <w:rsid w:val="00273B13"/>
    <w:rsid w:val="00273C11"/>
    <w:rsid w:val="00273CD2"/>
    <w:rsid w:val="00273E77"/>
    <w:rsid w:val="00274039"/>
    <w:rsid w:val="002741BA"/>
    <w:rsid w:val="0027489F"/>
    <w:rsid w:val="00274C83"/>
    <w:rsid w:val="002750A0"/>
    <w:rsid w:val="0027518A"/>
    <w:rsid w:val="002751D1"/>
    <w:rsid w:val="002751ED"/>
    <w:rsid w:val="00275209"/>
    <w:rsid w:val="0027548D"/>
    <w:rsid w:val="002758A0"/>
    <w:rsid w:val="002759E9"/>
    <w:rsid w:val="00276307"/>
    <w:rsid w:val="00276346"/>
    <w:rsid w:val="002764A2"/>
    <w:rsid w:val="00276504"/>
    <w:rsid w:val="002767DE"/>
    <w:rsid w:val="002769B5"/>
    <w:rsid w:val="00276BA1"/>
    <w:rsid w:val="00276C70"/>
    <w:rsid w:val="00276D11"/>
    <w:rsid w:val="00277BCA"/>
    <w:rsid w:val="00277D13"/>
    <w:rsid w:val="002801D9"/>
    <w:rsid w:val="002806EE"/>
    <w:rsid w:val="00280923"/>
    <w:rsid w:val="00280C08"/>
    <w:rsid w:val="00280C85"/>
    <w:rsid w:val="00280E4C"/>
    <w:rsid w:val="0028138D"/>
    <w:rsid w:val="002816E7"/>
    <w:rsid w:val="00281A99"/>
    <w:rsid w:val="00281D05"/>
    <w:rsid w:val="00281DE1"/>
    <w:rsid w:val="00281ECC"/>
    <w:rsid w:val="00282282"/>
    <w:rsid w:val="002824F9"/>
    <w:rsid w:val="002827D1"/>
    <w:rsid w:val="00282844"/>
    <w:rsid w:val="00282D40"/>
    <w:rsid w:val="00283002"/>
    <w:rsid w:val="00283B47"/>
    <w:rsid w:val="00283DCF"/>
    <w:rsid w:val="00284340"/>
    <w:rsid w:val="00284A7A"/>
    <w:rsid w:val="00284A7C"/>
    <w:rsid w:val="00284B5B"/>
    <w:rsid w:val="0028512C"/>
    <w:rsid w:val="00285871"/>
    <w:rsid w:val="002858B4"/>
    <w:rsid w:val="00285942"/>
    <w:rsid w:val="00285A34"/>
    <w:rsid w:val="00285E50"/>
    <w:rsid w:val="002868AB"/>
    <w:rsid w:val="00286E4F"/>
    <w:rsid w:val="00287217"/>
    <w:rsid w:val="00287536"/>
    <w:rsid w:val="00287596"/>
    <w:rsid w:val="002879C5"/>
    <w:rsid w:val="00287E78"/>
    <w:rsid w:val="002900C0"/>
    <w:rsid w:val="00290676"/>
    <w:rsid w:val="00290B3E"/>
    <w:rsid w:val="00290E8A"/>
    <w:rsid w:val="002912E0"/>
    <w:rsid w:val="002913E4"/>
    <w:rsid w:val="00291462"/>
    <w:rsid w:val="00291572"/>
    <w:rsid w:val="00291706"/>
    <w:rsid w:val="002917EE"/>
    <w:rsid w:val="00291831"/>
    <w:rsid w:val="00292054"/>
    <w:rsid w:val="00292289"/>
    <w:rsid w:val="00292494"/>
    <w:rsid w:val="002928BD"/>
    <w:rsid w:val="00292950"/>
    <w:rsid w:val="00292C5C"/>
    <w:rsid w:val="00292CC6"/>
    <w:rsid w:val="00292D57"/>
    <w:rsid w:val="00292D69"/>
    <w:rsid w:val="00292DD3"/>
    <w:rsid w:val="00292F9E"/>
    <w:rsid w:val="0029303F"/>
    <w:rsid w:val="002930E8"/>
    <w:rsid w:val="00293132"/>
    <w:rsid w:val="00293175"/>
    <w:rsid w:val="00293321"/>
    <w:rsid w:val="002936A9"/>
    <w:rsid w:val="00293999"/>
    <w:rsid w:val="00293B4E"/>
    <w:rsid w:val="00293D85"/>
    <w:rsid w:val="00293E3B"/>
    <w:rsid w:val="00293EA4"/>
    <w:rsid w:val="00293FC3"/>
    <w:rsid w:val="00294C9B"/>
    <w:rsid w:val="00294E42"/>
    <w:rsid w:val="00294E94"/>
    <w:rsid w:val="002950D0"/>
    <w:rsid w:val="002952CC"/>
    <w:rsid w:val="002957BD"/>
    <w:rsid w:val="00295ABE"/>
    <w:rsid w:val="00295B6A"/>
    <w:rsid w:val="00295D08"/>
    <w:rsid w:val="00295DA7"/>
    <w:rsid w:val="002964A8"/>
    <w:rsid w:val="002968B7"/>
    <w:rsid w:val="00296931"/>
    <w:rsid w:val="00296D0F"/>
    <w:rsid w:val="0029707A"/>
    <w:rsid w:val="002970C3"/>
    <w:rsid w:val="00297813"/>
    <w:rsid w:val="00297A3D"/>
    <w:rsid w:val="00297FCE"/>
    <w:rsid w:val="002A0050"/>
    <w:rsid w:val="002A04B4"/>
    <w:rsid w:val="002A09DB"/>
    <w:rsid w:val="002A09E6"/>
    <w:rsid w:val="002A145B"/>
    <w:rsid w:val="002A1517"/>
    <w:rsid w:val="002A18BE"/>
    <w:rsid w:val="002A1A6A"/>
    <w:rsid w:val="002A1DDA"/>
    <w:rsid w:val="002A1F03"/>
    <w:rsid w:val="002A26A2"/>
    <w:rsid w:val="002A2A14"/>
    <w:rsid w:val="002A2A64"/>
    <w:rsid w:val="002A2BFE"/>
    <w:rsid w:val="002A3193"/>
    <w:rsid w:val="002A3511"/>
    <w:rsid w:val="002A36F6"/>
    <w:rsid w:val="002A3905"/>
    <w:rsid w:val="002A39DF"/>
    <w:rsid w:val="002A3D5F"/>
    <w:rsid w:val="002A4084"/>
    <w:rsid w:val="002A420A"/>
    <w:rsid w:val="002A4A63"/>
    <w:rsid w:val="002A4AD6"/>
    <w:rsid w:val="002A4D82"/>
    <w:rsid w:val="002A4D84"/>
    <w:rsid w:val="002A4E34"/>
    <w:rsid w:val="002A51B5"/>
    <w:rsid w:val="002A54E5"/>
    <w:rsid w:val="002A56A6"/>
    <w:rsid w:val="002A5720"/>
    <w:rsid w:val="002A5D1C"/>
    <w:rsid w:val="002A5F2D"/>
    <w:rsid w:val="002A63BA"/>
    <w:rsid w:val="002A6689"/>
    <w:rsid w:val="002A683C"/>
    <w:rsid w:val="002A6F26"/>
    <w:rsid w:val="002A709C"/>
    <w:rsid w:val="002A7196"/>
    <w:rsid w:val="002A72BD"/>
    <w:rsid w:val="002A76AE"/>
    <w:rsid w:val="002A77A3"/>
    <w:rsid w:val="002A7B82"/>
    <w:rsid w:val="002B04F3"/>
    <w:rsid w:val="002B05D5"/>
    <w:rsid w:val="002B069A"/>
    <w:rsid w:val="002B1384"/>
    <w:rsid w:val="002B16C1"/>
    <w:rsid w:val="002B17A9"/>
    <w:rsid w:val="002B1D3B"/>
    <w:rsid w:val="002B23B8"/>
    <w:rsid w:val="002B23C1"/>
    <w:rsid w:val="002B24FD"/>
    <w:rsid w:val="002B2530"/>
    <w:rsid w:val="002B29CC"/>
    <w:rsid w:val="002B2C08"/>
    <w:rsid w:val="002B2F18"/>
    <w:rsid w:val="002B2FA0"/>
    <w:rsid w:val="002B3681"/>
    <w:rsid w:val="002B392E"/>
    <w:rsid w:val="002B3C17"/>
    <w:rsid w:val="002B42BE"/>
    <w:rsid w:val="002B479C"/>
    <w:rsid w:val="002B48A1"/>
    <w:rsid w:val="002B48DE"/>
    <w:rsid w:val="002B4CA1"/>
    <w:rsid w:val="002B56C6"/>
    <w:rsid w:val="002B5A72"/>
    <w:rsid w:val="002B5DC0"/>
    <w:rsid w:val="002B64FA"/>
    <w:rsid w:val="002B65F1"/>
    <w:rsid w:val="002B667C"/>
    <w:rsid w:val="002B7307"/>
    <w:rsid w:val="002B757F"/>
    <w:rsid w:val="002B7AA1"/>
    <w:rsid w:val="002C03AD"/>
    <w:rsid w:val="002C0A30"/>
    <w:rsid w:val="002C110E"/>
    <w:rsid w:val="002C11CA"/>
    <w:rsid w:val="002C140B"/>
    <w:rsid w:val="002C18C3"/>
    <w:rsid w:val="002C1BBF"/>
    <w:rsid w:val="002C1CE3"/>
    <w:rsid w:val="002C1FE2"/>
    <w:rsid w:val="002C20AE"/>
    <w:rsid w:val="002C2409"/>
    <w:rsid w:val="002C2958"/>
    <w:rsid w:val="002C2972"/>
    <w:rsid w:val="002C3595"/>
    <w:rsid w:val="002C4197"/>
    <w:rsid w:val="002C4417"/>
    <w:rsid w:val="002C44CF"/>
    <w:rsid w:val="002C45E8"/>
    <w:rsid w:val="002C4B94"/>
    <w:rsid w:val="002C4D69"/>
    <w:rsid w:val="002C4E07"/>
    <w:rsid w:val="002C4EEA"/>
    <w:rsid w:val="002C55BC"/>
    <w:rsid w:val="002C5843"/>
    <w:rsid w:val="002C5AC7"/>
    <w:rsid w:val="002C5B5A"/>
    <w:rsid w:val="002C5D4D"/>
    <w:rsid w:val="002C68C6"/>
    <w:rsid w:val="002C6EA6"/>
    <w:rsid w:val="002C7074"/>
    <w:rsid w:val="002C70CE"/>
    <w:rsid w:val="002C7778"/>
    <w:rsid w:val="002C77A2"/>
    <w:rsid w:val="002C78BA"/>
    <w:rsid w:val="002D002E"/>
    <w:rsid w:val="002D0524"/>
    <w:rsid w:val="002D0739"/>
    <w:rsid w:val="002D10F5"/>
    <w:rsid w:val="002D11B4"/>
    <w:rsid w:val="002D126D"/>
    <w:rsid w:val="002D13F3"/>
    <w:rsid w:val="002D15BF"/>
    <w:rsid w:val="002D1637"/>
    <w:rsid w:val="002D20E8"/>
    <w:rsid w:val="002D210D"/>
    <w:rsid w:val="002D2137"/>
    <w:rsid w:val="002D2825"/>
    <w:rsid w:val="002D2A03"/>
    <w:rsid w:val="002D2CC9"/>
    <w:rsid w:val="002D2EDF"/>
    <w:rsid w:val="002D2EE5"/>
    <w:rsid w:val="002D312D"/>
    <w:rsid w:val="002D3465"/>
    <w:rsid w:val="002D3583"/>
    <w:rsid w:val="002D3E97"/>
    <w:rsid w:val="002D3ECE"/>
    <w:rsid w:val="002D4180"/>
    <w:rsid w:val="002D42F1"/>
    <w:rsid w:val="002D4513"/>
    <w:rsid w:val="002D471F"/>
    <w:rsid w:val="002D48F5"/>
    <w:rsid w:val="002D4CC3"/>
    <w:rsid w:val="002D5097"/>
    <w:rsid w:val="002D54F1"/>
    <w:rsid w:val="002D55E4"/>
    <w:rsid w:val="002D5893"/>
    <w:rsid w:val="002D5D96"/>
    <w:rsid w:val="002D60BA"/>
    <w:rsid w:val="002D6166"/>
    <w:rsid w:val="002D6605"/>
    <w:rsid w:val="002D6624"/>
    <w:rsid w:val="002D66CF"/>
    <w:rsid w:val="002D678B"/>
    <w:rsid w:val="002D690D"/>
    <w:rsid w:val="002D6B26"/>
    <w:rsid w:val="002D7060"/>
    <w:rsid w:val="002D7096"/>
    <w:rsid w:val="002D7166"/>
    <w:rsid w:val="002D7565"/>
    <w:rsid w:val="002D773D"/>
    <w:rsid w:val="002D7B57"/>
    <w:rsid w:val="002D7D89"/>
    <w:rsid w:val="002D7DD4"/>
    <w:rsid w:val="002E01F0"/>
    <w:rsid w:val="002E04C1"/>
    <w:rsid w:val="002E0620"/>
    <w:rsid w:val="002E077A"/>
    <w:rsid w:val="002E0791"/>
    <w:rsid w:val="002E0AA3"/>
    <w:rsid w:val="002E0D58"/>
    <w:rsid w:val="002E0D8A"/>
    <w:rsid w:val="002E1068"/>
    <w:rsid w:val="002E12BB"/>
    <w:rsid w:val="002E12C7"/>
    <w:rsid w:val="002E1771"/>
    <w:rsid w:val="002E18D9"/>
    <w:rsid w:val="002E29B0"/>
    <w:rsid w:val="002E29B4"/>
    <w:rsid w:val="002E39D8"/>
    <w:rsid w:val="002E3B05"/>
    <w:rsid w:val="002E403F"/>
    <w:rsid w:val="002E44BD"/>
    <w:rsid w:val="002E458A"/>
    <w:rsid w:val="002E468C"/>
    <w:rsid w:val="002E4899"/>
    <w:rsid w:val="002E49B0"/>
    <w:rsid w:val="002E4ACE"/>
    <w:rsid w:val="002E51A2"/>
    <w:rsid w:val="002E5326"/>
    <w:rsid w:val="002E54E4"/>
    <w:rsid w:val="002E56ED"/>
    <w:rsid w:val="002E57DE"/>
    <w:rsid w:val="002E5CE3"/>
    <w:rsid w:val="002E5EB5"/>
    <w:rsid w:val="002E63BE"/>
    <w:rsid w:val="002E6560"/>
    <w:rsid w:val="002E6BC2"/>
    <w:rsid w:val="002E6CFC"/>
    <w:rsid w:val="002E7301"/>
    <w:rsid w:val="002E732E"/>
    <w:rsid w:val="002E7775"/>
    <w:rsid w:val="002E7992"/>
    <w:rsid w:val="002E7A71"/>
    <w:rsid w:val="002E7AD2"/>
    <w:rsid w:val="002E7C5F"/>
    <w:rsid w:val="002E7D9B"/>
    <w:rsid w:val="002E7F57"/>
    <w:rsid w:val="002F09B6"/>
    <w:rsid w:val="002F0A58"/>
    <w:rsid w:val="002F0A62"/>
    <w:rsid w:val="002F0D09"/>
    <w:rsid w:val="002F0D1B"/>
    <w:rsid w:val="002F0E76"/>
    <w:rsid w:val="002F102A"/>
    <w:rsid w:val="002F117D"/>
    <w:rsid w:val="002F12AE"/>
    <w:rsid w:val="002F1399"/>
    <w:rsid w:val="002F13DC"/>
    <w:rsid w:val="002F1500"/>
    <w:rsid w:val="002F1615"/>
    <w:rsid w:val="002F2001"/>
    <w:rsid w:val="002F22FF"/>
    <w:rsid w:val="002F25CE"/>
    <w:rsid w:val="002F32C5"/>
    <w:rsid w:val="002F32FB"/>
    <w:rsid w:val="002F3972"/>
    <w:rsid w:val="002F3C63"/>
    <w:rsid w:val="002F3C9E"/>
    <w:rsid w:val="002F45AE"/>
    <w:rsid w:val="002F45F9"/>
    <w:rsid w:val="002F4BF8"/>
    <w:rsid w:val="002F5459"/>
    <w:rsid w:val="002F5611"/>
    <w:rsid w:val="002F5648"/>
    <w:rsid w:val="002F570C"/>
    <w:rsid w:val="002F5975"/>
    <w:rsid w:val="002F5E96"/>
    <w:rsid w:val="002F5F5E"/>
    <w:rsid w:val="002F5F85"/>
    <w:rsid w:val="002F6020"/>
    <w:rsid w:val="002F6233"/>
    <w:rsid w:val="002F64C8"/>
    <w:rsid w:val="002F693F"/>
    <w:rsid w:val="002F6C05"/>
    <w:rsid w:val="002F70C9"/>
    <w:rsid w:val="002F76B6"/>
    <w:rsid w:val="003000D0"/>
    <w:rsid w:val="0030055A"/>
    <w:rsid w:val="003008CC"/>
    <w:rsid w:val="00300A0A"/>
    <w:rsid w:val="00300AF2"/>
    <w:rsid w:val="00300DFA"/>
    <w:rsid w:val="00300EA6"/>
    <w:rsid w:val="00300F7F"/>
    <w:rsid w:val="0030132B"/>
    <w:rsid w:val="0030147C"/>
    <w:rsid w:val="00301763"/>
    <w:rsid w:val="00301828"/>
    <w:rsid w:val="00301A57"/>
    <w:rsid w:val="00302252"/>
    <w:rsid w:val="00302420"/>
    <w:rsid w:val="00302480"/>
    <w:rsid w:val="00302901"/>
    <w:rsid w:val="00302B0C"/>
    <w:rsid w:val="00302D9F"/>
    <w:rsid w:val="003030CF"/>
    <w:rsid w:val="003039BD"/>
    <w:rsid w:val="00303A53"/>
    <w:rsid w:val="00303AA1"/>
    <w:rsid w:val="00303C60"/>
    <w:rsid w:val="00303DF5"/>
    <w:rsid w:val="00304356"/>
    <w:rsid w:val="00304491"/>
    <w:rsid w:val="00304528"/>
    <w:rsid w:val="00304783"/>
    <w:rsid w:val="00304A7D"/>
    <w:rsid w:val="00304FB8"/>
    <w:rsid w:val="00305320"/>
    <w:rsid w:val="0030538A"/>
    <w:rsid w:val="00305A37"/>
    <w:rsid w:val="00306035"/>
    <w:rsid w:val="003060F3"/>
    <w:rsid w:val="00306C1B"/>
    <w:rsid w:val="00306F79"/>
    <w:rsid w:val="00307258"/>
    <w:rsid w:val="0030725F"/>
    <w:rsid w:val="00307299"/>
    <w:rsid w:val="00307842"/>
    <w:rsid w:val="00307978"/>
    <w:rsid w:val="00307B42"/>
    <w:rsid w:val="00307F45"/>
    <w:rsid w:val="00310585"/>
    <w:rsid w:val="0031073A"/>
    <w:rsid w:val="00310B9B"/>
    <w:rsid w:val="00310C3F"/>
    <w:rsid w:val="00310F24"/>
    <w:rsid w:val="00310F53"/>
    <w:rsid w:val="0031106D"/>
    <w:rsid w:val="00311331"/>
    <w:rsid w:val="00311373"/>
    <w:rsid w:val="00311633"/>
    <w:rsid w:val="003117C4"/>
    <w:rsid w:val="00311891"/>
    <w:rsid w:val="003119C8"/>
    <w:rsid w:val="00311C55"/>
    <w:rsid w:val="003129BA"/>
    <w:rsid w:val="00313058"/>
    <w:rsid w:val="0031317B"/>
    <w:rsid w:val="0031378D"/>
    <w:rsid w:val="00313B89"/>
    <w:rsid w:val="00314034"/>
    <w:rsid w:val="003140D2"/>
    <w:rsid w:val="00314491"/>
    <w:rsid w:val="00314564"/>
    <w:rsid w:val="00314AB8"/>
    <w:rsid w:val="00314BF6"/>
    <w:rsid w:val="00314ECF"/>
    <w:rsid w:val="003151F7"/>
    <w:rsid w:val="003154EC"/>
    <w:rsid w:val="003156BE"/>
    <w:rsid w:val="00315911"/>
    <w:rsid w:val="00315924"/>
    <w:rsid w:val="00315C85"/>
    <w:rsid w:val="00315D3C"/>
    <w:rsid w:val="00315FB7"/>
    <w:rsid w:val="003160FB"/>
    <w:rsid w:val="003162D1"/>
    <w:rsid w:val="0031654C"/>
    <w:rsid w:val="003166AD"/>
    <w:rsid w:val="00316B6C"/>
    <w:rsid w:val="00316E06"/>
    <w:rsid w:val="00316ED3"/>
    <w:rsid w:val="00317090"/>
    <w:rsid w:val="00317224"/>
    <w:rsid w:val="00317498"/>
    <w:rsid w:val="00317714"/>
    <w:rsid w:val="00320947"/>
    <w:rsid w:val="00320949"/>
    <w:rsid w:val="00320A17"/>
    <w:rsid w:val="00320D21"/>
    <w:rsid w:val="0032133B"/>
    <w:rsid w:val="00321403"/>
    <w:rsid w:val="00321AFE"/>
    <w:rsid w:val="00321B2F"/>
    <w:rsid w:val="00321D72"/>
    <w:rsid w:val="00321EAB"/>
    <w:rsid w:val="003221BE"/>
    <w:rsid w:val="003223C1"/>
    <w:rsid w:val="003225F4"/>
    <w:rsid w:val="003225F5"/>
    <w:rsid w:val="00322A87"/>
    <w:rsid w:val="00322ADE"/>
    <w:rsid w:val="00322C1A"/>
    <w:rsid w:val="00322DA9"/>
    <w:rsid w:val="00323082"/>
    <w:rsid w:val="003233A7"/>
    <w:rsid w:val="0032370E"/>
    <w:rsid w:val="00323AF6"/>
    <w:rsid w:val="00323B08"/>
    <w:rsid w:val="0032419D"/>
    <w:rsid w:val="003242EE"/>
    <w:rsid w:val="003244BA"/>
    <w:rsid w:val="00324870"/>
    <w:rsid w:val="00324E51"/>
    <w:rsid w:val="00324E9E"/>
    <w:rsid w:val="00325182"/>
    <w:rsid w:val="003251C2"/>
    <w:rsid w:val="00325593"/>
    <w:rsid w:val="00325766"/>
    <w:rsid w:val="0032583A"/>
    <w:rsid w:val="003259D3"/>
    <w:rsid w:val="00325E48"/>
    <w:rsid w:val="00325FA0"/>
    <w:rsid w:val="003261C3"/>
    <w:rsid w:val="00326CB5"/>
    <w:rsid w:val="00326DFF"/>
    <w:rsid w:val="00326F1C"/>
    <w:rsid w:val="00327162"/>
    <w:rsid w:val="003271BD"/>
    <w:rsid w:val="00327239"/>
    <w:rsid w:val="003273E5"/>
    <w:rsid w:val="0032764B"/>
    <w:rsid w:val="0032786C"/>
    <w:rsid w:val="00327975"/>
    <w:rsid w:val="00327B0B"/>
    <w:rsid w:val="00327D38"/>
    <w:rsid w:val="00330253"/>
    <w:rsid w:val="00330930"/>
    <w:rsid w:val="003309AD"/>
    <w:rsid w:val="00330A0A"/>
    <w:rsid w:val="00330A58"/>
    <w:rsid w:val="00330C0F"/>
    <w:rsid w:val="00330EB6"/>
    <w:rsid w:val="00330F12"/>
    <w:rsid w:val="00330F55"/>
    <w:rsid w:val="0033135D"/>
    <w:rsid w:val="003314FA"/>
    <w:rsid w:val="003316FB"/>
    <w:rsid w:val="00331CFF"/>
    <w:rsid w:val="003328A9"/>
    <w:rsid w:val="00332ADC"/>
    <w:rsid w:val="00332B6B"/>
    <w:rsid w:val="00332D4C"/>
    <w:rsid w:val="0033305A"/>
    <w:rsid w:val="0033352F"/>
    <w:rsid w:val="003337CC"/>
    <w:rsid w:val="00333BE8"/>
    <w:rsid w:val="00333D45"/>
    <w:rsid w:val="00333D6C"/>
    <w:rsid w:val="00333E2D"/>
    <w:rsid w:val="00333F5F"/>
    <w:rsid w:val="00334707"/>
    <w:rsid w:val="003347FF"/>
    <w:rsid w:val="00334AA4"/>
    <w:rsid w:val="00334DD8"/>
    <w:rsid w:val="00334E35"/>
    <w:rsid w:val="0033544A"/>
    <w:rsid w:val="00335725"/>
    <w:rsid w:val="00335894"/>
    <w:rsid w:val="003358EF"/>
    <w:rsid w:val="00335D45"/>
    <w:rsid w:val="00336105"/>
    <w:rsid w:val="00336168"/>
    <w:rsid w:val="0033637F"/>
    <w:rsid w:val="00336C7F"/>
    <w:rsid w:val="003371B5"/>
    <w:rsid w:val="003372B9"/>
    <w:rsid w:val="0033790C"/>
    <w:rsid w:val="00337BAF"/>
    <w:rsid w:val="00337E2F"/>
    <w:rsid w:val="00337EB4"/>
    <w:rsid w:val="00337EE3"/>
    <w:rsid w:val="00340341"/>
    <w:rsid w:val="00340C4D"/>
    <w:rsid w:val="00340D4E"/>
    <w:rsid w:val="00340DA0"/>
    <w:rsid w:val="00340FC1"/>
    <w:rsid w:val="00341422"/>
    <w:rsid w:val="003417CB"/>
    <w:rsid w:val="00341841"/>
    <w:rsid w:val="00341B73"/>
    <w:rsid w:val="00341EA4"/>
    <w:rsid w:val="00342479"/>
    <w:rsid w:val="003425F4"/>
    <w:rsid w:val="003427AB"/>
    <w:rsid w:val="00342BD4"/>
    <w:rsid w:val="00342CCF"/>
    <w:rsid w:val="00342DD7"/>
    <w:rsid w:val="0034308D"/>
    <w:rsid w:val="0034326B"/>
    <w:rsid w:val="00343429"/>
    <w:rsid w:val="003435A9"/>
    <w:rsid w:val="003436AA"/>
    <w:rsid w:val="00343AD9"/>
    <w:rsid w:val="00343CFC"/>
    <w:rsid w:val="0034407E"/>
    <w:rsid w:val="003441B1"/>
    <w:rsid w:val="00344341"/>
    <w:rsid w:val="00344649"/>
    <w:rsid w:val="00344FF0"/>
    <w:rsid w:val="0034500E"/>
    <w:rsid w:val="00345139"/>
    <w:rsid w:val="00345496"/>
    <w:rsid w:val="003456F5"/>
    <w:rsid w:val="003457E5"/>
    <w:rsid w:val="003459D6"/>
    <w:rsid w:val="00345A3D"/>
    <w:rsid w:val="00345BCF"/>
    <w:rsid w:val="00345F4A"/>
    <w:rsid w:val="0034625C"/>
    <w:rsid w:val="003465C1"/>
    <w:rsid w:val="003466F9"/>
    <w:rsid w:val="003468E0"/>
    <w:rsid w:val="00346D37"/>
    <w:rsid w:val="00346DE7"/>
    <w:rsid w:val="00346E06"/>
    <w:rsid w:val="0034744D"/>
    <w:rsid w:val="00347D24"/>
    <w:rsid w:val="00347FA7"/>
    <w:rsid w:val="00350092"/>
    <w:rsid w:val="003500F1"/>
    <w:rsid w:val="0035024D"/>
    <w:rsid w:val="00350274"/>
    <w:rsid w:val="00350458"/>
    <w:rsid w:val="00350731"/>
    <w:rsid w:val="0035098B"/>
    <w:rsid w:val="00350C2D"/>
    <w:rsid w:val="00351253"/>
    <w:rsid w:val="0035131A"/>
    <w:rsid w:val="00351607"/>
    <w:rsid w:val="0035163F"/>
    <w:rsid w:val="003516BA"/>
    <w:rsid w:val="0035188B"/>
    <w:rsid w:val="003519AD"/>
    <w:rsid w:val="00351BA2"/>
    <w:rsid w:val="00351BD0"/>
    <w:rsid w:val="00351E0E"/>
    <w:rsid w:val="003520E0"/>
    <w:rsid w:val="0035219C"/>
    <w:rsid w:val="00352613"/>
    <w:rsid w:val="00352A4F"/>
    <w:rsid w:val="00352AE9"/>
    <w:rsid w:val="003532BB"/>
    <w:rsid w:val="0035339C"/>
    <w:rsid w:val="003533C8"/>
    <w:rsid w:val="003533E9"/>
    <w:rsid w:val="00353429"/>
    <w:rsid w:val="00353A5F"/>
    <w:rsid w:val="003542AC"/>
    <w:rsid w:val="00354860"/>
    <w:rsid w:val="00354A4C"/>
    <w:rsid w:val="00354EB4"/>
    <w:rsid w:val="00354EF6"/>
    <w:rsid w:val="00355095"/>
    <w:rsid w:val="003551B3"/>
    <w:rsid w:val="00355663"/>
    <w:rsid w:val="003567BA"/>
    <w:rsid w:val="00356836"/>
    <w:rsid w:val="003569C5"/>
    <w:rsid w:val="003569D4"/>
    <w:rsid w:val="00356D29"/>
    <w:rsid w:val="00356ECB"/>
    <w:rsid w:val="00356FC8"/>
    <w:rsid w:val="0035708A"/>
    <w:rsid w:val="0035715B"/>
    <w:rsid w:val="003571C2"/>
    <w:rsid w:val="0035736D"/>
    <w:rsid w:val="0035759F"/>
    <w:rsid w:val="003578B7"/>
    <w:rsid w:val="00357D9A"/>
    <w:rsid w:val="00357F81"/>
    <w:rsid w:val="0036015C"/>
    <w:rsid w:val="00360500"/>
    <w:rsid w:val="00360572"/>
    <w:rsid w:val="00360871"/>
    <w:rsid w:val="003608B9"/>
    <w:rsid w:val="00360B95"/>
    <w:rsid w:val="00361165"/>
    <w:rsid w:val="00361B46"/>
    <w:rsid w:val="00361EB4"/>
    <w:rsid w:val="00362430"/>
    <w:rsid w:val="0036346B"/>
    <w:rsid w:val="00363FC8"/>
    <w:rsid w:val="00363FF9"/>
    <w:rsid w:val="003640A7"/>
    <w:rsid w:val="0036459C"/>
    <w:rsid w:val="00364664"/>
    <w:rsid w:val="00364BD7"/>
    <w:rsid w:val="00364FFD"/>
    <w:rsid w:val="00365447"/>
    <w:rsid w:val="0036556C"/>
    <w:rsid w:val="00366823"/>
    <w:rsid w:val="0036689B"/>
    <w:rsid w:val="003678B9"/>
    <w:rsid w:val="0036794E"/>
    <w:rsid w:val="0036796B"/>
    <w:rsid w:val="00367DCF"/>
    <w:rsid w:val="00370219"/>
    <w:rsid w:val="00370222"/>
    <w:rsid w:val="00370480"/>
    <w:rsid w:val="003707E4"/>
    <w:rsid w:val="003708B7"/>
    <w:rsid w:val="00370F6C"/>
    <w:rsid w:val="003712A7"/>
    <w:rsid w:val="0037150B"/>
    <w:rsid w:val="003715BA"/>
    <w:rsid w:val="00371646"/>
    <w:rsid w:val="00371948"/>
    <w:rsid w:val="00371A95"/>
    <w:rsid w:val="00371FFA"/>
    <w:rsid w:val="0037221E"/>
    <w:rsid w:val="0037222C"/>
    <w:rsid w:val="00372271"/>
    <w:rsid w:val="00372290"/>
    <w:rsid w:val="00372389"/>
    <w:rsid w:val="003727F6"/>
    <w:rsid w:val="0037281D"/>
    <w:rsid w:val="0037413F"/>
    <w:rsid w:val="00374B57"/>
    <w:rsid w:val="00374DB1"/>
    <w:rsid w:val="00374E64"/>
    <w:rsid w:val="0037515A"/>
    <w:rsid w:val="0037516C"/>
    <w:rsid w:val="00375899"/>
    <w:rsid w:val="003759AE"/>
    <w:rsid w:val="00375AEF"/>
    <w:rsid w:val="00376420"/>
    <w:rsid w:val="00376929"/>
    <w:rsid w:val="003774A9"/>
    <w:rsid w:val="0037755B"/>
    <w:rsid w:val="0037757B"/>
    <w:rsid w:val="0037779D"/>
    <w:rsid w:val="00377923"/>
    <w:rsid w:val="0037799B"/>
    <w:rsid w:val="003779FC"/>
    <w:rsid w:val="00377B2A"/>
    <w:rsid w:val="00377D33"/>
    <w:rsid w:val="003805E7"/>
    <w:rsid w:val="0038146C"/>
    <w:rsid w:val="00381839"/>
    <w:rsid w:val="003819EB"/>
    <w:rsid w:val="00381B9C"/>
    <w:rsid w:val="00381BE8"/>
    <w:rsid w:val="00382143"/>
    <w:rsid w:val="003824C4"/>
    <w:rsid w:val="00382609"/>
    <w:rsid w:val="003827E9"/>
    <w:rsid w:val="00382A34"/>
    <w:rsid w:val="00382E8A"/>
    <w:rsid w:val="00382F2F"/>
    <w:rsid w:val="00382FD1"/>
    <w:rsid w:val="003830AB"/>
    <w:rsid w:val="003834C9"/>
    <w:rsid w:val="00383B8D"/>
    <w:rsid w:val="00383CCB"/>
    <w:rsid w:val="0038405F"/>
    <w:rsid w:val="003841B5"/>
    <w:rsid w:val="0038427C"/>
    <w:rsid w:val="003842EF"/>
    <w:rsid w:val="003845F4"/>
    <w:rsid w:val="003849B8"/>
    <w:rsid w:val="00384A0E"/>
    <w:rsid w:val="00384B37"/>
    <w:rsid w:val="00385169"/>
    <w:rsid w:val="00385662"/>
    <w:rsid w:val="00385726"/>
    <w:rsid w:val="00385BE2"/>
    <w:rsid w:val="00385CAE"/>
    <w:rsid w:val="00385D65"/>
    <w:rsid w:val="00385F30"/>
    <w:rsid w:val="00385FCA"/>
    <w:rsid w:val="00386124"/>
    <w:rsid w:val="003863F7"/>
    <w:rsid w:val="003864D5"/>
    <w:rsid w:val="00386666"/>
    <w:rsid w:val="00386695"/>
    <w:rsid w:val="003869D6"/>
    <w:rsid w:val="00386A13"/>
    <w:rsid w:val="003870EE"/>
    <w:rsid w:val="003871E4"/>
    <w:rsid w:val="00387325"/>
    <w:rsid w:val="00387937"/>
    <w:rsid w:val="0038796D"/>
    <w:rsid w:val="00387A81"/>
    <w:rsid w:val="00387A9B"/>
    <w:rsid w:val="00387BD1"/>
    <w:rsid w:val="00387FB9"/>
    <w:rsid w:val="00390301"/>
    <w:rsid w:val="00390567"/>
    <w:rsid w:val="003911CD"/>
    <w:rsid w:val="00391448"/>
    <w:rsid w:val="00391A41"/>
    <w:rsid w:val="00391B4D"/>
    <w:rsid w:val="00391D74"/>
    <w:rsid w:val="003924FE"/>
    <w:rsid w:val="0039276C"/>
    <w:rsid w:val="00392BE4"/>
    <w:rsid w:val="003933C5"/>
    <w:rsid w:val="00393664"/>
    <w:rsid w:val="0039381C"/>
    <w:rsid w:val="00393A07"/>
    <w:rsid w:val="00393AF3"/>
    <w:rsid w:val="00393FC8"/>
    <w:rsid w:val="00393FDF"/>
    <w:rsid w:val="00394246"/>
    <w:rsid w:val="00394302"/>
    <w:rsid w:val="003948A4"/>
    <w:rsid w:val="003957DA"/>
    <w:rsid w:val="003958E1"/>
    <w:rsid w:val="0039591D"/>
    <w:rsid w:val="00395C64"/>
    <w:rsid w:val="00395D12"/>
    <w:rsid w:val="0039608D"/>
    <w:rsid w:val="0039621E"/>
    <w:rsid w:val="0039622D"/>
    <w:rsid w:val="0039638B"/>
    <w:rsid w:val="0039661C"/>
    <w:rsid w:val="003966F6"/>
    <w:rsid w:val="0039677D"/>
    <w:rsid w:val="00396945"/>
    <w:rsid w:val="00396C6C"/>
    <w:rsid w:val="00396C73"/>
    <w:rsid w:val="00396DFC"/>
    <w:rsid w:val="003972E2"/>
    <w:rsid w:val="00397447"/>
    <w:rsid w:val="0039787D"/>
    <w:rsid w:val="003979D3"/>
    <w:rsid w:val="003979D8"/>
    <w:rsid w:val="00397A14"/>
    <w:rsid w:val="00397DD4"/>
    <w:rsid w:val="00397E1B"/>
    <w:rsid w:val="00397EFF"/>
    <w:rsid w:val="003A0660"/>
    <w:rsid w:val="003A07B0"/>
    <w:rsid w:val="003A0B5A"/>
    <w:rsid w:val="003A0CD9"/>
    <w:rsid w:val="003A0D52"/>
    <w:rsid w:val="003A114B"/>
    <w:rsid w:val="003A1599"/>
    <w:rsid w:val="003A15C4"/>
    <w:rsid w:val="003A27AD"/>
    <w:rsid w:val="003A2ED1"/>
    <w:rsid w:val="003A2FA4"/>
    <w:rsid w:val="003A36BE"/>
    <w:rsid w:val="003A3C25"/>
    <w:rsid w:val="003A3E70"/>
    <w:rsid w:val="003A4387"/>
    <w:rsid w:val="003A456E"/>
    <w:rsid w:val="003A45D2"/>
    <w:rsid w:val="003A4C0F"/>
    <w:rsid w:val="003A4C47"/>
    <w:rsid w:val="003A4E34"/>
    <w:rsid w:val="003A4FB9"/>
    <w:rsid w:val="003A5517"/>
    <w:rsid w:val="003A5D29"/>
    <w:rsid w:val="003A5DA5"/>
    <w:rsid w:val="003A6211"/>
    <w:rsid w:val="003A63C0"/>
    <w:rsid w:val="003A651E"/>
    <w:rsid w:val="003A65C4"/>
    <w:rsid w:val="003A6724"/>
    <w:rsid w:val="003A67B8"/>
    <w:rsid w:val="003A6B27"/>
    <w:rsid w:val="003A6C8B"/>
    <w:rsid w:val="003A6E1A"/>
    <w:rsid w:val="003A7228"/>
    <w:rsid w:val="003A734D"/>
    <w:rsid w:val="003A76C1"/>
    <w:rsid w:val="003A78E9"/>
    <w:rsid w:val="003A7953"/>
    <w:rsid w:val="003B05C4"/>
    <w:rsid w:val="003B0676"/>
    <w:rsid w:val="003B0784"/>
    <w:rsid w:val="003B0B82"/>
    <w:rsid w:val="003B0BA1"/>
    <w:rsid w:val="003B0C7A"/>
    <w:rsid w:val="003B102D"/>
    <w:rsid w:val="003B1424"/>
    <w:rsid w:val="003B1507"/>
    <w:rsid w:val="003B1581"/>
    <w:rsid w:val="003B1735"/>
    <w:rsid w:val="003B190C"/>
    <w:rsid w:val="003B1A68"/>
    <w:rsid w:val="003B1C30"/>
    <w:rsid w:val="003B1E93"/>
    <w:rsid w:val="003B24BF"/>
    <w:rsid w:val="003B258E"/>
    <w:rsid w:val="003B2954"/>
    <w:rsid w:val="003B29D7"/>
    <w:rsid w:val="003B2A74"/>
    <w:rsid w:val="003B32AA"/>
    <w:rsid w:val="003B38E4"/>
    <w:rsid w:val="003B396A"/>
    <w:rsid w:val="003B39D8"/>
    <w:rsid w:val="003B3A84"/>
    <w:rsid w:val="003B3C82"/>
    <w:rsid w:val="003B4493"/>
    <w:rsid w:val="003B4599"/>
    <w:rsid w:val="003B45EF"/>
    <w:rsid w:val="003B475F"/>
    <w:rsid w:val="003B4CA3"/>
    <w:rsid w:val="003B4E93"/>
    <w:rsid w:val="003B51B6"/>
    <w:rsid w:val="003B5B0A"/>
    <w:rsid w:val="003B61B7"/>
    <w:rsid w:val="003B6403"/>
    <w:rsid w:val="003B6590"/>
    <w:rsid w:val="003B6953"/>
    <w:rsid w:val="003B6BCE"/>
    <w:rsid w:val="003B6D59"/>
    <w:rsid w:val="003B729B"/>
    <w:rsid w:val="003B7516"/>
    <w:rsid w:val="003B77AF"/>
    <w:rsid w:val="003B790B"/>
    <w:rsid w:val="003C0088"/>
    <w:rsid w:val="003C00C1"/>
    <w:rsid w:val="003C0379"/>
    <w:rsid w:val="003C055A"/>
    <w:rsid w:val="003C0903"/>
    <w:rsid w:val="003C0A7F"/>
    <w:rsid w:val="003C0CC2"/>
    <w:rsid w:val="003C1712"/>
    <w:rsid w:val="003C1AE2"/>
    <w:rsid w:val="003C1C45"/>
    <w:rsid w:val="003C1EC6"/>
    <w:rsid w:val="003C2498"/>
    <w:rsid w:val="003C2A8E"/>
    <w:rsid w:val="003C32C5"/>
    <w:rsid w:val="003C3686"/>
    <w:rsid w:val="003C3EEF"/>
    <w:rsid w:val="003C3F39"/>
    <w:rsid w:val="003C414B"/>
    <w:rsid w:val="003C42A2"/>
    <w:rsid w:val="003C4474"/>
    <w:rsid w:val="003C4F8F"/>
    <w:rsid w:val="003C570B"/>
    <w:rsid w:val="003C5A1C"/>
    <w:rsid w:val="003C5C56"/>
    <w:rsid w:val="003C602C"/>
    <w:rsid w:val="003C61C0"/>
    <w:rsid w:val="003C65BD"/>
    <w:rsid w:val="003C68C2"/>
    <w:rsid w:val="003C6B59"/>
    <w:rsid w:val="003C6CD5"/>
    <w:rsid w:val="003C6CEE"/>
    <w:rsid w:val="003C702F"/>
    <w:rsid w:val="003C7728"/>
    <w:rsid w:val="003C784D"/>
    <w:rsid w:val="003C7876"/>
    <w:rsid w:val="003C7942"/>
    <w:rsid w:val="003C79A1"/>
    <w:rsid w:val="003C7A8A"/>
    <w:rsid w:val="003D07C5"/>
    <w:rsid w:val="003D0BC4"/>
    <w:rsid w:val="003D1053"/>
    <w:rsid w:val="003D113B"/>
    <w:rsid w:val="003D135E"/>
    <w:rsid w:val="003D13EE"/>
    <w:rsid w:val="003D1870"/>
    <w:rsid w:val="003D1942"/>
    <w:rsid w:val="003D1DA5"/>
    <w:rsid w:val="003D22B8"/>
    <w:rsid w:val="003D243F"/>
    <w:rsid w:val="003D2749"/>
    <w:rsid w:val="003D2994"/>
    <w:rsid w:val="003D299E"/>
    <w:rsid w:val="003D31C6"/>
    <w:rsid w:val="003D34DB"/>
    <w:rsid w:val="003D366D"/>
    <w:rsid w:val="003D39C4"/>
    <w:rsid w:val="003D3F23"/>
    <w:rsid w:val="003D3FA3"/>
    <w:rsid w:val="003D418D"/>
    <w:rsid w:val="003D45FF"/>
    <w:rsid w:val="003D4AAD"/>
    <w:rsid w:val="003D4C42"/>
    <w:rsid w:val="003D4F7F"/>
    <w:rsid w:val="003D55E1"/>
    <w:rsid w:val="003D5A3C"/>
    <w:rsid w:val="003D5A60"/>
    <w:rsid w:val="003D5B4B"/>
    <w:rsid w:val="003D615D"/>
    <w:rsid w:val="003D63BE"/>
    <w:rsid w:val="003D641A"/>
    <w:rsid w:val="003D64FC"/>
    <w:rsid w:val="003D6DB9"/>
    <w:rsid w:val="003D6F47"/>
    <w:rsid w:val="003D6FB3"/>
    <w:rsid w:val="003D70C8"/>
    <w:rsid w:val="003D71EB"/>
    <w:rsid w:val="003D76FC"/>
    <w:rsid w:val="003D7AF1"/>
    <w:rsid w:val="003D7C72"/>
    <w:rsid w:val="003D7D86"/>
    <w:rsid w:val="003D7EC0"/>
    <w:rsid w:val="003E0578"/>
    <w:rsid w:val="003E0D16"/>
    <w:rsid w:val="003E0F2D"/>
    <w:rsid w:val="003E1377"/>
    <w:rsid w:val="003E142B"/>
    <w:rsid w:val="003E1660"/>
    <w:rsid w:val="003E16B0"/>
    <w:rsid w:val="003E17E6"/>
    <w:rsid w:val="003E1C3E"/>
    <w:rsid w:val="003E1D56"/>
    <w:rsid w:val="003E1FCB"/>
    <w:rsid w:val="003E22CB"/>
    <w:rsid w:val="003E2343"/>
    <w:rsid w:val="003E2573"/>
    <w:rsid w:val="003E277D"/>
    <w:rsid w:val="003E27B6"/>
    <w:rsid w:val="003E30BC"/>
    <w:rsid w:val="003E36FC"/>
    <w:rsid w:val="003E38D9"/>
    <w:rsid w:val="003E38E3"/>
    <w:rsid w:val="003E3CB3"/>
    <w:rsid w:val="003E3D0E"/>
    <w:rsid w:val="003E3D4D"/>
    <w:rsid w:val="003E406B"/>
    <w:rsid w:val="003E43D3"/>
    <w:rsid w:val="003E4585"/>
    <w:rsid w:val="003E45BB"/>
    <w:rsid w:val="003E482C"/>
    <w:rsid w:val="003E496F"/>
    <w:rsid w:val="003E4CAC"/>
    <w:rsid w:val="003E4DD1"/>
    <w:rsid w:val="003E4F96"/>
    <w:rsid w:val="003E5462"/>
    <w:rsid w:val="003E5793"/>
    <w:rsid w:val="003E58E6"/>
    <w:rsid w:val="003E5CCA"/>
    <w:rsid w:val="003E627F"/>
    <w:rsid w:val="003E63E2"/>
    <w:rsid w:val="003E6637"/>
    <w:rsid w:val="003E673E"/>
    <w:rsid w:val="003E6A8E"/>
    <w:rsid w:val="003E6B08"/>
    <w:rsid w:val="003E6DB8"/>
    <w:rsid w:val="003E6EA6"/>
    <w:rsid w:val="003E7773"/>
    <w:rsid w:val="003E799F"/>
    <w:rsid w:val="003E7EFB"/>
    <w:rsid w:val="003F063B"/>
    <w:rsid w:val="003F0EA5"/>
    <w:rsid w:val="003F0FBA"/>
    <w:rsid w:val="003F115E"/>
    <w:rsid w:val="003F14C2"/>
    <w:rsid w:val="003F2210"/>
    <w:rsid w:val="003F2970"/>
    <w:rsid w:val="003F2B90"/>
    <w:rsid w:val="003F31B5"/>
    <w:rsid w:val="003F33AC"/>
    <w:rsid w:val="003F33C6"/>
    <w:rsid w:val="003F33FD"/>
    <w:rsid w:val="003F3A4A"/>
    <w:rsid w:val="003F3C13"/>
    <w:rsid w:val="003F3DCB"/>
    <w:rsid w:val="003F416A"/>
    <w:rsid w:val="003F4734"/>
    <w:rsid w:val="003F4D07"/>
    <w:rsid w:val="003F4D08"/>
    <w:rsid w:val="003F5258"/>
    <w:rsid w:val="003F535C"/>
    <w:rsid w:val="003F59CB"/>
    <w:rsid w:val="003F5CCF"/>
    <w:rsid w:val="003F660F"/>
    <w:rsid w:val="003F661C"/>
    <w:rsid w:val="003F66CD"/>
    <w:rsid w:val="003F6730"/>
    <w:rsid w:val="003F6B38"/>
    <w:rsid w:val="003F6F7D"/>
    <w:rsid w:val="003F7156"/>
    <w:rsid w:val="003F7196"/>
    <w:rsid w:val="003F7902"/>
    <w:rsid w:val="003F7E35"/>
    <w:rsid w:val="0040006A"/>
    <w:rsid w:val="0040006B"/>
    <w:rsid w:val="0040007F"/>
    <w:rsid w:val="004004DB"/>
    <w:rsid w:val="004005A7"/>
    <w:rsid w:val="004008AF"/>
    <w:rsid w:val="004008F9"/>
    <w:rsid w:val="004009E3"/>
    <w:rsid w:val="00400A43"/>
    <w:rsid w:val="00400A89"/>
    <w:rsid w:val="00400B5F"/>
    <w:rsid w:val="00400DBE"/>
    <w:rsid w:val="00400FB5"/>
    <w:rsid w:val="00401297"/>
    <w:rsid w:val="0040140C"/>
    <w:rsid w:val="0040159B"/>
    <w:rsid w:val="004015DA"/>
    <w:rsid w:val="0040160B"/>
    <w:rsid w:val="00401D33"/>
    <w:rsid w:val="00401D85"/>
    <w:rsid w:val="00401DBF"/>
    <w:rsid w:val="00401EEE"/>
    <w:rsid w:val="0040234C"/>
    <w:rsid w:val="0040248D"/>
    <w:rsid w:val="00402536"/>
    <w:rsid w:val="004025E1"/>
    <w:rsid w:val="00402839"/>
    <w:rsid w:val="0040288E"/>
    <w:rsid w:val="00402BB6"/>
    <w:rsid w:val="00402C16"/>
    <w:rsid w:val="00402D49"/>
    <w:rsid w:val="0040320A"/>
    <w:rsid w:val="004033D9"/>
    <w:rsid w:val="00403445"/>
    <w:rsid w:val="004036CB"/>
    <w:rsid w:val="004037E4"/>
    <w:rsid w:val="004038F1"/>
    <w:rsid w:val="00404081"/>
    <w:rsid w:val="00404208"/>
    <w:rsid w:val="004049AB"/>
    <w:rsid w:val="00404A94"/>
    <w:rsid w:val="00404FAA"/>
    <w:rsid w:val="0040551F"/>
    <w:rsid w:val="00405839"/>
    <w:rsid w:val="004058D7"/>
    <w:rsid w:val="00405C26"/>
    <w:rsid w:val="00405CDA"/>
    <w:rsid w:val="00405FA8"/>
    <w:rsid w:val="00406063"/>
    <w:rsid w:val="00406311"/>
    <w:rsid w:val="00406341"/>
    <w:rsid w:val="0040645D"/>
    <w:rsid w:val="0040648D"/>
    <w:rsid w:val="0040651D"/>
    <w:rsid w:val="00406637"/>
    <w:rsid w:val="00406749"/>
    <w:rsid w:val="004067BD"/>
    <w:rsid w:val="00407251"/>
    <w:rsid w:val="00407339"/>
    <w:rsid w:val="0040771F"/>
    <w:rsid w:val="004079CF"/>
    <w:rsid w:val="00407CBA"/>
    <w:rsid w:val="00410388"/>
    <w:rsid w:val="0041099F"/>
    <w:rsid w:val="00410BF7"/>
    <w:rsid w:val="00410C16"/>
    <w:rsid w:val="004111F7"/>
    <w:rsid w:val="0041196E"/>
    <w:rsid w:val="0041209A"/>
    <w:rsid w:val="0041217D"/>
    <w:rsid w:val="004121A8"/>
    <w:rsid w:val="004125C6"/>
    <w:rsid w:val="0041275F"/>
    <w:rsid w:val="00412CA0"/>
    <w:rsid w:val="00412F59"/>
    <w:rsid w:val="00412F9B"/>
    <w:rsid w:val="00412FAB"/>
    <w:rsid w:val="0041381C"/>
    <w:rsid w:val="00413D16"/>
    <w:rsid w:val="00413D4B"/>
    <w:rsid w:val="00413DE4"/>
    <w:rsid w:val="00414057"/>
    <w:rsid w:val="004141A6"/>
    <w:rsid w:val="0041482F"/>
    <w:rsid w:val="00414DD1"/>
    <w:rsid w:val="00415317"/>
    <w:rsid w:val="00415CA4"/>
    <w:rsid w:val="00415E5E"/>
    <w:rsid w:val="00416157"/>
    <w:rsid w:val="00416201"/>
    <w:rsid w:val="0041654B"/>
    <w:rsid w:val="00416605"/>
    <w:rsid w:val="0041678F"/>
    <w:rsid w:val="0041686C"/>
    <w:rsid w:val="0041696A"/>
    <w:rsid w:val="00416E6B"/>
    <w:rsid w:val="00417135"/>
    <w:rsid w:val="00417703"/>
    <w:rsid w:val="00417719"/>
    <w:rsid w:val="00417B66"/>
    <w:rsid w:val="00417D3F"/>
    <w:rsid w:val="00417FC8"/>
    <w:rsid w:val="00420357"/>
    <w:rsid w:val="004207B8"/>
    <w:rsid w:val="00420905"/>
    <w:rsid w:val="00420DE8"/>
    <w:rsid w:val="00420E5C"/>
    <w:rsid w:val="004213F3"/>
    <w:rsid w:val="00421574"/>
    <w:rsid w:val="0042158E"/>
    <w:rsid w:val="00421723"/>
    <w:rsid w:val="00421769"/>
    <w:rsid w:val="00421A89"/>
    <w:rsid w:val="00421B57"/>
    <w:rsid w:val="00421EBC"/>
    <w:rsid w:val="00422011"/>
    <w:rsid w:val="004220C3"/>
    <w:rsid w:val="0042211D"/>
    <w:rsid w:val="004221CF"/>
    <w:rsid w:val="00422A3B"/>
    <w:rsid w:val="00422B4A"/>
    <w:rsid w:val="00422E9E"/>
    <w:rsid w:val="0042304B"/>
    <w:rsid w:val="0042345D"/>
    <w:rsid w:val="0042346C"/>
    <w:rsid w:val="00423D1E"/>
    <w:rsid w:val="00424084"/>
    <w:rsid w:val="0042430F"/>
    <w:rsid w:val="004243C8"/>
    <w:rsid w:val="00424860"/>
    <w:rsid w:val="00424E15"/>
    <w:rsid w:val="00424FF7"/>
    <w:rsid w:val="00425222"/>
    <w:rsid w:val="0042528B"/>
    <w:rsid w:val="004252A3"/>
    <w:rsid w:val="004255F3"/>
    <w:rsid w:val="00425756"/>
    <w:rsid w:val="00425942"/>
    <w:rsid w:val="00425DD8"/>
    <w:rsid w:val="0042608C"/>
    <w:rsid w:val="004263A2"/>
    <w:rsid w:val="004269BF"/>
    <w:rsid w:val="004269FC"/>
    <w:rsid w:val="00426E2B"/>
    <w:rsid w:val="00427049"/>
    <w:rsid w:val="004271CC"/>
    <w:rsid w:val="004273AD"/>
    <w:rsid w:val="00427571"/>
    <w:rsid w:val="00427B69"/>
    <w:rsid w:val="00427CD6"/>
    <w:rsid w:val="00430259"/>
    <w:rsid w:val="004303CB"/>
    <w:rsid w:val="004303E4"/>
    <w:rsid w:val="004305AE"/>
    <w:rsid w:val="004308AF"/>
    <w:rsid w:val="004309AD"/>
    <w:rsid w:val="00430C8A"/>
    <w:rsid w:val="00430F64"/>
    <w:rsid w:val="00431418"/>
    <w:rsid w:val="00431800"/>
    <w:rsid w:val="00431A41"/>
    <w:rsid w:val="00431A60"/>
    <w:rsid w:val="00431B16"/>
    <w:rsid w:val="00431D87"/>
    <w:rsid w:val="00431F2E"/>
    <w:rsid w:val="0043219F"/>
    <w:rsid w:val="00432616"/>
    <w:rsid w:val="00432AE0"/>
    <w:rsid w:val="00432D7B"/>
    <w:rsid w:val="00433541"/>
    <w:rsid w:val="00433730"/>
    <w:rsid w:val="00433907"/>
    <w:rsid w:val="00433D5F"/>
    <w:rsid w:val="00434170"/>
    <w:rsid w:val="0043430B"/>
    <w:rsid w:val="00434415"/>
    <w:rsid w:val="00434D1D"/>
    <w:rsid w:val="00434FBF"/>
    <w:rsid w:val="0043534F"/>
    <w:rsid w:val="00435973"/>
    <w:rsid w:val="004360A1"/>
    <w:rsid w:val="00436243"/>
    <w:rsid w:val="00436514"/>
    <w:rsid w:val="004368B9"/>
    <w:rsid w:val="0043690C"/>
    <w:rsid w:val="00436E6D"/>
    <w:rsid w:val="00437935"/>
    <w:rsid w:val="00437C89"/>
    <w:rsid w:val="00437CB2"/>
    <w:rsid w:val="00440106"/>
    <w:rsid w:val="004402C3"/>
    <w:rsid w:val="004408AF"/>
    <w:rsid w:val="00440A98"/>
    <w:rsid w:val="00440AE4"/>
    <w:rsid w:val="00440DDC"/>
    <w:rsid w:val="004411DB"/>
    <w:rsid w:val="0044150E"/>
    <w:rsid w:val="00441573"/>
    <w:rsid w:val="00441931"/>
    <w:rsid w:val="00441B36"/>
    <w:rsid w:val="00441CD5"/>
    <w:rsid w:val="00441D2C"/>
    <w:rsid w:val="00441F9D"/>
    <w:rsid w:val="004420C0"/>
    <w:rsid w:val="004421FE"/>
    <w:rsid w:val="004423D2"/>
    <w:rsid w:val="004423F7"/>
    <w:rsid w:val="004427CD"/>
    <w:rsid w:val="004428E4"/>
    <w:rsid w:val="00442A49"/>
    <w:rsid w:val="00442CF1"/>
    <w:rsid w:val="00442F2E"/>
    <w:rsid w:val="00443335"/>
    <w:rsid w:val="00443354"/>
    <w:rsid w:val="004435C3"/>
    <w:rsid w:val="004437D8"/>
    <w:rsid w:val="00443D26"/>
    <w:rsid w:val="00444467"/>
    <w:rsid w:val="004444B2"/>
    <w:rsid w:val="0044456B"/>
    <w:rsid w:val="0044469A"/>
    <w:rsid w:val="004446AC"/>
    <w:rsid w:val="004449E8"/>
    <w:rsid w:val="00444B94"/>
    <w:rsid w:val="00444DD5"/>
    <w:rsid w:val="00444FB3"/>
    <w:rsid w:val="00445171"/>
    <w:rsid w:val="00445A3B"/>
    <w:rsid w:val="00445C78"/>
    <w:rsid w:val="00445ED6"/>
    <w:rsid w:val="0044642C"/>
    <w:rsid w:val="00446632"/>
    <w:rsid w:val="00446742"/>
    <w:rsid w:val="00446825"/>
    <w:rsid w:val="0044682E"/>
    <w:rsid w:val="004468C1"/>
    <w:rsid w:val="0044690B"/>
    <w:rsid w:val="00446AD6"/>
    <w:rsid w:val="00446BBE"/>
    <w:rsid w:val="004475A2"/>
    <w:rsid w:val="0044782C"/>
    <w:rsid w:val="00447A70"/>
    <w:rsid w:val="0045093D"/>
    <w:rsid w:val="00450F9F"/>
    <w:rsid w:val="0045111E"/>
    <w:rsid w:val="004511EF"/>
    <w:rsid w:val="00451363"/>
    <w:rsid w:val="004515EE"/>
    <w:rsid w:val="00451645"/>
    <w:rsid w:val="00451C46"/>
    <w:rsid w:val="00451E5F"/>
    <w:rsid w:val="00451F25"/>
    <w:rsid w:val="004520F0"/>
    <w:rsid w:val="00452254"/>
    <w:rsid w:val="0045237E"/>
    <w:rsid w:val="004523D6"/>
    <w:rsid w:val="004523EF"/>
    <w:rsid w:val="004526BD"/>
    <w:rsid w:val="00452A26"/>
    <w:rsid w:val="00452C2A"/>
    <w:rsid w:val="00452FF5"/>
    <w:rsid w:val="00452FFF"/>
    <w:rsid w:val="00453359"/>
    <w:rsid w:val="004535B0"/>
    <w:rsid w:val="00453B78"/>
    <w:rsid w:val="00454071"/>
    <w:rsid w:val="0045439A"/>
    <w:rsid w:val="004543B9"/>
    <w:rsid w:val="0045465F"/>
    <w:rsid w:val="00454674"/>
    <w:rsid w:val="00454693"/>
    <w:rsid w:val="0045498D"/>
    <w:rsid w:val="004549FF"/>
    <w:rsid w:val="00454AB3"/>
    <w:rsid w:val="00454CD4"/>
    <w:rsid w:val="00454F8E"/>
    <w:rsid w:val="004552F8"/>
    <w:rsid w:val="00456811"/>
    <w:rsid w:val="00456A1D"/>
    <w:rsid w:val="00456CEA"/>
    <w:rsid w:val="00456FEB"/>
    <w:rsid w:val="00457106"/>
    <w:rsid w:val="0045765E"/>
    <w:rsid w:val="004578EF"/>
    <w:rsid w:val="00457CB4"/>
    <w:rsid w:val="00457D2D"/>
    <w:rsid w:val="00457E89"/>
    <w:rsid w:val="004604AF"/>
    <w:rsid w:val="00460A26"/>
    <w:rsid w:val="00460C53"/>
    <w:rsid w:val="00460DEA"/>
    <w:rsid w:val="0046165F"/>
    <w:rsid w:val="00461989"/>
    <w:rsid w:val="00461A78"/>
    <w:rsid w:val="00462778"/>
    <w:rsid w:val="004628AB"/>
    <w:rsid w:val="00462994"/>
    <w:rsid w:val="00462BA5"/>
    <w:rsid w:val="00462EAF"/>
    <w:rsid w:val="00463B65"/>
    <w:rsid w:val="00463CA9"/>
    <w:rsid w:val="0046401D"/>
    <w:rsid w:val="004640BC"/>
    <w:rsid w:val="0046434D"/>
    <w:rsid w:val="0046487A"/>
    <w:rsid w:val="00464A28"/>
    <w:rsid w:val="00464C0D"/>
    <w:rsid w:val="00464EF2"/>
    <w:rsid w:val="00464F04"/>
    <w:rsid w:val="00464F6C"/>
    <w:rsid w:val="004651D0"/>
    <w:rsid w:val="004654F8"/>
    <w:rsid w:val="0046555F"/>
    <w:rsid w:val="00465657"/>
    <w:rsid w:val="00465929"/>
    <w:rsid w:val="00465AF9"/>
    <w:rsid w:val="00465CE5"/>
    <w:rsid w:val="00466BC0"/>
    <w:rsid w:val="00466C2B"/>
    <w:rsid w:val="004670EA"/>
    <w:rsid w:val="004676D7"/>
    <w:rsid w:val="00467A30"/>
    <w:rsid w:val="00467D74"/>
    <w:rsid w:val="00467F7E"/>
    <w:rsid w:val="00470DC4"/>
    <w:rsid w:val="004714C8"/>
    <w:rsid w:val="00471D0D"/>
    <w:rsid w:val="00471D84"/>
    <w:rsid w:val="00471E50"/>
    <w:rsid w:val="00472349"/>
    <w:rsid w:val="004729EC"/>
    <w:rsid w:val="00472EFF"/>
    <w:rsid w:val="00473558"/>
    <w:rsid w:val="00473714"/>
    <w:rsid w:val="0047391F"/>
    <w:rsid w:val="00473D38"/>
    <w:rsid w:val="00473DE6"/>
    <w:rsid w:val="00474086"/>
    <w:rsid w:val="004742B5"/>
    <w:rsid w:val="0047457D"/>
    <w:rsid w:val="004746FD"/>
    <w:rsid w:val="00474829"/>
    <w:rsid w:val="00474958"/>
    <w:rsid w:val="00474E01"/>
    <w:rsid w:val="00475A2C"/>
    <w:rsid w:val="00475A59"/>
    <w:rsid w:val="00476083"/>
    <w:rsid w:val="0047649F"/>
    <w:rsid w:val="00476B32"/>
    <w:rsid w:val="00476F0E"/>
    <w:rsid w:val="00477006"/>
    <w:rsid w:val="00477060"/>
    <w:rsid w:val="00477102"/>
    <w:rsid w:val="00477FED"/>
    <w:rsid w:val="0048022D"/>
    <w:rsid w:val="00480230"/>
    <w:rsid w:val="004802BB"/>
    <w:rsid w:val="0048079D"/>
    <w:rsid w:val="00480C52"/>
    <w:rsid w:val="00480E7B"/>
    <w:rsid w:val="004817AB"/>
    <w:rsid w:val="00481AFE"/>
    <w:rsid w:val="00481FDC"/>
    <w:rsid w:val="004824BC"/>
    <w:rsid w:val="004827F7"/>
    <w:rsid w:val="00482804"/>
    <w:rsid w:val="00482A68"/>
    <w:rsid w:val="00482B47"/>
    <w:rsid w:val="00482B66"/>
    <w:rsid w:val="0048323E"/>
    <w:rsid w:val="00483418"/>
    <w:rsid w:val="00483631"/>
    <w:rsid w:val="00483C12"/>
    <w:rsid w:val="00483C15"/>
    <w:rsid w:val="004841D4"/>
    <w:rsid w:val="004842F2"/>
    <w:rsid w:val="00484324"/>
    <w:rsid w:val="00484357"/>
    <w:rsid w:val="00484737"/>
    <w:rsid w:val="00484832"/>
    <w:rsid w:val="00484DC5"/>
    <w:rsid w:val="00484FCB"/>
    <w:rsid w:val="004854FB"/>
    <w:rsid w:val="00485553"/>
    <w:rsid w:val="00485611"/>
    <w:rsid w:val="00485675"/>
    <w:rsid w:val="00485857"/>
    <w:rsid w:val="00485941"/>
    <w:rsid w:val="00485FAE"/>
    <w:rsid w:val="004864D2"/>
    <w:rsid w:val="00486502"/>
    <w:rsid w:val="00486BBC"/>
    <w:rsid w:val="00486BD9"/>
    <w:rsid w:val="00486BE1"/>
    <w:rsid w:val="00486DB0"/>
    <w:rsid w:val="00486DC7"/>
    <w:rsid w:val="00486E50"/>
    <w:rsid w:val="004870F9"/>
    <w:rsid w:val="0048726F"/>
    <w:rsid w:val="00487412"/>
    <w:rsid w:val="00487519"/>
    <w:rsid w:val="00487889"/>
    <w:rsid w:val="00487C85"/>
    <w:rsid w:val="00487DEB"/>
    <w:rsid w:val="00487F1E"/>
    <w:rsid w:val="0049040F"/>
    <w:rsid w:val="0049060D"/>
    <w:rsid w:val="00490A76"/>
    <w:rsid w:val="00490D91"/>
    <w:rsid w:val="00490DC4"/>
    <w:rsid w:val="004911F9"/>
    <w:rsid w:val="0049136B"/>
    <w:rsid w:val="004915E4"/>
    <w:rsid w:val="00491770"/>
    <w:rsid w:val="0049189D"/>
    <w:rsid w:val="004918D3"/>
    <w:rsid w:val="00492299"/>
    <w:rsid w:val="00492349"/>
    <w:rsid w:val="004925B3"/>
    <w:rsid w:val="004925EC"/>
    <w:rsid w:val="0049271B"/>
    <w:rsid w:val="004927F6"/>
    <w:rsid w:val="00492B7F"/>
    <w:rsid w:val="004932C5"/>
    <w:rsid w:val="00493343"/>
    <w:rsid w:val="004933DD"/>
    <w:rsid w:val="00493599"/>
    <w:rsid w:val="0049366D"/>
    <w:rsid w:val="00493BAB"/>
    <w:rsid w:val="00493C36"/>
    <w:rsid w:val="00493C6B"/>
    <w:rsid w:val="00493D83"/>
    <w:rsid w:val="0049496E"/>
    <w:rsid w:val="00494A57"/>
    <w:rsid w:val="00494B95"/>
    <w:rsid w:val="00494E7C"/>
    <w:rsid w:val="00494F64"/>
    <w:rsid w:val="004952F4"/>
    <w:rsid w:val="0049558E"/>
    <w:rsid w:val="00495646"/>
    <w:rsid w:val="00496250"/>
    <w:rsid w:val="004963AA"/>
    <w:rsid w:val="0049640D"/>
    <w:rsid w:val="00496522"/>
    <w:rsid w:val="0049661C"/>
    <w:rsid w:val="00496B77"/>
    <w:rsid w:val="00496C7B"/>
    <w:rsid w:val="00496F3F"/>
    <w:rsid w:val="004976FE"/>
    <w:rsid w:val="004979E7"/>
    <w:rsid w:val="004979FB"/>
    <w:rsid w:val="00497A9A"/>
    <w:rsid w:val="00497B9F"/>
    <w:rsid w:val="004A0115"/>
    <w:rsid w:val="004A035A"/>
    <w:rsid w:val="004A0A6E"/>
    <w:rsid w:val="004A0B07"/>
    <w:rsid w:val="004A0B53"/>
    <w:rsid w:val="004A0BE7"/>
    <w:rsid w:val="004A0C05"/>
    <w:rsid w:val="004A0DF1"/>
    <w:rsid w:val="004A0E14"/>
    <w:rsid w:val="004A0FB8"/>
    <w:rsid w:val="004A13F3"/>
    <w:rsid w:val="004A1418"/>
    <w:rsid w:val="004A141B"/>
    <w:rsid w:val="004A152D"/>
    <w:rsid w:val="004A1774"/>
    <w:rsid w:val="004A1CD8"/>
    <w:rsid w:val="004A1F4E"/>
    <w:rsid w:val="004A1F6D"/>
    <w:rsid w:val="004A2084"/>
    <w:rsid w:val="004A21C1"/>
    <w:rsid w:val="004A2260"/>
    <w:rsid w:val="004A22DD"/>
    <w:rsid w:val="004A25B1"/>
    <w:rsid w:val="004A35F6"/>
    <w:rsid w:val="004A3639"/>
    <w:rsid w:val="004A3662"/>
    <w:rsid w:val="004A3759"/>
    <w:rsid w:val="004A3826"/>
    <w:rsid w:val="004A38A1"/>
    <w:rsid w:val="004A38FB"/>
    <w:rsid w:val="004A3D74"/>
    <w:rsid w:val="004A4430"/>
    <w:rsid w:val="004A455E"/>
    <w:rsid w:val="004A49C1"/>
    <w:rsid w:val="004A4B97"/>
    <w:rsid w:val="004A4DEB"/>
    <w:rsid w:val="004A4FDF"/>
    <w:rsid w:val="004A5489"/>
    <w:rsid w:val="004A55BA"/>
    <w:rsid w:val="004A55CC"/>
    <w:rsid w:val="004A57C5"/>
    <w:rsid w:val="004A58BA"/>
    <w:rsid w:val="004A5CB4"/>
    <w:rsid w:val="004A5D0E"/>
    <w:rsid w:val="004A5E73"/>
    <w:rsid w:val="004A5F21"/>
    <w:rsid w:val="004A6602"/>
    <w:rsid w:val="004A684E"/>
    <w:rsid w:val="004A7038"/>
    <w:rsid w:val="004A7177"/>
    <w:rsid w:val="004A7A52"/>
    <w:rsid w:val="004A7CFD"/>
    <w:rsid w:val="004B06F0"/>
    <w:rsid w:val="004B0BA9"/>
    <w:rsid w:val="004B0C5C"/>
    <w:rsid w:val="004B0FB8"/>
    <w:rsid w:val="004B129E"/>
    <w:rsid w:val="004B13D2"/>
    <w:rsid w:val="004B1503"/>
    <w:rsid w:val="004B1839"/>
    <w:rsid w:val="004B19FE"/>
    <w:rsid w:val="004B2015"/>
    <w:rsid w:val="004B2592"/>
    <w:rsid w:val="004B299D"/>
    <w:rsid w:val="004B2A4D"/>
    <w:rsid w:val="004B2C0F"/>
    <w:rsid w:val="004B2EB2"/>
    <w:rsid w:val="004B2F45"/>
    <w:rsid w:val="004B33C2"/>
    <w:rsid w:val="004B35DA"/>
    <w:rsid w:val="004B3998"/>
    <w:rsid w:val="004B3AE8"/>
    <w:rsid w:val="004B3DF5"/>
    <w:rsid w:val="004B3EF6"/>
    <w:rsid w:val="004B3F50"/>
    <w:rsid w:val="004B4195"/>
    <w:rsid w:val="004B4214"/>
    <w:rsid w:val="004B4B5A"/>
    <w:rsid w:val="004B4BD1"/>
    <w:rsid w:val="004B50B8"/>
    <w:rsid w:val="004B52AC"/>
    <w:rsid w:val="004B5300"/>
    <w:rsid w:val="004B58EF"/>
    <w:rsid w:val="004B5AE6"/>
    <w:rsid w:val="004B5B9F"/>
    <w:rsid w:val="004B5D0F"/>
    <w:rsid w:val="004B5F07"/>
    <w:rsid w:val="004B64C5"/>
    <w:rsid w:val="004B64DC"/>
    <w:rsid w:val="004B689D"/>
    <w:rsid w:val="004B6B46"/>
    <w:rsid w:val="004B739B"/>
    <w:rsid w:val="004B7CE3"/>
    <w:rsid w:val="004B7E09"/>
    <w:rsid w:val="004C0302"/>
    <w:rsid w:val="004C0A49"/>
    <w:rsid w:val="004C0AE9"/>
    <w:rsid w:val="004C0BE0"/>
    <w:rsid w:val="004C0D95"/>
    <w:rsid w:val="004C0E97"/>
    <w:rsid w:val="004C12B2"/>
    <w:rsid w:val="004C163B"/>
    <w:rsid w:val="004C1A32"/>
    <w:rsid w:val="004C1C24"/>
    <w:rsid w:val="004C1F36"/>
    <w:rsid w:val="004C284C"/>
    <w:rsid w:val="004C2928"/>
    <w:rsid w:val="004C29C5"/>
    <w:rsid w:val="004C2AC8"/>
    <w:rsid w:val="004C2CA7"/>
    <w:rsid w:val="004C320E"/>
    <w:rsid w:val="004C331D"/>
    <w:rsid w:val="004C386C"/>
    <w:rsid w:val="004C3D64"/>
    <w:rsid w:val="004C4316"/>
    <w:rsid w:val="004C487F"/>
    <w:rsid w:val="004C48C8"/>
    <w:rsid w:val="004C48E8"/>
    <w:rsid w:val="004C494A"/>
    <w:rsid w:val="004C51BF"/>
    <w:rsid w:val="004C5549"/>
    <w:rsid w:val="004C598D"/>
    <w:rsid w:val="004C5BA3"/>
    <w:rsid w:val="004C5D96"/>
    <w:rsid w:val="004C657D"/>
    <w:rsid w:val="004C6764"/>
    <w:rsid w:val="004C678E"/>
    <w:rsid w:val="004C6B48"/>
    <w:rsid w:val="004C6CD3"/>
    <w:rsid w:val="004C6CF9"/>
    <w:rsid w:val="004C6D3D"/>
    <w:rsid w:val="004C6ED9"/>
    <w:rsid w:val="004C7118"/>
    <w:rsid w:val="004C7176"/>
    <w:rsid w:val="004C723C"/>
    <w:rsid w:val="004C72F5"/>
    <w:rsid w:val="004C7BC8"/>
    <w:rsid w:val="004C7D0A"/>
    <w:rsid w:val="004D003E"/>
    <w:rsid w:val="004D089B"/>
    <w:rsid w:val="004D0C14"/>
    <w:rsid w:val="004D0D98"/>
    <w:rsid w:val="004D0FD7"/>
    <w:rsid w:val="004D187A"/>
    <w:rsid w:val="004D1B23"/>
    <w:rsid w:val="004D26B0"/>
    <w:rsid w:val="004D2B48"/>
    <w:rsid w:val="004D2C44"/>
    <w:rsid w:val="004D378F"/>
    <w:rsid w:val="004D3897"/>
    <w:rsid w:val="004D3A40"/>
    <w:rsid w:val="004D4425"/>
    <w:rsid w:val="004D4CF1"/>
    <w:rsid w:val="004D4D8A"/>
    <w:rsid w:val="004D4F8A"/>
    <w:rsid w:val="004D52D6"/>
    <w:rsid w:val="004D546A"/>
    <w:rsid w:val="004D5E8E"/>
    <w:rsid w:val="004D60C1"/>
    <w:rsid w:val="004D647E"/>
    <w:rsid w:val="004D668A"/>
    <w:rsid w:val="004D69D5"/>
    <w:rsid w:val="004D6C03"/>
    <w:rsid w:val="004D732E"/>
    <w:rsid w:val="004D7367"/>
    <w:rsid w:val="004D7399"/>
    <w:rsid w:val="004D77E1"/>
    <w:rsid w:val="004D7E02"/>
    <w:rsid w:val="004E01F2"/>
    <w:rsid w:val="004E0772"/>
    <w:rsid w:val="004E0A58"/>
    <w:rsid w:val="004E0F0B"/>
    <w:rsid w:val="004E122B"/>
    <w:rsid w:val="004E1867"/>
    <w:rsid w:val="004E1AA9"/>
    <w:rsid w:val="004E1BF5"/>
    <w:rsid w:val="004E1C61"/>
    <w:rsid w:val="004E2127"/>
    <w:rsid w:val="004E2298"/>
    <w:rsid w:val="004E229F"/>
    <w:rsid w:val="004E2501"/>
    <w:rsid w:val="004E2BD6"/>
    <w:rsid w:val="004E3326"/>
    <w:rsid w:val="004E33A5"/>
    <w:rsid w:val="004E3522"/>
    <w:rsid w:val="004E359E"/>
    <w:rsid w:val="004E3650"/>
    <w:rsid w:val="004E37AE"/>
    <w:rsid w:val="004E38FA"/>
    <w:rsid w:val="004E397E"/>
    <w:rsid w:val="004E3A2A"/>
    <w:rsid w:val="004E3B14"/>
    <w:rsid w:val="004E3B54"/>
    <w:rsid w:val="004E3F6B"/>
    <w:rsid w:val="004E40BD"/>
    <w:rsid w:val="004E4C0F"/>
    <w:rsid w:val="004E5489"/>
    <w:rsid w:val="004E566D"/>
    <w:rsid w:val="004E56D2"/>
    <w:rsid w:val="004E57A4"/>
    <w:rsid w:val="004E594F"/>
    <w:rsid w:val="004E59F9"/>
    <w:rsid w:val="004E5DD5"/>
    <w:rsid w:val="004E68E1"/>
    <w:rsid w:val="004E6AC1"/>
    <w:rsid w:val="004E6C6E"/>
    <w:rsid w:val="004E72C3"/>
    <w:rsid w:val="004E756E"/>
    <w:rsid w:val="004E75CD"/>
    <w:rsid w:val="004F05DA"/>
    <w:rsid w:val="004F0ACE"/>
    <w:rsid w:val="004F0D5C"/>
    <w:rsid w:val="004F0D9B"/>
    <w:rsid w:val="004F1024"/>
    <w:rsid w:val="004F11B9"/>
    <w:rsid w:val="004F11E7"/>
    <w:rsid w:val="004F13DE"/>
    <w:rsid w:val="004F1762"/>
    <w:rsid w:val="004F18F4"/>
    <w:rsid w:val="004F2E12"/>
    <w:rsid w:val="004F3398"/>
    <w:rsid w:val="004F3A0B"/>
    <w:rsid w:val="004F3A87"/>
    <w:rsid w:val="004F3C3C"/>
    <w:rsid w:val="004F3F04"/>
    <w:rsid w:val="004F3F7C"/>
    <w:rsid w:val="004F4C00"/>
    <w:rsid w:val="004F4E4E"/>
    <w:rsid w:val="004F4E8B"/>
    <w:rsid w:val="004F50D2"/>
    <w:rsid w:val="004F5703"/>
    <w:rsid w:val="004F5A02"/>
    <w:rsid w:val="004F5A20"/>
    <w:rsid w:val="004F5B9B"/>
    <w:rsid w:val="004F5C27"/>
    <w:rsid w:val="004F5F00"/>
    <w:rsid w:val="004F6020"/>
    <w:rsid w:val="004F6184"/>
    <w:rsid w:val="004F61DC"/>
    <w:rsid w:val="004F62A8"/>
    <w:rsid w:val="004F639D"/>
    <w:rsid w:val="004F6465"/>
    <w:rsid w:val="004F646A"/>
    <w:rsid w:val="004F6AD3"/>
    <w:rsid w:val="004F6BC6"/>
    <w:rsid w:val="004F6BCD"/>
    <w:rsid w:val="004F6BD0"/>
    <w:rsid w:val="004F7004"/>
    <w:rsid w:val="004F7588"/>
    <w:rsid w:val="004F7688"/>
    <w:rsid w:val="004F7A58"/>
    <w:rsid w:val="004F7BA9"/>
    <w:rsid w:val="004F7E42"/>
    <w:rsid w:val="00500366"/>
    <w:rsid w:val="005004DE"/>
    <w:rsid w:val="005009E8"/>
    <w:rsid w:val="00500C1E"/>
    <w:rsid w:val="005012DF"/>
    <w:rsid w:val="00501386"/>
    <w:rsid w:val="00501899"/>
    <w:rsid w:val="00501BD9"/>
    <w:rsid w:val="00501C25"/>
    <w:rsid w:val="00502139"/>
    <w:rsid w:val="00502542"/>
    <w:rsid w:val="005027A6"/>
    <w:rsid w:val="00502A96"/>
    <w:rsid w:val="00502B28"/>
    <w:rsid w:val="00502DAE"/>
    <w:rsid w:val="00502DC5"/>
    <w:rsid w:val="00502DD9"/>
    <w:rsid w:val="00502F41"/>
    <w:rsid w:val="00502FFB"/>
    <w:rsid w:val="005038A0"/>
    <w:rsid w:val="0050390D"/>
    <w:rsid w:val="005039CC"/>
    <w:rsid w:val="00503B97"/>
    <w:rsid w:val="00503C37"/>
    <w:rsid w:val="00503C94"/>
    <w:rsid w:val="00504638"/>
    <w:rsid w:val="00504684"/>
    <w:rsid w:val="00504752"/>
    <w:rsid w:val="00504918"/>
    <w:rsid w:val="00504A82"/>
    <w:rsid w:val="00504D80"/>
    <w:rsid w:val="00505000"/>
    <w:rsid w:val="00505148"/>
    <w:rsid w:val="005052F3"/>
    <w:rsid w:val="0050550B"/>
    <w:rsid w:val="0050557D"/>
    <w:rsid w:val="00505775"/>
    <w:rsid w:val="00505E19"/>
    <w:rsid w:val="00505E6D"/>
    <w:rsid w:val="00505EFB"/>
    <w:rsid w:val="00506346"/>
    <w:rsid w:val="00506470"/>
    <w:rsid w:val="00506D73"/>
    <w:rsid w:val="00506D9B"/>
    <w:rsid w:val="00506DC7"/>
    <w:rsid w:val="00507B26"/>
    <w:rsid w:val="00507BF4"/>
    <w:rsid w:val="00507C05"/>
    <w:rsid w:val="00507D55"/>
    <w:rsid w:val="00507E1A"/>
    <w:rsid w:val="00507EB4"/>
    <w:rsid w:val="00507FB1"/>
    <w:rsid w:val="0051017B"/>
    <w:rsid w:val="005103C5"/>
    <w:rsid w:val="0051042F"/>
    <w:rsid w:val="0051072F"/>
    <w:rsid w:val="005109C2"/>
    <w:rsid w:val="005109C5"/>
    <w:rsid w:val="00510C13"/>
    <w:rsid w:val="00510EA0"/>
    <w:rsid w:val="0051117B"/>
    <w:rsid w:val="00511531"/>
    <w:rsid w:val="00511B30"/>
    <w:rsid w:val="00511E4C"/>
    <w:rsid w:val="00511F98"/>
    <w:rsid w:val="00512306"/>
    <w:rsid w:val="005127F6"/>
    <w:rsid w:val="005131D3"/>
    <w:rsid w:val="00513284"/>
    <w:rsid w:val="0051352C"/>
    <w:rsid w:val="00513662"/>
    <w:rsid w:val="0051397B"/>
    <w:rsid w:val="00513D3E"/>
    <w:rsid w:val="00513DC4"/>
    <w:rsid w:val="00513DD8"/>
    <w:rsid w:val="00513E78"/>
    <w:rsid w:val="0051421C"/>
    <w:rsid w:val="00514502"/>
    <w:rsid w:val="005146A5"/>
    <w:rsid w:val="00514752"/>
    <w:rsid w:val="00514E30"/>
    <w:rsid w:val="00514F19"/>
    <w:rsid w:val="00514FC2"/>
    <w:rsid w:val="00515316"/>
    <w:rsid w:val="00515A8D"/>
    <w:rsid w:val="00515BA5"/>
    <w:rsid w:val="00515BFA"/>
    <w:rsid w:val="00516459"/>
    <w:rsid w:val="0051715C"/>
    <w:rsid w:val="0051734C"/>
    <w:rsid w:val="005173B9"/>
    <w:rsid w:val="005174AF"/>
    <w:rsid w:val="00517866"/>
    <w:rsid w:val="00517A86"/>
    <w:rsid w:val="00517AE5"/>
    <w:rsid w:val="00517EAF"/>
    <w:rsid w:val="00520884"/>
    <w:rsid w:val="00520927"/>
    <w:rsid w:val="005209F3"/>
    <w:rsid w:val="00520CA3"/>
    <w:rsid w:val="00520D50"/>
    <w:rsid w:val="00520FC7"/>
    <w:rsid w:val="0052105A"/>
    <w:rsid w:val="00521329"/>
    <w:rsid w:val="0052136C"/>
    <w:rsid w:val="00521512"/>
    <w:rsid w:val="00521702"/>
    <w:rsid w:val="0052188A"/>
    <w:rsid w:val="005218AB"/>
    <w:rsid w:val="005219B5"/>
    <w:rsid w:val="00521CC2"/>
    <w:rsid w:val="00521E1F"/>
    <w:rsid w:val="00521ECA"/>
    <w:rsid w:val="00521F58"/>
    <w:rsid w:val="00522286"/>
    <w:rsid w:val="005227A9"/>
    <w:rsid w:val="00522918"/>
    <w:rsid w:val="00522C5B"/>
    <w:rsid w:val="00522CDC"/>
    <w:rsid w:val="00522E0E"/>
    <w:rsid w:val="0052349D"/>
    <w:rsid w:val="005235E0"/>
    <w:rsid w:val="00523666"/>
    <w:rsid w:val="005236BB"/>
    <w:rsid w:val="00523D9D"/>
    <w:rsid w:val="0052422E"/>
    <w:rsid w:val="0052486D"/>
    <w:rsid w:val="005248D1"/>
    <w:rsid w:val="005249BA"/>
    <w:rsid w:val="005249F6"/>
    <w:rsid w:val="00524B8B"/>
    <w:rsid w:val="00524BE8"/>
    <w:rsid w:val="0052575D"/>
    <w:rsid w:val="005257FC"/>
    <w:rsid w:val="00525E79"/>
    <w:rsid w:val="00525F13"/>
    <w:rsid w:val="00525F72"/>
    <w:rsid w:val="0052641A"/>
    <w:rsid w:val="005264FA"/>
    <w:rsid w:val="00526503"/>
    <w:rsid w:val="00526511"/>
    <w:rsid w:val="00526C92"/>
    <w:rsid w:val="00526E2D"/>
    <w:rsid w:val="005270A1"/>
    <w:rsid w:val="0052730D"/>
    <w:rsid w:val="00527503"/>
    <w:rsid w:val="005275D5"/>
    <w:rsid w:val="005275FC"/>
    <w:rsid w:val="0052768C"/>
    <w:rsid w:val="00527D3F"/>
    <w:rsid w:val="00527E5E"/>
    <w:rsid w:val="00527F29"/>
    <w:rsid w:val="00527F47"/>
    <w:rsid w:val="00530078"/>
    <w:rsid w:val="005302A9"/>
    <w:rsid w:val="0053037E"/>
    <w:rsid w:val="00530896"/>
    <w:rsid w:val="0053095E"/>
    <w:rsid w:val="00530B40"/>
    <w:rsid w:val="00530EB3"/>
    <w:rsid w:val="00530F48"/>
    <w:rsid w:val="005310AF"/>
    <w:rsid w:val="005310F1"/>
    <w:rsid w:val="00531303"/>
    <w:rsid w:val="0053143A"/>
    <w:rsid w:val="0053201A"/>
    <w:rsid w:val="00532A34"/>
    <w:rsid w:val="00532C5D"/>
    <w:rsid w:val="00532EB0"/>
    <w:rsid w:val="00533006"/>
    <w:rsid w:val="0053313F"/>
    <w:rsid w:val="0053378B"/>
    <w:rsid w:val="00533F36"/>
    <w:rsid w:val="00533F65"/>
    <w:rsid w:val="0053411E"/>
    <w:rsid w:val="0053415E"/>
    <w:rsid w:val="005342C3"/>
    <w:rsid w:val="005343A6"/>
    <w:rsid w:val="005343EA"/>
    <w:rsid w:val="0053445C"/>
    <w:rsid w:val="00534783"/>
    <w:rsid w:val="00534871"/>
    <w:rsid w:val="005348BF"/>
    <w:rsid w:val="00534BD9"/>
    <w:rsid w:val="00534CBC"/>
    <w:rsid w:val="00534D5A"/>
    <w:rsid w:val="005352F3"/>
    <w:rsid w:val="00535351"/>
    <w:rsid w:val="00535CDE"/>
    <w:rsid w:val="00535D7A"/>
    <w:rsid w:val="00535FDF"/>
    <w:rsid w:val="0053604F"/>
    <w:rsid w:val="00536111"/>
    <w:rsid w:val="005362F5"/>
    <w:rsid w:val="0053649B"/>
    <w:rsid w:val="005364CB"/>
    <w:rsid w:val="00536A14"/>
    <w:rsid w:val="00536C4E"/>
    <w:rsid w:val="00536D2A"/>
    <w:rsid w:val="00536E3F"/>
    <w:rsid w:val="0053725B"/>
    <w:rsid w:val="005374CF"/>
    <w:rsid w:val="005375D7"/>
    <w:rsid w:val="00537DEB"/>
    <w:rsid w:val="00537DF1"/>
    <w:rsid w:val="00537F7A"/>
    <w:rsid w:val="0054022D"/>
    <w:rsid w:val="00540477"/>
    <w:rsid w:val="00540C57"/>
    <w:rsid w:val="00540D1A"/>
    <w:rsid w:val="00540EBB"/>
    <w:rsid w:val="00541EB1"/>
    <w:rsid w:val="005420EC"/>
    <w:rsid w:val="00542468"/>
    <w:rsid w:val="00542C0B"/>
    <w:rsid w:val="0054335D"/>
    <w:rsid w:val="0054360D"/>
    <w:rsid w:val="00543AF8"/>
    <w:rsid w:val="00543CF3"/>
    <w:rsid w:val="00543FFE"/>
    <w:rsid w:val="00544218"/>
    <w:rsid w:val="00544489"/>
    <w:rsid w:val="00544555"/>
    <w:rsid w:val="00544A7E"/>
    <w:rsid w:val="00544EFB"/>
    <w:rsid w:val="005450EF"/>
    <w:rsid w:val="00545183"/>
    <w:rsid w:val="00545E78"/>
    <w:rsid w:val="00546203"/>
    <w:rsid w:val="005463AB"/>
    <w:rsid w:val="005463FA"/>
    <w:rsid w:val="0054652E"/>
    <w:rsid w:val="00546678"/>
    <w:rsid w:val="0054676D"/>
    <w:rsid w:val="00546AC2"/>
    <w:rsid w:val="00546AEF"/>
    <w:rsid w:val="00546E49"/>
    <w:rsid w:val="00546EF2"/>
    <w:rsid w:val="00547351"/>
    <w:rsid w:val="0054763A"/>
    <w:rsid w:val="005476AB"/>
    <w:rsid w:val="005502A2"/>
    <w:rsid w:val="005506E3"/>
    <w:rsid w:val="00550766"/>
    <w:rsid w:val="00550973"/>
    <w:rsid w:val="00550A09"/>
    <w:rsid w:val="0055103B"/>
    <w:rsid w:val="005511F3"/>
    <w:rsid w:val="005513B2"/>
    <w:rsid w:val="005517D8"/>
    <w:rsid w:val="00551B20"/>
    <w:rsid w:val="00551CEF"/>
    <w:rsid w:val="00551F47"/>
    <w:rsid w:val="005523C7"/>
    <w:rsid w:val="005523E6"/>
    <w:rsid w:val="005524E1"/>
    <w:rsid w:val="005525B3"/>
    <w:rsid w:val="0055272E"/>
    <w:rsid w:val="00552A0B"/>
    <w:rsid w:val="00552AD8"/>
    <w:rsid w:val="00552B90"/>
    <w:rsid w:val="00552E46"/>
    <w:rsid w:val="00552EE9"/>
    <w:rsid w:val="00553000"/>
    <w:rsid w:val="005531BD"/>
    <w:rsid w:val="0055347E"/>
    <w:rsid w:val="00553A4F"/>
    <w:rsid w:val="00553D56"/>
    <w:rsid w:val="00554009"/>
    <w:rsid w:val="00554647"/>
    <w:rsid w:val="00554E1A"/>
    <w:rsid w:val="005551A2"/>
    <w:rsid w:val="005552AC"/>
    <w:rsid w:val="00555478"/>
    <w:rsid w:val="0055556B"/>
    <w:rsid w:val="005555DF"/>
    <w:rsid w:val="005564B1"/>
    <w:rsid w:val="00556675"/>
    <w:rsid w:val="005567B2"/>
    <w:rsid w:val="005568D9"/>
    <w:rsid w:val="00556994"/>
    <w:rsid w:val="00556CD1"/>
    <w:rsid w:val="00556D13"/>
    <w:rsid w:val="00556EB8"/>
    <w:rsid w:val="00557211"/>
    <w:rsid w:val="00557728"/>
    <w:rsid w:val="0055780D"/>
    <w:rsid w:val="00557870"/>
    <w:rsid w:val="00557937"/>
    <w:rsid w:val="00557D41"/>
    <w:rsid w:val="00560162"/>
    <w:rsid w:val="00560277"/>
    <w:rsid w:val="00560561"/>
    <w:rsid w:val="00560938"/>
    <w:rsid w:val="00560A4D"/>
    <w:rsid w:val="00560AF1"/>
    <w:rsid w:val="00560E5E"/>
    <w:rsid w:val="005610C0"/>
    <w:rsid w:val="005613EE"/>
    <w:rsid w:val="00561562"/>
    <w:rsid w:val="00561A27"/>
    <w:rsid w:val="00561F2D"/>
    <w:rsid w:val="0056215E"/>
    <w:rsid w:val="005621F1"/>
    <w:rsid w:val="00562982"/>
    <w:rsid w:val="0056298D"/>
    <w:rsid w:val="00562F13"/>
    <w:rsid w:val="005630B5"/>
    <w:rsid w:val="005631C5"/>
    <w:rsid w:val="00563361"/>
    <w:rsid w:val="005634EB"/>
    <w:rsid w:val="0056371C"/>
    <w:rsid w:val="00563DE6"/>
    <w:rsid w:val="00563EBB"/>
    <w:rsid w:val="00564559"/>
    <w:rsid w:val="005648BC"/>
    <w:rsid w:val="00565252"/>
    <w:rsid w:val="0056528D"/>
    <w:rsid w:val="005653D0"/>
    <w:rsid w:val="005654EC"/>
    <w:rsid w:val="00565CFA"/>
    <w:rsid w:val="00566005"/>
    <w:rsid w:val="0056615A"/>
    <w:rsid w:val="0056628B"/>
    <w:rsid w:val="00566298"/>
    <w:rsid w:val="00566B21"/>
    <w:rsid w:val="00566C3E"/>
    <w:rsid w:val="00566C56"/>
    <w:rsid w:val="00566CE8"/>
    <w:rsid w:val="00566F0E"/>
    <w:rsid w:val="00567104"/>
    <w:rsid w:val="0056723C"/>
    <w:rsid w:val="00567355"/>
    <w:rsid w:val="005673B0"/>
    <w:rsid w:val="0056750C"/>
    <w:rsid w:val="00567658"/>
    <w:rsid w:val="00567DE0"/>
    <w:rsid w:val="005701DB"/>
    <w:rsid w:val="00570266"/>
    <w:rsid w:val="00570350"/>
    <w:rsid w:val="00570440"/>
    <w:rsid w:val="00570776"/>
    <w:rsid w:val="005708A0"/>
    <w:rsid w:val="0057091E"/>
    <w:rsid w:val="00570927"/>
    <w:rsid w:val="00570D96"/>
    <w:rsid w:val="00570EF7"/>
    <w:rsid w:val="00570FB0"/>
    <w:rsid w:val="00570FCE"/>
    <w:rsid w:val="00570FD4"/>
    <w:rsid w:val="005713D5"/>
    <w:rsid w:val="005717DC"/>
    <w:rsid w:val="00571E62"/>
    <w:rsid w:val="005720CB"/>
    <w:rsid w:val="005723D6"/>
    <w:rsid w:val="005727DB"/>
    <w:rsid w:val="0057292D"/>
    <w:rsid w:val="00572BF6"/>
    <w:rsid w:val="00572CCA"/>
    <w:rsid w:val="00572D57"/>
    <w:rsid w:val="0057328B"/>
    <w:rsid w:val="00574A6E"/>
    <w:rsid w:val="00574B0F"/>
    <w:rsid w:val="00574F7F"/>
    <w:rsid w:val="0057515C"/>
    <w:rsid w:val="0057546D"/>
    <w:rsid w:val="00575927"/>
    <w:rsid w:val="0057598B"/>
    <w:rsid w:val="00575F93"/>
    <w:rsid w:val="0057607E"/>
    <w:rsid w:val="00576276"/>
    <w:rsid w:val="0057644B"/>
    <w:rsid w:val="005767CB"/>
    <w:rsid w:val="00577108"/>
    <w:rsid w:val="00577145"/>
    <w:rsid w:val="005772F5"/>
    <w:rsid w:val="005773BE"/>
    <w:rsid w:val="005775D3"/>
    <w:rsid w:val="00577835"/>
    <w:rsid w:val="00580074"/>
    <w:rsid w:val="005800D4"/>
    <w:rsid w:val="005807B0"/>
    <w:rsid w:val="00580AF2"/>
    <w:rsid w:val="00581233"/>
    <w:rsid w:val="005812B3"/>
    <w:rsid w:val="005812E1"/>
    <w:rsid w:val="005818CF"/>
    <w:rsid w:val="00581973"/>
    <w:rsid w:val="00581C92"/>
    <w:rsid w:val="00582019"/>
    <w:rsid w:val="0058231E"/>
    <w:rsid w:val="00582365"/>
    <w:rsid w:val="00582505"/>
    <w:rsid w:val="00582671"/>
    <w:rsid w:val="00582917"/>
    <w:rsid w:val="00582DCF"/>
    <w:rsid w:val="00582E75"/>
    <w:rsid w:val="00582F55"/>
    <w:rsid w:val="00582FC1"/>
    <w:rsid w:val="005832AE"/>
    <w:rsid w:val="00583576"/>
    <w:rsid w:val="0058370A"/>
    <w:rsid w:val="00583AFF"/>
    <w:rsid w:val="00583E87"/>
    <w:rsid w:val="00583F02"/>
    <w:rsid w:val="0058402B"/>
    <w:rsid w:val="005841FA"/>
    <w:rsid w:val="0058438F"/>
    <w:rsid w:val="005843F7"/>
    <w:rsid w:val="005845E9"/>
    <w:rsid w:val="00584C1A"/>
    <w:rsid w:val="00584C98"/>
    <w:rsid w:val="00584E3D"/>
    <w:rsid w:val="00584E7A"/>
    <w:rsid w:val="00584E87"/>
    <w:rsid w:val="00585042"/>
    <w:rsid w:val="00585254"/>
    <w:rsid w:val="00585305"/>
    <w:rsid w:val="00585442"/>
    <w:rsid w:val="005856C6"/>
    <w:rsid w:val="00585743"/>
    <w:rsid w:val="005859CB"/>
    <w:rsid w:val="00585B10"/>
    <w:rsid w:val="00585C1B"/>
    <w:rsid w:val="00586053"/>
    <w:rsid w:val="00586318"/>
    <w:rsid w:val="00586489"/>
    <w:rsid w:val="005864BF"/>
    <w:rsid w:val="0058664B"/>
    <w:rsid w:val="0058679F"/>
    <w:rsid w:val="00586B2B"/>
    <w:rsid w:val="00586C6C"/>
    <w:rsid w:val="0058734C"/>
    <w:rsid w:val="005873A9"/>
    <w:rsid w:val="00587639"/>
    <w:rsid w:val="00587ABE"/>
    <w:rsid w:val="00587C10"/>
    <w:rsid w:val="00587C90"/>
    <w:rsid w:val="0059050C"/>
    <w:rsid w:val="00590956"/>
    <w:rsid w:val="00590A39"/>
    <w:rsid w:val="00591176"/>
    <w:rsid w:val="005917D2"/>
    <w:rsid w:val="00591C23"/>
    <w:rsid w:val="00591D2E"/>
    <w:rsid w:val="00592638"/>
    <w:rsid w:val="00592AA0"/>
    <w:rsid w:val="00592D6D"/>
    <w:rsid w:val="00593138"/>
    <w:rsid w:val="005931BC"/>
    <w:rsid w:val="005933A2"/>
    <w:rsid w:val="00593944"/>
    <w:rsid w:val="00593A33"/>
    <w:rsid w:val="00593E67"/>
    <w:rsid w:val="00594298"/>
    <w:rsid w:val="005947B5"/>
    <w:rsid w:val="00594B63"/>
    <w:rsid w:val="00594FB4"/>
    <w:rsid w:val="0059511B"/>
    <w:rsid w:val="0059529E"/>
    <w:rsid w:val="00595375"/>
    <w:rsid w:val="005953CC"/>
    <w:rsid w:val="00595482"/>
    <w:rsid w:val="0059572E"/>
    <w:rsid w:val="00595771"/>
    <w:rsid w:val="005958A0"/>
    <w:rsid w:val="005958B8"/>
    <w:rsid w:val="005960BB"/>
    <w:rsid w:val="0059615B"/>
    <w:rsid w:val="005963BB"/>
    <w:rsid w:val="0059646A"/>
    <w:rsid w:val="005964AA"/>
    <w:rsid w:val="005964DD"/>
    <w:rsid w:val="00596581"/>
    <w:rsid w:val="0059679E"/>
    <w:rsid w:val="0059696B"/>
    <w:rsid w:val="00596A7B"/>
    <w:rsid w:val="00596B0E"/>
    <w:rsid w:val="00596C88"/>
    <w:rsid w:val="0059722E"/>
    <w:rsid w:val="00597404"/>
    <w:rsid w:val="00597407"/>
    <w:rsid w:val="005975A7"/>
    <w:rsid w:val="00597C10"/>
    <w:rsid w:val="005A0496"/>
    <w:rsid w:val="005A06D7"/>
    <w:rsid w:val="005A073D"/>
    <w:rsid w:val="005A0976"/>
    <w:rsid w:val="005A13A9"/>
    <w:rsid w:val="005A1707"/>
    <w:rsid w:val="005A1AE9"/>
    <w:rsid w:val="005A23B3"/>
    <w:rsid w:val="005A26D1"/>
    <w:rsid w:val="005A28EA"/>
    <w:rsid w:val="005A2E91"/>
    <w:rsid w:val="005A2F55"/>
    <w:rsid w:val="005A387D"/>
    <w:rsid w:val="005A3A01"/>
    <w:rsid w:val="005A3C8B"/>
    <w:rsid w:val="005A4047"/>
    <w:rsid w:val="005A4128"/>
    <w:rsid w:val="005A4384"/>
    <w:rsid w:val="005A460F"/>
    <w:rsid w:val="005A4690"/>
    <w:rsid w:val="005A4AFD"/>
    <w:rsid w:val="005A4FB0"/>
    <w:rsid w:val="005A55EE"/>
    <w:rsid w:val="005A59C5"/>
    <w:rsid w:val="005A5CD9"/>
    <w:rsid w:val="005A602D"/>
    <w:rsid w:val="005A6602"/>
    <w:rsid w:val="005A6CD2"/>
    <w:rsid w:val="005A6D4A"/>
    <w:rsid w:val="005A6FEC"/>
    <w:rsid w:val="005A7012"/>
    <w:rsid w:val="005A72B3"/>
    <w:rsid w:val="005A74FE"/>
    <w:rsid w:val="005A780F"/>
    <w:rsid w:val="005A7A5E"/>
    <w:rsid w:val="005A7A77"/>
    <w:rsid w:val="005A7B73"/>
    <w:rsid w:val="005A7DB1"/>
    <w:rsid w:val="005A7E2A"/>
    <w:rsid w:val="005B013E"/>
    <w:rsid w:val="005B07B5"/>
    <w:rsid w:val="005B0AF4"/>
    <w:rsid w:val="005B113B"/>
    <w:rsid w:val="005B1723"/>
    <w:rsid w:val="005B1850"/>
    <w:rsid w:val="005B1C07"/>
    <w:rsid w:val="005B1C20"/>
    <w:rsid w:val="005B209D"/>
    <w:rsid w:val="005B211A"/>
    <w:rsid w:val="005B25C8"/>
    <w:rsid w:val="005B2CDD"/>
    <w:rsid w:val="005B2D87"/>
    <w:rsid w:val="005B3289"/>
    <w:rsid w:val="005B3432"/>
    <w:rsid w:val="005B36E6"/>
    <w:rsid w:val="005B3907"/>
    <w:rsid w:val="005B3B32"/>
    <w:rsid w:val="005B3B6F"/>
    <w:rsid w:val="005B3BD6"/>
    <w:rsid w:val="005B4247"/>
    <w:rsid w:val="005B45A8"/>
    <w:rsid w:val="005B476B"/>
    <w:rsid w:val="005B4D5D"/>
    <w:rsid w:val="005B4E99"/>
    <w:rsid w:val="005B5040"/>
    <w:rsid w:val="005B539F"/>
    <w:rsid w:val="005B54EF"/>
    <w:rsid w:val="005B55F7"/>
    <w:rsid w:val="005B571B"/>
    <w:rsid w:val="005B584C"/>
    <w:rsid w:val="005B5BC5"/>
    <w:rsid w:val="005B5F79"/>
    <w:rsid w:val="005B6B85"/>
    <w:rsid w:val="005B7346"/>
    <w:rsid w:val="005B7503"/>
    <w:rsid w:val="005B75CC"/>
    <w:rsid w:val="005B7830"/>
    <w:rsid w:val="005B7A2C"/>
    <w:rsid w:val="005B7B09"/>
    <w:rsid w:val="005B7D6C"/>
    <w:rsid w:val="005B7E95"/>
    <w:rsid w:val="005B7FD2"/>
    <w:rsid w:val="005C02B7"/>
    <w:rsid w:val="005C057B"/>
    <w:rsid w:val="005C0612"/>
    <w:rsid w:val="005C069D"/>
    <w:rsid w:val="005C07C8"/>
    <w:rsid w:val="005C0899"/>
    <w:rsid w:val="005C23D8"/>
    <w:rsid w:val="005C2404"/>
    <w:rsid w:val="005C2414"/>
    <w:rsid w:val="005C2BF6"/>
    <w:rsid w:val="005C2DDC"/>
    <w:rsid w:val="005C3244"/>
    <w:rsid w:val="005C32B8"/>
    <w:rsid w:val="005C33F8"/>
    <w:rsid w:val="005C3786"/>
    <w:rsid w:val="005C4226"/>
    <w:rsid w:val="005C4277"/>
    <w:rsid w:val="005C448B"/>
    <w:rsid w:val="005C4493"/>
    <w:rsid w:val="005C44A9"/>
    <w:rsid w:val="005C45D7"/>
    <w:rsid w:val="005C4B23"/>
    <w:rsid w:val="005C4C82"/>
    <w:rsid w:val="005C51EC"/>
    <w:rsid w:val="005C5BC4"/>
    <w:rsid w:val="005C5CB5"/>
    <w:rsid w:val="005C5E5F"/>
    <w:rsid w:val="005C60FE"/>
    <w:rsid w:val="005C61D6"/>
    <w:rsid w:val="005C65AC"/>
    <w:rsid w:val="005C6871"/>
    <w:rsid w:val="005C6970"/>
    <w:rsid w:val="005C6A1A"/>
    <w:rsid w:val="005C6F0F"/>
    <w:rsid w:val="005C6F34"/>
    <w:rsid w:val="005C7083"/>
    <w:rsid w:val="005C7215"/>
    <w:rsid w:val="005C73BF"/>
    <w:rsid w:val="005C73C4"/>
    <w:rsid w:val="005C78EE"/>
    <w:rsid w:val="005C7AA1"/>
    <w:rsid w:val="005C7E32"/>
    <w:rsid w:val="005C7EE5"/>
    <w:rsid w:val="005D00EA"/>
    <w:rsid w:val="005D01CF"/>
    <w:rsid w:val="005D023B"/>
    <w:rsid w:val="005D02C4"/>
    <w:rsid w:val="005D0449"/>
    <w:rsid w:val="005D055F"/>
    <w:rsid w:val="005D064B"/>
    <w:rsid w:val="005D069A"/>
    <w:rsid w:val="005D0786"/>
    <w:rsid w:val="005D091E"/>
    <w:rsid w:val="005D092D"/>
    <w:rsid w:val="005D0CEB"/>
    <w:rsid w:val="005D1190"/>
    <w:rsid w:val="005D15C5"/>
    <w:rsid w:val="005D160E"/>
    <w:rsid w:val="005D1CD6"/>
    <w:rsid w:val="005D2278"/>
    <w:rsid w:val="005D2304"/>
    <w:rsid w:val="005D2797"/>
    <w:rsid w:val="005D2915"/>
    <w:rsid w:val="005D2AE7"/>
    <w:rsid w:val="005D2DB2"/>
    <w:rsid w:val="005D2DCD"/>
    <w:rsid w:val="005D32EF"/>
    <w:rsid w:val="005D33DE"/>
    <w:rsid w:val="005D36C3"/>
    <w:rsid w:val="005D3A04"/>
    <w:rsid w:val="005D3D98"/>
    <w:rsid w:val="005D45FA"/>
    <w:rsid w:val="005D48FE"/>
    <w:rsid w:val="005D4E95"/>
    <w:rsid w:val="005D566D"/>
    <w:rsid w:val="005D57C0"/>
    <w:rsid w:val="005D5C64"/>
    <w:rsid w:val="005D5F1B"/>
    <w:rsid w:val="005D6081"/>
    <w:rsid w:val="005D66B4"/>
    <w:rsid w:val="005D67D8"/>
    <w:rsid w:val="005D6F2D"/>
    <w:rsid w:val="005D70C1"/>
    <w:rsid w:val="005D70C5"/>
    <w:rsid w:val="005D720B"/>
    <w:rsid w:val="005D7304"/>
    <w:rsid w:val="005D7471"/>
    <w:rsid w:val="005D749D"/>
    <w:rsid w:val="005D765A"/>
    <w:rsid w:val="005D7775"/>
    <w:rsid w:val="005D779F"/>
    <w:rsid w:val="005D7803"/>
    <w:rsid w:val="005D7863"/>
    <w:rsid w:val="005D79FF"/>
    <w:rsid w:val="005D7DA1"/>
    <w:rsid w:val="005E0086"/>
    <w:rsid w:val="005E029F"/>
    <w:rsid w:val="005E0465"/>
    <w:rsid w:val="005E0733"/>
    <w:rsid w:val="005E11AA"/>
    <w:rsid w:val="005E126E"/>
    <w:rsid w:val="005E143F"/>
    <w:rsid w:val="005E1442"/>
    <w:rsid w:val="005E16E7"/>
    <w:rsid w:val="005E1CFF"/>
    <w:rsid w:val="005E2702"/>
    <w:rsid w:val="005E2AD3"/>
    <w:rsid w:val="005E3025"/>
    <w:rsid w:val="005E30D6"/>
    <w:rsid w:val="005E3A76"/>
    <w:rsid w:val="005E3A7C"/>
    <w:rsid w:val="005E3BA2"/>
    <w:rsid w:val="005E43F6"/>
    <w:rsid w:val="005E48C6"/>
    <w:rsid w:val="005E4A56"/>
    <w:rsid w:val="005E4B17"/>
    <w:rsid w:val="005E54EF"/>
    <w:rsid w:val="005E5744"/>
    <w:rsid w:val="005E5874"/>
    <w:rsid w:val="005E5B31"/>
    <w:rsid w:val="005E5B3A"/>
    <w:rsid w:val="005E5CFA"/>
    <w:rsid w:val="005E5DB9"/>
    <w:rsid w:val="005E5DCB"/>
    <w:rsid w:val="005E5DD9"/>
    <w:rsid w:val="005E5F71"/>
    <w:rsid w:val="005E61D9"/>
    <w:rsid w:val="005E63B2"/>
    <w:rsid w:val="005E6524"/>
    <w:rsid w:val="005E6649"/>
    <w:rsid w:val="005E6AAC"/>
    <w:rsid w:val="005E6B92"/>
    <w:rsid w:val="005E71F6"/>
    <w:rsid w:val="005E7418"/>
    <w:rsid w:val="005E75D5"/>
    <w:rsid w:val="005E77AA"/>
    <w:rsid w:val="005E77FB"/>
    <w:rsid w:val="005E7DE4"/>
    <w:rsid w:val="005F04F5"/>
    <w:rsid w:val="005F07DC"/>
    <w:rsid w:val="005F14C4"/>
    <w:rsid w:val="005F1555"/>
    <w:rsid w:val="005F1691"/>
    <w:rsid w:val="005F1B46"/>
    <w:rsid w:val="005F1F1D"/>
    <w:rsid w:val="005F24CE"/>
    <w:rsid w:val="005F2978"/>
    <w:rsid w:val="005F298E"/>
    <w:rsid w:val="005F2CB8"/>
    <w:rsid w:val="005F300D"/>
    <w:rsid w:val="005F331E"/>
    <w:rsid w:val="005F33B2"/>
    <w:rsid w:val="005F3415"/>
    <w:rsid w:val="005F36EB"/>
    <w:rsid w:val="005F3AFC"/>
    <w:rsid w:val="005F3BD7"/>
    <w:rsid w:val="005F3F2A"/>
    <w:rsid w:val="005F4373"/>
    <w:rsid w:val="005F44AF"/>
    <w:rsid w:val="005F4721"/>
    <w:rsid w:val="005F4789"/>
    <w:rsid w:val="005F499C"/>
    <w:rsid w:val="005F4BF2"/>
    <w:rsid w:val="005F4E87"/>
    <w:rsid w:val="005F5150"/>
    <w:rsid w:val="005F52DC"/>
    <w:rsid w:val="005F61F9"/>
    <w:rsid w:val="005F62DC"/>
    <w:rsid w:val="005F6412"/>
    <w:rsid w:val="005F6DA6"/>
    <w:rsid w:val="005F6EF8"/>
    <w:rsid w:val="005F7011"/>
    <w:rsid w:val="005F720A"/>
    <w:rsid w:val="005F7749"/>
    <w:rsid w:val="005F7C4E"/>
    <w:rsid w:val="005F7DDC"/>
    <w:rsid w:val="006000C8"/>
    <w:rsid w:val="0060033B"/>
    <w:rsid w:val="006006B4"/>
    <w:rsid w:val="00600AFB"/>
    <w:rsid w:val="00600C07"/>
    <w:rsid w:val="006012D2"/>
    <w:rsid w:val="006016C7"/>
    <w:rsid w:val="00601830"/>
    <w:rsid w:val="00601E51"/>
    <w:rsid w:val="00602784"/>
    <w:rsid w:val="006029B8"/>
    <w:rsid w:val="006029BE"/>
    <w:rsid w:val="00602BDF"/>
    <w:rsid w:val="00602D54"/>
    <w:rsid w:val="00602F43"/>
    <w:rsid w:val="006031C1"/>
    <w:rsid w:val="0060320A"/>
    <w:rsid w:val="0060386D"/>
    <w:rsid w:val="00603B08"/>
    <w:rsid w:val="00603C01"/>
    <w:rsid w:val="00603C95"/>
    <w:rsid w:val="00603FF1"/>
    <w:rsid w:val="0060413A"/>
    <w:rsid w:val="00605351"/>
    <w:rsid w:val="00605359"/>
    <w:rsid w:val="00605776"/>
    <w:rsid w:val="00605887"/>
    <w:rsid w:val="00605A01"/>
    <w:rsid w:val="00605E92"/>
    <w:rsid w:val="0060621F"/>
    <w:rsid w:val="006067A8"/>
    <w:rsid w:val="00606811"/>
    <w:rsid w:val="006069EC"/>
    <w:rsid w:val="00606DF2"/>
    <w:rsid w:val="00606F22"/>
    <w:rsid w:val="0060707D"/>
    <w:rsid w:val="00607215"/>
    <w:rsid w:val="006072C3"/>
    <w:rsid w:val="0060781A"/>
    <w:rsid w:val="00607B19"/>
    <w:rsid w:val="00607BBC"/>
    <w:rsid w:val="00607FDE"/>
    <w:rsid w:val="00610162"/>
    <w:rsid w:val="0061022F"/>
    <w:rsid w:val="006107CF"/>
    <w:rsid w:val="00610A8C"/>
    <w:rsid w:val="00610ABA"/>
    <w:rsid w:val="00610B4A"/>
    <w:rsid w:val="00610F9E"/>
    <w:rsid w:val="006114FA"/>
    <w:rsid w:val="006115D0"/>
    <w:rsid w:val="00611CBD"/>
    <w:rsid w:val="00611F31"/>
    <w:rsid w:val="00611FA7"/>
    <w:rsid w:val="006121E3"/>
    <w:rsid w:val="00612200"/>
    <w:rsid w:val="0061229C"/>
    <w:rsid w:val="006123DF"/>
    <w:rsid w:val="006124E7"/>
    <w:rsid w:val="00612633"/>
    <w:rsid w:val="006127B5"/>
    <w:rsid w:val="006128E7"/>
    <w:rsid w:val="00613037"/>
    <w:rsid w:val="006135AB"/>
    <w:rsid w:val="006138E4"/>
    <w:rsid w:val="0061395E"/>
    <w:rsid w:val="006144F6"/>
    <w:rsid w:val="006148A6"/>
    <w:rsid w:val="006149C3"/>
    <w:rsid w:val="006150E1"/>
    <w:rsid w:val="006151BF"/>
    <w:rsid w:val="006155F9"/>
    <w:rsid w:val="006156AB"/>
    <w:rsid w:val="00615811"/>
    <w:rsid w:val="00616139"/>
    <w:rsid w:val="00616407"/>
    <w:rsid w:val="0061648B"/>
    <w:rsid w:val="006165AD"/>
    <w:rsid w:val="006166E3"/>
    <w:rsid w:val="0061680F"/>
    <w:rsid w:val="006168DD"/>
    <w:rsid w:val="00616AAD"/>
    <w:rsid w:val="00616C5F"/>
    <w:rsid w:val="00617DC9"/>
    <w:rsid w:val="00620289"/>
    <w:rsid w:val="006202F2"/>
    <w:rsid w:val="006203B9"/>
    <w:rsid w:val="00620560"/>
    <w:rsid w:val="00620686"/>
    <w:rsid w:val="006209BF"/>
    <w:rsid w:val="00620A0D"/>
    <w:rsid w:val="00620B58"/>
    <w:rsid w:val="00620D8B"/>
    <w:rsid w:val="00620E5A"/>
    <w:rsid w:val="006210F3"/>
    <w:rsid w:val="00621993"/>
    <w:rsid w:val="00621A56"/>
    <w:rsid w:val="00622072"/>
    <w:rsid w:val="00622627"/>
    <w:rsid w:val="0062278C"/>
    <w:rsid w:val="00622ACE"/>
    <w:rsid w:val="00622B0C"/>
    <w:rsid w:val="00622EDB"/>
    <w:rsid w:val="006234F0"/>
    <w:rsid w:val="00623637"/>
    <w:rsid w:val="00623B99"/>
    <w:rsid w:val="0062446C"/>
    <w:rsid w:val="00624939"/>
    <w:rsid w:val="00624B4C"/>
    <w:rsid w:val="00624E92"/>
    <w:rsid w:val="006250AD"/>
    <w:rsid w:val="006250E9"/>
    <w:rsid w:val="006251C3"/>
    <w:rsid w:val="00625265"/>
    <w:rsid w:val="00625309"/>
    <w:rsid w:val="006256A0"/>
    <w:rsid w:val="0062573F"/>
    <w:rsid w:val="00625745"/>
    <w:rsid w:val="00625828"/>
    <w:rsid w:val="00625A18"/>
    <w:rsid w:val="00625C22"/>
    <w:rsid w:val="0063016B"/>
    <w:rsid w:val="00630296"/>
    <w:rsid w:val="006302AE"/>
    <w:rsid w:val="0063062A"/>
    <w:rsid w:val="00630726"/>
    <w:rsid w:val="00630DEA"/>
    <w:rsid w:val="00631324"/>
    <w:rsid w:val="006316CD"/>
    <w:rsid w:val="0063185B"/>
    <w:rsid w:val="00631B9A"/>
    <w:rsid w:val="00631C30"/>
    <w:rsid w:val="00631D79"/>
    <w:rsid w:val="006324AE"/>
    <w:rsid w:val="00632935"/>
    <w:rsid w:val="00632ABE"/>
    <w:rsid w:val="00632CCE"/>
    <w:rsid w:val="00632CDF"/>
    <w:rsid w:val="00633219"/>
    <w:rsid w:val="00633818"/>
    <w:rsid w:val="0063381C"/>
    <w:rsid w:val="00633B2F"/>
    <w:rsid w:val="00633DAB"/>
    <w:rsid w:val="0063423A"/>
    <w:rsid w:val="0063429B"/>
    <w:rsid w:val="0063450E"/>
    <w:rsid w:val="00634687"/>
    <w:rsid w:val="00634774"/>
    <w:rsid w:val="00634797"/>
    <w:rsid w:val="00634AB3"/>
    <w:rsid w:val="00634B3A"/>
    <w:rsid w:val="00634E62"/>
    <w:rsid w:val="006350EB"/>
    <w:rsid w:val="00635358"/>
    <w:rsid w:val="0063539B"/>
    <w:rsid w:val="00635A3F"/>
    <w:rsid w:val="00635C0D"/>
    <w:rsid w:val="00635D27"/>
    <w:rsid w:val="00635FFA"/>
    <w:rsid w:val="00636134"/>
    <w:rsid w:val="00636483"/>
    <w:rsid w:val="00636670"/>
    <w:rsid w:val="00636712"/>
    <w:rsid w:val="00636B88"/>
    <w:rsid w:val="00636F0B"/>
    <w:rsid w:val="0063706B"/>
    <w:rsid w:val="00637211"/>
    <w:rsid w:val="0063761F"/>
    <w:rsid w:val="00637B83"/>
    <w:rsid w:val="00637ED8"/>
    <w:rsid w:val="00637F8F"/>
    <w:rsid w:val="006405D1"/>
    <w:rsid w:val="006409B4"/>
    <w:rsid w:val="00640A44"/>
    <w:rsid w:val="00640C31"/>
    <w:rsid w:val="00640DA3"/>
    <w:rsid w:val="00641276"/>
    <w:rsid w:val="006416BF"/>
    <w:rsid w:val="00641750"/>
    <w:rsid w:val="0064186C"/>
    <w:rsid w:val="00641C88"/>
    <w:rsid w:val="00642192"/>
    <w:rsid w:val="00642423"/>
    <w:rsid w:val="00642466"/>
    <w:rsid w:val="006425C8"/>
    <w:rsid w:val="006428DA"/>
    <w:rsid w:val="00642A54"/>
    <w:rsid w:val="00642C76"/>
    <w:rsid w:val="00642EEB"/>
    <w:rsid w:val="00643226"/>
    <w:rsid w:val="006434FC"/>
    <w:rsid w:val="00643782"/>
    <w:rsid w:val="00643811"/>
    <w:rsid w:val="00643849"/>
    <w:rsid w:val="00643B8B"/>
    <w:rsid w:val="00643BA7"/>
    <w:rsid w:val="00643C15"/>
    <w:rsid w:val="00643E24"/>
    <w:rsid w:val="00644117"/>
    <w:rsid w:val="006441D5"/>
    <w:rsid w:val="00644D4A"/>
    <w:rsid w:val="006459EF"/>
    <w:rsid w:val="00645E99"/>
    <w:rsid w:val="006463B1"/>
    <w:rsid w:val="006465F3"/>
    <w:rsid w:val="006467CD"/>
    <w:rsid w:val="00646946"/>
    <w:rsid w:val="006469D8"/>
    <w:rsid w:val="00646AC8"/>
    <w:rsid w:val="00646C0A"/>
    <w:rsid w:val="00646D0F"/>
    <w:rsid w:val="00646D7C"/>
    <w:rsid w:val="00646DA6"/>
    <w:rsid w:val="00646E0D"/>
    <w:rsid w:val="00647242"/>
    <w:rsid w:val="006476E6"/>
    <w:rsid w:val="006476FF"/>
    <w:rsid w:val="00647A88"/>
    <w:rsid w:val="00647F23"/>
    <w:rsid w:val="006500A0"/>
    <w:rsid w:val="00650724"/>
    <w:rsid w:val="00650838"/>
    <w:rsid w:val="00650B7B"/>
    <w:rsid w:val="00650C43"/>
    <w:rsid w:val="00650D33"/>
    <w:rsid w:val="00651101"/>
    <w:rsid w:val="006514B7"/>
    <w:rsid w:val="0065165B"/>
    <w:rsid w:val="00651671"/>
    <w:rsid w:val="00651818"/>
    <w:rsid w:val="00651E3D"/>
    <w:rsid w:val="00651F2A"/>
    <w:rsid w:val="006523AA"/>
    <w:rsid w:val="00652662"/>
    <w:rsid w:val="00652D2B"/>
    <w:rsid w:val="00652EF6"/>
    <w:rsid w:val="0065300F"/>
    <w:rsid w:val="00653388"/>
    <w:rsid w:val="006534BF"/>
    <w:rsid w:val="00653516"/>
    <w:rsid w:val="00653583"/>
    <w:rsid w:val="00653747"/>
    <w:rsid w:val="006537D7"/>
    <w:rsid w:val="00653E12"/>
    <w:rsid w:val="00653FCA"/>
    <w:rsid w:val="006540AE"/>
    <w:rsid w:val="00654406"/>
    <w:rsid w:val="0065444A"/>
    <w:rsid w:val="006545CA"/>
    <w:rsid w:val="00654ACA"/>
    <w:rsid w:val="00654C06"/>
    <w:rsid w:val="00654DF3"/>
    <w:rsid w:val="00654E80"/>
    <w:rsid w:val="00654F68"/>
    <w:rsid w:val="00655321"/>
    <w:rsid w:val="0065563A"/>
    <w:rsid w:val="006556BD"/>
    <w:rsid w:val="0065570C"/>
    <w:rsid w:val="0065599F"/>
    <w:rsid w:val="00655AAF"/>
    <w:rsid w:val="00655B2D"/>
    <w:rsid w:val="00655CF9"/>
    <w:rsid w:val="00655D45"/>
    <w:rsid w:val="00655F5F"/>
    <w:rsid w:val="006566D1"/>
    <w:rsid w:val="00656746"/>
    <w:rsid w:val="00656F6D"/>
    <w:rsid w:val="0065714C"/>
    <w:rsid w:val="00657249"/>
    <w:rsid w:val="00657359"/>
    <w:rsid w:val="00657591"/>
    <w:rsid w:val="0065761B"/>
    <w:rsid w:val="00657F10"/>
    <w:rsid w:val="0066035A"/>
    <w:rsid w:val="00660432"/>
    <w:rsid w:val="0066070F"/>
    <w:rsid w:val="00660893"/>
    <w:rsid w:val="00660A74"/>
    <w:rsid w:val="00661703"/>
    <w:rsid w:val="00661739"/>
    <w:rsid w:val="006618A4"/>
    <w:rsid w:val="00661936"/>
    <w:rsid w:val="00661AC3"/>
    <w:rsid w:val="00661C8E"/>
    <w:rsid w:val="00661F1B"/>
    <w:rsid w:val="00661FBA"/>
    <w:rsid w:val="00662133"/>
    <w:rsid w:val="0066222D"/>
    <w:rsid w:val="006628E2"/>
    <w:rsid w:val="00662B5A"/>
    <w:rsid w:val="00662CE1"/>
    <w:rsid w:val="00662E36"/>
    <w:rsid w:val="00662E5F"/>
    <w:rsid w:val="00663139"/>
    <w:rsid w:val="00663193"/>
    <w:rsid w:val="006633B8"/>
    <w:rsid w:val="006634BF"/>
    <w:rsid w:val="00663BA4"/>
    <w:rsid w:val="00663CF3"/>
    <w:rsid w:val="006640B3"/>
    <w:rsid w:val="00664434"/>
    <w:rsid w:val="00664681"/>
    <w:rsid w:val="006646AE"/>
    <w:rsid w:val="00664784"/>
    <w:rsid w:val="0066498F"/>
    <w:rsid w:val="00664B63"/>
    <w:rsid w:val="00664FD6"/>
    <w:rsid w:val="0066550E"/>
    <w:rsid w:val="00665564"/>
    <w:rsid w:val="0066561F"/>
    <w:rsid w:val="00665E3B"/>
    <w:rsid w:val="0066616A"/>
    <w:rsid w:val="00666381"/>
    <w:rsid w:val="006664FA"/>
    <w:rsid w:val="00666651"/>
    <w:rsid w:val="006667AC"/>
    <w:rsid w:val="00666962"/>
    <w:rsid w:val="00666A58"/>
    <w:rsid w:val="00666CA9"/>
    <w:rsid w:val="00666D28"/>
    <w:rsid w:val="006678BD"/>
    <w:rsid w:val="00667B3F"/>
    <w:rsid w:val="00667D99"/>
    <w:rsid w:val="00670650"/>
    <w:rsid w:val="006707DF"/>
    <w:rsid w:val="00670ECB"/>
    <w:rsid w:val="0067123C"/>
    <w:rsid w:val="006712BE"/>
    <w:rsid w:val="006712C0"/>
    <w:rsid w:val="006714D1"/>
    <w:rsid w:val="00671672"/>
    <w:rsid w:val="0067178E"/>
    <w:rsid w:val="006717C4"/>
    <w:rsid w:val="006717D3"/>
    <w:rsid w:val="00671B0D"/>
    <w:rsid w:val="00671BAB"/>
    <w:rsid w:val="006720A1"/>
    <w:rsid w:val="00672B5D"/>
    <w:rsid w:val="00672F99"/>
    <w:rsid w:val="006732FD"/>
    <w:rsid w:val="0067375E"/>
    <w:rsid w:val="00673991"/>
    <w:rsid w:val="00673B62"/>
    <w:rsid w:val="00673EE8"/>
    <w:rsid w:val="0067402E"/>
    <w:rsid w:val="006744AC"/>
    <w:rsid w:val="0067473D"/>
    <w:rsid w:val="00674792"/>
    <w:rsid w:val="00674846"/>
    <w:rsid w:val="00674B61"/>
    <w:rsid w:val="00674BD3"/>
    <w:rsid w:val="00674C7D"/>
    <w:rsid w:val="00674F49"/>
    <w:rsid w:val="00674F6A"/>
    <w:rsid w:val="00674FD6"/>
    <w:rsid w:val="006751DF"/>
    <w:rsid w:val="006753F6"/>
    <w:rsid w:val="0067548F"/>
    <w:rsid w:val="006757C7"/>
    <w:rsid w:val="00675852"/>
    <w:rsid w:val="00675871"/>
    <w:rsid w:val="00675A2F"/>
    <w:rsid w:val="00675D30"/>
    <w:rsid w:val="00676077"/>
    <w:rsid w:val="0067608B"/>
    <w:rsid w:val="006762E3"/>
    <w:rsid w:val="00676368"/>
    <w:rsid w:val="00676937"/>
    <w:rsid w:val="006772C0"/>
    <w:rsid w:val="00677607"/>
    <w:rsid w:val="0067777E"/>
    <w:rsid w:val="006779ED"/>
    <w:rsid w:val="006801E3"/>
    <w:rsid w:val="006802AA"/>
    <w:rsid w:val="00680314"/>
    <w:rsid w:val="00680B40"/>
    <w:rsid w:val="00680B7F"/>
    <w:rsid w:val="00680D7E"/>
    <w:rsid w:val="00680DDE"/>
    <w:rsid w:val="00680E49"/>
    <w:rsid w:val="00680E72"/>
    <w:rsid w:val="006813A7"/>
    <w:rsid w:val="0068145A"/>
    <w:rsid w:val="00681961"/>
    <w:rsid w:val="00681B61"/>
    <w:rsid w:val="00681C10"/>
    <w:rsid w:val="00681C32"/>
    <w:rsid w:val="00681EC9"/>
    <w:rsid w:val="00682062"/>
    <w:rsid w:val="006822FA"/>
    <w:rsid w:val="0068253F"/>
    <w:rsid w:val="0068288C"/>
    <w:rsid w:val="00682996"/>
    <w:rsid w:val="00682F1A"/>
    <w:rsid w:val="00683066"/>
    <w:rsid w:val="006830BD"/>
    <w:rsid w:val="006836DB"/>
    <w:rsid w:val="00683CA3"/>
    <w:rsid w:val="00683F36"/>
    <w:rsid w:val="0068430D"/>
    <w:rsid w:val="00684564"/>
    <w:rsid w:val="006849CD"/>
    <w:rsid w:val="00684A70"/>
    <w:rsid w:val="00684AD2"/>
    <w:rsid w:val="00684D95"/>
    <w:rsid w:val="00684DA8"/>
    <w:rsid w:val="00684E3A"/>
    <w:rsid w:val="00685269"/>
    <w:rsid w:val="00685380"/>
    <w:rsid w:val="00685589"/>
    <w:rsid w:val="006859A8"/>
    <w:rsid w:val="00685A69"/>
    <w:rsid w:val="00685CFF"/>
    <w:rsid w:val="00685D96"/>
    <w:rsid w:val="006860BF"/>
    <w:rsid w:val="00686165"/>
    <w:rsid w:val="0068662F"/>
    <w:rsid w:val="0068682C"/>
    <w:rsid w:val="00686CE0"/>
    <w:rsid w:val="00686F42"/>
    <w:rsid w:val="00687214"/>
    <w:rsid w:val="00687623"/>
    <w:rsid w:val="0068767B"/>
    <w:rsid w:val="006878AB"/>
    <w:rsid w:val="006878F0"/>
    <w:rsid w:val="0068791B"/>
    <w:rsid w:val="0068799D"/>
    <w:rsid w:val="0069001E"/>
    <w:rsid w:val="0069077A"/>
    <w:rsid w:val="006907B9"/>
    <w:rsid w:val="006908B4"/>
    <w:rsid w:val="00690C7E"/>
    <w:rsid w:val="00690CD5"/>
    <w:rsid w:val="0069152A"/>
    <w:rsid w:val="00691882"/>
    <w:rsid w:val="006919F0"/>
    <w:rsid w:val="00691E4D"/>
    <w:rsid w:val="00692A9A"/>
    <w:rsid w:val="00692AD7"/>
    <w:rsid w:val="00692C29"/>
    <w:rsid w:val="00692F62"/>
    <w:rsid w:val="00692FCB"/>
    <w:rsid w:val="0069313B"/>
    <w:rsid w:val="006936CF"/>
    <w:rsid w:val="006938AA"/>
    <w:rsid w:val="00693A37"/>
    <w:rsid w:val="00693CA6"/>
    <w:rsid w:val="00693CEC"/>
    <w:rsid w:val="00693F3D"/>
    <w:rsid w:val="0069466D"/>
    <w:rsid w:val="0069468D"/>
    <w:rsid w:val="0069474B"/>
    <w:rsid w:val="0069475D"/>
    <w:rsid w:val="00694B41"/>
    <w:rsid w:val="00694BBF"/>
    <w:rsid w:val="00695147"/>
    <w:rsid w:val="00695DE6"/>
    <w:rsid w:val="00695E45"/>
    <w:rsid w:val="00695FD6"/>
    <w:rsid w:val="00696653"/>
    <w:rsid w:val="00696727"/>
    <w:rsid w:val="006969BE"/>
    <w:rsid w:val="00696AAC"/>
    <w:rsid w:val="0069717D"/>
    <w:rsid w:val="00697857"/>
    <w:rsid w:val="00697966"/>
    <w:rsid w:val="006979F7"/>
    <w:rsid w:val="00697FE9"/>
    <w:rsid w:val="0069BE62"/>
    <w:rsid w:val="006A002A"/>
    <w:rsid w:val="006A02C7"/>
    <w:rsid w:val="006A05DB"/>
    <w:rsid w:val="006A065E"/>
    <w:rsid w:val="006A0A62"/>
    <w:rsid w:val="006A0B86"/>
    <w:rsid w:val="006A0CFC"/>
    <w:rsid w:val="006A0DEB"/>
    <w:rsid w:val="006A10F0"/>
    <w:rsid w:val="006A1215"/>
    <w:rsid w:val="006A1E71"/>
    <w:rsid w:val="006A23F3"/>
    <w:rsid w:val="006A243F"/>
    <w:rsid w:val="006A25DB"/>
    <w:rsid w:val="006A267E"/>
    <w:rsid w:val="006A28CC"/>
    <w:rsid w:val="006A2AE7"/>
    <w:rsid w:val="006A2BDA"/>
    <w:rsid w:val="006A2E7C"/>
    <w:rsid w:val="006A2EDF"/>
    <w:rsid w:val="006A31B9"/>
    <w:rsid w:val="006A34B3"/>
    <w:rsid w:val="006A36EE"/>
    <w:rsid w:val="006A391D"/>
    <w:rsid w:val="006A3933"/>
    <w:rsid w:val="006A3A2B"/>
    <w:rsid w:val="006A3AA4"/>
    <w:rsid w:val="006A3B7B"/>
    <w:rsid w:val="006A41A4"/>
    <w:rsid w:val="006A482B"/>
    <w:rsid w:val="006A4959"/>
    <w:rsid w:val="006A4EE1"/>
    <w:rsid w:val="006A51EE"/>
    <w:rsid w:val="006A5241"/>
    <w:rsid w:val="006A5333"/>
    <w:rsid w:val="006A55F7"/>
    <w:rsid w:val="006A5671"/>
    <w:rsid w:val="006A581D"/>
    <w:rsid w:val="006A5DBC"/>
    <w:rsid w:val="006A5F66"/>
    <w:rsid w:val="006A60A1"/>
    <w:rsid w:val="006A638B"/>
    <w:rsid w:val="006A6BC6"/>
    <w:rsid w:val="006A6BF1"/>
    <w:rsid w:val="006A6DBA"/>
    <w:rsid w:val="006A74F1"/>
    <w:rsid w:val="006A7558"/>
    <w:rsid w:val="006A7612"/>
    <w:rsid w:val="006A795E"/>
    <w:rsid w:val="006A7B6D"/>
    <w:rsid w:val="006A7C20"/>
    <w:rsid w:val="006A7FAC"/>
    <w:rsid w:val="006B0039"/>
    <w:rsid w:val="006B0300"/>
    <w:rsid w:val="006B06E3"/>
    <w:rsid w:val="006B0D7C"/>
    <w:rsid w:val="006B1141"/>
    <w:rsid w:val="006B1628"/>
    <w:rsid w:val="006B181D"/>
    <w:rsid w:val="006B1A8F"/>
    <w:rsid w:val="006B1AAC"/>
    <w:rsid w:val="006B1E93"/>
    <w:rsid w:val="006B20E9"/>
    <w:rsid w:val="006B23F1"/>
    <w:rsid w:val="006B289F"/>
    <w:rsid w:val="006B28E5"/>
    <w:rsid w:val="006B28EC"/>
    <w:rsid w:val="006B2912"/>
    <w:rsid w:val="006B299E"/>
    <w:rsid w:val="006B2F5B"/>
    <w:rsid w:val="006B3032"/>
    <w:rsid w:val="006B313E"/>
    <w:rsid w:val="006B3239"/>
    <w:rsid w:val="006B32F6"/>
    <w:rsid w:val="006B376B"/>
    <w:rsid w:val="006B381E"/>
    <w:rsid w:val="006B3865"/>
    <w:rsid w:val="006B3928"/>
    <w:rsid w:val="006B39B4"/>
    <w:rsid w:val="006B3A7D"/>
    <w:rsid w:val="006B3C60"/>
    <w:rsid w:val="006B4744"/>
    <w:rsid w:val="006B4856"/>
    <w:rsid w:val="006B4B4A"/>
    <w:rsid w:val="006B4C00"/>
    <w:rsid w:val="006B4D1D"/>
    <w:rsid w:val="006B5433"/>
    <w:rsid w:val="006B6074"/>
    <w:rsid w:val="006B6573"/>
    <w:rsid w:val="006B65BE"/>
    <w:rsid w:val="006B75C6"/>
    <w:rsid w:val="006B775B"/>
    <w:rsid w:val="006B780D"/>
    <w:rsid w:val="006B78C2"/>
    <w:rsid w:val="006B78D3"/>
    <w:rsid w:val="006B790D"/>
    <w:rsid w:val="006C00A0"/>
    <w:rsid w:val="006C0165"/>
    <w:rsid w:val="006C1183"/>
    <w:rsid w:val="006C1253"/>
    <w:rsid w:val="006C13D5"/>
    <w:rsid w:val="006C14C0"/>
    <w:rsid w:val="006C221E"/>
    <w:rsid w:val="006C242B"/>
    <w:rsid w:val="006C261E"/>
    <w:rsid w:val="006C29BB"/>
    <w:rsid w:val="006C2BAF"/>
    <w:rsid w:val="006C2D1C"/>
    <w:rsid w:val="006C354C"/>
    <w:rsid w:val="006C378F"/>
    <w:rsid w:val="006C3820"/>
    <w:rsid w:val="006C3B1C"/>
    <w:rsid w:val="006C3B76"/>
    <w:rsid w:val="006C3D64"/>
    <w:rsid w:val="006C3F1A"/>
    <w:rsid w:val="006C4572"/>
    <w:rsid w:val="006C4773"/>
    <w:rsid w:val="006C48CC"/>
    <w:rsid w:val="006C4A56"/>
    <w:rsid w:val="006C4B15"/>
    <w:rsid w:val="006C4B40"/>
    <w:rsid w:val="006C4F78"/>
    <w:rsid w:val="006C50D2"/>
    <w:rsid w:val="006C52BB"/>
    <w:rsid w:val="006C599D"/>
    <w:rsid w:val="006C5A18"/>
    <w:rsid w:val="006C6030"/>
    <w:rsid w:val="006C6109"/>
    <w:rsid w:val="006C640B"/>
    <w:rsid w:val="006C6B6B"/>
    <w:rsid w:val="006C71D5"/>
    <w:rsid w:val="006C74C3"/>
    <w:rsid w:val="006C75E2"/>
    <w:rsid w:val="006C79A9"/>
    <w:rsid w:val="006C7B03"/>
    <w:rsid w:val="006C7DF0"/>
    <w:rsid w:val="006D0360"/>
    <w:rsid w:val="006D05DF"/>
    <w:rsid w:val="006D0AD2"/>
    <w:rsid w:val="006D0D2A"/>
    <w:rsid w:val="006D0EC2"/>
    <w:rsid w:val="006D1A20"/>
    <w:rsid w:val="006D1EF0"/>
    <w:rsid w:val="006D24FF"/>
    <w:rsid w:val="006D2858"/>
    <w:rsid w:val="006D2AAC"/>
    <w:rsid w:val="006D2ACA"/>
    <w:rsid w:val="006D2C87"/>
    <w:rsid w:val="006D2CAE"/>
    <w:rsid w:val="006D2D1A"/>
    <w:rsid w:val="006D332D"/>
    <w:rsid w:val="006D3AA7"/>
    <w:rsid w:val="006D3EC7"/>
    <w:rsid w:val="006D40CC"/>
    <w:rsid w:val="006D40D0"/>
    <w:rsid w:val="006D437D"/>
    <w:rsid w:val="006D4490"/>
    <w:rsid w:val="006D4C72"/>
    <w:rsid w:val="006D4E4C"/>
    <w:rsid w:val="006D504E"/>
    <w:rsid w:val="006D5104"/>
    <w:rsid w:val="006D5131"/>
    <w:rsid w:val="006D52FD"/>
    <w:rsid w:val="006D5585"/>
    <w:rsid w:val="006D573A"/>
    <w:rsid w:val="006D5F2F"/>
    <w:rsid w:val="006D5F76"/>
    <w:rsid w:val="006D63CB"/>
    <w:rsid w:val="006D661F"/>
    <w:rsid w:val="006D67AB"/>
    <w:rsid w:val="006D690B"/>
    <w:rsid w:val="006D6B06"/>
    <w:rsid w:val="006D6B36"/>
    <w:rsid w:val="006D6D96"/>
    <w:rsid w:val="006D6DF3"/>
    <w:rsid w:val="006D6FBC"/>
    <w:rsid w:val="006D7141"/>
    <w:rsid w:val="006D7211"/>
    <w:rsid w:val="006D7333"/>
    <w:rsid w:val="006D7546"/>
    <w:rsid w:val="006D75C8"/>
    <w:rsid w:val="006D760F"/>
    <w:rsid w:val="006D7731"/>
    <w:rsid w:val="006D7DED"/>
    <w:rsid w:val="006E0041"/>
    <w:rsid w:val="006E060E"/>
    <w:rsid w:val="006E0A99"/>
    <w:rsid w:val="006E0BC4"/>
    <w:rsid w:val="006E11DC"/>
    <w:rsid w:val="006E1710"/>
    <w:rsid w:val="006E1804"/>
    <w:rsid w:val="006E1A5E"/>
    <w:rsid w:val="006E1B85"/>
    <w:rsid w:val="006E1B8A"/>
    <w:rsid w:val="006E1E53"/>
    <w:rsid w:val="006E1F53"/>
    <w:rsid w:val="006E2251"/>
    <w:rsid w:val="006E2260"/>
    <w:rsid w:val="006E2281"/>
    <w:rsid w:val="006E2375"/>
    <w:rsid w:val="006E257C"/>
    <w:rsid w:val="006E280B"/>
    <w:rsid w:val="006E2829"/>
    <w:rsid w:val="006E28CB"/>
    <w:rsid w:val="006E294A"/>
    <w:rsid w:val="006E2B87"/>
    <w:rsid w:val="006E3036"/>
    <w:rsid w:val="006E3075"/>
    <w:rsid w:val="006E3085"/>
    <w:rsid w:val="006E3125"/>
    <w:rsid w:val="006E31B8"/>
    <w:rsid w:val="006E3820"/>
    <w:rsid w:val="006E43EF"/>
    <w:rsid w:val="006E4588"/>
    <w:rsid w:val="006E45C4"/>
    <w:rsid w:val="006E49B3"/>
    <w:rsid w:val="006E4C0F"/>
    <w:rsid w:val="006E4CE9"/>
    <w:rsid w:val="006E5030"/>
    <w:rsid w:val="006E51CB"/>
    <w:rsid w:val="006E59B4"/>
    <w:rsid w:val="006E619D"/>
    <w:rsid w:val="006E6534"/>
    <w:rsid w:val="006E673F"/>
    <w:rsid w:val="006E6A73"/>
    <w:rsid w:val="006E6AC3"/>
    <w:rsid w:val="006E6C0E"/>
    <w:rsid w:val="006E6CDE"/>
    <w:rsid w:val="006E6D8A"/>
    <w:rsid w:val="006E6DC6"/>
    <w:rsid w:val="006E6E1E"/>
    <w:rsid w:val="006E741F"/>
    <w:rsid w:val="006E7900"/>
    <w:rsid w:val="006E7F51"/>
    <w:rsid w:val="006F0227"/>
    <w:rsid w:val="006F07D1"/>
    <w:rsid w:val="006F0D46"/>
    <w:rsid w:val="006F0EC2"/>
    <w:rsid w:val="006F0EEF"/>
    <w:rsid w:val="006F10E0"/>
    <w:rsid w:val="006F1118"/>
    <w:rsid w:val="006F138F"/>
    <w:rsid w:val="006F153E"/>
    <w:rsid w:val="006F15D4"/>
    <w:rsid w:val="006F185A"/>
    <w:rsid w:val="006F18E7"/>
    <w:rsid w:val="006F1CE8"/>
    <w:rsid w:val="006F1FB2"/>
    <w:rsid w:val="006F226C"/>
    <w:rsid w:val="006F23DD"/>
    <w:rsid w:val="006F2518"/>
    <w:rsid w:val="006F2520"/>
    <w:rsid w:val="006F2712"/>
    <w:rsid w:val="006F2748"/>
    <w:rsid w:val="006F27D5"/>
    <w:rsid w:val="006F2ADF"/>
    <w:rsid w:val="006F2F90"/>
    <w:rsid w:val="006F3338"/>
    <w:rsid w:val="006F3782"/>
    <w:rsid w:val="006F3AB5"/>
    <w:rsid w:val="006F3D44"/>
    <w:rsid w:val="006F406F"/>
    <w:rsid w:val="006F4072"/>
    <w:rsid w:val="006F4194"/>
    <w:rsid w:val="006F451D"/>
    <w:rsid w:val="006F4C2B"/>
    <w:rsid w:val="006F5158"/>
    <w:rsid w:val="006F5672"/>
    <w:rsid w:val="006F56A0"/>
    <w:rsid w:val="006F5FF0"/>
    <w:rsid w:val="006F6268"/>
    <w:rsid w:val="006F66FB"/>
    <w:rsid w:val="006F6C4D"/>
    <w:rsid w:val="006F6D4E"/>
    <w:rsid w:val="006F76FC"/>
    <w:rsid w:val="006F77E1"/>
    <w:rsid w:val="006F7963"/>
    <w:rsid w:val="006F796B"/>
    <w:rsid w:val="006F7991"/>
    <w:rsid w:val="006F7EAC"/>
    <w:rsid w:val="0070027C"/>
    <w:rsid w:val="0070039C"/>
    <w:rsid w:val="00700427"/>
    <w:rsid w:val="00700599"/>
    <w:rsid w:val="00700950"/>
    <w:rsid w:val="00700F36"/>
    <w:rsid w:val="00700F6D"/>
    <w:rsid w:val="00700F91"/>
    <w:rsid w:val="00700FBF"/>
    <w:rsid w:val="007010E0"/>
    <w:rsid w:val="00701136"/>
    <w:rsid w:val="00701DC8"/>
    <w:rsid w:val="00702054"/>
    <w:rsid w:val="00702299"/>
    <w:rsid w:val="007025E1"/>
    <w:rsid w:val="0070260D"/>
    <w:rsid w:val="00702632"/>
    <w:rsid w:val="0070287D"/>
    <w:rsid w:val="00702D65"/>
    <w:rsid w:val="00702E76"/>
    <w:rsid w:val="00702F5B"/>
    <w:rsid w:val="0070319A"/>
    <w:rsid w:val="00703533"/>
    <w:rsid w:val="007038F8"/>
    <w:rsid w:val="00703B7F"/>
    <w:rsid w:val="00703CB4"/>
    <w:rsid w:val="00704142"/>
    <w:rsid w:val="007042B6"/>
    <w:rsid w:val="007047B9"/>
    <w:rsid w:val="00704A52"/>
    <w:rsid w:val="00704C3E"/>
    <w:rsid w:val="007061B4"/>
    <w:rsid w:val="007061F5"/>
    <w:rsid w:val="007063E2"/>
    <w:rsid w:val="00706492"/>
    <w:rsid w:val="0070692B"/>
    <w:rsid w:val="00706C77"/>
    <w:rsid w:val="00706D49"/>
    <w:rsid w:val="00706F9F"/>
    <w:rsid w:val="0070703E"/>
    <w:rsid w:val="007072CA"/>
    <w:rsid w:val="007077BF"/>
    <w:rsid w:val="007078C4"/>
    <w:rsid w:val="00707924"/>
    <w:rsid w:val="00707A96"/>
    <w:rsid w:val="00707C18"/>
    <w:rsid w:val="00707DA3"/>
    <w:rsid w:val="00707E5F"/>
    <w:rsid w:val="00707F32"/>
    <w:rsid w:val="007103A9"/>
    <w:rsid w:val="0071040A"/>
    <w:rsid w:val="00710513"/>
    <w:rsid w:val="007109CA"/>
    <w:rsid w:val="00710D32"/>
    <w:rsid w:val="00710E2E"/>
    <w:rsid w:val="00711063"/>
    <w:rsid w:val="00711096"/>
    <w:rsid w:val="00711108"/>
    <w:rsid w:val="0071136F"/>
    <w:rsid w:val="0071151D"/>
    <w:rsid w:val="007119C9"/>
    <w:rsid w:val="00711F42"/>
    <w:rsid w:val="00712075"/>
    <w:rsid w:val="00712591"/>
    <w:rsid w:val="007125DD"/>
    <w:rsid w:val="00712AA6"/>
    <w:rsid w:val="00712ACB"/>
    <w:rsid w:val="00712BFA"/>
    <w:rsid w:val="00713288"/>
    <w:rsid w:val="007136EF"/>
    <w:rsid w:val="007138D2"/>
    <w:rsid w:val="00714966"/>
    <w:rsid w:val="00714CCF"/>
    <w:rsid w:val="00715540"/>
    <w:rsid w:val="00715A03"/>
    <w:rsid w:val="007166B8"/>
    <w:rsid w:val="007167EF"/>
    <w:rsid w:val="007169D5"/>
    <w:rsid w:val="00716AD2"/>
    <w:rsid w:val="00716B9B"/>
    <w:rsid w:val="00716BB3"/>
    <w:rsid w:val="007171A9"/>
    <w:rsid w:val="0071789A"/>
    <w:rsid w:val="00717CD2"/>
    <w:rsid w:val="00717D55"/>
    <w:rsid w:val="0072016E"/>
    <w:rsid w:val="0072021A"/>
    <w:rsid w:val="007203CA"/>
    <w:rsid w:val="00720848"/>
    <w:rsid w:val="00720C6D"/>
    <w:rsid w:val="00720E90"/>
    <w:rsid w:val="007218C1"/>
    <w:rsid w:val="00721D11"/>
    <w:rsid w:val="00722437"/>
    <w:rsid w:val="007226F5"/>
    <w:rsid w:val="0072271C"/>
    <w:rsid w:val="00722D89"/>
    <w:rsid w:val="00723113"/>
    <w:rsid w:val="00723640"/>
    <w:rsid w:val="007237B9"/>
    <w:rsid w:val="00723820"/>
    <w:rsid w:val="00723B2C"/>
    <w:rsid w:val="0072411C"/>
    <w:rsid w:val="00724148"/>
    <w:rsid w:val="00724559"/>
    <w:rsid w:val="00724ED0"/>
    <w:rsid w:val="00724F92"/>
    <w:rsid w:val="00725195"/>
    <w:rsid w:val="007253D6"/>
    <w:rsid w:val="00725687"/>
    <w:rsid w:val="0072578A"/>
    <w:rsid w:val="0072597A"/>
    <w:rsid w:val="00725C59"/>
    <w:rsid w:val="00726149"/>
    <w:rsid w:val="0072634F"/>
    <w:rsid w:val="0072639F"/>
    <w:rsid w:val="00726542"/>
    <w:rsid w:val="0072656E"/>
    <w:rsid w:val="0072696C"/>
    <w:rsid w:val="00726C84"/>
    <w:rsid w:val="00726D5D"/>
    <w:rsid w:val="00727700"/>
    <w:rsid w:val="00727802"/>
    <w:rsid w:val="00727A20"/>
    <w:rsid w:val="00727BC3"/>
    <w:rsid w:val="007302A9"/>
    <w:rsid w:val="007305DE"/>
    <w:rsid w:val="007306B5"/>
    <w:rsid w:val="00730E7B"/>
    <w:rsid w:val="00731049"/>
    <w:rsid w:val="007312B5"/>
    <w:rsid w:val="007313C5"/>
    <w:rsid w:val="007314B5"/>
    <w:rsid w:val="00731709"/>
    <w:rsid w:val="00731768"/>
    <w:rsid w:val="007317E4"/>
    <w:rsid w:val="00731D94"/>
    <w:rsid w:val="00732585"/>
    <w:rsid w:val="00732AA9"/>
    <w:rsid w:val="00732E32"/>
    <w:rsid w:val="00732E5F"/>
    <w:rsid w:val="00732E93"/>
    <w:rsid w:val="00733509"/>
    <w:rsid w:val="00733595"/>
    <w:rsid w:val="00733600"/>
    <w:rsid w:val="00733723"/>
    <w:rsid w:val="00733939"/>
    <w:rsid w:val="00733AEB"/>
    <w:rsid w:val="00733B92"/>
    <w:rsid w:val="00733DE0"/>
    <w:rsid w:val="00733EA5"/>
    <w:rsid w:val="00734452"/>
    <w:rsid w:val="007345D9"/>
    <w:rsid w:val="00734F67"/>
    <w:rsid w:val="00735576"/>
    <w:rsid w:val="0073582D"/>
    <w:rsid w:val="00735A71"/>
    <w:rsid w:val="00735CE3"/>
    <w:rsid w:val="00735E44"/>
    <w:rsid w:val="00736074"/>
    <w:rsid w:val="0073623C"/>
    <w:rsid w:val="00736322"/>
    <w:rsid w:val="00736344"/>
    <w:rsid w:val="00736C33"/>
    <w:rsid w:val="0073708E"/>
    <w:rsid w:val="007370BC"/>
    <w:rsid w:val="0073719D"/>
    <w:rsid w:val="007371AE"/>
    <w:rsid w:val="0073730E"/>
    <w:rsid w:val="007377AA"/>
    <w:rsid w:val="0073780B"/>
    <w:rsid w:val="007378DF"/>
    <w:rsid w:val="0073792C"/>
    <w:rsid w:val="00737A13"/>
    <w:rsid w:val="00737AFF"/>
    <w:rsid w:val="00737F48"/>
    <w:rsid w:val="00740062"/>
    <w:rsid w:val="00740180"/>
    <w:rsid w:val="007402CA"/>
    <w:rsid w:val="00740885"/>
    <w:rsid w:val="00740C55"/>
    <w:rsid w:val="00740FA0"/>
    <w:rsid w:val="00741850"/>
    <w:rsid w:val="00741F17"/>
    <w:rsid w:val="00741FCB"/>
    <w:rsid w:val="00742269"/>
    <w:rsid w:val="00742353"/>
    <w:rsid w:val="0074257A"/>
    <w:rsid w:val="00742C82"/>
    <w:rsid w:val="00742E83"/>
    <w:rsid w:val="00742F1D"/>
    <w:rsid w:val="00743318"/>
    <w:rsid w:val="007438DF"/>
    <w:rsid w:val="00743945"/>
    <w:rsid w:val="00743C91"/>
    <w:rsid w:val="00743CA8"/>
    <w:rsid w:val="00743DA9"/>
    <w:rsid w:val="007440A0"/>
    <w:rsid w:val="0074429D"/>
    <w:rsid w:val="00744827"/>
    <w:rsid w:val="00744C5B"/>
    <w:rsid w:val="00744F07"/>
    <w:rsid w:val="00745025"/>
    <w:rsid w:val="00745433"/>
    <w:rsid w:val="00745596"/>
    <w:rsid w:val="007455CE"/>
    <w:rsid w:val="00745693"/>
    <w:rsid w:val="007456C9"/>
    <w:rsid w:val="007456F6"/>
    <w:rsid w:val="007456FC"/>
    <w:rsid w:val="00745B1F"/>
    <w:rsid w:val="00745B8B"/>
    <w:rsid w:val="00745C3E"/>
    <w:rsid w:val="00745CD1"/>
    <w:rsid w:val="00746093"/>
    <w:rsid w:val="0074629F"/>
    <w:rsid w:val="00746354"/>
    <w:rsid w:val="00746BF1"/>
    <w:rsid w:val="00746C30"/>
    <w:rsid w:val="00747002"/>
    <w:rsid w:val="00747434"/>
    <w:rsid w:val="0074788B"/>
    <w:rsid w:val="007478DD"/>
    <w:rsid w:val="007479AA"/>
    <w:rsid w:val="0075017B"/>
    <w:rsid w:val="0075083A"/>
    <w:rsid w:val="00750AEA"/>
    <w:rsid w:val="00750CEC"/>
    <w:rsid w:val="007512EC"/>
    <w:rsid w:val="0075137C"/>
    <w:rsid w:val="007518DD"/>
    <w:rsid w:val="007519F9"/>
    <w:rsid w:val="00751A83"/>
    <w:rsid w:val="00751BD9"/>
    <w:rsid w:val="00751CA1"/>
    <w:rsid w:val="00751D8F"/>
    <w:rsid w:val="0075234F"/>
    <w:rsid w:val="00752440"/>
    <w:rsid w:val="007524F8"/>
    <w:rsid w:val="00752AB3"/>
    <w:rsid w:val="00752ABE"/>
    <w:rsid w:val="00752B03"/>
    <w:rsid w:val="00752FC0"/>
    <w:rsid w:val="00752FD3"/>
    <w:rsid w:val="00753157"/>
    <w:rsid w:val="007535A4"/>
    <w:rsid w:val="007535E4"/>
    <w:rsid w:val="00753753"/>
    <w:rsid w:val="00753E7C"/>
    <w:rsid w:val="007540C7"/>
    <w:rsid w:val="0075412D"/>
    <w:rsid w:val="0075418A"/>
    <w:rsid w:val="007543C4"/>
    <w:rsid w:val="007543E9"/>
    <w:rsid w:val="007545D3"/>
    <w:rsid w:val="007545DE"/>
    <w:rsid w:val="00754A73"/>
    <w:rsid w:val="00754D3C"/>
    <w:rsid w:val="00754EF7"/>
    <w:rsid w:val="0075519B"/>
    <w:rsid w:val="0075522A"/>
    <w:rsid w:val="007552A5"/>
    <w:rsid w:val="007552E5"/>
    <w:rsid w:val="0075554A"/>
    <w:rsid w:val="0075569D"/>
    <w:rsid w:val="00755B9A"/>
    <w:rsid w:val="00755C13"/>
    <w:rsid w:val="00756316"/>
    <w:rsid w:val="0075640A"/>
    <w:rsid w:val="00756518"/>
    <w:rsid w:val="00756692"/>
    <w:rsid w:val="0075690E"/>
    <w:rsid w:val="00756BB2"/>
    <w:rsid w:val="00756C0E"/>
    <w:rsid w:val="00757087"/>
    <w:rsid w:val="007576B0"/>
    <w:rsid w:val="007577A3"/>
    <w:rsid w:val="00757F0F"/>
    <w:rsid w:val="0076014B"/>
    <w:rsid w:val="0076018B"/>
    <w:rsid w:val="007605B9"/>
    <w:rsid w:val="00760761"/>
    <w:rsid w:val="00760B7B"/>
    <w:rsid w:val="00760DC9"/>
    <w:rsid w:val="007612E1"/>
    <w:rsid w:val="00761594"/>
    <w:rsid w:val="007616C4"/>
    <w:rsid w:val="00761F1A"/>
    <w:rsid w:val="0076260D"/>
    <w:rsid w:val="00762723"/>
    <w:rsid w:val="00762747"/>
    <w:rsid w:val="00762955"/>
    <w:rsid w:val="007631AF"/>
    <w:rsid w:val="00763625"/>
    <w:rsid w:val="00763B77"/>
    <w:rsid w:val="00763D7D"/>
    <w:rsid w:val="00764769"/>
    <w:rsid w:val="00764CB5"/>
    <w:rsid w:val="0076506A"/>
    <w:rsid w:val="0076553B"/>
    <w:rsid w:val="00765747"/>
    <w:rsid w:val="00765AE5"/>
    <w:rsid w:val="00765F18"/>
    <w:rsid w:val="00765F7D"/>
    <w:rsid w:val="00765F8E"/>
    <w:rsid w:val="00765FC4"/>
    <w:rsid w:val="00766006"/>
    <w:rsid w:val="00766014"/>
    <w:rsid w:val="007663C3"/>
    <w:rsid w:val="007665D8"/>
    <w:rsid w:val="00766670"/>
    <w:rsid w:val="00766698"/>
    <w:rsid w:val="00766E89"/>
    <w:rsid w:val="0076702C"/>
    <w:rsid w:val="007675BF"/>
    <w:rsid w:val="00767902"/>
    <w:rsid w:val="00767953"/>
    <w:rsid w:val="00767A99"/>
    <w:rsid w:val="00767BE8"/>
    <w:rsid w:val="00767C25"/>
    <w:rsid w:val="00767E0B"/>
    <w:rsid w:val="00767F6C"/>
    <w:rsid w:val="007700E8"/>
    <w:rsid w:val="0077038B"/>
    <w:rsid w:val="007704C1"/>
    <w:rsid w:val="007708FD"/>
    <w:rsid w:val="00770C01"/>
    <w:rsid w:val="00770F41"/>
    <w:rsid w:val="00771170"/>
    <w:rsid w:val="00771477"/>
    <w:rsid w:val="007715CE"/>
    <w:rsid w:val="007716E1"/>
    <w:rsid w:val="00771E76"/>
    <w:rsid w:val="007720A0"/>
    <w:rsid w:val="0077278F"/>
    <w:rsid w:val="00772829"/>
    <w:rsid w:val="00772A34"/>
    <w:rsid w:val="00772BDA"/>
    <w:rsid w:val="00772CC6"/>
    <w:rsid w:val="00772DFD"/>
    <w:rsid w:val="00773037"/>
    <w:rsid w:val="00773342"/>
    <w:rsid w:val="00773695"/>
    <w:rsid w:val="007736CB"/>
    <w:rsid w:val="00773B7F"/>
    <w:rsid w:val="00773E22"/>
    <w:rsid w:val="0077458E"/>
    <w:rsid w:val="00774A60"/>
    <w:rsid w:val="00774E6D"/>
    <w:rsid w:val="00775142"/>
    <w:rsid w:val="007752C7"/>
    <w:rsid w:val="007753FC"/>
    <w:rsid w:val="007758E4"/>
    <w:rsid w:val="00775993"/>
    <w:rsid w:val="007759A7"/>
    <w:rsid w:val="00775AA4"/>
    <w:rsid w:val="0077606B"/>
    <w:rsid w:val="00776246"/>
    <w:rsid w:val="00776305"/>
    <w:rsid w:val="00776646"/>
    <w:rsid w:val="007767D9"/>
    <w:rsid w:val="00776B50"/>
    <w:rsid w:val="00776BC1"/>
    <w:rsid w:val="00776D28"/>
    <w:rsid w:val="00776DC9"/>
    <w:rsid w:val="00776E04"/>
    <w:rsid w:val="00776E8C"/>
    <w:rsid w:val="00776EA0"/>
    <w:rsid w:val="0077733A"/>
    <w:rsid w:val="007774FF"/>
    <w:rsid w:val="00777848"/>
    <w:rsid w:val="00777893"/>
    <w:rsid w:val="007779C9"/>
    <w:rsid w:val="00777E0C"/>
    <w:rsid w:val="00780278"/>
    <w:rsid w:val="00780345"/>
    <w:rsid w:val="0078041C"/>
    <w:rsid w:val="007804AF"/>
    <w:rsid w:val="00780676"/>
    <w:rsid w:val="007806E3"/>
    <w:rsid w:val="00780A8A"/>
    <w:rsid w:val="00780AC1"/>
    <w:rsid w:val="00780FB2"/>
    <w:rsid w:val="0078146D"/>
    <w:rsid w:val="007819EF"/>
    <w:rsid w:val="00781F88"/>
    <w:rsid w:val="00782049"/>
    <w:rsid w:val="00782667"/>
    <w:rsid w:val="0078286F"/>
    <w:rsid w:val="007829A1"/>
    <w:rsid w:val="007831DE"/>
    <w:rsid w:val="00783499"/>
    <w:rsid w:val="00783A4F"/>
    <w:rsid w:val="00783BCE"/>
    <w:rsid w:val="00783C37"/>
    <w:rsid w:val="00783F97"/>
    <w:rsid w:val="00784341"/>
    <w:rsid w:val="00784402"/>
    <w:rsid w:val="0078465A"/>
    <w:rsid w:val="00784B3C"/>
    <w:rsid w:val="00784D80"/>
    <w:rsid w:val="00784F88"/>
    <w:rsid w:val="007852E9"/>
    <w:rsid w:val="00785385"/>
    <w:rsid w:val="007853D6"/>
    <w:rsid w:val="0078569B"/>
    <w:rsid w:val="007859BB"/>
    <w:rsid w:val="00785B73"/>
    <w:rsid w:val="007862B9"/>
    <w:rsid w:val="007862CD"/>
    <w:rsid w:val="0078643C"/>
    <w:rsid w:val="007865FB"/>
    <w:rsid w:val="007867E4"/>
    <w:rsid w:val="00786890"/>
    <w:rsid w:val="007868C1"/>
    <w:rsid w:val="00786D54"/>
    <w:rsid w:val="0078706D"/>
    <w:rsid w:val="0078744F"/>
    <w:rsid w:val="007879BC"/>
    <w:rsid w:val="00787A6C"/>
    <w:rsid w:val="00787B1F"/>
    <w:rsid w:val="00787F0E"/>
    <w:rsid w:val="00787F84"/>
    <w:rsid w:val="0079060A"/>
    <w:rsid w:val="00790912"/>
    <w:rsid w:val="00790923"/>
    <w:rsid w:val="00790B15"/>
    <w:rsid w:val="00790B74"/>
    <w:rsid w:val="00790BE8"/>
    <w:rsid w:val="00790BEB"/>
    <w:rsid w:val="00790E56"/>
    <w:rsid w:val="00790F49"/>
    <w:rsid w:val="007914A2"/>
    <w:rsid w:val="007918B7"/>
    <w:rsid w:val="00791AE8"/>
    <w:rsid w:val="00791B26"/>
    <w:rsid w:val="00791DBB"/>
    <w:rsid w:val="00792221"/>
    <w:rsid w:val="00792258"/>
    <w:rsid w:val="00792498"/>
    <w:rsid w:val="0079282A"/>
    <w:rsid w:val="00792D8D"/>
    <w:rsid w:val="00792DD1"/>
    <w:rsid w:val="00792DE5"/>
    <w:rsid w:val="00792E87"/>
    <w:rsid w:val="007931CB"/>
    <w:rsid w:val="00793229"/>
    <w:rsid w:val="007937BE"/>
    <w:rsid w:val="00793977"/>
    <w:rsid w:val="00793AF6"/>
    <w:rsid w:val="007942C5"/>
    <w:rsid w:val="007943C7"/>
    <w:rsid w:val="0079491A"/>
    <w:rsid w:val="00794C98"/>
    <w:rsid w:val="007951D4"/>
    <w:rsid w:val="00795576"/>
    <w:rsid w:val="007955A2"/>
    <w:rsid w:val="0079562C"/>
    <w:rsid w:val="007957B9"/>
    <w:rsid w:val="00795C14"/>
    <w:rsid w:val="00795D43"/>
    <w:rsid w:val="00795D66"/>
    <w:rsid w:val="00795F56"/>
    <w:rsid w:val="00797416"/>
    <w:rsid w:val="00797649"/>
    <w:rsid w:val="00797C46"/>
    <w:rsid w:val="00797DD3"/>
    <w:rsid w:val="007A0343"/>
    <w:rsid w:val="007A08E2"/>
    <w:rsid w:val="007A0953"/>
    <w:rsid w:val="007A0B1A"/>
    <w:rsid w:val="007A0C78"/>
    <w:rsid w:val="007A1261"/>
    <w:rsid w:val="007A19F6"/>
    <w:rsid w:val="007A1D3D"/>
    <w:rsid w:val="007A1DA1"/>
    <w:rsid w:val="007A1FCE"/>
    <w:rsid w:val="007A1FF7"/>
    <w:rsid w:val="007A2199"/>
    <w:rsid w:val="007A271E"/>
    <w:rsid w:val="007A2B65"/>
    <w:rsid w:val="007A2B73"/>
    <w:rsid w:val="007A2C51"/>
    <w:rsid w:val="007A330A"/>
    <w:rsid w:val="007A342F"/>
    <w:rsid w:val="007A36F7"/>
    <w:rsid w:val="007A3757"/>
    <w:rsid w:val="007A3B6A"/>
    <w:rsid w:val="007A3C92"/>
    <w:rsid w:val="007A41EC"/>
    <w:rsid w:val="007A4442"/>
    <w:rsid w:val="007A46CF"/>
    <w:rsid w:val="007A491D"/>
    <w:rsid w:val="007A4A1A"/>
    <w:rsid w:val="007A4AD8"/>
    <w:rsid w:val="007A4B85"/>
    <w:rsid w:val="007A54DE"/>
    <w:rsid w:val="007A54F2"/>
    <w:rsid w:val="007A5617"/>
    <w:rsid w:val="007A5834"/>
    <w:rsid w:val="007A5FB3"/>
    <w:rsid w:val="007A65B4"/>
    <w:rsid w:val="007A6D33"/>
    <w:rsid w:val="007A6E53"/>
    <w:rsid w:val="007A7251"/>
    <w:rsid w:val="007A73D7"/>
    <w:rsid w:val="007A76E6"/>
    <w:rsid w:val="007A7A80"/>
    <w:rsid w:val="007A7B59"/>
    <w:rsid w:val="007A7CFD"/>
    <w:rsid w:val="007A7EF7"/>
    <w:rsid w:val="007B0245"/>
    <w:rsid w:val="007B0721"/>
    <w:rsid w:val="007B0759"/>
    <w:rsid w:val="007B0760"/>
    <w:rsid w:val="007B083F"/>
    <w:rsid w:val="007B0880"/>
    <w:rsid w:val="007B0888"/>
    <w:rsid w:val="007B0C90"/>
    <w:rsid w:val="007B0D01"/>
    <w:rsid w:val="007B1833"/>
    <w:rsid w:val="007B19E6"/>
    <w:rsid w:val="007B1C17"/>
    <w:rsid w:val="007B202B"/>
    <w:rsid w:val="007B2085"/>
    <w:rsid w:val="007B2FDC"/>
    <w:rsid w:val="007B30C5"/>
    <w:rsid w:val="007B315F"/>
    <w:rsid w:val="007B32EA"/>
    <w:rsid w:val="007B332C"/>
    <w:rsid w:val="007B3601"/>
    <w:rsid w:val="007B38A0"/>
    <w:rsid w:val="007B38B7"/>
    <w:rsid w:val="007B3AAF"/>
    <w:rsid w:val="007B3E38"/>
    <w:rsid w:val="007B3FAE"/>
    <w:rsid w:val="007B4387"/>
    <w:rsid w:val="007B4B96"/>
    <w:rsid w:val="007B4E21"/>
    <w:rsid w:val="007B4F7B"/>
    <w:rsid w:val="007B5104"/>
    <w:rsid w:val="007B5213"/>
    <w:rsid w:val="007B583D"/>
    <w:rsid w:val="007B5970"/>
    <w:rsid w:val="007B5CCB"/>
    <w:rsid w:val="007B6482"/>
    <w:rsid w:val="007B6684"/>
    <w:rsid w:val="007B68B7"/>
    <w:rsid w:val="007B6B21"/>
    <w:rsid w:val="007B6C95"/>
    <w:rsid w:val="007B7024"/>
    <w:rsid w:val="007B703B"/>
    <w:rsid w:val="007B71D2"/>
    <w:rsid w:val="007B78EF"/>
    <w:rsid w:val="007B798C"/>
    <w:rsid w:val="007B7ABC"/>
    <w:rsid w:val="007B7CC2"/>
    <w:rsid w:val="007B7F32"/>
    <w:rsid w:val="007B7FCA"/>
    <w:rsid w:val="007C0137"/>
    <w:rsid w:val="007C0390"/>
    <w:rsid w:val="007C0717"/>
    <w:rsid w:val="007C0BA8"/>
    <w:rsid w:val="007C0C14"/>
    <w:rsid w:val="007C0F43"/>
    <w:rsid w:val="007C1313"/>
    <w:rsid w:val="007C14A2"/>
    <w:rsid w:val="007C15CD"/>
    <w:rsid w:val="007C166D"/>
    <w:rsid w:val="007C1C90"/>
    <w:rsid w:val="007C1EE8"/>
    <w:rsid w:val="007C2822"/>
    <w:rsid w:val="007C2839"/>
    <w:rsid w:val="007C2876"/>
    <w:rsid w:val="007C28A6"/>
    <w:rsid w:val="007C2B9D"/>
    <w:rsid w:val="007C2EBB"/>
    <w:rsid w:val="007C2F5B"/>
    <w:rsid w:val="007C2F71"/>
    <w:rsid w:val="007C300E"/>
    <w:rsid w:val="007C31CC"/>
    <w:rsid w:val="007C328D"/>
    <w:rsid w:val="007C336F"/>
    <w:rsid w:val="007C3403"/>
    <w:rsid w:val="007C3D06"/>
    <w:rsid w:val="007C4056"/>
    <w:rsid w:val="007C41B1"/>
    <w:rsid w:val="007C4C37"/>
    <w:rsid w:val="007C4D01"/>
    <w:rsid w:val="007C539F"/>
    <w:rsid w:val="007C5595"/>
    <w:rsid w:val="007C55FB"/>
    <w:rsid w:val="007C5613"/>
    <w:rsid w:val="007C5C73"/>
    <w:rsid w:val="007C604C"/>
    <w:rsid w:val="007C6054"/>
    <w:rsid w:val="007C6A01"/>
    <w:rsid w:val="007C6E48"/>
    <w:rsid w:val="007C7010"/>
    <w:rsid w:val="007C724C"/>
    <w:rsid w:val="007C7388"/>
    <w:rsid w:val="007C7A24"/>
    <w:rsid w:val="007C7D61"/>
    <w:rsid w:val="007C7E20"/>
    <w:rsid w:val="007C7FCC"/>
    <w:rsid w:val="007D0762"/>
    <w:rsid w:val="007D07E8"/>
    <w:rsid w:val="007D0825"/>
    <w:rsid w:val="007D0E28"/>
    <w:rsid w:val="007D0E6C"/>
    <w:rsid w:val="007D13CB"/>
    <w:rsid w:val="007D1B50"/>
    <w:rsid w:val="007D1E2D"/>
    <w:rsid w:val="007D1F43"/>
    <w:rsid w:val="007D1FE4"/>
    <w:rsid w:val="007D229E"/>
    <w:rsid w:val="007D241F"/>
    <w:rsid w:val="007D2764"/>
    <w:rsid w:val="007D30B7"/>
    <w:rsid w:val="007D370C"/>
    <w:rsid w:val="007D3AB3"/>
    <w:rsid w:val="007D4D7C"/>
    <w:rsid w:val="007D508A"/>
    <w:rsid w:val="007D516B"/>
    <w:rsid w:val="007D54E4"/>
    <w:rsid w:val="007D5524"/>
    <w:rsid w:val="007D55CA"/>
    <w:rsid w:val="007D574F"/>
    <w:rsid w:val="007D5A1B"/>
    <w:rsid w:val="007D5A1C"/>
    <w:rsid w:val="007D5DA8"/>
    <w:rsid w:val="007D6E6C"/>
    <w:rsid w:val="007D6FF1"/>
    <w:rsid w:val="007D72B1"/>
    <w:rsid w:val="007D7600"/>
    <w:rsid w:val="007D7810"/>
    <w:rsid w:val="007D783D"/>
    <w:rsid w:val="007D788F"/>
    <w:rsid w:val="007D7E46"/>
    <w:rsid w:val="007D7EA4"/>
    <w:rsid w:val="007E001E"/>
    <w:rsid w:val="007E0024"/>
    <w:rsid w:val="007E057F"/>
    <w:rsid w:val="007E06D6"/>
    <w:rsid w:val="007E0EA9"/>
    <w:rsid w:val="007E115A"/>
    <w:rsid w:val="007E15AD"/>
    <w:rsid w:val="007E1987"/>
    <w:rsid w:val="007E1A6B"/>
    <w:rsid w:val="007E1C6D"/>
    <w:rsid w:val="007E216A"/>
    <w:rsid w:val="007E23F3"/>
    <w:rsid w:val="007E24C7"/>
    <w:rsid w:val="007E25ED"/>
    <w:rsid w:val="007E2951"/>
    <w:rsid w:val="007E29BC"/>
    <w:rsid w:val="007E2A11"/>
    <w:rsid w:val="007E2BC0"/>
    <w:rsid w:val="007E33D2"/>
    <w:rsid w:val="007E39B9"/>
    <w:rsid w:val="007E3B6D"/>
    <w:rsid w:val="007E3DF0"/>
    <w:rsid w:val="007E3FF1"/>
    <w:rsid w:val="007E3FF3"/>
    <w:rsid w:val="007E40D5"/>
    <w:rsid w:val="007E40FD"/>
    <w:rsid w:val="007E428D"/>
    <w:rsid w:val="007E4646"/>
    <w:rsid w:val="007E4AB0"/>
    <w:rsid w:val="007E58D1"/>
    <w:rsid w:val="007E5EDC"/>
    <w:rsid w:val="007E601B"/>
    <w:rsid w:val="007E6C1A"/>
    <w:rsid w:val="007E6C5A"/>
    <w:rsid w:val="007E6E8D"/>
    <w:rsid w:val="007E7693"/>
    <w:rsid w:val="007E78BB"/>
    <w:rsid w:val="007E796F"/>
    <w:rsid w:val="007E79DE"/>
    <w:rsid w:val="007E7E3C"/>
    <w:rsid w:val="007E7FFC"/>
    <w:rsid w:val="007F012E"/>
    <w:rsid w:val="007F0622"/>
    <w:rsid w:val="007F07C0"/>
    <w:rsid w:val="007F0981"/>
    <w:rsid w:val="007F0BFE"/>
    <w:rsid w:val="007F156D"/>
    <w:rsid w:val="007F16FC"/>
    <w:rsid w:val="007F18C4"/>
    <w:rsid w:val="007F19B1"/>
    <w:rsid w:val="007F1A70"/>
    <w:rsid w:val="007F1BCE"/>
    <w:rsid w:val="007F1CC4"/>
    <w:rsid w:val="007F1FBD"/>
    <w:rsid w:val="007F25E5"/>
    <w:rsid w:val="007F3024"/>
    <w:rsid w:val="007F3077"/>
    <w:rsid w:val="007F3B94"/>
    <w:rsid w:val="007F3FA2"/>
    <w:rsid w:val="007F42BB"/>
    <w:rsid w:val="007F4A7B"/>
    <w:rsid w:val="007F5162"/>
    <w:rsid w:val="007F534F"/>
    <w:rsid w:val="007F5BE3"/>
    <w:rsid w:val="007F5D50"/>
    <w:rsid w:val="007F60FF"/>
    <w:rsid w:val="007F62E3"/>
    <w:rsid w:val="007F63BD"/>
    <w:rsid w:val="007F67E9"/>
    <w:rsid w:val="007F6BF8"/>
    <w:rsid w:val="007F6FA4"/>
    <w:rsid w:val="007F7048"/>
    <w:rsid w:val="007F7316"/>
    <w:rsid w:val="007F7437"/>
    <w:rsid w:val="007F762B"/>
    <w:rsid w:val="007F76BB"/>
    <w:rsid w:val="007F7744"/>
    <w:rsid w:val="007F7783"/>
    <w:rsid w:val="007F7A52"/>
    <w:rsid w:val="007F7A82"/>
    <w:rsid w:val="007F7BA5"/>
    <w:rsid w:val="007F7C7B"/>
    <w:rsid w:val="007F7CBD"/>
    <w:rsid w:val="008007BB"/>
    <w:rsid w:val="00800B04"/>
    <w:rsid w:val="00800B88"/>
    <w:rsid w:val="00800C34"/>
    <w:rsid w:val="00801490"/>
    <w:rsid w:val="008015B7"/>
    <w:rsid w:val="008016AC"/>
    <w:rsid w:val="008018F4"/>
    <w:rsid w:val="00801FFA"/>
    <w:rsid w:val="008021EC"/>
    <w:rsid w:val="0080228D"/>
    <w:rsid w:val="00802E69"/>
    <w:rsid w:val="00802F34"/>
    <w:rsid w:val="0080303F"/>
    <w:rsid w:val="00803570"/>
    <w:rsid w:val="0080409D"/>
    <w:rsid w:val="008040A2"/>
    <w:rsid w:val="008043A2"/>
    <w:rsid w:val="00804632"/>
    <w:rsid w:val="008046F7"/>
    <w:rsid w:val="008049EE"/>
    <w:rsid w:val="00804D85"/>
    <w:rsid w:val="00805022"/>
    <w:rsid w:val="008052C4"/>
    <w:rsid w:val="008054D9"/>
    <w:rsid w:val="00805990"/>
    <w:rsid w:val="00805A39"/>
    <w:rsid w:val="00805AE6"/>
    <w:rsid w:val="00806173"/>
    <w:rsid w:val="008063DE"/>
    <w:rsid w:val="00806688"/>
    <w:rsid w:val="00806700"/>
    <w:rsid w:val="00806830"/>
    <w:rsid w:val="00806FDE"/>
    <w:rsid w:val="008076D7"/>
    <w:rsid w:val="00807A3E"/>
    <w:rsid w:val="00810338"/>
    <w:rsid w:val="0081070F"/>
    <w:rsid w:val="00810825"/>
    <w:rsid w:val="0081086F"/>
    <w:rsid w:val="008108BA"/>
    <w:rsid w:val="00810AA5"/>
    <w:rsid w:val="00810C76"/>
    <w:rsid w:val="00810D9B"/>
    <w:rsid w:val="008111DB"/>
    <w:rsid w:val="008115C8"/>
    <w:rsid w:val="00811728"/>
    <w:rsid w:val="008117BD"/>
    <w:rsid w:val="008120C0"/>
    <w:rsid w:val="00812282"/>
    <w:rsid w:val="00812632"/>
    <w:rsid w:val="00812813"/>
    <w:rsid w:val="008129D5"/>
    <w:rsid w:val="00812B6E"/>
    <w:rsid w:val="008130D9"/>
    <w:rsid w:val="00813571"/>
    <w:rsid w:val="0081397B"/>
    <w:rsid w:val="00814018"/>
    <w:rsid w:val="0081416B"/>
    <w:rsid w:val="00814224"/>
    <w:rsid w:val="008143C5"/>
    <w:rsid w:val="008145D1"/>
    <w:rsid w:val="008148E4"/>
    <w:rsid w:val="00815161"/>
    <w:rsid w:val="0081521F"/>
    <w:rsid w:val="00815395"/>
    <w:rsid w:val="008157F1"/>
    <w:rsid w:val="00815A76"/>
    <w:rsid w:val="00815BC4"/>
    <w:rsid w:val="008164E9"/>
    <w:rsid w:val="00816607"/>
    <w:rsid w:val="0081681D"/>
    <w:rsid w:val="00816EC2"/>
    <w:rsid w:val="008171FC"/>
    <w:rsid w:val="00817467"/>
    <w:rsid w:val="00817BB2"/>
    <w:rsid w:val="00817CA2"/>
    <w:rsid w:val="00820455"/>
    <w:rsid w:val="008204FF"/>
    <w:rsid w:val="00820873"/>
    <w:rsid w:val="00820B36"/>
    <w:rsid w:val="00820DAA"/>
    <w:rsid w:val="00821300"/>
    <w:rsid w:val="00821449"/>
    <w:rsid w:val="00821BEC"/>
    <w:rsid w:val="00821C58"/>
    <w:rsid w:val="00821EEC"/>
    <w:rsid w:val="0082232D"/>
    <w:rsid w:val="0082288B"/>
    <w:rsid w:val="00822D08"/>
    <w:rsid w:val="00822F7A"/>
    <w:rsid w:val="008236E1"/>
    <w:rsid w:val="0082385D"/>
    <w:rsid w:val="00823AAD"/>
    <w:rsid w:val="00823BDA"/>
    <w:rsid w:val="00823EB7"/>
    <w:rsid w:val="00823FA8"/>
    <w:rsid w:val="00824458"/>
    <w:rsid w:val="0082449D"/>
    <w:rsid w:val="008245AB"/>
    <w:rsid w:val="008246A1"/>
    <w:rsid w:val="0082493E"/>
    <w:rsid w:val="00824967"/>
    <w:rsid w:val="008249F7"/>
    <w:rsid w:val="00824B74"/>
    <w:rsid w:val="00824C5A"/>
    <w:rsid w:val="0082550C"/>
    <w:rsid w:val="00825A17"/>
    <w:rsid w:val="00825E67"/>
    <w:rsid w:val="00826463"/>
    <w:rsid w:val="00826920"/>
    <w:rsid w:val="00826E07"/>
    <w:rsid w:val="00826E9A"/>
    <w:rsid w:val="00826F21"/>
    <w:rsid w:val="00827027"/>
    <w:rsid w:val="008275A1"/>
    <w:rsid w:val="0082769E"/>
    <w:rsid w:val="00827C73"/>
    <w:rsid w:val="00827D90"/>
    <w:rsid w:val="00827F63"/>
    <w:rsid w:val="008305FE"/>
    <w:rsid w:val="00830AFD"/>
    <w:rsid w:val="00830DEA"/>
    <w:rsid w:val="00830E3D"/>
    <w:rsid w:val="00831921"/>
    <w:rsid w:val="00831D0E"/>
    <w:rsid w:val="0083212C"/>
    <w:rsid w:val="0083261F"/>
    <w:rsid w:val="008328D3"/>
    <w:rsid w:val="008331F3"/>
    <w:rsid w:val="008333A4"/>
    <w:rsid w:val="0083359E"/>
    <w:rsid w:val="0083363A"/>
    <w:rsid w:val="00833A11"/>
    <w:rsid w:val="00834012"/>
    <w:rsid w:val="0083403D"/>
    <w:rsid w:val="008347B9"/>
    <w:rsid w:val="00834888"/>
    <w:rsid w:val="00834978"/>
    <w:rsid w:val="00834BB6"/>
    <w:rsid w:val="00835023"/>
    <w:rsid w:val="00835079"/>
    <w:rsid w:val="008357D0"/>
    <w:rsid w:val="00835CAE"/>
    <w:rsid w:val="00835DD4"/>
    <w:rsid w:val="00835EC9"/>
    <w:rsid w:val="00835F13"/>
    <w:rsid w:val="008372C0"/>
    <w:rsid w:val="00837648"/>
    <w:rsid w:val="00837C9F"/>
    <w:rsid w:val="00840049"/>
    <w:rsid w:val="0084005A"/>
    <w:rsid w:val="00840210"/>
    <w:rsid w:val="008404AA"/>
    <w:rsid w:val="00840577"/>
    <w:rsid w:val="00840760"/>
    <w:rsid w:val="00840BA8"/>
    <w:rsid w:val="0084100C"/>
    <w:rsid w:val="008411E8"/>
    <w:rsid w:val="0084129D"/>
    <w:rsid w:val="00841388"/>
    <w:rsid w:val="00841672"/>
    <w:rsid w:val="00841EFB"/>
    <w:rsid w:val="00841F44"/>
    <w:rsid w:val="0084209E"/>
    <w:rsid w:val="00842153"/>
    <w:rsid w:val="00842649"/>
    <w:rsid w:val="00842702"/>
    <w:rsid w:val="00842C76"/>
    <w:rsid w:val="00842C82"/>
    <w:rsid w:val="0084330A"/>
    <w:rsid w:val="008436D7"/>
    <w:rsid w:val="00843B67"/>
    <w:rsid w:val="00843BD4"/>
    <w:rsid w:val="008440FE"/>
    <w:rsid w:val="008441F8"/>
    <w:rsid w:val="008442A2"/>
    <w:rsid w:val="00844560"/>
    <w:rsid w:val="0084457B"/>
    <w:rsid w:val="008445E3"/>
    <w:rsid w:val="00844905"/>
    <w:rsid w:val="00844D30"/>
    <w:rsid w:val="0084510D"/>
    <w:rsid w:val="00845245"/>
    <w:rsid w:val="008453C6"/>
    <w:rsid w:val="00845599"/>
    <w:rsid w:val="0084595D"/>
    <w:rsid w:val="00845A22"/>
    <w:rsid w:val="00845AD8"/>
    <w:rsid w:val="00845F2D"/>
    <w:rsid w:val="00845F3F"/>
    <w:rsid w:val="00845F48"/>
    <w:rsid w:val="00846119"/>
    <w:rsid w:val="00846369"/>
    <w:rsid w:val="00846413"/>
    <w:rsid w:val="00846987"/>
    <w:rsid w:val="00846A0A"/>
    <w:rsid w:val="008470B7"/>
    <w:rsid w:val="008474E3"/>
    <w:rsid w:val="008474F8"/>
    <w:rsid w:val="008475F2"/>
    <w:rsid w:val="00847661"/>
    <w:rsid w:val="00850262"/>
    <w:rsid w:val="008502FB"/>
    <w:rsid w:val="008504E8"/>
    <w:rsid w:val="00850864"/>
    <w:rsid w:val="0085089E"/>
    <w:rsid w:val="0085110D"/>
    <w:rsid w:val="008515DE"/>
    <w:rsid w:val="0085163A"/>
    <w:rsid w:val="00851648"/>
    <w:rsid w:val="008518EC"/>
    <w:rsid w:val="00851A3A"/>
    <w:rsid w:val="00851BB5"/>
    <w:rsid w:val="00851E5C"/>
    <w:rsid w:val="00851EB7"/>
    <w:rsid w:val="008522D7"/>
    <w:rsid w:val="008527ED"/>
    <w:rsid w:val="00852CE8"/>
    <w:rsid w:val="00852D0F"/>
    <w:rsid w:val="008530A8"/>
    <w:rsid w:val="00853461"/>
    <w:rsid w:val="00853620"/>
    <w:rsid w:val="008537F7"/>
    <w:rsid w:val="00854480"/>
    <w:rsid w:val="008544A3"/>
    <w:rsid w:val="0085455B"/>
    <w:rsid w:val="008546BE"/>
    <w:rsid w:val="0085484A"/>
    <w:rsid w:val="00854F20"/>
    <w:rsid w:val="00854F8F"/>
    <w:rsid w:val="008550BE"/>
    <w:rsid w:val="0085520F"/>
    <w:rsid w:val="008557A5"/>
    <w:rsid w:val="008558BC"/>
    <w:rsid w:val="00855B19"/>
    <w:rsid w:val="00855E95"/>
    <w:rsid w:val="00856032"/>
    <w:rsid w:val="00856074"/>
    <w:rsid w:val="008560C1"/>
    <w:rsid w:val="008561D4"/>
    <w:rsid w:val="00856365"/>
    <w:rsid w:val="00856C6F"/>
    <w:rsid w:val="00856D32"/>
    <w:rsid w:val="00856E85"/>
    <w:rsid w:val="00856F25"/>
    <w:rsid w:val="00856F42"/>
    <w:rsid w:val="008570BF"/>
    <w:rsid w:val="00857761"/>
    <w:rsid w:val="00857800"/>
    <w:rsid w:val="00857949"/>
    <w:rsid w:val="00857B36"/>
    <w:rsid w:val="00857BC0"/>
    <w:rsid w:val="00860210"/>
    <w:rsid w:val="00860242"/>
    <w:rsid w:val="0086049D"/>
    <w:rsid w:val="00860CED"/>
    <w:rsid w:val="00860EC0"/>
    <w:rsid w:val="0086136A"/>
    <w:rsid w:val="008616E8"/>
    <w:rsid w:val="008618B5"/>
    <w:rsid w:val="008618FE"/>
    <w:rsid w:val="00861B11"/>
    <w:rsid w:val="00861B41"/>
    <w:rsid w:val="00861D45"/>
    <w:rsid w:val="0086278A"/>
    <w:rsid w:val="008627AF"/>
    <w:rsid w:val="00862906"/>
    <w:rsid w:val="00862BBB"/>
    <w:rsid w:val="00862F2D"/>
    <w:rsid w:val="0086341F"/>
    <w:rsid w:val="00863510"/>
    <w:rsid w:val="00863A0C"/>
    <w:rsid w:val="00863A52"/>
    <w:rsid w:val="00863BE3"/>
    <w:rsid w:val="00863D0B"/>
    <w:rsid w:val="00864162"/>
    <w:rsid w:val="008643DF"/>
    <w:rsid w:val="00864618"/>
    <w:rsid w:val="008647ED"/>
    <w:rsid w:val="00864882"/>
    <w:rsid w:val="00864B23"/>
    <w:rsid w:val="00864C40"/>
    <w:rsid w:val="008651A0"/>
    <w:rsid w:val="00865390"/>
    <w:rsid w:val="00865483"/>
    <w:rsid w:val="00865B9D"/>
    <w:rsid w:val="00865CA6"/>
    <w:rsid w:val="00865E18"/>
    <w:rsid w:val="00865E83"/>
    <w:rsid w:val="00865FAF"/>
    <w:rsid w:val="0086621B"/>
    <w:rsid w:val="00866784"/>
    <w:rsid w:val="00866830"/>
    <w:rsid w:val="00866925"/>
    <w:rsid w:val="00866BD0"/>
    <w:rsid w:val="00866ECA"/>
    <w:rsid w:val="0086766B"/>
    <w:rsid w:val="0086797D"/>
    <w:rsid w:val="0087086A"/>
    <w:rsid w:val="00871183"/>
    <w:rsid w:val="008711C4"/>
    <w:rsid w:val="008718DF"/>
    <w:rsid w:val="008719C2"/>
    <w:rsid w:val="0087204C"/>
    <w:rsid w:val="0087277A"/>
    <w:rsid w:val="0087289E"/>
    <w:rsid w:val="00872979"/>
    <w:rsid w:val="00872A47"/>
    <w:rsid w:val="00872BFC"/>
    <w:rsid w:val="008731AA"/>
    <w:rsid w:val="008732CD"/>
    <w:rsid w:val="008736E2"/>
    <w:rsid w:val="00873BAE"/>
    <w:rsid w:val="00873BFD"/>
    <w:rsid w:val="00873CCA"/>
    <w:rsid w:val="00873E10"/>
    <w:rsid w:val="00874565"/>
    <w:rsid w:val="00874722"/>
    <w:rsid w:val="0087476E"/>
    <w:rsid w:val="00874A7C"/>
    <w:rsid w:val="00875302"/>
    <w:rsid w:val="00875314"/>
    <w:rsid w:val="00875400"/>
    <w:rsid w:val="00875499"/>
    <w:rsid w:val="0087551A"/>
    <w:rsid w:val="008758ED"/>
    <w:rsid w:val="00875933"/>
    <w:rsid w:val="008759A6"/>
    <w:rsid w:val="00876024"/>
    <w:rsid w:val="00876252"/>
    <w:rsid w:val="00876679"/>
    <w:rsid w:val="008766D1"/>
    <w:rsid w:val="0087676D"/>
    <w:rsid w:val="00876770"/>
    <w:rsid w:val="008769D0"/>
    <w:rsid w:val="00876A99"/>
    <w:rsid w:val="00876DB6"/>
    <w:rsid w:val="00876E63"/>
    <w:rsid w:val="0087715B"/>
    <w:rsid w:val="00877247"/>
    <w:rsid w:val="00877745"/>
    <w:rsid w:val="008777BD"/>
    <w:rsid w:val="008779D8"/>
    <w:rsid w:val="00877D60"/>
    <w:rsid w:val="00877DB7"/>
    <w:rsid w:val="008801AE"/>
    <w:rsid w:val="00880261"/>
    <w:rsid w:val="00880560"/>
    <w:rsid w:val="0088074E"/>
    <w:rsid w:val="00880798"/>
    <w:rsid w:val="008809AA"/>
    <w:rsid w:val="00880AA3"/>
    <w:rsid w:val="00880E5B"/>
    <w:rsid w:val="00880E83"/>
    <w:rsid w:val="00880FE2"/>
    <w:rsid w:val="008811F0"/>
    <w:rsid w:val="00881305"/>
    <w:rsid w:val="0088187F"/>
    <w:rsid w:val="00881918"/>
    <w:rsid w:val="00881C05"/>
    <w:rsid w:val="00881C2F"/>
    <w:rsid w:val="00881EE9"/>
    <w:rsid w:val="008828BE"/>
    <w:rsid w:val="008829C3"/>
    <w:rsid w:val="00882D7C"/>
    <w:rsid w:val="00882DE1"/>
    <w:rsid w:val="00883669"/>
    <w:rsid w:val="00883B26"/>
    <w:rsid w:val="008840AE"/>
    <w:rsid w:val="0088421C"/>
    <w:rsid w:val="0088437A"/>
    <w:rsid w:val="0088445B"/>
    <w:rsid w:val="00884F7A"/>
    <w:rsid w:val="008854D1"/>
    <w:rsid w:val="008856DF"/>
    <w:rsid w:val="008864A9"/>
    <w:rsid w:val="0088676A"/>
    <w:rsid w:val="00886C9F"/>
    <w:rsid w:val="00886EB1"/>
    <w:rsid w:val="008872F1"/>
    <w:rsid w:val="008876D2"/>
    <w:rsid w:val="008878E0"/>
    <w:rsid w:val="00887AD5"/>
    <w:rsid w:val="00887E72"/>
    <w:rsid w:val="008913AF"/>
    <w:rsid w:val="00891458"/>
    <w:rsid w:val="0089173A"/>
    <w:rsid w:val="00891AF6"/>
    <w:rsid w:val="00891BC3"/>
    <w:rsid w:val="00891C41"/>
    <w:rsid w:val="008925D6"/>
    <w:rsid w:val="00892643"/>
    <w:rsid w:val="0089293F"/>
    <w:rsid w:val="00892D3F"/>
    <w:rsid w:val="00892DD9"/>
    <w:rsid w:val="008933FF"/>
    <w:rsid w:val="00893789"/>
    <w:rsid w:val="008937C8"/>
    <w:rsid w:val="008938CE"/>
    <w:rsid w:val="00893EE1"/>
    <w:rsid w:val="00894A7B"/>
    <w:rsid w:val="00894C3D"/>
    <w:rsid w:val="00895C03"/>
    <w:rsid w:val="00895E41"/>
    <w:rsid w:val="00895E90"/>
    <w:rsid w:val="00895FF3"/>
    <w:rsid w:val="00896165"/>
    <w:rsid w:val="00896170"/>
    <w:rsid w:val="008966E6"/>
    <w:rsid w:val="008967C4"/>
    <w:rsid w:val="00896C25"/>
    <w:rsid w:val="008972CB"/>
    <w:rsid w:val="00897305"/>
    <w:rsid w:val="00897379"/>
    <w:rsid w:val="0089741B"/>
    <w:rsid w:val="008974A9"/>
    <w:rsid w:val="008976E0"/>
    <w:rsid w:val="0089797B"/>
    <w:rsid w:val="00897AE9"/>
    <w:rsid w:val="00897D82"/>
    <w:rsid w:val="00897E6C"/>
    <w:rsid w:val="008A0302"/>
    <w:rsid w:val="008A0476"/>
    <w:rsid w:val="008A07F4"/>
    <w:rsid w:val="008A089B"/>
    <w:rsid w:val="008A0982"/>
    <w:rsid w:val="008A0D2A"/>
    <w:rsid w:val="008A12DF"/>
    <w:rsid w:val="008A1533"/>
    <w:rsid w:val="008A1693"/>
    <w:rsid w:val="008A1973"/>
    <w:rsid w:val="008A1BF6"/>
    <w:rsid w:val="008A1D62"/>
    <w:rsid w:val="008A2390"/>
    <w:rsid w:val="008A254F"/>
    <w:rsid w:val="008A2630"/>
    <w:rsid w:val="008A26EC"/>
    <w:rsid w:val="008A2A60"/>
    <w:rsid w:val="008A2B6E"/>
    <w:rsid w:val="008A2FD3"/>
    <w:rsid w:val="008A326A"/>
    <w:rsid w:val="008A387F"/>
    <w:rsid w:val="008A3D0D"/>
    <w:rsid w:val="008A3E64"/>
    <w:rsid w:val="008A3EA9"/>
    <w:rsid w:val="008A3F73"/>
    <w:rsid w:val="008A46C5"/>
    <w:rsid w:val="008A4906"/>
    <w:rsid w:val="008A4BE2"/>
    <w:rsid w:val="008A4F73"/>
    <w:rsid w:val="008A5269"/>
    <w:rsid w:val="008A53CD"/>
    <w:rsid w:val="008A57AB"/>
    <w:rsid w:val="008A57D1"/>
    <w:rsid w:val="008A5833"/>
    <w:rsid w:val="008A5A0A"/>
    <w:rsid w:val="008A5D08"/>
    <w:rsid w:val="008A6913"/>
    <w:rsid w:val="008A6A79"/>
    <w:rsid w:val="008A6C77"/>
    <w:rsid w:val="008A6DBA"/>
    <w:rsid w:val="008A6F1A"/>
    <w:rsid w:val="008A6F34"/>
    <w:rsid w:val="008A6F68"/>
    <w:rsid w:val="008A6FF0"/>
    <w:rsid w:val="008A73D4"/>
    <w:rsid w:val="008A76DE"/>
    <w:rsid w:val="008A78B1"/>
    <w:rsid w:val="008A7B99"/>
    <w:rsid w:val="008B0669"/>
    <w:rsid w:val="008B0A9F"/>
    <w:rsid w:val="008B0DAD"/>
    <w:rsid w:val="008B0EF2"/>
    <w:rsid w:val="008B175F"/>
    <w:rsid w:val="008B1E51"/>
    <w:rsid w:val="008B1F4D"/>
    <w:rsid w:val="008B1FBC"/>
    <w:rsid w:val="008B2242"/>
    <w:rsid w:val="008B24C3"/>
    <w:rsid w:val="008B28F9"/>
    <w:rsid w:val="008B2FB6"/>
    <w:rsid w:val="008B3106"/>
    <w:rsid w:val="008B32CC"/>
    <w:rsid w:val="008B335B"/>
    <w:rsid w:val="008B3375"/>
    <w:rsid w:val="008B3447"/>
    <w:rsid w:val="008B3460"/>
    <w:rsid w:val="008B3A88"/>
    <w:rsid w:val="008B3E22"/>
    <w:rsid w:val="008B4077"/>
    <w:rsid w:val="008B465F"/>
    <w:rsid w:val="008B4BE1"/>
    <w:rsid w:val="008B4BFC"/>
    <w:rsid w:val="008B5189"/>
    <w:rsid w:val="008B51B4"/>
    <w:rsid w:val="008B55A0"/>
    <w:rsid w:val="008B59EE"/>
    <w:rsid w:val="008B5A8E"/>
    <w:rsid w:val="008B5B67"/>
    <w:rsid w:val="008B5CDE"/>
    <w:rsid w:val="008B5D7A"/>
    <w:rsid w:val="008B6040"/>
    <w:rsid w:val="008B607C"/>
    <w:rsid w:val="008B6087"/>
    <w:rsid w:val="008B66E3"/>
    <w:rsid w:val="008B7515"/>
    <w:rsid w:val="008B77AE"/>
    <w:rsid w:val="008B7848"/>
    <w:rsid w:val="008B7917"/>
    <w:rsid w:val="008B7DEB"/>
    <w:rsid w:val="008C0048"/>
    <w:rsid w:val="008C00C1"/>
    <w:rsid w:val="008C077A"/>
    <w:rsid w:val="008C0F9A"/>
    <w:rsid w:val="008C1281"/>
    <w:rsid w:val="008C1741"/>
    <w:rsid w:val="008C196A"/>
    <w:rsid w:val="008C19F3"/>
    <w:rsid w:val="008C1AF7"/>
    <w:rsid w:val="008C1B15"/>
    <w:rsid w:val="008C1E05"/>
    <w:rsid w:val="008C21A9"/>
    <w:rsid w:val="008C233D"/>
    <w:rsid w:val="008C29E7"/>
    <w:rsid w:val="008C2DBA"/>
    <w:rsid w:val="008C2E72"/>
    <w:rsid w:val="008C2F2C"/>
    <w:rsid w:val="008C34BB"/>
    <w:rsid w:val="008C3522"/>
    <w:rsid w:val="008C3834"/>
    <w:rsid w:val="008C45E2"/>
    <w:rsid w:val="008C4727"/>
    <w:rsid w:val="008C4AB9"/>
    <w:rsid w:val="008C4AD1"/>
    <w:rsid w:val="008C4F91"/>
    <w:rsid w:val="008C5188"/>
    <w:rsid w:val="008C5512"/>
    <w:rsid w:val="008C61B9"/>
    <w:rsid w:val="008C684C"/>
    <w:rsid w:val="008C6C1F"/>
    <w:rsid w:val="008C6D31"/>
    <w:rsid w:val="008C6E33"/>
    <w:rsid w:val="008C6F99"/>
    <w:rsid w:val="008C72EB"/>
    <w:rsid w:val="008C73A2"/>
    <w:rsid w:val="008C7584"/>
    <w:rsid w:val="008C7A65"/>
    <w:rsid w:val="008C7AD3"/>
    <w:rsid w:val="008C7C46"/>
    <w:rsid w:val="008C7CBB"/>
    <w:rsid w:val="008C7FA1"/>
    <w:rsid w:val="008D06A0"/>
    <w:rsid w:val="008D0869"/>
    <w:rsid w:val="008D0C3A"/>
    <w:rsid w:val="008D0F28"/>
    <w:rsid w:val="008D0FA6"/>
    <w:rsid w:val="008D1774"/>
    <w:rsid w:val="008D1D78"/>
    <w:rsid w:val="008D2F4A"/>
    <w:rsid w:val="008D34AD"/>
    <w:rsid w:val="008D3651"/>
    <w:rsid w:val="008D3726"/>
    <w:rsid w:val="008D3813"/>
    <w:rsid w:val="008D3B55"/>
    <w:rsid w:val="008D3E5C"/>
    <w:rsid w:val="008D4996"/>
    <w:rsid w:val="008D4AC5"/>
    <w:rsid w:val="008D4CB0"/>
    <w:rsid w:val="008D5019"/>
    <w:rsid w:val="008D51DC"/>
    <w:rsid w:val="008D5E2A"/>
    <w:rsid w:val="008D5FBE"/>
    <w:rsid w:val="008D6397"/>
    <w:rsid w:val="008D64B2"/>
    <w:rsid w:val="008D6CCB"/>
    <w:rsid w:val="008D73B4"/>
    <w:rsid w:val="008D73C9"/>
    <w:rsid w:val="008D777D"/>
    <w:rsid w:val="008D77D6"/>
    <w:rsid w:val="008D7851"/>
    <w:rsid w:val="008D7A5B"/>
    <w:rsid w:val="008D7AEF"/>
    <w:rsid w:val="008D7B5F"/>
    <w:rsid w:val="008D7B9F"/>
    <w:rsid w:val="008D7BDE"/>
    <w:rsid w:val="008D7CEC"/>
    <w:rsid w:val="008D7F4C"/>
    <w:rsid w:val="008E07C7"/>
    <w:rsid w:val="008E0D29"/>
    <w:rsid w:val="008E1167"/>
    <w:rsid w:val="008E13C7"/>
    <w:rsid w:val="008E16BF"/>
    <w:rsid w:val="008E1A61"/>
    <w:rsid w:val="008E1B53"/>
    <w:rsid w:val="008E24BA"/>
    <w:rsid w:val="008E27C2"/>
    <w:rsid w:val="008E28E9"/>
    <w:rsid w:val="008E2914"/>
    <w:rsid w:val="008E2AC4"/>
    <w:rsid w:val="008E2ACC"/>
    <w:rsid w:val="008E2C03"/>
    <w:rsid w:val="008E2F04"/>
    <w:rsid w:val="008E3049"/>
    <w:rsid w:val="008E33EC"/>
    <w:rsid w:val="008E3448"/>
    <w:rsid w:val="008E35A3"/>
    <w:rsid w:val="008E3E2B"/>
    <w:rsid w:val="008E3EF1"/>
    <w:rsid w:val="008E408D"/>
    <w:rsid w:val="008E44BC"/>
    <w:rsid w:val="008E44D9"/>
    <w:rsid w:val="008E45F5"/>
    <w:rsid w:val="008E4CB9"/>
    <w:rsid w:val="008E4CBE"/>
    <w:rsid w:val="008E4DAF"/>
    <w:rsid w:val="008E4FB7"/>
    <w:rsid w:val="008E50C7"/>
    <w:rsid w:val="008E5A05"/>
    <w:rsid w:val="008E5E49"/>
    <w:rsid w:val="008E5EFB"/>
    <w:rsid w:val="008E5F37"/>
    <w:rsid w:val="008E61A9"/>
    <w:rsid w:val="008E646D"/>
    <w:rsid w:val="008E6ABA"/>
    <w:rsid w:val="008E6EC1"/>
    <w:rsid w:val="008E6F44"/>
    <w:rsid w:val="008E6F78"/>
    <w:rsid w:val="008E712D"/>
    <w:rsid w:val="008E7274"/>
    <w:rsid w:val="008E777E"/>
    <w:rsid w:val="008E79D0"/>
    <w:rsid w:val="008E7D17"/>
    <w:rsid w:val="008E7F7D"/>
    <w:rsid w:val="008F0120"/>
    <w:rsid w:val="008F01B7"/>
    <w:rsid w:val="008F0445"/>
    <w:rsid w:val="008F0453"/>
    <w:rsid w:val="008F0562"/>
    <w:rsid w:val="008F0EA5"/>
    <w:rsid w:val="008F187B"/>
    <w:rsid w:val="008F193E"/>
    <w:rsid w:val="008F1FF7"/>
    <w:rsid w:val="008F230B"/>
    <w:rsid w:val="008F23B9"/>
    <w:rsid w:val="008F260B"/>
    <w:rsid w:val="008F3064"/>
    <w:rsid w:val="008F323E"/>
    <w:rsid w:val="008F35EE"/>
    <w:rsid w:val="008F3D5C"/>
    <w:rsid w:val="008F3F55"/>
    <w:rsid w:val="008F4039"/>
    <w:rsid w:val="008F4123"/>
    <w:rsid w:val="008F41D9"/>
    <w:rsid w:val="008F42A0"/>
    <w:rsid w:val="008F50FA"/>
    <w:rsid w:val="008F588D"/>
    <w:rsid w:val="008F5BA9"/>
    <w:rsid w:val="008F5F4C"/>
    <w:rsid w:val="008F61E5"/>
    <w:rsid w:val="008F62D6"/>
    <w:rsid w:val="008F63A9"/>
    <w:rsid w:val="008F6517"/>
    <w:rsid w:val="008F651E"/>
    <w:rsid w:val="008F71BF"/>
    <w:rsid w:val="008F7256"/>
    <w:rsid w:val="008F729B"/>
    <w:rsid w:val="008F78BF"/>
    <w:rsid w:val="008F7CBE"/>
    <w:rsid w:val="008F7D76"/>
    <w:rsid w:val="008F7DCD"/>
    <w:rsid w:val="00900353"/>
    <w:rsid w:val="009004D3"/>
    <w:rsid w:val="009007A2"/>
    <w:rsid w:val="00900F05"/>
    <w:rsid w:val="0090132A"/>
    <w:rsid w:val="0090174C"/>
    <w:rsid w:val="00901BA6"/>
    <w:rsid w:val="00902137"/>
    <w:rsid w:val="00902539"/>
    <w:rsid w:val="00902C5F"/>
    <w:rsid w:val="00902EC7"/>
    <w:rsid w:val="009034EE"/>
    <w:rsid w:val="0090379B"/>
    <w:rsid w:val="00903AC5"/>
    <w:rsid w:val="009041D7"/>
    <w:rsid w:val="00904352"/>
    <w:rsid w:val="009044A3"/>
    <w:rsid w:val="00904A31"/>
    <w:rsid w:val="00904AD1"/>
    <w:rsid w:val="00904BBF"/>
    <w:rsid w:val="00904DF7"/>
    <w:rsid w:val="0090517E"/>
    <w:rsid w:val="00905492"/>
    <w:rsid w:val="0090563D"/>
    <w:rsid w:val="00905DFF"/>
    <w:rsid w:val="009066B2"/>
    <w:rsid w:val="009066D7"/>
    <w:rsid w:val="00906821"/>
    <w:rsid w:val="00906A0A"/>
    <w:rsid w:val="00906AE5"/>
    <w:rsid w:val="00906E65"/>
    <w:rsid w:val="009071E9"/>
    <w:rsid w:val="00907395"/>
    <w:rsid w:val="009073AF"/>
    <w:rsid w:val="0090745D"/>
    <w:rsid w:val="0090797A"/>
    <w:rsid w:val="009079A0"/>
    <w:rsid w:val="00907B39"/>
    <w:rsid w:val="00907B86"/>
    <w:rsid w:val="009106BE"/>
    <w:rsid w:val="009106E9"/>
    <w:rsid w:val="009108AF"/>
    <w:rsid w:val="00911414"/>
    <w:rsid w:val="00911772"/>
    <w:rsid w:val="009118E1"/>
    <w:rsid w:val="00911916"/>
    <w:rsid w:val="00911AE6"/>
    <w:rsid w:val="0091211E"/>
    <w:rsid w:val="0091219D"/>
    <w:rsid w:val="00912255"/>
    <w:rsid w:val="0091255D"/>
    <w:rsid w:val="00912EAD"/>
    <w:rsid w:val="00912EDE"/>
    <w:rsid w:val="009135BB"/>
    <w:rsid w:val="0091384A"/>
    <w:rsid w:val="00914128"/>
    <w:rsid w:val="009144D5"/>
    <w:rsid w:val="00914930"/>
    <w:rsid w:val="00914A09"/>
    <w:rsid w:val="00914D56"/>
    <w:rsid w:val="0091517F"/>
    <w:rsid w:val="0091567F"/>
    <w:rsid w:val="00915AD1"/>
    <w:rsid w:val="00915F98"/>
    <w:rsid w:val="00915FA3"/>
    <w:rsid w:val="00915FBC"/>
    <w:rsid w:val="00915FFF"/>
    <w:rsid w:val="00916153"/>
    <w:rsid w:val="00916268"/>
    <w:rsid w:val="009162C0"/>
    <w:rsid w:val="009164A1"/>
    <w:rsid w:val="00916F46"/>
    <w:rsid w:val="00917009"/>
    <w:rsid w:val="00917077"/>
    <w:rsid w:val="00917594"/>
    <w:rsid w:val="009176C9"/>
    <w:rsid w:val="00917CAF"/>
    <w:rsid w:val="00917E92"/>
    <w:rsid w:val="00920339"/>
    <w:rsid w:val="0092082A"/>
    <w:rsid w:val="00920944"/>
    <w:rsid w:val="00920A37"/>
    <w:rsid w:val="00921016"/>
    <w:rsid w:val="00921112"/>
    <w:rsid w:val="00921450"/>
    <w:rsid w:val="009217F8"/>
    <w:rsid w:val="00921FC1"/>
    <w:rsid w:val="0092204C"/>
    <w:rsid w:val="00922488"/>
    <w:rsid w:val="00922876"/>
    <w:rsid w:val="009229F4"/>
    <w:rsid w:val="00922B19"/>
    <w:rsid w:val="00922D53"/>
    <w:rsid w:val="00923A91"/>
    <w:rsid w:val="00923D39"/>
    <w:rsid w:val="00924357"/>
    <w:rsid w:val="0092470E"/>
    <w:rsid w:val="00924D59"/>
    <w:rsid w:val="0092509A"/>
    <w:rsid w:val="00925187"/>
    <w:rsid w:val="00925513"/>
    <w:rsid w:val="0092551D"/>
    <w:rsid w:val="00925690"/>
    <w:rsid w:val="00925A4B"/>
    <w:rsid w:val="00925B08"/>
    <w:rsid w:val="00925CEA"/>
    <w:rsid w:val="00926119"/>
    <w:rsid w:val="00926188"/>
    <w:rsid w:val="009263DD"/>
    <w:rsid w:val="009266A8"/>
    <w:rsid w:val="00926EE6"/>
    <w:rsid w:val="0092709C"/>
    <w:rsid w:val="0092717F"/>
    <w:rsid w:val="00927631"/>
    <w:rsid w:val="00927744"/>
    <w:rsid w:val="00927B05"/>
    <w:rsid w:val="00927D2F"/>
    <w:rsid w:val="00930888"/>
    <w:rsid w:val="009308E0"/>
    <w:rsid w:val="009309A9"/>
    <w:rsid w:val="00930CA8"/>
    <w:rsid w:val="00930F4E"/>
    <w:rsid w:val="009311A2"/>
    <w:rsid w:val="00931572"/>
    <w:rsid w:val="009318B2"/>
    <w:rsid w:val="00931948"/>
    <w:rsid w:val="009319E4"/>
    <w:rsid w:val="00931B41"/>
    <w:rsid w:val="009324D2"/>
    <w:rsid w:val="00932883"/>
    <w:rsid w:val="00932DE9"/>
    <w:rsid w:val="0093344D"/>
    <w:rsid w:val="00933759"/>
    <w:rsid w:val="00933BA0"/>
    <w:rsid w:val="009341BD"/>
    <w:rsid w:val="009344E8"/>
    <w:rsid w:val="00934B58"/>
    <w:rsid w:val="00934D55"/>
    <w:rsid w:val="0093541F"/>
    <w:rsid w:val="009355D0"/>
    <w:rsid w:val="00935623"/>
    <w:rsid w:val="009359E2"/>
    <w:rsid w:val="00935D1F"/>
    <w:rsid w:val="00935E01"/>
    <w:rsid w:val="00935F97"/>
    <w:rsid w:val="00936062"/>
    <w:rsid w:val="009360A3"/>
    <w:rsid w:val="0093677C"/>
    <w:rsid w:val="009378CE"/>
    <w:rsid w:val="00937CBE"/>
    <w:rsid w:val="00937EAE"/>
    <w:rsid w:val="00940189"/>
    <w:rsid w:val="00940287"/>
    <w:rsid w:val="00940A77"/>
    <w:rsid w:val="00940B4F"/>
    <w:rsid w:val="00940CEF"/>
    <w:rsid w:val="009410A1"/>
    <w:rsid w:val="009412DC"/>
    <w:rsid w:val="00941522"/>
    <w:rsid w:val="009415B0"/>
    <w:rsid w:val="00941785"/>
    <w:rsid w:val="00941A23"/>
    <w:rsid w:val="00941C51"/>
    <w:rsid w:val="00941CBE"/>
    <w:rsid w:val="00941CD0"/>
    <w:rsid w:val="00941DB4"/>
    <w:rsid w:val="009421BD"/>
    <w:rsid w:val="009421E3"/>
    <w:rsid w:val="0094243C"/>
    <w:rsid w:val="00942668"/>
    <w:rsid w:val="009427BE"/>
    <w:rsid w:val="00942947"/>
    <w:rsid w:val="009429B4"/>
    <w:rsid w:val="00942AFE"/>
    <w:rsid w:val="00942BD1"/>
    <w:rsid w:val="00943259"/>
    <w:rsid w:val="009434F3"/>
    <w:rsid w:val="00943A66"/>
    <w:rsid w:val="00943B68"/>
    <w:rsid w:val="00944027"/>
    <w:rsid w:val="00944087"/>
    <w:rsid w:val="00944099"/>
    <w:rsid w:val="0094469C"/>
    <w:rsid w:val="00944B44"/>
    <w:rsid w:val="00944E74"/>
    <w:rsid w:val="0094506A"/>
    <w:rsid w:val="009451DC"/>
    <w:rsid w:val="00945583"/>
    <w:rsid w:val="00945917"/>
    <w:rsid w:val="00945D14"/>
    <w:rsid w:val="00945D79"/>
    <w:rsid w:val="009462F3"/>
    <w:rsid w:val="00946795"/>
    <w:rsid w:val="009467C6"/>
    <w:rsid w:val="00946F32"/>
    <w:rsid w:val="0094702C"/>
    <w:rsid w:val="0094742E"/>
    <w:rsid w:val="0094773A"/>
    <w:rsid w:val="00947D44"/>
    <w:rsid w:val="0095005C"/>
    <w:rsid w:val="0095012E"/>
    <w:rsid w:val="009505F5"/>
    <w:rsid w:val="00951934"/>
    <w:rsid w:val="00951D59"/>
    <w:rsid w:val="00951EFA"/>
    <w:rsid w:val="0095207B"/>
    <w:rsid w:val="00952485"/>
    <w:rsid w:val="00952565"/>
    <w:rsid w:val="00952827"/>
    <w:rsid w:val="009528F4"/>
    <w:rsid w:val="0095338E"/>
    <w:rsid w:val="00953D83"/>
    <w:rsid w:val="0095425A"/>
    <w:rsid w:val="00954666"/>
    <w:rsid w:val="009549CB"/>
    <w:rsid w:val="00954A02"/>
    <w:rsid w:val="00954A6D"/>
    <w:rsid w:val="00954AB5"/>
    <w:rsid w:val="00954C8C"/>
    <w:rsid w:val="00955208"/>
    <w:rsid w:val="00955616"/>
    <w:rsid w:val="0095575E"/>
    <w:rsid w:val="009559FA"/>
    <w:rsid w:val="00955B32"/>
    <w:rsid w:val="00955CB2"/>
    <w:rsid w:val="0095619D"/>
    <w:rsid w:val="009561BE"/>
    <w:rsid w:val="009565E0"/>
    <w:rsid w:val="009567F8"/>
    <w:rsid w:val="009569AB"/>
    <w:rsid w:val="00956ACE"/>
    <w:rsid w:val="00956DA2"/>
    <w:rsid w:val="00956E6E"/>
    <w:rsid w:val="009571F9"/>
    <w:rsid w:val="009572A0"/>
    <w:rsid w:val="00957A14"/>
    <w:rsid w:val="00957B35"/>
    <w:rsid w:val="00957D24"/>
    <w:rsid w:val="00957EC5"/>
    <w:rsid w:val="009601B0"/>
    <w:rsid w:val="0096036E"/>
    <w:rsid w:val="00960862"/>
    <w:rsid w:val="00960DCF"/>
    <w:rsid w:val="00961124"/>
    <w:rsid w:val="00961428"/>
    <w:rsid w:val="0096144E"/>
    <w:rsid w:val="009614F2"/>
    <w:rsid w:val="00961B53"/>
    <w:rsid w:val="00961DB8"/>
    <w:rsid w:val="00962083"/>
    <w:rsid w:val="00962164"/>
    <w:rsid w:val="009622ED"/>
    <w:rsid w:val="009622FE"/>
    <w:rsid w:val="009624E0"/>
    <w:rsid w:val="00962955"/>
    <w:rsid w:val="00962DF8"/>
    <w:rsid w:val="009630B9"/>
    <w:rsid w:val="00963264"/>
    <w:rsid w:val="0096389D"/>
    <w:rsid w:val="00963AA9"/>
    <w:rsid w:val="00963FD6"/>
    <w:rsid w:val="00964017"/>
    <w:rsid w:val="009644F0"/>
    <w:rsid w:val="00964590"/>
    <w:rsid w:val="0096466D"/>
    <w:rsid w:val="00964AD3"/>
    <w:rsid w:val="00964D24"/>
    <w:rsid w:val="0096512E"/>
    <w:rsid w:val="00965775"/>
    <w:rsid w:val="00965B8D"/>
    <w:rsid w:val="00965DD8"/>
    <w:rsid w:val="009660FC"/>
    <w:rsid w:val="00966626"/>
    <w:rsid w:val="00966654"/>
    <w:rsid w:val="00966C12"/>
    <w:rsid w:val="00966D22"/>
    <w:rsid w:val="00966DD9"/>
    <w:rsid w:val="00967292"/>
    <w:rsid w:val="009676C0"/>
    <w:rsid w:val="00967832"/>
    <w:rsid w:val="00967873"/>
    <w:rsid w:val="00967BA6"/>
    <w:rsid w:val="00967C9E"/>
    <w:rsid w:val="00970025"/>
    <w:rsid w:val="009703A0"/>
    <w:rsid w:val="0097062E"/>
    <w:rsid w:val="00970BBA"/>
    <w:rsid w:val="00970C76"/>
    <w:rsid w:val="00970D9E"/>
    <w:rsid w:val="00971216"/>
    <w:rsid w:val="00971383"/>
    <w:rsid w:val="0097141B"/>
    <w:rsid w:val="00971930"/>
    <w:rsid w:val="00971941"/>
    <w:rsid w:val="00971B0C"/>
    <w:rsid w:val="00971EF5"/>
    <w:rsid w:val="009727E8"/>
    <w:rsid w:val="0097291E"/>
    <w:rsid w:val="00972CA0"/>
    <w:rsid w:val="009743DD"/>
    <w:rsid w:val="009743FF"/>
    <w:rsid w:val="009745CA"/>
    <w:rsid w:val="00974D8C"/>
    <w:rsid w:val="00974F39"/>
    <w:rsid w:val="0097504F"/>
    <w:rsid w:val="009751CF"/>
    <w:rsid w:val="00975698"/>
    <w:rsid w:val="00975BF0"/>
    <w:rsid w:val="00975CB8"/>
    <w:rsid w:val="0097612B"/>
    <w:rsid w:val="0097662E"/>
    <w:rsid w:val="009766C6"/>
    <w:rsid w:val="00977286"/>
    <w:rsid w:val="00977454"/>
    <w:rsid w:val="00977596"/>
    <w:rsid w:val="009776E4"/>
    <w:rsid w:val="0098013D"/>
    <w:rsid w:val="009803A9"/>
    <w:rsid w:val="009803CB"/>
    <w:rsid w:val="009803D4"/>
    <w:rsid w:val="00980445"/>
    <w:rsid w:val="009806B4"/>
    <w:rsid w:val="009807A2"/>
    <w:rsid w:val="009808BC"/>
    <w:rsid w:val="00980B28"/>
    <w:rsid w:val="00980CF9"/>
    <w:rsid w:val="00981439"/>
    <w:rsid w:val="00981752"/>
    <w:rsid w:val="0098199C"/>
    <w:rsid w:val="00981B10"/>
    <w:rsid w:val="00981C43"/>
    <w:rsid w:val="00981D15"/>
    <w:rsid w:val="0098207F"/>
    <w:rsid w:val="009824D7"/>
    <w:rsid w:val="009826E7"/>
    <w:rsid w:val="00982913"/>
    <w:rsid w:val="00982CF0"/>
    <w:rsid w:val="00982EA4"/>
    <w:rsid w:val="00983573"/>
    <w:rsid w:val="009836C9"/>
    <w:rsid w:val="00983AE8"/>
    <w:rsid w:val="00983EF3"/>
    <w:rsid w:val="009844BD"/>
    <w:rsid w:val="009845B9"/>
    <w:rsid w:val="00984751"/>
    <w:rsid w:val="0098485B"/>
    <w:rsid w:val="0098493D"/>
    <w:rsid w:val="00984A19"/>
    <w:rsid w:val="00985082"/>
    <w:rsid w:val="00985450"/>
    <w:rsid w:val="0098559A"/>
    <w:rsid w:val="00985B0E"/>
    <w:rsid w:val="00985F47"/>
    <w:rsid w:val="009861B5"/>
    <w:rsid w:val="00986319"/>
    <w:rsid w:val="0098675F"/>
    <w:rsid w:val="00986AC4"/>
    <w:rsid w:val="00986F65"/>
    <w:rsid w:val="009873F3"/>
    <w:rsid w:val="00987983"/>
    <w:rsid w:val="00987B8D"/>
    <w:rsid w:val="0099047C"/>
    <w:rsid w:val="009906DF"/>
    <w:rsid w:val="009906F2"/>
    <w:rsid w:val="00990B36"/>
    <w:rsid w:val="00991153"/>
    <w:rsid w:val="00991194"/>
    <w:rsid w:val="009918FA"/>
    <w:rsid w:val="00991C63"/>
    <w:rsid w:val="00991EE7"/>
    <w:rsid w:val="009923B6"/>
    <w:rsid w:val="00992986"/>
    <w:rsid w:val="00992FC1"/>
    <w:rsid w:val="009934E9"/>
    <w:rsid w:val="00993AC8"/>
    <w:rsid w:val="00993F86"/>
    <w:rsid w:val="009945F3"/>
    <w:rsid w:val="00994833"/>
    <w:rsid w:val="00994908"/>
    <w:rsid w:val="00995129"/>
    <w:rsid w:val="00995316"/>
    <w:rsid w:val="009954DA"/>
    <w:rsid w:val="00995DBD"/>
    <w:rsid w:val="00995E47"/>
    <w:rsid w:val="00995E98"/>
    <w:rsid w:val="009962D5"/>
    <w:rsid w:val="009969CA"/>
    <w:rsid w:val="00996CDA"/>
    <w:rsid w:val="00996E48"/>
    <w:rsid w:val="00996F15"/>
    <w:rsid w:val="009970F9"/>
    <w:rsid w:val="009972B0"/>
    <w:rsid w:val="00997590"/>
    <w:rsid w:val="0099787B"/>
    <w:rsid w:val="00997BA8"/>
    <w:rsid w:val="00997EAE"/>
    <w:rsid w:val="00997EDC"/>
    <w:rsid w:val="00997FB5"/>
    <w:rsid w:val="009A06F4"/>
    <w:rsid w:val="009A084D"/>
    <w:rsid w:val="009A08CB"/>
    <w:rsid w:val="009A0927"/>
    <w:rsid w:val="009A09A2"/>
    <w:rsid w:val="009A0FD4"/>
    <w:rsid w:val="009A12AC"/>
    <w:rsid w:val="009A1742"/>
    <w:rsid w:val="009A1804"/>
    <w:rsid w:val="009A1B4B"/>
    <w:rsid w:val="009A1BF6"/>
    <w:rsid w:val="009A1C19"/>
    <w:rsid w:val="009A1C8F"/>
    <w:rsid w:val="009A21D9"/>
    <w:rsid w:val="009A2AE5"/>
    <w:rsid w:val="009A2DCB"/>
    <w:rsid w:val="009A32A8"/>
    <w:rsid w:val="009A3373"/>
    <w:rsid w:val="009A3778"/>
    <w:rsid w:val="009A3833"/>
    <w:rsid w:val="009A38B2"/>
    <w:rsid w:val="009A3D97"/>
    <w:rsid w:val="009A3E2E"/>
    <w:rsid w:val="009A3F2C"/>
    <w:rsid w:val="009A40DA"/>
    <w:rsid w:val="009A462A"/>
    <w:rsid w:val="009A4D43"/>
    <w:rsid w:val="009A4D49"/>
    <w:rsid w:val="009A4DAB"/>
    <w:rsid w:val="009A4E18"/>
    <w:rsid w:val="009A4FD2"/>
    <w:rsid w:val="009A528E"/>
    <w:rsid w:val="009A535B"/>
    <w:rsid w:val="009A5382"/>
    <w:rsid w:val="009A6562"/>
    <w:rsid w:val="009A67FE"/>
    <w:rsid w:val="009A68AB"/>
    <w:rsid w:val="009A6B6D"/>
    <w:rsid w:val="009A6C61"/>
    <w:rsid w:val="009A6C67"/>
    <w:rsid w:val="009A7E3F"/>
    <w:rsid w:val="009A7F34"/>
    <w:rsid w:val="009B0232"/>
    <w:rsid w:val="009B0537"/>
    <w:rsid w:val="009B05EB"/>
    <w:rsid w:val="009B0BFF"/>
    <w:rsid w:val="009B0CF2"/>
    <w:rsid w:val="009B0E17"/>
    <w:rsid w:val="009B17D7"/>
    <w:rsid w:val="009B17E1"/>
    <w:rsid w:val="009B18D4"/>
    <w:rsid w:val="009B1B08"/>
    <w:rsid w:val="009B207F"/>
    <w:rsid w:val="009B2245"/>
    <w:rsid w:val="009B22AF"/>
    <w:rsid w:val="009B22F3"/>
    <w:rsid w:val="009B2446"/>
    <w:rsid w:val="009B2457"/>
    <w:rsid w:val="009B258E"/>
    <w:rsid w:val="009B2C2F"/>
    <w:rsid w:val="009B2C84"/>
    <w:rsid w:val="009B3150"/>
    <w:rsid w:val="009B360A"/>
    <w:rsid w:val="009B3B0C"/>
    <w:rsid w:val="009B3BFD"/>
    <w:rsid w:val="009B47BB"/>
    <w:rsid w:val="009B4F78"/>
    <w:rsid w:val="009B5302"/>
    <w:rsid w:val="009B5808"/>
    <w:rsid w:val="009B5997"/>
    <w:rsid w:val="009B5AF0"/>
    <w:rsid w:val="009B5E6B"/>
    <w:rsid w:val="009B62D2"/>
    <w:rsid w:val="009B63FE"/>
    <w:rsid w:val="009B6B23"/>
    <w:rsid w:val="009B6E2A"/>
    <w:rsid w:val="009B700D"/>
    <w:rsid w:val="009B760F"/>
    <w:rsid w:val="009B78CB"/>
    <w:rsid w:val="009B7ABD"/>
    <w:rsid w:val="009B7BA2"/>
    <w:rsid w:val="009B7BEF"/>
    <w:rsid w:val="009B7CE7"/>
    <w:rsid w:val="009B7D39"/>
    <w:rsid w:val="009B7F29"/>
    <w:rsid w:val="009C021F"/>
    <w:rsid w:val="009C0600"/>
    <w:rsid w:val="009C0716"/>
    <w:rsid w:val="009C0987"/>
    <w:rsid w:val="009C0CE7"/>
    <w:rsid w:val="009C0DD2"/>
    <w:rsid w:val="009C0FAD"/>
    <w:rsid w:val="009C103F"/>
    <w:rsid w:val="009C12E0"/>
    <w:rsid w:val="009C193A"/>
    <w:rsid w:val="009C1D27"/>
    <w:rsid w:val="009C2082"/>
    <w:rsid w:val="009C214B"/>
    <w:rsid w:val="009C2636"/>
    <w:rsid w:val="009C27A4"/>
    <w:rsid w:val="009C3193"/>
    <w:rsid w:val="009C3312"/>
    <w:rsid w:val="009C38EE"/>
    <w:rsid w:val="009C3BA6"/>
    <w:rsid w:val="009C3BD9"/>
    <w:rsid w:val="009C3E69"/>
    <w:rsid w:val="009C3F56"/>
    <w:rsid w:val="009C489D"/>
    <w:rsid w:val="009C4939"/>
    <w:rsid w:val="009C4975"/>
    <w:rsid w:val="009C49C2"/>
    <w:rsid w:val="009C5556"/>
    <w:rsid w:val="009C5625"/>
    <w:rsid w:val="009C5B03"/>
    <w:rsid w:val="009C5B82"/>
    <w:rsid w:val="009C5C5B"/>
    <w:rsid w:val="009C5C9A"/>
    <w:rsid w:val="009C6051"/>
    <w:rsid w:val="009C6293"/>
    <w:rsid w:val="009C638C"/>
    <w:rsid w:val="009C6606"/>
    <w:rsid w:val="009C6B37"/>
    <w:rsid w:val="009C6CF4"/>
    <w:rsid w:val="009C71D0"/>
    <w:rsid w:val="009C73BD"/>
    <w:rsid w:val="009C756E"/>
    <w:rsid w:val="009C77A0"/>
    <w:rsid w:val="009C7805"/>
    <w:rsid w:val="009C790C"/>
    <w:rsid w:val="009C7D8B"/>
    <w:rsid w:val="009C7D92"/>
    <w:rsid w:val="009C7DD4"/>
    <w:rsid w:val="009C7ECD"/>
    <w:rsid w:val="009D0A5C"/>
    <w:rsid w:val="009D0B21"/>
    <w:rsid w:val="009D10AF"/>
    <w:rsid w:val="009D16BC"/>
    <w:rsid w:val="009D16DF"/>
    <w:rsid w:val="009D1E14"/>
    <w:rsid w:val="009D1E99"/>
    <w:rsid w:val="009D21BE"/>
    <w:rsid w:val="009D21F2"/>
    <w:rsid w:val="009D2847"/>
    <w:rsid w:val="009D2A89"/>
    <w:rsid w:val="009D2B4E"/>
    <w:rsid w:val="009D2CDD"/>
    <w:rsid w:val="009D2CFE"/>
    <w:rsid w:val="009D3C3D"/>
    <w:rsid w:val="009D3E3D"/>
    <w:rsid w:val="009D3F8F"/>
    <w:rsid w:val="009D403F"/>
    <w:rsid w:val="009D43EF"/>
    <w:rsid w:val="009D46B1"/>
    <w:rsid w:val="009D4AC1"/>
    <w:rsid w:val="009D4C45"/>
    <w:rsid w:val="009D5246"/>
    <w:rsid w:val="009D5288"/>
    <w:rsid w:val="009D5483"/>
    <w:rsid w:val="009D54CF"/>
    <w:rsid w:val="009D57EE"/>
    <w:rsid w:val="009D5E06"/>
    <w:rsid w:val="009D60C5"/>
    <w:rsid w:val="009D61A0"/>
    <w:rsid w:val="009D6B98"/>
    <w:rsid w:val="009D6D0C"/>
    <w:rsid w:val="009D6F53"/>
    <w:rsid w:val="009D7005"/>
    <w:rsid w:val="009D793B"/>
    <w:rsid w:val="009D7C51"/>
    <w:rsid w:val="009D7FF6"/>
    <w:rsid w:val="009E0B78"/>
    <w:rsid w:val="009E0CE9"/>
    <w:rsid w:val="009E0F1F"/>
    <w:rsid w:val="009E1784"/>
    <w:rsid w:val="009E22DC"/>
    <w:rsid w:val="009E2305"/>
    <w:rsid w:val="009E282F"/>
    <w:rsid w:val="009E28AB"/>
    <w:rsid w:val="009E2AC4"/>
    <w:rsid w:val="009E2AD3"/>
    <w:rsid w:val="009E2FC8"/>
    <w:rsid w:val="009E303F"/>
    <w:rsid w:val="009E3083"/>
    <w:rsid w:val="009E3105"/>
    <w:rsid w:val="009E3121"/>
    <w:rsid w:val="009E3809"/>
    <w:rsid w:val="009E3D4A"/>
    <w:rsid w:val="009E3DCE"/>
    <w:rsid w:val="009E426C"/>
    <w:rsid w:val="009E4483"/>
    <w:rsid w:val="009E452C"/>
    <w:rsid w:val="009E47CF"/>
    <w:rsid w:val="009E47E5"/>
    <w:rsid w:val="009E49E6"/>
    <w:rsid w:val="009E4D79"/>
    <w:rsid w:val="009E538A"/>
    <w:rsid w:val="009E58DC"/>
    <w:rsid w:val="009E5BFA"/>
    <w:rsid w:val="009E5D08"/>
    <w:rsid w:val="009E60EE"/>
    <w:rsid w:val="009E6101"/>
    <w:rsid w:val="009E6306"/>
    <w:rsid w:val="009E6A19"/>
    <w:rsid w:val="009E711A"/>
    <w:rsid w:val="009E761B"/>
    <w:rsid w:val="009E7E3B"/>
    <w:rsid w:val="009E7F77"/>
    <w:rsid w:val="009F06A6"/>
    <w:rsid w:val="009F090E"/>
    <w:rsid w:val="009F1060"/>
    <w:rsid w:val="009F10A7"/>
    <w:rsid w:val="009F146F"/>
    <w:rsid w:val="009F149D"/>
    <w:rsid w:val="009F1543"/>
    <w:rsid w:val="009F1680"/>
    <w:rsid w:val="009F20CE"/>
    <w:rsid w:val="009F21CE"/>
    <w:rsid w:val="009F2445"/>
    <w:rsid w:val="009F272D"/>
    <w:rsid w:val="009F2EC1"/>
    <w:rsid w:val="009F31FF"/>
    <w:rsid w:val="009F325B"/>
    <w:rsid w:val="009F32C2"/>
    <w:rsid w:val="009F3477"/>
    <w:rsid w:val="009F351E"/>
    <w:rsid w:val="009F370D"/>
    <w:rsid w:val="009F3BD8"/>
    <w:rsid w:val="009F3C75"/>
    <w:rsid w:val="009F3C9D"/>
    <w:rsid w:val="009F3CD6"/>
    <w:rsid w:val="009F3EE1"/>
    <w:rsid w:val="009F3FA5"/>
    <w:rsid w:val="009F40A5"/>
    <w:rsid w:val="009F41F8"/>
    <w:rsid w:val="009F453D"/>
    <w:rsid w:val="009F4778"/>
    <w:rsid w:val="009F47FE"/>
    <w:rsid w:val="009F49C0"/>
    <w:rsid w:val="009F4AF6"/>
    <w:rsid w:val="009F5385"/>
    <w:rsid w:val="009F5831"/>
    <w:rsid w:val="009F5A87"/>
    <w:rsid w:val="009F5E3C"/>
    <w:rsid w:val="009F5F43"/>
    <w:rsid w:val="009F61C2"/>
    <w:rsid w:val="009F653A"/>
    <w:rsid w:val="009F6907"/>
    <w:rsid w:val="009F6E76"/>
    <w:rsid w:val="009F7105"/>
    <w:rsid w:val="009F732D"/>
    <w:rsid w:val="009F7506"/>
    <w:rsid w:val="009F7861"/>
    <w:rsid w:val="009F7B9F"/>
    <w:rsid w:val="009F7C8F"/>
    <w:rsid w:val="00A0024F"/>
    <w:rsid w:val="00A00287"/>
    <w:rsid w:val="00A0037E"/>
    <w:rsid w:val="00A003F3"/>
    <w:rsid w:val="00A00416"/>
    <w:rsid w:val="00A0079C"/>
    <w:rsid w:val="00A007BD"/>
    <w:rsid w:val="00A00849"/>
    <w:rsid w:val="00A00AC8"/>
    <w:rsid w:val="00A00BAD"/>
    <w:rsid w:val="00A00FFC"/>
    <w:rsid w:val="00A01303"/>
    <w:rsid w:val="00A015A5"/>
    <w:rsid w:val="00A01BD9"/>
    <w:rsid w:val="00A01ECA"/>
    <w:rsid w:val="00A0226E"/>
    <w:rsid w:val="00A028D5"/>
    <w:rsid w:val="00A0292F"/>
    <w:rsid w:val="00A02964"/>
    <w:rsid w:val="00A02A21"/>
    <w:rsid w:val="00A02B14"/>
    <w:rsid w:val="00A02C4F"/>
    <w:rsid w:val="00A0336A"/>
    <w:rsid w:val="00A035A3"/>
    <w:rsid w:val="00A035AE"/>
    <w:rsid w:val="00A03832"/>
    <w:rsid w:val="00A03D58"/>
    <w:rsid w:val="00A04126"/>
    <w:rsid w:val="00A04153"/>
    <w:rsid w:val="00A044BE"/>
    <w:rsid w:val="00A047F7"/>
    <w:rsid w:val="00A04811"/>
    <w:rsid w:val="00A04A09"/>
    <w:rsid w:val="00A04B36"/>
    <w:rsid w:val="00A0500D"/>
    <w:rsid w:val="00A05821"/>
    <w:rsid w:val="00A05844"/>
    <w:rsid w:val="00A0596F"/>
    <w:rsid w:val="00A05A75"/>
    <w:rsid w:val="00A05CFD"/>
    <w:rsid w:val="00A05D1D"/>
    <w:rsid w:val="00A05EA2"/>
    <w:rsid w:val="00A060F2"/>
    <w:rsid w:val="00A0651C"/>
    <w:rsid w:val="00A068AC"/>
    <w:rsid w:val="00A06AA9"/>
    <w:rsid w:val="00A07051"/>
    <w:rsid w:val="00A07248"/>
    <w:rsid w:val="00A07382"/>
    <w:rsid w:val="00A0761A"/>
    <w:rsid w:val="00A076CC"/>
    <w:rsid w:val="00A07939"/>
    <w:rsid w:val="00A10089"/>
    <w:rsid w:val="00A108D5"/>
    <w:rsid w:val="00A10F08"/>
    <w:rsid w:val="00A10F90"/>
    <w:rsid w:val="00A11537"/>
    <w:rsid w:val="00A1165C"/>
    <w:rsid w:val="00A117A8"/>
    <w:rsid w:val="00A11E93"/>
    <w:rsid w:val="00A11EF4"/>
    <w:rsid w:val="00A12120"/>
    <w:rsid w:val="00A12282"/>
    <w:rsid w:val="00A125D6"/>
    <w:rsid w:val="00A12C5B"/>
    <w:rsid w:val="00A12D2F"/>
    <w:rsid w:val="00A12DFA"/>
    <w:rsid w:val="00A134CA"/>
    <w:rsid w:val="00A1358C"/>
    <w:rsid w:val="00A13C6B"/>
    <w:rsid w:val="00A142D7"/>
    <w:rsid w:val="00A1475C"/>
    <w:rsid w:val="00A1487A"/>
    <w:rsid w:val="00A14E53"/>
    <w:rsid w:val="00A150CD"/>
    <w:rsid w:val="00A1522F"/>
    <w:rsid w:val="00A153D3"/>
    <w:rsid w:val="00A15422"/>
    <w:rsid w:val="00A15540"/>
    <w:rsid w:val="00A15580"/>
    <w:rsid w:val="00A160B3"/>
    <w:rsid w:val="00A16449"/>
    <w:rsid w:val="00A16DDF"/>
    <w:rsid w:val="00A17109"/>
    <w:rsid w:val="00A17414"/>
    <w:rsid w:val="00A17424"/>
    <w:rsid w:val="00A1760D"/>
    <w:rsid w:val="00A176D9"/>
    <w:rsid w:val="00A1780C"/>
    <w:rsid w:val="00A17866"/>
    <w:rsid w:val="00A17A0E"/>
    <w:rsid w:val="00A20297"/>
    <w:rsid w:val="00A202D6"/>
    <w:rsid w:val="00A2106B"/>
    <w:rsid w:val="00A219AE"/>
    <w:rsid w:val="00A21DDF"/>
    <w:rsid w:val="00A21F42"/>
    <w:rsid w:val="00A224DA"/>
    <w:rsid w:val="00A2284C"/>
    <w:rsid w:val="00A22EE4"/>
    <w:rsid w:val="00A22EFC"/>
    <w:rsid w:val="00A2325D"/>
    <w:rsid w:val="00A2334D"/>
    <w:rsid w:val="00A235F6"/>
    <w:rsid w:val="00A23770"/>
    <w:rsid w:val="00A23B77"/>
    <w:rsid w:val="00A23C5F"/>
    <w:rsid w:val="00A23CD8"/>
    <w:rsid w:val="00A23F7C"/>
    <w:rsid w:val="00A23FE3"/>
    <w:rsid w:val="00A240B8"/>
    <w:rsid w:val="00A24627"/>
    <w:rsid w:val="00A24AF9"/>
    <w:rsid w:val="00A24CFE"/>
    <w:rsid w:val="00A25AA9"/>
    <w:rsid w:val="00A25F85"/>
    <w:rsid w:val="00A260CA"/>
    <w:rsid w:val="00A261B0"/>
    <w:rsid w:val="00A26389"/>
    <w:rsid w:val="00A263F6"/>
    <w:rsid w:val="00A26533"/>
    <w:rsid w:val="00A269F1"/>
    <w:rsid w:val="00A273B7"/>
    <w:rsid w:val="00A27404"/>
    <w:rsid w:val="00A27ABF"/>
    <w:rsid w:val="00A27D27"/>
    <w:rsid w:val="00A27EAC"/>
    <w:rsid w:val="00A3035D"/>
    <w:rsid w:val="00A303B8"/>
    <w:rsid w:val="00A30444"/>
    <w:rsid w:val="00A30863"/>
    <w:rsid w:val="00A30A17"/>
    <w:rsid w:val="00A30DE0"/>
    <w:rsid w:val="00A30E09"/>
    <w:rsid w:val="00A310A4"/>
    <w:rsid w:val="00A310E4"/>
    <w:rsid w:val="00A316E0"/>
    <w:rsid w:val="00A317CB"/>
    <w:rsid w:val="00A31935"/>
    <w:rsid w:val="00A319A7"/>
    <w:rsid w:val="00A31A55"/>
    <w:rsid w:val="00A31B14"/>
    <w:rsid w:val="00A31B28"/>
    <w:rsid w:val="00A31B78"/>
    <w:rsid w:val="00A31BC9"/>
    <w:rsid w:val="00A31FE3"/>
    <w:rsid w:val="00A32221"/>
    <w:rsid w:val="00A32927"/>
    <w:rsid w:val="00A32A75"/>
    <w:rsid w:val="00A32AD4"/>
    <w:rsid w:val="00A32ADB"/>
    <w:rsid w:val="00A32B5D"/>
    <w:rsid w:val="00A3300D"/>
    <w:rsid w:val="00A33700"/>
    <w:rsid w:val="00A339A6"/>
    <w:rsid w:val="00A33A8E"/>
    <w:rsid w:val="00A33BC6"/>
    <w:rsid w:val="00A34083"/>
    <w:rsid w:val="00A3455A"/>
    <w:rsid w:val="00A34636"/>
    <w:rsid w:val="00A34735"/>
    <w:rsid w:val="00A3474E"/>
    <w:rsid w:val="00A347DD"/>
    <w:rsid w:val="00A3489E"/>
    <w:rsid w:val="00A3495F"/>
    <w:rsid w:val="00A34C96"/>
    <w:rsid w:val="00A34EB5"/>
    <w:rsid w:val="00A35420"/>
    <w:rsid w:val="00A35620"/>
    <w:rsid w:val="00A35676"/>
    <w:rsid w:val="00A35809"/>
    <w:rsid w:val="00A35E34"/>
    <w:rsid w:val="00A36182"/>
    <w:rsid w:val="00A361C3"/>
    <w:rsid w:val="00A36764"/>
    <w:rsid w:val="00A368EE"/>
    <w:rsid w:val="00A36B69"/>
    <w:rsid w:val="00A37184"/>
    <w:rsid w:val="00A374E7"/>
    <w:rsid w:val="00A37F52"/>
    <w:rsid w:val="00A37F78"/>
    <w:rsid w:val="00A401E3"/>
    <w:rsid w:val="00A40263"/>
    <w:rsid w:val="00A40514"/>
    <w:rsid w:val="00A40907"/>
    <w:rsid w:val="00A40AE4"/>
    <w:rsid w:val="00A40E96"/>
    <w:rsid w:val="00A41069"/>
    <w:rsid w:val="00A411FA"/>
    <w:rsid w:val="00A413FD"/>
    <w:rsid w:val="00A415F8"/>
    <w:rsid w:val="00A4168E"/>
    <w:rsid w:val="00A41C69"/>
    <w:rsid w:val="00A41D5F"/>
    <w:rsid w:val="00A41E75"/>
    <w:rsid w:val="00A42427"/>
    <w:rsid w:val="00A4243D"/>
    <w:rsid w:val="00A42A6F"/>
    <w:rsid w:val="00A42C1E"/>
    <w:rsid w:val="00A43479"/>
    <w:rsid w:val="00A4350D"/>
    <w:rsid w:val="00A4356C"/>
    <w:rsid w:val="00A4370C"/>
    <w:rsid w:val="00A43755"/>
    <w:rsid w:val="00A438DB"/>
    <w:rsid w:val="00A43BB8"/>
    <w:rsid w:val="00A43EA1"/>
    <w:rsid w:val="00A440D8"/>
    <w:rsid w:val="00A44423"/>
    <w:rsid w:val="00A44A40"/>
    <w:rsid w:val="00A44EC1"/>
    <w:rsid w:val="00A454B3"/>
    <w:rsid w:val="00A45D01"/>
    <w:rsid w:val="00A45E52"/>
    <w:rsid w:val="00A45EC3"/>
    <w:rsid w:val="00A4610D"/>
    <w:rsid w:val="00A46652"/>
    <w:rsid w:val="00A46C0C"/>
    <w:rsid w:val="00A46D15"/>
    <w:rsid w:val="00A4711C"/>
    <w:rsid w:val="00A4713D"/>
    <w:rsid w:val="00A474E9"/>
    <w:rsid w:val="00A4771B"/>
    <w:rsid w:val="00A477AD"/>
    <w:rsid w:val="00A47BE9"/>
    <w:rsid w:val="00A47D50"/>
    <w:rsid w:val="00A47D8F"/>
    <w:rsid w:val="00A47EB8"/>
    <w:rsid w:val="00A50297"/>
    <w:rsid w:val="00A50A23"/>
    <w:rsid w:val="00A50F3E"/>
    <w:rsid w:val="00A51307"/>
    <w:rsid w:val="00A516D9"/>
    <w:rsid w:val="00A51B8C"/>
    <w:rsid w:val="00A51CDA"/>
    <w:rsid w:val="00A5200D"/>
    <w:rsid w:val="00A5252F"/>
    <w:rsid w:val="00A52750"/>
    <w:rsid w:val="00A52873"/>
    <w:rsid w:val="00A529C2"/>
    <w:rsid w:val="00A52D5C"/>
    <w:rsid w:val="00A5323B"/>
    <w:rsid w:val="00A53333"/>
    <w:rsid w:val="00A53382"/>
    <w:rsid w:val="00A53B5C"/>
    <w:rsid w:val="00A53C46"/>
    <w:rsid w:val="00A541E6"/>
    <w:rsid w:val="00A5437D"/>
    <w:rsid w:val="00A54451"/>
    <w:rsid w:val="00A547A6"/>
    <w:rsid w:val="00A549BD"/>
    <w:rsid w:val="00A54ADA"/>
    <w:rsid w:val="00A54BE0"/>
    <w:rsid w:val="00A54F98"/>
    <w:rsid w:val="00A54FB4"/>
    <w:rsid w:val="00A55198"/>
    <w:rsid w:val="00A55366"/>
    <w:rsid w:val="00A55744"/>
    <w:rsid w:val="00A55861"/>
    <w:rsid w:val="00A5593D"/>
    <w:rsid w:val="00A55BA1"/>
    <w:rsid w:val="00A55E2B"/>
    <w:rsid w:val="00A55E74"/>
    <w:rsid w:val="00A5605F"/>
    <w:rsid w:val="00A56139"/>
    <w:rsid w:val="00A5662A"/>
    <w:rsid w:val="00A56763"/>
    <w:rsid w:val="00A56BC3"/>
    <w:rsid w:val="00A56DE0"/>
    <w:rsid w:val="00A5708B"/>
    <w:rsid w:val="00A57439"/>
    <w:rsid w:val="00A57ABC"/>
    <w:rsid w:val="00A57E21"/>
    <w:rsid w:val="00A60320"/>
    <w:rsid w:val="00A603F2"/>
    <w:rsid w:val="00A60439"/>
    <w:rsid w:val="00A6091F"/>
    <w:rsid w:val="00A609AF"/>
    <w:rsid w:val="00A60A56"/>
    <w:rsid w:val="00A60A61"/>
    <w:rsid w:val="00A60AF1"/>
    <w:rsid w:val="00A60E04"/>
    <w:rsid w:val="00A61111"/>
    <w:rsid w:val="00A618C9"/>
    <w:rsid w:val="00A61A10"/>
    <w:rsid w:val="00A61B3D"/>
    <w:rsid w:val="00A61C9F"/>
    <w:rsid w:val="00A61E90"/>
    <w:rsid w:val="00A624FB"/>
    <w:rsid w:val="00A62640"/>
    <w:rsid w:val="00A628B7"/>
    <w:rsid w:val="00A62964"/>
    <w:rsid w:val="00A62A83"/>
    <w:rsid w:val="00A62DBE"/>
    <w:rsid w:val="00A62FB1"/>
    <w:rsid w:val="00A63252"/>
    <w:rsid w:val="00A6346F"/>
    <w:rsid w:val="00A63A3E"/>
    <w:rsid w:val="00A63C18"/>
    <w:rsid w:val="00A63F88"/>
    <w:rsid w:val="00A642D8"/>
    <w:rsid w:val="00A644AD"/>
    <w:rsid w:val="00A64765"/>
    <w:rsid w:val="00A64E5F"/>
    <w:rsid w:val="00A65466"/>
    <w:rsid w:val="00A65576"/>
    <w:rsid w:val="00A65667"/>
    <w:rsid w:val="00A656A3"/>
    <w:rsid w:val="00A658FF"/>
    <w:rsid w:val="00A659E2"/>
    <w:rsid w:val="00A65A30"/>
    <w:rsid w:val="00A662DC"/>
    <w:rsid w:val="00A66A10"/>
    <w:rsid w:val="00A66C30"/>
    <w:rsid w:val="00A6734D"/>
    <w:rsid w:val="00A6741B"/>
    <w:rsid w:val="00A67470"/>
    <w:rsid w:val="00A675DD"/>
    <w:rsid w:val="00A67661"/>
    <w:rsid w:val="00A67A9D"/>
    <w:rsid w:val="00A67C1F"/>
    <w:rsid w:val="00A67F0B"/>
    <w:rsid w:val="00A7041D"/>
    <w:rsid w:val="00A70920"/>
    <w:rsid w:val="00A70BC1"/>
    <w:rsid w:val="00A71409"/>
    <w:rsid w:val="00A71471"/>
    <w:rsid w:val="00A71532"/>
    <w:rsid w:val="00A71601"/>
    <w:rsid w:val="00A716A9"/>
    <w:rsid w:val="00A71813"/>
    <w:rsid w:val="00A71833"/>
    <w:rsid w:val="00A71B6E"/>
    <w:rsid w:val="00A71F5E"/>
    <w:rsid w:val="00A72923"/>
    <w:rsid w:val="00A72929"/>
    <w:rsid w:val="00A73571"/>
    <w:rsid w:val="00A73964"/>
    <w:rsid w:val="00A73B4D"/>
    <w:rsid w:val="00A73EA1"/>
    <w:rsid w:val="00A74226"/>
    <w:rsid w:val="00A74304"/>
    <w:rsid w:val="00A743EA"/>
    <w:rsid w:val="00A74F7E"/>
    <w:rsid w:val="00A74FAE"/>
    <w:rsid w:val="00A752CC"/>
    <w:rsid w:val="00A7561B"/>
    <w:rsid w:val="00A757B0"/>
    <w:rsid w:val="00A75A79"/>
    <w:rsid w:val="00A75C24"/>
    <w:rsid w:val="00A75E6D"/>
    <w:rsid w:val="00A76605"/>
    <w:rsid w:val="00A769D6"/>
    <w:rsid w:val="00A76F09"/>
    <w:rsid w:val="00A76F20"/>
    <w:rsid w:val="00A7715B"/>
    <w:rsid w:val="00A776A4"/>
    <w:rsid w:val="00A7776B"/>
    <w:rsid w:val="00A777AE"/>
    <w:rsid w:val="00A77A58"/>
    <w:rsid w:val="00A80418"/>
    <w:rsid w:val="00A80471"/>
    <w:rsid w:val="00A8049D"/>
    <w:rsid w:val="00A805F7"/>
    <w:rsid w:val="00A8063D"/>
    <w:rsid w:val="00A8075B"/>
    <w:rsid w:val="00A80771"/>
    <w:rsid w:val="00A81BF0"/>
    <w:rsid w:val="00A82107"/>
    <w:rsid w:val="00A821F1"/>
    <w:rsid w:val="00A822C2"/>
    <w:rsid w:val="00A82673"/>
    <w:rsid w:val="00A826D9"/>
    <w:rsid w:val="00A82990"/>
    <w:rsid w:val="00A829E7"/>
    <w:rsid w:val="00A82CCD"/>
    <w:rsid w:val="00A82DF9"/>
    <w:rsid w:val="00A82ED6"/>
    <w:rsid w:val="00A8385A"/>
    <w:rsid w:val="00A83A9D"/>
    <w:rsid w:val="00A83C5F"/>
    <w:rsid w:val="00A83CEA"/>
    <w:rsid w:val="00A83F10"/>
    <w:rsid w:val="00A84270"/>
    <w:rsid w:val="00A84333"/>
    <w:rsid w:val="00A846E0"/>
    <w:rsid w:val="00A84C60"/>
    <w:rsid w:val="00A85114"/>
    <w:rsid w:val="00A863D3"/>
    <w:rsid w:val="00A869C4"/>
    <w:rsid w:val="00A86A1D"/>
    <w:rsid w:val="00A86A78"/>
    <w:rsid w:val="00A86FC1"/>
    <w:rsid w:val="00A87376"/>
    <w:rsid w:val="00A876A3"/>
    <w:rsid w:val="00A87D4C"/>
    <w:rsid w:val="00A87EFE"/>
    <w:rsid w:val="00A90015"/>
    <w:rsid w:val="00A90124"/>
    <w:rsid w:val="00A90159"/>
    <w:rsid w:val="00A9032D"/>
    <w:rsid w:val="00A90401"/>
    <w:rsid w:val="00A90AFB"/>
    <w:rsid w:val="00A90D07"/>
    <w:rsid w:val="00A911A1"/>
    <w:rsid w:val="00A9123A"/>
    <w:rsid w:val="00A912FE"/>
    <w:rsid w:val="00A9177B"/>
    <w:rsid w:val="00A921C9"/>
    <w:rsid w:val="00A921E3"/>
    <w:rsid w:val="00A92A8C"/>
    <w:rsid w:val="00A92EB0"/>
    <w:rsid w:val="00A92F58"/>
    <w:rsid w:val="00A93340"/>
    <w:rsid w:val="00A9362C"/>
    <w:rsid w:val="00A9378E"/>
    <w:rsid w:val="00A93D52"/>
    <w:rsid w:val="00A94AC4"/>
    <w:rsid w:val="00A94B13"/>
    <w:rsid w:val="00A94D20"/>
    <w:rsid w:val="00A95057"/>
    <w:rsid w:val="00A95804"/>
    <w:rsid w:val="00A958F1"/>
    <w:rsid w:val="00A9598F"/>
    <w:rsid w:val="00A95B29"/>
    <w:rsid w:val="00A95D2E"/>
    <w:rsid w:val="00A95DC7"/>
    <w:rsid w:val="00A9647C"/>
    <w:rsid w:val="00A96F92"/>
    <w:rsid w:val="00A97352"/>
    <w:rsid w:val="00A97479"/>
    <w:rsid w:val="00A9752B"/>
    <w:rsid w:val="00A978CD"/>
    <w:rsid w:val="00A979B6"/>
    <w:rsid w:val="00A97D88"/>
    <w:rsid w:val="00A97F31"/>
    <w:rsid w:val="00A97FBA"/>
    <w:rsid w:val="00AA05B1"/>
    <w:rsid w:val="00AA0A8E"/>
    <w:rsid w:val="00AA0CFA"/>
    <w:rsid w:val="00AA0D14"/>
    <w:rsid w:val="00AA1050"/>
    <w:rsid w:val="00AA1A99"/>
    <w:rsid w:val="00AA2421"/>
    <w:rsid w:val="00AA2461"/>
    <w:rsid w:val="00AA2564"/>
    <w:rsid w:val="00AA2865"/>
    <w:rsid w:val="00AA2C19"/>
    <w:rsid w:val="00AA3289"/>
    <w:rsid w:val="00AA32FA"/>
    <w:rsid w:val="00AA35A7"/>
    <w:rsid w:val="00AA360C"/>
    <w:rsid w:val="00AA37D8"/>
    <w:rsid w:val="00AA3A42"/>
    <w:rsid w:val="00AA3A9B"/>
    <w:rsid w:val="00AA3BF1"/>
    <w:rsid w:val="00AA3E2E"/>
    <w:rsid w:val="00AA420E"/>
    <w:rsid w:val="00AA43CA"/>
    <w:rsid w:val="00AA4809"/>
    <w:rsid w:val="00AA49F2"/>
    <w:rsid w:val="00AA4EB7"/>
    <w:rsid w:val="00AA517B"/>
    <w:rsid w:val="00AA53DD"/>
    <w:rsid w:val="00AA5410"/>
    <w:rsid w:val="00AA5558"/>
    <w:rsid w:val="00AA573B"/>
    <w:rsid w:val="00AA5C58"/>
    <w:rsid w:val="00AA5D53"/>
    <w:rsid w:val="00AA64DF"/>
    <w:rsid w:val="00AA676E"/>
    <w:rsid w:val="00AA6A66"/>
    <w:rsid w:val="00AA6A90"/>
    <w:rsid w:val="00AA6E45"/>
    <w:rsid w:val="00AA71C6"/>
    <w:rsid w:val="00AA7440"/>
    <w:rsid w:val="00AA76E8"/>
    <w:rsid w:val="00AA7707"/>
    <w:rsid w:val="00AA7AAE"/>
    <w:rsid w:val="00AB0072"/>
    <w:rsid w:val="00AB0321"/>
    <w:rsid w:val="00AB0B4F"/>
    <w:rsid w:val="00AB0B74"/>
    <w:rsid w:val="00AB0F7B"/>
    <w:rsid w:val="00AB1285"/>
    <w:rsid w:val="00AB13E7"/>
    <w:rsid w:val="00AB1669"/>
    <w:rsid w:val="00AB18E2"/>
    <w:rsid w:val="00AB196F"/>
    <w:rsid w:val="00AB1972"/>
    <w:rsid w:val="00AB1D0B"/>
    <w:rsid w:val="00AB1F6E"/>
    <w:rsid w:val="00AB21C6"/>
    <w:rsid w:val="00AB21D1"/>
    <w:rsid w:val="00AB2841"/>
    <w:rsid w:val="00AB2CE8"/>
    <w:rsid w:val="00AB2EA8"/>
    <w:rsid w:val="00AB2FA2"/>
    <w:rsid w:val="00AB365B"/>
    <w:rsid w:val="00AB3768"/>
    <w:rsid w:val="00AB3A16"/>
    <w:rsid w:val="00AB3EFC"/>
    <w:rsid w:val="00AB40FF"/>
    <w:rsid w:val="00AB4156"/>
    <w:rsid w:val="00AB4592"/>
    <w:rsid w:val="00AB4984"/>
    <w:rsid w:val="00AB4E67"/>
    <w:rsid w:val="00AB4F18"/>
    <w:rsid w:val="00AB54B3"/>
    <w:rsid w:val="00AB606B"/>
    <w:rsid w:val="00AB655B"/>
    <w:rsid w:val="00AB675F"/>
    <w:rsid w:val="00AB68BF"/>
    <w:rsid w:val="00AB6F71"/>
    <w:rsid w:val="00AB728E"/>
    <w:rsid w:val="00AB746E"/>
    <w:rsid w:val="00AB747B"/>
    <w:rsid w:val="00AB74D1"/>
    <w:rsid w:val="00AB7B42"/>
    <w:rsid w:val="00AB7D25"/>
    <w:rsid w:val="00AC0356"/>
    <w:rsid w:val="00AC087C"/>
    <w:rsid w:val="00AC0A66"/>
    <w:rsid w:val="00AC0F07"/>
    <w:rsid w:val="00AC1237"/>
    <w:rsid w:val="00AC1378"/>
    <w:rsid w:val="00AC157B"/>
    <w:rsid w:val="00AC1705"/>
    <w:rsid w:val="00AC1739"/>
    <w:rsid w:val="00AC18BF"/>
    <w:rsid w:val="00AC1B3A"/>
    <w:rsid w:val="00AC20CD"/>
    <w:rsid w:val="00AC21BF"/>
    <w:rsid w:val="00AC2222"/>
    <w:rsid w:val="00AC226A"/>
    <w:rsid w:val="00AC23EE"/>
    <w:rsid w:val="00AC23FC"/>
    <w:rsid w:val="00AC2629"/>
    <w:rsid w:val="00AC2A31"/>
    <w:rsid w:val="00AC2B1D"/>
    <w:rsid w:val="00AC2EEE"/>
    <w:rsid w:val="00AC3319"/>
    <w:rsid w:val="00AC35D5"/>
    <w:rsid w:val="00AC3721"/>
    <w:rsid w:val="00AC3D2B"/>
    <w:rsid w:val="00AC40E8"/>
    <w:rsid w:val="00AC4404"/>
    <w:rsid w:val="00AC451E"/>
    <w:rsid w:val="00AC45BC"/>
    <w:rsid w:val="00AC4799"/>
    <w:rsid w:val="00AC47AD"/>
    <w:rsid w:val="00AC4BBE"/>
    <w:rsid w:val="00AC4C44"/>
    <w:rsid w:val="00AC4D16"/>
    <w:rsid w:val="00AC4F17"/>
    <w:rsid w:val="00AC519D"/>
    <w:rsid w:val="00AC5281"/>
    <w:rsid w:val="00AC55EA"/>
    <w:rsid w:val="00AC569F"/>
    <w:rsid w:val="00AC5A26"/>
    <w:rsid w:val="00AC5BBA"/>
    <w:rsid w:val="00AC5BE0"/>
    <w:rsid w:val="00AC5ECF"/>
    <w:rsid w:val="00AC5F81"/>
    <w:rsid w:val="00AC6069"/>
    <w:rsid w:val="00AC644C"/>
    <w:rsid w:val="00AC665B"/>
    <w:rsid w:val="00AC69CC"/>
    <w:rsid w:val="00AC6F7D"/>
    <w:rsid w:val="00AC6FAF"/>
    <w:rsid w:val="00AC7106"/>
    <w:rsid w:val="00AC720A"/>
    <w:rsid w:val="00AC7CA1"/>
    <w:rsid w:val="00AC7DCA"/>
    <w:rsid w:val="00AD0186"/>
    <w:rsid w:val="00AD04AB"/>
    <w:rsid w:val="00AD04E6"/>
    <w:rsid w:val="00AD0607"/>
    <w:rsid w:val="00AD0972"/>
    <w:rsid w:val="00AD1761"/>
    <w:rsid w:val="00AD186E"/>
    <w:rsid w:val="00AD2093"/>
    <w:rsid w:val="00AD2421"/>
    <w:rsid w:val="00AD24E4"/>
    <w:rsid w:val="00AD27DE"/>
    <w:rsid w:val="00AD281A"/>
    <w:rsid w:val="00AD2DF7"/>
    <w:rsid w:val="00AD34CD"/>
    <w:rsid w:val="00AD379E"/>
    <w:rsid w:val="00AD3825"/>
    <w:rsid w:val="00AD393E"/>
    <w:rsid w:val="00AD3BB2"/>
    <w:rsid w:val="00AD3BF0"/>
    <w:rsid w:val="00AD410B"/>
    <w:rsid w:val="00AD446A"/>
    <w:rsid w:val="00AD447F"/>
    <w:rsid w:val="00AD44E9"/>
    <w:rsid w:val="00AD47BC"/>
    <w:rsid w:val="00AD4C11"/>
    <w:rsid w:val="00AD51EC"/>
    <w:rsid w:val="00AD5224"/>
    <w:rsid w:val="00AD5528"/>
    <w:rsid w:val="00AD5569"/>
    <w:rsid w:val="00AD590A"/>
    <w:rsid w:val="00AD5E9C"/>
    <w:rsid w:val="00AD60EA"/>
    <w:rsid w:val="00AD61F0"/>
    <w:rsid w:val="00AD62A7"/>
    <w:rsid w:val="00AD6601"/>
    <w:rsid w:val="00AD66D4"/>
    <w:rsid w:val="00AD67D4"/>
    <w:rsid w:val="00AD6AEE"/>
    <w:rsid w:val="00AD6B28"/>
    <w:rsid w:val="00AD6C47"/>
    <w:rsid w:val="00AD7138"/>
    <w:rsid w:val="00AD7477"/>
    <w:rsid w:val="00AD79C3"/>
    <w:rsid w:val="00AD7CDD"/>
    <w:rsid w:val="00AD7FD6"/>
    <w:rsid w:val="00AE0180"/>
    <w:rsid w:val="00AE023A"/>
    <w:rsid w:val="00AE02B6"/>
    <w:rsid w:val="00AE0925"/>
    <w:rsid w:val="00AE0998"/>
    <w:rsid w:val="00AE0C5C"/>
    <w:rsid w:val="00AE0E49"/>
    <w:rsid w:val="00AE0F6C"/>
    <w:rsid w:val="00AE1130"/>
    <w:rsid w:val="00AE1234"/>
    <w:rsid w:val="00AE1284"/>
    <w:rsid w:val="00AE268A"/>
    <w:rsid w:val="00AE26EA"/>
    <w:rsid w:val="00AE2FB1"/>
    <w:rsid w:val="00AE3398"/>
    <w:rsid w:val="00AE3794"/>
    <w:rsid w:val="00AE38BD"/>
    <w:rsid w:val="00AE3E5A"/>
    <w:rsid w:val="00AE3F2E"/>
    <w:rsid w:val="00AE4331"/>
    <w:rsid w:val="00AE4934"/>
    <w:rsid w:val="00AE4C40"/>
    <w:rsid w:val="00AE5354"/>
    <w:rsid w:val="00AE589E"/>
    <w:rsid w:val="00AE59C5"/>
    <w:rsid w:val="00AE5C2F"/>
    <w:rsid w:val="00AE5F27"/>
    <w:rsid w:val="00AE5F90"/>
    <w:rsid w:val="00AE614D"/>
    <w:rsid w:val="00AE61EA"/>
    <w:rsid w:val="00AE6635"/>
    <w:rsid w:val="00AE67BF"/>
    <w:rsid w:val="00AE6FB4"/>
    <w:rsid w:val="00AE70DA"/>
    <w:rsid w:val="00AE72DF"/>
    <w:rsid w:val="00AE7554"/>
    <w:rsid w:val="00AE7636"/>
    <w:rsid w:val="00AE7843"/>
    <w:rsid w:val="00AE7849"/>
    <w:rsid w:val="00AE7977"/>
    <w:rsid w:val="00AE7D77"/>
    <w:rsid w:val="00AF0368"/>
    <w:rsid w:val="00AF06A4"/>
    <w:rsid w:val="00AF0708"/>
    <w:rsid w:val="00AF086F"/>
    <w:rsid w:val="00AF09F2"/>
    <w:rsid w:val="00AF1263"/>
    <w:rsid w:val="00AF1F10"/>
    <w:rsid w:val="00AF2265"/>
    <w:rsid w:val="00AF2469"/>
    <w:rsid w:val="00AF2672"/>
    <w:rsid w:val="00AF31A8"/>
    <w:rsid w:val="00AF36AA"/>
    <w:rsid w:val="00AF36B3"/>
    <w:rsid w:val="00AF372F"/>
    <w:rsid w:val="00AF3AA9"/>
    <w:rsid w:val="00AF3C13"/>
    <w:rsid w:val="00AF3D39"/>
    <w:rsid w:val="00AF48EA"/>
    <w:rsid w:val="00AF497B"/>
    <w:rsid w:val="00AF4ABE"/>
    <w:rsid w:val="00AF4D32"/>
    <w:rsid w:val="00AF57DD"/>
    <w:rsid w:val="00AF5A19"/>
    <w:rsid w:val="00AF5BA8"/>
    <w:rsid w:val="00AF5D32"/>
    <w:rsid w:val="00AF5E03"/>
    <w:rsid w:val="00AF5E18"/>
    <w:rsid w:val="00AF604E"/>
    <w:rsid w:val="00AF6413"/>
    <w:rsid w:val="00AF670A"/>
    <w:rsid w:val="00AF6853"/>
    <w:rsid w:val="00AF68A3"/>
    <w:rsid w:val="00AF6A4C"/>
    <w:rsid w:val="00AF6BA6"/>
    <w:rsid w:val="00AF6C59"/>
    <w:rsid w:val="00AF6EF8"/>
    <w:rsid w:val="00AF784C"/>
    <w:rsid w:val="00AF7A1F"/>
    <w:rsid w:val="00AFA47A"/>
    <w:rsid w:val="00B00182"/>
    <w:rsid w:val="00B002AC"/>
    <w:rsid w:val="00B0036A"/>
    <w:rsid w:val="00B00399"/>
    <w:rsid w:val="00B0047A"/>
    <w:rsid w:val="00B0058A"/>
    <w:rsid w:val="00B00B6E"/>
    <w:rsid w:val="00B01650"/>
    <w:rsid w:val="00B01A8C"/>
    <w:rsid w:val="00B01C15"/>
    <w:rsid w:val="00B0212B"/>
    <w:rsid w:val="00B02183"/>
    <w:rsid w:val="00B02464"/>
    <w:rsid w:val="00B027FF"/>
    <w:rsid w:val="00B0296E"/>
    <w:rsid w:val="00B02B68"/>
    <w:rsid w:val="00B02BA1"/>
    <w:rsid w:val="00B02E41"/>
    <w:rsid w:val="00B02E86"/>
    <w:rsid w:val="00B02F85"/>
    <w:rsid w:val="00B030BF"/>
    <w:rsid w:val="00B03124"/>
    <w:rsid w:val="00B03376"/>
    <w:rsid w:val="00B035F6"/>
    <w:rsid w:val="00B0362F"/>
    <w:rsid w:val="00B03680"/>
    <w:rsid w:val="00B03687"/>
    <w:rsid w:val="00B038E7"/>
    <w:rsid w:val="00B03919"/>
    <w:rsid w:val="00B03972"/>
    <w:rsid w:val="00B04494"/>
    <w:rsid w:val="00B045A4"/>
    <w:rsid w:val="00B045AB"/>
    <w:rsid w:val="00B04601"/>
    <w:rsid w:val="00B047C2"/>
    <w:rsid w:val="00B04CB1"/>
    <w:rsid w:val="00B04D7E"/>
    <w:rsid w:val="00B05139"/>
    <w:rsid w:val="00B05635"/>
    <w:rsid w:val="00B05D9F"/>
    <w:rsid w:val="00B05E2E"/>
    <w:rsid w:val="00B05E5A"/>
    <w:rsid w:val="00B060F5"/>
    <w:rsid w:val="00B0636E"/>
    <w:rsid w:val="00B064C9"/>
    <w:rsid w:val="00B06637"/>
    <w:rsid w:val="00B06A9E"/>
    <w:rsid w:val="00B06B7C"/>
    <w:rsid w:val="00B06CC7"/>
    <w:rsid w:val="00B06CE3"/>
    <w:rsid w:val="00B06F1C"/>
    <w:rsid w:val="00B07032"/>
    <w:rsid w:val="00B073AD"/>
    <w:rsid w:val="00B07620"/>
    <w:rsid w:val="00B079D0"/>
    <w:rsid w:val="00B07A81"/>
    <w:rsid w:val="00B07A87"/>
    <w:rsid w:val="00B07BD2"/>
    <w:rsid w:val="00B07CCA"/>
    <w:rsid w:val="00B07DB9"/>
    <w:rsid w:val="00B1052C"/>
    <w:rsid w:val="00B10746"/>
    <w:rsid w:val="00B1102E"/>
    <w:rsid w:val="00B111C2"/>
    <w:rsid w:val="00B115EA"/>
    <w:rsid w:val="00B118F4"/>
    <w:rsid w:val="00B11A71"/>
    <w:rsid w:val="00B11CE1"/>
    <w:rsid w:val="00B12528"/>
    <w:rsid w:val="00B1261F"/>
    <w:rsid w:val="00B12711"/>
    <w:rsid w:val="00B1314F"/>
    <w:rsid w:val="00B13326"/>
    <w:rsid w:val="00B1346D"/>
    <w:rsid w:val="00B134F7"/>
    <w:rsid w:val="00B144D5"/>
    <w:rsid w:val="00B147B8"/>
    <w:rsid w:val="00B148B1"/>
    <w:rsid w:val="00B14904"/>
    <w:rsid w:val="00B149A5"/>
    <w:rsid w:val="00B149C4"/>
    <w:rsid w:val="00B14A76"/>
    <w:rsid w:val="00B14B3F"/>
    <w:rsid w:val="00B14C32"/>
    <w:rsid w:val="00B14C86"/>
    <w:rsid w:val="00B14CD4"/>
    <w:rsid w:val="00B14EFA"/>
    <w:rsid w:val="00B1501B"/>
    <w:rsid w:val="00B151CF"/>
    <w:rsid w:val="00B15777"/>
    <w:rsid w:val="00B1577B"/>
    <w:rsid w:val="00B157E8"/>
    <w:rsid w:val="00B15D45"/>
    <w:rsid w:val="00B15D9B"/>
    <w:rsid w:val="00B15ECC"/>
    <w:rsid w:val="00B160E5"/>
    <w:rsid w:val="00B16389"/>
    <w:rsid w:val="00B165E6"/>
    <w:rsid w:val="00B1679A"/>
    <w:rsid w:val="00B16B26"/>
    <w:rsid w:val="00B17101"/>
    <w:rsid w:val="00B17109"/>
    <w:rsid w:val="00B171AA"/>
    <w:rsid w:val="00B17288"/>
    <w:rsid w:val="00B175B5"/>
    <w:rsid w:val="00B176AC"/>
    <w:rsid w:val="00B17A3F"/>
    <w:rsid w:val="00B17B71"/>
    <w:rsid w:val="00B17C3C"/>
    <w:rsid w:val="00B17FCD"/>
    <w:rsid w:val="00B2038E"/>
    <w:rsid w:val="00B203A3"/>
    <w:rsid w:val="00B20445"/>
    <w:rsid w:val="00B20546"/>
    <w:rsid w:val="00B20933"/>
    <w:rsid w:val="00B209C7"/>
    <w:rsid w:val="00B20AC0"/>
    <w:rsid w:val="00B20CC0"/>
    <w:rsid w:val="00B20D7E"/>
    <w:rsid w:val="00B2139E"/>
    <w:rsid w:val="00B213EC"/>
    <w:rsid w:val="00B216DB"/>
    <w:rsid w:val="00B21A7F"/>
    <w:rsid w:val="00B21AF0"/>
    <w:rsid w:val="00B21E97"/>
    <w:rsid w:val="00B21EC4"/>
    <w:rsid w:val="00B220D6"/>
    <w:rsid w:val="00B2283F"/>
    <w:rsid w:val="00B22B8F"/>
    <w:rsid w:val="00B22DC9"/>
    <w:rsid w:val="00B22F88"/>
    <w:rsid w:val="00B23237"/>
    <w:rsid w:val="00B23382"/>
    <w:rsid w:val="00B23754"/>
    <w:rsid w:val="00B23794"/>
    <w:rsid w:val="00B238B9"/>
    <w:rsid w:val="00B23B37"/>
    <w:rsid w:val="00B245D1"/>
    <w:rsid w:val="00B24731"/>
    <w:rsid w:val="00B247AD"/>
    <w:rsid w:val="00B247D8"/>
    <w:rsid w:val="00B25274"/>
    <w:rsid w:val="00B25A9F"/>
    <w:rsid w:val="00B25BC5"/>
    <w:rsid w:val="00B25D05"/>
    <w:rsid w:val="00B25D45"/>
    <w:rsid w:val="00B260E5"/>
    <w:rsid w:val="00B263A9"/>
    <w:rsid w:val="00B26496"/>
    <w:rsid w:val="00B2650A"/>
    <w:rsid w:val="00B26537"/>
    <w:rsid w:val="00B26622"/>
    <w:rsid w:val="00B26669"/>
    <w:rsid w:val="00B26702"/>
    <w:rsid w:val="00B26C6E"/>
    <w:rsid w:val="00B26DB1"/>
    <w:rsid w:val="00B276B4"/>
    <w:rsid w:val="00B2779E"/>
    <w:rsid w:val="00B27830"/>
    <w:rsid w:val="00B279AC"/>
    <w:rsid w:val="00B27AF5"/>
    <w:rsid w:val="00B301A4"/>
    <w:rsid w:val="00B30233"/>
    <w:rsid w:val="00B303F6"/>
    <w:rsid w:val="00B30743"/>
    <w:rsid w:val="00B307B7"/>
    <w:rsid w:val="00B30D61"/>
    <w:rsid w:val="00B3113D"/>
    <w:rsid w:val="00B312CF"/>
    <w:rsid w:val="00B3155B"/>
    <w:rsid w:val="00B319F7"/>
    <w:rsid w:val="00B31B10"/>
    <w:rsid w:val="00B31DD5"/>
    <w:rsid w:val="00B32309"/>
    <w:rsid w:val="00B3296D"/>
    <w:rsid w:val="00B32975"/>
    <w:rsid w:val="00B32A54"/>
    <w:rsid w:val="00B32CE6"/>
    <w:rsid w:val="00B32E32"/>
    <w:rsid w:val="00B3343D"/>
    <w:rsid w:val="00B3348F"/>
    <w:rsid w:val="00B33C09"/>
    <w:rsid w:val="00B33F31"/>
    <w:rsid w:val="00B34606"/>
    <w:rsid w:val="00B347C2"/>
    <w:rsid w:val="00B349D3"/>
    <w:rsid w:val="00B34BF5"/>
    <w:rsid w:val="00B35375"/>
    <w:rsid w:val="00B35587"/>
    <w:rsid w:val="00B35AE2"/>
    <w:rsid w:val="00B36011"/>
    <w:rsid w:val="00B36028"/>
    <w:rsid w:val="00B362D6"/>
    <w:rsid w:val="00B36366"/>
    <w:rsid w:val="00B365FA"/>
    <w:rsid w:val="00B36B28"/>
    <w:rsid w:val="00B36CCE"/>
    <w:rsid w:val="00B36E09"/>
    <w:rsid w:val="00B37203"/>
    <w:rsid w:val="00B373AD"/>
    <w:rsid w:val="00B37884"/>
    <w:rsid w:val="00B37A4E"/>
    <w:rsid w:val="00B37B0D"/>
    <w:rsid w:val="00B37D72"/>
    <w:rsid w:val="00B37EB5"/>
    <w:rsid w:val="00B37FDA"/>
    <w:rsid w:val="00B40000"/>
    <w:rsid w:val="00B40064"/>
    <w:rsid w:val="00B401BA"/>
    <w:rsid w:val="00B40203"/>
    <w:rsid w:val="00B40291"/>
    <w:rsid w:val="00B403BE"/>
    <w:rsid w:val="00B408AF"/>
    <w:rsid w:val="00B40914"/>
    <w:rsid w:val="00B409D9"/>
    <w:rsid w:val="00B41132"/>
    <w:rsid w:val="00B411DB"/>
    <w:rsid w:val="00B4140C"/>
    <w:rsid w:val="00B41516"/>
    <w:rsid w:val="00B41D64"/>
    <w:rsid w:val="00B41F40"/>
    <w:rsid w:val="00B4203A"/>
    <w:rsid w:val="00B426A9"/>
    <w:rsid w:val="00B426DD"/>
    <w:rsid w:val="00B4295F"/>
    <w:rsid w:val="00B42CBB"/>
    <w:rsid w:val="00B43059"/>
    <w:rsid w:val="00B431E0"/>
    <w:rsid w:val="00B43A05"/>
    <w:rsid w:val="00B43CE2"/>
    <w:rsid w:val="00B43D51"/>
    <w:rsid w:val="00B43D9C"/>
    <w:rsid w:val="00B43FE0"/>
    <w:rsid w:val="00B44073"/>
    <w:rsid w:val="00B4422C"/>
    <w:rsid w:val="00B44431"/>
    <w:rsid w:val="00B44BD1"/>
    <w:rsid w:val="00B44C88"/>
    <w:rsid w:val="00B44D32"/>
    <w:rsid w:val="00B45172"/>
    <w:rsid w:val="00B4526B"/>
    <w:rsid w:val="00B45330"/>
    <w:rsid w:val="00B455BE"/>
    <w:rsid w:val="00B455C1"/>
    <w:rsid w:val="00B46742"/>
    <w:rsid w:val="00B46ED5"/>
    <w:rsid w:val="00B47468"/>
    <w:rsid w:val="00B4761C"/>
    <w:rsid w:val="00B47DAB"/>
    <w:rsid w:val="00B50170"/>
    <w:rsid w:val="00B5069B"/>
    <w:rsid w:val="00B507FA"/>
    <w:rsid w:val="00B50A44"/>
    <w:rsid w:val="00B514A4"/>
    <w:rsid w:val="00B514C1"/>
    <w:rsid w:val="00B51BF9"/>
    <w:rsid w:val="00B5248C"/>
    <w:rsid w:val="00B52578"/>
    <w:rsid w:val="00B52647"/>
    <w:rsid w:val="00B52905"/>
    <w:rsid w:val="00B529F8"/>
    <w:rsid w:val="00B52AE4"/>
    <w:rsid w:val="00B52FD0"/>
    <w:rsid w:val="00B5334D"/>
    <w:rsid w:val="00B53712"/>
    <w:rsid w:val="00B53928"/>
    <w:rsid w:val="00B54A46"/>
    <w:rsid w:val="00B54D03"/>
    <w:rsid w:val="00B5504D"/>
    <w:rsid w:val="00B55524"/>
    <w:rsid w:val="00B556FB"/>
    <w:rsid w:val="00B55755"/>
    <w:rsid w:val="00B55927"/>
    <w:rsid w:val="00B55955"/>
    <w:rsid w:val="00B559C9"/>
    <w:rsid w:val="00B55BC9"/>
    <w:rsid w:val="00B56072"/>
    <w:rsid w:val="00B5691B"/>
    <w:rsid w:val="00B56B0B"/>
    <w:rsid w:val="00B56E0D"/>
    <w:rsid w:val="00B56E4C"/>
    <w:rsid w:val="00B56E82"/>
    <w:rsid w:val="00B5704A"/>
    <w:rsid w:val="00B575BF"/>
    <w:rsid w:val="00B57823"/>
    <w:rsid w:val="00B5790B"/>
    <w:rsid w:val="00B57E1D"/>
    <w:rsid w:val="00B57E73"/>
    <w:rsid w:val="00B6024B"/>
    <w:rsid w:val="00B60766"/>
    <w:rsid w:val="00B607BD"/>
    <w:rsid w:val="00B60BBD"/>
    <w:rsid w:val="00B6110B"/>
    <w:rsid w:val="00B612EA"/>
    <w:rsid w:val="00B614B2"/>
    <w:rsid w:val="00B618DA"/>
    <w:rsid w:val="00B61B0A"/>
    <w:rsid w:val="00B61C66"/>
    <w:rsid w:val="00B61EBE"/>
    <w:rsid w:val="00B622D8"/>
    <w:rsid w:val="00B6244F"/>
    <w:rsid w:val="00B62604"/>
    <w:rsid w:val="00B62AE5"/>
    <w:rsid w:val="00B62DF2"/>
    <w:rsid w:val="00B62EC4"/>
    <w:rsid w:val="00B6324B"/>
    <w:rsid w:val="00B63524"/>
    <w:rsid w:val="00B63552"/>
    <w:rsid w:val="00B637EE"/>
    <w:rsid w:val="00B644D9"/>
    <w:rsid w:val="00B64745"/>
    <w:rsid w:val="00B649F7"/>
    <w:rsid w:val="00B64A00"/>
    <w:rsid w:val="00B64DC8"/>
    <w:rsid w:val="00B65444"/>
    <w:rsid w:val="00B65C1F"/>
    <w:rsid w:val="00B65E43"/>
    <w:rsid w:val="00B65EEF"/>
    <w:rsid w:val="00B66948"/>
    <w:rsid w:val="00B66A2C"/>
    <w:rsid w:val="00B66A87"/>
    <w:rsid w:val="00B67290"/>
    <w:rsid w:val="00B672A4"/>
    <w:rsid w:val="00B672DB"/>
    <w:rsid w:val="00B6777E"/>
    <w:rsid w:val="00B679B2"/>
    <w:rsid w:val="00B67A78"/>
    <w:rsid w:val="00B67CA3"/>
    <w:rsid w:val="00B700B5"/>
    <w:rsid w:val="00B70269"/>
    <w:rsid w:val="00B70803"/>
    <w:rsid w:val="00B70E88"/>
    <w:rsid w:val="00B70E89"/>
    <w:rsid w:val="00B7128C"/>
    <w:rsid w:val="00B712D0"/>
    <w:rsid w:val="00B7131E"/>
    <w:rsid w:val="00B71386"/>
    <w:rsid w:val="00B7140E"/>
    <w:rsid w:val="00B715F4"/>
    <w:rsid w:val="00B71D53"/>
    <w:rsid w:val="00B72382"/>
    <w:rsid w:val="00B72604"/>
    <w:rsid w:val="00B72915"/>
    <w:rsid w:val="00B72C48"/>
    <w:rsid w:val="00B7300D"/>
    <w:rsid w:val="00B73208"/>
    <w:rsid w:val="00B73B63"/>
    <w:rsid w:val="00B73F16"/>
    <w:rsid w:val="00B745AC"/>
    <w:rsid w:val="00B7473C"/>
    <w:rsid w:val="00B747E8"/>
    <w:rsid w:val="00B7485C"/>
    <w:rsid w:val="00B74D68"/>
    <w:rsid w:val="00B74ED1"/>
    <w:rsid w:val="00B75060"/>
    <w:rsid w:val="00B7517D"/>
    <w:rsid w:val="00B757E5"/>
    <w:rsid w:val="00B758F2"/>
    <w:rsid w:val="00B75B0F"/>
    <w:rsid w:val="00B75D4E"/>
    <w:rsid w:val="00B76017"/>
    <w:rsid w:val="00B7688A"/>
    <w:rsid w:val="00B76907"/>
    <w:rsid w:val="00B76A81"/>
    <w:rsid w:val="00B76C93"/>
    <w:rsid w:val="00B77264"/>
    <w:rsid w:val="00B772B7"/>
    <w:rsid w:val="00B77833"/>
    <w:rsid w:val="00B77D51"/>
    <w:rsid w:val="00B77E61"/>
    <w:rsid w:val="00B77FBC"/>
    <w:rsid w:val="00B8006C"/>
    <w:rsid w:val="00B800AA"/>
    <w:rsid w:val="00B8015C"/>
    <w:rsid w:val="00B80224"/>
    <w:rsid w:val="00B8039F"/>
    <w:rsid w:val="00B80625"/>
    <w:rsid w:val="00B80679"/>
    <w:rsid w:val="00B8072E"/>
    <w:rsid w:val="00B808E0"/>
    <w:rsid w:val="00B809D6"/>
    <w:rsid w:val="00B809DB"/>
    <w:rsid w:val="00B81630"/>
    <w:rsid w:val="00B816E9"/>
    <w:rsid w:val="00B81C23"/>
    <w:rsid w:val="00B81D77"/>
    <w:rsid w:val="00B81F38"/>
    <w:rsid w:val="00B82007"/>
    <w:rsid w:val="00B82014"/>
    <w:rsid w:val="00B8270D"/>
    <w:rsid w:val="00B828BF"/>
    <w:rsid w:val="00B82ACA"/>
    <w:rsid w:val="00B82B44"/>
    <w:rsid w:val="00B82E0C"/>
    <w:rsid w:val="00B833EF"/>
    <w:rsid w:val="00B83A86"/>
    <w:rsid w:val="00B83B62"/>
    <w:rsid w:val="00B845CD"/>
    <w:rsid w:val="00B847D3"/>
    <w:rsid w:val="00B84E41"/>
    <w:rsid w:val="00B84EAF"/>
    <w:rsid w:val="00B85054"/>
    <w:rsid w:val="00B85202"/>
    <w:rsid w:val="00B8535F"/>
    <w:rsid w:val="00B858B7"/>
    <w:rsid w:val="00B85F28"/>
    <w:rsid w:val="00B85FED"/>
    <w:rsid w:val="00B8600A"/>
    <w:rsid w:val="00B860B5"/>
    <w:rsid w:val="00B861CD"/>
    <w:rsid w:val="00B866CC"/>
    <w:rsid w:val="00B8705F"/>
    <w:rsid w:val="00B87345"/>
    <w:rsid w:val="00B878CD"/>
    <w:rsid w:val="00B902A8"/>
    <w:rsid w:val="00B90316"/>
    <w:rsid w:val="00B9043B"/>
    <w:rsid w:val="00B90B30"/>
    <w:rsid w:val="00B9100B"/>
    <w:rsid w:val="00B91359"/>
    <w:rsid w:val="00B91360"/>
    <w:rsid w:val="00B91495"/>
    <w:rsid w:val="00B91798"/>
    <w:rsid w:val="00B91987"/>
    <w:rsid w:val="00B91CB1"/>
    <w:rsid w:val="00B92181"/>
    <w:rsid w:val="00B92262"/>
    <w:rsid w:val="00B9240D"/>
    <w:rsid w:val="00B9249B"/>
    <w:rsid w:val="00B925F3"/>
    <w:rsid w:val="00B92A4E"/>
    <w:rsid w:val="00B92BC7"/>
    <w:rsid w:val="00B930DA"/>
    <w:rsid w:val="00B9340D"/>
    <w:rsid w:val="00B93B79"/>
    <w:rsid w:val="00B93EFB"/>
    <w:rsid w:val="00B94378"/>
    <w:rsid w:val="00B94611"/>
    <w:rsid w:val="00B947EB"/>
    <w:rsid w:val="00B9536C"/>
    <w:rsid w:val="00B95C49"/>
    <w:rsid w:val="00B95D3B"/>
    <w:rsid w:val="00B96315"/>
    <w:rsid w:val="00B9652A"/>
    <w:rsid w:val="00B96703"/>
    <w:rsid w:val="00B9671C"/>
    <w:rsid w:val="00B96B1D"/>
    <w:rsid w:val="00B96F4C"/>
    <w:rsid w:val="00B96FA9"/>
    <w:rsid w:val="00B9756D"/>
    <w:rsid w:val="00B975A7"/>
    <w:rsid w:val="00B97792"/>
    <w:rsid w:val="00B979E7"/>
    <w:rsid w:val="00B97C5B"/>
    <w:rsid w:val="00BA023B"/>
    <w:rsid w:val="00BA0361"/>
    <w:rsid w:val="00BA044C"/>
    <w:rsid w:val="00BA0CC7"/>
    <w:rsid w:val="00BA0D2A"/>
    <w:rsid w:val="00BA1F7D"/>
    <w:rsid w:val="00BA1FFB"/>
    <w:rsid w:val="00BA2B3F"/>
    <w:rsid w:val="00BA2BD6"/>
    <w:rsid w:val="00BA2CD2"/>
    <w:rsid w:val="00BA34EC"/>
    <w:rsid w:val="00BA3A48"/>
    <w:rsid w:val="00BA3A6A"/>
    <w:rsid w:val="00BA3CD1"/>
    <w:rsid w:val="00BA462B"/>
    <w:rsid w:val="00BA4845"/>
    <w:rsid w:val="00BA48CE"/>
    <w:rsid w:val="00BA4C03"/>
    <w:rsid w:val="00BA4CCE"/>
    <w:rsid w:val="00BA4DA2"/>
    <w:rsid w:val="00BA4E45"/>
    <w:rsid w:val="00BA4EE5"/>
    <w:rsid w:val="00BA502C"/>
    <w:rsid w:val="00BA50B5"/>
    <w:rsid w:val="00BA5220"/>
    <w:rsid w:val="00BA560C"/>
    <w:rsid w:val="00BA59FB"/>
    <w:rsid w:val="00BA5C08"/>
    <w:rsid w:val="00BA5D83"/>
    <w:rsid w:val="00BA5EC4"/>
    <w:rsid w:val="00BA5F22"/>
    <w:rsid w:val="00BA5F2F"/>
    <w:rsid w:val="00BA621A"/>
    <w:rsid w:val="00BA637B"/>
    <w:rsid w:val="00BA6427"/>
    <w:rsid w:val="00BA69F5"/>
    <w:rsid w:val="00BA6D3E"/>
    <w:rsid w:val="00BA7034"/>
    <w:rsid w:val="00BA7099"/>
    <w:rsid w:val="00BA75A6"/>
    <w:rsid w:val="00BA77B9"/>
    <w:rsid w:val="00BA77CF"/>
    <w:rsid w:val="00BA78B6"/>
    <w:rsid w:val="00BA7C5E"/>
    <w:rsid w:val="00BB013E"/>
    <w:rsid w:val="00BB01A6"/>
    <w:rsid w:val="00BB0D2F"/>
    <w:rsid w:val="00BB0DEE"/>
    <w:rsid w:val="00BB1142"/>
    <w:rsid w:val="00BB141F"/>
    <w:rsid w:val="00BB14A3"/>
    <w:rsid w:val="00BB1A4A"/>
    <w:rsid w:val="00BB1DD3"/>
    <w:rsid w:val="00BB2860"/>
    <w:rsid w:val="00BB294F"/>
    <w:rsid w:val="00BB29C1"/>
    <w:rsid w:val="00BB2A10"/>
    <w:rsid w:val="00BB2D54"/>
    <w:rsid w:val="00BB344B"/>
    <w:rsid w:val="00BB36F4"/>
    <w:rsid w:val="00BB37CC"/>
    <w:rsid w:val="00BB382B"/>
    <w:rsid w:val="00BB4517"/>
    <w:rsid w:val="00BB47A4"/>
    <w:rsid w:val="00BB47E1"/>
    <w:rsid w:val="00BB4B4B"/>
    <w:rsid w:val="00BB4BCD"/>
    <w:rsid w:val="00BB4F91"/>
    <w:rsid w:val="00BB52A3"/>
    <w:rsid w:val="00BB531E"/>
    <w:rsid w:val="00BB5403"/>
    <w:rsid w:val="00BB5847"/>
    <w:rsid w:val="00BB5E91"/>
    <w:rsid w:val="00BB6414"/>
    <w:rsid w:val="00BB6830"/>
    <w:rsid w:val="00BB6970"/>
    <w:rsid w:val="00BB6C87"/>
    <w:rsid w:val="00BB6D92"/>
    <w:rsid w:val="00BB6F21"/>
    <w:rsid w:val="00BB70F0"/>
    <w:rsid w:val="00BB74F5"/>
    <w:rsid w:val="00BB7581"/>
    <w:rsid w:val="00BB7922"/>
    <w:rsid w:val="00BB7A76"/>
    <w:rsid w:val="00BB7A85"/>
    <w:rsid w:val="00BB7CBC"/>
    <w:rsid w:val="00BB7D5A"/>
    <w:rsid w:val="00BC00B4"/>
    <w:rsid w:val="00BC015C"/>
    <w:rsid w:val="00BC056E"/>
    <w:rsid w:val="00BC0942"/>
    <w:rsid w:val="00BC0959"/>
    <w:rsid w:val="00BC1333"/>
    <w:rsid w:val="00BC154D"/>
    <w:rsid w:val="00BC15DE"/>
    <w:rsid w:val="00BC17C8"/>
    <w:rsid w:val="00BC1DD1"/>
    <w:rsid w:val="00BC1E54"/>
    <w:rsid w:val="00BC22E5"/>
    <w:rsid w:val="00BC2461"/>
    <w:rsid w:val="00BC2953"/>
    <w:rsid w:val="00BC296D"/>
    <w:rsid w:val="00BC2D44"/>
    <w:rsid w:val="00BC2D55"/>
    <w:rsid w:val="00BC2EBA"/>
    <w:rsid w:val="00BC300E"/>
    <w:rsid w:val="00BC369C"/>
    <w:rsid w:val="00BC3935"/>
    <w:rsid w:val="00BC39DA"/>
    <w:rsid w:val="00BC3A3D"/>
    <w:rsid w:val="00BC48A4"/>
    <w:rsid w:val="00BC4972"/>
    <w:rsid w:val="00BC4EB0"/>
    <w:rsid w:val="00BC4F90"/>
    <w:rsid w:val="00BC5030"/>
    <w:rsid w:val="00BC5294"/>
    <w:rsid w:val="00BC539F"/>
    <w:rsid w:val="00BC5732"/>
    <w:rsid w:val="00BC589B"/>
    <w:rsid w:val="00BC58CF"/>
    <w:rsid w:val="00BC5ECD"/>
    <w:rsid w:val="00BC67F5"/>
    <w:rsid w:val="00BC6897"/>
    <w:rsid w:val="00BC6A54"/>
    <w:rsid w:val="00BC6F06"/>
    <w:rsid w:val="00BC7113"/>
    <w:rsid w:val="00BC76C3"/>
    <w:rsid w:val="00BC77F3"/>
    <w:rsid w:val="00BC7933"/>
    <w:rsid w:val="00BC79C8"/>
    <w:rsid w:val="00BC7C3C"/>
    <w:rsid w:val="00BC7D78"/>
    <w:rsid w:val="00BD0AB3"/>
    <w:rsid w:val="00BD10A5"/>
    <w:rsid w:val="00BD136E"/>
    <w:rsid w:val="00BD1412"/>
    <w:rsid w:val="00BD1B8D"/>
    <w:rsid w:val="00BD1C9D"/>
    <w:rsid w:val="00BD1FD4"/>
    <w:rsid w:val="00BD2414"/>
    <w:rsid w:val="00BD2858"/>
    <w:rsid w:val="00BD28BE"/>
    <w:rsid w:val="00BD2BE0"/>
    <w:rsid w:val="00BD2C75"/>
    <w:rsid w:val="00BD2CCF"/>
    <w:rsid w:val="00BD2DAF"/>
    <w:rsid w:val="00BD2E3F"/>
    <w:rsid w:val="00BD3129"/>
    <w:rsid w:val="00BD33D4"/>
    <w:rsid w:val="00BD3775"/>
    <w:rsid w:val="00BD3804"/>
    <w:rsid w:val="00BD3D09"/>
    <w:rsid w:val="00BD3F62"/>
    <w:rsid w:val="00BD3F96"/>
    <w:rsid w:val="00BD40B1"/>
    <w:rsid w:val="00BD410D"/>
    <w:rsid w:val="00BD4435"/>
    <w:rsid w:val="00BD4449"/>
    <w:rsid w:val="00BD4747"/>
    <w:rsid w:val="00BD479E"/>
    <w:rsid w:val="00BD4899"/>
    <w:rsid w:val="00BD4934"/>
    <w:rsid w:val="00BD4D47"/>
    <w:rsid w:val="00BD51F6"/>
    <w:rsid w:val="00BD52FB"/>
    <w:rsid w:val="00BD53E3"/>
    <w:rsid w:val="00BD5631"/>
    <w:rsid w:val="00BD5A27"/>
    <w:rsid w:val="00BD5A4D"/>
    <w:rsid w:val="00BD5C7A"/>
    <w:rsid w:val="00BD5CC8"/>
    <w:rsid w:val="00BD60AE"/>
    <w:rsid w:val="00BD6274"/>
    <w:rsid w:val="00BD6298"/>
    <w:rsid w:val="00BD62BE"/>
    <w:rsid w:val="00BD63F5"/>
    <w:rsid w:val="00BD65D9"/>
    <w:rsid w:val="00BD6617"/>
    <w:rsid w:val="00BD6724"/>
    <w:rsid w:val="00BD6ACD"/>
    <w:rsid w:val="00BD6CEF"/>
    <w:rsid w:val="00BD7948"/>
    <w:rsid w:val="00BD7CBA"/>
    <w:rsid w:val="00BD7DA5"/>
    <w:rsid w:val="00BD7DC7"/>
    <w:rsid w:val="00BE01D2"/>
    <w:rsid w:val="00BE094B"/>
    <w:rsid w:val="00BE0F01"/>
    <w:rsid w:val="00BE1292"/>
    <w:rsid w:val="00BE139D"/>
    <w:rsid w:val="00BE14E6"/>
    <w:rsid w:val="00BE1AC4"/>
    <w:rsid w:val="00BE1B27"/>
    <w:rsid w:val="00BE2165"/>
    <w:rsid w:val="00BE2388"/>
    <w:rsid w:val="00BE23A1"/>
    <w:rsid w:val="00BE23D0"/>
    <w:rsid w:val="00BE2BEE"/>
    <w:rsid w:val="00BE2C93"/>
    <w:rsid w:val="00BE2EC1"/>
    <w:rsid w:val="00BE30DB"/>
    <w:rsid w:val="00BE36AA"/>
    <w:rsid w:val="00BE375E"/>
    <w:rsid w:val="00BE4022"/>
    <w:rsid w:val="00BE457B"/>
    <w:rsid w:val="00BE47BF"/>
    <w:rsid w:val="00BE495B"/>
    <w:rsid w:val="00BE4CBD"/>
    <w:rsid w:val="00BE4F3B"/>
    <w:rsid w:val="00BE50FE"/>
    <w:rsid w:val="00BE5374"/>
    <w:rsid w:val="00BE5794"/>
    <w:rsid w:val="00BE5A41"/>
    <w:rsid w:val="00BE6148"/>
    <w:rsid w:val="00BE6221"/>
    <w:rsid w:val="00BE627A"/>
    <w:rsid w:val="00BE62F5"/>
    <w:rsid w:val="00BE6684"/>
    <w:rsid w:val="00BE68E6"/>
    <w:rsid w:val="00BE697F"/>
    <w:rsid w:val="00BE69D5"/>
    <w:rsid w:val="00BE6CBA"/>
    <w:rsid w:val="00BE6CE8"/>
    <w:rsid w:val="00BE6F47"/>
    <w:rsid w:val="00BE7046"/>
    <w:rsid w:val="00BE72D6"/>
    <w:rsid w:val="00BE74D5"/>
    <w:rsid w:val="00BE75DC"/>
    <w:rsid w:val="00BE76A8"/>
    <w:rsid w:val="00BE78C6"/>
    <w:rsid w:val="00BE7BF6"/>
    <w:rsid w:val="00BF05FC"/>
    <w:rsid w:val="00BF0BB1"/>
    <w:rsid w:val="00BF154C"/>
    <w:rsid w:val="00BF1A45"/>
    <w:rsid w:val="00BF242F"/>
    <w:rsid w:val="00BF28AD"/>
    <w:rsid w:val="00BF2B30"/>
    <w:rsid w:val="00BF2EA3"/>
    <w:rsid w:val="00BF329B"/>
    <w:rsid w:val="00BF3504"/>
    <w:rsid w:val="00BF3672"/>
    <w:rsid w:val="00BF3990"/>
    <w:rsid w:val="00BF3AF3"/>
    <w:rsid w:val="00BF3CC7"/>
    <w:rsid w:val="00BF3EEC"/>
    <w:rsid w:val="00BF3EFC"/>
    <w:rsid w:val="00BF4383"/>
    <w:rsid w:val="00BF43F2"/>
    <w:rsid w:val="00BF459D"/>
    <w:rsid w:val="00BF4D89"/>
    <w:rsid w:val="00BF4E5F"/>
    <w:rsid w:val="00BF4F5D"/>
    <w:rsid w:val="00BF5906"/>
    <w:rsid w:val="00BF5F0A"/>
    <w:rsid w:val="00BF6123"/>
    <w:rsid w:val="00BF63F1"/>
    <w:rsid w:val="00BF6538"/>
    <w:rsid w:val="00BF6D50"/>
    <w:rsid w:val="00BF6ECC"/>
    <w:rsid w:val="00BF70D8"/>
    <w:rsid w:val="00BF749B"/>
    <w:rsid w:val="00BF76B4"/>
    <w:rsid w:val="00BF7753"/>
    <w:rsid w:val="00BF7A72"/>
    <w:rsid w:val="00BF7C08"/>
    <w:rsid w:val="00BF7C54"/>
    <w:rsid w:val="00BF7F69"/>
    <w:rsid w:val="00C00082"/>
    <w:rsid w:val="00C00143"/>
    <w:rsid w:val="00C00158"/>
    <w:rsid w:val="00C001AF"/>
    <w:rsid w:val="00C00590"/>
    <w:rsid w:val="00C00865"/>
    <w:rsid w:val="00C00BB9"/>
    <w:rsid w:val="00C00ECE"/>
    <w:rsid w:val="00C0104A"/>
    <w:rsid w:val="00C01066"/>
    <w:rsid w:val="00C01285"/>
    <w:rsid w:val="00C016F3"/>
    <w:rsid w:val="00C01709"/>
    <w:rsid w:val="00C01A38"/>
    <w:rsid w:val="00C01B71"/>
    <w:rsid w:val="00C01CEC"/>
    <w:rsid w:val="00C01D5F"/>
    <w:rsid w:val="00C01E2B"/>
    <w:rsid w:val="00C0228F"/>
    <w:rsid w:val="00C0243A"/>
    <w:rsid w:val="00C02478"/>
    <w:rsid w:val="00C02503"/>
    <w:rsid w:val="00C027CD"/>
    <w:rsid w:val="00C0298D"/>
    <w:rsid w:val="00C0340B"/>
    <w:rsid w:val="00C0345A"/>
    <w:rsid w:val="00C03511"/>
    <w:rsid w:val="00C03D79"/>
    <w:rsid w:val="00C03E07"/>
    <w:rsid w:val="00C03E44"/>
    <w:rsid w:val="00C043C7"/>
    <w:rsid w:val="00C044FC"/>
    <w:rsid w:val="00C047ED"/>
    <w:rsid w:val="00C04C3A"/>
    <w:rsid w:val="00C04C52"/>
    <w:rsid w:val="00C04DBC"/>
    <w:rsid w:val="00C051E5"/>
    <w:rsid w:val="00C052D8"/>
    <w:rsid w:val="00C05700"/>
    <w:rsid w:val="00C058CA"/>
    <w:rsid w:val="00C05BE0"/>
    <w:rsid w:val="00C0622E"/>
    <w:rsid w:val="00C0673C"/>
    <w:rsid w:val="00C067AD"/>
    <w:rsid w:val="00C0683C"/>
    <w:rsid w:val="00C07066"/>
    <w:rsid w:val="00C0706E"/>
    <w:rsid w:val="00C0711F"/>
    <w:rsid w:val="00C0749A"/>
    <w:rsid w:val="00C074CD"/>
    <w:rsid w:val="00C075A7"/>
    <w:rsid w:val="00C0787D"/>
    <w:rsid w:val="00C078A7"/>
    <w:rsid w:val="00C079C3"/>
    <w:rsid w:val="00C107C3"/>
    <w:rsid w:val="00C107E8"/>
    <w:rsid w:val="00C1103B"/>
    <w:rsid w:val="00C11111"/>
    <w:rsid w:val="00C111A3"/>
    <w:rsid w:val="00C112CA"/>
    <w:rsid w:val="00C12147"/>
    <w:rsid w:val="00C127C7"/>
    <w:rsid w:val="00C127DA"/>
    <w:rsid w:val="00C12951"/>
    <w:rsid w:val="00C12ED1"/>
    <w:rsid w:val="00C1321A"/>
    <w:rsid w:val="00C13520"/>
    <w:rsid w:val="00C13ABE"/>
    <w:rsid w:val="00C13D71"/>
    <w:rsid w:val="00C13EB4"/>
    <w:rsid w:val="00C13F86"/>
    <w:rsid w:val="00C14116"/>
    <w:rsid w:val="00C1484D"/>
    <w:rsid w:val="00C14895"/>
    <w:rsid w:val="00C148A6"/>
    <w:rsid w:val="00C14BCE"/>
    <w:rsid w:val="00C14F9B"/>
    <w:rsid w:val="00C14FAB"/>
    <w:rsid w:val="00C152D5"/>
    <w:rsid w:val="00C155F0"/>
    <w:rsid w:val="00C15F42"/>
    <w:rsid w:val="00C1610B"/>
    <w:rsid w:val="00C1611D"/>
    <w:rsid w:val="00C162FB"/>
    <w:rsid w:val="00C16680"/>
    <w:rsid w:val="00C168EC"/>
    <w:rsid w:val="00C16B20"/>
    <w:rsid w:val="00C16C9A"/>
    <w:rsid w:val="00C16E92"/>
    <w:rsid w:val="00C16F2F"/>
    <w:rsid w:val="00C17437"/>
    <w:rsid w:val="00C17518"/>
    <w:rsid w:val="00C175E4"/>
    <w:rsid w:val="00C17866"/>
    <w:rsid w:val="00C17960"/>
    <w:rsid w:val="00C17BAB"/>
    <w:rsid w:val="00C17E90"/>
    <w:rsid w:val="00C21076"/>
    <w:rsid w:val="00C211B3"/>
    <w:rsid w:val="00C215A9"/>
    <w:rsid w:val="00C21854"/>
    <w:rsid w:val="00C21D40"/>
    <w:rsid w:val="00C22237"/>
    <w:rsid w:val="00C227CB"/>
    <w:rsid w:val="00C228AD"/>
    <w:rsid w:val="00C229D0"/>
    <w:rsid w:val="00C232E0"/>
    <w:rsid w:val="00C23392"/>
    <w:rsid w:val="00C234DA"/>
    <w:rsid w:val="00C23AB2"/>
    <w:rsid w:val="00C23D0D"/>
    <w:rsid w:val="00C23D30"/>
    <w:rsid w:val="00C23D4E"/>
    <w:rsid w:val="00C23E31"/>
    <w:rsid w:val="00C24099"/>
    <w:rsid w:val="00C2416B"/>
    <w:rsid w:val="00C246D1"/>
    <w:rsid w:val="00C2494D"/>
    <w:rsid w:val="00C24AC4"/>
    <w:rsid w:val="00C24B5E"/>
    <w:rsid w:val="00C24CB3"/>
    <w:rsid w:val="00C24F1E"/>
    <w:rsid w:val="00C24F25"/>
    <w:rsid w:val="00C2506F"/>
    <w:rsid w:val="00C2534F"/>
    <w:rsid w:val="00C25752"/>
    <w:rsid w:val="00C25C09"/>
    <w:rsid w:val="00C25C92"/>
    <w:rsid w:val="00C25CA4"/>
    <w:rsid w:val="00C2607D"/>
    <w:rsid w:val="00C261AF"/>
    <w:rsid w:val="00C2644F"/>
    <w:rsid w:val="00C26515"/>
    <w:rsid w:val="00C26C5B"/>
    <w:rsid w:val="00C27316"/>
    <w:rsid w:val="00C2732C"/>
    <w:rsid w:val="00C2744A"/>
    <w:rsid w:val="00C2781B"/>
    <w:rsid w:val="00C27880"/>
    <w:rsid w:val="00C279EB"/>
    <w:rsid w:val="00C27A53"/>
    <w:rsid w:val="00C27E4D"/>
    <w:rsid w:val="00C28AAD"/>
    <w:rsid w:val="00C30058"/>
    <w:rsid w:val="00C304CF"/>
    <w:rsid w:val="00C305A3"/>
    <w:rsid w:val="00C3068D"/>
    <w:rsid w:val="00C3070D"/>
    <w:rsid w:val="00C30717"/>
    <w:rsid w:val="00C3093E"/>
    <w:rsid w:val="00C30A7A"/>
    <w:rsid w:val="00C30B55"/>
    <w:rsid w:val="00C30B97"/>
    <w:rsid w:val="00C30DB8"/>
    <w:rsid w:val="00C30E61"/>
    <w:rsid w:val="00C30F28"/>
    <w:rsid w:val="00C315E8"/>
    <w:rsid w:val="00C316D1"/>
    <w:rsid w:val="00C317A2"/>
    <w:rsid w:val="00C31984"/>
    <w:rsid w:val="00C32090"/>
    <w:rsid w:val="00C32302"/>
    <w:rsid w:val="00C32F2E"/>
    <w:rsid w:val="00C32F3F"/>
    <w:rsid w:val="00C32FDD"/>
    <w:rsid w:val="00C33387"/>
    <w:rsid w:val="00C33846"/>
    <w:rsid w:val="00C339EC"/>
    <w:rsid w:val="00C3422C"/>
    <w:rsid w:val="00C3435D"/>
    <w:rsid w:val="00C343FC"/>
    <w:rsid w:val="00C34A68"/>
    <w:rsid w:val="00C34C55"/>
    <w:rsid w:val="00C34E9C"/>
    <w:rsid w:val="00C34ECB"/>
    <w:rsid w:val="00C351EA"/>
    <w:rsid w:val="00C35328"/>
    <w:rsid w:val="00C354F0"/>
    <w:rsid w:val="00C355B6"/>
    <w:rsid w:val="00C355FA"/>
    <w:rsid w:val="00C35604"/>
    <w:rsid w:val="00C3599B"/>
    <w:rsid w:val="00C35A9D"/>
    <w:rsid w:val="00C36129"/>
    <w:rsid w:val="00C362CD"/>
    <w:rsid w:val="00C3651F"/>
    <w:rsid w:val="00C36633"/>
    <w:rsid w:val="00C36B63"/>
    <w:rsid w:val="00C36E41"/>
    <w:rsid w:val="00C36E9D"/>
    <w:rsid w:val="00C37A69"/>
    <w:rsid w:val="00C37C41"/>
    <w:rsid w:val="00C37C86"/>
    <w:rsid w:val="00C40104"/>
    <w:rsid w:val="00C4029C"/>
    <w:rsid w:val="00C4040E"/>
    <w:rsid w:val="00C40665"/>
    <w:rsid w:val="00C40BBE"/>
    <w:rsid w:val="00C41274"/>
    <w:rsid w:val="00C412B1"/>
    <w:rsid w:val="00C41541"/>
    <w:rsid w:val="00C415F6"/>
    <w:rsid w:val="00C417EB"/>
    <w:rsid w:val="00C418AB"/>
    <w:rsid w:val="00C41A64"/>
    <w:rsid w:val="00C41D5B"/>
    <w:rsid w:val="00C42791"/>
    <w:rsid w:val="00C42ADC"/>
    <w:rsid w:val="00C42DC0"/>
    <w:rsid w:val="00C42FFE"/>
    <w:rsid w:val="00C430D2"/>
    <w:rsid w:val="00C430E2"/>
    <w:rsid w:val="00C4323D"/>
    <w:rsid w:val="00C4360D"/>
    <w:rsid w:val="00C43668"/>
    <w:rsid w:val="00C4369D"/>
    <w:rsid w:val="00C436CF"/>
    <w:rsid w:val="00C43BCE"/>
    <w:rsid w:val="00C43CD2"/>
    <w:rsid w:val="00C43D71"/>
    <w:rsid w:val="00C43DDA"/>
    <w:rsid w:val="00C4428B"/>
    <w:rsid w:val="00C4436C"/>
    <w:rsid w:val="00C44683"/>
    <w:rsid w:val="00C448EB"/>
    <w:rsid w:val="00C449F3"/>
    <w:rsid w:val="00C44A0C"/>
    <w:rsid w:val="00C44AAF"/>
    <w:rsid w:val="00C44DBA"/>
    <w:rsid w:val="00C45098"/>
    <w:rsid w:val="00C45258"/>
    <w:rsid w:val="00C454CF"/>
    <w:rsid w:val="00C45566"/>
    <w:rsid w:val="00C45B32"/>
    <w:rsid w:val="00C45B80"/>
    <w:rsid w:val="00C461B2"/>
    <w:rsid w:val="00C46456"/>
    <w:rsid w:val="00C4650E"/>
    <w:rsid w:val="00C469D8"/>
    <w:rsid w:val="00C46A38"/>
    <w:rsid w:val="00C46DCB"/>
    <w:rsid w:val="00C46E63"/>
    <w:rsid w:val="00C46E70"/>
    <w:rsid w:val="00C470BA"/>
    <w:rsid w:val="00C4714A"/>
    <w:rsid w:val="00C475BC"/>
    <w:rsid w:val="00C4783B"/>
    <w:rsid w:val="00C47991"/>
    <w:rsid w:val="00C479A6"/>
    <w:rsid w:val="00C47A73"/>
    <w:rsid w:val="00C47C5D"/>
    <w:rsid w:val="00C47C8E"/>
    <w:rsid w:val="00C47D53"/>
    <w:rsid w:val="00C47EB8"/>
    <w:rsid w:val="00C50505"/>
    <w:rsid w:val="00C50E42"/>
    <w:rsid w:val="00C511D5"/>
    <w:rsid w:val="00C51321"/>
    <w:rsid w:val="00C51599"/>
    <w:rsid w:val="00C516EB"/>
    <w:rsid w:val="00C51E3C"/>
    <w:rsid w:val="00C5202B"/>
    <w:rsid w:val="00C526CB"/>
    <w:rsid w:val="00C5288E"/>
    <w:rsid w:val="00C52FD1"/>
    <w:rsid w:val="00C53175"/>
    <w:rsid w:val="00C531D8"/>
    <w:rsid w:val="00C5359B"/>
    <w:rsid w:val="00C53AF7"/>
    <w:rsid w:val="00C53DC0"/>
    <w:rsid w:val="00C53E2E"/>
    <w:rsid w:val="00C540BE"/>
    <w:rsid w:val="00C541D6"/>
    <w:rsid w:val="00C543B9"/>
    <w:rsid w:val="00C54736"/>
    <w:rsid w:val="00C54769"/>
    <w:rsid w:val="00C54C15"/>
    <w:rsid w:val="00C54DA4"/>
    <w:rsid w:val="00C554B5"/>
    <w:rsid w:val="00C554D2"/>
    <w:rsid w:val="00C55B93"/>
    <w:rsid w:val="00C55C95"/>
    <w:rsid w:val="00C55E03"/>
    <w:rsid w:val="00C55FE7"/>
    <w:rsid w:val="00C5628B"/>
    <w:rsid w:val="00C563EB"/>
    <w:rsid w:val="00C568D8"/>
    <w:rsid w:val="00C5699C"/>
    <w:rsid w:val="00C56D2B"/>
    <w:rsid w:val="00C56EF2"/>
    <w:rsid w:val="00C570A6"/>
    <w:rsid w:val="00C57174"/>
    <w:rsid w:val="00C57486"/>
    <w:rsid w:val="00C574E8"/>
    <w:rsid w:val="00C5785C"/>
    <w:rsid w:val="00C579E2"/>
    <w:rsid w:val="00C579F3"/>
    <w:rsid w:val="00C57C3E"/>
    <w:rsid w:val="00C57CCE"/>
    <w:rsid w:val="00C600B3"/>
    <w:rsid w:val="00C60104"/>
    <w:rsid w:val="00C604E7"/>
    <w:rsid w:val="00C605B0"/>
    <w:rsid w:val="00C60781"/>
    <w:rsid w:val="00C60842"/>
    <w:rsid w:val="00C60A20"/>
    <w:rsid w:val="00C60C18"/>
    <w:rsid w:val="00C60DE1"/>
    <w:rsid w:val="00C610DA"/>
    <w:rsid w:val="00C6123C"/>
    <w:rsid w:val="00C61284"/>
    <w:rsid w:val="00C61464"/>
    <w:rsid w:val="00C61477"/>
    <w:rsid w:val="00C61ABF"/>
    <w:rsid w:val="00C61BA4"/>
    <w:rsid w:val="00C622B9"/>
    <w:rsid w:val="00C6239A"/>
    <w:rsid w:val="00C62640"/>
    <w:rsid w:val="00C629CE"/>
    <w:rsid w:val="00C62A2B"/>
    <w:rsid w:val="00C62C51"/>
    <w:rsid w:val="00C62CF3"/>
    <w:rsid w:val="00C62DB8"/>
    <w:rsid w:val="00C634A2"/>
    <w:rsid w:val="00C636C7"/>
    <w:rsid w:val="00C638AA"/>
    <w:rsid w:val="00C63C00"/>
    <w:rsid w:val="00C63C9E"/>
    <w:rsid w:val="00C64F00"/>
    <w:rsid w:val="00C64F5C"/>
    <w:rsid w:val="00C64FB4"/>
    <w:rsid w:val="00C65049"/>
    <w:rsid w:val="00C650CE"/>
    <w:rsid w:val="00C65275"/>
    <w:rsid w:val="00C65731"/>
    <w:rsid w:val="00C65A94"/>
    <w:rsid w:val="00C65D17"/>
    <w:rsid w:val="00C662B3"/>
    <w:rsid w:val="00C66953"/>
    <w:rsid w:val="00C66E62"/>
    <w:rsid w:val="00C66F30"/>
    <w:rsid w:val="00C6710C"/>
    <w:rsid w:val="00C67211"/>
    <w:rsid w:val="00C6745B"/>
    <w:rsid w:val="00C67924"/>
    <w:rsid w:val="00C679FB"/>
    <w:rsid w:val="00C67A5E"/>
    <w:rsid w:val="00C67CC9"/>
    <w:rsid w:val="00C67E8E"/>
    <w:rsid w:val="00C70122"/>
    <w:rsid w:val="00C70778"/>
    <w:rsid w:val="00C70F4C"/>
    <w:rsid w:val="00C71FAF"/>
    <w:rsid w:val="00C72014"/>
    <w:rsid w:val="00C720C3"/>
    <w:rsid w:val="00C72177"/>
    <w:rsid w:val="00C721FA"/>
    <w:rsid w:val="00C722A1"/>
    <w:rsid w:val="00C72364"/>
    <w:rsid w:val="00C729D7"/>
    <w:rsid w:val="00C72CF1"/>
    <w:rsid w:val="00C72F99"/>
    <w:rsid w:val="00C730CC"/>
    <w:rsid w:val="00C73339"/>
    <w:rsid w:val="00C7376A"/>
    <w:rsid w:val="00C739BF"/>
    <w:rsid w:val="00C73C25"/>
    <w:rsid w:val="00C73C6A"/>
    <w:rsid w:val="00C7421D"/>
    <w:rsid w:val="00C747E8"/>
    <w:rsid w:val="00C7482C"/>
    <w:rsid w:val="00C74B23"/>
    <w:rsid w:val="00C74B8C"/>
    <w:rsid w:val="00C74F9A"/>
    <w:rsid w:val="00C7507B"/>
    <w:rsid w:val="00C75198"/>
    <w:rsid w:val="00C75753"/>
    <w:rsid w:val="00C76533"/>
    <w:rsid w:val="00C7676E"/>
    <w:rsid w:val="00C77210"/>
    <w:rsid w:val="00C7723A"/>
    <w:rsid w:val="00C77288"/>
    <w:rsid w:val="00C77356"/>
    <w:rsid w:val="00C77AD0"/>
    <w:rsid w:val="00C77D9E"/>
    <w:rsid w:val="00C77E6D"/>
    <w:rsid w:val="00C80203"/>
    <w:rsid w:val="00C802FE"/>
    <w:rsid w:val="00C8031B"/>
    <w:rsid w:val="00C803DE"/>
    <w:rsid w:val="00C805D6"/>
    <w:rsid w:val="00C806BB"/>
    <w:rsid w:val="00C80D5B"/>
    <w:rsid w:val="00C80F1E"/>
    <w:rsid w:val="00C8113E"/>
    <w:rsid w:val="00C8119E"/>
    <w:rsid w:val="00C811BB"/>
    <w:rsid w:val="00C815FB"/>
    <w:rsid w:val="00C81A42"/>
    <w:rsid w:val="00C81C55"/>
    <w:rsid w:val="00C8254E"/>
    <w:rsid w:val="00C8257B"/>
    <w:rsid w:val="00C825B4"/>
    <w:rsid w:val="00C8268F"/>
    <w:rsid w:val="00C82990"/>
    <w:rsid w:val="00C8324B"/>
    <w:rsid w:val="00C83535"/>
    <w:rsid w:val="00C8365A"/>
    <w:rsid w:val="00C83D84"/>
    <w:rsid w:val="00C83DF1"/>
    <w:rsid w:val="00C84D58"/>
    <w:rsid w:val="00C85214"/>
    <w:rsid w:val="00C8548F"/>
    <w:rsid w:val="00C8563A"/>
    <w:rsid w:val="00C85C53"/>
    <w:rsid w:val="00C85CDE"/>
    <w:rsid w:val="00C85EAA"/>
    <w:rsid w:val="00C86044"/>
    <w:rsid w:val="00C8614E"/>
    <w:rsid w:val="00C8660D"/>
    <w:rsid w:val="00C86AC4"/>
    <w:rsid w:val="00C86B7B"/>
    <w:rsid w:val="00C86E49"/>
    <w:rsid w:val="00C8725A"/>
    <w:rsid w:val="00C87371"/>
    <w:rsid w:val="00C873C9"/>
    <w:rsid w:val="00C87436"/>
    <w:rsid w:val="00C876B3"/>
    <w:rsid w:val="00C90151"/>
    <w:rsid w:val="00C9032D"/>
    <w:rsid w:val="00C9053C"/>
    <w:rsid w:val="00C9074D"/>
    <w:rsid w:val="00C90880"/>
    <w:rsid w:val="00C908E0"/>
    <w:rsid w:val="00C90B6E"/>
    <w:rsid w:val="00C9104F"/>
    <w:rsid w:val="00C912DE"/>
    <w:rsid w:val="00C912F1"/>
    <w:rsid w:val="00C91651"/>
    <w:rsid w:val="00C9166A"/>
    <w:rsid w:val="00C917A4"/>
    <w:rsid w:val="00C917A6"/>
    <w:rsid w:val="00C91B21"/>
    <w:rsid w:val="00C92076"/>
    <w:rsid w:val="00C92095"/>
    <w:rsid w:val="00C922A2"/>
    <w:rsid w:val="00C92A23"/>
    <w:rsid w:val="00C92E58"/>
    <w:rsid w:val="00C92F09"/>
    <w:rsid w:val="00C931AA"/>
    <w:rsid w:val="00C931DE"/>
    <w:rsid w:val="00C935FF"/>
    <w:rsid w:val="00C93628"/>
    <w:rsid w:val="00C93D33"/>
    <w:rsid w:val="00C945E1"/>
    <w:rsid w:val="00C95064"/>
    <w:rsid w:val="00C95452"/>
    <w:rsid w:val="00C956CF"/>
    <w:rsid w:val="00C9588C"/>
    <w:rsid w:val="00C95A52"/>
    <w:rsid w:val="00C95BA4"/>
    <w:rsid w:val="00C95DB5"/>
    <w:rsid w:val="00C9604A"/>
    <w:rsid w:val="00C963E7"/>
    <w:rsid w:val="00C96966"/>
    <w:rsid w:val="00C96A57"/>
    <w:rsid w:val="00C96FE9"/>
    <w:rsid w:val="00C97B91"/>
    <w:rsid w:val="00C97CB3"/>
    <w:rsid w:val="00C97CEE"/>
    <w:rsid w:val="00C97D20"/>
    <w:rsid w:val="00C97F96"/>
    <w:rsid w:val="00CA0093"/>
    <w:rsid w:val="00CA05C4"/>
    <w:rsid w:val="00CA08E1"/>
    <w:rsid w:val="00CA0CD0"/>
    <w:rsid w:val="00CA0DA6"/>
    <w:rsid w:val="00CA0E31"/>
    <w:rsid w:val="00CA125C"/>
    <w:rsid w:val="00CA13B3"/>
    <w:rsid w:val="00CA14C5"/>
    <w:rsid w:val="00CA1ABA"/>
    <w:rsid w:val="00CA1F79"/>
    <w:rsid w:val="00CA1F9F"/>
    <w:rsid w:val="00CA205F"/>
    <w:rsid w:val="00CA2354"/>
    <w:rsid w:val="00CA257E"/>
    <w:rsid w:val="00CA26EA"/>
    <w:rsid w:val="00CA2F41"/>
    <w:rsid w:val="00CA2FB2"/>
    <w:rsid w:val="00CA39F3"/>
    <w:rsid w:val="00CA3A43"/>
    <w:rsid w:val="00CA3D3A"/>
    <w:rsid w:val="00CA3F35"/>
    <w:rsid w:val="00CA41AD"/>
    <w:rsid w:val="00CA42D6"/>
    <w:rsid w:val="00CA4312"/>
    <w:rsid w:val="00CA43DA"/>
    <w:rsid w:val="00CA44F2"/>
    <w:rsid w:val="00CA487E"/>
    <w:rsid w:val="00CA4FB9"/>
    <w:rsid w:val="00CA4FBD"/>
    <w:rsid w:val="00CA528A"/>
    <w:rsid w:val="00CA536E"/>
    <w:rsid w:val="00CA5528"/>
    <w:rsid w:val="00CA5649"/>
    <w:rsid w:val="00CA6780"/>
    <w:rsid w:val="00CA6898"/>
    <w:rsid w:val="00CA71D0"/>
    <w:rsid w:val="00CA7214"/>
    <w:rsid w:val="00CA7554"/>
    <w:rsid w:val="00CA77D6"/>
    <w:rsid w:val="00CA794E"/>
    <w:rsid w:val="00CA7D6D"/>
    <w:rsid w:val="00CA7E0F"/>
    <w:rsid w:val="00CA7F4C"/>
    <w:rsid w:val="00CA7F85"/>
    <w:rsid w:val="00CB017D"/>
    <w:rsid w:val="00CB0824"/>
    <w:rsid w:val="00CB0FEA"/>
    <w:rsid w:val="00CB10AD"/>
    <w:rsid w:val="00CB1197"/>
    <w:rsid w:val="00CB141E"/>
    <w:rsid w:val="00CB15E9"/>
    <w:rsid w:val="00CB1600"/>
    <w:rsid w:val="00CB1675"/>
    <w:rsid w:val="00CB1720"/>
    <w:rsid w:val="00CB1AF7"/>
    <w:rsid w:val="00CB257C"/>
    <w:rsid w:val="00CB2BD5"/>
    <w:rsid w:val="00CB2C4D"/>
    <w:rsid w:val="00CB2CF8"/>
    <w:rsid w:val="00CB2DC6"/>
    <w:rsid w:val="00CB2FB7"/>
    <w:rsid w:val="00CB3111"/>
    <w:rsid w:val="00CB37D4"/>
    <w:rsid w:val="00CB3A5A"/>
    <w:rsid w:val="00CB3E72"/>
    <w:rsid w:val="00CB4200"/>
    <w:rsid w:val="00CB4369"/>
    <w:rsid w:val="00CB458A"/>
    <w:rsid w:val="00CB4D10"/>
    <w:rsid w:val="00CB57DF"/>
    <w:rsid w:val="00CB581B"/>
    <w:rsid w:val="00CB5C55"/>
    <w:rsid w:val="00CB601E"/>
    <w:rsid w:val="00CB6107"/>
    <w:rsid w:val="00CB63C6"/>
    <w:rsid w:val="00CB63F8"/>
    <w:rsid w:val="00CB665A"/>
    <w:rsid w:val="00CB66E3"/>
    <w:rsid w:val="00CB7070"/>
    <w:rsid w:val="00CB73C0"/>
    <w:rsid w:val="00CB7465"/>
    <w:rsid w:val="00CB748E"/>
    <w:rsid w:val="00CB766C"/>
    <w:rsid w:val="00CC0334"/>
    <w:rsid w:val="00CC063F"/>
    <w:rsid w:val="00CC0840"/>
    <w:rsid w:val="00CC0C07"/>
    <w:rsid w:val="00CC0C5E"/>
    <w:rsid w:val="00CC0D12"/>
    <w:rsid w:val="00CC0F1C"/>
    <w:rsid w:val="00CC1063"/>
    <w:rsid w:val="00CC186B"/>
    <w:rsid w:val="00CC1BB8"/>
    <w:rsid w:val="00CC1D1A"/>
    <w:rsid w:val="00CC2020"/>
    <w:rsid w:val="00CC21D7"/>
    <w:rsid w:val="00CC21E5"/>
    <w:rsid w:val="00CC22E3"/>
    <w:rsid w:val="00CC23C6"/>
    <w:rsid w:val="00CC2432"/>
    <w:rsid w:val="00CC2706"/>
    <w:rsid w:val="00CC2A91"/>
    <w:rsid w:val="00CC2CAF"/>
    <w:rsid w:val="00CC2CE9"/>
    <w:rsid w:val="00CC30F7"/>
    <w:rsid w:val="00CC3447"/>
    <w:rsid w:val="00CC3467"/>
    <w:rsid w:val="00CC35A2"/>
    <w:rsid w:val="00CC3924"/>
    <w:rsid w:val="00CC4268"/>
    <w:rsid w:val="00CC45C2"/>
    <w:rsid w:val="00CC4809"/>
    <w:rsid w:val="00CC49AC"/>
    <w:rsid w:val="00CC4AC5"/>
    <w:rsid w:val="00CC5615"/>
    <w:rsid w:val="00CC588B"/>
    <w:rsid w:val="00CC5956"/>
    <w:rsid w:val="00CC5988"/>
    <w:rsid w:val="00CC5A74"/>
    <w:rsid w:val="00CC6172"/>
    <w:rsid w:val="00CC6260"/>
    <w:rsid w:val="00CC6432"/>
    <w:rsid w:val="00CC6666"/>
    <w:rsid w:val="00CC66CA"/>
    <w:rsid w:val="00CC6801"/>
    <w:rsid w:val="00CC6E11"/>
    <w:rsid w:val="00CC7672"/>
    <w:rsid w:val="00CC76FA"/>
    <w:rsid w:val="00CC7907"/>
    <w:rsid w:val="00CC7925"/>
    <w:rsid w:val="00CC79C3"/>
    <w:rsid w:val="00CC7A2E"/>
    <w:rsid w:val="00CC7BEE"/>
    <w:rsid w:val="00CD0577"/>
    <w:rsid w:val="00CD05DB"/>
    <w:rsid w:val="00CD06DD"/>
    <w:rsid w:val="00CD070E"/>
    <w:rsid w:val="00CD0C5D"/>
    <w:rsid w:val="00CD0CA7"/>
    <w:rsid w:val="00CD0D2B"/>
    <w:rsid w:val="00CD1054"/>
    <w:rsid w:val="00CD1133"/>
    <w:rsid w:val="00CD13BF"/>
    <w:rsid w:val="00CD1404"/>
    <w:rsid w:val="00CD187B"/>
    <w:rsid w:val="00CD1C4B"/>
    <w:rsid w:val="00CD1D9A"/>
    <w:rsid w:val="00CD1F5B"/>
    <w:rsid w:val="00CD1FFE"/>
    <w:rsid w:val="00CD26FF"/>
    <w:rsid w:val="00CD305D"/>
    <w:rsid w:val="00CD312C"/>
    <w:rsid w:val="00CD3271"/>
    <w:rsid w:val="00CD33B5"/>
    <w:rsid w:val="00CD355F"/>
    <w:rsid w:val="00CD383F"/>
    <w:rsid w:val="00CD3A71"/>
    <w:rsid w:val="00CD4102"/>
    <w:rsid w:val="00CD414E"/>
    <w:rsid w:val="00CD4480"/>
    <w:rsid w:val="00CD471D"/>
    <w:rsid w:val="00CD4790"/>
    <w:rsid w:val="00CD4826"/>
    <w:rsid w:val="00CD4928"/>
    <w:rsid w:val="00CD5002"/>
    <w:rsid w:val="00CD51C2"/>
    <w:rsid w:val="00CD524C"/>
    <w:rsid w:val="00CD563B"/>
    <w:rsid w:val="00CD5E10"/>
    <w:rsid w:val="00CD5F15"/>
    <w:rsid w:val="00CD6251"/>
    <w:rsid w:val="00CD68E9"/>
    <w:rsid w:val="00CD6E92"/>
    <w:rsid w:val="00CD70C3"/>
    <w:rsid w:val="00CD7B72"/>
    <w:rsid w:val="00CD7C5F"/>
    <w:rsid w:val="00CD7CCD"/>
    <w:rsid w:val="00CD7D4F"/>
    <w:rsid w:val="00CD7E3E"/>
    <w:rsid w:val="00CD7ECC"/>
    <w:rsid w:val="00CE01E9"/>
    <w:rsid w:val="00CE0532"/>
    <w:rsid w:val="00CE079A"/>
    <w:rsid w:val="00CE08F0"/>
    <w:rsid w:val="00CE16E2"/>
    <w:rsid w:val="00CE1EC1"/>
    <w:rsid w:val="00CE1EC9"/>
    <w:rsid w:val="00CE2134"/>
    <w:rsid w:val="00CE27F9"/>
    <w:rsid w:val="00CE28E3"/>
    <w:rsid w:val="00CE2ADF"/>
    <w:rsid w:val="00CE2C87"/>
    <w:rsid w:val="00CE2D87"/>
    <w:rsid w:val="00CE2EE6"/>
    <w:rsid w:val="00CE2EFA"/>
    <w:rsid w:val="00CE3916"/>
    <w:rsid w:val="00CE39E0"/>
    <w:rsid w:val="00CE39EA"/>
    <w:rsid w:val="00CE3B46"/>
    <w:rsid w:val="00CE3E77"/>
    <w:rsid w:val="00CE40D1"/>
    <w:rsid w:val="00CE4288"/>
    <w:rsid w:val="00CE474C"/>
    <w:rsid w:val="00CE4A28"/>
    <w:rsid w:val="00CE4B04"/>
    <w:rsid w:val="00CE4E97"/>
    <w:rsid w:val="00CE5008"/>
    <w:rsid w:val="00CE563E"/>
    <w:rsid w:val="00CE5AA9"/>
    <w:rsid w:val="00CE5F5C"/>
    <w:rsid w:val="00CE6498"/>
    <w:rsid w:val="00CE68C8"/>
    <w:rsid w:val="00CE6AEB"/>
    <w:rsid w:val="00CE6FF6"/>
    <w:rsid w:val="00CE7269"/>
    <w:rsid w:val="00CE7345"/>
    <w:rsid w:val="00CE77B1"/>
    <w:rsid w:val="00CE78C0"/>
    <w:rsid w:val="00CE7D99"/>
    <w:rsid w:val="00CF0AF1"/>
    <w:rsid w:val="00CF116F"/>
    <w:rsid w:val="00CF12F8"/>
    <w:rsid w:val="00CF19E6"/>
    <w:rsid w:val="00CF1A2D"/>
    <w:rsid w:val="00CF1AF8"/>
    <w:rsid w:val="00CF2286"/>
    <w:rsid w:val="00CF2913"/>
    <w:rsid w:val="00CF2BBD"/>
    <w:rsid w:val="00CF2DDE"/>
    <w:rsid w:val="00CF32AF"/>
    <w:rsid w:val="00CF38F4"/>
    <w:rsid w:val="00CF3D71"/>
    <w:rsid w:val="00CF3ED0"/>
    <w:rsid w:val="00CF4017"/>
    <w:rsid w:val="00CF439F"/>
    <w:rsid w:val="00CF43F9"/>
    <w:rsid w:val="00CF4402"/>
    <w:rsid w:val="00CF4431"/>
    <w:rsid w:val="00CF4DF0"/>
    <w:rsid w:val="00CF5396"/>
    <w:rsid w:val="00CF546D"/>
    <w:rsid w:val="00CF54B0"/>
    <w:rsid w:val="00CF5A49"/>
    <w:rsid w:val="00CF5BCA"/>
    <w:rsid w:val="00CF5EA2"/>
    <w:rsid w:val="00CF629C"/>
    <w:rsid w:val="00CF669A"/>
    <w:rsid w:val="00CF6902"/>
    <w:rsid w:val="00CF6ECE"/>
    <w:rsid w:val="00CF6F59"/>
    <w:rsid w:val="00CF7120"/>
    <w:rsid w:val="00CF724C"/>
    <w:rsid w:val="00CF72B4"/>
    <w:rsid w:val="00CF74F4"/>
    <w:rsid w:val="00CF798C"/>
    <w:rsid w:val="00CF79BC"/>
    <w:rsid w:val="00CF7A9A"/>
    <w:rsid w:val="00CF7B7D"/>
    <w:rsid w:val="00CF7D06"/>
    <w:rsid w:val="00D001B4"/>
    <w:rsid w:val="00D003B7"/>
    <w:rsid w:val="00D005E9"/>
    <w:rsid w:val="00D00D1A"/>
    <w:rsid w:val="00D00E36"/>
    <w:rsid w:val="00D00F83"/>
    <w:rsid w:val="00D0107D"/>
    <w:rsid w:val="00D0155C"/>
    <w:rsid w:val="00D015E0"/>
    <w:rsid w:val="00D0168D"/>
    <w:rsid w:val="00D01915"/>
    <w:rsid w:val="00D01C7A"/>
    <w:rsid w:val="00D01DA6"/>
    <w:rsid w:val="00D01E4A"/>
    <w:rsid w:val="00D01FF5"/>
    <w:rsid w:val="00D0243B"/>
    <w:rsid w:val="00D027E0"/>
    <w:rsid w:val="00D02815"/>
    <w:rsid w:val="00D028A7"/>
    <w:rsid w:val="00D02DF8"/>
    <w:rsid w:val="00D02F4F"/>
    <w:rsid w:val="00D0347F"/>
    <w:rsid w:val="00D0383E"/>
    <w:rsid w:val="00D03B80"/>
    <w:rsid w:val="00D03DEF"/>
    <w:rsid w:val="00D03EA0"/>
    <w:rsid w:val="00D04B80"/>
    <w:rsid w:val="00D04CB3"/>
    <w:rsid w:val="00D04D16"/>
    <w:rsid w:val="00D0515B"/>
    <w:rsid w:val="00D05319"/>
    <w:rsid w:val="00D056BE"/>
    <w:rsid w:val="00D0575D"/>
    <w:rsid w:val="00D05904"/>
    <w:rsid w:val="00D05A35"/>
    <w:rsid w:val="00D05A97"/>
    <w:rsid w:val="00D05D9C"/>
    <w:rsid w:val="00D05F87"/>
    <w:rsid w:val="00D06521"/>
    <w:rsid w:val="00D06B4E"/>
    <w:rsid w:val="00D06BCC"/>
    <w:rsid w:val="00D06C6C"/>
    <w:rsid w:val="00D072E0"/>
    <w:rsid w:val="00D0773C"/>
    <w:rsid w:val="00D07CBF"/>
    <w:rsid w:val="00D07CD9"/>
    <w:rsid w:val="00D104DE"/>
    <w:rsid w:val="00D107C3"/>
    <w:rsid w:val="00D111B4"/>
    <w:rsid w:val="00D11836"/>
    <w:rsid w:val="00D11EF1"/>
    <w:rsid w:val="00D11F2B"/>
    <w:rsid w:val="00D12217"/>
    <w:rsid w:val="00D1299E"/>
    <w:rsid w:val="00D12AE7"/>
    <w:rsid w:val="00D12BD1"/>
    <w:rsid w:val="00D12BDC"/>
    <w:rsid w:val="00D1300C"/>
    <w:rsid w:val="00D137A3"/>
    <w:rsid w:val="00D13B72"/>
    <w:rsid w:val="00D13BEB"/>
    <w:rsid w:val="00D14451"/>
    <w:rsid w:val="00D14494"/>
    <w:rsid w:val="00D14856"/>
    <w:rsid w:val="00D14924"/>
    <w:rsid w:val="00D14E59"/>
    <w:rsid w:val="00D15A37"/>
    <w:rsid w:val="00D15C8D"/>
    <w:rsid w:val="00D1662B"/>
    <w:rsid w:val="00D168EB"/>
    <w:rsid w:val="00D16B5B"/>
    <w:rsid w:val="00D16BC9"/>
    <w:rsid w:val="00D1750B"/>
    <w:rsid w:val="00D17DFA"/>
    <w:rsid w:val="00D17E16"/>
    <w:rsid w:val="00D17E4F"/>
    <w:rsid w:val="00D20005"/>
    <w:rsid w:val="00D20031"/>
    <w:rsid w:val="00D200E7"/>
    <w:rsid w:val="00D20327"/>
    <w:rsid w:val="00D20DEF"/>
    <w:rsid w:val="00D20E48"/>
    <w:rsid w:val="00D210A9"/>
    <w:rsid w:val="00D21163"/>
    <w:rsid w:val="00D21434"/>
    <w:rsid w:val="00D21462"/>
    <w:rsid w:val="00D21519"/>
    <w:rsid w:val="00D21610"/>
    <w:rsid w:val="00D21611"/>
    <w:rsid w:val="00D21D68"/>
    <w:rsid w:val="00D21DCB"/>
    <w:rsid w:val="00D2208D"/>
    <w:rsid w:val="00D2209E"/>
    <w:rsid w:val="00D22366"/>
    <w:rsid w:val="00D223D7"/>
    <w:rsid w:val="00D2245F"/>
    <w:rsid w:val="00D225E3"/>
    <w:rsid w:val="00D22850"/>
    <w:rsid w:val="00D2287D"/>
    <w:rsid w:val="00D228B3"/>
    <w:rsid w:val="00D228B5"/>
    <w:rsid w:val="00D22C42"/>
    <w:rsid w:val="00D22D3E"/>
    <w:rsid w:val="00D23188"/>
    <w:rsid w:val="00D236E9"/>
    <w:rsid w:val="00D23861"/>
    <w:rsid w:val="00D23893"/>
    <w:rsid w:val="00D23E6F"/>
    <w:rsid w:val="00D23FE7"/>
    <w:rsid w:val="00D2421C"/>
    <w:rsid w:val="00D243EE"/>
    <w:rsid w:val="00D24E25"/>
    <w:rsid w:val="00D252F3"/>
    <w:rsid w:val="00D2539A"/>
    <w:rsid w:val="00D25476"/>
    <w:rsid w:val="00D25BD2"/>
    <w:rsid w:val="00D25FD6"/>
    <w:rsid w:val="00D263FC"/>
    <w:rsid w:val="00D26509"/>
    <w:rsid w:val="00D265D1"/>
    <w:rsid w:val="00D265D6"/>
    <w:rsid w:val="00D26D01"/>
    <w:rsid w:val="00D27059"/>
    <w:rsid w:val="00D27294"/>
    <w:rsid w:val="00D27571"/>
    <w:rsid w:val="00D277E4"/>
    <w:rsid w:val="00D27B69"/>
    <w:rsid w:val="00D27CDB"/>
    <w:rsid w:val="00D30003"/>
    <w:rsid w:val="00D300CC"/>
    <w:rsid w:val="00D30635"/>
    <w:rsid w:val="00D30976"/>
    <w:rsid w:val="00D30BB2"/>
    <w:rsid w:val="00D30C5C"/>
    <w:rsid w:val="00D30CF4"/>
    <w:rsid w:val="00D312DF"/>
    <w:rsid w:val="00D313B3"/>
    <w:rsid w:val="00D31B1C"/>
    <w:rsid w:val="00D31C32"/>
    <w:rsid w:val="00D3211F"/>
    <w:rsid w:val="00D3266F"/>
    <w:rsid w:val="00D326E5"/>
    <w:rsid w:val="00D32715"/>
    <w:rsid w:val="00D3291E"/>
    <w:rsid w:val="00D3292B"/>
    <w:rsid w:val="00D32BBE"/>
    <w:rsid w:val="00D32F6C"/>
    <w:rsid w:val="00D32FDA"/>
    <w:rsid w:val="00D33709"/>
    <w:rsid w:val="00D33805"/>
    <w:rsid w:val="00D3386C"/>
    <w:rsid w:val="00D33F02"/>
    <w:rsid w:val="00D345F3"/>
    <w:rsid w:val="00D345F7"/>
    <w:rsid w:val="00D34840"/>
    <w:rsid w:val="00D34AD8"/>
    <w:rsid w:val="00D34BFF"/>
    <w:rsid w:val="00D34CAE"/>
    <w:rsid w:val="00D34F1C"/>
    <w:rsid w:val="00D3520B"/>
    <w:rsid w:val="00D352D4"/>
    <w:rsid w:val="00D358F7"/>
    <w:rsid w:val="00D35989"/>
    <w:rsid w:val="00D35B45"/>
    <w:rsid w:val="00D35DE0"/>
    <w:rsid w:val="00D360C7"/>
    <w:rsid w:val="00D361C1"/>
    <w:rsid w:val="00D36376"/>
    <w:rsid w:val="00D36561"/>
    <w:rsid w:val="00D36E05"/>
    <w:rsid w:val="00D36E67"/>
    <w:rsid w:val="00D36FF3"/>
    <w:rsid w:val="00D37337"/>
    <w:rsid w:val="00D375EE"/>
    <w:rsid w:val="00D37785"/>
    <w:rsid w:val="00D3782C"/>
    <w:rsid w:val="00D37EF5"/>
    <w:rsid w:val="00D400AD"/>
    <w:rsid w:val="00D40373"/>
    <w:rsid w:val="00D405A9"/>
    <w:rsid w:val="00D40682"/>
    <w:rsid w:val="00D408FB"/>
    <w:rsid w:val="00D40E7C"/>
    <w:rsid w:val="00D411B9"/>
    <w:rsid w:val="00D411DD"/>
    <w:rsid w:val="00D412EF"/>
    <w:rsid w:val="00D41359"/>
    <w:rsid w:val="00D413C0"/>
    <w:rsid w:val="00D41555"/>
    <w:rsid w:val="00D41706"/>
    <w:rsid w:val="00D419C9"/>
    <w:rsid w:val="00D41F5E"/>
    <w:rsid w:val="00D420E5"/>
    <w:rsid w:val="00D4249D"/>
    <w:rsid w:val="00D4273F"/>
    <w:rsid w:val="00D428B9"/>
    <w:rsid w:val="00D42BD8"/>
    <w:rsid w:val="00D42C04"/>
    <w:rsid w:val="00D42C60"/>
    <w:rsid w:val="00D42D51"/>
    <w:rsid w:val="00D42DC9"/>
    <w:rsid w:val="00D43184"/>
    <w:rsid w:val="00D431AF"/>
    <w:rsid w:val="00D43246"/>
    <w:rsid w:val="00D436FB"/>
    <w:rsid w:val="00D4417F"/>
    <w:rsid w:val="00D441C0"/>
    <w:rsid w:val="00D442EA"/>
    <w:rsid w:val="00D4440F"/>
    <w:rsid w:val="00D4472C"/>
    <w:rsid w:val="00D44D4F"/>
    <w:rsid w:val="00D4518D"/>
    <w:rsid w:val="00D45750"/>
    <w:rsid w:val="00D457EA"/>
    <w:rsid w:val="00D45C42"/>
    <w:rsid w:val="00D45E09"/>
    <w:rsid w:val="00D4644D"/>
    <w:rsid w:val="00D46519"/>
    <w:rsid w:val="00D4674C"/>
    <w:rsid w:val="00D46A87"/>
    <w:rsid w:val="00D470A4"/>
    <w:rsid w:val="00D4727B"/>
    <w:rsid w:val="00D47571"/>
    <w:rsid w:val="00D47C27"/>
    <w:rsid w:val="00D47C94"/>
    <w:rsid w:val="00D47D59"/>
    <w:rsid w:val="00D47DE8"/>
    <w:rsid w:val="00D501D2"/>
    <w:rsid w:val="00D503A5"/>
    <w:rsid w:val="00D50674"/>
    <w:rsid w:val="00D50CD0"/>
    <w:rsid w:val="00D518EC"/>
    <w:rsid w:val="00D51CAD"/>
    <w:rsid w:val="00D51D3F"/>
    <w:rsid w:val="00D52049"/>
    <w:rsid w:val="00D52407"/>
    <w:rsid w:val="00D52958"/>
    <w:rsid w:val="00D52E54"/>
    <w:rsid w:val="00D52FF5"/>
    <w:rsid w:val="00D531B8"/>
    <w:rsid w:val="00D53270"/>
    <w:rsid w:val="00D5370A"/>
    <w:rsid w:val="00D53BE2"/>
    <w:rsid w:val="00D53CDC"/>
    <w:rsid w:val="00D53D90"/>
    <w:rsid w:val="00D5482C"/>
    <w:rsid w:val="00D54835"/>
    <w:rsid w:val="00D54F1D"/>
    <w:rsid w:val="00D55120"/>
    <w:rsid w:val="00D55186"/>
    <w:rsid w:val="00D55238"/>
    <w:rsid w:val="00D55A35"/>
    <w:rsid w:val="00D55B24"/>
    <w:rsid w:val="00D56470"/>
    <w:rsid w:val="00D56669"/>
    <w:rsid w:val="00D56B4F"/>
    <w:rsid w:val="00D56D7D"/>
    <w:rsid w:val="00D56D9C"/>
    <w:rsid w:val="00D56DFA"/>
    <w:rsid w:val="00D56E34"/>
    <w:rsid w:val="00D57492"/>
    <w:rsid w:val="00D575D0"/>
    <w:rsid w:val="00D5764F"/>
    <w:rsid w:val="00D57AFB"/>
    <w:rsid w:val="00D57B51"/>
    <w:rsid w:val="00D6009F"/>
    <w:rsid w:val="00D60134"/>
    <w:rsid w:val="00D6020D"/>
    <w:rsid w:val="00D6073C"/>
    <w:rsid w:val="00D60E22"/>
    <w:rsid w:val="00D61175"/>
    <w:rsid w:val="00D6119A"/>
    <w:rsid w:val="00D61302"/>
    <w:rsid w:val="00D618FC"/>
    <w:rsid w:val="00D61BA2"/>
    <w:rsid w:val="00D61D0E"/>
    <w:rsid w:val="00D62534"/>
    <w:rsid w:val="00D62942"/>
    <w:rsid w:val="00D6298C"/>
    <w:rsid w:val="00D62F4D"/>
    <w:rsid w:val="00D62FBF"/>
    <w:rsid w:val="00D631AA"/>
    <w:rsid w:val="00D6334F"/>
    <w:rsid w:val="00D6383E"/>
    <w:rsid w:val="00D63B1D"/>
    <w:rsid w:val="00D63CBD"/>
    <w:rsid w:val="00D64524"/>
    <w:rsid w:val="00D64906"/>
    <w:rsid w:val="00D64AA1"/>
    <w:rsid w:val="00D64B44"/>
    <w:rsid w:val="00D64DB6"/>
    <w:rsid w:val="00D65034"/>
    <w:rsid w:val="00D650E3"/>
    <w:rsid w:val="00D65175"/>
    <w:rsid w:val="00D652D9"/>
    <w:rsid w:val="00D65646"/>
    <w:rsid w:val="00D65729"/>
    <w:rsid w:val="00D65D88"/>
    <w:rsid w:val="00D65ECD"/>
    <w:rsid w:val="00D661DF"/>
    <w:rsid w:val="00D662F8"/>
    <w:rsid w:val="00D6654A"/>
    <w:rsid w:val="00D66C12"/>
    <w:rsid w:val="00D67145"/>
    <w:rsid w:val="00D671D8"/>
    <w:rsid w:val="00D67379"/>
    <w:rsid w:val="00D6739B"/>
    <w:rsid w:val="00D67492"/>
    <w:rsid w:val="00D67F57"/>
    <w:rsid w:val="00D703D6"/>
    <w:rsid w:val="00D70BC4"/>
    <w:rsid w:val="00D70DDA"/>
    <w:rsid w:val="00D70EDD"/>
    <w:rsid w:val="00D71343"/>
    <w:rsid w:val="00D71428"/>
    <w:rsid w:val="00D71807"/>
    <w:rsid w:val="00D71809"/>
    <w:rsid w:val="00D7198C"/>
    <w:rsid w:val="00D71AB7"/>
    <w:rsid w:val="00D71AB8"/>
    <w:rsid w:val="00D71C3F"/>
    <w:rsid w:val="00D71C90"/>
    <w:rsid w:val="00D71D38"/>
    <w:rsid w:val="00D71D62"/>
    <w:rsid w:val="00D722EB"/>
    <w:rsid w:val="00D72904"/>
    <w:rsid w:val="00D72A40"/>
    <w:rsid w:val="00D738F4"/>
    <w:rsid w:val="00D73AD9"/>
    <w:rsid w:val="00D73BEE"/>
    <w:rsid w:val="00D73C15"/>
    <w:rsid w:val="00D73E5E"/>
    <w:rsid w:val="00D74402"/>
    <w:rsid w:val="00D74426"/>
    <w:rsid w:val="00D746DD"/>
    <w:rsid w:val="00D74950"/>
    <w:rsid w:val="00D749B3"/>
    <w:rsid w:val="00D74BBB"/>
    <w:rsid w:val="00D74C59"/>
    <w:rsid w:val="00D74D53"/>
    <w:rsid w:val="00D75135"/>
    <w:rsid w:val="00D7522B"/>
    <w:rsid w:val="00D752D8"/>
    <w:rsid w:val="00D756DA"/>
    <w:rsid w:val="00D758B0"/>
    <w:rsid w:val="00D759AB"/>
    <w:rsid w:val="00D76272"/>
    <w:rsid w:val="00D76467"/>
    <w:rsid w:val="00D76661"/>
    <w:rsid w:val="00D766D0"/>
    <w:rsid w:val="00D76787"/>
    <w:rsid w:val="00D769E4"/>
    <w:rsid w:val="00D76AE5"/>
    <w:rsid w:val="00D76EE1"/>
    <w:rsid w:val="00D76FBA"/>
    <w:rsid w:val="00D770EE"/>
    <w:rsid w:val="00D77140"/>
    <w:rsid w:val="00D772F4"/>
    <w:rsid w:val="00D77842"/>
    <w:rsid w:val="00D77B20"/>
    <w:rsid w:val="00D803E5"/>
    <w:rsid w:val="00D808C8"/>
    <w:rsid w:val="00D80C29"/>
    <w:rsid w:val="00D813D7"/>
    <w:rsid w:val="00D816D5"/>
    <w:rsid w:val="00D81885"/>
    <w:rsid w:val="00D81A93"/>
    <w:rsid w:val="00D81B31"/>
    <w:rsid w:val="00D820B1"/>
    <w:rsid w:val="00D82309"/>
    <w:rsid w:val="00D82912"/>
    <w:rsid w:val="00D82CDB"/>
    <w:rsid w:val="00D8316D"/>
    <w:rsid w:val="00D8327E"/>
    <w:rsid w:val="00D83653"/>
    <w:rsid w:val="00D83660"/>
    <w:rsid w:val="00D8384F"/>
    <w:rsid w:val="00D83B10"/>
    <w:rsid w:val="00D83B51"/>
    <w:rsid w:val="00D83D2F"/>
    <w:rsid w:val="00D841EF"/>
    <w:rsid w:val="00D842C6"/>
    <w:rsid w:val="00D842E7"/>
    <w:rsid w:val="00D843AA"/>
    <w:rsid w:val="00D84501"/>
    <w:rsid w:val="00D846D1"/>
    <w:rsid w:val="00D849B0"/>
    <w:rsid w:val="00D84AFD"/>
    <w:rsid w:val="00D84D97"/>
    <w:rsid w:val="00D84E88"/>
    <w:rsid w:val="00D84ECA"/>
    <w:rsid w:val="00D85140"/>
    <w:rsid w:val="00D8525E"/>
    <w:rsid w:val="00D853DF"/>
    <w:rsid w:val="00D8564A"/>
    <w:rsid w:val="00D85F35"/>
    <w:rsid w:val="00D86005"/>
    <w:rsid w:val="00D867B8"/>
    <w:rsid w:val="00D86918"/>
    <w:rsid w:val="00D869B3"/>
    <w:rsid w:val="00D86CFD"/>
    <w:rsid w:val="00D86D8D"/>
    <w:rsid w:val="00D86EA0"/>
    <w:rsid w:val="00D86FF7"/>
    <w:rsid w:val="00D90312"/>
    <w:rsid w:val="00D903BE"/>
    <w:rsid w:val="00D9041B"/>
    <w:rsid w:val="00D904AB"/>
    <w:rsid w:val="00D90818"/>
    <w:rsid w:val="00D9092C"/>
    <w:rsid w:val="00D90AB3"/>
    <w:rsid w:val="00D90DBB"/>
    <w:rsid w:val="00D90F53"/>
    <w:rsid w:val="00D91279"/>
    <w:rsid w:val="00D91294"/>
    <w:rsid w:val="00D9141D"/>
    <w:rsid w:val="00D914FF"/>
    <w:rsid w:val="00D916CF"/>
    <w:rsid w:val="00D917EF"/>
    <w:rsid w:val="00D91B3F"/>
    <w:rsid w:val="00D91BA7"/>
    <w:rsid w:val="00D91F14"/>
    <w:rsid w:val="00D923D1"/>
    <w:rsid w:val="00D9243B"/>
    <w:rsid w:val="00D92524"/>
    <w:rsid w:val="00D92640"/>
    <w:rsid w:val="00D93115"/>
    <w:rsid w:val="00D93484"/>
    <w:rsid w:val="00D935EF"/>
    <w:rsid w:val="00D939B7"/>
    <w:rsid w:val="00D93C3B"/>
    <w:rsid w:val="00D93C8D"/>
    <w:rsid w:val="00D93DB1"/>
    <w:rsid w:val="00D93FCA"/>
    <w:rsid w:val="00D942A0"/>
    <w:rsid w:val="00D94671"/>
    <w:rsid w:val="00D946C9"/>
    <w:rsid w:val="00D94858"/>
    <w:rsid w:val="00D94CF3"/>
    <w:rsid w:val="00D9515B"/>
    <w:rsid w:val="00D951F1"/>
    <w:rsid w:val="00D955F3"/>
    <w:rsid w:val="00D95605"/>
    <w:rsid w:val="00D95A55"/>
    <w:rsid w:val="00D96564"/>
    <w:rsid w:val="00D96755"/>
    <w:rsid w:val="00D967A8"/>
    <w:rsid w:val="00D96AB7"/>
    <w:rsid w:val="00D96B1C"/>
    <w:rsid w:val="00D96B26"/>
    <w:rsid w:val="00D96CE8"/>
    <w:rsid w:val="00D97037"/>
    <w:rsid w:val="00D97126"/>
    <w:rsid w:val="00D974E8"/>
    <w:rsid w:val="00D978B7"/>
    <w:rsid w:val="00D9797E"/>
    <w:rsid w:val="00D97EC8"/>
    <w:rsid w:val="00DA0190"/>
    <w:rsid w:val="00DA058E"/>
    <w:rsid w:val="00DA0621"/>
    <w:rsid w:val="00DA0984"/>
    <w:rsid w:val="00DA0BBF"/>
    <w:rsid w:val="00DA11E3"/>
    <w:rsid w:val="00DA15EE"/>
    <w:rsid w:val="00DA1848"/>
    <w:rsid w:val="00DA188F"/>
    <w:rsid w:val="00DA190B"/>
    <w:rsid w:val="00DA196F"/>
    <w:rsid w:val="00DA1ADB"/>
    <w:rsid w:val="00DA1B54"/>
    <w:rsid w:val="00DA1B80"/>
    <w:rsid w:val="00DA1BE7"/>
    <w:rsid w:val="00DA1ED0"/>
    <w:rsid w:val="00DA228A"/>
    <w:rsid w:val="00DA25CC"/>
    <w:rsid w:val="00DA2856"/>
    <w:rsid w:val="00DA2872"/>
    <w:rsid w:val="00DA2D41"/>
    <w:rsid w:val="00DA2D9D"/>
    <w:rsid w:val="00DA3199"/>
    <w:rsid w:val="00DA3ED4"/>
    <w:rsid w:val="00DA416F"/>
    <w:rsid w:val="00DA41BA"/>
    <w:rsid w:val="00DA428B"/>
    <w:rsid w:val="00DA4332"/>
    <w:rsid w:val="00DA453F"/>
    <w:rsid w:val="00DA499E"/>
    <w:rsid w:val="00DA4A1F"/>
    <w:rsid w:val="00DA4C15"/>
    <w:rsid w:val="00DA4E60"/>
    <w:rsid w:val="00DA512C"/>
    <w:rsid w:val="00DA571E"/>
    <w:rsid w:val="00DA58CF"/>
    <w:rsid w:val="00DA5EF9"/>
    <w:rsid w:val="00DA6647"/>
    <w:rsid w:val="00DA6765"/>
    <w:rsid w:val="00DA6EAB"/>
    <w:rsid w:val="00DA6F04"/>
    <w:rsid w:val="00DA715C"/>
    <w:rsid w:val="00DA7202"/>
    <w:rsid w:val="00DA74AF"/>
    <w:rsid w:val="00DA7578"/>
    <w:rsid w:val="00DA7EEB"/>
    <w:rsid w:val="00DB000B"/>
    <w:rsid w:val="00DB003C"/>
    <w:rsid w:val="00DB0102"/>
    <w:rsid w:val="00DB0825"/>
    <w:rsid w:val="00DB0D8F"/>
    <w:rsid w:val="00DB13C3"/>
    <w:rsid w:val="00DB1442"/>
    <w:rsid w:val="00DB1485"/>
    <w:rsid w:val="00DB1489"/>
    <w:rsid w:val="00DB18D1"/>
    <w:rsid w:val="00DB19F1"/>
    <w:rsid w:val="00DB1DA5"/>
    <w:rsid w:val="00DB1DD6"/>
    <w:rsid w:val="00DB1E91"/>
    <w:rsid w:val="00DB213F"/>
    <w:rsid w:val="00DB23DA"/>
    <w:rsid w:val="00DB25AE"/>
    <w:rsid w:val="00DB2648"/>
    <w:rsid w:val="00DB2BED"/>
    <w:rsid w:val="00DB31EC"/>
    <w:rsid w:val="00DB36AB"/>
    <w:rsid w:val="00DB3A90"/>
    <w:rsid w:val="00DB3EE7"/>
    <w:rsid w:val="00DB41B1"/>
    <w:rsid w:val="00DB4410"/>
    <w:rsid w:val="00DB4EA3"/>
    <w:rsid w:val="00DB5117"/>
    <w:rsid w:val="00DB6031"/>
    <w:rsid w:val="00DB641D"/>
    <w:rsid w:val="00DB664A"/>
    <w:rsid w:val="00DB7463"/>
    <w:rsid w:val="00DB7536"/>
    <w:rsid w:val="00DB76E7"/>
    <w:rsid w:val="00DB79A0"/>
    <w:rsid w:val="00DB7EB8"/>
    <w:rsid w:val="00DC028A"/>
    <w:rsid w:val="00DC0319"/>
    <w:rsid w:val="00DC043F"/>
    <w:rsid w:val="00DC06D9"/>
    <w:rsid w:val="00DC11CF"/>
    <w:rsid w:val="00DC1432"/>
    <w:rsid w:val="00DC1465"/>
    <w:rsid w:val="00DC14AF"/>
    <w:rsid w:val="00DC1524"/>
    <w:rsid w:val="00DC1720"/>
    <w:rsid w:val="00DC1C83"/>
    <w:rsid w:val="00DC1D77"/>
    <w:rsid w:val="00DC1FF4"/>
    <w:rsid w:val="00DC2653"/>
    <w:rsid w:val="00DC26A4"/>
    <w:rsid w:val="00DC2C88"/>
    <w:rsid w:val="00DC2D65"/>
    <w:rsid w:val="00DC30EC"/>
    <w:rsid w:val="00DC3593"/>
    <w:rsid w:val="00DC3633"/>
    <w:rsid w:val="00DC3921"/>
    <w:rsid w:val="00DC3A0C"/>
    <w:rsid w:val="00DC3AB8"/>
    <w:rsid w:val="00DC3ACB"/>
    <w:rsid w:val="00DC3CC5"/>
    <w:rsid w:val="00DC3F11"/>
    <w:rsid w:val="00DC3FD4"/>
    <w:rsid w:val="00DC4108"/>
    <w:rsid w:val="00DC4582"/>
    <w:rsid w:val="00DC47B5"/>
    <w:rsid w:val="00DC4980"/>
    <w:rsid w:val="00DC4EC7"/>
    <w:rsid w:val="00DC4F00"/>
    <w:rsid w:val="00DC4F64"/>
    <w:rsid w:val="00DC4FF1"/>
    <w:rsid w:val="00DC50C5"/>
    <w:rsid w:val="00DC561E"/>
    <w:rsid w:val="00DC56C7"/>
    <w:rsid w:val="00DC5850"/>
    <w:rsid w:val="00DC5AF3"/>
    <w:rsid w:val="00DC5B75"/>
    <w:rsid w:val="00DC5D1E"/>
    <w:rsid w:val="00DC5EB2"/>
    <w:rsid w:val="00DC5FAA"/>
    <w:rsid w:val="00DC6009"/>
    <w:rsid w:val="00DC626B"/>
    <w:rsid w:val="00DC62AF"/>
    <w:rsid w:val="00DC646D"/>
    <w:rsid w:val="00DC64A7"/>
    <w:rsid w:val="00DC65ED"/>
    <w:rsid w:val="00DC66F4"/>
    <w:rsid w:val="00DC6A08"/>
    <w:rsid w:val="00DC6A35"/>
    <w:rsid w:val="00DC6AE7"/>
    <w:rsid w:val="00DC6CC2"/>
    <w:rsid w:val="00DC709C"/>
    <w:rsid w:val="00DC7BBD"/>
    <w:rsid w:val="00DC7D6B"/>
    <w:rsid w:val="00DC7E73"/>
    <w:rsid w:val="00DD0170"/>
    <w:rsid w:val="00DD02C0"/>
    <w:rsid w:val="00DD02CD"/>
    <w:rsid w:val="00DD0367"/>
    <w:rsid w:val="00DD08A8"/>
    <w:rsid w:val="00DD0953"/>
    <w:rsid w:val="00DD0B02"/>
    <w:rsid w:val="00DD0DF6"/>
    <w:rsid w:val="00DD0EA7"/>
    <w:rsid w:val="00DD0F52"/>
    <w:rsid w:val="00DD1513"/>
    <w:rsid w:val="00DD1A95"/>
    <w:rsid w:val="00DD1B72"/>
    <w:rsid w:val="00DD1DD9"/>
    <w:rsid w:val="00DD1FD5"/>
    <w:rsid w:val="00DD21BE"/>
    <w:rsid w:val="00DD2426"/>
    <w:rsid w:val="00DD2662"/>
    <w:rsid w:val="00DD298C"/>
    <w:rsid w:val="00DD2C81"/>
    <w:rsid w:val="00DD339A"/>
    <w:rsid w:val="00DD3651"/>
    <w:rsid w:val="00DD3849"/>
    <w:rsid w:val="00DD3A40"/>
    <w:rsid w:val="00DD3B08"/>
    <w:rsid w:val="00DD3B47"/>
    <w:rsid w:val="00DD3CDA"/>
    <w:rsid w:val="00DD3D87"/>
    <w:rsid w:val="00DD404D"/>
    <w:rsid w:val="00DD41E7"/>
    <w:rsid w:val="00DD4335"/>
    <w:rsid w:val="00DD4795"/>
    <w:rsid w:val="00DD48A3"/>
    <w:rsid w:val="00DD49F2"/>
    <w:rsid w:val="00DD52E8"/>
    <w:rsid w:val="00DD59BE"/>
    <w:rsid w:val="00DD5A19"/>
    <w:rsid w:val="00DD60BE"/>
    <w:rsid w:val="00DD62F7"/>
    <w:rsid w:val="00DD67C6"/>
    <w:rsid w:val="00DD67ED"/>
    <w:rsid w:val="00DD688E"/>
    <w:rsid w:val="00DD6910"/>
    <w:rsid w:val="00DD6AD8"/>
    <w:rsid w:val="00DD6C6C"/>
    <w:rsid w:val="00DD706D"/>
    <w:rsid w:val="00DD70D5"/>
    <w:rsid w:val="00DD7D45"/>
    <w:rsid w:val="00DD7DE3"/>
    <w:rsid w:val="00DE021B"/>
    <w:rsid w:val="00DE0A24"/>
    <w:rsid w:val="00DE0BE2"/>
    <w:rsid w:val="00DE0E41"/>
    <w:rsid w:val="00DE1F4F"/>
    <w:rsid w:val="00DE2496"/>
    <w:rsid w:val="00DE24D0"/>
    <w:rsid w:val="00DE2504"/>
    <w:rsid w:val="00DE2C16"/>
    <w:rsid w:val="00DE2CF8"/>
    <w:rsid w:val="00DE2E98"/>
    <w:rsid w:val="00DE3451"/>
    <w:rsid w:val="00DE3B7F"/>
    <w:rsid w:val="00DE3D44"/>
    <w:rsid w:val="00DE3EFA"/>
    <w:rsid w:val="00DE4088"/>
    <w:rsid w:val="00DE4483"/>
    <w:rsid w:val="00DE4B88"/>
    <w:rsid w:val="00DE4B93"/>
    <w:rsid w:val="00DE50DE"/>
    <w:rsid w:val="00DE51CF"/>
    <w:rsid w:val="00DE5468"/>
    <w:rsid w:val="00DE5518"/>
    <w:rsid w:val="00DE5ABE"/>
    <w:rsid w:val="00DE5AE7"/>
    <w:rsid w:val="00DE617F"/>
    <w:rsid w:val="00DE634D"/>
    <w:rsid w:val="00DE6E41"/>
    <w:rsid w:val="00DE7099"/>
    <w:rsid w:val="00DE7179"/>
    <w:rsid w:val="00DE74FD"/>
    <w:rsid w:val="00DE7559"/>
    <w:rsid w:val="00DE76C2"/>
    <w:rsid w:val="00DF0FAA"/>
    <w:rsid w:val="00DF101F"/>
    <w:rsid w:val="00DF12F9"/>
    <w:rsid w:val="00DF1542"/>
    <w:rsid w:val="00DF290C"/>
    <w:rsid w:val="00DF2CB4"/>
    <w:rsid w:val="00DF2D68"/>
    <w:rsid w:val="00DF2D9B"/>
    <w:rsid w:val="00DF30E5"/>
    <w:rsid w:val="00DF33CC"/>
    <w:rsid w:val="00DF341B"/>
    <w:rsid w:val="00DF38AC"/>
    <w:rsid w:val="00DF38F8"/>
    <w:rsid w:val="00DF39E9"/>
    <w:rsid w:val="00DF428E"/>
    <w:rsid w:val="00DF431B"/>
    <w:rsid w:val="00DF497A"/>
    <w:rsid w:val="00DF4A36"/>
    <w:rsid w:val="00DF4A67"/>
    <w:rsid w:val="00DF4CBE"/>
    <w:rsid w:val="00DF52F5"/>
    <w:rsid w:val="00DF540A"/>
    <w:rsid w:val="00DF5CEC"/>
    <w:rsid w:val="00DF6235"/>
    <w:rsid w:val="00DF631E"/>
    <w:rsid w:val="00DF66C7"/>
    <w:rsid w:val="00DF6808"/>
    <w:rsid w:val="00DF6EDD"/>
    <w:rsid w:val="00DF6F58"/>
    <w:rsid w:val="00DF6FC0"/>
    <w:rsid w:val="00DF7233"/>
    <w:rsid w:val="00DF7268"/>
    <w:rsid w:val="00DF7317"/>
    <w:rsid w:val="00DF74D9"/>
    <w:rsid w:val="00DF767A"/>
    <w:rsid w:val="00DF7A7B"/>
    <w:rsid w:val="00DF7EC4"/>
    <w:rsid w:val="00E000F7"/>
    <w:rsid w:val="00E00341"/>
    <w:rsid w:val="00E00983"/>
    <w:rsid w:val="00E00C8B"/>
    <w:rsid w:val="00E00C8E"/>
    <w:rsid w:val="00E00FCA"/>
    <w:rsid w:val="00E0109B"/>
    <w:rsid w:val="00E01A73"/>
    <w:rsid w:val="00E01B70"/>
    <w:rsid w:val="00E01B8A"/>
    <w:rsid w:val="00E021E9"/>
    <w:rsid w:val="00E023C3"/>
    <w:rsid w:val="00E02571"/>
    <w:rsid w:val="00E029D4"/>
    <w:rsid w:val="00E02DFF"/>
    <w:rsid w:val="00E03496"/>
    <w:rsid w:val="00E0360B"/>
    <w:rsid w:val="00E03840"/>
    <w:rsid w:val="00E03A96"/>
    <w:rsid w:val="00E03BB8"/>
    <w:rsid w:val="00E03BD8"/>
    <w:rsid w:val="00E03F9D"/>
    <w:rsid w:val="00E04250"/>
    <w:rsid w:val="00E046B5"/>
    <w:rsid w:val="00E04FA8"/>
    <w:rsid w:val="00E04FB8"/>
    <w:rsid w:val="00E05065"/>
    <w:rsid w:val="00E05292"/>
    <w:rsid w:val="00E05A76"/>
    <w:rsid w:val="00E05D56"/>
    <w:rsid w:val="00E05E4E"/>
    <w:rsid w:val="00E05FC8"/>
    <w:rsid w:val="00E061F9"/>
    <w:rsid w:val="00E06239"/>
    <w:rsid w:val="00E064C9"/>
    <w:rsid w:val="00E0663C"/>
    <w:rsid w:val="00E067C4"/>
    <w:rsid w:val="00E06C6F"/>
    <w:rsid w:val="00E06DFC"/>
    <w:rsid w:val="00E06E44"/>
    <w:rsid w:val="00E0712E"/>
    <w:rsid w:val="00E0715E"/>
    <w:rsid w:val="00E072CB"/>
    <w:rsid w:val="00E0763A"/>
    <w:rsid w:val="00E079B8"/>
    <w:rsid w:val="00E07B89"/>
    <w:rsid w:val="00E100DC"/>
    <w:rsid w:val="00E10384"/>
    <w:rsid w:val="00E1043F"/>
    <w:rsid w:val="00E104D6"/>
    <w:rsid w:val="00E105A9"/>
    <w:rsid w:val="00E10A4F"/>
    <w:rsid w:val="00E10AB2"/>
    <w:rsid w:val="00E10DCF"/>
    <w:rsid w:val="00E11042"/>
    <w:rsid w:val="00E111E8"/>
    <w:rsid w:val="00E119FA"/>
    <w:rsid w:val="00E11A35"/>
    <w:rsid w:val="00E11A37"/>
    <w:rsid w:val="00E11CAA"/>
    <w:rsid w:val="00E11EBE"/>
    <w:rsid w:val="00E122E3"/>
    <w:rsid w:val="00E12660"/>
    <w:rsid w:val="00E132C6"/>
    <w:rsid w:val="00E13414"/>
    <w:rsid w:val="00E13AFE"/>
    <w:rsid w:val="00E13FC3"/>
    <w:rsid w:val="00E1449F"/>
    <w:rsid w:val="00E1465A"/>
    <w:rsid w:val="00E1482D"/>
    <w:rsid w:val="00E15056"/>
    <w:rsid w:val="00E154F3"/>
    <w:rsid w:val="00E155D9"/>
    <w:rsid w:val="00E15859"/>
    <w:rsid w:val="00E15B05"/>
    <w:rsid w:val="00E15DB1"/>
    <w:rsid w:val="00E16023"/>
    <w:rsid w:val="00E16124"/>
    <w:rsid w:val="00E1634E"/>
    <w:rsid w:val="00E167FE"/>
    <w:rsid w:val="00E16884"/>
    <w:rsid w:val="00E16C99"/>
    <w:rsid w:val="00E170E9"/>
    <w:rsid w:val="00E1723A"/>
    <w:rsid w:val="00E17388"/>
    <w:rsid w:val="00E17414"/>
    <w:rsid w:val="00E17552"/>
    <w:rsid w:val="00E1764C"/>
    <w:rsid w:val="00E17753"/>
    <w:rsid w:val="00E17845"/>
    <w:rsid w:val="00E209E6"/>
    <w:rsid w:val="00E214AA"/>
    <w:rsid w:val="00E219CC"/>
    <w:rsid w:val="00E21B03"/>
    <w:rsid w:val="00E21BFF"/>
    <w:rsid w:val="00E21EE4"/>
    <w:rsid w:val="00E21F4E"/>
    <w:rsid w:val="00E22445"/>
    <w:rsid w:val="00E22550"/>
    <w:rsid w:val="00E22603"/>
    <w:rsid w:val="00E2356A"/>
    <w:rsid w:val="00E23759"/>
    <w:rsid w:val="00E23A26"/>
    <w:rsid w:val="00E23CD5"/>
    <w:rsid w:val="00E241D1"/>
    <w:rsid w:val="00E24285"/>
    <w:rsid w:val="00E24719"/>
    <w:rsid w:val="00E24B3A"/>
    <w:rsid w:val="00E24D16"/>
    <w:rsid w:val="00E24D5A"/>
    <w:rsid w:val="00E24F1A"/>
    <w:rsid w:val="00E25625"/>
    <w:rsid w:val="00E25F48"/>
    <w:rsid w:val="00E25FC9"/>
    <w:rsid w:val="00E260A3"/>
    <w:rsid w:val="00E2613E"/>
    <w:rsid w:val="00E26913"/>
    <w:rsid w:val="00E26AB0"/>
    <w:rsid w:val="00E26B13"/>
    <w:rsid w:val="00E26D15"/>
    <w:rsid w:val="00E26E6D"/>
    <w:rsid w:val="00E26F0B"/>
    <w:rsid w:val="00E27017"/>
    <w:rsid w:val="00E273CC"/>
    <w:rsid w:val="00E276F7"/>
    <w:rsid w:val="00E27A06"/>
    <w:rsid w:val="00E27BA1"/>
    <w:rsid w:val="00E27DDB"/>
    <w:rsid w:val="00E30289"/>
    <w:rsid w:val="00E3052F"/>
    <w:rsid w:val="00E30938"/>
    <w:rsid w:val="00E30A82"/>
    <w:rsid w:val="00E30E6C"/>
    <w:rsid w:val="00E31617"/>
    <w:rsid w:val="00E31702"/>
    <w:rsid w:val="00E31B75"/>
    <w:rsid w:val="00E31B9D"/>
    <w:rsid w:val="00E31C69"/>
    <w:rsid w:val="00E31D91"/>
    <w:rsid w:val="00E31DCA"/>
    <w:rsid w:val="00E31DF8"/>
    <w:rsid w:val="00E31E94"/>
    <w:rsid w:val="00E32300"/>
    <w:rsid w:val="00E3242E"/>
    <w:rsid w:val="00E324BF"/>
    <w:rsid w:val="00E32931"/>
    <w:rsid w:val="00E32969"/>
    <w:rsid w:val="00E32A78"/>
    <w:rsid w:val="00E32F4D"/>
    <w:rsid w:val="00E32FD3"/>
    <w:rsid w:val="00E330C9"/>
    <w:rsid w:val="00E3330E"/>
    <w:rsid w:val="00E3351F"/>
    <w:rsid w:val="00E3362C"/>
    <w:rsid w:val="00E33992"/>
    <w:rsid w:val="00E33A81"/>
    <w:rsid w:val="00E33B85"/>
    <w:rsid w:val="00E33CA0"/>
    <w:rsid w:val="00E34086"/>
    <w:rsid w:val="00E3419B"/>
    <w:rsid w:val="00E34496"/>
    <w:rsid w:val="00E3451E"/>
    <w:rsid w:val="00E3471C"/>
    <w:rsid w:val="00E34C8A"/>
    <w:rsid w:val="00E34E77"/>
    <w:rsid w:val="00E34F5E"/>
    <w:rsid w:val="00E35149"/>
    <w:rsid w:val="00E353F6"/>
    <w:rsid w:val="00E35431"/>
    <w:rsid w:val="00E35554"/>
    <w:rsid w:val="00E357E6"/>
    <w:rsid w:val="00E35B53"/>
    <w:rsid w:val="00E35C98"/>
    <w:rsid w:val="00E35FE6"/>
    <w:rsid w:val="00E36004"/>
    <w:rsid w:val="00E36191"/>
    <w:rsid w:val="00E36274"/>
    <w:rsid w:val="00E36392"/>
    <w:rsid w:val="00E36BF6"/>
    <w:rsid w:val="00E36CC3"/>
    <w:rsid w:val="00E36D12"/>
    <w:rsid w:val="00E36DE3"/>
    <w:rsid w:val="00E371E8"/>
    <w:rsid w:val="00E37621"/>
    <w:rsid w:val="00E37731"/>
    <w:rsid w:val="00E37C7F"/>
    <w:rsid w:val="00E37DA1"/>
    <w:rsid w:val="00E40D98"/>
    <w:rsid w:val="00E40DAE"/>
    <w:rsid w:val="00E40F62"/>
    <w:rsid w:val="00E4116F"/>
    <w:rsid w:val="00E41292"/>
    <w:rsid w:val="00E41549"/>
    <w:rsid w:val="00E41557"/>
    <w:rsid w:val="00E41847"/>
    <w:rsid w:val="00E41C0F"/>
    <w:rsid w:val="00E41C18"/>
    <w:rsid w:val="00E41D7A"/>
    <w:rsid w:val="00E424DC"/>
    <w:rsid w:val="00E4285E"/>
    <w:rsid w:val="00E42A5D"/>
    <w:rsid w:val="00E42A7D"/>
    <w:rsid w:val="00E42FFD"/>
    <w:rsid w:val="00E43223"/>
    <w:rsid w:val="00E43246"/>
    <w:rsid w:val="00E43249"/>
    <w:rsid w:val="00E436A2"/>
    <w:rsid w:val="00E4385F"/>
    <w:rsid w:val="00E43A47"/>
    <w:rsid w:val="00E441B6"/>
    <w:rsid w:val="00E44779"/>
    <w:rsid w:val="00E44785"/>
    <w:rsid w:val="00E451E3"/>
    <w:rsid w:val="00E4567D"/>
    <w:rsid w:val="00E456C6"/>
    <w:rsid w:val="00E458D8"/>
    <w:rsid w:val="00E4592A"/>
    <w:rsid w:val="00E45B6B"/>
    <w:rsid w:val="00E45C73"/>
    <w:rsid w:val="00E45CAB"/>
    <w:rsid w:val="00E45E79"/>
    <w:rsid w:val="00E45F07"/>
    <w:rsid w:val="00E460D5"/>
    <w:rsid w:val="00E46156"/>
    <w:rsid w:val="00E461A2"/>
    <w:rsid w:val="00E468B0"/>
    <w:rsid w:val="00E46CED"/>
    <w:rsid w:val="00E47256"/>
    <w:rsid w:val="00E47635"/>
    <w:rsid w:val="00E501D3"/>
    <w:rsid w:val="00E50871"/>
    <w:rsid w:val="00E50B15"/>
    <w:rsid w:val="00E50DEB"/>
    <w:rsid w:val="00E514F6"/>
    <w:rsid w:val="00E518A7"/>
    <w:rsid w:val="00E519FD"/>
    <w:rsid w:val="00E51E0A"/>
    <w:rsid w:val="00E52057"/>
    <w:rsid w:val="00E527A2"/>
    <w:rsid w:val="00E529F5"/>
    <w:rsid w:val="00E52BAB"/>
    <w:rsid w:val="00E52CBA"/>
    <w:rsid w:val="00E52DCE"/>
    <w:rsid w:val="00E52F25"/>
    <w:rsid w:val="00E53319"/>
    <w:rsid w:val="00E5356B"/>
    <w:rsid w:val="00E53E00"/>
    <w:rsid w:val="00E53EFF"/>
    <w:rsid w:val="00E54023"/>
    <w:rsid w:val="00E54221"/>
    <w:rsid w:val="00E5439F"/>
    <w:rsid w:val="00E54450"/>
    <w:rsid w:val="00E54548"/>
    <w:rsid w:val="00E54C50"/>
    <w:rsid w:val="00E5579C"/>
    <w:rsid w:val="00E557DE"/>
    <w:rsid w:val="00E55D5D"/>
    <w:rsid w:val="00E55F2E"/>
    <w:rsid w:val="00E5650A"/>
    <w:rsid w:val="00E56B5D"/>
    <w:rsid w:val="00E56C85"/>
    <w:rsid w:val="00E5725F"/>
    <w:rsid w:val="00E5728D"/>
    <w:rsid w:val="00E57467"/>
    <w:rsid w:val="00E574EC"/>
    <w:rsid w:val="00E574ED"/>
    <w:rsid w:val="00E57565"/>
    <w:rsid w:val="00E5773E"/>
    <w:rsid w:val="00E57A4E"/>
    <w:rsid w:val="00E57D8D"/>
    <w:rsid w:val="00E57F9C"/>
    <w:rsid w:val="00E60118"/>
    <w:rsid w:val="00E60288"/>
    <w:rsid w:val="00E605B8"/>
    <w:rsid w:val="00E606A0"/>
    <w:rsid w:val="00E61100"/>
    <w:rsid w:val="00E61157"/>
    <w:rsid w:val="00E615B3"/>
    <w:rsid w:val="00E615F9"/>
    <w:rsid w:val="00E61737"/>
    <w:rsid w:val="00E617CE"/>
    <w:rsid w:val="00E6193C"/>
    <w:rsid w:val="00E62258"/>
    <w:rsid w:val="00E62268"/>
    <w:rsid w:val="00E62522"/>
    <w:rsid w:val="00E62834"/>
    <w:rsid w:val="00E62AAE"/>
    <w:rsid w:val="00E62BC2"/>
    <w:rsid w:val="00E63075"/>
    <w:rsid w:val="00E632C1"/>
    <w:rsid w:val="00E63DAA"/>
    <w:rsid w:val="00E63DD9"/>
    <w:rsid w:val="00E6408B"/>
    <w:rsid w:val="00E64129"/>
    <w:rsid w:val="00E64151"/>
    <w:rsid w:val="00E649E8"/>
    <w:rsid w:val="00E64BF3"/>
    <w:rsid w:val="00E64C34"/>
    <w:rsid w:val="00E64EC5"/>
    <w:rsid w:val="00E64FBD"/>
    <w:rsid w:val="00E651B3"/>
    <w:rsid w:val="00E6547E"/>
    <w:rsid w:val="00E656F5"/>
    <w:rsid w:val="00E6590A"/>
    <w:rsid w:val="00E65B0B"/>
    <w:rsid w:val="00E65D14"/>
    <w:rsid w:val="00E65EC1"/>
    <w:rsid w:val="00E6685C"/>
    <w:rsid w:val="00E67110"/>
    <w:rsid w:val="00E671E7"/>
    <w:rsid w:val="00E673DF"/>
    <w:rsid w:val="00E6768F"/>
    <w:rsid w:val="00E676F9"/>
    <w:rsid w:val="00E677F1"/>
    <w:rsid w:val="00E6784C"/>
    <w:rsid w:val="00E6788A"/>
    <w:rsid w:val="00E67D2C"/>
    <w:rsid w:val="00E70347"/>
    <w:rsid w:val="00E70425"/>
    <w:rsid w:val="00E7075C"/>
    <w:rsid w:val="00E7076E"/>
    <w:rsid w:val="00E708F7"/>
    <w:rsid w:val="00E70A1B"/>
    <w:rsid w:val="00E71573"/>
    <w:rsid w:val="00E715E0"/>
    <w:rsid w:val="00E716BB"/>
    <w:rsid w:val="00E717C5"/>
    <w:rsid w:val="00E71B18"/>
    <w:rsid w:val="00E71B5C"/>
    <w:rsid w:val="00E71D27"/>
    <w:rsid w:val="00E71F21"/>
    <w:rsid w:val="00E71FDA"/>
    <w:rsid w:val="00E7202A"/>
    <w:rsid w:val="00E721B5"/>
    <w:rsid w:val="00E7221D"/>
    <w:rsid w:val="00E72282"/>
    <w:rsid w:val="00E7259A"/>
    <w:rsid w:val="00E72DC9"/>
    <w:rsid w:val="00E72E87"/>
    <w:rsid w:val="00E73048"/>
    <w:rsid w:val="00E730D4"/>
    <w:rsid w:val="00E741DA"/>
    <w:rsid w:val="00E7471E"/>
    <w:rsid w:val="00E74BE2"/>
    <w:rsid w:val="00E74DB8"/>
    <w:rsid w:val="00E75181"/>
    <w:rsid w:val="00E756B0"/>
    <w:rsid w:val="00E75FB6"/>
    <w:rsid w:val="00E7615F"/>
    <w:rsid w:val="00E76596"/>
    <w:rsid w:val="00E7674F"/>
    <w:rsid w:val="00E76AE0"/>
    <w:rsid w:val="00E76BDA"/>
    <w:rsid w:val="00E76DAB"/>
    <w:rsid w:val="00E76F1C"/>
    <w:rsid w:val="00E77267"/>
    <w:rsid w:val="00E7743A"/>
    <w:rsid w:val="00E77A25"/>
    <w:rsid w:val="00E77E4B"/>
    <w:rsid w:val="00E77E76"/>
    <w:rsid w:val="00E77F7A"/>
    <w:rsid w:val="00E77FA3"/>
    <w:rsid w:val="00E80474"/>
    <w:rsid w:val="00E805C3"/>
    <w:rsid w:val="00E80870"/>
    <w:rsid w:val="00E80CD5"/>
    <w:rsid w:val="00E80DE0"/>
    <w:rsid w:val="00E811AA"/>
    <w:rsid w:val="00E81A87"/>
    <w:rsid w:val="00E81AC2"/>
    <w:rsid w:val="00E81C2D"/>
    <w:rsid w:val="00E81FBF"/>
    <w:rsid w:val="00E820C4"/>
    <w:rsid w:val="00E82562"/>
    <w:rsid w:val="00E82BD3"/>
    <w:rsid w:val="00E83948"/>
    <w:rsid w:val="00E839FC"/>
    <w:rsid w:val="00E83C42"/>
    <w:rsid w:val="00E83CF9"/>
    <w:rsid w:val="00E83D64"/>
    <w:rsid w:val="00E83EB9"/>
    <w:rsid w:val="00E843E2"/>
    <w:rsid w:val="00E843F3"/>
    <w:rsid w:val="00E84A13"/>
    <w:rsid w:val="00E84D4D"/>
    <w:rsid w:val="00E854A2"/>
    <w:rsid w:val="00E85914"/>
    <w:rsid w:val="00E8593C"/>
    <w:rsid w:val="00E85CD5"/>
    <w:rsid w:val="00E86026"/>
    <w:rsid w:val="00E86567"/>
    <w:rsid w:val="00E86574"/>
    <w:rsid w:val="00E86B3E"/>
    <w:rsid w:val="00E86B7F"/>
    <w:rsid w:val="00E86EB4"/>
    <w:rsid w:val="00E87346"/>
    <w:rsid w:val="00E87E82"/>
    <w:rsid w:val="00E9006E"/>
    <w:rsid w:val="00E90408"/>
    <w:rsid w:val="00E908C7"/>
    <w:rsid w:val="00E908F4"/>
    <w:rsid w:val="00E90C33"/>
    <w:rsid w:val="00E91607"/>
    <w:rsid w:val="00E91797"/>
    <w:rsid w:val="00E91CE9"/>
    <w:rsid w:val="00E920E0"/>
    <w:rsid w:val="00E921D4"/>
    <w:rsid w:val="00E9244D"/>
    <w:rsid w:val="00E92530"/>
    <w:rsid w:val="00E928E7"/>
    <w:rsid w:val="00E92974"/>
    <w:rsid w:val="00E92C0A"/>
    <w:rsid w:val="00E92F98"/>
    <w:rsid w:val="00E9331D"/>
    <w:rsid w:val="00E93372"/>
    <w:rsid w:val="00E93627"/>
    <w:rsid w:val="00E93A31"/>
    <w:rsid w:val="00E93AC1"/>
    <w:rsid w:val="00E93C34"/>
    <w:rsid w:val="00E93F23"/>
    <w:rsid w:val="00E93FF0"/>
    <w:rsid w:val="00E94408"/>
    <w:rsid w:val="00E9447F"/>
    <w:rsid w:val="00E9463B"/>
    <w:rsid w:val="00E947FD"/>
    <w:rsid w:val="00E94DBD"/>
    <w:rsid w:val="00E94FB6"/>
    <w:rsid w:val="00E9514D"/>
    <w:rsid w:val="00E95322"/>
    <w:rsid w:val="00E95490"/>
    <w:rsid w:val="00E9610D"/>
    <w:rsid w:val="00E962C6"/>
    <w:rsid w:val="00E96633"/>
    <w:rsid w:val="00E96742"/>
    <w:rsid w:val="00E968C1"/>
    <w:rsid w:val="00E96C04"/>
    <w:rsid w:val="00E96C7E"/>
    <w:rsid w:val="00E96CAD"/>
    <w:rsid w:val="00E96E6C"/>
    <w:rsid w:val="00E97139"/>
    <w:rsid w:val="00E9713D"/>
    <w:rsid w:val="00E97157"/>
    <w:rsid w:val="00E971F6"/>
    <w:rsid w:val="00E97730"/>
    <w:rsid w:val="00E97E18"/>
    <w:rsid w:val="00EA00D1"/>
    <w:rsid w:val="00EA0AA0"/>
    <w:rsid w:val="00EA0E54"/>
    <w:rsid w:val="00EA125D"/>
    <w:rsid w:val="00EA1633"/>
    <w:rsid w:val="00EA1769"/>
    <w:rsid w:val="00EA18E3"/>
    <w:rsid w:val="00EA1D8C"/>
    <w:rsid w:val="00EA28F7"/>
    <w:rsid w:val="00EA2C83"/>
    <w:rsid w:val="00EA2D11"/>
    <w:rsid w:val="00EA3153"/>
    <w:rsid w:val="00EA3221"/>
    <w:rsid w:val="00EA33A3"/>
    <w:rsid w:val="00EA3671"/>
    <w:rsid w:val="00EA3848"/>
    <w:rsid w:val="00EA3A12"/>
    <w:rsid w:val="00EA3C65"/>
    <w:rsid w:val="00EA3E96"/>
    <w:rsid w:val="00EA3FC5"/>
    <w:rsid w:val="00EA41EA"/>
    <w:rsid w:val="00EA4367"/>
    <w:rsid w:val="00EA4390"/>
    <w:rsid w:val="00EA4AC3"/>
    <w:rsid w:val="00EA568F"/>
    <w:rsid w:val="00EA5697"/>
    <w:rsid w:val="00EA599B"/>
    <w:rsid w:val="00EA604F"/>
    <w:rsid w:val="00EA63A5"/>
    <w:rsid w:val="00EA68DA"/>
    <w:rsid w:val="00EA6D9C"/>
    <w:rsid w:val="00EA7499"/>
    <w:rsid w:val="00EA76D2"/>
    <w:rsid w:val="00EA7753"/>
    <w:rsid w:val="00EA7852"/>
    <w:rsid w:val="00EA7C12"/>
    <w:rsid w:val="00EA7E22"/>
    <w:rsid w:val="00EA7F29"/>
    <w:rsid w:val="00EA84C2"/>
    <w:rsid w:val="00EB0276"/>
    <w:rsid w:val="00EB0629"/>
    <w:rsid w:val="00EB0B1F"/>
    <w:rsid w:val="00EB0DEA"/>
    <w:rsid w:val="00EB0DFE"/>
    <w:rsid w:val="00EB13C9"/>
    <w:rsid w:val="00EB14BC"/>
    <w:rsid w:val="00EB1D9B"/>
    <w:rsid w:val="00EB1E32"/>
    <w:rsid w:val="00EB1F63"/>
    <w:rsid w:val="00EB20EB"/>
    <w:rsid w:val="00EB23FF"/>
    <w:rsid w:val="00EB256F"/>
    <w:rsid w:val="00EB27BC"/>
    <w:rsid w:val="00EB2EF6"/>
    <w:rsid w:val="00EB2EFE"/>
    <w:rsid w:val="00EB3037"/>
    <w:rsid w:val="00EB310E"/>
    <w:rsid w:val="00EB33DC"/>
    <w:rsid w:val="00EB3627"/>
    <w:rsid w:val="00EB36DA"/>
    <w:rsid w:val="00EB3C52"/>
    <w:rsid w:val="00EB3F2F"/>
    <w:rsid w:val="00EB41A0"/>
    <w:rsid w:val="00EB488B"/>
    <w:rsid w:val="00EB48F2"/>
    <w:rsid w:val="00EB4934"/>
    <w:rsid w:val="00EB4EEF"/>
    <w:rsid w:val="00EB568E"/>
    <w:rsid w:val="00EB56F3"/>
    <w:rsid w:val="00EB5B09"/>
    <w:rsid w:val="00EB5CCE"/>
    <w:rsid w:val="00EB5D2C"/>
    <w:rsid w:val="00EB5E4B"/>
    <w:rsid w:val="00EB6930"/>
    <w:rsid w:val="00EB6A32"/>
    <w:rsid w:val="00EB6C17"/>
    <w:rsid w:val="00EB6CBF"/>
    <w:rsid w:val="00EB6FDC"/>
    <w:rsid w:val="00EB709D"/>
    <w:rsid w:val="00EB74E0"/>
    <w:rsid w:val="00EB74E7"/>
    <w:rsid w:val="00EB7687"/>
    <w:rsid w:val="00EB7CA1"/>
    <w:rsid w:val="00EB7F09"/>
    <w:rsid w:val="00EC02DE"/>
    <w:rsid w:val="00EC033C"/>
    <w:rsid w:val="00EC05C3"/>
    <w:rsid w:val="00EC09BA"/>
    <w:rsid w:val="00EC0A79"/>
    <w:rsid w:val="00EC0DAF"/>
    <w:rsid w:val="00EC0FAF"/>
    <w:rsid w:val="00EC104F"/>
    <w:rsid w:val="00EC1D17"/>
    <w:rsid w:val="00EC1EE7"/>
    <w:rsid w:val="00EC1FEB"/>
    <w:rsid w:val="00EC25F9"/>
    <w:rsid w:val="00EC2724"/>
    <w:rsid w:val="00EC27EB"/>
    <w:rsid w:val="00EC2B16"/>
    <w:rsid w:val="00EC2D0D"/>
    <w:rsid w:val="00EC3131"/>
    <w:rsid w:val="00EC31A6"/>
    <w:rsid w:val="00EC3323"/>
    <w:rsid w:val="00EC33A0"/>
    <w:rsid w:val="00EC35ED"/>
    <w:rsid w:val="00EC365E"/>
    <w:rsid w:val="00EC387D"/>
    <w:rsid w:val="00EC3A33"/>
    <w:rsid w:val="00EC3AEB"/>
    <w:rsid w:val="00EC4304"/>
    <w:rsid w:val="00EC4437"/>
    <w:rsid w:val="00EC44C1"/>
    <w:rsid w:val="00EC469B"/>
    <w:rsid w:val="00EC4836"/>
    <w:rsid w:val="00EC4B9A"/>
    <w:rsid w:val="00EC4D4C"/>
    <w:rsid w:val="00EC5088"/>
    <w:rsid w:val="00EC54B7"/>
    <w:rsid w:val="00EC5F42"/>
    <w:rsid w:val="00EC65CE"/>
    <w:rsid w:val="00EC6866"/>
    <w:rsid w:val="00EC6D37"/>
    <w:rsid w:val="00EC6E93"/>
    <w:rsid w:val="00EC6F9C"/>
    <w:rsid w:val="00EC72A5"/>
    <w:rsid w:val="00EC72A8"/>
    <w:rsid w:val="00EC766F"/>
    <w:rsid w:val="00EC781B"/>
    <w:rsid w:val="00EC7990"/>
    <w:rsid w:val="00EC7B89"/>
    <w:rsid w:val="00EC7EBE"/>
    <w:rsid w:val="00EC7FD1"/>
    <w:rsid w:val="00ED00B9"/>
    <w:rsid w:val="00ED07DD"/>
    <w:rsid w:val="00ED0848"/>
    <w:rsid w:val="00ED15BE"/>
    <w:rsid w:val="00ED16A1"/>
    <w:rsid w:val="00ED17FF"/>
    <w:rsid w:val="00ED197E"/>
    <w:rsid w:val="00ED2DCB"/>
    <w:rsid w:val="00ED2E17"/>
    <w:rsid w:val="00ED2E51"/>
    <w:rsid w:val="00ED2F98"/>
    <w:rsid w:val="00ED30DF"/>
    <w:rsid w:val="00ED396E"/>
    <w:rsid w:val="00ED3B3D"/>
    <w:rsid w:val="00ED3D7E"/>
    <w:rsid w:val="00ED3EB0"/>
    <w:rsid w:val="00ED4407"/>
    <w:rsid w:val="00ED492B"/>
    <w:rsid w:val="00ED4A6C"/>
    <w:rsid w:val="00ED4E6F"/>
    <w:rsid w:val="00ED4F64"/>
    <w:rsid w:val="00ED527C"/>
    <w:rsid w:val="00ED5E38"/>
    <w:rsid w:val="00ED5F09"/>
    <w:rsid w:val="00ED69EA"/>
    <w:rsid w:val="00ED6DCE"/>
    <w:rsid w:val="00ED7B34"/>
    <w:rsid w:val="00ED7D76"/>
    <w:rsid w:val="00ED7E07"/>
    <w:rsid w:val="00ED7F93"/>
    <w:rsid w:val="00EE00AB"/>
    <w:rsid w:val="00EE0579"/>
    <w:rsid w:val="00EE0B33"/>
    <w:rsid w:val="00EE0BB2"/>
    <w:rsid w:val="00EE107F"/>
    <w:rsid w:val="00EE15A7"/>
    <w:rsid w:val="00EE1FFA"/>
    <w:rsid w:val="00EE2017"/>
    <w:rsid w:val="00EE2205"/>
    <w:rsid w:val="00EE23F4"/>
    <w:rsid w:val="00EE251A"/>
    <w:rsid w:val="00EE2794"/>
    <w:rsid w:val="00EE28CD"/>
    <w:rsid w:val="00EE2994"/>
    <w:rsid w:val="00EE29A9"/>
    <w:rsid w:val="00EE2BEE"/>
    <w:rsid w:val="00EE2F5B"/>
    <w:rsid w:val="00EE359E"/>
    <w:rsid w:val="00EE3620"/>
    <w:rsid w:val="00EE387A"/>
    <w:rsid w:val="00EE3986"/>
    <w:rsid w:val="00EE3B4E"/>
    <w:rsid w:val="00EE3C0D"/>
    <w:rsid w:val="00EE3E9E"/>
    <w:rsid w:val="00EE4490"/>
    <w:rsid w:val="00EE459F"/>
    <w:rsid w:val="00EE4602"/>
    <w:rsid w:val="00EE4CAF"/>
    <w:rsid w:val="00EE4CE6"/>
    <w:rsid w:val="00EE4E34"/>
    <w:rsid w:val="00EE4EEF"/>
    <w:rsid w:val="00EE50DD"/>
    <w:rsid w:val="00EE584B"/>
    <w:rsid w:val="00EE5C3A"/>
    <w:rsid w:val="00EE5C8E"/>
    <w:rsid w:val="00EE6430"/>
    <w:rsid w:val="00EE652E"/>
    <w:rsid w:val="00EE65CB"/>
    <w:rsid w:val="00EE67FC"/>
    <w:rsid w:val="00EE6832"/>
    <w:rsid w:val="00EE6975"/>
    <w:rsid w:val="00EE70C0"/>
    <w:rsid w:val="00EE7375"/>
    <w:rsid w:val="00EE73BF"/>
    <w:rsid w:val="00EE79AE"/>
    <w:rsid w:val="00EE7C06"/>
    <w:rsid w:val="00EF078B"/>
    <w:rsid w:val="00EF0901"/>
    <w:rsid w:val="00EF098F"/>
    <w:rsid w:val="00EF0A78"/>
    <w:rsid w:val="00EF0A8F"/>
    <w:rsid w:val="00EF0C9E"/>
    <w:rsid w:val="00EF1161"/>
    <w:rsid w:val="00EF1296"/>
    <w:rsid w:val="00EF13AC"/>
    <w:rsid w:val="00EF14BB"/>
    <w:rsid w:val="00EF1755"/>
    <w:rsid w:val="00EF1E8A"/>
    <w:rsid w:val="00EF2182"/>
    <w:rsid w:val="00EF284B"/>
    <w:rsid w:val="00EF286C"/>
    <w:rsid w:val="00EF29DD"/>
    <w:rsid w:val="00EF2B0A"/>
    <w:rsid w:val="00EF2E21"/>
    <w:rsid w:val="00EF2F3B"/>
    <w:rsid w:val="00EF3514"/>
    <w:rsid w:val="00EF3D58"/>
    <w:rsid w:val="00EF42EC"/>
    <w:rsid w:val="00EF44AF"/>
    <w:rsid w:val="00EF51E2"/>
    <w:rsid w:val="00EF54F7"/>
    <w:rsid w:val="00EF55BE"/>
    <w:rsid w:val="00EF56C5"/>
    <w:rsid w:val="00EF573D"/>
    <w:rsid w:val="00EF579C"/>
    <w:rsid w:val="00EF57FF"/>
    <w:rsid w:val="00EF5A0E"/>
    <w:rsid w:val="00EF5A9F"/>
    <w:rsid w:val="00EF5BB8"/>
    <w:rsid w:val="00EF5EF9"/>
    <w:rsid w:val="00EF650F"/>
    <w:rsid w:val="00EF6537"/>
    <w:rsid w:val="00EF6897"/>
    <w:rsid w:val="00EF68C4"/>
    <w:rsid w:val="00EF6BAD"/>
    <w:rsid w:val="00EF7063"/>
    <w:rsid w:val="00EF7084"/>
    <w:rsid w:val="00EF71A7"/>
    <w:rsid w:val="00EF73C2"/>
    <w:rsid w:val="00EF76EB"/>
    <w:rsid w:val="00EF781C"/>
    <w:rsid w:val="00EF79CC"/>
    <w:rsid w:val="00EF7B83"/>
    <w:rsid w:val="00EF7C61"/>
    <w:rsid w:val="00EF7D5E"/>
    <w:rsid w:val="00EF7EC2"/>
    <w:rsid w:val="00EF7FC7"/>
    <w:rsid w:val="00F00175"/>
    <w:rsid w:val="00F0043D"/>
    <w:rsid w:val="00F0048F"/>
    <w:rsid w:val="00F00584"/>
    <w:rsid w:val="00F00C7C"/>
    <w:rsid w:val="00F00DA8"/>
    <w:rsid w:val="00F00FC2"/>
    <w:rsid w:val="00F00FDA"/>
    <w:rsid w:val="00F01084"/>
    <w:rsid w:val="00F01206"/>
    <w:rsid w:val="00F01960"/>
    <w:rsid w:val="00F01B17"/>
    <w:rsid w:val="00F01E1F"/>
    <w:rsid w:val="00F02247"/>
    <w:rsid w:val="00F02371"/>
    <w:rsid w:val="00F02600"/>
    <w:rsid w:val="00F02A41"/>
    <w:rsid w:val="00F02AC2"/>
    <w:rsid w:val="00F032BF"/>
    <w:rsid w:val="00F03412"/>
    <w:rsid w:val="00F03533"/>
    <w:rsid w:val="00F03715"/>
    <w:rsid w:val="00F03764"/>
    <w:rsid w:val="00F03AD5"/>
    <w:rsid w:val="00F03B14"/>
    <w:rsid w:val="00F03B39"/>
    <w:rsid w:val="00F04052"/>
    <w:rsid w:val="00F0485A"/>
    <w:rsid w:val="00F04C93"/>
    <w:rsid w:val="00F04FED"/>
    <w:rsid w:val="00F051F2"/>
    <w:rsid w:val="00F05568"/>
    <w:rsid w:val="00F05A0E"/>
    <w:rsid w:val="00F05D3E"/>
    <w:rsid w:val="00F061B3"/>
    <w:rsid w:val="00F06673"/>
    <w:rsid w:val="00F066B7"/>
    <w:rsid w:val="00F066EB"/>
    <w:rsid w:val="00F067E2"/>
    <w:rsid w:val="00F0695E"/>
    <w:rsid w:val="00F06961"/>
    <w:rsid w:val="00F0726E"/>
    <w:rsid w:val="00F07324"/>
    <w:rsid w:val="00F075DF"/>
    <w:rsid w:val="00F0785B"/>
    <w:rsid w:val="00F07BAA"/>
    <w:rsid w:val="00F1002F"/>
    <w:rsid w:val="00F100C4"/>
    <w:rsid w:val="00F10185"/>
    <w:rsid w:val="00F1066F"/>
    <w:rsid w:val="00F107A2"/>
    <w:rsid w:val="00F10877"/>
    <w:rsid w:val="00F10922"/>
    <w:rsid w:val="00F10989"/>
    <w:rsid w:val="00F10CD3"/>
    <w:rsid w:val="00F10D84"/>
    <w:rsid w:val="00F11565"/>
    <w:rsid w:val="00F11999"/>
    <w:rsid w:val="00F123E1"/>
    <w:rsid w:val="00F12485"/>
    <w:rsid w:val="00F12E56"/>
    <w:rsid w:val="00F12F0E"/>
    <w:rsid w:val="00F1350D"/>
    <w:rsid w:val="00F13577"/>
    <w:rsid w:val="00F13BB4"/>
    <w:rsid w:val="00F13C8C"/>
    <w:rsid w:val="00F13D9C"/>
    <w:rsid w:val="00F1415F"/>
    <w:rsid w:val="00F14201"/>
    <w:rsid w:val="00F1461A"/>
    <w:rsid w:val="00F1481D"/>
    <w:rsid w:val="00F14AA4"/>
    <w:rsid w:val="00F14CF3"/>
    <w:rsid w:val="00F14D0D"/>
    <w:rsid w:val="00F14DE0"/>
    <w:rsid w:val="00F1508C"/>
    <w:rsid w:val="00F15501"/>
    <w:rsid w:val="00F1578E"/>
    <w:rsid w:val="00F1596D"/>
    <w:rsid w:val="00F15EB7"/>
    <w:rsid w:val="00F16023"/>
    <w:rsid w:val="00F1625D"/>
    <w:rsid w:val="00F16D4B"/>
    <w:rsid w:val="00F175C6"/>
    <w:rsid w:val="00F176B4"/>
    <w:rsid w:val="00F17972"/>
    <w:rsid w:val="00F17A53"/>
    <w:rsid w:val="00F17BA0"/>
    <w:rsid w:val="00F17C48"/>
    <w:rsid w:val="00F17F68"/>
    <w:rsid w:val="00F20502"/>
    <w:rsid w:val="00F20763"/>
    <w:rsid w:val="00F20886"/>
    <w:rsid w:val="00F208AD"/>
    <w:rsid w:val="00F211EE"/>
    <w:rsid w:val="00F218E8"/>
    <w:rsid w:val="00F21E34"/>
    <w:rsid w:val="00F21ECA"/>
    <w:rsid w:val="00F22329"/>
    <w:rsid w:val="00F2239E"/>
    <w:rsid w:val="00F227C8"/>
    <w:rsid w:val="00F22ACF"/>
    <w:rsid w:val="00F230D3"/>
    <w:rsid w:val="00F232FA"/>
    <w:rsid w:val="00F23567"/>
    <w:rsid w:val="00F237A2"/>
    <w:rsid w:val="00F23CB7"/>
    <w:rsid w:val="00F245C6"/>
    <w:rsid w:val="00F245E2"/>
    <w:rsid w:val="00F24BF6"/>
    <w:rsid w:val="00F2538C"/>
    <w:rsid w:val="00F253C3"/>
    <w:rsid w:val="00F253C4"/>
    <w:rsid w:val="00F25459"/>
    <w:rsid w:val="00F257B5"/>
    <w:rsid w:val="00F2590E"/>
    <w:rsid w:val="00F25E9C"/>
    <w:rsid w:val="00F260EE"/>
    <w:rsid w:val="00F2612F"/>
    <w:rsid w:val="00F268BE"/>
    <w:rsid w:val="00F26C40"/>
    <w:rsid w:val="00F26F97"/>
    <w:rsid w:val="00F2710B"/>
    <w:rsid w:val="00F2720E"/>
    <w:rsid w:val="00F275F2"/>
    <w:rsid w:val="00F2776D"/>
    <w:rsid w:val="00F27F74"/>
    <w:rsid w:val="00F300E1"/>
    <w:rsid w:val="00F3026D"/>
    <w:rsid w:val="00F3061C"/>
    <w:rsid w:val="00F30E79"/>
    <w:rsid w:val="00F31244"/>
    <w:rsid w:val="00F31410"/>
    <w:rsid w:val="00F31520"/>
    <w:rsid w:val="00F315A6"/>
    <w:rsid w:val="00F31618"/>
    <w:rsid w:val="00F3166C"/>
    <w:rsid w:val="00F3200A"/>
    <w:rsid w:val="00F32162"/>
    <w:rsid w:val="00F3258A"/>
    <w:rsid w:val="00F32881"/>
    <w:rsid w:val="00F32B5F"/>
    <w:rsid w:val="00F33236"/>
    <w:rsid w:val="00F3343E"/>
    <w:rsid w:val="00F33721"/>
    <w:rsid w:val="00F337A2"/>
    <w:rsid w:val="00F33A27"/>
    <w:rsid w:val="00F33ABB"/>
    <w:rsid w:val="00F33E42"/>
    <w:rsid w:val="00F33ED9"/>
    <w:rsid w:val="00F33FE2"/>
    <w:rsid w:val="00F346E6"/>
    <w:rsid w:val="00F34E11"/>
    <w:rsid w:val="00F35012"/>
    <w:rsid w:val="00F357A9"/>
    <w:rsid w:val="00F35FC1"/>
    <w:rsid w:val="00F36135"/>
    <w:rsid w:val="00F36546"/>
    <w:rsid w:val="00F36580"/>
    <w:rsid w:val="00F365E7"/>
    <w:rsid w:val="00F36A10"/>
    <w:rsid w:val="00F36F57"/>
    <w:rsid w:val="00F3715E"/>
    <w:rsid w:val="00F372BE"/>
    <w:rsid w:val="00F377CE"/>
    <w:rsid w:val="00F37DA6"/>
    <w:rsid w:val="00F37DDF"/>
    <w:rsid w:val="00F37E81"/>
    <w:rsid w:val="00F40803"/>
    <w:rsid w:val="00F40864"/>
    <w:rsid w:val="00F409EB"/>
    <w:rsid w:val="00F409F4"/>
    <w:rsid w:val="00F40D1C"/>
    <w:rsid w:val="00F41043"/>
    <w:rsid w:val="00F4107F"/>
    <w:rsid w:val="00F41375"/>
    <w:rsid w:val="00F424B9"/>
    <w:rsid w:val="00F42BA8"/>
    <w:rsid w:val="00F4326D"/>
    <w:rsid w:val="00F43362"/>
    <w:rsid w:val="00F435C2"/>
    <w:rsid w:val="00F43BAE"/>
    <w:rsid w:val="00F440C8"/>
    <w:rsid w:val="00F44108"/>
    <w:rsid w:val="00F445B0"/>
    <w:rsid w:val="00F4461E"/>
    <w:rsid w:val="00F44895"/>
    <w:rsid w:val="00F44A0A"/>
    <w:rsid w:val="00F45219"/>
    <w:rsid w:val="00F45291"/>
    <w:rsid w:val="00F460BF"/>
    <w:rsid w:val="00F46491"/>
    <w:rsid w:val="00F46532"/>
    <w:rsid w:val="00F4698F"/>
    <w:rsid w:val="00F469F9"/>
    <w:rsid w:val="00F46BFB"/>
    <w:rsid w:val="00F46C65"/>
    <w:rsid w:val="00F470C6"/>
    <w:rsid w:val="00F47417"/>
    <w:rsid w:val="00F47507"/>
    <w:rsid w:val="00F47625"/>
    <w:rsid w:val="00F478A1"/>
    <w:rsid w:val="00F47C70"/>
    <w:rsid w:val="00F47F0D"/>
    <w:rsid w:val="00F501F9"/>
    <w:rsid w:val="00F50238"/>
    <w:rsid w:val="00F50351"/>
    <w:rsid w:val="00F5036A"/>
    <w:rsid w:val="00F5057D"/>
    <w:rsid w:val="00F50585"/>
    <w:rsid w:val="00F5082F"/>
    <w:rsid w:val="00F50E12"/>
    <w:rsid w:val="00F51005"/>
    <w:rsid w:val="00F51054"/>
    <w:rsid w:val="00F51315"/>
    <w:rsid w:val="00F516E3"/>
    <w:rsid w:val="00F51723"/>
    <w:rsid w:val="00F519FF"/>
    <w:rsid w:val="00F51AE7"/>
    <w:rsid w:val="00F51CEB"/>
    <w:rsid w:val="00F51FD8"/>
    <w:rsid w:val="00F523AD"/>
    <w:rsid w:val="00F52515"/>
    <w:rsid w:val="00F52533"/>
    <w:rsid w:val="00F528AB"/>
    <w:rsid w:val="00F528C5"/>
    <w:rsid w:val="00F52965"/>
    <w:rsid w:val="00F530EB"/>
    <w:rsid w:val="00F53486"/>
    <w:rsid w:val="00F53AF2"/>
    <w:rsid w:val="00F53C52"/>
    <w:rsid w:val="00F54001"/>
    <w:rsid w:val="00F544D1"/>
    <w:rsid w:val="00F54832"/>
    <w:rsid w:val="00F55259"/>
    <w:rsid w:val="00F5573D"/>
    <w:rsid w:val="00F55B06"/>
    <w:rsid w:val="00F56326"/>
    <w:rsid w:val="00F56334"/>
    <w:rsid w:val="00F566D1"/>
    <w:rsid w:val="00F56DBF"/>
    <w:rsid w:val="00F56E6C"/>
    <w:rsid w:val="00F56E78"/>
    <w:rsid w:val="00F574BB"/>
    <w:rsid w:val="00F57885"/>
    <w:rsid w:val="00F579C3"/>
    <w:rsid w:val="00F57A93"/>
    <w:rsid w:val="00F57AD4"/>
    <w:rsid w:val="00F57C70"/>
    <w:rsid w:val="00F57CFA"/>
    <w:rsid w:val="00F6090D"/>
    <w:rsid w:val="00F60B95"/>
    <w:rsid w:val="00F60D23"/>
    <w:rsid w:val="00F60F1C"/>
    <w:rsid w:val="00F60FE6"/>
    <w:rsid w:val="00F61BA9"/>
    <w:rsid w:val="00F61BF1"/>
    <w:rsid w:val="00F61E15"/>
    <w:rsid w:val="00F62089"/>
    <w:rsid w:val="00F62661"/>
    <w:rsid w:val="00F6269F"/>
    <w:rsid w:val="00F62961"/>
    <w:rsid w:val="00F62B41"/>
    <w:rsid w:val="00F62D4B"/>
    <w:rsid w:val="00F637E3"/>
    <w:rsid w:val="00F63A22"/>
    <w:rsid w:val="00F63A72"/>
    <w:rsid w:val="00F63D2F"/>
    <w:rsid w:val="00F63E0A"/>
    <w:rsid w:val="00F64602"/>
    <w:rsid w:val="00F648BD"/>
    <w:rsid w:val="00F6497F"/>
    <w:rsid w:val="00F64FE9"/>
    <w:rsid w:val="00F65495"/>
    <w:rsid w:val="00F65530"/>
    <w:rsid w:val="00F655BF"/>
    <w:rsid w:val="00F65811"/>
    <w:rsid w:val="00F65DE4"/>
    <w:rsid w:val="00F66058"/>
    <w:rsid w:val="00F66144"/>
    <w:rsid w:val="00F66153"/>
    <w:rsid w:val="00F66862"/>
    <w:rsid w:val="00F66896"/>
    <w:rsid w:val="00F66918"/>
    <w:rsid w:val="00F66924"/>
    <w:rsid w:val="00F66F0C"/>
    <w:rsid w:val="00F6713F"/>
    <w:rsid w:val="00F67389"/>
    <w:rsid w:val="00F673DB"/>
    <w:rsid w:val="00F67599"/>
    <w:rsid w:val="00F675F7"/>
    <w:rsid w:val="00F67665"/>
    <w:rsid w:val="00F6768D"/>
    <w:rsid w:val="00F67943"/>
    <w:rsid w:val="00F67B9C"/>
    <w:rsid w:val="00F70212"/>
    <w:rsid w:val="00F70633"/>
    <w:rsid w:val="00F7084E"/>
    <w:rsid w:val="00F708F6"/>
    <w:rsid w:val="00F70CE4"/>
    <w:rsid w:val="00F7129F"/>
    <w:rsid w:val="00F71441"/>
    <w:rsid w:val="00F71A54"/>
    <w:rsid w:val="00F7236A"/>
    <w:rsid w:val="00F724C8"/>
    <w:rsid w:val="00F726BB"/>
    <w:rsid w:val="00F72987"/>
    <w:rsid w:val="00F72E5C"/>
    <w:rsid w:val="00F731A9"/>
    <w:rsid w:val="00F73713"/>
    <w:rsid w:val="00F73E56"/>
    <w:rsid w:val="00F73EC6"/>
    <w:rsid w:val="00F73FCE"/>
    <w:rsid w:val="00F74290"/>
    <w:rsid w:val="00F742F8"/>
    <w:rsid w:val="00F74375"/>
    <w:rsid w:val="00F74B51"/>
    <w:rsid w:val="00F74BAD"/>
    <w:rsid w:val="00F74D28"/>
    <w:rsid w:val="00F74E3B"/>
    <w:rsid w:val="00F75225"/>
    <w:rsid w:val="00F75232"/>
    <w:rsid w:val="00F7528A"/>
    <w:rsid w:val="00F753D3"/>
    <w:rsid w:val="00F75751"/>
    <w:rsid w:val="00F7589E"/>
    <w:rsid w:val="00F7592D"/>
    <w:rsid w:val="00F75CF2"/>
    <w:rsid w:val="00F75D9E"/>
    <w:rsid w:val="00F75DB1"/>
    <w:rsid w:val="00F75DF8"/>
    <w:rsid w:val="00F76315"/>
    <w:rsid w:val="00F765B6"/>
    <w:rsid w:val="00F76A8D"/>
    <w:rsid w:val="00F774C7"/>
    <w:rsid w:val="00F777DF"/>
    <w:rsid w:val="00F7791D"/>
    <w:rsid w:val="00F779CE"/>
    <w:rsid w:val="00F77A9F"/>
    <w:rsid w:val="00F77DDC"/>
    <w:rsid w:val="00F77E4B"/>
    <w:rsid w:val="00F77E8E"/>
    <w:rsid w:val="00F80394"/>
    <w:rsid w:val="00F80724"/>
    <w:rsid w:val="00F807DB"/>
    <w:rsid w:val="00F80A35"/>
    <w:rsid w:val="00F80D09"/>
    <w:rsid w:val="00F81362"/>
    <w:rsid w:val="00F8187F"/>
    <w:rsid w:val="00F81933"/>
    <w:rsid w:val="00F81B2E"/>
    <w:rsid w:val="00F81BBC"/>
    <w:rsid w:val="00F8214D"/>
    <w:rsid w:val="00F82472"/>
    <w:rsid w:val="00F825B6"/>
    <w:rsid w:val="00F82C7A"/>
    <w:rsid w:val="00F82F7F"/>
    <w:rsid w:val="00F83DB3"/>
    <w:rsid w:val="00F84191"/>
    <w:rsid w:val="00F842AB"/>
    <w:rsid w:val="00F84979"/>
    <w:rsid w:val="00F84A3D"/>
    <w:rsid w:val="00F84F9E"/>
    <w:rsid w:val="00F85162"/>
    <w:rsid w:val="00F85186"/>
    <w:rsid w:val="00F852BA"/>
    <w:rsid w:val="00F8543A"/>
    <w:rsid w:val="00F854EE"/>
    <w:rsid w:val="00F85651"/>
    <w:rsid w:val="00F8591C"/>
    <w:rsid w:val="00F85926"/>
    <w:rsid w:val="00F8612A"/>
    <w:rsid w:val="00F864C1"/>
    <w:rsid w:val="00F86C7E"/>
    <w:rsid w:val="00F86F9B"/>
    <w:rsid w:val="00F87502"/>
    <w:rsid w:val="00F8778D"/>
    <w:rsid w:val="00F87D88"/>
    <w:rsid w:val="00F87FBE"/>
    <w:rsid w:val="00F9069C"/>
    <w:rsid w:val="00F90759"/>
    <w:rsid w:val="00F907EA"/>
    <w:rsid w:val="00F910BF"/>
    <w:rsid w:val="00F91286"/>
    <w:rsid w:val="00F91353"/>
    <w:rsid w:val="00F9146D"/>
    <w:rsid w:val="00F915E4"/>
    <w:rsid w:val="00F9185F"/>
    <w:rsid w:val="00F91D77"/>
    <w:rsid w:val="00F91DB3"/>
    <w:rsid w:val="00F9234A"/>
    <w:rsid w:val="00F92382"/>
    <w:rsid w:val="00F92770"/>
    <w:rsid w:val="00F92F91"/>
    <w:rsid w:val="00F936A1"/>
    <w:rsid w:val="00F93D31"/>
    <w:rsid w:val="00F93EEB"/>
    <w:rsid w:val="00F94108"/>
    <w:rsid w:val="00F94B0D"/>
    <w:rsid w:val="00F94C72"/>
    <w:rsid w:val="00F94C85"/>
    <w:rsid w:val="00F94ED1"/>
    <w:rsid w:val="00F95236"/>
    <w:rsid w:val="00F95436"/>
    <w:rsid w:val="00F9598E"/>
    <w:rsid w:val="00F95DFF"/>
    <w:rsid w:val="00F96356"/>
    <w:rsid w:val="00F965FA"/>
    <w:rsid w:val="00F9678F"/>
    <w:rsid w:val="00F9684A"/>
    <w:rsid w:val="00F969AE"/>
    <w:rsid w:val="00F96F73"/>
    <w:rsid w:val="00F971E3"/>
    <w:rsid w:val="00F97672"/>
    <w:rsid w:val="00F97933"/>
    <w:rsid w:val="00F97994"/>
    <w:rsid w:val="00FA0456"/>
    <w:rsid w:val="00FA0825"/>
    <w:rsid w:val="00FA08AD"/>
    <w:rsid w:val="00FA09EE"/>
    <w:rsid w:val="00FA0C71"/>
    <w:rsid w:val="00FA105D"/>
    <w:rsid w:val="00FA1165"/>
    <w:rsid w:val="00FA1415"/>
    <w:rsid w:val="00FA1927"/>
    <w:rsid w:val="00FA218F"/>
    <w:rsid w:val="00FA23DA"/>
    <w:rsid w:val="00FA2509"/>
    <w:rsid w:val="00FA2842"/>
    <w:rsid w:val="00FA2A98"/>
    <w:rsid w:val="00FA2D67"/>
    <w:rsid w:val="00FA2F27"/>
    <w:rsid w:val="00FA34A2"/>
    <w:rsid w:val="00FA34E6"/>
    <w:rsid w:val="00FA382A"/>
    <w:rsid w:val="00FA38D4"/>
    <w:rsid w:val="00FA3CE4"/>
    <w:rsid w:val="00FA3DD4"/>
    <w:rsid w:val="00FA408D"/>
    <w:rsid w:val="00FA4150"/>
    <w:rsid w:val="00FA418C"/>
    <w:rsid w:val="00FA4506"/>
    <w:rsid w:val="00FA46AE"/>
    <w:rsid w:val="00FA48FD"/>
    <w:rsid w:val="00FA4CEF"/>
    <w:rsid w:val="00FA5089"/>
    <w:rsid w:val="00FA5766"/>
    <w:rsid w:val="00FA5B85"/>
    <w:rsid w:val="00FA5C98"/>
    <w:rsid w:val="00FA5DF0"/>
    <w:rsid w:val="00FA5E10"/>
    <w:rsid w:val="00FA5E7B"/>
    <w:rsid w:val="00FA6467"/>
    <w:rsid w:val="00FA67E7"/>
    <w:rsid w:val="00FA6D29"/>
    <w:rsid w:val="00FA6E00"/>
    <w:rsid w:val="00FA71C4"/>
    <w:rsid w:val="00FA7344"/>
    <w:rsid w:val="00FA7576"/>
    <w:rsid w:val="00FA768E"/>
    <w:rsid w:val="00FA79FD"/>
    <w:rsid w:val="00FA7C19"/>
    <w:rsid w:val="00FA7C43"/>
    <w:rsid w:val="00FA7D49"/>
    <w:rsid w:val="00FA7D7D"/>
    <w:rsid w:val="00FA7F0A"/>
    <w:rsid w:val="00FB0134"/>
    <w:rsid w:val="00FB02E1"/>
    <w:rsid w:val="00FB032A"/>
    <w:rsid w:val="00FB0955"/>
    <w:rsid w:val="00FB0DB2"/>
    <w:rsid w:val="00FB0E66"/>
    <w:rsid w:val="00FB0F59"/>
    <w:rsid w:val="00FB1018"/>
    <w:rsid w:val="00FB15B1"/>
    <w:rsid w:val="00FB18EE"/>
    <w:rsid w:val="00FB1C92"/>
    <w:rsid w:val="00FB1D0A"/>
    <w:rsid w:val="00FB1E67"/>
    <w:rsid w:val="00FB1E9A"/>
    <w:rsid w:val="00FB236B"/>
    <w:rsid w:val="00FB2397"/>
    <w:rsid w:val="00FB28C6"/>
    <w:rsid w:val="00FB2CF8"/>
    <w:rsid w:val="00FB2D6F"/>
    <w:rsid w:val="00FB2F0E"/>
    <w:rsid w:val="00FB2F21"/>
    <w:rsid w:val="00FB3075"/>
    <w:rsid w:val="00FB35D6"/>
    <w:rsid w:val="00FB363A"/>
    <w:rsid w:val="00FB382A"/>
    <w:rsid w:val="00FB3D62"/>
    <w:rsid w:val="00FB4732"/>
    <w:rsid w:val="00FB53CF"/>
    <w:rsid w:val="00FB53FA"/>
    <w:rsid w:val="00FB5510"/>
    <w:rsid w:val="00FB55B0"/>
    <w:rsid w:val="00FB55C5"/>
    <w:rsid w:val="00FB5864"/>
    <w:rsid w:val="00FB5895"/>
    <w:rsid w:val="00FB5B7C"/>
    <w:rsid w:val="00FB5C7B"/>
    <w:rsid w:val="00FB5DAB"/>
    <w:rsid w:val="00FB5DC9"/>
    <w:rsid w:val="00FB620D"/>
    <w:rsid w:val="00FB62A3"/>
    <w:rsid w:val="00FB64A8"/>
    <w:rsid w:val="00FB651C"/>
    <w:rsid w:val="00FB6F67"/>
    <w:rsid w:val="00FB72A8"/>
    <w:rsid w:val="00FB7607"/>
    <w:rsid w:val="00FB760D"/>
    <w:rsid w:val="00FB79B7"/>
    <w:rsid w:val="00FC030B"/>
    <w:rsid w:val="00FC07F5"/>
    <w:rsid w:val="00FC096D"/>
    <w:rsid w:val="00FC0AD7"/>
    <w:rsid w:val="00FC0D06"/>
    <w:rsid w:val="00FC0E78"/>
    <w:rsid w:val="00FC0F28"/>
    <w:rsid w:val="00FC0FAF"/>
    <w:rsid w:val="00FC10DE"/>
    <w:rsid w:val="00FC124A"/>
    <w:rsid w:val="00FC1299"/>
    <w:rsid w:val="00FC134E"/>
    <w:rsid w:val="00FC16DA"/>
    <w:rsid w:val="00FC1769"/>
    <w:rsid w:val="00FC2148"/>
    <w:rsid w:val="00FC2465"/>
    <w:rsid w:val="00FC24E9"/>
    <w:rsid w:val="00FC2515"/>
    <w:rsid w:val="00FC251F"/>
    <w:rsid w:val="00FC2978"/>
    <w:rsid w:val="00FC2D5F"/>
    <w:rsid w:val="00FC31D2"/>
    <w:rsid w:val="00FC34DF"/>
    <w:rsid w:val="00FC3661"/>
    <w:rsid w:val="00FC432C"/>
    <w:rsid w:val="00FC436E"/>
    <w:rsid w:val="00FC440D"/>
    <w:rsid w:val="00FC4D12"/>
    <w:rsid w:val="00FC4D73"/>
    <w:rsid w:val="00FC4E73"/>
    <w:rsid w:val="00FC50DA"/>
    <w:rsid w:val="00FC549C"/>
    <w:rsid w:val="00FC5603"/>
    <w:rsid w:val="00FC57CB"/>
    <w:rsid w:val="00FC594D"/>
    <w:rsid w:val="00FC5985"/>
    <w:rsid w:val="00FC5CF9"/>
    <w:rsid w:val="00FC5DAF"/>
    <w:rsid w:val="00FC5F93"/>
    <w:rsid w:val="00FC603B"/>
    <w:rsid w:val="00FC629E"/>
    <w:rsid w:val="00FC69C7"/>
    <w:rsid w:val="00FC6FDC"/>
    <w:rsid w:val="00FC7104"/>
    <w:rsid w:val="00FC7440"/>
    <w:rsid w:val="00FC7B6E"/>
    <w:rsid w:val="00FD02FB"/>
    <w:rsid w:val="00FD082E"/>
    <w:rsid w:val="00FD0854"/>
    <w:rsid w:val="00FD088B"/>
    <w:rsid w:val="00FD08DA"/>
    <w:rsid w:val="00FD0B28"/>
    <w:rsid w:val="00FD12D8"/>
    <w:rsid w:val="00FD16D4"/>
    <w:rsid w:val="00FD17BA"/>
    <w:rsid w:val="00FD18CD"/>
    <w:rsid w:val="00FD1BA5"/>
    <w:rsid w:val="00FD218E"/>
    <w:rsid w:val="00FD29B4"/>
    <w:rsid w:val="00FD2C9D"/>
    <w:rsid w:val="00FD2F36"/>
    <w:rsid w:val="00FD2F74"/>
    <w:rsid w:val="00FD3431"/>
    <w:rsid w:val="00FD3B94"/>
    <w:rsid w:val="00FD40DD"/>
    <w:rsid w:val="00FD41F9"/>
    <w:rsid w:val="00FD423C"/>
    <w:rsid w:val="00FD43B3"/>
    <w:rsid w:val="00FD478D"/>
    <w:rsid w:val="00FD48BC"/>
    <w:rsid w:val="00FD4B61"/>
    <w:rsid w:val="00FD6295"/>
    <w:rsid w:val="00FD6632"/>
    <w:rsid w:val="00FD69CF"/>
    <w:rsid w:val="00FD6A09"/>
    <w:rsid w:val="00FD6CCD"/>
    <w:rsid w:val="00FD70B2"/>
    <w:rsid w:val="00FD75B7"/>
    <w:rsid w:val="00FD7C02"/>
    <w:rsid w:val="00FE0160"/>
    <w:rsid w:val="00FE03D6"/>
    <w:rsid w:val="00FE0563"/>
    <w:rsid w:val="00FE0580"/>
    <w:rsid w:val="00FE0952"/>
    <w:rsid w:val="00FE0A12"/>
    <w:rsid w:val="00FE0FCD"/>
    <w:rsid w:val="00FE1118"/>
    <w:rsid w:val="00FE147C"/>
    <w:rsid w:val="00FE1530"/>
    <w:rsid w:val="00FE177C"/>
    <w:rsid w:val="00FE18CE"/>
    <w:rsid w:val="00FE1F09"/>
    <w:rsid w:val="00FE2088"/>
    <w:rsid w:val="00FE208A"/>
    <w:rsid w:val="00FE231D"/>
    <w:rsid w:val="00FE2473"/>
    <w:rsid w:val="00FE257A"/>
    <w:rsid w:val="00FE28CA"/>
    <w:rsid w:val="00FE2921"/>
    <w:rsid w:val="00FE2E9B"/>
    <w:rsid w:val="00FE3025"/>
    <w:rsid w:val="00FE36A1"/>
    <w:rsid w:val="00FE39AE"/>
    <w:rsid w:val="00FE39C9"/>
    <w:rsid w:val="00FE3B8E"/>
    <w:rsid w:val="00FE3F84"/>
    <w:rsid w:val="00FE4026"/>
    <w:rsid w:val="00FE40E5"/>
    <w:rsid w:val="00FE419C"/>
    <w:rsid w:val="00FE4739"/>
    <w:rsid w:val="00FE481A"/>
    <w:rsid w:val="00FE4DB2"/>
    <w:rsid w:val="00FE4E2E"/>
    <w:rsid w:val="00FE4FF0"/>
    <w:rsid w:val="00FE52C8"/>
    <w:rsid w:val="00FE5978"/>
    <w:rsid w:val="00FE5C92"/>
    <w:rsid w:val="00FE5E09"/>
    <w:rsid w:val="00FE681D"/>
    <w:rsid w:val="00FE6C2B"/>
    <w:rsid w:val="00FE70EF"/>
    <w:rsid w:val="00FE733F"/>
    <w:rsid w:val="00FE74DF"/>
    <w:rsid w:val="00FE772D"/>
    <w:rsid w:val="00FE7770"/>
    <w:rsid w:val="00FE77A8"/>
    <w:rsid w:val="00FE78F1"/>
    <w:rsid w:val="00FE7C27"/>
    <w:rsid w:val="00FE7C5D"/>
    <w:rsid w:val="00FE7FC0"/>
    <w:rsid w:val="00FF0551"/>
    <w:rsid w:val="00FF095D"/>
    <w:rsid w:val="00FF0ACB"/>
    <w:rsid w:val="00FF0C94"/>
    <w:rsid w:val="00FF0DBD"/>
    <w:rsid w:val="00FF0FD0"/>
    <w:rsid w:val="00FF17F2"/>
    <w:rsid w:val="00FF19A9"/>
    <w:rsid w:val="00FF2100"/>
    <w:rsid w:val="00FF225C"/>
    <w:rsid w:val="00FF241E"/>
    <w:rsid w:val="00FF260E"/>
    <w:rsid w:val="00FF277B"/>
    <w:rsid w:val="00FF2DCA"/>
    <w:rsid w:val="00FF2E51"/>
    <w:rsid w:val="00FF34F7"/>
    <w:rsid w:val="00FF382F"/>
    <w:rsid w:val="00FF3A07"/>
    <w:rsid w:val="00FF3BC2"/>
    <w:rsid w:val="00FF3FEA"/>
    <w:rsid w:val="00FF4699"/>
    <w:rsid w:val="00FF4C68"/>
    <w:rsid w:val="00FF4D9A"/>
    <w:rsid w:val="00FF4EEC"/>
    <w:rsid w:val="00FF5106"/>
    <w:rsid w:val="00FF5230"/>
    <w:rsid w:val="00FF56C8"/>
    <w:rsid w:val="00FF5962"/>
    <w:rsid w:val="00FF5C14"/>
    <w:rsid w:val="00FF5F70"/>
    <w:rsid w:val="00FF5FEC"/>
    <w:rsid w:val="00FF63D2"/>
    <w:rsid w:val="00FF64E6"/>
    <w:rsid w:val="00FF67D5"/>
    <w:rsid w:val="00FF683B"/>
    <w:rsid w:val="00FF69A5"/>
    <w:rsid w:val="00FF6E2F"/>
    <w:rsid w:val="00FF6F5A"/>
    <w:rsid w:val="00FF7406"/>
    <w:rsid w:val="00FF7592"/>
    <w:rsid w:val="00FF7A86"/>
    <w:rsid w:val="00FF7BF9"/>
    <w:rsid w:val="00FF7CCC"/>
    <w:rsid w:val="00FF7E34"/>
    <w:rsid w:val="00FF7E78"/>
    <w:rsid w:val="016E1197"/>
    <w:rsid w:val="0183A9A6"/>
    <w:rsid w:val="01BA906A"/>
    <w:rsid w:val="01CBB423"/>
    <w:rsid w:val="01CDAD5C"/>
    <w:rsid w:val="01E31618"/>
    <w:rsid w:val="01EE7C4C"/>
    <w:rsid w:val="02070F3D"/>
    <w:rsid w:val="02DA3F93"/>
    <w:rsid w:val="031583C3"/>
    <w:rsid w:val="0325A4A3"/>
    <w:rsid w:val="0366F05D"/>
    <w:rsid w:val="036FD6B1"/>
    <w:rsid w:val="03C2C691"/>
    <w:rsid w:val="03C55C66"/>
    <w:rsid w:val="0401B11A"/>
    <w:rsid w:val="041AC8E6"/>
    <w:rsid w:val="041BE158"/>
    <w:rsid w:val="04977301"/>
    <w:rsid w:val="04D22E00"/>
    <w:rsid w:val="04EA44A1"/>
    <w:rsid w:val="054A5C2B"/>
    <w:rsid w:val="05976CAB"/>
    <w:rsid w:val="05C5FB6E"/>
    <w:rsid w:val="0658267A"/>
    <w:rsid w:val="06597D4B"/>
    <w:rsid w:val="067025B2"/>
    <w:rsid w:val="06A99F29"/>
    <w:rsid w:val="06CCD259"/>
    <w:rsid w:val="07C9C17E"/>
    <w:rsid w:val="07CA1D42"/>
    <w:rsid w:val="07CDABDB"/>
    <w:rsid w:val="07EDDF5C"/>
    <w:rsid w:val="083A1F3E"/>
    <w:rsid w:val="08A38A0E"/>
    <w:rsid w:val="08ED1969"/>
    <w:rsid w:val="09353FBF"/>
    <w:rsid w:val="093BF6CA"/>
    <w:rsid w:val="0943DE77"/>
    <w:rsid w:val="098424E7"/>
    <w:rsid w:val="09FF35D0"/>
    <w:rsid w:val="0A4CCDA6"/>
    <w:rsid w:val="0A4E6764"/>
    <w:rsid w:val="0A7E2A32"/>
    <w:rsid w:val="0A9B5BD1"/>
    <w:rsid w:val="0B79B9A6"/>
    <w:rsid w:val="0C1A0C7A"/>
    <w:rsid w:val="0C49ECBF"/>
    <w:rsid w:val="0C77625D"/>
    <w:rsid w:val="0C7B972D"/>
    <w:rsid w:val="0C861816"/>
    <w:rsid w:val="0C984676"/>
    <w:rsid w:val="0D08E0B1"/>
    <w:rsid w:val="0D38065F"/>
    <w:rsid w:val="0D496364"/>
    <w:rsid w:val="0D56A798"/>
    <w:rsid w:val="0D895633"/>
    <w:rsid w:val="0D9A3306"/>
    <w:rsid w:val="0DF1A3A3"/>
    <w:rsid w:val="0EA62AFC"/>
    <w:rsid w:val="0EFE9B9C"/>
    <w:rsid w:val="0F17234E"/>
    <w:rsid w:val="0F5E8678"/>
    <w:rsid w:val="0F73F312"/>
    <w:rsid w:val="0FC3A7CB"/>
    <w:rsid w:val="108C3534"/>
    <w:rsid w:val="109BA418"/>
    <w:rsid w:val="110527B9"/>
    <w:rsid w:val="1118CCB5"/>
    <w:rsid w:val="11452BBF"/>
    <w:rsid w:val="1148F260"/>
    <w:rsid w:val="11551FED"/>
    <w:rsid w:val="1194D9BB"/>
    <w:rsid w:val="11976F90"/>
    <w:rsid w:val="1209842D"/>
    <w:rsid w:val="1260CA3E"/>
    <w:rsid w:val="1264B241"/>
    <w:rsid w:val="126B6124"/>
    <w:rsid w:val="12E14B54"/>
    <w:rsid w:val="1353D83F"/>
    <w:rsid w:val="137A01C1"/>
    <w:rsid w:val="139A11BE"/>
    <w:rsid w:val="13BC2B17"/>
    <w:rsid w:val="13FB6AA1"/>
    <w:rsid w:val="144873C6"/>
    <w:rsid w:val="147586EF"/>
    <w:rsid w:val="1478DBDB"/>
    <w:rsid w:val="14AAA173"/>
    <w:rsid w:val="152856A1"/>
    <w:rsid w:val="1528BB48"/>
    <w:rsid w:val="15DB88DF"/>
    <w:rsid w:val="15E4B568"/>
    <w:rsid w:val="16690221"/>
    <w:rsid w:val="16BECB24"/>
    <w:rsid w:val="16BF8A6A"/>
    <w:rsid w:val="1702054C"/>
    <w:rsid w:val="170D5189"/>
    <w:rsid w:val="17ED2487"/>
    <w:rsid w:val="183090C0"/>
    <w:rsid w:val="18F1BDEC"/>
    <w:rsid w:val="18F7271A"/>
    <w:rsid w:val="198517D4"/>
    <w:rsid w:val="19B325CF"/>
    <w:rsid w:val="1A16A56E"/>
    <w:rsid w:val="1A19F93C"/>
    <w:rsid w:val="1A638F0F"/>
    <w:rsid w:val="1B19A7A5"/>
    <w:rsid w:val="1B338672"/>
    <w:rsid w:val="1B4F2C7F"/>
    <w:rsid w:val="1BAB65AF"/>
    <w:rsid w:val="1CE261BF"/>
    <w:rsid w:val="1D63CD1E"/>
    <w:rsid w:val="1D783837"/>
    <w:rsid w:val="1D887DA6"/>
    <w:rsid w:val="1DAEA7D2"/>
    <w:rsid w:val="1E12B377"/>
    <w:rsid w:val="1E6E2CA0"/>
    <w:rsid w:val="1E7F0F0E"/>
    <w:rsid w:val="1E8528FA"/>
    <w:rsid w:val="1E92F113"/>
    <w:rsid w:val="1EBC54ED"/>
    <w:rsid w:val="1F378335"/>
    <w:rsid w:val="1F3FBE2E"/>
    <w:rsid w:val="1F4337E4"/>
    <w:rsid w:val="1F43B408"/>
    <w:rsid w:val="1F54B5EF"/>
    <w:rsid w:val="1F5C3B8D"/>
    <w:rsid w:val="1F7F010A"/>
    <w:rsid w:val="1F9741EC"/>
    <w:rsid w:val="201BE73B"/>
    <w:rsid w:val="2093565D"/>
    <w:rsid w:val="20A08CDE"/>
    <w:rsid w:val="20E2AAA4"/>
    <w:rsid w:val="20F3EC15"/>
    <w:rsid w:val="2120C5B8"/>
    <w:rsid w:val="21336250"/>
    <w:rsid w:val="215A6D87"/>
    <w:rsid w:val="2169A4E0"/>
    <w:rsid w:val="2198D8A7"/>
    <w:rsid w:val="2208A488"/>
    <w:rsid w:val="22133F03"/>
    <w:rsid w:val="2222E643"/>
    <w:rsid w:val="225BA40D"/>
    <w:rsid w:val="22709406"/>
    <w:rsid w:val="227539AF"/>
    <w:rsid w:val="22886A6D"/>
    <w:rsid w:val="22D7D86A"/>
    <w:rsid w:val="23BB4C88"/>
    <w:rsid w:val="246B9C8C"/>
    <w:rsid w:val="2474793B"/>
    <w:rsid w:val="24A3B65D"/>
    <w:rsid w:val="24DBEA49"/>
    <w:rsid w:val="251FC363"/>
    <w:rsid w:val="2544731D"/>
    <w:rsid w:val="257E505A"/>
    <w:rsid w:val="25F139E8"/>
    <w:rsid w:val="25F57311"/>
    <w:rsid w:val="260CFE88"/>
    <w:rsid w:val="26437A37"/>
    <w:rsid w:val="265E8ED7"/>
    <w:rsid w:val="26698A30"/>
    <w:rsid w:val="268BD991"/>
    <w:rsid w:val="26D5340C"/>
    <w:rsid w:val="277AB59E"/>
    <w:rsid w:val="27A5D43C"/>
    <w:rsid w:val="27C40D43"/>
    <w:rsid w:val="2841FC70"/>
    <w:rsid w:val="28B73C9F"/>
    <w:rsid w:val="290F18D3"/>
    <w:rsid w:val="29BADAEE"/>
    <w:rsid w:val="2A1B23A2"/>
    <w:rsid w:val="2A3B54A5"/>
    <w:rsid w:val="2A6027BC"/>
    <w:rsid w:val="2A6317D7"/>
    <w:rsid w:val="2A65469A"/>
    <w:rsid w:val="2AC4D00D"/>
    <w:rsid w:val="2AF844D0"/>
    <w:rsid w:val="2B487F9A"/>
    <w:rsid w:val="2B829B83"/>
    <w:rsid w:val="2B942BC0"/>
    <w:rsid w:val="2BC83B19"/>
    <w:rsid w:val="2BF06D17"/>
    <w:rsid w:val="2C3EDB91"/>
    <w:rsid w:val="2C45AF7C"/>
    <w:rsid w:val="2C4779DD"/>
    <w:rsid w:val="2C4E6F1E"/>
    <w:rsid w:val="2C6A5048"/>
    <w:rsid w:val="2C6CB212"/>
    <w:rsid w:val="2CC77A53"/>
    <w:rsid w:val="2CCB71AF"/>
    <w:rsid w:val="2D0044F8"/>
    <w:rsid w:val="2D0C028D"/>
    <w:rsid w:val="2D6DC703"/>
    <w:rsid w:val="2D6E0BFA"/>
    <w:rsid w:val="2DA4479C"/>
    <w:rsid w:val="2E2129F3"/>
    <w:rsid w:val="2E94DA5B"/>
    <w:rsid w:val="2EA158DB"/>
    <w:rsid w:val="2EA9ED70"/>
    <w:rsid w:val="2EAE0099"/>
    <w:rsid w:val="2EE7B234"/>
    <w:rsid w:val="2F7FBE1A"/>
    <w:rsid w:val="2F83344F"/>
    <w:rsid w:val="2F8A2839"/>
    <w:rsid w:val="2F93F5E4"/>
    <w:rsid w:val="2FACE6BD"/>
    <w:rsid w:val="2FF0272E"/>
    <w:rsid w:val="303643D8"/>
    <w:rsid w:val="304F2742"/>
    <w:rsid w:val="305D9F92"/>
    <w:rsid w:val="305DB4B2"/>
    <w:rsid w:val="307F39A7"/>
    <w:rsid w:val="30C90B2E"/>
    <w:rsid w:val="30DF743B"/>
    <w:rsid w:val="315DD7FF"/>
    <w:rsid w:val="31BA746B"/>
    <w:rsid w:val="31CABF26"/>
    <w:rsid w:val="31DFC2A1"/>
    <w:rsid w:val="31F84103"/>
    <w:rsid w:val="31FA9EE3"/>
    <w:rsid w:val="32059063"/>
    <w:rsid w:val="320F0B80"/>
    <w:rsid w:val="32BA369D"/>
    <w:rsid w:val="32F8B0D0"/>
    <w:rsid w:val="33413501"/>
    <w:rsid w:val="337624A5"/>
    <w:rsid w:val="33B45CFE"/>
    <w:rsid w:val="33B5CD36"/>
    <w:rsid w:val="33C1AC85"/>
    <w:rsid w:val="33D656E7"/>
    <w:rsid w:val="33F4F337"/>
    <w:rsid w:val="33FC0DAB"/>
    <w:rsid w:val="3402F3C6"/>
    <w:rsid w:val="3404294A"/>
    <w:rsid w:val="343B35D0"/>
    <w:rsid w:val="345BD2F4"/>
    <w:rsid w:val="3467BB8E"/>
    <w:rsid w:val="34798D94"/>
    <w:rsid w:val="349A174F"/>
    <w:rsid w:val="34CB0C6A"/>
    <w:rsid w:val="34F59AE3"/>
    <w:rsid w:val="354C4302"/>
    <w:rsid w:val="359708EB"/>
    <w:rsid w:val="36334BF8"/>
    <w:rsid w:val="36426E3B"/>
    <w:rsid w:val="369665D2"/>
    <w:rsid w:val="36E535B8"/>
    <w:rsid w:val="372C4F62"/>
    <w:rsid w:val="3737C448"/>
    <w:rsid w:val="379BC1E6"/>
    <w:rsid w:val="3815710F"/>
    <w:rsid w:val="382794E1"/>
    <w:rsid w:val="38775050"/>
    <w:rsid w:val="3880463D"/>
    <w:rsid w:val="38B7D522"/>
    <w:rsid w:val="38E6D375"/>
    <w:rsid w:val="38F6AD86"/>
    <w:rsid w:val="39009CE6"/>
    <w:rsid w:val="397FD11B"/>
    <w:rsid w:val="39AA4409"/>
    <w:rsid w:val="39DAD88A"/>
    <w:rsid w:val="39E93FFA"/>
    <w:rsid w:val="39E9C8CE"/>
    <w:rsid w:val="3A023715"/>
    <w:rsid w:val="3A474E1B"/>
    <w:rsid w:val="3A4FD1BB"/>
    <w:rsid w:val="3ABCB928"/>
    <w:rsid w:val="3ABEC91F"/>
    <w:rsid w:val="3B37E07C"/>
    <w:rsid w:val="3B4275DE"/>
    <w:rsid w:val="3BBF1A5C"/>
    <w:rsid w:val="3C4C0931"/>
    <w:rsid w:val="3C8A3682"/>
    <w:rsid w:val="3C9A4E6C"/>
    <w:rsid w:val="3CD3D9E3"/>
    <w:rsid w:val="3CE46457"/>
    <w:rsid w:val="3D0C3630"/>
    <w:rsid w:val="3D7FEA99"/>
    <w:rsid w:val="3D94CEFA"/>
    <w:rsid w:val="3DA98384"/>
    <w:rsid w:val="3E008A2B"/>
    <w:rsid w:val="3E430184"/>
    <w:rsid w:val="3E731614"/>
    <w:rsid w:val="3F0D5FF8"/>
    <w:rsid w:val="3F59F44E"/>
    <w:rsid w:val="3F62536C"/>
    <w:rsid w:val="3FE1EB91"/>
    <w:rsid w:val="40198901"/>
    <w:rsid w:val="401AAD59"/>
    <w:rsid w:val="402C6B0F"/>
    <w:rsid w:val="402E76E0"/>
    <w:rsid w:val="410A763F"/>
    <w:rsid w:val="421F0927"/>
    <w:rsid w:val="4236EA7B"/>
    <w:rsid w:val="427818C1"/>
    <w:rsid w:val="4288AB6B"/>
    <w:rsid w:val="433EB938"/>
    <w:rsid w:val="4344A11B"/>
    <w:rsid w:val="43E27A35"/>
    <w:rsid w:val="43EE701E"/>
    <w:rsid w:val="440F0CA8"/>
    <w:rsid w:val="443DF097"/>
    <w:rsid w:val="44A22375"/>
    <w:rsid w:val="44B7A277"/>
    <w:rsid w:val="456D4155"/>
    <w:rsid w:val="45843EE3"/>
    <w:rsid w:val="45A0DDF9"/>
    <w:rsid w:val="46A7663B"/>
    <w:rsid w:val="46BACCBB"/>
    <w:rsid w:val="4718EC07"/>
    <w:rsid w:val="4745712E"/>
    <w:rsid w:val="47EB54D2"/>
    <w:rsid w:val="47F5CC64"/>
    <w:rsid w:val="47F69B5F"/>
    <w:rsid w:val="4865A2C4"/>
    <w:rsid w:val="48844533"/>
    <w:rsid w:val="48E1B9EA"/>
    <w:rsid w:val="497B074E"/>
    <w:rsid w:val="4A11904E"/>
    <w:rsid w:val="4A455861"/>
    <w:rsid w:val="4A77E387"/>
    <w:rsid w:val="4AA5F446"/>
    <w:rsid w:val="4AE4BF47"/>
    <w:rsid w:val="4AF835E0"/>
    <w:rsid w:val="4B654752"/>
    <w:rsid w:val="4B6F2032"/>
    <w:rsid w:val="4B85C12B"/>
    <w:rsid w:val="4BE4FC01"/>
    <w:rsid w:val="4BEE8DF6"/>
    <w:rsid w:val="4C08AC4C"/>
    <w:rsid w:val="4C26A507"/>
    <w:rsid w:val="4C36E1E6"/>
    <w:rsid w:val="4C844272"/>
    <w:rsid w:val="4C9001F6"/>
    <w:rsid w:val="4CBDB08E"/>
    <w:rsid w:val="4D1D62A0"/>
    <w:rsid w:val="4D2E35A9"/>
    <w:rsid w:val="4D76A3EB"/>
    <w:rsid w:val="4DA4271A"/>
    <w:rsid w:val="4DC0F3F3"/>
    <w:rsid w:val="4DF0A0DF"/>
    <w:rsid w:val="4E2D7872"/>
    <w:rsid w:val="4EC5B6A2"/>
    <w:rsid w:val="4FFFC772"/>
    <w:rsid w:val="50046044"/>
    <w:rsid w:val="5015E8C1"/>
    <w:rsid w:val="50172967"/>
    <w:rsid w:val="5028EED4"/>
    <w:rsid w:val="50362DF8"/>
    <w:rsid w:val="50385E06"/>
    <w:rsid w:val="507CD571"/>
    <w:rsid w:val="50943C29"/>
    <w:rsid w:val="50AE9376"/>
    <w:rsid w:val="5100E96A"/>
    <w:rsid w:val="51267226"/>
    <w:rsid w:val="51305EDF"/>
    <w:rsid w:val="51828293"/>
    <w:rsid w:val="51F50BF4"/>
    <w:rsid w:val="5260DBC9"/>
    <w:rsid w:val="53C8DDF6"/>
    <w:rsid w:val="53CC6DA4"/>
    <w:rsid w:val="53FEAD04"/>
    <w:rsid w:val="5419BD7F"/>
    <w:rsid w:val="5453AF47"/>
    <w:rsid w:val="5524362A"/>
    <w:rsid w:val="555DD8A3"/>
    <w:rsid w:val="5564C90F"/>
    <w:rsid w:val="55C1C403"/>
    <w:rsid w:val="55C34CE4"/>
    <w:rsid w:val="55EBA6DD"/>
    <w:rsid w:val="561220AA"/>
    <w:rsid w:val="56170630"/>
    <w:rsid w:val="561915A2"/>
    <w:rsid w:val="565D9B4E"/>
    <w:rsid w:val="568B4F65"/>
    <w:rsid w:val="5692B82C"/>
    <w:rsid w:val="56B541A3"/>
    <w:rsid w:val="5747093E"/>
    <w:rsid w:val="578A874E"/>
    <w:rsid w:val="57B3DD48"/>
    <w:rsid w:val="582A39DD"/>
    <w:rsid w:val="5876DFA2"/>
    <w:rsid w:val="58A6020C"/>
    <w:rsid w:val="58C5E729"/>
    <w:rsid w:val="5948DA5F"/>
    <w:rsid w:val="594E212C"/>
    <w:rsid w:val="5964CEE2"/>
    <w:rsid w:val="59CFD176"/>
    <w:rsid w:val="5A109D38"/>
    <w:rsid w:val="5A22C70F"/>
    <w:rsid w:val="5A5810EE"/>
    <w:rsid w:val="5B229A5F"/>
    <w:rsid w:val="5B4C437A"/>
    <w:rsid w:val="5B4DB65D"/>
    <w:rsid w:val="5B8892CD"/>
    <w:rsid w:val="5BD47E37"/>
    <w:rsid w:val="5BF11973"/>
    <w:rsid w:val="5C38FD3D"/>
    <w:rsid w:val="5C6E2D28"/>
    <w:rsid w:val="5C7A1273"/>
    <w:rsid w:val="5CC1421E"/>
    <w:rsid w:val="5D0AC253"/>
    <w:rsid w:val="5D0FA8B2"/>
    <w:rsid w:val="5D302C49"/>
    <w:rsid w:val="5D670F8F"/>
    <w:rsid w:val="5DCD2FF7"/>
    <w:rsid w:val="5DEE79B2"/>
    <w:rsid w:val="5E12C060"/>
    <w:rsid w:val="5EB20072"/>
    <w:rsid w:val="5ED2AB68"/>
    <w:rsid w:val="5EEFDCA2"/>
    <w:rsid w:val="5F87EC33"/>
    <w:rsid w:val="5FC85831"/>
    <w:rsid w:val="5FD6C65D"/>
    <w:rsid w:val="60198829"/>
    <w:rsid w:val="6062343A"/>
    <w:rsid w:val="60B8CF38"/>
    <w:rsid w:val="60E7770C"/>
    <w:rsid w:val="6117F354"/>
    <w:rsid w:val="613726A2"/>
    <w:rsid w:val="6143F511"/>
    <w:rsid w:val="619D38E9"/>
    <w:rsid w:val="61BC9156"/>
    <w:rsid w:val="61EE3BB6"/>
    <w:rsid w:val="62874C96"/>
    <w:rsid w:val="629B65FB"/>
    <w:rsid w:val="62B1E1C6"/>
    <w:rsid w:val="634F3553"/>
    <w:rsid w:val="6360127F"/>
    <w:rsid w:val="63B2AC6D"/>
    <w:rsid w:val="6437365C"/>
    <w:rsid w:val="649BAE9C"/>
    <w:rsid w:val="64B236AB"/>
    <w:rsid w:val="64D827AF"/>
    <w:rsid w:val="651B325B"/>
    <w:rsid w:val="65588E49"/>
    <w:rsid w:val="656B6893"/>
    <w:rsid w:val="65954628"/>
    <w:rsid w:val="65AB6C37"/>
    <w:rsid w:val="65ACEF62"/>
    <w:rsid w:val="65B5E34C"/>
    <w:rsid w:val="65C998BD"/>
    <w:rsid w:val="6608EDE4"/>
    <w:rsid w:val="661CA355"/>
    <w:rsid w:val="66524110"/>
    <w:rsid w:val="6699DAF6"/>
    <w:rsid w:val="66ACC08B"/>
    <w:rsid w:val="6734903C"/>
    <w:rsid w:val="67F95C74"/>
    <w:rsid w:val="681455F1"/>
    <w:rsid w:val="68161F9F"/>
    <w:rsid w:val="6834C51E"/>
    <w:rsid w:val="686FF68E"/>
    <w:rsid w:val="68858E42"/>
    <w:rsid w:val="690984EC"/>
    <w:rsid w:val="6948C91F"/>
    <w:rsid w:val="69B69766"/>
    <w:rsid w:val="69BCC8D0"/>
    <w:rsid w:val="69E204BC"/>
    <w:rsid w:val="69F4ACE7"/>
    <w:rsid w:val="6A0322CB"/>
    <w:rsid w:val="6A31B0DB"/>
    <w:rsid w:val="6A3BEE3E"/>
    <w:rsid w:val="6A428B01"/>
    <w:rsid w:val="6A75A293"/>
    <w:rsid w:val="6A8AF5F4"/>
    <w:rsid w:val="6AC76119"/>
    <w:rsid w:val="6ACB3652"/>
    <w:rsid w:val="6AFE77F2"/>
    <w:rsid w:val="6B3F77FB"/>
    <w:rsid w:val="6B827B51"/>
    <w:rsid w:val="6B85F386"/>
    <w:rsid w:val="6BAFB03F"/>
    <w:rsid w:val="6BB08AEE"/>
    <w:rsid w:val="6BC49E07"/>
    <w:rsid w:val="6BFA34DC"/>
    <w:rsid w:val="6C161508"/>
    <w:rsid w:val="6C3DE5A3"/>
    <w:rsid w:val="6C7C13FD"/>
    <w:rsid w:val="6C8731CF"/>
    <w:rsid w:val="6C8DAB41"/>
    <w:rsid w:val="6CAB85DE"/>
    <w:rsid w:val="6CB3F728"/>
    <w:rsid w:val="6CD71E21"/>
    <w:rsid w:val="6CEE6888"/>
    <w:rsid w:val="6D47A6EC"/>
    <w:rsid w:val="6D755524"/>
    <w:rsid w:val="6DCB1E0B"/>
    <w:rsid w:val="6DDB3667"/>
    <w:rsid w:val="6DE51749"/>
    <w:rsid w:val="6E03C111"/>
    <w:rsid w:val="6E1303AA"/>
    <w:rsid w:val="6E14329A"/>
    <w:rsid w:val="6E1C39DD"/>
    <w:rsid w:val="6E416819"/>
    <w:rsid w:val="6E68B1ED"/>
    <w:rsid w:val="6E7BEEC2"/>
    <w:rsid w:val="6E92866E"/>
    <w:rsid w:val="6F30AD11"/>
    <w:rsid w:val="6F4B6B07"/>
    <w:rsid w:val="6F6DC20D"/>
    <w:rsid w:val="6F867281"/>
    <w:rsid w:val="6FD5DD40"/>
    <w:rsid w:val="700D040E"/>
    <w:rsid w:val="7084AF6B"/>
    <w:rsid w:val="70B3307A"/>
    <w:rsid w:val="70F27460"/>
    <w:rsid w:val="71453B3B"/>
    <w:rsid w:val="71AB6E03"/>
    <w:rsid w:val="71EF9CCE"/>
    <w:rsid w:val="720B13F2"/>
    <w:rsid w:val="721BE688"/>
    <w:rsid w:val="721DB2A5"/>
    <w:rsid w:val="728EE158"/>
    <w:rsid w:val="72B1F6CF"/>
    <w:rsid w:val="72B4FD6D"/>
    <w:rsid w:val="73381DA4"/>
    <w:rsid w:val="7364B67F"/>
    <w:rsid w:val="736BAE05"/>
    <w:rsid w:val="7396F385"/>
    <w:rsid w:val="73ACF0CE"/>
    <w:rsid w:val="73D4CD6A"/>
    <w:rsid w:val="743C5DDE"/>
    <w:rsid w:val="7468CA4C"/>
    <w:rsid w:val="74787B1D"/>
    <w:rsid w:val="753A32D4"/>
    <w:rsid w:val="75637DAB"/>
    <w:rsid w:val="757205F6"/>
    <w:rsid w:val="7590FFF8"/>
    <w:rsid w:val="75FA8111"/>
    <w:rsid w:val="761EFF0B"/>
    <w:rsid w:val="763620DF"/>
    <w:rsid w:val="767AEDD2"/>
    <w:rsid w:val="76B54CCD"/>
    <w:rsid w:val="76CE9447"/>
    <w:rsid w:val="76F7A5A5"/>
    <w:rsid w:val="77175CAE"/>
    <w:rsid w:val="77FE4567"/>
    <w:rsid w:val="786806D4"/>
    <w:rsid w:val="78783980"/>
    <w:rsid w:val="7883FF7F"/>
    <w:rsid w:val="78EA6CC2"/>
    <w:rsid w:val="7914C2AF"/>
    <w:rsid w:val="79266116"/>
    <w:rsid w:val="7927F4AD"/>
    <w:rsid w:val="793EEA0B"/>
    <w:rsid w:val="79E060F7"/>
    <w:rsid w:val="79E9C1F0"/>
    <w:rsid w:val="7AAAB0F4"/>
    <w:rsid w:val="7B7C3158"/>
    <w:rsid w:val="7BA4B867"/>
    <w:rsid w:val="7BA7DA9A"/>
    <w:rsid w:val="7BEDE860"/>
    <w:rsid w:val="7BEF1750"/>
    <w:rsid w:val="7BF42CC3"/>
    <w:rsid w:val="7C786DB6"/>
    <w:rsid w:val="7C78ADB6"/>
    <w:rsid w:val="7D0DC3D4"/>
    <w:rsid w:val="7D1584B0"/>
    <w:rsid w:val="7D24AD6E"/>
    <w:rsid w:val="7D31EACE"/>
    <w:rsid w:val="7D3805E9"/>
    <w:rsid w:val="7D4A7EC9"/>
    <w:rsid w:val="7D601740"/>
    <w:rsid w:val="7DDC148A"/>
    <w:rsid w:val="7DF4A20E"/>
    <w:rsid w:val="7E5A52DB"/>
    <w:rsid w:val="7E69AC3E"/>
    <w:rsid w:val="7EAC6E8D"/>
    <w:rsid w:val="7ECA8D71"/>
    <w:rsid w:val="7EE5F2FA"/>
    <w:rsid w:val="7EF553FE"/>
    <w:rsid w:val="7EFCB1EA"/>
    <w:rsid w:val="7F09080C"/>
    <w:rsid w:val="7F1811B6"/>
    <w:rsid w:val="7F85533C"/>
    <w:rsid w:val="7F85C262"/>
    <w:rsid w:val="7FDDA3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F05D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C17437"/>
    <w:pPr>
      <w:keepNext/>
      <w:spacing w:before="360" w:after="120" w:line="240" w:lineRule="auto"/>
      <w:ind w:left="720" w:hanging="720"/>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C17437"/>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YHEC table,HTAtableplain,Dossier table,Section 3- footnotes,PBAC table,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EB2EF6"/>
    <w:pPr>
      <w:tabs>
        <w:tab w:val="left" w:pos="284"/>
      </w:tabs>
      <w:spacing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EB2EF6"/>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CA08E1"/>
    <w:rPr>
      <w:color w:val="605E5C"/>
      <w:shd w:val="clear" w:color="auto" w:fill="E1DFDD"/>
    </w:rPr>
  </w:style>
  <w:style w:type="paragraph" w:customStyle="1" w:styleId="CommentaryTabletextleft">
    <w:name w:val="Commentary Table text left"/>
    <w:basedOn w:val="Normal"/>
    <w:link w:val="CommentaryTabletextleftChar"/>
    <w:qFormat/>
    <w:rsid w:val="00FD41F9"/>
    <w:pPr>
      <w:spacing w:before="40" w:after="40" w:line="240" w:lineRule="auto"/>
    </w:pPr>
    <w:rPr>
      <w:rFonts w:ascii="Arial Narrow" w:eastAsia="Calibri" w:hAnsi="Arial Narrow"/>
      <w:color w:val="0070C0"/>
      <w:sz w:val="20"/>
      <w:szCs w:val="20"/>
    </w:rPr>
  </w:style>
  <w:style w:type="character" w:customStyle="1" w:styleId="CommentaryTabletextleftChar">
    <w:name w:val="Commentary Table text left Char"/>
    <w:basedOn w:val="DefaultParagraphFont"/>
    <w:link w:val="CommentaryTabletextleft"/>
    <w:rsid w:val="00FD41F9"/>
    <w:rPr>
      <w:rFonts w:ascii="Arial Narrow" w:eastAsia="Calibri" w:hAnsi="Arial Narrow"/>
      <w:color w:val="0070C0"/>
      <w:sz w:val="20"/>
      <w:szCs w:val="20"/>
    </w:rPr>
  </w:style>
  <w:style w:type="character" w:customStyle="1" w:styleId="Heading5Char">
    <w:name w:val="Heading 5 Char"/>
    <w:basedOn w:val="DefaultParagraphFont"/>
    <w:link w:val="Heading5"/>
    <w:uiPriority w:val="9"/>
    <w:rsid w:val="00F05D3E"/>
    <w:rPr>
      <w:rFonts w:asciiTheme="majorHAnsi" w:eastAsiaTheme="majorEastAsia" w:hAnsiTheme="majorHAnsi" w:cstheme="majorBidi"/>
      <w:color w:val="2E74B5" w:themeColor="accent1" w:themeShade="BF"/>
    </w:rPr>
  </w:style>
  <w:style w:type="paragraph" w:customStyle="1" w:styleId="Commentarytext">
    <w:name w:val="Commentary text"/>
    <w:basedOn w:val="CommentText"/>
    <w:link w:val="CommentarytextChar"/>
    <w:qFormat/>
    <w:rsid w:val="008E1167"/>
    <w:pPr>
      <w:spacing w:before="0" w:after="120" w:line="264" w:lineRule="auto"/>
    </w:pPr>
    <w:rPr>
      <w:rFonts w:ascii="Franklin Gothic Book" w:eastAsiaTheme="minorEastAsia" w:hAnsi="Franklin Gothic Book"/>
      <w:color w:val="0070C0"/>
      <w:szCs w:val="20"/>
    </w:rPr>
  </w:style>
  <w:style w:type="character" w:customStyle="1" w:styleId="CommentarytextChar">
    <w:name w:val="Commentary text Char"/>
    <w:basedOn w:val="DefaultParagraphFont"/>
    <w:link w:val="Commentarytext"/>
    <w:rsid w:val="008E1167"/>
    <w:rPr>
      <w:rFonts w:ascii="Franklin Gothic Book" w:eastAsiaTheme="minorEastAsia" w:hAnsi="Franklin Gothic Book" w:cs="Times New Roman"/>
      <w:color w:val="0070C0"/>
      <w:szCs w:val="20"/>
      <w:lang w:eastAsia="en-AU"/>
    </w:rPr>
  </w:style>
  <w:style w:type="character" w:styleId="Mention">
    <w:name w:val="Mention"/>
    <w:basedOn w:val="DefaultParagraphFont"/>
    <w:uiPriority w:val="99"/>
    <w:unhideWhenUsed/>
    <w:rsid w:val="00FB032A"/>
    <w:rPr>
      <w:color w:val="2B579A"/>
      <w:shd w:val="clear" w:color="auto" w:fill="E6E6E6"/>
    </w:rPr>
  </w:style>
  <w:style w:type="paragraph" w:customStyle="1" w:styleId="pf0">
    <w:name w:val="pf0"/>
    <w:basedOn w:val="Normal"/>
    <w:rsid w:val="008B77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B77AE"/>
    <w:rPr>
      <w:rFonts w:ascii="Segoe UI" w:hAnsi="Segoe UI" w:cs="Segoe UI" w:hint="default"/>
      <w:sz w:val="18"/>
      <w:szCs w:val="18"/>
    </w:rPr>
  </w:style>
  <w:style w:type="character" w:customStyle="1" w:styleId="cf11">
    <w:name w:val="cf11"/>
    <w:basedOn w:val="DefaultParagraphFont"/>
    <w:rsid w:val="008B77AE"/>
    <w:rPr>
      <w:rFonts w:ascii="Segoe UI" w:hAnsi="Segoe UI" w:cs="Segoe UI" w:hint="default"/>
      <w:sz w:val="18"/>
      <w:szCs w:val="18"/>
    </w:rPr>
  </w:style>
  <w:style w:type="paragraph" w:customStyle="1" w:styleId="BulletBeforeDash">
    <w:name w:val="BulletBeforeDash"/>
    <w:basedOn w:val="Normal"/>
    <w:rsid w:val="00641750"/>
    <w:pPr>
      <w:numPr>
        <w:numId w:val="16"/>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641750"/>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641750"/>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641750"/>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641750"/>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641750"/>
    <w:pPr>
      <w:numPr>
        <w:numId w:val="17"/>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styleId="PlaceholderText">
    <w:name w:val="Placeholder Text"/>
    <w:basedOn w:val="DefaultParagraphFont"/>
    <w:uiPriority w:val="99"/>
    <w:semiHidden/>
    <w:rsid w:val="00682996"/>
    <w:rPr>
      <w:color w:val="808080"/>
    </w:rPr>
  </w:style>
  <w:style w:type="paragraph" w:customStyle="1" w:styleId="paragraph">
    <w:name w:val="paragraph"/>
    <w:basedOn w:val="Normal"/>
    <w:rsid w:val="00F36F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36F57"/>
  </w:style>
  <w:style w:type="character" w:customStyle="1" w:styleId="eop">
    <w:name w:val="eop"/>
    <w:basedOn w:val="DefaultParagraphFont"/>
    <w:rsid w:val="00F36F57"/>
  </w:style>
  <w:style w:type="paragraph" w:styleId="BodyText">
    <w:name w:val="Body Text"/>
    <w:basedOn w:val="Normal"/>
    <w:link w:val="BodyTextChar"/>
    <w:rsid w:val="00F36F57"/>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F36F57"/>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252297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46095107">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3322375">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0201767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7677589">
      <w:bodyDiv w:val="1"/>
      <w:marLeft w:val="0"/>
      <w:marRight w:val="0"/>
      <w:marTop w:val="0"/>
      <w:marBottom w:val="0"/>
      <w:divBdr>
        <w:top w:val="none" w:sz="0" w:space="0" w:color="auto"/>
        <w:left w:val="none" w:sz="0" w:space="0" w:color="auto"/>
        <w:bottom w:val="none" w:sz="0" w:space="0" w:color="auto"/>
        <w:right w:val="none" w:sz="0" w:space="0" w:color="auto"/>
      </w:divBdr>
      <w:divsChild>
        <w:div w:id="675422921">
          <w:marLeft w:val="0"/>
          <w:marRight w:val="0"/>
          <w:marTop w:val="0"/>
          <w:marBottom w:val="0"/>
          <w:divBdr>
            <w:top w:val="none" w:sz="0" w:space="0" w:color="auto"/>
            <w:left w:val="none" w:sz="0" w:space="0" w:color="auto"/>
            <w:bottom w:val="none" w:sz="0" w:space="0" w:color="auto"/>
            <w:right w:val="none" w:sz="0" w:space="0" w:color="auto"/>
          </w:divBdr>
          <w:divsChild>
            <w:div w:id="440880481">
              <w:marLeft w:val="0"/>
              <w:marRight w:val="0"/>
              <w:marTop w:val="0"/>
              <w:marBottom w:val="0"/>
              <w:divBdr>
                <w:top w:val="none" w:sz="0" w:space="0" w:color="auto"/>
                <w:left w:val="none" w:sz="0" w:space="0" w:color="auto"/>
                <w:bottom w:val="none" w:sz="0" w:space="0" w:color="auto"/>
                <w:right w:val="none" w:sz="0" w:space="0" w:color="auto"/>
              </w:divBdr>
            </w:div>
            <w:div w:id="442654884">
              <w:marLeft w:val="0"/>
              <w:marRight w:val="0"/>
              <w:marTop w:val="0"/>
              <w:marBottom w:val="0"/>
              <w:divBdr>
                <w:top w:val="none" w:sz="0" w:space="0" w:color="auto"/>
                <w:left w:val="none" w:sz="0" w:space="0" w:color="auto"/>
                <w:bottom w:val="none" w:sz="0" w:space="0" w:color="auto"/>
                <w:right w:val="none" w:sz="0" w:space="0" w:color="auto"/>
              </w:divBdr>
            </w:div>
            <w:div w:id="557473298">
              <w:marLeft w:val="0"/>
              <w:marRight w:val="0"/>
              <w:marTop w:val="0"/>
              <w:marBottom w:val="0"/>
              <w:divBdr>
                <w:top w:val="none" w:sz="0" w:space="0" w:color="auto"/>
                <w:left w:val="none" w:sz="0" w:space="0" w:color="auto"/>
                <w:bottom w:val="none" w:sz="0" w:space="0" w:color="auto"/>
                <w:right w:val="none" w:sz="0" w:space="0" w:color="auto"/>
              </w:divBdr>
            </w:div>
            <w:div w:id="646788361">
              <w:marLeft w:val="0"/>
              <w:marRight w:val="0"/>
              <w:marTop w:val="0"/>
              <w:marBottom w:val="0"/>
              <w:divBdr>
                <w:top w:val="none" w:sz="0" w:space="0" w:color="auto"/>
                <w:left w:val="none" w:sz="0" w:space="0" w:color="auto"/>
                <w:bottom w:val="none" w:sz="0" w:space="0" w:color="auto"/>
                <w:right w:val="none" w:sz="0" w:space="0" w:color="auto"/>
              </w:divBdr>
            </w:div>
            <w:div w:id="937131178">
              <w:marLeft w:val="0"/>
              <w:marRight w:val="0"/>
              <w:marTop w:val="0"/>
              <w:marBottom w:val="0"/>
              <w:divBdr>
                <w:top w:val="none" w:sz="0" w:space="0" w:color="auto"/>
                <w:left w:val="none" w:sz="0" w:space="0" w:color="auto"/>
                <w:bottom w:val="none" w:sz="0" w:space="0" w:color="auto"/>
                <w:right w:val="none" w:sz="0" w:space="0" w:color="auto"/>
              </w:divBdr>
            </w:div>
            <w:div w:id="1644002139">
              <w:marLeft w:val="0"/>
              <w:marRight w:val="0"/>
              <w:marTop w:val="0"/>
              <w:marBottom w:val="0"/>
              <w:divBdr>
                <w:top w:val="none" w:sz="0" w:space="0" w:color="auto"/>
                <w:left w:val="none" w:sz="0" w:space="0" w:color="auto"/>
                <w:bottom w:val="none" w:sz="0" w:space="0" w:color="auto"/>
                <w:right w:val="none" w:sz="0" w:space="0" w:color="auto"/>
              </w:divBdr>
            </w:div>
            <w:div w:id="1773894708">
              <w:marLeft w:val="0"/>
              <w:marRight w:val="0"/>
              <w:marTop w:val="0"/>
              <w:marBottom w:val="0"/>
              <w:divBdr>
                <w:top w:val="none" w:sz="0" w:space="0" w:color="auto"/>
                <w:left w:val="none" w:sz="0" w:space="0" w:color="auto"/>
                <w:bottom w:val="none" w:sz="0" w:space="0" w:color="auto"/>
                <w:right w:val="none" w:sz="0" w:space="0" w:color="auto"/>
              </w:divBdr>
            </w:div>
            <w:div w:id="1828739465">
              <w:marLeft w:val="0"/>
              <w:marRight w:val="0"/>
              <w:marTop w:val="0"/>
              <w:marBottom w:val="0"/>
              <w:divBdr>
                <w:top w:val="none" w:sz="0" w:space="0" w:color="auto"/>
                <w:left w:val="none" w:sz="0" w:space="0" w:color="auto"/>
                <w:bottom w:val="none" w:sz="0" w:space="0" w:color="auto"/>
                <w:right w:val="none" w:sz="0" w:space="0" w:color="auto"/>
              </w:divBdr>
            </w:div>
            <w:div w:id="1990790671">
              <w:marLeft w:val="0"/>
              <w:marRight w:val="0"/>
              <w:marTop w:val="0"/>
              <w:marBottom w:val="0"/>
              <w:divBdr>
                <w:top w:val="none" w:sz="0" w:space="0" w:color="auto"/>
                <w:left w:val="none" w:sz="0" w:space="0" w:color="auto"/>
                <w:bottom w:val="none" w:sz="0" w:space="0" w:color="auto"/>
                <w:right w:val="none" w:sz="0" w:space="0" w:color="auto"/>
              </w:divBdr>
            </w:div>
            <w:div w:id="2036150338">
              <w:marLeft w:val="0"/>
              <w:marRight w:val="0"/>
              <w:marTop w:val="0"/>
              <w:marBottom w:val="0"/>
              <w:divBdr>
                <w:top w:val="none" w:sz="0" w:space="0" w:color="auto"/>
                <w:left w:val="none" w:sz="0" w:space="0" w:color="auto"/>
                <w:bottom w:val="none" w:sz="0" w:space="0" w:color="auto"/>
                <w:right w:val="none" w:sz="0" w:space="0" w:color="auto"/>
              </w:divBdr>
            </w:div>
            <w:div w:id="2142072878">
              <w:marLeft w:val="0"/>
              <w:marRight w:val="0"/>
              <w:marTop w:val="0"/>
              <w:marBottom w:val="0"/>
              <w:divBdr>
                <w:top w:val="none" w:sz="0" w:space="0" w:color="auto"/>
                <w:left w:val="none" w:sz="0" w:space="0" w:color="auto"/>
                <w:bottom w:val="none" w:sz="0" w:space="0" w:color="auto"/>
                <w:right w:val="none" w:sz="0" w:space="0" w:color="auto"/>
              </w:divBdr>
            </w:div>
          </w:divsChild>
        </w:div>
        <w:div w:id="819422285">
          <w:marLeft w:val="0"/>
          <w:marRight w:val="0"/>
          <w:marTop w:val="0"/>
          <w:marBottom w:val="0"/>
          <w:divBdr>
            <w:top w:val="none" w:sz="0" w:space="0" w:color="auto"/>
            <w:left w:val="none" w:sz="0" w:space="0" w:color="auto"/>
            <w:bottom w:val="none" w:sz="0" w:space="0" w:color="auto"/>
            <w:right w:val="none" w:sz="0" w:space="0" w:color="auto"/>
          </w:divBdr>
        </w:div>
        <w:div w:id="1328358997">
          <w:marLeft w:val="0"/>
          <w:marRight w:val="0"/>
          <w:marTop w:val="0"/>
          <w:marBottom w:val="0"/>
          <w:divBdr>
            <w:top w:val="none" w:sz="0" w:space="0" w:color="auto"/>
            <w:left w:val="none" w:sz="0" w:space="0" w:color="auto"/>
            <w:bottom w:val="none" w:sz="0" w:space="0" w:color="auto"/>
            <w:right w:val="none" w:sz="0" w:space="0" w:color="auto"/>
          </w:divBdr>
        </w:div>
        <w:div w:id="209427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sac.gov.au/internet/msac/publishing.nsf/Content/1523-public"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9E44D6E0C7E7BFF2CA258A4A00101CA5/$File/1523.1%20PICO%20Set%20for%20web.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msac.gov.au/internet/msac/publishing.nsf/Content/Home-1" TargetMode="External"/><Relationship Id="rId10" Type="http://schemas.openxmlformats.org/officeDocument/2006/relationships/hyperlink" Target="http://www.msac.gov.au/internet/msac/publishing.nsf/Content/2FE52860B46B9BAFCA258289007EF75A/$File/1523%20-Final%20PSD_redacted.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msac.gov.au/internet/msac/publishing.nsf/Content/1523-public" TargetMode="External"/><Relationship Id="rId14" Type="http://schemas.openxmlformats.org/officeDocument/2006/relationships/footer" Target="footer2.xml"/><Relationship Id="rId22" Type="http://schemas.openxmlformats.org/officeDocument/2006/relationships/hyperlink" Target="http://www.msac.gov.au/internet/msac/publishing.nsf/Content/1523-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20243</Words>
  <Characters>110530</Characters>
  <Application>Microsoft Office Word</Application>
  <DocSecurity>0</DocSecurity>
  <Lines>4251</Lines>
  <Paragraphs>2906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2024-06-03T05:43:00Z</dcterms:created>
  <dcterms:modified xsi:type="dcterms:W3CDTF">2024-06-03T05:43:00Z</dcterms:modified>
  <cp:category/>
</cp:coreProperties>
</file>