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DD3A7" w14:textId="77777777" w:rsidR="00814E99" w:rsidRPr="00707064" w:rsidRDefault="00814E99" w:rsidP="00814E99">
      <w:pPr>
        <w:spacing w:after="240"/>
        <w:jc w:val="center"/>
        <w:rPr>
          <w:b/>
          <w:i/>
          <w:szCs w:val="24"/>
          <w:highlight w:val="yellow"/>
        </w:rPr>
      </w:pPr>
      <w:r>
        <w:rPr>
          <w:rFonts w:ascii="Arial" w:hAnsi="Arial" w:cs="Arial"/>
          <w:b/>
          <w:noProof/>
          <w:color w:val="000080"/>
          <w:sz w:val="28"/>
          <w:szCs w:val="28"/>
        </w:rPr>
        <w:drawing>
          <wp:inline distT="0" distB="0" distL="0" distR="0" wp14:anchorId="0FF1A9B1" wp14:editId="4507AC0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CD743DD" w14:textId="5FBBBB5C" w:rsidR="0050188B" w:rsidRPr="00814E99" w:rsidRDefault="00814E99" w:rsidP="00814E99">
      <w:pPr>
        <w:pStyle w:val="Title"/>
        <w:tabs>
          <w:tab w:val="left" w:pos="1926"/>
          <w:tab w:val="center" w:pos="4513"/>
        </w:tabs>
        <w:jc w:val="left"/>
      </w:pPr>
      <w:r>
        <w:tab/>
      </w:r>
      <w:r>
        <w:tab/>
      </w:r>
      <w:r w:rsidRPr="00F715D1">
        <w:t>Public Summary Document</w:t>
      </w:r>
    </w:p>
    <w:p w14:paraId="4953648E" w14:textId="2D2AD9E6" w:rsidR="00065623" w:rsidRPr="00814E99" w:rsidRDefault="00814E99" w:rsidP="00814E99">
      <w:pPr>
        <w:pStyle w:val="Subtitle"/>
      </w:pPr>
      <w:r>
        <w:t xml:space="preserve">Application </w:t>
      </w:r>
      <w:r w:rsidR="00C22F1A" w:rsidRPr="00814E99">
        <w:t>1631 – Home sleep apnoea test utilizing peripheral arterial tone</w:t>
      </w:r>
    </w:p>
    <w:p w14:paraId="2C80B863" w14:textId="105AB9C0" w:rsidR="00D9024E" w:rsidRPr="00814E99" w:rsidRDefault="00D9024E" w:rsidP="00814E99">
      <w:pPr>
        <w:tabs>
          <w:tab w:val="left" w:pos="3686"/>
        </w:tabs>
        <w:spacing w:after="240"/>
        <w:rPr>
          <w:rFonts w:ascii="Arial" w:hAnsi="Arial" w:cs="Arial"/>
          <w:b/>
          <w:szCs w:val="24"/>
        </w:rPr>
      </w:pPr>
      <w:r w:rsidRPr="00814E99">
        <w:rPr>
          <w:rFonts w:ascii="Arial" w:hAnsi="Arial" w:cs="Arial"/>
          <w:b/>
          <w:szCs w:val="24"/>
        </w:rPr>
        <w:t xml:space="preserve">Applicant: </w:t>
      </w:r>
      <w:r w:rsidR="00EC3821">
        <w:rPr>
          <w:rFonts w:ascii="Arial" w:hAnsi="Arial" w:cs="Arial"/>
          <w:b/>
          <w:szCs w:val="24"/>
        </w:rPr>
        <w:tab/>
      </w:r>
      <w:r w:rsidRPr="00814E99">
        <w:rPr>
          <w:rFonts w:ascii="Arial" w:hAnsi="Arial" w:cs="Arial"/>
          <w:b/>
          <w:szCs w:val="24"/>
        </w:rPr>
        <w:t>Itamar Medical L</w:t>
      </w:r>
      <w:r w:rsidR="00871821">
        <w:rPr>
          <w:rFonts w:ascii="Arial" w:hAnsi="Arial" w:cs="Arial"/>
          <w:b/>
          <w:szCs w:val="24"/>
        </w:rPr>
        <w:t>td</w:t>
      </w:r>
    </w:p>
    <w:p w14:paraId="453299BA" w14:textId="465F9A1A" w:rsidR="00065623" w:rsidRPr="00814E99" w:rsidRDefault="00676C49" w:rsidP="00814E99">
      <w:pPr>
        <w:tabs>
          <w:tab w:val="left" w:pos="3686"/>
        </w:tabs>
        <w:spacing w:after="240"/>
        <w:rPr>
          <w:rFonts w:ascii="Arial" w:hAnsi="Arial" w:cs="Arial"/>
          <w:b/>
          <w:szCs w:val="24"/>
        </w:rPr>
      </w:pPr>
      <w:r w:rsidRPr="00814E99">
        <w:rPr>
          <w:rFonts w:ascii="Arial" w:hAnsi="Arial" w:cs="Arial"/>
          <w:b/>
          <w:szCs w:val="24"/>
        </w:rPr>
        <w:t xml:space="preserve">Date of </w:t>
      </w:r>
      <w:r w:rsidR="00814E99">
        <w:rPr>
          <w:rFonts w:ascii="Arial" w:hAnsi="Arial" w:cs="Arial"/>
          <w:b/>
          <w:szCs w:val="24"/>
        </w:rPr>
        <w:t>MSAC</w:t>
      </w:r>
      <w:r w:rsidRPr="00814E99">
        <w:rPr>
          <w:rFonts w:ascii="Arial" w:hAnsi="Arial" w:cs="Arial"/>
          <w:b/>
          <w:szCs w:val="24"/>
        </w:rPr>
        <w:t xml:space="preserve"> </w:t>
      </w:r>
      <w:r w:rsidR="00065623" w:rsidRPr="00814E99">
        <w:rPr>
          <w:rFonts w:ascii="Arial" w:hAnsi="Arial" w:cs="Arial"/>
          <w:b/>
          <w:szCs w:val="24"/>
        </w:rPr>
        <w:t>consideration:</w:t>
      </w:r>
      <w:r w:rsidR="00EC3821">
        <w:rPr>
          <w:rFonts w:ascii="Arial" w:hAnsi="Arial" w:cs="Arial"/>
          <w:b/>
          <w:szCs w:val="24"/>
        </w:rPr>
        <w:tab/>
      </w:r>
      <w:r w:rsidR="00871821">
        <w:rPr>
          <w:rFonts w:ascii="Arial" w:hAnsi="Arial" w:cs="Arial"/>
          <w:b/>
          <w:szCs w:val="24"/>
        </w:rPr>
        <w:t>MSAC 82</w:t>
      </w:r>
      <w:r w:rsidR="00871821" w:rsidRPr="00425371">
        <w:rPr>
          <w:rFonts w:ascii="Arial" w:hAnsi="Arial" w:cs="Arial"/>
          <w:b/>
          <w:szCs w:val="24"/>
          <w:vertAlign w:val="superscript"/>
        </w:rPr>
        <w:t>nd</w:t>
      </w:r>
      <w:r w:rsidR="00871821">
        <w:rPr>
          <w:rFonts w:ascii="Arial" w:hAnsi="Arial" w:cs="Arial"/>
          <w:b/>
          <w:szCs w:val="24"/>
        </w:rPr>
        <w:t xml:space="preserve"> Meeting, </w:t>
      </w:r>
      <w:r w:rsidR="00814E99">
        <w:rPr>
          <w:rFonts w:ascii="Arial" w:hAnsi="Arial" w:cs="Arial"/>
          <w:b/>
          <w:szCs w:val="24"/>
        </w:rPr>
        <w:t>29-30 July</w:t>
      </w:r>
      <w:r w:rsidR="00471BF1" w:rsidRPr="00814E99">
        <w:rPr>
          <w:rFonts w:ascii="Arial" w:hAnsi="Arial" w:cs="Arial"/>
          <w:b/>
          <w:szCs w:val="24"/>
        </w:rPr>
        <w:t xml:space="preserve"> 2021 </w:t>
      </w:r>
    </w:p>
    <w:p w14:paraId="1EB3BB0A" w14:textId="3C50C1E3" w:rsidR="00B411FE" w:rsidRPr="00814E99" w:rsidRDefault="00814E99" w:rsidP="00814E99">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608A48B3" w14:textId="0013FEA0" w:rsidR="00576ED3" w:rsidRPr="00814E99" w:rsidRDefault="00065623"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t>Purpose of application</w:t>
      </w:r>
    </w:p>
    <w:p w14:paraId="56B43DBD" w14:textId="68C797C7" w:rsidR="001576BB" w:rsidRDefault="001576BB" w:rsidP="001576BB">
      <w:r>
        <w:t>An application requesting</w:t>
      </w:r>
      <w:r w:rsidRPr="001576BB">
        <w:t xml:space="preserve"> </w:t>
      </w:r>
      <w:r w:rsidR="00A15759">
        <w:t>Medicare Benefits Schedule (</w:t>
      </w:r>
      <w:r>
        <w:t>MBS</w:t>
      </w:r>
      <w:r w:rsidR="00A15759">
        <w:t>)</w:t>
      </w:r>
      <w:r w:rsidR="008C125C">
        <w:t xml:space="preserve"> listing of</w:t>
      </w:r>
      <w:r>
        <w:t xml:space="preserve"> home sleep apnoea test (HSAT) using peripheral arterial tone (PAT) for the diagnosis of obstructive sleep apnoea (OSA) was received from Itamar Medical</w:t>
      </w:r>
      <w:r w:rsidRPr="006E0071">
        <w:t xml:space="preserve"> </w:t>
      </w:r>
      <w:r>
        <w:t>by the Department of Health.</w:t>
      </w:r>
    </w:p>
    <w:p w14:paraId="5A43F386" w14:textId="77777777" w:rsidR="00814E99" w:rsidRPr="00814E99" w:rsidRDefault="00814E99"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t>MSAC’s advice to the Minister</w:t>
      </w:r>
    </w:p>
    <w:p w14:paraId="2CE061D5" w14:textId="0CDE906D" w:rsidR="00BD52A9" w:rsidRPr="008D6416" w:rsidRDefault="00BD52A9" w:rsidP="00D12753">
      <w:pPr>
        <w:spacing w:after="240"/>
      </w:pPr>
      <w:r w:rsidRPr="00BD52A9">
        <w:t xml:space="preserve">After considering the strength of the available evidence in relation to comparative safety, </w:t>
      </w:r>
      <w:r w:rsidRPr="008D6416">
        <w:t>clinical effectiveness and cost-effectiveness, MSAC did not support creation of a new MBS item for home sleep apnoea test utilising peripheral arterial tone (HSAT/PAT) for the diagnosis of OSA. MSAC advised that there was insufficient evidence to demonstrate non</w:t>
      </w:r>
      <w:r w:rsidR="00E44A15">
        <w:noBreakHyphen/>
      </w:r>
      <w:r w:rsidRPr="008D6416">
        <w:t>inferior safety and effectiveness of HSAT/PAT compared to unattended or attended polysomnography (PSG) sleep studies. MSAC advised that issues with the economic model resulted in unacceptably uncertain cost-effectiveness, the proposed fees were inadequately justified, and the financial estimates were highly uncertain.</w:t>
      </w:r>
    </w:p>
    <w:tbl>
      <w:tblPr>
        <w:tblStyle w:val="TableGrid"/>
        <w:tblW w:w="0" w:type="auto"/>
        <w:tblLook w:val="04A0" w:firstRow="1" w:lastRow="0" w:firstColumn="1" w:lastColumn="0" w:noHBand="0" w:noVBand="1"/>
        <w:tblDescription w:val="Consumer summary of MSAC consideration"/>
      </w:tblPr>
      <w:tblGrid>
        <w:gridCol w:w="9016"/>
      </w:tblGrid>
      <w:tr w:rsidR="008D6416" w:rsidRPr="008D6416" w14:paraId="54427E32" w14:textId="77777777" w:rsidTr="008D6416">
        <w:trPr>
          <w:tblHeader/>
        </w:trPr>
        <w:tc>
          <w:tcPr>
            <w:tcW w:w="9016" w:type="dxa"/>
          </w:tcPr>
          <w:p w14:paraId="395A3225" w14:textId="0148225C" w:rsidR="008D6416" w:rsidRPr="008D6416" w:rsidRDefault="008D6416" w:rsidP="008D6416">
            <w:pPr>
              <w:spacing w:before="120" w:after="120"/>
              <w:rPr>
                <w:rFonts w:ascii="Times New Roman" w:hAnsi="Times New Roman"/>
                <w:b/>
                <w:bCs/>
                <w:sz w:val="24"/>
                <w:szCs w:val="24"/>
              </w:rPr>
            </w:pPr>
            <w:r w:rsidRPr="008D6416">
              <w:rPr>
                <w:rFonts w:ascii="Times New Roman" w:hAnsi="Times New Roman"/>
                <w:b/>
                <w:bCs/>
                <w:sz w:val="24"/>
                <w:szCs w:val="24"/>
              </w:rPr>
              <w:t>Consumer summary</w:t>
            </w:r>
          </w:p>
        </w:tc>
      </w:tr>
      <w:tr w:rsidR="008D6416" w:rsidRPr="008D6416" w14:paraId="39E0E556" w14:textId="77777777" w:rsidTr="008D6416">
        <w:tc>
          <w:tcPr>
            <w:tcW w:w="9016" w:type="dxa"/>
          </w:tcPr>
          <w:p w14:paraId="59CC721F" w14:textId="51577000" w:rsidR="008D6416" w:rsidRPr="008D6416" w:rsidRDefault="008D6416" w:rsidP="008D6416">
            <w:pPr>
              <w:spacing w:before="120"/>
              <w:rPr>
                <w:rFonts w:ascii="Times New Roman" w:hAnsi="Times New Roman"/>
                <w:sz w:val="24"/>
                <w:szCs w:val="24"/>
              </w:rPr>
            </w:pPr>
            <w:r w:rsidRPr="008D6416">
              <w:rPr>
                <w:rFonts w:ascii="Times New Roman" w:hAnsi="Times New Roman"/>
                <w:sz w:val="24"/>
                <w:szCs w:val="24"/>
              </w:rPr>
              <w:t xml:space="preserve">Itamar Medical </w:t>
            </w:r>
            <w:r w:rsidR="00582977">
              <w:rPr>
                <w:rFonts w:ascii="Times New Roman" w:hAnsi="Times New Roman"/>
                <w:sz w:val="24"/>
                <w:szCs w:val="24"/>
              </w:rPr>
              <w:t xml:space="preserve">applied for public funding via the </w:t>
            </w:r>
            <w:r w:rsidR="00582977" w:rsidRPr="008D6416">
              <w:rPr>
                <w:rFonts w:ascii="Times New Roman" w:hAnsi="Times New Roman"/>
                <w:sz w:val="24"/>
                <w:szCs w:val="24"/>
              </w:rPr>
              <w:t>Medical Benefits Schedule (MBS)</w:t>
            </w:r>
            <w:r w:rsidR="00582977">
              <w:rPr>
                <w:rFonts w:ascii="Times New Roman" w:hAnsi="Times New Roman"/>
                <w:sz w:val="24"/>
                <w:szCs w:val="24"/>
              </w:rPr>
              <w:t xml:space="preserve"> of</w:t>
            </w:r>
            <w:r w:rsidRPr="008D6416">
              <w:rPr>
                <w:rFonts w:ascii="Times New Roman" w:hAnsi="Times New Roman"/>
                <w:sz w:val="24"/>
                <w:szCs w:val="24"/>
              </w:rPr>
              <w:t xml:space="preserve"> home sleep apnoea test</w:t>
            </w:r>
            <w:r w:rsidR="00582977">
              <w:rPr>
                <w:rFonts w:ascii="Times New Roman" w:hAnsi="Times New Roman"/>
                <w:sz w:val="24"/>
                <w:szCs w:val="24"/>
              </w:rPr>
              <w:t>s</w:t>
            </w:r>
            <w:r w:rsidRPr="008D6416">
              <w:rPr>
                <w:rFonts w:ascii="Times New Roman" w:hAnsi="Times New Roman"/>
                <w:sz w:val="24"/>
                <w:szCs w:val="24"/>
              </w:rPr>
              <w:t xml:space="preserve"> using peripheral arterial tone (HSAT/PAT). Sleep apnoea tests are used to diagnose obstructive sleep apnoea.</w:t>
            </w:r>
          </w:p>
          <w:p w14:paraId="13430294" w14:textId="3009D94D" w:rsidR="008D6416" w:rsidRPr="008D6416" w:rsidRDefault="008D6416" w:rsidP="008D6416">
            <w:pPr>
              <w:spacing w:before="240"/>
              <w:rPr>
                <w:rFonts w:ascii="Times New Roman" w:hAnsi="Times New Roman"/>
                <w:sz w:val="24"/>
                <w:szCs w:val="24"/>
              </w:rPr>
            </w:pPr>
            <w:r w:rsidRPr="008D6416">
              <w:rPr>
                <w:rFonts w:ascii="Times New Roman" w:hAnsi="Times New Roman"/>
                <w:sz w:val="24"/>
                <w:szCs w:val="24"/>
              </w:rPr>
              <w:t>Obstructive sleep apnoea is where the airway is partially or completely blocked during sleep, which can cause breathing to reduce or stop.</w:t>
            </w:r>
          </w:p>
          <w:p w14:paraId="0CC6B026" w14:textId="04537D41" w:rsidR="008D6416" w:rsidRPr="008D6416" w:rsidRDefault="008D6416" w:rsidP="008D6416">
            <w:pPr>
              <w:spacing w:before="240"/>
              <w:rPr>
                <w:rFonts w:ascii="Times New Roman" w:hAnsi="Times New Roman"/>
                <w:sz w:val="24"/>
                <w:szCs w:val="24"/>
              </w:rPr>
            </w:pPr>
            <w:r w:rsidRPr="008D6416">
              <w:rPr>
                <w:rFonts w:ascii="Times New Roman" w:hAnsi="Times New Roman"/>
                <w:sz w:val="24"/>
                <w:szCs w:val="24"/>
              </w:rPr>
              <w:t>Polysomnography (PSG) is a type of sleep study that uses electrodes and sensors to continuously measure multiple body functions such as brain activity, heart rhythm and breathing. It can be done at a sleep clinic</w:t>
            </w:r>
            <w:r w:rsidR="002D13D6">
              <w:rPr>
                <w:rFonts w:ascii="Times New Roman" w:hAnsi="Times New Roman"/>
                <w:sz w:val="24"/>
                <w:szCs w:val="24"/>
              </w:rPr>
              <w:t xml:space="preserve"> with overnight supervision by a sleep physic</w:t>
            </w:r>
            <w:r w:rsidR="000C75CF">
              <w:rPr>
                <w:rFonts w:ascii="Times New Roman" w:hAnsi="Times New Roman"/>
                <w:sz w:val="24"/>
                <w:szCs w:val="24"/>
              </w:rPr>
              <w:t>i</w:t>
            </w:r>
            <w:r w:rsidR="002D13D6">
              <w:rPr>
                <w:rFonts w:ascii="Times New Roman" w:hAnsi="Times New Roman"/>
                <w:sz w:val="24"/>
                <w:szCs w:val="24"/>
              </w:rPr>
              <w:t>an</w:t>
            </w:r>
            <w:r w:rsidRPr="008D6416">
              <w:rPr>
                <w:rFonts w:ascii="Times New Roman" w:hAnsi="Times New Roman"/>
                <w:sz w:val="24"/>
                <w:szCs w:val="24"/>
              </w:rPr>
              <w:t xml:space="preserve">, or at a </w:t>
            </w:r>
            <w:r w:rsidR="00582977">
              <w:rPr>
                <w:rFonts w:ascii="Times New Roman" w:hAnsi="Times New Roman"/>
                <w:sz w:val="24"/>
                <w:szCs w:val="24"/>
              </w:rPr>
              <w:t>person</w:t>
            </w:r>
            <w:r w:rsidR="00582977" w:rsidRPr="008D6416">
              <w:rPr>
                <w:rFonts w:ascii="Times New Roman" w:hAnsi="Times New Roman"/>
                <w:sz w:val="24"/>
                <w:szCs w:val="24"/>
              </w:rPr>
              <w:t xml:space="preserve">’s </w:t>
            </w:r>
            <w:r w:rsidRPr="008D6416">
              <w:rPr>
                <w:rFonts w:ascii="Times New Roman" w:hAnsi="Times New Roman"/>
                <w:sz w:val="24"/>
                <w:szCs w:val="24"/>
              </w:rPr>
              <w:t xml:space="preserve">home with the help of a sleep </w:t>
            </w:r>
            <w:r w:rsidR="00FA4810">
              <w:rPr>
                <w:rFonts w:ascii="Times New Roman" w:hAnsi="Times New Roman"/>
                <w:sz w:val="24"/>
                <w:szCs w:val="24"/>
              </w:rPr>
              <w:t xml:space="preserve">scientist </w:t>
            </w:r>
            <w:r w:rsidR="002D13D6">
              <w:rPr>
                <w:rFonts w:ascii="Times New Roman" w:hAnsi="Times New Roman"/>
                <w:sz w:val="24"/>
                <w:szCs w:val="24"/>
              </w:rPr>
              <w:t>to set up the test only</w:t>
            </w:r>
            <w:r w:rsidRPr="008D6416">
              <w:rPr>
                <w:rFonts w:ascii="Times New Roman" w:hAnsi="Times New Roman"/>
                <w:sz w:val="24"/>
                <w:szCs w:val="24"/>
              </w:rPr>
              <w:t xml:space="preserve">. HSAT/PAT uses a device that looks like </w:t>
            </w:r>
            <w:r w:rsidR="00582977">
              <w:rPr>
                <w:rFonts w:ascii="Times New Roman" w:hAnsi="Times New Roman"/>
                <w:sz w:val="24"/>
                <w:szCs w:val="24"/>
              </w:rPr>
              <w:t xml:space="preserve">and is attached like </w:t>
            </w:r>
            <w:r w:rsidRPr="008D6416">
              <w:rPr>
                <w:rFonts w:ascii="Times New Roman" w:hAnsi="Times New Roman"/>
                <w:sz w:val="24"/>
                <w:szCs w:val="24"/>
              </w:rPr>
              <w:t xml:space="preserve">a watch </w:t>
            </w:r>
            <w:r w:rsidR="00FA4810">
              <w:rPr>
                <w:rFonts w:ascii="Times New Roman" w:hAnsi="Times New Roman"/>
                <w:sz w:val="24"/>
                <w:szCs w:val="24"/>
              </w:rPr>
              <w:t xml:space="preserve">and a chest probe </w:t>
            </w:r>
            <w:r w:rsidRPr="008D6416">
              <w:rPr>
                <w:rFonts w:ascii="Times New Roman" w:hAnsi="Times New Roman"/>
                <w:sz w:val="24"/>
                <w:szCs w:val="24"/>
              </w:rPr>
              <w:t xml:space="preserve">to measure some </w:t>
            </w:r>
            <w:r w:rsidRPr="008D6416">
              <w:rPr>
                <w:rFonts w:ascii="Times New Roman" w:hAnsi="Times New Roman"/>
                <w:sz w:val="24"/>
                <w:szCs w:val="24"/>
              </w:rPr>
              <w:lastRenderedPageBreak/>
              <w:t xml:space="preserve">of the body functions measured by PSG, such as heart rate, body movement and snoring sound level. The device can be posted to a </w:t>
            </w:r>
            <w:r w:rsidR="00582977">
              <w:rPr>
                <w:rFonts w:ascii="Times New Roman" w:hAnsi="Times New Roman"/>
                <w:sz w:val="24"/>
                <w:szCs w:val="24"/>
              </w:rPr>
              <w:t>person</w:t>
            </w:r>
            <w:r w:rsidR="00582977" w:rsidRPr="008D6416">
              <w:rPr>
                <w:rFonts w:ascii="Times New Roman" w:hAnsi="Times New Roman"/>
                <w:sz w:val="24"/>
                <w:szCs w:val="24"/>
              </w:rPr>
              <w:t xml:space="preserve">’s </w:t>
            </w:r>
            <w:r w:rsidRPr="008D6416">
              <w:rPr>
                <w:rFonts w:ascii="Times New Roman" w:hAnsi="Times New Roman"/>
                <w:sz w:val="24"/>
                <w:szCs w:val="24"/>
              </w:rPr>
              <w:t xml:space="preserve">home and be used without a sleep physician </w:t>
            </w:r>
            <w:r w:rsidR="00582977">
              <w:rPr>
                <w:rFonts w:ascii="Times New Roman" w:hAnsi="Times New Roman"/>
                <w:sz w:val="24"/>
                <w:szCs w:val="24"/>
              </w:rPr>
              <w:t>coming to the person’s home</w:t>
            </w:r>
            <w:r w:rsidR="00B0234D">
              <w:rPr>
                <w:rFonts w:ascii="Times New Roman" w:hAnsi="Times New Roman"/>
                <w:sz w:val="24"/>
                <w:szCs w:val="24"/>
              </w:rPr>
              <w:t xml:space="preserve"> </w:t>
            </w:r>
            <w:r w:rsidR="009C5E44">
              <w:rPr>
                <w:rFonts w:ascii="Times New Roman" w:hAnsi="Times New Roman"/>
                <w:sz w:val="24"/>
                <w:szCs w:val="24"/>
              </w:rPr>
              <w:t xml:space="preserve">but requires the person to use </w:t>
            </w:r>
            <w:r w:rsidR="00516547">
              <w:rPr>
                <w:rFonts w:ascii="Times New Roman" w:hAnsi="Times New Roman"/>
                <w:sz w:val="24"/>
                <w:szCs w:val="24"/>
              </w:rPr>
              <w:t xml:space="preserve">a </w:t>
            </w:r>
            <w:r w:rsidR="009C5E44" w:rsidRPr="009C5E44">
              <w:rPr>
                <w:rFonts w:ascii="Times New Roman" w:hAnsi="Times New Roman"/>
                <w:sz w:val="24"/>
                <w:szCs w:val="24"/>
              </w:rPr>
              <w:t xml:space="preserve">smartphone </w:t>
            </w:r>
            <w:r w:rsidR="009C5E44">
              <w:rPr>
                <w:rFonts w:ascii="Times New Roman" w:hAnsi="Times New Roman"/>
                <w:sz w:val="24"/>
                <w:szCs w:val="24"/>
              </w:rPr>
              <w:t>with</w:t>
            </w:r>
            <w:r w:rsidR="009C5E44" w:rsidRPr="009C5E44">
              <w:rPr>
                <w:rFonts w:ascii="Times New Roman" w:hAnsi="Times New Roman"/>
                <w:sz w:val="24"/>
                <w:szCs w:val="24"/>
              </w:rPr>
              <w:t xml:space="preserve"> internet connection</w:t>
            </w:r>
            <w:r w:rsidR="009C5E44">
              <w:rPr>
                <w:rFonts w:ascii="Times New Roman" w:hAnsi="Times New Roman"/>
                <w:sz w:val="24"/>
                <w:szCs w:val="24"/>
              </w:rPr>
              <w:t xml:space="preserve"> to send the test data to a sleep physician</w:t>
            </w:r>
            <w:r w:rsidRPr="008D6416">
              <w:rPr>
                <w:rFonts w:ascii="Times New Roman" w:hAnsi="Times New Roman"/>
                <w:sz w:val="24"/>
                <w:szCs w:val="24"/>
              </w:rPr>
              <w:t>.</w:t>
            </w:r>
          </w:p>
          <w:p w14:paraId="3D60671D" w14:textId="12C236CE" w:rsidR="008D6416" w:rsidRPr="008D6416" w:rsidRDefault="008D6416" w:rsidP="008D6416">
            <w:pPr>
              <w:spacing w:before="240"/>
              <w:rPr>
                <w:rFonts w:ascii="Times New Roman" w:hAnsi="Times New Roman"/>
                <w:sz w:val="24"/>
                <w:szCs w:val="24"/>
              </w:rPr>
            </w:pPr>
            <w:r w:rsidRPr="008D6416">
              <w:rPr>
                <w:rFonts w:ascii="Times New Roman" w:hAnsi="Times New Roman"/>
                <w:sz w:val="24"/>
                <w:szCs w:val="24"/>
              </w:rPr>
              <w:t>MSAC accepted there was a place for HSAT/PAT</w:t>
            </w:r>
            <w:r w:rsidR="000C75CF">
              <w:rPr>
                <w:rFonts w:ascii="Times New Roman" w:hAnsi="Times New Roman"/>
                <w:sz w:val="24"/>
                <w:szCs w:val="24"/>
              </w:rPr>
              <w:t xml:space="preserve"> in diagnosis of obstructive sleep apnoea</w:t>
            </w:r>
            <w:r w:rsidRPr="008D6416">
              <w:rPr>
                <w:rFonts w:ascii="Times New Roman" w:hAnsi="Times New Roman"/>
                <w:sz w:val="24"/>
                <w:szCs w:val="24"/>
              </w:rPr>
              <w:t xml:space="preserve"> but did not consider there was enough information to demonstrate that HSAT/PAT is as safe and effective</w:t>
            </w:r>
            <w:r>
              <w:rPr>
                <w:rFonts w:ascii="Times New Roman" w:hAnsi="Times New Roman"/>
                <w:sz w:val="24"/>
                <w:szCs w:val="24"/>
              </w:rPr>
              <w:t xml:space="preserve"> </w:t>
            </w:r>
            <w:r w:rsidRPr="008D6416">
              <w:rPr>
                <w:rFonts w:ascii="Times New Roman" w:hAnsi="Times New Roman"/>
                <w:sz w:val="24"/>
                <w:szCs w:val="24"/>
              </w:rPr>
              <w:t>as PSG. MSAC also considered that the proposed fees for the device were not explained sufficiently.</w:t>
            </w:r>
          </w:p>
          <w:p w14:paraId="36609E0D" w14:textId="77777777" w:rsidR="008D6416" w:rsidRPr="008D6416" w:rsidRDefault="008D6416" w:rsidP="008D6416">
            <w:pPr>
              <w:spacing w:before="240" w:after="120"/>
              <w:rPr>
                <w:rFonts w:ascii="Times New Roman" w:hAnsi="Times New Roman"/>
                <w:b/>
                <w:bCs/>
                <w:sz w:val="24"/>
                <w:szCs w:val="24"/>
              </w:rPr>
            </w:pPr>
            <w:r w:rsidRPr="008D6416">
              <w:rPr>
                <w:rFonts w:ascii="Times New Roman" w:hAnsi="Times New Roman"/>
                <w:b/>
                <w:bCs/>
                <w:sz w:val="24"/>
                <w:szCs w:val="24"/>
              </w:rPr>
              <w:t>MSAC’s advice to the Commonwealth Minister for Health</w:t>
            </w:r>
          </w:p>
          <w:p w14:paraId="15F02C51" w14:textId="339C1C62" w:rsidR="008D6416" w:rsidRPr="008D6416" w:rsidRDefault="008D6416" w:rsidP="008D6416">
            <w:pPr>
              <w:spacing w:after="120"/>
              <w:rPr>
                <w:rFonts w:ascii="Times New Roman" w:hAnsi="Times New Roman"/>
                <w:sz w:val="24"/>
                <w:szCs w:val="24"/>
              </w:rPr>
            </w:pPr>
            <w:r w:rsidRPr="008D6416">
              <w:rPr>
                <w:rFonts w:ascii="Times New Roman" w:hAnsi="Times New Roman"/>
                <w:sz w:val="24"/>
                <w:szCs w:val="24"/>
              </w:rPr>
              <w:t>MSAC did not support creating a new MBS item for HSAT/PAT. MSAC was not convinced that HSAT/PAT is as safe and as effective as PSG and was uncertain whether HSAT/PAT was good value for money.</w:t>
            </w:r>
          </w:p>
        </w:tc>
      </w:tr>
    </w:tbl>
    <w:p w14:paraId="1904270E" w14:textId="77777777" w:rsidR="00814E99" w:rsidRPr="00814E99" w:rsidRDefault="00814E99"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lastRenderedPageBreak/>
        <w:t xml:space="preserve">Summary of consideration and rationale for MSAC’s advice </w:t>
      </w:r>
    </w:p>
    <w:p w14:paraId="1779D185" w14:textId="4E947F1E" w:rsidR="00BD52A9" w:rsidRPr="00C55F87" w:rsidRDefault="00BD52A9" w:rsidP="00C55F87">
      <w:pPr>
        <w:spacing w:after="240"/>
        <w:rPr>
          <w:color w:val="000000" w:themeColor="text1"/>
        </w:rPr>
      </w:pPr>
      <w:r>
        <w:t xml:space="preserve">MSAC noted this application </w:t>
      </w:r>
      <w:r w:rsidR="002F6063">
        <w:t>requested</w:t>
      </w:r>
      <w:r>
        <w:t xml:space="preserve"> MBS listing of HSAT/PAT for the diagnosis of OSA. The specific HSAT/PAT in the </w:t>
      </w:r>
      <w:r w:rsidR="00431323">
        <w:t>A</w:t>
      </w:r>
      <w:r w:rsidR="00800DFC">
        <w:t xml:space="preserve">pplicant </w:t>
      </w:r>
      <w:r w:rsidR="00431323">
        <w:t>D</w:t>
      </w:r>
      <w:r w:rsidR="00800DFC">
        <w:t xml:space="preserve">eveloped </w:t>
      </w:r>
      <w:r w:rsidR="00431323">
        <w:t>A</w:t>
      </w:r>
      <w:r w:rsidR="00800DFC">
        <w:t>ssessment</w:t>
      </w:r>
      <w:r w:rsidR="002F6063">
        <w:t xml:space="preserve"> </w:t>
      </w:r>
      <w:r w:rsidR="00431323">
        <w:t>R</w:t>
      </w:r>
      <w:r w:rsidR="00800DFC">
        <w:t xml:space="preserve">eport (ADAR) </w:t>
      </w:r>
      <w:r>
        <w:t>uses a patient-worn device (WatchPAT) that measures up to seven parameters.</w:t>
      </w:r>
      <w:r>
        <w:rPr>
          <w:color w:val="FF0000"/>
        </w:rPr>
        <w:t xml:space="preserve"> </w:t>
      </w:r>
      <w:r>
        <w:rPr>
          <w:color w:val="000000" w:themeColor="text1"/>
        </w:rPr>
        <w:t xml:space="preserve">The target population is the same population that is eligible for </w:t>
      </w:r>
      <w:r w:rsidR="000038AB">
        <w:rPr>
          <w:color w:val="000000" w:themeColor="text1"/>
        </w:rPr>
        <w:t>MBS funded</w:t>
      </w:r>
      <w:r w:rsidRPr="00D81AA6">
        <w:rPr>
          <w:color w:val="000000" w:themeColor="text1"/>
        </w:rPr>
        <w:t xml:space="preserve"> </w:t>
      </w:r>
      <w:r w:rsidR="000038AB">
        <w:rPr>
          <w:color w:val="000000" w:themeColor="text1"/>
        </w:rPr>
        <w:t>unattended (</w:t>
      </w:r>
      <w:r w:rsidRPr="00D81AA6">
        <w:rPr>
          <w:color w:val="000000" w:themeColor="text1"/>
        </w:rPr>
        <w:t>home-based</w:t>
      </w:r>
      <w:r w:rsidR="000038AB">
        <w:rPr>
          <w:color w:val="000000" w:themeColor="text1"/>
        </w:rPr>
        <w:t>)</w:t>
      </w:r>
      <w:r w:rsidRPr="00D81AA6">
        <w:rPr>
          <w:color w:val="000000" w:themeColor="text1"/>
        </w:rPr>
        <w:t xml:space="preserve"> Level 2 PSG</w:t>
      </w:r>
      <w:r w:rsidR="00D81AA6" w:rsidRPr="00D81AA6">
        <w:rPr>
          <w:color w:val="000000" w:themeColor="text1"/>
        </w:rPr>
        <w:t xml:space="preserve"> (primary comp</w:t>
      </w:r>
      <w:r w:rsidR="00D81AA6" w:rsidRPr="00193407">
        <w:rPr>
          <w:color w:val="000000" w:themeColor="text1"/>
        </w:rPr>
        <w:t xml:space="preserve">arator) or a </w:t>
      </w:r>
      <w:r w:rsidR="00D81AA6" w:rsidRPr="00E6493B">
        <w:rPr>
          <w:color w:val="000000" w:themeColor="text1"/>
        </w:rPr>
        <w:t>laboratory-based Level 1 PSG</w:t>
      </w:r>
      <w:r w:rsidR="00D81AA6" w:rsidRPr="00193407">
        <w:rPr>
          <w:color w:val="000000" w:themeColor="text1"/>
        </w:rPr>
        <w:t xml:space="preserve"> (secondary comparator and reference standard)</w:t>
      </w:r>
      <w:r w:rsidRPr="00193407">
        <w:rPr>
          <w:color w:val="000000" w:themeColor="text1"/>
        </w:rPr>
        <w:t>.</w:t>
      </w:r>
      <w:r>
        <w:rPr>
          <w:color w:val="000000" w:themeColor="text1"/>
        </w:rPr>
        <w:t xml:space="preserve"> </w:t>
      </w:r>
    </w:p>
    <w:p w14:paraId="1CAF7E78" w14:textId="19E216D3" w:rsidR="00BD52A9" w:rsidRDefault="00BD52A9" w:rsidP="00C55F87">
      <w:pPr>
        <w:spacing w:after="240"/>
        <w:rPr>
          <w:color w:val="000000" w:themeColor="text1"/>
        </w:rPr>
      </w:pPr>
      <w:r>
        <w:t xml:space="preserve">MSAC noted </w:t>
      </w:r>
      <w:r w:rsidR="000038AB">
        <w:t xml:space="preserve">that </w:t>
      </w:r>
      <w:r>
        <w:t>HSAT/PAT devices do not measure the same parameters as Level 2 PSG</w:t>
      </w:r>
      <w:r w:rsidR="00193407">
        <w:t xml:space="preserve">, such as </w:t>
      </w:r>
      <w:r w:rsidR="000038AB">
        <w:t xml:space="preserve">airflow, </w:t>
      </w:r>
      <w:r w:rsidR="000038AB" w:rsidRPr="000038AB">
        <w:t>continuous electromyography (EMG), continuous electrocardiogram (ECG), continuous electroencephalogram (EEG)</w:t>
      </w:r>
      <w:r w:rsidR="000038AB">
        <w:t xml:space="preserve"> or</w:t>
      </w:r>
      <w:r w:rsidR="000038AB" w:rsidRPr="000038AB">
        <w:t xml:space="preserve"> electro-oculography (EOG)</w:t>
      </w:r>
      <w:r w:rsidR="000038AB">
        <w:t xml:space="preserve">. As such, HSAT/PAT is </w:t>
      </w:r>
      <w:r>
        <w:t>not eligible to be claimed under MBS item 12250 for Level 2 PSG.</w:t>
      </w:r>
      <w:r w:rsidR="00EA0DE8">
        <w:t xml:space="preserve"> MSAC noted specific mandatory training and accreditation should be required, and </w:t>
      </w:r>
      <w:r w:rsidR="00431323">
        <w:t>that the HSAT/PAT generates an automated report that can be manually reviewed and scored</w:t>
      </w:r>
      <w:r w:rsidR="00E6493B">
        <w:rPr>
          <w:rStyle w:val="FootnoteReference"/>
        </w:rPr>
        <w:footnoteReference w:id="1"/>
      </w:r>
      <w:r w:rsidR="00431323">
        <w:t xml:space="preserve"> by an accredited sleep technologist or sleep physician and that any further treatment </w:t>
      </w:r>
      <w:r w:rsidR="00431323" w:rsidRPr="00431323">
        <w:rPr>
          <w:color w:val="000000" w:themeColor="text1"/>
        </w:rPr>
        <w:t>should be determined by a sleep physician.</w:t>
      </w:r>
    </w:p>
    <w:p w14:paraId="27DFDCBA" w14:textId="0CFB4DA1" w:rsidR="00F651C0" w:rsidRDefault="00E2554C" w:rsidP="00C55F87">
      <w:pPr>
        <w:spacing w:after="240"/>
      </w:pPr>
      <w:r w:rsidRPr="009761EE">
        <w:rPr>
          <w:color w:val="000000" w:themeColor="text1"/>
        </w:rPr>
        <w:t>MSAC noted the consultation feedback received was</w:t>
      </w:r>
      <w:r>
        <w:rPr>
          <w:color w:val="000000" w:themeColor="text1"/>
        </w:rPr>
        <w:t xml:space="preserve"> mostly supportive of HSAT/PAT</w:t>
      </w:r>
      <w:r w:rsidR="00D14FEA">
        <w:rPr>
          <w:color w:val="000000" w:themeColor="text1"/>
        </w:rPr>
        <w:t>,</w:t>
      </w:r>
      <w:r>
        <w:rPr>
          <w:color w:val="000000" w:themeColor="text1"/>
        </w:rPr>
        <w:t xml:space="preserve"> noting benefits of HSAT/PAT in the diagnosis of OSA include ease of use and </w:t>
      </w:r>
      <w:r w:rsidR="009761EE">
        <w:rPr>
          <w:color w:val="000000" w:themeColor="text1"/>
        </w:rPr>
        <w:t xml:space="preserve">potential to improve access in remote areas. </w:t>
      </w:r>
      <w:r w:rsidR="00F651C0">
        <w:t xml:space="preserve">MSAC noted that the HSAT/PAT device can be posted to a patient’s home with 24-hour support, which could improve access for regional and remote patients, </w:t>
      </w:r>
      <w:r w:rsidR="002C482C">
        <w:t>but</w:t>
      </w:r>
      <w:r w:rsidR="00F651C0">
        <w:t xml:space="preserve"> that the </w:t>
      </w:r>
      <w:r w:rsidR="00CD29CD">
        <w:t xml:space="preserve">single use </w:t>
      </w:r>
      <w:r w:rsidR="00F651C0">
        <w:t>device requires a smartphone and an internet connection. However, MSAC noted the claimed benefits of consumer convenience and improved access to be largely assumptions that were not based on real-world evidence.</w:t>
      </w:r>
    </w:p>
    <w:p w14:paraId="5021F0D3" w14:textId="23B7729F" w:rsidR="00C55F87" w:rsidRDefault="00E45267" w:rsidP="00C55F87">
      <w:pPr>
        <w:spacing w:after="240"/>
      </w:pPr>
      <w:bookmarkStart w:id="0" w:name="_Hlk80119049"/>
      <w:r>
        <w:t xml:space="preserve">MSAC </w:t>
      </w:r>
      <w:bookmarkEnd w:id="0"/>
      <w:r w:rsidR="00BD52A9">
        <w:t xml:space="preserve">noted </w:t>
      </w:r>
      <w:r w:rsidR="000038AB">
        <w:t xml:space="preserve">the ADAR proposed </w:t>
      </w:r>
      <w:r w:rsidR="00BD52A9">
        <w:t xml:space="preserve">two new MBS item numbers </w:t>
      </w:r>
      <w:r w:rsidR="000038AB">
        <w:t>for HSAT/PAT</w:t>
      </w:r>
      <w:r w:rsidR="00BD52A9">
        <w:t xml:space="preserve">: one for a single use device (with the same item fee as MBS item 12250), and one for a reusable device (with a fee of $30 less than MBS item 12250). </w:t>
      </w:r>
      <w:r w:rsidR="008E33E3">
        <w:t xml:space="preserve">MSAC noted the pre-MSAC response provided an updated breakdown of the proposed fees, clarified that the descriptor should specify epochs of 1 minute (not 20 minutes) and suggested new parameter </w:t>
      </w:r>
      <w:r w:rsidR="00E6493B">
        <w:t>criteria.</w:t>
      </w:r>
      <w:r w:rsidR="008E33E3">
        <w:t xml:space="preserve"> </w:t>
      </w:r>
      <w:r w:rsidR="00D81AA6">
        <w:t>MSAC</w:t>
      </w:r>
      <w:r w:rsidR="00BD52A9">
        <w:t xml:space="preserve"> noted </w:t>
      </w:r>
      <w:r w:rsidR="00D81AA6">
        <w:t xml:space="preserve">Department </w:t>
      </w:r>
      <w:r w:rsidR="00E6493B">
        <w:t xml:space="preserve">advice </w:t>
      </w:r>
      <w:r w:rsidR="00BD52A9">
        <w:t xml:space="preserve">that the </w:t>
      </w:r>
      <w:r w:rsidR="00BD52A9" w:rsidRPr="00CD29CD">
        <w:t xml:space="preserve">MBS </w:t>
      </w:r>
      <w:r w:rsidR="00C4534B" w:rsidRPr="00CD29CD">
        <w:t xml:space="preserve">is intended to subsidise </w:t>
      </w:r>
      <w:r w:rsidR="00BD52A9" w:rsidRPr="00CD29CD">
        <w:t>the professional service</w:t>
      </w:r>
      <w:r w:rsidR="00C4534B" w:rsidRPr="00CD29CD">
        <w:t xml:space="preserve">, </w:t>
      </w:r>
      <w:r w:rsidR="007A1D2E" w:rsidRPr="00CD29CD">
        <w:t xml:space="preserve">with </w:t>
      </w:r>
      <w:r w:rsidR="007A1D2E" w:rsidRPr="00CD29CD">
        <w:lastRenderedPageBreak/>
        <w:t xml:space="preserve">consideration to time and complexity, </w:t>
      </w:r>
      <w:r w:rsidR="00C4534B" w:rsidRPr="00CD29CD">
        <w:t>as opposed to the</w:t>
      </w:r>
      <w:r w:rsidR="00D12753" w:rsidRPr="00CD29CD">
        <w:t xml:space="preserve"> </w:t>
      </w:r>
      <w:r w:rsidR="00BD52A9" w:rsidRPr="00CD29CD">
        <w:t>cost of the device</w:t>
      </w:r>
      <w:r w:rsidR="000038AB" w:rsidRPr="00CD29CD">
        <w:t xml:space="preserve"> or consumables</w:t>
      </w:r>
      <w:r w:rsidR="00BD52A9" w:rsidRPr="00CD29CD">
        <w:t xml:space="preserve">. </w:t>
      </w:r>
      <w:r w:rsidR="00627118" w:rsidRPr="00CD29CD">
        <w:t xml:space="preserve">MSAC noted Department advice that the fee for </w:t>
      </w:r>
      <w:r w:rsidR="00D14FEA" w:rsidRPr="00CD29CD">
        <w:t xml:space="preserve">MBS item </w:t>
      </w:r>
      <w:r w:rsidR="00627118" w:rsidRPr="00CD29CD">
        <w:t xml:space="preserve">12250 (Level 2 PSG) </w:t>
      </w:r>
      <w:r w:rsidR="007A1D2E" w:rsidRPr="00CD29CD">
        <w:t xml:space="preserve">should </w:t>
      </w:r>
      <w:r w:rsidR="00C4534B" w:rsidRPr="00CD29CD">
        <w:t xml:space="preserve">reflect the cost of </w:t>
      </w:r>
      <w:r w:rsidR="00627118" w:rsidRPr="00CD29CD">
        <w:t xml:space="preserve"> the professional service only, but </w:t>
      </w:r>
      <w:r w:rsidR="004932FF" w:rsidRPr="00CD29CD">
        <w:t xml:space="preserve">also noted </w:t>
      </w:r>
      <w:r w:rsidR="002A6790" w:rsidRPr="00CD29CD">
        <w:t>applicant advice that</w:t>
      </w:r>
      <w:r w:rsidR="00627118" w:rsidRPr="00CD29CD">
        <w:t xml:space="preserve"> service providers consulted by the applicant, are not separately billing </w:t>
      </w:r>
      <w:r w:rsidR="002C482C" w:rsidRPr="00CD29CD">
        <w:t xml:space="preserve">for </w:t>
      </w:r>
      <w:r w:rsidR="00627118" w:rsidRPr="00CD29CD">
        <w:t>the consumables</w:t>
      </w:r>
      <w:r w:rsidR="002C482C" w:rsidRPr="00CD29CD">
        <w:t xml:space="preserve"> used in such studies</w:t>
      </w:r>
      <w:r w:rsidR="00627118" w:rsidRPr="00CD29CD">
        <w:t>.</w:t>
      </w:r>
      <w:r w:rsidR="001E2C82" w:rsidRPr="001717E7">
        <w:t xml:space="preserve"> </w:t>
      </w:r>
      <w:r w:rsidR="008E33E3" w:rsidRPr="001717E7">
        <w:t xml:space="preserve">MSAC considered that </w:t>
      </w:r>
      <w:r w:rsidR="008E33E3">
        <w:t xml:space="preserve">the </w:t>
      </w:r>
      <w:r w:rsidR="00205548">
        <w:t>applicant’s fee breakdown did not provide sufficient justification for the</w:t>
      </w:r>
      <w:r w:rsidR="003B1E3B">
        <w:t xml:space="preserve"> sleep technologist or professional service components of the</w:t>
      </w:r>
      <w:r w:rsidR="008E33E3">
        <w:t xml:space="preserve"> proposed fee</w:t>
      </w:r>
      <w:r w:rsidR="004932FF">
        <w:t xml:space="preserve"> relative to existing PSG studies</w:t>
      </w:r>
      <w:r w:rsidR="008E33E3">
        <w:t>.</w:t>
      </w:r>
    </w:p>
    <w:p w14:paraId="3D26F0E0" w14:textId="712320D6" w:rsidR="00BD52A9" w:rsidRDefault="00C55F87" w:rsidP="00C55F87">
      <w:pPr>
        <w:spacing w:after="240"/>
      </w:pPr>
      <w:r>
        <w:t>MSAC</w:t>
      </w:r>
      <w:r w:rsidR="00BD52A9">
        <w:t xml:space="preserve"> noted there was</w:t>
      </w:r>
      <w:r w:rsidR="0018588C">
        <w:t xml:space="preserve"> limited</w:t>
      </w:r>
      <w:r>
        <w:t>,</w:t>
      </w:r>
      <w:r w:rsidR="00BD52A9">
        <w:t xml:space="preserve"> low </w:t>
      </w:r>
      <w:r w:rsidR="0018588C">
        <w:t xml:space="preserve">quality </w:t>
      </w:r>
      <w:r w:rsidR="00BD52A9">
        <w:t xml:space="preserve">evidence </w:t>
      </w:r>
      <w:r w:rsidR="00DD676D">
        <w:t>comparing HSAT/PAT with</w:t>
      </w:r>
      <w:r w:rsidR="00BD52A9">
        <w:t xml:space="preserve"> Level 2 PSG</w:t>
      </w:r>
      <w:r w:rsidR="001C5C22">
        <w:t xml:space="preserve"> (primary comparator</w:t>
      </w:r>
      <w:r w:rsidR="00BD52A9">
        <w:t>)</w:t>
      </w:r>
      <w:r w:rsidR="0018588C">
        <w:t xml:space="preserve">, which consisted of </w:t>
      </w:r>
      <w:r w:rsidR="00BD52A9">
        <w:t xml:space="preserve">two cohort studies (O’Brien </w:t>
      </w:r>
      <w:r w:rsidR="00C81841">
        <w:t xml:space="preserve">et al. </w:t>
      </w:r>
      <w:r w:rsidR="00BD52A9">
        <w:t>2012</w:t>
      </w:r>
      <w:r>
        <w:rPr>
          <w:rStyle w:val="FootnoteReference"/>
        </w:rPr>
        <w:footnoteReference w:id="2"/>
      </w:r>
      <w:r w:rsidR="00BD52A9">
        <w:t xml:space="preserve"> and Zou </w:t>
      </w:r>
      <w:r w:rsidR="00901C43">
        <w:t xml:space="preserve">et al. </w:t>
      </w:r>
      <w:r w:rsidR="00BD52A9">
        <w:t>2006</w:t>
      </w:r>
      <w:r w:rsidR="00901C43">
        <w:rPr>
          <w:rStyle w:val="FootnoteReference"/>
        </w:rPr>
        <w:footnoteReference w:id="3"/>
      </w:r>
      <w:r w:rsidR="00BD52A9">
        <w:t>)</w:t>
      </w:r>
      <w:r w:rsidR="0018588C">
        <w:t xml:space="preserve"> with a high risk of bias</w:t>
      </w:r>
      <w:r w:rsidR="00BD52A9">
        <w:t>.</w:t>
      </w:r>
      <w:r w:rsidR="00DD676D" w:rsidRPr="00F240E0">
        <w:t xml:space="preserve"> MSAC </w:t>
      </w:r>
      <w:r w:rsidR="0018588C" w:rsidRPr="00F240E0">
        <w:t xml:space="preserve">also </w:t>
      </w:r>
      <w:r w:rsidR="00DD676D" w:rsidRPr="00F240E0">
        <w:t xml:space="preserve">noted the two </w:t>
      </w:r>
      <w:r w:rsidR="0018588C" w:rsidRPr="00F240E0">
        <w:t xml:space="preserve">cohort </w:t>
      </w:r>
      <w:r w:rsidR="00DD676D" w:rsidRPr="00F240E0">
        <w:t>studies</w:t>
      </w:r>
      <w:r w:rsidR="0018588C" w:rsidRPr="00F240E0">
        <w:t xml:space="preserve"> </w:t>
      </w:r>
      <w:r w:rsidR="00BD52A9" w:rsidRPr="00F240E0">
        <w:t>were highly selective in their patient populations (</w:t>
      </w:r>
      <w:r w:rsidR="00F817E7" w:rsidRPr="00F240E0">
        <w:t xml:space="preserve">i.e. </w:t>
      </w:r>
      <w:r w:rsidR="00BD52A9" w:rsidRPr="00F240E0">
        <w:t>pregnant</w:t>
      </w:r>
      <w:r w:rsidR="00BD52A9">
        <w:t xml:space="preserve"> women and patients selected from a hypertension and diabetes database)</w:t>
      </w:r>
      <w:r w:rsidR="00DD676D">
        <w:t xml:space="preserve"> and therefore, not representative of the proposed population</w:t>
      </w:r>
      <w:r w:rsidR="00BD52A9">
        <w:t>.</w:t>
      </w:r>
      <w:r w:rsidR="001C5C22">
        <w:t xml:space="preserve"> </w:t>
      </w:r>
      <w:r w:rsidR="00BD52A9">
        <w:t xml:space="preserve">MSAC </w:t>
      </w:r>
      <w:r w:rsidR="00EF7D01">
        <w:t xml:space="preserve">noted </w:t>
      </w:r>
      <w:r w:rsidR="002A4F2A">
        <w:t>a</w:t>
      </w:r>
      <w:r w:rsidR="00EF7D01">
        <w:t xml:space="preserve"> larger evidence base</w:t>
      </w:r>
      <w:r w:rsidR="002A4F2A">
        <w:t xml:space="preserve"> </w:t>
      </w:r>
      <w:r w:rsidR="00BF0D12" w:rsidRPr="00BF0D12">
        <w:t>(k=16)</w:t>
      </w:r>
      <w:r w:rsidR="00EF7D01">
        <w:t xml:space="preserve"> comparing HSAT/PAT with Level 1 PSG (secondary comparator) but </w:t>
      </w:r>
      <w:r w:rsidR="002A4F2A">
        <w:t>that</w:t>
      </w:r>
      <w:r w:rsidR="00BD52A9">
        <w:t xml:space="preserve"> the HSAT/PAT device was used in a sleep laboratory setting, with attendance by a sleep technician. </w:t>
      </w:r>
      <w:r w:rsidR="005A1355">
        <w:t>MSAC noted the pre-MSAC response reitera</w:t>
      </w:r>
      <w:r w:rsidR="009B47FE">
        <w:t>ted claims</w:t>
      </w:r>
      <w:r w:rsidR="005A1355">
        <w:t xml:space="preserve"> that</w:t>
      </w:r>
      <w:r w:rsidR="005A1355" w:rsidRPr="005A1355">
        <w:t xml:space="preserve"> the performance of HSAT/PAT </w:t>
      </w:r>
      <w:r w:rsidR="00F817E7">
        <w:t>would</w:t>
      </w:r>
      <w:r w:rsidR="005A1355" w:rsidRPr="005A1355">
        <w:t xml:space="preserve"> not be enhanced when used in the laboratory compared to home</w:t>
      </w:r>
      <w:r w:rsidR="009B47FE" w:rsidRPr="009B47FE">
        <w:t>.</w:t>
      </w:r>
      <w:r w:rsidR="009B47FE">
        <w:t xml:space="preserve"> </w:t>
      </w:r>
      <w:r w:rsidR="005A1355">
        <w:t xml:space="preserve">However, </w:t>
      </w:r>
      <w:r w:rsidR="00BD52A9">
        <w:t xml:space="preserve">MSAC </w:t>
      </w:r>
      <w:r w:rsidR="005A1355">
        <w:t xml:space="preserve">agreed with ESC and </w:t>
      </w:r>
      <w:r w:rsidR="00BD52A9">
        <w:t>considered</w:t>
      </w:r>
      <w:r w:rsidR="005A1355">
        <w:t xml:space="preserve"> </w:t>
      </w:r>
      <w:r w:rsidR="00800DFC">
        <w:t xml:space="preserve">it was uncertain whether </w:t>
      </w:r>
      <w:r w:rsidR="00BD52A9">
        <w:t xml:space="preserve">the results obtained in the Level 1 PSG studies for HSAT/PAT </w:t>
      </w:r>
      <w:r w:rsidR="00800DFC">
        <w:t>would</w:t>
      </w:r>
      <w:r w:rsidR="00BD52A9">
        <w:t xml:space="preserve"> accurately reflect results that </w:t>
      </w:r>
      <w:r w:rsidR="00F817E7">
        <w:t xml:space="preserve">would </w:t>
      </w:r>
      <w:r w:rsidR="00BD52A9">
        <w:t xml:space="preserve">be obtained in clinical practice. </w:t>
      </w:r>
    </w:p>
    <w:p w14:paraId="5787FAD0" w14:textId="3E8AE412" w:rsidR="00BD52A9" w:rsidRDefault="00DD676D" w:rsidP="00C55F87">
      <w:pPr>
        <w:spacing w:after="240"/>
      </w:pPr>
      <w:r>
        <w:t>Regarding</w:t>
      </w:r>
      <w:r w:rsidR="00D81AA6">
        <w:t xml:space="preserve"> comparative safety, MSAC noted the </w:t>
      </w:r>
      <w:r w:rsidR="00BD52A9">
        <w:t xml:space="preserve">studies </w:t>
      </w:r>
      <w:r w:rsidR="00E6493B">
        <w:t>comparing HSAT/PAT with Leve</w:t>
      </w:r>
      <w:r w:rsidR="00661557">
        <w:t>l</w:t>
      </w:r>
      <w:r w:rsidR="00E6493B">
        <w:t xml:space="preserve"> </w:t>
      </w:r>
      <w:r w:rsidR="004A312E">
        <w:t>2</w:t>
      </w:r>
      <w:r w:rsidR="00E6493B">
        <w:t xml:space="preserve"> or Level 1 PSG </w:t>
      </w:r>
      <w:r w:rsidR="00BD52A9">
        <w:t xml:space="preserve">did not directly assess safety outcomes. </w:t>
      </w:r>
      <w:r w:rsidR="002A4F2A">
        <w:t xml:space="preserve">MSAC noted the pre-MSAC response reiterated that there were no safety outcomes included in the ratified PICO. </w:t>
      </w:r>
      <w:r w:rsidR="002A4F2A" w:rsidRPr="00CD29CD">
        <w:t xml:space="preserve">However, </w:t>
      </w:r>
      <w:r w:rsidR="00BD52A9" w:rsidRPr="00CD29CD">
        <w:t xml:space="preserve">MSAC </w:t>
      </w:r>
      <w:r w:rsidR="002A4F2A" w:rsidRPr="00CD29CD">
        <w:t xml:space="preserve">was concerned </w:t>
      </w:r>
      <w:r w:rsidR="00BD52A9" w:rsidRPr="00CD29CD">
        <w:t>that the potential harm with HSAT/PAT</w:t>
      </w:r>
      <w:r w:rsidR="002A4F2A" w:rsidRPr="00CD29CD">
        <w:t>,</w:t>
      </w:r>
      <w:r w:rsidR="00BD52A9" w:rsidRPr="00CD29CD">
        <w:t xml:space="preserve"> through over</w:t>
      </w:r>
      <w:r w:rsidR="004F2B5D" w:rsidRPr="00CD29CD">
        <w:noBreakHyphen/>
      </w:r>
      <w:r w:rsidR="00BD52A9" w:rsidRPr="00CD29CD">
        <w:t>diagnosis</w:t>
      </w:r>
      <w:r w:rsidR="002C482C" w:rsidRPr="00CD29CD">
        <w:t xml:space="preserve"> or mis-diagnosis</w:t>
      </w:r>
      <w:r w:rsidR="00BD52A9" w:rsidRPr="00CD29CD">
        <w:t>, over-treatment or psychosocial harms (for example, anxiety and labelling)</w:t>
      </w:r>
      <w:r w:rsidR="002A4F2A" w:rsidRPr="00CD29CD">
        <w:t xml:space="preserve">, </w:t>
      </w:r>
      <w:r w:rsidR="00BD52A9" w:rsidRPr="00CD29CD">
        <w:t xml:space="preserve">had not been </w:t>
      </w:r>
      <w:r w:rsidR="003F301A" w:rsidRPr="00CD29CD">
        <w:t xml:space="preserve">considered and </w:t>
      </w:r>
      <w:r w:rsidR="00BD52A9" w:rsidRPr="00CD29CD">
        <w:t>addressed</w:t>
      </w:r>
      <w:r w:rsidR="003F301A" w:rsidRPr="00CD29CD">
        <w:t xml:space="preserve"> in the ADAR</w:t>
      </w:r>
      <w:r w:rsidR="00856C93">
        <w:t>. Overall, MSAC considered there was insufficient evidence to demonstrate non-inferior safety of HSAT/PAT with either Level 2 or Level 1 PSG.</w:t>
      </w:r>
    </w:p>
    <w:p w14:paraId="60BCCD71" w14:textId="715C5A75" w:rsidR="008C5ECD" w:rsidRDefault="00DD676D" w:rsidP="00C55F87">
      <w:pPr>
        <w:spacing w:after="240"/>
      </w:pPr>
      <w:r>
        <w:t xml:space="preserve">Regarding the assessment of the comparative efficacy of HSAT/PAT, </w:t>
      </w:r>
      <w:r w:rsidR="00BD52A9">
        <w:t xml:space="preserve">MSAC noted that the ADAR only provided </w:t>
      </w:r>
      <w:r>
        <w:t>evidence on the</w:t>
      </w:r>
      <w:r w:rsidR="00BD52A9">
        <w:t xml:space="preserve"> </w:t>
      </w:r>
      <w:r>
        <w:t xml:space="preserve">comparative </w:t>
      </w:r>
      <w:r w:rsidR="00BD52A9">
        <w:t xml:space="preserve">diagnostic performance of HSAT/PAT. </w:t>
      </w:r>
      <w:r w:rsidR="008C5ECD">
        <w:t>Comparing the diagnostic accuracy of HSAT/PAT versus Level 2 PSG,</w:t>
      </w:r>
      <w:r w:rsidR="008C5ECD" w:rsidRPr="00DD676D">
        <w:t xml:space="preserve"> </w:t>
      </w:r>
      <w:r w:rsidR="008C5ECD">
        <w:t xml:space="preserve">MSAC noted that the </w:t>
      </w:r>
      <w:r w:rsidR="008C5ECD" w:rsidRPr="00F240E0">
        <w:t>apnoea hypopnoea index</w:t>
      </w:r>
      <w:r w:rsidR="008C5ECD">
        <w:t xml:space="preserve"> (AHI) correlation were</w:t>
      </w:r>
      <w:r w:rsidR="004A312E">
        <w:t xml:space="preserve"> good but</w:t>
      </w:r>
      <w:r w:rsidR="008C5ECD">
        <w:t xml:space="preserve"> </w:t>
      </w:r>
      <w:r w:rsidR="00BA6207">
        <w:t>in</w:t>
      </w:r>
      <w:r w:rsidR="008C5ECD">
        <w:t xml:space="preserve">consistent across the two studies (r=0.73 in </w:t>
      </w:r>
      <w:r w:rsidR="008C5ECD" w:rsidRPr="00BF0D12">
        <w:t xml:space="preserve">O’Brien </w:t>
      </w:r>
      <w:r w:rsidR="008C5ECD">
        <w:t xml:space="preserve">et al. </w:t>
      </w:r>
      <w:r w:rsidR="008C5ECD" w:rsidRPr="00BF0D12">
        <w:t>2012</w:t>
      </w:r>
      <w:r w:rsidR="008C5ECD">
        <w:t xml:space="preserve">; r=0.90 in </w:t>
      </w:r>
      <w:r w:rsidR="008C5ECD" w:rsidRPr="00BF0D12">
        <w:t xml:space="preserve">Zou </w:t>
      </w:r>
      <w:r w:rsidR="008C5ECD">
        <w:t xml:space="preserve">et al. </w:t>
      </w:r>
      <w:r w:rsidR="008C5ECD" w:rsidRPr="00BF0D12">
        <w:t>2006)</w:t>
      </w:r>
      <w:r w:rsidR="008C5ECD">
        <w:t xml:space="preserve">. MSAC also noted that the HSAT/PAT </w:t>
      </w:r>
      <w:r w:rsidR="008C5ECD" w:rsidRPr="00BF0D12">
        <w:t>failure rates</w:t>
      </w:r>
      <w:r w:rsidR="008C5ECD">
        <w:t xml:space="preserve"> ranged</w:t>
      </w:r>
      <w:r w:rsidR="006F50E9">
        <w:t xml:space="preserve"> </w:t>
      </w:r>
      <w:r w:rsidR="00D964E8">
        <w:t>0</w:t>
      </w:r>
      <w:r w:rsidR="006F50E9">
        <w:t>% to 9.6% depending on setting</w:t>
      </w:r>
      <w:r w:rsidR="008C5ECD">
        <w:t>. Comparing the diagnostic accuracy of HSAT/PAT versus Level 1 PSG, MSAC noted</w:t>
      </w:r>
      <w:r w:rsidR="004A312E">
        <w:t xml:space="preserve"> the pre-MSAC response reiterated </w:t>
      </w:r>
      <w:r w:rsidR="005A30C6">
        <w:t>the</w:t>
      </w:r>
      <w:r w:rsidR="004A312E">
        <w:t xml:space="preserve"> reason for excluding the </w:t>
      </w:r>
      <w:r w:rsidR="008C5ECD" w:rsidDel="001C5C22">
        <w:t>one contrasting study (Ioachimescu</w:t>
      </w:r>
      <w:r w:rsidR="004A312E">
        <w:t xml:space="preserve"> et al.</w:t>
      </w:r>
      <w:r w:rsidR="008C5ECD" w:rsidDel="001C5C22">
        <w:t xml:space="preserve"> 2020</w:t>
      </w:r>
      <w:r w:rsidR="005A30C6">
        <w:rPr>
          <w:rStyle w:val="FootnoteReference"/>
        </w:rPr>
        <w:footnoteReference w:id="4"/>
      </w:r>
      <w:r w:rsidR="008C5ECD" w:rsidDel="001C5C22">
        <w:t xml:space="preserve">) </w:t>
      </w:r>
      <w:r w:rsidR="004A312E">
        <w:t xml:space="preserve">which </w:t>
      </w:r>
      <w:r w:rsidR="008C5ECD" w:rsidDel="001C5C22">
        <w:t>stat</w:t>
      </w:r>
      <w:r w:rsidR="004A312E">
        <w:t>ed</w:t>
      </w:r>
      <w:r w:rsidR="008C5ECD" w:rsidDel="001C5C22">
        <w:t xml:space="preserve"> that PAT-based testing showed high rates of diagnostic misclassification (30%–50%) when compared with </w:t>
      </w:r>
      <w:r w:rsidR="004A312E">
        <w:t>Level 1</w:t>
      </w:r>
      <w:r w:rsidR="008C5ECD" w:rsidDel="001C5C22">
        <w:t xml:space="preserve"> PSG.</w:t>
      </w:r>
      <w:r w:rsidR="004A312E">
        <w:t xml:space="preserve"> MSAC considered that </w:t>
      </w:r>
      <w:r w:rsidR="005A30C6">
        <w:t>including/excluding the Ioachimescu et al. (2020) from the AHI meta-analysis did not have much of an effect on the meta-analysed AHI correlation</w:t>
      </w:r>
      <w:r w:rsidR="00B05B9F">
        <w:t xml:space="preserve"> between HSAT/PAT and Level 1 PSG</w:t>
      </w:r>
      <w:r w:rsidR="005A30C6">
        <w:t>.</w:t>
      </w:r>
    </w:p>
    <w:p w14:paraId="075037EA" w14:textId="4DBAA920" w:rsidR="001C5C22" w:rsidRDefault="00BD52A9" w:rsidP="00C55F87">
      <w:pPr>
        <w:spacing w:after="240"/>
      </w:pPr>
      <w:r>
        <w:t xml:space="preserve">MSAC noted there was no evidence provided on the clinical utility of HSAT/PAT, or evidence relevant to therapeutic efficacy or therapeutic effectiveness. </w:t>
      </w:r>
      <w:r w:rsidR="00EF7D01">
        <w:t>MSAC also noted that the ADAR had not provided evidence or discussion linking the results for the Level 2 PSG studies to the reference standard of Level 1 PSG. MSAC noted the pre-MSAC response</w:t>
      </w:r>
      <w:r w:rsidR="00856C93">
        <w:t xml:space="preserve">, that these outcomes and comparisons were not specified in the ratified PICO. </w:t>
      </w:r>
      <w:r w:rsidR="00856C93" w:rsidRPr="00CD29CD">
        <w:t xml:space="preserve">However, MSAC </w:t>
      </w:r>
      <w:r w:rsidR="00856C93" w:rsidRPr="00CD29CD">
        <w:lastRenderedPageBreak/>
        <w:t>consider</w:t>
      </w:r>
      <w:r w:rsidR="000D5AF3" w:rsidRPr="00CD29CD">
        <w:t xml:space="preserve">ed the lack of direct evidence on the </w:t>
      </w:r>
      <w:r w:rsidR="00712274" w:rsidRPr="00CD29CD">
        <w:t xml:space="preserve">comparative </w:t>
      </w:r>
      <w:r w:rsidR="000D5AF3" w:rsidRPr="00CD29CD">
        <w:t xml:space="preserve">effectiveness of HSAT/PAT in terms of health outcomes, in accordance with the MSAC guidelines, to a be an important limitation </w:t>
      </w:r>
      <w:r w:rsidR="00BF0D12" w:rsidRPr="00CD29CD">
        <w:t xml:space="preserve">and </w:t>
      </w:r>
      <w:r w:rsidR="0068556C" w:rsidRPr="00CD29CD">
        <w:t>as such the ADAR did not</w:t>
      </w:r>
      <w:r w:rsidR="00BF0D12" w:rsidRPr="00CD29CD">
        <w:t xml:space="preserve"> provide evidence that OSA diagnosis through HSAT/PAT will benefit patients</w:t>
      </w:r>
      <w:r w:rsidR="006F50E9" w:rsidRPr="00CD29CD">
        <w:t>, particularly in the setting of differential misclassification in both directions</w:t>
      </w:r>
      <w:r w:rsidR="000D5AF3" w:rsidRPr="00CD29CD">
        <w:t>.</w:t>
      </w:r>
    </w:p>
    <w:p w14:paraId="277ACD17" w14:textId="628500D1" w:rsidR="00BD52A9" w:rsidRDefault="00ED5978" w:rsidP="00C55F87">
      <w:pPr>
        <w:spacing w:after="240"/>
      </w:pPr>
      <w:r>
        <w:t xml:space="preserve">Overall, MSAC considered that </w:t>
      </w:r>
      <w:r w:rsidR="00712274">
        <w:t xml:space="preserve">the comparative </w:t>
      </w:r>
      <w:r>
        <w:t xml:space="preserve">evidence provided was insufficient to support the clinical claim </w:t>
      </w:r>
      <w:r w:rsidR="007E7842">
        <w:t>that HSAT/PAT has</w:t>
      </w:r>
      <w:r>
        <w:t xml:space="preserve"> non-inferior safety and eff</w:t>
      </w:r>
      <w:r w:rsidR="007E7842">
        <w:t xml:space="preserve">ectiveness compared </w:t>
      </w:r>
      <w:r>
        <w:t xml:space="preserve">to Level 2 </w:t>
      </w:r>
      <w:r w:rsidR="00BF0D12">
        <w:t>PSG</w:t>
      </w:r>
      <w:r>
        <w:t xml:space="preserve"> and Level 1 PSG.</w:t>
      </w:r>
    </w:p>
    <w:p w14:paraId="08E34462" w14:textId="29FE5276" w:rsidR="00BD52A9" w:rsidRDefault="00BD52A9" w:rsidP="003801A5">
      <w:pPr>
        <w:spacing w:after="240"/>
      </w:pPr>
      <w:r w:rsidRPr="00265841">
        <w:t>MSAC noted</w:t>
      </w:r>
      <w:r>
        <w:t xml:space="preserve"> that the </w:t>
      </w:r>
      <w:r w:rsidR="00EF5A1E">
        <w:t xml:space="preserve">economic analysis presented in the </w:t>
      </w:r>
      <w:r>
        <w:t xml:space="preserve">ADAR </w:t>
      </w:r>
      <w:r w:rsidR="00EF5A1E">
        <w:t>w</w:t>
      </w:r>
      <w:r w:rsidR="00B05B9F">
        <w:t>as not</w:t>
      </w:r>
      <w:r>
        <w:t xml:space="preserve"> a cost-minimisation analysis, but instead a</w:t>
      </w:r>
      <w:r w:rsidR="00EF5A1E">
        <w:t xml:space="preserve"> </w:t>
      </w:r>
      <w:r>
        <w:t xml:space="preserve">financial estimate for the overall health system over 5 years, with each year presented separately. </w:t>
      </w:r>
      <w:r w:rsidR="003801A5">
        <w:t>MSAC noted the claimed c</w:t>
      </w:r>
      <w:r w:rsidR="003801A5" w:rsidRPr="003801A5">
        <w:t xml:space="preserve">ost savings </w:t>
      </w:r>
      <w:r w:rsidR="003801A5">
        <w:t xml:space="preserve">are </w:t>
      </w:r>
      <w:r w:rsidR="003801A5" w:rsidRPr="003801A5">
        <w:t xml:space="preserve">largely driven by reduced hospital costs through substitution of Level 1 PSG with HSAT/PAT </w:t>
      </w:r>
      <w:r w:rsidR="003801A5">
        <w:t>and agreed with</w:t>
      </w:r>
      <w:r w:rsidR="003801A5" w:rsidRPr="003801A5">
        <w:t xml:space="preserve"> ESC that substitution of Level 1 PSG with HSAT/PAT was highly uncertain</w:t>
      </w:r>
      <w:r w:rsidR="003801A5">
        <w:t>.</w:t>
      </w:r>
      <w:r w:rsidR="003801A5" w:rsidRPr="003801A5">
        <w:t xml:space="preserve"> </w:t>
      </w:r>
      <w:r w:rsidR="003801A5">
        <w:t xml:space="preserve">MSAC noted </w:t>
      </w:r>
      <w:r w:rsidR="000C2741">
        <w:t>ESC raised</w:t>
      </w:r>
      <w:r>
        <w:t xml:space="preserve"> several </w:t>
      </w:r>
      <w:r w:rsidR="005D471F">
        <w:t xml:space="preserve">other </w:t>
      </w:r>
      <w:r>
        <w:t>issues with the economic evaluation</w:t>
      </w:r>
      <w:r w:rsidR="002216DE">
        <w:t>. MSAC</w:t>
      </w:r>
      <w:r w:rsidR="000C2741">
        <w:t xml:space="preserve"> noted the pre-MSAC response </w:t>
      </w:r>
      <w:r w:rsidR="005D471F">
        <w:t>reiterated the basis for assuming</w:t>
      </w:r>
      <w:r w:rsidR="002216DE">
        <w:t xml:space="preserve"> that HSAT/PAT had the same failure rate as Level</w:t>
      </w:r>
      <w:r w:rsidR="00CC6399">
        <w:t> </w:t>
      </w:r>
      <w:r w:rsidR="002216DE">
        <w:t>2 PSG</w:t>
      </w:r>
      <w:r w:rsidR="005D471F">
        <w:t xml:space="preserve"> and suggested the failure rate of HSAT/PAT is 1.76% based on recent unpublished real-world usage in regional Australia. </w:t>
      </w:r>
      <w:r>
        <w:t xml:space="preserve">MSAC also noted that the cost per patient used in the analysis was based on incorrect MBS items, </w:t>
      </w:r>
      <w:r w:rsidR="005D471F">
        <w:t>which the pre-MSAC response argued were applied equally to Level 1 and Leve</w:t>
      </w:r>
      <w:r w:rsidR="002C482C">
        <w:t>l</w:t>
      </w:r>
      <w:r w:rsidR="005D471F">
        <w:t xml:space="preserve"> 2 PSG and therefore would not change the overall results</w:t>
      </w:r>
      <w:r>
        <w:t>.</w:t>
      </w:r>
      <w:r w:rsidR="00265841">
        <w:t xml:space="preserve"> </w:t>
      </w:r>
      <w:r>
        <w:t xml:space="preserve">MSAC </w:t>
      </w:r>
      <w:r w:rsidR="00192A34">
        <w:t xml:space="preserve">agreed with ESC concerns </w:t>
      </w:r>
      <w:r>
        <w:t>that</w:t>
      </w:r>
      <w:r w:rsidR="00265841">
        <w:t xml:space="preserve"> the economic analysis had not taken into consideration that</w:t>
      </w:r>
      <w:r>
        <w:t xml:space="preserve"> HSAT/PAT has high sensitivity and poor specificity, leading to false positives that result in subsequent investment in treatment. </w:t>
      </w:r>
      <w:r w:rsidR="001D43A3">
        <w:t>Overall, MSAC considered the economic analysis and reported cost-savings of HSAT/PAT to be highly uncertain.</w:t>
      </w:r>
    </w:p>
    <w:p w14:paraId="3B689BB2" w14:textId="7001AB13" w:rsidR="00F651C0" w:rsidRDefault="00D2016C" w:rsidP="00C77772">
      <w:pPr>
        <w:spacing w:after="240"/>
      </w:pPr>
      <w:r>
        <w:t>MSAC noted the financial estimate</w:t>
      </w:r>
      <w:r w:rsidR="002059F5">
        <w:t xml:space="preserve">s </w:t>
      </w:r>
      <w:r w:rsidR="00C77772">
        <w:t>appeared to be a market share approach with direct subst</w:t>
      </w:r>
      <w:r w:rsidR="00B06874">
        <w:t>itu</w:t>
      </w:r>
      <w:r w:rsidR="00C77772">
        <w:t xml:space="preserve">tion of current Level 2 and Level 1 PSG. </w:t>
      </w:r>
      <w:r w:rsidR="002216DE">
        <w:t xml:space="preserve">MSAC noted the estimated financial savings were largely driven by reduced costs through substitution of Level 1 PSG with HSAT/PAT (and the lower requested price for the reusable device). </w:t>
      </w:r>
      <w:r w:rsidR="00B06874">
        <w:t xml:space="preserve">However, MSAC noted the financial estimates did not include </w:t>
      </w:r>
      <w:r w:rsidR="00B06874" w:rsidRPr="00CD29CD">
        <w:t>eligibility</w:t>
      </w:r>
      <w:r w:rsidR="00B06874">
        <w:t xml:space="preserve">, rate of uptake or determination of costs. </w:t>
      </w:r>
      <w:r w:rsidR="00C91B1B" w:rsidDel="00ED5978">
        <w:t xml:space="preserve">MSAC </w:t>
      </w:r>
      <w:r w:rsidR="00C77772">
        <w:t>considered</w:t>
      </w:r>
      <w:r w:rsidR="00C91B1B" w:rsidDel="00ED5978">
        <w:t xml:space="preserve"> the </w:t>
      </w:r>
      <w:r w:rsidR="00C77772">
        <w:t xml:space="preserve">estimated </w:t>
      </w:r>
      <w:r w:rsidR="00C91B1B" w:rsidDel="00ED5978">
        <w:t xml:space="preserve">uptake of HSAT/PAT </w:t>
      </w:r>
      <w:r w:rsidR="002059F5">
        <w:t>to be</w:t>
      </w:r>
      <w:r w:rsidR="00C91B1B" w:rsidDel="00ED5978">
        <w:t xml:space="preserve"> highly uncertain</w:t>
      </w:r>
      <w:r w:rsidR="00C91B1B" w:rsidRPr="00B06874" w:rsidDel="00ED5978">
        <w:t>.</w:t>
      </w:r>
      <w:r w:rsidR="00C91B1B" w:rsidDel="00ED5978">
        <w:t xml:space="preserve"> </w:t>
      </w:r>
      <w:r w:rsidR="008E7E03">
        <w:t xml:space="preserve">MSAC </w:t>
      </w:r>
      <w:r w:rsidR="00C77772">
        <w:t>agreed with ESC that</w:t>
      </w:r>
      <w:r w:rsidR="008E7E03">
        <w:t xml:space="preserve"> HSAT/PAT </w:t>
      </w:r>
      <w:r w:rsidR="00C77772">
        <w:t xml:space="preserve">is likely </w:t>
      </w:r>
      <w:r w:rsidR="008E7E03">
        <w:t xml:space="preserve">to increase the overall market as it is easier to administer. </w:t>
      </w:r>
      <w:r w:rsidR="00192A34">
        <w:t xml:space="preserve">MSAC agreed with ESC that estimated use of Level 1 PSG </w:t>
      </w:r>
      <w:r w:rsidR="00BA6207">
        <w:t xml:space="preserve">substitution </w:t>
      </w:r>
      <w:r w:rsidR="00265841">
        <w:t>is</w:t>
      </w:r>
      <w:r w:rsidR="00192A34">
        <w:t xml:space="preserve"> uncertain and likely an over-estimate. </w:t>
      </w:r>
      <w:r w:rsidR="00C77772">
        <w:t xml:space="preserve">MSAC noted the pre-MSAC response reiterated claims </w:t>
      </w:r>
      <w:r w:rsidR="00192A34">
        <w:t xml:space="preserve">regarding </w:t>
      </w:r>
      <w:r w:rsidR="00C77772">
        <w:t>HSAT/PAT substitution of Level 1 PSG</w:t>
      </w:r>
      <w:r w:rsidR="00721B4D">
        <w:t>.</w:t>
      </w:r>
      <w:r w:rsidR="00C77772">
        <w:t xml:space="preserve"> </w:t>
      </w:r>
      <w:r w:rsidR="00721B4D">
        <w:t>H</w:t>
      </w:r>
      <w:r w:rsidR="00C77772">
        <w:t xml:space="preserve">owever, MSAC agreed with ESC that </w:t>
      </w:r>
      <w:r w:rsidR="006F6970">
        <w:t xml:space="preserve">HSAT/PAT substitution of Level 1 PSG to be highly uncertain as </w:t>
      </w:r>
      <w:r w:rsidR="009765FA">
        <w:t>there was insufficient information to adequately justify</w:t>
      </w:r>
      <w:r w:rsidR="00C77772" w:rsidDel="00C91B1B">
        <w:t xml:space="preserve"> which (and how many) patients who </w:t>
      </w:r>
      <w:r w:rsidR="00C77772">
        <w:t xml:space="preserve">are unsuitable for an unattended (Level 2) PSG and </w:t>
      </w:r>
      <w:r w:rsidR="00C77772" w:rsidDel="00C91B1B">
        <w:t>require a Level 1 PSG could swap to HSAT/PAT</w:t>
      </w:r>
      <w:r w:rsidR="009765FA">
        <w:t>.</w:t>
      </w:r>
      <w:r w:rsidR="00F651C0">
        <w:t xml:space="preserve"> </w:t>
      </w:r>
      <w:r w:rsidR="002059F5">
        <w:t xml:space="preserve">Overall, MSAC considered the financial estimates to be highly uncertain. </w:t>
      </w:r>
    </w:p>
    <w:p w14:paraId="18907844" w14:textId="0B0CE2E7" w:rsidR="00BD52A9" w:rsidRDefault="00F651C0" w:rsidP="00C77772">
      <w:pPr>
        <w:spacing w:after="240"/>
      </w:pPr>
      <w:r>
        <w:t xml:space="preserve">MSAC considered that there may be a place for HSAT/PAT in the diagnosis of OSA. </w:t>
      </w:r>
      <w:r w:rsidR="008E7E03">
        <w:t xml:space="preserve">MSAC </w:t>
      </w:r>
      <w:r w:rsidR="002059F5">
        <w:t>was concerned</w:t>
      </w:r>
      <w:r w:rsidR="008E7E03">
        <w:t xml:space="preserve"> that including this </w:t>
      </w:r>
      <w:r w:rsidR="00CC6399">
        <w:t xml:space="preserve">test </w:t>
      </w:r>
      <w:r w:rsidR="008E7E03">
        <w:t>on the MBS would likely expand testing, which could result in overdiagnosis of OSA and increased sales of associated devices to treat OSA.</w:t>
      </w:r>
      <w:r w:rsidR="00C91B1B">
        <w:t xml:space="preserve"> </w:t>
      </w:r>
      <w:r>
        <w:t>MSAC was uncertain if listing HSAT/PAT on the MBS would lead to changed clinical management or improved health outcomes, noting no evidence to suggest this was presented in the ADAR.</w:t>
      </w:r>
      <w:r w:rsidR="00C15C58" w:rsidRPr="00C15C58">
        <w:t xml:space="preserve"> </w:t>
      </w:r>
      <w:r w:rsidR="00C15C58" w:rsidRPr="00CD29CD">
        <w:t>MSAC suggested referring the application to the Medical Research Future Fund (MRFF).</w:t>
      </w:r>
    </w:p>
    <w:p w14:paraId="676DCF9A" w14:textId="4FE87D9F" w:rsidR="00BD52A9" w:rsidRDefault="00BD52A9" w:rsidP="00C55F87">
      <w:pPr>
        <w:spacing w:after="240"/>
      </w:pPr>
      <w:r>
        <w:lastRenderedPageBreak/>
        <w:t xml:space="preserve">MSAC </w:t>
      </w:r>
      <w:r w:rsidR="00F651C0">
        <w:t>considered that any resubmission would need</w:t>
      </w:r>
      <w:r>
        <w:t xml:space="preserve"> higher-quality </w:t>
      </w:r>
      <w:r w:rsidR="001717E7">
        <w:t xml:space="preserve">comparative </w:t>
      </w:r>
      <w:r>
        <w:t xml:space="preserve">evidence </w:t>
      </w:r>
      <w:r w:rsidR="001717E7">
        <w:t>for HSAT/PAT, including</w:t>
      </w:r>
      <w:r>
        <w:t xml:space="preserve"> the </w:t>
      </w:r>
      <w:r w:rsidR="00BA6207">
        <w:t>clinical utility</w:t>
      </w:r>
      <w:r>
        <w:t xml:space="preserve"> of HSAT/PAT</w:t>
      </w:r>
      <w:r w:rsidR="00BA6207">
        <w:t xml:space="preserve"> in each proposed test setting</w:t>
      </w:r>
      <w:r>
        <w:t>,</w:t>
      </w:r>
      <w:r w:rsidR="00C15C58">
        <w:t xml:space="preserve"> along with </w:t>
      </w:r>
      <w:r w:rsidR="002727CB">
        <w:t>revised economic and financial analys</w:t>
      </w:r>
      <w:r w:rsidR="00C15C58">
        <w:t>es (</w:t>
      </w:r>
      <w:r w:rsidR="00C15C58">
        <w:fldChar w:fldCharType="begin"/>
      </w:r>
      <w:r w:rsidR="00C15C58">
        <w:instrText xml:space="preserve"> REF _Ref79998144 \h </w:instrText>
      </w:r>
      <w:r w:rsidR="00C15C58">
        <w:fldChar w:fldCharType="separate"/>
      </w:r>
      <w:r w:rsidR="00C15C58">
        <w:t xml:space="preserve">Table </w:t>
      </w:r>
      <w:r w:rsidR="00C15C58">
        <w:rPr>
          <w:noProof/>
        </w:rPr>
        <w:t>1</w:t>
      </w:r>
      <w:r w:rsidR="00C15C58">
        <w:fldChar w:fldCharType="end"/>
      </w:r>
      <w:r w:rsidR="00C15C58">
        <w:t>)</w:t>
      </w:r>
      <w:r>
        <w:t xml:space="preserve">. </w:t>
      </w:r>
    </w:p>
    <w:p w14:paraId="1FBFDCA4" w14:textId="4C779439" w:rsidR="00F651C0" w:rsidRDefault="00F651C0" w:rsidP="00F651C0">
      <w:pPr>
        <w:pStyle w:val="Caption"/>
      </w:pPr>
      <w:bookmarkStart w:id="1" w:name="_Ref79998144"/>
      <w:r>
        <w:t xml:space="preserve">Table </w:t>
      </w:r>
      <w:r w:rsidR="00A930B3">
        <w:fldChar w:fldCharType="begin"/>
      </w:r>
      <w:r w:rsidR="00A930B3">
        <w:instrText xml:space="preserve"> SEQ Table \* ARABIC </w:instrText>
      </w:r>
      <w:r w:rsidR="00A930B3">
        <w:fldChar w:fldCharType="separate"/>
      </w:r>
      <w:r w:rsidR="00824C87">
        <w:rPr>
          <w:noProof/>
        </w:rPr>
        <w:t>1</w:t>
      </w:r>
      <w:r w:rsidR="00A930B3">
        <w:rPr>
          <w:noProof/>
        </w:rPr>
        <w:fldChar w:fldCharType="end"/>
      </w:r>
      <w:bookmarkEnd w:id="1"/>
      <w:r>
        <w:t xml:space="preserve"> </w:t>
      </w:r>
      <w:r w:rsidR="00D059EE">
        <w:t>Requirements for a resubmission</w:t>
      </w:r>
    </w:p>
    <w:tbl>
      <w:tblPr>
        <w:tblStyle w:val="TableGrid"/>
        <w:tblW w:w="8789" w:type="dxa"/>
        <w:tblInd w:w="-5" w:type="dxa"/>
        <w:tblCellMar>
          <w:left w:w="28" w:type="dxa"/>
          <w:right w:w="28" w:type="dxa"/>
        </w:tblCellMar>
        <w:tblLook w:val="04A0" w:firstRow="1" w:lastRow="0" w:firstColumn="1" w:lastColumn="0" w:noHBand="0" w:noVBand="1"/>
        <w:tblCaption w:val="Table 14 HSAT/PAT ARTG listing"/>
        <w:tblDescription w:val="Provides the ARTG listing for HSAT/PAT"/>
      </w:tblPr>
      <w:tblGrid>
        <w:gridCol w:w="2410"/>
        <w:gridCol w:w="6379"/>
      </w:tblGrid>
      <w:tr w:rsidR="00D059EE" w14:paraId="6B083740" w14:textId="77777777" w:rsidTr="00BF373B">
        <w:trPr>
          <w:tblHeader/>
        </w:trPr>
        <w:tc>
          <w:tcPr>
            <w:tcW w:w="2410" w:type="dxa"/>
          </w:tcPr>
          <w:p w14:paraId="1E8046EA" w14:textId="0549BD5D" w:rsidR="00D059EE" w:rsidRDefault="00D059EE" w:rsidP="00B0675E">
            <w:pPr>
              <w:pStyle w:val="Tabletextboldleft"/>
              <w:spacing w:before="40" w:after="40"/>
              <w:ind w:left="113"/>
            </w:pPr>
            <w:r>
              <w:t xml:space="preserve">Item  </w:t>
            </w:r>
          </w:p>
        </w:tc>
        <w:tc>
          <w:tcPr>
            <w:tcW w:w="6379" w:type="dxa"/>
          </w:tcPr>
          <w:p w14:paraId="5C52AEC9" w14:textId="6D7B0F60" w:rsidR="00D059EE" w:rsidRDefault="00D059EE" w:rsidP="00B0675E">
            <w:pPr>
              <w:pStyle w:val="Tabletextboldleft"/>
              <w:spacing w:before="40" w:after="40"/>
              <w:ind w:left="113"/>
              <w:jc w:val="center"/>
            </w:pPr>
            <w:r>
              <w:t>MSAC advice</w:t>
            </w:r>
          </w:p>
        </w:tc>
      </w:tr>
      <w:tr w:rsidR="00D059EE" w14:paraId="405876CD" w14:textId="77777777" w:rsidTr="00BF373B">
        <w:tc>
          <w:tcPr>
            <w:tcW w:w="2410" w:type="dxa"/>
          </w:tcPr>
          <w:p w14:paraId="353C711C" w14:textId="2A4819D8" w:rsidR="00D059EE" w:rsidRPr="004A0740" w:rsidRDefault="00661557" w:rsidP="00B0675E">
            <w:pPr>
              <w:pStyle w:val="Tabletext"/>
              <w:ind w:left="113"/>
            </w:pPr>
            <w:r>
              <w:rPr>
                <w:iCs/>
              </w:rPr>
              <w:t>Clinical evidence</w:t>
            </w:r>
          </w:p>
        </w:tc>
        <w:tc>
          <w:tcPr>
            <w:tcW w:w="6379" w:type="dxa"/>
            <w:shd w:val="clear" w:color="auto" w:fill="FFFFFF" w:themeFill="background1"/>
          </w:tcPr>
          <w:p w14:paraId="30E0EFB3" w14:textId="5B2D8608" w:rsidR="00D059EE" w:rsidRPr="00CD29CD" w:rsidRDefault="00661557" w:rsidP="00B0675E">
            <w:pPr>
              <w:pStyle w:val="Tabletext"/>
              <w:ind w:left="113"/>
            </w:pPr>
            <w:r w:rsidRPr="00CD29CD">
              <w:t xml:space="preserve">Provide higher quality (direct) evidence to demonstrate </w:t>
            </w:r>
            <w:r w:rsidR="00EA6C3A" w:rsidRPr="00CD29CD">
              <w:t xml:space="preserve">non-inferiority of </w:t>
            </w:r>
            <w:r w:rsidRPr="00CD29CD">
              <w:t>HSAT/PAT compared to the main comparator in accordance with MSAC guidelines</w:t>
            </w:r>
            <w:r w:rsidR="003F6EFE" w:rsidRPr="00CD29CD">
              <w:t xml:space="preserve"> for investigative technologies</w:t>
            </w:r>
            <w:r w:rsidR="00EA6C3A" w:rsidRPr="00CD29CD">
              <w:t>, i.e. should also include assessment of the clinical utility of HSAT/PAT.</w:t>
            </w:r>
          </w:p>
        </w:tc>
      </w:tr>
      <w:tr w:rsidR="00D059EE" w14:paraId="29EF699D" w14:textId="77777777" w:rsidTr="00BF373B">
        <w:tc>
          <w:tcPr>
            <w:tcW w:w="2410" w:type="dxa"/>
          </w:tcPr>
          <w:p w14:paraId="54D424BD" w14:textId="0E8E1EB0" w:rsidR="00D059EE" w:rsidRDefault="00D059EE" w:rsidP="00B0675E">
            <w:pPr>
              <w:pStyle w:val="Tabletext"/>
              <w:ind w:left="113"/>
              <w:rPr>
                <w:iCs/>
              </w:rPr>
            </w:pPr>
            <w:r>
              <w:rPr>
                <w:iCs/>
              </w:rPr>
              <w:t>Proposed fee</w:t>
            </w:r>
          </w:p>
        </w:tc>
        <w:tc>
          <w:tcPr>
            <w:tcW w:w="6379" w:type="dxa"/>
          </w:tcPr>
          <w:p w14:paraId="69923B07" w14:textId="6E9C45F9" w:rsidR="00D059EE" w:rsidRPr="00CD29CD" w:rsidRDefault="003B1E3B" w:rsidP="00B0675E">
            <w:pPr>
              <w:pStyle w:val="Tabletext"/>
              <w:ind w:left="113"/>
            </w:pPr>
            <w:r w:rsidRPr="00CD29CD">
              <w:t>The proposed MBS fee for HSAT/PAT should cover the professional service onl</w:t>
            </w:r>
            <w:r w:rsidR="00661557" w:rsidRPr="00CD29CD">
              <w:t>y and appropriate justification that the proposed fee is commensurate with</w:t>
            </w:r>
            <w:r w:rsidRPr="00CD29CD">
              <w:t xml:space="preserve"> </w:t>
            </w:r>
            <w:r w:rsidR="00712274" w:rsidRPr="00CD29CD">
              <w:t xml:space="preserve">the </w:t>
            </w:r>
            <w:r w:rsidRPr="00CD29CD">
              <w:t xml:space="preserve">technologist or professional service </w:t>
            </w:r>
            <w:r w:rsidR="00661557" w:rsidRPr="00CD29CD">
              <w:t>should be provided</w:t>
            </w:r>
            <w:r w:rsidRPr="00CD29CD">
              <w:t>.</w:t>
            </w:r>
          </w:p>
        </w:tc>
      </w:tr>
      <w:tr w:rsidR="00D059EE" w14:paraId="40A5FC9F" w14:textId="77777777" w:rsidTr="00BF373B">
        <w:tc>
          <w:tcPr>
            <w:tcW w:w="2410" w:type="dxa"/>
          </w:tcPr>
          <w:p w14:paraId="5CD978AE" w14:textId="1433E273" w:rsidR="00D059EE" w:rsidRDefault="00D059EE" w:rsidP="00B0675E">
            <w:pPr>
              <w:pStyle w:val="Tabletext"/>
              <w:ind w:left="113"/>
              <w:rPr>
                <w:iCs/>
              </w:rPr>
            </w:pPr>
            <w:r>
              <w:rPr>
                <w:iCs/>
              </w:rPr>
              <w:t>Substitution of Level 1 PSG</w:t>
            </w:r>
          </w:p>
        </w:tc>
        <w:tc>
          <w:tcPr>
            <w:tcW w:w="6379" w:type="dxa"/>
          </w:tcPr>
          <w:p w14:paraId="1DF7A5F2" w14:textId="63AD89A9" w:rsidR="00D059EE" w:rsidRPr="004E03B6" w:rsidRDefault="00661557" w:rsidP="00B0675E">
            <w:pPr>
              <w:pStyle w:val="Tabletext"/>
              <w:ind w:left="113"/>
            </w:pPr>
            <w:r>
              <w:t xml:space="preserve">Provide </w:t>
            </w:r>
            <w:r w:rsidRPr="00661557">
              <w:t>information to adequately justify which (and how many) patients who are unsuitable for an unattended (Level 2) PSG and require a Level 1 PSG could swap to HSAT/PAT.</w:t>
            </w:r>
          </w:p>
        </w:tc>
      </w:tr>
      <w:tr w:rsidR="00D059EE" w14:paraId="20D2BF93" w14:textId="77777777" w:rsidTr="00BF373B">
        <w:tc>
          <w:tcPr>
            <w:tcW w:w="2410" w:type="dxa"/>
          </w:tcPr>
          <w:p w14:paraId="18752C4F" w14:textId="06A1AA8D" w:rsidR="00D059EE" w:rsidRDefault="00D059EE" w:rsidP="00B0675E">
            <w:pPr>
              <w:pStyle w:val="Tabletext"/>
              <w:ind w:left="113"/>
              <w:rPr>
                <w:iCs/>
              </w:rPr>
            </w:pPr>
            <w:r>
              <w:rPr>
                <w:iCs/>
              </w:rPr>
              <w:t>Economic analysis</w:t>
            </w:r>
          </w:p>
        </w:tc>
        <w:tc>
          <w:tcPr>
            <w:tcW w:w="6379" w:type="dxa"/>
          </w:tcPr>
          <w:p w14:paraId="3C934BD9" w14:textId="39B948D2" w:rsidR="00D059EE" w:rsidRDefault="00661557" w:rsidP="00B0675E">
            <w:pPr>
              <w:pStyle w:val="Tabletext"/>
              <w:ind w:left="113"/>
            </w:pPr>
            <w:r>
              <w:t>Present a</w:t>
            </w:r>
            <w:r w:rsidR="002727CB">
              <w:t xml:space="preserve"> revised</w:t>
            </w:r>
            <w:r>
              <w:t xml:space="preserve"> economic analysis in accordance with MSAC guidelines that addresses</w:t>
            </w:r>
            <w:r w:rsidR="00962555">
              <w:t xml:space="preserve"> the concerns raised </w:t>
            </w:r>
            <w:r w:rsidR="00EA6C3A">
              <w:t>i</w:t>
            </w:r>
            <w:r w:rsidR="00962555">
              <w:t>ncluding</w:t>
            </w:r>
            <w:r>
              <w:t>:</w:t>
            </w:r>
          </w:p>
          <w:p w14:paraId="27D0245D" w14:textId="0602ECED" w:rsidR="00EA6C3A" w:rsidRDefault="00EA6C3A" w:rsidP="00265841">
            <w:pPr>
              <w:pStyle w:val="Tabletext"/>
              <w:numPr>
                <w:ilvl w:val="0"/>
                <w:numId w:val="37"/>
              </w:numPr>
            </w:pPr>
            <w:r>
              <w:t>revised and appropriately justified costs including revised proposed MBS fee</w:t>
            </w:r>
          </w:p>
          <w:p w14:paraId="42C5CB66" w14:textId="77777777" w:rsidR="00EA6C3A" w:rsidRPr="00CD29CD" w:rsidRDefault="00962555" w:rsidP="00265841">
            <w:pPr>
              <w:pStyle w:val="Tabletext"/>
              <w:numPr>
                <w:ilvl w:val="0"/>
                <w:numId w:val="37"/>
              </w:numPr>
            </w:pPr>
            <w:r w:rsidRPr="00CD29CD">
              <w:t>re-testing using Level 1 PSG based on HSAT/PAT failure rates in the home-based setting</w:t>
            </w:r>
          </w:p>
          <w:p w14:paraId="62318546" w14:textId="7F5923D0" w:rsidR="00661557" w:rsidRPr="004E03B6" w:rsidRDefault="00EA6C3A" w:rsidP="00EA6C3A">
            <w:pPr>
              <w:pStyle w:val="Tabletext"/>
              <w:numPr>
                <w:ilvl w:val="0"/>
                <w:numId w:val="37"/>
              </w:numPr>
            </w:pPr>
            <w:r w:rsidRPr="00CD29CD">
              <w:t>false positives (due to high sensitivity and poor specific</w:t>
            </w:r>
            <w:r w:rsidR="00BA6207" w:rsidRPr="00CD29CD">
              <w:t>ity</w:t>
            </w:r>
            <w:r w:rsidRPr="00CD29CD">
              <w:t xml:space="preserve"> of HSAT/PAT) leading to subsequent </w:t>
            </w:r>
            <w:r w:rsidR="00BA6207" w:rsidRPr="00CD29CD">
              <w:t xml:space="preserve">need for re-testing or </w:t>
            </w:r>
            <w:r w:rsidRPr="00CD29CD">
              <w:t>investment in treatment</w:t>
            </w:r>
            <w:r w:rsidR="00962555" w:rsidRPr="005E3E64">
              <w:t>.</w:t>
            </w:r>
            <w:r w:rsidR="00962555">
              <w:t xml:space="preserve">  </w:t>
            </w:r>
          </w:p>
        </w:tc>
      </w:tr>
      <w:tr w:rsidR="00D059EE" w14:paraId="64450319" w14:textId="77777777" w:rsidTr="00BF373B">
        <w:tc>
          <w:tcPr>
            <w:tcW w:w="2410" w:type="dxa"/>
          </w:tcPr>
          <w:p w14:paraId="23D09D66" w14:textId="07175280" w:rsidR="00D059EE" w:rsidRDefault="00D059EE" w:rsidP="00B0675E">
            <w:pPr>
              <w:pStyle w:val="Tabletext"/>
              <w:ind w:left="113"/>
              <w:rPr>
                <w:iCs/>
              </w:rPr>
            </w:pPr>
            <w:r>
              <w:rPr>
                <w:iCs/>
              </w:rPr>
              <w:t>Financial estimates</w:t>
            </w:r>
          </w:p>
        </w:tc>
        <w:tc>
          <w:tcPr>
            <w:tcW w:w="6379" w:type="dxa"/>
          </w:tcPr>
          <w:p w14:paraId="1A970BB9" w14:textId="06894F7E" w:rsidR="00D059EE" w:rsidRDefault="002727CB" w:rsidP="00B0675E">
            <w:pPr>
              <w:pStyle w:val="Tabletext"/>
              <w:ind w:left="113"/>
            </w:pPr>
            <w:r>
              <w:t>Present a revised financial analysis in accordance with MSAC guidelines that addresses</w:t>
            </w:r>
            <w:r w:rsidR="00F25A3C">
              <w:t xml:space="preserve"> the concerns raised including</w:t>
            </w:r>
            <w:r>
              <w:t>:</w:t>
            </w:r>
          </w:p>
          <w:p w14:paraId="6BEC94B7" w14:textId="5E72DFB9" w:rsidR="00FC6309" w:rsidRDefault="002727CB" w:rsidP="002727CB">
            <w:pPr>
              <w:pStyle w:val="Tabletext"/>
              <w:numPr>
                <w:ilvl w:val="0"/>
                <w:numId w:val="37"/>
              </w:numPr>
            </w:pPr>
            <w:r w:rsidRPr="002727CB">
              <w:t xml:space="preserve">eligibility </w:t>
            </w:r>
          </w:p>
          <w:p w14:paraId="00EB791A" w14:textId="0028F200" w:rsidR="002727CB" w:rsidRDefault="00FC6309" w:rsidP="002727CB">
            <w:pPr>
              <w:pStyle w:val="Tabletext"/>
              <w:numPr>
                <w:ilvl w:val="0"/>
                <w:numId w:val="37"/>
              </w:numPr>
            </w:pPr>
            <w:r>
              <w:t xml:space="preserve">rate of uptake and including </w:t>
            </w:r>
            <w:r w:rsidR="002727CB">
              <w:t>revised HSAT/PAT uptake estimates that take into consideration the potential for HSAT/PAT to grow the market</w:t>
            </w:r>
            <w:r>
              <w:t xml:space="preserve">, </w:t>
            </w:r>
            <w:r w:rsidR="002727CB">
              <w:t>the decreasing utilisation of Level 1 PSG</w:t>
            </w:r>
            <w:r>
              <w:t xml:space="preserve"> and unlikely potential for HSAT/PAT to substitute Level 1 PSG</w:t>
            </w:r>
          </w:p>
          <w:p w14:paraId="28317173" w14:textId="7F07DFE5" w:rsidR="00FC6309" w:rsidRDefault="00FC6309" w:rsidP="00FC6309">
            <w:pPr>
              <w:pStyle w:val="Tabletext"/>
              <w:numPr>
                <w:ilvl w:val="0"/>
                <w:numId w:val="37"/>
              </w:numPr>
            </w:pPr>
            <w:r w:rsidRPr="002727CB">
              <w:t>determination of costs</w:t>
            </w:r>
            <w:r w:rsidR="00962555">
              <w:t>, including corrected MBS items</w:t>
            </w:r>
          </w:p>
          <w:p w14:paraId="153318A4" w14:textId="0438C4B6" w:rsidR="00F25A3C" w:rsidRPr="004E03B6" w:rsidRDefault="00FC6309" w:rsidP="002727CB">
            <w:pPr>
              <w:pStyle w:val="Tabletext"/>
              <w:numPr>
                <w:ilvl w:val="0"/>
                <w:numId w:val="37"/>
              </w:numPr>
            </w:pPr>
            <w:r>
              <w:t>re-testing using Level 1 PSG based on HSAT/PAT failure rates</w:t>
            </w:r>
            <w:r w:rsidR="00962555">
              <w:t xml:space="preserve"> in the home-based setting</w:t>
            </w:r>
            <w:r>
              <w:t xml:space="preserve">.  </w:t>
            </w:r>
          </w:p>
        </w:tc>
      </w:tr>
    </w:tbl>
    <w:p w14:paraId="53FA4BDF" w14:textId="43ECDD03" w:rsidR="00B52FCF" w:rsidRPr="00814E99" w:rsidRDefault="00065623"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t>Background</w:t>
      </w:r>
    </w:p>
    <w:p w14:paraId="5C597A6B" w14:textId="404673C5" w:rsidR="00A15759" w:rsidRDefault="008C125C" w:rsidP="001576BB">
      <w:r>
        <w:t xml:space="preserve">This is the </w:t>
      </w:r>
      <w:r w:rsidR="003F195D">
        <w:t>first</w:t>
      </w:r>
      <w:r w:rsidR="001576BB" w:rsidRPr="008C125C">
        <w:t xml:space="preserve"> submission</w:t>
      </w:r>
      <w:r w:rsidR="00A15759" w:rsidRPr="008C125C">
        <w:t xml:space="preserve"> (Applicant Developed Assessment Report [ADAR])</w:t>
      </w:r>
      <w:r w:rsidR="001576BB" w:rsidRPr="008C125C">
        <w:t xml:space="preserve"> for </w:t>
      </w:r>
      <w:r w:rsidR="00A15759" w:rsidRPr="008C125C">
        <w:t>HSAT</w:t>
      </w:r>
      <w:r w:rsidR="004940B0">
        <w:t>/</w:t>
      </w:r>
      <w:r w:rsidRPr="008C125C">
        <w:t xml:space="preserve">PAT </w:t>
      </w:r>
      <w:r w:rsidR="00A15759" w:rsidRPr="008C125C">
        <w:t xml:space="preserve">for diagnosis of OSA (MSAC 1631). </w:t>
      </w:r>
    </w:p>
    <w:p w14:paraId="7BD3BF45" w14:textId="2A1283C7" w:rsidR="00CD242C" w:rsidRDefault="00CD242C" w:rsidP="00D12753">
      <w:pPr>
        <w:spacing w:before="240"/>
        <w:rPr>
          <w:color w:val="000000"/>
          <w:szCs w:val="24"/>
        </w:rPr>
      </w:pPr>
      <w:r>
        <w:rPr>
          <w:color w:val="000000"/>
          <w:szCs w:val="24"/>
        </w:rPr>
        <w:t>Diagnostic</w:t>
      </w:r>
      <w:r w:rsidR="00C57BA9">
        <w:rPr>
          <w:color w:val="000000"/>
          <w:szCs w:val="24"/>
        </w:rPr>
        <w:t xml:space="preserve"> sleep studie</w:t>
      </w:r>
      <w:r w:rsidR="003F195D">
        <w:rPr>
          <w:color w:val="000000"/>
          <w:szCs w:val="24"/>
        </w:rPr>
        <w:t>s are categorised into for types</w:t>
      </w:r>
      <w:r w:rsidR="00C57BA9">
        <w:rPr>
          <w:color w:val="000000"/>
          <w:szCs w:val="24"/>
        </w:rPr>
        <w:t xml:space="preserve">: </w:t>
      </w:r>
    </w:p>
    <w:p w14:paraId="0D5857F2" w14:textId="78A7EF81" w:rsidR="00CD242C" w:rsidRDefault="00C57BA9" w:rsidP="00CD242C">
      <w:pPr>
        <w:pStyle w:val="ListParagraph"/>
        <w:numPr>
          <w:ilvl w:val="0"/>
          <w:numId w:val="15"/>
        </w:numPr>
        <w:rPr>
          <w:color w:val="000000"/>
          <w:szCs w:val="24"/>
        </w:rPr>
      </w:pPr>
      <w:r w:rsidRPr="00CD242C">
        <w:rPr>
          <w:color w:val="000000"/>
          <w:szCs w:val="24"/>
        </w:rPr>
        <w:t>Level 1 (</w:t>
      </w:r>
      <w:r w:rsidR="006965C5">
        <w:rPr>
          <w:color w:val="000000"/>
          <w:szCs w:val="24"/>
        </w:rPr>
        <w:t>PSG</w:t>
      </w:r>
      <w:r w:rsidRPr="00CD242C">
        <w:rPr>
          <w:color w:val="000000"/>
          <w:szCs w:val="24"/>
        </w:rPr>
        <w:t xml:space="preserve">), </w:t>
      </w:r>
    </w:p>
    <w:p w14:paraId="4A8D6BCC" w14:textId="312800A0" w:rsidR="00CD242C" w:rsidRDefault="00C57BA9" w:rsidP="00CD242C">
      <w:pPr>
        <w:pStyle w:val="ListParagraph"/>
        <w:numPr>
          <w:ilvl w:val="0"/>
          <w:numId w:val="15"/>
        </w:numPr>
        <w:rPr>
          <w:color w:val="000000"/>
          <w:szCs w:val="24"/>
        </w:rPr>
      </w:pPr>
      <w:r w:rsidRPr="00CD242C">
        <w:rPr>
          <w:color w:val="000000"/>
          <w:szCs w:val="24"/>
        </w:rPr>
        <w:t xml:space="preserve">Level 2 (unattended </w:t>
      </w:r>
      <w:r w:rsidR="006965C5">
        <w:rPr>
          <w:color w:val="000000"/>
          <w:szCs w:val="24"/>
        </w:rPr>
        <w:t>PSG</w:t>
      </w:r>
      <w:r w:rsidRPr="00CD242C">
        <w:rPr>
          <w:color w:val="000000"/>
          <w:szCs w:val="24"/>
        </w:rPr>
        <w:t xml:space="preserve">), </w:t>
      </w:r>
    </w:p>
    <w:p w14:paraId="7CDB7F71" w14:textId="77777777" w:rsidR="00CD242C" w:rsidRDefault="00C57BA9" w:rsidP="00CD242C">
      <w:pPr>
        <w:pStyle w:val="ListParagraph"/>
        <w:numPr>
          <w:ilvl w:val="0"/>
          <w:numId w:val="15"/>
        </w:numPr>
        <w:rPr>
          <w:color w:val="000000"/>
          <w:szCs w:val="24"/>
        </w:rPr>
      </w:pPr>
      <w:r w:rsidRPr="00CD242C">
        <w:rPr>
          <w:color w:val="000000"/>
          <w:szCs w:val="24"/>
        </w:rPr>
        <w:t xml:space="preserve">Level </w:t>
      </w:r>
      <w:r w:rsidR="00CD242C" w:rsidRPr="00CD242C">
        <w:rPr>
          <w:color w:val="000000"/>
          <w:szCs w:val="24"/>
        </w:rPr>
        <w:t xml:space="preserve">3 (unattended limited channel ≥ 4 parameters) and </w:t>
      </w:r>
    </w:p>
    <w:p w14:paraId="79B9FB4B" w14:textId="77777777" w:rsidR="00CD242C" w:rsidRDefault="00CD242C" w:rsidP="00CD242C">
      <w:pPr>
        <w:pStyle w:val="ListParagraph"/>
        <w:numPr>
          <w:ilvl w:val="0"/>
          <w:numId w:val="15"/>
        </w:numPr>
        <w:rPr>
          <w:color w:val="000000"/>
          <w:szCs w:val="24"/>
        </w:rPr>
      </w:pPr>
      <w:r w:rsidRPr="00CD242C">
        <w:rPr>
          <w:color w:val="000000"/>
          <w:szCs w:val="24"/>
        </w:rPr>
        <w:t xml:space="preserve">Level 4 (unattended limited channel 1-2 parameters). </w:t>
      </w:r>
    </w:p>
    <w:p w14:paraId="05E953DA" w14:textId="7F5ED29D" w:rsidR="00A15759" w:rsidRDefault="004940B0" w:rsidP="00D12753">
      <w:pPr>
        <w:spacing w:before="240" w:after="240"/>
        <w:rPr>
          <w:color w:val="000000"/>
          <w:szCs w:val="24"/>
        </w:rPr>
      </w:pPr>
      <w:r>
        <w:rPr>
          <w:color w:val="000000"/>
          <w:szCs w:val="24"/>
        </w:rPr>
        <w:t>HSAT/</w:t>
      </w:r>
      <w:r w:rsidR="005025FD">
        <w:rPr>
          <w:color w:val="000000"/>
          <w:szCs w:val="24"/>
        </w:rPr>
        <w:t xml:space="preserve">PAT </w:t>
      </w:r>
      <w:r w:rsidR="003F195D">
        <w:rPr>
          <w:color w:val="000000"/>
          <w:szCs w:val="24"/>
        </w:rPr>
        <w:t>are</w:t>
      </w:r>
      <w:r w:rsidR="005025FD">
        <w:rPr>
          <w:color w:val="000000"/>
          <w:szCs w:val="24"/>
        </w:rPr>
        <w:t xml:space="preserve"> categorised as a Level 3 sleep study</w:t>
      </w:r>
      <w:r w:rsidR="003F195D">
        <w:rPr>
          <w:color w:val="000000"/>
          <w:szCs w:val="24"/>
        </w:rPr>
        <w:t xml:space="preserve"> in the 2017 Australasian Sleep Association guidelines for sleep studies in adults</w:t>
      </w:r>
      <w:r w:rsidR="005025FD">
        <w:rPr>
          <w:rStyle w:val="FootnoteReference"/>
          <w:color w:val="000000"/>
          <w:szCs w:val="24"/>
        </w:rPr>
        <w:footnoteReference w:id="5"/>
      </w:r>
      <w:r w:rsidR="005025FD">
        <w:rPr>
          <w:color w:val="000000"/>
          <w:szCs w:val="24"/>
        </w:rPr>
        <w:t xml:space="preserve">. </w:t>
      </w:r>
      <w:r w:rsidR="00C57BA9" w:rsidRPr="00CD242C">
        <w:rPr>
          <w:color w:val="000000"/>
          <w:szCs w:val="24"/>
        </w:rPr>
        <w:t xml:space="preserve">Currently, </w:t>
      </w:r>
      <w:r w:rsidR="00A15759" w:rsidRPr="00CD242C">
        <w:rPr>
          <w:color w:val="000000"/>
          <w:szCs w:val="24"/>
        </w:rPr>
        <w:t xml:space="preserve">MBS funding for diagnostic sleep studies </w:t>
      </w:r>
      <w:r w:rsidR="00CD242C" w:rsidRPr="00CD242C">
        <w:rPr>
          <w:color w:val="000000"/>
          <w:szCs w:val="24"/>
        </w:rPr>
        <w:t>is restricted to Level 1</w:t>
      </w:r>
      <w:r w:rsidR="00A15759" w:rsidRPr="00CD242C">
        <w:rPr>
          <w:color w:val="000000"/>
          <w:szCs w:val="24"/>
        </w:rPr>
        <w:t xml:space="preserve"> and Level 2</w:t>
      </w:r>
      <w:r w:rsidR="006965C5">
        <w:rPr>
          <w:color w:val="000000"/>
          <w:szCs w:val="24"/>
        </w:rPr>
        <w:t xml:space="preserve"> </w:t>
      </w:r>
      <w:r w:rsidR="00A15759" w:rsidRPr="00CD242C">
        <w:rPr>
          <w:color w:val="000000"/>
          <w:szCs w:val="24"/>
        </w:rPr>
        <w:t xml:space="preserve">sleep studies. </w:t>
      </w:r>
    </w:p>
    <w:p w14:paraId="3F4D1679" w14:textId="464A9790" w:rsidR="008C125C" w:rsidRDefault="00A15759" w:rsidP="00A15759">
      <w:pPr>
        <w:rPr>
          <w:color w:val="000000"/>
          <w:szCs w:val="24"/>
        </w:rPr>
      </w:pPr>
      <w:r w:rsidRPr="002B7607">
        <w:rPr>
          <w:color w:val="000000"/>
          <w:szCs w:val="24"/>
        </w:rPr>
        <w:lastRenderedPageBreak/>
        <w:t xml:space="preserve">In March 2010, MSAC considered </w:t>
      </w:r>
      <w:r>
        <w:rPr>
          <w:color w:val="000000"/>
          <w:szCs w:val="24"/>
        </w:rPr>
        <w:t>a</w:t>
      </w:r>
      <w:r w:rsidRPr="002B7607">
        <w:rPr>
          <w:color w:val="000000"/>
          <w:szCs w:val="24"/>
        </w:rPr>
        <w:t xml:space="preserve">pplication 1130 </w:t>
      </w:r>
      <w:r>
        <w:rPr>
          <w:color w:val="000000"/>
          <w:szCs w:val="24"/>
        </w:rPr>
        <w:t>for u</w:t>
      </w:r>
      <w:r w:rsidRPr="002B7607">
        <w:rPr>
          <w:color w:val="000000"/>
          <w:szCs w:val="24"/>
        </w:rPr>
        <w:t>nattended</w:t>
      </w:r>
      <w:r>
        <w:rPr>
          <w:color w:val="000000"/>
          <w:szCs w:val="24"/>
        </w:rPr>
        <w:t xml:space="preserve"> sleep s</w:t>
      </w:r>
      <w:r w:rsidRPr="002B7607">
        <w:rPr>
          <w:color w:val="000000"/>
          <w:szCs w:val="24"/>
        </w:rPr>
        <w:t xml:space="preserve">tudies. </w:t>
      </w:r>
      <w:r w:rsidR="00CD242C">
        <w:rPr>
          <w:color w:val="000000"/>
          <w:szCs w:val="24"/>
        </w:rPr>
        <w:t xml:space="preserve">At that time MSAC supported MBS listing of </w:t>
      </w:r>
      <w:r w:rsidR="00CD242C" w:rsidRPr="00CD242C">
        <w:rPr>
          <w:color w:val="000000"/>
          <w:szCs w:val="24"/>
        </w:rPr>
        <w:t>adult Level 2 sleep studies on a referred basis because, with</w:t>
      </w:r>
      <w:r w:rsidR="00CD242C">
        <w:rPr>
          <w:color w:val="000000"/>
          <w:szCs w:val="24"/>
        </w:rPr>
        <w:t xml:space="preserve"> </w:t>
      </w:r>
      <w:r w:rsidR="00CD242C" w:rsidRPr="00CD242C">
        <w:rPr>
          <w:color w:val="000000"/>
          <w:szCs w:val="24"/>
        </w:rPr>
        <w:t>seven parameters studied</w:t>
      </w:r>
      <w:r w:rsidR="00DE5C6D">
        <w:rPr>
          <w:rStyle w:val="FootnoteReference"/>
          <w:color w:val="000000"/>
          <w:szCs w:val="24"/>
        </w:rPr>
        <w:footnoteReference w:id="6"/>
      </w:r>
      <w:r w:rsidR="00CD242C" w:rsidRPr="00CD242C">
        <w:rPr>
          <w:color w:val="000000"/>
          <w:szCs w:val="24"/>
        </w:rPr>
        <w:t>, it was considered safe and ef</w:t>
      </w:r>
      <w:r w:rsidR="00CD242C">
        <w:rPr>
          <w:color w:val="000000"/>
          <w:szCs w:val="24"/>
        </w:rPr>
        <w:t xml:space="preserve">fective (in terms of diagnostic </w:t>
      </w:r>
      <w:r w:rsidR="00CD242C" w:rsidRPr="00CD242C">
        <w:rPr>
          <w:color w:val="000000"/>
          <w:szCs w:val="24"/>
        </w:rPr>
        <w:t>accuracy) and</w:t>
      </w:r>
      <w:r w:rsidR="00CD242C">
        <w:rPr>
          <w:color w:val="000000"/>
          <w:szCs w:val="24"/>
        </w:rPr>
        <w:t xml:space="preserve"> </w:t>
      </w:r>
      <w:r w:rsidR="00CD242C" w:rsidRPr="00CD242C">
        <w:rPr>
          <w:color w:val="000000"/>
          <w:szCs w:val="24"/>
        </w:rPr>
        <w:t>still likely to be cost saving compared to Level 1 sleep studies</w:t>
      </w:r>
      <w:r w:rsidR="00CD242C">
        <w:rPr>
          <w:color w:val="000000"/>
          <w:szCs w:val="24"/>
        </w:rPr>
        <w:t xml:space="preserve">. </w:t>
      </w:r>
      <w:r w:rsidR="005025FD" w:rsidRPr="005025FD">
        <w:rPr>
          <w:color w:val="000000"/>
          <w:szCs w:val="24"/>
        </w:rPr>
        <w:t>MSAC did not support public funding for Levels 3 and 4</w:t>
      </w:r>
      <w:r w:rsidR="005025FD">
        <w:rPr>
          <w:color w:val="000000"/>
          <w:szCs w:val="24"/>
        </w:rPr>
        <w:t xml:space="preserve"> </w:t>
      </w:r>
      <w:r w:rsidR="005025FD" w:rsidRPr="005025FD">
        <w:rPr>
          <w:color w:val="000000"/>
          <w:szCs w:val="24"/>
        </w:rPr>
        <w:t>sleep studies and the use of unattended sleep studies in paediatric and reassessment settings, due to</w:t>
      </w:r>
      <w:r w:rsidR="005025FD">
        <w:rPr>
          <w:color w:val="000000"/>
          <w:szCs w:val="24"/>
        </w:rPr>
        <w:t xml:space="preserve"> </w:t>
      </w:r>
      <w:r w:rsidR="005025FD" w:rsidRPr="005025FD">
        <w:rPr>
          <w:color w:val="000000"/>
          <w:szCs w:val="24"/>
        </w:rPr>
        <w:t>concerns about poor diagnostic performance resulting in unnecessary and potentially harmful</w:t>
      </w:r>
      <w:r w:rsidR="005025FD">
        <w:rPr>
          <w:color w:val="000000"/>
          <w:szCs w:val="24"/>
        </w:rPr>
        <w:t xml:space="preserve"> </w:t>
      </w:r>
      <w:r w:rsidR="005025FD" w:rsidRPr="005025FD">
        <w:rPr>
          <w:color w:val="000000"/>
          <w:szCs w:val="24"/>
        </w:rPr>
        <w:t>interventions such as adenotonsillectomy based on false positive findings in the paediatric setting</w:t>
      </w:r>
      <w:r w:rsidR="005025FD">
        <w:rPr>
          <w:color w:val="000000"/>
          <w:szCs w:val="24"/>
        </w:rPr>
        <w:t xml:space="preserve"> </w:t>
      </w:r>
      <w:r w:rsidR="005025FD" w:rsidRPr="005025FD">
        <w:rPr>
          <w:color w:val="000000"/>
          <w:szCs w:val="24"/>
        </w:rPr>
        <w:t>and the uncertain effectiveness of this service for reassessment in all settings</w:t>
      </w:r>
      <w:r w:rsidR="005025FD">
        <w:rPr>
          <w:color w:val="000000"/>
          <w:szCs w:val="24"/>
        </w:rPr>
        <w:t xml:space="preserve"> (</w:t>
      </w:r>
      <w:hyperlink r:id="rId10" w:history="1">
        <w:r w:rsidR="005025FD" w:rsidRPr="005025FD">
          <w:rPr>
            <w:rStyle w:val="Hyperlink"/>
            <w:szCs w:val="24"/>
          </w:rPr>
          <w:t xml:space="preserve">MSAC application 1130, Public Summary Document </w:t>
        </w:r>
        <w:r w:rsidR="005025FD">
          <w:rPr>
            <w:rStyle w:val="Hyperlink"/>
            <w:szCs w:val="24"/>
          </w:rPr>
          <w:t xml:space="preserve">[PSD], </w:t>
        </w:r>
        <w:r w:rsidR="005025FD" w:rsidRPr="005025FD">
          <w:rPr>
            <w:rStyle w:val="Hyperlink"/>
            <w:szCs w:val="24"/>
          </w:rPr>
          <w:t>p5/6</w:t>
        </w:r>
      </w:hyperlink>
      <w:r w:rsidR="005025FD">
        <w:rPr>
          <w:color w:val="000000"/>
          <w:szCs w:val="24"/>
        </w:rPr>
        <w:t>)</w:t>
      </w:r>
      <w:r w:rsidR="005025FD" w:rsidRPr="005025FD">
        <w:rPr>
          <w:color w:val="000000"/>
          <w:szCs w:val="24"/>
        </w:rPr>
        <w:t>.</w:t>
      </w:r>
    </w:p>
    <w:p w14:paraId="4CB4FE7F" w14:textId="3DC608D6" w:rsidR="00F7484F" w:rsidRPr="00814E99" w:rsidRDefault="00065623"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t>Prerequisites to implementation of any funding advice</w:t>
      </w:r>
    </w:p>
    <w:p w14:paraId="13256899" w14:textId="66A32B68" w:rsidR="004940B0" w:rsidRDefault="004940B0" w:rsidP="004940B0">
      <w:r>
        <w:t>The applicant advised that their HSAT/PAT device, the WatchPat, was registered on the Australian Register of Therapeutic Goods (ARTG) on 18 February 2013. A competitor HSAT device, the NightOwl, is also listed on the ARTG (</w:t>
      </w:r>
      <w:r>
        <w:fldChar w:fldCharType="begin"/>
      </w:r>
      <w:r>
        <w:instrText xml:space="preserve"> REF _Ref74323725 \h </w:instrText>
      </w:r>
      <w:r>
        <w:fldChar w:fldCharType="separate"/>
      </w:r>
      <w:r w:rsidR="00824C87">
        <w:t xml:space="preserve">Table </w:t>
      </w:r>
      <w:r w:rsidR="00824C87">
        <w:rPr>
          <w:noProof/>
        </w:rPr>
        <w:t>2</w:t>
      </w:r>
      <w:r>
        <w:fldChar w:fldCharType="end"/>
      </w:r>
      <w:r>
        <w:t>).</w:t>
      </w:r>
      <w:r w:rsidR="00892BA7">
        <w:t xml:space="preserve"> The pre-MSAC response </w:t>
      </w:r>
      <w:r w:rsidR="005E3E64">
        <w:t xml:space="preserve">highlighted </w:t>
      </w:r>
      <w:r w:rsidR="00892BA7">
        <w:t>the NightOwl</w:t>
      </w:r>
      <w:r w:rsidR="00892BA7" w:rsidRPr="00892BA7">
        <w:t xml:space="preserve"> measures </w:t>
      </w:r>
      <w:r w:rsidR="005E3E64" w:rsidRPr="005E3E64">
        <w:t>photoplethysmography</w:t>
      </w:r>
      <w:r w:rsidR="005E3E64" w:rsidRPr="005E3E64" w:rsidDel="005E3E64">
        <w:t xml:space="preserve"> </w:t>
      </w:r>
      <w:r w:rsidR="00892BA7" w:rsidRPr="00892BA7">
        <w:t>rather than PAT</w:t>
      </w:r>
      <w:r w:rsidR="00892BA7">
        <w:t>.</w:t>
      </w:r>
    </w:p>
    <w:p w14:paraId="1D2A7F3D" w14:textId="19AB676A" w:rsidR="004940B0" w:rsidRDefault="004940B0" w:rsidP="00D12753">
      <w:pPr>
        <w:pStyle w:val="Caption"/>
        <w:spacing w:before="240"/>
      </w:pPr>
      <w:bookmarkStart w:id="2" w:name="_Ref74323725"/>
      <w:bookmarkStart w:id="3" w:name="_Toc70768721"/>
      <w:r>
        <w:t xml:space="preserve">Table </w:t>
      </w:r>
      <w:r w:rsidR="00A930B3">
        <w:fldChar w:fldCharType="begin"/>
      </w:r>
      <w:r w:rsidR="00A930B3">
        <w:instrText xml:space="preserve"> SEQ Table \* ARABIC </w:instrText>
      </w:r>
      <w:r w:rsidR="00A930B3">
        <w:fldChar w:fldCharType="separate"/>
      </w:r>
      <w:r w:rsidR="00824C87">
        <w:rPr>
          <w:noProof/>
        </w:rPr>
        <w:t>2</w:t>
      </w:r>
      <w:r w:rsidR="00A930B3">
        <w:rPr>
          <w:noProof/>
        </w:rPr>
        <w:fldChar w:fldCharType="end"/>
      </w:r>
      <w:bookmarkEnd w:id="2"/>
      <w:r>
        <w:t xml:space="preserve"> HSAT/PAT ARTG listing</w:t>
      </w:r>
      <w:bookmarkEnd w:id="3"/>
    </w:p>
    <w:tbl>
      <w:tblPr>
        <w:tblStyle w:val="TableGrid"/>
        <w:tblW w:w="9072" w:type="dxa"/>
        <w:tblInd w:w="-5" w:type="dxa"/>
        <w:tblCellMar>
          <w:left w:w="28" w:type="dxa"/>
          <w:right w:w="28" w:type="dxa"/>
        </w:tblCellMar>
        <w:tblLook w:val="04A0" w:firstRow="1" w:lastRow="0" w:firstColumn="1" w:lastColumn="0" w:noHBand="0" w:noVBand="1"/>
        <w:tblCaption w:val="Table 14 HSAT/PAT ARTG listing"/>
        <w:tblDescription w:val="Provides the ARTG listing for HSAT/PAT"/>
      </w:tblPr>
      <w:tblGrid>
        <w:gridCol w:w="1134"/>
        <w:gridCol w:w="1560"/>
        <w:gridCol w:w="1842"/>
        <w:gridCol w:w="4536"/>
      </w:tblGrid>
      <w:tr w:rsidR="004A0740" w:rsidRPr="00D12753" w14:paraId="73A8107E" w14:textId="77777777" w:rsidTr="00D05118">
        <w:trPr>
          <w:tblHeader/>
        </w:trPr>
        <w:tc>
          <w:tcPr>
            <w:tcW w:w="1134" w:type="dxa"/>
          </w:tcPr>
          <w:p w14:paraId="671D4308" w14:textId="4DB741E3" w:rsidR="004A0740" w:rsidRPr="00D12753" w:rsidRDefault="004A0740" w:rsidP="00D12753">
            <w:pPr>
              <w:pStyle w:val="Tabletextboldleft"/>
              <w:ind w:left="113"/>
              <w:rPr>
                <w:sz w:val="19"/>
                <w:szCs w:val="19"/>
              </w:rPr>
            </w:pPr>
            <w:r w:rsidRPr="00D12753">
              <w:rPr>
                <w:sz w:val="19"/>
                <w:szCs w:val="19"/>
              </w:rPr>
              <w:t>ARTG no.</w:t>
            </w:r>
            <w:r w:rsidR="00602456" w:rsidRPr="00D12753">
              <w:rPr>
                <w:sz w:val="19"/>
                <w:szCs w:val="19"/>
              </w:rPr>
              <w:t xml:space="preserve"> </w:t>
            </w:r>
          </w:p>
        </w:tc>
        <w:tc>
          <w:tcPr>
            <w:tcW w:w="1560" w:type="dxa"/>
          </w:tcPr>
          <w:p w14:paraId="54F166FB" w14:textId="3397C2C6" w:rsidR="004A0740" w:rsidRPr="00D12753" w:rsidRDefault="004A0740" w:rsidP="00D12753">
            <w:pPr>
              <w:pStyle w:val="Tabletextboldleft"/>
              <w:ind w:left="113"/>
              <w:rPr>
                <w:sz w:val="19"/>
                <w:szCs w:val="19"/>
              </w:rPr>
            </w:pPr>
            <w:r w:rsidRPr="00D12753">
              <w:rPr>
                <w:sz w:val="19"/>
                <w:szCs w:val="19"/>
              </w:rPr>
              <w:t>Manufacturer</w:t>
            </w:r>
          </w:p>
        </w:tc>
        <w:tc>
          <w:tcPr>
            <w:tcW w:w="1842" w:type="dxa"/>
          </w:tcPr>
          <w:p w14:paraId="02600FD8" w14:textId="0D94DED7" w:rsidR="004A0740" w:rsidRPr="00D12753" w:rsidRDefault="004A0740" w:rsidP="00D12753">
            <w:pPr>
              <w:pStyle w:val="Tabletextboldleft"/>
              <w:ind w:left="113"/>
              <w:rPr>
                <w:sz w:val="19"/>
                <w:szCs w:val="19"/>
              </w:rPr>
            </w:pPr>
            <w:r w:rsidRPr="00D12753">
              <w:rPr>
                <w:sz w:val="19"/>
                <w:szCs w:val="19"/>
              </w:rPr>
              <w:t>Product category / GMDN</w:t>
            </w:r>
          </w:p>
        </w:tc>
        <w:tc>
          <w:tcPr>
            <w:tcW w:w="4536" w:type="dxa"/>
          </w:tcPr>
          <w:p w14:paraId="3B92392C" w14:textId="77777777" w:rsidR="004A0740" w:rsidRPr="00D12753" w:rsidRDefault="004A0740" w:rsidP="00D12753">
            <w:pPr>
              <w:pStyle w:val="Tabletextboldleft"/>
              <w:ind w:left="113"/>
              <w:jc w:val="center"/>
              <w:rPr>
                <w:sz w:val="19"/>
                <w:szCs w:val="19"/>
              </w:rPr>
            </w:pPr>
            <w:r w:rsidRPr="00D12753">
              <w:rPr>
                <w:sz w:val="19"/>
                <w:szCs w:val="19"/>
              </w:rPr>
              <w:t>Intended purpose</w:t>
            </w:r>
          </w:p>
        </w:tc>
      </w:tr>
      <w:tr w:rsidR="004A0740" w:rsidRPr="00D12753" w14:paraId="1BEB0F39" w14:textId="77777777" w:rsidTr="00D05118">
        <w:tc>
          <w:tcPr>
            <w:tcW w:w="1134" w:type="dxa"/>
          </w:tcPr>
          <w:p w14:paraId="1450F2FB" w14:textId="668B708D" w:rsidR="004A0740" w:rsidRPr="00D12753" w:rsidRDefault="004A0740" w:rsidP="00D12753">
            <w:pPr>
              <w:pStyle w:val="Tabletext"/>
              <w:spacing w:before="0" w:after="0"/>
              <w:ind w:left="113"/>
              <w:rPr>
                <w:sz w:val="19"/>
                <w:szCs w:val="19"/>
              </w:rPr>
            </w:pPr>
            <w:r w:rsidRPr="00D12753">
              <w:rPr>
                <w:iCs/>
                <w:sz w:val="19"/>
                <w:szCs w:val="19"/>
              </w:rPr>
              <w:t>206199</w:t>
            </w:r>
          </w:p>
        </w:tc>
        <w:tc>
          <w:tcPr>
            <w:tcW w:w="1560" w:type="dxa"/>
          </w:tcPr>
          <w:p w14:paraId="7EF7FC6F" w14:textId="10F81CE4" w:rsidR="004A0740" w:rsidRPr="00D12753" w:rsidRDefault="004A0740" w:rsidP="00D12753">
            <w:pPr>
              <w:pStyle w:val="Tabletext"/>
              <w:spacing w:before="0" w:after="0"/>
              <w:ind w:left="113"/>
              <w:rPr>
                <w:sz w:val="19"/>
                <w:szCs w:val="19"/>
              </w:rPr>
            </w:pPr>
            <w:r w:rsidRPr="00D12753">
              <w:rPr>
                <w:sz w:val="19"/>
                <w:szCs w:val="19"/>
              </w:rPr>
              <w:t>Itamar Medical Ltd</w:t>
            </w:r>
          </w:p>
        </w:tc>
        <w:tc>
          <w:tcPr>
            <w:tcW w:w="1842" w:type="dxa"/>
          </w:tcPr>
          <w:p w14:paraId="62038CB3" w14:textId="77777777" w:rsidR="004A0740" w:rsidRPr="00D12753" w:rsidRDefault="004A0740" w:rsidP="00D12753">
            <w:pPr>
              <w:pStyle w:val="Tabletext"/>
              <w:spacing w:before="0" w:after="0"/>
              <w:ind w:left="113"/>
              <w:rPr>
                <w:sz w:val="19"/>
                <w:szCs w:val="19"/>
              </w:rPr>
            </w:pPr>
            <w:r w:rsidRPr="00D12753">
              <w:rPr>
                <w:sz w:val="19"/>
                <w:szCs w:val="19"/>
              </w:rPr>
              <w:t>Medical device class IIA</w:t>
            </w:r>
          </w:p>
          <w:p w14:paraId="1760DE19" w14:textId="77777777" w:rsidR="004A0740" w:rsidRPr="00D12753" w:rsidRDefault="004A0740" w:rsidP="00D12753">
            <w:pPr>
              <w:pStyle w:val="Tabletext"/>
              <w:spacing w:before="0" w:after="0"/>
              <w:ind w:left="113"/>
              <w:rPr>
                <w:sz w:val="19"/>
                <w:szCs w:val="19"/>
              </w:rPr>
            </w:pPr>
          </w:p>
          <w:p w14:paraId="118DA4DE" w14:textId="54AA3D13" w:rsidR="004A0740" w:rsidRPr="00D12753" w:rsidRDefault="004A0740" w:rsidP="00D12753">
            <w:pPr>
              <w:pStyle w:val="Tabletext"/>
              <w:spacing w:before="0" w:after="0"/>
              <w:ind w:left="113"/>
              <w:rPr>
                <w:sz w:val="19"/>
                <w:szCs w:val="19"/>
              </w:rPr>
            </w:pPr>
            <w:r w:rsidRPr="00D12753">
              <w:rPr>
                <w:sz w:val="19"/>
                <w:szCs w:val="19"/>
              </w:rPr>
              <w:t>33843 - sleep assessment device</w:t>
            </w:r>
          </w:p>
        </w:tc>
        <w:tc>
          <w:tcPr>
            <w:tcW w:w="4536" w:type="dxa"/>
          </w:tcPr>
          <w:p w14:paraId="08E03201" w14:textId="6ED92146" w:rsidR="004A0740" w:rsidRPr="00D12753" w:rsidRDefault="004A0740" w:rsidP="00D12753">
            <w:pPr>
              <w:pStyle w:val="Tabletext"/>
              <w:spacing w:before="0" w:after="0"/>
              <w:ind w:left="113"/>
              <w:rPr>
                <w:sz w:val="19"/>
                <w:szCs w:val="19"/>
              </w:rPr>
            </w:pPr>
            <w:r w:rsidRPr="00D12753">
              <w:rPr>
                <w:rFonts w:cs="Calibri"/>
                <w:sz w:val="19"/>
                <w:szCs w:val="19"/>
              </w:rPr>
              <w:t>To be used as a diagnostic tool in the medical management of sleep-related breathing disorders. Can be used in the diagnosis of myocardial ischemia and endothelium dysfunctions. To be worn on the wrist by the patient at home while they sleep along with a non-invasive finger mounted pneumo-optical probe to measure the peripheral arterial tonometry (PAT) signal. In addition to the PAT signal, oxygen saturation, actigraphy (body movement), pulse rate, body position and snoring (dB) are also recorded and stored on the device from which the recorded signals can be downloaded to a computer for automatic analysis and reporting utilising proprietary algorithms. Can provide analysis of respiratory disturbance, apn</w:t>
            </w:r>
            <w:r w:rsidR="00A6602A" w:rsidRPr="00D12753">
              <w:rPr>
                <w:rFonts w:cs="Calibri"/>
                <w:sz w:val="19"/>
                <w:szCs w:val="19"/>
              </w:rPr>
              <w:t>o</w:t>
            </w:r>
            <w:r w:rsidRPr="00D12753">
              <w:rPr>
                <w:rFonts w:cs="Calibri"/>
                <w:sz w:val="19"/>
                <w:szCs w:val="19"/>
              </w:rPr>
              <w:t>ea-hypopn</w:t>
            </w:r>
            <w:r w:rsidR="00A6602A" w:rsidRPr="00D12753">
              <w:rPr>
                <w:rFonts w:cs="Calibri"/>
                <w:sz w:val="19"/>
                <w:szCs w:val="19"/>
              </w:rPr>
              <w:t>o</w:t>
            </w:r>
            <w:r w:rsidRPr="00D12753">
              <w:rPr>
                <w:rFonts w:cs="Calibri"/>
                <w:sz w:val="19"/>
                <w:szCs w:val="19"/>
              </w:rPr>
              <w:t>ea, endothelia</w:t>
            </w:r>
            <w:r w:rsidR="00B26091" w:rsidRPr="00D12753">
              <w:rPr>
                <w:rFonts w:cs="Calibri"/>
                <w:sz w:val="19"/>
                <w:szCs w:val="19"/>
              </w:rPr>
              <w:t>l</w:t>
            </w:r>
            <w:r w:rsidRPr="00D12753">
              <w:rPr>
                <w:rFonts w:cs="Calibri"/>
                <w:sz w:val="19"/>
                <w:szCs w:val="19"/>
              </w:rPr>
              <w:t xml:space="preserve"> function, oxygen desaturation, REM/NREM sleep stages, light/deep sleep stages, sleep/wake states, heart rate, oxygen saturation level, body position and snoring</w:t>
            </w:r>
          </w:p>
        </w:tc>
      </w:tr>
      <w:tr w:rsidR="004A0740" w:rsidRPr="00D12753" w14:paraId="54232F1D" w14:textId="77777777" w:rsidTr="00D05118">
        <w:tc>
          <w:tcPr>
            <w:tcW w:w="1134" w:type="dxa"/>
          </w:tcPr>
          <w:p w14:paraId="1FAF3D87" w14:textId="59D0B670" w:rsidR="004A0740" w:rsidRPr="00D12753" w:rsidRDefault="004A0740" w:rsidP="00D12753">
            <w:pPr>
              <w:pStyle w:val="Tabletext"/>
              <w:spacing w:before="0" w:after="0"/>
              <w:ind w:left="113"/>
              <w:rPr>
                <w:iCs/>
                <w:sz w:val="19"/>
                <w:szCs w:val="19"/>
              </w:rPr>
            </w:pPr>
            <w:r w:rsidRPr="00D12753">
              <w:rPr>
                <w:iCs/>
                <w:sz w:val="19"/>
                <w:szCs w:val="19"/>
              </w:rPr>
              <w:t>319834</w:t>
            </w:r>
          </w:p>
        </w:tc>
        <w:tc>
          <w:tcPr>
            <w:tcW w:w="1560" w:type="dxa"/>
          </w:tcPr>
          <w:p w14:paraId="20D82588" w14:textId="40D98821" w:rsidR="004A0740" w:rsidRPr="00D12753" w:rsidRDefault="004A0740" w:rsidP="00D12753">
            <w:pPr>
              <w:pStyle w:val="Tabletext"/>
              <w:spacing w:before="0" w:after="0"/>
              <w:ind w:left="113"/>
              <w:rPr>
                <w:sz w:val="19"/>
                <w:szCs w:val="19"/>
              </w:rPr>
            </w:pPr>
            <w:r w:rsidRPr="00D12753">
              <w:rPr>
                <w:sz w:val="19"/>
                <w:szCs w:val="19"/>
              </w:rPr>
              <w:t>Ectosense NV</w:t>
            </w:r>
          </w:p>
        </w:tc>
        <w:tc>
          <w:tcPr>
            <w:tcW w:w="1842" w:type="dxa"/>
          </w:tcPr>
          <w:p w14:paraId="39E22A12" w14:textId="77777777" w:rsidR="004A0740" w:rsidRPr="00D12753" w:rsidRDefault="004A0740" w:rsidP="00D12753">
            <w:pPr>
              <w:pStyle w:val="Tabletext"/>
              <w:spacing w:before="0" w:after="0"/>
              <w:ind w:left="113"/>
              <w:rPr>
                <w:sz w:val="19"/>
                <w:szCs w:val="19"/>
              </w:rPr>
            </w:pPr>
            <w:r w:rsidRPr="00D12753">
              <w:rPr>
                <w:sz w:val="19"/>
                <w:szCs w:val="19"/>
              </w:rPr>
              <w:t>Medical device class I</w:t>
            </w:r>
          </w:p>
          <w:p w14:paraId="55970869" w14:textId="77777777" w:rsidR="004A0740" w:rsidRPr="00D12753" w:rsidRDefault="004A0740" w:rsidP="00D12753">
            <w:pPr>
              <w:pStyle w:val="Tabletext"/>
              <w:spacing w:before="0" w:after="0"/>
              <w:ind w:left="113"/>
              <w:rPr>
                <w:sz w:val="19"/>
                <w:szCs w:val="19"/>
              </w:rPr>
            </w:pPr>
          </w:p>
          <w:p w14:paraId="1F24A2CE" w14:textId="00B36008" w:rsidR="004A0740" w:rsidRPr="00D12753" w:rsidRDefault="004A0740" w:rsidP="00D12753">
            <w:pPr>
              <w:pStyle w:val="Tabletext"/>
              <w:spacing w:before="0" w:after="0"/>
              <w:ind w:left="113"/>
              <w:rPr>
                <w:sz w:val="19"/>
                <w:szCs w:val="19"/>
              </w:rPr>
            </w:pPr>
            <w:r w:rsidRPr="00D12753">
              <w:rPr>
                <w:sz w:val="19"/>
                <w:szCs w:val="19"/>
              </w:rPr>
              <w:t>12391 Physiology/motion recording wristband</w:t>
            </w:r>
          </w:p>
        </w:tc>
        <w:tc>
          <w:tcPr>
            <w:tcW w:w="4536" w:type="dxa"/>
          </w:tcPr>
          <w:p w14:paraId="5B868EDA" w14:textId="3C9F04A0" w:rsidR="004A0740" w:rsidRPr="00D12753" w:rsidRDefault="004A0740" w:rsidP="00D12753">
            <w:pPr>
              <w:pStyle w:val="Tabletext"/>
              <w:spacing w:before="0" w:after="0"/>
              <w:ind w:left="113"/>
              <w:rPr>
                <w:rFonts w:cs="Calibri"/>
                <w:sz w:val="19"/>
                <w:szCs w:val="19"/>
              </w:rPr>
            </w:pPr>
            <w:r w:rsidRPr="00D12753">
              <w:rPr>
                <w:sz w:val="19"/>
                <w:szCs w:val="19"/>
              </w:rPr>
              <w:t>The NightOwl Sensor is intended to be used for the continuous recording of a patient's pulse waveform (also known as photoplethysmography, or 'PPG') and motion during sleep or resting, in both the clinical and home environment. The sensor can be worn either on the forehead or finger by adults or children aged 13 and over, without requiring direct supervision by a healthcare provider.</w:t>
            </w:r>
          </w:p>
        </w:tc>
      </w:tr>
      <w:tr w:rsidR="004A0740" w:rsidRPr="00D12753" w14:paraId="78C12861" w14:textId="77777777" w:rsidTr="00D05118">
        <w:tc>
          <w:tcPr>
            <w:tcW w:w="1134" w:type="dxa"/>
          </w:tcPr>
          <w:p w14:paraId="6CB0FF3E" w14:textId="3C45C41E" w:rsidR="004A0740" w:rsidRPr="00D12753" w:rsidRDefault="004A0740" w:rsidP="00D12753">
            <w:pPr>
              <w:pStyle w:val="Tabletext"/>
              <w:spacing w:before="0" w:after="0"/>
              <w:ind w:left="113"/>
              <w:rPr>
                <w:i/>
                <w:iCs/>
                <w:sz w:val="19"/>
                <w:szCs w:val="19"/>
              </w:rPr>
            </w:pPr>
            <w:r w:rsidRPr="00D12753">
              <w:rPr>
                <w:sz w:val="19"/>
                <w:szCs w:val="19"/>
              </w:rPr>
              <w:t xml:space="preserve">320061 </w:t>
            </w:r>
          </w:p>
        </w:tc>
        <w:tc>
          <w:tcPr>
            <w:tcW w:w="1560" w:type="dxa"/>
          </w:tcPr>
          <w:p w14:paraId="5D3CD1C7" w14:textId="35954543" w:rsidR="004A0740" w:rsidRPr="00D12753" w:rsidRDefault="004A0740" w:rsidP="00D12753">
            <w:pPr>
              <w:pStyle w:val="Tabletext"/>
              <w:spacing w:before="0" w:after="0"/>
              <w:ind w:left="113"/>
              <w:rPr>
                <w:sz w:val="19"/>
                <w:szCs w:val="19"/>
              </w:rPr>
            </w:pPr>
            <w:r w:rsidRPr="00D12753">
              <w:rPr>
                <w:sz w:val="19"/>
                <w:szCs w:val="19"/>
              </w:rPr>
              <w:t>Ectosense NV</w:t>
            </w:r>
          </w:p>
        </w:tc>
        <w:tc>
          <w:tcPr>
            <w:tcW w:w="1842" w:type="dxa"/>
          </w:tcPr>
          <w:p w14:paraId="7B80C7E1" w14:textId="77777777" w:rsidR="004A0740" w:rsidRPr="00D12753" w:rsidRDefault="004A0740" w:rsidP="00D12753">
            <w:pPr>
              <w:pStyle w:val="Tabletext"/>
              <w:spacing w:before="0" w:after="0"/>
              <w:ind w:left="113"/>
              <w:rPr>
                <w:sz w:val="19"/>
                <w:szCs w:val="19"/>
              </w:rPr>
            </w:pPr>
            <w:r w:rsidRPr="00D12753">
              <w:rPr>
                <w:sz w:val="19"/>
                <w:szCs w:val="19"/>
              </w:rPr>
              <w:t>Medical device class II</w:t>
            </w:r>
          </w:p>
          <w:p w14:paraId="21534DD5" w14:textId="77777777" w:rsidR="004A0740" w:rsidRPr="00D12753" w:rsidRDefault="004A0740" w:rsidP="00D12753">
            <w:pPr>
              <w:pStyle w:val="Tabletext"/>
              <w:spacing w:before="0" w:after="0"/>
              <w:ind w:left="113"/>
              <w:rPr>
                <w:sz w:val="19"/>
                <w:szCs w:val="19"/>
              </w:rPr>
            </w:pPr>
          </w:p>
          <w:p w14:paraId="01489AA2" w14:textId="502A63DB" w:rsidR="004A0740" w:rsidRPr="00D12753" w:rsidRDefault="004A0740" w:rsidP="00D12753">
            <w:pPr>
              <w:pStyle w:val="Tabletext"/>
              <w:spacing w:before="0" w:after="0"/>
              <w:ind w:left="113"/>
              <w:rPr>
                <w:sz w:val="19"/>
                <w:szCs w:val="19"/>
              </w:rPr>
            </w:pPr>
            <w:r w:rsidRPr="00D12753">
              <w:rPr>
                <w:sz w:val="19"/>
                <w:szCs w:val="19"/>
              </w:rPr>
              <w:t>42238 Polysomnography device application software</w:t>
            </w:r>
          </w:p>
        </w:tc>
        <w:tc>
          <w:tcPr>
            <w:tcW w:w="4536" w:type="dxa"/>
          </w:tcPr>
          <w:p w14:paraId="5960FC70" w14:textId="7DFB743D" w:rsidR="004A0740" w:rsidRPr="00D12753" w:rsidRDefault="004A0740" w:rsidP="00D12753">
            <w:pPr>
              <w:pStyle w:val="Tabletext"/>
              <w:spacing w:before="0" w:after="0"/>
              <w:ind w:left="113"/>
              <w:rPr>
                <w:rFonts w:cs="Calibri"/>
                <w:sz w:val="19"/>
                <w:szCs w:val="19"/>
              </w:rPr>
            </w:pPr>
            <w:r w:rsidRPr="00D12753">
              <w:rPr>
                <w:rFonts w:cs="Calibri"/>
                <w:sz w:val="19"/>
                <w:szCs w:val="19"/>
              </w:rPr>
              <w:t>The NightOwl Software is a computer program (software) intended for physiological signal retrieval, visualisation, report generation, analysis and interpretation for the area of direct diagnosis and monitoring of obstructive sleep apnoea.</w:t>
            </w:r>
          </w:p>
        </w:tc>
      </w:tr>
    </w:tbl>
    <w:p w14:paraId="23B3B123" w14:textId="7D2BDFA7" w:rsidR="004940B0" w:rsidRPr="00D022E2" w:rsidRDefault="004940B0" w:rsidP="004A0740">
      <w:pPr>
        <w:pStyle w:val="Tablenotes"/>
        <w:spacing w:after="0"/>
        <w:rPr>
          <w:iCs/>
        </w:rPr>
      </w:pPr>
      <w:r w:rsidRPr="00802C09">
        <w:t xml:space="preserve">Source: </w:t>
      </w:r>
      <w:r w:rsidR="004A0740">
        <w:rPr>
          <w:iCs/>
        </w:rPr>
        <w:t>ARTG website, accessed 11/6/2021</w:t>
      </w:r>
    </w:p>
    <w:p w14:paraId="5AA67DDE" w14:textId="6560A0E1" w:rsidR="004940B0" w:rsidRPr="00814E99" w:rsidRDefault="004A0740" w:rsidP="00814E99">
      <w:pPr>
        <w:pStyle w:val="Tablenotes"/>
        <w:spacing w:after="0"/>
      </w:pPr>
      <w:r>
        <w:t>Abbreviations:</w:t>
      </w:r>
      <w:r w:rsidR="00B26091">
        <w:t xml:space="preserve"> </w:t>
      </w:r>
      <w:r w:rsidR="004940B0">
        <w:t xml:space="preserve">GDMN=global medical device nomenclature; HSAT=home sleep apnoea test; PAT=peripheral arterial tone; </w:t>
      </w:r>
      <w:r w:rsidR="00A7064F">
        <w:t>PPG=</w:t>
      </w:r>
      <w:r w:rsidR="00A7064F" w:rsidRPr="00A7064F">
        <w:t xml:space="preserve"> </w:t>
      </w:r>
      <w:r w:rsidR="00A7064F">
        <w:t xml:space="preserve">photoplethysmography; </w:t>
      </w:r>
      <w:r w:rsidR="004940B0">
        <w:t>REM=rapid eye movement; nREM=non rapid eye movement</w:t>
      </w:r>
    </w:p>
    <w:p w14:paraId="36E07551" w14:textId="36CC5330" w:rsidR="008A6C0C" w:rsidRPr="00814E99" w:rsidRDefault="00065623"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lastRenderedPageBreak/>
        <w:t>Proposal for public funding</w:t>
      </w:r>
    </w:p>
    <w:p w14:paraId="4B182A51" w14:textId="69543C86" w:rsidR="005D584E" w:rsidRDefault="00602456" w:rsidP="001576BB">
      <w:r w:rsidRPr="005D584E">
        <w:t xml:space="preserve">HSAT/PAT devices do not measure the same parameters as Level 2 </w:t>
      </w:r>
      <w:r w:rsidR="006965C5">
        <w:t>PSG</w:t>
      </w:r>
      <w:r w:rsidRPr="005D584E">
        <w:t xml:space="preserve"> and therefore sleep studies conducted using HSAT/PAT devices are not eligible to be claimed under the MBS item for Level 2 unattended sleep studies (MBS item 12250). </w:t>
      </w:r>
    </w:p>
    <w:p w14:paraId="71A4AFC6" w14:textId="6609B099" w:rsidR="00D205DD" w:rsidRDefault="007D6699" w:rsidP="00D12753">
      <w:pPr>
        <w:spacing w:before="240"/>
      </w:pPr>
      <w:r>
        <w:t>MSAC application 1631</w:t>
      </w:r>
      <w:r w:rsidR="005D584E">
        <w:t xml:space="preserve"> initially proposed amending MBS item 12250. However, in response to PASC advice, the ADAR proposed creation of two new MBS item</w:t>
      </w:r>
      <w:r>
        <w:t>s</w:t>
      </w:r>
      <w:r w:rsidR="005D584E">
        <w:t xml:space="preserve">, one for </w:t>
      </w:r>
      <w:r w:rsidR="00E729FC">
        <w:t xml:space="preserve">conducting a HSAT/PAT sleep study using </w:t>
      </w:r>
      <w:r w:rsidR="005D584E">
        <w:t xml:space="preserve">a single use </w:t>
      </w:r>
      <w:r w:rsidR="00E729FC">
        <w:t xml:space="preserve">HSAT/PAT device </w:t>
      </w:r>
      <w:r w:rsidR="005D584E">
        <w:t xml:space="preserve">and </w:t>
      </w:r>
      <w:r>
        <w:t xml:space="preserve">one for </w:t>
      </w:r>
      <w:r w:rsidR="00E729FC">
        <w:t xml:space="preserve">conducting a HSAT/PAT sleep study using </w:t>
      </w:r>
      <w:r w:rsidR="005D584E">
        <w:t xml:space="preserve">a </w:t>
      </w:r>
      <w:r>
        <w:t>reusable</w:t>
      </w:r>
      <w:r w:rsidR="005D584E">
        <w:t xml:space="preserve"> HSAT/PAT device</w:t>
      </w:r>
      <w:r>
        <w:t xml:space="preserve">. The proposed item descriptors for the </w:t>
      </w:r>
      <w:r w:rsidR="00E729FC">
        <w:t xml:space="preserve">HSAT/PAT sleep study using a </w:t>
      </w:r>
      <w:r>
        <w:t xml:space="preserve">single use and reusable HSAT/PAT </w:t>
      </w:r>
      <w:r w:rsidR="00E729FC">
        <w:t xml:space="preserve">device </w:t>
      </w:r>
      <w:r>
        <w:t>are the same except for the fee, with the single use HSAT/PAT i</w:t>
      </w:r>
      <w:r w:rsidR="00DA7028">
        <w:t>t</w:t>
      </w:r>
      <w:r>
        <w:t>em having the same item fee as MBS item 12250, and the re-usable HSAT/PAT item having a proposed fee of $30.00 less than MBS item 12250 (</w:t>
      </w:r>
      <w:r w:rsidR="008E447B">
        <w:fldChar w:fldCharType="begin"/>
      </w:r>
      <w:r w:rsidR="008E447B">
        <w:instrText xml:space="preserve"> REF _Ref74325800 \h </w:instrText>
      </w:r>
      <w:r w:rsidR="008E447B">
        <w:fldChar w:fldCharType="separate"/>
      </w:r>
      <w:r w:rsidR="00824C87">
        <w:t xml:space="preserve">Table </w:t>
      </w:r>
      <w:r w:rsidR="00824C87">
        <w:rPr>
          <w:noProof/>
        </w:rPr>
        <w:t>3</w:t>
      </w:r>
      <w:r w:rsidR="008E447B">
        <w:fldChar w:fldCharType="end"/>
      </w:r>
      <w:r>
        <w:t>)</w:t>
      </w:r>
      <w:r w:rsidR="005D584E">
        <w:t xml:space="preserve">. </w:t>
      </w:r>
    </w:p>
    <w:p w14:paraId="45773663" w14:textId="0CF71F4C" w:rsidR="00D12753" w:rsidRDefault="007D6699" w:rsidP="00D12753">
      <w:pPr>
        <w:spacing w:before="240"/>
      </w:pPr>
      <w:r>
        <w:t>The commentary noted that the</w:t>
      </w:r>
      <w:r w:rsidR="00DA7028">
        <w:t xml:space="preserve"> ADAR did</w:t>
      </w:r>
      <w:r w:rsidRPr="007D6699">
        <w:t xml:space="preserve"> not provided a transparent breakdown of the cost of the device, consumables and service</w:t>
      </w:r>
      <w:r w:rsidR="00DA7028">
        <w:t>, as such</w:t>
      </w:r>
      <w:r w:rsidRPr="007D6699">
        <w:t xml:space="preserve"> it is unclear how much of the proposed MBS fee for HSAT/PAT is attributable to the device. </w:t>
      </w:r>
      <w:r w:rsidR="00DA7028">
        <w:t>The pre-</w:t>
      </w:r>
      <w:r w:rsidR="00892BA7">
        <w:t xml:space="preserve">MSAC </w:t>
      </w:r>
      <w:r w:rsidR="00DA7028">
        <w:t>response</w:t>
      </w:r>
      <w:r w:rsidR="00892BA7">
        <w:t xml:space="preserve"> provided a tabular breakdown </w:t>
      </w:r>
      <w:r w:rsidR="00B0675E">
        <w:t>of</w:t>
      </w:r>
      <w:r w:rsidR="00892BA7">
        <w:t xml:space="preserve"> the proposed fees for the re-usable and single use HSAT/PAT,</w:t>
      </w:r>
      <w:r w:rsidR="00B0675E">
        <w:t xml:space="preserve"> which assumed the professional services would be similar for a Level 2 PSG and HSAT/PAT but that sleep technologists time would reduce from 2 hrs for a Level 2 PSG to 0.5hr for HSAT/PAT. The pre-MSAC response stated </w:t>
      </w:r>
      <w:r w:rsidR="00DA7028">
        <w:t xml:space="preserve">that </w:t>
      </w:r>
      <w:r w:rsidR="00DA7028" w:rsidRPr="00DA7028">
        <w:t>the single use WatchPAT</w:t>
      </w:r>
      <w:r w:rsidR="00DA7028">
        <w:t xml:space="preserve"> device</w:t>
      </w:r>
      <w:r w:rsidR="00DA7028" w:rsidRPr="00DA7028">
        <w:t xml:space="preserve"> </w:t>
      </w:r>
      <w:r w:rsidR="00B0675E">
        <w:t>costs</w:t>
      </w:r>
      <w:r w:rsidR="00AB5AA7">
        <w:rPr>
          <w:color w:val="FF0000"/>
        </w:rPr>
        <w:t xml:space="preserve"> </w:t>
      </w:r>
      <w:r w:rsidR="00E16F4B" w:rsidRPr="00E16F4B">
        <w:rPr>
          <w:b/>
          <w:bCs/>
        </w:rPr>
        <w:t>redacted</w:t>
      </w:r>
      <w:r w:rsidR="00DA7028" w:rsidRPr="00DA7028">
        <w:t xml:space="preserve"> </w:t>
      </w:r>
      <w:r w:rsidR="00DA7028">
        <w:t xml:space="preserve">and the consumables for the </w:t>
      </w:r>
      <w:r w:rsidR="005D75F0">
        <w:t>reusable</w:t>
      </w:r>
      <w:r w:rsidR="00DA7028">
        <w:t xml:space="preserve"> WatchPAT device cost</w:t>
      </w:r>
      <w:r w:rsidR="00AB5AA7">
        <w:t xml:space="preserve"> </w:t>
      </w:r>
      <w:r w:rsidR="00E16F4B" w:rsidRPr="00E16F4B">
        <w:rPr>
          <w:b/>
          <w:bCs/>
        </w:rPr>
        <w:t>redacted</w:t>
      </w:r>
      <w:r w:rsidR="00D12753">
        <w:t>.</w:t>
      </w:r>
      <w:r w:rsidR="00D12753">
        <w:br w:type="page"/>
      </w:r>
    </w:p>
    <w:p w14:paraId="3C93C135" w14:textId="1CC8C62F" w:rsidR="008E447B" w:rsidRPr="00183E4D" w:rsidRDefault="008E447B" w:rsidP="00D12753">
      <w:pPr>
        <w:pStyle w:val="Caption"/>
        <w:spacing w:before="240"/>
      </w:pPr>
      <w:bookmarkStart w:id="4" w:name="_Ref74325800"/>
      <w:bookmarkStart w:id="5" w:name="_Toc399251120"/>
      <w:bookmarkStart w:id="6" w:name="_Toc70768709"/>
      <w:r>
        <w:lastRenderedPageBreak/>
        <w:t xml:space="preserve">Table </w:t>
      </w:r>
      <w:r w:rsidR="00A930B3">
        <w:fldChar w:fldCharType="begin"/>
      </w:r>
      <w:r w:rsidR="00A930B3">
        <w:instrText xml:space="preserve"> SEQ Table \* ARABIC </w:instrText>
      </w:r>
      <w:r w:rsidR="00A930B3">
        <w:fldChar w:fldCharType="separate"/>
      </w:r>
      <w:r w:rsidR="00824C87">
        <w:rPr>
          <w:noProof/>
        </w:rPr>
        <w:t>3</w:t>
      </w:r>
      <w:r w:rsidR="00A930B3">
        <w:rPr>
          <w:noProof/>
        </w:rPr>
        <w:fldChar w:fldCharType="end"/>
      </w:r>
      <w:bookmarkEnd w:id="4"/>
      <w:r>
        <w:rPr>
          <w:noProof/>
        </w:rPr>
        <w:t xml:space="preserve"> </w:t>
      </w:r>
      <w:r w:rsidRPr="001F668C">
        <w:t>Proposed</w:t>
      </w:r>
      <w:r w:rsidRPr="00183E4D">
        <w:t xml:space="preserve"> </w:t>
      </w:r>
      <w:r w:rsidRPr="003B0968">
        <w:t>MBS item</w:t>
      </w:r>
      <w:r w:rsidRPr="00183E4D">
        <w:t xml:space="preserve"> descriptor</w:t>
      </w:r>
      <w:bookmarkEnd w:id="5"/>
      <w:r>
        <w:t>s - single use HSAT/PAT and re-usable HSAT/PAT</w:t>
      </w:r>
      <w:bookmarkEnd w:id="6"/>
    </w:p>
    <w:tbl>
      <w:tblPr>
        <w:tblStyle w:val="TableGrid1"/>
        <w:tblW w:w="4981" w:type="pct"/>
        <w:tblLook w:val="04A0" w:firstRow="1" w:lastRow="0" w:firstColumn="1" w:lastColumn="0" w:noHBand="0" w:noVBand="1"/>
        <w:tblCaption w:val="Table 2 Proposed MBS item descriptors - single use HSAT/PAT and re-usable HSAT/PAT"/>
        <w:tblDescription w:val="Proposed item descriptor for single use and re-usable HSAT/PAT"/>
      </w:tblPr>
      <w:tblGrid>
        <w:gridCol w:w="8982"/>
      </w:tblGrid>
      <w:tr w:rsidR="008E447B" w:rsidRPr="00D33FC3" w14:paraId="2A7F4691" w14:textId="77777777" w:rsidTr="006B5D21">
        <w:trPr>
          <w:cnfStyle w:val="100000000000" w:firstRow="1" w:lastRow="0" w:firstColumn="0" w:lastColumn="0" w:oddVBand="0" w:evenVBand="0" w:oddHBand="0" w:evenHBand="0" w:firstRowFirstColumn="0" w:firstRowLastColumn="0" w:lastRowFirstColumn="0" w:lastRowLastColumn="0"/>
        </w:trPr>
        <w:tc>
          <w:tcPr>
            <w:tcW w:w="5000" w:type="pct"/>
          </w:tcPr>
          <w:p w14:paraId="0B67DC68" w14:textId="77777777" w:rsidR="008E447B" w:rsidRPr="00D33FC3" w:rsidRDefault="008E447B" w:rsidP="006E4CAB">
            <w:pPr>
              <w:pStyle w:val="Tabletextright"/>
              <w:rPr>
                <w:sz w:val="24"/>
              </w:rPr>
            </w:pPr>
            <w:r w:rsidRPr="009C1424">
              <w:t xml:space="preserve">Category </w:t>
            </w:r>
            <w:r>
              <w:t>2</w:t>
            </w:r>
            <w:r w:rsidRPr="009C1424">
              <w:t xml:space="preserve"> – </w:t>
            </w:r>
            <w:r>
              <w:t>Diagnostic procedures and investigations</w:t>
            </w:r>
          </w:p>
        </w:tc>
      </w:tr>
      <w:tr w:rsidR="008E447B" w:rsidRPr="00C03585" w14:paraId="6D0F0AEF" w14:textId="77777777" w:rsidTr="006B5D21">
        <w:tc>
          <w:tcPr>
            <w:tcW w:w="5000" w:type="pct"/>
          </w:tcPr>
          <w:p w14:paraId="6FC2F8C6" w14:textId="77777777" w:rsidR="008E447B" w:rsidRDefault="008E447B" w:rsidP="006E4CAB">
            <w:pPr>
              <w:widowControl w:val="0"/>
              <w:tabs>
                <w:tab w:val="left" w:pos="4316"/>
              </w:tabs>
              <w:spacing w:after="40"/>
            </w:pPr>
            <w:r>
              <w:t>MBS item ##### (single use device)</w:t>
            </w:r>
            <w:r>
              <w:tab/>
              <w:t>MBS item ##### (re-usable device)</w:t>
            </w:r>
          </w:p>
          <w:p w14:paraId="25CEA470" w14:textId="77777777" w:rsidR="008E447B" w:rsidRPr="00B12574" w:rsidRDefault="008E447B" w:rsidP="006E4CAB">
            <w:pPr>
              <w:widowControl w:val="0"/>
              <w:spacing w:after="40"/>
            </w:pPr>
            <w:r w:rsidRPr="00B12574">
              <w:t>Overnight investigation of sleep for a period of 6-8 hours of a patient aged 18 years or more to confirm diagnosis of obstructive sleep apnoea by use of a single use PAT device if:</w:t>
            </w:r>
          </w:p>
          <w:p w14:paraId="038734BB" w14:textId="77777777" w:rsidR="008E447B" w:rsidRPr="00B12574" w:rsidRDefault="008E447B" w:rsidP="006E4CAB">
            <w:pPr>
              <w:widowControl w:val="0"/>
              <w:spacing w:after="40"/>
            </w:pPr>
            <w:r w:rsidRPr="00B12574">
              <w:t>(a) either:</w:t>
            </w:r>
          </w:p>
          <w:p w14:paraId="74FEADD1" w14:textId="77777777" w:rsidR="008E447B" w:rsidRPr="00B12574" w:rsidRDefault="008E447B" w:rsidP="006E4CAB">
            <w:pPr>
              <w:widowControl w:val="0"/>
              <w:spacing w:after="40"/>
              <w:ind w:left="318"/>
            </w:pPr>
            <w:r w:rsidRPr="00B12574">
              <w:t>(i) the patient has been referred by a medical practitioner to a qualified sleep medicine practitioner or a consultant respiratory physician who has determined that the patient has a high probability for symptomatic, moderate to severe obstructive sleep apnoea based on a STOP Bang score of 3</w:t>
            </w:r>
            <w:r w:rsidRPr="009A4230">
              <w:rPr>
                <w:vertAlign w:val="superscript"/>
              </w:rPr>
              <w:t>a</w:t>
            </w:r>
            <w:r w:rsidRPr="00B12574">
              <w:t xml:space="preserve"> or more, an OSA50 score of 5 or more or a high-risk score on the Berlin Questionnaire, and an Epworth Sleepiness Scale score of 8 or more; or</w:t>
            </w:r>
          </w:p>
          <w:p w14:paraId="695F1A7E" w14:textId="77777777" w:rsidR="008E447B" w:rsidRPr="00B12574" w:rsidRDefault="008E447B" w:rsidP="006E4CAB">
            <w:pPr>
              <w:widowControl w:val="0"/>
              <w:spacing w:after="40"/>
              <w:ind w:left="318"/>
            </w:pPr>
            <w:r w:rsidRPr="00B12574">
              <w:t>(ii) following professional attendance on the patient (either face to face or by video conference) by a qualified sleep medicine practitioner or a consultant respiratory physician, the qualified sleep medicine practitioner or consultant respiratory physician determines that investigation is necessary to confirm the diagnosis of obstructive sleep apnoea; and</w:t>
            </w:r>
          </w:p>
          <w:p w14:paraId="00883F73" w14:textId="77777777" w:rsidR="008E447B" w:rsidRPr="00B12574" w:rsidRDefault="008E447B" w:rsidP="006E4CAB">
            <w:pPr>
              <w:widowControl w:val="0"/>
              <w:spacing w:after="40"/>
            </w:pPr>
            <w:r w:rsidRPr="00B12574">
              <w:t>(b) during a period of sleep, there is continuous monitoring and recording, performed in accordance with current professional guidelines, of the following measures:</w:t>
            </w:r>
          </w:p>
          <w:p w14:paraId="05F6D2EE" w14:textId="77777777" w:rsidR="008E447B" w:rsidRPr="00B12574" w:rsidRDefault="008E447B" w:rsidP="006E4CAB">
            <w:pPr>
              <w:widowControl w:val="0"/>
              <w:spacing w:after="40"/>
              <w:ind w:left="318"/>
            </w:pPr>
            <w:r w:rsidRPr="00B12574">
              <w:t>(i) peripheral arterial tone (PAT).</w:t>
            </w:r>
          </w:p>
          <w:p w14:paraId="6906B81F" w14:textId="77777777" w:rsidR="008E447B" w:rsidRPr="00B12574" w:rsidRDefault="008E447B" w:rsidP="006E4CAB">
            <w:pPr>
              <w:widowControl w:val="0"/>
              <w:spacing w:after="40"/>
              <w:ind w:left="318"/>
            </w:pPr>
            <w:r w:rsidRPr="00B12574">
              <w:t>(ii) heart rate.</w:t>
            </w:r>
          </w:p>
          <w:p w14:paraId="41D2636C" w14:textId="77777777" w:rsidR="008E447B" w:rsidRPr="00B12574" w:rsidRDefault="008E447B" w:rsidP="006E4CAB">
            <w:pPr>
              <w:widowControl w:val="0"/>
              <w:spacing w:after="40"/>
              <w:ind w:left="318"/>
            </w:pPr>
            <w:r w:rsidRPr="00B12574">
              <w:t>(iii) oxygen saturation.</w:t>
            </w:r>
          </w:p>
          <w:p w14:paraId="3F3CFEE0" w14:textId="77777777" w:rsidR="008E447B" w:rsidRPr="00B12574" w:rsidRDefault="008E447B" w:rsidP="006E4CAB">
            <w:pPr>
              <w:widowControl w:val="0"/>
              <w:spacing w:after="40"/>
              <w:ind w:left="318"/>
            </w:pPr>
            <w:r w:rsidRPr="00B12574">
              <w:t>(iv) wrist-worn actigraphy.</w:t>
            </w:r>
          </w:p>
          <w:p w14:paraId="220AACA5" w14:textId="77777777" w:rsidR="008E447B" w:rsidRPr="00B12574" w:rsidRDefault="008E447B" w:rsidP="006E4CAB">
            <w:pPr>
              <w:widowControl w:val="0"/>
              <w:spacing w:after="40"/>
              <w:ind w:left="318"/>
            </w:pPr>
            <w:r w:rsidRPr="00B12574">
              <w:t>(v) chest motion.</w:t>
            </w:r>
          </w:p>
          <w:p w14:paraId="0E8E048B" w14:textId="77777777" w:rsidR="008E447B" w:rsidRPr="00B12574" w:rsidRDefault="008E447B" w:rsidP="006E4CAB">
            <w:pPr>
              <w:widowControl w:val="0"/>
              <w:spacing w:after="40"/>
              <w:ind w:left="318"/>
            </w:pPr>
            <w:r w:rsidRPr="00B12574">
              <w:t>(vi) snoring level; and</w:t>
            </w:r>
          </w:p>
          <w:p w14:paraId="795110B9" w14:textId="77777777" w:rsidR="008E447B" w:rsidRPr="00B12574" w:rsidRDefault="008E447B" w:rsidP="006E4CAB">
            <w:pPr>
              <w:widowControl w:val="0"/>
              <w:spacing w:after="40"/>
              <w:ind w:left="318"/>
            </w:pPr>
            <w:r w:rsidRPr="00B12574">
              <w:t>(vii) body position</w:t>
            </w:r>
          </w:p>
          <w:p w14:paraId="35FB8D4E" w14:textId="77777777" w:rsidR="008E447B" w:rsidRPr="00B12574" w:rsidRDefault="008E447B" w:rsidP="006E4CAB">
            <w:pPr>
              <w:widowControl w:val="0"/>
              <w:spacing w:after="40"/>
            </w:pPr>
            <w:r w:rsidRPr="00B12574">
              <w:t>(c) the investigation is performed under the supervision of a qualified sleep medicine practitioner; and</w:t>
            </w:r>
          </w:p>
          <w:p w14:paraId="0E68CC2B" w14:textId="77777777" w:rsidR="008E447B" w:rsidRPr="00B12574" w:rsidRDefault="008E447B" w:rsidP="006E4CAB">
            <w:pPr>
              <w:widowControl w:val="0"/>
              <w:spacing w:after="40"/>
            </w:pPr>
            <w:r w:rsidRPr="00B12574">
              <w:t>(d) either:</w:t>
            </w:r>
          </w:p>
          <w:p w14:paraId="656D5780" w14:textId="77777777" w:rsidR="008E447B" w:rsidRPr="00B12574" w:rsidRDefault="008E447B" w:rsidP="006E4CAB">
            <w:pPr>
              <w:widowControl w:val="0"/>
              <w:spacing w:after="40"/>
              <w:ind w:left="318"/>
            </w:pPr>
            <w:r w:rsidRPr="00B12574">
              <w:t xml:space="preserve">(i) the equipment is provided to a patient by the sleep technician. </w:t>
            </w:r>
          </w:p>
          <w:p w14:paraId="2EC2A716" w14:textId="77777777" w:rsidR="008E447B" w:rsidRPr="00B12574" w:rsidRDefault="008E447B" w:rsidP="006E4CAB">
            <w:pPr>
              <w:widowControl w:val="0"/>
              <w:spacing w:after="40"/>
              <w:ind w:left="318"/>
            </w:pPr>
            <w:r w:rsidRPr="00B12574">
              <w:t>(ii) a sleep technician provides the patient with written instructions on how to apply the equipment and upload the results for assessment by a qualified sleep technician and/or medicine practitioner</w:t>
            </w:r>
            <w:r w:rsidRPr="00B12574" w:rsidDel="007B65AD">
              <w:t xml:space="preserve"> </w:t>
            </w:r>
          </w:p>
          <w:p w14:paraId="7C90CBCF" w14:textId="77777777" w:rsidR="008E447B" w:rsidRPr="00B12574" w:rsidRDefault="008E447B" w:rsidP="006E4CAB">
            <w:pPr>
              <w:widowControl w:val="0"/>
              <w:spacing w:after="40"/>
            </w:pPr>
            <w:r w:rsidRPr="00B12574">
              <w:t>e) polygraphic records are:</w:t>
            </w:r>
          </w:p>
          <w:p w14:paraId="59E7B5B7" w14:textId="77777777" w:rsidR="008E447B" w:rsidRPr="00B12574" w:rsidRDefault="008E447B" w:rsidP="006E4CAB">
            <w:pPr>
              <w:widowControl w:val="0"/>
              <w:spacing w:after="40"/>
              <w:ind w:left="318"/>
            </w:pPr>
            <w:r w:rsidRPr="00B12574">
              <w:t>(i) analysed (for assessment of sleep stage, sympathetic arousals respiratory events and cardiac abnormalities) with manual scoring, or manual correction of computerised scoring in epochs of not more than 20 minutes; and</w:t>
            </w:r>
          </w:p>
          <w:p w14:paraId="29330E84" w14:textId="77777777" w:rsidR="008E447B" w:rsidRPr="00B12574" w:rsidRDefault="008E447B" w:rsidP="006E4CAB">
            <w:pPr>
              <w:widowControl w:val="0"/>
              <w:spacing w:after="40"/>
              <w:ind w:left="318"/>
            </w:pPr>
            <w:r w:rsidRPr="00B12574">
              <w:t>(ii) stored for interpretation and preparation of report; and</w:t>
            </w:r>
          </w:p>
          <w:p w14:paraId="26C09A0C" w14:textId="77777777" w:rsidR="008E447B" w:rsidRPr="00B12574" w:rsidRDefault="008E447B" w:rsidP="006E4CAB">
            <w:pPr>
              <w:widowControl w:val="0"/>
              <w:spacing w:after="40"/>
            </w:pPr>
            <w:r w:rsidRPr="00B12574">
              <w:t>(f) interpretation and preparation of a permanent report is provided by a qualified sleep medicine practitioner with personal direct review of raw data from the original recording of polygraphic data from the patient; and</w:t>
            </w:r>
          </w:p>
          <w:p w14:paraId="45E28BC3" w14:textId="77777777" w:rsidR="008E447B" w:rsidRPr="00B12574" w:rsidRDefault="008E447B" w:rsidP="006E4CAB">
            <w:pPr>
              <w:widowControl w:val="0"/>
              <w:spacing w:after="40"/>
            </w:pPr>
            <w:r w:rsidRPr="00B12574">
              <w:t>(g) the investigation is not provided to the patient on the same occasion that a service mentioned in any of items 11000</w:t>
            </w:r>
            <w:r>
              <w:t>,</w:t>
            </w:r>
            <w:r w:rsidRPr="00B12574">
              <w:t xml:space="preserve"> </w:t>
            </w:r>
            <w:r w:rsidRPr="00E47B29">
              <w:rPr>
                <w:rFonts w:cs="Calibri"/>
                <w:color w:val="222222"/>
                <w:shd w:val="clear" w:color="auto" w:fill="FBFBFB"/>
                <w:lang w:eastAsia="en-GB"/>
              </w:rPr>
              <w:t>11003, 11004, 11005, 11503, 11704, 11705, 11707, 11714, 11716, 11717, 11723, 11735</w:t>
            </w:r>
            <w:r w:rsidRPr="00E47B29">
              <w:t>,</w:t>
            </w:r>
            <w:r w:rsidRPr="00B12574">
              <w:t xml:space="preserve"> 12203 and 12250 is provided to the patient </w:t>
            </w:r>
          </w:p>
          <w:p w14:paraId="1F1883AB" w14:textId="77777777" w:rsidR="008E447B" w:rsidRPr="00B12574" w:rsidRDefault="008E447B" w:rsidP="006E4CAB">
            <w:pPr>
              <w:widowControl w:val="0"/>
              <w:spacing w:after="40"/>
            </w:pPr>
            <w:r w:rsidRPr="00B12574">
              <w:t>Applicable only once in any 12- month period</w:t>
            </w:r>
          </w:p>
          <w:p w14:paraId="0A800A12" w14:textId="77777777" w:rsidR="008E447B" w:rsidRDefault="008E447B" w:rsidP="006E4CAB">
            <w:pPr>
              <w:pStyle w:val="Tabletext"/>
              <w:rPr>
                <w:snapToGrid w:val="0"/>
                <w:sz w:val="24"/>
              </w:rPr>
            </w:pPr>
            <w:r w:rsidRPr="00B12574">
              <w:rPr>
                <w:rFonts w:cs="Helvetica"/>
                <w:color w:val="222222"/>
                <w:shd w:val="clear" w:color="auto" w:fill="FBFBFB"/>
              </w:rPr>
              <w:t>(See para-DN.1.17 of explanatory notes to this Category)</w:t>
            </w:r>
          </w:p>
        </w:tc>
      </w:tr>
      <w:tr w:rsidR="008E447B" w:rsidRPr="00C03585" w14:paraId="01AA9B89" w14:textId="77777777" w:rsidTr="006B5D21">
        <w:tc>
          <w:tcPr>
            <w:tcW w:w="5000" w:type="pct"/>
          </w:tcPr>
          <w:p w14:paraId="75236E14" w14:textId="77777777" w:rsidR="008E447B" w:rsidRDefault="008E447B" w:rsidP="006E4CAB">
            <w:pPr>
              <w:pStyle w:val="Tabletext"/>
              <w:rPr>
                <w:rFonts w:cs="Helvetica"/>
                <w:color w:val="222222"/>
                <w:shd w:val="clear" w:color="auto" w:fill="FBFBFB"/>
              </w:rPr>
            </w:pPr>
            <w:r w:rsidRPr="00B12574">
              <w:t>MBS Fee</w:t>
            </w:r>
            <w:r>
              <w:t xml:space="preserve"> (single use device)</w:t>
            </w:r>
            <w:r w:rsidRPr="00B12574">
              <w:t xml:space="preserve">:  </w:t>
            </w:r>
            <w:r w:rsidRPr="00B12574">
              <w:rPr>
                <w:rFonts w:cs="Helvetica"/>
                <w:color w:val="222222"/>
                <w:shd w:val="clear" w:color="auto" w:fill="FBFBFB"/>
              </w:rPr>
              <w:t>$345.75 Benefit: 75% = $259.35 Benefit 85% = $293.90</w:t>
            </w:r>
          </w:p>
          <w:p w14:paraId="6B42EDD3" w14:textId="77777777" w:rsidR="008E447B" w:rsidRDefault="008E447B" w:rsidP="006E4CAB">
            <w:pPr>
              <w:pStyle w:val="Tabletext"/>
              <w:rPr>
                <w:sz w:val="24"/>
              </w:rPr>
            </w:pPr>
            <w:r w:rsidRPr="00B12574">
              <w:t>MBS Fee</w:t>
            </w:r>
            <w:r>
              <w:t xml:space="preserve"> (re-usable device)</w:t>
            </w:r>
            <w:r w:rsidRPr="00B12574">
              <w:t xml:space="preserve">:  </w:t>
            </w:r>
            <w:r w:rsidRPr="00C725FA">
              <w:rPr>
                <w:rFonts w:cs="Helvetica"/>
                <w:color w:val="222222"/>
                <w:shd w:val="clear" w:color="auto" w:fill="FBFBFB"/>
              </w:rPr>
              <w:t>$315.75 Benefit: 75% = $236.809 Benefit 85% = $268.40</w:t>
            </w:r>
          </w:p>
        </w:tc>
      </w:tr>
    </w:tbl>
    <w:p w14:paraId="091D8F32" w14:textId="162AE481" w:rsidR="008E447B" w:rsidRDefault="008E447B" w:rsidP="008E447B">
      <w:pPr>
        <w:pStyle w:val="Tablecaption"/>
      </w:pPr>
      <w:r>
        <w:t>Source: Table 2</w:t>
      </w:r>
      <w:r w:rsidR="00D05118">
        <w:t>, p14 of the Commentary</w:t>
      </w:r>
    </w:p>
    <w:p w14:paraId="4E0B1C06" w14:textId="77777777" w:rsidR="008E447B" w:rsidRDefault="008E447B" w:rsidP="008E447B">
      <w:pPr>
        <w:pStyle w:val="Tablecaption"/>
        <w:tabs>
          <w:tab w:val="left" w:pos="284"/>
        </w:tabs>
        <w:ind w:left="142" w:hanging="142"/>
      </w:pPr>
      <w:r w:rsidRPr="009A4230">
        <w:rPr>
          <w:vertAlign w:val="superscript"/>
        </w:rPr>
        <w:t>a</w:t>
      </w:r>
      <w:r>
        <w:tab/>
        <w:t>The STOP Bang level was amended to 3 in March 2021, see MBS online:</w:t>
      </w:r>
    </w:p>
    <w:p w14:paraId="1B3EFF1E" w14:textId="77777777" w:rsidR="008E447B" w:rsidRDefault="008E447B" w:rsidP="008E447B">
      <w:pPr>
        <w:pStyle w:val="Tablecaption"/>
        <w:spacing w:after="240" w:line="312" w:lineRule="auto"/>
        <w:ind w:firstLine="142"/>
      </w:pPr>
      <w:r>
        <w:t xml:space="preserve"> </w:t>
      </w:r>
      <w:hyperlink r:id="rId11" w:history="1">
        <w:r w:rsidRPr="00D74FD8">
          <w:rPr>
            <w:rStyle w:val="Hyperlink"/>
          </w:rPr>
          <w:t>http://www9.health.gov.au/mbs/search.cfm?q=12250&amp;Submit=&amp;sopt=I</w:t>
        </w:r>
      </w:hyperlink>
    </w:p>
    <w:bookmarkStart w:id="7" w:name="_Ref74324983"/>
    <w:bookmarkStart w:id="8" w:name="_Toc70768710"/>
    <w:p w14:paraId="19110345" w14:textId="3F73415C" w:rsidR="00D205DD" w:rsidRDefault="00824C87" w:rsidP="00D205DD">
      <w:r>
        <w:fldChar w:fldCharType="begin"/>
      </w:r>
      <w:r>
        <w:instrText xml:space="preserve"> REF _Ref80776520 \h </w:instrText>
      </w:r>
      <w:r>
        <w:fldChar w:fldCharType="separate"/>
      </w:r>
      <w:r>
        <w:t xml:space="preserve">Table </w:t>
      </w:r>
      <w:r>
        <w:rPr>
          <w:noProof/>
        </w:rPr>
        <w:t>4</w:t>
      </w:r>
      <w:r>
        <w:fldChar w:fldCharType="end"/>
      </w:r>
      <w:r w:rsidR="00D205DD">
        <w:t xml:space="preserve"> provide</w:t>
      </w:r>
      <w:r w:rsidR="00802B44">
        <w:t>s</w:t>
      </w:r>
      <w:r w:rsidR="00D205DD">
        <w:t xml:space="preserve"> a </w:t>
      </w:r>
      <w:r w:rsidR="00D205DD" w:rsidRPr="008E447B">
        <w:t xml:space="preserve">comparison of the parameters in the </w:t>
      </w:r>
      <w:r w:rsidR="005241E9">
        <w:t xml:space="preserve">ADAR </w:t>
      </w:r>
      <w:r w:rsidR="00D205DD" w:rsidRPr="008E447B">
        <w:t>proposed MBS items for HSAT/PAT</w:t>
      </w:r>
      <w:r w:rsidR="005241E9">
        <w:t xml:space="preserve">, parameters proposed in the pre-MSAC response and </w:t>
      </w:r>
      <w:r w:rsidR="00D205DD" w:rsidRPr="008E447B">
        <w:t xml:space="preserve">the parameters </w:t>
      </w:r>
      <w:r w:rsidR="00D205DD">
        <w:t xml:space="preserve">specified in </w:t>
      </w:r>
      <w:r w:rsidR="00D205DD" w:rsidRPr="008E447B">
        <w:t>MBS item 12250</w:t>
      </w:r>
      <w:r w:rsidR="00D205DD">
        <w:t xml:space="preserve"> (Level 2 sleep study</w:t>
      </w:r>
      <w:r w:rsidR="00D205DD" w:rsidRPr="008E447B">
        <w:t xml:space="preserve">). </w:t>
      </w:r>
    </w:p>
    <w:p w14:paraId="4FD4C9F9" w14:textId="439F4DE6" w:rsidR="00602456" w:rsidRDefault="00602456" w:rsidP="00D12753">
      <w:pPr>
        <w:pStyle w:val="Caption"/>
        <w:spacing w:before="240"/>
      </w:pPr>
      <w:bookmarkStart w:id="9" w:name="_Ref80776520"/>
      <w:r>
        <w:lastRenderedPageBreak/>
        <w:t xml:space="preserve">Table </w:t>
      </w:r>
      <w:r w:rsidR="00A930B3">
        <w:fldChar w:fldCharType="begin"/>
      </w:r>
      <w:r w:rsidR="00A930B3">
        <w:instrText xml:space="preserve"> SEQ Table \* ARABIC </w:instrText>
      </w:r>
      <w:r w:rsidR="00A930B3">
        <w:fldChar w:fldCharType="separate"/>
      </w:r>
      <w:r w:rsidR="00824C87">
        <w:rPr>
          <w:noProof/>
        </w:rPr>
        <w:t>4</w:t>
      </w:r>
      <w:r w:rsidR="00A930B3">
        <w:rPr>
          <w:noProof/>
        </w:rPr>
        <w:fldChar w:fldCharType="end"/>
      </w:r>
      <w:bookmarkEnd w:id="7"/>
      <w:bookmarkEnd w:id="9"/>
      <w:r>
        <w:t xml:space="preserve"> Measures </w:t>
      </w:r>
      <w:r w:rsidR="005D584E">
        <w:t xml:space="preserve">monitored and recorded in proposed MBS items for </w:t>
      </w:r>
      <w:r>
        <w:t xml:space="preserve">HSAT/PAT </w:t>
      </w:r>
      <w:r w:rsidR="005D584E">
        <w:t>and</w:t>
      </w:r>
      <w:r>
        <w:t xml:space="preserve"> in MBS item 12250</w:t>
      </w:r>
      <w:bookmarkEnd w:id="8"/>
    </w:p>
    <w:tbl>
      <w:tblPr>
        <w:tblStyle w:val="TableGrid"/>
        <w:tblW w:w="8505" w:type="dxa"/>
        <w:tblInd w:w="-5" w:type="dxa"/>
        <w:tblLook w:val="04A0" w:firstRow="1" w:lastRow="0" w:firstColumn="1" w:lastColumn="0" w:noHBand="0" w:noVBand="1"/>
      </w:tblPr>
      <w:tblGrid>
        <w:gridCol w:w="2835"/>
        <w:gridCol w:w="2977"/>
        <w:gridCol w:w="2693"/>
      </w:tblGrid>
      <w:tr w:rsidR="005241E9" w14:paraId="58677574" w14:textId="77777777" w:rsidTr="005241E9">
        <w:trPr>
          <w:tblHeader/>
        </w:trPr>
        <w:tc>
          <w:tcPr>
            <w:tcW w:w="2835" w:type="dxa"/>
          </w:tcPr>
          <w:p w14:paraId="1B35413C" w14:textId="49D92688" w:rsidR="005241E9" w:rsidRDefault="005241E9" w:rsidP="006E4CAB">
            <w:pPr>
              <w:pStyle w:val="Tabletextboldleft"/>
              <w:tabs>
                <w:tab w:val="left" w:pos="206"/>
              </w:tabs>
              <w:spacing w:before="40" w:after="40"/>
              <w:jc w:val="center"/>
            </w:pPr>
            <w:r>
              <w:t>ADAR - HSAT/PAT single use and re-usable proposed items</w:t>
            </w:r>
          </w:p>
        </w:tc>
        <w:tc>
          <w:tcPr>
            <w:tcW w:w="2977" w:type="dxa"/>
          </w:tcPr>
          <w:p w14:paraId="30B06CB4" w14:textId="3D0CE6D5" w:rsidR="005241E9" w:rsidRDefault="005241E9" w:rsidP="006E4CAB">
            <w:pPr>
              <w:pStyle w:val="Tabletextboldleft"/>
              <w:tabs>
                <w:tab w:val="left" w:pos="182"/>
              </w:tabs>
              <w:spacing w:before="40" w:after="40"/>
              <w:jc w:val="center"/>
            </w:pPr>
            <w:r>
              <w:t>Pre-MSAC response - HSAT/PAT single use and re-usable proposed items</w:t>
            </w:r>
          </w:p>
        </w:tc>
        <w:tc>
          <w:tcPr>
            <w:tcW w:w="2693" w:type="dxa"/>
          </w:tcPr>
          <w:p w14:paraId="65145756" w14:textId="116A28EB" w:rsidR="005241E9" w:rsidRDefault="005241E9" w:rsidP="006E4CAB">
            <w:pPr>
              <w:pStyle w:val="Tabletextboldleft"/>
              <w:tabs>
                <w:tab w:val="left" w:pos="182"/>
              </w:tabs>
              <w:spacing w:before="40" w:after="40"/>
              <w:jc w:val="center"/>
            </w:pPr>
            <w:r>
              <w:t>MBS item 12250</w:t>
            </w:r>
          </w:p>
        </w:tc>
      </w:tr>
      <w:tr w:rsidR="005241E9" w:rsidRPr="00802C09" w14:paraId="6F2C2B7E" w14:textId="77777777" w:rsidTr="005241E9">
        <w:tc>
          <w:tcPr>
            <w:tcW w:w="2835" w:type="dxa"/>
          </w:tcPr>
          <w:p w14:paraId="1411BC9C" w14:textId="77777777" w:rsidR="005241E9" w:rsidRPr="00802C09" w:rsidRDefault="005241E9" w:rsidP="005D584E">
            <w:pPr>
              <w:pStyle w:val="Tabletext"/>
              <w:numPr>
                <w:ilvl w:val="0"/>
                <w:numId w:val="16"/>
              </w:numPr>
              <w:ind w:left="347" w:hanging="307"/>
              <w:jc w:val="both"/>
            </w:pPr>
            <w:r>
              <w:t>Peripheral arterial tone (PAT)</w:t>
            </w:r>
          </w:p>
        </w:tc>
        <w:tc>
          <w:tcPr>
            <w:tcW w:w="2977" w:type="dxa"/>
          </w:tcPr>
          <w:p w14:paraId="6F820337" w14:textId="0DBBAE99" w:rsidR="005241E9" w:rsidRDefault="005241E9" w:rsidP="005241E9">
            <w:pPr>
              <w:pStyle w:val="Tabletext"/>
              <w:numPr>
                <w:ilvl w:val="0"/>
                <w:numId w:val="17"/>
              </w:numPr>
              <w:ind w:left="462" w:hanging="422"/>
              <w:jc w:val="both"/>
            </w:pPr>
            <w:r w:rsidRPr="005241E9">
              <w:t>AHI for the whole night, AHI in REM and AHI in Non-REM</w:t>
            </w:r>
          </w:p>
        </w:tc>
        <w:tc>
          <w:tcPr>
            <w:tcW w:w="2693" w:type="dxa"/>
          </w:tcPr>
          <w:p w14:paraId="077D5B81" w14:textId="7B470B1B" w:rsidR="005241E9" w:rsidRPr="00802C09" w:rsidRDefault="005241E9" w:rsidP="005241E9">
            <w:pPr>
              <w:pStyle w:val="Tabletext"/>
              <w:numPr>
                <w:ilvl w:val="0"/>
                <w:numId w:val="17"/>
              </w:numPr>
              <w:ind w:left="459" w:hanging="427"/>
              <w:jc w:val="both"/>
            </w:pPr>
            <w:r>
              <w:t>Airflow</w:t>
            </w:r>
          </w:p>
        </w:tc>
      </w:tr>
      <w:tr w:rsidR="005241E9" w:rsidRPr="00802C09" w14:paraId="3C2DCEB7" w14:textId="77777777" w:rsidTr="005241E9">
        <w:tc>
          <w:tcPr>
            <w:tcW w:w="2835" w:type="dxa"/>
          </w:tcPr>
          <w:p w14:paraId="0C8D737E" w14:textId="77777777" w:rsidR="005241E9" w:rsidRPr="00802C09" w:rsidRDefault="005241E9" w:rsidP="005241E9">
            <w:pPr>
              <w:pStyle w:val="Tabletext"/>
              <w:numPr>
                <w:ilvl w:val="0"/>
                <w:numId w:val="16"/>
              </w:numPr>
              <w:ind w:left="347" w:hanging="307"/>
              <w:jc w:val="both"/>
            </w:pPr>
            <w:r>
              <w:t>Heart rate</w:t>
            </w:r>
          </w:p>
        </w:tc>
        <w:tc>
          <w:tcPr>
            <w:tcW w:w="2977" w:type="dxa"/>
          </w:tcPr>
          <w:p w14:paraId="5EB5448B" w14:textId="4073A9F0" w:rsidR="005241E9" w:rsidRPr="005241E9" w:rsidRDefault="005241E9" w:rsidP="005241E9">
            <w:pPr>
              <w:pStyle w:val="Tabletext"/>
              <w:numPr>
                <w:ilvl w:val="0"/>
                <w:numId w:val="17"/>
              </w:numPr>
              <w:ind w:left="462" w:hanging="422"/>
              <w:jc w:val="both"/>
            </w:pPr>
            <w:r w:rsidRPr="005241E9">
              <w:rPr>
                <w:rFonts w:cs="Arial"/>
                <w:szCs w:val="20"/>
                <w:lang w:val="en-US"/>
              </w:rPr>
              <w:t>ODI for the whole night, ODI in REM and ODI Non-REM</w:t>
            </w:r>
          </w:p>
        </w:tc>
        <w:tc>
          <w:tcPr>
            <w:tcW w:w="2693" w:type="dxa"/>
          </w:tcPr>
          <w:p w14:paraId="29945FD9" w14:textId="69C25149" w:rsidR="005241E9" w:rsidRPr="00802C09" w:rsidRDefault="005241E9" w:rsidP="005241E9">
            <w:pPr>
              <w:pStyle w:val="Tabletext"/>
              <w:numPr>
                <w:ilvl w:val="0"/>
                <w:numId w:val="17"/>
              </w:numPr>
              <w:ind w:left="459" w:hanging="427"/>
              <w:jc w:val="both"/>
            </w:pPr>
            <w:r>
              <w:t>Continuous EMG</w:t>
            </w:r>
          </w:p>
        </w:tc>
      </w:tr>
      <w:tr w:rsidR="005241E9" w:rsidRPr="00802C09" w14:paraId="29B9C0A9" w14:textId="77777777" w:rsidTr="005241E9">
        <w:tc>
          <w:tcPr>
            <w:tcW w:w="2835" w:type="dxa"/>
          </w:tcPr>
          <w:p w14:paraId="446015E0" w14:textId="77777777" w:rsidR="005241E9" w:rsidRPr="00802C09" w:rsidRDefault="005241E9" w:rsidP="005241E9">
            <w:pPr>
              <w:pStyle w:val="Tabletext"/>
              <w:numPr>
                <w:ilvl w:val="0"/>
                <w:numId w:val="16"/>
              </w:numPr>
              <w:ind w:left="347" w:hanging="307"/>
              <w:jc w:val="both"/>
            </w:pPr>
            <w:r>
              <w:t>Oxygen saturation</w:t>
            </w:r>
          </w:p>
        </w:tc>
        <w:tc>
          <w:tcPr>
            <w:tcW w:w="2977" w:type="dxa"/>
          </w:tcPr>
          <w:p w14:paraId="6608BCDD" w14:textId="304B2458" w:rsidR="005241E9" w:rsidRPr="005241E9" w:rsidRDefault="005241E9" w:rsidP="005241E9">
            <w:pPr>
              <w:pStyle w:val="Tabletext"/>
              <w:numPr>
                <w:ilvl w:val="0"/>
                <w:numId w:val="17"/>
              </w:numPr>
              <w:ind w:left="462" w:hanging="422"/>
              <w:jc w:val="both"/>
            </w:pPr>
            <w:r w:rsidRPr="005241E9">
              <w:rPr>
                <w:rFonts w:cs="Arial"/>
                <w:szCs w:val="20"/>
                <w:lang w:val="en-US"/>
              </w:rPr>
              <w:t>AHI for Central Sleep Apnea</w:t>
            </w:r>
          </w:p>
        </w:tc>
        <w:tc>
          <w:tcPr>
            <w:tcW w:w="2693" w:type="dxa"/>
          </w:tcPr>
          <w:p w14:paraId="35341295" w14:textId="6B137F54" w:rsidR="005241E9" w:rsidRPr="00802C09" w:rsidRDefault="005241E9" w:rsidP="005241E9">
            <w:pPr>
              <w:pStyle w:val="Tabletext"/>
              <w:numPr>
                <w:ilvl w:val="0"/>
                <w:numId w:val="17"/>
              </w:numPr>
              <w:ind w:left="459" w:hanging="427"/>
              <w:jc w:val="both"/>
            </w:pPr>
            <w:r>
              <w:t>Continuous ECG</w:t>
            </w:r>
          </w:p>
        </w:tc>
      </w:tr>
      <w:tr w:rsidR="005241E9" w:rsidRPr="00802C09" w14:paraId="7E83EAF6" w14:textId="77777777" w:rsidTr="005241E9">
        <w:tc>
          <w:tcPr>
            <w:tcW w:w="2835" w:type="dxa"/>
          </w:tcPr>
          <w:p w14:paraId="5620E7C3" w14:textId="77777777" w:rsidR="005241E9" w:rsidRPr="00802C09" w:rsidRDefault="005241E9" w:rsidP="005241E9">
            <w:pPr>
              <w:pStyle w:val="Tabletext"/>
              <w:numPr>
                <w:ilvl w:val="0"/>
                <w:numId w:val="16"/>
              </w:numPr>
              <w:ind w:left="347" w:hanging="307"/>
              <w:jc w:val="both"/>
            </w:pPr>
            <w:r>
              <w:t>Wrist-worn actigraphy</w:t>
            </w:r>
          </w:p>
        </w:tc>
        <w:tc>
          <w:tcPr>
            <w:tcW w:w="2977" w:type="dxa"/>
          </w:tcPr>
          <w:p w14:paraId="23A375A0" w14:textId="4DBE1ABC" w:rsidR="005241E9" w:rsidRPr="005241E9" w:rsidRDefault="005241E9" w:rsidP="005241E9">
            <w:pPr>
              <w:pStyle w:val="Tabletext"/>
              <w:numPr>
                <w:ilvl w:val="0"/>
                <w:numId w:val="17"/>
              </w:numPr>
              <w:ind w:left="462" w:hanging="422"/>
              <w:jc w:val="both"/>
            </w:pPr>
            <w:r w:rsidRPr="005241E9">
              <w:rPr>
                <w:rFonts w:cs="Arial"/>
                <w:szCs w:val="20"/>
                <w:lang w:val="en-US"/>
              </w:rPr>
              <w:t>Snoring volume</w:t>
            </w:r>
          </w:p>
        </w:tc>
        <w:tc>
          <w:tcPr>
            <w:tcW w:w="2693" w:type="dxa"/>
          </w:tcPr>
          <w:p w14:paraId="476811E9" w14:textId="78425428" w:rsidR="005241E9" w:rsidRPr="00802C09" w:rsidRDefault="005241E9" w:rsidP="005241E9">
            <w:pPr>
              <w:pStyle w:val="Tabletext"/>
              <w:numPr>
                <w:ilvl w:val="0"/>
                <w:numId w:val="17"/>
              </w:numPr>
              <w:ind w:left="459" w:hanging="427"/>
              <w:jc w:val="both"/>
            </w:pPr>
            <w:r>
              <w:t>Continuous EEG</w:t>
            </w:r>
          </w:p>
        </w:tc>
      </w:tr>
      <w:tr w:rsidR="005241E9" w:rsidRPr="00802C09" w14:paraId="1DB17141" w14:textId="77777777" w:rsidTr="005241E9">
        <w:tc>
          <w:tcPr>
            <w:tcW w:w="2835" w:type="dxa"/>
          </w:tcPr>
          <w:p w14:paraId="25D9DEF9" w14:textId="77777777" w:rsidR="005241E9" w:rsidRPr="00802C09" w:rsidRDefault="005241E9" w:rsidP="005241E9">
            <w:pPr>
              <w:pStyle w:val="Tabletext"/>
              <w:numPr>
                <w:ilvl w:val="0"/>
                <w:numId w:val="16"/>
              </w:numPr>
              <w:ind w:left="347" w:hanging="307"/>
              <w:jc w:val="both"/>
            </w:pPr>
            <w:r>
              <w:t>Chest motion</w:t>
            </w:r>
          </w:p>
        </w:tc>
        <w:tc>
          <w:tcPr>
            <w:tcW w:w="2977" w:type="dxa"/>
          </w:tcPr>
          <w:p w14:paraId="5CDC9B9E" w14:textId="1114852D" w:rsidR="005241E9" w:rsidRPr="005241E9" w:rsidRDefault="005241E9" w:rsidP="005241E9">
            <w:pPr>
              <w:pStyle w:val="Tabletext"/>
              <w:numPr>
                <w:ilvl w:val="0"/>
                <w:numId w:val="17"/>
              </w:numPr>
              <w:ind w:left="462" w:hanging="422"/>
              <w:jc w:val="both"/>
            </w:pPr>
            <w:r w:rsidRPr="005241E9">
              <w:rPr>
                <w:rFonts w:cs="Arial"/>
                <w:szCs w:val="20"/>
                <w:lang w:val="en-US"/>
              </w:rPr>
              <w:t>Heart Rate</w:t>
            </w:r>
          </w:p>
        </w:tc>
        <w:tc>
          <w:tcPr>
            <w:tcW w:w="2693" w:type="dxa"/>
          </w:tcPr>
          <w:p w14:paraId="324BB6D2" w14:textId="50E42E9A" w:rsidR="005241E9" w:rsidRPr="00802C09" w:rsidRDefault="005241E9" w:rsidP="005241E9">
            <w:pPr>
              <w:pStyle w:val="Tabletext"/>
              <w:numPr>
                <w:ilvl w:val="0"/>
                <w:numId w:val="17"/>
              </w:numPr>
              <w:ind w:left="459" w:hanging="427"/>
              <w:jc w:val="both"/>
            </w:pPr>
            <w:r>
              <w:t>EOG</w:t>
            </w:r>
          </w:p>
        </w:tc>
      </w:tr>
      <w:tr w:rsidR="005241E9" w:rsidRPr="00802C09" w14:paraId="32E9E74A" w14:textId="77777777" w:rsidTr="005241E9">
        <w:tc>
          <w:tcPr>
            <w:tcW w:w="2835" w:type="dxa"/>
            <w:tcBorders>
              <w:bottom w:val="single" w:sz="4" w:space="0" w:color="auto"/>
            </w:tcBorders>
          </w:tcPr>
          <w:p w14:paraId="3B5291B9" w14:textId="77777777" w:rsidR="005241E9" w:rsidRPr="00802C09" w:rsidRDefault="005241E9" w:rsidP="005241E9">
            <w:pPr>
              <w:pStyle w:val="Tabletext"/>
              <w:numPr>
                <w:ilvl w:val="0"/>
                <w:numId w:val="16"/>
              </w:numPr>
              <w:ind w:left="347" w:hanging="307"/>
              <w:jc w:val="both"/>
            </w:pPr>
            <w:r>
              <w:t>Snoring level</w:t>
            </w:r>
          </w:p>
        </w:tc>
        <w:tc>
          <w:tcPr>
            <w:tcW w:w="2977" w:type="dxa"/>
            <w:tcBorders>
              <w:bottom w:val="single" w:sz="4" w:space="0" w:color="auto"/>
            </w:tcBorders>
          </w:tcPr>
          <w:p w14:paraId="4FF8749B" w14:textId="5B45D1E2" w:rsidR="005241E9" w:rsidRPr="005241E9" w:rsidRDefault="005241E9" w:rsidP="005241E9">
            <w:pPr>
              <w:pStyle w:val="Tabletext"/>
              <w:numPr>
                <w:ilvl w:val="0"/>
                <w:numId w:val="17"/>
              </w:numPr>
              <w:ind w:left="462" w:hanging="422"/>
              <w:jc w:val="both"/>
            </w:pPr>
            <w:r w:rsidRPr="005241E9">
              <w:rPr>
                <w:rFonts w:cs="Arial"/>
                <w:szCs w:val="20"/>
                <w:lang w:val="en-US"/>
              </w:rPr>
              <w:t>AHI per Body position</w:t>
            </w:r>
          </w:p>
        </w:tc>
        <w:tc>
          <w:tcPr>
            <w:tcW w:w="2693" w:type="dxa"/>
            <w:tcBorders>
              <w:bottom w:val="single" w:sz="4" w:space="0" w:color="auto"/>
            </w:tcBorders>
          </w:tcPr>
          <w:p w14:paraId="69AD2824" w14:textId="164AD5CA" w:rsidR="005241E9" w:rsidRPr="00802C09" w:rsidRDefault="005241E9" w:rsidP="005241E9">
            <w:pPr>
              <w:pStyle w:val="Tabletext"/>
              <w:numPr>
                <w:ilvl w:val="0"/>
                <w:numId w:val="17"/>
              </w:numPr>
              <w:ind w:left="459" w:hanging="427"/>
              <w:jc w:val="both"/>
            </w:pPr>
            <w:r>
              <w:t>Oxygen saturation</w:t>
            </w:r>
          </w:p>
        </w:tc>
      </w:tr>
      <w:tr w:rsidR="005241E9" w:rsidRPr="00802C09" w14:paraId="009E0DCA" w14:textId="77777777" w:rsidTr="005241E9">
        <w:tc>
          <w:tcPr>
            <w:tcW w:w="2835" w:type="dxa"/>
          </w:tcPr>
          <w:p w14:paraId="525ABF2C" w14:textId="77777777" w:rsidR="005241E9" w:rsidRPr="00802C09" w:rsidRDefault="005241E9" w:rsidP="005241E9">
            <w:pPr>
              <w:pStyle w:val="Tabletext"/>
              <w:numPr>
                <w:ilvl w:val="0"/>
                <w:numId w:val="16"/>
              </w:numPr>
              <w:tabs>
                <w:tab w:val="left" w:pos="206"/>
              </w:tabs>
              <w:ind w:left="347" w:hanging="307"/>
              <w:jc w:val="both"/>
            </w:pPr>
            <w:r>
              <w:t>Body position</w:t>
            </w:r>
          </w:p>
        </w:tc>
        <w:tc>
          <w:tcPr>
            <w:tcW w:w="2977" w:type="dxa"/>
          </w:tcPr>
          <w:p w14:paraId="19803194" w14:textId="2091B055" w:rsidR="005241E9" w:rsidRPr="005241E9" w:rsidRDefault="005241E9" w:rsidP="005241E9">
            <w:pPr>
              <w:pStyle w:val="Tabletext"/>
              <w:numPr>
                <w:ilvl w:val="0"/>
                <w:numId w:val="17"/>
              </w:numPr>
              <w:ind w:left="462" w:hanging="422"/>
              <w:jc w:val="both"/>
            </w:pPr>
            <w:r w:rsidRPr="005241E9">
              <w:rPr>
                <w:rFonts w:cs="Arial"/>
                <w:szCs w:val="20"/>
                <w:lang w:val="en-US"/>
              </w:rPr>
              <w:t>Chest motion</w:t>
            </w:r>
          </w:p>
        </w:tc>
        <w:tc>
          <w:tcPr>
            <w:tcW w:w="2693" w:type="dxa"/>
          </w:tcPr>
          <w:p w14:paraId="7E64EB26" w14:textId="099E506E" w:rsidR="005241E9" w:rsidRPr="00802C09" w:rsidRDefault="005241E9" w:rsidP="005241E9">
            <w:pPr>
              <w:pStyle w:val="Tabletext"/>
              <w:numPr>
                <w:ilvl w:val="0"/>
                <w:numId w:val="17"/>
              </w:numPr>
              <w:ind w:left="459" w:hanging="427"/>
              <w:jc w:val="both"/>
            </w:pPr>
            <w:r>
              <w:t>Respiratory effort</w:t>
            </w:r>
          </w:p>
        </w:tc>
      </w:tr>
      <w:tr w:rsidR="005241E9" w:rsidRPr="00802C09" w14:paraId="29AC319E" w14:textId="77777777" w:rsidTr="005241E9">
        <w:tc>
          <w:tcPr>
            <w:tcW w:w="2835" w:type="dxa"/>
          </w:tcPr>
          <w:p w14:paraId="609D6897" w14:textId="77777777" w:rsidR="005241E9" w:rsidRDefault="005241E9" w:rsidP="005241E9">
            <w:pPr>
              <w:pStyle w:val="Tabletext"/>
              <w:tabs>
                <w:tab w:val="left" w:pos="206"/>
              </w:tabs>
              <w:ind w:left="347"/>
              <w:jc w:val="both"/>
            </w:pPr>
          </w:p>
        </w:tc>
        <w:tc>
          <w:tcPr>
            <w:tcW w:w="2977" w:type="dxa"/>
          </w:tcPr>
          <w:p w14:paraId="11C262EB" w14:textId="10266F91" w:rsidR="005241E9" w:rsidRPr="005241E9" w:rsidRDefault="005241E9" w:rsidP="005241E9">
            <w:pPr>
              <w:pStyle w:val="Tabletext"/>
              <w:numPr>
                <w:ilvl w:val="0"/>
                <w:numId w:val="17"/>
              </w:numPr>
              <w:ind w:left="462" w:hanging="422"/>
              <w:jc w:val="both"/>
            </w:pPr>
            <w:r w:rsidRPr="005241E9">
              <w:rPr>
                <w:rFonts w:cs="Arial"/>
                <w:szCs w:val="20"/>
                <w:lang w:val="en-US"/>
              </w:rPr>
              <w:t>Estimated sleep time and REM time.</w:t>
            </w:r>
          </w:p>
        </w:tc>
        <w:tc>
          <w:tcPr>
            <w:tcW w:w="2693" w:type="dxa"/>
          </w:tcPr>
          <w:p w14:paraId="695980B9" w14:textId="77777777" w:rsidR="005241E9" w:rsidRDefault="005241E9" w:rsidP="005241E9">
            <w:pPr>
              <w:pStyle w:val="Tabletext"/>
              <w:ind w:left="459"/>
              <w:jc w:val="both"/>
            </w:pPr>
          </w:p>
        </w:tc>
      </w:tr>
      <w:tr w:rsidR="005241E9" w:rsidRPr="00802C09" w14:paraId="217B2CF3" w14:textId="77777777" w:rsidTr="005241E9">
        <w:tc>
          <w:tcPr>
            <w:tcW w:w="2835" w:type="dxa"/>
          </w:tcPr>
          <w:p w14:paraId="171FEB69" w14:textId="77777777" w:rsidR="005241E9" w:rsidRDefault="005241E9" w:rsidP="005241E9">
            <w:pPr>
              <w:pStyle w:val="Tabletext"/>
              <w:tabs>
                <w:tab w:val="left" w:pos="206"/>
              </w:tabs>
              <w:ind w:left="347"/>
              <w:jc w:val="both"/>
            </w:pPr>
          </w:p>
        </w:tc>
        <w:tc>
          <w:tcPr>
            <w:tcW w:w="2977" w:type="dxa"/>
          </w:tcPr>
          <w:p w14:paraId="3E96EB3E" w14:textId="2D92DA7B" w:rsidR="005241E9" w:rsidRPr="005241E9" w:rsidRDefault="005241E9" w:rsidP="005241E9">
            <w:pPr>
              <w:pStyle w:val="Tabletext"/>
              <w:numPr>
                <w:ilvl w:val="0"/>
                <w:numId w:val="17"/>
              </w:numPr>
              <w:ind w:left="462" w:hanging="422"/>
              <w:jc w:val="both"/>
            </w:pPr>
            <w:r w:rsidRPr="005241E9">
              <w:rPr>
                <w:rFonts w:cs="Arial"/>
                <w:szCs w:val="20"/>
                <w:lang w:val="en-US"/>
              </w:rPr>
              <w:t>Sleep latency and number of wakes</w:t>
            </w:r>
          </w:p>
        </w:tc>
        <w:tc>
          <w:tcPr>
            <w:tcW w:w="2693" w:type="dxa"/>
          </w:tcPr>
          <w:p w14:paraId="3ECB8A08" w14:textId="77777777" w:rsidR="005241E9" w:rsidRDefault="005241E9" w:rsidP="005241E9">
            <w:pPr>
              <w:pStyle w:val="Tabletext"/>
              <w:ind w:left="459"/>
              <w:jc w:val="both"/>
            </w:pPr>
          </w:p>
        </w:tc>
      </w:tr>
    </w:tbl>
    <w:p w14:paraId="55CDB80F" w14:textId="747A206F" w:rsidR="00602456" w:rsidRPr="00802C09" w:rsidRDefault="00602456" w:rsidP="00602456">
      <w:pPr>
        <w:pStyle w:val="Tablenotes"/>
        <w:spacing w:after="0"/>
      </w:pPr>
      <w:r w:rsidRPr="00802C09">
        <w:t xml:space="preserve">Source: </w:t>
      </w:r>
      <w:r>
        <w:t xml:space="preserve">Table </w:t>
      </w:r>
      <w:r w:rsidR="00D05118">
        <w:t>3, p15 of the Commentary</w:t>
      </w:r>
      <w:r w:rsidR="005241E9">
        <w:t xml:space="preserve"> with pre-MSAC response added</w:t>
      </w:r>
    </w:p>
    <w:p w14:paraId="3EB259C8" w14:textId="7FD23EB5" w:rsidR="00BE396E" w:rsidRPr="00814E99" w:rsidRDefault="00602456" w:rsidP="00814E99">
      <w:pPr>
        <w:pStyle w:val="Tablenotes"/>
        <w:spacing w:after="0"/>
      </w:pPr>
      <w:r>
        <w:rPr>
          <w:szCs w:val="18"/>
        </w:rPr>
        <w:t>Abbreviations: ECG=electrocardiogram; EEG=electroencephalography; EMG=electromyogram; EOG=electrooculogram;</w:t>
      </w:r>
      <w:r>
        <w:t xml:space="preserve"> HSAT=home sleep apnoea test; PAT=peripheral arterial tone</w:t>
      </w:r>
    </w:p>
    <w:p w14:paraId="5B2B1A02" w14:textId="317DB8E3" w:rsidR="00775963" w:rsidRPr="00814E99" w:rsidRDefault="00775963"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t xml:space="preserve">Summary of </w:t>
      </w:r>
      <w:r w:rsidR="00814E99">
        <w:rPr>
          <w:rFonts w:ascii="Arial" w:eastAsia="Times New Roman" w:hAnsi="Arial" w:cs="Times New Roman"/>
        </w:rPr>
        <w:t>p</w:t>
      </w:r>
      <w:r w:rsidRPr="00814E99">
        <w:rPr>
          <w:rFonts w:ascii="Arial" w:eastAsia="Times New Roman" w:hAnsi="Arial" w:cs="Times New Roman"/>
        </w:rPr>
        <w:t xml:space="preserve">ublic </w:t>
      </w:r>
      <w:r w:rsidR="00814E99">
        <w:rPr>
          <w:rFonts w:ascii="Arial" w:eastAsia="Times New Roman" w:hAnsi="Arial" w:cs="Times New Roman"/>
        </w:rPr>
        <w:t>c</w:t>
      </w:r>
      <w:r w:rsidRPr="00814E99">
        <w:rPr>
          <w:rFonts w:ascii="Arial" w:eastAsia="Times New Roman" w:hAnsi="Arial" w:cs="Times New Roman"/>
        </w:rPr>
        <w:t xml:space="preserve">onsultation </w:t>
      </w:r>
      <w:r w:rsidR="00814E99">
        <w:rPr>
          <w:rFonts w:ascii="Arial" w:eastAsia="Times New Roman" w:hAnsi="Arial" w:cs="Times New Roman"/>
        </w:rPr>
        <w:t>f</w:t>
      </w:r>
      <w:r w:rsidRPr="00814E99">
        <w:rPr>
          <w:rFonts w:ascii="Arial" w:eastAsia="Times New Roman" w:hAnsi="Arial" w:cs="Times New Roman"/>
        </w:rPr>
        <w:t>eedback/</w:t>
      </w:r>
      <w:r w:rsidR="00814E99">
        <w:rPr>
          <w:rFonts w:ascii="Arial" w:eastAsia="Times New Roman" w:hAnsi="Arial" w:cs="Times New Roman"/>
        </w:rPr>
        <w:t>c</w:t>
      </w:r>
      <w:r w:rsidRPr="00814E99">
        <w:rPr>
          <w:rFonts w:ascii="Arial" w:eastAsia="Times New Roman" w:hAnsi="Arial" w:cs="Times New Roman"/>
        </w:rPr>
        <w:t>onsumer Issues</w:t>
      </w:r>
    </w:p>
    <w:p w14:paraId="6DCC0B46" w14:textId="17FCA551" w:rsidR="007B66CA" w:rsidRDefault="007B66CA" w:rsidP="009F51C4">
      <w:pPr>
        <w:pStyle w:val="paragraph"/>
        <w:spacing w:before="0" w:beforeAutospacing="0" w:after="0" w:afterAutospacing="0"/>
        <w:textAlignment w:val="baseline"/>
      </w:pPr>
      <w:r>
        <w:rPr>
          <w:rStyle w:val="normaltextrun"/>
        </w:rPr>
        <w:t>Consultation feedback was received from four organisations:</w:t>
      </w:r>
      <w:r>
        <w:rPr>
          <w:rStyle w:val="eop"/>
        </w:rPr>
        <w:t> </w:t>
      </w:r>
      <w:r>
        <w:rPr>
          <w:rStyle w:val="normaltextrun"/>
        </w:rPr>
        <w:t>the Austr</w:t>
      </w:r>
      <w:r w:rsidR="009F51C4">
        <w:rPr>
          <w:rStyle w:val="normaltextrun"/>
        </w:rPr>
        <w:t xml:space="preserve">alasian Sleep Association (ASA), </w:t>
      </w:r>
      <w:r>
        <w:rPr>
          <w:rStyle w:val="normaltextrun"/>
        </w:rPr>
        <w:t>the Australian Society of Otolaryngology Head and Neck Surgery (ASOHNS)</w:t>
      </w:r>
      <w:r w:rsidR="009F51C4">
        <w:rPr>
          <w:rStyle w:val="eop"/>
        </w:rPr>
        <w:t xml:space="preserve">, </w:t>
      </w:r>
      <w:r>
        <w:rPr>
          <w:rStyle w:val="normaltextrun"/>
        </w:rPr>
        <w:t>the Royal Australian College of General Practitioners (RACGP) </w:t>
      </w:r>
      <w:r w:rsidR="009F51C4">
        <w:rPr>
          <w:rStyle w:val="normaltextrun"/>
        </w:rPr>
        <w:t xml:space="preserve">and </w:t>
      </w:r>
      <w:r>
        <w:rPr>
          <w:rStyle w:val="normaltextrun"/>
        </w:rPr>
        <w:t>Ectosense </w:t>
      </w:r>
      <w:r>
        <w:rPr>
          <w:rStyle w:val="normaltextrun"/>
          <w:i/>
          <w:iCs/>
        </w:rPr>
        <w:t>nv</w:t>
      </w:r>
      <w:r>
        <w:rPr>
          <w:rStyle w:val="normaltextrun"/>
        </w:rPr>
        <w:t> (medical device manufacturer). </w:t>
      </w:r>
      <w:r>
        <w:rPr>
          <w:rStyle w:val="eop"/>
        </w:rPr>
        <w:t> </w:t>
      </w:r>
    </w:p>
    <w:p w14:paraId="79E04F04" w14:textId="7C584774" w:rsidR="007B66CA" w:rsidRDefault="007B66CA" w:rsidP="00D12753">
      <w:pPr>
        <w:pStyle w:val="paragraph"/>
        <w:spacing w:before="240" w:beforeAutospacing="0" w:after="0" w:afterAutospacing="0"/>
        <w:textAlignment w:val="baseline"/>
        <w:rPr>
          <w:rFonts w:ascii="Segoe UI" w:hAnsi="Segoe UI" w:cs="Segoe UI"/>
          <w:sz w:val="18"/>
          <w:szCs w:val="18"/>
        </w:rPr>
      </w:pPr>
      <w:r>
        <w:rPr>
          <w:rStyle w:val="normaltextrun"/>
        </w:rPr>
        <w:t xml:space="preserve">The ASA noted that the device proposed for the service may be easier for patients to use than the Level 2 devices currently available and that it has a role in the diagnosis of OSA. They considered that a sleep physician should be involved as another service offered before/after delivery of this service to assist with interpreting, reporting and following up. They however strongly disagreed with the comparator, and considered that the device is not equivalent to a Level 2 study as it does not continuously and directly measure all the signals described in MBS item 12250. They supported the service otherwise, but suggested that it could be more suitable as a Level 3 study for which there is </w:t>
      </w:r>
      <w:r w:rsidR="006F50E9">
        <w:rPr>
          <w:rStyle w:val="normaltextrun"/>
        </w:rPr>
        <w:t xml:space="preserve">currently </w:t>
      </w:r>
      <w:r>
        <w:rPr>
          <w:rStyle w:val="normaltextrun"/>
        </w:rPr>
        <w:t>no MBS item. </w:t>
      </w:r>
      <w:r>
        <w:rPr>
          <w:rStyle w:val="eop"/>
        </w:rPr>
        <w:t> </w:t>
      </w:r>
    </w:p>
    <w:p w14:paraId="2CD0E24D" w14:textId="27E8C327" w:rsidR="007B66CA" w:rsidRDefault="007B66CA" w:rsidP="00D12753">
      <w:pPr>
        <w:pStyle w:val="paragraph"/>
        <w:spacing w:before="240" w:beforeAutospacing="0" w:after="0" w:afterAutospacing="0"/>
        <w:textAlignment w:val="baseline"/>
        <w:rPr>
          <w:rFonts w:ascii="Segoe UI" w:hAnsi="Segoe UI" w:cs="Segoe UI"/>
          <w:sz w:val="18"/>
          <w:szCs w:val="18"/>
        </w:rPr>
      </w:pPr>
      <w:r>
        <w:rPr>
          <w:rStyle w:val="normaltextrun"/>
        </w:rPr>
        <w:t>The ASOHNS considered a benefit for the service is that it is almost as accurate as other existing sleep studies and that the cost is significantly less. They suggested that assessment by a doctor before/after the service would be beneficial. </w:t>
      </w:r>
      <w:r>
        <w:rPr>
          <w:rStyle w:val="eop"/>
        </w:rPr>
        <w:t> </w:t>
      </w:r>
    </w:p>
    <w:p w14:paraId="117F40D2" w14:textId="0367B5BC" w:rsidR="007B66CA" w:rsidRDefault="007B66CA" w:rsidP="00D12753">
      <w:pPr>
        <w:pStyle w:val="paragraph"/>
        <w:spacing w:before="240" w:beforeAutospacing="0" w:after="0" w:afterAutospacing="0"/>
        <w:textAlignment w:val="baseline"/>
        <w:rPr>
          <w:rFonts w:ascii="Segoe UI" w:hAnsi="Segoe UI" w:cs="Segoe UI"/>
          <w:sz w:val="18"/>
          <w:szCs w:val="18"/>
        </w:rPr>
      </w:pPr>
      <w:r>
        <w:rPr>
          <w:rStyle w:val="normaltextrun"/>
        </w:rPr>
        <w:t>The RACGP submitted a letter as part of feedback with mixed support. They outlined some concerns with the test such </w:t>
      </w:r>
      <w:r w:rsidR="007768A6">
        <w:rPr>
          <w:rStyle w:val="normaltextrun"/>
        </w:rPr>
        <w:t>as,</w:t>
      </w:r>
      <w:r>
        <w:rPr>
          <w:rStyle w:val="normaltextrun"/>
        </w:rPr>
        <w:t> it does not specifically measure respiration</w:t>
      </w:r>
      <w:r w:rsidR="006F50E9">
        <w:rPr>
          <w:rStyle w:val="normaltextrun"/>
        </w:rPr>
        <w:t xml:space="preserve"> effort</w:t>
      </w:r>
      <w:r>
        <w:rPr>
          <w:rStyle w:val="normaltextrun"/>
        </w:rPr>
        <w:t>. They considered that more real-world evidence should be sought on how the test performs in the homes of general practice patients before inclusion of the service on the MBS. They noted that it may have a place</w:t>
      </w:r>
      <w:r w:rsidR="006F50E9">
        <w:rPr>
          <w:rStyle w:val="normaltextrun"/>
        </w:rPr>
        <w:t xml:space="preserve"> in care,</w:t>
      </w:r>
      <w:r>
        <w:rPr>
          <w:rStyle w:val="normaltextrun"/>
        </w:rPr>
        <w:t xml:space="preserve"> especially in remote areas where there is limited access to specialised sleep laboratories however, “</w:t>
      </w:r>
      <w:r>
        <w:rPr>
          <w:rStyle w:val="normaltextrun"/>
          <w:i/>
          <w:iCs/>
        </w:rPr>
        <w:t>whilst there is the potential benefits of improved access, this must be balanced against its reliability in real world settings</w:t>
      </w:r>
      <w:r>
        <w:rPr>
          <w:rStyle w:val="normaltextrun"/>
        </w:rPr>
        <w:t>”. The</w:t>
      </w:r>
      <w:r w:rsidR="00BA6207">
        <w:rPr>
          <w:rStyle w:val="normaltextrun"/>
        </w:rPr>
        <w:t xml:space="preserve"> RACGP</w:t>
      </w:r>
      <w:r>
        <w:rPr>
          <w:rStyle w:val="normaltextrun"/>
        </w:rPr>
        <w:t xml:space="preserve"> considered that there is risk of </w:t>
      </w:r>
      <w:r w:rsidR="007768A6">
        <w:rPr>
          <w:rStyle w:val="normaltextrun"/>
        </w:rPr>
        <w:t>over diagnosis</w:t>
      </w:r>
      <w:r>
        <w:rPr>
          <w:rStyle w:val="normaltextrun"/>
        </w:rPr>
        <w:t> of OSA</w:t>
      </w:r>
      <w:r w:rsidR="009C715C">
        <w:rPr>
          <w:rStyle w:val="normaltextrun"/>
        </w:rPr>
        <w:t xml:space="preserve"> as measured by PSG or other sleep study devices</w:t>
      </w:r>
      <w:r>
        <w:rPr>
          <w:rStyle w:val="normaltextrun"/>
        </w:rPr>
        <w:t xml:space="preserve">. They also noted that there are </w:t>
      </w:r>
      <w:r w:rsidR="005F6B64">
        <w:rPr>
          <w:rStyle w:val="normaltextrun"/>
        </w:rPr>
        <w:t>commercial implications</w:t>
      </w:r>
      <w:r>
        <w:rPr>
          <w:rStyle w:val="normaltextrun"/>
        </w:rPr>
        <w:t xml:space="preserve"> and that direct to </w:t>
      </w:r>
      <w:r>
        <w:rPr>
          <w:rStyle w:val="normaltextrun"/>
        </w:rPr>
        <w:lastRenderedPageBreak/>
        <w:t>consumer advertising of sleep studies puts pressure on GPs to provide referrals when requested by patients. </w:t>
      </w:r>
      <w:r>
        <w:rPr>
          <w:rStyle w:val="eop"/>
        </w:rPr>
        <w:t> </w:t>
      </w:r>
    </w:p>
    <w:p w14:paraId="5184F7D8" w14:textId="0BEBB0AF" w:rsidR="00B411FE" w:rsidRPr="00814E99" w:rsidRDefault="007768A6" w:rsidP="00D12753">
      <w:pPr>
        <w:pStyle w:val="paragraph"/>
        <w:spacing w:before="240" w:beforeAutospacing="0" w:after="0" w:afterAutospacing="0"/>
        <w:textAlignment w:val="baseline"/>
        <w:rPr>
          <w:rFonts w:ascii="Segoe UI" w:hAnsi="Segoe UI" w:cs="Segoe UI"/>
          <w:sz w:val="18"/>
          <w:szCs w:val="18"/>
        </w:rPr>
      </w:pPr>
      <w:r>
        <w:rPr>
          <w:rStyle w:val="normaltextrun"/>
        </w:rPr>
        <w:t>Feedback</w:t>
      </w:r>
      <w:r w:rsidR="007B66CA">
        <w:rPr>
          <w:rStyle w:val="normaltextrun"/>
        </w:rPr>
        <w:t> </w:t>
      </w:r>
      <w:r>
        <w:rPr>
          <w:rStyle w:val="normaltextrun"/>
        </w:rPr>
        <w:t>was also received from</w:t>
      </w:r>
      <w:r w:rsidR="009A1FE3">
        <w:rPr>
          <w:rStyle w:val="normaltextrun"/>
        </w:rPr>
        <w:t xml:space="preserve"> a manufacturer of </w:t>
      </w:r>
      <w:r w:rsidR="007B66CA">
        <w:rPr>
          <w:rStyle w:val="normaltextrun"/>
        </w:rPr>
        <w:t>a competitor product to WatchPAT </w:t>
      </w:r>
      <w:r>
        <w:rPr>
          <w:rStyle w:val="normaltextrun"/>
        </w:rPr>
        <w:t>based on PAT. The response was</w:t>
      </w:r>
      <w:r w:rsidR="007B66CA">
        <w:rPr>
          <w:rStyle w:val="normaltextrun"/>
        </w:rPr>
        <w:t xml:space="preserve"> in support of the service being included on the MBS especially for multi-night testing, but </w:t>
      </w:r>
      <w:r>
        <w:rPr>
          <w:rStyle w:val="normaltextrun"/>
        </w:rPr>
        <w:t>was</w:t>
      </w:r>
      <w:r w:rsidR="007B66CA">
        <w:rPr>
          <w:rStyle w:val="normaltextrun"/>
        </w:rPr>
        <w:t xml:space="preserve"> in strong disagreement with a number of aspects of the application such as the applicants definition of PAT, the stated comparator</w:t>
      </w:r>
      <w:r>
        <w:rPr>
          <w:rStyle w:val="normaltextrun"/>
        </w:rPr>
        <w:t xml:space="preserve">, the clinical claim, </w:t>
      </w:r>
      <w:r w:rsidR="007B66CA">
        <w:rPr>
          <w:rStyle w:val="normaltextrun"/>
        </w:rPr>
        <w:t>the proposed MBS item descriptor</w:t>
      </w:r>
      <w:r>
        <w:rPr>
          <w:rStyle w:val="normaltextrun"/>
        </w:rPr>
        <w:t>, and</w:t>
      </w:r>
      <w:r w:rsidR="007B66CA">
        <w:rPr>
          <w:rStyle w:val="normaltextrun"/>
        </w:rPr>
        <w:t xml:space="preserve"> the fee proposed.</w:t>
      </w:r>
      <w:r w:rsidR="007B66CA">
        <w:rPr>
          <w:rStyle w:val="eop"/>
        </w:rPr>
        <w:t> </w:t>
      </w:r>
    </w:p>
    <w:p w14:paraId="647036DB" w14:textId="4A83BC04" w:rsidR="00BF0DFE" w:rsidRPr="00814E99" w:rsidRDefault="00065623"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t>Proposed intervention’s place in clinical management</w:t>
      </w:r>
    </w:p>
    <w:p w14:paraId="00245E7F" w14:textId="77777777" w:rsidR="00814E99" w:rsidRDefault="00814E99" w:rsidP="00814E99">
      <w:pPr>
        <w:pStyle w:val="Heading2"/>
      </w:pPr>
      <w:r>
        <w:t>Description of Proposed Intervention</w:t>
      </w:r>
    </w:p>
    <w:p w14:paraId="0E49E73C" w14:textId="77777777" w:rsidR="00814E99" w:rsidRDefault="00814E99" w:rsidP="00814E99">
      <w:pPr>
        <w:rPr>
          <w:szCs w:val="24"/>
        </w:rPr>
      </w:pPr>
      <w:r>
        <w:rPr>
          <w:szCs w:val="24"/>
        </w:rPr>
        <w:t>The</w:t>
      </w:r>
      <w:r w:rsidRPr="0088125C">
        <w:rPr>
          <w:szCs w:val="24"/>
        </w:rPr>
        <w:t xml:space="preserve"> proposed </w:t>
      </w:r>
      <w:r>
        <w:rPr>
          <w:szCs w:val="24"/>
        </w:rPr>
        <w:t xml:space="preserve">intervention, HSAT utilising PAT (HSAT/PAT), is a patient-worn device that is intended for use in the home setting while the patient sleeps </w:t>
      </w:r>
      <w:r w:rsidRPr="00FD1E48">
        <w:rPr>
          <w:szCs w:val="24"/>
        </w:rPr>
        <w:t xml:space="preserve">for the </w:t>
      </w:r>
      <w:r>
        <w:rPr>
          <w:szCs w:val="24"/>
        </w:rPr>
        <w:t>diagnosis</w:t>
      </w:r>
      <w:r w:rsidRPr="00FD1E48">
        <w:rPr>
          <w:szCs w:val="24"/>
        </w:rPr>
        <w:t xml:space="preserve"> of OSA.</w:t>
      </w:r>
      <w:r w:rsidRPr="0088125C">
        <w:rPr>
          <w:szCs w:val="24"/>
        </w:rPr>
        <w:t xml:space="preserve"> </w:t>
      </w:r>
      <w:r>
        <w:rPr>
          <w:szCs w:val="24"/>
        </w:rPr>
        <w:t xml:space="preserve">The applicant’s HSAT/PAT device, the WatchPAT, </w:t>
      </w:r>
      <w:r w:rsidRPr="00CF2917">
        <w:rPr>
          <w:szCs w:val="24"/>
        </w:rPr>
        <w:t>is attached at the pat</w:t>
      </w:r>
      <w:r>
        <w:rPr>
          <w:szCs w:val="24"/>
        </w:rPr>
        <w:t xml:space="preserve">ients’ chest, wrist and finger, and </w:t>
      </w:r>
      <w:r w:rsidRPr="0088125C">
        <w:rPr>
          <w:szCs w:val="24"/>
        </w:rPr>
        <w:t>measures seven parameters</w:t>
      </w:r>
      <w:r>
        <w:rPr>
          <w:szCs w:val="24"/>
        </w:rPr>
        <w:t xml:space="preserve">: </w:t>
      </w:r>
      <w:r w:rsidRPr="0088125C">
        <w:rPr>
          <w:szCs w:val="24"/>
        </w:rPr>
        <w:t>PAT</w:t>
      </w:r>
      <w:r>
        <w:rPr>
          <w:szCs w:val="24"/>
        </w:rPr>
        <w:t xml:space="preserve"> signal</w:t>
      </w:r>
      <w:r w:rsidRPr="0088125C">
        <w:rPr>
          <w:szCs w:val="24"/>
        </w:rPr>
        <w:t>, heart rate, oximetry, actigraphy (body movement), body position, snorin</w:t>
      </w:r>
      <w:r>
        <w:rPr>
          <w:szCs w:val="24"/>
        </w:rPr>
        <w:t>g sound level, and chest motion.</w:t>
      </w:r>
      <w:r w:rsidRPr="00CF2917">
        <w:t xml:space="preserve"> </w:t>
      </w:r>
      <w:r>
        <w:t>T</w:t>
      </w:r>
      <w:r w:rsidRPr="00CF2917">
        <w:rPr>
          <w:szCs w:val="24"/>
        </w:rPr>
        <w:t xml:space="preserve">he </w:t>
      </w:r>
      <w:r>
        <w:rPr>
          <w:szCs w:val="24"/>
        </w:rPr>
        <w:t xml:space="preserve">WatchPat </w:t>
      </w:r>
      <w:r w:rsidRPr="00CF2917">
        <w:rPr>
          <w:szCs w:val="24"/>
        </w:rPr>
        <w:t>can report sleep stages (light, deep, and rapid eye movement sleep), apn</w:t>
      </w:r>
      <w:r>
        <w:rPr>
          <w:szCs w:val="24"/>
        </w:rPr>
        <w:t>o</w:t>
      </w:r>
      <w:r w:rsidRPr="00CF2917">
        <w:rPr>
          <w:szCs w:val="24"/>
        </w:rPr>
        <w:t>ea hypopn</w:t>
      </w:r>
      <w:r>
        <w:rPr>
          <w:szCs w:val="24"/>
        </w:rPr>
        <w:t>o</w:t>
      </w:r>
      <w:r w:rsidRPr="00CF2917">
        <w:rPr>
          <w:szCs w:val="24"/>
        </w:rPr>
        <w:t>ea index, oxygen desaturation index and other indices for the</w:t>
      </w:r>
      <w:r>
        <w:rPr>
          <w:szCs w:val="24"/>
        </w:rPr>
        <w:t xml:space="preserve"> purpose of diagnosing</w:t>
      </w:r>
      <w:r w:rsidRPr="00CF2917">
        <w:rPr>
          <w:szCs w:val="24"/>
        </w:rPr>
        <w:t xml:space="preserve"> obstructive sleep apnoea.</w:t>
      </w:r>
    </w:p>
    <w:p w14:paraId="4D2BAE4F" w14:textId="77777777" w:rsidR="00814E99" w:rsidRDefault="00814E99" w:rsidP="00D12753">
      <w:pPr>
        <w:pStyle w:val="Heading2"/>
        <w:spacing w:before="240"/>
      </w:pPr>
      <w:r>
        <w:t>Description of Medical Condition</w:t>
      </w:r>
    </w:p>
    <w:p w14:paraId="1FCAFA19" w14:textId="77777777" w:rsidR="00814E99" w:rsidRPr="0088125C" w:rsidRDefault="00814E99" w:rsidP="005241E9">
      <w:pPr>
        <w:tabs>
          <w:tab w:val="left" w:pos="720"/>
          <w:tab w:val="left" w:pos="1140"/>
        </w:tabs>
        <w:spacing w:after="240"/>
        <w:rPr>
          <w:szCs w:val="24"/>
        </w:rPr>
      </w:pPr>
      <w:r w:rsidRPr="0088125C">
        <w:rPr>
          <w:szCs w:val="24"/>
        </w:rPr>
        <w:t xml:space="preserve">The target population are people aged 18 or over who have a high probability of having moderate to severe OSA. </w:t>
      </w:r>
      <w:r w:rsidRPr="00702A13">
        <w:rPr>
          <w:szCs w:val="24"/>
        </w:rPr>
        <w:t>Sleep apnoea is a common sleep-related breathing disorder. The most prevalent type of sleep apnoea is OSA, which is characterized by a narrowing of the upper airway that impairs normal ventilation during sleep, resulting in repeated reversible blood oxygen desaturation and fragmented sleep.</w:t>
      </w:r>
    </w:p>
    <w:p w14:paraId="28F30A58" w14:textId="43F902D8" w:rsidR="006E4CAB" w:rsidRDefault="001576BB" w:rsidP="005241E9">
      <w:pPr>
        <w:spacing w:after="240"/>
      </w:pPr>
      <w:r w:rsidRPr="006E4CAB">
        <w:t xml:space="preserve">The clinical management algorithm and the proposed place of </w:t>
      </w:r>
      <w:r w:rsidR="006E4CAB" w:rsidRPr="006E4CAB">
        <w:t xml:space="preserve">HSAT/PAT for diagnosis of moderate to severe OSA </w:t>
      </w:r>
      <w:r w:rsidRPr="006E4CAB">
        <w:t xml:space="preserve">is presented in </w:t>
      </w:r>
      <w:r w:rsidR="006E4CAB" w:rsidRPr="006E4CAB">
        <w:fldChar w:fldCharType="begin"/>
      </w:r>
      <w:r w:rsidR="006E4CAB" w:rsidRPr="006E4CAB">
        <w:instrText xml:space="preserve"> REF _Ref74331188 \h </w:instrText>
      </w:r>
      <w:r w:rsidR="006E4CAB">
        <w:instrText xml:space="preserve"> \* MERGEFORMAT </w:instrText>
      </w:r>
      <w:r w:rsidR="006E4CAB" w:rsidRPr="006E4CAB">
        <w:fldChar w:fldCharType="separate"/>
      </w:r>
      <w:r w:rsidR="006E4CAB" w:rsidRPr="006E4CAB">
        <w:t xml:space="preserve">Figure </w:t>
      </w:r>
      <w:r w:rsidR="006E4CAB" w:rsidRPr="006E4CAB">
        <w:rPr>
          <w:noProof/>
        </w:rPr>
        <w:t>1</w:t>
      </w:r>
      <w:r w:rsidR="006E4CAB" w:rsidRPr="006E4CAB">
        <w:fldChar w:fldCharType="end"/>
      </w:r>
      <w:r w:rsidRPr="006E4CAB">
        <w:t>.</w:t>
      </w:r>
    </w:p>
    <w:p w14:paraId="4E66ADC2" w14:textId="6021805E" w:rsidR="006E4CAB" w:rsidRDefault="006E4CAB" w:rsidP="001576BB">
      <w:r>
        <w:t>The algorithm indicates HSAT/PA</w:t>
      </w:r>
      <w:r w:rsidR="009F51C4">
        <w:t>T</w:t>
      </w:r>
      <w:r>
        <w:t xml:space="preserve"> can substitute Level 2 </w:t>
      </w:r>
      <w:r w:rsidR="006965C5">
        <w:t>PSG</w:t>
      </w:r>
      <w:r w:rsidR="00471A4E">
        <w:t xml:space="preserve"> and also substitute </w:t>
      </w:r>
      <w:r w:rsidRPr="006E4CAB">
        <w:t xml:space="preserve">Level 1 </w:t>
      </w:r>
      <w:r w:rsidR="006965C5">
        <w:t>PSG</w:t>
      </w:r>
      <w:r w:rsidRPr="006E4CAB">
        <w:t xml:space="preserve"> in patients who are unsuitable for a Level 2 PSG.</w:t>
      </w:r>
      <w:r w:rsidR="009F51C4">
        <w:t xml:space="preserve"> The </w:t>
      </w:r>
      <w:r w:rsidR="009F51C4" w:rsidRPr="009F51C4">
        <w:t>ADAR stated that patients</w:t>
      </w:r>
      <w:r w:rsidR="009F51C4">
        <w:t xml:space="preserve"> who have a physical disability, </w:t>
      </w:r>
      <w:r w:rsidR="009F51C4" w:rsidRPr="009F51C4">
        <w:t>cognitive impairment</w:t>
      </w:r>
      <w:r w:rsidR="009F51C4">
        <w:t xml:space="preserve"> difficulty communicating, have a language barrier, have mobility problems or other physical disability; or patients </w:t>
      </w:r>
      <w:r w:rsidR="009F51C4" w:rsidRPr="009F51C4">
        <w:t>for whom it is inconvenient or expensive to travel to a sleep laboratory</w:t>
      </w:r>
      <w:r w:rsidR="009F51C4">
        <w:t xml:space="preserve"> </w:t>
      </w:r>
      <w:r w:rsidR="009F51C4" w:rsidRPr="009F51C4">
        <w:t>may substitute HSAT/PA</w:t>
      </w:r>
      <w:r w:rsidR="009F51C4">
        <w:t xml:space="preserve">T for a Level 1 sleep study. </w:t>
      </w:r>
      <w:r w:rsidR="009F51C4" w:rsidRPr="009F51C4">
        <w:t xml:space="preserve"> </w:t>
      </w:r>
      <w:r w:rsidR="009F51C4">
        <w:t>However, the commentary noted that t</w:t>
      </w:r>
      <w:r w:rsidR="009F51C4" w:rsidRPr="009F51C4">
        <w:t xml:space="preserve">he ADAR did not provide any information on the type of degree of cognitive impairment, and how it could be ascertained that a patient with cognitive impairment would appropriately apply the device. Also, as use of HSAT/PAT still requires instruction, it is not clear how it may be suitable for patients who have difficulty communicating or have a language barrier. Therefore, the ADAR </w:t>
      </w:r>
      <w:r w:rsidR="00574146">
        <w:t xml:space="preserve">did </w:t>
      </w:r>
      <w:r w:rsidR="009F51C4" w:rsidRPr="009F51C4">
        <w:t xml:space="preserve">not adequately justified how patients who </w:t>
      </w:r>
      <w:r w:rsidR="009F51C4">
        <w:t xml:space="preserve">are unsuitable for a Level 2 sleep study and </w:t>
      </w:r>
      <w:r w:rsidR="009F51C4" w:rsidRPr="009F51C4">
        <w:t>would require Level 1 PSG would be able to use HSAT/PAT.</w:t>
      </w:r>
    </w:p>
    <w:p w14:paraId="5E0DBCA6" w14:textId="77777777" w:rsidR="006E4CAB" w:rsidRDefault="006E4CAB" w:rsidP="006E4CAB">
      <w:pPr>
        <w:pStyle w:val="Caption"/>
        <w:sectPr w:rsidR="006E4CAB" w:rsidSect="003B50D2">
          <w:footerReference w:type="default" r:id="rId12"/>
          <w:pgSz w:w="11906" w:h="16838"/>
          <w:pgMar w:top="1440" w:right="1440" w:bottom="1134" w:left="1440" w:header="708" w:footer="708" w:gutter="0"/>
          <w:cols w:space="708"/>
          <w:docGrid w:linePitch="360"/>
        </w:sectPr>
      </w:pPr>
      <w:bookmarkStart w:id="10" w:name="_Toc70769015"/>
    </w:p>
    <w:p w14:paraId="30FC58FF" w14:textId="0B7DF0EB" w:rsidR="006E4CAB" w:rsidRPr="00FB0307" w:rsidRDefault="006E4CAB" w:rsidP="001F668C">
      <w:pPr>
        <w:pStyle w:val="Caption"/>
      </w:pPr>
      <w:bookmarkStart w:id="11" w:name="_Ref74331188"/>
      <w:r w:rsidRPr="00FB0307">
        <w:lastRenderedPageBreak/>
        <w:t xml:space="preserve">Figure </w:t>
      </w:r>
      <w:r w:rsidR="00A930B3">
        <w:fldChar w:fldCharType="begin"/>
      </w:r>
      <w:r w:rsidR="00A930B3">
        <w:instrText xml:space="preserve"> SEQ Figure \* ARABIC </w:instrText>
      </w:r>
      <w:r w:rsidR="00A930B3">
        <w:fldChar w:fldCharType="separate"/>
      </w:r>
      <w:r>
        <w:rPr>
          <w:noProof/>
        </w:rPr>
        <w:t>1</w:t>
      </w:r>
      <w:r w:rsidR="00A930B3">
        <w:rPr>
          <w:noProof/>
        </w:rPr>
        <w:fldChar w:fldCharType="end"/>
      </w:r>
      <w:bookmarkEnd w:id="11"/>
      <w:r w:rsidRPr="00FB0307">
        <w:tab/>
      </w:r>
      <w:r>
        <w:t>Proposed clinical management algorithm for diagnosis of moderate to severe OSA</w:t>
      </w:r>
      <w:bookmarkEnd w:id="10"/>
    </w:p>
    <w:p w14:paraId="5BEEFD63" w14:textId="77777777" w:rsidR="006E4CAB" w:rsidRDefault="006E4CAB" w:rsidP="006E4CAB">
      <w:pPr>
        <w:ind w:left="40"/>
      </w:pPr>
      <w:r>
        <w:rPr>
          <w:noProof/>
        </w:rPr>
        <w:drawing>
          <wp:inline distT="0" distB="0" distL="0" distR="0" wp14:anchorId="2CE7580D" wp14:editId="150BB634">
            <wp:extent cx="9107982" cy="4610100"/>
            <wp:effectExtent l="19050" t="19050" r="17145" b="19050"/>
            <wp:docPr id="10" name="Picture 10" descr="The proposed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e proposed clinical management algorith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14885" cy="4613594"/>
                    </a:xfrm>
                    <a:prstGeom prst="rect">
                      <a:avLst/>
                    </a:prstGeom>
                    <a:noFill/>
                    <a:ln>
                      <a:solidFill>
                        <a:schemeClr val="tx1"/>
                      </a:solidFill>
                    </a:ln>
                  </pic:spPr>
                </pic:pic>
              </a:graphicData>
            </a:graphic>
          </wp:inline>
        </w:drawing>
      </w:r>
    </w:p>
    <w:p w14:paraId="7A7B9521" w14:textId="38B39763" w:rsidR="006E4CAB" w:rsidRPr="00FB0307" w:rsidRDefault="006E4CAB" w:rsidP="006E4CAB">
      <w:pPr>
        <w:ind w:left="40"/>
        <w:rPr>
          <w:rFonts w:ascii="Arial Narrow" w:hAnsi="Arial Narrow"/>
          <w:sz w:val="18"/>
          <w:szCs w:val="18"/>
        </w:rPr>
      </w:pPr>
      <w:r w:rsidRPr="00FB0307">
        <w:rPr>
          <w:rFonts w:ascii="Arial Narrow" w:hAnsi="Arial Narrow"/>
          <w:sz w:val="18"/>
          <w:szCs w:val="18"/>
        </w:rPr>
        <w:t xml:space="preserve">Source: </w:t>
      </w:r>
      <w:r w:rsidRPr="006D6C51">
        <w:rPr>
          <w:rFonts w:ascii="Arial Narrow" w:hAnsi="Arial Narrow"/>
          <w:sz w:val="18"/>
          <w:szCs w:val="18"/>
        </w:rPr>
        <w:t xml:space="preserve">Figure 8, p52 of the </w:t>
      </w:r>
      <w:r w:rsidRPr="00D05118">
        <w:rPr>
          <w:rFonts w:ascii="Arial Narrow" w:hAnsi="Arial Narrow"/>
          <w:sz w:val="18"/>
          <w:szCs w:val="18"/>
        </w:rPr>
        <w:t>ADAR</w:t>
      </w:r>
      <w:r w:rsidR="00521E3B">
        <w:rPr>
          <w:rFonts w:ascii="Arial Narrow" w:hAnsi="Arial Narrow"/>
          <w:sz w:val="18"/>
          <w:szCs w:val="18"/>
        </w:rPr>
        <w:t>, a</w:t>
      </w:r>
      <w:r w:rsidR="00521E3B" w:rsidRPr="00521E3B">
        <w:rPr>
          <w:rFonts w:ascii="Arial Narrow" w:hAnsi="Arial Narrow"/>
          <w:sz w:val="18"/>
          <w:szCs w:val="18"/>
        </w:rPr>
        <w:t>dapted from Douglas (2017) Figure 1 p4</w:t>
      </w:r>
    </w:p>
    <w:p w14:paraId="523F67E1" w14:textId="2AB1F17A" w:rsidR="006E4CAB" w:rsidRPr="006E4CAB" w:rsidRDefault="006E4CAB" w:rsidP="006E4CAB">
      <w:pPr>
        <w:tabs>
          <w:tab w:val="left" w:pos="720"/>
          <w:tab w:val="left" w:pos="1140"/>
        </w:tabs>
        <w:rPr>
          <w:color w:val="3366FF"/>
          <w:szCs w:val="24"/>
        </w:rPr>
        <w:sectPr w:rsidR="006E4CAB" w:rsidRPr="006E4CAB" w:rsidSect="003B50D2">
          <w:pgSz w:w="16838" w:h="11906" w:orient="landscape"/>
          <w:pgMar w:top="1440" w:right="1440" w:bottom="1440" w:left="1134" w:header="709" w:footer="709" w:gutter="0"/>
          <w:cols w:space="708"/>
          <w:docGrid w:linePitch="360"/>
        </w:sectPr>
      </w:pPr>
      <w:r>
        <w:rPr>
          <w:rFonts w:ascii="Arial Narrow" w:hAnsi="Arial Narrow"/>
          <w:sz w:val="18"/>
          <w:szCs w:val="18"/>
        </w:rPr>
        <w:t>Abbreviations: HSAT=home sleep apnoea test; MBS=Medicare Benefits Schedule; OSA=obstructive sleep apnoea; PAT=peripheral arterial tone; PSG=</w:t>
      </w:r>
      <w:r w:rsidRPr="006E4CAB">
        <w:rPr>
          <w:rFonts w:ascii="Arial Narrow" w:hAnsi="Arial Narrow"/>
          <w:sz w:val="18"/>
          <w:szCs w:val="18"/>
        </w:rPr>
        <w:t>polysomnograph</w:t>
      </w:r>
    </w:p>
    <w:p w14:paraId="4D75EEF5" w14:textId="2A3ABEAE" w:rsidR="001576BB" w:rsidRPr="00814E99" w:rsidRDefault="001576BB"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lastRenderedPageBreak/>
        <w:t xml:space="preserve">Comparator </w:t>
      </w:r>
    </w:p>
    <w:p w14:paraId="4D914A7C" w14:textId="717DB78E" w:rsidR="001576BB" w:rsidRDefault="00574146" w:rsidP="001576BB">
      <w:r>
        <w:t xml:space="preserve">Consistent with the PICO Confirmation, the main comparator presented in the ADAR is Level 2 </w:t>
      </w:r>
      <w:r w:rsidR="006965C5">
        <w:t>PSG</w:t>
      </w:r>
      <w:r>
        <w:t xml:space="preserve"> conducted at home. </w:t>
      </w:r>
    </w:p>
    <w:p w14:paraId="3029D838" w14:textId="00467B4E" w:rsidR="00574146" w:rsidRDefault="00574146" w:rsidP="00D12753">
      <w:pPr>
        <w:spacing w:before="240"/>
      </w:pPr>
      <w:r>
        <w:t xml:space="preserve">The secondary comparator is Level 1 </w:t>
      </w:r>
      <w:r w:rsidR="006965C5">
        <w:t>PSG</w:t>
      </w:r>
      <w:r>
        <w:t>, which are performed in a sleep laboratory with continuous supervision of a sleep technician. These tests may be conducted in a public or private hospital or a sleep clinic.</w:t>
      </w:r>
      <w:r w:rsidR="008B7EF6">
        <w:t xml:space="preserve"> The commentary </w:t>
      </w:r>
      <w:r w:rsidR="008B7EF6" w:rsidRPr="008B7EF6">
        <w:t xml:space="preserve">noted that </w:t>
      </w:r>
      <w:r w:rsidR="008B7EF6" w:rsidRPr="008B7EF6">
        <w:rPr>
          <w:iCs/>
        </w:rPr>
        <w:t>the 2017 Australasian Sleep Association guidelines for sleep studies in adults</w:t>
      </w:r>
      <w:r w:rsidR="008B7EF6" w:rsidRPr="008B7EF6">
        <w:rPr>
          <w:rStyle w:val="FootnoteReference"/>
          <w:iCs/>
        </w:rPr>
        <w:footnoteReference w:id="7"/>
      </w:r>
      <w:r w:rsidR="008B7EF6" w:rsidRPr="008B7EF6">
        <w:rPr>
          <w:iCs/>
        </w:rPr>
        <w:t xml:space="preserve"> identify Level 1 </w:t>
      </w:r>
      <w:r w:rsidR="006965C5">
        <w:rPr>
          <w:iCs/>
        </w:rPr>
        <w:t>PSG</w:t>
      </w:r>
      <w:r w:rsidR="008B7EF6" w:rsidRPr="008B7EF6">
        <w:rPr>
          <w:iCs/>
        </w:rPr>
        <w:t xml:space="preserve"> as the reference standard.</w:t>
      </w:r>
    </w:p>
    <w:p w14:paraId="5EEBD2C7" w14:textId="0BF1705C" w:rsidR="00574146" w:rsidRDefault="00574146" w:rsidP="00D12753">
      <w:pPr>
        <w:spacing w:before="240"/>
      </w:pPr>
      <w:r>
        <w:t xml:space="preserve">The relevant MBS items for the comparators are: </w:t>
      </w:r>
    </w:p>
    <w:p w14:paraId="48702EC5" w14:textId="3879A2F4" w:rsidR="00574146" w:rsidRDefault="00574146" w:rsidP="00574146">
      <w:pPr>
        <w:pStyle w:val="ListParagraph"/>
        <w:numPr>
          <w:ilvl w:val="0"/>
          <w:numId w:val="19"/>
        </w:numPr>
      </w:pPr>
      <w:r>
        <w:t xml:space="preserve">MBS item 12250 for unattended </w:t>
      </w:r>
      <w:r w:rsidR="008171BB" w:rsidRPr="00CD242C">
        <w:rPr>
          <w:color w:val="000000"/>
          <w:szCs w:val="24"/>
        </w:rPr>
        <w:t>polysomnography</w:t>
      </w:r>
      <w:r w:rsidR="008171BB">
        <w:rPr>
          <w:color w:val="000000"/>
          <w:szCs w:val="24"/>
        </w:rPr>
        <w:t xml:space="preserve"> diagnostic sleep study (Level 2)</w:t>
      </w:r>
    </w:p>
    <w:p w14:paraId="35BFED09" w14:textId="463066B8" w:rsidR="00574146" w:rsidRPr="008171BB" w:rsidRDefault="00574146" w:rsidP="00574146">
      <w:pPr>
        <w:pStyle w:val="ListParagraph"/>
        <w:numPr>
          <w:ilvl w:val="0"/>
          <w:numId w:val="19"/>
        </w:numPr>
      </w:pPr>
      <w:r>
        <w:t>MBS item 12203</w:t>
      </w:r>
      <w:r w:rsidR="008171BB">
        <w:t xml:space="preserve"> for attended/in-laboratory </w:t>
      </w:r>
      <w:r w:rsidR="008171BB" w:rsidRPr="00CD242C">
        <w:rPr>
          <w:color w:val="000000"/>
          <w:szCs w:val="24"/>
        </w:rPr>
        <w:t>polysomnography</w:t>
      </w:r>
      <w:r w:rsidR="008171BB">
        <w:rPr>
          <w:color w:val="000000"/>
          <w:szCs w:val="24"/>
        </w:rPr>
        <w:t xml:space="preserve"> diagnostic sleep study (Level 1). </w:t>
      </w:r>
    </w:p>
    <w:p w14:paraId="484034F5" w14:textId="220A0702" w:rsidR="00443F1D" w:rsidRPr="00814E99" w:rsidRDefault="008171BB" w:rsidP="00D12753">
      <w:pPr>
        <w:spacing w:before="240"/>
      </w:pPr>
      <w:r>
        <w:t>The commentary noted that MBS items 12204 and</w:t>
      </w:r>
      <w:r w:rsidR="00B96CFB">
        <w:t xml:space="preserve"> </w:t>
      </w:r>
      <w:r>
        <w:t xml:space="preserve">12207, which are also for attended </w:t>
      </w:r>
      <w:r w:rsidRPr="008171BB">
        <w:t>attended/in-laboratory polysomnography diagnostic sleep study</w:t>
      </w:r>
      <w:r>
        <w:t xml:space="preserve"> but are not relevant as these items are not intended for primary diagnosis of OSA. </w:t>
      </w:r>
    </w:p>
    <w:p w14:paraId="3077DDCC" w14:textId="69922308" w:rsidR="001576BB" w:rsidRPr="00814E99" w:rsidRDefault="001576BB"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t>Comparative safety</w:t>
      </w:r>
    </w:p>
    <w:p w14:paraId="5095EBE5" w14:textId="2AF51B0E" w:rsidR="006139C1" w:rsidRDefault="008B7EF6" w:rsidP="008B7EF6">
      <w:pPr>
        <w:rPr>
          <w:i/>
          <w:iCs/>
        </w:rPr>
      </w:pPr>
      <w:r>
        <w:t xml:space="preserve">The ADAR included two studies comparing HSAT/PAT and Level 2 </w:t>
      </w:r>
      <w:r w:rsidR="006965C5">
        <w:t>PSG</w:t>
      </w:r>
      <w:r>
        <w:t xml:space="preserve"> (main comparator), along with 16 studies comparing HSAT/PAT and Level 1 </w:t>
      </w:r>
      <w:r w:rsidR="006965C5">
        <w:t>PSG</w:t>
      </w:r>
      <w:r>
        <w:t xml:space="preserve"> (secondary comparator). All selected studies were for assessment of the accuracy of HSAT/PAT.  </w:t>
      </w:r>
      <w:r w:rsidR="006139C1">
        <w:t xml:space="preserve">The commentary noted that </w:t>
      </w:r>
      <w:r w:rsidR="00856C93">
        <w:t xml:space="preserve">the </w:t>
      </w:r>
      <w:r w:rsidR="006139C1">
        <w:t xml:space="preserve">ADAR did not provided any evidence linking Level 1 and Level 2 </w:t>
      </w:r>
      <w:r w:rsidR="006965C5">
        <w:t>PSG</w:t>
      </w:r>
      <w:r w:rsidR="006139C1">
        <w:t xml:space="preserve">, and did not provide other types of evidence </w:t>
      </w:r>
      <w:r w:rsidR="006139C1" w:rsidRPr="006139C1">
        <w:rPr>
          <w:iCs/>
        </w:rPr>
        <w:t>as described in the MSAC Investigative Technical Guidelines 201</w:t>
      </w:r>
      <w:r w:rsidR="005241E9">
        <w:rPr>
          <w:iCs/>
        </w:rPr>
        <w:t>7</w:t>
      </w:r>
      <w:r w:rsidR="006139C1">
        <w:rPr>
          <w:iCs/>
        </w:rPr>
        <w:t xml:space="preserve"> (i.e.</w:t>
      </w:r>
      <w:r w:rsidR="006139C1">
        <w:t xml:space="preserve"> prognostic evidence, comparative clinical validity</w:t>
      </w:r>
      <w:r w:rsidR="006139C1" w:rsidRPr="006139C1">
        <w:t xml:space="preserve">, </w:t>
      </w:r>
      <w:r w:rsidR="006139C1" w:rsidRPr="006139C1">
        <w:rPr>
          <w:iCs/>
        </w:rPr>
        <w:t>and therapeutic effectiveness</w:t>
      </w:r>
      <w:r w:rsidR="006139C1">
        <w:rPr>
          <w:iCs/>
        </w:rPr>
        <w:t>)</w:t>
      </w:r>
      <w:r w:rsidR="006139C1" w:rsidRPr="006139C1">
        <w:rPr>
          <w:iCs/>
        </w:rPr>
        <w:t>.</w:t>
      </w:r>
      <w:r w:rsidR="006139C1">
        <w:rPr>
          <w:i/>
          <w:iCs/>
        </w:rPr>
        <w:t xml:space="preserve"> </w:t>
      </w:r>
    </w:p>
    <w:p w14:paraId="12360FE5" w14:textId="60BB124A" w:rsidR="00731730" w:rsidRDefault="008B7EF6" w:rsidP="007D5F6D">
      <w:pPr>
        <w:spacing w:before="240" w:after="240"/>
      </w:pPr>
      <w:r>
        <w:t>A summary of the evidence used in the ADAR is provided in</w:t>
      </w:r>
      <w:r w:rsidR="00731730" w:rsidRPr="00731730">
        <w:t xml:space="preserve"> </w:t>
      </w:r>
      <w:r w:rsidR="00731730" w:rsidRPr="00731730">
        <w:fldChar w:fldCharType="begin"/>
      </w:r>
      <w:r w:rsidR="00731730" w:rsidRPr="00731730">
        <w:instrText xml:space="preserve"> REF _Ref74333806 \h  \* MERGEFORMAT </w:instrText>
      </w:r>
      <w:r w:rsidR="00731730" w:rsidRPr="00731730">
        <w:fldChar w:fldCharType="separate"/>
      </w:r>
      <w:r w:rsidR="00824C87" w:rsidRPr="00824C87">
        <w:rPr>
          <w:bCs/>
        </w:rPr>
        <w:t xml:space="preserve">Table </w:t>
      </w:r>
      <w:r w:rsidR="00824C87">
        <w:rPr>
          <w:noProof/>
        </w:rPr>
        <w:t>5</w:t>
      </w:r>
      <w:r w:rsidR="00731730" w:rsidRPr="00731730">
        <w:fldChar w:fldCharType="end"/>
      </w:r>
      <w:r w:rsidR="00731730">
        <w:t>.</w:t>
      </w:r>
    </w:p>
    <w:p w14:paraId="0CB43B17" w14:textId="5BEA0B2A" w:rsidR="00731730" w:rsidRPr="00731730" w:rsidRDefault="00731730" w:rsidP="001F668C">
      <w:pPr>
        <w:pStyle w:val="Caption"/>
      </w:pPr>
      <w:bookmarkStart w:id="12" w:name="_Ref74333806"/>
      <w:bookmarkStart w:id="13" w:name="_Toc70768712"/>
      <w:r w:rsidRPr="00731730">
        <w:t xml:space="preserve">Table </w:t>
      </w:r>
      <w:r w:rsidR="00A930B3">
        <w:fldChar w:fldCharType="begin"/>
      </w:r>
      <w:r w:rsidR="00A930B3">
        <w:instrText xml:space="preserve"> SEQ Table \* ARABIC </w:instrText>
      </w:r>
      <w:r w:rsidR="00A930B3">
        <w:fldChar w:fldCharType="separate"/>
      </w:r>
      <w:r w:rsidR="00824C87">
        <w:rPr>
          <w:noProof/>
        </w:rPr>
        <w:t>5</w:t>
      </w:r>
      <w:r w:rsidR="00A930B3">
        <w:rPr>
          <w:noProof/>
        </w:rPr>
        <w:fldChar w:fldCharType="end"/>
      </w:r>
      <w:bookmarkEnd w:id="12"/>
      <w:r w:rsidRPr="00731730">
        <w:tab/>
        <w:t>Key features of the included evidence</w:t>
      </w:r>
      <w:bookmarkEnd w:id="13"/>
      <w:r w:rsidRPr="00731730">
        <w:t xml:space="preserve"> </w:t>
      </w:r>
    </w:p>
    <w:tbl>
      <w:tblPr>
        <w:tblStyle w:val="TableGrid1"/>
        <w:tblW w:w="4950" w:type="pct"/>
        <w:tblLayout w:type="fixed"/>
        <w:tblCellMar>
          <w:left w:w="28" w:type="dxa"/>
          <w:right w:w="28" w:type="dxa"/>
        </w:tblCellMar>
        <w:tblLook w:val="04A0" w:firstRow="1" w:lastRow="0" w:firstColumn="1" w:lastColumn="0" w:noHBand="0" w:noVBand="1"/>
        <w:tblCaption w:val="Table 5  Key features of the included evidence "/>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study was included in the meta-analysis"/>
      </w:tblPr>
      <w:tblGrid>
        <w:gridCol w:w="1102"/>
        <w:gridCol w:w="412"/>
        <w:gridCol w:w="2351"/>
        <w:gridCol w:w="736"/>
        <w:gridCol w:w="1753"/>
        <w:gridCol w:w="1758"/>
        <w:gridCol w:w="814"/>
      </w:tblGrid>
      <w:tr w:rsidR="00731730" w:rsidRPr="00731730" w14:paraId="563EE13D" w14:textId="77777777" w:rsidTr="00731730">
        <w:trPr>
          <w:cnfStyle w:val="100000000000" w:firstRow="1" w:lastRow="0" w:firstColumn="0" w:lastColumn="0" w:oddVBand="0" w:evenVBand="0" w:oddHBand="0" w:evenHBand="0" w:firstRowFirstColumn="0" w:firstRowLastColumn="0" w:lastRowFirstColumn="0" w:lastRowLastColumn="0"/>
          <w:tblHeader/>
        </w:trPr>
        <w:tc>
          <w:tcPr>
            <w:tcW w:w="617" w:type="pct"/>
            <w:shd w:val="clear" w:color="auto" w:fill="auto"/>
            <w:vAlign w:val="center"/>
          </w:tcPr>
          <w:p w14:paraId="794BAAB5" w14:textId="77777777" w:rsidR="00731730" w:rsidRPr="00731730" w:rsidRDefault="00731730" w:rsidP="00A930B3">
            <w:pPr>
              <w:pStyle w:val="TableHeading"/>
              <w:spacing w:before="0" w:after="0"/>
            </w:pPr>
            <w:r w:rsidRPr="00731730">
              <w:t>Study</w:t>
            </w:r>
          </w:p>
        </w:tc>
        <w:tc>
          <w:tcPr>
            <w:tcW w:w="231" w:type="pct"/>
            <w:shd w:val="clear" w:color="auto" w:fill="auto"/>
            <w:vAlign w:val="center"/>
          </w:tcPr>
          <w:p w14:paraId="66E0DB49" w14:textId="77777777" w:rsidR="00731730" w:rsidRPr="00731730" w:rsidRDefault="00731730" w:rsidP="00A930B3">
            <w:pPr>
              <w:pStyle w:val="TableHeading"/>
              <w:spacing w:before="0" w:after="0"/>
            </w:pPr>
            <w:r w:rsidRPr="00731730">
              <w:t>N</w:t>
            </w:r>
          </w:p>
        </w:tc>
        <w:tc>
          <w:tcPr>
            <w:tcW w:w="1317" w:type="pct"/>
            <w:shd w:val="clear" w:color="auto" w:fill="auto"/>
            <w:vAlign w:val="center"/>
          </w:tcPr>
          <w:p w14:paraId="5B497156" w14:textId="77777777" w:rsidR="00731730" w:rsidRPr="00731730" w:rsidRDefault="00731730" w:rsidP="00A930B3">
            <w:pPr>
              <w:pStyle w:val="TableHeading"/>
              <w:spacing w:before="0" w:after="0"/>
            </w:pPr>
            <w:r w:rsidRPr="00731730">
              <w:t>Design</w:t>
            </w:r>
          </w:p>
        </w:tc>
        <w:tc>
          <w:tcPr>
            <w:tcW w:w="412" w:type="pct"/>
            <w:shd w:val="clear" w:color="auto" w:fill="auto"/>
            <w:vAlign w:val="center"/>
          </w:tcPr>
          <w:p w14:paraId="6A3048A1" w14:textId="77777777" w:rsidR="00731730" w:rsidRDefault="00731730" w:rsidP="00A930B3">
            <w:pPr>
              <w:pStyle w:val="TableHeading"/>
              <w:spacing w:before="0" w:after="0"/>
              <w:jc w:val="left"/>
            </w:pPr>
            <w:r w:rsidRPr="00731730">
              <w:t xml:space="preserve">Risk of </w:t>
            </w:r>
          </w:p>
          <w:p w14:paraId="2B8DC6B6" w14:textId="5C452EA7" w:rsidR="00731730" w:rsidRPr="00731730" w:rsidRDefault="00731730" w:rsidP="00A930B3">
            <w:pPr>
              <w:pStyle w:val="TableHeading"/>
              <w:spacing w:before="0" w:after="0"/>
              <w:jc w:val="left"/>
            </w:pPr>
            <w:r>
              <w:t>bias</w:t>
            </w:r>
            <w:r w:rsidRPr="00731730">
              <w:rPr>
                <w:vertAlign w:val="superscript"/>
              </w:rPr>
              <w:t>a</w:t>
            </w:r>
          </w:p>
        </w:tc>
        <w:tc>
          <w:tcPr>
            <w:tcW w:w="982" w:type="pct"/>
            <w:shd w:val="clear" w:color="auto" w:fill="auto"/>
            <w:vAlign w:val="center"/>
          </w:tcPr>
          <w:p w14:paraId="790CFF1E" w14:textId="77777777" w:rsidR="00731730" w:rsidRPr="00731730" w:rsidRDefault="00731730" w:rsidP="00A930B3">
            <w:pPr>
              <w:pStyle w:val="TableHeading"/>
              <w:spacing w:before="0" w:after="0"/>
            </w:pPr>
            <w:r w:rsidRPr="00731730">
              <w:t>Patient population</w:t>
            </w:r>
          </w:p>
        </w:tc>
        <w:tc>
          <w:tcPr>
            <w:tcW w:w="985" w:type="pct"/>
            <w:shd w:val="clear" w:color="auto" w:fill="auto"/>
            <w:vAlign w:val="center"/>
          </w:tcPr>
          <w:p w14:paraId="02A41B49" w14:textId="77777777" w:rsidR="00731730" w:rsidRPr="00731730" w:rsidRDefault="00731730" w:rsidP="00A930B3">
            <w:pPr>
              <w:pStyle w:val="TableHeading"/>
              <w:spacing w:before="0" w:after="0"/>
            </w:pPr>
            <w:r w:rsidRPr="00731730">
              <w:t>Key outcomes</w:t>
            </w:r>
          </w:p>
        </w:tc>
        <w:tc>
          <w:tcPr>
            <w:tcW w:w="456" w:type="pct"/>
            <w:shd w:val="clear" w:color="auto" w:fill="auto"/>
            <w:vAlign w:val="center"/>
          </w:tcPr>
          <w:p w14:paraId="6CB77CE2" w14:textId="77777777" w:rsidR="00731730" w:rsidRPr="00731730" w:rsidRDefault="00731730" w:rsidP="00A930B3">
            <w:pPr>
              <w:pStyle w:val="TableHeading"/>
              <w:spacing w:before="0" w:after="0"/>
              <w:ind w:left="47" w:hanging="47"/>
              <w:jc w:val="left"/>
            </w:pPr>
            <w:r w:rsidRPr="00731730">
              <w:t>Included in meta-analysis</w:t>
            </w:r>
          </w:p>
        </w:tc>
      </w:tr>
      <w:tr w:rsidR="00731730" w:rsidRPr="00731730" w14:paraId="61A5C825" w14:textId="77777777" w:rsidTr="00731730">
        <w:tc>
          <w:tcPr>
            <w:tcW w:w="5000" w:type="pct"/>
            <w:gridSpan w:val="7"/>
            <w:shd w:val="clear" w:color="auto" w:fill="auto"/>
            <w:vAlign w:val="center"/>
          </w:tcPr>
          <w:p w14:paraId="16F8CB8E" w14:textId="541C3536" w:rsidR="00731730" w:rsidRPr="00731730" w:rsidRDefault="00731730" w:rsidP="00A930B3">
            <w:pPr>
              <w:pStyle w:val="Tabletextboldleft"/>
              <w:spacing w:before="0"/>
            </w:pPr>
            <w:r w:rsidRPr="00731730">
              <w:t>Main comparator:</w:t>
            </w:r>
            <w:r>
              <w:t xml:space="preserve"> </w:t>
            </w:r>
            <w:r w:rsidRPr="00731730">
              <w:t>Level 2 PSG</w:t>
            </w:r>
          </w:p>
        </w:tc>
      </w:tr>
      <w:tr w:rsidR="00731730" w:rsidRPr="00731730" w14:paraId="300B0A7B" w14:textId="77777777" w:rsidTr="00731730">
        <w:tc>
          <w:tcPr>
            <w:tcW w:w="617" w:type="pct"/>
            <w:shd w:val="clear" w:color="auto" w:fill="auto"/>
            <w:vAlign w:val="center"/>
          </w:tcPr>
          <w:p w14:paraId="2FFC312C" w14:textId="77777777" w:rsidR="00731730" w:rsidRPr="00731730" w:rsidRDefault="00731730" w:rsidP="00A930B3">
            <w:pPr>
              <w:pStyle w:val="Tabletextcentred"/>
              <w:spacing w:before="0" w:after="0"/>
            </w:pPr>
            <w:r w:rsidRPr="00731730">
              <w:t>O’Brien 2012</w:t>
            </w:r>
          </w:p>
        </w:tc>
        <w:tc>
          <w:tcPr>
            <w:tcW w:w="231" w:type="pct"/>
            <w:shd w:val="clear" w:color="auto" w:fill="auto"/>
            <w:vAlign w:val="center"/>
          </w:tcPr>
          <w:p w14:paraId="78F736E1" w14:textId="77777777" w:rsidR="00731730" w:rsidRPr="00731730" w:rsidRDefault="00731730" w:rsidP="00A930B3">
            <w:pPr>
              <w:pStyle w:val="Tabletextcentred"/>
              <w:spacing w:before="0" w:after="0"/>
            </w:pPr>
            <w:r w:rsidRPr="00731730">
              <w:t>31</w:t>
            </w:r>
          </w:p>
        </w:tc>
        <w:tc>
          <w:tcPr>
            <w:tcW w:w="1317" w:type="pct"/>
            <w:shd w:val="clear" w:color="auto" w:fill="auto"/>
            <w:vAlign w:val="center"/>
          </w:tcPr>
          <w:p w14:paraId="3F014408" w14:textId="77777777" w:rsidR="00731730" w:rsidRPr="00731730" w:rsidRDefault="00731730" w:rsidP="00A930B3">
            <w:pPr>
              <w:pStyle w:val="Tabletextcentred"/>
              <w:spacing w:before="0" w:after="0"/>
            </w:pPr>
            <w:r w:rsidRPr="00731730">
              <w:t>Cohort study with simultaneous application; one night; home-based</w:t>
            </w:r>
          </w:p>
        </w:tc>
        <w:tc>
          <w:tcPr>
            <w:tcW w:w="412" w:type="pct"/>
            <w:shd w:val="clear" w:color="auto" w:fill="auto"/>
            <w:vAlign w:val="center"/>
          </w:tcPr>
          <w:p w14:paraId="2E9BCF22" w14:textId="77777777" w:rsidR="00731730" w:rsidRPr="00731730" w:rsidRDefault="00731730" w:rsidP="00A930B3">
            <w:pPr>
              <w:pStyle w:val="Tabletextcentred"/>
              <w:spacing w:before="0" w:after="0"/>
              <w:rPr>
                <w:i/>
                <w:iCs/>
              </w:rPr>
            </w:pPr>
            <w:r w:rsidRPr="00731730">
              <w:rPr>
                <w:i/>
                <w:iCs/>
              </w:rPr>
              <w:t>High</w:t>
            </w:r>
          </w:p>
        </w:tc>
        <w:tc>
          <w:tcPr>
            <w:tcW w:w="982" w:type="pct"/>
            <w:shd w:val="clear" w:color="auto" w:fill="auto"/>
            <w:vAlign w:val="center"/>
          </w:tcPr>
          <w:p w14:paraId="2A66183B" w14:textId="77777777" w:rsidR="00731730" w:rsidRPr="00731730" w:rsidRDefault="00731730" w:rsidP="00A930B3">
            <w:pPr>
              <w:pStyle w:val="Tabletextcentred"/>
              <w:spacing w:before="0" w:after="0"/>
            </w:pPr>
            <w:r w:rsidRPr="00731730">
              <w:t>Pregnant women</w:t>
            </w:r>
          </w:p>
        </w:tc>
        <w:tc>
          <w:tcPr>
            <w:tcW w:w="985" w:type="pct"/>
            <w:shd w:val="clear" w:color="auto" w:fill="auto"/>
            <w:vAlign w:val="center"/>
          </w:tcPr>
          <w:p w14:paraId="29BC50D9" w14:textId="77777777" w:rsidR="00731730" w:rsidRPr="00731730" w:rsidRDefault="00731730" w:rsidP="00A930B3">
            <w:pPr>
              <w:pStyle w:val="Tabletextcentred"/>
              <w:spacing w:before="0" w:after="0"/>
            </w:pPr>
            <w:r w:rsidRPr="00731730">
              <w:t>AHI, RDI: sensitivity, specificity, PPV, NPV</w:t>
            </w:r>
          </w:p>
        </w:tc>
        <w:tc>
          <w:tcPr>
            <w:tcW w:w="455" w:type="pct"/>
            <w:shd w:val="clear" w:color="auto" w:fill="auto"/>
            <w:vAlign w:val="center"/>
          </w:tcPr>
          <w:p w14:paraId="38765E43" w14:textId="77777777" w:rsidR="00731730" w:rsidRPr="00731730" w:rsidRDefault="00731730" w:rsidP="00A930B3">
            <w:pPr>
              <w:pStyle w:val="Tabletextcentred"/>
              <w:spacing w:before="0" w:after="0"/>
            </w:pPr>
            <w:r w:rsidRPr="00731730">
              <w:t>No</w:t>
            </w:r>
          </w:p>
        </w:tc>
      </w:tr>
      <w:tr w:rsidR="00731730" w:rsidRPr="00731730" w14:paraId="7650E2BF" w14:textId="77777777" w:rsidTr="00731730">
        <w:tc>
          <w:tcPr>
            <w:tcW w:w="617" w:type="pct"/>
            <w:shd w:val="clear" w:color="auto" w:fill="auto"/>
            <w:vAlign w:val="center"/>
          </w:tcPr>
          <w:p w14:paraId="329DD7DE" w14:textId="77777777" w:rsidR="00731730" w:rsidRPr="00731730" w:rsidRDefault="00731730" w:rsidP="00A930B3">
            <w:pPr>
              <w:pStyle w:val="Tabletextcentred"/>
              <w:spacing w:before="0" w:after="0"/>
            </w:pPr>
            <w:r w:rsidRPr="00731730">
              <w:t>Zou 2006</w:t>
            </w:r>
          </w:p>
        </w:tc>
        <w:tc>
          <w:tcPr>
            <w:tcW w:w="231" w:type="pct"/>
            <w:shd w:val="clear" w:color="auto" w:fill="auto"/>
            <w:vAlign w:val="center"/>
          </w:tcPr>
          <w:p w14:paraId="6C6F288D" w14:textId="77777777" w:rsidR="00731730" w:rsidRPr="00731730" w:rsidRDefault="00731730" w:rsidP="00A930B3">
            <w:pPr>
              <w:pStyle w:val="Tabletextcentred"/>
              <w:spacing w:before="0" w:after="0"/>
            </w:pPr>
            <w:r w:rsidRPr="00731730">
              <w:t>98</w:t>
            </w:r>
          </w:p>
        </w:tc>
        <w:tc>
          <w:tcPr>
            <w:tcW w:w="1317" w:type="pct"/>
            <w:shd w:val="clear" w:color="auto" w:fill="auto"/>
            <w:vAlign w:val="center"/>
          </w:tcPr>
          <w:p w14:paraId="7F739F4E" w14:textId="77777777" w:rsidR="00731730" w:rsidRPr="00731730" w:rsidRDefault="00731730" w:rsidP="00A930B3">
            <w:pPr>
              <w:pStyle w:val="Tabletextcentred"/>
              <w:spacing w:before="0" w:after="0"/>
            </w:pPr>
            <w:r w:rsidRPr="00731730">
              <w:t>Cohort study with simultaneous application; one night; home-based</w:t>
            </w:r>
          </w:p>
        </w:tc>
        <w:tc>
          <w:tcPr>
            <w:tcW w:w="412" w:type="pct"/>
            <w:shd w:val="clear" w:color="auto" w:fill="auto"/>
            <w:vAlign w:val="center"/>
          </w:tcPr>
          <w:p w14:paraId="11B37DBB" w14:textId="77777777" w:rsidR="00731730" w:rsidRPr="00731730" w:rsidRDefault="00731730" w:rsidP="00A930B3">
            <w:pPr>
              <w:pStyle w:val="Tabletextcentred"/>
              <w:spacing w:before="0" w:after="0"/>
              <w:rPr>
                <w:i/>
                <w:iCs/>
              </w:rPr>
            </w:pPr>
            <w:r w:rsidRPr="00731730">
              <w:rPr>
                <w:i/>
                <w:iCs/>
              </w:rPr>
              <w:t>High</w:t>
            </w:r>
          </w:p>
        </w:tc>
        <w:tc>
          <w:tcPr>
            <w:tcW w:w="982" w:type="pct"/>
            <w:shd w:val="clear" w:color="auto" w:fill="auto"/>
            <w:vAlign w:val="center"/>
          </w:tcPr>
          <w:p w14:paraId="2DEB354B" w14:textId="77777777" w:rsidR="00731730" w:rsidRPr="00731730" w:rsidRDefault="00731730" w:rsidP="00A930B3">
            <w:pPr>
              <w:pStyle w:val="Tabletextcentred"/>
              <w:spacing w:before="0" w:after="0"/>
            </w:pPr>
            <w:r w:rsidRPr="00731730">
              <w:t>Selected from a hypertension and diabetes database</w:t>
            </w:r>
          </w:p>
        </w:tc>
        <w:tc>
          <w:tcPr>
            <w:tcW w:w="985" w:type="pct"/>
            <w:shd w:val="clear" w:color="auto" w:fill="auto"/>
            <w:vAlign w:val="center"/>
          </w:tcPr>
          <w:p w14:paraId="3368473A" w14:textId="77777777" w:rsidR="00731730" w:rsidRPr="00731730" w:rsidRDefault="00731730" w:rsidP="00A930B3">
            <w:pPr>
              <w:pStyle w:val="Tabletextcentred"/>
              <w:spacing w:before="0" w:after="0"/>
            </w:pPr>
            <w:r w:rsidRPr="00731730">
              <w:t xml:space="preserve">AHI, RDI, ODI: correlation </w:t>
            </w:r>
          </w:p>
        </w:tc>
        <w:tc>
          <w:tcPr>
            <w:tcW w:w="455" w:type="pct"/>
            <w:shd w:val="clear" w:color="auto" w:fill="auto"/>
            <w:vAlign w:val="center"/>
          </w:tcPr>
          <w:p w14:paraId="428152C3" w14:textId="77777777" w:rsidR="00731730" w:rsidRPr="00731730" w:rsidRDefault="00731730" w:rsidP="00A930B3">
            <w:pPr>
              <w:pStyle w:val="Tabletextcentred"/>
              <w:spacing w:before="0" w:after="0"/>
            </w:pPr>
            <w:r w:rsidRPr="00731730">
              <w:t>No</w:t>
            </w:r>
          </w:p>
        </w:tc>
      </w:tr>
      <w:tr w:rsidR="00731730" w:rsidRPr="00731730" w14:paraId="0C0FD3A3" w14:textId="77777777" w:rsidTr="0080749F">
        <w:tc>
          <w:tcPr>
            <w:tcW w:w="1" w:type="pct"/>
            <w:gridSpan w:val="7"/>
            <w:shd w:val="clear" w:color="auto" w:fill="auto"/>
            <w:vAlign w:val="center"/>
          </w:tcPr>
          <w:p w14:paraId="4007F35B" w14:textId="68B93127" w:rsidR="00731730" w:rsidRPr="00731730" w:rsidRDefault="00731730" w:rsidP="00A930B3">
            <w:pPr>
              <w:pStyle w:val="TableHeading"/>
              <w:spacing w:before="0" w:after="0"/>
            </w:pPr>
            <w:r w:rsidRPr="00731730">
              <w:t>Secondary comparator:</w:t>
            </w:r>
            <w:r>
              <w:t xml:space="preserve"> </w:t>
            </w:r>
            <w:r w:rsidRPr="00731730">
              <w:t>Level 1 PSG</w:t>
            </w:r>
          </w:p>
        </w:tc>
      </w:tr>
      <w:tr w:rsidR="00731730" w:rsidRPr="00731730" w14:paraId="4269899E" w14:textId="77777777" w:rsidTr="00731730">
        <w:tc>
          <w:tcPr>
            <w:tcW w:w="617" w:type="pct"/>
            <w:shd w:val="clear" w:color="auto" w:fill="auto"/>
            <w:vAlign w:val="center"/>
          </w:tcPr>
          <w:p w14:paraId="5636C511" w14:textId="77777777" w:rsidR="00731730" w:rsidRPr="00731730" w:rsidRDefault="00731730" w:rsidP="00A930B3">
            <w:pPr>
              <w:pStyle w:val="Tabletextcentred"/>
              <w:spacing w:before="0" w:after="0"/>
            </w:pPr>
            <w:r w:rsidRPr="00731730">
              <w:t>Ayas 2003</w:t>
            </w:r>
          </w:p>
        </w:tc>
        <w:tc>
          <w:tcPr>
            <w:tcW w:w="231" w:type="pct"/>
            <w:shd w:val="clear" w:color="auto" w:fill="auto"/>
            <w:vAlign w:val="center"/>
          </w:tcPr>
          <w:p w14:paraId="0E330781" w14:textId="77777777" w:rsidR="00731730" w:rsidRPr="00731730" w:rsidRDefault="00731730" w:rsidP="00A930B3">
            <w:pPr>
              <w:pStyle w:val="Tabletextcentred"/>
              <w:spacing w:before="0" w:after="0"/>
            </w:pPr>
            <w:r w:rsidRPr="00731730">
              <w:t>30</w:t>
            </w:r>
          </w:p>
        </w:tc>
        <w:tc>
          <w:tcPr>
            <w:tcW w:w="1317" w:type="pct"/>
            <w:shd w:val="clear" w:color="auto" w:fill="auto"/>
            <w:vAlign w:val="center"/>
          </w:tcPr>
          <w:p w14:paraId="56B389AC" w14:textId="77777777" w:rsidR="00731730" w:rsidRPr="00731730" w:rsidRDefault="00731730" w:rsidP="00A930B3">
            <w:pPr>
              <w:pStyle w:val="Tabletextcentred"/>
              <w:spacing w:before="0" w:after="0"/>
            </w:pPr>
            <w:r w:rsidRPr="00731730">
              <w:t>Cohort study with simultaneous application; sleep lab setting</w:t>
            </w:r>
          </w:p>
        </w:tc>
        <w:tc>
          <w:tcPr>
            <w:tcW w:w="412" w:type="pct"/>
            <w:shd w:val="clear" w:color="auto" w:fill="auto"/>
            <w:vAlign w:val="center"/>
          </w:tcPr>
          <w:p w14:paraId="40B572F6" w14:textId="77777777" w:rsidR="00731730" w:rsidRPr="00731730" w:rsidRDefault="00731730" w:rsidP="00A930B3">
            <w:pPr>
              <w:pStyle w:val="Tabletextcentred"/>
              <w:spacing w:before="0" w:after="0"/>
            </w:pPr>
            <w:r w:rsidRPr="00731730">
              <w:t>Low</w:t>
            </w:r>
          </w:p>
        </w:tc>
        <w:tc>
          <w:tcPr>
            <w:tcW w:w="982" w:type="pct"/>
            <w:shd w:val="clear" w:color="auto" w:fill="auto"/>
            <w:vAlign w:val="center"/>
          </w:tcPr>
          <w:p w14:paraId="0C081B4A" w14:textId="77777777" w:rsidR="00731730" w:rsidRPr="00731730" w:rsidRDefault="00731730" w:rsidP="00A930B3">
            <w:pPr>
              <w:pStyle w:val="Tabletextcentred"/>
              <w:spacing w:before="0" w:after="0"/>
            </w:pPr>
            <w:r w:rsidRPr="00731730">
              <w:t>Adults with and without suspected OSA</w:t>
            </w:r>
          </w:p>
        </w:tc>
        <w:tc>
          <w:tcPr>
            <w:tcW w:w="985" w:type="pct"/>
            <w:shd w:val="clear" w:color="auto" w:fill="auto"/>
            <w:vAlign w:val="center"/>
          </w:tcPr>
          <w:p w14:paraId="2E0BAA25" w14:textId="77777777" w:rsidR="00731730" w:rsidRPr="00731730" w:rsidRDefault="00731730" w:rsidP="00A930B3">
            <w:pPr>
              <w:pStyle w:val="Tabletextcentred"/>
              <w:spacing w:before="0" w:after="0"/>
            </w:pPr>
            <w:r w:rsidRPr="00731730">
              <w:t>AHI: correlation</w:t>
            </w:r>
          </w:p>
        </w:tc>
        <w:tc>
          <w:tcPr>
            <w:tcW w:w="456" w:type="pct"/>
            <w:shd w:val="clear" w:color="auto" w:fill="auto"/>
            <w:vAlign w:val="center"/>
          </w:tcPr>
          <w:p w14:paraId="108B1321" w14:textId="77777777" w:rsidR="00731730" w:rsidRPr="00731730" w:rsidRDefault="00731730" w:rsidP="00A930B3">
            <w:pPr>
              <w:pStyle w:val="Tabletextcentred"/>
              <w:spacing w:before="0" w:after="0"/>
            </w:pPr>
            <w:r w:rsidRPr="00731730">
              <w:t>Yes</w:t>
            </w:r>
          </w:p>
        </w:tc>
      </w:tr>
      <w:tr w:rsidR="00731730" w:rsidRPr="00731730" w14:paraId="64D1B739" w14:textId="77777777" w:rsidTr="00731730">
        <w:tc>
          <w:tcPr>
            <w:tcW w:w="617" w:type="pct"/>
            <w:shd w:val="clear" w:color="auto" w:fill="auto"/>
            <w:vAlign w:val="center"/>
          </w:tcPr>
          <w:p w14:paraId="65D147D1" w14:textId="77777777" w:rsidR="00731730" w:rsidRPr="00731730" w:rsidRDefault="00731730" w:rsidP="00A930B3">
            <w:pPr>
              <w:pStyle w:val="Tabletextcentred"/>
              <w:spacing w:before="0" w:after="0"/>
            </w:pPr>
            <w:r w:rsidRPr="00731730">
              <w:t>Bar 2003</w:t>
            </w:r>
          </w:p>
        </w:tc>
        <w:tc>
          <w:tcPr>
            <w:tcW w:w="231" w:type="pct"/>
            <w:shd w:val="clear" w:color="auto" w:fill="auto"/>
            <w:vAlign w:val="center"/>
          </w:tcPr>
          <w:p w14:paraId="28BCF977" w14:textId="77777777" w:rsidR="00731730" w:rsidRPr="00731730" w:rsidRDefault="00731730" w:rsidP="00A930B3">
            <w:pPr>
              <w:pStyle w:val="Tabletextcentred"/>
              <w:spacing w:before="0" w:after="0"/>
            </w:pPr>
            <w:r w:rsidRPr="00731730">
              <w:t>102</w:t>
            </w:r>
          </w:p>
        </w:tc>
        <w:tc>
          <w:tcPr>
            <w:tcW w:w="1317" w:type="pct"/>
            <w:shd w:val="clear" w:color="auto" w:fill="auto"/>
            <w:vAlign w:val="center"/>
          </w:tcPr>
          <w:p w14:paraId="74BB0A37" w14:textId="77777777" w:rsidR="00731730" w:rsidRPr="00731730" w:rsidRDefault="00731730" w:rsidP="00A930B3">
            <w:pPr>
              <w:pStyle w:val="Tabletextcentred"/>
              <w:spacing w:before="0" w:after="0"/>
            </w:pPr>
            <w:r w:rsidRPr="00731730">
              <w:t>Cohort study with simultaneous application; sleep lab setting</w:t>
            </w:r>
          </w:p>
        </w:tc>
        <w:tc>
          <w:tcPr>
            <w:tcW w:w="412" w:type="pct"/>
            <w:shd w:val="clear" w:color="auto" w:fill="auto"/>
            <w:vAlign w:val="center"/>
          </w:tcPr>
          <w:p w14:paraId="4683E4D4" w14:textId="77777777" w:rsidR="00731730" w:rsidRPr="00731730" w:rsidRDefault="00731730" w:rsidP="00A930B3">
            <w:pPr>
              <w:pStyle w:val="Tabletextcentred"/>
              <w:spacing w:before="0" w:after="0"/>
            </w:pPr>
            <w:r w:rsidRPr="00731730">
              <w:t>Low</w:t>
            </w:r>
          </w:p>
        </w:tc>
        <w:tc>
          <w:tcPr>
            <w:tcW w:w="982" w:type="pct"/>
            <w:shd w:val="clear" w:color="auto" w:fill="auto"/>
            <w:vAlign w:val="center"/>
          </w:tcPr>
          <w:p w14:paraId="4CEE74CD" w14:textId="77777777" w:rsidR="00731730" w:rsidRPr="00731730" w:rsidRDefault="00731730" w:rsidP="00A930B3">
            <w:pPr>
              <w:pStyle w:val="Tabletextcentred"/>
              <w:spacing w:before="0" w:after="0"/>
            </w:pPr>
            <w:r w:rsidRPr="00731730">
              <w:t>66 adults with suspected OSA and 33 healthy volunteers</w:t>
            </w:r>
          </w:p>
        </w:tc>
        <w:tc>
          <w:tcPr>
            <w:tcW w:w="985" w:type="pct"/>
            <w:shd w:val="clear" w:color="auto" w:fill="auto"/>
            <w:vAlign w:val="center"/>
          </w:tcPr>
          <w:p w14:paraId="7303C9DD" w14:textId="77777777" w:rsidR="00731730" w:rsidRPr="00731730" w:rsidRDefault="00731730" w:rsidP="00A930B3">
            <w:pPr>
              <w:pStyle w:val="Tabletextcentred"/>
              <w:spacing w:before="0" w:after="0"/>
            </w:pPr>
            <w:r w:rsidRPr="00731730">
              <w:t>RDI: correlation</w:t>
            </w:r>
          </w:p>
        </w:tc>
        <w:tc>
          <w:tcPr>
            <w:tcW w:w="456" w:type="pct"/>
            <w:shd w:val="clear" w:color="auto" w:fill="auto"/>
            <w:vAlign w:val="center"/>
          </w:tcPr>
          <w:p w14:paraId="73642AFA" w14:textId="77777777" w:rsidR="00731730" w:rsidRPr="00731730" w:rsidRDefault="00731730" w:rsidP="00A930B3">
            <w:pPr>
              <w:pStyle w:val="Tabletextcentred"/>
              <w:spacing w:before="0" w:after="0"/>
            </w:pPr>
            <w:r w:rsidRPr="00731730">
              <w:t>Yes</w:t>
            </w:r>
          </w:p>
        </w:tc>
      </w:tr>
      <w:tr w:rsidR="00731730" w:rsidRPr="00731730" w14:paraId="597D52F9" w14:textId="77777777" w:rsidTr="00731730">
        <w:tc>
          <w:tcPr>
            <w:tcW w:w="617" w:type="pct"/>
            <w:shd w:val="clear" w:color="auto" w:fill="auto"/>
            <w:vAlign w:val="center"/>
          </w:tcPr>
          <w:p w14:paraId="5C6EF007" w14:textId="77777777" w:rsidR="00731730" w:rsidRPr="00731730" w:rsidRDefault="00731730" w:rsidP="00A930B3">
            <w:pPr>
              <w:pStyle w:val="Tabletextcentred"/>
              <w:spacing w:before="0" w:after="0"/>
            </w:pPr>
            <w:r w:rsidRPr="00731730">
              <w:lastRenderedPageBreak/>
              <w:t>Choi 2010</w:t>
            </w:r>
          </w:p>
        </w:tc>
        <w:tc>
          <w:tcPr>
            <w:tcW w:w="231" w:type="pct"/>
            <w:shd w:val="clear" w:color="auto" w:fill="auto"/>
            <w:vAlign w:val="center"/>
          </w:tcPr>
          <w:p w14:paraId="26FB3315" w14:textId="77777777" w:rsidR="00731730" w:rsidRPr="00731730" w:rsidRDefault="00731730" w:rsidP="00A930B3">
            <w:pPr>
              <w:pStyle w:val="Tabletextcentred"/>
              <w:spacing w:before="0" w:after="0"/>
            </w:pPr>
            <w:r w:rsidRPr="00731730">
              <w:t>27</w:t>
            </w:r>
          </w:p>
        </w:tc>
        <w:tc>
          <w:tcPr>
            <w:tcW w:w="1317" w:type="pct"/>
            <w:shd w:val="clear" w:color="auto" w:fill="auto"/>
            <w:vAlign w:val="center"/>
          </w:tcPr>
          <w:p w14:paraId="0DE36DBF" w14:textId="77777777" w:rsidR="00731730" w:rsidRPr="00731730" w:rsidRDefault="00731730" w:rsidP="00A930B3">
            <w:pPr>
              <w:pStyle w:val="Tabletextcentred"/>
              <w:spacing w:before="0" w:after="0"/>
            </w:pPr>
            <w:r w:rsidRPr="00731730">
              <w:t>Cohort study with sleep lab setting for PSG and one month later hospital-based setting for HSAT/PAT</w:t>
            </w:r>
          </w:p>
        </w:tc>
        <w:tc>
          <w:tcPr>
            <w:tcW w:w="412" w:type="pct"/>
            <w:shd w:val="clear" w:color="auto" w:fill="auto"/>
            <w:vAlign w:val="center"/>
          </w:tcPr>
          <w:p w14:paraId="68F5E5F1" w14:textId="77777777" w:rsidR="00731730" w:rsidRPr="00731730" w:rsidRDefault="00731730" w:rsidP="00A930B3">
            <w:pPr>
              <w:pStyle w:val="Tabletextcentred"/>
              <w:spacing w:before="0" w:after="0"/>
              <w:rPr>
                <w:i/>
                <w:iCs/>
              </w:rPr>
            </w:pPr>
            <w:r w:rsidRPr="00731730">
              <w:rPr>
                <w:i/>
                <w:iCs/>
              </w:rPr>
              <w:t>Unclear</w:t>
            </w:r>
          </w:p>
        </w:tc>
        <w:tc>
          <w:tcPr>
            <w:tcW w:w="982" w:type="pct"/>
            <w:shd w:val="clear" w:color="auto" w:fill="auto"/>
            <w:vAlign w:val="center"/>
          </w:tcPr>
          <w:p w14:paraId="3C83392D" w14:textId="77777777" w:rsidR="00731730" w:rsidRPr="00731730" w:rsidRDefault="00731730" w:rsidP="00A930B3">
            <w:pPr>
              <w:pStyle w:val="Tabletextcentred"/>
              <w:spacing w:before="0" w:after="0"/>
            </w:pPr>
            <w:r w:rsidRPr="00731730">
              <w:t>Adults with suspected OSA</w:t>
            </w:r>
          </w:p>
        </w:tc>
        <w:tc>
          <w:tcPr>
            <w:tcW w:w="985" w:type="pct"/>
            <w:shd w:val="clear" w:color="auto" w:fill="auto"/>
            <w:vAlign w:val="center"/>
          </w:tcPr>
          <w:p w14:paraId="11353909" w14:textId="77777777" w:rsidR="00731730" w:rsidRPr="00731730" w:rsidRDefault="00731730" w:rsidP="00A930B3">
            <w:pPr>
              <w:pStyle w:val="Tabletextcentred"/>
              <w:spacing w:before="0" w:after="0"/>
            </w:pPr>
            <w:r w:rsidRPr="00731730">
              <w:t>AHI, LSAT: correlation</w:t>
            </w:r>
          </w:p>
        </w:tc>
        <w:tc>
          <w:tcPr>
            <w:tcW w:w="456" w:type="pct"/>
            <w:shd w:val="clear" w:color="auto" w:fill="auto"/>
            <w:vAlign w:val="center"/>
          </w:tcPr>
          <w:p w14:paraId="41D9BEE6" w14:textId="77777777" w:rsidR="00731730" w:rsidRPr="00731730" w:rsidRDefault="00731730" w:rsidP="00A930B3">
            <w:pPr>
              <w:pStyle w:val="Tabletextcentred"/>
              <w:spacing w:before="0" w:after="0"/>
            </w:pPr>
            <w:r w:rsidRPr="00731730">
              <w:t>Yes</w:t>
            </w:r>
          </w:p>
        </w:tc>
      </w:tr>
      <w:tr w:rsidR="00731730" w:rsidRPr="00731730" w14:paraId="774FFCDE" w14:textId="77777777" w:rsidTr="00731730">
        <w:tc>
          <w:tcPr>
            <w:tcW w:w="617" w:type="pct"/>
            <w:shd w:val="clear" w:color="auto" w:fill="auto"/>
            <w:vAlign w:val="center"/>
          </w:tcPr>
          <w:p w14:paraId="37E4F6FF" w14:textId="77777777" w:rsidR="00731730" w:rsidRPr="00731730" w:rsidRDefault="00731730" w:rsidP="00A930B3">
            <w:pPr>
              <w:pStyle w:val="Tabletextcentred"/>
              <w:spacing w:before="0" w:after="0"/>
            </w:pPr>
            <w:r w:rsidRPr="00731730">
              <w:t>Gan 2017</w:t>
            </w:r>
          </w:p>
        </w:tc>
        <w:tc>
          <w:tcPr>
            <w:tcW w:w="231" w:type="pct"/>
            <w:shd w:val="clear" w:color="auto" w:fill="auto"/>
            <w:vAlign w:val="center"/>
          </w:tcPr>
          <w:p w14:paraId="65E454A0" w14:textId="77777777" w:rsidR="00731730" w:rsidRPr="00731730" w:rsidRDefault="00731730" w:rsidP="00A930B3">
            <w:pPr>
              <w:pStyle w:val="Tabletextcentred"/>
              <w:spacing w:before="0" w:after="0"/>
            </w:pPr>
            <w:r w:rsidRPr="00731730">
              <w:t>20</w:t>
            </w:r>
          </w:p>
        </w:tc>
        <w:tc>
          <w:tcPr>
            <w:tcW w:w="1317" w:type="pct"/>
            <w:shd w:val="clear" w:color="auto" w:fill="auto"/>
            <w:vAlign w:val="center"/>
          </w:tcPr>
          <w:p w14:paraId="038F5C9D" w14:textId="77777777" w:rsidR="00731730" w:rsidRPr="00731730" w:rsidRDefault="00731730" w:rsidP="00A930B3">
            <w:pPr>
              <w:pStyle w:val="Tabletextcentred"/>
              <w:spacing w:before="0" w:after="0"/>
            </w:pPr>
            <w:r w:rsidRPr="00731730">
              <w:t>Cohort study with simultaneous application; hospital sleep lab setting</w:t>
            </w:r>
          </w:p>
        </w:tc>
        <w:tc>
          <w:tcPr>
            <w:tcW w:w="412" w:type="pct"/>
            <w:shd w:val="clear" w:color="auto" w:fill="auto"/>
            <w:vAlign w:val="center"/>
          </w:tcPr>
          <w:p w14:paraId="2DE0A863" w14:textId="77777777" w:rsidR="00731730" w:rsidRPr="00731730" w:rsidRDefault="00731730" w:rsidP="00A930B3">
            <w:pPr>
              <w:pStyle w:val="Tabletextcentred"/>
              <w:spacing w:before="0" w:after="0"/>
            </w:pPr>
            <w:r w:rsidRPr="00731730">
              <w:t>Unclear</w:t>
            </w:r>
          </w:p>
        </w:tc>
        <w:tc>
          <w:tcPr>
            <w:tcW w:w="982" w:type="pct"/>
            <w:shd w:val="clear" w:color="auto" w:fill="auto"/>
            <w:vAlign w:val="center"/>
          </w:tcPr>
          <w:p w14:paraId="1EA89E08" w14:textId="77777777" w:rsidR="00731730" w:rsidRPr="00731730" w:rsidRDefault="00731730" w:rsidP="00A930B3">
            <w:pPr>
              <w:pStyle w:val="Tabletextcentred"/>
              <w:spacing w:before="0" w:after="0"/>
            </w:pPr>
            <w:r w:rsidRPr="00731730">
              <w:t>Adults with suspected OSA</w:t>
            </w:r>
          </w:p>
        </w:tc>
        <w:tc>
          <w:tcPr>
            <w:tcW w:w="985" w:type="pct"/>
            <w:shd w:val="clear" w:color="auto" w:fill="auto"/>
            <w:vAlign w:val="center"/>
          </w:tcPr>
          <w:p w14:paraId="45C357FF" w14:textId="77777777" w:rsidR="00731730" w:rsidRPr="00731730" w:rsidRDefault="00731730" w:rsidP="00A930B3">
            <w:pPr>
              <w:pStyle w:val="Tabletextcentred"/>
              <w:spacing w:before="0" w:after="0"/>
            </w:pPr>
            <w:r w:rsidRPr="00731730">
              <w:t>AHI: correlation, sensitivity, specificity</w:t>
            </w:r>
          </w:p>
        </w:tc>
        <w:tc>
          <w:tcPr>
            <w:tcW w:w="456" w:type="pct"/>
            <w:shd w:val="clear" w:color="auto" w:fill="auto"/>
            <w:vAlign w:val="center"/>
          </w:tcPr>
          <w:p w14:paraId="7213A93A" w14:textId="77777777" w:rsidR="00731730" w:rsidRPr="00731730" w:rsidRDefault="00731730" w:rsidP="00A930B3">
            <w:pPr>
              <w:pStyle w:val="Tabletextcentred"/>
              <w:spacing w:before="0" w:after="0"/>
            </w:pPr>
            <w:r w:rsidRPr="00731730">
              <w:t>Yes</w:t>
            </w:r>
          </w:p>
        </w:tc>
      </w:tr>
      <w:tr w:rsidR="00731730" w:rsidRPr="00731730" w14:paraId="390B4593" w14:textId="77777777" w:rsidTr="00731730">
        <w:tc>
          <w:tcPr>
            <w:tcW w:w="617" w:type="pct"/>
            <w:shd w:val="clear" w:color="auto" w:fill="auto"/>
            <w:vAlign w:val="center"/>
          </w:tcPr>
          <w:p w14:paraId="52A4D8F1" w14:textId="77777777" w:rsidR="00731730" w:rsidRPr="00731730" w:rsidRDefault="00731730" w:rsidP="00A930B3">
            <w:pPr>
              <w:pStyle w:val="Tabletextcentred"/>
              <w:spacing w:before="0" w:after="0"/>
            </w:pPr>
            <w:r w:rsidRPr="00731730">
              <w:t>Garg 2014</w:t>
            </w:r>
          </w:p>
        </w:tc>
        <w:tc>
          <w:tcPr>
            <w:tcW w:w="231" w:type="pct"/>
            <w:shd w:val="clear" w:color="auto" w:fill="auto"/>
            <w:vAlign w:val="center"/>
          </w:tcPr>
          <w:p w14:paraId="19237EFA" w14:textId="77777777" w:rsidR="00731730" w:rsidRPr="00731730" w:rsidRDefault="00731730" w:rsidP="00A930B3">
            <w:pPr>
              <w:pStyle w:val="Tabletextcentred"/>
              <w:spacing w:before="0" w:after="0"/>
            </w:pPr>
            <w:r w:rsidRPr="00731730">
              <w:t>75</w:t>
            </w:r>
          </w:p>
        </w:tc>
        <w:tc>
          <w:tcPr>
            <w:tcW w:w="1317" w:type="pct"/>
            <w:shd w:val="clear" w:color="auto" w:fill="auto"/>
            <w:vAlign w:val="center"/>
          </w:tcPr>
          <w:p w14:paraId="01CB061B" w14:textId="77777777" w:rsidR="00731730" w:rsidRPr="00731730" w:rsidRDefault="00731730" w:rsidP="00A930B3">
            <w:pPr>
              <w:pStyle w:val="Tabletextcentred"/>
              <w:spacing w:before="0" w:after="0"/>
            </w:pPr>
            <w:r w:rsidRPr="00731730">
              <w:t>Randomised crossover study with sleep lab PSG and simultaneous sleep lab HSAT/PAT and home HSAT/PAT within 4 days of each other</w:t>
            </w:r>
          </w:p>
        </w:tc>
        <w:tc>
          <w:tcPr>
            <w:tcW w:w="412" w:type="pct"/>
            <w:shd w:val="clear" w:color="auto" w:fill="auto"/>
            <w:vAlign w:val="center"/>
          </w:tcPr>
          <w:p w14:paraId="64B5DFA5" w14:textId="77777777" w:rsidR="00731730" w:rsidRPr="00731730" w:rsidRDefault="00731730" w:rsidP="00A930B3">
            <w:pPr>
              <w:pStyle w:val="Tabletextcentred"/>
              <w:spacing w:before="0" w:after="0"/>
            </w:pPr>
            <w:r w:rsidRPr="00731730">
              <w:t>Unclear</w:t>
            </w:r>
          </w:p>
        </w:tc>
        <w:tc>
          <w:tcPr>
            <w:tcW w:w="982" w:type="pct"/>
            <w:shd w:val="clear" w:color="auto" w:fill="auto"/>
            <w:vAlign w:val="center"/>
          </w:tcPr>
          <w:p w14:paraId="3051B2BB" w14:textId="77777777" w:rsidR="00731730" w:rsidRPr="00731730" w:rsidRDefault="00731730" w:rsidP="00A930B3">
            <w:pPr>
              <w:pStyle w:val="Tabletextcentred"/>
              <w:spacing w:before="0" w:after="0"/>
            </w:pPr>
            <w:r w:rsidRPr="00731730">
              <w:t>Adults at high risk of OSA</w:t>
            </w:r>
          </w:p>
        </w:tc>
        <w:tc>
          <w:tcPr>
            <w:tcW w:w="985" w:type="pct"/>
            <w:shd w:val="clear" w:color="auto" w:fill="auto"/>
            <w:vAlign w:val="center"/>
          </w:tcPr>
          <w:p w14:paraId="49428F18" w14:textId="77777777" w:rsidR="00731730" w:rsidRPr="00731730" w:rsidRDefault="00731730" w:rsidP="00A930B3">
            <w:pPr>
              <w:pStyle w:val="Tabletextcentred"/>
              <w:spacing w:before="0" w:after="0"/>
            </w:pPr>
            <w:r w:rsidRPr="00731730">
              <w:t>AHI: correlation, sensitivity, specificity, PPV, NPV</w:t>
            </w:r>
          </w:p>
        </w:tc>
        <w:tc>
          <w:tcPr>
            <w:tcW w:w="456" w:type="pct"/>
            <w:shd w:val="clear" w:color="auto" w:fill="auto"/>
            <w:vAlign w:val="center"/>
          </w:tcPr>
          <w:p w14:paraId="1978596C" w14:textId="77777777" w:rsidR="00731730" w:rsidRPr="00731730" w:rsidRDefault="00731730" w:rsidP="00A930B3">
            <w:pPr>
              <w:pStyle w:val="Tabletextcentred"/>
              <w:spacing w:before="0" w:after="0"/>
            </w:pPr>
            <w:r w:rsidRPr="00731730">
              <w:t>Yes</w:t>
            </w:r>
          </w:p>
        </w:tc>
      </w:tr>
      <w:tr w:rsidR="00731730" w:rsidRPr="00731730" w14:paraId="3EA325F1" w14:textId="77777777" w:rsidTr="00731730">
        <w:tc>
          <w:tcPr>
            <w:tcW w:w="617" w:type="pct"/>
            <w:shd w:val="clear" w:color="auto" w:fill="auto"/>
            <w:vAlign w:val="center"/>
          </w:tcPr>
          <w:p w14:paraId="0078DADE" w14:textId="77777777" w:rsidR="00731730" w:rsidRPr="00731730" w:rsidRDefault="00731730" w:rsidP="00A930B3">
            <w:pPr>
              <w:pStyle w:val="Tabletextcentred"/>
              <w:spacing w:before="0" w:after="0"/>
            </w:pPr>
            <w:r w:rsidRPr="00731730">
              <w:t>Hedner 2004</w:t>
            </w:r>
          </w:p>
        </w:tc>
        <w:tc>
          <w:tcPr>
            <w:tcW w:w="231" w:type="pct"/>
            <w:shd w:val="clear" w:color="auto" w:fill="auto"/>
            <w:vAlign w:val="center"/>
          </w:tcPr>
          <w:p w14:paraId="37712E8C" w14:textId="77777777" w:rsidR="00731730" w:rsidRPr="00731730" w:rsidRDefault="00731730" w:rsidP="00A930B3">
            <w:pPr>
              <w:pStyle w:val="Tabletextcentred"/>
              <w:spacing w:before="0" w:after="0"/>
            </w:pPr>
            <w:r w:rsidRPr="00731730">
              <w:t>228</w:t>
            </w:r>
          </w:p>
        </w:tc>
        <w:tc>
          <w:tcPr>
            <w:tcW w:w="1317" w:type="pct"/>
            <w:shd w:val="clear" w:color="auto" w:fill="auto"/>
            <w:vAlign w:val="center"/>
          </w:tcPr>
          <w:p w14:paraId="0C1377AC" w14:textId="77777777" w:rsidR="00731730" w:rsidRPr="00731730" w:rsidRDefault="00731730" w:rsidP="00A930B3">
            <w:pPr>
              <w:pStyle w:val="Tabletextcentred"/>
              <w:spacing w:before="0" w:after="0"/>
            </w:pPr>
            <w:r w:rsidRPr="00731730">
              <w:t>Cohort study with simultaneous application; hospital sleep lab setting for 2 cohorts and home setting for 1 cohort</w:t>
            </w:r>
          </w:p>
        </w:tc>
        <w:tc>
          <w:tcPr>
            <w:tcW w:w="412" w:type="pct"/>
            <w:shd w:val="clear" w:color="auto" w:fill="auto"/>
            <w:vAlign w:val="center"/>
          </w:tcPr>
          <w:p w14:paraId="61E2B303" w14:textId="77777777" w:rsidR="00731730" w:rsidRPr="00731730" w:rsidRDefault="00731730" w:rsidP="00A930B3">
            <w:pPr>
              <w:pStyle w:val="Tabletextcentred"/>
              <w:spacing w:before="0" w:after="0"/>
            </w:pPr>
            <w:r w:rsidRPr="00731730">
              <w:t>Unclear</w:t>
            </w:r>
          </w:p>
        </w:tc>
        <w:tc>
          <w:tcPr>
            <w:tcW w:w="982" w:type="pct"/>
            <w:shd w:val="clear" w:color="auto" w:fill="auto"/>
            <w:vAlign w:val="center"/>
          </w:tcPr>
          <w:p w14:paraId="50FA5667" w14:textId="77777777" w:rsidR="00731730" w:rsidRPr="00731730" w:rsidRDefault="00731730" w:rsidP="00A930B3">
            <w:pPr>
              <w:pStyle w:val="Tabletextcentred"/>
              <w:spacing w:before="0" w:after="0"/>
            </w:pPr>
            <w:r w:rsidRPr="00731730">
              <w:t>Adults with suspected OSA and normal volunteers</w:t>
            </w:r>
          </w:p>
        </w:tc>
        <w:tc>
          <w:tcPr>
            <w:tcW w:w="985" w:type="pct"/>
            <w:shd w:val="clear" w:color="auto" w:fill="auto"/>
            <w:vAlign w:val="center"/>
          </w:tcPr>
          <w:p w14:paraId="2ED17EDE" w14:textId="77777777" w:rsidR="00731730" w:rsidRPr="00731730" w:rsidRDefault="00731730" w:rsidP="00A930B3">
            <w:pPr>
              <w:pStyle w:val="Tabletextcentred"/>
              <w:spacing w:before="0" w:after="0"/>
            </w:pPr>
            <w:r w:rsidRPr="00731730">
              <w:t>RDI: sensitivity, specificity, agreement</w:t>
            </w:r>
          </w:p>
        </w:tc>
        <w:tc>
          <w:tcPr>
            <w:tcW w:w="456" w:type="pct"/>
            <w:shd w:val="clear" w:color="auto" w:fill="auto"/>
            <w:vAlign w:val="center"/>
          </w:tcPr>
          <w:p w14:paraId="35FCCF22" w14:textId="77777777" w:rsidR="00731730" w:rsidRPr="00731730" w:rsidRDefault="00731730" w:rsidP="00A930B3">
            <w:pPr>
              <w:pStyle w:val="Tabletextcentred"/>
              <w:spacing w:before="0" w:after="0"/>
            </w:pPr>
            <w:r w:rsidRPr="00731730">
              <w:t>No</w:t>
            </w:r>
          </w:p>
        </w:tc>
      </w:tr>
      <w:tr w:rsidR="00731730" w:rsidRPr="00731730" w14:paraId="5A1A1020" w14:textId="77777777" w:rsidTr="00731730">
        <w:tc>
          <w:tcPr>
            <w:tcW w:w="617" w:type="pct"/>
            <w:shd w:val="clear" w:color="auto" w:fill="auto"/>
            <w:vAlign w:val="center"/>
          </w:tcPr>
          <w:p w14:paraId="13F3592F" w14:textId="77777777" w:rsidR="00731730" w:rsidRPr="00731730" w:rsidRDefault="00731730" w:rsidP="00A930B3">
            <w:pPr>
              <w:pStyle w:val="Tabletextcentred"/>
              <w:spacing w:before="0" w:after="0"/>
            </w:pPr>
            <w:r w:rsidRPr="00731730">
              <w:t>Ioachimescu 2020</w:t>
            </w:r>
          </w:p>
        </w:tc>
        <w:tc>
          <w:tcPr>
            <w:tcW w:w="231" w:type="pct"/>
            <w:shd w:val="clear" w:color="auto" w:fill="auto"/>
            <w:vAlign w:val="center"/>
          </w:tcPr>
          <w:p w14:paraId="79B11040" w14:textId="77777777" w:rsidR="00731730" w:rsidRPr="00731730" w:rsidRDefault="00731730" w:rsidP="00A930B3">
            <w:pPr>
              <w:pStyle w:val="Tabletextcentred"/>
              <w:spacing w:before="0" w:after="0"/>
            </w:pPr>
            <w:r w:rsidRPr="00731730">
              <w:t>500</w:t>
            </w:r>
          </w:p>
        </w:tc>
        <w:tc>
          <w:tcPr>
            <w:tcW w:w="1317" w:type="pct"/>
            <w:shd w:val="clear" w:color="auto" w:fill="auto"/>
            <w:vAlign w:val="center"/>
          </w:tcPr>
          <w:p w14:paraId="18C95F96" w14:textId="77777777" w:rsidR="00731730" w:rsidRPr="00731730" w:rsidRDefault="00731730" w:rsidP="00A930B3">
            <w:pPr>
              <w:pStyle w:val="Tabletextcentred"/>
              <w:spacing w:before="0" w:after="0"/>
            </w:pPr>
            <w:r w:rsidRPr="00731730">
              <w:t>Cohort study with simultaneous application; sleep lab setting</w:t>
            </w:r>
          </w:p>
        </w:tc>
        <w:tc>
          <w:tcPr>
            <w:tcW w:w="412" w:type="pct"/>
            <w:shd w:val="clear" w:color="auto" w:fill="auto"/>
            <w:vAlign w:val="center"/>
          </w:tcPr>
          <w:p w14:paraId="0064CC8C" w14:textId="77777777" w:rsidR="00731730" w:rsidRPr="00731730" w:rsidRDefault="00731730" w:rsidP="00A930B3">
            <w:pPr>
              <w:pStyle w:val="Tabletextcentred"/>
              <w:spacing w:before="0" w:after="0"/>
            </w:pPr>
            <w:r w:rsidRPr="00731730">
              <w:t>Low</w:t>
            </w:r>
          </w:p>
        </w:tc>
        <w:tc>
          <w:tcPr>
            <w:tcW w:w="982" w:type="pct"/>
            <w:shd w:val="clear" w:color="auto" w:fill="auto"/>
            <w:vAlign w:val="center"/>
          </w:tcPr>
          <w:p w14:paraId="3607BC2D" w14:textId="77777777" w:rsidR="00731730" w:rsidRPr="00731730" w:rsidRDefault="00731730" w:rsidP="00A930B3">
            <w:pPr>
              <w:pStyle w:val="Tabletextcentred"/>
              <w:spacing w:before="0" w:after="0"/>
            </w:pPr>
            <w:r w:rsidRPr="00731730">
              <w:t>Adults with suspected OSA</w:t>
            </w:r>
          </w:p>
        </w:tc>
        <w:tc>
          <w:tcPr>
            <w:tcW w:w="985" w:type="pct"/>
            <w:shd w:val="clear" w:color="auto" w:fill="auto"/>
            <w:vAlign w:val="center"/>
          </w:tcPr>
          <w:p w14:paraId="61CACF5B" w14:textId="77777777" w:rsidR="00731730" w:rsidRPr="00731730" w:rsidRDefault="00731730" w:rsidP="00A930B3">
            <w:pPr>
              <w:pStyle w:val="Tabletextcentred"/>
              <w:spacing w:before="0" w:after="0"/>
            </w:pPr>
            <w:r w:rsidRPr="00731730">
              <w:t>AHI: correlation</w:t>
            </w:r>
          </w:p>
        </w:tc>
        <w:tc>
          <w:tcPr>
            <w:tcW w:w="456" w:type="pct"/>
            <w:shd w:val="clear" w:color="auto" w:fill="auto"/>
            <w:vAlign w:val="center"/>
          </w:tcPr>
          <w:p w14:paraId="3C81C973" w14:textId="77777777" w:rsidR="00731730" w:rsidRPr="00731730" w:rsidRDefault="00731730" w:rsidP="00A930B3">
            <w:pPr>
              <w:pStyle w:val="Tabletextcentred"/>
              <w:spacing w:before="0" w:after="0"/>
            </w:pPr>
            <w:r w:rsidRPr="00731730">
              <w:t>Yes</w:t>
            </w:r>
          </w:p>
        </w:tc>
      </w:tr>
      <w:tr w:rsidR="00731730" w:rsidRPr="00731730" w14:paraId="327D9E65" w14:textId="77777777" w:rsidTr="00731730">
        <w:tc>
          <w:tcPr>
            <w:tcW w:w="617" w:type="pct"/>
            <w:shd w:val="clear" w:color="auto" w:fill="auto"/>
            <w:vAlign w:val="center"/>
          </w:tcPr>
          <w:p w14:paraId="34E9832D" w14:textId="77777777" w:rsidR="00731730" w:rsidRPr="00731730" w:rsidRDefault="00731730" w:rsidP="00A930B3">
            <w:pPr>
              <w:pStyle w:val="Tabletextcentred"/>
              <w:spacing w:before="0" w:after="0"/>
            </w:pPr>
            <w:r w:rsidRPr="00731730">
              <w:t>Kasai 2020</w:t>
            </w:r>
          </w:p>
        </w:tc>
        <w:tc>
          <w:tcPr>
            <w:tcW w:w="231" w:type="pct"/>
            <w:shd w:val="clear" w:color="auto" w:fill="auto"/>
            <w:vAlign w:val="center"/>
          </w:tcPr>
          <w:p w14:paraId="7D5A303B" w14:textId="77777777" w:rsidR="00731730" w:rsidRPr="00731730" w:rsidRDefault="00731730" w:rsidP="00A930B3">
            <w:pPr>
              <w:pStyle w:val="Tabletextcentred"/>
              <w:spacing w:before="0" w:after="0"/>
            </w:pPr>
            <w:r w:rsidRPr="00731730">
              <w:t>120</w:t>
            </w:r>
          </w:p>
        </w:tc>
        <w:tc>
          <w:tcPr>
            <w:tcW w:w="1317" w:type="pct"/>
            <w:shd w:val="clear" w:color="auto" w:fill="auto"/>
            <w:vAlign w:val="center"/>
          </w:tcPr>
          <w:p w14:paraId="07F9544D" w14:textId="77777777" w:rsidR="00731730" w:rsidRPr="00731730" w:rsidRDefault="00731730" w:rsidP="00A930B3">
            <w:pPr>
              <w:pStyle w:val="Tabletextcentred"/>
              <w:spacing w:before="0" w:after="0"/>
            </w:pPr>
            <w:r w:rsidRPr="00731730">
              <w:t>Cohort study with simultaneous application; hospital sleep lab setting</w:t>
            </w:r>
          </w:p>
        </w:tc>
        <w:tc>
          <w:tcPr>
            <w:tcW w:w="412" w:type="pct"/>
            <w:shd w:val="clear" w:color="auto" w:fill="auto"/>
            <w:vAlign w:val="center"/>
          </w:tcPr>
          <w:p w14:paraId="0323D409" w14:textId="77777777" w:rsidR="00731730" w:rsidRPr="00731730" w:rsidRDefault="00731730" w:rsidP="00A930B3">
            <w:pPr>
              <w:pStyle w:val="Tabletextcentred"/>
              <w:spacing w:before="0" w:after="0"/>
            </w:pPr>
            <w:r w:rsidRPr="00731730">
              <w:t>Low</w:t>
            </w:r>
          </w:p>
        </w:tc>
        <w:tc>
          <w:tcPr>
            <w:tcW w:w="982" w:type="pct"/>
            <w:shd w:val="clear" w:color="auto" w:fill="auto"/>
            <w:vAlign w:val="center"/>
          </w:tcPr>
          <w:p w14:paraId="108A0A61" w14:textId="77777777" w:rsidR="00731730" w:rsidRPr="00731730" w:rsidRDefault="00731730" w:rsidP="00A930B3">
            <w:pPr>
              <w:pStyle w:val="Tabletextcentred"/>
              <w:spacing w:before="0" w:after="0"/>
            </w:pPr>
            <w:r w:rsidRPr="00731730">
              <w:t>Adults with suspected SDB</w:t>
            </w:r>
          </w:p>
        </w:tc>
        <w:tc>
          <w:tcPr>
            <w:tcW w:w="985" w:type="pct"/>
            <w:shd w:val="clear" w:color="auto" w:fill="auto"/>
            <w:vAlign w:val="center"/>
          </w:tcPr>
          <w:p w14:paraId="1ABCEC0E" w14:textId="77777777" w:rsidR="00731730" w:rsidRPr="00731730" w:rsidRDefault="00731730" w:rsidP="00A930B3">
            <w:pPr>
              <w:pStyle w:val="Tabletextcentred"/>
              <w:spacing w:before="0" w:after="0"/>
            </w:pPr>
            <w:r w:rsidRPr="00731730">
              <w:t>AHI: correlation, sensitivity, specificity</w:t>
            </w:r>
          </w:p>
        </w:tc>
        <w:tc>
          <w:tcPr>
            <w:tcW w:w="456" w:type="pct"/>
            <w:shd w:val="clear" w:color="auto" w:fill="auto"/>
            <w:vAlign w:val="center"/>
          </w:tcPr>
          <w:p w14:paraId="5CB8A422" w14:textId="77777777" w:rsidR="00731730" w:rsidRPr="00731730" w:rsidRDefault="00731730" w:rsidP="00A930B3">
            <w:pPr>
              <w:pStyle w:val="Tabletextcentred"/>
              <w:spacing w:before="0" w:after="0"/>
            </w:pPr>
            <w:r w:rsidRPr="00731730">
              <w:t>Yes</w:t>
            </w:r>
          </w:p>
        </w:tc>
      </w:tr>
      <w:tr w:rsidR="00731730" w:rsidRPr="00731730" w14:paraId="720D1258" w14:textId="77777777" w:rsidTr="00731730">
        <w:tc>
          <w:tcPr>
            <w:tcW w:w="617" w:type="pct"/>
            <w:shd w:val="clear" w:color="auto" w:fill="auto"/>
            <w:vAlign w:val="center"/>
          </w:tcPr>
          <w:p w14:paraId="18324DB4" w14:textId="77777777" w:rsidR="00731730" w:rsidRPr="00731730" w:rsidRDefault="00731730" w:rsidP="00A930B3">
            <w:pPr>
              <w:pStyle w:val="Tabletextcentred"/>
              <w:spacing w:before="0" w:after="0"/>
            </w:pPr>
            <w:r w:rsidRPr="00731730">
              <w:t>Körkuyu 2015</w:t>
            </w:r>
          </w:p>
        </w:tc>
        <w:tc>
          <w:tcPr>
            <w:tcW w:w="231" w:type="pct"/>
            <w:shd w:val="clear" w:color="auto" w:fill="auto"/>
            <w:vAlign w:val="center"/>
          </w:tcPr>
          <w:p w14:paraId="5CDBB107" w14:textId="77777777" w:rsidR="00731730" w:rsidRPr="00731730" w:rsidRDefault="00731730" w:rsidP="00A930B3">
            <w:pPr>
              <w:pStyle w:val="Tabletextcentred"/>
              <w:spacing w:before="0" w:after="0"/>
            </w:pPr>
            <w:r w:rsidRPr="00731730">
              <w:t>30</w:t>
            </w:r>
          </w:p>
        </w:tc>
        <w:tc>
          <w:tcPr>
            <w:tcW w:w="1317" w:type="pct"/>
            <w:shd w:val="clear" w:color="auto" w:fill="auto"/>
            <w:vAlign w:val="center"/>
          </w:tcPr>
          <w:p w14:paraId="7323540C" w14:textId="77777777" w:rsidR="00731730" w:rsidRPr="00731730" w:rsidRDefault="00731730" w:rsidP="00A930B3">
            <w:pPr>
              <w:pStyle w:val="Tabletextcentred"/>
              <w:spacing w:before="0" w:after="0"/>
            </w:pPr>
            <w:r w:rsidRPr="00731730">
              <w:t>Cohort study with simultaneous application; hospital sleep lab setting</w:t>
            </w:r>
          </w:p>
        </w:tc>
        <w:tc>
          <w:tcPr>
            <w:tcW w:w="412" w:type="pct"/>
            <w:shd w:val="clear" w:color="auto" w:fill="auto"/>
            <w:vAlign w:val="center"/>
          </w:tcPr>
          <w:p w14:paraId="2D5C4FE4" w14:textId="77777777" w:rsidR="00731730" w:rsidRPr="00731730" w:rsidRDefault="00731730" w:rsidP="00A930B3">
            <w:pPr>
              <w:pStyle w:val="Tabletextcentred"/>
              <w:spacing w:before="0" w:after="0"/>
            </w:pPr>
            <w:r w:rsidRPr="00731730">
              <w:t>Low</w:t>
            </w:r>
          </w:p>
        </w:tc>
        <w:tc>
          <w:tcPr>
            <w:tcW w:w="982" w:type="pct"/>
            <w:shd w:val="clear" w:color="auto" w:fill="auto"/>
            <w:vAlign w:val="center"/>
          </w:tcPr>
          <w:p w14:paraId="4971974C" w14:textId="77777777" w:rsidR="00731730" w:rsidRPr="00731730" w:rsidRDefault="00731730" w:rsidP="00A930B3">
            <w:pPr>
              <w:pStyle w:val="Tabletextcentred"/>
              <w:spacing w:before="0" w:after="0"/>
            </w:pPr>
            <w:r w:rsidRPr="00731730">
              <w:t>Adults with preliminary OSA diagnosis</w:t>
            </w:r>
          </w:p>
        </w:tc>
        <w:tc>
          <w:tcPr>
            <w:tcW w:w="985" w:type="pct"/>
            <w:shd w:val="clear" w:color="auto" w:fill="auto"/>
            <w:vAlign w:val="center"/>
          </w:tcPr>
          <w:p w14:paraId="25C624AA" w14:textId="77777777" w:rsidR="00731730" w:rsidRPr="00731730" w:rsidRDefault="00731730" w:rsidP="00A930B3">
            <w:pPr>
              <w:pStyle w:val="Tabletextcentred"/>
              <w:spacing w:before="0" w:after="0"/>
            </w:pPr>
            <w:r w:rsidRPr="00731730">
              <w:t>AHI, ODI: correlation</w:t>
            </w:r>
          </w:p>
        </w:tc>
        <w:tc>
          <w:tcPr>
            <w:tcW w:w="456" w:type="pct"/>
            <w:shd w:val="clear" w:color="auto" w:fill="auto"/>
            <w:vAlign w:val="center"/>
          </w:tcPr>
          <w:p w14:paraId="3D79505F" w14:textId="77777777" w:rsidR="00731730" w:rsidRPr="00731730" w:rsidRDefault="00731730" w:rsidP="00A930B3">
            <w:pPr>
              <w:pStyle w:val="Tabletextcentred"/>
              <w:spacing w:before="0" w:after="0"/>
            </w:pPr>
            <w:r w:rsidRPr="00731730">
              <w:t>Yes</w:t>
            </w:r>
          </w:p>
        </w:tc>
      </w:tr>
      <w:tr w:rsidR="00731730" w:rsidRPr="00731730" w14:paraId="39BDB517" w14:textId="77777777" w:rsidTr="00731730">
        <w:tc>
          <w:tcPr>
            <w:tcW w:w="617" w:type="pct"/>
            <w:shd w:val="clear" w:color="auto" w:fill="auto"/>
            <w:vAlign w:val="center"/>
          </w:tcPr>
          <w:p w14:paraId="7A859EE5" w14:textId="77777777" w:rsidR="00731730" w:rsidRPr="00731730" w:rsidRDefault="00731730" w:rsidP="00A930B3">
            <w:pPr>
              <w:pStyle w:val="Tabletextcentred"/>
              <w:spacing w:before="0" w:after="0"/>
            </w:pPr>
            <w:r w:rsidRPr="00731730">
              <w:t>Onder 2012</w:t>
            </w:r>
          </w:p>
        </w:tc>
        <w:tc>
          <w:tcPr>
            <w:tcW w:w="231" w:type="pct"/>
            <w:shd w:val="clear" w:color="auto" w:fill="auto"/>
            <w:vAlign w:val="center"/>
          </w:tcPr>
          <w:p w14:paraId="732DAACE" w14:textId="77777777" w:rsidR="00731730" w:rsidRPr="00731730" w:rsidRDefault="00731730" w:rsidP="00A930B3">
            <w:pPr>
              <w:pStyle w:val="Tabletextcentred"/>
              <w:spacing w:before="0" w:after="0"/>
            </w:pPr>
            <w:r w:rsidRPr="00731730">
              <w:t>56</w:t>
            </w:r>
          </w:p>
        </w:tc>
        <w:tc>
          <w:tcPr>
            <w:tcW w:w="1317" w:type="pct"/>
            <w:shd w:val="clear" w:color="auto" w:fill="auto"/>
            <w:vAlign w:val="center"/>
          </w:tcPr>
          <w:p w14:paraId="39FE852A" w14:textId="77777777" w:rsidR="00731730" w:rsidRPr="00731730" w:rsidRDefault="00731730" w:rsidP="00A930B3">
            <w:pPr>
              <w:pStyle w:val="Tabletextcentred"/>
              <w:spacing w:before="0" w:after="0"/>
            </w:pPr>
            <w:r w:rsidRPr="00731730">
              <w:t>Cohort study with simultaneous application; sleep lab setting</w:t>
            </w:r>
          </w:p>
        </w:tc>
        <w:tc>
          <w:tcPr>
            <w:tcW w:w="412" w:type="pct"/>
            <w:shd w:val="clear" w:color="auto" w:fill="auto"/>
            <w:vAlign w:val="center"/>
          </w:tcPr>
          <w:p w14:paraId="74477E7C" w14:textId="77777777" w:rsidR="00731730" w:rsidRPr="00731730" w:rsidRDefault="00731730" w:rsidP="00A930B3">
            <w:pPr>
              <w:pStyle w:val="Tabletextcentred"/>
              <w:spacing w:before="0" w:after="0"/>
            </w:pPr>
            <w:r w:rsidRPr="00731730">
              <w:t>Low</w:t>
            </w:r>
          </w:p>
        </w:tc>
        <w:tc>
          <w:tcPr>
            <w:tcW w:w="982" w:type="pct"/>
            <w:shd w:val="clear" w:color="auto" w:fill="auto"/>
            <w:vAlign w:val="center"/>
          </w:tcPr>
          <w:p w14:paraId="75CC6044" w14:textId="77777777" w:rsidR="00731730" w:rsidRPr="00731730" w:rsidRDefault="00731730" w:rsidP="00A930B3">
            <w:pPr>
              <w:pStyle w:val="Tabletextcentred"/>
              <w:spacing w:before="0" w:after="0"/>
            </w:pPr>
            <w:r w:rsidRPr="00731730">
              <w:t>Adults with suspected OSA</w:t>
            </w:r>
          </w:p>
        </w:tc>
        <w:tc>
          <w:tcPr>
            <w:tcW w:w="985" w:type="pct"/>
            <w:shd w:val="clear" w:color="auto" w:fill="auto"/>
            <w:vAlign w:val="center"/>
          </w:tcPr>
          <w:p w14:paraId="3C960F68" w14:textId="77777777" w:rsidR="00731730" w:rsidRPr="00731730" w:rsidRDefault="00731730" w:rsidP="00A930B3">
            <w:pPr>
              <w:pStyle w:val="Tabletextcentred"/>
              <w:spacing w:before="0" w:after="0"/>
            </w:pPr>
            <w:r w:rsidRPr="00731730">
              <w:t>AHI: correlation and impact of age</w:t>
            </w:r>
          </w:p>
        </w:tc>
        <w:tc>
          <w:tcPr>
            <w:tcW w:w="456" w:type="pct"/>
            <w:shd w:val="clear" w:color="auto" w:fill="auto"/>
            <w:vAlign w:val="center"/>
          </w:tcPr>
          <w:p w14:paraId="63D9E89D" w14:textId="77777777" w:rsidR="00731730" w:rsidRPr="00731730" w:rsidRDefault="00731730" w:rsidP="00A930B3">
            <w:pPr>
              <w:pStyle w:val="Tabletextcentred"/>
              <w:spacing w:before="0" w:after="0"/>
            </w:pPr>
            <w:r w:rsidRPr="00731730">
              <w:t>Yes</w:t>
            </w:r>
          </w:p>
        </w:tc>
      </w:tr>
      <w:tr w:rsidR="00731730" w:rsidRPr="00731730" w14:paraId="246DEAC1" w14:textId="77777777" w:rsidTr="00731730">
        <w:tc>
          <w:tcPr>
            <w:tcW w:w="617" w:type="pct"/>
            <w:shd w:val="clear" w:color="auto" w:fill="auto"/>
            <w:vAlign w:val="center"/>
          </w:tcPr>
          <w:p w14:paraId="3DD8F5F8" w14:textId="77777777" w:rsidR="00731730" w:rsidRPr="00731730" w:rsidRDefault="00731730" w:rsidP="00A930B3">
            <w:pPr>
              <w:pStyle w:val="Tabletextcentred"/>
              <w:spacing w:before="0" w:after="0"/>
            </w:pPr>
            <w:r w:rsidRPr="00731730">
              <w:t>Pang 2007</w:t>
            </w:r>
          </w:p>
        </w:tc>
        <w:tc>
          <w:tcPr>
            <w:tcW w:w="231" w:type="pct"/>
            <w:shd w:val="clear" w:color="auto" w:fill="auto"/>
            <w:vAlign w:val="center"/>
          </w:tcPr>
          <w:p w14:paraId="4760F0ED" w14:textId="77777777" w:rsidR="00731730" w:rsidRPr="00731730" w:rsidRDefault="00731730" w:rsidP="00A930B3">
            <w:pPr>
              <w:pStyle w:val="Tabletextcentred"/>
              <w:spacing w:before="0" w:after="0"/>
            </w:pPr>
            <w:r w:rsidRPr="00731730">
              <w:t>37</w:t>
            </w:r>
          </w:p>
        </w:tc>
        <w:tc>
          <w:tcPr>
            <w:tcW w:w="1317" w:type="pct"/>
            <w:shd w:val="clear" w:color="auto" w:fill="auto"/>
            <w:vAlign w:val="center"/>
          </w:tcPr>
          <w:p w14:paraId="6D079906" w14:textId="77777777" w:rsidR="00731730" w:rsidRPr="00731730" w:rsidRDefault="00731730" w:rsidP="00A930B3">
            <w:pPr>
              <w:pStyle w:val="Tabletextcentred"/>
              <w:spacing w:before="0" w:after="0"/>
            </w:pPr>
            <w:r w:rsidRPr="00731730">
              <w:t>Cohort study with simultaneous application; sleep lab setting</w:t>
            </w:r>
          </w:p>
        </w:tc>
        <w:tc>
          <w:tcPr>
            <w:tcW w:w="412" w:type="pct"/>
            <w:shd w:val="clear" w:color="auto" w:fill="auto"/>
            <w:vAlign w:val="center"/>
          </w:tcPr>
          <w:p w14:paraId="57866EB8" w14:textId="77777777" w:rsidR="00731730" w:rsidRPr="00731730" w:rsidRDefault="00731730" w:rsidP="00A930B3">
            <w:pPr>
              <w:pStyle w:val="Tabletextcentred"/>
              <w:spacing w:before="0" w:after="0"/>
            </w:pPr>
            <w:r w:rsidRPr="00731730">
              <w:t>Low</w:t>
            </w:r>
          </w:p>
        </w:tc>
        <w:tc>
          <w:tcPr>
            <w:tcW w:w="982" w:type="pct"/>
            <w:shd w:val="clear" w:color="auto" w:fill="auto"/>
            <w:vAlign w:val="center"/>
          </w:tcPr>
          <w:p w14:paraId="5B526647" w14:textId="77777777" w:rsidR="00731730" w:rsidRPr="00731730" w:rsidRDefault="00731730" w:rsidP="00A930B3">
            <w:pPr>
              <w:pStyle w:val="Tabletextcentred"/>
              <w:spacing w:before="0" w:after="0"/>
            </w:pPr>
            <w:r w:rsidRPr="00731730">
              <w:t>Adults with suspected OSA</w:t>
            </w:r>
          </w:p>
        </w:tc>
        <w:tc>
          <w:tcPr>
            <w:tcW w:w="985" w:type="pct"/>
            <w:shd w:val="clear" w:color="auto" w:fill="auto"/>
            <w:vAlign w:val="center"/>
          </w:tcPr>
          <w:p w14:paraId="032A9F0B" w14:textId="77777777" w:rsidR="00731730" w:rsidRPr="00731730" w:rsidRDefault="00731730" w:rsidP="00A930B3">
            <w:pPr>
              <w:pStyle w:val="Tabletextcentred"/>
              <w:spacing w:before="0" w:after="0"/>
            </w:pPr>
            <w:r w:rsidRPr="00731730">
              <w:t>AHI: correlation, sensitivity, specificity</w:t>
            </w:r>
          </w:p>
        </w:tc>
        <w:tc>
          <w:tcPr>
            <w:tcW w:w="456" w:type="pct"/>
            <w:shd w:val="clear" w:color="auto" w:fill="auto"/>
            <w:vAlign w:val="center"/>
          </w:tcPr>
          <w:p w14:paraId="15241608" w14:textId="77777777" w:rsidR="00731730" w:rsidRPr="00731730" w:rsidRDefault="00731730" w:rsidP="00A930B3">
            <w:pPr>
              <w:pStyle w:val="Tabletextcentred"/>
              <w:spacing w:before="0" w:after="0"/>
            </w:pPr>
            <w:r w:rsidRPr="00731730">
              <w:t>Yes</w:t>
            </w:r>
          </w:p>
        </w:tc>
      </w:tr>
      <w:tr w:rsidR="00731730" w:rsidRPr="00731730" w14:paraId="6314F096" w14:textId="77777777" w:rsidTr="00731730">
        <w:tc>
          <w:tcPr>
            <w:tcW w:w="617" w:type="pct"/>
            <w:shd w:val="clear" w:color="auto" w:fill="auto"/>
            <w:vAlign w:val="center"/>
          </w:tcPr>
          <w:p w14:paraId="27D3C149" w14:textId="77777777" w:rsidR="00731730" w:rsidRPr="00731730" w:rsidRDefault="00731730" w:rsidP="00A930B3">
            <w:pPr>
              <w:pStyle w:val="Tabletextcentred"/>
              <w:spacing w:before="0" w:after="0"/>
            </w:pPr>
            <w:r w:rsidRPr="00731730">
              <w:t>Pillar 2020</w:t>
            </w:r>
          </w:p>
        </w:tc>
        <w:tc>
          <w:tcPr>
            <w:tcW w:w="231" w:type="pct"/>
            <w:shd w:val="clear" w:color="auto" w:fill="auto"/>
            <w:vAlign w:val="center"/>
          </w:tcPr>
          <w:p w14:paraId="01AAD8D4" w14:textId="77777777" w:rsidR="00731730" w:rsidRPr="00731730" w:rsidRDefault="00731730" w:rsidP="00A930B3">
            <w:pPr>
              <w:pStyle w:val="Tabletextcentred"/>
              <w:spacing w:before="0" w:after="0"/>
            </w:pPr>
            <w:r w:rsidRPr="00731730">
              <w:t>84</w:t>
            </w:r>
          </w:p>
        </w:tc>
        <w:tc>
          <w:tcPr>
            <w:tcW w:w="1317" w:type="pct"/>
            <w:shd w:val="clear" w:color="auto" w:fill="auto"/>
            <w:vAlign w:val="center"/>
          </w:tcPr>
          <w:p w14:paraId="124CDF30" w14:textId="77777777" w:rsidR="00731730" w:rsidRPr="00731730" w:rsidRDefault="00731730" w:rsidP="00A930B3">
            <w:pPr>
              <w:pStyle w:val="Tabletextcentred"/>
              <w:spacing w:before="0" w:after="0"/>
            </w:pPr>
            <w:r w:rsidRPr="00731730">
              <w:t>Cohort study with simultaneous application; sleep lab setting</w:t>
            </w:r>
          </w:p>
        </w:tc>
        <w:tc>
          <w:tcPr>
            <w:tcW w:w="412" w:type="pct"/>
            <w:shd w:val="clear" w:color="auto" w:fill="auto"/>
            <w:vAlign w:val="center"/>
          </w:tcPr>
          <w:p w14:paraId="2A1AE153" w14:textId="77777777" w:rsidR="00731730" w:rsidRPr="00731730" w:rsidRDefault="00731730" w:rsidP="00A930B3">
            <w:pPr>
              <w:pStyle w:val="Tabletextcentred"/>
              <w:spacing w:before="0" w:after="0"/>
            </w:pPr>
            <w:r w:rsidRPr="00731730">
              <w:t>Low</w:t>
            </w:r>
          </w:p>
        </w:tc>
        <w:tc>
          <w:tcPr>
            <w:tcW w:w="982" w:type="pct"/>
            <w:shd w:val="clear" w:color="auto" w:fill="auto"/>
            <w:vAlign w:val="center"/>
          </w:tcPr>
          <w:p w14:paraId="6442F010" w14:textId="77777777" w:rsidR="00731730" w:rsidRPr="00731730" w:rsidRDefault="00731730" w:rsidP="00A930B3">
            <w:pPr>
              <w:pStyle w:val="Tabletextcentred"/>
              <w:spacing w:before="0" w:after="0"/>
            </w:pPr>
            <w:r w:rsidRPr="00731730">
              <w:t>Adults with suspected SDB with and without cardiac disorders</w:t>
            </w:r>
          </w:p>
        </w:tc>
        <w:tc>
          <w:tcPr>
            <w:tcW w:w="985" w:type="pct"/>
            <w:shd w:val="clear" w:color="auto" w:fill="auto"/>
            <w:vAlign w:val="center"/>
          </w:tcPr>
          <w:p w14:paraId="77007784" w14:textId="77777777" w:rsidR="00731730" w:rsidRPr="00731730" w:rsidRDefault="00731730" w:rsidP="00A930B3">
            <w:pPr>
              <w:pStyle w:val="Tabletextcentred"/>
              <w:spacing w:before="0" w:after="0"/>
            </w:pPr>
            <w:r w:rsidRPr="00731730">
              <w:t>AHI: correlation, sensitivity, specificity for CSA</w:t>
            </w:r>
          </w:p>
        </w:tc>
        <w:tc>
          <w:tcPr>
            <w:tcW w:w="456" w:type="pct"/>
            <w:shd w:val="clear" w:color="auto" w:fill="auto"/>
            <w:vAlign w:val="center"/>
          </w:tcPr>
          <w:p w14:paraId="67F5FDC2" w14:textId="77777777" w:rsidR="00731730" w:rsidRPr="00731730" w:rsidRDefault="00731730" w:rsidP="00A930B3">
            <w:pPr>
              <w:pStyle w:val="Tabletextcentred"/>
              <w:spacing w:before="0" w:after="0"/>
            </w:pPr>
            <w:r w:rsidRPr="00731730">
              <w:t>Yes</w:t>
            </w:r>
          </w:p>
        </w:tc>
      </w:tr>
      <w:tr w:rsidR="00731730" w:rsidRPr="00731730" w14:paraId="6E6102C6" w14:textId="77777777" w:rsidTr="00731730">
        <w:tc>
          <w:tcPr>
            <w:tcW w:w="617" w:type="pct"/>
            <w:shd w:val="clear" w:color="auto" w:fill="auto"/>
            <w:vAlign w:val="center"/>
          </w:tcPr>
          <w:p w14:paraId="355EA706" w14:textId="77777777" w:rsidR="00731730" w:rsidRPr="00731730" w:rsidRDefault="00731730" w:rsidP="00A930B3">
            <w:pPr>
              <w:pStyle w:val="Tabletextcentred"/>
              <w:spacing w:before="0" w:after="0"/>
            </w:pPr>
            <w:r w:rsidRPr="00731730">
              <w:t>Pittman 2004</w:t>
            </w:r>
          </w:p>
        </w:tc>
        <w:tc>
          <w:tcPr>
            <w:tcW w:w="231" w:type="pct"/>
            <w:shd w:val="clear" w:color="auto" w:fill="auto"/>
            <w:vAlign w:val="center"/>
          </w:tcPr>
          <w:p w14:paraId="0B3A66AD" w14:textId="77777777" w:rsidR="00731730" w:rsidRPr="00731730" w:rsidRDefault="00731730" w:rsidP="00A930B3">
            <w:pPr>
              <w:pStyle w:val="Tabletextcentred"/>
              <w:spacing w:before="0" w:after="0"/>
            </w:pPr>
            <w:r w:rsidRPr="00731730">
              <w:t>30</w:t>
            </w:r>
          </w:p>
        </w:tc>
        <w:tc>
          <w:tcPr>
            <w:tcW w:w="1317" w:type="pct"/>
            <w:shd w:val="clear" w:color="auto" w:fill="auto"/>
            <w:vAlign w:val="center"/>
          </w:tcPr>
          <w:p w14:paraId="5A81B7FD" w14:textId="77777777" w:rsidR="00731730" w:rsidRPr="00731730" w:rsidRDefault="00731730" w:rsidP="00A930B3">
            <w:pPr>
              <w:pStyle w:val="Tabletextcentred"/>
              <w:spacing w:before="0" w:after="0"/>
            </w:pPr>
            <w:r w:rsidRPr="00731730">
              <w:t xml:space="preserve">Cohort study with simultaneous application; sleep lab setting,  Also HSAT/PAT in home setting with random order for lab and home testing </w:t>
            </w:r>
          </w:p>
        </w:tc>
        <w:tc>
          <w:tcPr>
            <w:tcW w:w="412" w:type="pct"/>
            <w:shd w:val="clear" w:color="auto" w:fill="auto"/>
            <w:vAlign w:val="center"/>
          </w:tcPr>
          <w:p w14:paraId="3D7C4724" w14:textId="77777777" w:rsidR="00731730" w:rsidRPr="00731730" w:rsidRDefault="00731730" w:rsidP="00A930B3">
            <w:pPr>
              <w:pStyle w:val="Tabletextcentred"/>
              <w:spacing w:before="0" w:after="0"/>
            </w:pPr>
            <w:r w:rsidRPr="00731730">
              <w:t>Unclear</w:t>
            </w:r>
          </w:p>
        </w:tc>
        <w:tc>
          <w:tcPr>
            <w:tcW w:w="982" w:type="pct"/>
            <w:shd w:val="clear" w:color="auto" w:fill="auto"/>
            <w:vAlign w:val="center"/>
          </w:tcPr>
          <w:p w14:paraId="63C20EEF" w14:textId="77777777" w:rsidR="00731730" w:rsidRPr="00731730" w:rsidRDefault="00731730" w:rsidP="00A930B3">
            <w:pPr>
              <w:pStyle w:val="Tabletextcentred"/>
              <w:spacing w:before="0" w:after="0"/>
            </w:pPr>
            <w:r w:rsidRPr="00731730">
              <w:t>Adults with suspected OSA</w:t>
            </w:r>
          </w:p>
        </w:tc>
        <w:tc>
          <w:tcPr>
            <w:tcW w:w="985" w:type="pct"/>
            <w:shd w:val="clear" w:color="auto" w:fill="auto"/>
            <w:vAlign w:val="center"/>
          </w:tcPr>
          <w:p w14:paraId="26C3E561" w14:textId="77777777" w:rsidR="00731730" w:rsidRPr="00731730" w:rsidRDefault="00731730" w:rsidP="00A930B3">
            <w:pPr>
              <w:pStyle w:val="Tabletextcentred"/>
              <w:spacing w:before="0" w:after="0"/>
            </w:pPr>
            <w:r w:rsidRPr="00731730">
              <w:t>AHI, ODI: sensitivity, specificity, agreement, PPV, NPV</w:t>
            </w:r>
          </w:p>
        </w:tc>
        <w:tc>
          <w:tcPr>
            <w:tcW w:w="456" w:type="pct"/>
            <w:shd w:val="clear" w:color="auto" w:fill="auto"/>
            <w:vAlign w:val="center"/>
          </w:tcPr>
          <w:p w14:paraId="44438C0F" w14:textId="77777777" w:rsidR="00731730" w:rsidRPr="00731730" w:rsidRDefault="00731730" w:rsidP="00A930B3">
            <w:pPr>
              <w:pStyle w:val="Tabletextcentred"/>
              <w:spacing w:before="0" w:after="0"/>
            </w:pPr>
            <w:r w:rsidRPr="00731730">
              <w:t>Yes</w:t>
            </w:r>
          </w:p>
        </w:tc>
      </w:tr>
      <w:tr w:rsidR="00731730" w:rsidRPr="00731730" w14:paraId="7C308BE1" w14:textId="77777777" w:rsidTr="00731730">
        <w:tc>
          <w:tcPr>
            <w:tcW w:w="617" w:type="pct"/>
            <w:shd w:val="clear" w:color="auto" w:fill="auto"/>
            <w:vAlign w:val="center"/>
          </w:tcPr>
          <w:p w14:paraId="1AB45247" w14:textId="77777777" w:rsidR="00731730" w:rsidRPr="00731730" w:rsidRDefault="00731730" w:rsidP="00A930B3">
            <w:pPr>
              <w:pStyle w:val="Tabletextcentred"/>
              <w:spacing w:before="0" w:after="0"/>
            </w:pPr>
            <w:r w:rsidRPr="00731730">
              <w:t>Weimin 2013</w:t>
            </w:r>
          </w:p>
        </w:tc>
        <w:tc>
          <w:tcPr>
            <w:tcW w:w="231" w:type="pct"/>
            <w:shd w:val="clear" w:color="auto" w:fill="auto"/>
            <w:vAlign w:val="center"/>
          </w:tcPr>
          <w:p w14:paraId="12C53A73" w14:textId="77777777" w:rsidR="00731730" w:rsidRPr="00731730" w:rsidRDefault="00731730" w:rsidP="00A930B3">
            <w:pPr>
              <w:pStyle w:val="Tabletextcentred"/>
              <w:spacing w:before="0" w:after="0"/>
            </w:pPr>
            <w:r w:rsidRPr="00731730">
              <w:t>28</w:t>
            </w:r>
          </w:p>
        </w:tc>
        <w:tc>
          <w:tcPr>
            <w:tcW w:w="1317" w:type="pct"/>
            <w:shd w:val="clear" w:color="auto" w:fill="auto"/>
            <w:vAlign w:val="center"/>
          </w:tcPr>
          <w:p w14:paraId="335FFA49" w14:textId="77777777" w:rsidR="00731730" w:rsidRPr="00731730" w:rsidRDefault="00731730" w:rsidP="00A930B3">
            <w:pPr>
              <w:pStyle w:val="Tabletextcentred"/>
              <w:spacing w:before="0" w:after="0"/>
            </w:pPr>
            <w:r w:rsidRPr="00731730">
              <w:t>Cohort study with simultaneous application; hospital sleep lab setting</w:t>
            </w:r>
          </w:p>
        </w:tc>
        <w:tc>
          <w:tcPr>
            <w:tcW w:w="412" w:type="pct"/>
            <w:shd w:val="clear" w:color="auto" w:fill="auto"/>
            <w:vAlign w:val="center"/>
          </w:tcPr>
          <w:p w14:paraId="04119851" w14:textId="77777777" w:rsidR="00731730" w:rsidRPr="00731730" w:rsidRDefault="00731730" w:rsidP="00A930B3">
            <w:pPr>
              <w:pStyle w:val="Tabletextcentred"/>
              <w:spacing w:before="0" w:after="0"/>
            </w:pPr>
            <w:r w:rsidRPr="00731730">
              <w:t>Unclear</w:t>
            </w:r>
          </w:p>
        </w:tc>
        <w:tc>
          <w:tcPr>
            <w:tcW w:w="982" w:type="pct"/>
            <w:shd w:val="clear" w:color="auto" w:fill="auto"/>
            <w:vAlign w:val="center"/>
          </w:tcPr>
          <w:p w14:paraId="320D0E14" w14:textId="77777777" w:rsidR="00731730" w:rsidRPr="00731730" w:rsidRDefault="00731730" w:rsidP="00A930B3">
            <w:pPr>
              <w:pStyle w:val="Tabletextcentred"/>
              <w:spacing w:before="0" w:after="0"/>
            </w:pPr>
            <w:r w:rsidRPr="00731730">
              <w:t>Adults with suspected OSA</w:t>
            </w:r>
          </w:p>
        </w:tc>
        <w:tc>
          <w:tcPr>
            <w:tcW w:w="985" w:type="pct"/>
            <w:shd w:val="clear" w:color="auto" w:fill="auto"/>
            <w:vAlign w:val="center"/>
          </w:tcPr>
          <w:p w14:paraId="39E1E703" w14:textId="77777777" w:rsidR="00731730" w:rsidRPr="00731730" w:rsidRDefault="00731730" w:rsidP="00A930B3">
            <w:pPr>
              <w:pStyle w:val="Tabletextcentred"/>
              <w:spacing w:before="0" w:after="0"/>
            </w:pPr>
            <w:r w:rsidRPr="00731730">
              <w:t>AHI: correlation, sensitivity, specificity, PPV, NPV</w:t>
            </w:r>
          </w:p>
        </w:tc>
        <w:tc>
          <w:tcPr>
            <w:tcW w:w="456" w:type="pct"/>
            <w:shd w:val="clear" w:color="auto" w:fill="auto"/>
            <w:vAlign w:val="center"/>
          </w:tcPr>
          <w:p w14:paraId="2A683E73" w14:textId="77777777" w:rsidR="00731730" w:rsidRPr="00731730" w:rsidRDefault="00731730" w:rsidP="00A930B3">
            <w:pPr>
              <w:pStyle w:val="Tabletextcentred"/>
              <w:spacing w:before="0" w:after="0"/>
            </w:pPr>
            <w:r w:rsidRPr="00731730">
              <w:t>Yes</w:t>
            </w:r>
          </w:p>
        </w:tc>
      </w:tr>
      <w:tr w:rsidR="00731730" w:rsidRPr="00731730" w14:paraId="1AAD6B65" w14:textId="77777777" w:rsidTr="00731730">
        <w:tc>
          <w:tcPr>
            <w:tcW w:w="617" w:type="pct"/>
            <w:shd w:val="clear" w:color="auto" w:fill="auto"/>
            <w:vAlign w:val="center"/>
          </w:tcPr>
          <w:p w14:paraId="6D73293A" w14:textId="77777777" w:rsidR="00731730" w:rsidRPr="00731730" w:rsidRDefault="00731730" w:rsidP="00A930B3">
            <w:pPr>
              <w:pStyle w:val="Tabletextcentred"/>
              <w:spacing w:before="0" w:after="0"/>
            </w:pPr>
            <w:r w:rsidRPr="00731730">
              <w:t>Yuceege 2013</w:t>
            </w:r>
          </w:p>
        </w:tc>
        <w:tc>
          <w:tcPr>
            <w:tcW w:w="231" w:type="pct"/>
            <w:shd w:val="clear" w:color="auto" w:fill="auto"/>
            <w:vAlign w:val="center"/>
          </w:tcPr>
          <w:p w14:paraId="760184E3" w14:textId="77777777" w:rsidR="00731730" w:rsidRPr="00731730" w:rsidRDefault="00731730" w:rsidP="00A930B3">
            <w:pPr>
              <w:pStyle w:val="Tabletextcentred"/>
              <w:spacing w:before="0" w:after="0"/>
            </w:pPr>
            <w:r w:rsidRPr="00731730">
              <w:t>85</w:t>
            </w:r>
          </w:p>
        </w:tc>
        <w:tc>
          <w:tcPr>
            <w:tcW w:w="1317" w:type="pct"/>
            <w:shd w:val="clear" w:color="auto" w:fill="auto"/>
            <w:vAlign w:val="center"/>
          </w:tcPr>
          <w:p w14:paraId="3353EB2E" w14:textId="77777777" w:rsidR="00731730" w:rsidRPr="00731730" w:rsidRDefault="00731730" w:rsidP="00A930B3">
            <w:pPr>
              <w:pStyle w:val="Tabletextcentred"/>
              <w:spacing w:before="0" w:after="0"/>
            </w:pPr>
            <w:r w:rsidRPr="00731730">
              <w:t>Cohort study with simultaneous application; sleep lab setting (daytime)</w:t>
            </w:r>
          </w:p>
        </w:tc>
        <w:tc>
          <w:tcPr>
            <w:tcW w:w="412" w:type="pct"/>
            <w:shd w:val="clear" w:color="auto" w:fill="auto"/>
            <w:vAlign w:val="center"/>
          </w:tcPr>
          <w:p w14:paraId="35722126" w14:textId="77777777" w:rsidR="00731730" w:rsidRPr="00731730" w:rsidRDefault="00731730" w:rsidP="00A930B3">
            <w:pPr>
              <w:pStyle w:val="Tabletextcentred"/>
              <w:spacing w:before="0" w:after="0"/>
            </w:pPr>
            <w:r w:rsidRPr="00731730">
              <w:t>Low</w:t>
            </w:r>
          </w:p>
        </w:tc>
        <w:tc>
          <w:tcPr>
            <w:tcW w:w="982" w:type="pct"/>
            <w:shd w:val="clear" w:color="auto" w:fill="auto"/>
            <w:vAlign w:val="center"/>
          </w:tcPr>
          <w:p w14:paraId="766E75AF" w14:textId="77777777" w:rsidR="00731730" w:rsidRPr="00731730" w:rsidRDefault="00731730" w:rsidP="00A930B3">
            <w:pPr>
              <w:pStyle w:val="Tabletextcentred"/>
              <w:spacing w:before="0" w:after="0"/>
            </w:pPr>
            <w:r w:rsidRPr="00731730">
              <w:t>Night-time bus drivers</w:t>
            </w:r>
          </w:p>
        </w:tc>
        <w:tc>
          <w:tcPr>
            <w:tcW w:w="985" w:type="pct"/>
            <w:shd w:val="clear" w:color="auto" w:fill="auto"/>
            <w:vAlign w:val="center"/>
          </w:tcPr>
          <w:p w14:paraId="06A5B456" w14:textId="77777777" w:rsidR="00731730" w:rsidRPr="00731730" w:rsidRDefault="00731730" w:rsidP="00A930B3">
            <w:pPr>
              <w:pStyle w:val="Tabletextcentred"/>
              <w:spacing w:before="0" w:after="0"/>
            </w:pPr>
            <w:r w:rsidRPr="00731730">
              <w:t>RDI, ODI: correlation, sensitivity and specificity for RDI</w:t>
            </w:r>
          </w:p>
        </w:tc>
        <w:tc>
          <w:tcPr>
            <w:tcW w:w="456" w:type="pct"/>
            <w:shd w:val="clear" w:color="auto" w:fill="auto"/>
            <w:vAlign w:val="center"/>
          </w:tcPr>
          <w:p w14:paraId="1E04012A" w14:textId="77777777" w:rsidR="00731730" w:rsidRPr="00731730" w:rsidRDefault="00731730" w:rsidP="00A930B3">
            <w:pPr>
              <w:pStyle w:val="Tabletextcentred"/>
              <w:spacing w:before="0" w:after="0"/>
            </w:pPr>
            <w:r w:rsidRPr="00731730">
              <w:t>No</w:t>
            </w:r>
          </w:p>
        </w:tc>
      </w:tr>
      <w:tr w:rsidR="00731730" w:rsidRPr="00731730" w14:paraId="06ABB169" w14:textId="77777777" w:rsidTr="00731730">
        <w:tc>
          <w:tcPr>
            <w:tcW w:w="617" w:type="pct"/>
            <w:shd w:val="clear" w:color="auto" w:fill="auto"/>
            <w:vAlign w:val="center"/>
          </w:tcPr>
          <w:p w14:paraId="09FDD1F1" w14:textId="77777777" w:rsidR="00731730" w:rsidRPr="00731730" w:rsidRDefault="00731730" w:rsidP="00A930B3">
            <w:pPr>
              <w:pStyle w:val="Tabletextcentred"/>
              <w:spacing w:before="0" w:after="0"/>
            </w:pPr>
            <w:r w:rsidRPr="00731730">
              <w:t>Yalamanchali 2013</w:t>
            </w:r>
          </w:p>
        </w:tc>
        <w:tc>
          <w:tcPr>
            <w:tcW w:w="231" w:type="pct"/>
            <w:shd w:val="clear" w:color="auto" w:fill="auto"/>
            <w:vAlign w:val="center"/>
          </w:tcPr>
          <w:p w14:paraId="696BD2A1" w14:textId="77777777" w:rsidR="00731730" w:rsidRPr="00731730" w:rsidRDefault="00731730" w:rsidP="00A930B3">
            <w:pPr>
              <w:pStyle w:val="Tabletextcentred"/>
              <w:spacing w:before="0" w:after="0"/>
            </w:pPr>
            <w:r w:rsidRPr="00731730">
              <w:t xml:space="preserve">909 </w:t>
            </w:r>
          </w:p>
        </w:tc>
        <w:tc>
          <w:tcPr>
            <w:tcW w:w="1317" w:type="pct"/>
            <w:shd w:val="clear" w:color="auto" w:fill="auto"/>
            <w:vAlign w:val="center"/>
          </w:tcPr>
          <w:p w14:paraId="687C60A6" w14:textId="77777777" w:rsidR="00731730" w:rsidRPr="00731730" w:rsidRDefault="00731730" w:rsidP="00A930B3">
            <w:pPr>
              <w:pStyle w:val="Tabletextcentred"/>
              <w:spacing w:before="0" w:after="0"/>
            </w:pPr>
            <w:r w:rsidRPr="00731730">
              <w:t>Systematic review and meta-analysis of studies comparing lab PSG and HSAT/PAT</w:t>
            </w:r>
          </w:p>
        </w:tc>
        <w:tc>
          <w:tcPr>
            <w:tcW w:w="412" w:type="pct"/>
            <w:shd w:val="clear" w:color="auto" w:fill="auto"/>
            <w:vAlign w:val="center"/>
          </w:tcPr>
          <w:p w14:paraId="0694AB4E" w14:textId="77777777" w:rsidR="00731730" w:rsidRPr="00731730" w:rsidRDefault="00731730" w:rsidP="00A930B3">
            <w:pPr>
              <w:pStyle w:val="Tabletextcentred"/>
              <w:spacing w:before="0" w:after="0"/>
            </w:pPr>
            <w:r w:rsidRPr="00731730">
              <w:t>NR</w:t>
            </w:r>
          </w:p>
        </w:tc>
        <w:tc>
          <w:tcPr>
            <w:tcW w:w="982" w:type="pct"/>
            <w:shd w:val="clear" w:color="auto" w:fill="auto"/>
            <w:vAlign w:val="center"/>
          </w:tcPr>
          <w:p w14:paraId="107C9180" w14:textId="77777777" w:rsidR="00731730" w:rsidRPr="00731730" w:rsidRDefault="00731730" w:rsidP="00A930B3">
            <w:pPr>
              <w:pStyle w:val="Tabletextcentred"/>
              <w:spacing w:before="0" w:after="0"/>
            </w:pPr>
            <w:r w:rsidRPr="00731730">
              <w:t>NR</w:t>
            </w:r>
          </w:p>
        </w:tc>
        <w:tc>
          <w:tcPr>
            <w:tcW w:w="985" w:type="pct"/>
            <w:shd w:val="clear" w:color="auto" w:fill="auto"/>
            <w:vAlign w:val="center"/>
          </w:tcPr>
          <w:p w14:paraId="15E69DE4" w14:textId="77777777" w:rsidR="00731730" w:rsidRPr="00731730" w:rsidRDefault="00731730" w:rsidP="00A930B3">
            <w:pPr>
              <w:pStyle w:val="Tabletextcentred"/>
              <w:spacing w:before="0" w:after="0"/>
            </w:pPr>
            <w:r w:rsidRPr="00731730">
              <w:t>AHI, RDI, ODI: correlation</w:t>
            </w:r>
          </w:p>
        </w:tc>
        <w:tc>
          <w:tcPr>
            <w:tcW w:w="456" w:type="pct"/>
            <w:shd w:val="clear" w:color="auto" w:fill="auto"/>
            <w:vAlign w:val="center"/>
          </w:tcPr>
          <w:p w14:paraId="4B43E4C2" w14:textId="77777777" w:rsidR="00731730" w:rsidRPr="00731730" w:rsidRDefault="00731730" w:rsidP="00A930B3">
            <w:pPr>
              <w:pStyle w:val="Tabletextcentred"/>
              <w:spacing w:before="0" w:after="0"/>
            </w:pPr>
            <w:r w:rsidRPr="00731730">
              <w:t>No</w:t>
            </w:r>
          </w:p>
        </w:tc>
      </w:tr>
    </w:tbl>
    <w:p w14:paraId="03C1AED6" w14:textId="7A1953DF" w:rsidR="00731730" w:rsidRPr="00731730" w:rsidRDefault="00731730" w:rsidP="00EA584D">
      <w:pPr>
        <w:pStyle w:val="Tablenotes"/>
      </w:pPr>
      <w:r w:rsidRPr="00731730">
        <w:t xml:space="preserve">Source: Table </w:t>
      </w:r>
      <w:r w:rsidR="00D05118">
        <w:t>5, p19 of the Commentary</w:t>
      </w:r>
    </w:p>
    <w:p w14:paraId="385D093B" w14:textId="293C5043" w:rsidR="00731730" w:rsidRPr="00731730" w:rsidRDefault="00EA584D" w:rsidP="00EA584D">
      <w:pPr>
        <w:pStyle w:val="Tablenotes"/>
      </w:pPr>
      <w:r>
        <w:t xml:space="preserve">Abbreviations: </w:t>
      </w:r>
      <w:r w:rsidR="00731730" w:rsidRPr="00731730">
        <w:t>AHI=apnoea hypopnoea index; CSA=central sleep apnoea; HSAT/PAT=home sleep apnoea test utilising peripheral arterial tone; LSAT=lowest oxygen saturation; NR=not reported; ODI=oxygen desaturation index; OSA=obstructive sleep apnoea; PSG=polysomnography; RDI=respiratory disturbance index; SDB=sleep disordered breathing</w:t>
      </w:r>
    </w:p>
    <w:p w14:paraId="0D1190E2" w14:textId="75EFDFC7" w:rsidR="00A930B3" w:rsidRDefault="00731730" w:rsidP="00A930B3">
      <w:pPr>
        <w:pStyle w:val="Tablenotes"/>
        <w:rPr>
          <w:i/>
          <w:iCs/>
        </w:rPr>
      </w:pPr>
      <w:r w:rsidRPr="00731730">
        <w:rPr>
          <w:vertAlign w:val="superscript"/>
        </w:rPr>
        <w:t>a</w:t>
      </w:r>
      <w:r w:rsidR="00EA584D">
        <w:t xml:space="preserve"> </w:t>
      </w:r>
      <w:r w:rsidRPr="00731730">
        <w:t xml:space="preserve">Risk of bias as assessed during the evaluation is provided in </w:t>
      </w:r>
      <w:r w:rsidRPr="00731730">
        <w:rPr>
          <w:i/>
          <w:iCs/>
        </w:rPr>
        <w:t>italics.</w:t>
      </w:r>
      <w:r w:rsidR="00A930B3">
        <w:rPr>
          <w:i/>
          <w:iCs/>
        </w:rPr>
        <w:br w:type="page"/>
      </w:r>
    </w:p>
    <w:p w14:paraId="2656DDBF" w14:textId="5CA7C237" w:rsidR="008B7EF6" w:rsidRDefault="00412CCE" w:rsidP="00D05118">
      <w:r>
        <w:lastRenderedPageBreak/>
        <w:t>The commentary considered t</w:t>
      </w:r>
      <w:r w:rsidRPr="00412CCE">
        <w:t xml:space="preserve">he two studies </w:t>
      </w:r>
      <w:r w:rsidR="0080749F">
        <w:t xml:space="preserve">comparing HSAT with </w:t>
      </w:r>
      <w:r w:rsidRPr="00412CCE">
        <w:t>Level 2 PSG (</w:t>
      </w:r>
      <w:r w:rsidR="0080749F">
        <w:t xml:space="preserve">main comparator; </w:t>
      </w:r>
      <w:r w:rsidRPr="00412CCE">
        <w:t xml:space="preserve">O’Brien </w:t>
      </w:r>
      <w:r w:rsidR="00C81841">
        <w:t xml:space="preserve">et al. </w:t>
      </w:r>
      <w:r w:rsidRPr="00412CCE">
        <w:t>2012</w:t>
      </w:r>
      <w:r w:rsidR="00C55F87">
        <w:rPr>
          <w:rStyle w:val="FootnoteReference"/>
        </w:rPr>
        <w:footnoteReference w:id="8"/>
      </w:r>
      <w:r w:rsidR="0080749F">
        <w:t>,</w:t>
      </w:r>
      <w:r w:rsidRPr="00412CCE">
        <w:t xml:space="preserve"> Zou </w:t>
      </w:r>
      <w:r w:rsidR="00901C43">
        <w:t xml:space="preserve">et al. </w:t>
      </w:r>
      <w:r w:rsidRPr="00412CCE">
        <w:t>2006</w:t>
      </w:r>
      <w:r w:rsidR="00901C43">
        <w:rPr>
          <w:rStyle w:val="FootnoteReference"/>
        </w:rPr>
        <w:footnoteReference w:id="9"/>
      </w:r>
      <w:r w:rsidRPr="00412CCE">
        <w:t xml:space="preserve">) have limited applicability to the proposed patient population and the requested listing. The patients in the O’Brien </w:t>
      </w:r>
      <w:r w:rsidR="00C81841">
        <w:t xml:space="preserve">et al. </w:t>
      </w:r>
      <w:r w:rsidRPr="00412CCE">
        <w:t xml:space="preserve">(2012) study were pregnant, which is not likely to be representative of the majority of the proposed patient population. In the Zou </w:t>
      </w:r>
      <w:r w:rsidR="00901C43">
        <w:t xml:space="preserve">et al. </w:t>
      </w:r>
      <w:r w:rsidRPr="00412CCE">
        <w:t>(2006) study, patients were selected from a cohort of patients in a hypertension and diabetes database, and close to 25% of patients had either hypertension or diabetes, but results were provided for all patients combined. The studies selected for the secondary comparator also have limited applicability, as the majority included patients suspected of OSA, not those categorised with moderate to severe OSA. In addition, HSAT/PAT was applied in a sleep laboratory or hospital setting in all studies, and this is not representative of the proposed use of HSAT/PAT in the home setting.</w:t>
      </w:r>
      <w:r w:rsidR="009B47FE">
        <w:t xml:space="preserve"> The pre-MSAC response reiterated claims that </w:t>
      </w:r>
      <w:r w:rsidR="009B47FE" w:rsidRPr="009B47FE">
        <w:t xml:space="preserve">there </w:t>
      </w:r>
      <w:r w:rsidR="009B47FE">
        <w:t>we</w:t>
      </w:r>
      <w:r w:rsidR="009B47FE" w:rsidRPr="009B47FE">
        <w:t xml:space="preserve">re no tasks or adjustments for the </w:t>
      </w:r>
      <w:r w:rsidR="009B47FE">
        <w:t xml:space="preserve">sleep </w:t>
      </w:r>
      <w:r w:rsidR="009B47FE" w:rsidRPr="009B47FE">
        <w:t>technician to perform during the stud</w:t>
      </w:r>
      <w:r w:rsidR="009B47FE">
        <w:t>ies and therefore claimed that</w:t>
      </w:r>
      <w:r w:rsidR="009B47FE" w:rsidRPr="009B47FE">
        <w:t xml:space="preserve"> the performance of HSAT/PAT </w:t>
      </w:r>
      <w:r w:rsidR="009B47FE">
        <w:t xml:space="preserve">would </w:t>
      </w:r>
      <w:r w:rsidR="009B47FE" w:rsidRPr="009B47FE">
        <w:t>not be enhanced when used in the laboratory compared to home.</w:t>
      </w:r>
      <w:r w:rsidR="009B47FE">
        <w:t xml:space="preserve"> </w:t>
      </w:r>
    </w:p>
    <w:p w14:paraId="1B82B5A9" w14:textId="125492EA" w:rsidR="00412CCE" w:rsidRDefault="00412CCE" w:rsidP="007D5F6D">
      <w:pPr>
        <w:spacing w:before="240"/>
      </w:pPr>
      <w:r>
        <w:t xml:space="preserve">Regarding safety of HSAT/PAT, the ADAR stated that no known safety issues were identified for HSAT/PAT and MSAC previously concluded in MSAC </w:t>
      </w:r>
      <w:r w:rsidR="0007292E">
        <w:t xml:space="preserve">application </w:t>
      </w:r>
      <w:r>
        <w:t xml:space="preserve">1130 that Level 2 </w:t>
      </w:r>
      <w:r w:rsidR="006965C5">
        <w:t>PSG</w:t>
      </w:r>
      <w:r>
        <w:t xml:space="preserve"> are considered safe</w:t>
      </w:r>
      <w:r w:rsidR="003A068D">
        <w:t>. On this basis, the ADAR claimed</w:t>
      </w:r>
      <w:r>
        <w:t xml:space="preserve"> it is unlikely there </w:t>
      </w:r>
      <w:r w:rsidR="003A068D">
        <w:t xml:space="preserve">would </w:t>
      </w:r>
      <w:r>
        <w:t xml:space="preserve">be a difference in the safety profile of the different sleep studies.  </w:t>
      </w:r>
    </w:p>
    <w:p w14:paraId="2AB07975" w14:textId="520B7723" w:rsidR="00412CCE" w:rsidRPr="00814E99" w:rsidRDefault="00412CCE" w:rsidP="007D5F6D">
      <w:pPr>
        <w:spacing w:before="240"/>
      </w:pPr>
      <w:r w:rsidRPr="00412CCE">
        <w:rPr>
          <w:iCs/>
        </w:rPr>
        <w:t xml:space="preserve">The commentary noted that the included studies generally did not </w:t>
      </w:r>
      <w:r>
        <w:rPr>
          <w:iCs/>
        </w:rPr>
        <w:t>directly assess safety outcomes and considered t</w:t>
      </w:r>
      <w:r w:rsidRPr="00412CCE">
        <w:rPr>
          <w:iCs/>
        </w:rPr>
        <w:t>here remains potential for harm through over-diagnosis, over-treatment or psychosocial harms (</w:t>
      </w:r>
      <w:r w:rsidR="00B26091" w:rsidRPr="00412CCE">
        <w:rPr>
          <w:iCs/>
        </w:rPr>
        <w:t>e.g.</w:t>
      </w:r>
      <w:r w:rsidRPr="00412CCE">
        <w:rPr>
          <w:iCs/>
        </w:rPr>
        <w:t xml:space="preserve"> anxiety, label</w:t>
      </w:r>
      <w:r>
        <w:rPr>
          <w:iCs/>
        </w:rPr>
        <w:t>l</w:t>
      </w:r>
      <w:r w:rsidRPr="00412CCE">
        <w:rPr>
          <w:iCs/>
        </w:rPr>
        <w:t>ing)</w:t>
      </w:r>
      <w:r w:rsidRPr="00412CCE">
        <w:rPr>
          <w:rStyle w:val="FootnoteReference"/>
          <w:iCs/>
        </w:rPr>
        <w:footnoteReference w:id="10"/>
      </w:r>
      <w:r w:rsidRPr="00412CCE">
        <w:rPr>
          <w:iCs/>
        </w:rPr>
        <w:t>. The ADAR did not provide any discussion of these potential harms.</w:t>
      </w:r>
      <w:r w:rsidR="005241E9">
        <w:rPr>
          <w:iCs/>
        </w:rPr>
        <w:t xml:space="preserve"> The pre-MSAC response reiterated claims that t</w:t>
      </w:r>
      <w:r w:rsidR="005241E9" w:rsidRPr="005241E9">
        <w:rPr>
          <w:iCs/>
        </w:rPr>
        <w:t xml:space="preserve">here are no known safety issues regarding HSAT/PAT and there were no safety outcomes included in the </w:t>
      </w:r>
      <w:r w:rsidR="005241E9">
        <w:rPr>
          <w:iCs/>
        </w:rPr>
        <w:t>r</w:t>
      </w:r>
      <w:r w:rsidR="005241E9" w:rsidRPr="005241E9">
        <w:rPr>
          <w:iCs/>
        </w:rPr>
        <w:t>atified PICO.</w:t>
      </w:r>
    </w:p>
    <w:p w14:paraId="2E25AEA1" w14:textId="77777777" w:rsidR="001576BB" w:rsidRPr="00814E99" w:rsidRDefault="001576BB"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t>Comparative effectiveness</w:t>
      </w:r>
    </w:p>
    <w:p w14:paraId="5DE8EC3B" w14:textId="086F19E6" w:rsidR="00412CCE" w:rsidRDefault="00412CCE" w:rsidP="0080749F">
      <w:r w:rsidRPr="00EB3039">
        <w:t>The ADAR did not consider direct effectiveness in terms of health outcomes</w:t>
      </w:r>
      <w:r w:rsidR="009B2DA2">
        <w:t xml:space="preserve"> and did not present any linked evidence to address therapeutic efficacy or effectiveness (health benefit from change in management). However, the </w:t>
      </w:r>
      <w:r w:rsidRPr="00EB3039">
        <w:t xml:space="preserve">ADAR provided </w:t>
      </w:r>
      <w:r w:rsidR="009B2DA2">
        <w:t xml:space="preserve">evidence on </w:t>
      </w:r>
      <w:r w:rsidRPr="00EB3039">
        <w:t xml:space="preserve">test accuracy </w:t>
      </w:r>
      <w:r w:rsidR="009B2DA2">
        <w:t xml:space="preserve">of HSAT/PAT compared with the Level 2 PSG and Level 1 PSG. </w:t>
      </w:r>
    </w:p>
    <w:p w14:paraId="75BC9313" w14:textId="1B297C7E" w:rsidR="00EE036C" w:rsidRDefault="00EE647B" w:rsidP="007D5F6D">
      <w:pPr>
        <w:pStyle w:val="Heading2"/>
        <w:spacing w:before="240"/>
      </w:pPr>
      <w:r>
        <w:t>Accuracy of HSAT/PAT versus Level 2 PSG (main comparator)</w:t>
      </w:r>
    </w:p>
    <w:p w14:paraId="608CEA9D" w14:textId="79D1B288" w:rsidR="009B2DA2" w:rsidRDefault="00EE647B" w:rsidP="00412CCE">
      <w:r>
        <w:t>T</w:t>
      </w:r>
      <w:r w:rsidR="00412CCE">
        <w:t xml:space="preserve">he results from </w:t>
      </w:r>
      <w:r w:rsidR="00EE036C">
        <w:t xml:space="preserve">accuracy trials comparing HSAT/PAT with </w:t>
      </w:r>
      <w:r w:rsidR="00412CCE">
        <w:t>the main comparator, Level 2 PSG</w:t>
      </w:r>
      <w:r>
        <w:t xml:space="preserve"> are presented in </w:t>
      </w:r>
      <w:r>
        <w:fldChar w:fldCharType="begin"/>
      </w:r>
      <w:r>
        <w:instrText xml:space="preserve"> REF _Ref75191515 \h </w:instrText>
      </w:r>
      <w:r>
        <w:fldChar w:fldCharType="separate"/>
      </w:r>
      <w:r w:rsidR="00824C87" w:rsidRPr="00173705">
        <w:t xml:space="preserve">Table </w:t>
      </w:r>
      <w:r w:rsidR="00824C87">
        <w:rPr>
          <w:noProof/>
        </w:rPr>
        <w:t>6</w:t>
      </w:r>
      <w:r>
        <w:fldChar w:fldCharType="end"/>
      </w:r>
      <w:r w:rsidR="00412CCE">
        <w:t>.</w:t>
      </w:r>
    </w:p>
    <w:p w14:paraId="2115C53C" w14:textId="5BAB52E6" w:rsidR="00412CCE" w:rsidRPr="00173705" w:rsidRDefault="00412CCE" w:rsidP="001F668C">
      <w:pPr>
        <w:pStyle w:val="Caption"/>
        <w:rPr>
          <w:snapToGrid w:val="0"/>
        </w:rPr>
      </w:pPr>
      <w:bookmarkStart w:id="14" w:name="_Ref75191515"/>
      <w:bookmarkStart w:id="15" w:name="_Toc70768713"/>
      <w:r w:rsidRPr="00173705">
        <w:lastRenderedPageBreak/>
        <w:t xml:space="preserve">Table </w:t>
      </w:r>
      <w:r w:rsidR="00A930B3">
        <w:fldChar w:fldCharType="begin"/>
      </w:r>
      <w:r w:rsidR="00A930B3">
        <w:instrText xml:space="preserve"> SEQ Table \* ARABIC </w:instrText>
      </w:r>
      <w:r w:rsidR="00A930B3">
        <w:fldChar w:fldCharType="separate"/>
      </w:r>
      <w:r w:rsidR="00824C87">
        <w:rPr>
          <w:noProof/>
        </w:rPr>
        <w:t>6</w:t>
      </w:r>
      <w:r w:rsidR="00A930B3">
        <w:rPr>
          <w:noProof/>
        </w:rPr>
        <w:fldChar w:fldCharType="end"/>
      </w:r>
      <w:bookmarkEnd w:id="14"/>
      <w:r w:rsidRPr="00173705">
        <w:tab/>
      </w:r>
      <w:r w:rsidRPr="00173705">
        <w:rPr>
          <w:snapToGrid w:val="0"/>
        </w:rPr>
        <w:t>Results of accuracy trials comparing</w:t>
      </w:r>
      <w:r>
        <w:rPr>
          <w:snapToGrid w:val="0"/>
        </w:rPr>
        <w:t xml:space="preserve"> HSAT/PAT and Level 2 PSG</w:t>
      </w:r>
      <w:bookmarkEnd w:id="15"/>
    </w:p>
    <w:tbl>
      <w:tblPr>
        <w:tblStyle w:val="TableGrid1"/>
        <w:tblW w:w="5000" w:type="pct"/>
        <w:tblInd w:w="28" w:type="dxa"/>
        <w:tblCellMar>
          <w:left w:w="28" w:type="dxa"/>
          <w:right w:w="28" w:type="dxa"/>
        </w:tblCellMar>
        <w:tblLook w:val="04A0" w:firstRow="1" w:lastRow="0" w:firstColumn="1" w:lastColumn="0" w:noHBand="0" w:noVBand="1"/>
        <w:tblCaption w:val="Table 6 Results of accuracy trials for Level 2 studies"/>
        <w:tblDescription w:val="This table provides a summary of the accuracy findings in the studies for the main comparator, Level 2 studies"/>
      </w:tblPr>
      <w:tblGrid>
        <w:gridCol w:w="1242"/>
        <w:gridCol w:w="1040"/>
        <w:gridCol w:w="1282"/>
        <w:gridCol w:w="781"/>
        <w:gridCol w:w="817"/>
        <w:gridCol w:w="1095"/>
        <w:gridCol w:w="1064"/>
        <w:gridCol w:w="1695"/>
      </w:tblGrid>
      <w:tr w:rsidR="00412CCE" w:rsidRPr="00173705" w14:paraId="5EE3CD6B" w14:textId="77777777" w:rsidTr="009B2DA2">
        <w:trPr>
          <w:cnfStyle w:val="100000000000" w:firstRow="1" w:lastRow="0" w:firstColumn="0" w:lastColumn="0" w:oddVBand="0" w:evenVBand="0" w:oddHBand="0" w:evenHBand="0" w:firstRowFirstColumn="0" w:firstRowLastColumn="0" w:lastRowFirstColumn="0" w:lastRowLastColumn="0"/>
        </w:trPr>
        <w:tc>
          <w:tcPr>
            <w:tcW w:w="689" w:type="pct"/>
            <w:vMerge w:val="restart"/>
            <w:shd w:val="clear" w:color="auto" w:fill="auto"/>
            <w:vAlign w:val="center"/>
          </w:tcPr>
          <w:p w14:paraId="5B3C4F62" w14:textId="77777777" w:rsidR="00412CCE" w:rsidRPr="00173705" w:rsidRDefault="00412CCE" w:rsidP="0080749F">
            <w:pPr>
              <w:pStyle w:val="TableHeading"/>
              <w:tabs>
                <w:tab w:val="left" w:pos="224"/>
              </w:tabs>
              <w:rPr>
                <w:snapToGrid w:val="0"/>
                <w:lang w:eastAsia="en-US"/>
              </w:rPr>
            </w:pPr>
            <w:r>
              <w:rPr>
                <w:snapToGrid w:val="0"/>
                <w:lang w:eastAsia="en-US"/>
              </w:rPr>
              <w:t>Study</w:t>
            </w:r>
          </w:p>
        </w:tc>
        <w:tc>
          <w:tcPr>
            <w:tcW w:w="2781" w:type="pct"/>
            <w:gridSpan w:val="5"/>
            <w:vAlign w:val="center"/>
          </w:tcPr>
          <w:p w14:paraId="33BE5278" w14:textId="77777777" w:rsidR="00412CCE" w:rsidRDefault="00412CCE" w:rsidP="009B2DA2">
            <w:pPr>
              <w:pStyle w:val="Tabletextboldleft"/>
              <w:rPr>
                <w:snapToGrid w:val="0"/>
              </w:rPr>
            </w:pPr>
            <w:r>
              <w:rPr>
                <w:snapToGrid w:val="0"/>
              </w:rPr>
              <w:t>HSAT/PAT</w:t>
            </w:r>
          </w:p>
        </w:tc>
        <w:tc>
          <w:tcPr>
            <w:tcW w:w="590" w:type="pct"/>
            <w:tcBorders>
              <w:right w:val="double" w:sz="4" w:space="0" w:color="auto"/>
            </w:tcBorders>
            <w:vAlign w:val="center"/>
          </w:tcPr>
          <w:p w14:paraId="276EA6B4" w14:textId="77777777" w:rsidR="00412CCE" w:rsidRDefault="00412CCE" w:rsidP="009B2DA2">
            <w:pPr>
              <w:pStyle w:val="Tabletextboldleft"/>
              <w:rPr>
                <w:snapToGrid w:val="0"/>
              </w:rPr>
            </w:pPr>
            <w:r>
              <w:rPr>
                <w:snapToGrid w:val="0"/>
              </w:rPr>
              <w:t>Level 2 PSG</w:t>
            </w:r>
          </w:p>
        </w:tc>
        <w:tc>
          <w:tcPr>
            <w:tcW w:w="940" w:type="pct"/>
            <w:vMerge w:val="restart"/>
            <w:tcBorders>
              <w:left w:val="double" w:sz="4" w:space="0" w:color="auto"/>
            </w:tcBorders>
            <w:vAlign w:val="center"/>
          </w:tcPr>
          <w:p w14:paraId="5AFE0A73" w14:textId="77777777" w:rsidR="00412CCE" w:rsidRDefault="00412CCE" w:rsidP="009B2DA2">
            <w:pPr>
              <w:pStyle w:val="Tabletextboldleft"/>
              <w:rPr>
                <w:snapToGrid w:val="0"/>
              </w:rPr>
            </w:pPr>
            <w:r>
              <w:rPr>
                <w:snapToGrid w:val="0"/>
              </w:rPr>
              <w:t>Correlation: HSAT/PAT and PSG</w:t>
            </w:r>
          </w:p>
        </w:tc>
      </w:tr>
      <w:tr w:rsidR="00412CCE" w:rsidRPr="00173705" w14:paraId="43783B2B" w14:textId="77777777" w:rsidTr="009B2DA2">
        <w:tc>
          <w:tcPr>
            <w:tcW w:w="689" w:type="pct"/>
            <w:vMerge/>
            <w:shd w:val="clear" w:color="auto" w:fill="auto"/>
            <w:vAlign w:val="center"/>
          </w:tcPr>
          <w:p w14:paraId="644C746F" w14:textId="77777777" w:rsidR="00412CCE" w:rsidRPr="00173705" w:rsidRDefault="00412CCE" w:rsidP="0080749F">
            <w:pPr>
              <w:pStyle w:val="TableHeading"/>
              <w:tabs>
                <w:tab w:val="left" w:pos="224"/>
              </w:tabs>
              <w:rPr>
                <w:snapToGrid w:val="0"/>
                <w:lang w:eastAsia="en-US"/>
              </w:rPr>
            </w:pPr>
          </w:p>
        </w:tc>
        <w:tc>
          <w:tcPr>
            <w:tcW w:w="577" w:type="pct"/>
            <w:vAlign w:val="center"/>
          </w:tcPr>
          <w:p w14:paraId="641BBC1C" w14:textId="77777777" w:rsidR="00412CCE" w:rsidRPr="00173705" w:rsidRDefault="00412CCE" w:rsidP="009B2DA2">
            <w:pPr>
              <w:pStyle w:val="Tabletextboldleft"/>
              <w:rPr>
                <w:snapToGrid w:val="0"/>
              </w:rPr>
            </w:pPr>
            <w:r>
              <w:rPr>
                <w:snapToGrid w:val="0"/>
              </w:rPr>
              <w:t>Sensitivity (%)</w:t>
            </w:r>
          </w:p>
        </w:tc>
        <w:tc>
          <w:tcPr>
            <w:tcW w:w="711" w:type="pct"/>
            <w:vAlign w:val="center"/>
          </w:tcPr>
          <w:p w14:paraId="170C6CB2" w14:textId="77777777" w:rsidR="00412CCE" w:rsidRDefault="00412CCE" w:rsidP="009B2DA2">
            <w:pPr>
              <w:pStyle w:val="Tabletextboldleft"/>
              <w:rPr>
                <w:snapToGrid w:val="0"/>
              </w:rPr>
            </w:pPr>
            <w:r>
              <w:rPr>
                <w:snapToGrid w:val="0"/>
              </w:rPr>
              <w:t>Specificity (%)</w:t>
            </w:r>
          </w:p>
        </w:tc>
        <w:tc>
          <w:tcPr>
            <w:tcW w:w="433" w:type="pct"/>
            <w:vAlign w:val="center"/>
          </w:tcPr>
          <w:p w14:paraId="52B29911" w14:textId="77777777" w:rsidR="00412CCE" w:rsidRDefault="00412CCE" w:rsidP="009B2DA2">
            <w:pPr>
              <w:pStyle w:val="Tabletextboldleft"/>
              <w:rPr>
                <w:snapToGrid w:val="0"/>
              </w:rPr>
            </w:pPr>
            <w:r>
              <w:rPr>
                <w:snapToGrid w:val="0"/>
              </w:rPr>
              <w:t>PPV (%)</w:t>
            </w:r>
          </w:p>
        </w:tc>
        <w:tc>
          <w:tcPr>
            <w:tcW w:w="453" w:type="pct"/>
            <w:vAlign w:val="center"/>
          </w:tcPr>
          <w:p w14:paraId="28A7080E" w14:textId="77777777" w:rsidR="00412CCE" w:rsidRDefault="00412CCE" w:rsidP="009B2DA2">
            <w:pPr>
              <w:pStyle w:val="Tabletextboldleft"/>
              <w:rPr>
                <w:snapToGrid w:val="0"/>
              </w:rPr>
            </w:pPr>
            <w:r>
              <w:rPr>
                <w:snapToGrid w:val="0"/>
              </w:rPr>
              <w:t>NPV (%)</w:t>
            </w:r>
          </w:p>
        </w:tc>
        <w:tc>
          <w:tcPr>
            <w:tcW w:w="606" w:type="pct"/>
            <w:vAlign w:val="center"/>
          </w:tcPr>
          <w:p w14:paraId="2AECC3A0" w14:textId="77777777" w:rsidR="00412CCE" w:rsidRDefault="00412CCE" w:rsidP="009B2DA2">
            <w:pPr>
              <w:pStyle w:val="Tabletextboldleft"/>
              <w:rPr>
                <w:snapToGrid w:val="0"/>
              </w:rPr>
            </w:pPr>
            <w:r>
              <w:rPr>
                <w:snapToGrid w:val="0"/>
              </w:rPr>
              <w:t>Failure rate</w:t>
            </w:r>
          </w:p>
        </w:tc>
        <w:tc>
          <w:tcPr>
            <w:tcW w:w="590" w:type="pct"/>
            <w:tcBorders>
              <w:right w:val="double" w:sz="4" w:space="0" w:color="auto"/>
            </w:tcBorders>
            <w:vAlign w:val="center"/>
          </w:tcPr>
          <w:p w14:paraId="58198FFD" w14:textId="77777777" w:rsidR="00412CCE" w:rsidRDefault="00412CCE" w:rsidP="009B2DA2">
            <w:pPr>
              <w:pStyle w:val="Tabletextboldleft"/>
              <w:rPr>
                <w:snapToGrid w:val="0"/>
              </w:rPr>
            </w:pPr>
            <w:r>
              <w:rPr>
                <w:snapToGrid w:val="0"/>
              </w:rPr>
              <w:t>Failure rate</w:t>
            </w:r>
          </w:p>
        </w:tc>
        <w:tc>
          <w:tcPr>
            <w:tcW w:w="940" w:type="pct"/>
            <w:vMerge/>
            <w:tcBorders>
              <w:left w:val="double" w:sz="4" w:space="0" w:color="auto"/>
            </w:tcBorders>
            <w:vAlign w:val="center"/>
          </w:tcPr>
          <w:p w14:paraId="67B5C5F5" w14:textId="77777777" w:rsidR="00412CCE" w:rsidRDefault="00412CCE" w:rsidP="009B2DA2">
            <w:pPr>
              <w:pStyle w:val="Tabletextboldleft"/>
              <w:rPr>
                <w:snapToGrid w:val="0"/>
              </w:rPr>
            </w:pPr>
          </w:p>
        </w:tc>
      </w:tr>
      <w:tr w:rsidR="00412CCE" w:rsidRPr="00C02487" w14:paraId="356FD3FD" w14:textId="77777777" w:rsidTr="009B2DA2">
        <w:tc>
          <w:tcPr>
            <w:tcW w:w="689" w:type="pct"/>
            <w:shd w:val="clear" w:color="auto" w:fill="auto"/>
            <w:vAlign w:val="center"/>
          </w:tcPr>
          <w:p w14:paraId="7682C16D" w14:textId="5C4F388E" w:rsidR="00412CCE" w:rsidRPr="009F1F41" w:rsidRDefault="00412CCE" w:rsidP="009B2DA2">
            <w:pPr>
              <w:pStyle w:val="TableText0"/>
              <w:jc w:val="left"/>
            </w:pPr>
            <w:r w:rsidRPr="009F1F41">
              <w:t>O’Brien 2012 (N=31</w:t>
            </w:r>
            <w:r w:rsidR="009B2DA2">
              <w:t>)</w:t>
            </w:r>
          </w:p>
        </w:tc>
        <w:tc>
          <w:tcPr>
            <w:tcW w:w="577" w:type="pct"/>
            <w:tcBorders>
              <w:right w:val="nil"/>
            </w:tcBorders>
            <w:vAlign w:val="center"/>
          </w:tcPr>
          <w:p w14:paraId="11436684" w14:textId="77777777" w:rsidR="00412CCE" w:rsidRPr="009F1F41" w:rsidRDefault="00412CCE" w:rsidP="009B2DA2">
            <w:pPr>
              <w:pStyle w:val="TableText0"/>
              <w:rPr>
                <w:snapToGrid w:val="0"/>
              </w:rPr>
            </w:pPr>
          </w:p>
        </w:tc>
        <w:tc>
          <w:tcPr>
            <w:tcW w:w="711" w:type="pct"/>
            <w:tcBorders>
              <w:left w:val="nil"/>
              <w:right w:val="nil"/>
            </w:tcBorders>
            <w:vAlign w:val="center"/>
          </w:tcPr>
          <w:p w14:paraId="61C0896D" w14:textId="77777777" w:rsidR="00412CCE" w:rsidRPr="009F1F41" w:rsidRDefault="00412CCE" w:rsidP="009B2DA2">
            <w:pPr>
              <w:pStyle w:val="TableText0"/>
            </w:pPr>
          </w:p>
        </w:tc>
        <w:tc>
          <w:tcPr>
            <w:tcW w:w="433" w:type="pct"/>
            <w:tcBorders>
              <w:left w:val="nil"/>
              <w:right w:val="nil"/>
            </w:tcBorders>
            <w:vAlign w:val="center"/>
          </w:tcPr>
          <w:p w14:paraId="326512A2" w14:textId="77777777" w:rsidR="00412CCE" w:rsidRPr="009F1F41" w:rsidRDefault="00412CCE" w:rsidP="009B2DA2">
            <w:pPr>
              <w:pStyle w:val="TableText0"/>
              <w:rPr>
                <w:snapToGrid w:val="0"/>
              </w:rPr>
            </w:pPr>
          </w:p>
        </w:tc>
        <w:tc>
          <w:tcPr>
            <w:tcW w:w="453" w:type="pct"/>
            <w:tcBorders>
              <w:left w:val="nil"/>
              <w:right w:val="nil"/>
            </w:tcBorders>
            <w:vAlign w:val="center"/>
          </w:tcPr>
          <w:p w14:paraId="6A88AA3D" w14:textId="77777777" w:rsidR="00412CCE" w:rsidRPr="009F1F41" w:rsidRDefault="00412CCE" w:rsidP="009B2DA2">
            <w:pPr>
              <w:pStyle w:val="TableText0"/>
              <w:rPr>
                <w:snapToGrid w:val="0"/>
              </w:rPr>
            </w:pPr>
          </w:p>
        </w:tc>
        <w:tc>
          <w:tcPr>
            <w:tcW w:w="606" w:type="pct"/>
            <w:tcBorders>
              <w:left w:val="nil"/>
              <w:bottom w:val="single" w:sz="4" w:space="0" w:color="auto"/>
              <w:right w:val="nil"/>
            </w:tcBorders>
            <w:vAlign w:val="center"/>
          </w:tcPr>
          <w:p w14:paraId="17F7DAC0" w14:textId="77777777" w:rsidR="00412CCE" w:rsidRPr="009F1F41" w:rsidRDefault="00412CCE" w:rsidP="009B2DA2">
            <w:pPr>
              <w:pStyle w:val="TableText0"/>
            </w:pPr>
          </w:p>
        </w:tc>
        <w:tc>
          <w:tcPr>
            <w:tcW w:w="590" w:type="pct"/>
            <w:tcBorders>
              <w:left w:val="nil"/>
              <w:bottom w:val="single" w:sz="4" w:space="0" w:color="auto"/>
              <w:right w:val="nil"/>
            </w:tcBorders>
            <w:vAlign w:val="center"/>
          </w:tcPr>
          <w:p w14:paraId="1A8FC381" w14:textId="77777777" w:rsidR="00412CCE" w:rsidRPr="009F1F41" w:rsidRDefault="00412CCE" w:rsidP="009B2DA2">
            <w:pPr>
              <w:pStyle w:val="TableText0"/>
            </w:pPr>
          </w:p>
        </w:tc>
        <w:tc>
          <w:tcPr>
            <w:tcW w:w="940" w:type="pct"/>
            <w:tcBorders>
              <w:left w:val="nil"/>
              <w:bottom w:val="single" w:sz="4" w:space="0" w:color="auto"/>
            </w:tcBorders>
            <w:vAlign w:val="center"/>
          </w:tcPr>
          <w:p w14:paraId="184BF7D8" w14:textId="77777777" w:rsidR="00412CCE" w:rsidRDefault="00412CCE" w:rsidP="009B2DA2">
            <w:pPr>
              <w:pStyle w:val="TableText0"/>
            </w:pPr>
          </w:p>
        </w:tc>
      </w:tr>
      <w:tr w:rsidR="00412CCE" w:rsidRPr="00C02487" w14:paraId="4F6551BF" w14:textId="77777777" w:rsidTr="009B2DA2">
        <w:tc>
          <w:tcPr>
            <w:tcW w:w="689" w:type="pct"/>
            <w:shd w:val="clear" w:color="auto" w:fill="auto"/>
            <w:vAlign w:val="center"/>
          </w:tcPr>
          <w:p w14:paraId="1E24656F" w14:textId="5FA4C9E6" w:rsidR="00412CCE" w:rsidRPr="009F1F41" w:rsidRDefault="00412CCE" w:rsidP="009B2DA2">
            <w:pPr>
              <w:pStyle w:val="TableText0"/>
              <w:ind w:firstLine="224"/>
              <w:rPr>
                <w:snapToGrid w:val="0"/>
              </w:rPr>
            </w:pPr>
            <w:r w:rsidRPr="009F1F41">
              <w:t>AHI=6.1</w:t>
            </w:r>
          </w:p>
        </w:tc>
        <w:tc>
          <w:tcPr>
            <w:tcW w:w="577" w:type="pct"/>
            <w:vAlign w:val="center"/>
          </w:tcPr>
          <w:p w14:paraId="7554029A" w14:textId="77777777" w:rsidR="00412CCE" w:rsidRPr="009F1F41" w:rsidRDefault="00412CCE" w:rsidP="00EE036C">
            <w:pPr>
              <w:pStyle w:val="TableText0"/>
              <w:jc w:val="center"/>
              <w:rPr>
                <w:snapToGrid w:val="0"/>
              </w:rPr>
            </w:pPr>
            <w:r w:rsidRPr="009F1F41">
              <w:rPr>
                <w:snapToGrid w:val="0"/>
              </w:rPr>
              <w:t>88%</w:t>
            </w:r>
          </w:p>
        </w:tc>
        <w:tc>
          <w:tcPr>
            <w:tcW w:w="711" w:type="pct"/>
            <w:vAlign w:val="center"/>
          </w:tcPr>
          <w:p w14:paraId="32F4BF63" w14:textId="77777777" w:rsidR="00412CCE" w:rsidRPr="009F1F41" w:rsidRDefault="00412CCE" w:rsidP="00EE036C">
            <w:pPr>
              <w:pStyle w:val="TableText0"/>
              <w:jc w:val="center"/>
              <w:rPr>
                <w:snapToGrid w:val="0"/>
              </w:rPr>
            </w:pPr>
            <w:r w:rsidRPr="009F1F41">
              <w:t>86%</w:t>
            </w:r>
          </w:p>
        </w:tc>
        <w:tc>
          <w:tcPr>
            <w:tcW w:w="433" w:type="pct"/>
            <w:vAlign w:val="center"/>
          </w:tcPr>
          <w:p w14:paraId="725F131A" w14:textId="77777777" w:rsidR="00412CCE" w:rsidRPr="009F1F41" w:rsidRDefault="00412CCE" w:rsidP="00EE036C">
            <w:pPr>
              <w:pStyle w:val="TableText0"/>
              <w:jc w:val="center"/>
              <w:rPr>
                <w:snapToGrid w:val="0"/>
              </w:rPr>
            </w:pPr>
          </w:p>
        </w:tc>
        <w:tc>
          <w:tcPr>
            <w:tcW w:w="453" w:type="pct"/>
            <w:vAlign w:val="center"/>
          </w:tcPr>
          <w:p w14:paraId="446CB9FE" w14:textId="77777777" w:rsidR="00412CCE" w:rsidRPr="009F1F41" w:rsidRDefault="00412CCE" w:rsidP="00EE036C">
            <w:pPr>
              <w:pStyle w:val="TableText0"/>
              <w:jc w:val="center"/>
              <w:rPr>
                <w:snapToGrid w:val="0"/>
              </w:rPr>
            </w:pPr>
          </w:p>
        </w:tc>
        <w:tc>
          <w:tcPr>
            <w:tcW w:w="606" w:type="pct"/>
            <w:tcBorders>
              <w:bottom w:val="nil"/>
            </w:tcBorders>
            <w:vAlign w:val="center"/>
          </w:tcPr>
          <w:p w14:paraId="1A280E55" w14:textId="13FDFD27" w:rsidR="00412CCE" w:rsidRPr="00974734" w:rsidRDefault="00412CCE" w:rsidP="00EE036C">
            <w:pPr>
              <w:pStyle w:val="TableText0"/>
              <w:jc w:val="center"/>
            </w:pPr>
            <w:r w:rsidRPr="009F1F41">
              <w:t>2/37</w:t>
            </w:r>
          </w:p>
        </w:tc>
        <w:tc>
          <w:tcPr>
            <w:tcW w:w="590" w:type="pct"/>
            <w:tcBorders>
              <w:bottom w:val="nil"/>
              <w:right w:val="double" w:sz="4" w:space="0" w:color="auto"/>
            </w:tcBorders>
            <w:vAlign w:val="center"/>
          </w:tcPr>
          <w:p w14:paraId="0DBA8A2E" w14:textId="11E573AC" w:rsidR="00412CCE" w:rsidRPr="009F1F41" w:rsidRDefault="00412CCE" w:rsidP="00EE036C">
            <w:pPr>
              <w:pStyle w:val="TableText0"/>
              <w:jc w:val="center"/>
              <w:rPr>
                <w:snapToGrid w:val="0"/>
              </w:rPr>
            </w:pPr>
            <w:r w:rsidRPr="009F1F41">
              <w:t>5/37</w:t>
            </w:r>
          </w:p>
        </w:tc>
        <w:tc>
          <w:tcPr>
            <w:tcW w:w="940" w:type="pct"/>
            <w:tcBorders>
              <w:left w:val="double" w:sz="4" w:space="0" w:color="auto"/>
              <w:bottom w:val="nil"/>
            </w:tcBorders>
            <w:vAlign w:val="center"/>
          </w:tcPr>
          <w:p w14:paraId="4853BC22" w14:textId="77777777" w:rsidR="00412CCE" w:rsidRPr="00974734" w:rsidRDefault="00412CCE" w:rsidP="00EE036C">
            <w:pPr>
              <w:pStyle w:val="TableText0"/>
              <w:jc w:val="center"/>
            </w:pPr>
            <w:r>
              <w:t>AHI: r=0.73</w:t>
            </w:r>
          </w:p>
        </w:tc>
      </w:tr>
      <w:tr w:rsidR="00412CCE" w:rsidRPr="00C02487" w14:paraId="4E96C2FE" w14:textId="77777777" w:rsidTr="009B2DA2">
        <w:tc>
          <w:tcPr>
            <w:tcW w:w="689" w:type="pct"/>
            <w:shd w:val="clear" w:color="auto" w:fill="auto"/>
            <w:vAlign w:val="center"/>
          </w:tcPr>
          <w:p w14:paraId="7CFDEDB7" w14:textId="4FE2768A" w:rsidR="00412CCE" w:rsidRPr="009F1F41" w:rsidRDefault="00412CCE" w:rsidP="009B2DA2">
            <w:pPr>
              <w:pStyle w:val="TableText0"/>
              <w:ind w:firstLine="224"/>
              <w:rPr>
                <w:snapToGrid w:val="0"/>
              </w:rPr>
            </w:pPr>
            <w:r w:rsidRPr="009F1F41">
              <w:t>AHI ≥5</w:t>
            </w:r>
          </w:p>
        </w:tc>
        <w:tc>
          <w:tcPr>
            <w:tcW w:w="577" w:type="pct"/>
            <w:vAlign w:val="center"/>
          </w:tcPr>
          <w:p w14:paraId="349583D0" w14:textId="77777777" w:rsidR="00412CCE" w:rsidRPr="009F1F41" w:rsidRDefault="00412CCE" w:rsidP="00EE036C">
            <w:pPr>
              <w:pStyle w:val="TableText0"/>
              <w:jc w:val="center"/>
              <w:rPr>
                <w:snapToGrid w:val="0"/>
              </w:rPr>
            </w:pPr>
            <w:r w:rsidRPr="009F1F41">
              <w:rPr>
                <w:snapToGrid w:val="0"/>
              </w:rPr>
              <w:t>88%</w:t>
            </w:r>
          </w:p>
        </w:tc>
        <w:tc>
          <w:tcPr>
            <w:tcW w:w="711" w:type="pct"/>
            <w:vAlign w:val="center"/>
          </w:tcPr>
          <w:p w14:paraId="66EE7FA1" w14:textId="77777777" w:rsidR="00412CCE" w:rsidRPr="009F1F41" w:rsidRDefault="00412CCE" w:rsidP="00EE036C">
            <w:pPr>
              <w:pStyle w:val="TableText0"/>
              <w:jc w:val="center"/>
              <w:rPr>
                <w:snapToGrid w:val="0"/>
              </w:rPr>
            </w:pPr>
            <w:r w:rsidRPr="009F1F41">
              <w:t>87%</w:t>
            </w:r>
          </w:p>
        </w:tc>
        <w:tc>
          <w:tcPr>
            <w:tcW w:w="433" w:type="pct"/>
            <w:vAlign w:val="center"/>
          </w:tcPr>
          <w:p w14:paraId="66A31EC0" w14:textId="77777777" w:rsidR="00412CCE" w:rsidRPr="009F1F41" w:rsidRDefault="00412CCE" w:rsidP="00EE036C">
            <w:pPr>
              <w:pStyle w:val="TableText0"/>
              <w:jc w:val="center"/>
              <w:rPr>
                <w:snapToGrid w:val="0"/>
              </w:rPr>
            </w:pPr>
            <w:r w:rsidRPr="009F1F41">
              <w:t>70%</w:t>
            </w:r>
          </w:p>
        </w:tc>
        <w:tc>
          <w:tcPr>
            <w:tcW w:w="453" w:type="pct"/>
            <w:vAlign w:val="center"/>
          </w:tcPr>
          <w:p w14:paraId="1ADF8EBC" w14:textId="77777777" w:rsidR="00412CCE" w:rsidRPr="009F1F41" w:rsidRDefault="00412CCE" w:rsidP="00EE036C">
            <w:pPr>
              <w:pStyle w:val="TableText0"/>
              <w:jc w:val="center"/>
              <w:rPr>
                <w:snapToGrid w:val="0"/>
              </w:rPr>
            </w:pPr>
            <w:r w:rsidRPr="009F1F41">
              <w:t>95%</w:t>
            </w:r>
          </w:p>
        </w:tc>
        <w:tc>
          <w:tcPr>
            <w:tcW w:w="606" w:type="pct"/>
            <w:tcBorders>
              <w:top w:val="nil"/>
              <w:bottom w:val="nil"/>
            </w:tcBorders>
            <w:vAlign w:val="center"/>
          </w:tcPr>
          <w:p w14:paraId="0D7373C1" w14:textId="77777777" w:rsidR="00412CCE" w:rsidRPr="00C02487" w:rsidRDefault="00412CCE" w:rsidP="00EE036C">
            <w:pPr>
              <w:pStyle w:val="TableText0"/>
              <w:jc w:val="center"/>
              <w:rPr>
                <w:snapToGrid w:val="0"/>
              </w:rPr>
            </w:pPr>
            <w:r w:rsidRPr="009F1F41">
              <w:t>(5.4%)</w:t>
            </w:r>
          </w:p>
        </w:tc>
        <w:tc>
          <w:tcPr>
            <w:tcW w:w="590" w:type="pct"/>
            <w:tcBorders>
              <w:top w:val="nil"/>
              <w:bottom w:val="nil"/>
              <w:right w:val="double" w:sz="4" w:space="0" w:color="auto"/>
            </w:tcBorders>
            <w:vAlign w:val="center"/>
          </w:tcPr>
          <w:p w14:paraId="212C6218" w14:textId="77777777" w:rsidR="00412CCE" w:rsidRPr="00C02487" w:rsidRDefault="00412CCE" w:rsidP="00EE036C">
            <w:pPr>
              <w:pStyle w:val="TableText0"/>
              <w:jc w:val="center"/>
              <w:rPr>
                <w:snapToGrid w:val="0"/>
              </w:rPr>
            </w:pPr>
            <w:r w:rsidRPr="009F1F41">
              <w:t>(13.5%)</w:t>
            </w:r>
          </w:p>
        </w:tc>
        <w:tc>
          <w:tcPr>
            <w:tcW w:w="940" w:type="pct"/>
            <w:tcBorders>
              <w:top w:val="nil"/>
              <w:left w:val="double" w:sz="4" w:space="0" w:color="auto"/>
              <w:bottom w:val="nil"/>
            </w:tcBorders>
            <w:vAlign w:val="center"/>
          </w:tcPr>
          <w:p w14:paraId="3EBC084A" w14:textId="77777777" w:rsidR="00412CCE" w:rsidRPr="00C02487" w:rsidRDefault="00412CCE" w:rsidP="00EE036C">
            <w:pPr>
              <w:pStyle w:val="TableText0"/>
              <w:jc w:val="center"/>
              <w:rPr>
                <w:snapToGrid w:val="0"/>
              </w:rPr>
            </w:pPr>
            <w:r w:rsidRPr="009F1F41">
              <w:t>RDI: r=0.68</w:t>
            </w:r>
          </w:p>
        </w:tc>
      </w:tr>
      <w:tr w:rsidR="00412CCE" w:rsidRPr="00C02487" w14:paraId="0B2F1CE2" w14:textId="77777777" w:rsidTr="009B2DA2">
        <w:tc>
          <w:tcPr>
            <w:tcW w:w="689" w:type="pct"/>
            <w:shd w:val="clear" w:color="auto" w:fill="auto"/>
            <w:vAlign w:val="center"/>
          </w:tcPr>
          <w:p w14:paraId="08C36863" w14:textId="3DEA5AE2" w:rsidR="00412CCE" w:rsidRPr="009F1F41" w:rsidRDefault="00412CCE" w:rsidP="009B2DA2">
            <w:pPr>
              <w:pStyle w:val="TableText0"/>
              <w:ind w:firstLine="224"/>
              <w:rPr>
                <w:snapToGrid w:val="0"/>
              </w:rPr>
            </w:pPr>
            <w:r w:rsidRPr="009F1F41">
              <w:t>RDI ≥10</w:t>
            </w:r>
          </w:p>
        </w:tc>
        <w:tc>
          <w:tcPr>
            <w:tcW w:w="577" w:type="pct"/>
            <w:tcBorders>
              <w:bottom w:val="single" w:sz="4" w:space="0" w:color="auto"/>
            </w:tcBorders>
            <w:vAlign w:val="center"/>
          </w:tcPr>
          <w:p w14:paraId="4B8856D6" w14:textId="77777777" w:rsidR="00412CCE" w:rsidRPr="009F1F41" w:rsidRDefault="00412CCE" w:rsidP="00EE036C">
            <w:pPr>
              <w:pStyle w:val="TableText0"/>
              <w:jc w:val="center"/>
              <w:rPr>
                <w:snapToGrid w:val="0"/>
              </w:rPr>
            </w:pPr>
            <w:r w:rsidRPr="009F1F41">
              <w:rPr>
                <w:snapToGrid w:val="0"/>
              </w:rPr>
              <w:t>100%</w:t>
            </w:r>
          </w:p>
        </w:tc>
        <w:tc>
          <w:tcPr>
            <w:tcW w:w="711" w:type="pct"/>
            <w:tcBorders>
              <w:bottom w:val="single" w:sz="4" w:space="0" w:color="auto"/>
            </w:tcBorders>
            <w:vAlign w:val="center"/>
          </w:tcPr>
          <w:p w14:paraId="48782469" w14:textId="77777777" w:rsidR="00412CCE" w:rsidRPr="009F1F41" w:rsidRDefault="00412CCE" w:rsidP="00EE036C">
            <w:pPr>
              <w:pStyle w:val="TableText0"/>
              <w:jc w:val="center"/>
              <w:rPr>
                <w:snapToGrid w:val="0"/>
              </w:rPr>
            </w:pPr>
            <w:r w:rsidRPr="009F1F41">
              <w:t>81%</w:t>
            </w:r>
          </w:p>
        </w:tc>
        <w:tc>
          <w:tcPr>
            <w:tcW w:w="433" w:type="pct"/>
            <w:tcBorders>
              <w:bottom w:val="single" w:sz="4" w:space="0" w:color="auto"/>
            </w:tcBorders>
            <w:vAlign w:val="center"/>
          </w:tcPr>
          <w:p w14:paraId="4419B3B9" w14:textId="77777777" w:rsidR="00412CCE" w:rsidRPr="009F1F41" w:rsidRDefault="00412CCE" w:rsidP="00EE036C">
            <w:pPr>
              <w:pStyle w:val="TableText0"/>
              <w:jc w:val="center"/>
              <w:rPr>
                <w:snapToGrid w:val="0"/>
              </w:rPr>
            </w:pPr>
            <w:r w:rsidRPr="009F1F41">
              <w:t>50%</w:t>
            </w:r>
          </w:p>
        </w:tc>
        <w:tc>
          <w:tcPr>
            <w:tcW w:w="453" w:type="pct"/>
            <w:tcBorders>
              <w:bottom w:val="single" w:sz="4" w:space="0" w:color="auto"/>
            </w:tcBorders>
            <w:vAlign w:val="center"/>
          </w:tcPr>
          <w:p w14:paraId="2910A968" w14:textId="77777777" w:rsidR="00412CCE" w:rsidRPr="009F1F41" w:rsidRDefault="00412CCE" w:rsidP="00EE036C">
            <w:pPr>
              <w:pStyle w:val="TableText0"/>
              <w:jc w:val="center"/>
              <w:rPr>
                <w:snapToGrid w:val="0"/>
              </w:rPr>
            </w:pPr>
            <w:r w:rsidRPr="009F1F41">
              <w:t>110%</w:t>
            </w:r>
          </w:p>
        </w:tc>
        <w:tc>
          <w:tcPr>
            <w:tcW w:w="606" w:type="pct"/>
            <w:tcBorders>
              <w:top w:val="nil"/>
            </w:tcBorders>
            <w:vAlign w:val="center"/>
          </w:tcPr>
          <w:p w14:paraId="7F3FD584" w14:textId="77777777" w:rsidR="00412CCE" w:rsidRPr="00C02487" w:rsidRDefault="00412CCE" w:rsidP="00EE036C">
            <w:pPr>
              <w:pStyle w:val="TableText0"/>
              <w:jc w:val="center"/>
              <w:rPr>
                <w:snapToGrid w:val="0"/>
              </w:rPr>
            </w:pPr>
          </w:p>
        </w:tc>
        <w:tc>
          <w:tcPr>
            <w:tcW w:w="590" w:type="pct"/>
            <w:tcBorders>
              <w:top w:val="nil"/>
              <w:right w:val="double" w:sz="4" w:space="0" w:color="auto"/>
            </w:tcBorders>
            <w:vAlign w:val="center"/>
          </w:tcPr>
          <w:p w14:paraId="4EEF27E2" w14:textId="77777777" w:rsidR="00412CCE" w:rsidRPr="00C02487" w:rsidRDefault="00412CCE" w:rsidP="00EE036C">
            <w:pPr>
              <w:pStyle w:val="TableText0"/>
              <w:jc w:val="center"/>
              <w:rPr>
                <w:snapToGrid w:val="0"/>
              </w:rPr>
            </w:pPr>
          </w:p>
        </w:tc>
        <w:tc>
          <w:tcPr>
            <w:tcW w:w="940" w:type="pct"/>
            <w:tcBorders>
              <w:top w:val="nil"/>
              <w:left w:val="double" w:sz="4" w:space="0" w:color="auto"/>
            </w:tcBorders>
            <w:vAlign w:val="center"/>
          </w:tcPr>
          <w:p w14:paraId="47D9D78D" w14:textId="77777777" w:rsidR="00412CCE" w:rsidRPr="00C02487" w:rsidRDefault="00412CCE" w:rsidP="00EE036C">
            <w:pPr>
              <w:pStyle w:val="TableText0"/>
              <w:jc w:val="center"/>
              <w:rPr>
                <w:snapToGrid w:val="0"/>
              </w:rPr>
            </w:pPr>
          </w:p>
        </w:tc>
      </w:tr>
      <w:tr w:rsidR="00412CCE" w:rsidRPr="00C02487" w14:paraId="744BD86E" w14:textId="77777777" w:rsidTr="009B2DA2">
        <w:trPr>
          <w:trHeight w:val="280"/>
        </w:trPr>
        <w:tc>
          <w:tcPr>
            <w:tcW w:w="689" w:type="pct"/>
            <w:vMerge w:val="restart"/>
            <w:shd w:val="clear" w:color="auto" w:fill="auto"/>
            <w:vAlign w:val="center"/>
          </w:tcPr>
          <w:p w14:paraId="2973C9B8" w14:textId="77777777" w:rsidR="00412CCE" w:rsidRPr="009F1F41" w:rsidRDefault="00412CCE" w:rsidP="009B2DA2">
            <w:pPr>
              <w:pStyle w:val="TableText0"/>
              <w:jc w:val="left"/>
            </w:pPr>
            <w:r w:rsidRPr="009F1F41">
              <w:t>Zou 2006 (N=98)</w:t>
            </w:r>
          </w:p>
        </w:tc>
        <w:tc>
          <w:tcPr>
            <w:tcW w:w="577" w:type="pct"/>
            <w:vMerge w:val="restart"/>
            <w:tcBorders>
              <w:right w:val="nil"/>
            </w:tcBorders>
            <w:vAlign w:val="center"/>
          </w:tcPr>
          <w:p w14:paraId="5A0E537C" w14:textId="77777777" w:rsidR="00412CCE" w:rsidRPr="009F1F41" w:rsidRDefault="00412CCE" w:rsidP="009B2DA2">
            <w:pPr>
              <w:pStyle w:val="TableText0"/>
              <w:rPr>
                <w:snapToGrid w:val="0"/>
              </w:rPr>
            </w:pPr>
          </w:p>
        </w:tc>
        <w:tc>
          <w:tcPr>
            <w:tcW w:w="711" w:type="pct"/>
            <w:vMerge w:val="restart"/>
            <w:tcBorders>
              <w:left w:val="nil"/>
              <w:right w:val="nil"/>
            </w:tcBorders>
            <w:vAlign w:val="center"/>
          </w:tcPr>
          <w:p w14:paraId="72A5AC5D" w14:textId="77777777" w:rsidR="00412CCE" w:rsidRPr="009F1F41" w:rsidRDefault="00412CCE" w:rsidP="009B2DA2">
            <w:pPr>
              <w:pStyle w:val="TableText0"/>
            </w:pPr>
            <w:r>
              <w:rPr>
                <w:snapToGrid w:val="0"/>
              </w:rPr>
              <w:t>NR</w:t>
            </w:r>
          </w:p>
        </w:tc>
        <w:tc>
          <w:tcPr>
            <w:tcW w:w="433" w:type="pct"/>
            <w:vMerge w:val="restart"/>
            <w:tcBorders>
              <w:left w:val="nil"/>
              <w:right w:val="nil"/>
            </w:tcBorders>
            <w:vAlign w:val="center"/>
          </w:tcPr>
          <w:p w14:paraId="58D25056" w14:textId="77777777" w:rsidR="00412CCE" w:rsidRPr="009F1F41" w:rsidRDefault="00412CCE" w:rsidP="009B2DA2">
            <w:pPr>
              <w:pStyle w:val="TableText0"/>
            </w:pPr>
          </w:p>
        </w:tc>
        <w:tc>
          <w:tcPr>
            <w:tcW w:w="453" w:type="pct"/>
            <w:vMerge w:val="restart"/>
            <w:tcBorders>
              <w:left w:val="nil"/>
            </w:tcBorders>
            <w:vAlign w:val="center"/>
          </w:tcPr>
          <w:p w14:paraId="1760EA75" w14:textId="77777777" w:rsidR="00412CCE" w:rsidRPr="009F1F41" w:rsidRDefault="00412CCE" w:rsidP="009B2DA2">
            <w:pPr>
              <w:pStyle w:val="TableText0"/>
            </w:pPr>
          </w:p>
        </w:tc>
        <w:tc>
          <w:tcPr>
            <w:tcW w:w="606" w:type="pct"/>
            <w:vMerge w:val="restart"/>
            <w:vAlign w:val="center"/>
          </w:tcPr>
          <w:p w14:paraId="7C0F3D9A" w14:textId="77777777" w:rsidR="00412CCE" w:rsidRPr="00C02487" w:rsidRDefault="00412CCE" w:rsidP="00EE036C">
            <w:pPr>
              <w:pStyle w:val="TableText0"/>
              <w:jc w:val="center"/>
              <w:rPr>
                <w:snapToGrid w:val="0"/>
              </w:rPr>
            </w:pPr>
            <w:r w:rsidRPr="009F1F41">
              <w:t>8/106 (7.5%)</w:t>
            </w:r>
          </w:p>
        </w:tc>
        <w:tc>
          <w:tcPr>
            <w:tcW w:w="590" w:type="pct"/>
            <w:vMerge w:val="restart"/>
            <w:tcBorders>
              <w:right w:val="double" w:sz="4" w:space="0" w:color="auto"/>
            </w:tcBorders>
            <w:vAlign w:val="center"/>
          </w:tcPr>
          <w:p w14:paraId="6FBB3880" w14:textId="77777777" w:rsidR="00412CCE" w:rsidRPr="00C02487" w:rsidRDefault="00412CCE" w:rsidP="00EE036C">
            <w:pPr>
              <w:pStyle w:val="TableText0"/>
              <w:jc w:val="center"/>
              <w:rPr>
                <w:snapToGrid w:val="0"/>
              </w:rPr>
            </w:pPr>
            <w:r>
              <w:rPr>
                <w:snapToGrid w:val="0"/>
              </w:rPr>
              <w:t>NR</w:t>
            </w:r>
          </w:p>
        </w:tc>
        <w:tc>
          <w:tcPr>
            <w:tcW w:w="940" w:type="pct"/>
            <w:tcBorders>
              <w:left w:val="double" w:sz="4" w:space="0" w:color="auto"/>
            </w:tcBorders>
            <w:vAlign w:val="center"/>
          </w:tcPr>
          <w:p w14:paraId="7C737491" w14:textId="77777777" w:rsidR="00412CCE" w:rsidRPr="00974734" w:rsidRDefault="00412CCE" w:rsidP="00EE036C">
            <w:pPr>
              <w:pStyle w:val="TableText0"/>
              <w:jc w:val="center"/>
            </w:pPr>
            <w:r>
              <w:t>AHI: r=0.90</w:t>
            </w:r>
          </w:p>
        </w:tc>
      </w:tr>
      <w:tr w:rsidR="00412CCE" w:rsidRPr="00C02487" w14:paraId="372179BF" w14:textId="77777777" w:rsidTr="009B2DA2">
        <w:trPr>
          <w:trHeight w:val="280"/>
        </w:trPr>
        <w:tc>
          <w:tcPr>
            <w:tcW w:w="689" w:type="pct"/>
            <w:vMerge/>
            <w:shd w:val="clear" w:color="auto" w:fill="auto"/>
            <w:vAlign w:val="center"/>
          </w:tcPr>
          <w:p w14:paraId="1CBAFA9C" w14:textId="77777777" w:rsidR="00412CCE" w:rsidRPr="009F1F41" w:rsidRDefault="00412CCE" w:rsidP="009B2DA2">
            <w:pPr>
              <w:pStyle w:val="TableText0"/>
            </w:pPr>
          </w:p>
        </w:tc>
        <w:tc>
          <w:tcPr>
            <w:tcW w:w="577" w:type="pct"/>
            <w:vMerge/>
            <w:tcBorders>
              <w:right w:val="nil"/>
            </w:tcBorders>
            <w:vAlign w:val="center"/>
          </w:tcPr>
          <w:p w14:paraId="4C2CF5E2" w14:textId="77777777" w:rsidR="00412CCE" w:rsidRPr="009F1F41" w:rsidRDefault="00412CCE" w:rsidP="009B2DA2">
            <w:pPr>
              <w:pStyle w:val="TableText0"/>
              <w:rPr>
                <w:snapToGrid w:val="0"/>
              </w:rPr>
            </w:pPr>
          </w:p>
        </w:tc>
        <w:tc>
          <w:tcPr>
            <w:tcW w:w="711" w:type="pct"/>
            <w:vMerge/>
            <w:tcBorders>
              <w:left w:val="nil"/>
              <w:right w:val="nil"/>
            </w:tcBorders>
            <w:vAlign w:val="center"/>
          </w:tcPr>
          <w:p w14:paraId="73E1B651" w14:textId="77777777" w:rsidR="00412CCE" w:rsidRDefault="00412CCE" w:rsidP="009B2DA2">
            <w:pPr>
              <w:pStyle w:val="TableText0"/>
              <w:rPr>
                <w:snapToGrid w:val="0"/>
              </w:rPr>
            </w:pPr>
          </w:p>
        </w:tc>
        <w:tc>
          <w:tcPr>
            <w:tcW w:w="433" w:type="pct"/>
            <w:vMerge/>
            <w:tcBorders>
              <w:left w:val="nil"/>
              <w:right w:val="nil"/>
            </w:tcBorders>
            <w:vAlign w:val="center"/>
          </w:tcPr>
          <w:p w14:paraId="351C2BC0" w14:textId="77777777" w:rsidR="00412CCE" w:rsidRPr="009F1F41" w:rsidRDefault="00412CCE" w:rsidP="009B2DA2">
            <w:pPr>
              <w:pStyle w:val="TableText0"/>
            </w:pPr>
          </w:p>
        </w:tc>
        <w:tc>
          <w:tcPr>
            <w:tcW w:w="453" w:type="pct"/>
            <w:vMerge/>
            <w:tcBorders>
              <w:left w:val="nil"/>
            </w:tcBorders>
            <w:vAlign w:val="center"/>
          </w:tcPr>
          <w:p w14:paraId="14C73500" w14:textId="77777777" w:rsidR="00412CCE" w:rsidRPr="009F1F41" w:rsidRDefault="00412CCE" w:rsidP="009B2DA2">
            <w:pPr>
              <w:pStyle w:val="TableText0"/>
            </w:pPr>
          </w:p>
        </w:tc>
        <w:tc>
          <w:tcPr>
            <w:tcW w:w="606" w:type="pct"/>
            <w:vMerge/>
            <w:vAlign w:val="center"/>
          </w:tcPr>
          <w:p w14:paraId="39490915" w14:textId="77777777" w:rsidR="00412CCE" w:rsidRPr="009F1F41" w:rsidRDefault="00412CCE" w:rsidP="00EE036C">
            <w:pPr>
              <w:pStyle w:val="TableText0"/>
              <w:jc w:val="center"/>
            </w:pPr>
          </w:p>
        </w:tc>
        <w:tc>
          <w:tcPr>
            <w:tcW w:w="590" w:type="pct"/>
            <w:vMerge/>
            <w:tcBorders>
              <w:right w:val="double" w:sz="4" w:space="0" w:color="auto"/>
            </w:tcBorders>
            <w:vAlign w:val="center"/>
          </w:tcPr>
          <w:p w14:paraId="41EE3A6E" w14:textId="77777777" w:rsidR="00412CCE" w:rsidRDefault="00412CCE" w:rsidP="00EE036C">
            <w:pPr>
              <w:pStyle w:val="TableText0"/>
              <w:jc w:val="center"/>
              <w:rPr>
                <w:snapToGrid w:val="0"/>
              </w:rPr>
            </w:pPr>
          </w:p>
        </w:tc>
        <w:tc>
          <w:tcPr>
            <w:tcW w:w="940" w:type="pct"/>
            <w:tcBorders>
              <w:left w:val="double" w:sz="4" w:space="0" w:color="auto"/>
            </w:tcBorders>
            <w:vAlign w:val="center"/>
          </w:tcPr>
          <w:p w14:paraId="6B445298" w14:textId="77777777" w:rsidR="00412CCE" w:rsidRDefault="00412CCE" w:rsidP="00EE036C">
            <w:pPr>
              <w:pStyle w:val="TableText0"/>
              <w:jc w:val="center"/>
            </w:pPr>
            <w:r>
              <w:t>RDI: r=0.88</w:t>
            </w:r>
          </w:p>
        </w:tc>
      </w:tr>
      <w:tr w:rsidR="00412CCE" w:rsidRPr="00C02487" w14:paraId="2B1DB013" w14:textId="77777777" w:rsidTr="009B2DA2">
        <w:trPr>
          <w:trHeight w:val="280"/>
        </w:trPr>
        <w:tc>
          <w:tcPr>
            <w:tcW w:w="689" w:type="pct"/>
            <w:vMerge/>
            <w:shd w:val="clear" w:color="auto" w:fill="auto"/>
            <w:vAlign w:val="center"/>
          </w:tcPr>
          <w:p w14:paraId="1A4856DA" w14:textId="77777777" w:rsidR="00412CCE" w:rsidRPr="009F1F41" w:rsidRDefault="00412CCE" w:rsidP="009B2DA2">
            <w:pPr>
              <w:pStyle w:val="TableText0"/>
            </w:pPr>
          </w:p>
        </w:tc>
        <w:tc>
          <w:tcPr>
            <w:tcW w:w="577" w:type="pct"/>
            <w:vMerge/>
            <w:tcBorders>
              <w:right w:val="nil"/>
            </w:tcBorders>
            <w:vAlign w:val="center"/>
          </w:tcPr>
          <w:p w14:paraId="6438A117" w14:textId="77777777" w:rsidR="00412CCE" w:rsidRPr="009F1F41" w:rsidRDefault="00412CCE" w:rsidP="009B2DA2">
            <w:pPr>
              <w:pStyle w:val="TableText0"/>
              <w:rPr>
                <w:snapToGrid w:val="0"/>
              </w:rPr>
            </w:pPr>
          </w:p>
        </w:tc>
        <w:tc>
          <w:tcPr>
            <w:tcW w:w="711" w:type="pct"/>
            <w:vMerge/>
            <w:tcBorders>
              <w:left w:val="nil"/>
              <w:right w:val="nil"/>
            </w:tcBorders>
            <w:vAlign w:val="center"/>
          </w:tcPr>
          <w:p w14:paraId="6B88DC86" w14:textId="77777777" w:rsidR="00412CCE" w:rsidRDefault="00412CCE" w:rsidP="009B2DA2">
            <w:pPr>
              <w:pStyle w:val="TableText0"/>
              <w:rPr>
                <w:snapToGrid w:val="0"/>
              </w:rPr>
            </w:pPr>
          </w:p>
        </w:tc>
        <w:tc>
          <w:tcPr>
            <w:tcW w:w="433" w:type="pct"/>
            <w:vMerge/>
            <w:tcBorders>
              <w:left w:val="nil"/>
              <w:right w:val="nil"/>
            </w:tcBorders>
            <w:vAlign w:val="center"/>
          </w:tcPr>
          <w:p w14:paraId="7C80F377" w14:textId="77777777" w:rsidR="00412CCE" w:rsidRPr="009F1F41" w:rsidRDefault="00412CCE" w:rsidP="009B2DA2">
            <w:pPr>
              <w:pStyle w:val="TableText0"/>
            </w:pPr>
          </w:p>
        </w:tc>
        <w:tc>
          <w:tcPr>
            <w:tcW w:w="453" w:type="pct"/>
            <w:vMerge/>
            <w:tcBorders>
              <w:left w:val="nil"/>
            </w:tcBorders>
            <w:vAlign w:val="center"/>
          </w:tcPr>
          <w:p w14:paraId="7A0926EB" w14:textId="77777777" w:rsidR="00412CCE" w:rsidRPr="009F1F41" w:rsidRDefault="00412CCE" w:rsidP="009B2DA2">
            <w:pPr>
              <w:pStyle w:val="TableText0"/>
            </w:pPr>
          </w:p>
        </w:tc>
        <w:tc>
          <w:tcPr>
            <w:tcW w:w="606" w:type="pct"/>
            <w:vMerge/>
            <w:vAlign w:val="center"/>
          </w:tcPr>
          <w:p w14:paraId="4C270DF7" w14:textId="77777777" w:rsidR="00412CCE" w:rsidRPr="009F1F41" w:rsidRDefault="00412CCE" w:rsidP="00EE036C">
            <w:pPr>
              <w:pStyle w:val="TableText0"/>
              <w:jc w:val="center"/>
            </w:pPr>
          </w:p>
        </w:tc>
        <w:tc>
          <w:tcPr>
            <w:tcW w:w="590" w:type="pct"/>
            <w:vMerge/>
            <w:tcBorders>
              <w:right w:val="double" w:sz="4" w:space="0" w:color="auto"/>
            </w:tcBorders>
            <w:vAlign w:val="center"/>
          </w:tcPr>
          <w:p w14:paraId="114F9BAB" w14:textId="77777777" w:rsidR="00412CCE" w:rsidRDefault="00412CCE" w:rsidP="00EE036C">
            <w:pPr>
              <w:pStyle w:val="TableText0"/>
              <w:jc w:val="center"/>
              <w:rPr>
                <w:snapToGrid w:val="0"/>
              </w:rPr>
            </w:pPr>
          </w:p>
        </w:tc>
        <w:tc>
          <w:tcPr>
            <w:tcW w:w="940" w:type="pct"/>
            <w:tcBorders>
              <w:left w:val="double" w:sz="4" w:space="0" w:color="auto"/>
            </w:tcBorders>
            <w:vAlign w:val="center"/>
          </w:tcPr>
          <w:p w14:paraId="3613A7EB" w14:textId="77777777" w:rsidR="00412CCE" w:rsidRPr="00974734" w:rsidRDefault="00412CCE" w:rsidP="00EE036C">
            <w:pPr>
              <w:pStyle w:val="TableText0"/>
              <w:jc w:val="center"/>
            </w:pPr>
            <w:r w:rsidRPr="00974734">
              <w:t>ODI: r=0.92</w:t>
            </w:r>
          </w:p>
        </w:tc>
      </w:tr>
    </w:tbl>
    <w:p w14:paraId="2CF88A3E" w14:textId="77777777" w:rsidR="00412CCE" w:rsidRDefault="00412CCE" w:rsidP="00412CCE">
      <w:pPr>
        <w:rPr>
          <w:rFonts w:ascii="Arial Narrow" w:hAnsi="Arial Narrow"/>
          <w:sz w:val="18"/>
          <w:szCs w:val="18"/>
        </w:rPr>
      </w:pPr>
      <w:r w:rsidRPr="00755402">
        <w:rPr>
          <w:rFonts w:ascii="Arial Narrow" w:hAnsi="Arial Narrow"/>
          <w:sz w:val="18"/>
          <w:szCs w:val="18"/>
        </w:rPr>
        <w:t>Source:</w:t>
      </w:r>
      <w:r>
        <w:rPr>
          <w:rFonts w:ascii="Arial Narrow" w:hAnsi="Arial Narrow"/>
          <w:sz w:val="18"/>
          <w:szCs w:val="18"/>
        </w:rPr>
        <w:t xml:space="preserve">  Table 13, p81 of the ADAR.</w:t>
      </w:r>
    </w:p>
    <w:p w14:paraId="55DC2EFC" w14:textId="0FC2932E" w:rsidR="00412CCE" w:rsidRDefault="00EE036C" w:rsidP="00412CCE">
      <w:pPr>
        <w:rPr>
          <w:rFonts w:ascii="Arial Narrow" w:hAnsi="Arial Narrow"/>
          <w:sz w:val="18"/>
          <w:szCs w:val="18"/>
        </w:rPr>
      </w:pPr>
      <w:r>
        <w:rPr>
          <w:rFonts w:ascii="Arial Narrow" w:hAnsi="Arial Narrow"/>
          <w:sz w:val="18"/>
          <w:szCs w:val="18"/>
        </w:rPr>
        <w:t xml:space="preserve">Abbreviations: </w:t>
      </w:r>
      <w:r w:rsidR="00412CCE">
        <w:rPr>
          <w:rFonts w:ascii="Arial Narrow" w:hAnsi="Arial Narrow"/>
          <w:sz w:val="18"/>
          <w:szCs w:val="18"/>
        </w:rPr>
        <w:t>AHI=apnoea hypopnoea index; HSAT/PAT=home sleep apnoea test utilising peripheral arterial tone; NPV=negative predictive value; NR=not reported; ODI=oxygen desaturation index; OSA=obstructive sleep apnoea; PPV=positive predictive value; PSG=polysomnography; RDI=respiratory disturbance index</w:t>
      </w:r>
    </w:p>
    <w:p w14:paraId="7B0357CE" w14:textId="3B33CA2D" w:rsidR="00412CCE" w:rsidRPr="0080749F" w:rsidRDefault="00412CCE" w:rsidP="007D5F6D">
      <w:pPr>
        <w:spacing w:before="240"/>
      </w:pPr>
      <w:r>
        <w:t xml:space="preserve">The ADAR acknowledged (p60) that comparison between the two studies is limited due to the nature of the baseline characteristics, and there are substantial differences in gender, age and </w:t>
      </w:r>
      <w:r w:rsidRPr="0080749F">
        <w:t xml:space="preserve">BMI. </w:t>
      </w:r>
      <w:r w:rsidR="00EE036C" w:rsidRPr="00C8153E">
        <w:t>However, t</w:t>
      </w:r>
      <w:r w:rsidRPr="00C8153E">
        <w:t>he ADAR c</w:t>
      </w:r>
      <w:r w:rsidR="00EE036C" w:rsidRPr="00C8153E">
        <w:t xml:space="preserve">laimed that </w:t>
      </w:r>
      <w:r w:rsidRPr="00C8153E">
        <w:t xml:space="preserve">HSAT/PAT accuracy to be closely correlated with </w:t>
      </w:r>
      <w:r w:rsidR="00C8153E">
        <w:t>Level 2 PSG based</w:t>
      </w:r>
      <w:r w:rsidR="00EE036C" w:rsidRPr="00C8153E">
        <w:t xml:space="preserve"> on the findings of O’Brien</w:t>
      </w:r>
      <w:r w:rsidR="00C81841" w:rsidRPr="00C8153E">
        <w:t xml:space="preserve"> et al. (</w:t>
      </w:r>
      <w:r w:rsidR="00EE036C" w:rsidRPr="00C8153E">
        <w:t>2012</w:t>
      </w:r>
      <w:r w:rsidR="00C81841" w:rsidRPr="00C8153E">
        <w:t>)</w:t>
      </w:r>
      <w:r w:rsidR="00EE036C" w:rsidRPr="00C8153E">
        <w:t xml:space="preserve"> and Zou </w:t>
      </w:r>
      <w:r w:rsidR="00901C43" w:rsidRPr="00C8153E">
        <w:t>et al. (</w:t>
      </w:r>
      <w:r w:rsidR="00EE036C" w:rsidRPr="00C8153E">
        <w:t>2006</w:t>
      </w:r>
      <w:r w:rsidR="00901C43" w:rsidRPr="00C8153E">
        <w:t>)</w:t>
      </w:r>
      <w:r w:rsidR="00EE036C" w:rsidRPr="00C8153E">
        <w:t xml:space="preserve"> (</w:t>
      </w:r>
      <w:r w:rsidR="00EE036C" w:rsidRPr="00C8153E">
        <w:fldChar w:fldCharType="begin"/>
      </w:r>
      <w:r w:rsidR="00EE036C" w:rsidRPr="00C8153E">
        <w:instrText xml:space="preserve"> REF _Ref75191515 \h </w:instrText>
      </w:r>
      <w:r w:rsidR="00295EF8" w:rsidRPr="008D6416">
        <w:instrText xml:space="preserve"> \* MERGEFORMAT </w:instrText>
      </w:r>
      <w:r w:rsidR="00EE036C" w:rsidRPr="00C8153E">
        <w:fldChar w:fldCharType="separate"/>
      </w:r>
      <w:r w:rsidR="00824C87" w:rsidRPr="00173705">
        <w:t xml:space="preserve">Table </w:t>
      </w:r>
      <w:r w:rsidR="00824C87">
        <w:rPr>
          <w:noProof/>
        </w:rPr>
        <w:t>6</w:t>
      </w:r>
      <w:r w:rsidR="00EE036C" w:rsidRPr="00C8153E">
        <w:fldChar w:fldCharType="end"/>
      </w:r>
      <w:r w:rsidR="00EE036C" w:rsidRPr="00C8153E">
        <w:t>)</w:t>
      </w:r>
      <w:r w:rsidRPr="00C8153E">
        <w:t>.</w:t>
      </w:r>
      <w:r w:rsidRPr="0080749F">
        <w:t xml:space="preserve"> The </w:t>
      </w:r>
      <w:r w:rsidR="0080749F" w:rsidRPr="0080749F">
        <w:t xml:space="preserve">commentary noted the </w:t>
      </w:r>
      <w:r w:rsidRPr="0080749F">
        <w:t>correlation levels differed across the two studies.  For AHI, the correlation was considerably lower in the O’Brien</w:t>
      </w:r>
      <w:r w:rsidR="00C81841">
        <w:t xml:space="preserve"> et al.</w:t>
      </w:r>
      <w:r w:rsidRPr="0080749F">
        <w:t xml:space="preserve"> (2012) study (r=0.73) compared to the r=0.90 in the Zou </w:t>
      </w:r>
      <w:r w:rsidR="00901C43">
        <w:t xml:space="preserve">et al. </w:t>
      </w:r>
      <w:r w:rsidRPr="0080749F">
        <w:t>(2006) study, with similar inconsistency for RDI (r=0.68 and r-0.88, respectively). The inconsistency in correlation values is a concern, along with the lower correlation observed in the O’Brien</w:t>
      </w:r>
      <w:r w:rsidR="00C81841">
        <w:t xml:space="preserve"> et al.</w:t>
      </w:r>
      <w:r w:rsidRPr="0080749F">
        <w:t xml:space="preserve"> (2012) study.</w:t>
      </w:r>
    </w:p>
    <w:p w14:paraId="4A4C6702" w14:textId="4917A364" w:rsidR="00412CCE" w:rsidRDefault="00412CCE" w:rsidP="007D5F6D">
      <w:pPr>
        <w:spacing w:before="240"/>
      </w:pPr>
      <w:r w:rsidRPr="0080749F">
        <w:t>For Zou</w:t>
      </w:r>
      <w:r w:rsidR="00901C43">
        <w:t xml:space="preserve"> et al.</w:t>
      </w:r>
      <w:r w:rsidRPr="0080749F">
        <w:t xml:space="preserve"> (2006) sensitivity, specificity, positive predictive value (PPV) and negative predictive value (NPV) values were not available. </w:t>
      </w:r>
      <w:r w:rsidR="0080749F" w:rsidRPr="0080749F">
        <w:t>The commentary considered that g</w:t>
      </w:r>
      <w:r w:rsidRPr="0080749F">
        <w:t xml:space="preserve">iven the lack of data, and inconsistent results, there is little support that HSAT/PAT and Level 2 PSG are non-inferior, as claimed by the ADAR. In addition, the patient population was highly selected (pregnant women and patients selected from a hypertension and diabetes database) and is not representative of proposed use of HSAT/PAT on the MBS.  </w:t>
      </w:r>
    </w:p>
    <w:p w14:paraId="4E9D8CAA" w14:textId="2E284125" w:rsidR="00EE647B" w:rsidRDefault="00EE647B" w:rsidP="007D5F6D">
      <w:pPr>
        <w:pStyle w:val="Heading2"/>
        <w:spacing w:before="240"/>
      </w:pPr>
      <w:r>
        <w:t>Accuracy of HSAT/PAT versus Level 1 PSG (s</w:t>
      </w:r>
      <w:r w:rsidR="006965C5">
        <w:t>econdar</w:t>
      </w:r>
      <w:r>
        <w:t>y comparator)</w:t>
      </w:r>
    </w:p>
    <w:p w14:paraId="5BBE91DD" w14:textId="38EEB921" w:rsidR="007D5F6D" w:rsidRDefault="00EE647B" w:rsidP="007D5F6D">
      <w:r>
        <w:t xml:space="preserve">The results from accuracy trials comparing HSAT/PAT with Level 1 PSG are presented in </w:t>
      </w:r>
      <w:r>
        <w:fldChar w:fldCharType="begin"/>
      </w:r>
      <w:r>
        <w:instrText xml:space="preserve"> REF _Ref75192149 \h </w:instrText>
      </w:r>
      <w:r>
        <w:fldChar w:fldCharType="separate"/>
      </w:r>
      <w:r w:rsidR="00824C87" w:rsidRPr="00173705">
        <w:t xml:space="preserve">Table </w:t>
      </w:r>
      <w:r w:rsidR="00824C87">
        <w:rPr>
          <w:noProof/>
        </w:rPr>
        <w:t>7</w:t>
      </w:r>
      <w:r>
        <w:fldChar w:fldCharType="end"/>
      </w:r>
      <w:r w:rsidR="00077496">
        <w:t>.</w:t>
      </w:r>
      <w:r w:rsidR="007D5F6D">
        <w:br w:type="page"/>
      </w:r>
    </w:p>
    <w:p w14:paraId="7795905D" w14:textId="113F1C98" w:rsidR="00412CCE" w:rsidRPr="00173705" w:rsidRDefault="00412CCE" w:rsidP="007D5F6D">
      <w:pPr>
        <w:pStyle w:val="Caption"/>
        <w:spacing w:before="240"/>
        <w:rPr>
          <w:snapToGrid w:val="0"/>
        </w:rPr>
      </w:pPr>
      <w:bookmarkStart w:id="16" w:name="_Ref75192149"/>
      <w:bookmarkStart w:id="17" w:name="_Toc70768714"/>
      <w:r w:rsidRPr="00173705">
        <w:lastRenderedPageBreak/>
        <w:t xml:space="preserve">Table </w:t>
      </w:r>
      <w:r w:rsidR="00A930B3">
        <w:fldChar w:fldCharType="begin"/>
      </w:r>
      <w:r w:rsidR="00A930B3">
        <w:instrText xml:space="preserve"> SEQ Tab</w:instrText>
      </w:r>
      <w:r w:rsidR="00A930B3">
        <w:instrText xml:space="preserve">le \* ARABIC </w:instrText>
      </w:r>
      <w:r w:rsidR="00A930B3">
        <w:fldChar w:fldCharType="separate"/>
      </w:r>
      <w:r w:rsidR="00824C87">
        <w:rPr>
          <w:noProof/>
        </w:rPr>
        <w:t>7</w:t>
      </w:r>
      <w:r w:rsidR="00A930B3">
        <w:rPr>
          <w:noProof/>
        </w:rPr>
        <w:fldChar w:fldCharType="end"/>
      </w:r>
      <w:bookmarkEnd w:id="16"/>
      <w:r w:rsidRPr="00173705">
        <w:tab/>
      </w:r>
      <w:r w:rsidRPr="00173705">
        <w:rPr>
          <w:snapToGrid w:val="0"/>
        </w:rPr>
        <w:t>Results of accuracy trials comparing</w:t>
      </w:r>
      <w:r>
        <w:rPr>
          <w:snapToGrid w:val="0"/>
        </w:rPr>
        <w:t xml:space="preserve"> HSAT/PAT and Level 1 PSG</w:t>
      </w:r>
      <w:bookmarkEnd w:id="17"/>
    </w:p>
    <w:tbl>
      <w:tblPr>
        <w:tblStyle w:val="TableGrid1"/>
        <w:tblW w:w="4968" w:type="pct"/>
        <w:tblInd w:w="28" w:type="dxa"/>
        <w:tblCellMar>
          <w:left w:w="28" w:type="dxa"/>
          <w:right w:w="28" w:type="dxa"/>
        </w:tblCellMar>
        <w:tblLook w:val="04A0" w:firstRow="1" w:lastRow="0" w:firstColumn="1" w:lastColumn="0" w:noHBand="0" w:noVBand="1"/>
        <w:tblCaption w:val="Table 7 Results of accuracy trials comparing HSAT/PAT and Level 1 PSG"/>
        <w:tblDescription w:val="This table provides a summary of the findings in each study for the secondary comparator, Level 1 PSG"/>
      </w:tblPr>
      <w:tblGrid>
        <w:gridCol w:w="1787"/>
        <w:gridCol w:w="1161"/>
        <w:gridCol w:w="1161"/>
        <w:gridCol w:w="662"/>
        <w:gridCol w:w="699"/>
        <w:gridCol w:w="976"/>
        <w:gridCol w:w="946"/>
        <w:gridCol w:w="1566"/>
      </w:tblGrid>
      <w:tr w:rsidR="00412CCE" w:rsidRPr="00173705" w14:paraId="2FB2C431" w14:textId="77777777" w:rsidTr="0080749F">
        <w:trPr>
          <w:cnfStyle w:val="100000000000" w:firstRow="1" w:lastRow="0" w:firstColumn="0" w:lastColumn="0" w:oddVBand="0" w:evenVBand="0" w:oddHBand="0" w:evenHBand="0" w:firstRowFirstColumn="0" w:firstRowLastColumn="0" w:lastRowFirstColumn="0" w:lastRowLastColumn="0"/>
        </w:trPr>
        <w:tc>
          <w:tcPr>
            <w:tcW w:w="616" w:type="pct"/>
            <w:vMerge w:val="restart"/>
            <w:shd w:val="clear" w:color="auto" w:fill="auto"/>
            <w:vAlign w:val="center"/>
          </w:tcPr>
          <w:p w14:paraId="3FD0442F" w14:textId="77777777" w:rsidR="00412CCE" w:rsidRPr="00173705" w:rsidRDefault="00412CCE" w:rsidP="002D2FD8">
            <w:pPr>
              <w:pStyle w:val="TableHeading"/>
              <w:keepNext w:val="0"/>
              <w:widowControl w:val="0"/>
              <w:tabs>
                <w:tab w:val="left" w:pos="224"/>
              </w:tabs>
              <w:spacing w:before="0" w:after="0"/>
              <w:rPr>
                <w:snapToGrid w:val="0"/>
                <w:lang w:eastAsia="en-US"/>
              </w:rPr>
            </w:pPr>
            <w:r>
              <w:rPr>
                <w:snapToGrid w:val="0"/>
                <w:lang w:eastAsia="en-US"/>
              </w:rPr>
              <w:t>Study</w:t>
            </w:r>
          </w:p>
        </w:tc>
        <w:tc>
          <w:tcPr>
            <w:tcW w:w="2873" w:type="pct"/>
            <w:gridSpan w:val="5"/>
            <w:vAlign w:val="center"/>
          </w:tcPr>
          <w:p w14:paraId="33D4976A" w14:textId="77777777" w:rsidR="00412CCE" w:rsidRDefault="00412CCE" w:rsidP="002D2FD8">
            <w:pPr>
              <w:pStyle w:val="Tabletextboldleft"/>
              <w:spacing w:before="0"/>
              <w:rPr>
                <w:snapToGrid w:val="0"/>
              </w:rPr>
            </w:pPr>
            <w:r>
              <w:rPr>
                <w:snapToGrid w:val="0"/>
              </w:rPr>
              <w:t>HSAT/PAT</w:t>
            </w:r>
          </w:p>
        </w:tc>
        <w:tc>
          <w:tcPr>
            <w:tcW w:w="582" w:type="pct"/>
            <w:tcBorders>
              <w:right w:val="double" w:sz="4" w:space="0" w:color="auto"/>
            </w:tcBorders>
            <w:vAlign w:val="center"/>
          </w:tcPr>
          <w:p w14:paraId="7DC19D43" w14:textId="77777777" w:rsidR="00412CCE" w:rsidRDefault="00412CCE" w:rsidP="002D2FD8">
            <w:pPr>
              <w:pStyle w:val="Tabletextboldleft"/>
              <w:spacing w:before="0"/>
              <w:rPr>
                <w:snapToGrid w:val="0"/>
              </w:rPr>
            </w:pPr>
            <w:r>
              <w:rPr>
                <w:snapToGrid w:val="0"/>
              </w:rPr>
              <w:t>Level 1 PSG</w:t>
            </w:r>
          </w:p>
        </w:tc>
        <w:tc>
          <w:tcPr>
            <w:tcW w:w="928" w:type="pct"/>
            <w:vMerge w:val="restart"/>
            <w:tcBorders>
              <w:left w:val="double" w:sz="4" w:space="0" w:color="auto"/>
            </w:tcBorders>
            <w:vAlign w:val="center"/>
          </w:tcPr>
          <w:p w14:paraId="07BB18CA" w14:textId="77777777" w:rsidR="00412CCE" w:rsidRDefault="00412CCE" w:rsidP="002D2FD8">
            <w:pPr>
              <w:pStyle w:val="Tabletextboldleft"/>
              <w:spacing w:before="0"/>
              <w:rPr>
                <w:snapToGrid w:val="0"/>
              </w:rPr>
            </w:pPr>
            <w:r>
              <w:rPr>
                <w:snapToGrid w:val="0"/>
              </w:rPr>
              <w:t>Correlation: HSAT/PAT and PSG</w:t>
            </w:r>
          </w:p>
        </w:tc>
      </w:tr>
      <w:tr w:rsidR="00412CCE" w:rsidRPr="00173705" w14:paraId="6A6E22E8" w14:textId="77777777" w:rsidTr="0080749F">
        <w:tc>
          <w:tcPr>
            <w:tcW w:w="616" w:type="pct"/>
            <w:vMerge/>
            <w:shd w:val="clear" w:color="auto" w:fill="auto"/>
            <w:vAlign w:val="center"/>
          </w:tcPr>
          <w:p w14:paraId="781D5839" w14:textId="77777777" w:rsidR="00412CCE" w:rsidRPr="00173705" w:rsidRDefault="00412CCE" w:rsidP="002D2FD8">
            <w:pPr>
              <w:pStyle w:val="TableHeading"/>
              <w:keepNext w:val="0"/>
              <w:widowControl w:val="0"/>
              <w:tabs>
                <w:tab w:val="left" w:pos="224"/>
              </w:tabs>
              <w:spacing w:before="0" w:after="0"/>
              <w:rPr>
                <w:snapToGrid w:val="0"/>
                <w:lang w:eastAsia="en-US"/>
              </w:rPr>
            </w:pPr>
          </w:p>
        </w:tc>
        <w:tc>
          <w:tcPr>
            <w:tcW w:w="703" w:type="pct"/>
            <w:vAlign w:val="center"/>
          </w:tcPr>
          <w:p w14:paraId="18CE8D67" w14:textId="77777777" w:rsidR="00412CCE" w:rsidRPr="00173705" w:rsidRDefault="00412CCE" w:rsidP="002D2FD8">
            <w:pPr>
              <w:pStyle w:val="Tabletextboldleft"/>
              <w:spacing w:before="0"/>
              <w:rPr>
                <w:snapToGrid w:val="0"/>
              </w:rPr>
            </w:pPr>
            <w:r>
              <w:rPr>
                <w:snapToGrid w:val="0"/>
              </w:rPr>
              <w:t>Sensitivity (%)</w:t>
            </w:r>
          </w:p>
        </w:tc>
        <w:tc>
          <w:tcPr>
            <w:tcW w:w="703" w:type="pct"/>
            <w:vAlign w:val="center"/>
          </w:tcPr>
          <w:p w14:paraId="47136449" w14:textId="77777777" w:rsidR="00412CCE" w:rsidRDefault="00412CCE" w:rsidP="002D2FD8">
            <w:pPr>
              <w:pStyle w:val="Tabletextboldleft"/>
              <w:spacing w:before="0"/>
              <w:rPr>
                <w:snapToGrid w:val="0"/>
              </w:rPr>
            </w:pPr>
            <w:r>
              <w:rPr>
                <w:snapToGrid w:val="0"/>
              </w:rPr>
              <w:t>Specificity (%)</w:t>
            </w:r>
          </w:p>
        </w:tc>
        <w:tc>
          <w:tcPr>
            <w:tcW w:w="424" w:type="pct"/>
            <w:vAlign w:val="center"/>
          </w:tcPr>
          <w:p w14:paraId="4DFB2361" w14:textId="77777777" w:rsidR="00412CCE" w:rsidRDefault="00412CCE" w:rsidP="002D2FD8">
            <w:pPr>
              <w:pStyle w:val="Tabletextboldleft"/>
              <w:spacing w:before="0"/>
              <w:rPr>
                <w:snapToGrid w:val="0"/>
              </w:rPr>
            </w:pPr>
            <w:r>
              <w:rPr>
                <w:snapToGrid w:val="0"/>
              </w:rPr>
              <w:t>PPV (%)</w:t>
            </w:r>
          </w:p>
        </w:tc>
        <w:tc>
          <w:tcPr>
            <w:tcW w:w="445" w:type="pct"/>
            <w:vAlign w:val="center"/>
          </w:tcPr>
          <w:p w14:paraId="3689186E" w14:textId="77777777" w:rsidR="00412CCE" w:rsidRDefault="00412CCE" w:rsidP="002D2FD8">
            <w:pPr>
              <w:pStyle w:val="Tabletextboldleft"/>
              <w:spacing w:before="0"/>
              <w:rPr>
                <w:snapToGrid w:val="0"/>
              </w:rPr>
            </w:pPr>
            <w:r>
              <w:rPr>
                <w:snapToGrid w:val="0"/>
              </w:rPr>
              <w:t>NPV (%)</w:t>
            </w:r>
          </w:p>
        </w:tc>
        <w:tc>
          <w:tcPr>
            <w:tcW w:w="599" w:type="pct"/>
            <w:vAlign w:val="center"/>
          </w:tcPr>
          <w:p w14:paraId="447B05C8" w14:textId="77777777" w:rsidR="00412CCE" w:rsidRDefault="00412CCE" w:rsidP="002D2FD8">
            <w:pPr>
              <w:pStyle w:val="Tabletextboldleft"/>
              <w:spacing w:before="0"/>
              <w:rPr>
                <w:snapToGrid w:val="0"/>
              </w:rPr>
            </w:pPr>
            <w:r>
              <w:rPr>
                <w:snapToGrid w:val="0"/>
              </w:rPr>
              <w:t>Failure rate</w:t>
            </w:r>
          </w:p>
        </w:tc>
        <w:tc>
          <w:tcPr>
            <w:tcW w:w="582" w:type="pct"/>
            <w:tcBorders>
              <w:right w:val="double" w:sz="4" w:space="0" w:color="auto"/>
            </w:tcBorders>
            <w:vAlign w:val="center"/>
          </w:tcPr>
          <w:p w14:paraId="3E99B0FC" w14:textId="77777777" w:rsidR="00412CCE" w:rsidRDefault="00412CCE" w:rsidP="002D2FD8">
            <w:pPr>
              <w:pStyle w:val="Tabletextboldleft"/>
              <w:spacing w:before="0"/>
              <w:rPr>
                <w:snapToGrid w:val="0"/>
              </w:rPr>
            </w:pPr>
            <w:r>
              <w:rPr>
                <w:snapToGrid w:val="0"/>
              </w:rPr>
              <w:t>Failure rate</w:t>
            </w:r>
          </w:p>
        </w:tc>
        <w:tc>
          <w:tcPr>
            <w:tcW w:w="928" w:type="pct"/>
            <w:vMerge/>
            <w:tcBorders>
              <w:left w:val="double" w:sz="4" w:space="0" w:color="auto"/>
            </w:tcBorders>
            <w:vAlign w:val="center"/>
          </w:tcPr>
          <w:p w14:paraId="29277988" w14:textId="77777777" w:rsidR="00412CCE" w:rsidRDefault="00412CCE" w:rsidP="002D2FD8">
            <w:pPr>
              <w:pStyle w:val="Tabletextboldleft"/>
              <w:spacing w:before="0"/>
              <w:rPr>
                <w:snapToGrid w:val="0"/>
              </w:rPr>
            </w:pPr>
          </w:p>
        </w:tc>
      </w:tr>
      <w:tr w:rsidR="00412CCE" w:rsidRPr="00C02487" w14:paraId="6CE2A0BC" w14:textId="77777777" w:rsidTr="0080749F">
        <w:tc>
          <w:tcPr>
            <w:tcW w:w="616" w:type="pct"/>
            <w:shd w:val="clear" w:color="auto" w:fill="auto"/>
            <w:vAlign w:val="center"/>
          </w:tcPr>
          <w:p w14:paraId="1E3E0995" w14:textId="77777777" w:rsidR="00412CCE" w:rsidRPr="009F1F41" w:rsidRDefault="00412CCE" w:rsidP="002D2FD8">
            <w:pPr>
              <w:pStyle w:val="TableHeading"/>
              <w:keepNext w:val="0"/>
              <w:widowControl w:val="0"/>
              <w:tabs>
                <w:tab w:val="left" w:pos="224"/>
              </w:tabs>
              <w:spacing w:before="0" w:after="0"/>
              <w:rPr>
                <w:b w:val="0"/>
                <w:bCs/>
                <w:snapToGrid w:val="0"/>
                <w:lang w:eastAsia="en-US"/>
              </w:rPr>
            </w:pPr>
            <w:r>
              <w:rPr>
                <w:b w:val="0"/>
                <w:bCs/>
              </w:rPr>
              <w:t>Ayas 2003</w:t>
            </w:r>
            <w:r w:rsidRPr="009F1F41">
              <w:rPr>
                <w:b w:val="0"/>
                <w:bCs/>
              </w:rPr>
              <w:t xml:space="preserve"> (N=31)</w:t>
            </w:r>
          </w:p>
        </w:tc>
        <w:tc>
          <w:tcPr>
            <w:tcW w:w="4384" w:type="pct"/>
            <w:gridSpan w:val="7"/>
            <w:vAlign w:val="center"/>
          </w:tcPr>
          <w:p w14:paraId="4D0250CD" w14:textId="77777777" w:rsidR="00412CCE" w:rsidRPr="00C02487" w:rsidRDefault="00412CCE" w:rsidP="002D2FD8">
            <w:pPr>
              <w:pStyle w:val="TableText0"/>
              <w:spacing w:before="0" w:after="0"/>
              <w:rPr>
                <w:snapToGrid w:val="0"/>
              </w:rPr>
            </w:pPr>
          </w:p>
        </w:tc>
      </w:tr>
      <w:tr w:rsidR="00412CCE" w:rsidRPr="00C02487" w14:paraId="489EFCAD" w14:textId="77777777" w:rsidTr="0080749F">
        <w:tc>
          <w:tcPr>
            <w:tcW w:w="616" w:type="pct"/>
            <w:shd w:val="clear" w:color="auto" w:fill="auto"/>
            <w:vAlign w:val="center"/>
          </w:tcPr>
          <w:p w14:paraId="4D3D4B73" w14:textId="77777777" w:rsidR="00412CCE" w:rsidRPr="009F1F41" w:rsidRDefault="00412CCE" w:rsidP="002D2FD8">
            <w:pPr>
              <w:pStyle w:val="TableHeading"/>
              <w:keepNext w:val="0"/>
              <w:widowControl w:val="0"/>
              <w:tabs>
                <w:tab w:val="left" w:pos="224"/>
              </w:tabs>
              <w:spacing w:before="0" w:after="0"/>
              <w:rPr>
                <w:b w:val="0"/>
                <w:bCs/>
                <w:snapToGrid w:val="0"/>
                <w:lang w:eastAsia="en-US"/>
              </w:rPr>
            </w:pPr>
            <w:r w:rsidRPr="009F1F41">
              <w:rPr>
                <w:b w:val="0"/>
                <w:bCs/>
              </w:rPr>
              <w:tab/>
              <w:t>AHI</w:t>
            </w:r>
            <w:r>
              <w:rPr>
                <w:b w:val="0"/>
                <w:bCs/>
              </w:rPr>
              <w:t xml:space="preserve"> 10</w:t>
            </w:r>
          </w:p>
        </w:tc>
        <w:tc>
          <w:tcPr>
            <w:tcW w:w="703" w:type="pct"/>
            <w:vAlign w:val="center"/>
          </w:tcPr>
          <w:p w14:paraId="43845E0F" w14:textId="77777777" w:rsidR="00412CCE" w:rsidRPr="009F1F41" w:rsidRDefault="00412CCE" w:rsidP="002D2FD8">
            <w:pPr>
              <w:pStyle w:val="TableText0"/>
              <w:spacing w:before="0" w:after="0"/>
              <w:jc w:val="center"/>
              <w:rPr>
                <w:snapToGrid w:val="0"/>
              </w:rPr>
            </w:pPr>
            <w:r>
              <w:rPr>
                <w:snapToGrid w:val="0"/>
              </w:rPr>
              <w:t>82.6%</w:t>
            </w:r>
          </w:p>
        </w:tc>
        <w:tc>
          <w:tcPr>
            <w:tcW w:w="703" w:type="pct"/>
            <w:vAlign w:val="center"/>
          </w:tcPr>
          <w:p w14:paraId="481932C6" w14:textId="77777777" w:rsidR="00412CCE" w:rsidRPr="009F1F41" w:rsidRDefault="00412CCE" w:rsidP="002D2FD8">
            <w:pPr>
              <w:pStyle w:val="TableText0"/>
              <w:spacing w:before="0" w:after="0"/>
              <w:jc w:val="center"/>
              <w:rPr>
                <w:snapToGrid w:val="0"/>
              </w:rPr>
            </w:pPr>
            <w:r>
              <w:rPr>
                <w:snapToGrid w:val="0"/>
              </w:rPr>
              <w:t>71.4%</w:t>
            </w:r>
          </w:p>
        </w:tc>
        <w:tc>
          <w:tcPr>
            <w:tcW w:w="424" w:type="pct"/>
            <w:vAlign w:val="center"/>
          </w:tcPr>
          <w:p w14:paraId="09BDC128" w14:textId="77777777" w:rsidR="00412CCE" w:rsidRPr="009F1F41" w:rsidRDefault="00412CCE" w:rsidP="002D2FD8">
            <w:pPr>
              <w:pStyle w:val="TableText0"/>
              <w:spacing w:before="0" w:after="0"/>
              <w:jc w:val="center"/>
              <w:rPr>
                <w:snapToGrid w:val="0"/>
              </w:rPr>
            </w:pPr>
          </w:p>
        </w:tc>
        <w:tc>
          <w:tcPr>
            <w:tcW w:w="445" w:type="pct"/>
            <w:vAlign w:val="center"/>
          </w:tcPr>
          <w:p w14:paraId="4FA7CC3C" w14:textId="77777777" w:rsidR="00412CCE" w:rsidRPr="009F1F41" w:rsidRDefault="00412CCE" w:rsidP="002D2FD8">
            <w:pPr>
              <w:pStyle w:val="TableText0"/>
              <w:spacing w:before="0" w:after="0"/>
              <w:jc w:val="center"/>
              <w:rPr>
                <w:snapToGrid w:val="0"/>
              </w:rPr>
            </w:pPr>
          </w:p>
        </w:tc>
        <w:tc>
          <w:tcPr>
            <w:tcW w:w="599" w:type="pct"/>
            <w:vMerge w:val="restart"/>
            <w:vAlign w:val="center"/>
          </w:tcPr>
          <w:p w14:paraId="7352F62E" w14:textId="77777777" w:rsidR="00412CCE" w:rsidRPr="009F1F41" w:rsidRDefault="00412CCE" w:rsidP="002D2FD8">
            <w:pPr>
              <w:pStyle w:val="TableText0"/>
              <w:spacing w:before="0" w:after="0"/>
              <w:jc w:val="center"/>
              <w:rPr>
                <w:snapToGrid w:val="0"/>
              </w:rPr>
            </w:pPr>
            <w:r>
              <w:rPr>
                <w:snapToGrid w:val="0"/>
              </w:rPr>
              <w:t>0%</w:t>
            </w:r>
          </w:p>
        </w:tc>
        <w:tc>
          <w:tcPr>
            <w:tcW w:w="582" w:type="pct"/>
            <w:vMerge w:val="restart"/>
            <w:tcBorders>
              <w:right w:val="double" w:sz="4" w:space="0" w:color="auto"/>
            </w:tcBorders>
            <w:vAlign w:val="center"/>
          </w:tcPr>
          <w:p w14:paraId="50BB417D" w14:textId="77777777" w:rsidR="00412CCE" w:rsidRPr="009F1F41" w:rsidRDefault="00412CCE" w:rsidP="002D2FD8">
            <w:pPr>
              <w:pStyle w:val="TableText0"/>
              <w:spacing w:before="0" w:after="0"/>
              <w:jc w:val="center"/>
              <w:rPr>
                <w:snapToGrid w:val="0"/>
              </w:rPr>
            </w:pPr>
            <w:r>
              <w:rPr>
                <w:snapToGrid w:val="0"/>
              </w:rPr>
              <w:t>0%</w:t>
            </w:r>
          </w:p>
        </w:tc>
        <w:tc>
          <w:tcPr>
            <w:tcW w:w="928" w:type="pct"/>
            <w:vMerge w:val="restart"/>
            <w:tcBorders>
              <w:left w:val="double" w:sz="4" w:space="0" w:color="auto"/>
            </w:tcBorders>
            <w:vAlign w:val="center"/>
          </w:tcPr>
          <w:p w14:paraId="3ACC3F23" w14:textId="77777777" w:rsidR="00412CCE" w:rsidRPr="009F1F41" w:rsidRDefault="00412CCE" w:rsidP="002D2FD8">
            <w:pPr>
              <w:pStyle w:val="TableText0"/>
              <w:spacing w:before="0" w:after="0"/>
              <w:jc w:val="center"/>
              <w:rPr>
                <w:snapToGrid w:val="0"/>
              </w:rPr>
            </w:pPr>
            <w:r>
              <w:rPr>
                <w:snapToGrid w:val="0"/>
              </w:rPr>
              <w:t>AHI: r=0.87</w:t>
            </w:r>
          </w:p>
        </w:tc>
      </w:tr>
      <w:tr w:rsidR="00412CCE" w:rsidRPr="00C02487" w14:paraId="3A995404" w14:textId="77777777" w:rsidTr="0080749F">
        <w:tc>
          <w:tcPr>
            <w:tcW w:w="616" w:type="pct"/>
            <w:shd w:val="clear" w:color="auto" w:fill="auto"/>
            <w:vAlign w:val="center"/>
          </w:tcPr>
          <w:p w14:paraId="16506652" w14:textId="77777777" w:rsidR="00412CCE" w:rsidRPr="009F1F41" w:rsidRDefault="00412CCE" w:rsidP="002D2FD8">
            <w:pPr>
              <w:pStyle w:val="TableHeading"/>
              <w:keepNext w:val="0"/>
              <w:widowControl w:val="0"/>
              <w:tabs>
                <w:tab w:val="left" w:pos="224"/>
              </w:tabs>
              <w:spacing w:before="0" w:after="0"/>
              <w:rPr>
                <w:b w:val="0"/>
                <w:bCs/>
                <w:snapToGrid w:val="0"/>
                <w:lang w:eastAsia="en-US"/>
              </w:rPr>
            </w:pPr>
            <w:r w:rsidRPr="009F1F41">
              <w:rPr>
                <w:b w:val="0"/>
                <w:bCs/>
              </w:rPr>
              <w:tab/>
              <w:t xml:space="preserve">AHI </w:t>
            </w:r>
            <w:r>
              <w:rPr>
                <w:b w:val="0"/>
                <w:bCs/>
              </w:rPr>
              <w:t>15</w:t>
            </w:r>
          </w:p>
        </w:tc>
        <w:tc>
          <w:tcPr>
            <w:tcW w:w="703" w:type="pct"/>
            <w:vAlign w:val="center"/>
          </w:tcPr>
          <w:p w14:paraId="257219BA" w14:textId="77777777" w:rsidR="00412CCE" w:rsidRPr="009F1F41" w:rsidRDefault="00412CCE" w:rsidP="002D2FD8">
            <w:pPr>
              <w:pStyle w:val="TableText0"/>
              <w:spacing w:before="0" w:after="0"/>
              <w:jc w:val="center"/>
              <w:rPr>
                <w:snapToGrid w:val="0"/>
              </w:rPr>
            </w:pPr>
            <w:r>
              <w:rPr>
                <w:snapToGrid w:val="0"/>
              </w:rPr>
              <w:t>93.3%</w:t>
            </w:r>
          </w:p>
        </w:tc>
        <w:tc>
          <w:tcPr>
            <w:tcW w:w="703" w:type="pct"/>
            <w:vAlign w:val="center"/>
          </w:tcPr>
          <w:p w14:paraId="2551C86B" w14:textId="77777777" w:rsidR="00412CCE" w:rsidRPr="009F1F41" w:rsidRDefault="00412CCE" w:rsidP="002D2FD8">
            <w:pPr>
              <w:pStyle w:val="TableText0"/>
              <w:spacing w:before="0" w:after="0"/>
              <w:jc w:val="center"/>
              <w:rPr>
                <w:snapToGrid w:val="0"/>
              </w:rPr>
            </w:pPr>
            <w:r>
              <w:rPr>
                <w:snapToGrid w:val="0"/>
              </w:rPr>
              <w:t>73.3%</w:t>
            </w:r>
          </w:p>
        </w:tc>
        <w:tc>
          <w:tcPr>
            <w:tcW w:w="424" w:type="pct"/>
            <w:vAlign w:val="center"/>
          </w:tcPr>
          <w:p w14:paraId="4D826E29" w14:textId="77777777" w:rsidR="00412CCE" w:rsidRPr="009F1F41" w:rsidRDefault="00412CCE" w:rsidP="002D2FD8">
            <w:pPr>
              <w:pStyle w:val="TableText0"/>
              <w:spacing w:before="0" w:after="0"/>
              <w:jc w:val="center"/>
              <w:rPr>
                <w:snapToGrid w:val="0"/>
              </w:rPr>
            </w:pPr>
            <w:r>
              <w:rPr>
                <w:snapToGrid w:val="0"/>
              </w:rPr>
              <w:t>0.706</w:t>
            </w:r>
          </w:p>
        </w:tc>
        <w:tc>
          <w:tcPr>
            <w:tcW w:w="445" w:type="pct"/>
            <w:vAlign w:val="center"/>
          </w:tcPr>
          <w:p w14:paraId="1FC90B11" w14:textId="77777777" w:rsidR="00412CCE" w:rsidRPr="009F1F41" w:rsidRDefault="00412CCE" w:rsidP="002D2FD8">
            <w:pPr>
              <w:pStyle w:val="TableText0"/>
              <w:spacing w:before="0" w:after="0"/>
              <w:jc w:val="center"/>
              <w:rPr>
                <w:snapToGrid w:val="0"/>
              </w:rPr>
            </w:pPr>
            <w:r>
              <w:rPr>
                <w:snapToGrid w:val="0"/>
              </w:rPr>
              <w:t>0.923</w:t>
            </w:r>
          </w:p>
        </w:tc>
        <w:tc>
          <w:tcPr>
            <w:tcW w:w="599" w:type="pct"/>
            <w:vMerge/>
            <w:vAlign w:val="center"/>
          </w:tcPr>
          <w:p w14:paraId="7EBA3B6D"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4986C3E7"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52163FC5" w14:textId="77777777" w:rsidR="00412CCE" w:rsidRPr="00C02487" w:rsidRDefault="00412CCE" w:rsidP="002D2FD8">
            <w:pPr>
              <w:pStyle w:val="TableText0"/>
              <w:spacing w:before="0" w:after="0"/>
              <w:jc w:val="center"/>
              <w:rPr>
                <w:snapToGrid w:val="0"/>
              </w:rPr>
            </w:pPr>
          </w:p>
        </w:tc>
      </w:tr>
      <w:tr w:rsidR="00412CCE" w:rsidRPr="00C02487" w14:paraId="08EA8563" w14:textId="77777777" w:rsidTr="0080749F">
        <w:tc>
          <w:tcPr>
            <w:tcW w:w="616" w:type="pct"/>
            <w:shd w:val="clear" w:color="auto" w:fill="auto"/>
            <w:vAlign w:val="center"/>
          </w:tcPr>
          <w:p w14:paraId="2738E310" w14:textId="77777777" w:rsidR="00412CCE" w:rsidRPr="009F1F41" w:rsidRDefault="00412CCE" w:rsidP="002D2FD8">
            <w:pPr>
              <w:pStyle w:val="TableHeading"/>
              <w:keepNext w:val="0"/>
              <w:widowControl w:val="0"/>
              <w:tabs>
                <w:tab w:val="left" w:pos="224"/>
              </w:tabs>
              <w:spacing w:before="0" w:after="0"/>
              <w:rPr>
                <w:b w:val="0"/>
                <w:bCs/>
                <w:snapToGrid w:val="0"/>
                <w:lang w:eastAsia="en-US"/>
              </w:rPr>
            </w:pPr>
            <w:r w:rsidRPr="009F1F41">
              <w:rPr>
                <w:b w:val="0"/>
                <w:bCs/>
              </w:rPr>
              <w:tab/>
            </w:r>
            <w:r>
              <w:rPr>
                <w:b w:val="0"/>
                <w:bCs/>
              </w:rPr>
              <w:t>AHI 20</w:t>
            </w:r>
          </w:p>
        </w:tc>
        <w:tc>
          <w:tcPr>
            <w:tcW w:w="703" w:type="pct"/>
            <w:vAlign w:val="center"/>
          </w:tcPr>
          <w:p w14:paraId="4C6BACD6" w14:textId="77777777" w:rsidR="00412CCE" w:rsidRPr="009F1F41" w:rsidRDefault="00412CCE" w:rsidP="002D2FD8">
            <w:pPr>
              <w:pStyle w:val="TableText0"/>
              <w:spacing w:before="0" w:after="0"/>
              <w:jc w:val="center"/>
              <w:rPr>
                <w:snapToGrid w:val="0"/>
              </w:rPr>
            </w:pPr>
            <w:r>
              <w:rPr>
                <w:snapToGrid w:val="0"/>
              </w:rPr>
              <w:t>90.9%</w:t>
            </w:r>
          </w:p>
        </w:tc>
        <w:tc>
          <w:tcPr>
            <w:tcW w:w="703" w:type="pct"/>
            <w:vAlign w:val="center"/>
          </w:tcPr>
          <w:p w14:paraId="59D26748" w14:textId="77777777" w:rsidR="00412CCE" w:rsidRPr="009F1F41" w:rsidRDefault="00412CCE" w:rsidP="002D2FD8">
            <w:pPr>
              <w:pStyle w:val="TableText0"/>
              <w:spacing w:before="0" w:after="0"/>
              <w:jc w:val="center"/>
              <w:rPr>
                <w:snapToGrid w:val="0"/>
              </w:rPr>
            </w:pPr>
            <w:r>
              <w:rPr>
                <w:snapToGrid w:val="0"/>
              </w:rPr>
              <w:t>84.2%</w:t>
            </w:r>
          </w:p>
        </w:tc>
        <w:tc>
          <w:tcPr>
            <w:tcW w:w="424" w:type="pct"/>
            <w:vAlign w:val="center"/>
          </w:tcPr>
          <w:p w14:paraId="77D11151" w14:textId="77777777" w:rsidR="00412CCE" w:rsidRPr="009F1F41" w:rsidRDefault="00412CCE" w:rsidP="002D2FD8">
            <w:pPr>
              <w:pStyle w:val="TableText0"/>
              <w:spacing w:before="0" w:after="0"/>
              <w:jc w:val="center"/>
              <w:rPr>
                <w:snapToGrid w:val="0"/>
              </w:rPr>
            </w:pPr>
          </w:p>
        </w:tc>
        <w:tc>
          <w:tcPr>
            <w:tcW w:w="445" w:type="pct"/>
            <w:vAlign w:val="center"/>
          </w:tcPr>
          <w:p w14:paraId="2A923A4D" w14:textId="77777777" w:rsidR="00412CCE" w:rsidRPr="009F1F41" w:rsidRDefault="00412CCE" w:rsidP="002D2FD8">
            <w:pPr>
              <w:pStyle w:val="TableText0"/>
              <w:spacing w:before="0" w:after="0"/>
              <w:jc w:val="center"/>
              <w:rPr>
                <w:snapToGrid w:val="0"/>
              </w:rPr>
            </w:pPr>
            <w:r>
              <w:rPr>
                <w:snapToGrid w:val="0"/>
              </w:rPr>
              <w:t>0.957</w:t>
            </w:r>
          </w:p>
        </w:tc>
        <w:tc>
          <w:tcPr>
            <w:tcW w:w="599" w:type="pct"/>
            <w:vMerge/>
            <w:vAlign w:val="center"/>
          </w:tcPr>
          <w:p w14:paraId="46D368C6"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376754BD"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122AA437" w14:textId="77777777" w:rsidR="00412CCE" w:rsidRPr="00C02487" w:rsidRDefault="00412CCE" w:rsidP="002D2FD8">
            <w:pPr>
              <w:pStyle w:val="TableText0"/>
              <w:spacing w:before="0" w:after="0"/>
              <w:jc w:val="center"/>
              <w:rPr>
                <w:snapToGrid w:val="0"/>
              </w:rPr>
            </w:pPr>
          </w:p>
        </w:tc>
      </w:tr>
      <w:tr w:rsidR="00412CCE" w:rsidRPr="00C02487" w14:paraId="04CA2A55" w14:textId="77777777" w:rsidTr="0080749F">
        <w:tc>
          <w:tcPr>
            <w:tcW w:w="616" w:type="pct"/>
            <w:shd w:val="clear" w:color="auto" w:fill="auto"/>
            <w:vAlign w:val="center"/>
          </w:tcPr>
          <w:p w14:paraId="280BCB4F" w14:textId="77777777" w:rsidR="00412CCE" w:rsidRPr="009F1F41" w:rsidRDefault="00412CCE" w:rsidP="002D2FD8">
            <w:pPr>
              <w:pStyle w:val="TableHeading"/>
              <w:keepNext w:val="0"/>
              <w:widowControl w:val="0"/>
              <w:tabs>
                <w:tab w:val="left" w:pos="224"/>
              </w:tabs>
              <w:spacing w:before="0" w:after="0"/>
              <w:rPr>
                <w:b w:val="0"/>
                <w:bCs/>
              </w:rPr>
            </w:pPr>
            <w:r>
              <w:rPr>
                <w:b w:val="0"/>
                <w:bCs/>
              </w:rPr>
              <w:tab/>
              <w:t>AHI 30</w:t>
            </w:r>
          </w:p>
        </w:tc>
        <w:tc>
          <w:tcPr>
            <w:tcW w:w="703" w:type="pct"/>
            <w:vAlign w:val="center"/>
          </w:tcPr>
          <w:p w14:paraId="67834CD8" w14:textId="77777777" w:rsidR="00412CCE" w:rsidRPr="009F1F41" w:rsidRDefault="00412CCE" w:rsidP="002D2FD8">
            <w:pPr>
              <w:pStyle w:val="TableText0"/>
              <w:spacing w:before="0" w:after="0"/>
              <w:jc w:val="center"/>
              <w:rPr>
                <w:snapToGrid w:val="0"/>
              </w:rPr>
            </w:pPr>
            <w:r>
              <w:rPr>
                <w:snapToGrid w:val="0"/>
              </w:rPr>
              <w:t>83.3%</w:t>
            </w:r>
          </w:p>
        </w:tc>
        <w:tc>
          <w:tcPr>
            <w:tcW w:w="703" w:type="pct"/>
            <w:vAlign w:val="center"/>
          </w:tcPr>
          <w:p w14:paraId="3327EEAF" w14:textId="77777777" w:rsidR="00412CCE" w:rsidRPr="009F1F41" w:rsidRDefault="00412CCE" w:rsidP="002D2FD8">
            <w:pPr>
              <w:pStyle w:val="TableText0"/>
              <w:spacing w:before="0" w:after="0"/>
              <w:jc w:val="center"/>
            </w:pPr>
            <w:r>
              <w:t>91.7%</w:t>
            </w:r>
          </w:p>
        </w:tc>
        <w:tc>
          <w:tcPr>
            <w:tcW w:w="424" w:type="pct"/>
            <w:vAlign w:val="center"/>
          </w:tcPr>
          <w:p w14:paraId="1DFC7EDA" w14:textId="77777777" w:rsidR="00412CCE" w:rsidRPr="009F1F41" w:rsidRDefault="00412CCE" w:rsidP="002D2FD8">
            <w:pPr>
              <w:pStyle w:val="TableText0"/>
              <w:spacing w:before="0" w:after="0"/>
              <w:jc w:val="center"/>
            </w:pPr>
            <w:r>
              <w:t>0.714</w:t>
            </w:r>
          </w:p>
        </w:tc>
        <w:tc>
          <w:tcPr>
            <w:tcW w:w="445" w:type="pct"/>
            <w:vAlign w:val="center"/>
          </w:tcPr>
          <w:p w14:paraId="7A9B2B69" w14:textId="77777777" w:rsidR="00412CCE" w:rsidRPr="009F1F41" w:rsidRDefault="00412CCE" w:rsidP="002D2FD8">
            <w:pPr>
              <w:pStyle w:val="TableText0"/>
              <w:spacing w:before="0" w:after="0"/>
              <w:jc w:val="center"/>
            </w:pPr>
          </w:p>
        </w:tc>
        <w:tc>
          <w:tcPr>
            <w:tcW w:w="599" w:type="pct"/>
            <w:vMerge/>
            <w:vAlign w:val="center"/>
          </w:tcPr>
          <w:p w14:paraId="2DDD6085"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20CC8E15"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62738535" w14:textId="77777777" w:rsidR="00412CCE" w:rsidRPr="00C02487" w:rsidRDefault="00412CCE" w:rsidP="002D2FD8">
            <w:pPr>
              <w:pStyle w:val="TableText0"/>
              <w:spacing w:before="0" w:after="0"/>
              <w:jc w:val="center"/>
              <w:rPr>
                <w:snapToGrid w:val="0"/>
              </w:rPr>
            </w:pPr>
          </w:p>
        </w:tc>
      </w:tr>
      <w:tr w:rsidR="00412CCE" w:rsidRPr="00C02487" w14:paraId="36D23AC4" w14:textId="77777777" w:rsidTr="0080749F">
        <w:tc>
          <w:tcPr>
            <w:tcW w:w="616" w:type="pct"/>
            <w:shd w:val="clear" w:color="auto" w:fill="auto"/>
            <w:vAlign w:val="center"/>
          </w:tcPr>
          <w:p w14:paraId="5AC6BDD1" w14:textId="77777777" w:rsidR="00412CCE" w:rsidRPr="009F1F41" w:rsidRDefault="00412CCE" w:rsidP="002D2FD8">
            <w:pPr>
              <w:pStyle w:val="TableHeading"/>
              <w:keepNext w:val="0"/>
              <w:widowControl w:val="0"/>
              <w:tabs>
                <w:tab w:val="left" w:pos="224"/>
              </w:tabs>
              <w:spacing w:before="0" w:after="0"/>
              <w:jc w:val="left"/>
              <w:rPr>
                <w:b w:val="0"/>
                <w:bCs/>
              </w:rPr>
            </w:pPr>
            <w:r>
              <w:rPr>
                <w:b w:val="0"/>
                <w:bCs/>
              </w:rPr>
              <w:t>Bar 2003 (N=102)</w:t>
            </w:r>
          </w:p>
        </w:tc>
        <w:tc>
          <w:tcPr>
            <w:tcW w:w="2275" w:type="pct"/>
            <w:gridSpan w:val="4"/>
            <w:vAlign w:val="center"/>
          </w:tcPr>
          <w:p w14:paraId="156CEAF2" w14:textId="77777777" w:rsidR="00412CCE" w:rsidRPr="009F1F41" w:rsidRDefault="00412CCE" w:rsidP="002D2FD8">
            <w:pPr>
              <w:pStyle w:val="TableText0"/>
              <w:spacing w:before="0" w:after="0"/>
              <w:jc w:val="center"/>
            </w:pPr>
            <w:r>
              <w:t>NR</w:t>
            </w:r>
          </w:p>
        </w:tc>
        <w:tc>
          <w:tcPr>
            <w:tcW w:w="599" w:type="pct"/>
            <w:vAlign w:val="center"/>
          </w:tcPr>
          <w:p w14:paraId="0E7E0E99" w14:textId="00430FF7" w:rsidR="00412CCE" w:rsidRDefault="00412CCE" w:rsidP="002D2FD8">
            <w:pPr>
              <w:pStyle w:val="TableText0"/>
              <w:spacing w:before="0" w:after="0"/>
              <w:jc w:val="center"/>
              <w:rPr>
                <w:snapToGrid w:val="0"/>
              </w:rPr>
            </w:pPr>
            <w:r>
              <w:rPr>
                <w:snapToGrid w:val="0"/>
              </w:rPr>
              <w:t>3/31</w:t>
            </w:r>
          </w:p>
          <w:p w14:paraId="1502BE67" w14:textId="77777777" w:rsidR="00412CCE" w:rsidRPr="00C02487" w:rsidRDefault="00412CCE" w:rsidP="002D2FD8">
            <w:pPr>
              <w:pStyle w:val="TableText0"/>
              <w:spacing w:before="0" w:after="0"/>
              <w:jc w:val="center"/>
              <w:rPr>
                <w:snapToGrid w:val="0"/>
              </w:rPr>
            </w:pPr>
            <w:r>
              <w:rPr>
                <w:snapToGrid w:val="0"/>
              </w:rPr>
              <w:t>(9.6%)</w:t>
            </w:r>
          </w:p>
        </w:tc>
        <w:tc>
          <w:tcPr>
            <w:tcW w:w="582" w:type="pct"/>
            <w:tcBorders>
              <w:right w:val="double" w:sz="4" w:space="0" w:color="auto"/>
            </w:tcBorders>
            <w:vAlign w:val="center"/>
          </w:tcPr>
          <w:p w14:paraId="254F3F73" w14:textId="77777777" w:rsidR="00412CCE" w:rsidRPr="00C02487" w:rsidRDefault="00412CCE" w:rsidP="002D2FD8">
            <w:pPr>
              <w:pStyle w:val="TableText0"/>
              <w:spacing w:before="0" w:after="0"/>
              <w:jc w:val="center"/>
              <w:rPr>
                <w:snapToGrid w:val="0"/>
              </w:rPr>
            </w:pPr>
            <w:r>
              <w:rPr>
                <w:snapToGrid w:val="0"/>
              </w:rPr>
              <w:t>2/102 (2.0%)</w:t>
            </w:r>
          </w:p>
        </w:tc>
        <w:tc>
          <w:tcPr>
            <w:tcW w:w="928" w:type="pct"/>
            <w:tcBorders>
              <w:left w:val="double" w:sz="4" w:space="0" w:color="auto"/>
            </w:tcBorders>
            <w:vAlign w:val="center"/>
          </w:tcPr>
          <w:p w14:paraId="6C41E3EF" w14:textId="77777777" w:rsidR="00412CCE" w:rsidRPr="00C02487" w:rsidRDefault="00412CCE" w:rsidP="002D2FD8">
            <w:pPr>
              <w:pStyle w:val="TableText0"/>
              <w:spacing w:before="0" w:after="0"/>
              <w:jc w:val="center"/>
              <w:rPr>
                <w:snapToGrid w:val="0"/>
              </w:rPr>
            </w:pPr>
            <w:r>
              <w:rPr>
                <w:snapToGrid w:val="0"/>
              </w:rPr>
              <w:t>RDI: r=0.88</w:t>
            </w:r>
          </w:p>
        </w:tc>
      </w:tr>
      <w:tr w:rsidR="00412CCE" w:rsidRPr="00C02487" w14:paraId="1ABFA582" w14:textId="77777777" w:rsidTr="0080749F">
        <w:tc>
          <w:tcPr>
            <w:tcW w:w="616" w:type="pct"/>
            <w:shd w:val="clear" w:color="auto" w:fill="auto"/>
            <w:vAlign w:val="center"/>
          </w:tcPr>
          <w:p w14:paraId="3A253D42" w14:textId="77777777" w:rsidR="00412CCE" w:rsidRPr="0038300C" w:rsidRDefault="00412CCE" w:rsidP="002D2FD8">
            <w:pPr>
              <w:pStyle w:val="TableHeading"/>
              <w:keepNext w:val="0"/>
              <w:widowControl w:val="0"/>
              <w:tabs>
                <w:tab w:val="left" w:pos="224"/>
              </w:tabs>
              <w:spacing w:before="0" w:after="0"/>
              <w:jc w:val="left"/>
              <w:rPr>
                <w:b w:val="0"/>
                <w:bCs/>
              </w:rPr>
            </w:pPr>
            <w:r w:rsidRPr="0038300C">
              <w:rPr>
                <w:b w:val="0"/>
                <w:bCs/>
                <w:snapToGrid w:val="0"/>
              </w:rPr>
              <w:t>Choi 2010</w:t>
            </w:r>
            <w:r>
              <w:rPr>
                <w:b w:val="0"/>
                <w:bCs/>
                <w:snapToGrid w:val="0"/>
              </w:rPr>
              <w:t xml:space="preserve"> (N=27)</w:t>
            </w:r>
          </w:p>
        </w:tc>
        <w:tc>
          <w:tcPr>
            <w:tcW w:w="3456" w:type="pct"/>
            <w:gridSpan w:val="6"/>
            <w:tcBorders>
              <w:right w:val="double" w:sz="4" w:space="0" w:color="auto"/>
            </w:tcBorders>
            <w:vAlign w:val="center"/>
          </w:tcPr>
          <w:p w14:paraId="41ABCE77" w14:textId="77777777" w:rsidR="00412CCE" w:rsidRPr="00C02487" w:rsidRDefault="00412CCE" w:rsidP="002D2FD8">
            <w:pPr>
              <w:pStyle w:val="TableText0"/>
              <w:spacing w:before="0" w:after="0"/>
              <w:jc w:val="center"/>
              <w:rPr>
                <w:snapToGrid w:val="0"/>
              </w:rPr>
            </w:pPr>
          </w:p>
        </w:tc>
        <w:tc>
          <w:tcPr>
            <w:tcW w:w="928" w:type="pct"/>
            <w:tcBorders>
              <w:left w:val="double" w:sz="4" w:space="0" w:color="auto"/>
            </w:tcBorders>
            <w:vAlign w:val="center"/>
          </w:tcPr>
          <w:p w14:paraId="771C7BA0" w14:textId="77777777" w:rsidR="00412CCE" w:rsidRPr="00C02487" w:rsidRDefault="00412CCE" w:rsidP="002D2FD8">
            <w:pPr>
              <w:pStyle w:val="TableText0"/>
              <w:spacing w:before="0" w:after="0"/>
              <w:jc w:val="center"/>
              <w:rPr>
                <w:snapToGrid w:val="0"/>
              </w:rPr>
            </w:pPr>
          </w:p>
        </w:tc>
      </w:tr>
      <w:tr w:rsidR="00412CCE" w:rsidRPr="00C02487" w14:paraId="18D49838" w14:textId="77777777" w:rsidTr="0080749F">
        <w:tc>
          <w:tcPr>
            <w:tcW w:w="616" w:type="pct"/>
            <w:shd w:val="clear" w:color="auto" w:fill="auto"/>
            <w:vAlign w:val="center"/>
          </w:tcPr>
          <w:p w14:paraId="453D33C8"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≥5</w:t>
            </w:r>
          </w:p>
        </w:tc>
        <w:tc>
          <w:tcPr>
            <w:tcW w:w="703" w:type="pct"/>
          </w:tcPr>
          <w:p w14:paraId="57F86B67" w14:textId="77777777" w:rsidR="00412CCE" w:rsidRPr="00247291" w:rsidRDefault="00412CCE" w:rsidP="002D2FD8">
            <w:pPr>
              <w:pStyle w:val="TableText0"/>
              <w:spacing w:before="0" w:after="0"/>
              <w:jc w:val="center"/>
              <w:rPr>
                <w:snapToGrid w:val="0"/>
              </w:rPr>
            </w:pPr>
            <w:r w:rsidRPr="00247291">
              <w:rPr>
                <w:snapToGrid w:val="0"/>
              </w:rPr>
              <w:t>100</w:t>
            </w:r>
            <w:r>
              <w:rPr>
                <w:snapToGrid w:val="0"/>
              </w:rPr>
              <w:t>%</w:t>
            </w:r>
          </w:p>
        </w:tc>
        <w:tc>
          <w:tcPr>
            <w:tcW w:w="703" w:type="pct"/>
          </w:tcPr>
          <w:p w14:paraId="703D2FE6" w14:textId="77777777" w:rsidR="00412CCE" w:rsidRPr="00247291" w:rsidRDefault="00412CCE" w:rsidP="002D2FD8">
            <w:pPr>
              <w:pStyle w:val="TableText0"/>
              <w:spacing w:before="0" w:after="0"/>
              <w:jc w:val="center"/>
            </w:pPr>
            <w:r w:rsidRPr="00247291">
              <w:rPr>
                <w:snapToGrid w:val="0"/>
              </w:rPr>
              <w:t>83</w:t>
            </w:r>
            <w:r>
              <w:rPr>
                <w:snapToGrid w:val="0"/>
              </w:rPr>
              <w:t>%</w:t>
            </w:r>
          </w:p>
        </w:tc>
        <w:tc>
          <w:tcPr>
            <w:tcW w:w="424" w:type="pct"/>
          </w:tcPr>
          <w:p w14:paraId="76637074" w14:textId="77777777" w:rsidR="00412CCE" w:rsidRPr="00247291" w:rsidRDefault="00412CCE" w:rsidP="002D2FD8">
            <w:pPr>
              <w:pStyle w:val="TableText0"/>
              <w:spacing w:before="0" w:after="0"/>
              <w:jc w:val="center"/>
            </w:pPr>
            <w:r w:rsidRPr="00247291">
              <w:rPr>
                <w:snapToGrid w:val="0"/>
              </w:rPr>
              <w:t>95</w:t>
            </w:r>
            <w:r>
              <w:rPr>
                <w:snapToGrid w:val="0"/>
              </w:rPr>
              <w:t>%</w:t>
            </w:r>
          </w:p>
        </w:tc>
        <w:tc>
          <w:tcPr>
            <w:tcW w:w="445" w:type="pct"/>
          </w:tcPr>
          <w:p w14:paraId="5FDE138A" w14:textId="77777777" w:rsidR="00412CCE" w:rsidRPr="00247291" w:rsidRDefault="00412CCE" w:rsidP="002D2FD8">
            <w:pPr>
              <w:pStyle w:val="TableText0"/>
              <w:spacing w:before="0" w:after="0"/>
              <w:jc w:val="center"/>
            </w:pPr>
            <w:r w:rsidRPr="00247291">
              <w:rPr>
                <w:snapToGrid w:val="0"/>
              </w:rPr>
              <w:t>1</w:t>
            </w:r>
            <w:r>
              <w:rPr>
                <w:snapToGrid w:val="0"/>
              </w:rPr>
              <w:t>00%</w:t>
            </w:r>
          </w:p>
        </w:tc>
        <w:tc>
          <w:tcPr>
            <w:tcW w:w="599" w:type="pct"/>
            <w:vMerge w:val="restart"/>
            <w:vAlign w:val="center"/>
          </w:tcPr>
          <w:p w14:paraId="65A089A5" w14:textId="27C83632" w:rsidR="00412CCE" w:rsidRDefault="00412CCE" w:rsidP="002D2FD8">
            <w:pPr>
              <w:pStyle w:val="TableText0"/>
              <w:spacing w:before="0" w:after="0"/>
              <w:jc w:val="center"/>
              <w:rPr>
                <w:snapToGrid w:val="0"/>
              </w:rPr>
            </w:pPr>
            <w:r>
              <w:rPr>
                <w:snapToGrid w:val="0"/>
              </w:rPr>
              <w:t>2/27</w:t>
            </w:r>
          </w:p>
          <w:p w14:paraId="5ACD6A16" w14:textId="77777777" w:rsidR="00412CCE" w:rsidRPr="00C02487" w:rsidRDefault="00412CCE" w:rsidP="002D2FD8">
            <w:pPr>
              <w:pStyle w:val="TableText0"/>
              <w:spacing w:before="0" w:after="0"/>
              <w:jc w:val="center"/>
              <w:rPr>
                <w:snapToGrid w:val="0"/>
              </w:rPr>
            </w:pPr>
            <w:r>
              <w:rPr>
                <w:snapToGrid w:val="0"/>
              </w:rPr>
              <w:t>(7.4%)</w:t>
            </w:r>
          </w:p>
        </w:tc>
        <w:tc>
          <w:tcPr>
            <w:tcW w:w="582" w:type="pct"/>
            <w:vMerge w:val="restart"/>
            <w:tcBorders>
              <w:right w:val="double" w:sz="4" w:space="0" w:color="auto"/>
            </w:tcBorders>
            <w:vAlign w:val="center"/>
          </w:tcPr>
          <w:p w14:paraId="156BC475" w14:textId="77777777" w:rsidR="00412CCE" w:rsidRPr="00C02487" w:rsidRDefault="00412CCE" w:rsidP="002D2FD8">
            <w:pPr>
              <w:pStyle w:val="TableText0"/>
              <w:spacing w:before="0" w:after="0"/>
              <w:jc w:val="center"/>
              <w:rPr>
                <w:snapToGrid w:val="0"/>
              </w:rPr>
            </w:pPr>
            <w:r>
              <w:rPr>
                <w:snapToGrid w:val="0"/>
              </w:rPr>
              <w:t>NR</w:t>
            </w:r>
          </w:p>
        </w:tc>
        <w:tc>
          <w:tcPr>
            <w:tcW w:w="928" w:type="pct"/>
            <w:vMerge w:val="restart"/>
            <w:tcBorders>
              <w:left w:val="double" w:sz="4" w:space="0" w:color="auto"/>
            </w:tcBorders>
            <w:vAlign w:val="center"/>
          </w:tcPr>
          <w:p w14:paraId="625C76A6" w14:textId="77777777" w:rsidR="00412CCE" w:rsidRPr="00C02487" w:rsidRDefault="00412CCE" w:rsidP="002D2FD8">
            <w:pPr>
              <w:pStyle w:val="TableText0"/>
              <w:spacing w:before="0" w:after="0"/>
              <w:jc w:val="center"/>
              <w:rPr>
                <w:snapToGrid w:val="0"/>
              </w:rPr>
            </w:pPr>
            <w:r>
              <w:rPr>
                <w:snapToGrid w:val="0"/>
              </w:rPr>
              <w:t>AHI: r=0.94</w:t>
            </w:r>
          </w:p>
          <w:p w14:paraId="10409659" w14:textId="77777777" w:rsidR="00412CCE" w:rsidRPr="00C02487" w:rsidRDefault="00412CCE" w:rsidP="002D2FD8">
            <w:pPr>
              <w:pStyle w:val="TableText0"/>
              <w:spacing w:before="0" w:after="0"/>
              <w:jc w:val="center"/>
              <w:rPr>
                <w:snapToGrid w:val="0"/>
              </w:rPr>
            </w:pPr>
            <w:r>
              <w:rPr>
                <w:snapToGrid w:val="0"/>
              </w:rPr>
              <w:t>LSAT: r=0.90</w:t>
            </w:r>
          </w:p>
        </w:tc>
      </w:tr>
      <w:tr w:rsidR="00412CCE" w:rsidRPr="00C02487" w14:paraId="3C1AD2C6" w14:textId="77777777" w:rsidTr="0080749F">
        <w:tc>
          <w:tcPr>
            <w:tcW w:w="616" w:type="pct"/>
            <w:shd w:val="clear" w:color="auto" w:fill="auto"/>
            <w:vAlign w:val="center"/>
          </w:tcPr>
          <w:p w14:paraId="2EE0658D"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≥15</w:t>
            </w:r>
          </w:p>
        </w:tc>
        <w:tc>
          <w:tcPr>
            <w:tcW w:w="703" w:type="pct"/>
          </w:tcPr>
          <w:p w14:paraId="71A49774" w14:textId="77777777" w:rsidR="00412CCE" w:rsidRPr="00247291" w:rsidRDefault="00412CCE" w:rsidP="002D2FD8">
            <w:pPr>
              <w:pStyle w:val="TableText0"/>
              <w:spacing w:before="0" w:after="0"/>
              <w:jc w:val="center"/>
              <w:rPr>
                <w:snapToGrid w:val="0"/>
              </w:rPr>
            </w:pPr>
            <w:r w:rsidRPr="00247291">
              <w:rPr>
                <w:snapToGrid w:val="0"/>
              </w:rPr>
              <w:t>81</w:t>
            </w:r>
            <w:r>
              <w:rPr>
                <w:snapToGrid w:val="0"/>
              </w:rPr>
              <w:t>%</w:t>
            </w:r>
          </w:p>
        </w:tc>
        <w:tc>
          <w:tcPr>
            <w:tcW w:w="703" w:type="pct"/>
          </w:tcPr>
          <w:p w14:paraId="5253370C" w14:textId="77777777" w:rsidR="00412CCE" w:rsidRPr="00247291" w:rsidRDefault="00412CCE" w:rsidP="002D2FD8">
            <w:pPr>
              <w:pStyle w:val="TableText0"/>
              <w:spacing w:before="0" w:after="0"/>
              <w:jc w:val="center"/>
            </w:pPr>
            <w:r w:rsidRPr="00247291">
              <w:rPr>
                <w:snapToGrid w:val="0"/>
              </w:rPr>
              <w:t>77</w:t>
            </w:r>
            <w:r>
              <w:rPr>
                <w:snapToGrid w:val="0"/>
              </w:rPr>
              <w:t>%</w:t>
            </w:r>
          </w:p>
        </w:tc>
        <w:tc>
          <w:tcPr>
            <w:tcW w:w="424" w:type="pct"/>
          </w:tcPr>
          <w:p w14:paraId="5D73B594" w14:textId="77777777" w:rsidR="00412CCE" w:rsidRPr="00247291" w:rsidRDefault="00412CCE" w:rsidP="002D2FD8">
            <w:pPr>
              <w:pStyle w:val="TableText0"/>
              <w:spacing w:before="0" w:after="0"/>
              <w:jc w:val="center"/>
            </w:pPr>
            <w:r w:rsidRPr="00247291">
              <w:rPr>
                <w:snapToGrid w:val="0"/>
              </w:rPr>
              <w:t>87</w:t>
            </w:r>
            <w:r>
              <w:rPr>
                <w:snapToGrid w:val="0"/>
              </w:rPr>
              <w:t>%</w:t>
            </w:r>
          </w:p>
        </w:tc>
        <w:tc>
          <w:tcPr>
            <w:tcW w:w="445" w:type="pct"/>
          </w:tcPr>
          <w:p w14:paraId="3B09D006" w14:textId="77777777" w:rsidR="00412CCE" w:rsidRPr="00247291" w:rsidRDefault="00412CCE" w:rsidP="002D2FD8">
            <w:pPr>
              <w:pStyle w:val="TableText0"/>
              <w:spacing w:before="0" w:after="0"/>
              <w:jc w:val="center"/>
            </w:pPr>
            <w:r w:rsidRPr="00247291">
              <w:rPr>
                <w:snapToGrid w:val="0"/>
              </w:rPr>
              <w:t>70</w:t>
            </w:r>
            <w:r>
              <w:rPr>
                <w:snapToGrid w:val="0"/>
              </w:rPr>
              <w:t>%</w:t>
            </w:r>
          </w:p>
        </w:tc>
        <w:tc>
          <w:tcPr>
            <w:tcW w:w="599" w:type="pct"/>
            <w:vMerge/>
            <w:vAlign w:val="center"/>
          </w:tcPr>
          <w:p w14:paraId="027E472E"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417D70C0"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045B42B5" w14:textId="77777777" w:rsidR="00412CCE" w:rsidRPr="00C02487" w:rsidRDefault="00412CCE" w:rsidP="002D2FD8">
            <w:pPr>
              <w:pStyle w:val="TableText0"/>
              <w:spacing w:before="0" w:after="0"/>
              <w:jc w:val="center"/>
              <w:rPr>
                <w:snapToGrid w:val="0"/>
              </w:rPr>
            </w:pPr>
          </w:p>
        </w:tc>
      </w:tr>
      <w:tr w:rsidR="00412CCE" w:rsidRPr="00C02487" w14:paraId="72DCB0B9" w14:textId="77777777" w:rsidTr="0080749F">
        <w:tc>
          <w:tcPr>
            <w:tcW w:w="616" w:type="pct"/>
            <w:shd w:val="clear" w:color="auto" w:fill="auto"/>
            <w:vAlign w:val="center"/>
          </w:tcPr>
          <w:p w14:paraId="6C14D888"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≥30</w:t>
            </w:r>
          </w:p>
        </w:tc>
        <w:tc>
          <w:tcPr>
            <w:tcW w:w="703" w:type="pct"/>
          </w:tcPr>
          <w:p w14:paraId="76C3DB1B" w14:textId="77777777" w:rsidR="00412CCE" w:rsidRPr="00247291" w:rsidRDefault="00412CCE" w:rsidP="002D2FD8">
            <w:pPr>
              <w:pStyle w:val="TableText0"/>
              <w:spacing w:before="0" w:after="0"/>
              <w:jc w:val="center"/>
              <w:rPr>
                <w:snapToGrid w:val="0"/>
              </w:rPr>
            </w:pPr>
            <w:r w:rsidRPr="00247291">
              <w:rPr>
                <w:snapToGrid w:val="0"/>
              </w:rPr>
              <w:t>92</w:t>
            </w:r>
            <w:r>
              <w:rPr>
                <w:snapToGrid w:val="0"/>
              </w:rPr>
              <w:t>%</w:t>
            </w:r>
          </w:p>
        </w:tc>
        <w:tc>
          <w:tcPr>
            <w:tcW w:w="703" w:type="pct"/>
          </w:tcPr>
          <w:p w14:paraId="52B984D5" w14:textId="77777777" w:rsidR="00412CCE" w:rsidRPr="00247291" w:rsidRDefault="00412CCE" w:rsidP="002D2FD8">
            <w:pPr>
              <w:pStyle w:val="TableText0"/>
              <w:spacing w:before="0" w:after="0"/>
              <w:jc w:val="center"/>
            </w:pPr>
            <w:r w:rsidRPr="00247291">
              <w:rPr>
                <w:snapToGrid w:val="0"/>
              </w:rPr>
              <w:t>92</w:t>
            </w:r>
            <w:r>
              <w:rPr>
                <w:snapToGrid w:val="0"/>
              </w:rPr>
              <w:t>%</w:t>
            </w:r>
          </w:p>
        </w:tc>
        <w:tc>
          <w:tcPr>
            <w:tcW w:w="424" w:type="pct"/>
          </w:tcPr>
          <w:p w14:paraId="3229BA1E" w14:textId="77777777" w:rsidR="00412CCE" w:rsidRPr="00247291" w:rsidRDefault="00412CCE" w:rsidP="002D2FD8">
            <w:pPr>
              <w:pStyle w:val="TableText0"/>
              <w:spacing w:before="0" w:after="0"/>
              <w:jc w:val="center"/>
            </w:pPr>
            <w:r w:rsidRPr="00247291">
              <w:rPr>
                <w:snapToGrid w:val="0"/>
              </w:rPr>
              <w:t>92</w:t>
            </w:r>
            <w:r>
              <w:rPr>
                <w:snapToGrid w:val="0"/>
              </w:rPr>
              <w:t>%</w:t>
            </w:r>
          </w:p>
        </w:tc>
        <w:tc>
          <w:tcPr>
            <w:tcW w:w="445" w:type="pct"/>
          </w:tcPr>
          <w:p w14:paraId="05D5E978" w14:textId="77777777" w:rsidR="00412CCE" w:rsidRPr="00247291" w:rsidRDefault="00412CCE" w:rsidP="002D2FD8">
            <w:pPr>
              <w:pStyle w:val="TableText0"/>
              <w:spacing w:before="0" w:after="0"/>
              <w:jc w:val="center"/>
            </w:pPr>
            <w:r w:rsidRPr="00247291">
              <w:rPr>
                <w:snapToGrid w:val="0"/>
              </w:rPr>
              <w:t>92</w:t>
            </w:r>
            <w:r>
              <w:rPr>
                <w:snapToGrid w:val="0"/>
              </w:rPr>
              <w:t>%</w:t>
            </w:r>
          </w:p>
        </w:tc>
        <w:tc>
          <w:tcPr>
            <w:tcW w:w="599" w:type="pct"/>
            <w:vMerge/>
            <w:vAlign w:val="center"/>
          </w:tcPr>
          <w:p w14:paraId="7A6A4887"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5A6D5C20"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307425D9" w14:textId="77777777" w:rsidR="00412CCE" w:rsidRPr="00C02487" w:rsidRDefault="00412CCE" w:rsidP="002D2FD8">
            <w:pPr>
              <w:pStyle w:val="TableText0"/>
              <w:spacing w:before="0" w:after="0"/>
              <w:jc w:val="center"/>
              <w:rPr>
                <w:snapToGrid w:val="0"/>
              </w:rPr>
            </w:pPr>
          </w:p>
        </w:tc>
      </w:tr>
      <w:tr w:rsidR="00412CCE" w:rsidRPr="00C02487" w14:paraId="6673049D" w14:textId="77777777" w:rsidTr="0080749F">
        <w:tc>
          <w:tcPr>
            <w:tcW w:w="616" w:type="pct"/>
            <w:shd w:val="clear" w:color="auto" w:fill="auto"/>
            <w:vAlign w:val="center"/>
          </w:tcPr>
          <w:p w14:paraId="1774A092" w14:textId="77777777" w:rsidR="00412CCE" w:rsidRPr="0038300C" w:rsidRDefault="00412CCE" w:rsidP="002D2FD8">
            <w:pPr>
              <w:pStyle w:val="TableHeading"/>
              <w:keepNext w:val="0"/>
              <w:widowControl w:val="0"/>
              <w:tabs>
                <w:tab w:val="left" w:pos="224"/>
              </w:tabs>
              <w:spacing w:before="0" w:after="0"/>
              <w:jc w:val="left"/>
              <w:rPr>
                <w:b w:val="0"/>
                <w:bCs/>
              </w:rPr>
            </w:pPr>
            <w:r w:rsidRPr="0038300C">
              <w:rPr>
                <w:b w:val="0"/>
                <w:bCs/>
                <w:snapToGrid w:val="0"/>
              </w:rPr>
              <w:t>Gan 2017</w:t>
            </w:r>
            <w:r>
              <w:rPr>
                <w:b w:val="0"/>
                <w:bCs/>
                <w:snapToGrid w:val="0"/>
              </w:rPr>
              <w:t xml:space="preserve"> (N=20)</w:t>
            </w:r>
          </w:p>
        </w:tc>
        <w:tc>
          <w:tcPr>
            <w:tcW w:w="3456" w:type="pct"/>
            <w:gridSpan w:val="6"/>
            <w:tcBorders>
              <w:right w:val="double" w:sz="4" w:space="0" w:color="auto"/>
            </w:tcBorders>
            <w:vAlign w:val="center"/>
          </w:tcPr>
          <w:p w14:paraId="7040C226" w14:textId="77777777" w:rsidR="00412CCE" w:rsidRPr="00C02487" w:rsidRDefault="00412CCE" w:rsidP="002D2FD8">
            <w:pPr>
              <w:pStyle w:val="TableText0"/>
              <w:spacing w:before="0" w:after="0"/>
              <w:jc w:val="center"/>
              <w:rPr>
                <w:snapToGrid w:val="0"/>
              </w:rPr>
            </w:pPr>
          </w:p>
        </w:tc>
        <w:tc>
          <w:tcPr>
            <w:tcW w:w="928" w:type="pct"/>
            <w:tcBorders>
              <w:left w:val="double" w:sz="4" w:space="0" w:color="auto"/>
            </w:tcBorders>
            <w:vAlign w:val="center"/>
          </w:tcPr>
          <w:p w14:paraId="7F652616" w14:textId="77777777" w:rsidR="00412CCE" w:rsidRPr="00C02487" w:rsidRDefault="00412CCE" w:rsidP="002D2FD8">
            <w:pPr>
              <w:pStyle w:val="TableText0"/>
              <w:spacing w:before="0" w:after="0"/>
              <w:jc w:val="center"/>
              <w:rPr>
                <w:snapToGrid w:val="0"/>
              </w:rPr>
            </w:pPr>
          </w:p>
        </w:tc>
      </w:tr>
      <w:tr w:rsidR="00412CCE" w:rsidRPr="00C02487" w14:paraId="349F8BEB" w14:textId="77777777" w:rsidTr="0080749F">
        <w:tc>
          <w:tcPr>
            <w:tcW w:w="616" w:type="pct"/>
            <w:shd w:val="clear" w:color="auto" w:fill="auto"/>
            <w:vAlign w:val="center"/>
          </w:tcPr>
          <w:p w14:paraId="6584E728"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≥5</w:t>
            </w:r>
          </w:p>
        </w:tc>
        <w:tc>
          <w:tcPr>
            <w:tcW w:w="703" w:type="pct"/>
          </w:tcPr>
          <w:p w14:paraId="36A4C77E" w14:textId="77777777" w:rsidR="00412CCE" w:rsidRPr="00BD2148" w:rsidRDefault="00412CCE" w:rsidP="002D2FD8">
            <w:pPr>
              <w:pStyle w:val="TableText0"/>
              <w:spacing w:before="0" w:after="0"/>
              <w:jc w:val="center"/>
              <w:rPr>
                <w:snapToGrid w:val="0"/>
              </w:rPr>
            </w:pPr>
            <w:r w:rsidRPr="00BD2148">
              <w:rPr>
                <w:snapToGrid w:val="0"/>
              </w:rPr>
              <w:t>100</w:t>
            </w:r>
            <w:r>
              <w:rPr>
                <w:snapToGrid w:val="0"/>
              </w:rPr>
              <w:t>%</w:t>
            </w:r>
          </w:p>
        </w:tc>
        <w:tc>
          <w:tcPr>
            <w:tcW w:w="703" w:type="pct"/>
          </w:tcPr>
          <w:p w14:paraId="6A85FE12" w14:textId="77777777" w:rsidR="00412CCE" w:rsidRPr="00BD2148" w:rsidRDefault="00412CCE" w:rsidP="002D2FD8">
            <w:pPr>
              <w:pStyle w:val="TableText0"/>
              <w:spacing w:before="0" w:after="0"/>
              <w:jc w:val="center"/>
            </w:pPr>
            <w:r w:rsidRPr="00BD2148">
              <w:rPr>
                <w:snapToGrid w:val="0"/>
              </w:rPr>
              <w:t>75</w:t>
            </w:r>
            <w:r>
              <w:rPr>
                <w:snapToGrid w:val="0"/>
              </w:rPr>
              <w:t>%</w:t>
            </w:r>
          </w:p>
        </w:tc>
        <w:tc>
          <w:tcPr>
            <w:tcW w:w="424" w:type="pct"/>
            <w:vMerge w:val="restart"/>
            <w:vAlign w:val="center"/>
          </w:tcPr>
          <w:p w14:paraId="3170D574" w14:textId="77777777" w:rsidR="00412CCE" w:rsidRPr="009F1F41" w:rsidRDefault="00412CCE" w:rsidP="002D2FD8">
            <w:pPr>
              <w:pStyle w:val="TableText0"/>
              <w:spacing w:before="0" w:after="0"/>
              <w:jc w:val="center"/>
            </w:pPr>
            <w:r>
              <w:t>NR</w:t>
            </w:r>
          </w:p>
        </w:tc>
        <w:tc>
          <w:tcPr>
            <w:tcW w:w="445" w:type="pct"/>
            <w:vMerge w:val="restart"/>
            <w:vAlign w:val="center"/>
          </w:tcPr>
          <w:p w14:paraId="50B97F9B" w14:textId="77777777" w:rsidR="00412CCE" w:rsidRPr="009F1F41" w:rsidRDefault="00412CCE" w:rsidP="002D2FD8">
            <w:pPr>
              <w:pStyle w:val="TableText0"/>
              <w:spacing w:before="0" w:after="0"/>
              <w:jc w:val="center"/>
            </w:pPr>
            <w:r>
              <w:t>NR</w:t>
            </w:r>
          </w:p>
        </w:tc>
        <w:tc>
          <w:tcPr>
            <w:tcW w:w="599" w:type="pct"/>
            <w:vMerge w:val="restart"/>
            <w:vAlign w:val="center"/>
          </w:tcPr>
          <w:p w14:paraId="77614D8C" w14:textId="77777777" w:rsidR="00412CCE" w:rsidRPr="00C02487" w:rsidRDefault="00412CCE" w:rsidP="002D2FD8">
            <w:pPr>
              <w:pStyle w:val="TableText0"/>
              <w:spacing w:before="0" w:after="0"/>
              <w:jc w:val="center"/>
              <w:rPr>
                <w:snapToGrid w:val="0"/>
              </w:rPr>
            </w:pPr>
            <w:r>
              <w:rPr>
                <w:snapToGrid w:val="0"/>
              </w:rPr>
              <w:t>0%</w:t>
            </w:r>
          </w:p>
        </w:tc>
        <w:tc>
          <w:tcPr>
            <w:tcW w:w="582" w:type="pct"/>
            <w:vMerge w:val="restart"/>
            <w:tcBorders>
              <w:right w:val="double" w:sz="4" w:space="0" w:color="auto"/>
            </w:tcBorders>
            <w:vAlign w:val="center"/>
          </w:tcPr>
          <w:p w14:paraId="6AE8F7CE" w14:textId="77777777" w:rsidR="00412CCE" w:rsidRPr="00C02487" w:rsidRDefault="00412CCE" w:rsidP="002D2FD8">
            <w:pPr>
              <w:pStyle w:val="TableText0"/>
              <w:spacing w:before="0" w:after="0"/>
              <w:jc w:val="center"/>
              <w:rPr>
                <w:snapToGrid w:val="0"/>
              </w:rPr>
            </w:pPr>
            <w:r>
              <w:rPr>
                <w:snapToGrid w:val="0"/>
              </w:rPr>
              <w:t>0%</w:t>
            </w:r>
          </w:p>
        </w:tc>
        <w:tc>
          <w:tcPr>
            <w:tcW w:w="928" w:type="pct"/>
            <w:vMerge w:val="restart"/>
            <w:tcBorders>
              <w:left w:val="double" w:sz="4" w:space="0" w:color="auto"/>
            </w:tcBorders>
            <w:vAlign w:val="center"/>
          </w:tcPr>
          <w:p w14:paraId="06779519" w14:textId="77777777" w:rsidR="00412CCE" w:rsidRPr="00C02487" w:rsidRDefault="00412CCE" w:rsidP="002D2FD8">
            <w:pPr>
              <w:pStyle w:val="TableText0"/>
              <w:spacing w:before="0" w:after="0"/>
              <w:jc w:val="center"/>
              <w:rPr>
                <w:snapToGrid w:val="0"/>
              </w:rPr>
            </w:pPr>
            <w:r>
              <w:rPr>
                <w:snapToGrid w:val="0"/>
              </w:rPr>
              <w:t>NR</w:t>
            </w:r>
          </w:p>
        </w:tc>
      </w:tr>
      <w:tr w:rsidR="00412CCE" w:rsidRPr="00C02487" w14:paraId="2F77D102" w14:textId="77777777" w:rsidTr="0080749F">
        <w:tc>
          <w:tcPr>
            <w:tcW w:w="616" w:type="pct"/>
            <w:shd w:val="clear" w:color="auto" w:fill="auto"/>
            <w:vAlign w:val="center"/>
          </w:tcPr>
          <w:p w14:paraId="67C773CF"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≥15</w:t>
            </w:r>
          </w:p>
        </w:tc>
        <w:tc>
          <w:tcPr>
            <w:tcW w:w="703" w:type="pct"/>
          </w:tcPr>
          <w:p w14:paraId="69B2CA4D" w14:textId="77777777" w:rsidR="00412CCE" w:rsidRPr="00BD2148" w:rsidRDefault="00412CCE" w:rsidP="002D2FD8">
            <w:pPr>
              <w:pStyle w:val="TableText0"/>
              <w:spacing w:before="0" w:after="0"/>
              <w:jc w:val="center"/>
              <w:rPr>
                <w:snapToGrid w:val="0"/>
              </w:rPr>
            </w:pPr>
            <w:r w:rsidRPr="00BD2148">
              <w:rPr>
                <w:snapToGrid w:val="0"/>
              </w:rPr>
              <w:t>84</w:t>
            </w:r>
            <w:r>
              <w:rPr>
                <w:snapToGrid w:val="0"/>
              </w:rPr>
              <w:t>%</w:t>
            </w:r>
          </w:p>
        </w:tc>
        <w:tc>
          <w:tcPr>
            <w:tcW w:w="703" w:type="pct"/>
          </w:tcPr>
          <w:p w14:paraId="0B07E0B7" w14:textId="77777777" w:rsidR="00412CCE" w:rsidRPr="00BD2148" w:rsidRDefault="00412CCE" w:rsidP="002D2FD8">
            <w:pPr>
              <w:pStyle w:val="TableText0"/>
              <w:spacing w:before="0" w:after="0"/>
              <w:jc w:val="center"/>
            </w:pPr>
            <w:r w:rsidRPr="00BD2148">
              <w:rPr>
                <w:snapToGrid w:val="0"/>
              </w:rPr>
              <w:t>100</w:t>
            </w:r>
            <w:r>
              <w:rPr>
                <w:snapToGrid w:val="0"/>
              </w:rPr>
              <w:t>%</w:t>
            </w:r>
          </w:p>
        </w:tc>
        <w:tc>
          <w:tcPr>
            <w:tcW w:w="424" w:type="pct"/>
            <w:vMerge/>
            <w:vAlign w:val="center"/>
          </w:tcPr>
          <w:p w14:paraId="48447FCE" w14:textId="77777777" w:rsidR="00412CCE" w:rsidRPr="009F1F41" w:rsidRDefault="00412CCE" w:rsidP="002D2FD8">
            <w:pPr>
              <w:pStyle w:val="TableText0"/>
              <w:spacing w:before="0" w:after="0"/>
              <w:jc w:val="center"/>
            </w:pPr>
          </w:p>
        </w:tc>
        <w:tc>
          <w:tcPr>
            <w:tcW w:w="445" w:type="pct"/>
            <w:vMerge/>
            <w:vAlign w:val="center"/>
          </w:tcPr>
          <w:p w14:paraId="06E7EBF0" w14:textId="77777777" w:rsidR="00412CCE" w:rsidRPr="009F1F41" w:rsidRDefault="00412CCE" w:rsidP="002D2FD8">
            <w:pPr>
              <w:pStyle w:val="TableText0"/>
              <w:spacing w:before="0" w:after="0"/>
              <w:jc w:val="center"/>
            </w:pPr>
          </w:p>
        </w:tc>
        <w:tc>
          <w:tcPr>
            <w:tcW w:w="599" w:type="pct"/>
            <w:vMerge/>
            <w:vAlign w:val="center"/>
          </w:tcPr>
          <w:p w14:paraId="0A531176"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2FD182FB"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139AA9FB" w14:textId="77777777" w:rsidR="00412CCE" w:rsidRPr="00C02487" w:rsidRDefault="00412CCE" w:rsidP="002D2FD8">
            <w:pPr>
              <w:pStyle w:val="TableText0"/>
              <w:spacing w:before="0" w:after="0"/>
              <w:jc w:val="center"/>
              <w:rPr>
                <w:snapToGrid w:val="0"/>
              </w:rPr>
            </w:pPr>
          </w:p>
        </w:tc>
      </w:tr>
      <w:tr w:rsidR="00412CCE" w:rsidRPr="00C02487" w14:paraId="3DD3E9B8" w14:textId="77777777" w:rsidTr="0080749F">
        <w:tc>
          <w:tcPr>
            <w:tcW w:w="616" w:type="pct"/>
            <w:shd w:val="clear" w:color="auto" w:fill="auto"/>
            <w:vAlign w:val="center"/>
          </w:tcPr>
          <w:p w14:paraId="229A16DD"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≥30</w:t>
            </w:r>
          </w:p>
        </w:tc>
        <w:tc>
          <w:tcPr>
            <w:tcW w:w="703" w:type="pct"/>
          </w:tcPr>
          <w:p w14:paraId="0C6BEDA9" w14:textId="77777777" w:rsidR="00412CCE" w:rsidRPr="00BD2148" w:rsidRDefault="00412CCE" w:rsidP="002D2FD8">
            <w:pPr>
              <w:pStyle w:val="TableText0"/>
              <w:spacing w:before="0" w:after="0"/>
              <w:jc w:val="center"/>
              <w:rPr>
                <w:snapToGrid w:val="0"/>
              </w:rPr>
            </w:pPr>
            <w:r w:rsidRPr="00BD2148">
              <w:rPr>
                <w:snapToGrid w:val="0"/>
              </w:rPr>
              <w:t>80</w:t>
            </w:r>
            <w:r>
              <w:rPr>
                <w:snapToGrid w:val="0"/>
              </w:rPr>
              <w:t>%</w:t>
            </w:r>
          </w:p>
        </w:tc>
        <w:tc>
          <w:tcPr>
            <w:tcW w:w="703" w:type="pct"/>
          </w:tcPr>
          <w:p w14:paraId="238929EA" w14:textId="77777777" w:rsidR="00412CCE" w:rsidRPr="00BD2148" w:rsidRDefault="00412CCE" w:rsidP="002D2FD8">
            <w:pPr>
              <w:pStyle w:val="TableText0"/>
              <w:spacing w:before="0" w:after="0"/>
              <w:jc w:val="center"/>
            </w:pPr>
            <w:r w:rsidRPr="00BD2148">
              <w:rPr>
                <w:snapToGrid w:val="0"/>
              </w:rPr>
              <w:t>100</w:t>
            </w:r>
            <w:r>
              <w:rPr>
                <w:snapToGrid w:val="0"/>
              </w:rPr>
              <w:t>%</w:t>
            </w:r>
          </w:p>
        </w:tc>
        <w:tc>
          <w:tcPr>
            <w:tcW w:w="424" w:type="pct"/>
            <w:vMerge/>
            <w:vAlign w:val="center"/>
          </w:tcPr>
          <w:p w14:paraId="6019AE5A" w14:textId="77777777" w:rsidR="00412CCE" w:rsidRPr="009F1F41" w:rsidRDefault="00412CCE" w:rsidP="002D2FD8">
            <w:pPr>
              <w:pStyle w:val="TableText0"/>
              <w:spacing w:before="0" w:after="0"/>
              <w:jc w:val="center"/>
            </w:pPr>
          </w:p>
        </w:tc>
        <w:tc>
          <w:tcPr>
            <w:tcW w:w="445" w:type="pct"/>
            <w:vMerge/>
            <w:vAlign w:val="center"/>
          </w:tcPr>
          <w:p w14:paraId="5442A350" w14:textId="77777777" w:rsidR="00412CCE" w:rsidRPr="009F1F41" w:rsidRDefault="00412CCE" w:rsidP="002D2FD8">
            <w:pPr>
              <w:pStyle w:val="TableText0"/>
              <w:spacing w:before="0" w:after="0"/>
              <w:jc w:val="center"/>
            </w:pPr>
          </w:p>
        </w:tc>
        <w:tc>
          <w:tcPr>
            <w:tcW w:w="599" w:type="pct"/>
            <w:vMerge/>
            <w:vAlign w:val="center"/>
          </w:tcPr>
          <w:p w14:paraId="1B800E21"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1AAAC834"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24CF3FEB" w14:textId="77777777" w:rsidR="00412CCE" w:rsidRPr="00C02487" w:rsidRDefault="00412CCE" w:rsidP="002D2FD8">
            <w:pPr>
              <w:pStyle w:val="TableText0"/>
              <w:spacing w:before="0" w:after="0"/>
              <w:jc w:val="center"/>
              <w:rPr>
                <w:snapToGrid w:val="0"/>
              </w:rPr>
            </w:pPr>
          </w:p>
        </w:tc>
      </w:tr>
      <w:tr w:rsidR="00412CCE" w:rsidRPr="00C02487" w14:paraId="736AA11F" w14:textId="77777777" w:rsidTr="0080749F">
        <w:tc>
          <w:tcPr>
            <w:tcW w:w="616" w:type="pct"/>
            <w:shd w:val="clear" w:color="auto" w:fill="auto"/>
            <w:vAlign w:val="center"/>
          </w:tcPr>
          <w:p w14:paraId="05BA1F66" w14:textId="77777777" w:rsidR="00412CCE" w:rsidRPr="0038300C" w:rsidRDefault="00412CCE" w:rsidP="002D2FD8">
            <w:pPr>
              <w:pStyle w:val="TableHeading"/>
              <w:keepNext w:val="0"/>
              <w:widowControl w:val="0"/>
              <w:tabs>
                <w:tab w:val="left" w:pos="224"/>
              </w:tabs>
              <w:spacing w:before="0" w:after="0"/>
              <w:jc w:val="left"/>
              <w:rPr>
                <w:b w:val="0"/>
                <w:bCs/>
              </w:rPr>
            </w:pPr>
            <w:r w:rsidRPr="0038300C">
              <w:rPr>
                <w:b w:val="0"/>
                <w:bCs/>
                <w:snapToGrid w:val="0"/>
              </w:rPr>
              <w:t>Garg 2014</w:t>
            </w:r>
            <w:r>
              <w:rPr>
                <w:b w:val="0"/>
                <w:bCs/>
                <w:snapToGrid w:val="0"/>
              </w:rPr>
              <w:t xml:space="preserve"> (N=75)</w:t>
            </w:r>
          </w:p>
        </w:tc>
        <w:tc>
          <w:tcPr>
            <w:tcW w:w="3456" w:type="pct"/>
            <w:gridSpan w:val="6"/>
            <w:tcBorders>
              <w:right w:val="double" w:sz="4" w:space="0" w:color="auto"/>
            </w:tcBorders>
            <w:vAlign w:val="center"/>
          </w:tcPr>
          <w:p w14:paraId="50534094" w14:textId="77777777" w:rsidR="00412CCE" w:rsidRPr="00C02487" w:rsidRDefault="00412CCE" w:rsidP="002D2FD8">
            <w:pPr>
              <w:pStyle w:val="TableText0"/>
              <w:spacing w:before="0" w:after="0"/>
              <w:jc w:val="center"/>
              <w:rPr>
                <w:snapToGrid w:val="0"/>
              </w:rPr>
            </w:pPr>
          </w:p>
        </w:tc>
        <w:tc>
          <w:tcPr>
            <w:tcW w:w="928" w:type="pct"/>
            <w:tcBorders>
              <w:left w:val="double" w:sz="4" w:space="0" w:color="auto"/>
            </w:tcBorders>
            <w:vAlign w:val="center"/>
          </w:tcPr>
          <w:p w14:paraId="24E15445" w14:textId="77777777" w:rsidR="00412CCE" w:rsidRPr="00C02487" w:rsidRDefault="00412CCE" w:rsidP="002D2FD8">
            <w:pPr>
              <w:pStyle w:val="TableText0"/>
              <w:spacing w:before="0" w:after="0"/>
              <w:jc w:val="center"/>
              <w:rPr>
                <w:snapToGrid w:val="0"/>
              </w:rPr>
            </w:pPr>
          </w:p>
        </w:tc>
      </w:tr>
      <w:tr w:rsidR="00412CCE" w:rsidRPr="00C02487" w14:paraId="02A5B7F9" w14:textId="77777777" w:rsidTr="0080749F">
        <w:tc>
          <w:tcPr>
            <w:tcW w:w="616" w:type="pct"/>
            <w:shd w:val="clear" w:color="auto" w:fill="auto"/>
            <w:vAlign w:val="center"/>
          </w:tcPr>
          <w:p w14:paraId="5CB41C18"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≥5</w:t>
            </w:r>
          </w:p>
        </w:tc>
        <w:tc>
          <w:tcPr>
            <w:tcW w:w="703" w:type="pct"/>
          </w:tcPr>
          <w:p w14:paraId="04A6AC0C" w14:textId="77777777" w:rsidR="00412CCE" w:rsidRPr="008403A6" w:rsidRDefault="00412CCE" w:rsidP="002D2FD8">
            <w:pPr>
              <w:pStyle w:val="TableText0"/>
              <w:spacing w:before="0" w:after="0"/>
              <w:jc w:val="center"/>
              <w:rPr>
                <w:snapToGrid w:val="0"/>
              </w:rPr>
            </w:pPr>
            <w:r w:rsidRPr="008403A6">
              <w:rPr>
                <w:snapToGrid w:val="0"/>
              </w:rPr>
              <w:t>96</w:t>
            </w:r>
            <w:r>
              <w:rPr>
                <w:snapToGrid w:val="0"/>
              </w:rPr>
              <w:t>%</w:t>
            </w:r>
          </w:p>
        </w:tc>
        <w:tc>
          <w:tcPr>
            <w:tcW w:w="703" w:type="pct"/>
          </w:tcPr>
          <w:p w14:paraId="09230E59" w14:textId="77777777" w:rsidR="00412CCE" w:rsidRPr="008403A6" w:rsidRDefault="00412CCE" w:rsidP="002D2FD8">
            <w:pPr>
              <w:pStyle w:val="TableText0"/>
              <w:spacing w:before="0" w:after="0"/>
              <w:jc w:val="center"/>
            </w:pPr>
            <w:r w:rsidRPr="008403A6">
              <w:rPr>
                <w:snapToGrid w:val="0"/>
              </w:rPr>
              <w:t>43</w:t>
            </w:r>
            <w:r>
              <w:rPr>
                <w:snapToGrid w:val="0"/>
              </w:rPr>
              <w:t>%</w:t>
            </w:r>
          </w:p>
        </w:tc>
        <w:tc>
          <w:tcPr>
            <w:tcW w:w="424" w:type="pct"/>
          </w:tcPr>
          <w:p w14:paraId="20EA1279" w14:textId="77777777" w:rsidR="00412CCE" w:rsidRPr="008403A6" w:rsidRDefault="00412CCE" w:rsidP="002D2FD8">
            <w:pPr>
              <w:pStyle w:val="TableText0"/>
              <w:spacing w:before="0" w:after="0"/>
              <w:jc w:val="center"/>
            </w:pPr>
            <w:r w:rsidRPr="008403A6">
              <w:rPr>
                <w:snapToGrid w:val="0"/>
              </w:rPr>
              <w:t>79</w:t>
            </w:r>
            <w:r>
              <w:rPr>
                <w:snapToGrid w:val="0"/>
              </w:rPr>
              <w:t>%</w:t>
            </w:r>
          </w:p>
        </w:tc>
        <w:tc>
          <w:tcPr>
            <w:tcW w:w="445" w:type="pct"/>
          </w:tcPr>
          <w:p w14:paraId="4ED370E4" w14:textId="77777777" w:rsidR="00412CCE" w:rsidRPr="008403A6" w:rsidRDefault="00412CCE" w:rsidP="002D2FD8">
            <w:pPr>
              <w:pStyle w:val="TableText0"/>
              <w:spacing w:before="0" w:after="0"/>
              <w:jc w:val="center"/>
            </w:pPr>
            <w:r w:rsidRPr="008403A6">
              <w:rPr>
                <w:snapToGrid w:val="0"/>
              </w:rPr>
              <w:t>82</w:t>
            </w:r>
            <w:r>
              <w:rPr>
                <w:snapToGrid w:val="0"/>
              </w:rPr>
              <w:t>%</w:t>
            </w:r>
          </w:p>
        </w:tc>
        <w:tc>
          <w:tcPr>
            <w:tcW w:w="599" w:type="pct"/>
            <w:vMerge w:val="restart"/>
            <w:vAlign w:val="center"/>
          </w:tcPr>
          <w:p w14:paraId="209EB8DE" w14:textId="77777777" w:rsidR="00412CCE" w:rsidRPr="00C02487" w:rsidRDefault="00412CCE" w:rsidP="002D2FD8">
            <w:pPr>
              <w:pStyle w:val="TableText0"/>
              <w:spacing w:before="0" w:after="0"/>
              <w:jc w:val="center"/>
              <w:rPr>
                <w:snapToGrid w:val="0"/>
              </w:rPr>
            </w:pPr>
            <w:r>
              <w:rPr>
                <w:snapToGrid w:val="0"/>
              </w:rPr>
              <w:t>5%</w:t>
            </w:r>
          </w:p>
        </w:tc>
        <w:tc>
          <w:tcPr>
            <w:tcW w:w="582" w:type="pct"/>
            <w:vMerge w:val="restart"/>
            <w:tcBorders>
              <w:right w:val="double" w:sz="4" w:space="0" w:color="auto"/>
            </w:tcBorders>
            <w:vAlign w:val="center"/>
          </w:tcPr>
          <w:p w14:paraId="0426CE8E" w14:textId="77777777" w:rsidR="00412CCE" w:rsidRPr="00C02487" w:rsidRDefault="00412CCE" w:rsidP="002D2FD8">
            <w:pPr>
              <w:pStyle w:val="TableText0"/>
              <w:spacing w:before="0" w:after="0"/>
              <w:jc w:val="center"/>
              <w:rPr>
                <w:snapToGrid w:val="0"/>
              </w:rPr>
            </w:pPr>
            <w:r>
              <w:t>NR</w:t>
            </w:r>
          </w:p>
        </w:tc>
        <w:tc>
          <w:tcPr>
            <w:tcW w:w="928" w:type="pct"/>
            <w:vMerge w:val="restart"/>
            <w:tcBorders>
              <w:left w:val="double" w:sz="4" w:space="0" w:color="auto"/>
            </w:tcBorders>
            <w:vAlign w:val="center"/>
          </w:tcPr>
          <w:p w14:paraId="5FCED003" w14:textId="77777777" w:rsidR="00412CCE" w:rsidRPr="00C02487" w:rsidRDefault="00412CCE" w:rsidP="002D2FD8">
            <w:pPr>
              <w:pStyle w:val="TableText0"/>
              <w:spacing w:before="0" w:after="0"/>
              <w:jc w:val="center"/>
              <w:rPr>
                <w:snapToGrid w:val="0"/>
              </w:rPr>
            </w:pPr>
            <w:r>
              <w:rPr>
                <w:snapToGrid w:val="0"/>
              </w:rPr>
              <w:t>AHI (home): r=0.73</w:t>
            </w:r>
          </w:p>
          <w:p w14:paraId="1C0EE64C" w14:textId="77777777" w:rsidR="00412CCE" w:rsidRPr="00C02487" w:rsidRDefault="00412CCE" w:rsidP="002D2FD8">
            <w:pPr>
              <w:pStyle w:val="TableText0"/>
              <w:spacing w:before="0" w:after="0"/>
              <w:jc w:val="center"/>
              <w:rPr>
                <w:snapToGrid w:val="0"/>
              </w:rPr>
            </w:pPr>
            <w:r>
              <w:rPr>
                <w:snapToGrid w:val="0"/>
              </w:rPr>
              <w:t>AHI (lab): r=0.79</w:t>
            </w:r>
          </w:p>
        </w:tc>
      </w:tr>
      <w:tr w:rsidR="00412CCE" w:rsidRPr="00C02487" w14:paraId="07B99784" w14:textId="77777777" w:rsidTr="0080749F">
        <w:tc>
          <w:tcPr>
            <w:tcW w:w="616" w:type="pct"/>
            <w:shd w:val="clear" w:color="auto" w:fill="auto"/>
            <w:vAlign w:val="center"/>
          </w:tcPr>
          <w:p w14:paraId="2A8F6E13"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≥10</w:t>
            </w:r>
          </w:p>
        </w:tc>
        <w:tc>
          <w:tcPr>
            <w:tcW w:w="703" w:type="pct"/>
          </w:tcPr>
          <w:p w14:paraId="5B7EA598" w14:textId="77777777" w:rsidR="00412CCE" w:rsidRPr="008403A6" w:rsidRDefault="00412CCE" w:rsidP="002D2FD8">
            <w:pPr>
              <w:pStyle w:val="TableText0"/>
              <w:spacing w:before="0" w:after="0"/>
              <w:jc w:val="center"/>
              <w:rPr>
                <w:snapToGrid w:val="0"/>
              </w:rPr>
            </w:pPr>
            <w:r w:rsidRPr="008403A6">
              <w:rPr>
                <w:snapToGrid w:val="0"/>
              </w:rPr>
              <w:t>90</w:t>
            </w:r>
            <w:r>
              <w:rPr>
                <w:snapToGrid w:val="0"/>
              </w:rPr>
              <w:t>%</w:t>
            </w:r>
          </w:p>
        </w:tc>
        <w:tc>
          <w:tcPr>
            <w:tcW w:w="703" w:type="pct"/>
          </w:tcPr>
          <w:p w14:paraId="24A3AF22" w14:textId="77777777" w:rsidR="00412CCE" w:rsidRPr="008403A6" w:rsidRDefault="00412CCE" w:rsidP="002D2FD8">
            <w:pPr>
              <w:pStyle w:val="TableText0"/>
              <w:spacing w:before="0" w:after="0"/>
              <w:jc w:val="center"/>
            </w:pPr>
            <w:r w:rsidRPr="008403A6">
              <w:rPr>
                <w:snapToGrid w:val="0"/>
              </w:rPr>
              <w:t>69</w:t>
            </w:r>
            <w:r>
              <w:rPr>
                <w:snapToGrid w:val="0"/>
              </w:rPr>
              <w:t>%</w:t>
            </w:r>
          </w:p>
        </w:tc>
        <w:tc>
          <w:tcPr>
            <w:tcW w:w="424" w:type="pct"/>
          </w:tcPr>
          <w:p w14:paraId="368268F2" w14:textId="77777777" w:rsidR="00412CCE" w:rsidRPr="008403A6" w:rsidRDefault="00412CCE" w:rsidP="002D2FD8">
            <w:pPr>
              <w:pStyle w:val="TableText0"/>
              <w:spacing w:before="0" w:after="0"/>
              <w:jc w:val="center"/>
            </w:pPr>
            <w:r w:rsidRPr="008403A6">
              <w:rPr>
                <w:snapToGrid w:val="0"/>
              </w:rPr>
              <w:t>83</w:t>
            </w:r>
            <w:r>
              <w:rPr>
                <w:snapToGrid w:val="0"/>
              </w:rPr>
              <w:t>%</w:t>
            </w:r>
          </w:p>
        </w:tc>
        <w:tc>
          <w:tcPr>
            <w:tcW w:w="445" w:type="pct"/>
          </w:tcPr>
          <w:p w14:paraId="4400CB3B" w14:textId="77777777" w:rsidR="00412CCE" w:rsidRPr="008403A6" w:rsidRDefault="00412CCE" w:rsidP="002D2FD8">
            <w:pPr>
              <w:pStyle w:val="TableText0"/>
              <w:spacing w:before="0" w:after="0"/>
              <w:jc w:val="center"/>
            </w:pPr>
            <w:r w:rsidRPr="008403A6">
              <w:rPr>
                <w:snapToGrid w:val="0"/>
              </w:rPr>
              <w:t>82</w:t>
            </w:r>
            <w:r>
              <w:rPr>
                <w:snapToGrid w:val="0"/>
              </w:rPr>
              <w:t>%</w:t>
            </w:r>
          </w:p>
        </w:tc>
        <w:tc>
          <w:tcPr>
            <w:tcW w:w="599" w:type="pct"/>
            <w:vMerge/>
            <w:vAlign w:val="center"/>
          </w:tcPr>
          <w:p w14:paraId="6D815C90"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16C9011E"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383C98AB" w14:textId="77777777" w:rsidR="00412CCE" w:rsidRPr="00C02487" w:rsidRDefault="00412CCE" w:rsidP="002D2FD8">
            <w:pPr>
              <w:pStyle w:val="TableText0"/>
              <w:spacing w:before="0" w:after="0"/>
              <w:jc w:val="center"/>
              <w:rPr>
                <w:snapToGrid w:val="0"/>
              </w:rPr>
            </w:pPr>
          </w:p>
        </w:tc>
      </w:tr>
      <w:tr w:rsidR="00412CCE" w:rsidRPr="00C02487" w14:paraId="277155FA" w14:textId="77777777" w:rsidTr="0080749F">
        <w:tc>
          <w:tcPr>
            <w:tcW w:w="616" w:type="pct"/>
            <w:shd w:val="clear" w:color="auto" w:fill="auto"/>
            <w:vAlign w:val="center"/>
          </w:tcPr>
          <w:p w14:paraId="75F649B0"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≥15</w:t>
            </w:r>
          </w:p>
        </w:tc>
        <w:tc>
          <w:tcPr>
            <w:tcW w:w="703" w:type="pct"/>
          </w:tcPr>
          <w:p w14:paraId="0475E19F" w14:textId="77777777" w:rsidR="00412CCE" w:rsidRPr="008403A6" w:rsidRDefault="00412CCE" w:rsidP="002D2FD8">
            <w:pPr>
              <w:pStyle w:val="TableText0"/>
              <w:spacing w:before="0" w:after="0"/>
              <w:jc w:val="center"/>
              <w:rPr>
                <w:snapToGrid w:val="0"/>
              </w:rPr>
            </w:pPr>
            <w:r w:rsidRPr="008403A6">
              <w:rPr>
                <w:snapToGrid w:val="0"/>
              </w:rPr>
              <w:t>92</w:t>
            </w:r>
            <w:r>
              <w:rPr>
                <w:snapToGrid w:val="0"/>
              </w:rPr>
              <w:t>%</w:t>
            </w:r>
          </w:p>
        </w:tc>
        <w:tc>
          <w:tcPr>
            <w:tcW w:w="703" w:type="pct"/>
          </w:tcPr>
          <w:p w14:paraId="395D4DD4" w14:textId="77777777" w:rsidR="00412CCE" w:rsidRPr="008403A6" w:rsidRDefault="00412CCE" w:rsidP="002D2FD8">
            <w:pPr>
              <w:pStyle w:val="TableText0"/>
              <w:spacing w:before="0" w:after="0"/>
              <w:jc w:val="center"/>
            </w:pPr>
            <w:r w:rsidRPr="008403A6">
              <w:rPr>
                <w:snapToGrid w:val="0"/>
              </w:rPr>
              <w:t>77</w:t>
            </w:r>
            <w:r>
              <w:rPr>
                <w:snapToGrid w:val="0"/>
              </w:rPr>
              <w:t>%</w:t>
            </w:r>
          </w:p>
        </w:tc>
        <w:tc>
          <w:tcPr>
            <w:tcW w:w="424" w:type="pct"/>
          </w:tcPr>
          <w:p w14:paraId="4B7F9947" w14:textId="77777777" w:rsidR="00412CCE" w:rsidRPr="008403A6" w:rsidRDefault="00412CCE" w:rsidP="002D2FD8">
            <w:pPr>
              <w:pStyle w:val="TableText0"/>
              <w:spacing w:before="0" w:after="0"/>
              <w:jc w:val="center"/>
            </w:pPr>
            <w:r w:rsidRPr="008403A6">
              <w:rPr>
                <w:snapToGrid w:val="0"/>
              </w:rPr>
              <w:t>83</w:t>
            </w:r>
            <w:r>
              <w:rPr>
                <w:snapToGrid w:val="0"/>
              </w:rPr>
              <w:t>%</w:t>
            </w:r>
          </w:p>
        </w:tc>
        <w:tc>
          <w:tcPr>
            <w:tcW w:w="445" w:type="pct"/>
          </w:tcPr>
          <w:p w14:paraId="79281BC5" w14:textId="77777777" w:rsidR="00412CCE" w:rsidRPr="008403A6" w:rsidRDefault="00412CCE" w:rsidP="002D2FD8">
            <w:pPr>
              <w:pStyle w:val="TableText0"/>
              <w:spacing w:before="0" w:after="0"/>
              <w:jc w:val="center"/>
            </w:pPr>
            <w:r w:rsidRPr="008403A6">
              <w:rPr>
                <w:snapToGrid w:val="0"/>
              </w:rPr>
              <w:t>88</w:t>
            </w:r>
            <w:r>
              <w:rPr>
                <w:snapToGrid w:val="0"/>
              </w:rPr>
              <w:t>%</w:t>
            </w:r>
          </w:p>
        </w:tc>
        <w:tc>
          <w:tcPr>
            <w:tcW w:w="599" w:type="pct"/>
            <w:vMerge/>
            <w:vAlign w:val="center"/>
          </w:tcPr>
          <w:p w14:paraId="12BE52C0"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2A793EBB"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08686181" w14:textId="77777777" w:rsidR="00412CCE" w:rsidRPr="00C02487" w:rsidRDefault="00412CCE" w:rsidP="002D2FD8">
            <w:pPr>
              <w:pStyle w:val="TableText0"/>
              <w:spacing w:before="0" w:after="0"/>
              <w:jc w:val="center"/>
              <w:rPr>
                <w:snapToGrid w:val="0"/>
              </w:rPr>
            </w:pPr>
          </w:p>
        </w:tc>
      </w:tr>
      <w:tr w:rsidR="00412CCE" w:rsidRPr="00C02487" w14:paraId="35FDBAFA" w14:textId="77777777" w:rsidTr="0080749F">
        <w:tc>
          <w:tcPr>
            <w:tcW w:w="616" w:type="pct"/>
            <w:shd w:val="clear" w:color="auto" w:fill="auto"/>
            <w:vAlign w:val="center"/>
          </w:tcPr>
          <w:p w14:paraId="41FC0F91" w14:textId="77777777" w:rsidR="00412CCE" w:rsidRPr="0038300C" w:rsidRDefault="00412CCE" w:rsidP="002D2FD8">
            <w:pPr>
              <w:pStyle w:val="TableHeading"/>
              <w:keepNext w:val="0"/>
              <w:widowControl w:val="0"/>
              <w:tabs>
                <w:tab w:val="left" w:pos="224"/>
              </w:tabs>
              <w:spacing w:before="0" w:after="0"/>
              <w:rPr>
                <w:b w:val="0"/>
                <w:bCs/>
              </w:rPr>
            </w:pPr>
            <w:r w:rsidRPr="0038300C">
              <w:rPr>
                <w:b w:val="0"/>
                <w:bCs/>
                <w:snapToGrid w:val="0"/>
              </w:rPr>
              <w:t>Hedner 2004</w:t>
            </w:r>
            <w:r>
              <w:rPr>
                <w:b w:val="0"/>
                <w:bCs/>
                <w:snapToGrid w:val="0"/>
              </w:rPr>
              <w:t xml:space="preserve"> (N=228)</w:t>
            </w:r>
          </w:p>
        </w:tc>
        <w:tc>
          <w:tcPr>
            <w:tcW w:w="703" w:type="pct"/>
            <w:vAlign w:val="center"/>
          </w:tcPr>
          <w:p w14:paraId="7DEE0CE8" w14:textId="77777777" w:rsidR="00412CCE" w:rsidRPr="009F1F41" w:rsidRDefault="00412CCE" w:rsidP="002D2FD8">
            <w:pPr>
              <w:pStyle w:val="TableText0"/>
              <w:spacing w:before="0" w:after="0"/>
              <w:jc w:val="center"/>
              <w:rPr>
                <w:snapToGrid w:val="0"/>
              </w:rPr>
            </w:pPr>
          </w:p>
        </w:tc>
        <w:tc>
          <w:tcPr>
            <w:tcW w:w="703" w:type="pct"/>
            <w:vAlign w:val="center"/>
          </w:tcPr>
          <w:p w14:paraId="30721B51" w14:textId="77777777" w:rsidR="00412CCE" w:rsidRPr="009F1F41" w:rsidRDefault="00412CCE" w:rsidP="002D2FD8">
            <w:pPr>
              <w:pStyle w:val="TableText0"/>
              <w:spacing w:before="0" w:after="0"/>
              <w:jc w:val="center"/>
            </w:pPr>
          </w:p>
        </w:tc>
        <w:tc>
          <w:tcPr>
            <w:tcW w:w="424" w:type="pct"/>
            <w:vAlign w:val="center"/>
          </w:tcPr>
          <w:p w14:paraId="248EAFCB" w14:textId="77777777" w:rsidR="00412CCE" w:rsidRPr="009F1F41" w:rsidRDefault="00412CCE" w:rsidP="002D2FD8">
            <w:pPr>
              <w:pStyle w:val="TableText0"/>
              <w:spacing w:before="0" w:after="0"/>
              <w:jc w:val="center"/>
            </w:pPr>
          </w:p>
        </w:tc>
        <w:tc>
          <w:tcPr>
            <w:tcW w:w="445" w:type="pct"/>
            <w:vAlign w:val="center"/>
          </w:tcPr>
          <w:p w14:paraId="10FACF86" w14:textId="77777777" w:rsidR="00412CCE" w:rsidRPr="009F1F41" w:rsidRDefault="00412CCE" w:rsidP="002D2FD8">
            <w:pPr>
              <w:pStyle w:val="TableText0"/>
              <w:spacing w:before="0" w:after="0"/>
              <w:jc w:val="center"/>
            </w:pPr>
          </w:p>
        </w:tc>
        <w:tc>
          <w:tcPr>
            <w:tcW w:w="599" w:type="pct"/>
            <w:vAlign w:val="center"/>
          </w:tcPr>
          <w:p w14:paraId="00F7F3D1" w14:textId="77777777" w:rsidR="00412CCE" w:rsidRPr="00C02487" w:rsidRDefault="00412CCE" w:rsidP="002D2FD8">
            <w:pPr>
              <w:pStyle w:val="TableText0"/>
              <w:spacing w:before="0" w:after="0"/>
              <w:jc w:val="center"/>
              <w:rPr>
                <w:snapToGrid w:val="0"/>
              </w:rPr>
            </w:pPr>
          </w:p>
        </w:tc>
        <w:tc>
          <w:tcPr>
            <w:tcW w:w="582" w:type="pct"/>
            <w:tcBorders>
              <w:right w:val="double" w:sz="4" w:space="0" w:color="auto"/>
            </w:tcBorders>
            <w:vAlign w:val="center"/>
          </w:tcPr>
          <w:p w14:paraId="43514BE1" w14:textId="77777777" w:rsidR="00412CCE" w:rsidRPr="00C02487" w:rsidRDefault="00412CCE" w:rsidP="002D2FD8">
            <w:pPr>
              <w:pStyle w:val="TableText0"/>
              <w:spacing w:before="0" w:after="0"/>
              <w:jc w:val="center"/>
              <w:rPr>
                <w:snapToGrid w:val="0"/>
              </w:rPr>
            </w:pPr>
          </w:p>
        </w:tc>
        <w:tc>
          <w:tcPr>
            <w:tcW w:w="928" w:type="pct"/>
            <w:tcBorders>
              <w:left w:val="double" w:sz="4" w:space="0" w:color="auto"/>
            </w:tcBorders>
            <w:vAlign w:val="center"/>
          </w:tcPr>
          <w:p w14:paraId="20D8BE00" w14:textId="77777777" w:rsidR="00412CCE" w:rsidRPr="00C02487" w:rsidRDefault="00412CCE" w:rsidP="002D2FD8">
            <w:pPr>
              <w:pStyle w:val="TableText0"/>
              <w:spacing w:before="0" w:after="0"/>
              <w:jc w:val="center"/>
              <w:rPr>
                <w:snapToGrid w:val="0"/>
              </w:rPr>
            </w:pPr>
          </w:p>
        </w:tc>
      </w:tr>
      <w:tr w:rsidR="00412CCE" w:rsidRPr="00C02487" w14:paraId="42AD2620" w14:textId="77777777" w:rsidTr="0080749F">
        <w:tc>
          <w:tcPr>
            <w:tcW w:w="616" w:type="pct"/>
            <w:shd w:val="clear" w:color="auto" w:fill="auto"/>
            <w:vAlign w:val="center"/>
          </w:tcPr>
          <w:p w14:paraId="61FACC67" w14:textId="77777777" w:rsidR="00412CCE" w:rsidRPr="0038300C" w:rsidRDefault="00412CCE" w:rsidP="002D2FD8">
            <w:pPr>
              <w:pStyle w:val="TableHeading"/>
              <w:keepNext w:val="0"/>
              <w:widowControl w:val="0"/>
              <w:tabs>
                <w:tab w:val="left" w:pos="224"/>
              </w:tabs>
              <w:spacing w:before="0" w:after="0"/>
              <w:rPr>
                <w:b w:val="0"/>
                <w:bCs/>
              </w:rPr>
            </w:pPr>
            <w:r>
              <w:rPr>
                <w:b w:val="0"/>
                <w:bCs/>
              </w:rPr>
              <w:tab/>
              <w:t>RDI &lt;10</w:t>
            </w:r>
          </w:p>
        </w:tc>
        <w:tc>
          <w:tcPr>
            <w:tcW w:w="703" w:type="pct"/>
          </w:tcPr>
          <w:p w14:paraId="6D808579" w14:textId="46D3F03C" w:rsidR="00412CCE" w:rsidRPr="00502F26" w:rsidRDefault="00412CCE" w:rsidP="002D2FD8">
            <w:pPr>
              <w:pStyle w:val="TableText0"/>
              <w:spacing w:before="0" w:after="0"/>
              <w:jc w:val="center"/>
              <w:rPr>
                <w:snapToGrid w:val="0"/>
              </w:rPr>
            </w:pPr>
            <w:r w:rsidRPr="00502F26">
              <w:rPr>
                <w:snapToGrid w:val="0"/>
              </w:rPr>
              <w:t>90.7</w:t>
            </w:r>
            <w:r>
              <w:rPr>
                <w:snapToGrid w:val="0"/>
              </w:rPr>
              <w:t>%</w:t>
            </w:r>
          </w:p>
        </w:tc>
        <w:tc>
          <w:tcPr>
            <w:tcW w:w="703" w:type="pct"/>
          </w:tcPr>
          <w:p w14:paraId="768D6F09" w14:textId="77777777" w:rsidR="00412CCE" w:rsidRPr="00502F26" w:rsidRDefault="00412CCE" w:rsidP="002D2FD8">
            <w:pPr>
              <w:pStyle w:val="TableText0"/>
              <w:spacing w:before="0" w:after="0"/>
              <w:jc w:val="center"/>
            </w:pPr>
            <w:r w:rsidRPr="00502F26">
              <w:rPr>
                <w:snapToGrid w:val="0"/>
              </w:rPr>
              <w:t>69.1</w:t>
            </w:r>
            <w:r>
              <w:rPr>
                <w:snapToGrid w:val="0"/>
              </w:rPr>
              <w:t>%</w:t>
            </w:r>
          </w:p>
        </w:tc>
        <w:tc>
          <w:tcPr>
            <w:tcW w:w="424" w:type="pct"/>
            <w:vMerge w:val="restart"/>
            <w:vAlign w:val="center"/>
          </w:tcPr>
          <w:p w14:paraId="2AE9A4AE" w14:textId="77777777" w:rsidR="00412CCE" w:rsidRPr="009F1F41" w:rsidRDefault="00412CCE" w:rsidP="002D2FD8">
            <w:pPr>
              <w:pStyle w:val="TableText0"/>
              <w:spacing w:before="0" w:after="0"/>
              <w:jc w:val="center"/>
            </w:pPr>
            <w:r>
              <w:t>NR</w:t>
            </w:r>
          </w:p>
        </w:tc>
        <w:tc>
          <w:tcPr>
            <w:tcW w:w="445" w:type="pct"/>
            <w:vMerge w:val="restart"/>
            <w:vAlign w:val="center"/>
          </w:tcPr>
          <w:p w14:paraId="605F7D27" w14:textId="77777777" w:rsidR="00412CCE" w:rsidRPr="009F1F41" w:rsidRDefault="00412CCE" w:rsidP="002D2FD8">
            <w:pPr>
              <w:pStyle w:val="TableText0"/>
              <w:spacing w:before="0" w:after="0"/>
              <w:jc w:val="center"/>
            </w:pPr>
            <w:r>
              <w:t>NR</w:t>
            </w:r>
          </w:p>
        </w:tc>
        <w:tc>
          <w:tcPr>
            <w:tcW w:w="599" w:type="pct"/>
            <w:vMerge w:val="restart"/>
            <w:vAlign w:val="center"/>
          </w:tcPr>
          <w:p w14:paraId="4A51281E" w14:textId="77777777" w:rsidR="00412CCE" w:rsidRPr="00C02487" w:rsidRDefault="00412CCE" w:rsidP="002D2FD8">
            <w:pPr>
              <w:pStyle w:val="TableText0"/>
              <w:spacing w:before="0" w:after="0"/>
              <w:jc w:val="center"/>
              <w:rPr>
                <w:snapToGrid w:val="0"/>
              </w:rPr>
            </w:pPr>
            <w:r>
              <w:rPr>
                <w:snapToGrid w:val="0"/>
              </w:rPr>
              <w:t>&lt;4% results unusable</w:t>
            </w:r>
          </w:p>
        </w:tc>
        <w:tc>
          <w:tcPr>
            <w:tcW w:w="582" w:type="pct"/>
            <w:vMerge w:val="restart"/>
            <w:tcBorders>
              <w:right w:val="double" w:sz="4" w:space="0" w:color="auto"/>
            </w:tcBorders>
            <w:vAlign w:val="center"/>
          </w:tcPr>
          <w:p w14:paraId="267CF6C5" w14:textId="77777777" w:rsidR="00412CCE" w:rsidRPr="00C02487" w:rsidRDefault="00412CCE" w:rsidP="002D2FD8">
            <w:pPr>
              <w:pStyle w:val="TableText0"/>
              <w:spacing w:before="0" w:after="0"/>
              <w:jc w:val="center"/>
              <w:rPr>
                <w:snapToGrid w:val="0"/>
              </w:rPr>
            </w:pPr>
            <w:r>
              <w:t>NR</w:t>
            </w:r>
          </w:p>
        </w:tc>
        <w:tc>
          <w:tcPr>
            <w:tcW w:w="928" w:type="pct"/>
            <w:vMerge w:val="restart"/>
            <w:tcBorders>
              <w:left w:val="double" w:sz="4" w:space="0" w:color="auto"/>
            </w:tcBorders>
            <w:vAlign w:val="center"/>
          </w:tcPr>
          <w:p w14:paraId="23139E50" w14:textId="77777777" w:rsidR="00412CCE" w:rsidRPr="00C02487" w:rsidRDefault="00412CCE" w:rsidP="002D2FD8">
            <w:pPr>
              <w:pStyle w:val="TableText0"/>
              <w:spacing w:before="0" w:after="0"/>
              <w:jc w:val="center"/>
              <w:rPr>
                <w:snapToGrid w:val="0"/>
              </w:rPr>
            </w:pPr>
            <w:r>
              <w:rPr>
                <w:snapToGrid w:val="0"/>
              </w:rPr>
              <w:t>RDI: r=0.87</w:t>
            </w:r>
          </w:p>
        </w:tc>
      </w:tr>
      <w:tr w:rsidR="00412CCE" w:rsidRPr="00C02487" w14:paraId="3E0868F2" w14:textId="77777777" w:rsidTr="0080749F">
        <w:tc>
          <w:tcPr>
            <w:tcW w:w="616" w:type="pct"/>
            <w:shd w:val="clear" w:color="auto" w:fill="auto"/>
            <w:vAlign w:val="center"/>
          </w:tcPr>
          <w:p w14:paraId="079C62E9" w14:textId="77777777" w:rsidR="00412CCE" w:rsidRPr="0038300C" w:rsidRDefault="00412CCE" w:rsidP="002D2FD8">
            <w:pPr>
              <w:pStyle w:val="TableHeading"/>
              <w:keepNext w:val="0"/>
              <w:widowControl w:val="0"/>
              <w:tabs>
                <w:tab w:val="left" w:pos="224"/>
              </w:tabs>
              <w:spacing w:before="0" w:after="0"/>
              <w:rPr>
                <w:b w:val="0"/>
                <w:bCs/>
              </w:rPr>
            </w:pPr>
            <w:r>
              <w:rPr>
                <w:b w:val="0"/>
                <w:bCs/>
              </w:rPr>
              <w:tab/>
              <w:t>RDI &lt;20</w:t>
            </w:r>
          </w:p>
        </w:tc>
        <w:tc>
          <w:tcPr>
            <w:tcW w:w="703" w:type="pct"/>
          </w:tcPr>
          <w:p w14:paraId="158B2A7C" w14:textId="4BB40E61" w:rsidR="00412CCE" w:rsidRPr="00502F26" w:rsidRDefault="00412CCE" w:rsidP="002D2FD8">
            <w:pPr>
              <w:pStyle w:val="TableText0"/>
              <w:spacing w:before="0" w:after="0"/>
              <w:jc w:val="center"/>
              <w:rPr>
                <w:snapToGrid w:val="0"/>
              </w:rPr>
            </w:pPr>
            <w:r w:rsidRPr="00502F26">
              <w:rPr>
                <w:snapToGrid w:val="0"/>
              </w:rPr>
              <w:t>90.4</w:t>
            </w:r>
            <w:r>
              <w:rPr>
                <w:snapToGrid w:val="0"/>
              </w:rPr>
              <w:t>%</w:t>
            </w:r>
          </w:p>
        </w:tc>
        <w:tc>
          <w:tcPr>
            <w:tcW w:w="703" w:type="pct"/>
          </w:tcPr>
          <w:p w14:paraId="16E9A679" w14:textId="77777777" w:rsidR="00412CCE" w:rsidRPr="00502F26" w:rsidRDefault="00412CCE" w:rsidP="002D2FD8">
            <w:pPr>
              <w:pStyle w:val="TableText0"/>
              <w:spacing w:before="0" w:after="0"/>
              <w:jc w:val="center"/>
            </w:pPr>
            <w:r w:rsidRPr="00502F26">
              <w:rPr>
                <w:snapToGrid w:val="0"/>
              </w:rPr>
              <w:t>70.</w:t>
            </w:r>
            <w:r>
              <w:rPr>
                <w:snapToGrid w:val="0"/>
              </w:rPr>
              <w:t>5%</w:t>
            </w:r>
          </w:p>
        </w:tc>
        <w:tc>
          <w:tcPr>
            <w:tcW w:w="424" w:type="pct"/>
            <w:vMerge/>
            <w:vAlign w:val="center"/>
          </w:tcPr>
          <w:p w14:paraId="1CA4381E" w14:textId="77777777" w:rsidR="00412CCE" w:rsidRPr="009F1F41" w:rsidRDefault="00412CCE" w:rsidP="002D2FD8">
            <w:pPr>
              <w:pStyle w:val="TableText0"/>
              <w:spacing w:before="0" w:after="0"/>
              <w:jc w:val="center"/>
            </w:pPr>
          </w:p>
        </w:tc>
        <w:tc>
          <w:tcPr>
            <w:tcW w:w="445" w:type="pct"/>
            <w:vMerge/>
            <w:vAlign w:val="center"/>
          </w:tcPr>
          <w:p w14:paraId="6309874D" w14:textId="77777777" w:rsidR="00412CCE" w:rsidRPr="009F1F41" w:rsidRDefault="00412CCE" w:rsidP="002D2FD8">
            <w:pPr>
              <w:pStyle w:val="TableText0"/>
              <w:spacing w:before="0" w:after="0"/>
              <w:jc w:val="center"/>
            </w:pPr>
          </w:p>
        </w:tc>
        <w:tc>
          <w:tcPr>
            <w:tcW w:w="599" w:type="pct"/>
            <w:vMerge/>
            <w:vAlign w:val="center"/>
          </w:tcPr>
          <w:p w14:paraId="7F987BD8"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17D41CBC"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3F5F1729" w14:textId="77777777" w:rsidR="00412CCE" w:rsidRPr="00C02487" w:rsidRDefault="00412CCE" w:rsidP="002D2FD8">
            <w:pPr>
              <w:pStyle w:val="TableText0"/>
              <w:spacing w:before="0" w:after="0"/>
              <w:jc w:val="center"/>
              <w:rPr>
                <w:snapToGrid w:val="0"/>
              </w:rPr>
            </w:pPr>
          </w:p>
        </w:tc>
      </w:tr>
      <w:tr w:rsidR="00412CCE" w:rsidRPr="00C02487" w14:paraId="6E1A98B7" w14:textId="77777777" w:rsidTr="0080749F">
        <w:tc>
          <w:tcPr>
            <w:tcW w:w="616" w:type="pct"/>
            <w:shd w:val="clear" w:color="auto" w:fill="auto"/>
            <w:vAlign w:val="center"/>
          </w:tcPr>
          <w:p w14:paraId="63AED8B7" w14:textId="77777777" w:rsidR="00412CCE" w:rsidRPr="0038300C" w:rsidRDefault="00412CCE" w:rsidP="002D2FD8">
            <w:pPr>
              <w:pStyle w:val="TableHeading"/>
              <w:keepNext w:val="0"/>
              <w:widowControl w:val="0"/>
              <w:tabs>
                <w:tab w:val="left" w:pos="224"/>
              </w:tabs>
              <w:spacing w:before="0" w:after="0"/>
              <w:rPr>
                <w:b w:val="0"/>
                <w:bCs/>
              </w:rPr>
            </w:pPr>
            <w:r>
              <w:rPr>
                <w:b w:val="0"/>
                <w:bCs/>
              </w:rPr>
              <w:tab/>
              <w:t>RDI &lt;40</w:t>
            </w:r>
          </w:p>
        </w:tc>
        <w:tc>
          <w:tcPr>
            <w:tcW w:w="703" w:type="pct"/>
          </w:tcPr>
          <w:p w14:paraId="45BCC54A" w14:textId="77777777" w:rsidR="00412CCE" w:rsidRPr="00502F26" w:rsidRDefault="00412CCE" w:rsidP="002D2FD8">
            <w:pPr>
              <w:pStyle w:val="TableText0"/>
              <w:spacing w:before="0" w:after="0"/>
              <w:jc w:val="center"/>
              <w:rPr>
                <w:snapToGrid w:val="0"/>
              </w:rPr>
            </w:pPr>
            <w:r w:rsidRPr="00502F26">
              <w:rPr>
                <w:snapToGrid w:val="0"/>
              </w:rPr>
              <w:t>89.</w:t>
            </w:r>
            <w:r>
              <w:rPr>
                <w:snapToGrid w:val="0"/>
              </w:rPr>
              <w:t>1%</w:t>
            </w:r>
          </w:p>
        </w:tc>
        <w:tc>
          <w:tcPr>
            <w:tcW w:w="703" w:type="pct"/>
          </w:tcPr>
          <w:p w14:paraId="75E9756E" w14:textId="77777777" w:rsidR="00412CCE" w:rsidRPr="00502F26" w:rsidRDefault="00412CCE" w:rsidP="002D2FD8">
            <w:pPr>
              <w:pStyle w:val="TableText0"/>
              <w:spacing w:before="0" w:after="0"/>
              <w:jc w:val="center"/>
            </w:pPr>
            <w:r w:rsidRPr="00502F26">
              <w:rPr>
                <w:snapToGrid w:val="0"/>
              </w:rPr>
              <w:t>68.</w:t>
            </w:r>
            <w:r>
              <w:rPr>
                <w:snapToGrid w:val="0"/>
              </w:rPr>
              <w:t>2%</w:t>
            </w:r>
          </w:p>
        </w:tc>
        <w:tc>
          <w:tcPr>
            <w:tcW w:w="424" w:type="pct"/>
            <w:vMerge/>
            <w:vAlign w:val="center"/>
          </w:tcPr>
          <w:p w14:paraId="184AFD17" w14:textId="77777777" w:rsidR="00412CCE" w:rsidRPr="009F1F41" w:rsidRDefault="00412CCE" w:rsidP="002D2FD8">
            <w:pPr>
              <w:pStyle w:val="TableText0"/>
              <w:spacing w:before="0" w:after="0"/>
              <w:jc w:val="center"/>
            </w:pPr>
          </w:p>
        </w:tc>
        <w:tc>
          <w:tcPr>
            <w:tcW w:w="445" w:type="pct"/>
            <w:vMerge/>
            <w:vAlign w:val="center"/>
          </w:tcPr>
          <w:p w14:paraId="0FDC2636" w14:textId="77777777" w:rsidR="00412CCE" w:rsidRPr="009F1F41" w:rsidRDefault="00412CCE" w:rsidP="002D2FD8">
            <w:pPr>
              <w:pStyle w:val="TableText0"/>
              <w:spacing w:before="0" w:after="0"/>
              <w:jc w:val="center"/>
            </w:pPr>
          </w:p>
        </w:tc>
        <w:tc>
          <w:tcPr>
            <w:tcW w:w="599" w:type="pct"/>
            <w:vMerge/>
            <w:vAlign w:val="center"/>
          </w:tcPr>
          <w:p w14:paraId="0BB2AAB4"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604B80FF"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4BA0AD06" w14:textId="77777777" w:rsidR="00412CCE" w:rsidRPr="00C02487" w:rsidRDefault="00412CCE" w:rsidP="002D2FD8">
            <w:pPr>
              <w:pStyle w:val="TableText0"/>
              <w:spacing w:before="0" w:after="0"/>
              <w:jc w:val="center"/>
              <w:rPr>
                <w:snapToGrid w:val="0"/>
              </w:rPr>
            </w:pPr>
          </w:p>
        </w:tc>
      </w:tr>
      <w:tr w:rsidR="00412CCE" w:rsidRPr="00C02487" w14:paraId="35B032C5" w14:textId="77777777" w:rsidTr="0080749F">
        <w:tc>
          <w:tcPr>
            <w:tcW w:w="616" w:type="pct"/>
            <w:shd w:val="clear" w:color="auto" w:fill="auto"/>
            <w:vAlign w:val="center"/>
          </w:tcPr>
          <w:p w14:paraId="0D61A702" w14:textId="77777777" w:rsidR="00412CCE" w:rsidRPr="0038300C" w:rsidRDefault="00412CCE" w:rsidP="002D2FD8">
            <w:pPr>
              <w:pStyle w:val="TableHeading"/>
              <w:keepNext w:val="0"/>
              <w:widowControl w:val="0"/>
              <w:tabs>
                <w:tab w:val="left" w:pos="224"/>
              </w:tabs>
              <w:spacing w:before="0" w:after="0"/>
              <w:rPr>
                <w:b w:val="0"/>
                <w:bCs/>
              </w:rPr>
            </w:pPr>
            <w:r>
              <w:rPr>
                <w:b w:val="0"/>
                <w:bCs/>
              </w:rPr>
              <w:tab/>
              <w:t>RDI 40</w:t>
            </w:r>
          </w:p>
        </w:tc>
        <w:tc>
          <w:tcPr>
            <w:tcW w:w="703" w:type="pct"/>
          </w:tcPr>
          <w:p w14:paraId="7650BB62" w14:textId="77777777" w:rsidR="00412CCE" w:rsidRPr="00502F26" w:rsidRDefault="00412CCE" w:rsidP="002D2FD8">
            <w:pPr>
              <w:pStyle w:val="TableText0"/>
              <w:spacing w:before="0" w:after="0"/>
              <w:jc w:val="center"/>
              <w:rPr>
                <w:snapToGrid w:val="0"/>
              </w:rPr>
            </w:pPr>
            <w:r w:rsidRPr="00502F26">
              <w:rPr>
                <w:snapToGrid w:val="0"/>
              </w:rPr>
              <w:t>85.</w:t>
            </w:r>
            <w:r>
              <w:rPr>
                <w:snapToGrid w:val="0"/>
              </w:rPr>
              <w:t>3%</w:t>
            </w:r>
          </w:p>
        </w:tc>
        <w:tc>
          <w:tcPr>
            <w:tcW w:w="703" w:type="pct"/>
          </w:tcPr>
          <w:p w14:paraId="12319FA2" w14:textId="77777777" w:rsidR="00412CCE" w:rsidRPr="00502F26" w:rsidRDefault="00412CCE" w:rsidP="002D2FD8">
            <w:pPr>
              <w:pStyle w:val="TableText0"/>
              <w:spacing w:before="0" w:after="0"/>
              <w:jc w:val="center"/>
            </w:pPr>
            <w:r w:rsidRPr="00502F26">
              <w:rPr>
                <w:snapToGrid w:val="0"/>
              </w:rPr>
              <w:t>70.</w:t>
            </w:r>
            <w:r>
              <w:rPr>
                <w:snapToGrid w:val="0"/>
              </w:rPr>
              <w:t>8%</w:t>
            </w:r>
          </w:p>
        </w:tc>
        <w:tc>
          <w:tcPr>
            <w:tcW w:w="424" w:type="pct"/>
            <w:vMerge/>
            <w:vAlign w:val="center"/>
          </w:tcPr>
          <w:p w14:paraId="14C5B53D" w14:textId="77777777" w:rsidR="00412CCE" w:rsidRPr="009F1F41" w:rsidRDefault="00412CCE" w:rsidP="002D2FD8">
            <w:pPr>
              <w:pStyle w:val="TableText0"/>
              <w:spacing w:before="0" w:after="0"/>
              <w:jc w:val="center"/>
            </w:pPr>
          </w:p>
        </w:tc>
        <w:tc>
          <w:tcPr>
            <w:tcW w:w="445" w:type="pct"/>
            <w:vMerge/>
            <w:vAlign w:val="center"/>
          </w:tcPr>
          <w:p w14:paraId="7FC69F27" w14:textId="77777777" w:rsidR="00412CCE" w:rsidRPr="009F1F41" w:rsidRDefault="00412CCE" w:rsidP="002D2FD8">
            <w:pPr>
              <w:pStyle w:val="TableText0"/>
              <w:spacing w:before="0" w:after="0"/>
              <w:jc w:val="center"/>
            </w:pPr>
          </w:p>
        </w:tc>
        <w:tc>
          <w:tcPr>
            <w:tcW w:w="599" w:type="pct"/>
            <w:vMerge/>
            <w:vAlign w:val="center"/>
          </w:tcPr>
          <w:p w14:paraId="01D48BA4"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51FDB86B"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0D98B04D" w14:textId="77777777" w:rsidR="00412CCE" w:rsidRPr="00C02487" w:rsidRDefault="00412CCE" w:rsidP="002D2FD8">
            <w:pPr>
              <w:pStyle w:val="TableText0"/>
              <w:spacing w:before="0" w:after="0"/>
              <w:jc w:val="center"/>
              <w:rPr>
                <w:snapToGrid w:val="0"/>
              </w:rPr>
            </w:pPr>
          </w:p>
        </w:tc>
      </w:tr>
      <w:tr w:rsidR="00412CCE" w:rsidRPr="00C02487" w14:paraId="174A6375" w14:textId="77777777" w:rsidTr="0080749F">
        <w:tc>
          <w:tcPr>
            <w:tcW w:w="616" w:type="pct"/>
            <w:shd w:val="clear" w:color="auto" w:fill="auto"/>
            <w:vAlign w:val="center"/>
          </w:tcPr>
          <w:p w14:paraId="43987D44" w14:textId="77777777" w:rsidR="00412CCE" w:rsidRDefault="00412CCE" w:rsidP="002D2FD8">
            <w:pPr>
              <w:pStyle w:val="TableHeading"/>
              <w:keepNext w:val="0"/>
              <w:widowControl w:val="0"/>
              <w:tabs>
                <w:tab w:val="left" w:pos="224"/>
              </w:tabs>
              <w:spacing w:before="0" w:after="0"/>
              <w:rPr>
                <w:b w:val="0"/>
                <w:bCs/>
              </w:rPr>
            </w:pPr>
            <w:r>
              <w:rPr>
                <w:b w:val="0"/>
                <w:bCs/>
              </w:rPr>
              <w:tab/>
              <w:t>All</w:t>
            </w:r>
          </w:p>
        </w:tc>
        <w:tc>
          <w:tcPr>
            <w:tcW w:w="703" w:type="pct"/>
          </w:tcPr>
          <w:p w14:paraId="4C0A8167" w14:textId="77777777" w:rsidR="00412CCE" w:rsidRPr="00502F26" w:rsidRDefault="00412CCE" w:rsidP="002D2FD8">
            <w:pPr>
              <w:pStyle w:val="TableText0"/>
              <w:spacing w:before="0" w:after="0"/>
              <w:jc w:val="center"/>
              <w:rPr>
                <w:snapToGrid w:val="0"/>
              </w:rPr>
            </w:pPr>
            <w:r w:rsidRPr="00502F26">
              <w:rPr>
                <w:snapToGrid w:val="0"/>
              </w:rPr>
              <w:t>88.</w:t>
            </w:r>
            <w:r>
              <w:rPr>
                <w:snapToGrid w:val="0"/>
              </w:rPr>
              <w:t>8%</w:t>
            </w:r>
          </w:p>
        </w:tc>
        <w:tc>
          <w:tcPr>
            <w:tcW w:w="703" w:type="pct"/>
          </w:tcPr>
          <w:p w14:paraId="4A13353E" w14:textId="77777777" w:rsidR="00412CCE" w:rsidRPr="00502F26" w:rsidRDefault="00412CCE" w:rsidP="002D2FD8">
            <w:pPr>
              <w:pStyle w:val="TableText0"/>
              <w:spacing w:before="0" w:after="0"/>
              <w:jc w:val="center"/>
            </w:pPr>
            <w:r w:rsidRPr="00502F26">
              <w:rPr>
                <w:snapToGrid w:val="0"/>
              </w:rPr>
              <w:t>69.</w:t>
            </w:r>
            <w:r>
              <w:rPr>
                <w:snapToGrid w:val="0"/>
              </w:rPr>
              <w:t>5%</w:t>
            </w:r>
          </w:p>
        </w:tc>
        <w:tc>
          <w:tcPr>
            <w:tcW w:w="424" w:type="pct"/>
            <w:vMerge/>
            <w:vAlign w:val="center"/>
          </w:tcPr>
          <w:p w14:paraId="5DEE69C8" w14:textId="77777777" w:rsidR="00412CCE" w:rsidRPr="009F1F41" w:rsidRDefault="00412CCE" w:rsidP="002D2FD8">
            <w:pPr>
              <w:pStyle w:val="TableText0"/>
              <w:spacing w:before="0" w:after="0"/>
              <w:jc w:val="center"/>
            </w:pPr>
          </w:p>
        </w:tc>
        <w:tc>
          <w:tcPr>
            <w:tcW w:w="445" w:type="pct"/>
            <w:vMerge/>
            <w:vAlign w:val="center"/>
          </w:tcPr>
          <w:p w14:paraId="1E5D0AD4" w14:textId="77777777" w:rsidR="00412CCE" w:rsidRPr="009F1F41" w:rsidRDefault="00412CCE" w:rsidP="002D2FD8">
            <w:pPr>
              <w:pStyle w:val="TableText0"/>
              <w:spacing w:before="0" w:after="0"/>
              <w:jc w:val="center"/>
            </w:pPr>
          </w:p>
        </w:tc>
        <w:tc>
          <w:tcPr>
            <w:tcW w:w="599" w:type="pct"/>
            <w:vMerge/>
            <w:vAlign w:val="center"/>
          </w:tcPr>
          <w:p w14:paraId="72753371"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15435A62"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53EF1D78" w14:textId="77777777" w:rsidR="00412CCE" w:rsidRPr="00C02487" w:rsidRDefault="00412CCE" w:rsidP="002D2FD8">
            <w:pPr>
              <w:pStyle w:val="TableText0"/>
              <w:spacing w:before="0" w:after="0"/>
              <w:jc w:val="center"/>
              <w:rPr>
                <w:snapToGrid w:val="0"/>
              </w:rPr>
            </w:pPr>
          </w:p>
        </w:tc>
      </w:tr>
      <w:tr w:rsidR="00412CCE" w:rsidRPr="00C02487" w14:paraId="39826E0B" w14:textId="77777777" w:rsidTr="0080749F">
        <w:tc>
          <w:tcPr>
            <w:tcW w:w="616" w:type="pct"/>
            <w:shd w:val="clear" w:color="auto" w:fill="auto"/>
            <w:vAlign w:val="center"/>
          </w:tcPr>
          <w:p w14:paraId="1BD63155" w14:textId="77777777" w:rsidR="00412CCE" w:rsidRPr="0038300C" w:rsidRDefault="00412CCE" w:rsidP="002D2FD8">
            <w:pPr>
              <w:pStyle w:val="TableHeading"/>
              <w:keepNext w:val="0"/>
              <w:widowControl w:val="0"/>
              <w:tabs>
                <w:tab w:val="left" w:pos="224"/>
              </w:tabs>
              <w:spacing w:before="0" w:after="0"/>
              <w:ind w:left="0" w:firstLine="0"/>
              <w:jc w:val="left"/>
              <w:rPr>
                <w:b w:val="0"/>
                <w:bCs/>
              </w:rPr>
            </w:pPr>
            <w:r w:rsidRPr="0038300C">
              <w:rPr>
                <w:b w:val="0"/>
                <w:bCs/>
              </w:rPr>
              <w:t>Ioachimescu 2020</w:t>
            </w:r>
            <w:r>
              <w:rPr>
                <w:b w:val="0"/>
                <w:bCs/>
              </w:rPr>
              <w:t xml:space="preserve"> (N=500)</w:t>
            </w:r>
          </w:p>
        </w:tc>
        <w:tc>
          <w:tcPr>
            <w:tcW w:w="3456" w:type="pct"/>
            <w:gridSpan w:val="6"/>
            <w:tcBorders>
              <w:right w:val="double" w:sz="4" w:space="0" w:color="auto"/>
            </w:tcBorders>
            <w:vAlign w:val="center"/>
          </w:tcPr>
          <w:p w14:paraId="032F5BB4" w14:textId="77777777" w:rsidR="00412CCE" w:rsidRPr="00C02487" w:rsidRDefault="00412CCE" w:rsidP="002D2FD8">
            <w:pPr>
              <w:pStyle w:val="TableText0"/>
              <w:spacing w:before="0" w:after="0"/>
              <w:jc w:val="center"/>
              <w:rPr>
                <w:snapToGrid w:val="0"/>
              </w:rPr>
            </w:pPr>
          </w:p>
        </w:tc>
        <w:tc>
          <w:tcPr>
            <w:tcW w:w="928" w:type="pct"/>
            <w:tcBorders>
              <w:left w:val="double" w:sz="4" w:space="0" w:color="auto"/>
            </w:tcBorders>
            <w:vAlign w:val="center"/>
          </w:tcPr>
          <w:p w14:paraId="4ADDC95A" w14:textId="77777777" w:rsidR="00412CCE" w:rsidRPr="00C02487" w:rsidRDefault="00412CCE" w:rsidP="002D2FD8">
            <w:pPr>
              <w:pStyle w:val="TableText0"/>
              <w:spacing w:before="0" w:after="0"/>
              <w:jc w:val="center"/>
              <w:rPr>
                <w:snapToGrid w:val="0"/>
              </w:rPr>
            </w:pPr>
          </w:p>
        </w:tc>
      </w:tr>
      <w:tr w:rsidR="00412CCE" w:rsidRPr="00C02487" w14:paraId="103B52ED" w14:textId="77777777" w:rsidTr="0080749F">
        <w:tc>
          <w:tcPr>
            <w:tcW w:w="616" w:type="pct"/>
            <w:shd w:val="clear" w:color="auto" w:fill="auto"/>
            <w:vAlign w:val="center"/>
          </w:tcPr>
          <w:p w14:paraId="5BC47F80" w14:textId="77777777" w:rsidR="00412CCE" w:rsidRPr="0038300C" w:rsidRDefault="00412CCE" w:rsidP="002D2FD8">
            <w:pPr>
              <w:pStyle w:val="TableHeading"/>
              <w:keepNext w:val="0"/>
              <w:widowControl w:val="0"/>
              <w:tabs>
                <w:tab w:val="left" w:pos="224"/>
              </w:tabs>
              <w:spacing w:before="0" w:after="0"/>
              <w:rPr>
                <w:b w:val="0"/>
                <w:bCs/>
              </w:rPr>
            </w:pPr>
            <w:r>
              <w:rPr>
                <w:b w:val="0"/>
                <w:bCs/>
                <w:snapToGrid w:val="0"/>
              </w:rPr>
              <w:tab/>
              <w:t>AHI &gt;5</w:t>
            </w:r>
          </w:p>
        </w:tc>
        <w:tc>
          <w:tcPr>
            <w:tcW w:w="703" w:type="pct"/>
          </w:tcPr>
          <w:p w14:paraId="1C5C33BC" w14:textId="77777777" w:rsidR="00412CCE" w:rsidRPr="003F4D0F" w:rsidRDefault="00412CCE" w:rsidP="002D2FD8">
            <w:pPr>
              <w:pStyle w:val="TableText0"/>
              <w:spacing w:before="0" w:after="0"/>
              <w:jc w:val="center"/>
              <w:rPr>
                <w:snapToGrid w:val="0"/>
              </w:rPr>
            </w:pPr>
            <w:r w:rsidRPr="003F4D0F">
              <w:rPr>
                <w:snapToGrid w:val="0"/>
              </w:rPr>
              <w:t>85.7</w:t>
            </w:r>
            <w:r>
              <w:rPr>
                <w:snapToGrid w:val="0"/>
              </w:rPr>
              <w:t>%</w:t>
            </w:r>
          </w:p>
        </w:tc>
        <w:tc>
          <w:tcPr>
            <w:tcW w:w="703" w:type="pct"/>
            <w:vMerge w:val="restart"/>
            <w:vAlign w:val="center"/>
          </w:tcPr>
          <w:p w14:paraId="18396BCC" w14:textId="77777777" w:rsidR="00412CCE" w:rsidRPr="003F4D0F" w:rsidRDefault="00412CCE" w:rsidP="002D2FD8">
            <w:pPr>
              <w:pStyle w:val="TableText0"/>
              <w:spacing w:before="0" w:after="0"/>
              <w:jc w:val="center"/>
            </w:pPr>
            <w:r>
              <w:t>NR</w:t>
            </w:r>
          </w:p>
        </w:tc>
        <w:tc>
          <w:tcPr>
            <w:tcW w:w="424" w:type="pct"/>
          </w:tcPr>
          <w:p w14:paraId="6DE922EF" w14:textId="77777777" w:rsidR="00412CCE" w:rsidRPr="003F4D0F" w:rsidRDefault="00412CCE" w:rsidP="002D2FD8">
            <w:pPr>
              <w:pStyle w:val="TableText0"/>
              <w:spacing w:before="0" w:after="0"/>
              <w:jc w:val="center"/>
            </w:pPr>
            <w:r w:rsidRPr="003F4D0F">
              <w:rPr>
                <w:snapToGrid w:val="0"/>
              </w:rPr>
              <w:t>87.3</w:t>
            </w:r>
            <w:r>
              <w:rPr>
                <w:snapToGrid w:val="0"/>
              </w:rPr>
              <w:t>%</w:t>
            </w:r>
          </w:p>
        </w:tc>
        <w:tc>
          <w:tcPr>
            <w:tcW w:w="445" w:type="pct"/>
            <w:vMerge w:val="restart"/>
            <w:vAlign w:val="center"/>
          </w:tcPr>
          <w:p w14:paraId="23EE2303" w14:textId="77777777" w:rsidR="00412CCE" w:rsidRPr="009F1F41" w:rsidRDefault="00412CCE" w:rsidP="002D2FD8">
            <w:pPr>
              <w:pStyle w:val="TableText0"/>
              <w:spacing w:before="0" w:after="0"/>
              <w:jc w:val="center"/>
            </w:pPr>
            <w:r>
              <w:t>NR</w:t>
            </w:r>
          </w:p>
        </w:tc>
        <w:tc>
          <w:tcPr>
            <w:tcW w:w="599" w:type="pct"/>
            <w:vMerge w:val="restart"/>
            <w:vAlign w:val="center"/>
          </w:tcPr>
          <w:p w14:paraId="01C1EB0F" w14:textId="77777777" w:rsidR="00412CCE" w:rsidRPr="00C02487" w:rsidRDefault="00412CCE" w:rsidP="002D2FD8">
            <w:pPr>
              <w:pStyle w:val="TableText0"/>
              <w:spacing w:before="0" w:after="0"/>
              <w:jc w:val="center"/>
              <w:rPr>
                <w:snapToGrid w:val="0"/>
              </w:rPr>
            </w:pPr>
            <w:r>
              <w:t>NR</w:t>
            </w:r>
          </w:p>
        </w:tc>
        <w:tc>
          <w:tcPr>
            <w:tcW w:w="582" w:type="pct"/>
            <w:vMerge w:val="restart"/>
            <w:tcBorders>
              <w:right w:val="double" w:sz="4" w:space="0" w:color="auto"/>
            </w:tcBorders>
            <w:vAlign w:val="center"/>
          </w:tcPr>
          <w:p w14:paraId="07633E13" w14:textId="77777777" w:rsidR="00412CCE" w:rsidRPr="00C02487" w:rsidRDefault="00412CCE" w:rsidP="002D2FD8">
            <w:pPr>
              <w:pStyle w:val="TableText0"/>
              <w:spacing w:before="0" w:after="0"/>
              <w:jc w:val="center"/>
              <w:rPr>
                <w:snapToGrid w:val="0"/>
              </w:rPr>
            </w:pPr>
            <w:r>
              <w:t>NR</w:t>
            </w:r>
          </w:p>
        </w:tc>
        <w:tc>
          <w:tcPr>
            <w:tcW w:w="928" w:type="pct"/>
            <w:vMerge w:val="restart"/>
            <w:tcBorders>
              <w:left w:val="double" w:sz="4" w:space="0" w:color="auto"/>
            </w:tcBorders>
            <w:vAlign w:val="center"/>
          </w:tcPr>
          <w:p w14:paraId="0551050C" w14:textId="77777777" w:rsidR="00412CCE" w:rsidRPr="00C02487" w:rsidRDefault="00412CCE" w:rsidP="002D2FD8">
            <w:pPr>
              <w:pStyle w:val="TableText0"/>
              <w:spacing w:before="0" w:after="0"/>
              <w:jc w:val="center"/>
              <w:rPr>
                <w:snapToGrid w:val="0"/>
              </w:rPr>
            </w:pPr>
            <w:r>
              <w:rPr>
                <w:snapToGrid w:val="0"/>
              </w:rPr>
              <w:t>AHI: r=0.8</w:t>
            </w:r>
          </w:p>
        </w:tc>
      </w:tr>
      <w:tr w:rsidR="00412CCE" w:rsidRPr="00C02487" w14:paraId="03B6CD8B" w14:textId="77777777" w:rsidTr="0080749F">
        <w:tc>
          <w:tcPr>
            <w:tcW w:w="616" w:type="pct"/>
            <w:shd w:val="clear" w:color="auto" w:fill="auto"/>
            <w:vAlign w:val="center"/>
          </w:tcPr>
          <w:p w14:paraId="4EE913CF" w14:textId="77777777" w:rsidR="00412CCE" w:rsidRPr="0038300C" w:rsidRDefault="00412CCE" w:rsidP="002D2FD8">
            <w:pPr>
              <w:pStyle w:val="TableHeading"/>
              <w:keepNext w:val="0"/>
              <w:widowControl w:val="0"/>
              <w:tabs>
                <w:tab w:val="left" w:pos="224"/>
              </w:tabs>
              <w:spacing w:before="0" w:after="0"/>
              <w:rPr>
                <w:b w:val="0"/>
                <w:bCs/>
              </w:rPr>
            </w:pPr>
            <w:r>
              <w:rPr>
                <w:b w:val="0"/>
                <w:bCs/>
                <w:snapToGrid w:val="0"/>
              </w:rPr>
              <w:tab/>
              <w:t>AHI &gt;15</w:t>
            </w:r>
          </w:p>
        </w:tc>
        <w:tc>
          <w:tcPr>
            <w:tcW w:w="703" w:type="pct"/>
          </w:tcPr>
          <w:p w14:paraId="5EA9CA9B" w14:textId="77777777" w:rsidR="00412CCE" w:rsidRPr="003F4D0F" w:rsidRDefault="00412CCE" w:rsidP="002D2FD8">
            <w:pPr>
              <w:pStyle w:val="TableText0"/>
              <w:spacing w:before="0" w:after="0"/>
              <w:jc w:val="center"/>
              <w:rPr>
                <w:snapToGrid w:val="0"/>
              </w:rPr>
            </w:pPr>
            <w:r w:rsidRPr="003F4D0F">
              <w:rPr>
                <w:snapToGrid w:val="0"/>
              </w:rPr>
              <w:t>74.5</w:t>
            </w:r>
            <w:r>
              <w:rPr>
                <w:snapToGrid w:val="0"/>
              </w:rPr>
              <w:t>%</w:t>
            </w:r>
          </w:p>
        </w:tc>
        <w:tc>
          <w:tcPr>
            <w:tcW w:w="703" w:type="pct"/>
            <w:vMerge/>
          </w:tcPr>
          <w:p w14:paraId="32CE976B" w14:textId="77777777" w:rsidR="00412CCE" w:rsidRPr="003F4D0F" w:rsidRDefault="00412CCE" w:rsidP="002D2FD8">
            <w:pPr>
              <w:pStyle w:val="TableText0"/>
              <w:spacing w:before="0" w:after="0"/>
              <w:jc w:val="center"/>
            </w:pPr>
          </w:p>
        </w:tc>
        <w:tc>
          <w:tcPr>
            <w:tcW w:w="424" w:type="pct"/>
          </w:tcPr>
          <w:p w14:paraId="3A93A80E" w14:textId="77777777" w:rsidR="00412CCE" w:rsidRPr="003F4D0F" w:rsidRDefault="00412CCE" w:rsidP="002D2FD8">
            <w:pPr>
              <w:pStyle w:val="TableText0"/>
              <w:spacing w:before="0" w:after="0"/>
              <w:jc w:val="center"/>
            </w:pPr>
            <w:r w:rsidRPr="003F4D0F">
              <w:rPr>
                <w:snapToGrid w:val="0"/>
              </w:rPr>
              <w:t>98.5</w:t>
            </w:r>
            <w:r>
              <w:rPr>
                <w:snapToGrid w:val="0"/>
              </w:rPr>
              <w:t>%</w:t>
            </w:r>
          </w:p>
        </w:tc>
        <w:tc>
          <w:tcPr>
            <w:tcW w:w="445" w:type="pct"/>
            <w:vMerge/>
            <w:vAlign w:val="center"/>
          </w:tcPr>
          <w:p w14:paraId="4DA3062A" w14:textId="77777777" w:rsidR="00412CCE" w:rsidRPr="009F1F41" w:rsidRDefault="00412CCE" w:rsidP="002D2FD8">
            <w:pPr>
              <w:pStyle w:val="TableText0"/>
              <w:spacing w:before="0" w:after="0"/>
              <w:jc w:val="center"/>
            </w:pPr>
          </w:p>
        </w:tc>
        <w:tc>
          <w:tcPr>
            <w:tcW w:w="599" w:type="pct"/>
            <w:vMerge/>
            <w:vAlign w:val="center"/>
          </w:tcPr>
          <w:p w14:paraId="02305460"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1321958F"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0A7348A6" w14:textId="77777777" w:rsidR="00412CCE" w:rsidRPr="00C02487" w:rsidRDefault="00412CCE" w:rsidP="002D2FD8">
            <w:pPr>
              <w:pStyle w:val="TableText0"/>
              <w:spacing w:before="0" w:after="0"/>
              <w:jc w:val="center"/>
              <w:rPr>
                <w:snapToGrid w:val="0"/>
              </w:rPr>
            </w:pPr>
          </w:p>
        </w:tc>
      </w:tr>
      <w:tr w:rsidR="00412CCE" w:rsidRPr="00C02487" w14:paraId="700A9DFC" w14:textId="77777777" w:rsidTr="0080749F">
        <w:tc>
          <w:tcPr>
            <w:tcW w:w="616" w:type="pct"/>
            <w:shd w:val="clear" w:color="auto" w:fill="auto"/>
            <w:vAlign w:val="center"/>
          </w:tcPr>
          <w:p w14:paraId="16F7FAAE" w14:textId="77777777" w:rsidR="00412CCE" w:rsidRPr="0038300C" w:rsidRDefault="00412CCE" w:rsidP="002D2FD8">
            <w:pPr>
              <w:pStyle w:val="TableHeading"/>
              <w:keepNext w:val="0"/>
              <w:widowControl w:val="0"/>
              <w:tabs>
                <w:tab w:val="left" w:pos="224"/>
              </w:tabs>
              <w:spacing w:before="0" w:after="0"/>
              <w:jc w:val="left"/>
              <w:rPr>
                <w:b w:val="0"/>
                <w:bCs/>
              </w:rPr>
            </w:pPr>
            <w:r w:rsidRPr="0038300C">
              <w:rPr>
                <w:b w:val="0"/>
                <w:bCs/>
              </w:rPr>
              <w:t>Kasai 2020</w:t>
            </w:r>
            <w:r>
              <w:rPr>
                <w:b w:val="0"/>
                <w:bCs/>
              </w:rPr>
              <w:t xml:space="preserve"> (N=120)</w:t>
            </w:r>
          </w:p>
        </w:tc>
        <w:tc>
          <w:tcPr>
            <w:tcW w:w="2873" w:type="pct"/>
            <w:gridSpan w:val="5"/>
            <w:vAlign w:val="center"/>
          </w:tcPr>
          <w:p w14:paraId="4258ACFE" w14:textId="77777777" w:rsidR="00412CCE" w:rsidRPr="00C02487" w:rsidRDefault="00412CCE" w:rsidP="002D2FD8">
            <w:pPr>
              <w:pStyle w:val="TableText0"/>
              <w:spacing w:before="0" w:after="0"/>
              <w:jc w:val="center"/>
              <w:rPr>
                <w:snapToGrid w:val="0"/>
              </w:rPr>
            </w:pPr>
          </w:p>
        </w:tc>
        <w:tc>
          <w:tcPr>
            <w:tcW w:w="582" w:type="pct"/>
            <w:tcBorders>
              <w:right w:val="double" w:sz="4" w:space="0" w:color="auto"/>
            </w:tcBorders>
            <w:vAlign w:val="center"/>
          </w:tcPr>
          <w:p w14:paraId="5EF1668F" w14:textId="77777777" w:rsidR="00412CCE" w:rsidRPr="00C02487" w:rsidRDefault="00412CCE" w:rsidP="002D2FD8">
            <w:pPr>
              <w:pStyle w:val="TableText0"/>
              <w:spacing w:before="0" w:after="0"/>
              <w:jc w:val="center"/>
              <w:rPr>
                <w:snapToGrid w:val="0"/>
              </w:rPr>
            </w:pPr>
          </w:p>
        </w:tc>
        <w:tc>
          <w:tcPr>
            <w:tcW w:w="928" w:type="pct"/>
            <w:tcBorders>
              <w:left w:val="double" w:sz="4" w:space="0" w:color="auto"/>
            </w:tcBorders>
            <w:vAlign w:val="center"/>
          </w:tcPr>
          <w:p w14:paraId="6DF8776E" w14:textId="77777777" w:rsidR="00412CCE" w:rsidRPr="00C02487" w:rsidRDefault="00412CCE" w:rsidP="002D2FD8">
            <w:pPr>
              <w:pStyle w:val="TableText0"/>
              <w:spacing w:before="0" w:after="0"/>
              <w:jc w:val="center"/>
              <w:rPr>
                <w:snapToGrid w:val="0"/>
              </w:rPr>
            </w:pPr>
          </w:p>
        </w:tc>
      </w:tr>
      <w:tr w:rsidR="00412CCE" w:rsidRPr="00C02487" w14:paraId="42C64459" w14:textId="77777777" w:rsidTr="0080749F">
        <w:tc>
          <w:tcPr>
            <w:tcW w:w="616" w:type="pct"/>
            <w:shd w:val="clear" w:color="auto" w:fill="auto"/>
            <w:vAlign w:val="center"/>
          </w:tcPr>
          <w:p w14:paraId="625BC375" w14:textId="77777777" w:rsidR="00412CCE" w:rsidRPr="0038300C" w:rsidRDefault="00412CCE" w:rsidP="002D2FD8">
            <w:pPr>
              <w:pStyle w:val="TableHeading"/>
              <w:keepNext w:val="0"/>
              <w:widowControl w:val="0"/>
              <w:tabs>
                <w:tab w:val="left" w:pos="224"/>
              </w:tabs>
              <w:spacing w:before="0" w:after="0"/>
              <w:rPr>
                <w:b w:val="0"/>
                <w:bCs/>
              </w:rPr>
            </w:pPr>
            <w:r>
              <w:rPr>
                <w:b w:val="0"/>
                <w:bCs/>
              </w:rPr>
              <w:tab/>
              <w:t>AHI ≥30</w:t>
            </w:r>
          </w:p>
        </w:tc>
        <w:tc>
          <w:tcPr>
            <w:tcW w:w="703" w:type="pct"/>
            <w:vAlign w:val="center"/>
          </w:tcPr>
          <w:p w14:paraId="75664388" w14:textId="77777777" w:rsidR="00412CCE" w:rsidRPr="009F1F41" w:rsidRDefault="00412CCE" w:rsidP="002D2FD8">
            <w:pPr>
              <w:pStyle w:val="TableText0"/>
              <w:spacing w:before="0" w:after="0"/>
              <w:jc w:val="center"/>
              <w:rPr>
                <w:snapToGrid w:val="0"/>
              </w:rPr>
            </w:pPr>
            <w:r>
              <w:rPr>
                <w:snapToGrid w:val="0"/>
              </w:rPr>
              <w:t>88.5%</w:t>
            </w:r>
          </w:p>
        </w:tc>
        <w:tc>
          <w:tcPr>
            <w:tcW w:w="703" w:type="pct"/>
            <w:vAlign w:val="center"/>
          </w:tcPr>
          <w:p w14:paraId="6F39A50D" w14:textId="77777777" w:rsidR="00412CCE" w:rsidRPr="009F1F41" w:rsidRDefault="00412CCE" w:rsidP="002D2FD8">
            <w:pPr>
              <w:pStyle w:val="TableText0"/>
              <w:spacing w:before="0" w:after="0"/>
              <w:jc w:val="center"/>
            </w:pPr>
            <w:r>
              <w:t>74.6%</w:t>
            </w:r>
          </w:p>
        </w:tc>
        <w:tc>
          <w:tcPr>
            <w:tcW w:w="424" w:type="pct"/>
            <w:vAlign w:val="center"/>
          </w:tcPr>
          <w:p w14:paraId="117DCC40" w14:textId="77777777" w:rsidR="00412CCE" w:rsidRPr="009F1F41" w:rsidRDefault="00412CCE" w:rsidP="002D2FD8">
            <w:pPr>
              <w:pStyle w:val="TableText0"/>
              <w:spacing w:before="0" w:after="0"/>
              <w:jc w:val="center"/>
            </w:pPr>
            <w:r>
              <w:t>NR</w:t>
            </w:r>
          </w:p>
        </w:tc>
        <w:tc>
          <w:tcPr>
            <w:tcW w:w="445" w:type="pct"/>
            <w:vAlign w:val="center"/>
          </w:tcPr>
          <w:p w14:paraId="221175B7" w14:textId="77777777" w:rsidR="00412CCE" w:rsidRPr="009F1F41" w:rsidRDefault="00412CCE" w:rsidP="002D2FD8">
            <w:pPr>
              <w:pStyle w:val="TableText0"/>
              <w:spacing w:before="0" w:after="0"/>
              <w:jc w:val="center"/>
            </w:pPr>
            <w:r>
              <w:t>NR</w:t>
            </w:r>
          </w:p>
        </w:tc>
        <w:tc>
          <w:tcPr>
            <w:tcW w:w="599" w:type="pct"/>
            <w:vAlign w:val="center"/>
          </w:tcPr>
          <w:p w14:paraId="12DDA561" w14:textId="77777777" w:rsidR="00412CCE" w:rsidRPr="00C02487" w:rsidRDefault="00412CCE" w:rsidP="002D2FD8">
            <w:pPr>
              <w:pStyle w:val="TableText0"/>
              <w:spacing w:before="0" w:after="0"/>
              <w:jc w:val="center"/>
              <w:rPr>
                <w:snapToGrid w:val="0"/>
              </w:rPr>
            </w:pPr>
            <w:r>
              <w:rPr>
                <w:snapToGrid w:val="0"/>
              </w:rPr>
              <w:t>1.6%</w:t>
            </w:r>
          </w:p>
        </w:tc>
        <w:tc>
          <w:tcPr>
            <w:tcW w:w="582" w:type="pct"/>
            <w:tcBorders>
              <w:right w:val="double" w:sz="4" w:space="0" w:color="auto"/>
            </w:tcBorders>
            <w:vAlign w:val="center"/>
          </w:tcPr>
          <w:p w14:paraId="5C1E410B" w14:textId="77777777" w:rsidR="00412CCE" w:rsidRPr="00C02487" w:rsidRDefault="00412CCE" w:rsidP="002D2FD8">
            <w:pPr>
              <w:pStyle w:val="TableText0"/>
              <w:spacing w:before="0" w:after="0"/>
              <w:jc w:val="center"/>
              <w:rPr>
                <w:snapToGrid w:val="0"/>
              </w:rPr>
            </w:pPr>
            <w:r>
              <w:rPr>
                <w:snapToGrid w:val="0"/>
              </w:rPr>
              <w:t>4.7%</w:t>
            </w:r>
          </w:p>
        </w:tc>
        <w:tc>
          <w:tcPr>
            <w:tcW w:w="928" w:type="pct"/>
            <w:tcBorders>
              <w:left w:val="double" w:sz="4" w:space="0" w:color="auto"/>
            </w:tcBorders>
            <w:vAlign w:val="center"/>
          </w:tcPr>
          <w:p w14:paraId="0FB235CA" w14:textId="77777777" w:rsidR="00412CCE" w:rsidRPr="00C02487" w:rsidRDefault="00412CCE" w:rsidP="002D2FD8">
            <w:pPr>
              <w:pStyle w:val="TableText0"/>
              <w:spacing w:before="0" w:after="0"/>
              <w:jc w:val="center"/>
              <w:rPr>
                <w:snapToGrid w:val="0"/>
              </w:rPr>
            </w:pPr>
            <w:r>
              <w:rPr>
                <w:snapToGrid w:val="0"/>
              </w:rPr>
              <w:t>AHI: r=0.896</w:t>
            </w:r>
          </w:p>
        </w:tc>
      </w:tr>
      <w:tr w:rsidR="00412CCE" w:rsidRPr="00C02487" w14:paraId="41D0737B" w14:textId="77777777" w:rsidTr="0080749F">
        <w:tc>
          <w:tcPr>
            <w:tcW w:w="616" w:type="pct"/>
            <w:shd w:val="clear" w:color="auto" w:fill="auto"/>
            <w:vAlign w:val="center"/>
          </w:tcPr>
          <w:p w14:paraId="4B38EC7D" w14:textId="77777777" w:rsidR="00412CCE" w:rsidRPr="0038300C" w:rsidRDefault="00412CCE" w:rsidP="002D2FD8">
            <w:pPr>
              <w:pStyle w:val="TableHeading"/>
              <w:keepNext w:val="0"/>
              <w:widowControl w:val="0"/>
              <w:tabs>
                <w:tab w:val="left" w:pos="224"/>
              </w:tabs>
              <w:spacing w:before="0" w:after="0"/>
              <w:rPr>
                <w:b w:val="0"/>
                <w:bCs/>
              </w:rPr>
            </w:pPr>
            <w:r w:rsidRPr="0038300C">
              <w:rPr>
                <w:b w:val="0"/>
                <w:bCs/>
              </w:rPr>
              <w:t>Körkuyu 2015</w:t>
            </w:r>
            <w:r>
              <w:rPr>
                <w:b w:val="0"/>
                <w:bCs/>
              </w:rPr>
              <w:t xml:space="preserve"> (N=30)</w:t>
            </w:r>
          </w:p>
        </w:tc>
        <w:tc>
          <w:tcPr>
            <w:tcW w:w="1405" w:type="pct"/>
            <w:gridSpan w:val="2"/>
            <w:vAlign w:val="center"/>
          </w:tcPr>
          <w:p w14:paraId="61D54F4D" w14:textId="77777777" w:rsidR="00412CCE" w:rsidRPr="009F1F41" w:rsidRDefault="00412CCE" w:rsidP="002D2FD8">
            <w:pPr>
              <w:pStyle w:val="TableText0"/>
              <w:spacing w:before="0" w:after="0"/>
              <w:jc w:val="center"/>
            </w:pPr>
            <w:r>
              <w:t>NR</w:t>
            </w:r>
          </w:p>
        </w:tc>
        <w:tc>
          <w:tcPr>
            <w:tcW w:w="424" w:type="pct"/>
            <w:vAlign w:val="center"/>
          </w:tcPr>
          <w:p w14:paraId="4F501949" w14:textId="77777777" w:rsidR="00412CCE" w:rsidRPr="009F1F41" w:rsidRDefault="00412CCE" w:rsidP="002D2FD8">
            <w:pPr>
              <w:pStyle w:val="TableText0"/>
              <w:spacing w:before="0" w:after="0"/>
              <w:jc w:val="center"/>
            </w:pPr>
            <w:r>
              <w:t>96%</w:t>
            </w:r>
          </w:p>
        </w:tc>
        <w:tc>
          <w:tcPr>
            <w:tcW w:w="445" w:type="pct"/>
            <w:vAlign w:val="center"/>
          </w:tcPr>
          <w:p w14:paraId="4EE6D6F7" w14:textId="77777777" w:rsidR="00412CCE" w:rsidRPr="009F1F41" w:rsidRDefault="00412CCE" w:rsidP="002D2FD8">
            <w:pPr>
              <w:pStyle w:val="TableText0"/>
              <w:spacing w:before="0" w:after="0"/>
              <w:jc w:val="center"/>
            </w:pPr>
            <w:r>
              <w:t>NR</w:t>
            </w:r>
          </w:p>
        </w:tc>
        <w:tc>
          <w:tcPr>
            <w:tcW w:w="599" w:type="pct"/>
            <w:vAlign w:val="center"/>
          </w:tcPr>
          <w:p w14:paraId="08D1AC95" w14:textId="77777777" w:rsidR="00412CCE" w:rsidRPr="00C02487" w:rsidRDefault="00412CCE" w:rsidP="002D2FD8">
            <w:pPr>
              <w:pStyle w:val="TableText0"/>
              <w:spacing w:before="0" w:after="0"/>
              <w:jc w:val="center"/>
              <w:rPr>
                <w:snapToGrid w:val="0"/>
              </w:rPr>
            </w:pPr>
            <w:r>
              <w:t>NR</w:t>
            </w:r>
          </w:p>
        </w:tc>
        <w:tc>
          <w:tcPr>
            <w:tcW w:w="582" w:type="pct"/>
            <w:tcBorders>
              <w:right w:val="double" w:sz="4" w:space="0" w:color="auto"/>
            </w:tcBorders>
            <w:vAlign w:val="center"/>
          </w:tcPr>
          <w:p w14:paraId="6ED6845A" w14:textId="77777777" w:rsidR="00412CCE" w:rsidRPr="00C02487" w:rsidRDefault="00412CCE" w:rsidP="002D2FD8">
            <w:pPr>
              <w:pStyle w:val="TableText0"/>
              <w:spacing w:before="0" w:after="0"/>
              <w:jc w:val="center"/>
              <w:rPr>
                <w:snapToGrid w:val="0"/>
              </w:rPr>
            </w:pPr>
            <w:r>
              <w:t>NR</w:t>
            </w:r>
          </w:p>
        </w:tc>
        <w:tc>
          <w:tcPr>
            <w:tcW w:w="928" w:type="pct"/>
            <w:tcBorders>
              <w:left w:val="double" w:sz="4" w:space="0" w:color="auto"/>
            </w:tcBorders>
            <w:vAlign w:val="center"/>
          </w:tcPr>
          <w:p w14:paraId="36A061B0" w14:textId="77777777" w:rsidR="00412CCE" w:rsidRPr="00C02487" w:rsidRDefault="00412CCE" w:rsidP="002D2FD8">
            <w:pPr>
              <w:pStyle w:val="TableText0"/>
              <w:spacing w:before="0" w:after="0"/>
              <w:jc w:val="center"/>
              <w:rPr>
                <w:snapToGrid w:val="0"/>
              </w:rPr>
            </w:pPr>
            <w:r>
              <w:rPr>
                <w:snapToGrid w:val="0"/>
              </w:rPr>
              <w:t>AHI: r=0.802</w:t>
            </w:r>
          </w:p>
        </w:tc>
      </w:tr>
      <w:tr w:rsidR="00412CCE" w:rsidRPr="00C02487" w14:paraId="7A6CC3AF" w14:textId="77777777" w:rsidTr="0080749F">
        <w:tc>
          <w:tcPr>
            <w:tcW w:w="616" w:type="pct"/>
            <w:shd w:val="clear" w:color="auto" w:fill="auto"/>
            <w:vAlign w:val="center"/>
          </w:tcPr>
          <w:p w14:paraId="74EB07A7" w14:textId="77777777" w:rsidR="00412CCE" w:rsidRPr="0038300C" w:rsidRDefault="00412CCE" w:rsidP="002D2FD8">
            <w:pPr>
              <w:pStyle w:val="TableHeading"/>
              <w:keepNext w:val="0"/>
              <w:widowControl w:val="0"/>
              <w:tabs>
                <w:tab w:val="left" w:pos="224"/>
              </w:tabs>
              <w:spacing w:before="0" w:after="0"/>
              <w:rPr>
                <w:b w:val="0"/>
                <w:bCs/>
              </w:rPr>
            </w:pPr>
            <w:r w:rsidRPr="0038300C">
              <w:rPr>
                <w:b w:val="0"/>
                <w:bCs/>
                <w:snapToGrid w:val="0"/>
              </w:rPr>
              <w:t>Onder 2012</w:t>
            </w:r>
            <w:r>
              <w:rPr>
                <w:b w:val="0"/>
                <w:bCs/>
                <w:snapToGrid w:val="0"/>
              </w:rPr>
              <w:t xml:space="preserve"> (N=56)</w:t>
            </w:r>
          </w:p>
        </w:tc>
        <w:tc>
          <w:tcPr>
            <w:tcW w:w="2275" w:type="pct"/>
            <w:gridSpan w:val="4"/>
            <w:vAlign w:val="center"/>
          </w:tcPr>
          <w:p w14:paraId="779186ED" w14:textId="77777777" w:rsidR="00412CCE" w:rsidRPr="009F1F41" w:rsidRDefault="00412CCE" w:rsidP="002D2FD8">
            <w:pPr>
              <w:pStyle w:val="TableText0"/>
              <w:spacing w:before="0" w:after="0"/>
              <w:jc w:val="center"/>
            </w:pPr>
            <w:r>
              <w:t>NR</w:t>
            </w:r>
          </w:p>
        </w:tc>
        <w:tc>
          <w:tcPr>
            <w:tcW w:w="599" w:type="pct"/>
            <w:vAlign w:val="center"/>
          </w:tcPr>
          <w:p w14:paraId="24F23CA4" w14:textId="77777777" w:rsidR="00412CCE" w:rsidRPr="00C02487" w:rsidRDefault="00412CCE" w:rsidP="002D2FD8">
            <w:pPr>
              <w:pStyle w:val="TableText0"/>
              <w:spacing w:before="0" w:after="0"/>
              <w:jc w:val="center"/>
              <w:rPr>
                <w:snapToGrid w:val="0"/>
              </w:rPr>
            </w:pPr>
            <w:r>
              <w:rPr>
                <w:snapToGrid w:val="0"/>
              </w:rPr>
              <w:t>6.6%</w:t>
            </w:r>
          </w:p>
        </w:tc>
        <w:tc>
          <w:tcPr>
            <w:tcW w:w="582" w:type="pct"/>
            <w:tcBorders>
              <w:right w:val="double" w:sz="4" w:space="0" w:color="auto"/>
            </w:tcBorders>
            <w:vAlign w:val="center"/>
          </w:tcPr>
          <w:p w14:paraId="7C0D33DE" w14:textId="77777777" w:rsidR="00412CCE" w:rsidRPr="00C02487" w:rsidRDefault="00412CCE" w:rsidP="002D2FD8">
            <w:pPr>
              <w:pStyle w:val="TableText0"/>
              <w:spacing w:before="0" w:after="0"/>
              <w:jc w:val="center"/>
              <w:rPr>
                <w:snapToGrid w:val="0"/>
              </w:rPr>
            </w:pPr>
            <w:r>
              <w:rPr>
                <w:snapToGrid w:val="0"/>
              </w:rPr>
              <w:t>NR</w:t>
            </w:r>
          </w:p>
        </w:tc>
        <w:tc>
          <w:tcPr>
            <w:tcW w:w="928" w:type="pct"/>
            <w:tcBorders>
              <w:left w:val="double" w:sz="4" w:space="0" w:color="auto"/>
            </w:tcBorders>
            <w:vAlign w:val="center"/>
          </w:tcPr>
          <w:p w14:paraId="218BD91D" w14:textId="77777777" w:rsidR="00412CCE" w:rsidRDefault="00412CCE" w:rsidP="002D2FD8">
            <w:pPr>
              <w:pStyle w:val="TableText0"/>
              <w:spacing w:before="0" w:after="0"/>
              <w:jc w:val="center"/>
              <w:rPr>
                <w:snapToGrid w:val="0"/>
              </w:rPr>
            </w:pPr>
            <w:r>
              <w:rPr>
                <w:snapToGrid w:val="0"/>
              </w:rPr>
              <w:t>AHI: r=0.94</w:t>
            </w:r>
          </w:p>
          <w:p w14:paraId="0D1504FB" w14:textId="77777777" w:rsidR="00412CCE" w:rsidRPr="00C02487" w:rsidRDefault="00412CCE" w:rsidP="002D2FD8">
            <w:pPr>
              <w:pStyle w:val="TableText0"/>
              <w:spacing w:before="0" w:after="0"/>
              <w:jc w:val="center"/>
              <w:rPr>
                <w:snapToGrid w:val="0"/>
              </w:rPr>
            </w:pPr>
            <w:r>
              <w:rPr>
                <w:snapToGrid w:val="0"/>
              </w:rPr>
              <w:t>ODI: r=0.99</w:t>
            </w:r>
          </w:p>
        </w:tc>
      </w:tr>
      <w:tr w:rsidR="00412CCE" w:rsidRPr="00C02487" w14:paraId="2FFC55C4" w14:textId="77777777" w:rsidTr="0080749F">
        <w:tc>
          <w:tcPr>
            <w:tcW w:w="616" w:type="pct"/>
            <w:shd w:val="clear" w:color="auto" w:fill="auto"/>
            <w:vAlign w:val="center"/>
          </w:tcPr>
          <w:p w14:paraId="399BFAC0" w14:textId="77777777" w:rsidR="00412CCE" w:rsidRPr="0038300C" w:rsidRDefault="00412CCE" w:rsidP="002D2FD8">
            <w:pPr>
              <w:pStyle w:val="TableHeading"/>
              <w:keepNext w:val="0"/>
              <w:widowControl w:val="0"/>
              <w:tabs>
                <w:tab w:val="left" w:pos="224"/>
              </w:tabs>
              <w:spacing w:before="0" w:after="0"/>
              <w:jc w:val="left"/>
              <w:rPr>
                <w:b w:val="0"/>
                <w:bCs/>
              </w:rPr>
            </w:pPr>
            <w:r w:rsidRPr="0038300C">
              <w:rPr>
                <w:b w:val="0"/>
                <w:bCs/>
                <w:snapToGrid w:val="0"/>
              </w:rPr>
              <w:t>Pang 2007</w:t>
            </w:r>
            <w:r>
              <w:rPr>
                <w:b w:val="0"/>
                <w:bCs/>
                <w:snapToGrid w:val="0"/>
              </w:rPr>
              <w:t xml:space="preserve"> (N=37)</w:t>
            </w:r>
          </w:p>
        </w:tc>
        <w:tc>
          <w:tcPr>
            <w:tcW w:w="3456" w:type="pct"/>
            <w:gridSpan w:val="6"/>
            <w:tcBorders>
              <w:right w:val="double" w:sz="4" w:space="0" w:color="auto"/>
            </w:tcBorders>
            <w:vAlign w:val="center"/>
          </w:tcPr>
          <w:p w14:paraId="2FEF5A10" w14:textId="77777777" w:rsidR="00412CCE" w:rsidRPr="00C02487" w:rsidRDefault="00412CCE" w:rsidP="002D2FD8">
            <w:pPr>
              <w:pStyle w:val="TableText0"/>
              <w:spacing w:before="0" w:after="0"/>
              <w:jc w:val="center"/>
              <w:rPr>
                <w:snapToGrid w:val="0"/>
              </w:rPr>
            </w:pPr>
          </w:p>
        </w:tc>
        <w:tc>
          <w:tcPr>
            <w:tcW w:w="928" w:type="pct"/>
            <w:tcBorders>
              <w:left w:val="double" w:sz="4" w:space="0" w:color="auto"/>
            </w:tcBorders>
            <w:vAlign w:val="center"/>
          </w:tcPr>
          <w:p w14:paraId="0C5EE824" w14:textId="77777777" w:rsidR="00412CCE" w:rsidRPr="00C02487" w:rsidRDefault="00412CCE" w:rsidP="002D2FD8">
            <w:pPr>
              <w:pStyle w:val="TableText0"/>
              <w:spacing w:before="0" w:after="0"/>
              <w:jc w:val="center"/>
              <w:rPr>
                <w:snapToGrid w:val="0"/>
              </w:rPr>
            </w:pPr>
          </w:p>
        </w:tc>
      </w:tr>
      <w:tr w:rsidR="00412CCE" w:rsidRPr="00C02487" w14:paraId="32C0A349" w14:textId="77777777" w:rsidTr="0080749F">
        <w:tc>
          <w:tcPr>
            <w:tcW w:w="616" w:type="pct"/>
            <w:shd w:val="clear" w:color="auto" w:fill="auto"/>
            <w:vAlign w:val="center"/>
          </w:tcPr>
          <w:p w14:paraId="7E730BE1"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≥5</w:t>
            </w:r>
          </w:p>
        </w:tc>
        <w:tc>
          <w:tcPr>
            <w:tcW w:w="703" w:type="pct"/>
          </w:tcPr>
          <w:p w14:paraId="1E9BA21D" w14:textId="77777777" w:rsidR="00412CCE" w:rsidRPr="00E93BFD" w:rsidRDefault="00412CCE" w:rsidP="002D2FD8">
            <w:pPr>
              <w:pStyle w:val="TableText0"/>
              <w:spacing w:before="0" w:after="0"/>
              <w:jc w:val="center"/>
              <w:rPr>
                <w:snapToGrid w:val="0"/>
              </w:rPr>
            </w:pPr>
            <w:r w:rsidRPr="00E93BFD">
              <w:rPr>
                <w:snapToGrid w:val="0"/>
              </w:rPr>
              <w:t>94</w:t>
            </w:r>
            <w:r>
              <w:rPr>
                <w:snapToGrid w:val="0"/>
              </w:rPr>
              <w:t>%</w:t>
            </w:r>
          </w:p>
        </w:tc>
        <w:tc>
          <w:tcPr>
            <w:tcW w:w="703" w:type="pct"/>
          </w:tcPr>
          <w:p w14:paraId="53A6F140" w14:textId="77777777" w:rsidR="00412CCE" w:rsidRPr="00E93BFD" w:rsidRDefault="00412CCE" w:rsidP="002D2FD8">
            <w:pPr>
              <w:pStyle w:val="TableText0"/>
              <w:spacing w:before="0" w:after="0"/>
              <w:jc w:val="center"/>
            </w:pPr>
            <w:r w:rsidRPr="00E93BFD">
              <w:rPr>
                <w:snapToGrid w:val="0"/>
              </w:rPr>
              <w:t>80</w:t>
            </w:r>
            <w:r>
              <w:rPr>
                <w:snapToGrid w:val="0"/>
              </w:rPr>
              <w:t>%</w:t>
            </w:r>
          </w:p>
        </w:tc>
        <w:tc>
          <w:tcPr>
            <w:tcW w:w="424" w:type="pct"/>
            <w:vMerge w:val="restart"/>
            <w:vAlign w:val="center"/>
          </w:tcPr>
          <w:p w14:paraId="4681FF5D" w14:textId="77777777" w:rsidR="00412CCE" w:rsidRPr="009F1F41" w:rsidRDefault="00412CCE" w:rsidP="002D2FD8">
            <w:pPr>
              <w:pStyle w:val="TableText0"/>
              <w:spacing w:before="0" w:after="0"/>
              <w:jc w:val="center"/>
            </w:pPr>
            <w:r>
              <w:t>NR</w:t>
            </w:r>
          </w:p>
        </w:tc>
        <w:tc>
          <w:tcPr>
            <w:tcW w:w="445" w:type="pct"/>
            <w:vMerge w:val="restart"/>
            <w:vAlign w:val="center"/>
          </w:tcPr>
          <w:p w14:paraId="042E67D5" w14:textId="77777777" w:rsidR="00412CCE" w:rsidRPr="009F1F41" w:rsidRDefault="00412CCE" w:rsidP="002D2FD8">
            <w:pPr>
              <w:pStyle w:val="TableText0"/>
              <w:spacing w:before="0" w:after="0"/>
              <w:jc w:val="center"/>
            </w:pPr>
            <w:r>
              <w:t>NR</w:t>
            </w:r>
          </w:p>
        </w:tc>
        <w:tc>
          <w:tcPr>
            <w:tcW w:w="599" w:type="pct"/>
            <w:vMerge w:val="restart"/>
            <w:vAlign w:val="center"/>
          </w:tcPr>
          <w:p w14:paraId="03521014" w14:textId="77777777" w:rsidR="00412CCE" w:rsidRPr="00C02487" w:rsidRDefault="00412CCE" w:rsidP="002D2FD8">
            <w:pPr>
              <w:pStyle w:val="TableText0"/>
              <w:spacing w:before="0" w:after="0"/>
              <w:jc w:val="center"/>
              <w:rPr>
                <w:snapToGrid w:val="0"/>
              </w:rPr>
            </w:pPr>
            <w:r>
              <w:t>NR</w:t>
            </w:r>
          </w:p>
        </w:tc>
        <w:tc>
          <w:tcPr>
            <w:tcW w:w="582" w:type="pct"/>
            <w:vMerge w:val="restart"/>
            <w:tcBorders>
              <w:right w:val="double" w:sz="4" w:space="0" w:color="auto"/>
            </w:tcBorders>
            <w:vAlign w:val="center"/>
          </w:tcPr>
          <w:p w14:paraId="7E3F7D7E" w14:textId="77777777" w:rsidR="00412CCE" w:rsidRPr="00C02487" w:rsidRDefault="00412CCE" w:rsidP="002D2FD8">
            <w:pPr>
              <w:pStyle w:val="TableText0"/>
              <w:spacing w:before="0" w:after="0"/>
              <w:jc w:val="center"/>
              <w:rPr>
                <w:snapToGrid w:val="0"/>
              </w:rPr>
            </w:pPr>
            <w:r>
              <w:t>NR</w:t>
            </w:r>
          </w:p>
        </w:tc>
        <w:tc>
          <w:tcPr>
            <w:tcW w:w="928" w:type="pct"/>
            <w:vMerge w:val="restart"/>
            <w:tcBorders>
              <w:left w:val="double" w:sz="4" w:space="0" w:color="auto"/>
            </w:tcBorders>
            <w:vAlign w:val="center"/>
          </w:tcPr>
          <w:p w14:paraId="64BE4DC0" w14:textId="77777777" w:rsidR="00412CCE" w:rsidRPr="00C02487" w:rsidRDefault="00412CCE" w:rsidP="002D2FD8">
            <w:pPr>
              <w:pStyle w:val="TableText0"/>
              <w:spacing w:before="0" w:after="0"/>
              <w:jc w:val="center"/>
              <w:rPr>
                <w:snapToGrid w:val="0"/>
              </w:rPr>
            </w:pPr>
            <w:r>
              <w:rPr>
                <w:snapToGrid w:val="0"/>
              </w:rPr>
              <w:t>AHI: r=0.929</w:t>
            </w:r>
          </w:p>
          <w:p w14:paraId="73B99CC8" w14:textId="77777777" w:rsidR="00412CCE" w:rsidRPr="00C02487" w:rsidRDefault="00412CCE" w:rsidP="002D2FD8">
            <w:pPr>
              <w:pStyle w:val="TableText0"/>
              <w:spacing w:before="0" w:after="0"/>
              <w:jc w:val="center"/>
              <w:rPr>
                <w:snapToGrid w:val="0"/>
              </w:rPr>
            </w:pPr>
            <w:r>
              <w:rPr>
                <w:snapToGrid w:val="0"/>
              </w:rPr>
              <w:t>LSAT: r=0.989</w:t>
            </w:r>
          </w:p>
        </w:tc>
      </w:tr>
      <w:tr w:rsidR="00412CCE" w:rsidRPr="00C02487" w14:paraId="4E3779B6" w14:textId="77777777" w:rsidTr="0080749F">
        <w:tc>
          <w:tcPr>
            <w:tcW w:w="616" w:type="pct"/>
            <w:shd w:val="clear" w:color="auto" w:fill="auto"/>
            <w:vAlign w:val="center"/>
          </w:tcPr>
          <w:p w14:paraId="23450076"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≥10</w:t>
            </w:r>
          </w:p>
        </w:tc>
        <w:tc>
          <w:tcPr>
            <w:tcW w:w="703" w:type="pct"/>
          </w:tcPr>
          <w:p w14:paraId="292F79A6" w14:textId="77777777" w:rsidR="00412CCE" w:rsidRPr="00E93BFD" w:rsidRDefault="00412CCE" w:rsidP="002D2FD8">
            <w:pPr>
              <w:pStyle w:val="TableText0"/>
              <w:spacing w:before="0" w:after="0"/>
              <w:jc w:val="center"/>
              <w:rPr>
                <w:snapToGrid w:val="0"/>
              </w:rPr>
            </w:pPr>
            <w:r w:rsidRPr="00E93BFD">
              <w:rPr>
                <w:snapToGrid w:val="0"/>
              </w:rPr>
              <w:t>96</w:t>
            </w:r>
            <w:r>
              <w:rPr>
                <w:snapToGrid w:val="0"/>
              </w:rPr>
              <w:t>%</w:t>
            </w:r>
          </w:p>
        </w:tc>
        <w:tc>
          <w:tcPr>
            <w:tcW w:w="703" w:type="pct"/>
          </w:tcPr>
          <w:p w14:paraId="1D5A936C" w14:textId="77777777" w:rsidR="00412CCE" w:rsidRPr="00E93BFD" w:rsidRDefault="00412CCE" w:rsidP="002D2FD8">
            <w:pPr>
              <w:pStyle w:val="TableText0"/>
              <w:spacing w:before="0" w:after="0"/>
              <w:jc w:val="center"/>
            </w:pPr>
            <w:r w:rsidRPr="00E93BFD">
              <w:rPr>
                <w:snapToGrid w:val="0"/>
              </w:rPr>
              <w:t>79</w:t>
            </w:r>
            <w:r>
              <w:rPr>
                <w:snapToGrid w:val="0"/>
              </w:rPr>
              <w:t>%</w:t>
            </w:r>
          </w:p>
        </w:tc>
        <w:tc>
          <w:tcPr>
            <w:tcW w:w="424" w:type="pct"/>
            <w:vMerge/>
            <w:vAlign w:val="center"/>
          </w:tcPr>
          <w:p w14:paraId="36D65FF7" w14:textId="77777777" w:rsidR="00412CCE" w:rsidRPr="009F1F41" w:rsidRDefault="00412CCE" w:rsidP="002D2FD8">
            <w:pPr>
              <w:pStyle w:val="TableText0"/>
              <w:spacing w:before="0" w:after="0"/>
              <w:jc w:val="center"/>
            </w:pPr>
          </w:p>
        </w:tc>
        <w:tc>
          <w:tcPr>
            <w:tcW w:w="445" w:type="pct"/>
            <w:vMerge/>
            <w:vAlign w:val="center"/>
          </w:tcPr>
          <w:p w14:paraId="592C5661" w14:textId="77777777" w:rsidR="00412CCE" w:rsidRPr="009F1F41" w:rsidRDefault="00412CCE" w:rsidP="002D2FD8">
            <w:pPr>
              <w:pStyle w:val="TableText0"/>
              <w:spacing w:before="0" w:after="0"/>
              <w:jc w:val="center"/>
            </w:pPr>
          </w:p>
        </w:tc>
        <w:tc>
          <w:tcPr>
            <w:tcW w:w="599" w:type="pct"/>
            <w:vMerge/>
            <w:vAlign w:val="center"/>
          </w:tcPr>
          <w:p w14:paraId="14FAA44D"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6E7DE860"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6F4892DF" w14:textId="77777777" w:rsidR="00412CCE" w:rsidRPr="00C02487" w:rsidRDefault="00412CCE" w:rsidP="002D2FD8">
            <w:pPr>
              <w:pStyle w:val="TableText0"/>
              <w:spacing w:before="0" w:after="0"/>
              <w:jc w:val="center"/>
              <w:rPr>
                <w:snapToGrid w:val="0"/>
              </w:rPr>
            </w:pPr>
          </w:p>
        </w:tc>
      </w:tr>
      <w:tr w:rsidR="00412CCE" w:rsidRPr="00C02487" w14:paraId="7E490ADA" w14:textId="77777777" w:rsidTr="0080749F">
        <w:tc>
          <w:tcPr>
            <w:tcW w:w="616" w:type="pct"/>
            <w:shd w:val="clear" w:color="auto" w:fill="auto"/>
            <w:vAlign w:val="center"/>
          </w:tcPr>
          <w:p w14:paraId="414508F8"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≥35</w:t>
            </w:r>
          </w:p>
        </w:tc>
        <w:tc>
          <w:tcPr>
            <w:tcW w:w="703" w:type="pct"/>
          </w:tcPr>
          <w:p w14:paraId="1075E15F" w14:textId="77777777" w:rsidR="00412CCE" w:rsidRPr="00E93BFD" w:rsidRDefault="00412CCE" w:rsidP="002D2FD8">
            <w:pPr>
              <w:pStyle w:val="TableText0"/>
              <w:spacing w:before="0" w:after="0"/>
              <w:jc w:val="center"/>
              <w:rPr>
                <w:snapToGrid w:val="0"/>
              </w:rPr>
            </w:pPr>
            <w:r w:rsidRPr="00E93BFD">
              <w:rPr>
                <w:snapToGrid w:val="0"/>
              </w:rPr>
              <w:t>83</w:t>
            </w:r>
            <w:r>
              <w:rPr>
                <w:snapToGrid w:val="0"/>
              </w:rPr>
              <w:t>%</w:t>
            </w:r>
          </w:p>
        </w:tc>
        <w:tc>
          <w:tcPr>
            <w:tcW w:w="703" w:type="pct"/>
          </w:tcPr>
          <w:p w14:paraId="1553B3BC" w14:textId="77777777" w:rsidR="00412CCE" w:rsidRPr="00E93BFD" w:rsidRDefault="00412CCE" w:rsidP="002D2FD8">
            <w:pPr>
              <w:pStyle w:val="TableText0"/>
              <w:spacing w:before="0" w:after="0"/>
              <w:jc w:val="center"/>
            </w:pPr>
            <w:r w:rsidRPr="00E93BFD">
              <w:rPr>
                <w:snapToGrid w:val="0"/>
              </w:rPr>
              <w:t>72</w:t>
            </w:r>
            <w:r>
              <w:rPr>
                <w:snapToGrid w:val="0"/>
              </w:rPr>
              <w:t>%</w:t>
            </w:r>
          </w:p>
        </w:tc>
        <w:tc>
          <w:tcPr>
            <w:tcW w:w="424" w:type="pct"/>
            <w:vMerge/>
            <w:vAlign w:val="center"/>
          </w:tcPr>
          <w:p w14:paraId="4722EBF1" w14:textId="77777777" w:rsidR="00412CCE" w:rsidRPr="009F1F41" w:rsidRDefault="00412CCE" w:rsidP="002D2FD8">
            <w:pPr>
              <w:pStyle w:val="TableText0"/>
              <w:spacing w:before="0" w:after="0"/>
              <w:jc w:val="center"/>
            </w:pPr>
          </w:p>
        </w:tc>
        <w:tc>
          <w:tcPr>
            <w:tcW w:w="445" w:type="pct"/>
            <w:vMerge/>
            <w:vAlign w:val="center"/>
          </w:tcPr>
          <w:p w14:paraId="21C262AE" w14:textId="77777777" w:rsidR="00412CCE" w:rsidRPr="009F1F41" w:rsidRDefault="00412CCE" w:rsidP="002D2FD8">
            <w:pPr>
              <w:pStyle w:val="TableText0"/>
              <w:spacing w:before="0" w:after="0"/>
              <w:jc w:val="center"/>
            </w:pPr>
          </w:p>
        </w:tc>
        <w:tc>
          <w:tcPr>
            <w:tcW w:w="599" w:type="pct"/>
            <w:vMerge/>
            <w:vAlign w:val="center"/>
          </w:tcPr>
          <w:p w14:paraId="395076CB"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5EEA0B75"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53C66CCE" w14:textId="77777777" w:rsidR="00412CCE" w:rsidRPr="00C02487" w:rsidRDefault="00412CCE" w:rsidP="002D2FD8">
            <w:pPr>
              <w:pStyle w:val="TableText0"/>
              <w:spacing w:before="0" w:after="0"/>
              <w:jc w:val="center"/>
              <w:rPr>
                <w:snapToGrid w:val="0"/>
              </w:rPr>
            </w:pPr>
          </w:p>
        </w:tc>
      </w:tr>
      <w:tr w:rsidR="00412CCE" w:rsidRPr="00C02487" w14:paraId="3EFB83F1" w14:textId="77777777" w:rsidTr="0080749F">
        <w:tc>
          <w:tcPr>
            <w:tcW w:w="616" w:type="pct"/>
            <w:shd w:val="clear" w:color="auto" w:fill="auto"/>
            <w:vAlign w:val="center"/>
          </w:tcPr>
          <w:p w14:paraId="53323C3D" w14:textId="77777777" w:rsidR="00412CCE" w:rsidRPr="0038300C" w:rsidRDefault="00412CCE" w:rsidP="002D2FD8">
            <w:pPr>
              <w:pStyle w:val="TableHeading"/>
              <w:keepNext w:val="0"/>
              <w:widowControl w:val="0"/>
              <w:tabs>
                <w:tab w:val="left" w:pos="224"/>
              </w:tabs>
              <w:spacing w:before="0" w:after="0"/>
              <w:jc w:val="left"/>
              <w:rPr>
                <w:b w:val="0"/>
                <w:bCs/>
              </w:rPr>
            </w:pPr>
            <w:r w:rsidRPr="0038300C">
              <w:rPr>
                <w:b w:val="0"/>
                <w:bCs/>
                <w:snapToGrid w:val="0"/>
              </w:rPr>
              <w:t>Pillar 2020</w:t>
            </w:r>
            <w:r>
              <w:rPr>
                <w:b w:val="0"/>
                <w:bCs/>
                <w:snapToGrid w:val="0"/>
              </w:rPr>
              <w:t xml:space="preserve"> (N=84)</w:t>
            </w:r>
          </w:p>
        </w:tc>
        <w:tc>
          <w:tcPr>
            <w:tcW w:w="3456" w:type="pct"/>
            <w:gridSpan w:val="6"/>
            <w:tcBorders>
              <w:right w:val="double" w:sz="4" w:space="0" w:color="auto"/>
            </w:tcBorders>
            <w:vAlign w:val="center"/>
          </w:tcPr>
          <w:p w14:paraId="493DD17E" w14:textId="77777777" w:rsidR="00412CCE" w:rsidRPr="00C02487" w:rsidRDefault="00412CCE" w:rsidP="002D2FD8">
            <w:pPr>
              <w:pStyle w:val="TableText0"/>
              <w:spacing w:before="0" w:after="0"/>
              <w:jc w:val="center"/>
              <w:rPr>
                <w:snapToGrid w:val="0"/>
              </w:rPr>
            </w:pPr>
          </w:p>
        </w:tc>
        <w:tc>
          <w:tcPr>
            <w:tcW w:w="928" w:type="pct"/>
            <w:tcBorders>
              <w:left w:val="double" w:sz="4" w:space="0" w:color="auto"/>
            </w:tcBorders>
            <w:vAlign w:val="center"/>
          </w:tcPr>
          <w:p w14:paraId="639AA6BD" w14:textId="77777777" w:rsidR="00412CCE" w:rsidRPr="00C02487" w:rsidRDefault="00412CCE" w:rsidP="002D2FD8">
            <w:pPr>
              <w:pStyle w:val="TableText0"/>
              <w:spacing w:before="0" w:after="0"/>
              <w:jc w:val="center"/>
              <w:rPr>
                <w:snapToGrid w:val="0"/>
              </w:rPr>
            </w:pPr>
          </w:p>
        </w:tc>
      </w:tr>
      <w:tr w:rsidR="00412CCE" w:rsidRPr="00C02487" w14:paraId="0953C915" w14:textId="77777777" w:rsidTr="0080749F">
        <w:tc>
          <w:tcPr>
            <w:tcW w:w="616" w:type="pct"/>
            <w:shd w:val="clear" w:color="auto" w:fill="auto"/>
            <w:vAlign w:val="center"/>
          </w:tcPr>
          <w:p w14:paraId="520181E0"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≥10</w:t>
            </w:r>
          </w:p>
        </w:tc>
        <w:tc>
          <w:tcPr>
            <w:tcW w:w="703" w:type="pct"/>
          </w:tcPr>
          <w:p w14:paraId="1EE0599A" w14:textId="77777777" w:rsidR="00412CCE" w:rsidRPr="00FE0AC2" w:rsidRDefault="00412CCE" w:rsidP="002D2FD8">
            <w:pPr>
              <w:pStyle w:val="TableText0"/>
              <w:spacing w:before="0" w:after="0"/>
              <w:jc w:val="center"/>
              <w:rPr>
                <w:snapToGrid w:val="0"/>
              </w:rPr>
            </w:pPr>
            <w:r w:rsidRPr="00FE0AC2">
              <w:rPr>
                <w:snapToGrid w:val="0"/>
              </w:rPr>
              <w:t>83.0</w:t>
            </w:r>
            <w:r>
              <w:rPr>
                <w:snapToGrid w:val="0"/>
              </w:rPr>
              <w:t>%</w:t>
            </w:r>
          </w:p>
        </w:tc>
        <w:tc>
          <w:tcPr>
            <w:tcW w:w="703" w:type="pct"/>
          </w:tcPr>
          <w:p w14:paraId="1FDA19A7" w14:textId="77777777" w:rsidR="00412CCE" w:rsidRPr="00FE0AC2" w:rsidRDefault="00412CCE" w:rsidP="002D2FD8">
            <w:pPr>
              <w:pStyle w:val="TableText0"/>
              <w:spacing w:before="0" w:after="0"/>
              <w:jc w:val="center"/>
            </w:pPr>
            <w:r w:rsidRPr="00FE0AC2">
              <w:rPr>
                <w:snapToGrid w:val="0"/>
              </w:rPr>
              <w:t>55.6</w:t>
            </w:r>
            <w:r>
              <w:rPr>
                <w:snapToGrid w:val="0"/>
              </w:rPr>
              <w:t>%</w:t>
            </w:r>
          </w:p>
        </w:tc>
        <w:tc>
          <w:tcPr>
            <w:tcW w:w="424" w:type="pct"/>
          </w:tcPr>
          <w:p w14:paraId="0D16D1B2" w14:textId="77777777" w:rsidR="00412CCE" w:rsidRPr="00FE0AC2" w:rsidRDefault="00412CCE" w:rsidP="002D2FD8">
            <w:pPr>
              <w:pStyle w:val="TableText0"/>
              <w:spacing w:before="0" w:after="0"/>
              <w:jc w:val="center"/>
            </w:pPr>
            <w:r w:rsidRPr="00FE0AC2">
              <w:rPr>
                <w:snapToGrid w:val="0"/>
              </w:rPr>
              <w:t>87.3</w:t>
            </w:r>
            <w:r>
              <w:rPr>
                <w:snapToGrid w:val="0"/>
              </w:rPr>
              <w:t>%</w:t>
            </w:r>
          </w:p>
        </w:tc>
        <w:tc>
          <w:tcPr>
            <w:tcW w:w="445" w:type="pct"/>
          </w:tcPr>
          <w:p w14:paraId="3F774BB7" w14:textId="77777777" w:rsidR="00412CCE" w:rsidRPr="00FE0AC2" w:rsidRDefault="00412CCE" w:rsidP="002D2FD8">
            <w:pPr>
              <w:pStyle w:val="TableText0"/>
              <w:spacing w:before="0" w:after="0"/>
              <w:jc w:val="center"/>
            </w:pPr>
            <w:r w:rsidRPr="00FE0AC2">
              <w:rPr>
                <w:snapToGrid w:val="0"/>
              </w:rPr>
              <w:t>47.5</w:t>
            </w:r>
            <w:r>
              <w:rPr>
                <w:snapToGrid w:val="0"/>
              </w:rPr>
              <w:t>%</w:t>
            </w:r>
          </w:p>
        </w:tc>
        <w:tc>
          <w:tcPr>
            <w:tcW w:w="599" w:type="pct"/>
            <w:vMerge w:val="restart"/>
            <w:vAlign w:val="center"/>
          </w:tcPr>
          <w:p w14:paraId="5EA09235" w14:textId="77777777" w:rsidR="00412CCE" w:rsidRPr="00C02487" w:rsidRDefault="00412CCE" w:rsidP="002D2FD8">
            <w:pPr>
              <w:pStyle w:val="TableText0"/>
              <w:spacing w:before="0" w:after="0"/>
              <w:jc w:val="center"/>
              <w:rPr>
                <w:snapToGrid w:val="0"/>
              </w:rPr>
            </w:pPr>
            <w:r>
              <w:rPr>
                <w:snapToGrid w:val="0"/>
              </w:rPr>
              <w:t>0%</w:t>
            </w:r>
          </w:p>
        </w:tc>
        <w:tc>
          <w:tcPr>
            <w:tcW w:w="582" w:type="pct"/>
            <w:vMerge w:val="restart"/>
            <w:tcBorders>
              <w:right w:val="double" w:sz="4" w:space="0" w:color="auto"/>
            </w:tcBorders>
            <w:vAlign w:val="center"/>
          </w:tcPr>
          <w:p w14:paraId="5115D637" w14:textId="77777777" w:rsidR="00412CCE" w:rsidRPr="00C02487" w:rsidRDefault="00412CCE" w:rsidP="002D2FD8">
            <w:pPr>
              <w:pStyle w:val="TableText0"/>
              <w:spacing w:before="0" w:after="0"/>
              <w:jc w:val="center"/>
              <w:rPr>
                <w:snapToGrid w:val="0"/>
              </w:rPr>
            </w:pPr>
            <w:r>
              <w:rPr>
                <w:snapToGrid w:val="0"/>
              </w:rPr>
              <w:t>0%</w:t>
            </w:r>
          </w:p>
        </w:tc>
        <w:tc>
          <w:tcPr>
            <w:tcW w:w="928" w:type="pct"/>
            <w:vMerge w:val="restart"/>
            <w:tcBorders>
              <w:left w:val="double" w:sz="4" w:space="0" w:color="auto"/>
            </w:tcBorders>
            <w:vAlign w:val="center"/>
          </w:tcPr>
          <w:p w14:paraId="4DC7E973" w14:textId="77777777" w:rsidR="00412CCE" w:rsidRPr="00C02487" w:rsidRDefault="00412CCE" w:rsidP="002D2FD8">
            <w:pPr>
              <w:pStyle w:val="TableText0"/>
              <w:spacing w:before="0" w:after="0"/>
              <w:jc w:val="center"/>
              <w:rPr>
                <w:snapToGrid w:val="0"/>
              </w:rPr>
            </w:pPr>
            <w:r>
              <w:rPr>
                <w:snapToGrid w:val="0"/>
              </w:rPr>
              <w:t>AHI: r=0.87</w:t>
            </w:r>
          </w:p>
        </w:tc>
      </w:tr>
      <w:tr w:rsidR="00412CCE" w:rsidRPr="00C02487" w14:paraId="635D2ECB" w14:textId="77777777" w:rsidTr="0080749F">
        <w:tc>
          <w:tcPr>
            <w:tcW w:w="616" w:type="pct"/>
            <w:shd w:val="clear" w:color="auto" w:fill="auto"/>
            <w:vAlign w:val="center"/>
          </w:tcPr>
          <w:p w14:paraId="6E55D81C"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≥15</w:t>
            </w:r>
          </w:p>
        </w:tc>
        <w:tc>
          <w:tcPr>
            <w:tcW w:w="703" w:type="pct"/>
          </w:tcPr>
          <w:p w14:paraId="6E508DD3" w14:textId="77777777" w:rsidR="00412CCE" w:rsidRPr="00FE0AC2" w:rsidRDefault="00412CCE" w:rsidP="002D2FD8">
            <w:pPr>
              <w:pStyle w:val="TableText0"/>
              <w:spacing w:before="0" w:after="0"/>
              <w:jc w:val="center"/>
              <w:rPr>
                <w:snapToGrid w:val="0"/>
              </w:rPr>
            </w:pPr>
            <w:r w:rsidRPr="00FE0AC2">
              <w:rPr>
                <w:snapToGrid w:val="0"/>
              </w:rPr>
              <w:t>85.1</w:t>
            </w:r>
            <w:r>
              <w:rPr>
                <w:snapToGrid w:val="0"/>
              </w:rPr>
              <w:t>%</w:t>
            </w:r>
          </w:p>
        </w:tc>
        <w:tc>
          <w:tcPr>
            <w:tcW w:w="703" w:type="pct"/>
          </w:tcPr>
          <w:p w14:paraId="235DC7F9" w14:textId="77777777" w:rsidR="00412CCE" w:rsidRPr="00FE0AC2" w:rsidRDefault="00412CCE" w:rsidP="002D2FD8">
            <w:pPr>
              <w:pStyle w:val="TableText0"/>
              <w:spacing w:before="0" w:after="0"/>
              <w:jc w:val="center"/>
            </w:pPr>
            <w:r w:rsidRPr="00FE0AC2">
              <w:rPr>
                <w:snapToGrid w:val="0"/>
              </w:rPr>
              <w:t>70.3</w:t>
            </w:r>
            <w:r>
              <w:rPr>
                <w:snapToGrid w:val="0"/>
              </w:rPr>
              <w:t>%</w:t>
            </w:r>
          </w:p>
        </w:tc>
        <w:tc>
          <w:tcPr>
            <w:tcW w:w="424" w:type="pct"/>
          </w:tcPr>
          <w:p w14:paraId="5FCD59B9" w14:textId="77777777" w:rsidR="00412CCE" w:rsidRPr="00FE0AC2" w:rsidRDefault="00412CCE" w:rsidP="002D2FD8">
            <w:pPr>
              <w:pStyle w:val="TableText0"/>
              <w:spacing w:before="0" w:after="0"/>
              <w:jc w:val="center"/>
            </w:pPr>
            <w:r w:rsidRPr="00FE0AC2">
              <w:rPr>
                <w:snapToGrid w:val="0"/>
              </w:rPr>
              <w:t>78.4</w:t>
            </w:r>
            <w:r>
              <w:rPr>
                <w:snapToGrid w:val="0"/>
              </w:rPr>
              <w:t>%</w:t>
            </w:r>
          </w:p>
        </w:tc>
        <w:tc>
          <w:tcPr>
            <w:tcW w:w="445" w:type="pct"/>
          </w:tcPr>
          <w:p w14:paraId="63F7E5DF" w14:textId="77777777" w:rsidR="00412CCE" w:rsidRPr="00FE0AC2" w:rsidRDefault="00412CCE" w:rsidP="002D2FD8">
            <w:pPr>
              <w:pStyle w:val="TableText0"/>
              <w:spacing w:before="0" w:after="0"/>
              <w:jc w:val="center"/>
            </w:pPr>
            <w:r w:rsidRPr="00FE0AC2">
              <w:rPr>
                <w:snapToGrid w:val="0"/>
              </w:rPr>
              <w:t>78.8</w:t>
            </w:r>
            <w:r>
              <w:rPr>
                <w:snapToGrid w:val="0"/>
              </w:rPr>
              <w:t>%</w:t>
            </w:r>
          </w:p>
        </w:tc>
        <w:tc>
          <w:tcPr>
            <w:tcW w:w="599" w:type="pct"/>
            <w:vMerge/>
            <w:vAlign w:val="center"/>
          </w:tcPr>
          <w:p w14:paraId="383A89C8"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38C49B78"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698D0DF4" w14:textId="77777777" w:rsidR="00412CCE" w:rsidRPr="00C02487" w:rsidRDefault="00412CCE" w:rsidP="002D2FD8">
            <w:pPr>
              <w:pStyle w:val="TableText0"/>
              <w:spacing w:before="0" w:after="0"/>
              <w:jc w:val="center"/>
              <w:rPr>
                <w:snapToGrid w:val="0"/>
              </w:rPr>
            </w:pPr>
          </w:p>
        </w:tc>
      </w:tr>
      <w:tr w:rsidR="00412CCE" w:rsidRPr="00C02487" w14:paraId="3919FA43" w14:textId="77777777" w:rsidTr="0080749F">
        <w:tc>
          <w:tcPr>
            <w:tcW w:w="616" w:type="pct"/>
            <w:shd w:val="clear" w:color="auto" w:fill="auto"/>
            <w:vAlign w:val="center"/>
          </w:tcPr>
          <w:p w14:paraId="08D903D5" w14:textId="77777777" w:rsidR="00412CCE" w:rsidRPr="0038300C" w:rsidRDefault="00412CCE" w:rsidP="002D2FD8">
            <w:pPr>
              <w:pStyle w:val="TableHeading"/>
              <w:keepNext w:val="0"/>
              <w:widowControl w:val="0"/>
              <w:tabs>
                <w:tab w:val="left" w:pos="224"/>
              </w:tabs>
              <w:spacing w:before="0" w:after="0"/>
              <w:rPr>
                <w:b w:val="0"/>
                <w:bCs/>
              </w:rPr>
            </w:pPr>
            <w:r w:rsidRPr="0038300C">
              <w:rPr>
                <w:b w:val="0"/>
                <w:bCs/>
                <w:snapToGrid w:val="0"/>
              </w:rPr>
              <w:t>Pittman 2004</w:t>
            </w:r>
            <w:r>
              <w:rPr>
                <w:b w:val="0"/>
                <w:bCs/>
                <w:snapToGrid w:val="0"/>
              </w:rPr>
              <w:t xml:space="preserve"> (N=30)</w:t>
            </w:r>
          </w:p>
        </w:tc>
        <w:tc>
          <w:tcPr>
            <w:tcW w:w="703" w:type="pct"/>
            <w:vAlign w:val="center"/>
          </w:tcPr>
          <w:p w14:paraId="0874ACF1" w14:textId="77777777" w:rsidR="00412CCE" w:rsidRPr="009F1F41" w:rsidRDefault="00412CCE" w:rsidP="002D2FD8">
            <w:pPr>
              <w:pStyle w:val="TableText0"/>
              <w:spacing w:before="0" w:after="0"/>
              <w:jc w:val="center"/>
              <w:rPr>
                <w:snapToGrid w:val="0"/>
              </w:rPr>
            </w:pPr>
          </w:p>
        </w:tc>
        <w:tc>
          <w:tcPr>
            <w:tcW w:w="703" w:type="pct"/>
            <w:vAlign w:val="center"/>
          </w:tcPr>
          <w:p w14:paraId="7F1B539E" w14:textId="77777777" w:rsidR="00412CCE" w:rsidRPr="009F1F41" w:rsidRDefault="00412CCE" w:rsidP="002D2FD8">
            <w:pPr>
              <w:pStyle w:val="TableText0"/>
              <w:spacing w:before="0" w:after="0"/>
              <w:jc w:val="center"/>
            </w:pPr>
          </w:p>
        </w:tc>
        <w:tc>
          <w:tcPr>
            <w:tcW w:w="424" w:type="pct"/>
            <w:vAlign w:val="center"/>
          </w:tcPr>
          <w:p w14:paraId="5663CBD5" w14:textId="77777777" w:rsidR="00412CCE" w:rsidRPr="009F1F41" w:rsidRDefault="00412CCE" w:rsidP="002D2FD8">
            <w:pPr>
              <w:pStyle w:val="TableText0"/>
              <w:spacing w:before="0" w:after="0"/>
              <w:jc w:val="center"/>
            </w:pPr>
          </w:p>
        </w:tc>
        <w:tc>
          <w:tcPr>
            <w:tcW w:w="445" w:type="pct"/>
            <w:vAlign w:val="center"/>
          </w:tcPr>
          <w:p w14:paraId="4D8F98E6" w14:textId="77777777" w:rsidR="00412CCE" w:rsidRPr="009F1F41" w:rsidRDefault="00412CCE" w:rsidP="002D2FD8">
            <w:pPr>
              <w:pStyle w:val="TableText0"/>
              <w:spacing w:before="0" w:after="0"/>
              <w:jc w:val="center"/>
            </w:pPr>
          </w:p>
        </w:tc>
        <w:tc>
          <w:tcPr>
            <w:tcW w:w="599" w:type="pct"/>
            <w:vAlign w:val="center"/>
          </w:tcPr>
          <w:p w14:paraId="18E98653" w14:textId="77777777" w:rsidR="00412CCE" w:rsidRPr="00C02487" w:rsidRDefault="00412CCE" w:rsidP="002D2FD8">
            <w:pPr>
              <w:pStyle w:val="TableText0"/>
              <w:spacing w:before="0" w:after="0"/>
              <w:jc w:val="center"/>
              <w:rPr>
                <w:snapToGrid w:val="0"/>
              </w:rPr>
            </w:pPr>
          </w:p>
        </w:tc>
        <w:tc>
          <w:tcPr>
            <w:tcW w:w="582" w:type="pct"/>
            <w:tcBorders>
              <w:right w:val="double" w:sz="4" w:space="0" w:color="auto"/>
            </w:tcBorders>
            <w:vAlign w:val="center"/>
          </w:tcPr>
          <w:p w14:paraId="51D2DEAA" w14:textId="77777777" w:rsidR="00412CCE" w:rsidRPr="00C02487" w:rsidRDefault="00412CCE" w:rsidP="002D2FD8">
            <w:pPr>
              <w:pStyle w:val="TableText0"/>
              <w:spacing w:before="0" w:after="0"/>
              <w:jc w:val="center"/>
              <w:rPr>
                <w:snapToGrid w:val="0"/>
              </w:rPr>
            </w:pPr>
          </w:p>
        </w:tc>
        <w:tc>
          <w:tcPr>
            <w:tcW w:w="928" w:type="pct"/>
            <w:tcBorders>
              <w:left w:val="double" w:sz="4" w:space="0" w:color="auto"/>
            </w:tcBorders>
            <w:vAlign w:val="center"/>
          </w:tcPr>
          <w:p w14:paraId="21B508A9" w14:textId="77777777" w:rsidR="00412CCE" w:rsidRPr="00C02487" w:rsidRDefault="00412CCE" w:rsidP="002D2FD8">
            <w:pPr>
              <w:pStyle w:val="TableText0"/>
              <w:spacing w:before="0" w:after="0"/>
              <w:jc w:val="center"/>
              <w:rPr>
                <w:snapToGrid w:val="0"/>
              </w:rPr>
            </w:pPr>
          </w:p>
        </w:tc>
      </w:tr>
      <w:tr w:rsidR="00412CCE" w:rsidRPr="00C02487" w14:paraId="4A8EB6D9" w14:textId="77777777" w:rsidTr="0080749F">
        <w:tc>
          <w:tcPr>
            <w:tcW w:w="616" w:type="pct"/>
            <w:shd w:val="clear" w:color="auto" w:fill="auto"/>
            <w:vAlign w:val="center"/>
          </w:tcPr>
          <w:p w14:paraId="34A29F07"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Home RDI 10</w:t>
            </w:r>
          </w:p>
        </w:tc>
        <w:tc>
          <w:tcPr>
            <w:tcW w:w="703" w:type="pct"/>
          </w:tcPr>
          <w:p w14:paraId="5DBB9C58" w14:textId="77777777" w:rsidR="00412CCE" w:rsidRPr="00305E3C" w:rsidRDefault="00412CCE" w:rsidP="002D2FD8">
            <w:pPr>
              <w:pStyle w:val="TableText0"/>
              <w:spacing w:before="0" w:after="0"/>
              <w:jc w:val="center"/>
              <w:rPr>
                <w:snapToGrid w:val="0"/>
              </w:rPr>
            </w:pPr>
            <w:r w:rsidRPr="00305E3C">
              <w:rPr>
                <w:snapToGrid w:val="0"/>
              </w:rPr>
              <w:t>82.</w:t>
            </w:r>
            <w:r>
              <w:rPr>
                <w:snapToGrid w:val="0"/>
              </w:rPr>
              <w:t>%</w:t>
            </w:r>
          </w:p>
        </w:tc>
        <w:tc>
          <w:tcPr>
            <w:tcW w:w="703" w:type="pct"/>
          </w:tcPr>
          <w:p w14:paraId="0169BCC8" w14:textId="77777777" w:rsidR="00412CCE" w:rsidRPr="00305E3C" w:rsidRDefault="00412CCE" w:rsidP="002D2FD8">
            <w:pPr>
              <w:pStyle w:val="TableText0"/>
              <w:spacing w:before="0" w:after="0"/>
              <w:jc w:val="center"/>
            </w:pPr>
            <w:r w:rsidRPr="00305E3C">
              <w:rPr>
                <w:snapToGrid w:val="0"/>
              </w:rPr>
              <w:t>100</w:t>
            </w:r>
            <w:r>
              <w:rPr>
                <w:snapToGrid w:val="0"/>
              </w:rPr>
              <w:t>%</w:t>
            </w:r>
          </w:p>
        </w:tc>
        <w:tc>
          <w:tcPr>
            <w:tcW w:w="424" w:type="pct"/>
            <w:vMerge w:val="restart"/>
            <w:vAlign w:val="center"/>
          </w:tcPr>
          <w:p w14:paraId="507BEBD8" w14:textId="77777777" w:rsidR="00412CCE" w:rsidRPr="009F1F41" w:rsidRDefault="00412CCE" w:rsidP="002D2FD8">
            <w:pPr>
              <w:pStyle w:val="TableText0"/>
              <w:spacing w:before="0" w:after="0"/>
              <w:jc w:val="center"/>
            </w:pPr>
            <w:r>
              <w:rPr>
                <w:snapToGrid w:val="0"/>
              </w:rPr>
              <w:t>NR</w:t>
            </w:r>
          </w:p>
        </w:tc>
        <w:tc>
          <w:tcPr>
            <w:tcW w:w="445" w:type="pct"/>
            <w:vMerge w:val="restart"/>
            <w:vAlign w:val="center"/>
          </w:tcPr>
          <w:p w14:paraId="3D13973C" w14:textId="77777777" w:rsidR="00412CCE" w:rsidRPr="009F1F41" w:rsidRDefault="00412CCE" w:rsidP="002D2FD8">
            <w:pPr>
              <w:pStyle w:val="TableText0"/>
              <w:spacing w:before="0" w:after="0"/>
              <w:jc w:val="center"/>
            </w:pPr>
            <w:r>
              <w:rPr>
                <w:snapToGrid w:val="0"/>
              </w:rPr>
              <w:t>NR</w:t>
            </w:r>
          </w:p>
        </w:tc>
        <w:tc>
          <w:tcPr>
            <w:tcW w:w="599" w:type="pct"/>
            <w:vMerge w:val="restart"/>
            <w:vAlign w:val="center"/>
          </w:tcPr>
          <w:p w14:paraId="339DAEF7" w14:textId="77777777" w:rsidR="00412CCE" w:rsidRPr="00C02487" w:rsidRDefault="00412CCE" w:rsidP="002D2FD8">
            <w:pPr>
              <w:pStyle w:val="TableText0"/>
              <w:spacing w:before="0" w:after="0"/>
              <w:jc w:val="center"/>
              <w:rPr>
                <w:snapToGrid w:val="0"/>
              </w:rPr>
            </w:pPr>
            <w:r>
              <w:rPr>
                <w:snapToGrid w:val="0"/>
              </w:rPr>
              <w:t>0%</w:t>
            </w:r>
          </w:p>
        </w:tc>
        <w:tc>
          <w:tcPr>
            <w:tcW w:w="582" w:type="pct"/>
            <w:vMerge w:val="restart"/>
            <w:tcBorders>
              <w:right w:val="double" w:sz="4" w:space="0" w:color="auto"/>
            </w:tcBorders>
            <w:vAlign w:val="center"/>
          </w:tcPr>
          <w:p w14:paraId="434E0F39" w14:textId="77777777" w:rsidR="00412CCE" w:rsidRPr="00C02487" w:rsidRDefault="00412CCE" w:rsidP="002D2FD8">
            <w:pPr>
              <w:pStyle w:val="TableText0"/>
              <w:spacing w:before="0" w:after="0"/>
              <w:jc w:val="center"/>
              <w:rPr>
                <w:snapToGrid w:val="0"/>
              </w:rPr>
            </w:pPr>
            <w:r>
              <w:rPr>
                <w:snapToGrid w:val="0"/>
              </w:rPr>
              <w:t>NR</w:t>
            </w:r>
          </w:p>
        </w:tc>
        <w:tc>
          <w:tcPr>
            <w:tcW w:w="928" w:type="pct"/>
            <w:vMerge w:val="restart"/>
            <w:tcBorders>
              <w:left w:val="double" w:sz="4" w:space="0" w:color="auto"/>
            </w:tcBorders>
            <w:vAlign w:val="center"/>
          </w:tcPr>
          <w:p w14:paraId="24AAE137" w14:textId="77777777" w:rsidR="00412CCE" w:rsidRPr="00C02487" w:rsidRDefault="00412CCE" w:rsidP="002D2FD8">
            <w:pPr>
              <w:pStyle w:val="TableText0"/>
              <w:spacing w:before="0" w:after="0"/>
              <w:jc w:val="center"/>
              <w:rPr>
                <w:snapToGrid w:val="0"/>
              </w:rPr>
            </w:pPr>
            <w:r>
              <w:rPr>
                <w:snapToGrid w:val="0"/>
              </w:rPr>
              <w:t>Home ODI: agreement=0.80</w:t>
            </w:r>
          </w:p>
        </w:tc>
      </w:tr>
      <w:tr w:rsidR="00412CCE" w:rsidRPr="00C02487" w14:paraId="67F0486B" w14:textId="77777777" w:rsidTr="0080749F">
        <w:tc>
          <w:tcPr>
            <w:tcW w:w="616" w:type="pct"/>
            <w:shd w:val="clear" w:color="auto" w:fill="auto"/>
            <w:vAlign w:val="center"/>
          </w:tcPr>
          <w:p w14:paraId="600981B1"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Home RDI 15</w:t>
            </w:r>
          </w:p>
        </w:tc>
        <w:tc>
          <w:tcPr>
            <w:tcW w:w="703" w:type="pct"/>
          </w:tcPr>
          <w:p w14:paraId="67C13B7D" w14:textId="77777777" w:rsidR="00412CCE" w:rsidRPr="00305E3C" w:rsidRDefault="00412CCE" w:rsidP="002D2FD8">
            <w:pPr>
              <w:pStyle w:val="TableText0"/>
              <w:spacing w:before="0" w:after="0"/>
              <w:jc w:val="center"/>
              <w:rPr>
                <w:snapToGrid w:val="0"/>
              </w:rPr>
            </w:pPr>
            <w:r w:rsidRPr="00305E3C">
              <w:rPr>
                <w:snapToGrid w:val="0"/>
              </w:rPr>
              <w:t>96</w:t>
            </w:r>
            <w:r>
              <w:rPr>
                <w:snapToGrid w:val="0"/>
              </w:rPr>
              <w:t>%</w:t>
            </w:r>
          </w:p>
        </w:tc>
        <w:tc>
          <w:tcPr>
            <w:tcW w:w="703" w:type="pct"/>
          </w:tcPr>
          <w:p w14:paraId="7B142298" w14:textId="77777777" w:rsidR="00412CCE" w:rsidRPr="00305E3C" w:rsidRDefault="00412CCE" w:rsidP="002D2FD8">
            <w:pPr>
              <w:pStyle w:val="TableText0"/>
              <w:spacing w:before="0" w:after="0"/>
              <w:jc w:val="center"/>
            </w:pPr>
            <w:r w:rsidRPr="00305E3C">
              <w:rPr>
                <w:snapToGrid w:val="0"/>
              </w:rPr>
              <w:t>100</w:t>
            </w:r>
            <w:r>
              <w:rPr>
                <w:snapToGrid w:val="0"/>
              </w:rPr>
              <w:t>%</w:t>
            </w:r>
          </w:p>
        </w:tc>
        <w:tc>
          <w:tcPr>
            <w:tcW w:w="424" w:type="pct"/>
            <w:vMerge/>
            <w:vAlign w:val="center"/>
          </w:tcPr>
          <w:p w14:paraId="4E80088B" w14:textId="77777777" w:rsidR="00412CCE" w:rsidRPr="009F1F41" w:rsidRDefault="00412CCE" w:rsidP="002D2FD8">
            <w:pPr>
              <w:pStyle w:val="TableText0"/>
              <w:spacing w:before="0" w:after="0"/>
              <w:jc w:val="center"/>
            </w:pPr>
          </w:p>
        </w:tc>
        <w:tc>
          <w:tcPr>
            <w:tcW w:w="445" w:type="pct"/>
            <w:vMerge/>
            <w:vAlign w:val="center"/>
          </w:tcPr>
          <w:p w14:paraId="20D4A8EB" w14:textId="77777777" w:rsidR="00412CCE" w:rsidRPr="009F1F41" w:rsidRDefault="00412CCE" w:rsidP="002D2FD8">
            <w:pPr>
              <w:pStyle w:val="TableText0"/>
              <w:spacing w:before="0" w:after="0"/>
              <w:jc w:val="center"/>
            </w:pPr>
          </w:p>
        </w:tc>
        <w:tc>
          <w:tcPr>
            <w:tcW w:w="599" w:type="pct"/>
            <w:vMerge/>
            <w:vAlign w:val="center"/>
          </w:tcPr>
          <w:p w14:paraId="196112D8"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3C1CA948"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32970D91" w14:textId="77777777" w:rsidR="00412CCE" w:rsidRPr="00C02487" w:rsidRDefault="00412CCE" w:rsidP="002D2FD8">
            <w:pPr>
              <w:pStyle w:val="TableText0"/>
              <w:spacing w:before="0" w:after="0"/>
              <w:jc w:val="center"/>
              <w:rPr>
                <w:snapToGrid w:val="0"/>
              </w:rPr>
            </w:pPr>
          </w:p>
        </w:tc>
      </w:tr>
      <w:tr w:rsidR="00412CCE" w:rsidRPr="00C02487" w14:paraId="71C43DE0" w14:textId="77777777" w:rsidTr="0080749F">
        <w:tc>
          <w:tcPr>
            <w:tcW w:w="616" w:type="pct"/>
            <w:shd w:val="clear" w:color="auto" w:fill="auto"/>
            <w:vAlign w:val="center"/>
          </w:tcPr>
          <w:p w14:paraId="08171B6C"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Home RDI 20</w:t>
            </w:r>
          </w:p>
        </w:tc>
        <w:tc>
          <w:tcPr>
            <w:tcW w:w="703" w:type="pct"/>
          </w:tcPr>
          <w:p w14:paraId="7983BCF2" w14:textId="77777777" w:rsidR="00412CCE" w:rsidRPr="00305E3C" w:rsidRDefault="00412CCE" w:rsidP="002D2FD8">
            <w:pPr>
              <w:pStyle w:val="TableText0"/>
              <w:spacing w:before="0" w:after="0"/>
              <w:jc w:val="center"/>
              <w:rPr>
                <w:snapToGrid w:val="0"/>
              </w:rPr>
            </w:pPr>
            <w:r w:rsidRPr="00305E3C">
              <w:rPr>
                <w:snapToGrid w:val="0"/>
              </w:rPr>
              <w:t>80</w:t>
            </w:r>
            <w:r>
              <w:rPr>
                <w:snapToGrid w:val="0"/>
              </w:rPr>
              <w:t>%</w:t>
            </w:r>
          </w:p>
        </w:tc>
        <w:tc>
          <w:tcPr>
            <w:tcW w:w="703" w:type="pct"/>
          </w:tcPr>
          <w:p w14:paraId="4DF49164" w14:textId="77777777" w:rsidR="00412CCE" w:rsidRPr="00305E3C" w:rsidRDefault="00412CCE" w:rsidP="002D2FD8">
            <w:pPr>
              <w:pStyle w:val="TableText0"/>
              <w:spacing w:before="0" w:after="0"/>
              <w:jc w:val="center"/>
            </w:pPr>
            <w:r w:rsidRPr="00305E3C">
              <w:rPr>
                <w:snapToGrid w:val="0"/>
              </w:rPr>
              <w:t>89</w:t>
            </w:r>
            <w:r>
              <w:rPr>
                <w:snapToGrid w:val="0"/>
              </w:rPr>
              <w:t>%</w:t>
            </w:r>
          </w:p>
        </w:tc>
        <w:tc>
          <w:tcPr>
            <w:tcW w:w="424" w:type="pct"/>
            <w:vMerge/>
            <w:vAlign w:val="center"/>
          </w:tcPr>
          <w:p w14:paraId="3A7A7E5F" w14:textId="77777777" w:rsidR="00412CCE" w:rsidRPr="009F1F41" w:rsidRDefault="00412CCE" w:rsidP="002D2FD8">
            <w:pPr>
              <w:pStyle w:val="TableText0"/>
              <w:spacing w:before="0" w:after="0"/>
              <w:jc w:val="center"/>
            </w:pPr>
          </w:p>
        </w:tc>
        <w:tc>
          <w:tcPr>
            <w:tcW w:w="445" w:type="pct"/>
            <w:vMerge/>
            <w:vAlign w:val="center"/>
          </w:tcPr>
          <w:p w14:paraId="084EE293" w14:textId="77777777" w:rsidR="00412CCE" w:rsidRPr="009F1F41" w:rsidRDefault="00412CCE" w:rsidP="002D2FD8">
            <w:pPr>
              <w:pStyle w:val="TableText0"/>
              <w:spacing w:before="0" w:after="0"/>
              <w:jc w:val="center"/>
            </w:pPr>
          </w:p>
        </w:tc>
        <w:tc>
          <w:tcPr>
            <w:tcW w:w="599" w:type="pct"/>
            <w:vMerge/>
            <w:vAlign w:val="center"/>
          </w:tcPr>
          <w:p w14:paraId="5556CFA2"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7E685676"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03C9DA31" w14:textId="77777777" w:rsidR="00412CCE" w:rsidRPr="00C02487" w:rsidRDefault="00412CCE" w:rsidP="002D2FD8">
            <w:pPr>
              <w:pStyle w:val="TableText0"/>
              <w:spacing w:before="0" w:after="0"/>
              <w:jc w:val="center"/>
              <w:rPr>
                <w:snapToGrid w:val="0"/>
              </w:rPr>
            </w:pPr>
          </w:p>
        </w:tc>
      </w:tr>
      <w:tr w:rsidR="00412CCE" w:rsidRPr="00C02487" w14:paraId="5A9D25FE" w14:textId="77777777" w:rsidTr="0080749F">
        <w:tc>
          <w:tcPr>
            <w:tcW w:w="616" w:type="pct"/>
            <w:shd w:val="clear" w:color="auto" w:fill="auto"/>
            <w:vAlign w:val="center"/>
          </w:tcPr>
          <w:p w14:paraId="10869D6F"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Home RDI 30</w:t>
            </w:r>
          </w:p>
        </w:tc>
        <w:tc>
          <w:tcPr>
            <w:tcW w:w="703" w:type="pct"/>
          </w:tcPr>
          <w:p w14:paraId="175263E6" w14:textId="77777777" w:rsidR="00412CCE" w:rsidRPr="00305E3C" w:rsidRDefault="00412CCE" w:rsidP="002D2FD8">
            <w:pPr>
              <w:pStyle w:val="TableText0"/>
              <w:spacing w:before="0" w:after="0"/>
              <w:jc w:val="center"/>
              <w:rPr>
                <w:snapToGrid w:val="0"/>
              </w:rPr>
            </w:pPr>
            <w:r w:rsidRPr="00305E3C">
              <w:rPr>
                <w:snapToGrid w:val="0"/>
              </w:rPr>
              <w:t>92</w:t>
            </w:r>
            <w:r>
              <w:rPr>
                <w:snapToGrid w:val="0"/>
              </w:rPr>
              <w:t>%</w:t>
            </w:r>
          </w:p>
        </w:tc>
        <w:tc>
          <w:tcPr>
            <w:tcW w:w="703" w:type="pct"/>
          </w:tcPr>
          <w:p w14:paraId="4ECF275A" w14:textId="77777777" w:rsidR="00412CCE" w:rsidRPr="00305E3C" w:rsidRDefault="00412CCE" w:rsidP="002D2FD8">
            <w:pPr>
              <w:pStyle w:val="TableText0"/>
              <w:spacing w:before="0" w:after="0"/>
              <w:jc w:val="center"/>
            </w:pPr>
            <w:r w:rsidRPr="00305E3C">
              <w:rPr>
                <w:snapToGrid w:val="0"/>
              </w:rPr>
              <w:t>82</w:t>
            </w:r>
            <w:r>
              <w:rPr>
                <w:snapToGrid w:val="0"/>
              </w:rPr>
              <w:t>%</w:t>
            </w:r>
          </w:p>
        </w:tc>
        <w:tc>
          <w:tcPr>
            <w:tcW w:w="424" w:type="pct"/>
            <w:vMerge/>
            <w:vAlign w:val="center"/>
          </w:tcPr>
          <w:p w14:paraId="7C257565" w14:textId="77777777" w:rsidR="00412CCE" w:rsidRPr="009F1F41" w:rsidRDefault="00412CCE" w:rsidP="002D2FD8">
            <w:pPr>
              <w:pStyle w:val="TableText0"/>
              <w:spacing w:before="0" w:after="0"/>
              <w:jc w:val="center"/>
            </w:pPr>
          </w:p>
        </w:tc>
        <w:tc>
          <w:tcPr>
            <w:tcW w:w="445" w:type="pct"/>
            <w:vMerge/>
            <w:vAlign w:val="center"/>
          </w:tcPr>
          <w:p w14:paraId="44158B64" w14:textId="77777777" w:rsidR="00412CCE" w:rsidRPr="009F1F41" w:rsidRDefault="00412CCE" w:rsidP="002D2FD8">
            <w:pPr>
              <w:pStyle w:val="TableText0"/>
              <w:spacing w:before="0" w:after="0"/>
              <w:jc w:val="center"/>
            </w:pPr>
          </w:p>
        </w:tc>
        <w:tc>
          <w:tcPr>
            <w:tcW w:w="599" w:type="pct"/>
            <w:vMerge/>
            <w:vAlign w:val="center"/>
          </w:tcPr>
          <w:p w14:paraId="09916428" w14:textId="77777777" w:rsidR="00412CCE" w:rsidRPr="00C02487" w:rsidRDefault="00412CCE" w:rsidP="002D2FD8">
            <w:pPr>
              <w:pStyle w:val="TableText0"/>
              <w:spacing w:before="0" w:after="0"/>
              <w:jc w:val="center"/>
              <w:rPr>
                <w:snapToGrid w:val="0"/>
              </w:rPr>
            </w:pPr>
          </w:p>
        </w:tc>
        <w:tc>
          <w:tcPr>
            <w:tcW w:w="582" w:type="pct"/>
            <w:vMerge/>
            <w:tcBorders>
              <w:right w:val="double" w:sz="4" w:space="0" w:color="auto"/>
            </w:tcBorders>
            <w:vAlign w:val="center"/>
          </w:tcPr>
          <w:p w14:paraId="29BC0A6E" w14:textId="77777777" w:rsidR="00412CCE" w:rsidRPr="00C02487" w:rsidRDefault="00412CCE" w:rsidP="002D2FD8">
            <w:pPr>
              <w:pStyle w:val="TableText0"/>
              <w:spacing w:before="0" w:after="0"/>
              <w:jc w:val="center"/>
              <w:rPr>
                <w:snapToGrid w:val="0"/>
              </w:rPr>
            </w:pPr>
          </w:p>
        </w:tc>
        <w:tc>
          <w:tcPr>
            <w:tcW w:w="928" w:type="pct"/>
            <w:vMerge/>
            <w:tcBorders>
              <w:left w:val="double" w:sz="4" w:space="0" w:color="auto"/>
            </w:tcBorders>
            <w:vAlign w:val="center"/>
          </w:tcPr>
          <w:p w14:paraId="2DE8E4C5" w14:textId="77777777" w:rsidR="00412CCE" w:rsidRPr="00C02487" w:rsidRDefault="00412CCE" w:rsidP="002D2FD8">
            <w:pPr>
              <w:pStyle w:val="TableText0"/>
              <w:spacing w:before="0" w:after="0"/>
              <w:jc w:val="center"/>
              <w:rPr>
                <w:snapToGrid w:val="0"/>
              </w:rPr>
            </w:pPr>
          </w:p>
        </w:tc>
      </w:tr>
      <w:tr w:rsidR="00412CCE" w:rsidRPr="00C02487" w14:paraId="78BB0923" w14:textId="77777777" w:rsidTr="0080749F">
        <w:tc>
          <w:tcPr>
            <w:tcW w:w="616" w:type="pct"/>
            <w:shd w:val="clear" w:color="auto" w:fill="auto"/>
            <w:vAlign w:val="center"/>
          </w:tcPr>
          <w:p w14:paraId="59C7659A"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Lab RDI 10</w:t>
            </w:r>
          </w:p>
        </w:tc>
        <w:tc>
          <w:tcPr>
            <w:tcW w:w="703" w:type="pct"/>
          </w:tcPr>
          <w:p w14:paraId="5191A71A" w14:textId="77777777" w:rsidR="00412CCE" w:rsidRPr="00305E3C" w:rsidRDefault="00412CCE" w:rsidP="002D2FD8">
            <w:pPr>
              <w:pStyle w:val="TableText0"/>
              <w:spacing w:before="0" w:after="0"/>
              <w:jc w:val="center"/>
              <w:rPr>
                <w:snapToGrid w:val="0"/>
              </w:rPr>
            </w:pPr>
            <w:r w:rsidRPr="00305E3C">
              <w:rPr>
                <w:snapToGrid w:val="0"/>
              </w:rPr>
              <w:t>96</w:t>
            </w:r>
            <w:r>
              <w:rPr>
                <w:snapToGrid w:val="0"/>
              </w:rPr>
              <w:t>%</w:t>
            </w:r>
          </w:p>
        </w:tc>
        <w:tc>
          <w:tcPr>
            <w:tcW w:w="703" w:type="pct"/>
          </w:tcPr>
          <w:p w14:paraId="5BC46856" w14:textId="77777777" w:rsidR="00412CCE" w:rsidRPr="00305E3C" w:rsidRDefault="00412CCE" w:rsidP="002D2FD8">
            <w:pPr>
              <w:pStyle w:val="TableText0"/>
              <w:spacing w:before="0" w:after="0"/>
              <w:jc w:val="center"/>
            </w:pPr>
            <w:r w:rsidRPr="00305E3C">
              <w:rPr>
                <w:snapToGrid w:val="0"/>
              </w:rPr>
              <w:t>100</w:t>
            </w:r>
            <w:r>
              <w:rPr>
                <w:snapToGrid w:val="0"/>
              </w:rPr>
              <w:t>%</w:t>
            </w:r>
          </w:p>
        </w:tc>
        <w:tc>
          <w:tcPr>
            <w:tcW w:w="424" w:type="pct"/>
            <w:vMerge w:val="restart"/>
            <w:vAlign w:val="center"/>
          </w:tcPr>
          <w:p w14:paraId="18E3878E" w14:textId="77777777" w:rsidR="00412CCE" w:rsidRPr="009F1F41" w:rsidRDefault="00412CCE" w:rsidP="002D2FD8">
            <w:pPr>
              <w:pStyle w:val="TableText0"/>
              <w:spacing w:before="0" w:after="0"/>
              <w:jc w:val="center"/>
            </w:pPr>
            <w:r>
              <w:rPr>
                <w:snapToGrid w:val="0"/>
              </w:rPr>
              <w:t>NR</w:t>
            </w:r>
          </w:p>
        </w:tc>
        <w:tc>
          <w:tcPr>
            <w:tcW w:w="445" w:type="pct"/>
            <w:vMerge w:val="restart"/>
            <w:vAlign w:val="center"/>
          </w:tcPr>
          <w:p w14:paraId="6BD42408" w14:textId="77777777" w:rsidR="00412CCE" w:rsidRPr="009F1F41" w:rsidRDefault="00412CCE" w:rsidP="002D2FD8">
            <w:pPr>
              <w:pStyle w:val="TableText0"/>
              <w:spacing w:before="0" w:after="0"/>
              <w:jc w:val="center"/>
            </w:pPr>
            <w:r>
              <w:rPr>
                <w:snapToGrid w:val="0"/>
              </w:rPr>
              <w:t>NR</w:t>
            </w:r>
          </w:p>
        </w:tc>
        <w:tc>
          <w:tcPr>
            <w:tcW w:w="599" w:type="pct"/>
            <w:vMerge w:val="restart"/>
            <w:vAlign w:val="center"/>
          </w:tcPr>
          <w:p w14:paraId="447731C1" w14:textId="77777777" w:rsidR="00412CCE" w:rsidRPr="00C02487" w:rsidRDefault="00412CCE" w:rsidP="002D2FD8">
            <w:pPr>
              <w:pStyle w:val="TableText0"/>
              <w:spacing w:before="0" w:after="0"/>
              <w:jc w:val="center"/>
              <w:rPr>
                <w:snapToGrid w:val="0"/>
              </w:rPr>
            </w:pPr>
            <w:r>
              <w:rPr>
                <w:snapToGrid w:val="0"/>
              </w:rPr>
              <w:t>NR</w:t>
            </w:r>
          </w:p>
        </w:tc>
        <w:tc>
          <w:tcPr>
            <w:tcW w:w="582" w:type="pct"/>
            <w:vMerge w:val="restart"/>
            <w:tcBorders>
              <w:right w:val="double" w:sz="4" w:space="0" w:color="auto"/>
            </w:tcBorders>
            <w:vAlign w:val="center"/>
          </w:tcPr>
          <w:p w14:paraId="2BBC93DA" w14:textId="77777777" w:rsidR="00412CCE" w:rsidRPr="00C02487" w:rsidRDefault="00412CCE" w:rsidP="002D2FD8">
            <w:pPr>
              <w:pStyle w:val="TableText0"/>
              <w:spacing w:before="0" w:after="0"/>
              <w:jc w:val="center"/>
              <w:rPr>
                <w:snapToGrid w:val="0"/>
              </w:rPr>
            </w:pPr>
            <w:r>
              <w:rPr>
                <w:snapToGrid w:val="0"/>
              </w:rPr>
              <w:t>NR</w:t>
            </w:r>
          </w:p>
        </w:tc>
        <w:tc>
          <w:tcPr>
            <w:tcW w:w="928" w:type="pct"/>
            <w:vMerge w:val="restart"/>
            <w:tcBorders>
              <w:left w:val="double" w:sz="4" w:space="0" w:color="auto"/>
            </w:tcBorders>
            <w:vAlign w:val="center"/>
          </w:tcPr>
          <w:p w14:paraId="7C80EAC2" w14:textId="77777777" w:rsidR="00412CCE" w:rsidRPr="00C02487" w:rsidRDefault="00412CCE" w:rsidP="002D2FD8">
            <w:pPr>
              <w:pStyle w:val="TableText0"/>
              <w:spacing w:before="0" w:after="0"/>
              <w:jc w:val="center"/>
              <w:rPr>
                <w:snapToGrid w:val="0"/>
              </w:rPr>
            </w:pPr>
            <w:r>
              <w:rPr>
                <w:snapToGrid w:val="0"/>
              </w:rPr>
              <w:t>Home: Lab ODI: agreement=0.83</w:t>
            </w:r>
          </w:p>
        </w:tc>
      </w:tr>
      <w:tr w:rsidR="00412CCE" w:rsidRPr="00C02487" w14:paraId="318D2684" w14:textId="77777777" w:rsidTr="0080749F">
        <w:tc>
          <w:tcPr>
            <w:tcW w:w="616" w:type="pct"/>
            <w:shd w:val="clear" w:color="auto" w:fill="auto"/>
            <w:vAlign w:val="center"/>
          </w:tcPr>
          <w:p w14:paraId="3A5A7CE0"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Lab RDI 15</w:t>
            </w:r>
          </w:p>
        </w:tc>
        <w:tc>
          <w:tcPr>
            <w:tcW w:w="703" w:type="pct"/>
          </w:tcPr>
          <w:p w14:paraId="3C756C46" w14:textId="77777777" w:rsidR="00412CCE" w:rsidRPr="00305E3C" w:rsidRDefault="00412CCE" w:rsidP="002D2FD8">
            <w:pPr>
              <w:pStyle w:val="TableText0"/>
              <w:spacing w:before="0" w:after="0"/>
              <w:jc w:val="center"/>
              <w:rPr>
                <w:snapToGrid w:val="0"/>
              </w:rPr>
            </w:pPr>
            <w:r w:rsidRPr="00305E3C">
              <w:rPr>
                <w:snapToGrid w:val="0"/>
              </w:rPr>
              <w:t>91</w:t>
            </w:r>
            <w:r>
              <w:rPr>
                <w:snapToGrid w:val="0"/>
              </w:rPr>
              <w:t>%</w:t>
            </w:r>
          </w:p>
        </w:tc>
        <w:tc>
          <w:tcPr>
            <w:tcW w:w="703" w:type="pct"/>
          </w:tcPr>
          <w:p w14:paraId="7FC79D88" w14:textId="77777777" w:rsidR="00412CCE" w:rsidRPr="00305E3C" w:rsidRDefault="00412CCE" w:rsidP="002D2FD8">
            <w:pPr>
              <w:pStyle w:val="TableText0"/>
              <w:spacing w:before="0" w:after="0"/>
              <w:jc w:val="center"/>
            </w:pPr>
            <w:r w:rsidRPr="00305E3C">
              <w:rPr>
                <w:snapToGrid w:val="0"/>
              </w:rPr>
              <w:t>86</w:t>
            </w:r>
            <w:r>
              <w:rPr>
                <w:snapToGrid w:val="0"/>
              </w:rPr>
              <w:t>%</w:t>
            </w:r>
          </w:p>
        </w:tc>
        <w:tc>
          <w:tcPr>
            <w:tcW w:w="424" w:type="pct"/>
            <w:vMerge/>
            <w:vAlign w:val="center"/>
          </w:tcPr>
          <w:p w14:paraId="27F35E06" w14:textId="77777777" w:rsidR="00412CCE" w:rsidRPr="009F1F41" w:rsidRDefault="00412CCE" w:rsidP="002D2FD8">
            <w:pPr>
              <w:pStyle w:val="TableText0"/>
              <w:spacing w:before="0" w:after="0"/>
            </w:pPr>
          </w:p>
        </w:tc>
        <w:tc>
          <w:tcPr>
            <w:tcW w:w="445" w:type="pct"/>
            <w:vMerge/>
            <w:vAlign w:val="center"/>
          </w:tcPr>
          <w:p w14:paraId="3E6ACA25" w14:textId="77777777" w:rsidR="00412CCE" w:rsidRPr="009F1F41" w:rsidRDefault="00412CCE" w:rsidP="002D2FD8">
            <w:pPr>
              <w:pStyle w:val="TableText0"/>
              <w:spacing w:before="0" w:after="0"/>
            </w:pPr>
          </w:p>
        </w:tc>
        <w:tc>
          <w:tcPr>
            <w:tcW w:w="599" w:type="pct"/>
            <w:vMerge/>
            <w:vAlign w:val="center"/>
          </w:tcPr>
          <w:p w14:paraId="21D9CF9A" w14:textId="77777777" w:rsidR="00412CCE" w:rsidRPr="00C02487" w:rsidRDefault="00412CCE" w:rsidP="002D2FD8">
            <w:pPr>
              <w:pStyle w:val="TableText0"/>
              <w:spacing w:before="0" w:after="0"/>
              <w:rPr>
                <w:snapToGrid w:val="0"/>
              </w:rPr>
            </w:pPr>
          </w:p>
        </w:tc>
        <w:tc>
          <w:tcPr>
            <w:tcW w:w="582" w:type="pct"/>
            <w:vMerge/>
            <w:tcBorders>
              <w:right w:val="double" w:sz="4" w:space="0" w:color="auto"/>
            </w:tcBorders>
            <w:vAlign w:val="center"/>
          </w:tcPr>
          <w:p w14:paraId="3BFDF879" w14:textId="77777777" w:rsidR="00412CCE" w:rsidRPr="00C02487" w:rsidRDefault="00412CCE" w:rsidP="002D2FD8">
            <w:pPr>
              <w:pStyle w:val="TableText0"/>
              <w:spacing w:before="0" w:after="0"/>
              <w:rPr>
                <w:snapToGrid w:val="0"/>
              </w:rPr>
            </w:pPr>
          </w:p>
        </w:tc>
        <w:tc>
          <w:tcPr>
            <w:tcW w:w="928" w:type="pct"/>
            <w:vMerge/>
            <w:tcBorders>
              <w:left w:val="double" w:sz="4" w:space="0" w:color="auto"/>
            </w:tcBorders>
            <w:vAlign w:val="center"/>
          </w:tcPr>
          <w:p w14:paraId="19321645" w14:textId="77777777" w:rsidR="00412CCE" w:rsidRPr="00C02487" w:rsidRDefault="00412CCE" w:rsidP="002D2FD8">
            <w:pPr>
              <w:pStyle w:val="TableText0"/>
              <w:spacing w:before="0" w:after="0"/>
              <w:rPr>
                <w:snapToGrid w:val="0"/>
              </w:rPr>
            </w:pPr>
          </w:p>
        </w:tc>
      </w:tr>
      <w:tr w:rsidR="00412CCE" w:rsidRPr="00C02487" w14:paraId="5DB686B6" w14:textId="77777777" w:rsidTr="0080749F">
        <w:tc>
          <w:tcPr>
            <w:tcW w:w="616" w:type="pct"/>
            <w:shd w:val="clear" w:color="auto" w:fill="auto"/>
            <w:vAlign w:val="center"/>
          </w:tcPr>
          <w:p w14:paraId="0F0B5A71"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Lab RDI 20</w:t>
            </w:r>
          </w:p>
        </w:tc>
        <w:tc>
          <w:tcPr>
            <w:tcW w:w="703" w:type="pct"/>
          </w:tcPr>
          <w:p w14:paraId="41995547" w14:textId="77777777" w:rsidR="00412CCE" w:rsidRPr="00305E3C" w:rsidRDefault="00412CCE" w:rsidP="002D2FD8">
            <w:pPr>
              <w:pStyle w:val="TableText0"/>
              <w:spacing w:before="0" w:after="0"/>
              <w:rPr>
                <w:snapToGrid w:val="0"/>
              </w:rPr>
            </w:pPr>
            <w:r w:rsidRPr="00305E3C">
              <w:rPr>
                <w:snapToGrid w:val="0"/>
              </w:rPr>
              <w:t>90</w:t>
            </w:r>
            <w:r>
              <w:rPr>
                <w:snapToGrid w:val="0"/>
              </w:rPr>
              <w:t>%</w:t>
            </w:r>
          </w:p>
        </w:tc>
        <w:tc>
          <w:tcPr>
            <w:tcW w:w="703" w:type="pct"/>
          </w:tcPr>
          <w:p w14:paraId="32694F6C" w14:textId="77777777" w:rsidR="00412CCE" w:rsidRPr="00305E3C" w:rsidRDefault="00412CCE" w:rsidP="002D2FD8">
            <w:pPr>
              <w:pStyle w:val="TableText0"/>
              <w:spacing w:before="0" w:after="0"/>
            </w:pPr>
            <w:r w:rsidRPr="00305E3C">
              <w:rPr>
                <w:snapToGrid w:val="0"/>
              </w:rPr>
              <w:t>89</w:t>
            </w:r>
            <w:r>
              <w:rPr>
                <w:snapToGrid w:val="0"/>
              </w:rPr>
              <w:t>%</w:t>
            </w:r>
          </w:p>
        </w:tc>
        <w:tc>
          <w:tcPr>
            <w:tcW w:w="424" w:type="pct"/>
            <w:vMerge/>
            <w:vAlign w:val="center"/>
          </w:tcPr>
          <w:p w14:paraId="0D18B8C8" w14:textId="77777777" w:rsidR="00412CCE" w:rsidRPr="009F1F41" w:rsidRDefault="00412CCE" w:rsidP="002D2FD8">
            <w:pPr>
              <w:pStyle w:val="TableText0"/>
              <w:spacing w:before="0" w:after="0"/>
            </w:pPr>
          </w:p>
        </w:tc>
        <w:tc>
          <w:tcPr>
            <w:tcW w:w="445" w:type="pct"/>
            <w:vMerge/>
            <w:vAlign w:val="center"/>
          </w:tcPr>
          <w:p w14:paraId="08757C45" w14:textId="77777777" w:rsidR="00412CCE" w:rsidRPr="009F1F41" w:rsidRDefault="00412CCE" w:rsidP="002D2FD8">
            <w:pPr>
              <w:pStyle w:val="TableText0"/>
              <w:spacing w:before="0" w:after="0"/>
            </w:pPr>
          </w:p>
        </w:tc>
        <w:tc>
          <w:tcPr>
            <w:tcW w:w="599" w:type="pct"/>
            <w:vMerge/>
            <w:vAlign w:val="center"/>
          </w:tcPr>
          <w:p w14:paraId="1E2D0B9B" w14:textId="77777777" w:rsidR="00412CCE" w:rsidRPr="00C02487" w:rsidRDefault="00412CCE" w:rsidP="002D2FD8">
            <w:pPr>
              <w:pStyle w:val="TableText0"/>
              <w:spacing w:before="0" w:after="0"/>
              <w:rPr>
                <w:snapToGrid w:val="0"/>
              </w:rPr>
            </w:pPr>
          </w:p>
        </w:tc>
        <w:tc>
          <w:tcPr>
            <w:tcW w:w="582" w:type="pct"/>
            <w:vMerge/>
            <w:tcBorders>
              <w:right w:val="double" w:sz="4" w:space="0" w:color="auto"/>
            </w:tcBorders>
            <w:vAlign w:val="center"/>
          </w:tcPr>
          <w:p w14:paraId="4122F70D" w14:textId="77777777" w:rsidR="00412CCE" w:rsidRPr="00C02487" w:rsidRDefault="00412CCE" w:rsidP="002D2FD8">
            <w:pPr>
              <w:pStyle w:val="TableText0"/>
              <w:spacing w:before="0" w:after="0"/>
              <w:rPr>
                <w:snapToGrid w:val="0"/>
              </w:rPr>
            </w:pPr>
          </w:p>
        </w:tc>
        <w:tc>
          <w:tcPr>
            <w:tcW w:w="928" w:type="pct"/>
            <w:vMerge/>
            <w:tcBorders>
              <w:left w:val="double" w:sz="4" w:space="0" w:color="auto"/>
            </w:tcBorders>
            <w:vAlign w:val="center"/>
          </w:tcPr>
          <w:p w14:paraId="756C7AF9" w14:textId="77777777" w:rsidR="00412CCE" w:rsidRPr="00C02487" w:rsidRDefault="00412CCE" w:rsidP="002D2FD8">
            <w:pPr>
              <w:pStyle w:val="TableText0"/>
              <w:spacing w:before="0" w:after="0"/>
              <w:rPr>
                <w:snapToGrid w:val="0"/>
              </w:rPr>
            </w:pPr>
          </w:p>
        </w:tc>
      </w:tr>
      <w:tr w:rsidR="00412CCE" w:rsidRPr="00C02487" w14:paraId="72A847AA" w14:textId="77777777" w:rsidTr="0080749F">
        <w:tc>
          <w:tcPr>
            <w:tcW w:w="616" w:type="pct"/>
            <w:shd w:val="clear" w:color="auto" w:fill="auto"/>
            <w:vAlign w:val="center"/>
          </w:tcPr>
          <w:p w14:paraId="3E5ACF75"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Lab RDI 30</w:t>
            </w:r>
          </w:p>
        </w:tc>
        <w:tc>
          <w:tcPr>
            <w:tcW w:w="703" w:type="pct"/>
          </w:tcPr>
          <w:p w14:paraId="3CD57F17" w14:textId="77777777" w:rsidR="00412CCE" w:rsidRPr="00305E3C" w:rsidRDefault="00412CCE" w:rsidP="002D2FD8">
            <w:pPr>
              <w:pStyle w:val="TableText0"/>
              <w:spacing w:before="0" w:after="0"/>
              <w:jc w:val="center"/>
              <w:rPr>
                <w:snapToGrid w:val="0"/>
              </w:rPr>
            </w:pPr>
            <w:r w:rsidRPr="00305E3C">
              <w:rPr>
                <w:snapToGrid w:val="0"/>
              </w:rPr>
              <w:t>92</w:t>
            </w:r>
            <w:r>
              <w:rPr>
                <w:snapToGrid w:val="0"/>
              </w:rPr>
              <w:t>%</w:t>
            </w:r>
          </w:p>
        </w:tc>
        <w:tc>
          <w:tcPr>
            <w:tcW w:w="703" w:type="pct"/>
          </w:tcPr>
          <w:p w14:paraId="6579690C" w14:textId="77777777" w:rsidR="00412CCE" w:rsidRPr="00305E3C" w:rsidRDefault="00412CCE" w:rsidP="002D2FD8">
            <w:pPr>
              <w:pStyle w:val="TableText0"/>
              <w:spacing w:before="0" w:after="0"/>
              <w:jc w:val="center"/>
            </w:pPr>
            <w:r w:rsidRPr="00305E3C">
              <w:rPr>
                <w:snapToGrid w:val="0"/>
              </w:rPr>
              <w:t>82</w:t>
            </w:r>
            <w:r>
              <w:rPr>
                <w:snapToGrid w:val="0"/>
              </w:rPr>
              <w:t>%</w:t>
            </w:r>
          </w:p>
        </w:tc>
        <w:tc>
          <w:tcPr>
            <w:tcW w:w="424" w:type="pct"/>
            <w:vMerge/>
            <w:vAlign w:val="center"/>
          </w:tcPr>
          <w:p w14:paraId="7DBFED70" w14:textId="77777777" w:rsidR="00412CCE" w:rsidRPr="009F1F41" w:rsidRDefault="00412CCE" w:rsidP="002D2FD8">
            <w:pPr>
              <w:pStyle w:val="TableText0"/>
              <w:spacing w:before="0" w:after="0"/>
              <w:jc w:val="center"/>
              <w:rPr>
                <w:bCs/>
              </w:rPr>
            </w:pPr>
          </w:p>
        </w:tc>
        <w:tc>
          <w:tcPr>
            <w:tcW w:w="445" w:type="pct"/>
            <w:vMerge/>
            <w:vAlign w:val="center"/>
          </w:tcPr>
          <w:p w14:paraId="4704DA19" w14:textId="77777777" w:rsidR="00412CCE" w:rsidRPr="009F1F41" w:rsidRDefault="00412CCE" w:rsidP="002D2FD8">
            <w:pPr>
              <w:pStyle w:val="TableText0"/>
              <w:spacing w:before="0" w:after="0"/>
              <w:jc w:val="center"/>
              <w:rPr>
                <w:bCs/>
              </w:rPr>
            </w:pPr>
          </w:p>
        </w:tc>
        <w:tc>
          <w:tcPr>
            <w:tcW w:w="599" w:type="pct"/>
            <w:vMerge/>
            <w:vAlign w:val="center"/>
          </w:tcPr>
          <w:p w14:paraId="202FC707" w14:textId="77777777" w:rsidR="00412CCE" w:rsidRPr="00C02487" w:rsidRDefault="00412CCE" w:rsidP="002D2FD8">
            <w:pPr>
              <w:pStyle w:val="TableText0"/>
              <w:spacing w:before="0" w:after="0"/>
              <w:jc w:val="center"/>
              <w:rPr>
                <w:bCs/>
                <w:snapToGrid w:val="0"/>
              </w:rPr>
            </w:pPr>
          </w:p>
        </w:tc>
        <w:tc>
          <w:tcPr>
            <w:tcW w:w="582" w:type="pct"/>
            <w:vMerge/>
            <w:tcBorders>
              <w:right w:val="double" w:sz="4" w:space="0" w:color="auto"/>
            </w:tcBorders>
            <w:vAlign w:val="center"/>
          </w:tcPr>
          <w:p w14:paraId="63F31821" w14:textId="77777777" w:rsidR="00412CCE" w:rsidRPr="00C02487" w:rsidRDefault="00412CCE" w:rsidP="002D2FD8">
            <w:pPr>
              <w:pStyle w:val="TableText0"/>
              <w:spacing w:before="0" w:after="0"/>
              <w:jc w:val="center"/>
              <w:rPr>
                <w:bCs/>
                <w:snapToGrid w:val="0"/>
              </w:rPr>
            </w:pPr>
          </w:p>
        </w:tc>
        <w:tc>
          <w:tcPr>
            <w:tcW w:w="928" w:type="pct"/>
            <w:vMerge/>
            <w:tcBorders>
              <w:left w:val="double" w:sz="4" w:space="0" w:color="auto"/>
            </w:tcBorders>
            <w:vAlign w:val="center"/>
          </w:tcPr>
          <w:p w14:paraId="7FF199DA" w14:textId="77777777" w:rsidR="00412CCE" w:rsidRPr="00C02487" w:rsidRDefault="00412CCE" w:rsidP="002D2FD8">
            <w:pPr>
              <w:pStyle w:val="TableText0"/>
              <w:spacing w:before="0" w:after="0"/>
              <w:jc w:val="center"/>
              <w:rPr>
                <w:bCs/>
                <w:snapToGrid w:val="0"/>
              </w:rPr>
            </w:pPr>
          </w:p>
        </w:tc>
      </w:tr>
      <w:tr w:rsidR="00412CCE" w:rsidRPr="00C02487" w14:paraId="2E91F0A8" w14:textId="77777777" w:rsidTr="0080749F">
        <w:tc>
          <w:tcPr>
            <w:tcW w:w="616" w:type="pct"/>
            <w:shd w:val="clear" w:color="auto" w:fill="auto"/>
            <w:vAlign w:val="center"/>
          </w:tcPr>
          <w:p w14:paraId="3CD22E2F" w14:textId="77777777" w:rsidR="00412CCE" w:rsidRPr="0038300C" w:rsidRDefault="00412CCE" w:rsidP="002D2FD8">
            <w:pPr>
              <w:pStyle w:val="TableHeading"/>
              <w:keepNext w:val="0"/>
              <w:widowControl w:val="0"/>
              <w:tabs>
                <w:tab w:val="left" w:pos="224"/>
              </w:tabs>
              <w:spacing w:before="0" w:after="0"/>
              <w:rPr>
                <w:b w:val="0"/>
                <w:bCs/>
              </w:rPr>
            </w:pPr>
            <w:r w:rsidRPr="0038300C">
              <w:rPr>
                <w:b w:val="0"/>
                <w:bCs/>
                <w:snapToGrid w:val="0"/>
              </w:rPr>
              <w:t>Weimin 2013</w:t>
            </w:r>
            <w:r>
              <w:rPr>
                <w:b w:val="0"/>
                <w:bCs/>
                <w:snapToGrid w:val="0"/>
              </w:rPr>
              <w:t xml:space="preserve"> (N=28)</w:t>
            </w:r>
          </w:p>
        </w:tc>
        <w:tc>
          <w:tcPr>
            <w:tcW w:w="3456" w:type="pct"/>
            <w:gridSpan w:val="6"/>
            <w:tcBorders>
              <w:right w:val="double" w:sz="4" w:space="0" w:color="auto"/>
            </w:tcBorders>
            <w:vAlign w:val="center"/>
          </w:tcPr>
          <w:p w14:paraId="66428A6D" w14:textId="77777777" w:rsidR="00412CCE" w:rsidRPr="00C02487" w:rsidRDefault="00412CCE" w:rsidP="002D2FD8">
            <w:pPr>
              <w:pStyle w:val="TableText0"/>
              <w:spacing w:before="0" w:after="0"/>
              <w:jc w:val="center"/>
              <w:rPr>
                <w:bCs/>
                <w:snapToGrid w:val="0"/>
              </w:rPr>
            </w:pPr>
          </w:p>
        </w:tc>
        <w:tc>
          <w:tcPr>
            <w:tcW w:w="928" w:type="pct"/>
            <w:tcBorders>
              <w:left w:val="double" w:sz="4" w:space="0" w:color="auto"/>
            </w:tcBorders>
            <w:vAlign w:val="center"/>
          </w:tcPr>
          <w:p w14:paraId="21C57122" w14:textId="77777777" w:rsidR="00412CCE" w:rsidRPr="00C02487" w:rsidRDefault="00412CCE" w:rsidP="002D2FD8">
            <w:pPr>
              <w:pStyle w:val="TableText0"/>
              <w:spacing w:before="0" w:after="0"/>
              <w:jc w:val="center"/>
              <w:rPr>
                <w:bCs/>
                <w:snapToGrid w:val="0"/>
              </w:rPr>
            </w:pPr>
          </w:p>
        </w:tc>
      </w:tr>
      <w:tr w:rsidR="00412CCE" w:rsidRPr="00C02487" w14:paraId="281FA054" w14:textId="77777777" w:rsidTr="0080749F">
        <w:tc>
          <w:tcPr>
            <w:tcW w:w="616" w:type="pct"/>
            <w:shd w:val="clear" w:color="auto" w:fill="auto"/>
            <w:vAlign w:val="center"/>
          </w:tcPr>
          <w:p w14:paraId="2FCA2590"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≥5</w:t>
            </w:r>
          </w:p>
        </w:tc>
        <w:tc>
          <w:tcPr>
            <w:tcW w:w="703" w:type="pct"/>
          </w:tcPr>
          <w:p w14:paraId="790FD88E" w14:textId="77777777" w:rsidR="00412CCE" w:rsidRPr="00FE0AC2" w:rsidRDefault="00412CCE" w:rsidP="002D2FD8">
            <w:pPr>
              <w:pStyle w:val="TableText0"/>
              <w:spacing w:before="0" w:after="0"/>
              <w:jc w:val="center"/>
              <w:rPr>
                <w:snapToGrid w:val="0"/>
              </w:rPr>
            </w:pPr>
            <w:r w:rsidRPr="00FE0AC2">
              <w:rPr>
                <w:snapToGrid w:val="0"/>
              </w:rPr>
              <w:t>95.8</w:t>
            </w:r>
            <w:r>
              <w:rPr>
                <w:snapToGrid w:val="0"/>
              </w:rPr>
              <w:t>%</w:t>
            </w:r>
          </w:p>
        </w:tc>
        <w:tc>
          <w:tcPr>
            <w:tcW w:w="703" w:type="pct"/>
          </w:tcPr>
          <w:p w14:paraId="6FF3B838" w14:textId="77777777" w:rsidR="00412CCE" w:rsidRPr="00FE0AC2" w:rsidRDefault="00412CCE" w:rsidP="002D2FD8">
            <w:pPr>
              <w:pStyle w:val="TableText0"/>
              <w:spacing w:before="0" w:after="0"/>
              <w:jc w:val="center"/>
            </w:pPr>
            <w:r w:rsidRPr="00FE0AC2">
              <w:rPr>
                <w:snapToGrid w:val="0"/>
              </w:rPr>
              <w:t>100</w:t>
            </w:r>
            <w:r>
              <w:rPr>
                <w:snapToGrid w:val="0"/>
              </w:rPr>
              <w:t>%</w:t>
            </w:r>
          </w:p>
        </w:tc>
        <w:tc>
          <w:tcPr>
            <w:tcW w:w="424" w:type="pct"/>
            <w:vMerge w:val="restart"/>
            <w:vAlign w:val="center"/>
          </w:tcPr>
          <w:p w14:paraId="73EF2743" w14:textId="77777777" w:rsidR="00412CCE" w:rsidRPr="009F1F41" w:rsidRDefault="00412CCE" w:rsidP="002D2FD8">
            <w:pPr>
              <w:pStyle w:val="TableText0"/>
              <w:spacing w:before="0" w:after="0"/>
              <w:jc w:val="center"/>
              <w:rPr>
                <w:bCs/>
              </w:rPr>
            </w:pPr>
            <w:r>
              <w:rPr>
                <w:bCs/>
              </w:rPr>
              <w:t>NR</w:t>
            </w:r>
          </w:p>
        </w:tc>
        <w:tc>
          <w:tcPr>
            <w:tcW w:w="445" w:type="pct"/>
            <w:vMerge w:val="restart"/>
            <w:vAlign w:val="center"/>
          </w:tcPr>
          <w:p w14:paraId="38C23D56" w14:textId="77777777" w:rsidR="00412CCE" w:rsidRPr="009F1F41" w:rsidRDefault="00412CCE" w:rsidP="002D2FD8">
            <w:pPr>
              <w:pStyle w:val="TableText0"/>
              <w:spacing w:before="0" w:after="0"/>
              <w:jc w:val="center"/>
              <w:rPr>
                <w:bCs/>
              </w:rPr>
            </w:pPr>
            <w:r>
              <w:rPr>
                <w:bCs/>
              </w:rPr>
              <w:t>NR</w:t>
            </w:r>
          </w:p>
        </w:tc>
        <w:tc>
          <w:tcPr>
            <w:tcW w:w="599" w:type="pct"/>
            <w:vMerge w:val="restart"/>
            <w:vAlign w:val="center"/>
          </w:tcPr>
          <w:p w14:paraId="0EB7D9CC" w14:textId="55987E3F" w:rsidR="00412CCE" w:rsidRDefault="00412CCE" w:rsidP="002D2FD8">
            <w:pPr>
              <w:pStyle w:val="TableText0"/>
              <w:spacing w:before="0" w:after="0"/>
              <w:jc w:val="center"/>
              <w:rPr>
                <w:bCs/>
              </w:rPr>
            </w:pPr>
            <w:r>
              <w:rPr>
                <w:bCs/>
              </w:rPr>
              <w:t>2/30</w:t>
            </w:r>
          </w:p>
          <w:p w14:paraId="3E2B1A83" w14:textId="77777777" w:rsidR="00412CCE" w:rsidRPr="00C02487" w:rsidRDefault="00412CCE" w:rsidP="002D2FD8">
            <w:pPr>
              <w:pStyle w:val="TableText0"/>
              <w:spacing w:before="0" w:after="0"/>
              <w:jc w:val="center"/>
              <w:rPr>
                <w:bCs/>
                <w:snapToGrid w:val="0"/>
              </w:rPr>
            </w:pPr>
            <w:r>
              <w:rPr>
                <w:bCs/>
              </w:rPr>
              <w:t>(6.7%)</w:t>
            </w:r>
          </w:p>
        </w:tc>
        <w:tc>
          <w:tcPr>
            <w:tcW w:w="582" w:type="pct"/>
            <w:vMerge w:val="restart"/>
            <w:tcBorders>
              <w:right w:val="double" w:sz="4" w:space="0" w:color="auto"/>
            </w:tcBorders>
            <w:vAlign w:val="center"/>
          </w:tcPr>
          <w:p w14:paraId="16A4DE4C" w14:textId="77777777" w:rsidR="00412CCE" w:rsidRPr="00C02487" w:rsidRDefault="00412CCE" w:rsidP="002D2FD8">
            <w:pPr>
              <w:pStyle w:val="TableText0"/>
              <w:spacing w:before="0" w:after="0"/>
              <w:jc w:val="center"/>
              <w:rPr>
                <w:bCs/>
                <w:snapToGrid w:val="0"/>
              </w:rPr>
            </w:pPr>
            <w:r>
              <w:rPr>
                <w:bCs/>
              </w:rPr>
              <w:t>6/34 (17.7%)</w:t>
            </w:r>
          </w:p>
        </w:tc>
        <w:tc>
          <w:tcPr>
            <w:tcW w:w="928" w:type="pct"/>
            <w:vMerge w:val="restart"/>
            <w:tcBorders>
              <w:left w:val="double" w:sz="4" w:space="0" w:color="auto"/>
            </w:tcBorders>
            <w:vAlign w:val="center"/>
          </w:tcPr>
          <w:p w14:paraId="4DF0C0C2" w14:textId="77777777" w:rsidR="00412CCE" w:rsidRPr="00C02487" w:rsidRDefault="00412CCE" w:rsidP="002D2FD8">
            <w:pPr>
              <w:pStyle w:val="TableText0"/>
              <w:spacing w:before="0" w:after="0"/>
              <w:jc w:val="center"/>
              <w:rPr>
                <w:bCs/>
                <w:snapToGrid w:val="0"/>
              </w:rPr>
            </w:pPr>
            <w:r>
              <w:rPr>
                <w:bCs/>
                <w:snapToGrid w:val="0"/>
              </w:rPr>
              <w:t>AHI: r=0.92</w:t>
            </w:r>
          </w:p>
        </w:tc>
      </w:tr>
      <w:tr w:rsidR="00412CCE" w:rsidRPr="00C02487" w14:paraId="57C0C429" w14:textId="77777777" w:rsidTr="0080749F">
        <w:tc>
          <w:tcPr>
            <w:tcW w:w="616" w:type="pct"/>
            <w:shd w:val="clear" w:color="auto" w:fill="auto"/>
            <w:vAlign w:val="center"/>
          </w:tcPr>
          <w:p w14:paraId="605685CA"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tab/>
              <w:t>AHI ≥15</w:t>
            </w:r>
          </w:p>
        </w:tc>
        <w:tc>
          <w:tcPr>
            <w:tcW w:w="703" w:type="pct"/>
          </w:tcPr>
          <w:p w14:paraId="725776F6" w14:textId="77777777" w:rsidR="00412CCE" w:rsidRPr="00FE0AC2" w:rsidRDefault="00412CCE" w:rsidP="002D2FD8">
            <w:pPr>
              <w:pStyle w:val="TableText0"/>
              <w:spacing w:before="0" w:after="0"/>
              <w:jc w:val="center"/>
              <w:rPr>
                <w:snapToGrid w:val="0"/>
              </w:rPr>
            </w:pPr>
            <w:r w:rsidRPr="00FE0AC2">
              <w:rPr>
                <w:snapToGrid w:val="0"/>
              </w:rPr>
              <w:t>93.7</w:t>
            </w:r>
            <w:r>
              <w:rPr>
                <w:snapToGrid w:val="0"/>
              </w:rPr>
              <w:t>%</w:t>
            </w:r>
          </w:p>
        </w:tc>
        <w:tc>
          <w:tcPr>
            <w:tcW w:w="703" w:type="pct"/>
          </w:tcPr>
          <w:p w14:paraId="207BC0BE" w14:textId="77777777" w:rsidR="00412CCE" w:rsidRPr="00FE0AC2" w:rsidRDefault="00412CCE" w:rsidP="002D2FD8">
            <w:pPr>
              <w:pStyle w:val="TableText0"/>
              <w:spacing w:before="0" w:after="0"/>
              <w:jc w:val="center"/>
            </w:pPr>
            <w:r w:rsidRPr="00FE0AC2">
              <w:rPr>
                <w:snapToGrid w:val="0"/>
              </w:rPr>
              <w:t>91.7</w:t>
            </w:r>
            <w:r>
              <w:rPr>
                <w:snapToGrid w:val="0"/>
              </w:rPr>
              <w:t>%</w:t>
            </w:r>
          </w:p>
        </w:tc>
        <w:tc>
          <w:tcPr>
            <w:tcW w:w="424" w:type="pct"/>
            <w:vMerge/>
            <w:vAlign w:val="center"/>
          </w:tcPr>
          <w:p w14:paraId="469DF8CA" w14:textId="77777777" w:rsidR="00412CCE" w:rsidRPr="009F1F41" w:rsidRDefault="00412CCE" w:rsidP="002D2FD8">
            <w:pPr>
              <w:pStyle w:val="TableText0"/>
              <w:spacing w:before="0" w:after="0"/>
              <w:jc w:val="center"/>
              <w:rPr>
                <w:bCs/>
              </w:rPr>
            </w:pPr>
          </w:p>
        </w:tc>
        <w:tc>
          <w:tcPr>
            <w:tcW w:w="445" w:type="pct"/>
            <w:vMerge/>
            <w:vAlign w:val="center"/>
          </w:tcPr>
          <w:p w14:paraId="355E26F7" w14:textId="77777777" w:rsidR="00412CCE" w:rsidRPr="009F1F41" w:rsidRDefault="00412CCE" w:rsidP="002D2FD8">
            <w:pPr>
              <w:pStyle w:val="TableText0"/>
              <w:spacing w:before="0" w:after="0"/>
              <w:jc w:val="center"/>
              <w:rPr>
                <w:bCs/>
              </w:rPr>
            </w:pPr>
          </w:p>
        </w:tc>
        <w:tc>
          <w:tcPr>
            <w:tcW w:w="599" w:type="pct"/>
            <w:vMerge/>
            <w:vAlign w:val="center"/>
          </w:tcPr>
          <w:p w14:paraId="78099371" w14:textId="77777777" w:rsidR="00412CCE" w:rsidRPr="00C02487" w:rsidRDefault="00412CCE" w:rsidP="002D2FD8">
            <w:pPr>
              <w:pStyle w:val="TableText0"/>
              <w:spacing w:before="0" w:after="0"/>
              <w:jc w:val="center"/>
              <w:rPr>
                <w:bCs/>
                <w:snapToGrid w:val="0"/>
              </w:rPr>
            </w:pPr>
          </w:p>
        </w:tc>
        <w:tc>
          <w:tcPr>
            <w:tcW w:w="582" w:type="pct"/>
            <w:vMerge/>
            <w:tcBorders>
              <w:right w:val="double" w:sz="4" w:space="0" w:color="auto"/>
            </w:tcBorders>
            <w:vAlign w:val="center"/>
          </w:tcPr>
          <w:p w14:paraId="226A3B5B" w14:textId="77777777" w:rsidR="00412CCE" w:rsidRPr="00C02487" w:rsidRDefault="00412CCE" w:rsidP="002D2FD8">
            <w:pPr>
              <w:pStyle w:val="TableText0"/>
              <w:spacing w:before="0" w:after="0"/>
              <w:jc w:val="center"/>
              <w:rPr>
                <w:bCs/>
                <w:snapToGrid w:val="0"/>
              </w:rPr>
            </w:pPr>
          </w:p>
        </w:tc>
        <w:tc>
          <w:tcPr>
            <w:tcW w:w="928" w:type="pct"/>
            <w:vMerge/>
            <w:tcBorders>
              <w:left w:val="double" w:sz="4" w:space="0" w:color="auto"/>
            </w:tcBorders>
            <w:vAlign w:val="center"/>
          </w:tcPr>
          <w:p w14:paraId="6073DBB6" w14:textId="77777777" w:rsidR="00412CCE" w:rsidRPr="00C02487" w:rsidRDefault="00412CCE" w:rsidP="002D2FD8">
            <w:pPr>
              <w:pStyle w:val="TableText0"/>
              <w:spacing w:before="0" w:after="0"/>
              <w:jc w:val="center"/>
              <w:rPr>
                <w:bCs/>
                <w:snapToGrid w:val="0"/>
              </w:rPr>
            </w:pPr>
          </w:p>
        </w:tc>
      </w:tr>
      <w:tr w:rsidR="00412CCE" w:rsidRPr="00C02487" w14:paraId="6CEB0387" w14:textId="77777777" w:rsidTr="0080749F">
        <w:tc>
          <w:tcPr>
            <w:tcW w:w="616" w:type="pct"/>
            <w:shd w:val="clear" w:color="auto" w:fill="auto"/>
            <w:vAlign w:val="center"/>
          </w:tcPr>
          <w:p w14:paraId="19323A14" w14:textId="77777777" w:rsidR="00412CCE" w:rsidRPr="0038300C" w:rsidRDefault="00412CCE" w:rsidP="002D2FD8">
            <w:pPr>
              <w:pStyle w:val="TableHeading"/>
              <w:keepNext w:val="0"/>
              <w:widowControl w:val="0"/>
              <w:tabs>
                <w:tab w:val="left" w:pos="224"/>
              </w:tabs>
              <w:spacing w:before="0" w:after="0"/>
              <w:rPr>
                <w:b w:val="0"/>
                <w:bCs/>
                <w:snapToGrid w:val="0"/>
              </w:rPr>
            </w:pPr>
            <w:r>
              <w:rPr>
                <w:b w:val="0"/>
                <w:bCs/>
                <w:snapToGrid w:val="0"/>
              </w:rPr>
              <w:lastRenderedPageBreak/>
              <w:tab/>
              <w:t>AHI ≥30</w:t>
            </w:r>
          </w:p>
        </w:tc>
        <w:tc>
          <w:tcPr>
            <w:tcW w:w="703" w:type="pct"/>
          </w:tcPr>
          <w:p w14:paraId="36EADB4C" w14:textId="77777777" w:rsidR="00412CCE" w:rsidRPr="00FE0AC2" w:rsidRDefault="00412CCE" w:rsidP="002D2FD8">
            <w:pPr>
              <w:pStyle w:val="TableText0"/>
              <w:spacing w:before="0" w:after="0"/>
              <w:jc w:val="center"/>
              <w:rPr>
                <w:snapToGrid w:val="0"/>
              </w:rPr>
            </w:pPr>
            <w:r w:rsidRPr="00FE0AC2">
              <w:rPr>
                <w:snapToGrid w:val="0"/>
              </w:rPr>
              <w:t>85.7</w:t>
            </w:r>
            <w:r>
              <w:rPr>
                <w:snapToGrid w:val="0"/>
              </w:rPr>
              <w:t>%</w:t>
            </w:r>
          </w:p>
        </w:tc>
        <w:tc>
          <w:tcPr>
            <w:tcW w:w="703" w:type="pct"/>
          </w:tcPr>
          <w:p w14:paraId="6AEBB7C4" w14:textId="77777777" w:rsidR="00412CCE" w:rsidRPr="00FE0AC2" w:rsidRDefault="00412CCE" w:rsidP="002D2FD8">
            <w:pPr>
              <w:pStyle w:val="TableText0"/>
              <w:spacing w:before="0" w:after="0"/>
              <w:jc w:val="center"/>
            </w:pPr>
            <w:r w:rsidRPr="00FE0AC2">
              <w:rPr>
                <w:snapToGrid w:val="0"/>
              </w:rPr>
              <w:t>100</w:t>
            </w:r>
            <w:r>
              <w:rPr>
                <w:snapToGrid w:val="0"/>
              </w:rPr>
              <w:t>%</w:t>
            </w:r>
          </w:p>
        </w:tc>
        <w:tc>
          <w:tcPr>
            <w:tcW w:w="424" w:type="pct"/>
            <w:vMerge/>
            <w:vAlign w:val="center"/>
          </w:tcPr>
          <w:p w14:paraId="6FF5CD24" w14:textId="77777777" w:rsidR="00412CCE" w:rsidRPr="009F1F41" w:rsidRDefault="00412CCE" w:rsidP="002D2FD8">
            <w:pPr>
              <w:pStyle w:val="TableText0"/>
              <w:spacing w:before="0" w:after="0"/>
              <w:jc w:val="center"/>
              <w:rPr>
                <w:bCs/>
              </w:rPr>
            </w:pPr>
          </w:p>
        </w:tc>
        <w:tc>
          <w:tcPr>
            <w:tcW w:w="445" w:type="pct"/>
            <w:vMerge/>
            <w:vAlign w:val="center"/>
          </w:tcPr>
          <w:p w14:paraId="43CBD07E" w14:textId="77777777" w:rsidR="00412CCE" w:rsidRPr="009F1F41" w:rsidRDefault="00412CCE" w:rsidP="002D2FD8">
            <w:pPr>
              <w:pStyle w:val="TableText0"/>
              <w:spacing w:before="0" w:after="0"/>
              <w:jc w:val="center"/>
              <w:rPr>
                <w:bCs/>
              </w:rPr>
            </w:pPr>
          </w:p>
        </w:tc>
        <w:tc>
          <w:tcPr>
            <w:tcW w:w="599" w:type="pct"/>
            <w:vMerge/>
            <w:vAlign w:val="center"/>
          </w:tcPr>
          <w:p w14:paraId="7D0A59B2" w14:textId="77777777" w:rsidR="00412CCE" w:rsidRPr="00C02487" w:rsidRDefault="00412CCE" w:rsidP="002D2FD8">
            <w:pPr>
              <w:pStyle w:val="TableText0"/>
              <w:spacing w:before="0" w:after="0"/>
              <w:jc w:val="center"/>
              <w:rPr>
                <w:bCs/>
                <w:snapToGrid w:val="0"/>
              </w:rPr>
            </w:pPr>
          </w:p>
        </w:tc>
        <w:tc>
          <w:tcPr>
            <w:tcW w:w="582" w:type="pct"/>
            <w:vMerge/>
            <w:tcBorders>
              <w:right w:val="double" w:sz="4" w:space="0" w:color="auto"/>
            </w:tcBorders>
            <w:vAlign w:val="center"/>
          </w:tcPr>
          <w:p w14:paraId="111FFF66" w14:textId="77777777" w:rsidR="00412CCE" w:rsidRPr="00C02487" w:rsidRDefault="00412CCE" w:rsidP="002D2FD8">
            <w:pPr>
              <w:pStyle w:val="TableText0"/>
              <w:spacing w:before="0" w:after="0"/>
              <w:jc w:val="center"/>
              <w:rPr>
                <w:bCs/>
                <w:snapToGrid w:val="0"/>
              </w:rPr>
            </w:pPr>
          </w:p>
        </w:tc>
        <w:tc>
          <w:tcPr>
            <w:tcW w:w="928" w:type="pct"/>
            <w:vMerge/>
            <w:tcBorders>
              <w:left w:val="double" w:sz="4" w:space="0" w:color="auto"/>
            </w:tcBorders>
            <w:vAlign w:val="center"/>
          </w:tcPr>
          <w:p w14:paraId="139597BE" w14:textId="77777777" w:rsidR="00412CCE" w:rsidRPr="00C02487" w:rsidRDefault="00412CCE" w:rsidP="002D2FD8">
            <w:pPr>
              <w:pStyle w:val="TableText0"/>
              <w:spacing w:before="0" w:after="0"/>
              <w:jc w:val="center"/>
              <w:rPr>
                <w:bCs/>
                <w:snapToGrid w:val="0"/>
              </w:rPr>
            </w:pPr>
          </w:p>
        </w:tc>
      </w:tr>
      <w:tr w:rsidR="00412CCE" w:rsidRPr="00C02487" w14:paraId="5B33C188" w14:textId="77777777" w:rsidTr="0080749F">
        <w:tc>
          <w:tcPr>
            <w:tcW w:w="616" w:type="pct"/>
            <w:shd w:val="clear" w:color="auto" w:fill="auto"/>
            <w:vAlign w:val="center"/>
          </w:tcPr>
          <w:p w14:paraId="0EF33208" w14:textId="77777777" w:rsidR="00412CCE" w:rsidRPr="0038300C" w:rsidRDefault="00412CCE" w:rsidP="002D2FD8">
            <w:pPr>
              <w:pStyle w:val="TableHeading"/>
              <w:keepNext w:val="0"/>
              <w:widowControl w:val="0"/>
              <w:tabs>
                <w:tab w:val="left" w:pos="224"/>
              </w:tabs>
              <w:spacing w:before="0" w:after="0"/>
              <w:rPr>
                <w:b w:val="0"/>
                <w:bCs/>
              </w:rPr>
            </w:pPr>
            <w:r w:rsidRPr="0038300C">
              <w:rPr>
                <w:b w:val="0"/>
                <w:bCs/>
                <w:snapToGrid w:val="0"/>
              </w:rPr>
              <w:t>Yuceege 2013</w:t>
            </w:r>
            <w:r>
              <w:rPr>
                <w:b w:val="0"/>
                <w:bCs/>
                <w:snapToGrid w:val="0"/>
              </w:rPr>
              <w:t xml:space="preserve"> (N=85)</w:t>
            </w:r>
          </w:p>
        </w:tc>
        <w:tc>
          <w:tcPr>
            <w:tcW w:w="3456" w:type="pct"/>
            <w:gridSpan w:val="6"/>
            <w:tcBorders>
              <w:right w:val="double" w:sz="4" w:space="0" w:color="auto"/>
            </w:tcBorders>
            <w:vAlign w:val="center"/>
          </w:tcPr>
          <w:p w14:paraId="22D3043F" w14:textId="77777777" w:rsidR="00412CCE" w:rsidRPr="00C02487" w:rsidRDefault="00412CCE" w:rsidP="002D2FD8">
            <w:pPr>
              <w:pStyle w:val="TableText0"/>
              <w:spacing w:before="0" w:after="0"/>
              <w:jc w:val="center"/>
              <w:rPr>
                <w:bCs/>
                <w:snapToGrid w:val="0"/>
              </w:rPr>
            </w:pPr>
            <w:r>
              <w:rPr>
                <w:bCs/>
                <w:snapToGrid w:val="0"/>
              </w:rPr>
              <w:t>NR</w:t>
            </w:r>
          </w:p>
        </w:tc>
        <w:tc>
          <w:tcPr>
            <w:tcW w:w="928" w:type="pct"/>
            <w:tcBorders>
              <w:left w:val="double" w:sz="4" w:space="0" w:color="auto"/>
            </w:tcBorders>
            <w:vAlign w:val="center"/>
          </w:tcPr>
          <w:p w14:paraId="1456A63A" w14:textId="77777777" w:rsidR="00412CCE" w:rsidRPr="00C02487" w:rsidRDefault="00412CCE" w:rsidP="002D2FD8">
            <w:pPr>
              <w:pStyle w:val="TableText0"/>
              <w:spacing w:before="0" w:after="0"/>
              <w:jc w:val="center"/>
              <w:rPr>
                <w:bCs/>
                <w:snapToGrid w:val="0"/>
              </w:rPr>
            </w:pPr>
            <w:r>
              <w:rPr>
                <w:bCs/>
                <w:snapToGrid w:val="0"/>
              </w:rPr>
              <w:t>NR</w:t>
            </w:r>
          </w:p>
        </w:tc>
      </w:tr>
      <w:tr w:rsidR="00412CCE" w:rsidRPr="00C02487" w14:paraId="478A88AA" w14:textId="77777777" w:rsidTr="0080749F">
        <w:tc>
          <w:tcPr>
            <w:tcW w:w="616" w:type="pct"/>
            <w:shd w:val="clear" w:color="auto" w:fill="auto"/>
            <w:vAlign w:val="center"/>
          </w:tcPr>
          <w:p w14:paraId="6B945CAA" w14:textId="0ED5EC09" w:rsidR="00412CCE" w:rsidRPr="0038300C" w:rsidRDefault="00412CCE" w:rsidP="002D2FD8">
            <w:pPr>
              <w:pStyle w:val="TableHeading"/>
              <w:keepNext w:val="0"/>
              <w:widowControl w:val="0"/>
              <w:tabs>
                <w:tab w:val="left" w:pos="224"/>
              </w:tabs>
              <w:spacing w:before="0" w:after="0"/>
              <w:ind w:left="0" w:firstLine="0"/>
              <w:jc w:val="left"/>
              <w:rPr>
                <w:b w:val="0"/>
                <w:bCs/>
              </w:rPr>
            </w:pPr>
            <w:r w:rsidRPr="0038300C">
              <w:rPr>
                <w:b w:val="0"/>
                <w:bCs/>
                <w:snapToGrid w:val="0"/>
              </w:rPr>
              <w:t>Yalamanchali 2013</w:t>
            </w:r>
            <w:r w:rsidR="00077496">
              <w:rPr>
                <w:b w:val="0"/>
                <w:bCs/>
                <w:snapToGrid w:val="0"/>
              </w:rPr>
              <w:t xml:space="preserve"> </w:t>
            </w:r>
            <w:r>
              <w:rPr>
                <w:b w:val="0"/>
                <w:bCs/>
                <w:snapToGrid w:val="0"/>
              </w:rPr>
              <w:t>(N=909)</w:t>
            </w:r>
          </w:p>
        </w:tc>
        <w:tc>
          <w:tcPr>
            <w:tcW w:w="3456" w:type="pct"/>
            <w:gridSpan w:val="6"/>
            <w:tcBorders>
              <w:right w:val="double" w:sz="4" w:space="0" w:color="auto"/>
            </w:tcBorders>
            <w:vAlign w:val="center"/>
          </w:tcPr>
          <w:p w14:paraId="35B3D2EE" w14:textId="77777777" w:rsidR="00412CCE" w:rsidRPr="00C02487" w:rsidRDefault="00412CCE" w:rsidP="002D2FD8">
            <w:pPr>
              <w:pStyle w:val="TableText0"/>
              <w:spacing w:before="0" w:after="0"/>
              <w:jc w:val="center"/>
              <w:rPr>
                <w:bCs/>
                <w:snapToGrid w:val="0"/>
              </w:rPr>
            </w:pPr>
            <w:r>
              <w:rPr>
                <w:bCs/>
                <w:snapToGrid w:val="0"/>
              </w:rPr>
              <w:t>NR</w:t>
            </w:r>
          </w:p>
        </w:tc>
        <w:tc>
          <w:tcPr>
            <w:tcW w:w="928" w:type="pct"/>
            <w:tcBorders>
              <w:left w:val="double" w:sz="4" w:space="0" w:color="auto"/>
            </w:tcBorders>
            <w:vAlign w:val="center"/>
          </w:tcPr>
          <w:p w14:paraId="4EAFC0F6" w14:textId="77777777" w:rsidR="00412CCE" w:rsidRPr="00C02487" w:rsidRDefault="00412CCE" w:rsidP="002D2FD8">
            <w:pPr>
              <w:pStyle w:val="TableText0"/>
              <w:spacing w:before="0" w:after="0"/>
              <w:jc w:val="center"/>
              <w:rPr>
                <w:bCs/>
                <w:snapToGrid w:val="0"/>
              </w:rPr>
            </w:pPr>
            <w:r>
              <w:rPr>
                <w:bCs/>
                <w:snapToGrid w:val="0"/>
              </w:rPr>
              <w:t>AHI+RDI: r=0.889</w:t>
            </w:r>
          </w:p>
        </w:tc>
      </w:tr>
    </w:tbl>
    <w:p w14:paraId="28A9BFCB" w14:textId="77777777" w:rsidR="00412CCE" w:rsidRDefault="00412CCE" w:rsidP="00412CCE">
      <w:pPr>
        <w:rPr>
          <w:rFonts w:ascii="Arial Narrow" w:hAnsi="Arial Narrow"/>
          <w:sz w:val="18"/>
          <w:szCs w:val="18"/>
        </w:rPr>
      </w:pPr>
      <w:r w:rsidRPr="00755402">
        <w:rPr>
          <w:rFonts w:ascii="Arial Narrow" w:hAnsi="Arial Narrow"/>
          <w:sz w:val="18"/>
          <w:szCs w:val="18"/>
        </w:rPr>
        <w:t>Source:</w:t>
      </w:r>
      <w:r>
        <w:rPr>
          <w:rFonts w:ascii="Arial Narrow" w:hAnsi="Arial Narrow"/>
          <w:sz w:val="18"/>
          <w:szCs w:val="18"/>
        </w:rPr>
        <w:t xml:space="preserve">  Table 13, p81 of the ADAR.</w:t>
      </w:r>
    </w:p>
    <w:p w14:paraId="132FA704" w14:textId="571428A6" w:rsidR="00412CCE" w:rsidRDefault="006B032A" w:rsidP="00412CCE">
      <w:pPr>
        <w:rPr>
          <w:rFonts w:ascii="Arial Narrow" w:hAnsi="Arial Narrow"/>
          <w:sz w:val="18"/>
          <w:szCs w:val="18"/>
        </w:rPr>
      </w:pPr>
      <w:r>
        <w:rPr>
          <w:rFonts w:ascii="Arial Narrow" w:hAnsi="Arial Narrow"/>
          <w:sz w:val="18"/>
          <w:szCs w:val="18"/>
        </w:rPr>
        <w:t xml:space="preserve">Abbreviations: </w:t>
      </w:r>
      <w:r w:rsidR="00412CCE">
        <w:rPr>
          <w:rFonts w:ascii="Arial Narrow" w:hAnsi="Arial Narrow"/>
          <w:sz w:val="18"/>
          <w:szCs w:val="18"/>
        </w:rPr>
        <w:t>AHI=apnoea hypopnoea index; HSAT/PAT=home sleep apnoea test utilising peripheral arterial tone; LSAT=lowest oxygen saturation; NPV=negative predictive value; NR=not reported; ODI=oxygen desaturation index; OSA=obstructive sleep apnoea; PPV=positive predictive value; PSG=polysomnography; RDI=respiratory disturbance index</w:t>
      </w:r>
    </w:p>
    <w:p w14:paraId="44357F42" w14:textId="0B1AFA52" w:rsidR="00295EF8" w:rsidRPr="00193407" w:rsidRDefault="00412CCE" w:rsidP="007D5F6D">
      <w:pPr>
        <w:spacing w:before="240"/>
      </w:pPr>
      <w:r>
        <w:t xml:space="preserve">The ADAR claimed </w:t>
      </w:r>
      <w:r w:rsidR="00FF611A">
        <w:t xml:space="preserve">the included </w:t>
      </w:r>
      <w:r w:rsidR="0093216A">
        <w:t xml:space="preserve">accuracy </w:t>
      </w:r>
      <w:r w:rsidR="00FF611A">
        <w:t>studies</w:t>
      </w:r>
      <w:r w:rsidR="0093216A">
        <w:t xml:space="preserve">, with the exception of the Ioachimescu </w:t>
      </w:r>
      <w:r w:rsidR="00C61760">
        <w:t xml:space="preserve">et al. </w:t>
      </w:r>
      <w:r w:rsidR="0093216A">
        <w:t>(2020)</w:t>
      </w:r>
      <w:r w:rsidR="0093216A">
        <w:rPr>
          <w:rStyle w:val="FootnoteReference"/>
        </w:rPr>
        <w:footnoteReference w:id="11"/>
      </w:r>
      <w:r w:rsidR="0093216A">
        <w:t>, study</w:t>
      </w:r>
      <w:r w:rsidR="00FF611A">
        <w:t xml:space="preserve"> showed a high</w:t>
      </w:r>
      <w:r>
        <w:t xml:space="preserve"> correlation </w:t>
      </w:r>
      <w:r w:rsidR="00FF611A">
        <w:t>between the HS</w:t>
      </w:r>
      <w:r w:rsidR="00295EF8">
        <w:t>AT</w:t>
      </w:r>
      <w:r w:rsidR="00FF611A">
        <w:t xml:space="preserve">/PAT and </w:t>
      </w:r>
      <w:r w:rsidR="00295EF8">
        <w:t>Level 1 PSG. T</w:t>
      </w:r>
      <w:r>
        <w:t>he</w:t>
      </w:r>
      <w:r w:rsidR="00295EF8">
        <w:t xml:space="preserve"> </w:t>
      </w:r>
      <w:r>
        <w:t xml:space="preserve">ADAR </w:t>
      </w:r>
      <w:r w:rsidR="004479B1">
        <w:t xml:space="preserve">noted </w:t>
      </w:r>
      <w:r>
        <w:t xml:space="preserve">the findings </w:t>
      </w:r>
      <w:r w:rsidR="004479B1">
        <w:t>of Ioachimescu et al</w:t>
      </w:r>
      <w:r w:rsidR="00C61760">
        <w:t>.</w:t>
      </w:r>
      <w:r w:rsidR="004479B1">
        <w:t xml:space="preserve"> (2020) </w:t>
      </w:r>
      <w:r>
        <w:t>differed from all other studies and</w:t>
      </w:r>
      <w:r w:rsidR="004479B1">
        <w:t xml:space="preserve"> claimed the </w:t>
      </w:r>
      <w:r>
        <w:t xml:space="preserve">results </w:t>
      </w:r>
      <w:r w:rsidR="00381448">
        <w:t>we</w:t>
      </w:r>
      <w:r>
        <w:t xml:space="preserve">re questionable. </w:t>
      </w:r>
      <w:r w:rsidR="004479B1">
        <w:t xml:space="preserve">The ADAR claimed that </w:t>
      </w:r>
      <w:r w:rsidR="00AE4754">
        <w:t>in Ioachimescu et al</w:t>
      </w:r>
      <w:r w:rsidR="00C61760">
        <w:t>.</w:t>
      </w:r>
      <w:r w:rsidR="00AE4754">
        <w:t xml:space="preserve"> (2020)</w:t>
      </w:r>
      <w:r w:rsidR="0093216A">
        <w:t xml:space="preserve"> </w:t>
      </w:r>
      <w:r w:rsidR="00381448">
        <w:t xml:space="preserve">the </w:t>
      </w:r>
      <w:r w:rsidR="004479B1" w:rsidRPr="004479B1">
        <w:t>median ODI (3%) was 2.5 while AHI was 18.4</w:t>
      </w:r>
      <w:r w:rsidR="0093216A">
        <w:t xml:space="preserve"> for the Level 1 </w:t>
      </w:r>
      <w:r w:rsidR="0093216A" w:rsidRPr="004479B1">
        <w:t>PSG</w:t>
      </w:r>
      <w:r w:rsidR="0093216A">
        <w:t>,</w:t>
      </w:r>
      <w:r w:rsidR="004479B1">
        <w:t xml:space="preserve"> </w:t>
      </w:r>
      <w:r w:rsidR="0093216A">
        <w:t>suggesting</w:t>
      </w:r>
      <w:r w:rsidR="00AE4754">
        <w:t xml:space="preserve"> </w:t>
      </w:r>
      <w:r w:rsidR="004479B1" w:rsidRPr="004479B1">
        <w:t xml:space="preserve">that 85% of the </w:t>
      </w:r>
      <w:r w:rsidR="004479B1">
        <w:t xml:space="preserve">Level 1 </w:t>
      </w:r>
      <w:r w:rsidR="004479B1" w:rsidRPr="004479B1">
        <w:t xml:space="preserve">PSG arousals were hypopnoeas or apnoeas with no desaturation. </w:t>
      </w:r>
      <w:r w:rsidR="004479B1">
        <w:t>The ADAR claimed this to be highly unusual, possibly implausible and inconsistent with previous studies such as Escourrou et al. (2015)</w:t>
      </w:r>
      <w:r w:rsidR="004479B1">
        <w:rPr>
          <w:rStyle w:val="FootnoteReference"/>
        </w:rPr>
        <w:footnoteReference w:id="12"/>
      </w:r>
      <w:r w:rsidR="004479B1">
        <w:t xml:space="preserve">. </w:t>
      </w:r>
      <w:r w:rsidR="00295EF8" w:rsidRPr="00BB4812">
        <w:t>The</w:t>
      </w:r>
      <w:r w:rsidR="00295EF8">
        <w:t>refore, the</w:t>
      </w:r>
      <w:r w:rsidR="00295EF8" w:rsidRPr="00BB4812">
        <w:t xml:space="preserve"> ADAR </w:t>
      </w:r>
      <w:r w:rsidR="00295EF8">
        <w:t>presented</w:t>
      </w:r>
      <w:r w:rsidR="00295EF8" w:rsidRPr="00BB4812">
        <w:t xml:space="preserve"> meta-analyses of AHI, sensitivity, specificity, PPV and NPV </w:t>
      </w:r>
      <w:r w:rsidR="004479B1">
        <w:t>with and without the Ioachimescu et al (2020),</w:t>
      </w:r>
      <w:r w:rsidR="00295EF8">
        <w:t xml:space="preserve"> summarised in the </w:t>
      </w:r>
      <w:r w:rsidR="00295EF8">
        <w:fldChar w:fldCharType="begin"/>
      </w:r>
      <w:r w:rsidR="00295EF8">
        <w:instrText xml:space="preserve"> REF _Ref75193180 \h </w:instrText>
      </w:r>
      <w:r w:rsidR="00295EF8">
        <w:fldChar w:fldCharType="separate"/>
      </w:r>
      <w:r w:rsidR="00824C87" w:rsidRPr="00173705">
        <w:t xml:space="preserve">Table </w:t>
      </w:r>
      <w:r w:rsidR="00824C87">
        <w:rPr>
          <w:noProof/>
        </w:rPr>
        <w:t>8</w:t>
      </w:r>
      <w:r w:rsidR="00295EF8">
        <w:fldChar w:fldCharType="end"/>
      </w:r>
      <w:r w:rsidR="00295EF8">
        <w:t>.</w:t>
      </w:r>
    </w:p>
    <w:p w14:paraId="2626F6E2" w14:textId="7FCBA19F" w:rsidR="00412CCE" w:rsidRDefault="006B032A" w:rsidP="007D5F6D">
      <w:pPr>
        <w:spacing w:before="240"/>
      </w:pPr>
      <w:r w:rsidRPr="006B032A">
        <w:t>The commentary noted that t</w:t>
      </w:r>
      <w:r w:rsidR="00412CCE" w:rsidRPr="006B032A">
        <w:t xml:space="preserve">he Ioachimescu </w:t>
      </w:r>
      <w:r w:rsidR="00C61760">
        <w:t xml:space="preserve">et al. </w:t>
      </w:r>
      <w:r w:rsidR="00412CCE" w:rsidRPr="006B032A">
        <w:t xml:space="preserve">(2020) paper criticised HSAT/PAT, stating that the PAT-based testing showed high rates of diagnostic misclassification (30% to 50%) against concomitant gold standard </w:t>
      </w:r>
      <w:r w:rsidR="00381448">
        <w:t xml:space="preserve">Level 1 </w:t>
      </w:r>
      <w:r w:rsidR="00412CCE" w:rsidRPr="006B032A">
        <w:t xml:space="preserve">PSG, and the diagnostic misclassifications were both over- and under-estimations. The </w:t>
      </w:r>
      <w:r w:rsidR="00E16F4B">
        <w:t>c</w:t>
      </w:r>
      <w:r w:rsidR="00381448">
        <w:t xml:space="preserve">ommentary suggested that the </w:t>
      </w:r>
      <w:r w:rsidR="00412CCE" w:rsidRPr="006B032A">
        <w:t xml:space="preserve">ADAR </w:t>
      </w:r>
      <w:r w:rsidR="00381448">
        <w:t>criticism of</w:t>
      </w:r>
      <w:r w:rsidR="00412CCE" w:rsidRPr="006B032A">
        <w:t xml:space="preserve"> Ioachimescu </w:t>
      </w:r>
      <w:r w:rsidR="00381448">
        <w:t xml:space="preserve">et al. </w:t>
      </w:r>
      <w:r w:rsidR="00412CCE" w:rsidRPr="006B032A">
        <w:t xml:space="preserve">(2020) ODI and AHI values may not be entirely reasonable, as the ADAR was comparing mean ODI and AHI from Escourrou </w:t>
      </w:r>
      <w:r w:rsidR="00381448">
        <w:t xml:space="preserve">et al. </w:t>
      </w:r>
      <w:r w:rsidR="00412CCE" w:rsidRPr="006B032A">
        <w:t xml:space="preserve">(2015) to median values from Ioachimescu </w:t>
      </w:r>
      <w:r w:rsidR="00381448">
        <w:t xml:space="preserve">et al. </w:t>
      </w:r>
      <w:r w:rsidR="00412CCE" w:rsidRPr="006B032A">
        <w:t xml:space="preserve">(2020). In addition, the population in Escourrou </w:t>
      </w:r>
      <w:r w:rsidR="00381448">
        <w:t xml:space="preserve">et al. </w:t>
      </w:r>
      <w:r w:rsidR="00412CCE" w:rsidRPr="006B032A">
        <w:t xml:space="preserve">(2015) was patients at lower probability of having OSA, which does not match the population in Ioachimescu </w:t>
      </w:r>
      <w:r w:rsidR="00381448">
        <w:t xml:space="preserve">et al. </w:t>
      </w:r>
      <w:r w:rsidR="00412CCE" w:rsidRPr="006B032A">
        <w:t>(2020), which were patients at high suspicion of OSA.</w:t>
      </w:r>
    </w:p>
    <w:p w14:paraId="647FAF3E" w14:textId="231CBB68" w:rsidR="002D2FD8" w:rsidRDefault="00C61760" w:rsidP="002D2FD8">
      <w:pPr>
        <w:spacing w:before="240" w:after="240"/>
      </w:pPr>
      <w:r>
        <w:t xml:space="preserve">The pre-MSAC response reiterated that when the median AHI and ODI </w:t>
      </w:r>
      <w:r w:rsidR="00193407">
        <w:t xml:space="preserve">3% </w:t>
      </w:r>
      <w:r>
        <w:t xml:space="preserve">for Level 1 PSG from Ioachimescu et al. (2020) were compared with </w:t>
      </w:r>
      <w:r w:rsidRPr="00C61760">
        <w:t xml:space="preserve">Zhang </w:t>
      </w:r>
      <w:r>
        <w:t>et al. (</w:t>
      </w:r>
      <w:r w:rsidRPr="00C61760">
        <w:t>2020</w:t>
      </w:r>
      <w:r>
        <w:t>)</w:t>
      </w:r>
      <w:r>
        <w:rPr>
          <w:rStyle w:val="FootnoteReference"/>
        </w:rPr>
        <w:footnoteReference w:id="13"/>
      </w:r>
      <w:r w:rsidR="00193407">
        <w:t>, the wide discrepancy remains (median ODI 3% was 2.5 versus 9.5 respectively, median AHI was 18.4 versus 14 respectively).</w:t>
      </w:r>
      <w:r w:rsidR="002D2FD8">
        <w:br w:type="page"/>
      </w:r>
    </w:p>
    <w:p w14:paraId="28302246" w14:textId="335F71B6" w:rsidR="00412CCE" w:rsidRPr="00173705" w:rsidRDefault="00412CCE" w:rsidP="001F668C">
      <w:pPr>
        <w:pStyle w:val="Caption"/>
        <w:rPr>
          <w:snapToGrid w:val="0"/>
        </w:rPr>
      </w:pPr>
      <w:bookmarkStart w:id="18" w:name="_Ref75193180"/>
      <w:bookmarkStart w:id="19" w:name="_Toc70768715"/>
      <w:r w:rsidRPr="00173705">
        <w:lastRenderedPageBreak/>
        <w:t xml:space="preserve">Table </w:t>
      </w:r>
      <w:r w:rsidR="00A930B3">
        <w:fldChar w:fldCharType="begin"/>
      </w:r>
      <w:r w:rsidR="00A930B3">
        <w:instrText xml:space="preserve"> SEQ Table \* ARABIC </w:instrText>
      </w:r>
      <w:r w:rsidR="00A930B3">
        <w:fldChar w:fldCharType="separate"/>
      </w:r>
      <w:r w:rsidR="00824C87">
        <w:rPr>
          <w:noProof/>
        </w:rPr>
        <w:t>8</w:t>
      </w:r>
      <w:r w:rsidR="00A930B3">
        <w:rPr>
          <w:noProof/>
        </w:rPr>
        <w:fldChar w:fldCharType="end"/>
      </w:r>
      <w:bookmarkEnd w:id="18"/>
      <w:r w:rsidRPr="00173705">
        <w:tab/>
      </w:r>
      <w:r>
        <w:rPr>
          <w:snapToGrid w:val="0"/>
        </w:rPr>
        <w:t>Meta-analys</w:t>
      </w:r>
      <w:r w:rsidR="007D40F9">
        <w:rPr>
          <w:snapToGrid w:val="0"/>
        </w:rPr>
        <w:t xml:space="preserve">es comparing </w:t>
      </w:r>
      <w:r w:rsidR="00B96090">
        <w:rPr>
          <w:snapToGrid w:val="0"/>
        </w:rPr>
        <w:t>HSAT/PAT</w:t>
      </w:r>
      <w:r>
        <w:rPr>
          <w:snapToGrid w:val="0"/>
        </w:rPr>
        <w:t xml:space="preserve"> </w:t>
      </w:r>
      <w:r w:rsidR="007D40F9">
        <w:rPr>
          <w:snapToGrid w:val="0"/>
        </w:rPr>
        <w:t xml:space="preserve">with </w:t>
      </w:r>
      <w:r>
        <w:rPr>
          <w:snapToGrid w:val="0"/>
        </w:rPr>
        <w:t>Level 1 PSG</w:t>
      </w:r>
      <w:bookmarkEnd w:id="19"/>
    </w:p>
    <w:tbl>
      <w:tblPr>
        <w:tblStyle w:val="TableGrid1"/>
        <w:tblW w:w="4991" w:type="pct"/>
        <w:tblInd w:w="28" w:type="dxa"/>
        <w:tblLayout w:type="fixed"/>
        <w:tblCellMar>
          <w:left w:w="28" w:type="dxa"/>
          <w:right w:w="28" w:type="dxa"/>
        </w:tblCellMar>
        <w:tblLook w:val="04A0" w:firstRow="1" w:lastRow="0" w:firstColumn="1" w:lastColumn="0" w:noHBand="0" w:noVBand="1"/>
        <w:tblCaption w:val="Table 8 Meta-analysis results for secondary comparator Level 1 PSG"/>
        <w:tblDescription w:val="This table provides a summary of the meta-analysis results for the secondary comparator, Level 1 PSG"/>
      </w:tblPr>
      <w:tblGrid>
        <w:gridCol w:w="1244"/>
        <w:gridCol w:w="1843"/>
        <w:gridCol w:w="1984"/>
        <w:gridCol w:w="1985"/>
        <w:gridCol w:w="1944"/>
      </w:tblGrid>
      <w:tr w:rsidR="00AD1A04" w:rsidRPr="00173705" w14:paraId="7C66EFEE" w14:textId="77777777" w:rsidTr="00AD1A04">
        <w:trPr>
          <w:cnfStyle w:val="100000000000" w:firstRow="1" w:lastRow="0" w:firstColumn="0" w:lastColumn="0" w:oddVBand="0" w:evenVBand="0" w:oddHBand="0" w:evenHBand="0" w:firstRowFirstColumn="0" w:firstRowLastColumn="0" w:lastRowFirstColumn="0" w:lastRowLastColumn="0"/>
        </w:trPr>
        <w:tc>
          <w:tcPr>
            <w:tcW w:w="691" w:type="pct"/>
            <w:vMerge w:val="restart"/>
            <w:shd w:val="clear" w:color="auto" w:fill="auto"/>
            <w:vAlign w:val="center"/>
          </w:tcPr>
          <w:p w14:paraId="599FA069" w14:textId="77777777" w:rsidR="00AD1A04" w:rsidRPr="00173705" w:rsidRDefault="00AD1A04" w:rsidP="0080749F">
            <w:pPr>
              <w:pStyle w:val="TableHeading"/>
              <w:keepNext w:val="0"/>
              <w:widowControl w:val="0"/>
              <w:tabs>
                <w:tab w:val="left" w:pos="224"/>
              </w:tabs>
              <w:rPr>
                <w:snapToGrid w:val="0"/>
                <w:lang w:eastAsia="en-US"/>
              </w:rPr>
            </w:pPr>
            <w:r>
              <w:rPr>
                <w:snapToGrid w:val="0"/>
                <w:lang w:eastAsia="en-US"/>
              </w:rPr>
              <w:t>Outcome</w:t>
            </w:r>
          </w:p>
        </w:tc>
        <w:tc>
          <w:tcPr>
            <w:tcW w:w="2126" w:type="pct"/>
            <w:gridSpan w:val="2"/>
            <w:vAlign w:val="center"/>
          </w:tcPr>
          <w:p w14:paraId="49AE9BA6" w14:textId="42BF36B3" w:rsidR="00AD1A04" w:rsidRDefault="00AD1A04" w:rsidP="00AD1A04">
            <w:pPr>
              <w:pStyle w:val="Tabletextboldleft"/>
              <w:jc w:val="center"/>
              <w:rPr>
                <w:snapToGrid w:val="0"/>
              </w:rPr>
            </w:pPr>
            <w:r>
              <w:rPr>
                <w:snapToGrid w:val="0"/>
              </w:rPr>
              <w:t>Meta-analysis - fixed effects</w:t>
            </w:r>
          </w:p>
        </w:tc>
        <w:tc>
          <w:tcPr>
            <w:tcW w:w="2183" w:type="pct"/>
            <w:gridSpan w:val="2"/>
            <w:vAlign w:val="center"/>
          </w:tcPr>
          <w:p w14:paraId="7BC98101" w14:textId="51D956BC" w:rsidR="00AD1A04" w:rsidRDefault="00AD1A04" w:rsidP="00AD1A04">
            <w:pPr>
              <w:pStyle w:val="Tabletextboldleft"/>
              <w:jc w:val="center"/>
              <w:rPr>
                <w:snapToGrid w:val="0"/>
              </w:rPr>
            </w:pPr>
            <w:r>
              <w:rPr>
                <w:snapToGrid w:val="0"/>
              </w:rPr>
              <w:t>Meta-analysis - random effects</w:t>
            </w:r>
          </w:p>
        </w:tc>
      </w:tr>
      <w:tr w:rsidR="00AD1A04" w:rsidRPr="00173705" w14:paraId="4B6D4082" w14:textId="77777777" w:rsidTr="00AD1A04">
        <w:tc>
          <w:tcPr>
            <w:tcW w:w="691" w:type="pct"/>
            <w:vMerge/>
            <w:shd w:val="clear" w:color="auto" w:fill="auto"/>
            <w:vAlign w:val="center"/>
          </w:tcPr>
          <w:p w14:paraId="140F854F" w14:textId="77777777" w:rsidR="00412CCE" w:rsidRPr="00173705" w:rsidRDefault="00412CCE" w:rsidP="0080749F">
            <w:pPr>
              <w:pStyle w:val="TableHeading"/>
              <w:keepNext w:val="0"/>
              <w:widowControl w:val="0"/>
              <w:tabs>
                <w:tab w:val="left" w:pos="224"/>
              </w:tabs>
              <w:rPr>
                <w:snapToGrid w:val="0"/>
                <w:lang w:eastAsia="en-US"/>
              </w:rPr>
            </w:pPr>
          </w:p>
        </w:tc>
        <w:tc>
          <w:tcPr>
            <w:tcW w:w="1024" w:type="pct"/>
            <w:vAlign w:val="center"/>
          </w:tcPr>
          <w:p w14:paraId="3279E751" w14:textId="77777777" w:rsidR="00412CCE" w:rsidRPr="00AD1A04" w:rsidRDefault="00412CCE" w:rsidP="00AD1A04">
            <w:pPr>
              <w:pStyle w:val="Tabletextboldleft"/>
              <w:rPr>
                <w:snapToGrid w:val="0"/>
              </w:rPr>
            </w:pPr>
            <w:r w:rsidRPr="00AD1A04">
              <w:rPr>
                <w:snapToGrid w:val="0"/>
              </w:rPr>
              <w:t>All studies N=16</w:t>
            </w:r>
          </w:p>
        </w:tc>
        <w:tc>
          <w:tcPr>
            <w:tcW w:w="1102" w:type="pct"/>
            <w:vAlign w:val="center"/>
          </w:tcPr>
          <w:p w14:paraId="09ABCA13" w14:textId="3B903324" w:rsidR="00412CCE" w:rsidRPr="00AD1A04" w:rsidRDefault="00412CCE" w:rsidP="00AD1A04">
            <w:pPr>
              <w:pStyle w:val="Tabletextboldleft"/>
              <w:rPr>
                <w:snapToGrid w:val="0"/>
              </w:rPr>
            </w:pPr>
            <w:r w:rsidRPr="00AD1A04">
              <w:rPr>
                <w:snapToGrid w:val="0"/>
              </w:rPr>
              <w:t>Excluding</w:t>
            </w:r>
          </w:p>
          <w:p w14:paraId="1E73DE7F" w14:textId="77777777" w:rsidR="00412CCE" w:rsidRPr="00AD1A04" w:rsidRDefault="00412CCE" w:rsidP="00AD1A04">
            <w:pPr>
              <w:pStyle w:val="Tabletextboldleft"/>
              <w:rPr>
                <w:snapToGrid w:val="0"/>
              </w:rPr>
            </w:pPr>
            <w:r w:rsidRPr="00AD1A04">
              <w:rPr>
                <w:snapToGrid w:val="0"/>
              </w:rPr>
              <w:t>Ioachimescu 2020</w:t>
            </w:r>
          </w:p>
        </w:tc>
        <w:tc>
          <w:tcPr>
            <w:tcW w:w="1103" w:type="pct"/>
            <w:vAlign w:val="center"/>
          </w:tcPr>
          <w:p w14:paraId="5E2B6C53" w14:textId="77777777" w:rsidR="00412CCE" w:rsidRPr="00AD1A04" w:rsidRDefault="00412CCE" w:rsidP="00AD1A04">
            <w:pPr>
              <w:pStyle w:val="Tabletextboldleft"/>
              <w:rPr>
                <w:snapToGrid w:val="0"/>
              </w:rPr>
            </w:pPr>
            <w:r w:rsidRPr="00AD1A04">
              <w:rPr>
                <w:snapToGrid w:val="0"/>
              </w:rPr>
              <w:t>All studies N=16</w:t>
            </w:r>
          </w:p>
        </w:tc>
        <w:tc>
          <w:tcPr>
            <w:tcW w:w="1080" w:type="pct"/>
            <w:vAlign w:val="center"/>
          </w:tcPr>
          <w:p w14:paraId="42E7A337" w14:textId="77777777" w:rsidR="00412CCE" w:rsidRPr="00AD1A04" w:rsidRDefault="00412CCE" w:rsidP="00AD1A04">
            <w:pPr>
              <w:pStyle w:val="Tabletextboldleft"/>
              <w:rPr>
                <w:snapToGrid w:val="0"/>
              </w:rPr>
            </w:pPr>
            <w:r w:rsidRPr="00AD1A04">
              <w:rPr>
                <w:snapToGrid w:val="0"/>
              </w:rPr>
              <w:t>Excluding Ioachimescu 2020</w:t>
            </w:r>
          </w:p>
        </w:tc>
      </w:tr>
      <w:tr w:rsidR="00AD1A04" w:rsidRPr="00C02487" w14:paraId="5028FD40" w14:textId="77777777" w:rsidTr="00AD1A04">
        <w:tc>
          <w:tcPr>
            <w:tcW w:w="691" w:type="pct"/>
            <w:shd w:val="clear" w:color="auto" w:fill="auto"/>
            <w:vAlign w:val="center"/>
          </w:tcPr>
          <w:p w14:paraId="0AFB50F2" w14:textId="77777777" w:rsidR="00AD1A04" w:rsidRDefault="00412CCE" w:rsidP="0080749F">
            <w:pPr>
              <w:pStyle w:val="TableHeading"/>
              <w:keepNext w:val="0"/>
              <w:widowControl w:val="0"/>
              <w:tabs>
                <w:tab w:val="left" w:pos="224"/>
              </w:tabs>
              <w:rPr>
                <w:b w:val="0"/>
                <w:bCs/>
              </w:rPr>
            </w:pPr>
            <w:r w:rsidRPr="009F1F41">
              <w:rPr>
                <w:b w:val="0"/>
                <w:bCs/>
              </w:rPr>
              <w:t>AHI</w:t>
            </w:r>
            <w:r>
              <w:rPr>
                <w:b w:val="0"/>
                <w:bCs/>
              </w:rPr>
              <w:t xml:space="preserve"> correlation </w:t>
            </w:r>
          </w:p>
          <w:p w14:paraId="395098AA" w14:textId="03D12EC1" w:rsidR="00412CCE" w:rsidRPr="009F1F41" w:rsidRDefault="00412CCE" w:rsidP="0080749F">
            <w:pPr>
              <w:pStyle w:val="TableHeading"/>
              <w:keepNext w:val="0"/>
              <w:widowControl w:val="0"/>
              <w:tabs>
                <w:tab w:val="left" w:pos="224"/>
              </w:tabs>
              <w:rPr>
                <w:b w:val="0"/>
                <w:bCs/>
                <w:snapToGrid w:val="0"/>
                <w:lang w:eastAsia="en-US"/>
              </w:rPr>
            </w:pPr>
            <w:r>
              <w:rPr>
                <w:b w:val="0"/>
                <w:bCs/>
              </w:rPr>
              <w:t>(95% CI)</w:t>
            </w:r>
          </w:p>
        </w:tc>
        <w:tc>
          <w:tcPr>
            <w:tcW w:w="1024" w:type="pct"/>
            <w:vAlign w:val="center"/>
          </w:tcPr>
          <w:p w14:paraId="63FD78A3" w14:textId="77777777" w:rsidR="00412CCE" w:rsidRPr="00AD1A04" w:rsidRDefault="00412CCE" w:rsidP="00AD1A04">
            <w:pPr>
              <w:pStyle w:val="TableText0"/>
              <w:rPr>
                <w:snapToGrid w:val="0"/>
              </w:rPr>
            </w:pPr>
            <w:r w:rsidRPr="00AD1A04">
              <w:rPr>
                <w:snapToGrid w:val="0"/>
              </w:rPr>
              <w:t>0.862 (0.846, 0.876)</w:t>
            </w:r>
          </w:p>
        </w:tc>
        <w:tc>
          <w:tcPr>
            <w:tcW w:w="1102" w:type="pct"/>
            <w:vAlign w:val="center"/>
          </w:tcPr>
          <w:p w14:paraId="0E09FEFA" w14:textId="77777777" w:rsidR="00412CCE" w:rsidRPr="00AD1A04" w:rsidRDefault="00412CCE" w:rsidP="00AD1A04">
            <w:pPr>
              <w:pStyle w:val="TableText0"/>
              <w:rPr>
                <w:snapToGrid w:val="0"/>
              </w:rPr>
            </w:pPr>
            <w:r w:rsidRPr="00AD1A04">
              <w:rPr>
                <w:snapToGrid w:val="0"/>
              </w:rPr>
              <w:t>0.895 (0.879, 0.909)</w:t>
            </w:r>
          </w:p>
        </w:tc>
        <w:tc>
          <w:tcPr>
            <w:tcW w:w="1103" w:type="pct"/>
            <w:vAlign w:val="center"/>
          </w:tcPr>
          <w:p w14:paraId="308776AB" w14:textId="77777777" w:rsidR="00412CCE" w:rsidRPr="00AD1A04" w:rsidRDefault="00412CCE" w:rsidP="00AD1A04">
            <w:pPr>
              <w:pStyle w:val="TableText0"/>
              <w:rPr>
                <w:snapToGrid w:val="0"/>
              </w:rPr>
            </w:pPr>
            <w:r w:rsidRPr="00AD1A04">
              <w:rPr>
                <w:snapToGrid w:val="0"/>
              </w:rPr>
              <w:t>0.887 (0.849, 0.916)</w:t>
            </w:r>
          </w:p>
        </w:tc>
        <w:tc>
          <w:tcPr>
            <w:tcW w:w="1080" w:type="pct"/>
            <w:vAlign w:val="center"/>
          </w:tcPr>
          <w:p w14:paraId="57E03A4A" w14:textId="77777777" w:rsidR="00412CCE" w:rsidRPr="00AD1A04" w:rsidRDefault="00412CCE" w:rsidP="00AD1A04">
            <w:pPr>
              <w:pStyle w:val="TableText0"/>
              <w:rPr>
                <w:snapToGrid w:val="0"/>
              </w:rPr>
            </w:pPr>
            <w:r w:rsidRPr="00AD1A04">
              <w:rPr>
                <w:snapToGrid w:val="0"/>
              </w:rPr>
              <w:t>0.864 (0.814, 0.901)</w:t>
            </w:r>
          </w:p>
        </w:tc>
      </w:tr>
      <w:tr w:rsidR="00AD1A04" w:rsidRPr="00C02487" w14:paraId="0F4290C8" w14:textId="77777777" w:rsidTr="00AD1A04">
        <w:tc>
          <w:tcPr>
            <w:tcW w:w="691" w:type="pct"/>
            <w:tcBorders>
              <w:right w:val="nil"/>
            </w:tcBorders>
            <w:shd w:val="clear" w:color="auto" w:fill="auto"/>
            <w:vAlign w:val="center"/>
          </w:tcPr>
          <w:p w14:paraId="4F886E52" w14:textId="77777777" w:rsidR="00412CCE" w:rsidRPr="00244239" w:rsidRDefault="00412CCE" w:rsidP="0080749F">
            <w:pPr>
              <w:pStyle w:val="TableHeading"/>
              <w:keepNext w:val="0"/>
              <w:widowControl w:val="0"/>
              <w:tabs>
                <w:tab w:val="left" w:pos="224"/>
              </w:tabs>
              <w:rPr>
                <w:snapToGrid w:val="0"/>
                <w:lang w:eastAsia="en-US"/>
              </w:rPr>
            </w:pPr>
          </w:p>
        </w:tc>
        <w:tc>
          <w:tcPr>
            <w:tcW w:w="1024" w:type="pct"/>
            <w:tcBorders>
              <w:left w:val="nil"/>
              <w:right w:val="nil"/>
            </w:tcBorders>
            <w:vAlign w:val="center"/>
          </w:tcPr>
          <w:p w14:paraId="3FFD131C" w14:textId="77777777" w:rsidR="00412CCE" w:rsidRPr="00AD1A04" w:rsidRDefault="00412CCE" w:rsidP="00AD1A04">
            <w:pPr>
              <w:pStyle w:val="TableHeading"/>
              <w:keepNext w:val="0"/>
              <w:widowControl w:val="0"/>
              <w:ind w:left="16" w:right="117"/>
              <w:jc w:val="center"/>
              <w:rPr>
                <w:rFonts w:cs="Arial"/>
                <w:i/>
                <w:iCs/>
                <w:snapToGrid w:val="0"/>
                <w:lang w:eastAsia="en-US"/>
              </w:rPr>
            </w:pPr>
          </w:p>
        </w:tc>
        <w:tc>
          <w:tcPr>
            <w:tcW w:w="1102" w:type="pct"/>
            <w:tcBorders>
              <w:left w:val="nil"/>
              <w:right w:val="nil"/>
            </w:tcBorders>
            <w:vAlign w:val="center"/>
          </w:tcPr>
          <w:p w14:paraId="6AD2F269" w14:textId="77777777" w:rsidR="00412CCE" w:rsidRPr="00AD1A04" w:rsidRDefault="00412CCE" w:rsidP="00AD1A04">
            <w:pPr>
              <w:pStyle w:val="Tabletextboldleft"/>
              <w:rPr>
                <w:snapToGrid w:val="0"/>
              </w:rPr>
            </w:pPr>
            <w:r w:rsidRPr="00AD1A04">
              <w:rPr>
                <w:snapToGrid w:val="0"/>
              </w:rPr>
              <w:t>Proportion (95%CI)</w:t>
            </w:r>
          </w:p>
        </w:tc>
        <w:tc>
          <w:tcPr>
            <w:tcW w:w="1103" w:type="pct"/>
            <w:tcBorders>
              <w:left w:val="nil"/>
              <w:right w:val="nil"/>
            </w:tcBorders>
            <w:vAlign w:val="center"/>
          </w:tcPr>
          <w:p w14:paraId="39AA8CCC" w14:textId="77777777" w:rsidR="00412CCE" w:rsidRPr="00AD1A04" w:rsidRDefault="00412CCE" w:rsidP="00AD1A04">
            <w:pPr>
              <w:pStyle w:val="TableHeading"/>
              <w:keepNext w:val="0"/>
              <w:widowControl w:val="0"/>
              <w:ind w:left="16" w:right="117"/>
              <w:jc w:val="center"/>
              <w:rPr>
                <w:rFonts w:cs="Arial"/>
                <w:i/>
                <w:iCs/>
                <w:snapToGrid w:val="0"/>
                <w:lang w:eastAsia="en-US"/>
              </w:rPr>
            </w:pPr>
          </w:p>
        </w:tc>
        <w:tc>
          <w:tcPr>
            <w:tcW w:w="1080" w:type="pct"/>
            <w:tcBorders>
              <w:left w:val="nil"/>
            </w:tcBorders>
            <w:vAlign w:val="center"/>
          </w:tcPr>
          <w:p w14:paraId="5EE84241" w14:textId="77777777" w:rsidR="00412CCE" w:rsidRPr="00AD1A04" w:rsidRDefault="00412CCE" w:rsidP="00AD1A04">
            <w:pPr>
              <w:pStyle w:val="TableHeading"/>
              <w:keepNext w:val="0"/>
              <w:widowControl w:val="0"/>
              <w:ind w:left="16"/>
              <w:jc w:val="center"/>
              <w:rPr>
                <w:rFonts w:cs="Arial"/>
                <w:snapToGrid w:val="0"/>
                <w:lang w:eastAsia="en-US"/>
              </w:rPr>
            </w:pPr>
          </w:p>
        </w:tc>
      </w:tr>
      <w:tr w:rsidR="00AD1A04" w:rsidRPr="00C02487" w14:paraId="138A5A3E" w14:textId="77777777" w:rsidTr="00AD1A04">
        <w:tc>
          <w:tcPr>
            <w:tcW w:w="691" w:type="pct"/>
            <w:shd w:val="clear" w:color="auto" w:fill="auto"/>
            <w:vAlign w:val="center"/>
          </w:tcPr>
          <w:p w14:paraId="07B901FB" w14:textId="77777777" w:rsidR="00412CCE" w:rsidRDefault="00412CCE" w:rsidP="0080749F">
            <w:pPr>
              <w:pStyle w:val="TableHeading"/>
              <w:keepNext w:val="0"/>
              <w:widowControl w:val="0"/>
              <w:tabs>
                <w:tab w:val="left" w:pos="224"/>
              </w:tabs>
              <w:rPr>
                <w:snapToGrid w:val="0"/>
                <w:lang w:eastAsia="en-US"/>
              </w:rPr>
            </w:pPr>
            <w:r w:rsidRPr="00244239">
              <w:rPr>
                <w:snapToGrid w:val="0"/>
                <w:lang w:eastAsia="en-US"/>
              </w:rPr>
              <w:t>Mild OSA</w:t>
            </w:r>
          </w:p>
          <w:p w14:paraId="5F8DABEF" w14:textId="77777777" w:rsidR="00412CCE" w:rsidRPr="00244239" w:rsidRDefault="00412CCE" w:rsidP="0080749F">
            <w:pPr>
              <w:pStyle w:val="TableHeading"/>
              <w:keepNext w:val="0"/>
              <w:widowControl w:val="0"/>
              <w:tabs>
                <w:tab w:val="left" w:pos="224"/>
              </w:tabs>
              <w:rPr>
                <w:snapToGrid w:val="0"/>
                <w:lang w:eastAsia="en-US"/>
              </w:rPr>
            </w:pPr>
            <w:r>
              <w:rPr>
                <w:snapToGrid w:val="0"/>
                <w:lang w:eastAsia="en-US"/>
              </w:rPr>
              <w:t>(AHI &gt;5-15)</w:t>
            </w:r>
          </w:p>
        </w:tc>
        <w:tc>
          <w:tcPr>
            <w:tcW w:w="1024" w:type="pct"/>
            <w:vAlign w:val="center"/>
          </w:tcPr>
          <w:p w14:paraId="5909E10A" w14:textId="77777777" w:rsidR="00412CCE" w:rsidRPr="00AD1A04" w:rsidRDefault="00412CCE" w:rsidP="00AD1A04">
            <w:pPr>
              <w:pStyle w:val="Tabletextboldleft"/>
              <w:rPr>
                <w:snapToGrid w:val="0"/>
              </w:rPr>
            </w:pPr>
            <w:r w:rsidRPr="00AD1A04">
              <w:rPr>
                <w:snapToGrid w:val="0"/>
              </w:rPr>
              <w:t>Studies N=5</w:t>
            </w:r>
          </w:p>
        </w:tc>
        <w:tc>
          <w:tcPr>
            <w:tcW w:w="1102" w:type="pct"/>
            <w:vAlign w:val="center"/>
          </w:tcPr>
          <w:p w14:paraId="6B0B2814" w14:textId="2606C5FE" w:rsidR="00412CCE" w:rsidRPr="00AD1A04" w:rsidRDefault="00412CCE" w:rsidP="00AD1A04">
            <w:pPr>
              <w:pStyle w:val="Tabletextboldleft"/>
              <w:rPr>
                <w:snapToGrid w:val="0"/>
              </w:rPr>
            </w:pPr>
            <w:r w:rsidRPr="00AD1A04">
              <w:rPr>
                <w:snapToGrid w:val="0"/>
              </w:rPr>
              <w:t>Excluding</w:t>
            </w:r>
          </w:p>
          <w:p w14:paraId="260D733D" w14:textId="77777777" w:rsidR="00412CCE" w:rsidRPr="00AD1A04" w:rsidRDefault="00412CCE" w:rsidP="00AD1A04">
            <w:pPr>
              <w:pStyle w:val="Tabletextboldleft"/>
              <w:rPr>
                <w:snapToGrid w:val="0"/>
              </w:rPr>
            </w:pPr>
            <w:r w:rsidRPr="00AD1A04">
              <w:rPr>
                <w:snapToGrid w:val="0"/>
              </w:rPr>
              <w:t>Ioachimescu 2020</w:t>
            </w:r>
          </w:p>
        </w:tc>
        <w:tc>
          <w:tcPr>
            <w:tcW w:w="1103" w:type="pct"/>
            <w:vAlign w:val="center"/>
          </w:tcPr>
          <w:p w14:paraId="6D0ABB42" w14:textId="77777777" w:rsidR="00412CCE" w:rsidRPr="00AD1A04" w:rsidRDefault="00412CCE" w:rsidP="00AD1A04">
            <w:pPr>
              <w:pStyle w:val="Tabletextboldleft"/>
              <w:rPr>
                <w:snapToGrid w:val="0"/>
              </w:rPr>
            </w:pPr>
            <w:r w:rsidRPr="00AD1A04">
              <w:rPr>
                <w:snapToGrid w:val="0"/>
              </w:rPr>
              <w:t>Studies N=5</w:t>
            </w:r>
          </w:p>
        </w:tc>
        <w:tc>
          <w:tcPr>
            <w:tcW w:w="1080" w:type="pct"/>
            <w:vAlign w:val="center"/>
          </w:tcPr>
          <w:p w14:paraId="4FBEB37C" w14:textId="6CE679E9" w:rsidR="00412CCE" w:rsidRPr="00AD1A04" w:rsidRDefault="00412CCE" w:rsidP="00AD1A04">
            <w:pPr>
              <w:pStyle w:val="Tabletextboldleft"/>
              <w:rPr>
                <w:snapToGrid w:val="0"/>
              </w:rPr>
            </w:pPr>
            <w:r w:rsidRPr="00AD1A04">
              <w:rPr>
                <w:snapToGrid w:val="0"/>
              </w:rPr>
              <w:t>Excluding</w:t>
            </w:r>
          </w:p>
          <w:p w14:paraId="61F87416" w14:textId="77777777" w:rsidR="00412CCE" w:rsidRPr="00AD1A04" w:rsidRDefault="00412CCE" w:rsidP="00AD1A04">
            <w:pPr>
              <w:pStyle w:val="Tabletextboldleft"/>
              <w:rPr>
                <w:bCs/>
                <w:snapToGrid w:val="0"/>
              </w:rPr>
            </w:pPr>
            <w:r w:rsidRPr="00AD1A04">
              <w:rPr>
                <w:snapToGrid w:val="0"/>
              </w:rPr>
              <w:t>Ioachimescu 2020</w:t>
            </w:r>
          </w:p>
        </w:tc>
      </w:tr>
      <w:tr w:rsidR="00AD1A04" w:rsidRPr="00C02487" w14:paraId="52BAAFDF" w14:textId="77777777" w:rsidTr="00AD1A04">
        <w:tc>
          <w:tcPr>
            <w:tcW w:w="691" w:type="pct"/>
            <w:shd w:val="clear" w:color="auto" w:fill="auto"/>
            <w:vAlign w:val="center"/>
          </w:tcPr>
          <w:p w14:paraId="3DB4C5BB" w14:textId="7C4EFA2B" w:rsidR="00412CCE" w:rsidRPr="009F1F41" w:rsidRDefault="00412CCE" w:rsidP="00AD1A04">
            <w:pPr>
              <w:pStyle w:val="TableText0"/>
              <w:ind w:left="224"/>
              <w:rPr>
                <w:snapToGrid w:val="0"/>
              </w:rPr>
            </w:pPr>
            <w:r>
              <w:rPr>
                <w:snapToGrid w:val="0"/>
              </w:rPr>
              <w:t>Sensitivity</w:t>
            </w:r>
          </w:p>
        </w:tc>
        <w:tc>
          <w:tcPr>
            <w:tcW w:w="1024" w:type="pct"/>
            <w:vAlign w:val="center"/>
          </w:tcPr>
          <w:p w14:paraId="5B125C2A" w14:textId="77777777" w:rsidR="00412CCE" w:rsidRPr="00AD1A04" w:rsidRDefault="00412CCE" w:rsidP="00AD1A04">
            <w:pPr>
              <w:pStyle w:val="TableText0"/>
              <w:ind w:left="-35"/>
              <w:rPr>
                <w:rFonts w:cs="Arial"/>
                <w:snapToGrid w:val="0"/>
                <w:szCs w:val="20"/>
              </w:rPr>
            </w:pPr>
            <w:r w:rsidRPr="00AD1A04">
              <w:rPr>
                <w:rFonts w:cs="Arial"/>
                <w:szCs w:val="20"/>
              </w:rPr>
              <w:t>0.959 (0.916, 0.980)</w:t>
            </w:r>
          </w:p>
        </w:tc>
        <w:tc>
          <w:tcPr>
            <w:tcW w:w="1102" w:type="pct"/>
            <w:vAlign w:val="center"/>
          </w:tcPr>
          <w:p w14:paraId="6A66B12A" w14:textId="77777777" w:rsidR="00412CCE" w:rsidRPr="00AD1A04" w:rsidRDefault="00412CCE" w:rsidP="00AD1A04">
            <w:pPr>
              <w:pStyle w:val="TableText0"/>
              <w:rPr>
                <w:rFonts w:cs="Arial"/>
                <w:snapToGrid w:val="0"/>
                <w:szCs w:val="20"/>
              </w:rPr>
            </w:pPr>
            <w:r w:rsidRPr="00AD1A04">
              <w:rPr>
                <w:rFonts w:cs="Arial"/>
                <w:szCs w:val="20"/>
              </w:rPr>
              <w:t>0.959 (0.916, 0.980)</w:t>
            </w:r>
          </w:p>
        </w:tc>
        <w:tc>
          <w:tcPr>
            <w:tcW w:w="1103" w:type="pct"/>
            <w:vAlign w:val="center"/>
          </w:tcPr>
          <w:p w14:paraId="00A78668" w14:textId="77777777" w:rsidR="00412CCE" w:rsidRPr="00AD1A04" w:rsidRDefault="00412CCE" w:rsidP="00AD1A04">
            <w:pPr>
              <w:pStyle w:val="TableText0"/>
              <w:rPr>
                <w:rFonts w:cs="Arial"/>
                <w:snapToGrid w:val="0"/>
                <w:szCs w:val="20"/>
              </w:rPr>
            </w:pPr>
            <w:r w:rsidRPr="00AD1A04">
              <w:rPr>
                <w:rFonts w:cs="Arial"/>
                <w:szCs w:val="20"/>
              </w:rPr>
              <w:t>0.959 (0.916, 0.980)</w:t>
            </w:r>
          </w:p>
        </w:tc>
        <w:tc>
          <w:tcPr>
            <w:tcW w:w="1080" w:type="pct"/>
            <w:vAlign w:val="center"/>
          </w:tcPr>
          <w:p w14:paraId="35DBF7B5" w14:textId="77777777" w:rsidR="00412CCE" w:rsidRPr="00AD1A04" w:rsidRDefault="00412CCE" w:rsidP="00AD1A04">
            <w:pPr>
              <w:pStyle w:val="TableText0"/>
              <w:rPr>
                <w:rFonts w:cs="Arial"/>
                <w:snapToGrid w:val="0"/>
                <w:szCs w:val="20"/>
              </w:rPr>
            </w:pPr>
            <w:r w:rsidRPr="00AD1A04">
              <w:rPr>
                <w:rFonts w:cs="Arial"/>
                <w:szCs w:val="20"/>
              </w:rPr>
              <w:t>0.959 (0.916, 0.980)</w:t>
            </w:r>
          </w:p>
        </w:tc>
      </w:tr>
      <w:tr w:rsidR="00AD1A04" w:rsidRPr="00C02487" w14:paraId="60C4DE0B" w14:textId="77777777" w:rsidTr="00AD1A04">
        <w:tc>
          <w:tcPr>
            <w:tcW w:w="691" w:type="pct"/>
            <w:shd w:val="clear" w:color="auto" w:fill="auto"/>
            <w:vAlign w:val="center"/>
          </w:tcPr>
          <w:p w14:paraId="5EF9F080" w14:textId="7CE03D9A" w:rsidR="00412CCE" w:rsidRPr="009F1F41" w:rsidRDefault="00412CCE" w:rsidP="00AD1A04">
            <w:pPr>
              <w:pStyle w:val="TableText0"/>
              <w:ind w:left="224"/>
            </w:pPr>
            <w:r>
              <w:t>Specificity</w:t>
            </w:r>
          </w:p>
        </w:tc>
        <w:tc>
          <w:tcPr>
            <w:tcW w:w="1024" w:type="pct"/>
            <w:vAlign w:val="center"/>
          </w:tcPr>
          <w:p w14:paraId="358C4D52" w14:textId="77777777" w:rsidR="00412CCE" w:rsidRPr="00AD1A04" w:rsidRDefault="00412CCE" w:rsidP="00AD1A04">
            <w:pPr>
              <w:pStyle w:val="TableText0"/>
              <w:rPr>
                <w:rFonts w:cs="Arial"/>
                <w:snapToGrid w:val="0"/>
                <w:szCs w:val="20"/>
              </w:rPr>
            </w:pPr>
            <w:r w:rsidRPr="00AD1A04">
              <w:rPr>
                <w:rFonts w:cs="Arial"/>
                <w:szCs w:val="20"/>
              </w:rPr>
              <w:t>0.607 (0.520, 0.687)</w:t>
            </w:r>
          </w:p>
        </w:tc>
        <w:tc>
          <w:tcPr>
            <w:tcW w:w="1102" w:type="pct"/>
            <w:vAlign w:val="center"/>
          </w:tcPr>
          <w:p w14:paraId="627F0F10" w14:textId="77777777" w:rsidR="00412CCE" w:rsidRPr="00AD1A04" w:rsidRDefault="00412CCE" w:rsidP="00AD1A04">
            <w:pPr>
              <w:pStyle w:val="TableText0"/>
              <w:rPr>
                <w:rFonts w:cs="Arial"/>
                <w:snapToGrid w:val="0"/>
                <w:szCs w:val="20"/>
              </w:rPr>
            </w:pPr>
            <w:r w:rsidRPr="00AD1A04">
              <w:rPr>
                <w:rFonts w:cs="Arial"/>
                <w:szCs w:val="20"/>
              </w:rPr>
              <w:t>0.607 (0.520, 0.687)</w:t>
            </w:r>
          </w:p>
        </w:tc>
        <w:tc>
          <w:tcPr>
            <w:tcW w:w="1103" w:type="pct"/>
            <w:vAlign w:val="center"/>
          </w:tcPr>
          <w:p w14:paraId="3F71D592" w14:textId="77777777" w:rsidR="00412CCE" w:rsidRPr="00AD1A04" w:rsidRDefault="00412CCE" w:rsidP="00AD1A04">
            <w:pPr>
              <w:pStyle w:val="TableText0"/>
              <w:rPr>
                <w:rFonts w:cs="Arial"/>
                <w:snapToGrid w:val="0"/>
                <w:szCs w:val="20"/>
              </w:rPr>
            </w:pPr>
            <w:r w:rsidRPr="00AD1A04">
              <w:rPr>
                <w:rFonts w:cs="Arial"/>
                <w:szCs w:val="20"/>
              </w:rPr>
              <w:t>0.775 (0.530, 0.914)</w:t>
            </w:r>
          </w:p>
        </w:tc>
        <w:tc>
          <w:tcPr>
            <w:tcW w:w="1080" w:type="pct"/>
            <w:vAlign w:val="center"/>
          </w:tcPr>
          <w:p w14:paraId="0D1B0614" w14:textId="77777777" w:rsidR="00412CCE" w:rsidRPr="00AD1A04" w:rsidRDefault="00412CCE" w:rsidP="00AD1A04">
            <w:pPr>
              <w:pStyle w:val="TableText0"/>
              <w:rPr>
                <w:rFonts w:cs="Arial"/>
                <w:snapToGrid w:val="0"/>
                <w:szCs w:val="20"/>
              </w:rPr>
            </w:pPr>
            <w:r w:rsidRPr="00AD1A04">
              <w:rPr>
                <w:rFonts w:cs="Arial"/>
                <w:szCs w:val="20"/>
              </w:rPr>
              <w:t>0.775 (0.530, 0.914)</w:t>
            </w:r>
          </w:p>
        </w:tc>
      </w:tr>
      <w:tr w:rsidR="00AD1A04" w:rsidRPr="00C02487" w14:paraId="66E05E2D" w14:textId="77777777" w:rsidTr="00AD1A04">
        <w:tc>
          <w:tcPr>
            <w:tcW w:w="691" w:type="pct"/>
            <w:shd w:val="clear" w:color="auto" w:fill="auto"/>
            <w:vAlign w:val="center"/>
          </w:tcPr>
          <w:p w14:paraId="7B872F59" w14:textId="77777777" w:rsidR="00412CCE" w:rsidRDefault="00412CCE" w:rsidP="0080749F">
            <w:pPr>
              <w:pStyle w:val="TableHeading"/>
              <w:keepNext w:val="0"/>
              <w:widowControl w:val="0"/>
              <w:tabs>
                <w:tab w:val="left" w:pos="224"/>
              </w:tabs>
              <w:rPr>
                <w:b w:val="0"/>
                <w:bCs/>
              </w:rPr>
            </w:pPr>
          </w:p>
        </w:tc>
        <w:tc>
          <w:tcPr>
            <w:tcW w:w="1024" w:type="pct"/>
            <w:vAlign w:val="center"/>
          </w:tcPr>
          <w:p w14:paraId="0C3063FE" w14:textId="77777777" w:rsidR="00412CCE" w:rsidRPr="00AD1A04" w:rsidRDefault="00412CCE" w:rsidP="00AD1A04">
            <w:pPr>
              <w:pStyle w:val="Tabletextboldleft"/>
            </w:pPr>
            <w:r w:rsidRPr="00AD1A04">
              <w:rPr>
                <w:snapToGrid w:val="0"/>
              </w:rPr>
              <w:t>Studies N=4</w:t>
            </w:r>
          </w:p>
        </w:tc>
        <w:tc>
          <w:tcPr>
            <w:tcW w:w="1102" w:type="pct"/>
            <w:vAlign w:val="center"/>
          </w:tcPr>
          <w:p w14:paraId="3778C816" w14:textId="60DFDB46" w:rsidR="00412CCE" w:rsidRPr="00AD1A04" w:rsidRDefault="00412CCE" w:rsidP="00AD1A04">
            <w:pPr>
              <w:pStyle w:val="Tabletextboldleft"/>
              <w:rPr>
                <w:snapToGrid w:val="0"/>
              </w:rPr>
            </w:pPr>
            <w:r w:rsidRPr="00AD1A04">
              <w:rPr>
                <w:snapToGrid w:val="0"/>
              </w:rPr>
              <w:t>Excluding</w:t>
            </w:r>
          </w:p>
          <w:p w14:paraId="2FA0D267" w14:textId="77777777" w:rsidR="00412CCE" w:rsidRPr="00AD1A04" w:rsidRDefault="00412CCE" w:rsidP="00AD1A04">
            <w:pPr>
              <w:pStyle w:val="Tabletextboldleft"/>
            </w:pPr>
            <w:r w:rsidRPr="00AD1A04">
              <w:rPr>
                <w:snapToGrid w:val="0"/>
              </w:rPr>
              <w:t>Ioachimescu 2020</w:t>
            </w:r>
          </w:p>
        </w:tc>
        <w:tc>
          <w:tcPr>
            <w:tcW w:w="1103" w:type="pct"/>
            <w:vAlign w:val="center"/>
          </w:tcPr>
          <w:p w14:paraId="47B48E29" w14:textId="77777777" w:rsidR="00412CCE" w:rsidRPr="00AD1A04" w:rsidRDefault="00412CCE" w:rsidP="00AD1A04">
            <w:pPr>
              <w:pStyle w:val="Tabletextboldleft"/>
            </w:pPr>
            <w:r w:rsidRPr="00AD1A04">
              <w:rPr>
                <w:snapToGrid w:val="0"/>
              </w:rPr>
              <w:t>Studies N=4</w:t>
            </w:r>
          </w:p>
        </w:tc>
        <w:tc>
          <w:tcPr>
            <w:tcW w:w="1080" w:type="pct"/>
            <w:vAlign w:val="center"/>
          </w:tcPr>
          <w:p w14:paraId="74BEA571" w14:textId="06EC018C" w:rsidR="00412CCE" w:rsidRPr="00AD1A04" w:rsidRDefault="00412CCE" w:rsidP="00AD1A04">
            <w:pPr>
              <w:pStyle w:val="Tabletextboldleft"/>
              <w:rPr>
                <w:snapToGrid w:val="0"/>
              </w:rPr>
            </w:pPr>
            <w:r w:rsidRPr="00AD1A04">
              <w:rPr>
                <w:snapToGrid w:val="0"/>
              </w:rPr>
              <w:t>Excluding</w:t>
            </w:r>
          </w:p>
          <w:p w14:paraId="50DDC521" w14:textId="77777777" w:rsidR="00412CCE" w:rsidRPr="00AD1A04" w:rsidRDefault="00412CCE" w:rsidP="00AD1A04">
            <w:pPr>
              <w:pStyle w:val="Tabletextboldleft"/>
            </w:pPr>
            <w:r w:rsidRPr="00AD1A04">
              <w:rPr>
                <w:snapToGrid w:val="0"/>
              </w:rPr>
              <w:t>Ioachimescu 2020</w:t>
            </w:r>
          </w:p>
        </w:tc>
      </w:tr>
      <w:tr w:rsidR="00AD1A04" w:rsidRPr="00C02487" w14:paraId="54C1DBBA" w14:textId="77777777" w:rsidTr="00AD1A04">
        <w:tc>
          <w:tcPr>
            <w:tcW w:w="691" w:type="pct"/>
            <w:shd w:val="clear" w:color="auto" w:fill="auto"/>
            <w:vAlign w:val="center"/>
          </w:tcPr>
          <w:p w14:paraId="4889C05C" w14:textId="77777777" w:rsidR="00412CCE" w:rsidRPr="009F1F41" w:rsidRDefault="00412CCE" w:rsidP="0080749F">
            <w:pPr>
              <w:pStyle w:val="TableHeading"/>
              <w:keepNext w:val="0"/>
              <w:widowControl w:val="0"/>
              <w:tabs>
                <w:tab w:val="left" w:pos="224"/>
              </w:tabs>
              <w:rPr>
                <w:b w:val="0"/>
                <w:bCs/>
              </w:rPr>
            </w:pPr>
            <w:r>
              <w:rPr>
                <w:b w:val="0"/>
                <w:bCs/>
              </w:rPr>
              <w:tab/>
              <w:t>PPV</w:t>
            </w:r>
          </w:p>
        </w:tc>
        <w:tc>
          <w:tcPr>
            <w:tcW w:w="1024" w:type="pct"/>
            <w:vAlign w:val="center"/>
          </w:tcPr>
          <w:p w14:paraId="67A5655B" w14:textId="77777777" w:rsidR="00412CCE" w:rsidRPr="00AD1A04" w:rsidRDefault="00412CCE" w:rsidP="00AD1A04">
            <w:pPr>
              <w:pStyle w:val="TableText0"/>
              <w:rPr>
                <w:snapToGrid w:val="0"/>
              </w:rPr>
            </w:pPr>
            <w:r w:rsidRPr="00AD1A04">
              <w:t>0.623 (0.516, 0.720)</w:t>
            </w:r>
          </w:p>
        </w:tc>
        <w:tc>
          <w:tcPr>
            <w:tcW w:w="1102" w:type="pct"/>
            <w:vAlign w:val="center"/>
          </w:tcPr>
          <w:p w14:paraId="4F2E4F64" w14:textId="77777777" w:rsidR="00412CCE" w:rsidRPr="00AD1A04" w:rsidRDefault="00412CCE" w:rsidP="00AD1A04">
            <w:pPr>
              <w:pStyle w:val="TableText0"/>
              <w:rPr>
                <w:snapToGrid w:val="0"/>
              </w:rPr>
            </w:pPr>
            <w:r w:rsidRPr="00AD1A04">
              <w:t>0.623 (0.516, 0.720)</w:t>
            </w:r>
          </w:p>
        </w:tc>
        <w:tc>
          <w:tcPr>
            <w:tcW w:w="1103" w:type="pct"/>
            <w:vAlign w:val="center"/>
          </w:tcPr>
          <w:p w14:paraId="3EA8886B" w14:textId="77777777" w:rsidR="00412CCE" w:rsidRPr="00AD1A04" w:rsidRDefault="00412CCE" w:rsidP="00AD1A04">
            <w:pPr>
              <w:pStyle w:val="TableText0"/>
              <w:rPr>
                <w:snapToGrid w:val="0"/>
              </w:rPr>
            </w:pPr>
            <w:r w:rsidRPr="00AD1A04">
              <w:t>0.694 (0.683, 0.879)</w:t>
            </w:r>
          </w:p>
        </w:tc>
        <w:tc>
          <w:tcPr>
            <w:tcW w:w="1080" w:type="pct"/>
            <w:vAlign w:val="center"/>
          </w:tcPr>
          <w:p w14:paraId="62864996" w14:textId="77777777" w:rsidR="00412CCE" w:rsidRPr="00AD1A04" w:rsidRDefault="00412CCE" w:rsidP="00AD1A04">
            <w:pPr>
              <w:pStyle w:val="TableText0"/>
              <w:rPr>
                <w:snapToGrid w:val="0"/>
              </w:rPr>
            </w:pPr>
            <w:r w:rsidRPr="00AD1A04">
              <w:t>0.697</w:t>
            </w:r>
            <w:r w:rsidRPr="00AD1A04">
              <w:rPr>
                <w:vertAlign w:val="superscript"/>
              </w:rPr>
              <w:t>a</w:t>
            </w:r>
            <w:r w:rsidRPr="00AD1A04">
              <w:t xml:space="preserve"> (0.444, 0.868)</w:t>
            </w:r>
          </w:p>
        </w:tc>
      </w:tr>
      <w:tr w:rsidR="00AD1A04" w:rsidRPr="00C02487" w14:paraId="7B1A366E" w14:textId="77777777" w:rsidTr="00AD1A04">
        <w:tc>
          <w:tcPr>
            <w:tcW w:w="691" w:type="pct"/>
            <w:shd w:val="clear" w:color="auto" w:fill="auto"/>
            <w:vAlign w:val="center"/>
          </w:tcPr>
          <w:p w14:paraId="2C175F6A" w14:textId="77777777" w:rsidR="00412CCE" w:rsidRPr="009F1F41" w:rsidRDefault="00412CCE" w:rsidP="0080749F">
            <w:pPr>
              <w:pStyle w:val="TableHeading"/>
              <w:keepNext w:val="0"/>
              <w:widowControl w:val="0"/>
              <w:tabs>
                <w:tab w:val="left" w:pos="224"/>
              </w:tabs>
              <w:rPr>
                <w:b w:val="0"/>
                <w:bCs/>
              </w:rPr>
            </w:pPr>
            <w:r>
              <w:rPr>
                <w:b w:val="0"/>
                <w:bCs/>
              </w:rPr>
              <w:tab/>
              <w:t>NPV</w:t>
            </w:r>
          </w:p>
        </w:tc>
        <w:tc>
          <w:tcPr>
            <w:tcW w:w="1024" w:type="pct"/>
            <w:vAlign w:val="center"/>
          </w:tcPr>
          <w:p w14:paraId="17B42E1E" w14:textId="77777777" w:rsidR="00412CCE" w:rsidRPr="00AD1A04" w:rsidRDefault="00412CCE" w:rsidP="00AD1A04">
            <w:pPr>
              <w:pStyle w:val="TableText0"/>
              <w:rPr>
                <w:snapToGrid w:val="0"/>
              </w:rPr>
            </w:pPr>
            <w:r w:rsidRPr="00AD1A04">
              <w:t>0.790 (0.694, 0.862)</w:t>
            </w:r>
          </w:p>
        </w:tc>
        <w:tc>
          <w:tcPr>
            <w:tcW w:w="1102" w:type="pct"/>
            <w:vAlign w:val="center"/>
          </w:tcPr>
          <w:p w14:paraId="7659E8BF" w14:textId="77777777" w:rsidR="00412CCE" w:rsidRPr="00AD1A04" w:rsidRDefault="00412CCE" w:rsidP="00AD1A04">
            <w:pPr>
              <w:pStyle w:val="TableText0"/>
              <w:rPr>
                <w:snapToGrid w:val="0"/>
              </w:rPr>
            </w:pPr>
            <w:r w:rsidRPr="00AD1A04">
              <w:t>0.790 (0.694, 0.862)</w:t>
            </w:r>
          </w:p>
        </w:tc>
        <w:tc>
          <w:tcPr>
            <w:tcW w:w="1103" w:type="pct"/>
            <w:vAlign w:val="center"/>
          </w:tcPr>
          <w:p w14:paraId="7242DBE6" w14:textId="77777777" w:rsidR="00412CCE" w:rsidRPr="00AD1A04" w:rsidRDefault="00412CCE" w:rsidP="00AD1A04">
            <w:pPr>
              <w:pStyle w:val="TableText0"/>
              <w:rPr>
                <w:snapToGrid w:val="0"/>
              </w:rPr>
            </w:pPr>
            <w:r w:rsidRPr="00AD1A04">
              <w:t>0.799 (0.683– 0.879)</w:t>
            </w:r>
          </w:p>
        </w:tc>
        <w:tc>
          <w:tcPr>
            <w:tcW w:w="1080" w:type="pct"/>
            <w:vAlign w:val="center"/>
          </w:tcPr>
          <w:p w14:paraId="09FAF1C8" w14:textId="77777777" w:rsidR="00412CCE" w:rsidRPr="00AD1A04" w:rsidRDefault="00412CCE" w:rsidP="00AD1A04">
            <w:pPr>
              <w:pStyle w:val="TableText0"/>
              <w:rPr>
                <w:snapToGrid w:val="0"/>
              </w:rPr>
            </w:pPr>
            <w:r w:rsidRPr="00AD1A04">
              <w:t>0.799 (0.683, 0.879)</w:t>
            </w:r>
          </w:p>
        </w:tc>
      </w:tr>
      <w:tr w:rsidR="00AD1A04" w:rsidRPr="00C02487" w14:paraId="35BB23BA" w14:textId="77777777" w:rsidTr="00AD1A04">
        <w:tc>
          <w:tcPr>
            <w:tcW w:w="691" w:type="pct"/>
            <w:shd w:val="clear" w:color="auto" w:fill="auto"/>
            <w:vAlign w:val="center"/>
          </w:tcPr>
          <w:p w14:paraId="37A723AE" w14:textId="77777777" w:rsidR="00412CCE" w:rsidRDefault="00412CCE" w:rsidP="0080749F">
            <w:pPr>
              <w:pStyle w:val="TableHeading"/>
              <w:keepNext w:val="0"/>
              <w:widowControl w:val="0"/>
              <w:tabs>
                <w:tab w:val="left" w:pos="224"/>
              </w:tabs>
            </w:pPr>
            <w:r w:rsidRPr="00244239">
              <w:t>Moderate OSA</w:t>
            </w:r>
          </w:p>
          <w:p w14:paraId="22109EA8" w14:textId="77777777" w:rsidR="00412CCE" w:rsidRPr="00244239" w:rsidRDefault="00412CCE" w:rsidP="0080749F">
            <w:pPr>
              <w:pStyle w:val="TableHeading"/>
              <w:keepNext w:val="0"/>
              <w:widowControl w:val="0"/>
              <w:tabs>
                <w:tab w:val="left" w:pos="224"/>
              </w:tabs>
            </w:pPr>
            <w:r>
              <w:t>(AHI&gt;15-30)</w:t>
            </w:r>
          </w:p>
        </w:tc>
        <w:tc>
          <w:tcPr>
            <w:tcW w:w="1024" w:type="pct"/>
            <w:vAlign w:val="center"/>
          </w:tcPr>
          <w:p w14:paraId="72A361B4" w14:textId="77777777" w:rsidR="00412CCE" w:rsidRPr="00AD1A04" w:rsidRDefault="00412CCE" w:rsidP="00AD1A04">
            <w:pPr>
              <w:pStyle w:val="Tabletextboldleft"/>
              <w:rPr>
                <w:bCs/>
                <w:snapToGrid w:val="0"/>
              </w:rPr>
            </w:pPr>
            <w:r w:rsidRPr="00AD1A04">
              <w:rPr>
                <w:snapToGrid w:val="0"/>
              </w:rPr>
              <w:t>Studies N=9</w:t>
            </w:r>
          </w:p>
        </w:tc>
        <w:tc>
          <w:tcPr>
            <w:tcW w:w="1102" w:type="pct"/>
            <w:vAlign w:val="center"/>
          </w:tcPr>
          <w:p w14:paraId="00E82BF5" w14:textId="270407AA" w:rsidR="00412CCE" w:rsidRPr="00AD1A04" w:rsidRDefault="00412CCE" w:rsidP="00AD1A04">
            <w:pPr>
              <w:pStyle w:val="Tabletextboldleft"/>
              <w:rPr>
                <w:snapToGrid w:val="0"/>
              </w:rPr>
            </w:pPr>
            <w:r w:rsidRPr="00AD1A04">
              <w:rPr>
                <w:snapToGrid w:val="0"/>
              </w:rPr>
              <w:t>Excluding</w:t>
            </w:r>
          </w:p>
          <w:p w14:paraId="65EB0954" w14:textId="77777777" w:rsidR="00412CCE" w:rsidRPr="00AD1A04" w:rsidRDefault="00412CCE" w:rsidP="00AD1A04">
            <w:pPr>
              <w:pStyle w:val="Tabletextboldleft"/>
              <w:rPr>
                <w:bCs/>
                <w:snapToGrid w:val="0"/>
              </w:rPr>
            </w:pPr>
            <w:r w:rsidRPr="00AD1A04">
              <w:rPr>
                <w:snapToGrid w:val="0"/>
              </w:rPr>
              <w:t>Ioachimescu 2020</w:t>
            </w:r>
          </w:p>
        </w:tc>
        <w:tc>
          <w:tcPr>
            <w:tcW w:w="1103" w:type="pct"/>
            <w:vAlign w:val="center"/>
          </w:tcPr>
          <w:p w14:paraId="04D1C59F" w14:textId="77777777" w:rsidR="00412CCE" w:rsidRPr="00AD1A04" w:rsidRDefault="00412CCE" w:rsidP="00AD1A04">
            <w:pPr>
              <w:pStyle w:val="Tabletextboldleft"/>
              <w:rPr>
                <w:bCs/>
                <w:snapToGrid w:val="0"/>
              </w:rPr>
            </w:pPr>
            <w:r w:rsidRPr="00AD1A04">
              <w:rPr>
                <w:snapToGrid w:val="0"/>
              </w:rPr>
              <w:t>Studies N=9</w:t>
            </w:r>
          </w:p>
        </w:tc>
        <w:tc>
          <w:tcPr>
            <w:tcW w:w="1080" w:type="pct"/>
            <w:vAlign w:val="center"/>
          </w:tcPr>
          <w:p w14:paraId="7E970521" w14:textId="60A6DA40" w:rsidR="00412CCE" w:rsidRPr="00AD1A04" w:rsidRDefault="00412CCE" w:rsidP="00AD1A04">
            <w:pPr>
              <w:pStyle w:val="Tabletextboldleft"/>
              <w:rPr>
                <w:snapToGrid w:val="0"/>
              </w:rPr>
            </w:pPr>
            <w:r w:rsidRPr="00AD1A04">
              <w:rPr>
                <w:snapToGrid w:val="0"/>
              </w:rPr>
              <w:t>Excluding</w:t>
            </w:r>
          </w:p>
          <w:p w14:paraId="02ACAED0" w14:textId="77777777" w:rsidR="00412CCE" w:rsidRPr="00AD1A04" w:rsidRDefault="00412CCE" w:rsidP="00AD1A04">
            <w:pPr>
              <w:pStyle w:val="Tabletextboldleft"/>
              <w:rPr>
                <w:bCs/>
                <w:snapToGrid w:val="0"/>
              </w:rPr>
            </w:pPr>
            <w:r w:rsidRPr="00AD1A04">
              <w:rPr>
                <w:snapToGrid w:val="0"/>
              </w:rPr>
              <w:t>Ioachimescu 2020</w:t>
            </w:r>
          </w:p>
        </w:tc>
      </w:tr>
      <w:tr w:rsidR="00AD1A04" w:rsidRPr="00C02487" w14:paraId="6F6E04AA" w14:textId="77777777" w:rsidTr="00AD1A04">
        <w:tc>
          <w:tcPr>
            <w:tcW w:w="691" w:type="pct"/>
            <w:shd w:val="clear" w:color="auto" w:fill="auto"/>
            <w:vAlign w:val="center"/>
          </w:tcPr>
          <w:p w14:paraId="675658F5" w14:textId="77777777" w:rsidR="00412CCE" w:rsidRPr="009F1F41" w:rsidRDefault="00412CCE" w:rsidP="0080749F">
            <w:pPr>
              <w:pStyle w:val="TableHeading"/>
              <w:keepNext w:val="0"/>
              <w:widowControl w:val="0"/>
              <w:tabs>
                <w:tab w:val="left" w:pos="224"/>
              </w:tabs>
              <w:rPr>
                <w:b w:val="0"/>
                <w:bCs/>
              </w:rPr>
            </w:pPr>
            <w:r>
              <w:rPr>
                <w:b w:val="0"/>
                <w:bCs/>
                <w:snapToGrid w:val="0"/>
                <w:lang w:eastAsia="en-US"/>
              </w:rPr>
              <w:tab/>
              <w:t>Sensitivity</w:t>
            </w:r>
          </w:p>
        </w:tc>
        <w:tc>
          <w:tcPr>
            <w:tcW w:w="1024" w:type="pct"/>
            <w:vAlign w:val="center"/>
          </w:tcPr>
          <w:p w14:paraId="769F9D4C" w14:textId="77777777" w:rsidR="00412CCE" w:rsidRPr="00AD1A04" w:rsidRDefault="00412CCE" w:rsidP="00AD1A04">
            <w:pPr>
              <w:pStyle w:val="TableText0"/>
              <w:rPr>
                <w:snapToGrid w:val="0"/>
              </w:rPr>
            </w:pPr>
            <w:r w:rsidRPr="00AD1A04">
              <w:t>0.898 (0.875, 0.918)</w:t>
            </w:r>
          </w:p>
        </w:tc>
        <w:tc>
          <w:tcPr>
            <w:tcW w:w="1102" w:type="pct"/>
            <w:vAlign w:val="center"/>
          </w:tcPr>
          <w:p w14:paraId="646254D5" w14:textId="77777777" w:rsidR="00412CCE" w:rsidRPr="00AD1A04" w:rsidRDefault="00412CCE" w:rsidP="00AD1A04">
            <w:pPr>
              <w:pStyle w:val="TableText0"/>
              <w:rPr>
                <w:snapToGrid w:val="0"/>
              </w:rPr>
            </w:pPr>
            <w:r w:rsidRPr="00AD1A04">
              <w:t>0.881 (0.838, 0.913)</w:t>
            </w:r>
          </w:p>
        </w:tc>
        <w:tc>
          <w:tcPr>
            <w:tcW w:w="1103" w:type="pct"/>
            <w:vAlign w:val="center"/>
          </w:tcPr>
          <w:p w14:paraId="2B5D62B2" w14:textId="77777777" w:rsidR="00412CCE" w:rsidRPr="00AD1A04" w:rsidRDefault="00412CCE" w:rsidP="00AD1A04">
            <w:pPr>
              <w:pStyle w:val="TableText0"/>
              <w:rPr>
                <w:snapToGrid w:val="0"/>
              </w:rPr>
            </w:pPr>
            <w:r w:rsidRPr="00AD1A04">
              <w:t>0.898 (0.875, 0.918)</w:t>
            </w:r>
          </w:p>
        </w:tc>
        <w:tc>
          <w:tcPr>
            <w:tcW w:w="1080" w:type="pct"/>
            <w:vAlign w:val="center"/>
          </w:tcPr>
          <w:p w14:paraId="38A00F0C" w14:textId="77777777" w:rsidR="00412CCE" w:rsidRPr="00AD1A04" w:rsidRDefault="00412CCE" w:rsidP="00AD1A04">
            <w:pPr>
              <w:pStyle w:val="TableText0"/>
              <w:rPr>
                <w:snapToGrid w:val="0"/>
              </w:rPr>
            </w:pPr>
            <w:r w:rsidRPr="00AD1A04">
              <w:t>0.885 (0.837, 0.920)</w:t>
            </w:r>
          </w:p>
        </w:tc>
      </w:tr>
      <w:tr w:rsidR="00AD1A04" w:rsidRPr="00C02487" w14:paraId="015643E9" w14:textId="77777777" w:rsidTr="00AD1A04">
        <w:tc>
          <w:tcPr>
            <w:tcW w:w="691" w:type="pct"/>
            <w:shd w:val="clear" w:color="auto" w:fill="auto"/>
            <w:vAlign w:val="center"/>
          </w:tcPr>
          <w:p w14:paraId="6AB5EEA2" w14:textId="77777777" w:rsidR="00412CCE" w:rsidRPr="009F1F41" w:rsidRDefault="00412CCE" w:rsidP="0080749F">
            <w:pPr>
              <w:pStyle w:val="TableHeading"/>
              <w:keepNext w:val="0"/>
              <w:widowControl w:val="0"/>
              <w:tabs>
                <w:tab w:val="left" w:pos="224"/>
              </w:tabs>
              <w:rPr>
                <w:b w:val="0"/>
                <w:bCs/>
              </w:rPr>
            </w:pPr>
            <w:r>
              <w:rPr>
                <w:b w:val="0"/>
                <w:bCs/>
              </w:rPr>
              <w:tab/>
              <w:t>Specificity</w:t>
            </w:r>
          </w:p>
        </w:tc>
        <w:tc>
          <w:tcPr>
            <w:tcW w:w="1024" w:type="pct"/>
            <w:vAlign w:val="center"/>
          </w:tcPr>
          <w:p w14:paraId="6090A6E0" w14:textId="77777777" w:rsidR="00412CCE" w:rsidRPr="00AD1A04" w:rsidRDefault="00412CCE" w:rsidP="00AD1A04">
            <w:pPr>
              <w:pStyle w:val="TableText0"/>
              <w:rPr>
                <w:snapToGrid w:val="0"/>
              </w:rPr>
            </w:pPr>
            <w:r w:rsidRPr="00AD1A04">
              <w:t>0.662 (0.628, 0.695)</w:t>
            </w:r>
          </w:p>
        </w:tc>
        <w:tc>
          <w:tcPr>
            <w:tcW w:w="1102" w:type="pct"/>
            <w:vAlign w:val="center"/>
          </w:tcPr>
          <w:p w14:paraId="285EBA0A" w14:textId="77777777" w:rsidR="00412CCE" w:rsidRPr="00AD1A04" w:rsidRDefault="00412CCE" w:rsidP="00AD1A04">
            <w:pPr>
              <w:pStyle w:val="TableText0"/>
              <w:rPr>
                <w:snapToGrid w:val="0"/>
              </w:rPr>
            </w:pPr>
            <w:r w:rsidRPr="00AD1A04">
              <w:t>0.766 (0.714 -0.811)</w:t>
            </w:r>
          </w:p>
        </w:tc>
        <w:tc>
          <w:tcPr>
            <w:tcW w:w="1103" w:type="pct"/>
            <w:vAlign w:val="center"/>
          </w:tcPr>
          <w:p w14:paraId="5513E33B" w14:textId="77777777" w:rsidR="00412CCE" w:rsidRPr="00AD1A04" w:rsidRDefault="00412CCE" w:rsidP="00AD1A04">
            <w:pPr>
              <w:pStyle w:val="TableText0"/>
              <w:rPr>
                <w:snapToGrid w:val="0"/>
              </w:rPr>
            </w:pPr>
            <w:r w:rsidRPr="00AD1A04">
              <w:t>0.776 (0.679, 0.835</w:t>
            </w:r>
          </w:p>
        </w:tc>
        <w:tc>
          <w:tcPr>
            <w:tcW w:w="1080" w:type="pct"/>
            <w:vAlign w:val="center"/>
          </w:tcPr>
          <w:p w14:paraId="770120DA" w14:textId="77777777" w:rsidR="00412CCE" w:rsidRPr="00AD1A04" w:rsidRDefault="00412CCE" w:rsidP="00AD1A04">
            <w:pPr>
              <w:pStyle w:val="TableText0"/>
              <w:rPr>
                <w:snapToGrid w:val="0"/>
              </w:rPr>
            </w:pPr>
            <w:r w:rsidRPr="00AD1A04">
              <w:t>0.802 (0.697, 0.877)</w:t>
            </w:r>
          </w:p>
        </w:tc>
      </w:tr>
      <w:tr w:rsidR="00AD1A04" w:rsidRPr="00C02487" w14:paraId="31482566" w14:textId="77777777" w:rsidTr="00AD1A04">
        <w:tc>
          <w:tcPr>
            <w:tcW w:w="691" w:type="pct"/>
            <w:shd w:val="clear" w:color="auto" w:fill="auto"/>
            <w:vAlign w:val="center"/>
          </w:tcPr>
          <w:p w14:paraId="6577E6BB" w14:textId="77777777" w:rsidR="00412CCE" w:rsidRDefault="00412CCE" w:rsidP="0080749F">
            <w:pPr>
              <w:pStyle w:val="TableHeading"/>
              <w:keepNext w:val="0"/>
              <w:widowControl w:val="0"/>
              <w:tabs>
                <w:tab w:val="left" w:pos="224"/>
              </w:tabs>
              <w:rPr>
                <w:b w:val="0"/>
                <w:bCs/>
              </w:rPr>
            </w:pPr>
          </w:p>
        </w:tc>
        <w:tc>
          <w:tcPr>
            <w:tcW w:w="1024" w:type="pct"/>
            <w:vAlign w:val="center"/>
          </w:tcPr>
          <w:p w14:paraId="43DB90C4" w14:textId="77777777" w:rsidR="00412CCE" w:rsidRPr="00AD1A04" w:rsidRDefault="00412CCE" w:rsidP="00AD1A04">
            <w:pPr>
              <w:pStyle w:val="Tabletextboldleft"/>
              <w:rPr>
                <w:bCs/>
                <w:i/>
                <w:iCs/>
                <w:snapToGrid w:val="0"/>
              </w:rPr>
            </w:pPr>
            <w:r w:rsidRPr="00AD1A04">
              <w:rPr>
                <w:i/>
                <w:iCs/>
                <w:snapToGrid w:val="0"/>
              </w:rPr>
              <w:t>Studies N=5</w:t>
            </w:r>
          </w:p>
        </w:tc>
        <w:tc>
          <w:tcPr>
            <w:tcW w:w="1102" w:type="pct"/>
            <w:vAlign w:val="center"/>
          </w:tcPr>
          <w:p w14:paraId="594D85AB" w14:textId="7C0FACC0" w:rsidR="00412CCE" w:rsidRPr="00AD1A04" w:rsidRDefault="00412CCE" w:rsidP="00AD1A04">
            <w:pPr>
              <w:pStyle w:val="Tabletextboldleft"/>
              <w:rPr>
                <w:snapToGrid w:val="0"/>
              </w:rPr>
            </w:pPr>
            <w:r w:rsidRPr="00AD1A04">
              <w:rPr>
                <w:snapToGrid w:val="0"/>
              </w:rPr>
              <w:t>Excluding</w:t>
            </w:r>
          </w:p>
          <w:p w14:paraId="0E0DE27E" w14:textId="77777777" w:rsidR="00412CCE" w:rsidRPr="00AD1A04" w:rsidRDefault="00412CCE" w:rsidP="00AD1A04">
            <w:pPr>
              <w:pStyle w:val="Tabletextboldleft"/>
              <w:rPr>
                <w:bCs/>
                <w:snapToGrid w:val="0"/>
              </w:rPr>
            </w:pPr>
            <w:r w:rsidRPr="00AD1A04">
              <w:rPr>
                <w:snapToGrid w:val="0"/>
              </w:rPr>
              <w:t>Ioachimescu 2020</w:t>
            </w:r>
          </w:p>
        </w:tc>
        <w:tc>
          <w:tcPr>
            <w:tcW w:w="1103" w:type="pct"/>
            <w:vAlign w:val="center"/>
          </w:tcPr>
          <w:p w14:paraId="45B6A86E" w14:textId="77777777" w:rsidR="00412CCE" w:rsidRPr="00AD1A04" w:rsidRDefault="00412CCE" w:rsidP="00AD1A04">
            <w:pPr>
              <w:pStyle w:val="Tabletextboldleft"/>
              <w:rPr>
                <w:bCs/>
                <w:i/>
                <w:iCs/>
                <w:snapToGrid w:val="0"/>
              </w:rPr>
            </w:pPr>
            <w:r w:rsidRPr="00AD1A04">
              <w:rPr>
                <w:i/>
                <w:iCs/>
                <w:snapToGrid w:val="0"/>
              </w:rPr>
              <w:t>Studies N=5</w:t>
            </w:r>
          </w:p>
        </w:tc>
        <w:tc>
          <w:tcPr>
            <w:tcW w:w="1080" w:type="pct"/>
            <w:vAlign w:val="center"/>
          </w:tcPr>
          <w:p w14:paraId="0B6867B2" w14:textId="00634A59" w:rsidR="00412CCE" w:rsidRPr="00AD1A04" w:rsidRDefault="00412CCE" w:rsidP="00AD1A04">
            <w:pPr>
              <w:pStyle w:val="Tabletextboldleft"/>
              <w:rPr>
                <w:snapToGrid w:val="0"/>
              </w:rPr>
            </w:pPr>
            <w:r w:rsidRPr="00AD1A04">
              <w:rPr>
                <w:snapToGrid w:val="0"/>
              </w:rPr>
              <w:t>Excluding</w:t>
            </w:r>
          </w:p>
          <w:p w14:paraId="3F5EC213" w14:textId="77777777" w:rsidR="00412CCE" w:rsidRPr="00AD1A04" w:rsidRDefault="00412CCE" w:rsidP="00AD1A04">
            <w:pPr>
              <w:pStyle w:val="Tabletextboldleft"/>
              <w:rPr>
                <w:bCs/>
                <w:snapToGrid w:val="0"/>
              </w:rPr>
            </w:pPr>
            <w:r w:rsidRPr="00AD1A04">
              <w:rPr>
                <w:snapToGrid w:val="0"/>
              </w:rPr>
              <w:t>Ioachimescu 2020</w:t>
            </w:r>
          </w:p>
        </w:tc>
      </w:tr>
      <w:tr w:rsidR="00AD1A04" w:rsidRPr="00C02487" w14:paraId="28FE37AA" w14:textId="77777777" w:rsidTr="00AD1A04">
        <w:tc>
          <w:tcPr>
            <w:tcW w:w="691" w:type="pct"/>
            <w:shd w:val="clear" w:color="auto" w:fill="auto"/>
            <w:vAlign w:val="center"/>
          </w:tcPr>
          <w:p w14:paraId="37CF935F" w14:textId="77777777" w:rsidR="00412CCE" w:rsidRPr="009F1F41" w:rsidRDefault="00412CCE" w:rsidP="0080749F">
            <w:pPr>
              <w:pStyle w:val="TableHeading"/>
              <w:keepNext w:val="0"/>
              <w:widowControl w:val="0"/>
              <w:tabs>
                <w:tab w:val="left" w:pos="224"/>
              </w:tabs>
              <w:rPr>
                <w:b w:val="0"/>
                <w:bCs/>
              </w:rPr>
            </w:pPr>
            <w:r>
              <w:rPr>
                <w:b w:val="0"/>
                <w:bCs/>
              </w:rPr>
              <w:tab/>
              <w:t>PPV</w:t>
            </w:r>
          </w:p>
        </w:tc>
        <w:tc>
          <w:tcPr>
            <w:tcW w:w="1024" w:type="pct"/>
            <w:vAlign w:val="center"/>
          </w:tcPr>
          <w:p w14:paraId="31556AC5" w14:textId="77777777" w:rsidR="00412CCE" w:rsidRPr="00AD1A04" w:rsidRDefault="00412CCE" w:rsidP="00AD1A04">
            <w:pPr>
              <w:pStyle w:val="TableText0"/>
              <w:rPr>
                <w:snapToGrid w:val="0"/>
              </w:rPr>
            </w:pPr>
            <w:r w:rsidRPr="00AD1A04">
              <w:t>0.743 (0.707, 0.777)</w:t>
            </w:r>
          </w:p>
        </w:tc>
        <w:tc>
          <w:tcPr>
            <w:tcW w:w="1102" w:type="pct"/>
            <w:vAlign w:val="center"/>
          </w:tcPr>
          <w:p w14:paraId="34EDD771" w14:textId="77777777" w:rsidR="00412CCE" w:rsidRPr="00AD1A04" w:rsidRDefault="00412CCE" w:rsidP="00AD1A04">
            <w:pPr>
              <w:pStyle w:val="TableText0"/>
              <w:rPr>
                <w:snapToGrid w:val="0"/>
              </w:rPr>
            </w:pPr>
            <w:r w:rsidRPr="00AD1A04">
              <w:t>0.669 (0.573, 0.753)</w:t>
            </w:r>
          </w:p>
        </w:tc>
        <w:tc>
          <w:tcPr>
            <w:tcW w:w="1103" w:type="pct"/>
            <w:vAlign w:val="center"/>
          </w:tcPr>
          <w:p w14:paraId="236ED5A8" w14:textId="77777777" w:rsidR="00412CCE" w:rsidRPr="00AD1A04" w:rsidRDefault="00412CCE" w:rsidP="00AD1A04">
            <w:pPr>
              <w:pStyle w:val="TableText0"/>
              <w:rPr>
                <w:snapToGrid w:val="0"/>
              </w:rPr>
            </w:pPr>
            <w:r w:rsidRPr="00AD1A04">
              <w:t>0.711 (0.610, 0.795)</w:t>
            </w:r>
          </w:p>
        </w:tc>
        <w:tc>
          <w:tcPr>
            <w:tcW w:w="1080" w:type="pct"/>
            <w:vAlign w:val="center"/>
          </w:tcPr>
          <w:p w14:paraId="6E074C12" w14:textId="77777777" w:rsidR="00412CCE" w:rsidRPr="00AD1A04" w:rsidRDefault="00412CCE" w:rsidP="00AD1A04">
            <w:pPr>
              <w:pStyle w:val="TableText0"/>
              <w:rPr>
                <w:snapToGrid w:val="0"/>
              </w:rPr>
            </w:pPr>
            <w:r w:rsidRPr="00AD1A04">
              <w:t>0.693 (0.521, 0.824)</w:t>
            </w:r>
          </w:p>
        </w:tc>
      </w:tr>
      <w:tr w:rsidR="00AD1A04" w:rsidRPr="00C02487" w14:paraId="50C82C35" w14:textId="77777777" w:rsidTr="00AD1A04">
        <w:tc>
          <w:tcPr>
            <w:tcW w:w="691" w:type="pct"/>
            <w:shd w:val="clear" w:color="auto" w:fill="auto"/>
            <w:vAlign w:val="center"/>
          </w:tcPr>
          <w:p w14:paraId="3BAA489A" w14:textId="77777777" w:rsidR="00412CCE" w:rsidRPr="009F1F41" w:rsidRDefault="00412CCE" w:rsidP="0080749F">
            <w:pPr>
              <w:pStyle w:val="TableHeading"/>
              <w:keepNext w:val="0"/>
              <w:widowControl w:val="0"/>
              <w:tabs>
                <w:tab w:val="left" w:pos="224"/>
              </w:tabs>
              <w:rPr>
                <w:b w:val="0"/>
                <w:bCs/>
              </w:rPr>
            </w:pPr>
            <w:r>
              <w:rPr>
                <w:b w:val="0"/>
                <w:bCs/>
              </w:rPr>
              <w:tab/>
              <w:t>NPV</w:t>
            </w:r>
          </w:p>
        </w:tc>
        <w:tc>
          <w:tcPr>
            <w:tcW w:w="1024" w:type="pct"/>
            <w:vAlign w:val="center"/>
          </w:tcPr>
          <w:p w14:paraId="0EB01F9A" w14:textId="77777777" w:rsidR="00412CCE" w:rsidRPr="00AD1A04" w:rsidRDefault="00412CCE" w:rsidP="00AD1A04">
            <w:pPr>
              <w:pStyle w:val="TableText0"/>
              <w:rPr>
                <w:snapToGrid w:val="0"/>
              </w:rPr>
            </w:pPr>
            <w:r w:rsidRPr="00AD1A04">
              <w:t>0.841 (0.780, 0.888)</w:t>
            </w:r>
          </w:p>
        </w:tc>
        <w:tc>
          <w:tcPr>
            <w:tcW w:w="1102" w:type="pct"/>
            <w:vAlign w:val="center"/>
          </w:tcPr>
          <w:p w14:paraId="15B920C1" w14:textId="77777777" w:rsidR="00412CCE" w:rsidRPr="00AD1A04" w:rsidRDefault="00412CCE" w:rsidP="00AD1A04">
            <w:pPr>
              <w:pStyle w:val="TableText0"/>
              <w:rPr>
                <w:snapToGrid w:val="0"/>
              </w:rPr>
            </w:pPr>
            <w:r w:rsidRPr="00AD1A04">
              <w:t>0.841 (0.780, 0.888)</w:t>
            </w:r>
          </w:p>
        </w:tc>
        <w:tc>
          <w:tcPr>
            <w:tcW w:w="1103" w:type="pct"/>
            <w:vAlign w:val="center"/>
          </w:tcPr>
          <w:p w14:paraId="7A2A3C5D" w14:textId="77777777" w:rsidR="00412CCE" w:rsidRPr="00AD1A04" w:rsidRDefault="00412CCE" w:rsidP="00AD1A04">
            <w:pPr>
              <w:pStyle w:val="TableText0"/>
              <w:rPr>
                <w:snapToGrid w:val="0"/>
              </w:rPr>
            </w:pPr>
            <w:r w:rsidRPr="00AD1A04">
              <w:t>0.848 (0.770, 0.903)</w:t>
            </w:r>
          </w:p>
        </w:tc>
        <w:tc>
          <w:tcPr>
            <w:tcW w:w="1080" w:type="pct"/>
            <w:vAlign w:val="center"/>
          </w:tcPr>
          <w:p w14:paraId="415ABB17" w14:textId="77777777" w:rsidR="00412CCE" w:rsidRPr="00AD1A04" w:rsidRDefault="00412CCE" w:rsidP="00AD1A04">
            <w:pPr>
              <w:pStyle w:val="TableText0"/>
              <w:rPr>
                <w:snapToGrid w:val="0"/>
              </w:rPr>
            </w:pPr>
            <w:r w:rsidRPr="00AD1A04">
              <w:t>0.848 (0.770, 0.903)</w:t>
            </w:r>
          </w:p>
        </w:tc>
      </w:tr>
      <w:tr w:rsidR="00AD1A04" w:rsidRPr="00C02487" w14:paraId="11F72D03" w14:textId="77777777" w:rsidTr="00AD1A04">
        <w:tc>
          <w:tcPr>
            <w:tcW w:w="691" w:type="pct"/>
            <w:shd w:val="clear" w:color="auto" w:fill="auto"/>
            <w:vAlign w:val="center"/>
          </w:tcPr>
          <w:p w14:paraId="2A54D8B4" w14:textId="77777777" w:rsidR="00412CCE" w:rsidRDefault="00412CCE" w:rsidP="0080749F">
            <w:pPr>
              <w:pStyle w:val="TableHeading"/>
              <w:keepNext w:val="0"/>
              <w:widowControl w:val="0"/>
              <w:tabs>
                <w:tab w:val="left" w:pos="224"/>
              </w:tabs>
            </w:pPr>
            <w:r w:rsidRPr="00244239">
              <w:t>Severe OSA</w:t>
            </w:r>
          </w:p>
          <w:p w14:paraId="140A3701" w14:textId="77777777" w:rsidR="00412CCE" w:rsidRPr="00244239" w:rsidRDefault="00412CCE" w:rsidP="0080749F">
            <w:pPr>
              <w:pStyle w:val="TableHeading"/>
              <w:keepNext w:val="0"/>
              <w:widowControl w:val="0"/>
              <w:tabs>
                <w:tab w:val="left" w:pos="224"/>
              </w:tabs>
            </w:pPr>
            <w:r>
              <w:t>(AHI&gt;30)</w:t>
            </w:r>
          </w:p>
        </w:tc>
        <w:tc>
          <w:tcPr>
            <w:tcW w:w="1024" w:type="pct"/>
            <w:vAlign w:val="center"/>
          </w:tcPr>
          <w:p w14:paraId="66ECCB05" w14:textId="77777777" w:rsidR="00412CCE" w:rsidRPr="00AD1A04" w:rsidRDefault="00412CCE" w:rsidP="00AD1A04">
            <w:pPr>
              <w:pStyle w:val="Tabletextboldleft"/>
              <w:rPr>
                <w:bCs/>
                <w:i/>
                <w:iCs/>
                <w:snapToGrid w:val="0"/>
              </w:rPr>
            </w:pPr>
            <w:r w:rsidRPr="00AD1A04">
              <w:rPr>
                <w:i/>
                <w:iCs/>
                <w:snapToGrid w:val="0"/>
              </w:rPr>
              <w:t>Studies N=7</w:t>
            </w:r>
          </w:p>
        </w:tc>
        <w:tc>
          <w:tcPr>
            <w:tcW w:w="1102" w:type="pct"/>
            <w:vAlign w:val="center"/>
          </w:tcPr>
          <w:p w14:paraId="25357EB9" w14:textId="7C27F0E6" w:rsidR="00412CCE" w:rsidRPr="00AD1A04" w:rsidRDefault="00412CCE" w:rsidP="00AD1A04">
            <w:pPr>
              <w:pStyle w:val="Tabletextboldleft"/>
              <w:rPr>
                <w:snapToGrid w:val="0"/>
              </w:rPr>
            </w:pPr>
            <w:r w:rsidRPr="00AD1A04">
              <w:rPr>
                <w:snapToGrid w:val="0"/>
              </w:rPr>
              <w:t>Excluding</w:t>
            </w:r>
          </w:p>
          <w:p w14:paraId="104B3502" w14:textId="77777777" w:rsidR="00412CCE" w:rsidRPr="00AD1A04" w:rsidRDefault="00412CCE" w:rsidP="00AD1A04">
            <w:pPr>
              <w:pStyle w:val="Tabletextboldleft"/>
              <w:rPr>
                <w:bCs/>
                <w:snapToGrid w:val="0"/>
              </w:rPr>
            </w:pPr>
            <w:r w:rsidRPr="00AD1A04">
              <w:rPr>
                <w:snapToGrid w:val="0"/>
              </w:rPr>
              <w:t>Ioachimescu 2020</w:t>
            </w:r>
          </w:p>
        </w:tc>
        <w:tc>
          <w:tcPr>
            <w:tcW w:w="1103" w:type="pct"/>
            <w:vAlign w:val="center"/>
          </w:tcPr>
          <w:p w14:paraId="303D513D" w14:textId="77777777" w:rsidR="00412CCE" w:rsidRPr="00AD1A04" w:rsidRDefault="00412CCE" w:rsidP="00AD1A04">
            <w:pPr>
              <w:pStyle w:val="Tabletextboldleft"/>
              <w:rPr>
                <w:bCs/>
                <w:i/>
                <w:iCs/>
                <w:snapToGrid w:val="0"/>
              </w:rPr>
            </w:pPr>
            <w:r w:rsidRPr="00AD1A04">
              <w:rPr>
                <w:i/>
                <w:iCs/>
                <w:snapToGrid w:val="0"/>
              </w:rPr>
              <w:t>Studies N=7</w:t>
            </w:r>
          </w:p>
        </w:tc>
        <w:tc>
          <w:tcPr>
            <w:tcW w:w="1080" w:type="pct"/>
            <w:vAlign w:val="center"/>
          </w:tcPr>
          <w:p w14:paraId="3B625DE3" w14:textId="2351AD15" w:rsidR="00412CCE" w:rsidRPr="00AD1A04" w:rsidRDefault="00412CCE" w:rsidP="00AD1A04">
            <w:pPr>
              <w:pStyle w:val="Tabletextboldleft"/>
              <w:rPr>
                <w:snapToGrid w:val="0"/>
              </w:rPr>
            </w:pPr>
            <w:r w:rsidRPr="00AD1A04">
              <w:rPr>
                <w:snapToGrid w:val="0"/>
              </w:rPr>
              <w:t>Excluding</w:t>
            </w:r>
          </w:p>
          <w:p w14:paraId="47B8A74E" w14:textId="77777777" w:rsidR="00412CCE" w:rsidRPr="00AD1A04" w:rsidRDefault="00412CCE" w:rsidP="00AD1A04">
            <w:pPr>
              <w:pStyle w:val="Tabletextboldleft"/>
              <w:rPr>
                <w:bCs/>
                <w:snapToGrid w:val="0"/>
              </w:rPr>
            </w:pPr>
            <w:r w:rsidRPr="00AD1A04">
              <w:rPr>
                <w:snapToGrid w:val="0"/>
              </w:rPr>
              <w:t>Ioachimescu 2020</w:t>
            </w:r>
          </w:p>
        </w:tc>
      </w:tr>
      <w:tr w:rsidR="00AD1A04" w:rsidRPr="00C02487" w14:paraId="5CB6F8CE" w14:textId="77777777" w:rsidTr="00AD1A04">
        <w:tc>
          <w:tcPr>
            <w:tcW w:w="691" w:type="pct"/>
            <w:shd w:val="clear" w:color="auto" w:fill="auto"/>
            <w:vAlign w:val="center"/>
          </w:tcPr>
          <w:p w14:paraId="52867F1D" w14:textId="77777777" w:rsidR="00412CCE" w:rsidRPr="009F1F41" w:rsidRDefault="00412CCE" w:rsidP="0080749F">
            <w:pPr>
              <w:pStyle w:val="TableHeading"/>
              <w:keepNext w:val="0"/>
              <w:widowControl w:val="0"/>
              <w:tabs>
                <w:tab w:val="left" w:pos="224"/>
              </w:tabs>
              <w:rPr>
                <w:b w:val="0"/>
                <w:bCs/>
              </w:rPr>
            </w:pPr>
            <w:r>
              <w:rPr>
                <w:b w:val="0"/>
                <w:bCs/>
                <w:snapToGrid w:val="0"/>
                <w:lang w:eastAsia="en-US"/>
              </w:rPr>
              <w:tab/>
              <w:t>Sensitivity</w:t>
            </w:r>
          </w:p>
        </w:tc>
        <w:tc>
          <w:tcPr>
            <w:tcW w:w="1024" w:type="pct"/>
            <w:vAlign w:val="center"/>
          </w:tcPr>
          <w:p w14:paraId="0CC77021" w14:textId="77777777" w:rsidR="00412CCE" w:rsidRPr="00AD1A04" w:rsidRDefault="00412CCE" w:rsidP="00AD1A04">
            <w:pPr>
              <w:pStyle w:val="TableText0"/>
              <w:rPr>
                <w:snapToGrid w:val="0"/>
              </w:rPr>
            </w:pPr>
            <w:r w:rsidRPr="00AD1A04">
              <w:t>0.896 (0.872, 0.917)</w:t>
            </w:r>
          </w:p>
        </w:tc>
        <w:tc>
          <w:tcPr>
            <w:tcW w:w="1102" w:type="pct"/>
            <w:vAlign w:val="center"/>
          </w:tcPr>
          <w:p w14:paraId="5A254760" w14:textId="77777777" w:rsidR="00412CCE" w:rsidRPr="00AD1A04" w:rsidRDefault="00412CCE" w:rsidP="00AD1A04">
            <w:pPr>
              <w:pStyle w:val="TableText0"/>
              <w:rPr>
                <w:snapToGrid w:val="0"/>
              </w:rPr>
            </w:pPr>
            <w:r w:rsidRPr="00AD1A04">
              <w:t>0.872 (0.824, 0.909)</w:t>
            </w:r>
          </w:p>
        </w:tc>
        <w:tc>
          <w:tcPr>
            <w:tcW w:w="1103" w:type="pct"/>
            <w:vAlign w:val="center"/>
          </w:tcPr>
          <w:p w14:paraId="63302037" w14:textId="77777777" w:rsidR="00412CCE" w:rsidRPr="00AD1A04" w:rsidRDefault="00412CCE" w:rsidP="00AD1A04">
            <w:pPr>
              <w:pStyle w:val="TableText0"/>
              <w:rPr>
                <w:snapToGrid w:val="0"/>
              </w:rPr>
            </w:pPr>
            <w:r w:rsidRPr="00AD1A04">
              <w:t>0.899 (0.873, 0.921)</w:t>
            </w:r>
          </w:p>
        </w:tc>
        <w:tc>
          <w:tcPr>
            <w:tcW w:w="1080" w:type="pct"/>
            <w:vAlign w:val="center"/>
          </w:tcPr>
          <w:p w14:paraId="4850BEDD" w14:textId="77777777" w:rsidR="00412CCE" w:rsidRPr="00AD1A04" w:rsidRDefault="00412CCE" w:rsidP="00AD1A04">
            <w:pPr>
              <w:pStyle w:val="TableText0"/>
              <w:rPr>
                <w:snapToGrid w:val="0"/>
              </w:rPr>
            </w:pPr>
            <w:r w:rsidRPr="00AD1A04">
              <w:t>0.863 (0.789, 0.913)</w:t>
            </w:r>
          </w:p>
        </w:tc>
      </w:tr>
      <w:tr w:rsidR="00AD1A04" w:rsidRPr="00C02487" w14:paraId="52A32EE2" w14:textId="77777777" w:rsidTr="00AD1A04">
        <w:tc>
          <w:tcPr>
            <w:tcW w:w="691" w:type="pct"/>
            <w:shd w:val="clear" w:color="auto" w:fill="auto"/>
            <w:vAlign w:val="center"/>
          </w:tcPr>
          <w:p w14:paraId="7273CC7A" w14:textId="77777777" w:rsidR="00412CCE" w:rsidRPr="009F1F41" w:rsidRDefault="00412CCE" w:rsidP="0080749F">
            <w:pPr>
              <w:pStyle w:val="TableHeading"/>
              <w:keepNext w:val="0"/>
              <w:widowControl w:val="0"/>
              <w:tabs>
                <w:tab w:val="left" w:pos="224"/>
              </w:tabs>
              <w:rPr>
                <w:b w:val="0"/>
                <w:bCs/>
              </w:rPr>
            </w:pPr>
            <w:r>
              <w:rPr>
                <w:b w:val="0"/>
                <w:bCs/>
              </w:rPr>
              <w:tab/>
              <w:t>Specificity</w:t>
            </w:r>
          </w:p>
        </w:tc>
        <w:tc>
          <w:tcPr>
            <w:tcW w:w="1024" w:type="pct"/>
            <w:vAlign w:val="center"/>
          </w:tcPr>
          <w:p w14:paraId="5F7855C3" w14:textId="77777777" w:rsidR="00412CCE" w:rsidRPr="00AD1A04" w:rsidRDefault="00412CCE" w:rsidP="00AD1A04">
            <w:pPr>
              <w:pStyle w:val="TableText0"/>
              <w:rPr>
                <w:snapToGrid w:val="0"/>
              </w:rPr>
            </w:pPr>
            <w:r w:rsidRPr="00AD1A04">
              <w:t>0.657 (0.620, 0.692)</w:t>
            </w:r>
          </w:p>
        </w:tc>
        <w:tc>
          <w:tcPr>
            <w:tcW w:w="1102" w:type="pct"/>
            <w:vAlign w:val="center"/>
          </w:tcPr>
          <w:p w14:paraId="267EF3FB" w14:textId="77777777" w:rsidR="00412CCE" w:rsidRPr="00AD1A04" w:rsidRDefault="00412CCE" w:rsidP="00AD1A04">
            <w:pPr>
              <w:pStyle w:val="TableText0"/>
              <w:rPr>
                <w:snapToGrid w:val="0"/>
              </w:rPr>
            </w:pPr>
            <w:r w:rsidRPr="00AD1A04">
              <w:t>0.805 (0.744, 0.854)</w:t>
            </w:r>
          </w:p>
        </w:tc>
        <w:tc>
          <w:tcPr>
            <w:tcW w:w="1103" w:type="pct"/>
            <w:vAlign w:val="center"/>
          </w:tcPr>
          <w:p w14:paraId="6F62AB5D" w14:textId="77777777" w:rsidR="00412CCE" w:rsidRPr="00AD1A04" w:rsidRDefault="00412CCE" w:rsidP="00AD1A04">
            <w:pPr>
              <w:pStyle w:val="TableText0"/>
              <w:rPr>
                <w:snapToGrid w:val="0"/>
              </w:rPr>
            </w:pPr>
            <w:r w:rsidRPr="00AD1A04">
              <w:t>0.863 (0.734, 0.935)</w:t>
            </w:r>
          </w:p>
        </w:tc>
        <w:tc>
          <w:tcPr>
            <w:tcW w:w="1080" w:type="pct"/>
            <w:vAlign w:val="center"/>
          </w:tcPr>
          <w:p w14:paraId="3754FE0E" w14:textId="77777777" w:rsidR="00412CCE" w:rsidRPr="00AD1A04" w:rsidRDefault="00412CCE" w:rsidP="00AD1A04">
            <w:pPr>
              <w:pStyle w:val="TableText0"/>
              <w:rPr>
                <w:snapToGrid w:val="0"/>
              </w:rPr>
            </w:pPr>
            <w:r w:rsidRPr="00AD1A04">
              <w:t>0.934 (0.772, 0.983)</w:t>
            </w:r>
          </w:p>
        </w:tc>
      </w:tr>
      <w:tr w:rsidR="00AD1A04" w:rsidRPr="00C02487" w14:paraId="5B7E4091" w14:textId="77777777" w:rsidTr="00AD1A04">
        <w:tc>
          <w:tcPr>
            <w:tcW w:w="691" w:type="pct"/>
            <w:shd w:val="clear" w:color="auto" w:fill="auto"/>
            <w:vAlign w:val="center"/>
          </w:tcPr>
          <w:p w14:paraId="594A7F19" w14:textId="77777777" w:rsidR="00412CCE" w:rsidRDefault="00412CCE" w:rsidP="0080749F">
            <w:pPr>
              <w:pStyle w:val="TableHeading"/>
              <w:keepNext w:val="0"/>
              <w:widowControl w:val="0"/>
              <w:tabs>
                <w:tab w:val="left" w:pos="224"/>
              </w:tabs>
              <w:rPr>
                <w:b w:val="0"/>
                <w:bCs/>
              </w:rPr>
            </w:pPr>
          </w:p>
        </w:tc>
        <w:tc>
          <w:tcPr>
            <w:tcW w:w="1024" w:type="pct"/>
            <w:vAlign w:val="center"/>
          </w:tcPr>
          <w:p w14:paraId="19FACA9C" w14:textId="77777777" w:rsidR="00412CCE" w:rsidRPr="00AD1A04" w:rsidRDefault="00412CCE" w:rsidP="00AD1A04">
            <w:pPr>
              <w:pStyle w:val="Tabletextboldleft"/>
              <w:rPr>
                <w:bCs/>
                <w:i/>
                <w:iCs/>
                <w:snapToGrid w:val="0"/>
              </w:rPr>
            </w:pPr>
            <w:r w:rsidRPr="00AD1A04">
              <w:rPr>
                <w:i/>
                <w:iCs/>
                <w:snapToGrid w:val="0"/>
              </w:rPr>
              <w:t>Studies N=5</w:t>
            </w:r>
          </w:p>
        </w:tc>
        <w:tc>
          <w:tcPr>
            <w:tcW w:w="1102" w:type="pct"/>
            <w:vAlign w:val="center"/>
          </w:tcPr>
          <w:p w14:paraId="453B850F" w14:textId="0F69B45B" w:rsidR="00412CCE" w:rsidRPr="00AD1A04" w:rsidRDefault="00412CCE" w:rsidP="00AD1A04">
            <w:pPr>
              <w:pStyle w:val="Tabletextboldleft"/>
              <w:rPr>
                <w:snapToGrid w:val="0"/>
              </w:rPr>
            </w:pPr>
            <w:r w:rsidRPr="00AD1A04">
              <w:rPr>
                <w:snapToGrid w:val="0"/>
              </w:rPr>
              <w:t>Excluding</w:t>
            </w:r>
          </w:p>
          <w:p w14:paraId="176C67BE" w14:textId="77777777" w:rsidR="00412CCE" w:rsidRPr="00AD1A04" w:rsidRDefault="00412CCE" w:rsidP="00AD1A04">
            <w:pPr>
              <w:pStyle w:val="Tabletextboldleft"/>
              <w:rPr>
                <w:bCs/>
                <w:snapToGrid w:val="0"/>
              </w:rPr>
            </w:pPr>
            <w:r w:rsidRPr="00AD1A04">
              <w:rPr>
                <w:snapToGrid w:val="0"/>
              </w:rPr>
              <w:t>Ioachimescu 2020</w:t>
            </w:r>
          </w:p>
        </w:tc>
        <w:tc>
          <w:tcPr>
            <w:tcW w:w="1103" w:type="pct"/>
            <w:vAlign w:val="center"/>
          </w:tcPr>
          <w:p w14:paraId="34D4AEF4" w14:textId="77777777" w:rsidR="00412CCE" w:rsidRPr="00AD1A04" w:rsidRDefault="00412CCE" w:rsidP="00AD1A04">
            <w:pPr>
              <w:pStyle w:val="Tabletextboldleft"/>
              <w:rPr>
                <w:bCs/>
                <w:i/>
                <w:iCs/>
                <w:snapToGrid w:val="0"/>
              </w:rPr>
            </w:pPr>
            <w:r w:rsidRPr="00AD1A04">
              <w:rPr>
                <w:i/>
                <w:iCs/>
                <w:snapToGrid w:val="0"/>
              </w:rPr>
              <w:t>Studies N=5</w:t>
            </w:r>
          </w:p>
        </w:tc>
        <w:tc>
          <w:tcPr>
            <w:tcW w:w="1080" w:type="pct"/>
            <w:vAlign w:val="center"/>
          </w:tcPr>
          <w:p w14:paraId="5E4892B1" w14:textId="6538C399" w:rsidR="00412CCE" w:rsidRPr="00AD1A04" w:rsidRDefault="00412CCE" w:rsidP="00AD1A04">
            <w:pPr>
              <w:pStyle w:val="Tabletextboldleft"/>
              <w:rPr>
                <w:snapToGrid w:val="0"/>
              </w:rPr>
            </w:pPr>
            <w:r w:rsidRPr="00AD1A04">
              <w:rPr>
                <w:snapToGrid w:val="0"/>
              </w:rPr>
              <w:t>Excluding</w:t>
            </w:r>
          </w:p>
          <w:p w14:paraId="21307827" w14:textId="77777777" w:rsidR="00412CCE" w:rsidRPr="00AD1A04" w:rsidRDefault="00412CCE" w:rsidP="00AD1A04">
            <w:pPr>
              <w:pStyle w:val="Tabletextboldleft"/>
              <w:rPr>
                <w:bCs/>
                <w:snapToGrid w:val="0"/>
              </w:rPr>
            </w:pPr>
            <w:r w:rsidRPr="00AD1A04">
              <w:rPr>
                <w:snapToGrid w:val="0"/>
              </w:rPr>
              <w:t>Ioachimescu 2020</w:t>
            </w:r>
          </w:p>
        </w:tc>
      </w:tr>
      <w:tr w:rsidR="00AD1A04" w:rsidRPr="00C02487" w14:paraId="2E1D4EFB" w14:textId="77777777" w:rsidTr="00AD1A04">
        <w:tc>
          <w:tcPr>
            <w:tcW w:w="691" w:type="pct"/>
            <w:shd w:val="clear" w:color="auto" w:fill="auto"/>
            <w:vAlign w:val="center"/>
          </w:tcPr>
          <w:p w14:paraId="157FD0B2" w14:textId="77777777" w:rsidR="00412CCE" w:rsidRPr="009F1F41" w:rsidRDefault="00412CCE" w:rsidP="0080749F">
            <w:pPr>
              <w:pStyle w:val="TableHeading"/>
              <w:keepNext w:val="0"/>
              <w:widowControl w:val="0"/>
              <w:tabs>
                <w:tab w:val="left" w:pos="224"/>
              </w:tabs>
              <w:rPr>
                <w:b w:val="0"/>
                <w:bCs/>
              </w:rPr>
            </w:pPr>
            <w:r>
              <w:rPr>
                <w:b w:val="0"/>
                <w:bCs/>
              </w:rPr>
              <w:tab/>
              <w:t>PPV</w:t>
            </w:r>
          </w:p>
        </w:tc>
        <w:tc>
          <w:tcPr>
            <w:tcW w:w="1024" w:type="pct"/>
            <w:vAlign w:val="center"/>
          </w:tcPr>
          <w:p w14:paraId="63760438" w14:textId="77777777" w:rsidR="00412CCE" w:rsidRPr="00AD1A04" w:rsidRDefault="00412CCE" w:rsidP="00AD1A04">
            <w:pPr>
              <w:pStyle w:val="TableText0"/>
              <w:rPr>
                <w:snapToGrid w:val="0"/>
              </w:rPr>
            </w:pPr>
            <w:r w:rsidRPr="00AD1A04">
              <w:t>0.764 (0.729, 0.797)</w:t>
            </w:r>
          </w:p>
        </w:tc>
        <w:tc>
          <w:tcPr>
            <w:tcW w:w="1102" w:type="pct"/>
            <w:vAlign w:val="center"/>
          </w:tcPr>
          <w:p w14:paraId="418CC417" w14:textId="77777777" w:rsidR="00412CCE" w:rsidRPr="00AD1A04" w:rsidRDefault="00412CCE" w:rsidP="00AD1A04">
            <w:pPr>
              <w:pStyle w:val="TableText0"/>
              <w:rPr>
                <w:snapToGrid w:val="0"/>
              </w:rPr>
            </w:pPr>
            <w:r w:rsidRPr="00AD1A04">
              <w:t>0.787 (0.696, 0.856)</w:t>
            </w:r>
          </w:p>
        </w:tc>
        <w:tc>
          <w:tcPr>
            <w:tcW w:w="1103" w:type="pct"/>
            <w:vAlign w:val="center"/>
          </w:tcPr>
          <w:p w14:paraId="504B87D6" w14:textId="77777777" w:rsidR="00412CCE" w:rsidRPr="00AD1A04" w:rsidRDefault="00412CCE" w:rsidP="00AD1A04">
            <w:pPr>
              <w:pStyle w:val="TableText0"/>
              <w:rPr>
                <w:snapToGrid w:val="0"/>
              </w:rPr>
            </w:pPr>
            <w:r w:rsidRPr="00AD1A04">
              <w:t>0.764 (0.729, 0.797)</w:t>
            </w:r>
          </w:p>
        </w:tc>
        <w:tc>
          <w:tcPr>
            <w:tcW w:w="1080" w:type="pct"/>
            <w:vAlign w:val="center"/>
          </w:tcPr>
          <w:p w14:paraId="7CA702A4" w14:textId="77777777" w:rsidR="00412CCE" w:rsidRPr="00AD1A04" w:rsidRDefault="00412CCE" w:rsidP="00AD1A04">
            <w:pPr>
              <w:pStyle w:val="TableText0"/>
              <w:rPr>
                <w:snapToGrid w:val="0"/>
              </w:rPr>
            </w:pPr>
            <w:r w:rsidRPr="00AD1A04">
              <w:t>0.800 (0.680, 0.883)</w:t>
            </w:r>
          </w:p>
        </w:tc>
      </w:tr>
      <w:tr w:rsidR="00AD1A04" w:rsidRPr="00C02487" w14:paraId="41EEDE74" w14:textId="77777777" w:rsidTr="00AD1A04">
        <w:tc>
          <w:tcPr>
            <w:tcW w:w="691" w:type="pct"/>
            <w:shd w:val="clear" w:color="auto" w:fill="auto"/>
            <w:vAlign w:val="center"/>
          </w:tcPr>
          <w:p w14:paraId="356BC156" w14:textId="77777777" w:rsidR="00412CCE" w:rsidRPr="009F1F41" w:rsidRDefault="00412CCE" w:rsidP="0080749F">
            <w:pPr>
              <w:pStyle w:val="TableHeading"/>
              <w:keepNext w:val="0"/>
              <w:widowControl w:val="0"/>
              <w:tabs>
                <w:tab w:val="left" w:pos="224"/>
              </w:tabs>
              <w:rPr>
                <w:b w:val="0"/>
                <w:bCs/>
              </w:rPr>
            </w:pPr>
            <w:r>
              <w:rPr>
                <w:b w:val="0"/>
                <w:bCs/>
              </w:rPr>
              <w:tab/>
              <w:t>NPV</w:t>
            </w:r>
          </w:p>
        </w:tc>
        <w:tc>
          <w:tcPr>
            <w:tcW w:w="1024" w:type="pct"/>
            <w:vAlign w:val="center"/>
          </w:tcPr>
          <w:p w14:paraId="01E4C508" w14:textId="77777777" w:rsidR="00412CCE" w:rsidRPr="00AD1A04" w:rsidRDefault="00412CCE" w:rsidP="00AD1A04">
            <w:pPr>
              <w:pStyle w:val="TableText0"/>
              <w:rPr>
                <w:snapToGrid w:val="0"/>
              </w:rPr>
            </w:pPr>
            <w:r w:rsidRPr="00AD1A04">
              <w:t>0.657 (0.620, 0.692)</w:t>
            </w:r>
          </w:p>
        </w:tc>
        <w:tc>
          <w:tcPr>
            <w:tcW w:w="1102" w:type="pct"/>
            <w:vAlign w:val="center"/>
          </w:tcPr>
          <w:p w14:paraId="40676DA4" w14:textId="77777777" w:rsidR="00412CCE" w:rsidRPr="00AD1A04" w:rsidRDefault="00412CCE" w:rsidP="00AD1A04">
            <w:pPr>
              <w:pStyle w:val="TableText0"/>
              <w:rPr>
                <w:snapToGrid w:val="0"/>
              </w:rPr>
            </w:pPr>
            <w:r w:rsidRPr="00AD1A04">
              <w:t>0.805 (0.744, 0.854)</w:t>
            </w:r>
          </w:p>
        </w:tc>
        <w:tc>
          <w:tcPr>
            <w:tcW w:w="1103" w:type="pct"/>
            <w:vAlign w:val="center"/>
          </w:tcPr>
          <w:p w14:paraId="5AE60D16" w14:textId="77777777" w:rsidR="00412CCE" w:rsidRPr="00AD1A04" w:rsidRDefault="00412CCE" w:rsidP="00AD1A04">
            <w:pPr>
              <w:pStyle w:val="TableText0"/>
              <w:rPr>
                <w:snapToGrid w:val="0"/>
              </w:rPr>
            </w:pPr>
            <w:r w:rsidRPr="00AD1A04">
              <w:t>0.863 (0.734, 0.967)</w:t>
            </w:r>
          </w:p>
        </w:tc>
        <w:tc>
          <w:tcPr>
            <w:tcW w:w="1080" w:type="pct"/>
            <w:vAlign w:val="center"/>
          </w:tcPr>
          <w:p w14:paraId="4690F409" w14:textId="77777777" w:rsidR="00412CCE" w:rsidRPr="00AD1A04" w:rsidRDefault="00412CCE" w:rsidP="00AD1A04">
            <w:pPr>
              <w:pStyle w:val="TableText0"/>
              <w:rPr>
                <w:snapToGrid w:val="0"/>
              </w:rPr>
            </w:pPr>
            <w:r w:rsidRPr="00AD1A04">
              <w:t>0.895 (0.709, 0.967)</w:t>
            </w:r>
          </w:p>
        </w:tc>
      </w:tr>
    </w:tbl>
    <w:p w14:paraId="03D8D22C" w14:textId="577E3426" w:rsidR="00412CCE" w:rsidRDefault="00412CCE" w:rsidP="00412CCE">
      <w:pPr>
        <w:rPr>
          <w:rFonts w:ascii="Arial Narrow" w:hAnsi="Arial Narrow"/>
          <w:sz w:val="18"/>
          <w:szCs w:val="18"/>
        </w:rPr>
      </w:pPr>
      <w:r w:rsidRPr="00755402">
        <w:rPr>
          <w:rFonts w:ascii="Arial Narrow" w:hAnsi="Arial Narrow"/>
          <w:sz w:val="18"/>
          <w:szCs w:val="18"/>
        </w:rPr>
        <w:t>Source:</w:t>
      </w:r>
      <w:r>
        <w:rPr>
          <w:rFonts w:ascii="Arial Narrow" w:hAnsi="Arial Narrow"/>
          <w:sz w:val="18"/>
          <w:szCs w:val="18"/>
        </w:rPr>
        <w:t xml:space="preserve"> </w:t>
      </w:r>
      <w:r w:rsidR="00D05118">
        <w:rPr>
          <w:rFonts w:ascii="Arial Narrow" w:hAnsi="Arial Narrow"/>
          <w:sz w:val="18"/>
          <w:szCs w:val="18"/>
        </w:rPr>
        <w:t>Table8, 26 of the</w:t>
      </w:r>
      <w:r>
        <w:rPr>
          <w:rFonts w:ascii="Arial Narrow" w:hAnsi="Arial Narrow"/>
          <w:sz w:val="18"/>
          <w:szCs w:val="18"/>
        </w:rPr>
        <w:t xml:space="preserve"> Commentary based on Section B.8, p77-80 of the ADAR with Commentary additions in italics.</w:t>
      </w:r>
    </w:p>
    <w:p w14:paraId="3003A725" w14:textId="5574DB38" w:rsidR="00412CCE" w:rsidRPr="002D4381" w:rsidRDefault="002E4D7E" w:rsidP="00412CCE">
      <w:pPr>
        <w:rPr>
          <w:rFonts w:ascii="Arial Narrow" w:hAnsi="Arial Narrow"/>
          <w:sz w:val="18"/>
          <w:szCs w:val="18"/>
        </w:rPr>
      </w:pPr>
      <w:r>
        <w:rPr>
          <w:rFonts w:ascii="Arial Narrow" w:hAnsi="Arial Narrow"/>
          <w:sz w:val="18"/>
          <w:szCs w:val="18"/>
        </w:rPr>
        <w:t xml:space="preserve">Abbreviations: </w:t>
      </w:r>
      <w:r w:rsidR="00412CCE">
        <w:rPr>
          <w:rFonts w:ascii="Arial Narrow" w:hAnsi="Arial Narrow"/>
          <w:sz w:val="18"/>
          <w:szCs w:val="18"/>
        </w:rPr>
        <w:t>AHI=apnoea hypopnoea index; CI=confidence interval; NPV=negative predictive value; PPV=positive predictive value</w:t>
      </w:r>
    </w:p>
    <w:p w14:paraId="17300305" w14:textId="77777777" w:rsidR="00412CCE" w:rsidRPr="009764ED" w:rsidRDefault="00412CCE" w:rsidP="00412CCE">
      <w:pPr>
        <w:tabs>
          <w:tab w:val="left" w:pos="142"/>
        </w:tabs>
        <w:ind w:left="142" w:hanging="142"/>
        <w:rPr>
          <w:rFonts w:ascii="Arial Narrow" w:hAnsi="Arial Narrow"/>
          <w:i/>
          <w:iCs/>
          <w:sz w:val="18"/>
          <w:szCs w:val="18"/>
        </w:rPr>
      </w:pPr>
      <w:r w:rsidRPr="009764ED">
        <w:rPr>
          <w:rFonts w:ascii="Arial Narrow" w:hAnsi="Arial Narrow"/>
          <w:i/>
          <w:iCs/>
          <w:sz w:val="18"/>
          <w:szCs w:val="18"/>
          <w:vertAlign w:val="superscript"/>
        </w:rPr>
        <w:t>a</w:t>
      </w:r>
      <w:r w:rsidRPr="009764ED">
        <w:rPr>
          <w:rFonts w:ascii="Arial Narrow" w:hAnsi="Arial Narrow"/>
          <w:i/>
          <w:iCs/>
          <w:sz w:val="18"/>
          <w:szCs w:val="18"/>
        </w:rPr>
        <w:tab/>
        <w:t xml:space="preserve">The reported results for studies including and excluding Ioachimescu 2020 should be the same given the ADAR did not use results of Ioachimescu 2020 for the mild OSA subgroup, however the reported results slightly differed due to rounding error in the calculations.  </w:t>
      </w:r>
    </w:p>
    <w:p w14:paraId="559F46C2" w14:textId="04AFE0AE" w:rsidR="00412CCE" w:rsidRPr="00AB109B" w:rsidRDefault="00412CCE" w:rsidP="007D5F6D">
      <w:pPr>
        <w:spacing w:before="240"/>
      </w:pPr>
      <w:r>
        <w:t>The ADAR claimed that the results of the meta-analyses demonstrated that HSAT/PAT AHI c</w:t>
      </w:r>
      <w:r w:rsidRPr="00AB109B">
        <w:t xml:space="preserve">orrelated closely with Level 1 </w:t>
      </w:r>
      <w:r w:rsidR="006965C5">
        <w:t>PSG</w:t>
      </w:r>
      <w:r w:rsidRPr="00AB109B">
        <w:t xml:space="preserve">. </w:t>
      </w:r>
      <w:r w:rsidR="00AB109B" w:rsidRPr="00AB109B">
        <w:t>The commentary considered that t</w:t>
      </w:r>
      <w:r w:rsidRPr="00AB109B">
        <w:t>his claim should be interpreted with caution, as the ADAR did not test for the presence or absence of heterogeneity, as recommended in the Investigative Technical Guidelines. For the analysis of AHI correlation, which used data from 16 studies, there were four correlations included which were not for AHI. In addition, two of the included studies had not been identified by the ADAR as an included study, and one of these two had been identified by the ADAR as being excluded because it had an incorrect population (p135 of the ADAR).  Given that a quarter of the included data for the AHI analysis was not AHI data, it is not reasonable to consider the results presented by the ADAR as representative of the correlation of HSAT/PAT and laboratory PSG for AHI.</w:t>
      </w:r>
    </w:p>
    <w:p w14:paraId="5A6A591E" w14:textId="7D1D8924" w:rsidR="00412CCE" w:rsidRPr="00AB109B" w:rsidRDefault="00AB109B" w:rsidP="007D5F6D">
      <w:pPr>
        <w:spacing w:before="240"/>
      </w:pPr>
      <w:r w:rsidRPr="00AB109B">
        <w:lastRenderedPageBreak/>
        <w:t>The commentary also noted that w</w:t>
      </w:r>
      <w:r w:rsidR="00412CCE" w:rsidRPr="00AB109B">
        <w:t>ith the exception of sensitivity and specificity for mild OSA, all other analyses for sensitivity and specificity included RDI data. Therefore, the claim made by the ADAR that HSAT/PAT AHI correlated closely with AHI as assessed in laboratory PSG is not strongly supported, as the analyses included RDI data.</w:t>
      </w:r>
    </w:p>
    <w:p w14:paraId="3CE9A92B" w14:textId="49131BC7" w:rsidR="00412CCE" w:rsidRDefault="00AB109B" w:rsidP="007D5F6D">
      <w:pPr>
        <w:spacing w:before="240"/>
      </w:pPr>
      <w:r w:rsidRPr="00AB109B">
        <w:t>The commentary highlighted that a</w:t>
      </w:r>
      <w:r w:rsidR="00412CCE" w:rsidRPr="00AB109B">
        <w:t xml:space="preserve"> number of simplifications were also made in the meta-analyses for sensitivity, specificity, PPV and NPV against Level 1 PSG which have also reduced precision and reliability of the results including the assumptions that: i) the overall sample size of each study would represent both the total number of patients with disease and without, while this enabled the ADAR to estimate the number of true positive and negative patients in each study in order to calculate a study weight in the meta-analyses, the estimates are imprecise, </w:t>
      </w:r>
      <w:r w:rsidR="001139D6" w:rsidRPr="00AB109B">
        <w:t>e.g.</w:t>
      </w:r>
      <w:r w:rsidR="00412CCE" w:rsidRPr="00AB109B">
        <w:t xml:space="preserve">, the number of true positives with moderate/severe OSA in Ioachimescu (2020) was 264 compared to 455 estimated by the submission and ii) that results reported for the combined moderate/severe OSA from </w:t>
      </w:r>
      <w:r w:rsidR="00412CCE" w:rsidRPr="00E16F4B">
        <w:t>Ioachimescu 20</w:t>
      </w:r>
      <w:r w:rsidR="00714452" w:rsidRPr="00E16F4B">
        <w:t>2</w:t>
      </w:r>
      <w:r w:rsidR="00412CCE" w:rsidRPr="00E16F4B">
        <w:t>0 also</w:t>
      </w:r>
      <w:r w:rsidR="00412CCE" w:rsidRPr="00AB109B">
        <w:t xml:space="preserve"> applies to the contributing subgroups. Sensitivity/specificity/PPV/NPV for the individual component subgroups (calculated using results reported in Figure 1 of the publication) suggest vastly different results compared to the combined moderate/severe OSA group (</w:t>
      </w:r>
      <w:r w:rsidR="001139D6" w:rsidRPr="00AB109B">
        <w:t>e.g.</w:t>
      </w:r>
      <w:r w:rsidR="00412CCE" w:rsidRPr="00AB109B">
        <w:t>, sensitivity/specificity for moderate and severe OSA was 41%/75%</w:t>
      </w:r>
      <w:r w:rsidR="00412CCE" w:rsidRPr="00AB109B">
        <w:rPr>
          <w:rStyle w:val="FootnoteReference"/>
        </w:rPr>
        <w:footnoteReference w:id="14"/>
      </w:r>
      <w:r w:rsidR="00412CCE" w:rsidRPr="00AB109B">
        <w:t xml:space="preserve"> and 83%/79%</w:t>
      </w:r>
      <w:r w:rsidR="00412CCE" w:rsidRPr="00AB109B">
        <w:rPr>
          <w:rStyle w:val="FootnoteReference"/>
        </w:rPr>
        <w:footnoteReference w:id="15"/>
      </w:r>
      <w:r w:rsidR="00412CCE" w:rsidRPr="00AB109B">
        <w:t xml:space="preserve"> respectively versus 91%/61% for the combined moderate/severe OSA group). Furthermore, there was also an error in the analysis of NPV, as the ADAR included incorrect patient numbers.</w:t>
      </w:r>
    </w:p>
    <w:p w14:paraId="6B0BA538" w14:textId="41B91DD0" w:rsidR="00412CCE" w:rsidRDefault="00412CCE" w:rsidP="007D5F6D">
      <w:pPr>
        <w:spacing w:before="240"/>
      </w:pPr>
      <w:r w:rsidRPr="00AB109B">
        <w:t>Overall, given the inclusion of an excluded study along with another previously unidentified study, the use of RDI data for the AHI correlation analyses, along with what appears to be an error for the analysis of NPV for moderate OSA and some simplifications in the analyses to assist calculations which may reduce precision and reliability of the results, the results of the meta-analyses presented by the ADAR may not accurately represent the accuracy of HSAT/PAT.</w:t>
      </w:r>
    </w:p>
    <w:p w14:paraId="38CE43F0" w14:textId="0790D964" w:rsidR="00412CCE" w:rsidRDefault="00CC2A8B" w:rsidP="007D5F6D">
      <w:pPr>
        <w:spacing w:before="240"/>
      </w:pPr>
      <w:r>
        <w:t>T</w:t>
      </w:r>
      <w:r w:rsidR="00AB109B" w:rsidRPr="00AB109B">
        <w:t xml:space="preserve">he commentary </w:t>
      </w:r>
      <w:r>
        <w:t xml:space="preserve">also </w:t>
      </w:r>
      <w:r w:rsidR="00AB109B" w:rsidRPr="00AB109B">
        <w:t>noted that t</w:t>
      </w:r>
      <w:r w:rsidR="00412CCE" w:rsidRPr="00AB109B">
        <w:t xml:space="preserve">he ADAR did not provide any evidence or discussion linking the results observed for the Level 2 PSG studies to the reference standard of Level 1 PSG. As noted above, there were also considerable concerns around the </w:t>
      </w:r>
      <w:r w:rsidR="00AB109B" w:rsidRPr="00AB109B">
        <w:t xml:space="preserve">comparative HSAT/PAT vs. </w:t>
      </w:r>
      <w:r w:rsidR="00412CCE" w:rsidRPr="00AB109B">
        <w:t>Level 1 PSG evidence presented (</w:t>
      </w:r>
      <w:r w:rsidR="001139D6" w:rsidRPr="00AB109B">
        <w:t>e.g.</w:t>
      </w:r>
      <w:r w:rsidR="00412CCE" w:rsidRPr="00AB109B">
        <w:t xml:space="preserve"> RDI evidence included in analyses of AHI) that limit the strength of the evidence. Also, all of the </w:t>
      </w:r>
      <w:r w:rsidR="00AB109B" w:rsidRPr="00AB109B">
        <w:t xml:space="preserve">comparative HSAT/PAT vs. </w:t>
      </w:r>
      <w:r w:rsidR="00412CCE" w:rsidRPr="00AB109B">
        <w:t>Level</w:t>
      </w:r>
      <w:r w:rsidR="00AB109B" w:rsidRPr="00AB109B">
        <w:t> </w:t>
      </w:r>
      <w:r w:rsidR="00412CCE" w:rsidRPr="00AB109B">
        <w:t xml:space="preserve">1 PSG studies were based on the use of HSAT/PAT in a sleep laboratory setting, which does not correspond to the proposed use of HSAT/PAT, which is in a home-based setting. </w:t>
      </w:r>
      <w:r w:rsidR="00410B4E">
        <w:t>It is uncertain whether</w:t>
      </w:r>
      <w:r w:rsidR="00410B4E" w:rsidRPr="00AB109B">
        <w:t xml:space="preserve"> the results observed for HSAT/PAT</w:t>
      </w:r>
      <w:r w:rsidR="00410B4E">
        <w:t xml:space="preserve"> </w:t>
      </w:r>
      <w:r w:rsidR="00410B4E" w:rsidRPr="00AB109B">
        <w:t>in clinical practice</w:t>
      </w:r>
      <w:r w:rsidR="00410B4E">
        <w:t xml:space="preserve"> (i.e. laboratory setting) will be observed in a home-based setting. </w:t>
      </w:r>
    </w:p>
    <w:p w14:paraId="56424BEF" w14:textId="11210F94" w:rsidR="00CC2A8B" w:rsidRDefault="00CC2A8B" w:rsidP="007D5F6D">
      <w:pPr>
        <w:spacing w:before="240"/>
      </w:pPr>
      <w:r>
        <w:t xml:space="preserve">The pre-MSAC response claimed that the </w:t>
      </w:r>
      <w:r w:rsidRPr="005241E9">
        <w:t>importance of specificity, sensitivity and negative and positive predictor values</w:t>
      </w:r>
      <w:r>
        <w:t xml:space="preserve"> had been over-emphasised. The pre-MSAC response claimed </w:t>
      </w:r>
      <w:r w:rsidRPr="005241E9">
        <w:t>AHI correlation is of far more clinical importance, as AHI is a continuous measure and the primary value considered in diagnosis of OSA</w:t>
      </w:r>
      <w:r>
        <w:t>. The pre-MSAC response reiterated claims that the studies included in the ADAR (which did not include Zhang et al</w:t>
      </w:r>
      <w:r w:rsidRPr="004D3B8B">
        <w:t>. 202</w:t>
      </w:r>
      <w:r w:rsidR="00714452" w:rsidRPr="004D3B8B">
        <w:t>0</w:t>
      </w:r>
      <w:r>
        <w:t xml:space="preserve">) were </w:t>
      </w:r>
      <w:r w:rsidRPr="00744301">
        <w:t xml:space="preserve">conducted prior to the introduction of manual editing </w:t>
      </w:r>
      <w:r>
        <w:t>so</w:t>
      </w:r>
      <w:r w:rsidRPr="00744301">
        <w:t xml:space="preserve"> will not represent the current accuracy.</w:t>
      </w:r>
      <w:r>
        <w:t xml:space="preserve"> The pre-MSAC response reiterated that </w:t>
      </w:r>
      <w:r w:rsidRPr="00CC2A8B">
        <w:t>the ratified PICO</w:t>
      </w:r>
      <w:r>
        <w:t xml:space="preserve"> did not specify comparing Level 1 to Level 2 PSG</w:t>
      </w:r>
      <w:r w:rsidRPr="00CC2A8B">
        <w:t>.</w:t>
      </w:r>
      <w:r>
        <w:t xml:space="preserve"> The pre-MSAC response reiterated claims that </w:t>
      </w:r>
      <w:r w:rsidR="001717E7">
        <w:t xml:space="preserve">the </w:t>
      </w:r>
      <w:r w:rsidRPr="005A1355">
        <w:lastRenderedPageBreak/>
        <w:t xml:space="preserve">performance of HSAT/PAT </w:t>
      </w:r>
      <w:r>
        <w:t>would</w:t>
      </w:r>
      <w:r w:rsidRPr="005A1355">
        <w:t xml:space="preserve"> not be enhanced when used in the laboratory compared to home</w:t>
      </w:r>
      <w:r>
        <w:t>, claiming the a</w:t>
      </w:r>
      <w:r w:rsidRPr="00CC2A8B">
        <w:t xml:space="preserve">ttendance of a technician during </w:t>
      </w:r>
      <w:r>
        <w:t xml:space="preserve">a HSAT/PAT </w:t>
      </w:r>
      <w:r w:rsidRPr="00CC2A8B">
        <w:t xml:space="preserve">study will not enhance the performance of </w:t>
      </w:r>
      <w:r>
        <w:t>HSAT/PAT</w:t>
      </w:r>
      <w:r w:rsidRPr="00CC2A8B">
        <w:t xml:space="preserve"> as there are no tasks or adjustments for the technician to perform.</w:t>
      </w:r>
    </w:p>
    <w:p w14:paraId="18433003" w14:textId="77777777" w:rsidR="001576BB" w:rsidRDefault="001576BB" w:rsidP="007D5F6D">
      <w:pPr>
        <w:pStyle w:val="Heading2"/>
        <w:spacing w:before="240"/>
      </w:pPr>
      <w:r>
        <w:t>Clinical claim</w:t>
      </w:r>
    </w:p>
    <w:p w14:paraId="5DD09AE5" w14:textId="0F9809B9" w:rsidR="00AB109B" w:rsidRDefault="00AB109B" w:rsidP="00AB109B">
      <w:r w:rsidRPr="00AB109B">
        <w:t>Based on</w:t>
      </w:r>
      <w:r w:rsidR="001576BB" w:rsidRPr="00AB109B">
        <w:t xml:space="preserve"> the evidence</w:t>
      </w:r>
      <w:r w:rsidRPr="00AB109B">
        <w:t xml:space="preserve"> presented, the</w:t>
      </w:r>
      <w:r>
        <w:t xml:space="preserve"> ADAR concluded that HSAT/PAT is non-inferior to the main comparator Level 2 PSGs and HSAT/PAT is non-inferior to the secondary comparator Level 1 PSG.  </w:t>
      </w:r>
    </w:p>
    <w:p w14:paraId="1B82A4EA" w14:textId="26D33858" w:rsidR="00AB109B" w:rsidRPr="000C3E07" w:rsidRDefault="00AB109B" w:rsidP="007D5F6D">
      <w:pPr>
        <w:spacing w:before="240"/>
      </w:pPr>
      <w:r>
        <w:t xml:space="preserve">However, the commentary considered </w:t>
      </w:r>
      <w:r w:rsidRPr="00AB109B">
        <w:t>that given the points raised above regarding the evidence presented, particularly the limited applicability of the HSAT/PAT vs Level 2 PSG studies to the proposed patient population, the varying correlation levels in the HSAT/PAT vs Level 2 PSG studies, the lack of consideration of the level of heterogeneity in the meta-analyses of HSAT/PAT vs Level 1 PSG studies presented, along with inclusion of RDI data in the meta-analyses of AHI (a quarter of the included data for the AHI analysis was not AHI data; 4 of 16 studies), and the fact that all study data comparing HSAT/PAT with Level 1 PSG was based on sleep laboratory use of HSAT/PAT instead of use in the home, there is limited support for the ADAR’s claim of non-inferiority.</w:t>
      </w:r>
    </w:p>
    <w:p w14:paraId="796E2673" w14:textId="77777777" w:rsidR="00661C5F" w:rsidRDefault="00661C5F" w:rsidP="007D5F6D">
      <w:pPr>
        <w:pStyle w:val="Heading2"/>
        <w:spacing w:before="240"/>
      </w:pPr>
      <w:bookmarkStart w:id="20" w:name="_Toc395200751"/>
      <w:bookmarkStart w:id="21" w:name="_Toc70769480"/>
      <w:r w:rsidRPr="00183E4D">
        <w:t>Translation Issues</w:t>
      </w:r>
      <w:bookmarkEnd w:id="20"/>
      <w:bookmarkEnd w:id="21"/>
    </w:p>
    <w:p w14:paraId="1ABA557C" w14:textId="5AF08FBE" w:rsidR="00661C5F" w:rsidRPr="00B02E35" w:rsidRDefault="00661C5F" w:rsidP="00AB109B">
      <w:r>
        <w:t xml:space="preserve">The ADAR stated (p91) that no translation issues were identified. However, the commentary noted that </w:t>
      </w:r>
      <w:r w:rsidRPr="00661C5F">
        <w:t>the two studies comparing HSAT/PAT with Level 2 PSG (O’Brien</w:t>
      </w:r>
      <w:r w:rsidR="00C81841">
        <w:t xml:space="preserve"> et al.</w:t>
      </w:r>
      <w:r w:rsidRPr="00661C5F">
        <w:t xml:space="preserve"> 2012; Zou </w:t>
      </w:r>
      <w:r w:rsidR="00901C43">
        <w:t xml:space="preserve">et al. </w:t>
      </w:r>
      <w:r w:rsidRPr="00661C5F">
        <w:t>2006) have limited applicability and represent only a small subgroup of the patient population in the proposed MBS item descriptor, and the majority of the studies comparing HSAT/PAT with Level 1 PSG were for patients at risk of suspected OSA, which does not directly correspond to the requested listing for patients at high risk of moderate to severe OSA.</w:t>
      </w:r>
      <w:r>
        <w:rPr>
          <w:i/>
          <w:iCs/>
        </w:rPr>
        <w:t xml:space="preserve"> </w:t>
      </w:r>
    </w:p>
    <w:p w14:paraId="1A2CC11E" w14:textId="3E85FB6C" w:rsidR="000632EF" w:rsidRPr="00814E99" w:rsidRDefault="00065623"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t>Economic evaluation</w:t>
      </w:r>
    </w:p>
    <w:p w14:paraId="1C6CF52E" w14:textId="59C751A0" w:rsidR="0079055D" w:rsidRDefault="0079055D" w:rsidP="0079055D">
      <w:r>
        <w:t xml:space="preserve">On the basis of the claim of non-inferiority, the ADAR presented a cost-minimisation analysis. </w:t>
      </w:r>
      <w:r w:rsidRPr="007A2DF0">
        <w:t xml:space="preserve">A summary of the key characteristics of the economic evaluation is given in </w:t>
      </w:r>
      <w:r>
        <w:t>the table below.</w:t>
      </w:r>
    </w:p>
    <w:p w14:paraId="1B06A122" w14:textId="766F63A1" w:rsidR="0079055D" w:rsidRPr="007A2DF0" w:rsidRDefault="0079055D" w:rsidP="007D5F6D">
      <w:pPr>
        <w:pStyle w:val="Caption"/>
        <w:spacing w:before="240"/>
      </w:pPr>
      <w:bookmarkStart w:id="22" w:name="_Toc70768716"/>
      <w:r w:rsidRPr="007A2DF0">
        <w:t xml:space="preserve">Table </w:t>
      </w:r>
      <w:r w:rsidR="00A930B3">
        <w:fldChar w:fldCharType="begin"/>
      </w:r>
      <w:r w:rsidR="00A930B3">
        <w:instrText xml:space="preserve"> SEQ Table \* ARABIC </w:instrText>
      </w:r>
      <w:r w:rsidR="00A930B3">
        <w:fldChar w:fldCharType="separate"/>
      </w:r>
      <w:r w:rsidR="00824C87">
        <w:rPr>
          <w:noProof/>
        </w:rPr>
        <w:t>9</w:t>
      </w:r>
      <w:r w:rsidR="00A930B3">
        <w:rPr>
          <w:noProof/>
        </w:rPr>
        <w:fldChar w:fldCharType="end"/>
      </w:r>
      <w:r w:rsidRPr="007A2DF0">
        <w:tab/>
        <w:t xml:space="preserve">Summary of the economic evaluation </w:t>
      </w:r>
      <w:r>
        <w:t>– cost-minimisation</w:t>
      </w:r>
      <w:bookmarkEnd w:id="22"/>
    </w:p>
    <w:tbl>
      <w:tblPr>
        <w:tblStyle w:val="TableGrid1"/>
        <w:tblW w:w="0" w:type="auto"/>
        <w:tblLook w:val="01E0" w:firstRow="1" w:lastRow="1" w:firstColumn="1" w:lastColumn="1" w:noHBand="0" w:noVBand="0"/>
        <w:tblCaption w:val="Table 9 Summary of the economic evaluation – cost-minimisation"/>
        <w:tblDescription w:val="This table describes the key constructs of the economic evaluation that is provided in the assessment report."/>
      </w:tblPr>
      <w:tblGrid>
        <w:gridCol w:w="3182"/>
        <w:gridCol w:w="5834"/>
      </w:tblGrid>
      <w:tr w:rsidR="0079055D" w:rsidRPr="007A2DF0" w14:paraId="6524EF07" w14:textId="77777777" w:rsidTr="006B5D21">
        <w:trPr>
          <w:cnfStyle w:val="100000000000" w:firstRow="1" w:lastRow="0" w:firstColumn="0" w:lastColumn="0" w:oddVBand="0" w:evenVBand="0" w:oddHBand="0" w:evenHBand="0" w:firstRowFirstColumn="0" w:firstRowLastColumn="0" w:lastRowFirstColumn="0" w:lastRowLastColumn="0"/>
          <w:trHeight w:val="20"/>
        </w:trPr>
        <w:tc>
          <w:tcPr>
            <w:tcW w:w="3184" w:type="dxa"/>
          </w:tcPr>
          <w:p w14:paraId="68604A66" w14:textId="77777777" w:rsidR="0079055D" w:rsidRPr="007A2DF0" w:rsidRDefault="0079055D" w:rsidP="0079055D">
            <w:pPr>
              <w:pStyle w:val="Tabletext"/>
              <w:rPr>
                <w:b/>
              </w:rPr>
            </w:pPr>
            <w:r w:rsidRPr="007A2DF0">
              <w:rPr>
                <w:b/>
              </w:rPr>
              <w:t>Perspective</w:t>
            </w:r>
          </w:p>
        </w:tc>
        <w:tc>
          <w:tcPr>
            <w:tcW w:w="5837" w:type="dxa"/>
          </w:tcPr>
          <w:p w14:paraId="51131BF9" w14:textId="77777777" w:rsidR="0079055D" w:rsidRPr="00410C1A" w:rsidRDefault="0079055D" w:rsidP="0079055D">
            <w:pPr>
              <w:pStyle w:val="Tabletext"/>
            </w:pPr>
            <w:r w:rsidRPr="00410C1A">
              <w:t xml:space="preserve">Australian healthcare </w:t>
            </w:r>
            <w:r>
              <w:t>system</w:t>
            </w:r>
          </w:p>
        </w:tc>
      </w:tr>
      <w:tr w:rsidR="0079055D" w:rsidRPr="007A2DF0" w14:paraId="773E2830" w14:textId="77777777" w:rsidTr="006B5D21">
        <w:trPr>
          <w:trHeight w:val="20"/>
        </w:trPr>
        <w:tc>
          <w:tcPr>
            <w:tcW w:w="3184" w:type="dxa"/>
          </w:tcPr>
          <w:p w14:paraId="54F2DBFF" w14:textId="77777777" w:rsidR="0079055D" w:rsidRPr="007A2DF0" w:rsidRDefault="0079055D" w:rsidP="0079055D">
            <w:pPr>
              <w:pStyle w:val="Tabletext"/>
              <w:rPr>
                <w:b/>
              </w:rPr>
            </w:pPr>
            <w:r w:rsidRPr="007A2DF0">
              <w:rPr>
                <w:b/>
              </w:rPr>
              <w:t>Comparator</w:t>
            </w:r>
          </w:p>
        </w:tc>
        <w:tc>
          <w:tcPr>
            <w:tcW w:w="5837" w:type="dxa"/>
          </w:tcPr>
          <w:p w14:paraId="03EEBA87" w14:textId="77777777" w:rsidR="0079055D" w:rsidRDefault="0079055D" w:rsidP="0079055D">
            <w:pPr>
              <w:pStyle w:val="Tabletext"/>
            </w:pPr>
            <w:r>
              <w:t>Main comparator: Level 2 PSG (at home)</w:t>
            </w:r>
          </w:p>
          <w:p w14:paraId="78768E4D" w14:textId="77777777" w:rsidR="0079055D" w:rsidRPr="00410C1A" w:rsidRDefault="0079055D" w:rsidP="0079055D">
            <w:pPr>
              <w:pStyle w:val="Tabletext"/>
            </w:pPr>
            <w:r>
              <w:t>Secondary comparator: Level 1 PSG</w:t>
            </w:r>
          </w:p>
        </w:tc>
      </w:tr>
      <w:tr w:rsidR="0079055D" w:rsidRPr="007A2DF0" w14:paraId="12133DD5" w14:textId="77777777" w:rsidTr="006B5D21">
        <w:trPr>
          <w:trHeight w:val="20"/>
        </w:trPr>
        <w:tc>
          <w:tcPr>
            <w:tcW w:w="3184" w:type="dxa"/>
          </w:tcPr>
          <w:p w14:paraId="2698C255" w14:textId="77777777" w:rsidR="0079055D" w:rsidRPr="007A2DF0" w:rsidRDefault="0079055D" w:rsidP="0079055D">
            <w:pPr>
              <w:pStyle w:val="Tabletext"/>
              <w:rPr>
                <w:b/>
              </w:rPr>
            </w:pPr>
            <w:r w:rsidRPr="007A2DF0">
              <w:rPr>
                <w:b/>
              </w:rPr>
              <w:t>Type of economic evaluation</w:t>
            </w:r>
          </w:p>
        </w:tc>
        <w:tc>
          <w:tcPr>
            <w:tcW w:w="5837" w:type="dxa"/>
          </w:tcPr>
          <w:p w14:paraId="4D640B53" w14:textId="77777777" w:rsidR="0079055D" w:rsidRPr="007A2DF0" w:rsidRDefault="0079055D" w:rsidP="0079055D">
            <w:pPr>
              <w:pStyle w:val="Tabletext"/>
            </w:pPr>
            <w:r>
              <w:t>C</w:t>
            </w:r>
            <w:r w:rsidRPr="007A2DF0">
              <w:t>ost-minimisation</w:t>
            </w:r>
          </w:p>
        </w:tc>
      </w:tr>
      <w:tr w:rsidR="0079055D" w:rsidRPr="00183E4D" w14:paraId="67836A59" w14:textId="77777777" w:rsidTr="006B5D21">
        <w:trPr>
          <w:trHeight w:val="20"/>
        </w:trPr>
        <w:tc>
          <w:tcPr>
            <w:tcW w:w="3184" w:type="dxa"/>
          </w:tcPr>
          <w:p w14:paraId="0737BD38" w14:textId="77777777" w:rsidR="0079055D" w:rsidRPr="007A2DF0" w:rsidRDefault="0079055D" w:rsidP="0079055D">
            <w:pPr>
              <w:pStyle w:val="Tabletext"/>
              <w:rPr>
                <w:b/>
              </w:rPr>
            </w:pPr>
            <w:r w:rsidRPr="007A2DF0">
              <w:rPr>
                <w:b/>
              </w:rPr>
              <w:t>Sources of evidence</w:t>
            </w:r>
          </w:p>
        </w:tc>
        <w:tc>
          <w:tcPr>
            <w:tcW w:w="5837" w:type="dxa"/>
          </w:tcPr>
          <w:p w14:paraId="0062C099" w14:textId="77777777" w:rsidR="0079055D" w:rsidRPr="00183E4D" w:rsidRDefault="0079055D" w:rsidP="0079055D">
            <w:pPr>
              <w:pStyle w:val="Tabletext"/>
            </w:pPr>
            <w:r w:rsidRPr="007A2DF0">
              <w:t>Systematic review</w:t>
            </w:r>
          </w:p>
        </w:tc>
      </w:tr>
      <w:tr w:rsidR="0079055D" w:rsidRPr="00183E4D" w14:paraId="4E0D9934" w14:textId="77777777" w:rsidTr="006B5D21">
        <w:trPr>
          <w:trHeight w:val="20"/>
        </w:trPr>
        <w:tc>
          <w:tcPr>
            <w:tcW w:w="3184" w:type="dxa"/>
            <w:hideMark/>
          </w:tcPr>
          <w:p w14:paraId="3793BE16" w14:textId="77777777" w:rsidR="0079055D" w:rsidRPr="00183E4D" w:rsidRDefault="0079055D" w:rsidP="0079055D">
            <w:pPr>
              <w:pStyle w:val="Tabletext"/>
              <w:rPr>
                <w:b/>
              </w:rPr>
            </w:pPr>
            <w:r w:rsidRPr="00183E4D">
              <w:rPr>
                <w:b/>
              </w:rPr>
              <w:t>Time horizon</w:t>
            </w:r>
          </w:p>
        </w:tc>
        <w:tc>
          <w:tcPr>
            <w:tcW w:w="5837" w:type="dxa"/>
            <w:hideMark/>
          </w:tcPr>
          <w:p w14:paraId="39F02D7B" w14:textId="77777777" w:rsidR="0079055D" w:rsidRPr="00183E4D" w:rsidRDefault="0079055D" w:rsidP="0079055D">
            <w:pPr>
              <w:pStyle w:val="Tabletext"/>
            </w:pPr>
            <w:r>
              <w:t>5 years</w:t>
            </w:r>
          </w:p>
        </w:tc>
      </w:tr>
      <w:tr w:rsidR="0079055D" w:rsidRPr="00183E4D" w14:paraId="7DFD4CDB" w14:textId="77777777" w:rsidTr="006B5D21">
        <w:trPr>
          <w:trHeight w:val="20"/>
        </w:trPr>
        <w:tc>
          <w:tcPr>
            <w:tcW w:w="3184" w:type="dxa"/>
            <w:hideMark/>
          </w:tcPr>
          <w:p w14:paraId="7ABB51B4" w14:textId="77777777" w:rsidR="0079055D" w:rsidRPr="00183E4D" w:rsidRDefault="0079055D" w:rsidP="0079055D">
            <w:pPr>
              <w:pStyle w:val="Tabletext"/>
              <w:rPr>
                <w:b/>
              </w:rPr>
            </w:pPr>
            <w:r w:rsidRPr="00183E4D">
              <w:rPr>
                <w:b/>
              </w:rPr>
              <w:t>Software packages used</w:t>
            </w:r>
          </w:p>
        </w:tc>
        <w:tc>
          <w:tcPr>
            <w:tcW w:w="5837" w:type="dxa"/>
          </w:tcPr>
          <w:p w14:paraId="7F3A6338" w14:textId="77777777" w:rsidR="0079055D" w:rsidRPr="00183E4D" w:rsidRDefault="0079055D" w:rsidP="0079055D">
            <w:pPr>
              <w:pStyle w:val="Tabletext"/>
            </w:pPr>
            <w:r>
              <w:t>Excel 2012</w:t>
            </w:r>
          </w:p>
        </w:tc>
      </w:tr>
    </w:tbl>
    <w:p w14:paraId="797A74F3" w14:textId="77777777" w:rsidR="0079055D" w:rsidRDefault="0079055D" w:rsidP="0079055D">
      <w:pPr>
        <w:widowControl w:val="0"/>
        <w:rPr>
          <w:rStyle w:val="TablenotesChar"/>
        </w:rPr>
      </w:pPr>
      <w:r>
        <w:rPr>
          <w:rStyle w:val="TablenotesChar"/>
        </w:rPr>
        <w:t>Source: Table 16, p93 of the ADAR.</w:t>
      </w:r>
    </w:p>
    <w:p w14:paraId="69E5972B" w14:textId="73CA7C1B" w:rsidR="0079055D" w:rsidRDefault="0079055D" w:rsidP="0079055D">
      <w:pPr>
        <w:rPr>
          <w:rStyle w:val="TablenotesChar"/>
        </w:rPr>
      </w:pPr>
      <w:r>
        <w:rPr>
          <w:rStyle w:val="TablenotesChar"/>
        </w:rPr>
        <w:t>Abbreviations: PSG=polysomnography</w:t>
      </w:r>
    </w:p>
    <w:p w14:paraId="245597DE" w14:textId="59B80E2B" w:rsidR="00166989" w:rsidRDefault="0079055D" w:rsidP="00166989">
      <w:pPr>
        <w:spacing w:before="240"/>
      </w:pPr>
      <w:r w:rsidRPr="008B4561">
        <w:rPr>
          <w:iCs/>
        </w:rPr>
        <w:t xml:space="preserve">The cost-minimisation analysis presented by the ADAR </w:t>
      </w:r>
      <w:r w:rsidR="005F7BC6">
        <w:rPr>
          <w:iCs/>
        </w:rPr>
        <w:t>included</w:t>
      </w:r>
      <w:r>
        <w:t xml:space="preserve"> current usage of Level 1 and Level 2 PSGs on the MBS, estimated usage of those MBS items, the number of eligible patients, the expected substitution of Level 1 and Level 2 PSG by HSAT/PAT, and estimated usage of HSAT/PAT. These estimates were presented over 5 years, which </w:t>
      </w:r>
      <w:r w:rsidR="002B3973">
        <w:t>resembled</w:t>
      </w:r>
      <w:r>
        <w:t xml:space="preserve"> financial estimates </w:t>
      </w:r>
      <w:r w:rsidR="002B3973">
        <w:t>(</w:t>
      </w:r>
      <w:r>
        <w:t>Section E of the Investigative Technical Guidelines</w:t>
      </w:r>
      <w:r w:rsidR="002B3973">
        <w:t>)</w:t>
      </w:r>
      <w:r>
        <w:t>.</w:t>
      </w:r>
    </w:p>
    <w:p w14:paraId="21F215A3" w14:textId="35A55FB6" w:rsidR="0079055D" w:rsidRDefault="0079055D" w:rsidP="00EC3821">
      <w:pPr>
        <w:spacing w:before="240" w:after="120"/>
      </w:pPr>
      <w:r>
        <w:lastRenderedPageBreak/>
        <w:t>The key assumptions of the cost-minimisation as identified by the ADAR are as follows:</w:t>
      </w:r>
    </w:p>
    <w:p w14:paraId="5F34DD6A" w14:textId="77777777" w:rsidR="0079055D" w:rsidRDefault="0079055D" w:rsidP="00814E99">
      <w:pPr>
        <w:pStyle w:val="ListParagraph"/>
        <w:numPr>
          <w:ilvl w:val="0"/>
          <w:numId w:val="22"/>
        </w:numPr>
        <w:spacing w:after="120"/>
      </w:pPr>
      <w:r>
        <w:t>There will be no increase in the number of sleep studies with the introduction of HSAT/PAT.</w:t>
      </w:r>
    </w:p>
    <w:p w14:paraId="0A1F0520" w14:textId="77777777" w:rsidR="0079055D" w:rsidRDefault="0079055D" w:rsidP="00814E99">
      <w:pPr>
        <w:pStyle w:val="ListParagraph"/>
        <w:numPr>
          <w:ilvl w:val="0"/>
          <w:numId w:val="22"/>
        </w:numPr>
        <w:spacing w:after="120"/>
      </w:pPr>
      <w:r>
        <w:t>There will be no difference in treatment of OSA due to any differences in the classification of OSA, and it is unlikely there will be a change in the OSA treatment pathway as a result of using HSAT/PAT.</w:t>
      </w:r>
    </w:p>
    <w:p w14:paraId="63145964" w14:textId="34203E29" w:rsidR="0079055D" w:rsidRDefault="0079055D" w:rsidP="00814E99">
      <w:pPr>
        <w:pStyle w:val="ListParagraph"/>
        <w:numPr>
          <w:ilvl w:val="0"/>
          <w:numId w:val="22"/>
        </w:numPr>
        <w:spacing w:after="120"/>
      </w:pPr>
      <w:r>
        <w:t xml:space="preserve">5% of patients who receive a Level 2 PSG (at home) will </w:t>
      </w:r>
      <w:r w:rsidR="001139D6">
        <w:t xml:space="preserve">not </w:t>
      </w:r>
      <w:r>
        <w:t xml:space="preserve">have </w:t>
      </w:r>
      <w:r w:rsidR="001139D6">
        <w:t xml:space="preserve">a </w:t>
      </w:r>
      <w:r w:rsidR="00A62E35" w:rsidRPr="00A62E35">
        <w:t xml:space="preserve">satisfactory </w:t>
      </w:r>
      <w:r>
        <w:t xml:space="preserve">result and will receive an additional Level 1 PSG.  The same is assumed for use of HSAT/PAT.  The commentary noted that </w:t>
      </w:r>
      <w:r w:rsidRPr="0079055D">
        <w:t>this may not be reasonable as the failure rate for HSAT/PAT in the two HSAT/PAT vs Level 2 PSG studies was 5.4% and 7.5%, and in the HSAT/PAT vs Level 1 PSG studies ranged from 0% to 9.6%.</w:t>
      </w:r>
    </w:p>
    <w:p w14:paraId="1EB63715" w14:textId="77777777" w:rsidR="0079055D" w:rsidRDefault="0079055D" w:rsidP="00814E99">
      <w:pPr>
        <w:pStyle w:val="ListParagraph"/>
        <w:numPr>
          <w:ilvl w:val="0"/>
          <w:numId w:val="22"/>
        </w:numPr>
        <w:spacing w:after="120"/>
      </w:pPr>
      <w:r>
        <w:t>Up to 10% of patients who currently receive a Level 1 PSG may be eligible for HST/PAT instead (advice of local sleep specialists).</w:t>
      </w:r>
    </w:p>
    <w:p w14:paraId="4F6BEDBB" w14:textId="3C508779" w:rsidR="0079055D" w:rsidRDefault="0079055D" w:rsidP="00814E99">
      <w:pPr>
        <w:pStyle w:val="ListParagraph"/>
        <w:numPr>
          <w:ilvl w:val="0"/>
          <w:numId w:val="22"/>
        </w:numPr>
        <w:spacing w:after="120"/>
      </w:pPr>
      <w:r>
        <w:t>Based on use of HSAT/PAT in markets where it has been launched, it is assumed 80% of patients will use the single use device and 20% will use the re-usable HSAT/PAT.</w:t>
      </w:r>
    </w:p>
    <w:p w14:paraId="7869F436" w14:textId="68187E7E" w:rsidR="0097029B" w:rsidRDefault="0097029B" w:rsidP="00814E99">
      <w:pPr>
        <w:pStyle w:val="ListParagraph"/>
        <w:numPr>
          <w:ilvl w:val="0"/>
          <w:numId w:val="22"/>
        </w:numPr>
        <w:spacing w:after="240"/>
        <w:ind w:left="714" w:hanging="357"/>
      </w:pPr>
      <w:r>
        <w:t>A</w:t>
      </w:r>
      <w:r w:rsidRPr="0097029B">
        <w:t>ll Level 1 PSGs were performed in</w:t>
      </w:r>
      <w:r w:rsidR="004D692F">
        <w:t>-hospital,</w:t>
      </w:r>
      <w:r w:rsidRPr="0097029B">
        <w:t xml:space="preserve"> either a public/private hospital</w:t>
      </w:r>
      <w:r w:rsidR="004D692F">
        <w:t xml:space="preserve">, and the costs assigned for Level 1 PSG included </w:t>
      </w:r>
      <w:r w:rsidRPr="0097029B">
        <w:t xml:space="preserve">DRG costs </w:t>
      </w:r>
      <w:r w:rsidR="004D692F">
        <w:t>and</w:t>
      </w:r>
      <w:r w:rsidRPr="0097029B">
        <w:t xml:space="preserve"> 75% MBS rebate.</w:t>
      </w:r>
    </w:p>
    <w:p w14:paraId="7A8BF53F" w14:textId="3C9A70C0" w:rsidR="0079055D" w:rsidRDefault="0079055D" w:rsidP="0079055D">
      <w:r>
        <w:t xml:space="preserve">The ADAR </w:t>
      </w:r>
      <w:r w:rsidR="00007CE6">
        <w:t>estimated</w:t>
      </w:r>
      <w:r>
        <w:t xml:space="preserve"> that 95% of patients who currently receive a Level 2 PSG (at home) would be eligible to receive HSAT/PAT instead</w:t>
      </w:r>
      <w:r w:rsidR="00CC2A8B">
        <w:t xml:space="preserve"> (on the basis that 5% of patients would not be eligible due to one of the contraindications for HSAT/PAT)</w:t>
      </w:r>
      <w:r>
        <w:t xml:space="preserve"> and 10% of patients who currently receive Level 1 PSG would be eligible to receive HSAT/PAT instead. The ADAR assume</w:t>
      </w:r>
      <w:r w:rsidR="00007CE6">
        <w:t>d</w:t>
      </w:r>
      <w:r>
        <w:t xml:space="preserve"> 10% of Level 2 PSGs will be substituted by HSAT/PAT, increasing to 30% in 2025 (Year 5). The commentary noted that </w:t>
      </w:r>
      <w:r w:rsidRPr="0079055D">
        <w:t>the proposed uptake of 10% in Year 1, increasing to 15% in Year 2, 20% in Year 3, 25% in Year 4 and 30% in Year 5 may be an underestimate of usage given the ADAR has advocated that HSAT/PAT will offer simpler use than Level 2 PSG.</w:t>
      </w:r>
    </w:p>
    <w:p w14:paraId="0B2CCF09" w14:textId="3376286C" w:rsidR="00EC3821" w:rsidRPr="00EC3821" w:rsidRDefault="0079055D" w:rsidP="00EC3821">
      <w:pPr>
        <w:spacing w:before="240"/>
      </w:pPr>
      <w:r>
        <w:t xml:space="preserve">The comparative costs for Level 1 and Level 2 PSG and HSAT/PAT as presented by the ADAR are shown in </w:t>
      </w:r>
      <w:r>
        <w:fldChar w:fldCharType="begin"/>
      </w:r>
      <w:r>
        <w:instrText xml:space="preserve"> REF _Ref75195553 \h </w:instrText>
      </w:r>
      <w:r>
        <w:fldChar w:fldCharType="separate"/>
      </w:r>
      <w:r w:rsidR="00824C87">
        <w:t xml:space="preserve">Table </w:t>
      </w:r>
      <w:r w:rsidR="00824C87">
        <w:rPr>
          <w:noProof/>
        </w:rPr>
        <w:t>10</w:t>
      </w:r>
      <w:r>
        <w:fldChar w:fldCharType="end"/>
      </w:r>
      <w:r>
        <w:t>.</w:t>
      </w:r>
      <w:bookmarkStart w:id="23" w:name="_Ref75195553"/>
      <w:bookmarkStart w:id="24" w:name="_Toc70768717"/>
    </w:p>
    <w:p w14:paraId="1F319D8D" w14:textId="4966E35A" w:rsidR="0079055D" w:rsidRDefault="0079055D" w:rsidP="007D5F6D">
      <w:pPr>
        <w:pStyle w:val="Caption"/>
        <w:spacing w:before="240"/>
      </w:pPr>
      <w:r>
        <w:t xml:space="preserve">Table </w:t>
      </w:r>
      <w:r w:rsidR="00A930B3">
        <w:fldChar w:fldCharType="begin"/>
      </w:r>
      <w:r w:rsidR="00A930B3">
        <w:instrText xml:space="preserve"> SEQ Table \* ARABIC </w:instrText>
      </w:r>
      <w:r w:rsidR="00A930B3">
        <w:fldChar w:fldCharType="separate"/>
      </w:r>
      <w:r w:rsidR="00824C87">
        <w:rPr>
          <w:noProof/>
        </w:rPr>
        <w:t>10</w:t>
      </w:r>
      <w:r w:rsidR="00A930B3">
        <w:rPr>
          <w:noProof/>
        </w:rPr>
        <w:fldChar w:fldCharType="end"/>
      </w:r>
      <w:bookmarkEnd w:id="23"/>
      <w:r>
        <w:tab/>
        <w:t>Comparative cost for Level 2 and Level 1 PSG with and without substitution of HSAT/PAT</w:t>
      </w:r>
      <w:bookmarkEnd w:id="24"/>
    </w:p>
    <w:tbl>
      <w:tblPr>
        <w:tblStyle w:val="TableGrid1"/>
        <w:tblW w:w="5110" w:type="pct"/>
        <w:tblInd w:w="-5" w:type="dxa"/>
        <w:tblCellMar>
          <w:left w:w="28" w:type="dxa"/>
          <w:right w:w="28" w:type="dxa"/>
        </w:tblCellMar>
        <w:tblLook w:val="00A0" w:firstRow="1" w:lastRow="0" w:firstColumn="1" w:lastColumn="0" w:noHBand="0" w:noVBand="0"/>
        <w:tblCaption w:val="Table 10 Comparative cost for Level 2 and Level 1 PSG with and without substitution of HSAT/PAT"/>
        <w:tblDescription w:val="This table provides the results of the cost-minimisation analysis"/>
      </w:tblPr>
      <w:tblGrid>
        <w:gridCol w:w="3625"/>
        <w:gridCol w:w="1100"/>
        <w:gridCol w:w="1115"/>
        <w:gridCol w:w="1225"/>
        <w:gridCol w:w="1060"/>
        <w:gridCol w:w="1089"/>
      </w:tblGrid>
      <w:tr w:rsidR="0079055D" w:rsidRPr="00AA66CD" w14:paraId="30E37FF0" w14:textId="77777777" w:rsidTr="0079055D">
        <w:trPr>
          <w:cnfStyle w:val="100000000000" w:firstRow="1" w:lastRow="0" w:firstColumn="0" w:lastColumn="0" w:oddVBand="0" w:evenVBand="0" w:oddHBand="0" w:evenHBand="0" w:firstRowFirstColumn="0" w:firstRowLastColumn="0" w:lastRowFirstColumn="0" w:lastRowLastColumn="0"/>
          <w:cantSplit/>
          <w:trHeight w:val="70"/>
          <w:tblHeader/>
        </w:trPr>
        <w:tc>
          <w:tcPr>
            <w:tcW w:w="1967" w:type="pct"/>
            <w:tcBorders>
              <w:bottom w:val="single" w:sz="4" w:space="0" w:color="auto"/>
            </w:tcBorders>
            <w:noWrap/>
            <w:vAlign w:val="center"/>
          </w:tcPr>
          <w:p w14:paraId="4D75EDCF" w14:textId="77777777" w:rsidR="0079055D" w:rsidRPr="002D3D4D" w:rsidRDefault="0079055D" w:rsidP="007D5F6D">
            <w:pPr>
              <w:pStyle w:val="Tabletextboldleft"/>
              <w:tabs>
                <w:tab w:val="left" w:pos="204"/>
              </w:tabs>
            </w:pPr>
          </w:p>
        </w:tc>
        <w:tc>
          <w:tcPr>
            <w:tcW w:w="597" w:type="pct"/>
            <w:tcBorders>
              <w:bottom w:val="single" w:sz="4" w:space="0" w:color="auto"/>
            </w:tcBorders>
            <w:noWrap/>
            <w:vAlign w:val="center"/>
          </w:tcPr>
          <w:p w14:paraId="4030F1E5" w14:textId="77777777" w:rsidR="0079055D" w:rsidRDefault="0079055D" w:rsidP="007D5F6D">
            <w:pPr>
              <w:pStyle w:val="Tabletextbold"/>
              <w:rPr>
                <w:sz w:val="24"/>
                <w:szCs w:val="24"/>
              </w:rPr>
            </w:pPr>
            <w:r>
              <w:t>Year 1</w:t>
            </w:r>
          </w:p>
        </w:tc>
        <w:tc>
          <w:tcPr>
            <w:tcW w:w="605" w:type="pct"/>
            <w:tcBorders>
              <w:bottom w:val="single" w:sz="4" w:space="0" w:color="auto"/>
            </w:tcBorders>
            <w:noWrap/>
            <w:vAlign w:val="center"/>
          </w:tcPr>
          <w:p w14:paraId="30BCB3E9" w14:textId="77777777" w:rsidR="0079055D" w:rsidRDefault="0079055D" w:rsidP="007D5F6D">
            <w:pPr>
              <w:pStyle w:val="Tabletextbold"/>
              <w:rPr>
                <w:sz w:val="24"/>
                <w:szCs w:val="24"/>
              </w:rPr>
            </w:pPr>
            <w:r>
              <w:t>Year 2</w:t>
            </w:r>
          </w:p>
        </w:tc>
        <w:tc>
          <w:tcPr>
            <w:tcW w:w="665" w:type="pct"/>
            <w:tcBorders>
              <w:bottom w:val="single" w:sz="4" w:space="0" w:color="auto"/>
            </w:tcBorders>
            <w:noWrap/>
            <w:vAlign w:val="center"/>
          </w:tcPr>
          <w:p w14:paraId="524EC3B1" w14:textId="77777777" w:rsidR="0079055D" w:rsidRDefault="0079055D" w:rsidP="007D5F6D">
            <w:pPr>
              <w:pStyle w:val="Tabletextbold"/>
              <w:rPr>
                <w:sz w:val="24"/>
                <w:szCs w:val="24"/>
              </w:rPr>
            </w:pPr>
            <w:r>
              <w:t>Year 3</w:t>
            </w:r>
          </w:p>
        </w:tc>
        <w:tc>
          <w:tcPr>
            <w:tcW w:w="575" w:type="pct"/>
            <w:tcBorders>
              <w:bottom w:val="single" w:sz="4" w:space="0" w:color="auto"/>
            </w:tcBorders>
            <w:noWrap/>
            <w:vAlign w:val="center"/>
          </w:tcPr>
          <w:p w14:paraId="32B6332B" w14:textId="77777777" w:rsidR="0079055D" w:rsidRDefault="0079055D" w:rsidP="007D5F6D">
            <w:pPr>
              <w:pStyle w:val="Tabletextbold"/>
              <w:rPr>
                <w:sz w:val="24"/>
                <w:szCs w:val="24"/>
              </w:rPr>
            </w:pPr>
            <w:r>
              <w:t>Year 4</w:t>
            </w:r>
          </w:p>
        </w:tc>
        <w:tc>
          <w:tcPr>
            <w:tcW w:w="591" w:type="pct"/>
            <w:tcBorders>
              <w:bottom w:val="single" w:sz="4" w:space="0" w:color="auto"/>
            </w:tcBorders>
            <w:noWrap/>
            <w:vAlign w:val="center"/>
          </w:tcPr>
          <w:p w14:paraId="12D5D89B" w14:textId="77777777" w:rsidR="0079055D" w:rsidRDefault="0079055D" w:rsidP="007D5F6D">
            <w:pPr>
              <w:pStyle w:val="Tabletextbold"/>
              <w:rPr>
                <w:sz w:val="24"/>
                <w:szCs w:val="24"/>
              </w:rPr>
            </w:pPr>
            <w:r>
              <w:t>Year 5</w:t>
            </w:r>
          </w:p>
        </w:tc>
      </w:tr>
      <w:tr w:rsidR="0079055D" w:rsidRPr="00AA66CD" w14:paraId="72DF4C0E" w14:textId="77777777" w:rsidTr="0079055D">
        <w:trPr>
          <w:cnfStyle w:val="100000000000" w:firstRow="1" w:lastRow="0" w:firstColumn="0" w:lastColumn="0" w:oddVBand="0" w:evenVBand="0" w:oddHBand="0" w:evenHBand="0" w:firstRowFirstColumn="0" w:firstRowLastColumn="0" w:lastRowFirstColumn="0" w:lastRowLastColumn="0"/>
          <w:cantSplit/>
          <w:trHeight w:val="70"/>
          <w:tblHeader/>
        </w:trPr>
        <w:tc>
          <w:tcPr>
            <w:tcW w:w="1967" w:type="pct"/>
            <w:tcBorders>
              <w:right w:val="nil"/>
            </w:tcBorders>
            <w:noWrap/>
            <w:vAlign w:val="center"/>
          </w:tcPr>
          <w:p w14:paraId="22AFD48F" w14:textId="77777777" w:rsidR="0079055D" w:rsidRPr="00F1054C" w:rsidRDefault="0079055D" w:rsidP="007D5F6D">
            <w:pPr>
              <w:pStyle w:val="Tabletextboldleft"/>
              <w:tabs>
                <w:tab w:val="left" w:pos="204"/>
              </w:tabs>
            </w:pPr>
            <w:r w:rsidRPr="00F1054C">
              <w:rPr>
                <w:rFonts w:cs="Calibri"/>
                <w:color w:val="000000"/>
              </w:rPr>
              <w:t>Cost of Level 1 and Level 2 PSG</w:t>
            </w:r>
          </w:p>
        </w:tc>
        <w:tc>
          <w:tcPr>
            <w:tcW w:w="597" w:type="pct"/>
            <w:tcBorders>
              <w:left w:val="nil"/>
              <w:right w:val="nil"/>
            </w:tcBorders>
            <w:noWrap/>
            <w:vAlign w:val="center"/>
          </w:tcPr>
          <w:p w14:paraId="4E7A3888" w14:textId="77777777" w:rsidR="0079055D" w:rsidRDefault="0079055D" w:rsidP="007D5F6D">
            <w:pPr>
              <w:pStyle w:val="Tabletextbold"/>
            </w:pPr>
          </w:p>
        </w:tc>
        <w:tc>
          <w:tcPr>
            <w:tcW w:w="605" w:type="pct"/>
            <w:tcBorders>
              <w:left w:val="nil"/>
              <w:right w:val="nil"/>
            </w:tcBorders>
            <w:noWrap/>
            <w:vAlign w:val="center"/>
          </w:tcPr>
          <w:p w14:paraId="41D7974B" w14:textId="77777777" w:rsidR="0079055D" w:rsidRDefault="0079055D" w:rsidP="007D5F6D">
            <w:pPr>
              <w:pStyle w:val="Tabletextbold"/>
            </w:pPr>
          </w:p>
        </w:tc>
        <w:tc>
          <w:tcPr>
            <w:tcW w:w="665" w:type="pct"/>
            <w:tcBorders>
              <w:left w:val="nil"/>
              <w:right w:val="nil"/>
            </w:tcBorders>
            <w:noWrap/>
            <w:vAlign w:val="center"/>
          </w:tcPr>
          <w:p w14:paraId="06D3E294" w14:textId="77777777" w:rsidR="0079055D" w:rsidRDefault="0079055D" w:rsidP="007D5F6D">
            <w:pPr>
              <w:pStyle w:val="Tabletextbold"/>
            </w:pPr>
          </w:p>
        </w:tc>
        <w:tc>
          <w:tcPr>
            <w:tcW w:w="575" w:type="pct"/>
            <w:tcBorders>
              <w:left w:val="nil"/>
              <w:right w:val="nil"/>
            </w:tcBorders>
            <w:noWrap/>
            <w:vAlign w:val="center"/>
          </w:tcPr>
          <w:p w14:paraId="09A80270" w14:textId="77777777" w:rsidR="0079055D" w:rsidRDefault="0079055D" w:rsidP="007D5F6D">
            <w:pPr>
              <w:pStyle w:val="Tabletextbold"/>
            </w:pPr>
          </w:p>
        </w:tc>
        <w:tc>
          <w:tcPr>
            <w:tcW w:w="591" w:type="pct"/>
            <w:tcBorders>
              <w:left w:val="nil"/>
            </w:tcBorders>
            <w:noWrap/>
            <w:vAlign w:val="center"/>
          </w:tcPr>
          <w:p w14:paraId="0D723EC9" w14:textId="77777777" w:rsidR="0079055D" w:rsidRDefault="0079055D" w:rsidP="007D5F6D">
            <w:pPr>
              <w:pStyle w:val="Tabletextbold"/>
            </w:pPr>
          </w:p>
        </w:tc>
      </w:tr>
      <w:tr w:rsidR="0079055D" w:rsidRPr="00EC194D" w14:paraId="26D4A72A" w14:textId="77777777" w:rsidTr="0079055D">
        <w:trPr>
          <w:cantSplit/>
          <w:trHeight w:val="70"/>
        </w:trPr>
        <w:tc>
          <w:tcPr>
            <w:tcW w:w="1967" w:type="pct"/>
            <w:tcBorders>
              <w:bottom w:val="single" w:sz="4" w:space="0" w:color="auto"/>
            </w:tcBorders>
            <w:noWrap/>
            <w:vAlign w:val="center"/>
          </w:tcPr>
          <w:p w14:paraId="7B75A746" w14:textId="77777777" w:rsidR="0079055D" w:rsidRDefault="0079055D" w:rsidP="007D5F6D">
            <w:pPr>
              <w:pStyle w:val="Tabletext"/>
              <w:tabs>
                <w:tab w:val="left" w:pos="204"/>
              </w:tabs>
              <w:spacing w:before="0" w:after="0"/>
            </w:pPr>
            <w:r>
              <w:tab/>
              <w:t>Cost: Level 2 PSG</w:t>
            </w:r>
          </w:p>
        </w:tc>
        <w:tc>
          <w:tcPr>
            <w:tcW w:w="597" w:type="pct"/>
            <w:tcBorders>
              <w:bottom w:val="single" w:sz="4" w:space="0" w:color="auto"/>
            </w:tcBorders>
            <w:noWrap/>
          </w:tcPr>
          <w:p w14:paraId="6B9F21BC" w14:textId="77777777" w:rsidR="0079055D" w:rsidRPr="00CF05A2" w:rsidRDefault="0079055D" w:rsidP="007D5F6D">
            <w:pPr>
              <w:jc w:val="center"/>
              <w:rPr>
                <w:rFonts w:cs="Calibri"/>
                <w:color w:val="000000"/>
              </w:rPr>
            </w:pPr>
            <w:r w:rsidRPr="00CF05A2">
              <w:t>$59,695,382</w:t>
            </w:r>
          </w:p>
        </w:tc>
        <w:tc>
          <w:tcPr>
            <w:tcW w:w="605" w:type="pct"/>
            <w:tcBorders>
              <w:bottom w:val="single" w:sz="4" w:space="0" w:color="auto"/>
            </w:tcBorders>
            <w:noWrap/>
          </w:tcPr>
          <w:p w14:paraId="52DE2C7F" w14:textId="77777777" w:rsidR="0079055D" w:rsidRPr="00CF05A2" w:rsidRDefault="0079055D" w:rsidP="007D5F6D">
            <w:pPr>
              <w:jc w:val="center"/>
              <w:rPr>
                <w:rFonts w:cs="Calibri"/>
                <w:color w:val="000000"/>
              </w:rPr>
            </w:pPr>
            <w:r w:rsidRPr="00CF05A2">
              <w:t>$62,253,930</w:t>
            </w:r>
          </w:p>
        </w:tc>
        <w:tc>
          <w:tcPr>
            <w:tcW w:w="665" w:type="pct"/>
            <w:tcBorders>
              <w:bottom w:val="single" w:sz="4" w:space="0" w:color="auto"/>
            </w:tcBorders>
            <w:noWrap/>
          </w:tcPr>
          <w:p w14:paraId="305DE013" w14:textId="77777777" w:rsidR="0079055D" w:rsidRPr="00CF05A2" w:rsidRDefault="0079055D" w:rsidP="007D5F6D">
            <w:pPr>
              <w:jc w:val="center"/>
              <w:rPr>
                <w:rFonts w:cs="Calibri"/>
                <w:color w:val="000000"/>
              </w:rPr>
            </w:pPr>
            <w:r w:rsidRPr="00CF05A2">
              <w:t>$64,995,143</w:t>
            </w:r>
          </w:p>
        </w:tc>
        <w:tc>
          <w:tcPr>
            <w:tcW w:w="575" w:type="pct"/>
            <w:tcBorders>
              <w:bottom w:val="single" w:sz="4" w:space="0" w:color="auto"/>
            </w:tcBorders>
            <w:noWrap/>
          </w:tcPr>
          <w:p w14:paraId="1C6A0DE0" w14:textId="77777777" w:rsidR="0079055D" w:rsidRPr="00CF05A2" w:rsidRDefault="0079055D" w:rsidP="007D5F6D">
            <w:pPr>
              <w:jc w:val="center"/>
              <w:rPr>
                <w:rFonts w:cs="Calibri"/>
                <w:color w:val="000000"/>
              </w:rPr>
            </w:pPr>
            <w:r w:rsidRPr="00CF05A2">
              <w:t>$67,613,607</w:t>
            </w:r>
          </w:p>
        </w:tc>
        <w:tc>
          <w:tcPr>
            <w:tcW w:w="591" w:type="pct"/>
            <w:tcBorders>
              <w:bottom w:val="single" w:sz="4" w:space="0" w:color="auto"/>
            </w:tcBorders>
            <w:noWrap/>
          </w:tcPr>
          <w:p w14:paraId="2BA2FD1A" w14:textId="77777777" w:rsidR="0079055D" w:rsidRPr="00CF05A2" w:rsidRDefault="0079055D" w:rsidP="007D5F6D">
            <w:pPr>
              <w:jc w:val="center"/>
              <w:rPr>
                <w:rFonts w:cs="Calibri"/>
                <w:color w:val="000000"/>
              </w:rPr>
            </w:pPr>
            <w:r w:rsidRPr="00CF05A2">
              <w:t>$70,214,971</w:t>
            </w:r>
          </w:p>
        </w:tc>
      </w:tr>
      <w:tr w:rsidR="0079055D" w:rsidRPr="00EC194D" w14:paraId="18E5608D" w14:textId="77777777" w:rsidTr="0079055D">
        <w:trPr>
          <w:cantSplit/>
          <w:trHeight w:val="70"/>
        </w:trPr>
        <w:tc>
          <w:tcPr>
            <w:tcW w:w="1967" w:type="pct"/>
            <w:tcBorders>
              <w:bottom w:val="single" w:sz="4" w:space="0" w:color="auto"/>
            </w:tcBorders>
            <w:noWrap/>
            <w:vAlign w:val="center"/>
          </w:tcPr>
          <w:p w14:paraId="471DAC22" w14:textId="77777777" w:rsidR="0079055D" w:rsidRDefault="0079055D" w:rsidP="007D5F6D">
            <w:pPr>
              <w:pStyle w:val="Tabletext"/>
              <w:tabs>
                <w:tab w:val="left" w:pos="204"/>
              </w:tabs>
              <w:spacing w:before="0" w:after="0"/>
            </w:pPr>
            <w:r>
              <w:tab/>
              <w:t>Cost: Level 1 PSG</w:t>
            </w:r>
          </w:p>
        </w:tc>
        <w:tc>
          <w:tcPr>
            <w:tcW w:w="597" w:type="pct"/>
            <w:tcBorders>
              <w:bottom w:val="single" w:sz="4" w:space="0" w:color="auto"/>
            </w:tcBorders>
            <w:noWrap/>
          </w:tcPr>
          <w:p w14:paraId="58615ED4" w14:textId="77777777" w:rsidR="0079055D" w:rsidRPr="00CF05A2" w:rsidRDefault="0079055D" w:rsidP="007D5F6D">
            <w:pPr>
              <w:jc w:val="center"/>
              <w:rPr>
                <w:rFonts w:cs="Calibri"/>
                <w:color w:val="000000"/>
              </w:rPr>
            </w:pPr>
            <w:r w:rsidRPr="00CF05A2">
              <w:t>$84,402,110</w:t>
            </w:r>
          </w:p>
        </w:tc>
        <w:tc>
          <w:tcPr>
            <w:tcW w:w="605" w:type="pct"/>
            <w:tcBorders>
              <w:bottom w:val="single" w:sz="4" w:space="0" w:color="auto"/>
            </w:tcBorders>
            <w:noWrap/>
          </w:tcPr>
          <w:p w14:paraId="2A7FD9FC" w14:textId="77777777" w:rsidR="0079055D" w:rsidRPr="00CF05A2" w:rsidRDefault="0079055D" w:rsidP="007D5F6D">
            <w:pPr>
              <w:jc w:val="center"/>
              <w:rPr>
                <w:rFonts w:cs="Calibri"/>
                <w:color w:val="000000"/>
              </w:rPr>
            </w:pPr>
            <w:r w:rsidRPr="00CF05A2">
              <w:t>$88,022,960</w:t>
            </w:r>
          </w:p>
        </w:tc>
        <w:tc>
          <w:tcPr>
            <w:tcW w:w="665" w:type="pct"/>
            <w:tcBorders>
              <w:bottom w:val="single" w:sz="4" w:space="0" w:color="auto"/>
            </w:tcBorders>
            <w:noWrap/>
          </w:tcPr>
          <w:p w14:paraId="05DA72C4" w14:textId="77777777" w:rsidR="0079055D" w:rsidRPr="00CF05A2" w:rsidRDefault="0079055D" w:rsidP="007D5F6D">
            <w:pPr>
              <w:jc w:val="center"/>
              <w:rPr>
                <w:rFonts w:cs="Calibri"/>
                <w:color w:val="000000"/>
              </w:rPr>
            </w:pPr>
            <w:r w:rsidRPr="00CF05A2">
              <w:t>$91,904,773</w:t>
            </w:r>
          </w:p>
        </w:tc>
        <w:tc>
          <w:tcPr>
            <w:tcW w:w="575" w:type="pct"/>
            <w:tcBorders>
              <w:bottom w:val="single" w:sz="4" w:space="0" w:color="auto"/>
            </w:tcBorders>
            <w:noWrap/>
          </w:tcPr>
          <w:p w14:paraId="287170FE" w14:textId="77777777" w:rsidR="0079055D" w:rsidRPr="00CF05A2" w:rsidRDefault="0079055D" w:rsidP="007D5F6D">
            <w:pPr>
              <w:jc w:val="center"/>
              <w:rPr>
                <w:rFonts w:cs="Calibri"/>
                <w:color w:val="000000"/>
              </w:rPr>
            </w:pPr>
            <w:r w:rsidRPr="00CF05A2">
              <w:t>$95,608,535</w:t>
            </w:r>
          </w:p>
        </w:tc>
        <w:tc>
          <w:tcPr>
            <w:tcW w:w="591" w:type="pct"/>
            <w:tcBorders>
              <w:bottom w:val="single" w:sz="4" w:space="0" w:color="auto"/>
            </w:tcBorders>
            <w:noWrap/>
          </w:tcPr>
          <w:p w14:paraId="2308850F" w14:textId="77777777" w:rsidR="0079055D" w:rsidRPr="00CF05A2" w:rsidRDefault="0079055D" w:rsidP="007D5F6D">
            <w:pPr>
              <w:jc w:val="center"/>
              <w:rPr>
                <w:rFonts w:cs="Calibri"/>
                <w:color w:val="000000"/>
              </w:rPr>
            </w:pPr>
            <w:r w:rsidRPr="00CF05A2">
              <w:t>$99,289,464</w:t>
            </w:r>
          </w:p>
        </w:tc>
      </w:tr>
      <w:tr w:rsidR="0079055D" w:rsidRPr="00EC194D" w14:paraId="563B0886" w14:textId="77777777" w:rsidTr="0079055D">
        <w:trPr>
          <w:cantSplit/>
          <w:trHeight w:val="70"/>
        </w:trPr>
        <w:tc>
          <w:tcPr>
            <w:tcW w:w="1967" w:type="pct"/>
            <w:tcBorders>
              <w:bottom w:val="single" w:sz="4" w:space="0" w:color="auto"/>
            </w:tcBorders>
            <w:noWrap/>
            <w:vAlign w:val="center"/>
          </w:tcPr>
          <w:p w14:paraId="32B5BB5E" w14:textId="77777777" w:rsidR="0079055D" w:rsidRDefault="0079055D" w:rsidP="007D5F6D">
            <w:pPr>
              <w:pStyle w:val="Tabletext"/>
              <w:tabs>
                <w:tab w:val="left" w:pos="204"/>
              </w:tabs>
              <w:spacing w:before="0" w:after="0"/>
            </w:pPr>
            <w:r>
              <w:tab/>
              <w:t>Cost: Level 1 and Level 2 PSG – total cost</w:t>
            </w:r>
          </w:p>
        </w:tc>
        <w:tc>
          <w:tcPr>
            <w:tcW w:w="597" w:type="pct"/>
            <w:tcBorders>
              <w:bottom w:val="single" w:sz="4" w:space="0" w:color="auto"/>
            </w:tcBorders>
            <w:noWrap/>
          </w:tcPr>
          <w:p w14:paraId="00E1DD31" w14:textId="77777777" w:rsidR="0079055D" w:rsidRPr="00CF05A2" w:rsidRDefault="0079055D" w:rsidP="007D5F6D">
            <w:pPr>
              <w:jc w:val="center"/>
              <w:rPr>
                <w:rFonts w:cs="Calibri"/>
                <w:color w:val="000000"/>
              </w:rPr>
            </w:pPr>
            <w:r w:rsidRPr="00CF05A2">
              <w:t>$144,097,492</w:t>
            </w:r>
          </w:p>
        </w:tc>
        <w:tc>
          <w:tcPr>
            <w:tcW w:w="605" w:type="pct"/>
            <w:tcBorders>
              <w:bottom w:val="single" w:sz="4" w:space="0" w:color="auto"/>
            </w:tcBorders>
            <w:noWrap/>
          </w:tcPr>
          <w:p w14:paraId="73EF64AF" w14:textId="77777777" w:rsidR="0079055D" w:rsidRPr="00CF05A2" w:rsidRDefault="0079055D" w:rsidP="007D5F6D">
            <w:pPr>
              <w:jc w:val="center"/>
              <w:rPr>
                <w:rFonts w:cs="Calibri"/>
                <w:color w:val="000000"/>
              </w:rPr>
            </w:pPr>
            <w:r w:rsidRPr="00CF05A2">
              <w:t>$150,276,890</w:t>
            </w:r>
          </w:p>
        </w:tc>
        <w:tc>
          <w:tcPr>
            <w:tcW w:w="665" w:type="pct"/>
            <w:tcBorders>
              <w:bottom w:val="single" w:sz="4" w:space="0" w:color="auto"/>
            </w:tcBorders>
            <w:noWrap/>
          </w:tcPr>
          <w:p w14:paraId="41F67D25" w14:textId="77777777" w:rsidR="0079055D" w:rsidRPr="00CF05A2" w:rsidRDefault="0079055D" w:rsidP="007D5F6D">
            <w:pPr>
              <w:jc w:val="center"/>
              <w:rPr>
                <w:rFonts w:cs="Calibri"/>
                <w:color w:val="000000"/>
              </w:rPr>
            </w:pPr>
            <w:r w:rsidRPr="00CF05A2">
              <w:t>$156,899,916</w:t>
            </w:r>
          </w:p>
        </w:tc>
        <w:tc>
          <w:tcPr>
            <w:tcW w:w="575" w:type="pct"/>
            <w:tcBorders>
              <w:bottom w:val="single" w:sz="4" w:space="0" w:color="auto"/>
            </w:tcBorders>
            <w:noWrap/>
          </w:tcPr>
          <w:p w14:paraId="282BC54A" w14:textId="77777777" w:rsidR="0079055D" w:rsidRPr="00CF05A2" w:rsidRDefault="0079055D" w:rsidP="007D5F6D">
            <w:pPr>
              <w:jc w:val="center"/>
              <w:rPr>
                <w:rFonts w:cs="Calibri"/>
                <w:color w:val="000000"/>
              </w:rPr>
            </w:pPr>
            <w:r w:rsidRPr="00CF05A2">
              <w:t>$163,222,142</w:t>
            </w:r>
          </w:p>
        </w:tc>
        <w:tc>
          <w:tcPr>
            <w:tcW w:w="591" w:type="pct"/>
            <w:tcBorders>
              <w:bottom w:val="single" w:sz="4" w:space="0" w:color="auto"/>
            </w:tcBorders>
            <w:noWrap/>
          </w:tcPr>
          <w:p w14:paraId="323C8159" w14:textId="77777777" w:rsidR="0079055D" w:rsidRPr="00CF05A2" w:rsidRDefault="0079055D" w:rsidP="007D5F6D">
            <w:pPr>
              <w:jc w:val="center"/>
              <w:rPr>
                <w:rFonts w:cs="Calibri"/>
                <w:color w:val="000000"/>
              </w:rPr>
            </w:pPr>
            <w:r w:rsidRPr="00CF05A2">
              <w:t>$169,504,435</w:t>
            </w:r>
          </w:p>
        </w:tc>
      </w:tr>
      <w:tr w:rsidR="0079055D" w:rsidRPr="00EC194D" w14:paraId="1A0CF4C9" w14:textId="77777777" w:rsidTr="0079055D">
        <w:trPr>
          <w:cantSplit/>
          <w:trHeight w:val="70"/>
        </w:trPr>
        <w:tc>
          <w:tcPr>
            <w:tcW w:w="1967" w:type="pct"/>
            <w:tcBorders>
              <w:bottom w:val="single" w:sz="4" w:space="0" w:color="auto"/>
              <w:right w:val="nil"/>
            </w:tcBorders>
            <w:noWrap/>
            <w:vAlign w:val="center"/>
          </w:tcPr>
          <w:p w14:paraId="31C2EAAD" w14:textId="77777777" w:rsidR="0079055D" w:rsidRDefault="0079055D" w:rsidP="007D5F6D">
            <w:pPr>
              <w:pStyle w:val="Tabletext"/>
              <w:tabs>
                <w:tab w:val="left" w:pos="204"/>
              </w:tabs>
              <w:spacing w:before="0" w:after="0"/>
            </w:pPr>
            <w:r>
              <w:rPr>
                <w:rFonts w:cs="Calibri"/>
                <w:b/>
                <w:bCs/>
                <w:color w:val="000000"/>
              </w:rPr>
              <w:t>Cost of Level 1 and Level 2 PSG if HSAT/PAT</w:t>
            </w:r>
          </w:p>
        </w:tc>
        <w:tc>
          <w:tcPr>
            <w:tcW w:w="597" w:type="pct"/>
            <w:tcBorders>
              <w:left w:val="nil"/>
              <w:bottom w:val="single" w:sz="4" w:space="0" w:color="auto"/>
              <w:right w:val="nil"/>
            </w:tcBorders>
            <w:noWrap/>
          </w:tcPr>
          <w:p w14:paraId="1DB1BB34" w14:textId="77777777" w:rsidR="0079055D" w:rsidRPr="00CF05A2" w:rsidRDefault="0079055D" w:rsidP="007D5F6D">
            <w:pPr>
              <w:rPr>
                <w:rFonts w:cstheme="minorHAnsi"/>
              </w:rPr>
            </w:pPr>
            <w:r>
              <w:rPr>
                <w:rFonts w:cs="Calibri"/>
                <w:b/>
                <w:bCs/>
                <w:color w:val="000000"/>
              </w:rPr>
              <w:t>is MBS listed</w:t>
            </w:r>
          </w:p>
        </w:tc>
        <w:tc>
          <w:tcPr>
            <w:tcW w:w="605" w:type="pct"/>
            <w:tcBorders>
              <w:left w:val="nil"/>
              <w:bottom w:val="single" w:sz="4" w:space="0" w:color="auto"/>
              <w:right w:val="nil"/>
            </w:tcBorders>
            <w:noWrap/>
          </w:tcPr>
          <w:p w14:paraId="466770E3" w14:textId="77777777" w:rsidR="0079055D" w:rsidRPr="00CF05A2" w:rsidRDefault="0079055D" w:rsidP="007D5F6D">
            <w:pPr>
              <w:jc w:val="center"/>
              <w:rPr>
                <w:rFonts w:cstheme="minorHAnsi"/>
              </w:rPr>
            </w:pPr>
          </w:p>
        </w:tc>
        <w:tc>
          <w:tcPr>
            <w:tcW w:w="665" w:type="pct"/>
            <w:tcBorders>
              <w:left w:val="nil"/>
              <w:bottom w:val="single" w:sz="4" w:space="0" w:color="auto"/>
              <w:right w:val="nil"/>
            </w:tcBorders>
            <w:noWrap/>
          </w:tcPr>
          <w:p w14:paraId="09629ABF" w14:textId="77777777" w:rsidR="0079055D" w:rsidRPr="00CF05A2" w:rsidRDefault="0079055D" w:rsidP="007D5F6D">
            <w:pPr>
              <w:jc w:val="center"/>
              <w:rPr>
                <w:rFonts w:cstheme="minorHAnsi"/>
              </w:rPr>
            </w:pPr>
          </w:p>
        </w:tc>
        <w:tc>
          <w:tcPr>
            <w:tcW w:w="575" w:type="pct"/>
            <w:tcBorders>
              <w:left w:val="nil"/>
              <w:bottom w:val="single" w:sz="4" w:space="0" w:color="auto"/>
              <w:right w:val="nil"/>
            </w:tcBorders>
            <w:noWrap/>
          </w:tcPr>
          <w:p w14:paraId="26D7428B" w14:textId="77777777" w:rsidR="0079055D" w:rsidRPr="00CF05A2" w:rsidRDefault="0079055D" w:rsidP="007D5F6D">
            <w:pPr>
              <w:jc w:val="center"/>
              <w:rPr>
                <w:rFonts w:cstheme="minorHAnsi"/>
              </w:rPr>
            </w:pPr>
          </w:p>
        </w:tc>
        <w:tc>
          <w:tcPr>
            <w:tcW w:w="591" w:type="pct"/>
            <w:tcBorders>
              <w:left w:val="nil"/>
              <w:bottom w:val="single" w:sz="4" w:space="0" w:color="auto"/>
            </w:tcBorders>
            <w:noWrap/>
          </w:tcPr>
          <w:p w14:paraId="2B2087F8" w14:textId="77777777" w:rsidR="0079055D" w:rsidRPr="00CF05A2" w:rsidRDefault="0079055D" w:rsidP="007D5F6D">
            <w:pPr>
              <w:jc w:val="center"/>
              <w:rPr>
                <w:rFonts w:cstheme="minorHAnsi"/>
              </w:rPr>
            </w:pPr>
          </w:p>
        </w:tc>
      </w:tr>
      <w:tr w:rsidR="0079055D" w:rsidRPr="00EC194D" w14:paraId="6EBF69D9" w14:textId="77777777" w:rsidTr="0079055D">
        <w:trPr>
          <w:cantSplit/>
          <w:trHeight w:val="70"/>
        </w:trPr>
        <w:tc>
          <w:tcPr>
            <w:tcW w:w="1967" w:type="pct"/>
            <w:tcBorders>
              <w:bottom w:val="single" w:sz="4" w:space="0" w:color="auto"/>
            </w:tcBorders>
            <w:noWrap/>
            <w:vAlign w:val="center"/>
          </w:tcPr>
          <w:p w14:paraId="7E1785A1" w14:textId="77777777" w:rsidR="0079055D" w:rsidRPr="00AA774B" w:rsidRDefault="0079055D" w:rsidP="007D5F6D">
            <w:pPr>
              <w:pStyle w:val="Tabletext"/>
              <w:tabs>
                <w:tab w:val="left" w:pos="204"/>
              </w:tabs>
              <w:spacing w:before="0" w:after="0"/>
            </w:pPr>
            <w:r>
              <w:tab/>
              <w:t>Cost: Level 2 PSG</w:t>
            </w:r>
          </w:p>
        </w:tc>
        <w:tc>
          <w:tcPr>
            <w:tcW w:w="597" w:type="pct"/>
            <w:tcBorders>
              <w:bottom w:val="single" w:sz="4" w:space="0" w:color="auto"/>
            </w:tcBorders>
            <w:noWrap/>
          </w:tcPr>
          <w:p w14:paraId="676E5DAF" w14:textId="77777777" w:rsidR="0079055D" w:rsidRPr="00CF05A2" w:rsidRDefault="0079055D" w:rsidP="007D5F6D">
            <w:pPr>
              <w:jc w:val="center"/>
              <w:rPr>
                <w:rFonts w:cs="Calibri"/>
                <w:color w:val="000000"/>
              </w:rPr>
            </w:pPr>
            <w:r w:rsidRPr="00CF05A2">
              <w:rPr>
                <w:rFonts w:cstheme="minorHAnsi"/>
              </w:rPr>
              <w:t>$54,024,321</w:t>
            </w:r>
          </w:p>
        </w:tc>
        <w:tc>
          <w:tcPr>
            <w:tcW w:w="605" w:type="pct"/>
            <w:tcBorders>
              <w:bottom w:val="single" w:sz="4" w:space="0" w:color="auto"/>
            </w:tcBorders>
            <w:noWrap/>
          </w:tcPr>
          <w:p w14:paraId="100CE782" w14:textId="77777777" w:rsidR="0079055D" w:rsidRPr="00CF05A2" w:rsidRDefault="0079055D" w:rsidP="007D5F6D">
            <w:pPr>
              <w:jc w:val="center"/>
              <w:rPr>
                <w:rFonts w:cs="Calibri"/>
                <w:color w:val="000000"/>
              </w:rPr>
            </w:pPr>
            <w:r w:rsidRPr="00CF05A2">
              <w:rPr>
                <w:rFonts w:cstheme="minorHAnsi"/>
              </w:rPr>
              <w:t>$53,382,745</w:t>
            </w:r>
          </w:p>
        </w:tc>
        <w:tc>
          <w:tcPr>
            <w:tcW w:w="665" w:type="pct"/>
            <w:tcBorders>
              <w:bottom w:val="single" w:sz="4" w:space="0" w:color="auto"/>
            </w:tcBorders>
            <w:noWrap/>
          </w:tcPr>
          <w:p w14:paraId="5A1A0D0A" w14:textId="77777777" w:rsidR="0079055D" w:rsidRPr="00CF05A2" w:rsidRDefault="0079055D" w:rsidP="007D5F6D">
            <w:pPr>
              <w:jc w:val="center"/>
              <w:rPr>
                <w:rFonts w:cs="Calibri"/>
                <w:color w:val="000000"/>
              </w:rPr>
            </w:pPr>
            <w:r w:rsidRPr="00CF05A2">
              <w:rPr>
                <w:rFonts w:cstheme="minorHAnsi"/>
              </w:rPr>
              <w:t>$52,646,066</w:t>
            </w:r>
          </w:p>
        </w:tc>
        <w:tc>
          <w:tcPr>
            <w:tcW w:w="575" w:type="pct"/>
            <w:tcBorders>
              <w:bottom w:val="single" w:sz="4" w:space="0" w:color="auto"/>
            </w:tcBorders>
            <w:noWrap/>
          </w:tcPr>
          <w:p w14:paraId="347315EB" w14:textId="77777777" w:rsidR="0079055D" w:rsidRPr="00CF05A2" w:rsidRDefault="0079055D" w:rsidP="007D5F6D">
            <w:pPr>
              <w:jc w:val="center"/>
              <w:rPr>
                <w:rFonts w:cs="Calibri"/>
                <w:color w:val="000000"/>
              </w:rPr>
            </w:pPr>
            <w:r w:rsidRPr="00CF05A2">
              <w:rPr>
                <w:rFonts w:cstheme="minorHAnsi"/>
              </w:rPr>
              <w:t>$51,555,375</w:t>
            </w:r>
          </w:p>
        </w:tc>
        <w:tc>
          <w:tcPr>
            <w:tcW w:w="591" w:type="pct"/>
            <w:tcBorders>
              <w:bottom w:val="single" w:sz="4" w:space="0" w:color="auto"/>
            </w:tcBorders>
            <w:noWrap/>
          </w:tcPr>
          <w:p w14:paraId="3E1CB7AE" w14:textId="77777777" w:rsidR="0079055D" w:rsidRPr="00CF05A2" w:rsidRDefault="0079055D" w:rsidP="007D5F6D">
            <w:pPr>
              <w:jc w:val="center"/>
              <w:rPr>
                <w:rFonts w:cs="Calibri"/>
                <w:color w:val="000000"/>
              </w:rPr>
            </w:pPr>
            <w:r w:rsidRPr="00CF05A2">
              <w:rPr>
                <w:rFonts w:cstheme="minorHAnsi"/>
              </w:rPr>
              <w:t>$50,203,704</w:t>
            </w:r>
          </w:p>
        </w:tc>
      </w:tr>
      <w:tr w:rsidR="0079055D" w:rsidRPr="00EC194D" w14:paraId="36847571" w14:textId="77777777" w:rsidTr="0079055D">
        <w:trPr>
          <w:cantSplit/>
          <w:trHeight w:val="70"/>
        </w:trPr>
        <w:tc>
          <w:tcPr>
            <w:tcW w:w="1967" w:type="pct"/>
            <w:tcBorders>
              <w:bottom w:val="single" w:sz="4" w:space="0" w:color="auto"/>
            </w:tcBorders>
            <w:noWrap/>
            <w:vAlign w:val="center"/>
          </w:tcPr>
          <w:p w14:paraId="404C894A" w14:textId="77777777" w:rsidR="0079055D" w:rsidRPr="00AA774B" w:rsidRDefault="0079055D" w:rsidP="007D5F6D">
            <w:pPr>
              <w:pStyle w:val="Tabletext"/>
              <w:tabs>
                <w:tab w:val="left" w:pos="204"/>
              </w:tabs>
              <w:spacing w:before="0" w:after="0"/>
            </w:pPr>
            <w:r>
              <w:tab/>
              <w:t>Cost: Level 1 PSG</w:t>
            </w:r>
          </w:p>
        </w:tc>
        <w:tc>
          <w:tcPr>
            <w:tcW w:w="597" w:type="pct"/>
            <w:tcBorders>
              <w:bottom w:val="single" w:sz="4" w:space="0" w:color="auto"/>
            </w:tcBorders>
            <w:noWrap/>
          </w:tcPr>
          <w:p w14:paraId="533BC59B" w14:textId="77777777" w:rsidR="0079055D" w:rsidRPr="00CF05A2" w:rsidRDefault="0079055D" w:rsidP="007D5F6D">
            <w:pPr>
              <w:jc w:val="center"/>
            </w:pPr>
            <w:r w:rsidRPr="00CF05A2">
              <w:rPr>
                <w:rFonts w:cstheme="minorHAnsi"/>
              </w:rPr>
              <w:t>$83,558,089</w:t>
            </w:r>
          </w:p>
        </w:tc>
        <w:tc>
          <w:tcPr>
            <w:tcW w:w="605" w:type="pct"/>
            <w:tcBorders>
              <w:bottom w:val="single" w:sz="4" w:space="0" w:color="auto"/>
            </w:tcBorders>
            <w:noWrap/>
          </w:tcPr>
          <w:p w14:paraId="3718B076" w14:textId="77777777" w:rsidR="0079055D" w:rsidRPr="00CF05A2" w:rsidRDefault="0079055D" w:rsidP="007D5F6D">
            <w:pPr>
              <w:jc w:val="center"/>
            </w:pPr>
            <w:r w:rsidRPr="00CF05A2">
              <w:rPr>
                <w:rFonts w:cstheme="minorHAnsi"/>
              </w:rPr>
              <w:t>$86,702,616</w:t>
            </w:r>
          </w:p>
        </w:tc>
        <w:tc>
          <w:tcPr>
            <w:tcW w:w="665" w:type="pct"/>
            <w:tcBorders>
              <w:bottom w:val="single" w:sz="4" w:space="0" w:color="auto"/>
            </w:tcBorders>
            <w:noWrap/>
          </w:tcPr>
          <w:p w14:paraId="493680F3" w14:textId="77777777" w:rsidR="0079055D" w:rsidRPr="00CF05A2" w:rsidRDefault="0079055D" w:rsidP="007D5F6D">
            <w:pPr>
              <w:jc w:val="center"/>
            </w:pPr>
            <w:r w:rsidRPr="00CF05A2">
              <w:rPr>
                <w:rFonts w:cstheme="minorHAnsi"/>
              </w:rPr>
              <w:t>$90,066,677</w:t>
            </w:r>
          </w:p>
        </w:tc>
        <w:tc>
          <w:tcPr>
            <w:tcW w:w="575" w:type="pct"/>
            <w:tcBorders>
              <w:bottom w:val="single" w:sz="4" w:space="0" w:color="auto"/>
            </w:tcBorders>
            <w:noWrap/>
          </w:tcPr>
          <w:p w14:paraId="4AFDBB33" w14:textId="77777777" w:rsidR="0079055D" w:rsidRPr="00CF05A2" w:rsidRDefault="0079055D" w:rsidP="007D5F6D">
            <w:pPr>
              <w:jc w:val="center"/>
            </w:pPr>
            <w:r w:rsidRPr="00CF05A2">
              <w:rPr>
                <w:rFonts w:cstheme="minorHAnsi"/>
              </w:rPr>
              <w:t>$93,218,322</w:t>
            </w:r>
          </w:p>
        </w:tc>
        <w:tc>
          <w:tcPr>
            <w:tcW w:w="591" w:type="pct"/>
            <w:tcBorders>
              <w:bottom w:val="single" w:sz="4" w:space="0" w:color="auto"/>
            </w:tcBorders>
            <w:noWrap/>
          </w:tcPr>
          <w:p w14:paraId="030373F7" w14:textId="77777777" w:rsidR="0079055D" w:rsidRPr="00CF05A2" w:rsidRDefault="0079055D" w:rsidP="007D5F6D">
            <w:pPr>
              <w:jc w:val="center"/>
            </w:pPr>
            <w:r w:rsidRPr="00CF05A2">
              <w:rPr>
                <w:rFonts w:cstheme="minorHAnsi"/>
              </w:rPr>
              <w:t>$96,310,780</w:t>
            </w:r>
          </w:p>
        </w:tc>
      </w:tr>
      <w:tr w:rsidR="0079055D" w:rsidRPr="00EC194D" w14:paraId="3FFF8C62" w14:textId="77777777" w:rsidTr="0079055D">
        <w:trPr>
          <w:cantSplit/>
          <w:trHeight w:val="70"/>
        </w:trPr>
        <w:tc>
          <w:tcPr>
            <w:tcW w:w="1967" w:type="pct"/>
            <w:tcBorders>
              <w:bottom w:val="single" w:sz="4" w:space="0" w:color="auto"/>
            </w:tcBorders>
            <w:noWrap/>
            <w:vAlign w:val="center"/>
          </w:tcPr>
          <w:p w14:paraId="129A3810" w14:textId="77777777" w:rsidR="0079055D" w:rsidRPr="00AA774B" w:rsidRDefault="0079055D" w:rsidP="007D5F6D">
            <w:pPr>
              <w:pStyle w:val="Tabletext"/>
              <w:tabs>
                <w:tab w:val="left" w:pos="204"/>
              </w:tabs>
              <w:spacing w:before="0" w:after="0"/>
            </w:pPr>
            <w:r>
              <w:tab/>
              <w:t>Cost: Level 1 and Level 2 PSG – total cost</w:t>
            </w:r>
          </w:p>
        </w:tc>
        <w:tc>
          <w:tcPr>
            <w:tcW w:w="597" w:type="pct"/>
            <w:tcBorders>
              <w:bottom w:val="single" w:sz="4" w:space="0" w:color="auto"/>
            </w:tcBorders>
            <w:noWrap/>
          </w:tcPr>
          <w:p w14:paraId="41657748" w14:textId="77777777" w:rsidR="0079055D" w:rsidRPr="00CF05A2" w:rsidRDefault="0079055D" w:rsidP="007D5F6D">
            <w:pPr>
              <w:jc w:val="center"/>
            </w:pPr>
            <w:r w:rsidRPr="00CF05A2">
              <w:rPr>
                <w:rFonts w:cstheme="minorHAnsi"/>
              </w:rPr>
              <w:t>$137,582,409</w:t>
            </w:r>
          </w:p>
        </w:tc>
        <w:tc>
          <w:tcPr>
            <w:tcW w:w="605" w:type="pct"/>
            <w:tcBorders>
              <w:bottom w:val="single" w:sz="4" w:space="0" w:color="auto"/>
            </w:tcBorders>
            <w:noWrap/>
          </w:tcPr>
          <w:p w14:paraId="6C9DEB35" w14:textId="77777777" w:rsidR="0079055D" w:rsidRPr="00CF05A2" w:rsidRDefault="0079055D" w:rsidP="007D5F6D">
            <w:pPr>
              <w:jc w:val="center"/>
            </w:pPr>
            <w:r w:rsidRPr="00CF05A2">
              <w:rPr>
                <w:rFonts w:cstheme="minorHAnsi"/>
              </w:rPr>
              <w:t>$140,085,361</w:t>
            </w:r>
          </w:p>
        </w:tc>
        <w:tc>
          <w:tcPr>
            <w:tcW w:w="665" w:type="pct"/>
            <w:tcBorders>
              <w:bottom w:val="single" w:sz="4" w:space="0" w:color="auto"/>
            </w:tcBorders>
            <w:noWrap/>
          </w:tcPr>
          <w:p w14:paraId="0155393C" w14:textId="77777777" w:rsidR="0079055D" w:rsidRPr="00CF05A2" w:rsidRDefault="0079055D" w:rsidP="007D5F6D">
            <w:pPr>
              <w:jc w:val="center"/>
            </w:pPr>
            <w:r w:rsidRPr="00CF05A2">
              <w:rPr>
                <w:rFonts w:cstheme="minorHAnsi"/>
              </w:rPr>
              <w:t>$142,712,743</w:t>
            </w:r>
          </w:p>
        </w:tc>
        <w:tc>
          <w:tcPr>
            <w:tcW w:w="575" w:type="pct"/>
            <w:tcBorders>
              <w:bottom w:val="single" w:sz="4" w:space="0" w:color="auto"/>
            </w:tcBorders>
            <w:noWrap/>
          </w:tcPr>
          <w:p w14:paraId="3D815258" w14:textId="77777777" w:rsidR="0079055D" w:rsidRPr="00CF05A2" w:rsidRDefault="0079055D" w:rsidP="007D5F6D">
            <w:pPr>
              <w:jc w:val="center"/>
            </w:pPr>
            <w:r w:rsidRPr="00CF05A2">
              <w:rPr>
                <w:rFonts w:cstheme="minorHAnsi"/>
              </w:rPr>
              <w:t>$144,773,697</w:t>
            </w:r>
          </w:p>
        </w:tc>
        <w:tc>
          <w:tcPr>
            <w:tcW w:w="591" w:type="pct"/>
            <w:tcBorders>
              <w:bottom w:val="single" w:sz="4" w:space="0" w:color="auto"/>
            </w:tcBorders>
            <w:noWrap/>
          </w:tcPr>
          <w:p w14:paraId="2540BF81" w14:textId="77777777" w:rsidR="0079055D" w:rsidRPr="00CF05A2" w:rsidRDefault="0079055D" w:rsidP="007D5F6D">
            <w:pPr>
              <w:jc w:val="center"/>
            </w:pPr>
            <w:r w:rsidRPr="00CF05A2">
              <w:rPr>
                <w:rFonts w:cstheme="minorHAnsi"/>
              </w:rPr>
              <w:t>$146,514,484</w:t>
            </w:r>
          </w:p>
        </w:tc>
      </w:tr>
      <w:tr w:rsidR="0079055D" w:rsidRPr="00EC194D" w14:paraId="5484B7C8" w14:textId="77777777" w:rsidTr="0079055D">
        <w:trPr>
          <w:cantSplit/>
          <w:trHeight w:val="70"/>
        </w:trPr>
        <w:tc>
          <w:tcPr>
            <w:tcW w:w="1967" w:type="pct"/>
            <w:tcBorders>
              <w:bottom w:val="single" w:sz="4" w:space="0" w:color="auto"/>
              <w:right w:val="nil"/>
            </w:tcBorders>
            <w:noWrap/>
            <w:vAlign w:val="center"/>
          </w:tcPr>
          <w:p w14:paraId="49B9613F" w14:textId="77777777" w:rsidR="0079055D" w:rsidRDefault="0079055D" w:rsidP="007D5F6D">
            <w:pPr>
              <w:pStyle w:val="Tabletext"/>
              <w:tabs>
                <w:tab w:val="left" w:pos="204"/>
              </w:tabs>
              <w:spacing w:before="0" w:after="0"/>
            </w:pPr>
            <w:r>
              <w:rPr>
                <w:b/>
                <w:bCs/>
              </w:rPr>
              <w:t>Cost of HSAT/PAT</w:t>
            </w:r>
          </w:p>
        </w:tc>
        <w:tc>
          <w:tcPr>
            <w:tcW w:w="597" w:type="pct"/>
            <w:tcBorders>
              <w:left w:val="nil"/>
              <w:bottom w:val="single" w:sz="4" w:space="0" w:color="auto"/>
              <w:right w:val="nil"/>
            </w:tcBorders>
            <w:noWrap/>
          </w:tcPr>
          <w:p w14:paraId="67D478F6" w14:textId="77777777" w:rsidR="0079055D" w:rsidRPr="00CF05A2" w:rsidRDefault="0079055D" w:rsidP="007D5F6D">
            <w:pPr>
              <w:jc w:val="center"/>
              <w:rPr>
                <w:rFonts w:cstheme="minorHAnsi"/>
              </w:rPr>
            </w:pPr>
          </w:p>
        </w:tc>
        <w:tc>
          <w:tcPr>
            <w:tcW w:w="605" w:type="pct"/>
            <w:tcBorders>
              <w:left w:val="nil"/>
              <w:bottom w:val="single" w:sz="4" w:space="0" w:color="auto"/>
              <w:right w:val="nil"/>
            </w:tcBorders>
            <w:noWrap/>
          </w:tcPr>
          <w:p w14:paraId="5D3175B8" w14:textId="77777777" w:rsidR="0079055D" w:rsidRPr="00CF05A2" w:rsidRDefault="0079055D" w:rsidP="007D5F6D">
            <w:pPr>
              <w:jc w:val="center"/>
              <w:rPr>
                <w:rFonts w:cstheme="minorHAnsi"/>
              </w:rPr>
            </w:pPr>
          </w:p>
        </w:tc>
        <w:tc>
          <w:tcPr>
            <w:tcW w:w="665" w:type="pct"/>
            <w:tcBorders>
              <w:left w:val="nil"/>
              <w:bottom w:val="single" w:sz="4" w:space="0" w:color="auto"/>
              <w:right w:val="nil"/>
            </w:tcBorders>
            <w:noWrap/>
          </w:tcPr>
          <w:p w14:paraId="4D7DF374" w14:textId="77777777" w:rsidR="0079055D" w:rsidRPr="00CF05A2" w:rsidRDefault="0079055D" w:rsidP="007D5F6D">
            <w:pPr>
              <w:jc w:val="center"/>
              <w:rPr>
                <w:rFonts w:cstheme="minorHAnsi"/>
              </w:rPr>
            </w:pPr>
          </w:p>
        </w:tc>
        <w:tc>
          <w:tcPr>
            <w:tcW w:w="575" w:type="pct"/>
            <w:tcBorders>
              <w:left w:val="nil"/>
              <w:bottom w:val="single" w:sz="4" w:space="0" w:color="auto"/>
              <w:right w:val="nil"/>
            </w:tcBorders>
            <w:noWrap/>
          </w:tcPr>
          <w:p w14:paraId="73F17A49" w14:textId="77777777" w:rsidR="0079055D" w:rsidRPr="00CF05A2" w:rsidRDefault="0079055D" w:rsidP="007D5F6D">
            <w:pPr>
              <w:jc w:val="center"/>
              <w:rPr>
                <w:rFonts w:cstheme="minorHAnsi"/>
              </w:rPr>
            </w:pPr>
          </w:p>
        </w:tc>
        <w:tc>
          <w:tcPr>
            <w:tcW w:w="591" w:type="pct"/>
            <w:tcBorders>
              <w:left w:val="nil"/>
              <w:bottom w:val="single" w:sz="4" w:space="0" w:color="auto"/>
            </w:tcBorders>
            <w:noWrap/>
          </w:tcPr>
          <w:p w14:paraId="11ED37DC" w14:textId="77777777" w:rsidR="0079055D" w:rsidRPr="00CF05A2" w:rsidRDefault="0079055D" w:rsidP="007D5F6D">
            <w:pPr>
              <w:jc w:val="center"/>
              <w:rPr>
                <w:rFonts w:cstheme="minorHAnsi"/>
              </w:rPr>
            </w:pPr>
          </w:p>
        </w:tc>
      </w:tr>
      <w:tr w:rsidR="0079055D" w:rsidRPr="00EC194D" w14:paraId="3BE4322F" w14:textId="77777777" w:rsidTr="0079055D">
        <w:trPr>
          <w:cantSplit/>
          <w:trHeight w:val="70"/>
        </w:trPr>
        <w:tc>
          <w:tcPr>
            <w:tcW w:w="1967" w:type="pct"/>
            <w:tcBorders>
              <w:bottom w:val="single" w:sz="4" w:space="0" w:color="auto"/>
            </w:tcBorders>
            <w:noWrap/>
            <w:vAlign w:val="center"/>
          </w:tcPr>
          <w:p w14:paraId="028B4ABA" w14:textId="77777777" w:rsidR="0079055D" w:rsidRPr="00AA774B" w:rsidRDefault="0079055D" w:rsidP="007D5F6D">
            <w:pPr>
              <w:pStyle w:val="Tabletext"/>
              <w:tabs>
                <w:tab w:val="left" w:pos="204"/>
              </w:tabs>
              <w:spacing w:before="0" w:after="0"/>
            </w:pPr>
            <w:r>
              <w:tab/>
              <w:t>HSAT/PAT cost – substituting for Level 2 PSG</w:t>
            </w:r>
          </w:p>
        </w:tc>
        <w:tc>
          <w:tcPr>
            <w:tcW w:w="597" w:type="pct"/>
            <w:tcBorders>
              <w:bottom w:val="single" w:sz="4" w:space="0" w:color="auto"/>
            </w:tcBorders>
            <w:noWrap/>
          </w:tcPr>
          <w:p w14:paraId="34BE7798" w14:textId="77777777" w:rsidR="0079055D" w:rsidRPr="00CF05A2" w:rsidRDefault="0079055D" w:rsidP="007D5F6D">
            <w:pPr>
              <w:jc w:val="center"/>
            </w:pPr>
            <w:r w:rsidRPr="00CF05A2">
              <w:rPr>
                <w:rFonts w:cstheme="minorHAnsi"/>
              </w:rPr>
              <w:t>$5,622,218</w:t>
            </w:r>
          </w:p>
        </w:tc>
        <w:tc>
          <w:tcPr>
            <w:tcW w:w="605" w:type="pct"/>
            <w:tcBorders>
              <w:bottom w:val="single" w:sz="4" w:space="0" w:color="auto"/>
            </w:tcBorders>
            <w:noWrap/>
          </w:tcPr>
          <w:p w14:paraId="09FEDAA4" w14:textId="77777777" w:rsidR="0079055D" w:rsidRPr="00CF05A2" w:rsidRDefault="0079055D" w:rsidP="007D5F6D">
            <w:pPr>
              <w:jc w:val="center"/>
            </w:pPr>
            <w:r w:rsidRPr="00CF05A2">
              <w:rPr>
                <w:rFonts w:cstheme="minorHAnsi"/>
              </w:rPr>
              <w:t>$8,794,780</w:t>
            </w:r>
          </w:p>
        </w:tc>
        <w:tc>
          <w:tcPr>
            <w:tcW w:w="665" w:type="pct"/>
            <w:tcBorders>
              <w:bottom w:val="single" w:sz="4" w:space="0" w:color="auto"/>
            </w:tcBorders>
            <w:noWrap/>
          </w:tcPr>
          <w:p w14:paraId="11167696" w14:textId="77777777" w:rsidR="0079055D" w:rsidRPr="00CF05A2" w:rsidRDefault="0079055D" w:rsidP="007D5F6D">
            <w:pPr>
              <w:jc w:val="center"/>
            </w:pPr>
            <w:r w:rsidRPr="00CF05A2">
              <w:rPr>
                <w:rFonts w:cstheme="minorHAnsi"/>
              </w:rPr>
              <w:t>$12,242,718</w:t>
            </w:r>
          </w:p>
        </w:tc>
        <w:tc>
          <w:tcPr>
            <w:tcW w:w="575" w:type="pct"/>
            <w:tcBorders>
              <w:bottom w:val="single" w:sz="4" w:space="0" w:color="auto"/>
            </w:tcBorders>
            <w:noWrap/>
          </w:tcPr>
          <w:p w14:paraId="25D00407" w14:textId="77777777" w:rsidR="0079055D" w:rsidRPr="00CF05A2" w:rsidRDefault="0079055D" w:rsidP="007D5F6D">
            <w:pPr>
              <w:jc w:val="center"/>
            </w:pPr>
            <w:r w:rsidRPr="00CF05A2">
              <w:rPr>
                <w:rFonts w:cstheme="minorHAnsi"/>
              </w:rPr>
              <w:t>$15,919,926</w:t>
            </w:r>
          </w:p>
        </w:tc>
        <w:tc>
          <w:tcPr>
            <w:tcW w:w="591" w:type="pct"/>
            <w:tcBorders>
              <w:bottom w:val="single" w:sz="4" w:space="0" w:color="auto"/>
            </w:tcBorders>
            <w:noWrap/>
          </w:tcPr>
          <w:p w14:paraId="3837487A" w14:textId="77777777" w:rsidR="0079055D" w:rsidRPr="00CF05A2" w:rsidRDefault="0079055D" w:rsidP="007D5F6D">
            <w:pPr>
              <w:jc w:val="center"/>
            </w:pPr>
            <w:r w:rsidRPr="00CF05A2">
              <w:rPr>
                <w:rFonts w:cstheme="minorHAnsi"/>
              </w:rPr>
              <w:t>$19,838,915</w:t>
            </w:r>
          </w:p>
        </w:tc>
      </w:tr>
      <w:tr w:rsidR="0079055D" w:rsidRPr="00EC194D" w14:paraId="0874C261" w14:textId="77777777" w:rsidTr="0079055D">
        <w:trPr>
          <w:cantSplit/>
          <w:trHeight w:val="70"/>
        </w:trPr>
        <w:tc>
          <w:tcPr>
            <w:tcW w:w="1967" w:type="pct"/>
            <w:tcBorders>
              <w:bottom w:val="single" w:sz="4" w:space="0" w:color="auto"/>
            </w:tcBorders>
            <w:noWrap/>
            <w:vAlign w:val="center"/>
          </w:tcPr>
          <w:p w14:paraId="3C6601F4" w14:textId="77777777" w:rsidR="0079055D" w:rsidRPr="00AA774B" w:rsidRDefault="0079055D" w:rsidP="007D5F6D">
            <w:pPr>
              <w:pStyle w:val="Tabletext"/>
              <w:tabs>
                <w:tab w:val="left" w:pos="204"/>
              </w:tabs>
              <w:spacing w:before="0" w:after="0"/>
            </w:pPr>
            <w:r>
              <w:tab/>
              <w:t>HSAT/PAT cost – substituting for Level 1 PSG</w:t>
            </w:r>
          </w:p>
        </w:tc>
        <w:tc>
          <w:tcPr>
            <w:tcW w:w="597" w:type="pct"/>
            <w:tcBorders>
              <w:bottom w:val="single" w:sz="4" w:space="0" w:color="auto"/>
            </w:tcBorders>
            <w:noWrap/>
          </w:tcPr>
          <w:p w14:paraId="3065AF0E" w14:textId="77777777" w:rsidR="0079055D" w:rsidRPr="00CF05A2" w:rsidRDefault="0079055D" w:rsidP="007D5F6D">
            <w:pPr>
              <w:jc w:val="center"/>
            </w:pPr>
            <w:r w:rsidRPr="00CF05A2">
              <w:rPr>
                <w:rFonts w:cstheme="minorHAnsi"/>
              </w:rPr>
              <w:t>$254,690</w:t>
            </w:r>
          </w:p>
        </w:tc>
        <w:tc>
          <w:tcPr>
            <w:tcW w:w="605" w:type="pct"/>
            <w:tcBorders>
              <w:bottom w:val="single" w:sz="4" w:space="0" w:color="auto"/>
            </w:tcBorders>
            <w:noWrap/>
          </w:tcPr>
          <w:p w14:paraId="47F97584" w14:textId="77777777" w:rsidR="0079055D" w:rsidRPr="00CF05A2" w:rsidRDefault="0079055D" w:rsidP="007D5F6D">
            <w:pPr>
              <w:jc w:val="center"/>
            </w:pPr>
            <w:r w:rsidRPr="00CF05A2">
              <w:rPr>
                <w:rFonts w:cstheme="minorHAnsi"/>
              </w:rPr>
              <w:t>$398,425</w:t>
            </w:r>
          </w:p>
        </w:tc>
        <w:tc>
          <w:tcPr>
            <w:tcW w:w="665" w:type="pct"/>
            <w:tcBorders>
              <w:bottom w:val="single" w:sz="4" w:space="0" w:color="auto"/>
            </w:tcBorders>
            <w:noWrap/>
          </w:tcPr>
          <w:p w14:paraId="481E2317" w14:textId="77777777" w:rsidR="0079055D" w:rsidRPr="00CF05A2" w:rsidRDefault="0079055D" w:rsidP="007D5F6D">
            <w:pPr>
              <w:jc w:val="center"/>
            </w:pPr>
            <w:r w:rsidRPr="00CF05A2">
              <w:rPr>
                <w:rFonts w:cstheme="minorHAnsi"/>
              </w:rPr>
              <w:t>$554,660</w:t>
            </w:r>
          </w:p>
        </w:tc>
        <w:tc>
          <w:tcPr>
            <w:tcW w:w="575" w:type="pct"/>
            <w:tcBorders>
              <w:bottom w:val="single" w:sz="4" w:space="0" w:color="auto"/>
            </w:tcBorders>
            <w:noWrap/>
          </w:tcPr>
          <w:p w14:paraId="473516E7" w14:textId="77777777" w:rsidR="0079055D" w:rsidRPr="00CF05A2" w:rsidRDefault="0079055D" w:rsidP="007D5F6D">
            <w:pPr>
              <w:jc w:val="center"/>
            </w:pPr>
            <w:r w:rsidRPr="00CF05A2">
              <w:rPr>
                <w:rFonts w:cstheme="minorHAnsi"/>
              </w:rPr>
              <w:t>$721,266</w:t>
            </w:r>
          </w:p>
        </w:tc>
        <w:tc>
          <w:tcPr>
            <w:tcW w:w="591" w:type="pct"/>
            <w:tcBorders>
              <w:bottom w:val="single" w:sz="4" w:space="0" w:color="auto"/>
            </w:tcBorders>
            <w:noWrap/>
          </w:tcPr>
          <w:p w14:paraId="5ABC64D2" w14:textId="77777777" w:rsidR="0079055D" w:rsidRPr="00CF05A2" w:rsidRDefault="0079055D" w:rsidP="007D5F6D">
            <w:pPr>
              <w:jc w:val="center"/>
            </w:pPr>
            <w:r w:rsidRPr="00CF05A2">
              <w:rPr>
                <w:rFonts w:cstheme="minorHAnsi"/>
              </w:rPr>
              <w:t>$898,842</w:t>
            </w:r>
          </w:p>
        </w:tc>
      </w:tr>
      <w:tr w:rsidR="0079055D" w:rsidRPr="00EC194D" w14:paraId="51263D43" w14:textId="77777777" w:rsidTr="0079055D">
        <w:trPr>
          <w:cantSplit/>
          <w:trHeight w:val="70"/>
        </w:trPr>
        <w:tc>
          <w:tcPr>
            <w:tcW w:w="1967" w:type="pct"/>
            <w:tcBorders>
              <w:bottom w:val="single" w:sz="4" w:space="0" w:color="auto"/>
            </w:tcBorders>
            <w:noWrap/>
            <w:vAlign w:val="center"/>
          </w:tcPr>
          <w:p w14:paraId="0251C0E9" w14:textId="77777777" w:rsidR="0079055D" w:rsidRPr="00AA774B" w:rsidRDefault="0079055D" w:rsidP="007D5F6D">
            <w:pPr>
              <w:pStyle w:val="Tabletext"/>
              <w:tabs>
                <w:tab w:val="left" w:pos="204"/>
              </w:tabs>
              <w:spacing w:before="0" w:after="0"/>
            </w:pPr>
            <w:r>
              <w:tab/>
              <w:t>HSAT/PAT total cost</w:t>
            </w:r>
          </w:p>
        </w:tc>
        <w:tc>
          <w:tcPr>
            <w:tcW w:w="597" w:type="pct"/>
            <w:tcBorders>
              <w:bottom w:val="single" w:sz="4" w:space="0" w:color="auto"/>
            </w:tcBorders>
            <w:noWrap/>
          </w:tcPr>
          <w:p w14:paraId="15624A91" w14:textId="77777777" w:rsidR="0079055D" w:rsidRPr="00CF05A2" w:rsidRDefault="0079055D" w:rsidP="007D5F6D">
            <w:pPr>
              <w:jc w:val="center"/>
            </w:pPr>
            <w:r w:rsidRPr="00CF05A2">
              <w:rPr>
                <w:rFonts w:cstheme="minorHAnsi"/>
              </w:rPr>
              <w:t>$5,876,908</w:t>
            </w:r>
          </w:p>
        </w:tc>
        <w:tc>
          <w:tcPr>
            <w:tcW w:w="605" w:type="pct"/>
            <w:tcBorders>
              <w:bottom w:val="single" w:sz="4" w:space="0" w:color="auto"/>
            </w:tcBorders>
            <w:noWrap/>
          </w:tcPr>
          <w:p w14:paraId="76D35EB0" w14:textId="77777777" w:rsidR="0079055D" w:rsidRPr="00CF05A2" w:rsidRDefault="0079055D" w:rsidP="007D5F6D">
            <w:pPr>
              <w:jc w:val="center"/>
            </w:pPr>
            <w:r w:rsidRPr="00CF05A2">
              <w:rPr>
                <w:rFonts w:cstheme="minorHAnsi"/>
              </w:rPr>
              <w:t>$9,193,205</w:t>
            </w:r>
          </w:p>
        </w:tc>
        <w:tc>
          <w:tcPr>
            <w:tcW w:w="665" w:type="pct"/>
            <w:tcBorders>
              <w:bottom w:val="single" w:sz="4" w:space="0" w:color="auto"/>
            </w:tcBorders>
            <w:noWrap/>
          </w:tcPr>
          <w:p w14:paraId="25E477C1" w14:textId="77777777" w:rsidR="0079055D" w:rsidRPr="00CF05A2" w:rsidRDefault="0079055D" w:rsidP="007D5F6D">
            <w:pPr>
              <w:jc w:val="center"/>
            </w:pPr>
            <w:r w:rsidRPr="00CF05A2">
              <w:rPr>
                <w:rFonts w:cstheme="minorHAnsi"/>
              </w:rPr>
              <w:t>$12,797,378</w:t>
            </w:r>
          </w:p>
        </w:tc>
        <w:tc>
          <w:tcPr>
            <w:tcW w:w="575" w:type="pct"/>
            <w:tcBorders>
              <w:bottom w:val="single" w:sz="4" w:space="0" w:color="auto"/>
            </w:tcBorders>
            <w:noWrap/>
          </w:tcPr>
          <w:p w14:paraId="48D2FDA8" w14:textId="77777777" w:rsidR="0079055D" w:rsidRPr="00CF05A2" w:rsidRDefault="0079055D" w:rsidP="007D5F6D">
            <w:pPr>
              <w:jc w:val="center"/>
            </w:pPr>
            <w:r w:rsidRPr="00CF05A2">
              <w:rPr>
                <w:rFonts w:cstheme="minorHAnsi"/>
              </w:rPr>
              <w:t>$16,641,193</w:t>
            </w:r>
          </w:p>
        </w:tc>
        <w:tc>
          <w:tcPr>
            <w:tcW w:w="591" w:type="pct"/>
            <w:tcBorders>
              <w:bottom w:val="single" w:sz="4" w:space="0" w:color="auto"/>
            </w:tcBorders>
            <w:noWrap/>
          </w:tcPr>
          <w:p w14:paraId="6159E800" w14:textId="77777777" w:rsidR="0079055D" w:rsidRPr="00CF05A2" w:rsidRDefault="0079055D" w:rsidP="007D5F6D">
            <w:pPr>
              <w:jc w:val="center"/>
            </w:pPr>
            <w:r w:rsidRPr="00CF05A2">
              <w:rPr>
                <w:rFonts w:cstheme="minorHAnsi"/>
              </w:rPr>
              <w:t>$20,737,757</w:t>
            </w:r>
          </w:p>
        </w:tc>
      </w:tr>
      <w:tr w:rsidR="0079055D" w:rsidRPr="00EC194D" w14:paraId="716B9543" w14:textId="77777777" w:rsidTr="0079055D">
        <w:trPr>
          <w:cantSplit/>
          <w:trHeight w:val="90"/>
        </w:trPr>
        <w:tc>
          <w:tcPr>
            <w:tcW w:w="1967" w:type="pct"/>
            <w:tcBorders>
              <w:bottom w:val="single" w:sz="4" w:space="0" w:color="auto"/>
            </w:tcBorders>
            <w:noWrap/>
            <w:vAlign w:val="center"/>
          </w:tcPr>
          <w:p w14:paraId="43091772" w14:textId="77777777" w:rsidR="0079055D" w:rsidRPr="00AA774B" w:rsidRDefault="0079055D" w:rsidP="007D5F6D">
            <w:pPr>
              <w:pStyle w:val="Tabletext"/>
              <w:tabs>
                <w:tab w:val="left" w:pos="204"/>
              </w:tabs>
              <w:spacing w:before="0" w:after="0"/>
            </w:pPr>
            <w:r>
              <w:t>Cost: Level 1 PSG, Level 2 PSG + HSAT/PAT</w:t>
            </w:r>
          </w:p>
        </w:tc>
        <w:tc>
          <w:tcPr>
            <w:tcW w:w="597" w:type="pct"/>
            <w:tcBorders>
              <w:bottom w:val="single" w:sz="4" w:space="0" w:color="auto"/>
            </w:tcBorders>
            <w:noWrap/>
          </w:tcPr>
          <w:p w14:paraId="4ED53DAA" w14:textId="77777777" w:rsidR="0079055D" w:rsidRPr="00CF05A2" w:rsidRDefault="0079055D" w:rsidP="007D5F6D">
            <w:pPr>
              <w:jc w:val="center"/>
            </w:pPr>
            <w:r w:rsidRPr="00CF05A2">
              <w:rPr>
                <w:rFonts w:cstheme="minorHAnsi"/>
              </w:rPr>
              <w:t>$143,459,318</w:t>
            </w:r>
          </w:p>
        </w:tc>
        <w:tc>
          <w:tcPr>
            <w:tcW w:w="605" w:type="pct"/>
            <w:tcBorders>
              <w:bottom w:val="single" w:sz="4" w:space="0" w:color="auto"/>
            </w:tcBorders>
            <w:noWrap/>
          </w:tcPr>
          <w:p w14:paraId="65AB8703" w14:textId="77777777" w:rsidR="0079055D" w:rsidRPr="00CF05A2" w:rsidRDefault="0079055D" w:rsidP="007D5F6D">
            <w:pPr>
              <w:jc w:val="center"/>
            </w:pPr>
            <w:r w:rsidRPr="00CF05A2">
              <w:rPr>
                <w:rFonts w:cstheme="minorHAnsi"/>
              </w:rPr>
              <w:t>$149,278,565</w:t>
            </w:r>
          </w:p>
        </w:tc>
        <w:tc>
          <w:tcPr>
            <w:tcW w:w="665" w:type="pct"/>
            <w:tcBorders>
              <w:bottom w:val="single" w:sz="4" w:space="0" w:color="auto"/>
            </w:tcBorders>
            <w:noWrap/>
          </w:tcPr>
          <w:p w14:paraId="00675948" w14:textId="77777777" w:rsidR="0079055D" w:rsidRPr="00CF05A2" w:rsidRDefault="0079055D" w:rsidP="007D5F6D">
            <w:pPr>
              <w:jc w:val="center"/>
            </w:pPr>
            <w:r w:rsidRPr="00CF05A2">
              <w:rPr>
                <w:rFonts w:cstheme="minorHAnsi"/>
              </w:rPr>
              <w:t>$155,510,121</w:t>
            </w:r>
          </w:p>
        </w:tc>
        <w:tc>
          <w:tcPr>
            <w:tcW w:w="575" w:type="pct"/>
            <w:tcBorders>
              <w:bottom w:val="single" w:sz="4" w:space="0" w:color="auto"/>
            </w:tcBorders>
            <w:noWrap/>
          </w:tcPr>
          <w:p w14:paraId="17D8D4CF" w14:textId="77777777" w:rsidR="0079055D" w:rsidRPr="00CF05A2" w:rsidRDefault="0079055D" w:rsidP="007D5F6D">
            <w:pPr>
              <w:jc w:val="center"/>
            </w:pPr>
            <w:r w:rsidRPr="00CF05A2">
              <w:rPr>
                <w:rFonts w:cstheme="minorHAnsi"/>
              </w:rPr>
              <w:t>$161,414,889</w:t>
            </w:r>
          </w:p>
        </w:tc>
        <w:tc>
          <w:tcPr>
            <w:tcW w:w="591" w:type="pct"/>
            <w:tcBorders>
              <w:bottom w:val="single" w:sz="4" w:space="0" w:color="auto"/>
            </w:tcBorders>
            <w:noWrap/>
          </w:tcPr>
          <w:p w14:paraId="7468BEC6" w14:textId="77777777" w:rsidR="0079055D" w:rsidRPr="00CF05A2" w:rsidRDefault="0079055D" w:rsidP="007D5F6D">
            <w:pPr>
              <w:jc w:val="center"/>
            </w:pPr>
            <w:r w:rsidRPr="00CF05A2">
              <w:rPr>
                <w:rFonts w:cstheme="minorHAnsi"/>
              </w:rPr>
              <w:t>$167,252,241</w:t>
            </w:r>
          </w:p>
        </w:tc>
      </w:tr>
      <w:tr w:rsidR="0079055D" w:rsidRPr="00EC194D" w14:paraId="73A780AB" w14:textId="77777777" w:rsidTr="0079055D">
        <w:trPr>
          <w:cantSplit/>
          <w:trHeight w:val="70"/>
        </w:trPr>
        <w:tc>
          <w:tcPr>
            <w:tcW w:w="1967" w:type="pct"/>
            <w:tcBorders>
              <w:bottom w:val="single" w:sz="4" w:space="0" w:color="auto"/>
            </w:tcBorders>
            <w:noWrap/>
            <w:vAlign w:val="center"/>
          </w:tcPr>
          <w:p w14:paraId="474A2DF1" w14:textId="77777777" w:rsidR="0079055D" w:rsidRPr="00AA774B" w:rsidRDefault="0079055D" w:rsidP="007D5F6D">
            <w:pPr>
              <w:pStyle w:val="Tabletext"/>
              <w:tabs>
                <w:tab w:val="left" w:pos="204"/>
              </w:tabs>
              <w:spacing w:before="0" w:after="0"/>
            </w:pPr>
            <w:r>
              <w:t>Difference with Level 1 and Level 2 PSG</w:t>
            </w:r>
          </w:p>
        </w:tc>
        <w:tc>
          <w:tcPr>
            <w:tcW w:w="597" w:type="pct"/>
            <w:tcBorders>
              <w:bottom w:val="single" w:sz="4" w:space="0" w:color="auto"/>
            </w:tcBorders>
            <w:noWrap/>
            <w:vAlign w:val="center"/>
          </w:tcPr>
          <w:p w14:paraId="03D1411C" w14:textId="77777777" w:rsidR="0079055D" w:rsidRPr="00CF05A2" w:rsidRDefault="0079055D" w:rsidP="007D5F6D">
            <w:pPr>
              <w:jc w:val="center"/>
            </w:pPr>
            <w:r w:rsidRPr="00CF05A2">
              <w:rPr>
                <w:rFonts w:cstheme="minorHAnsi"/>
              </w:rPr>
              <w:t>-$638,174</w:t>
            </w:r>
          </w:p>
        </w:tc>
        <w:tc>
          <w:tcPr>
            <w:tcW w:w="605" w:type="pct"/>
            <w:tcBorders>
              <w:bottom w:val="single" w:sz="4" w:space="0" w:color="auto"/>
            </w:tcBorders>
            <w:noWrap/>
            <w:vAlign w:val="center"/>
          </w:tcPr>
          <w:p w14:paraId="0DBB7863" w14:textId="77777777" w:rsidR="0079055D" w:rsidRPr="00CF05A2" w:rsidRDefault="0079055D" w:rsidP="007D5F6D">
            <w:pPr>
              <w:jc w:val="center"/>
            </w:pPr>
            <w:r w:rsidRPr="00CF05A2">
              <w:rPr>
                <w:rFonts w:cstheme="minorHAnsi"/>
              </w:rPr>
              <w:t>-$998,325</w:t>
            </w:r>
          </w:p>
        </w:tc>
        <w:tc>
          <w:tcPr>
            <w:tcW w:w="665" w:type="pct"/>
            <w:tcBorders>
              <w:bottom w:val="single" w:sz="4" w:space="0" w:color="auto"/>
            </w:tcBorders>
            <w:noWrap/>
            <w:vAlign w:val="center"/>
          </w:tcPr>
          <w:p w14:paraId="6C061DB1" w14:textId="77777777" w:rsidR="0079055D" w:rsidRPr="00CF05A2" w:rsidRDefault="0079055D" w:rsidP="007D5F6D">
            <w:pPr>
              <w:jc w:val="center"/>
            </w:pPr>
            <w:r w:rsidRPr="00CF05A2">
              <w:rPr>
                <w:rFonts w:cstheme="minorHAnsi"/>
              </w:rPr>
              <w:t>-$1,389,794</w:t>
            </w:r>
          </w:p>
        </w:tc>
        <w:tc>
          <w:tcPr>
            <w:tcW w:w="575" w:type="pct"/>
            <w:tcBorders>
              <w:bottom w:val="single" w:sz="4" w:space="0" w:color="auto"/>
            </w:tcBorders>
            <w:noWrap/>
            <w:vAlign w:val="center"/>
          </w:tcPr>
          <w:p w14:paraId="41AE0430" w14:textId="77777777" w:rsidR="0079055D" w:rsidRPr="00CF05A2" w:rsidRDefault="0079055D" w:rsidP="007D5F6D">
            <w:pPr>
              <w:jc w:val="center"/>
            </w:pPr>
            <w:r w:rsidRPr="00CF05A2">
              <w:rPr>
                <w:rFonts w:cstheme="minorHAnsi"/>
              </w:rPr>
              <w:t>-$1,807,252</w:t>
            </w:r>
          </w:p>
        </w:tc>
        <w:tc>
          <w:tcPr>
            <w:tcW w:w="591" w:type="pct"/>
            <w:tcBorders>
              <w:bottom w:val="single" w:sz="4" w:space="0" w:color="auto"/>
            </w:tcBorders>
            <w:noWrap/>
            <w:vAlign w:val="center"/>
          </w:tcPr>
          <w:p w14:paraId="4BE38D10" w14:textId="77777777" w:rsidR="0079055D" w:rsidRPr="00CF05A2" w:rsidRDefault="0079055D" w:rsidP="007D5F6D">
            <w:pPr>
              <w:jc w:val="center"/>
            </w:pPr>
            <w:r w:rsidRPr="00CF05A2">
              <w:rPr>
                <w:rFonts w:cstheme="minorHAnsi"/>
              </w:rPr>
              <w:t>-$2,252,193</w:t>
            </w:r>
          </w:p>
        </w:tc>
      </w:tr>
    </w:tbl>
    <w:p w14:paraId="7C000280" w14:textId="77777777" w:rsidR="0079055D" w:rsidRPr="006D0F12" w:rsidRDefault="0079055D" w:rsidP="0079055D">
      <w:pPr>
        <w:rPr>
          <w:rFonts w:ascii="Arial Narrow" w:hAnsi="Arial Narrow"/>
          <w:sz w:val="18"/>
          <w:szCs w:val="18"/>
        </w:rPr>
      </w:pPr>
      <w:r w:rsidRPr="006D0F12">
        <w:rPr>
          <w:rFonts w:ascii="Arial Narrow" w:hAnsi="Arial Narrow"/>
          <w:sz w:val="18"/>
          <w:szCs w:val="18"/>
        </w:rPr>
        <w:t xml:space="preserve">Source: </w:t>
      </w:r>
      <w:r>
        <w:rPr>
          <w:rFonts w:ascii="Arial Narrow" w:hAnsi="Arial Narrow"/>
          <w:sz w:val="18"/>
          <w:szCs w:val="18"/>
        </w:rPr>
        <w:t xml:space="preserve">Table 25, p109 </w:t>
      </w:r>
      <w:r w:rsidRPr="006D0F12">
        <w:rPr>
          <w:rFonts w:ascii="Arial Narrow" w:hAnsi="Arial Narrow"/>
          <w:sz w:val="18"/>
          <w:szCs w:val="18"/>
        </w:rPr>
        <w:t>of the ADAR.</w:t>
      </w:r>
    </w:p>
    <w:p w14:paraId="276CD55F" w14:textId="532C68C6" w:rsidR="0079055D" w:rsidRDefault="00DB477B" w:rsidP="0079055D">
      <w:pPr>
        <w:rPr>
          <w:rStyle w:val="TablenotesChar"/>
        </w:rPr>
      </w:pPr>
      <w:r>
        <w:rPr>
          <w:rStyle w:val="TablenotesChar"/>
        </w:rPr>
        <w:t xml:space="preserve">Abbreviations: </w:t>
      </w:r>
      <w:r w:rsidR="0079055D">
        <w:rPr>
          <w:rStyle w:val="TablenotesChar"/>
        </w:rPr>
        <w:t>HSAT=home sleep apnoea test; PAT=peripheral arterial tone; PSG=polysomnography</w:t>
      </w:r>
    </w:p>
    <w:p w14:paraId="15427482" w14:textId="06D70215" w:rsidR="0079055D" w:rsidRDefault="0079055D" w:rsidP="00EC3821">
      <w:pPr>
        <w:spacing w:before="240"/>
        <w:rPr>
          <w:i/>
          <w:iCs/>
        </w:rPr>
      </w:pPr>
      <w:r>
        <w:lastRenderedPageBreak/>
        <w:t>The ADAR noted that the costs include follow-up Level 1 PSGs for patients whose Level 2 PSG or HSAT/PAT did not report a satisfactory result, or required a repeat test for another reason.</w:t>
      </w:r>
    </w:p>
    <w:p w14:paraId="4791F8A7" w14:textId="0BE4580F" w:rsidR="0079055D" w:rsidRDefault="004C0F2C" w:rsidP="007D5F6D">
      <w:pPr>
        <w:spacing w:before="240"/>
      </w:pPr>
      <w:r>
        <w:t>T</w:t>
      </w:r>
      <w:r w:rsidR="0079055D">
        <w:t xml:space="preserve">he ADAR applied a time horizon of 5 years to its cost-minimisation analysis, with costs determined on a yearly basis. The cost per patient </w:t>
      </w:r>
      <w:r>
        <w:t xml:space="preserve">is the sum of the MBS item fees for proposed for </w:t>
      </w:r>
      <w:r w:rsidR="0079055D">
        <w:t xml:space="preserve">HSAT/PAT </w:t>
      </w:r>
      <w:r>
        <w:t xml:space="preserve">test </w:t>
      </w:r>
      <w:r w:rsidR="0079055D">
        <w:t>plus physician consult</w:t>
      </w:r>
      <w:r>
        <w:t xml:space="preserve"> fees (</w:t>
      </w:r>
      <w:r>
        <w:fldChar w:fldCharType="begin"/>
      </w:r>
      <w:r>
        <w:instrText xml:space="preserve"> REF _Ref75196051 \h </w:instrText>
      </w:r>
      <w:r>
        <w:fldChar w:fldCharType="separate"/>
      </w:r>
      <w:r w:rsidR="00824C87">
        <w:t xml:space="preserve">Table </w:t>
      </w:r>
      <w:r w:rsidR="00824C87">
        <w:rPr>
          <w:noProof/>
        </w:rPr>
        <w:t>11</w:t>
      </w:r>
      <w:r>
        <w:fldChar w:fldCharType="end"/>
      </w:r>
      <w:r>
        <w:t>)</w:t>
      </w:r>
      <w:r w:rsidR="0079055D">
        <w:t>.</w:t>
      </w:r>
    </w:p>
    <w:p w14:paraId="45FCFD27" w14:textId="2F843BE8" w:rsidR="0079055D" w:rsidRDefault="0079055D" w:rsidP="007D5F6D">
      <w:pPr>
        <w:pStyle w:val="Caption"/>
        <w:spacing w:before="240"/>
      </w:pPr>
      <w:bookmarkStart w:id="25" w:name="_Ref75196051"/>
      <w:bookmarkStart w:id="26" w:name="_Toc70768718"/>
      <w:r>
        <w:t xml:space="preserve">Table </w:t>
      </w:r>
      <w:r w:rsidR="00A930B3">
        <w:fldChar w:fldCharType="begin"/>
      </w:r>
      <w:r w:rsidR="00A930B3">
        <w:instrText xml:space="preserve"> SEQ Table \* ARABIC </w:instrText>
      </w:r>
      <w:r w:rsidR="00A930B3">
        <w:fldChar w:fldCharType="separate"/>
      </w:r>
      <w:r w:rsidR="00824C87">
        <w:rPr>
          <w:noProof/>
        </w:rPr>
        <w:t>11</w:t>
      </w:r>
      <w:r w:rsidR="00A930B3">
        <w:rPr>
          <w:noProof/>
        </w:rPr>
        <w:fldChar w:fldCharType="end"/>
      </w:r>
      <w:bookmarkEnd w:id="25"/>
      <w:r>
        <w:tab/>
        <w:t>Estimated cost of HSAT/PAT per patient</w:t>
      </w:r>
      <w:bookmarkEnd w:id="26"/>
    </w:p>
    <w:tbl>
      <w:tblPr>
        <w:tblStyle w:val="TableGrid1"/>
        <w:tblW w:w="4952" w:type="pct"/>
        <w:tblInd w:w="-5" w:type="dxa"/>
        <w:tblCellMar>
          <w:left w:w="28" w:type="dxa"/>
          <w:right w:w="28" w:type="dxa"/>
        </w:tblCellMar>
        <w:tblLook w:val="00A0" w:firstRow="1" w:lastRow="0" w:firstColumn="1" w:lastColumn="0" w:noHBand="0" w:noVBand="0"/>
        <w:tblCaption w:val="Table 11 Estimated cost of HSAT/PAT per patient "/>
        <w:tblDescription w:val="This table provides the estimated cost per patoient for HSAT/PAT, including test and physician costs"/>
      </w:tblPr>
      <w:tblGrid>
        <w:gridCol w:w="1570"/>
        <w:gridCol w:w="1079"/>
        <w:gridCol w:w="1225"/>
        <w:gridCol w:w="1591"/>
        <w:gridCol w:w="2191"/>
        <w:gridCol w:w="1273"/>
      </w:tblGrid>
      <w:tr w:rsidR="0079055D" w:rsidRPr="00AA66CD" w14:paraId="692C8F4D" w14:textId="77777777" w:rsidTr="0079055D">
        <w:trPr>
          <w:cnfStyle w:val="100000000000" w:firstRow="1" w:lastRow="0" w:firstColumn="0" w:lastColumn="0" w:oddVBand="0" w:evenVBand="0" w:oddHBand="0" w:evenHBand="0" w:firstRowFirstColumn="0" w:firstRowLastColumn="0" w:lastRowFirstColumn="0" w:lastRowLastColumn="0"/>
          <w:cantSplit/>
          <w:trHeight w:val="70"/>
          <w:tblHeader/>
        </w:trPr>
        <w:tc>
          <w:tcPr>
            <w:tcW w:w="879" w:type="pct"/>
            <w:tcBorders>
              <w:bottom w:val="single" w:sz="4" w:space="0" w:color="auto"/>
            </w:tcBorders>
          </w:tcPr>
          <w:p w14:paraId="15889CE2" w14:textId="77777777" w:rsidR="0079055D" w:rsidRPr="002D3D4D" w:rsidRDefault="0079055D" w:rsidP="0079055D">
            <w:pPr>
              <w:pStyle w:val="Tabletextboldleft"/>
              <w:tabs>
                <w:tab w:val="left" w:pos="204"/>
              </w:tabs>
              <w:spacing w:after="40"/>
            </w:pPr>
            <w:r>
              <w:t>HSAT/PAT</w:t>
            </w:r>
          </w:p>
        </w:tc>
        <w:tc>
          <w:tcPr>
            <w:tcW w:w="604" w:type="pct"/>
            <w:tcBorders>
              <w:bottom w:val="single" w:sz="4" w:space="0" w:color="auto"/>
            </w:tcBorders>
          </w:tcPr>
          <w:p w14:paraId="34F74A2B" w14:textId="77777777" w:rsidR="0079055D" w:rsidRPr="00AD5A11" w:rsidRDefault="0079055D" w:rsidP="0079055D">
            <w:pPr>
              <w:pStyle w:val="Tabletextbold"/>
              <w:spacing w:after="40"/>
            </w:pPr>
            <w:r>
              <w:t>Cost: test</w:t>
            </w:r>
          </w:p>
        </w:tc>
        <w:tc>
          <w:tcPr>
            <w:tcW w:w="686" w:type="pct"/>
            <w:tcBorders>
              <w:bottom w:val="single" w:sz="4" w:space="0" w:color="auto"/>
              <w:right w:val="nil"/>
            </w:tcBorders>
          </w:tcPr>
          <w:p w14:paraId="0DE512B7" w14:textId="77777777" w:rsidR="0079055D" w:rsidRDefault="0079055D" w:rsidP="0079055D">
            <w:pPr>
              <w:pStyle w:val="Tabletextbold"/>
              <w:spacing w:after="40"/>
              <w:jc w:val="right"/>
            </w:pPr>
            <w:r>
              <w:t>Number:</w:t>
            </w:r>
          </w:p>
        </w:tc>
        <w:tc>
          <w:tcPr>
            <w:tcW w:w="891" w:type="pct"/>
            <w:tcBorders>
              <w:left w:val="nil"/>
            </w:tcBorders>
          </w:tcPr>
          <w:p w14:paraId="280BA7B6" w14:textId="77777777" w:rsidR="0079055D" w:rsidRDefault="0079055D" w:rsidP="0079055D">
            <w:pPr>
              <w:pStyle w:val="Tabletextbold"/>
              <w:spacing w:after="40"/>
            </w:pPr>
            <w:r>
              <w:t>physician consults</w:t>
            </w:r>
          </w:p>
        </w:tc>
        <w:tc>
          <w:tcPr>
            <w:tcW w:w="1227" w:type="pct"/>
          </w:tcPr>
          <w:p w14:paraId="622DB18E" w14:textId="77777777" w:rsidR="0079055D" w:rsidRDefault="0079055D" w:rsidP="0079055D">
            <w:pPr>
              <w:pStyle w:val="Tabletextbold"/>
              <w:spacing w:after="40"/>
            </w:pPr>
            <w:r>
              <w:t>Cost</w:t>
            </w:r>
            <w:r w:rsidRPr="001E3929">
              <w:rPr>
                <w:vertAlign w:val="superscript"/>
              </w:rPr>
              <w:t>a</w:t>
            </w:r>
            <w:r>
              <w:t>: physician consults</w:t>
            </w:r>
          </w:p>
        </w:tc>
        <w:tc>
          <w:tcPr>
            <w:tcW w:w="713" w:type="pct"/>
          </w:tcPr>
          <w:p w14:paraId="0E017685" w14:textId="77777777" w:rsidR="0079055D" w:rsidRDefault="0079055D" w:rsidP="0079055D">
            <w:pPr>
              <w:pStyle w:val="Tabletextbold"/>
              <w:spacing w:after="40"/>
            </w:pPr>
            <w:r>
              <w:t>Total cost</w:t>
            </w:r>
          </w:p>
        </w:tc>
      </w:tr>
      <w:tr w:rsidR="0079055D" w:rsidRPr="00EC194D" w14:paraId="548B3B3E" w14:textId="77777777" w:rsidTr="0079055D">
        <w:trPr>
          <w:cantSplit/>
          <w:trHeight w:val="70"/>
        </w:trPr>
        <w:tc>
          <w:tcPr>
            <w:tcW w:w="879" w:type="pct"/>
            <w:tcBorders>
              <w:bottom w:val="nil"/>
            </w:tcBorders>
          </w:tcPr>
          <w:p w14:paraId="6D8265A5" w14:textId="77777777" w:rsidR="0079055D" w:rsidRDefault="0079055D" w:rsidP="0079055D">
            <w:pPr>
              <w:pStyle w:val="Tabletext"/>
              <w:tabs>
                <w:tab w:val="left" w:pos="204"/>
              </w:tabs>
            </w:pPr>
          </w:p>
        </w:tc>
        <w:tc>
          <w:tcPr>
            <w:tcW w:w="604" w:type="pct"/>
            <w:tcBorders>
              <w:bottom w:val="nil"/>
            </w:tcBorders>
          </w:tcPr>
          <w:p w14:paraId="3E8261A1" w14:textId="77777777" w:rsidR="0079055D" w:rsidRPr="00CF05A2" w:rsidRDefault="0079055D" w:rsidP="0079055D">
            <w:pPr>
              <w:spacing w:after="40"/>
              <w:jc w:val="center"/>
              <w:rPr>
                <w:rFonts w:cs="Calibri"/>
                <w:color w:val="000000"/>
              </w:rPr>
            </w:pPr>
          </w:p>
        </w:tc>
        <w:tc>
          <w:tcPr>
            <w:tcW w:w="686" w:type="pct"/>
            <w:tcBorders>
              <w:bottom w:val="single" w:sz="4" w:space="0" w:color="auto"/>
            </w:tcBorders>
            <w:vAlign w:val="center"/>
          </w:tcPr>
          <w:p w14:paraId="2AE82C8A" w14:textId="77777777" w:rsidR="0079055D" w:rsidRDefault="0079055D" w:rsidP="0079055D">
            <w:pPr>
              <w:spacing w:after="40"/>
              <w:jc w:val="center"/>
              <w:rPr>
                <w:rFonts w:cs="Calibri"/>
                <w:color w:val="000000"/>
              </w:rPr>
            </w:pPr>
            <w:r>
              <w:rPr>
                <w:rFonts w:cs="Calibri"/>
                <w:color w:val="000000"/>
              </w:rPr>
              <w:t>Mild OSA:</w:t>
            </w:r>
          </w:p>
        </w:tc>
        <w:tc>
          <w:tcPr>
            <w:tcW w:w="891" w:type="pct"/>
            <w:tcBorders>
              <w:bottom w:val="single" w:sz="4" w:space="0" w:color="auto"/>
            </w:tcBorders>
          </w:tcPr>
          <w:p w14:paraId="280175D0" w14:textId="77777777" w:rsidR="0079055D" w:rsidRDefault="0079055D" w:rsidP="0079055D">
            <w:pPr>
              <w:tabs>
                <w:tab w:val="left" w:pos="1291"/>
              </w:tabs>
              <w:spacing w:after="40"/>
              <w:rPr>
                <w:rFonts w:cs="Calibri"/>
                <w:color w:val="000000"/>
              </w:rPr>
            </w:pPr>
            <w:r>
              <w:rPr>
                <w:rFonts w:cs="Calibri"/>
                <w:color w:val="000000"/>
              </w:rPr>
              <w:t>MBS 104: 1</w:t>
            </w:r>
          </w:p>
          <w:p w14:paraId="5B117192" w14:textId="77777777" w:rsidR="0079055D" w:rsidRDefault="0079055D" w:rsidP="0079055D">
            <w:pPr>
              <w:spacing w:after="40"/>
              <w:rPr>
                <w:rFonts w:cs="Calibri"/>
                <w:color w:val="000000"/>
              </w:rPr>
            </w:pPr>
            <w:r>
              <w:rPr>
                <w:rFonts w:cs="Calibri"/>
                <w:color w:val="000000"/>
              </w:rPr>
              <w:t>MBS 105: 3</w:t>
            </w:r>
          </w:p>
        </w:tc>
        <w:tc>
          <w:tcPr>
            <w:tcW w:w="1227" w:type="pct"/>
            <w:tcBorders>
              <w:bottom w:val="single" w:sz="4" w:space="0" w:color="auto"/>
            </w:tcBorders>
            <w:vAlign w:val="center"/>
          </w:tcPr>
          <w:p w14:paraId="473ED30B" w14:textId="77777777" w:rsidR="0079055D" w:rsidRDefault="0079055D" w:rsidP="0079055D">
            <w:pPr>
              <w:tabs>
                <w:tab w:val="left" w:pos="1291"/>
              </w:tabs>
              <w:spacing w:after="40"/>
              <w:jc w:val="center"/>
              <w:rPr>
                <w:rFonts w:cs="Calibri"/>
                <w:color w:val="000000"/>
              </w:rPr>
            </w:pPr>
            <w:r>
              <w:rPr>
                <w:rFonts w:cs="Calibri"/>
                <w:color w:val="000000"/>
              </w:rPr>
              <w:t>$190.90</w:t>
            </w:r>
          </w:p>
        </w:tc>
        <w:tc>
          <w:tcPr>
            <w:tcW w:w="713" w:type="pct"/>
            <w:tcBorders>
              <w:bottom w:val="single" w:sz="4" w:space="0" w:color="auto"/>
            </w:tcBorders>
            <w:vAlign w:val="center"/>
          </w:tcPr>
          <w:p w14:paraId="50332124" w14:textId="77777777" w:rsidR="0079055D" w:rsidRDefault="0079055D" w:rsidP="0079055D">
            <w:pPr>
              <w:tabs>
                <w:tab w:val="left" w:pos="1291"/>
              </w:tabs>
              <w:spacing w:after="40"/>
              <w:jc w:val="center"/>
              <w:rPr>
                <w:rFonts w:cs="Calibri"/>
                <w:color w:val="000000"/>
              </w:rPr>
            </w:pPr>
            <w:r>
              <w:rPr>
                <w:rFonts w:cs="Calibri"/>
                <w:color w:val="000000"/>
              </w:rPr>
              <w:t>$484.80</w:t>
            </w:r>
          </w:p>
        </w:tc>
      </w:tr>
      <w:tr w:rsidR="0079055D" w:rsidRPr="00EC194D" w14:paraId="5E6D8E52" w14:textId="77777777" w:rsidTr="0079055D">
        <w:trPr>
          <w:cantSplit/>
          <w:trHeight w:val="70"/>
        </w:trPr>
        <w:tc>
          <w:tcPr>
            <w:tcW w:w="879" w:type="pct"/>
            <w:tcBorders>
              <w:top w:val="nil"/>
              <w:bottom w:val="nil"/>
            </w:tcBorders>
          </w:tcPr>
          <w:p w14:paraId="7C6C9934" w14:textId="77777777" w:rsidR="0079055D" w:rsidRDefault="0079055D" w:rsidP="0079055D">
            <w:pPr>
              <w:pStyle w:val="Tabletext"/>
              <w:tabs>
                <w:tab w:val="left" w:pos="204"/>
              </w:tabs>
            </w:pPr>
            <w:r>
              <w:tab/>
              <w:t>Single use</w:t>
            </w:r>
            <w:r>
              <w:tab/>
            </w:r>
          </w:p>
          <w:p w14:paraId="6D3E5E5E" w14:textId="77777777" w:rsidR="0079055D" w:rsidRDefault="0079055D" w:rsidP="0079055D">
            <w:pPr>
              <w:pStyle w:val="Tabletext"/>
              <w:tabs>
                <w:tab w:val="left" w:pos="204"/>
              </w:tabs>
            </w:pPr>
            <w:r>
              <w:tab/>
              <w:t>80% of patients</w:t>
            </w:r>
          </w:p>
        </w:tc>
        <w:tc>
          <w:tcPr>
            <w:tcW w:w="604" w:type="pct"/>
            <w:tcBorders>
              <w:top w:val="nil"/>
              <w:bottom w:val="nil"/>
            </w:tcBorders>
          </w:tcPr>
          <w:p w14:paraId="0CB72D5E" w14:textId="77777777" w:rsidR="0079055D" w:rsidRDefault="0079055D" w:rsidP="0079055D">
            <w:pPr>
              <w:spacing w:after="40"/>
              <w:jc w:val="center"/>
              <w:rPr>
                <w:rFonts w:cs="Calibri"/>
                <w:color w:val="000000"/>
              </w:rPr>
            </w:pPr>
            <w:r>
              <w:rPr>
                <w:rFonts w:cs="Calibri"/>
                <w:color w:val="000000"/>
              </w:rPr>
              <w:t>$293.90</w:t>
            </w:r>
          </w:p>
          <w:p w14:paraId="6A54344E" w14:textId="77777777" w:rsidR="0079055D" w:rsidRPr="00CF05A2" w:rsidRDefault="0079055D" w:rsidP="0079055D">
            <w:pPr>
              <w:spacing w:after="40"/>
              <w:jc w:val="center"/>
              <w:rPr>
                <w:rFonts w:cs="Calibri"/>
                <w:color w:val="000000"/>
              </w:rPr>
            </w:pPr>
            <w:r>
              <w:rPr>
                <w:rFonts w:cs="Calibri"/>
                <w:color w:val="000000"/>
              </w:rPr>
              <w:t>(85% benefit)</w:t>
            </w:r>
          </w:p>
        </w:tc>
        <w:tc>
          <w:tcPr>
            <w:tcW w:w="686" w:type="pct"/>
            <w:tcBorders>
              <w:bottom w:val="single" w:sz="4" w:space="0" w:color="auto"/>
            </w:tcBorders>
            <w:vAlign w:val="center"/>
          </w:tcPr>
          <w:p w14:paraId="3B678747" w14:textId="77777777" w:rsidR="0079055D" w:rsidRDefault="0079055D" w:rsidP="0079055D">
            <w:pPr>
              <w:spacing w:after="40"/>
              <w:jc w:val="center"/>
              <w:rPr>
                <w:rFonts w:cs="Calibri"/>
                <w:color w:val="000000"/>
              </w:rPr>
            </w:pPr>
            <w:r>
              <w:rPr>
                <w:rFonts w:cs="Calibri"/>
                <w:color w:val="000000"/>
              </w:rPr>
              <w:t>Moderate OSA:</w:t>
            </w:r>
          </w:p>
        </w:tc>
        <w:tc>
          <w:tcPr>
            <w:tcW w:w="891" w:type="pct"/>
            <w:tcBorders>
              <w:bottom w:val="single" w:sz="4" w:space="0" w:color="auto"/>
            </w:tcBorders>
          </w:tcPr>
          <w:p w14:paraId="0DBD7AB3" w14:textId="77777777" w:rsidR="0079055D" w:rsidRDefault="0079055D" w:rsidP="0079055D">
            <w:pPr>
              <w:tabs>
                <w:tab w:val="left" w:pos="1291"/>
              </w:tabs>
              <w:spacing w:after="40"/>
              <w:rPr>
                <w:rFonts w:cs="Calibri"/>
                <w:color w:val="000000"/>
              </w:rPr>
            </w:pPr>
            <w:r>
              <w:rPr>
                <w:rFonts w:cs="Calibri"/>
                <w:color w:val="000000"/>
              </w:rPr>
              <w:t>MBS 104: 1</w:t>
            </w:r>
          </w:p>
          <w:p w14:paraId="3918D894" w14:textId="77777777" w:rsidR="0079055D" w:rsidRDefault="0079055D" w:rsidP="0079055D">
            <w:pPr>
              <w:spacing w:after="40"/>
              <w:rPr>
                <w:rFonts w:cs="Calibri"/>
                <w:color w:val="000000"/>
              </w:rPr>
            </w:pPr>
            <w:r>
              <w:rPr>
                <w:rFonts w:cs="Calibri"/>
                <w:color w:val="000000"/>
              </w:rPr>
              <w:t>MBS 105: 3.65</w:t>
            </w:r>
          </w:p>
        </w:tc>
        <w:tc>
          <w:tcPr>
            <w:tcW w:w="1227" w:type="pct"/>
            <w:tcBorders>
              <w:bottom w:val="single" w:sz="4" w:space="0" w:color="auto"/>
            </w:tcBorders>
            <w:vAlign w:val="center"/>
          </w:tcPr>
          <w:p w14:paraId="09397E69" w14:textId="77777777" w:rsidR="0079055D" w:rsidRDefault="0079055D" w:rsidP="0079055D">
            <w:pPr>
              <w:tabs>
                <w:tab w:val="left" w:pos="1291"/>
              </w:tabs>
              <w:spacing w:after="40"/>
              <w:jc w:val="center"/>
              <w:rPr>
                <w:rFonts w:cs="Calibri"/>
                <w:color w:val="000000"/>
              </w:rPr>
            </w:pPr>
            <w:r>
              <w:rPr>
                <w:rFonts w:cs="Calibri"/>
                <w:color w:val="000000"/>
              </w:rPr>
              <w:t>$215.76</w:t>
            </w:r>
          </w:p>
        </w:tc>
        <w:tc>
          <w:tcPr>
            <w:tcW w:w="713" w:type="pct"/>
            <w:tcBorders>
              <w:bottom w:val="single" w:sz="4" w:space="0" w:color="auto"/>
            </w:tcBorders>
            <w:vAlign w:val="center"/>
          </w:tcPr>
          <w:p w14:paraId="7DB3310C" w14:textId="77777777" w:rsidR="0079055D" w:rsidRDefault="0079055D" w:rsidP="0079055D">
            <w:pPr>
              <w:tabs>
                <w:tab w:val="left" w:pos="1291"/>
              </w:tabs>
              <w:spacing w:after="40"/>
              <w:jc w:val="center"/>
              <w:rPr>
                <w:rFonts w:cs="Calibri"/>
                <w:color w:val="000000"/>
              </w:rPr>
            </w:pPr>
            <w:r>
              <w:rPr>
                <w:rFonts w:cs="Calibri"/>
                <w:color w:val="000000"/>
              </w:rPr>
              <w:t>$509.66</w:t>
            </w:r>
          </w:p>
        </w:tc>
      </w:tr>
      <w:tr w:rsidR="0079055D" w:rsidRPr="00EC194D" w14:paraId="10814921" w14:textId="77777777" w:rsidTr="0079055D">
        <w:trPr>
          <w:cantSplit/>
          <w:trHeight w:val="70"/>
        </w:trPr>
        <w:tc>
          <w:tcPr>
            <w:tcW w:w="879" w:type="pct"/>
            <w:tcBorders>
              <w:top w:val="nil"/>
              <w:bottom w:val="single" w:sz="4" w:space="0" w:color="auto"/>
            </w:tcBorders>
          </w:tcPr>
          <w:p w14:paraId="2BF9CE76" w14:textId="77777777" w:rsidR="0079055D" w:rsidRDefault="0079055D" w:rsidP="0079055D">
            <w:pPr>
              <w:pStyle w:val="Tabletext"/>
              <w:tabs>
                <w:tab w:val="left" w:pos="204"/>
              </w:tabs>
            </w:pPr>
          </w:p>
        </w:tc>
        <w:tc>
          <w:tcPr>
            <w:tcW w:w="604" w:type="pct"/>
            <w:tcBorders>
              <w:top w:val="nil"/>
              <w:bottom w:val="single" w:sz="4" w:space="0" w:color="auto"/>
            </w:tcBorders>
          </w:tcPr>
          <w:p w14:paraId="29724336" w14:textId="77777777" w:rsidR="0079055D" w:rsidRPr="00CF05A2" w:rsidRDefault="0079055D" w:rsidP="0079055D">
            <w:pPr>
              <w:spacing w:after="40"/>
              <w:jc w:val="center"/>
              <w:rPr>
                <w:rFonts w:cs="Calibri"/>
                <w:color w:val="000000"/>
              </w:rPr>
            </w:pPr>
          </w:p>
        </w:tc>
        <w:tc>
          <w:tcPr>
            <w:tcW w:w="686" w:type="pct"/>
            <w:tcBorders>
              <w:bottom w:val="single" w:sz="4" w:space="0" w:color="auto"/>
            </w:tcBorders>
            <w:vAlign w:val="center"/>
          </w:tcPr>
          <w:p w14:paraId="1F8926E4" w14:textId="77777777" w:rsidR="0079055D" w:rsidRPr="00CF05A2" w:rsidRDefault="0079055D" w:rsidP="0079055D">
            <w:pPr>
              <w:spacing w:after="40"/>
              <w:jc w:val="center"/>
              <w:rPr>
                <w:rFonts w:cs="Calibri"/>
                <w:color w:val="000000"/>
              </w:rPr>
            </w:pPr>
            <w:r>
              <w:rPr>
                <w:rFonts w:cs="Calibri"/>
                <w:color w:val="000000"/>
              </w:rPr>
              <w:t>Severe OSA:</w:t>
            </w:r>
          </w:p>
        </w:tc>
        <w:tc>
          <w:tcPr>
            <w:tcW w:w="891" w:type="pct"/>
            <w:tcBorders>
              <w:bottom w:val="single" w:sz="4" w:space="0" w:color="auto"/>
            </w:tcBorders>
          </w:tcPr>
          <w:p w14:paraId="6BA5BC1D" w14:textId="77777777" w:rsidR="0079055D" w:rsidRDefault="0079055D" w:rsidP="0079055D">
            <w:pPr>
              <w:tabs>
                <w:tab w:val="left" w:pos="1291"/>
              </w:tabs>
              <w:spacing w:after="40"/>
              <w:rPr>
                <w:rFonts w:cs="Calibri"/>
                <w:color w:val="000000"/>
              </w:rPr>
            </w:pPr>
            <w:r>
              <w:rPr>
                <w:rFonts w:cs="Calibri"/>
                <w:color w:val="000000"/>
              </w:rPr>
              <w:t>MBS 104: 1</w:t>
            </w:r>
          </w:p>
          <w:p w14:paraId="502E82B8" w14:textId="77777777" w:rsidR="0079055D" w:rsidRDefault="0079055D" w:rsidP="0079055D">
            <w:pPr>
              <w:spacing w:after="40"/>
              <w:rPr>
                <w:rFonts w:cs="Calibri"/>
                <w:color w:val="000000"/>
              </w:rPr>
            </w:pPr>
            <w:r>
              <w:rPr>
                <w:rFonts w:cs="Calibri"/>
                <w:color w:val="000000"/>
              </w:rPr>
              <w:t>MBS 105: 5</w:t>
            </w:r>
          </w:p>
        </w:tc>
        <w:tc>
          <w:tcPr>
            <w:tcW w:w="1227" w:type="pct"/>
            <w:tcBorders>
              <w:bottom w:val="single" w:sz="4" w:space="0" w:color="auto"/>
            </w:tcBorders>
            <w:vAlign w:val="center"/>
          </w:tcPr>
          <w:p w14:paraId="2359B31F" w14:textId="77777777" w:rsidR="0079055D" w:rsidRDefault="0079055D" w:rsidP="0079055D">
            <w:pPr>
              <w:tabs>
                <w:tab w:val="left" w:pos="1291"/>
              </w:tabs>
              <w:spacing w:after="40"/>
              <w:jc w:val="center"/>
              <w:rPr>
                <w:rFonts w:cs="Calibri"/>
                <w:color w:val="000000"/>
              </w:rPr>
            </w:pPr>
            <w:r>
              <w:rPr>
                <w:rFonts w:cs="Calibri"/>
                <w:color w:val="000000"/>
              </w:rPr>
              <w:t>$267.40</w:t>
            </w:r>
          </w:p>
        </w:tc>
        <w:tc>
          <w:tcPr>
            <w:tcW w:w="713" w:type="pct"/>
            <w:tcBorders>
              <w:bottom w:val="single" w:sz="4" w:space="0" w:color="auto"/>
            </w:tcBorders>
            <w:vAlign w:val="center"/>
          </w:tcPr>
          <w:p w14:paraId="433983C7" w14:textId="77777777" w:rsidR="0079055D" w:rsidRDefault="0079055D" w:rsidP="0079055D">
            <w:pPr>
              <w:tabs>
                <w:tab w:val="left" w:pos="1291"/>
              </w:tabs>
              <w:spacing w:after="40"/>
              <w:jc w:val="center"/>
              <w:rPr>
                <w:rFonts w:cs="Calibri"/>
                <w:color w:val="000000"/>
              </w:rPr>
            </w:pPr>
            <w:r>
              <w:rPr>
                <w:rFonts w:cs="Calibri"/>
                <w:color w:val="000000"/>
              </w:rPr>
              <w:t>$561.30</w:t>
            </w:r>
          </w:p>
        </w:tc>
      </w:tr>
      <w:tr w:rsidR="0079055D" w:rsidRPr="00EC194D" w14:paraId="71D75C80" w14:textId="77777777" w:rsidTr="0079055D">
        <w:trPr>
          <w:cantSplit/>
          <w:trHeight w:val="70"/>
        </w:trPr>
        <w:tc>
          <w:tcPr>
            <w:tcW w:w="879" w:type="pct"/>
            <w:tcBorders>
              <w:bottom w:val="nil"/>
            </w:tcBorders>
          </w:tcPr>
          <w:p w14:paraId="4ADF36AD" w14:textId="77777777" w:rsidR="0079055D" w:rsidRDefault="0079055D" w:rsidP="0079055D">
            <w:pPr>
              <w:pStyle w:val="Tabletext"/>
              <w:tabs>
                <w:tab w:val="left" w:pos="204"/>
              </w:tabs>
            </w:pPr>
            <w:r>
              <w:tab/>
            </w:r>
          </w:p>
        </w:tc>
        <w:tc>
          <w:tcPr>
            <w:tcW w:w="604" w:type="pct"/>
            <w:tcBorders>
              <w:bottom w:val="nil"/>
            </w:tcBorders>
          </w:tcPr>
          <w:p w14:paraId="704173D2" w14:textId="77777777" w:rsidR="0079055D" w:rsidRPr="00CF05A2" w:rsidRDefault="0079055D" w:rsidP="0079055D">
            <w:pPr>
              <w:spacing w:after="40"/>
              <w:jc w:val="center"/>
              <w:rPr>
                <w:rFonts w:cs="Calibri"/>
                <w:color w:val="000000"/>
              </w:rPr>
            </w:pPr>
          </w:p>
        </w:tc>
        <w:tc>
          <w:tcPr>
            <w:tcW w:w="686" w:type="pct"/>
            <w:tcBorders>
              <w:bottom w:val="single" w:sz="4" w:space="0" w:color="auto"/>
            </w:tcBorders>
            <w:vAlign w:val="center"/>
          </w:tcPr>
          <w:p w14:paraId="1A052B7D" w14:textId="77777777" w:rsidR="0079055D" w:rsidRDefault="0079055D" w:rsidP="0079055D">
            <w:pPr>
              <w:spacing w:after="40"/>
              <w:jc w:val="center"/>
              <w:rPr>
                <w:rFonts w:cs="Calibri"/>
                <w:color w:val="000000"/>
              </w:rPr>
            </w:pPr>
            <w:r>
              <w:rPr>
                <w:rFonts w:cs="Calibri"/>
                <w:color w:val="000000"/>
              </w:rPr>
              <w:t>Mild OSA:</w:t>
            </w:r>
          </w:p>
        </w:tc>
        <w:tc>
          <w:tcPr>
            <w:tcW w:w="891" w:type="pct"/>
            <w:tcBorders>
              <w:bottom w:val="single" w:sz="4" w:space="0" w:color="auto"/>
            </w:tcBorders>
          </w:tcPr>
          <w:p w14:paraId="536218F9" w14:textId="77777777" w:rsidR="0079055D" w:rsidRDefault="0079055D" w:rsidP="0079055D">
            <w:pPr>
              <w:tabs>
                <w:tab w:val="left" w:pos="1291"/>
              </w:tabs>
              <w:spacing w:after="40"/>
              <w:rPr>
                <w:rFonts w:cs="Calibri"/>
                <w:color w:val="000000"/>
              </w:rPr>
            </w:pPr>
            <w:r>
              <w:rPr>
                <w:rFonts w:cs="Calibri"/>
                <w:color w:val="000000"/>
              </w:rPr>
              <w:t>MBS 104: 1</w:t>
            </w:r>
          </w:p>
          <w:p w14:paraId="7564FBFE" w14:textId="77777777" w:rsidR="0079055D" w:rsidRDefault="0079055D" w:rsidP="0079055D">
            <w:pPr>
              <w:spacing w:after="40"/>
              <w:rPr>
                <w:rFonts w:cs="Calibri"/>
                <w:color w:val="000000"/>
              </w:rPr>
            </w:pPr>
            <w:r>
              <w:rPr>
                <w:rFonts w:cs="Calibri"/>
                <w:color w:val="000000"/>
              </w:rPr>
              <w:t>MBS 105: 3</w:t>
            </w:r>
          </w:p>
        </w:tc>
        <w:tc>
          <w:tcPr>
            <w:tcW w:w="1227" w:type="pct"/>
            <w:tcBorders>
              <w:bottom w:val="single" w:sz="4" w:space="0" w:color="auto"/>
            </w:tcBorders>
            <w:vAlign w:val="center"/>
          </w:tcPr>
          <w:p w14:paraId="3E2442EC" w14:textId="77777777" w:rsidR="0079055D" w:rsidRDefault="0079055D" w:rsidP="0079055D">
            <w:pPr>
              <w:spacing w:after="40"/>
              <w:jc w:val="center"/>
              <w:rPr>
                <w:rFonts w:cs="Calibri"/>
                <w:color w:val="000000"/>
              </w:rPr>
            </w:pPr>
            <w:r>
              <w:rPr>
                <w:rFonts w:cs="Calibri"/>
                <w:color w:val="000000"/>
              </w:rPr>
              <w:t>$190.90</w:t>
            </w:r>
          </w:p>
        </w:tc>
        <w:tc>
          <w:tcPr>
            <w:tcW w:w="713" w:type="pct"/>
            <w:tcBorders>
              <w:bottom w:val="single" w:sz="4" w:space="0" w:color="auto"/>
            </w:tcBorders>
            <w:vAlign w:val="center"/>
          </w:tcPr>
          <w:p w14:paraId="1028371F" w14:textId="77777777" w:rsidR="0079055D" w:rsidRDefault="0079055D" w:rsidP="0079055D">
            <w:pPr>
              <w:spacing w:after="40"/>
              <w:jc w:val="center"/>
              <w:rPr>
                <w:rFonts w:cs="Calibri"/>
                <w:color w:val="000000"/>
              </w:rPr>
            </w:pPr>
            <w:r>
              <w:rPr>
                <w:rFonts w:cs="Calibri"/>
                <w:color w:val="000000"/>
              </w:rPr>
              <w:t>$459.30</w:t>
            </w:r>
          </w:p>
        </w:tc>
      </w:tr>
      <w:tr w:rsidR="0079055D" w:rsidRPr="00EC194D" w14:paraId="138D4ACC" w14:textId="77777777" w:rsidTr="0079055D">
        <w:trPr>
          <w:cantSplit/>
          <w:trHeight w:val="70"/>
        </w:trPr>
        <w:tc>
          <w:tcPr>
            <w:tcW w:w="879" w:type="pct"/>
            <w:tcBorders>
              <w:top w:val="nil"/>
              <w:bottom w:val="nil"/>
            </w:tcBorders>
          </w:tcPr>
          <w:p w14:paraId="6E049C33" w14:textId="77777777" w:rsidR="0079055D" w:rsidRDefault="0079055D" w:rsidP="0079055D">
            <w:pPr>
              <w:pStyle w:val="Tabletext"/>
              <w:tabs>
                <w:tab w:val="left" w:pos="204"/>
              </w:tabs>
            </w:pPr>
            <w:r>
              <w:tab/>
              <w:t>Re-usable</w:t>
            </w:r>
          </w:p>
          <w:p w14:paraId="41E93A8D" w14:textId="77777777" w:rsidR="0079055D" w:rsidRDefault="0079055D" w:rsidP="0079055D">
            <w:pPr>
              <w:pStyle w:val="Tabletext"/>
              <w:tabs>
                <w:tab w:val="left" w:pos="204"/>
              </w:tabs>
            </w:pPr>
            <w:r>
              <w:tab/>
              <w:t>20% of patients</w:t>
            </w:r>
          </w:p>
        </w:tc>
        <w:tc>
          <w:tcPr>
            <w:tcW w:w="604" w:type="pct"/>
            <w:tcBorders>
              <w:top w:val="nil"/>
              <w:bottom w:val="nil"/>
            </w:tcBorders>
          </w:tcPr>
          <w:p w14:paraId="2B780DF6" w14:textId="77777777" w:rsidR="0079055D" w:rsidRDefault="0079055D" w:rsidP="0079055D">
            <w:pPr>
              <w:spacing w:after="40"/>
              <w:jc w:val="center"/>
              <w:rPr>
                <w:rFonts w:cs="Calibri"/>
                <w:color w:val="000000"/>
              </w:rPr>
            </w:pPr>
            <w:r>
              <w:rPr>
                <w:rFonts w:cs="Calibri"/>
                <w:color w:val="000000"/>
              </w:rPr>
              <w:t>$268.40</w:t>
            </w:r>
          </w:p>
          <w:p w14:paraId="37BC6EEF" w14:textId="77777777" w:rsidR="0079055D" w:rsidRPr="00CF05A2" w:rsidRDefault="0079055D" w:rsidP="0079055D">
            <w:pPr>
              <w:spacing w:after="40"/>
              <w:jc w:val="center"/>
              <w:rPr>
                <w:rFonts w:cs="Calibri"/>
                <w:color w:val="000000"/>
              </w:rPr>
            </w:pPr>
            <w:r>
              <w:rPr>
                <w:rFonts w:cs="Calibri"/>
                <w:color w:val="000000"/>
              </w:rPr>
              <w:t>(85% benefit)</w:t>
            </w:r>
          </w:p>
        </w:tc>
        <w:tc>
          <w:tcPr>
            <w:tcW w:w="686" w:type="pct"/>
            <w:vAlign w:val="center"/>
          </w:tcPr>
          <w:p w14:paraId="52F89520" w14:textId="77777777" w:rsidR="0079055D" w:rsidRDefault="0079055D" w:rsidP="0079055D">
            <w:pPr>
              <w:spacing w:after="40"/>
              <w:jc w:val="center"/>
              <w:rPr>
                <w:rFonts w:cs="Calibri"/>
                <w:color w:val="000000"/>
              </w:rPr>
            </w:pPr>
            <w:r>
              <w:rPr>
                <w:rFonts w:cs="Calibri"/>
                <w:color w:val="000000"/>
              </w:rPr>
              <w:t>Moderate OSA:</w:t>
            </w:r>
          </w:p>
        </w:tc>
        <w:tc>
          <w:tcPr>
            <w:tcW w:w="891" w:type="pct"/>
          </w:tcPr>
          <w:p w14:paraId="257DBF59" w14:textId="77777777" w:rsidR="0079055D" w:rsidRDefault="0079055D" w:rsidP="0079055D">
            <w:pPr>
              <w:tabs>
                <w:tab w:val="left" w:pos="1291"/>
              </w:tabs>
              <w:spacing w:after="40"/>
              <w:rPr>
                <w:rFonts w:cs="Calibri"/>
                <w:color w:val="000000"/>
              </w:rPr>
            </w:pPr>
            <w:r>
              <w:rPr>
                <w:rFonts w:cs="Calibri"/>
                <w:color w:val="000000"/>
              </w:rPr>
              <w:t>MBS 104: 1</w:t>
            </w:r>
          </w:p>
          <w:p w14:paraId="64228130" w14:textId="77777777" w:rsidR="0079055D" w:rsidRDefault="0079055D" w:rsidP="0079055D">
            <w:pPr>
              <w:spacing w:after="40"/>
              <w:rPr>
                <w:rFonts w:cs="Calibri"/>
                <w:color w:val="000000"/>
              </w:rPr>
            </w:pPr>
            <w:r>
              <w:rPr>
                <w:rFonts w:cs="Calibri"/>
                <w:color w:val="000000"/>
              </w:rPr>
              <w:t>MBS 105: 3.65</w:t>
            </w:r>
          </w:p>
        </w:tc>
        <w:tc>
          <w:tcPr>
            <w:tcW w:w="1227" w:type="pct"/>
            <w:vAlign w:val="center"/>
          </w:tcPr>
          <w:p w14:paraId="1AC2EFB2" w14:textId="77777777" w:rsidR="0079055D" w:rsidRDefault="0079055D" w:rsidP="0079055D">
            <w:pPr>
              <w:spacing w:after="40"/>
              <w:jc w:val="center"/>
              <w:rPr>
                <w:rFonts w:cs="Calibri"/>
                <w:color w:val="000000"/>
              </w:rPr>
            </w:pPr>
            <w:r>
              <w:rPr>
                <w:rFonts w:cs="Calibri"/>
                <w:color w:val="000000"/>
              </w:rPr>
              <w:t>$215.76</w:t>
            </w:r>
          </w:p>
        </w:tc>
        <w:tc>
          <w:tcPr>
            <w:tcW w:w="713" w:type="pct"/>
            <w:vAlign w:val="center"/>
          </w:tcPr>
          <w:p w14:paraId="437250A9" w14:textId="77777777" w:rsidR="0079055D" w:rsidRDefault="0079055D" w:rsidP="0079055D">
            <w:pPr>
              <w:spacing w:after="40"/>
              <w:jc w:val="center"/>
              <w:rPr>
                <w:rFonts w:cs="Calibri"/>
                <w:color w:val="000000"/>
              </w:rPr>
            </w:pPr>
            <w:r>
              <w:rPr>
                <w:rFonts w:cs="Calibri"/>
                <w:color w:val="000000"/>
              </w:rPr>
              <w:t>$484.16</w:t>
            </w:r>
          </w:p>
        </w:tc>
      </w:tr>
      <w:tr w:rsidR="0079055D" w:rsidRPr="00EC194D" w14:paraId="1B59CA9C" w14:textId="77777777" w:rsidTr="0079055D">
        <w:trPr>
          <w:cantSplit/>
          <w:trHeight w:val="70"/>
        </w:trPr>
        <w:tc>
          <w:tcPr>
            <w:tcW w:w="879" w:type="pct"/>
            <w:tcBorders>
              <w:top w:val="nil"/>
              <w:bottom w:val="single" w:sz="4" w:space="0" w:color="auto"/>
            </w:tcBorders>
          </w:tcPr>
          <w:p w14:paraId="2E7B4110" w14:textId="77777777" w:rsidR="0079055D" w:rsidRDefault="0079055D" w:rsidP="0079055D">
            <w:pPr>
              <w:pStyle w:val="Tabletext"/>
              <w:tabs>
                <w:tab w:val="left" w:pos="204"/>
              </w:tabs>
            </w:pPr>
          </w:p>
        </w:tc>
        <w:tc>
          <w:tcPr>
            <w:tcW w:w="604" w:type="pct"/>
            <w:tcBorders>
              <w:top w:val="nil"/>
              <w:bottom w:val="single" w:sz="4" w:space="0" w:color="auto"/>
            </w:tcBorders>
          </w:tcPr>
          <w:p w14:paraId="497BCB31" w14:textId="77777777" w:rsidR="0079055D" w:rsidRPr="00CF05A2" w:rsidRDefault="0079055D" w:rsidP="0079055D">
            <w:pPr>
              <w:spacing w:after="40"/>
              <w:jc w:val="center"/>
              <w:rPr>
                <w:rFonts w:cs="Calibri"/>
                <w:color w:val="000000"/>
              </w:rPr>
            </w:pPr>
          </w:p>
        </w:tc>
        <w:tc>
          <w:tcPr>
            <w:tcW w:w="686" w:type="pct"/>
            <w:tcBorders>
              <w:bottom w:val="single" w:sz="4" w:space="0" w:color="auto"/>
            </w:tcBorders>
            <w:vAlign w:val="center"/>
          </w:tcPr>
          <w:p w14:paraId="2D2F0279" w14:textId="77777777" w:rsidR="0079055D" w:rsidRPr="00CF05A2" w:rsidRDefault="0079055D" w:rsidP="0079055D">
            <w:pPr>
              <w:spacing w:after="40"/>
              <w:jc w:val="center"/>
              <w:rPr>
                <w:rFonts w:cs="Calibri"/>
                <w:color w:val="000000"/>
              </w:rPr>
            </w:pPr>
            <w:r>
              <w:rPr>
                <w:rFonts w:cs="Calibri"/>
                <w:color w:val="000000"/>
              </w:rPr>
              <w:t>Severe OSA:</w:t>
            </w:r>
          </w:p>
        </w:tc>
        <w:tc>
          <w:tcPr>
            <w:tcW w:w="891" w:type="pct"/>
            <w:tcBorders>
              <w:bottom w:val="single" w:sz="4" w:space="0" w:color="auto"/>
            </w:tcBorders>
          </w:tcPr>
          <w:p w14:paraId="7F7EB678" w14:textId="77777777" w:rsidR="0079055D" w:rsidRDefault="0079055D" w:rsidP="0079055D">
            <w:pPr>
              <w:tabs>
                <w:tab w:val="left" w:pos="1291"/>
              </w:tabs>
              <w:spacing w:after="40"/>
              <w:rPr>
                <w:rFonts w:cs="Calibri"/>
                <w:color w:val="000000"/>
              </w:rPr>
            </w:pPr>
            <w:r>
              <w:rPr>
                <w:rFonts w:cs="Calibri"/>
                <w:color w:val="000000"/>
              </w:rPr>
              <w:t>MBS 104: 1</w:t>
            </w:r>
          </w:p>
          <w:p w14:paraId="3B2B039E" w14:textId="77777777" w:rsidR="0079055D" w:rsidRPr="00CF05A2" w:rsidRDefault="0079055D" w:rsidP="0079055D">
            <w:pPr>
              <w:spacing w:after="40"/>
              <w:rPr>
                <w:rFonts w:cs="Calibri"/>
                <w:color w:val="000000"/>
              </w:rPr>
            </w:pPr>
            <w:r>
              <w:rPr>
                <w:rFonts w:cs="Calibri"/>
                <w:color w:val="000000"/>
              </w:rPr>
              <w:t>MBS 105: 5</w:t>
            </w:r>
          </w:p>
        </w:tc>
        <w:tc>
          <w:tcPr>
            <w:tcW w:w="1227" w:type="pct"/>
            <w:tcBorders>
              <w:bottom w:val="single" w:sz="4" w:space="0" w:color="auto"/>
            </w:tcBorders>
            <w:vAlign w:val="center"/>
          </w:tcPr>
          <w:p w14:paraId="7C369F22" w14:textId="77777777" w:rsidR="0079055D" w:rsidRPr="00CF05A2" w:rsidRDefault="0079055D" w:rsidP="0079055D">
            <w:pPr>
              <w:spacing w:after="40"/>
              <w:jc w:val="center"/>
              <w:rPr>
                <w:rFonts w:cs="Calibri"/>
                <w:color w:val="000000"/>
              </w:rPr>
            </w:pPr>
            <w:r>
              <w:rPr>
                <w:rFonts w:cs="Calibri"/>
                <w:color w:val="000000"/>
              </w:rPr>
              <w:t>$267.40</w:t>
            </w:r>
          </w:p>
        </w:tc>
        <w:tc>
          <w:tcPr>
            <w:tcW w:w="713" w:type="pct"/>
            <w:tcBorders>
              <w:bottom w:val="single" w:sz="4" w:space="0" w:color="auto"/>
            </w:tcBorders>
            <w:vAlign w:val="center"/>
          </w:tcPr>
          <w:p w14:paraId="5683DA47" w14:textId="77777777" w:rsidR="0079055D" w:rsidRPr="00CF05A2" w:rsidRDefault="0079055D" w:rsidP="0079055D">
            <w:pPr>
              <w:spacing w:after="40"/>
              <w:jc w:val="center"/>
              <w:rPr>
                <w:rFonts w:cs="Calibri"/>
                <w:color w:val="000000"/>
              </w:rPr>
            </w:pPr>
            <w:r>
              <w:rPr>
                <w:rFonts w:cs="Calibri"/>
                <w:color w:val="000000"/>
              </w:rPr>
              <w:t>$535.80</w:t>
            </w:r>
          </w:p>
        </w:tc>
      </w:tr>
    </w:tbl>
    <w:p w14:paraId="5EBE7CF7" w14:textId="48D05AA9" w:rsidR="0079055D" w:rsidRDefault="0079055D" w:rsidP="00F2213E">
      <w:pPr>
        <w:pStyle w:val="Tablenotes"/>
      </w:pPr>
      <w:r w:rsidRPr="001E3929">
        <w:t xml:space="preserve">Source:  </w:t>
      </w:r>
      <w:r w:rsidR="00D05118">
        <w:t>Table 11, p30 of the Commentary</w:t>
      </w:r>
    </w:p>
    <w:p w14:paraId="4CCCF5B5" w14:textId="075630F4" w:rsidR="0079055D" w:rsidRPr="001E3929" w:rsidRDefault="004C0F2C" w:rsidP="00F2213E">
      <w:pPr>
        <w:pStyle w:val="Tablenotes"/>
      </w:pPr>
      <w:r>
        <w:rPr>
          <w:rStyle w:val="TablenotesChar"/>
        </w:rPr>
        <w:t xml:space="preserve">Abbreviations: </w:t>
      </w:r>
      <w:r w:rsidR="0079055D">
        <w:rPr>
          <w:rStyle w:val="TablenotesChar"/>
        </w:rPr>
        <w:t>HSAT=home sleep apnoea test; OSA=obstructive sleep apnoea; PAT=peripheral arterial tone</w:t>
      </w:r>
    </w:p>
    <w:p w14:paraId="6DFB02C2" w14:textId="37F0F896" w:rsidR="0079055D" w:rsidRPr="006A4E3D" w:rsidRDefault="0079055D" w:rsidP="00F2213E">
      <w:pPr>
        <w:pStyle w:val="Tablenotes"/>
      </w:pPr>
      <w:r w:rsidRPr="001E3929">
        <w:rPr>
          <w:vertAlign w:val="superscript"/>
        </w:rPr>
        <w:t>a</w:t>
      </w:r>
      <w:r w:rsidR="00F2213E">
        <w:t xml:space="preserve"> </w:t>
      </w:r>
      <w:r w:rsidRPr="001E3929">
        <w:t>MBS item costs at 85% benefit.  MBS item 104 $76.15; MBS item 105: $38.25</w:t>
      </w:r>
    </w:p>
    <w:p w14:paraId="63EE7D7F" w14:textId="4851E7BF" w:rsidR="00EC3821" w:rsidRPr="00EC3821" w:rsidRDefault="00A90662" w:rsidP="00EC3821">
      <w:pPr>
        <w:tabs>
          <w:tab w:val="left" w:pos="720"/>
          <w:tab w:val="left" w:pos="1140"/>
        </w:tabs>
        <w:spacing w:before="240"/>
        <w:rPr>
          <w:bCs/>
          <w:szCs w:val="24"/>
        </w:rPr>
      </w:pPr>
      <w:r>
        <w:rPr>
          <w:bCs/>
          <w:szCs w:val="24"/>
        </w:rPr>
        <w:t>ESC noted</w:t>
      </w:r>
      <w:r w:rsidRPr="00A90662">
        <w:t xml:space="preserve"> </w:t>
      </w:r>
      <w:r w:rsidRPr="00A90662">
        <w:rPr>
          <w:bCs/>
          <w:szCs w:val="24"/>
        </w:rPr>
        <w:t>MBS items 110/116 ($157.95/$79.05) and 132/133 ($276.25/$138.30)</w:t>
      </w:r>
      <w:r>
        <w:rPr>
          <w:bCs/>
          <w:szCs w:val="24"/>
        </w:rPr>
        <w:t xml:space="preserve"> should have been used instead of MBS items 104/105</w:t>
      </w:r>
      <w:r w:rsidR="00166989">
        <w:rPr>
          <w:bCs/>
          <w:szCs w:val="24"/>
        </w:rPr>
        <w:t>.</w:t>
      </w:r>
    </w:p>
    <w:p w14:paraId="27895A11" w14:textId="01779728" w:rsidR="0097029B" w:rsidRDefault="0097029B" w:rsidP="007D5F6D">
      <w:pPr>
        <w:spacing w:before="240" w:after="120"/>
      </w:pPr>
      <w:r>
        <w:t>The ADAR presented sensitivity analyses for the cost-minimisation analysis, varying the following components of the analysis:</w:t>
      </w:r>
    </w:p>
    <w:p w14:paraId="5B510116" w14:textId="77777777" w:rsidR="0097029B" w:rsidRDefault="0097029B" w:rsidP="00814E99">
      <w:pPr>
        <w:pStyle w:val="ListParagraph"/>
        <w:numPr>
          <w:ilvl w:val="0"/>
          <w:numId w:val="24"/>
        </w:numPr>
        <w:spacing w:after="120"/>
      </w:pPr>
      <w:r>
        <w:t>Proportion eligible: The proportion of patients currently receiving Level 2 PSG who will be eligible for HSAT/PAT (base case: 95%) was increased by 5% and decreased by 15%.  The proportion of patients currently receiving Level 1 PSG was increased by 10% and decreased by 10% (base case 10%)</w:t>
      </w:r>
    </w:p>
    <w:p w14:paraId="4DA38AB3" w14:textId="77777777" w:rsidR="0097029B" w:rsidRDefault="0097029B" w:rsidP="00814E99">
      <w:pPr>
        <w:pStyle w:val="ListParagraph"/>
        <w:numPr>
          <w:ilvl w:val="0"/>
          <w:numId w:val="24"/>
        </w:numPr>
        <w:spacing w:after="120"/>
      </w:pPr>
      <w:r>
        <w:t>Substitution of Level 1 and Level 2 PSG by HSAT/PAT: The usage of HSAT/PAT was increased by 10% and by 5% (base case: 10% in Year 1, increasing by 5% per year)</w:t>
      </w:r>
    </w:p>
    <w:p w14:paraId="160CC979" w14:textId="77777777" w:rsidR="0097029B" w:rsidRDefault="0097029B" w:rsidP="00814E99">
      <w:pPr>
        <w:pStyle w:val="ListParagraph"/>
        <w:numPr>
          <w:ilvl w:val="0"/>
          <w:numId w:val="24"/>
        </w:numPr>
        <w:spacing w:after="120"/>
      </w:pPr>
      <w:r>
        <w:t>Single use and repeatable use HSAT/PAT: The proportion of patients using single use HSAT/PAT and re-usable HSAT/PAT was changed to 70:30 and to 90:10 (base case: 80:20).</w:t>
      </w:r>
    </w:p>
    <w:p w14:paraId="0399F5A3" w14:textId="77777777" w:rsidR="0097029B" w:rsidRDefault="0097029B" w:rsidP="00814E99">
      <w:pPr>
        <w:pStyle w:val="ListParagraph"/>
        <w:numPr>
          <w:ilvl w:val="0"/>
          <w:numId w:val="24"/>
        </w:numPr>
        <w:spacing w:after="240"/>
        <w:ind w:left="714" w:hanging="357"/>
      </w:pPr>
      <w:r>
        <w:t>Proportion having follow-up Level 1 PSG: Altered to 7% and to 3% (base case: 5%).</w:t>
      </w:r>
    </w:p>
    <w:p w14:paraId="621CAAD5" w14:textId="028D63F9" w:rsidR="00166989" w:rsidRDefault="0097029B" w:rsidP="00166989">
      <w:r>
        <w:t xml:space="preserve">The results of the sensitivity analyses </w:t>
      </w:r>
      <w:r w:rsidRPr="0097029B">
        <w:t>(including additional conducted for the commentary)</w:t>
      </w:r>
      <w:r>
        <w:t xml:space="preserve"> are provided in </w:t>
      </w:r>
      <w:r>
        <w:fldChar w:fldCharType="begin"/>
      </w:r>
      <w:r>
        <w:instrText xml:space="preserve"> REF _Ref75198543 \h </w:instrText>
      </w:r>
      <w:r>
        <w:fldChar w:fldCharType="separate"/>
      </w:r>
      <w:r w:rsidR="00824C87">
        <w:t xml:space="preserve">Table </w:t>
      </w:r>
      <w:r w:rsidR="00824C87">
        <w:rPr>
          <w:noProof/>
        </w:rPr>
        <w:t>12</w:t>
      </w:r>
      <w:r>
        <w:fldChar w:fldCharType="end"/>
      </w:r>
      <w:r>
        <w:t>.</w:t>
      </w:r>
      <w:bookmarkStart w:id="27" w:name="_Ref75198543"/>
      <w:bookmarkStart w:id="28" w:name="_Toc70768745"/>
      <w:r w:rsidR="00166989">
        <w:br w:type="page"/>
      </w:r>
    </w:p>
    <w:p w14:paraId="418E2756" w14:textId="6C7F3128" w:rsidR="0097029B" w:rsidRDefault="0097029B" w:rsidP="007D5F6D">
      <w:pPr>
        <w:pStyle w:val="Caption"/>
        <w:spacing w:before="240"/>
      </w:pPr>
      <w:r>
        <w:lastRenderedPageBreak/>
        <w:t xml:space="preserve">Table </w:t>
      </w:r>
      <w:r w:rsidR="00A930B3">
        <w:fldChar w:fldCharType="begin"/>
      </w:r>
      <w:r w:rsidR="00A930B3">
        <w:instrText xml:space="preserve"> SEQ Table \* ARABIC </w:instrText>
      </w:r>
      <w:r w:rsidR="00A930B3">
        <w:fldChar w:fldCharType="separate"/>
      </w:r>
      <w:r w:rsidR="00824C87">
        <w:rPr>
          <w:noProof/>
        </w:rPr>
        <w:t>12</w:t>
      </w:r>
      <w:r w:rsidR="00A930B3">
        <w:rPr>
          <w:noProof/>
        </w:rPr>
        <w:fldChar w:fldCharType="end"/>
      </w:r>
      <w:bookmarkEnd w:id="27"/>
      <w:r>
        <w:tab/>
        <w:t>Sensitivity analysis for the cost-minimisation analysis</w:t>
      </w:r>
      <w:bookmarkEnd w:id="28"/>
      <w:r w:rsidRPr="00AA66CD">
        <w:t xml:space="preserve"> </w:t>
      </w:r>
    </w:p>
    <w:tbl>
      <w:tblPr>
        <w:tblStyle w:val="TableGrid1"/>
        <w:tblW w:w="4956" w:type="pct"/>
        <w:tblInd w:w="-5" w:type="dxa"/>
        <w:tblCellMar>
          <w:left w:w="28" w:type="dxa"/>
          <w:right w:w="28" w:type="dxa"/>
        </w:tblCellMar>
        <w:tblLook w:val="00A0" w:firstRow="1" w:lastRow="0" w:firstColumn="1" w:lastColumn="0" w:noHBand="0" w:noVBand="0"/>
        <w:tblCaption w:val="Table 38 Sensitivity analysis for the cost-minimisation analysis"/>
        <w:tblDescription w:val="This table provides result sof the sensitivity analyses for the cost-minimisation analysis."/>
      </w:tblPr>
      <w:tblGrid>
        <w:gridCol w:w="2636"/>
        <w:gridCol w:w="971"/>
        <w:gridCol w:w="1333"/>
        <w:gridCol w:w="1244"/>
        <w:gridCol w:w="1425"/>
        <w:gridCol w:w="1328"/>
      </w:tblGrid>
      <w:tr w:rsidR="0097029B" w:rsidRPr="00AA66CD" w14:paraId="0FA2B553" w14:textId="77777777" w:rsidTr="009F723B">
        <w:trPr>
          <w:cnfStyle w:val="100000000000" w:firstRow="1" w:lastRow="0" w:firstColumn="0" w:lastColumn="0" w:oddVBand="0" w:evenVBand="0" w:oddHBand="0" w:evenHBand="0" w:firstRowFirstColumn="0" w:firstRowLastColumn="0" w:lastRowFirstColumn="0" w:lastRowLastColumn="0"/>
          <w:cantSplit/>
          <w:trHeight w:val="70"/>
          <w:tblHeader/>
        </w:trPr>
        <w:tc>
          <w:tcPr>
            <w:tcW w:w="1475" w:type="pct"/>
            <w:noWrap/>
            <w:vAlign w:val="center"/>
          </w:tcPr>
          <w:p w14:paraId="0587F160" w14:textId="77777777" w:rsidR="0097029B" w:rsidRPr="002D3D4D" w:rsidRDefault="0097029B" w:rsidP="009F723B">
            <w:pPr>
              <w:pStyle w:val="Tabletextboldleft"/>
              <w:tabs>
                <w:tab w:val="left" w:pos="204"/>
              </w:tabs>
              <w:spacing w:after="40"/>
            </w:pPr>
          </w:p>
        </w:tc>
        <w:tc>
          <w:tcPr>
            <w:tcW w:w="543" w:type="pct"/>
            <w:noWrap/>
            <w:vAlign w:val="center"/>
          </w:tcPr>
          <w:p w14:paraId="4B43AF44" w14:textId="77777777" w:rsidR="0097029B" w:rsidRDefault="0097029B" w:rsidP="009F723B">
            <w:pPr>
              <w:pStyle w:val="Tabletextbold"/>
              <w:spacing w:after="40"/>
              <w:rPr>
                <w:sz w:val="24"/>
                <w:szCs w:val="24"/>
              </w:rPr>
            </w:pPr>
            <w:r>
              <w:t>Year 1</w:t>
            </w:r>
          </w:p>
        </w:tc>
        <w:tc>
          <w:tcPr>
            <w:tcW w:w="746" w:type="pct"/>
            <w:noWrap/>
            <w:vAlign w:val="center"/>
          </w:tcPr>
          <w:p w14:paraId="7EA790CD" w14:textId="77777777" w:rsidR="0097029B" w:rsidRDefault="0097029B" w:rsidP="009F723B">
            <w:pPr>
              <w:pStyle w:val="Tabletextbold"/>
              <w:spacing w:after="40"/>
              <w:rPr>
                <w:sz w:val="24"/>
                <w:szCs w:val="24"/>
              </w:rPr>
            </w:pPr>
            <w:r>
              <w:t>Year 2</w:t>
            </w:r>
          </w:p>
        </w:tc>
        <w:tc>
          <w:tcPr>
            <w:tcW w:w="696" w:type="pct"/>
            <w:noWrap/>
            <w:vAlign w:val="center"/>
          </w:tcPr>
          <w:p w14:paraId="7D6B0526" w14:textId="77777777" w:rsidR="0097029B" w:rsidRDefault="0097029B" w:rsidP="009F723B">
            <w:pPr>
              <w:pStyle w:val="Tabletextbold"/>
              <w:spacing w:after="40"/>
              <w:rPr>
                <w:sz w:val="24"/>
                <w:szCs w:val="24"/>
              </w:rPr>
            </w:pPr>
            <w:r>
              <w:t>Year 3</w:t>
            </w:r>
          </w:p>
        </w:tc>
        <w:tc>
          <w:tcPr>
            <w:tcW w:w="797" w:type="pct"/>
            <w:noWrap/>
            <w:vAlign w:val="center"/>
          </w:tcPr>
          <w:p w14:paraId="0DB18C9A" w14:textId="77777777" w:rsidR="0097029B" w:rsidRDefault="0097029B" w:rsidP="009F723B">
            <w:pPr>
              <w:pStyle w:val="Tabletextbold"/>
              <w:spacing w:after="40"/>
              <w:rPr>
                <w:sz w:val="24"/>
                <w:szCs w:val="24"/>
              </w:rPr>
            </w:pPr>
            <w:r>
              <w:t>Year 4</w:t>
            </w:r>
          </w:p>
        </w:tc>
        <w:tc>
          <w:tcPr>
            <w:tcW w:w="743" w:type="pct"/>
            <w:noWrap/>
            <w:vAlign w:val="center"/>
          </w:tcPr>
          <w:p w14:paraId="6F6BA4EB" w14:textId="77777777" w:rsidR="0097029B" w:rsidRDefault="0097029B" w:rsidP="009F723B">
            <w:pPr>
              <w:pStyle w:val="Tabletextbold"/>
              <w:spacing w:after="40"/>
              <w:rPr>
                <w:sz w:val="24"/>
                <w:szCs w:val="24"/>
              </w:rPr>
            </w:pPr>
            <w:r>
              <w:t>Year 5</w:t>
            </w:r>
          </w:p>
        </w:tc>
      </w:tr>
      <w:tr w:rsidR="0097029B" w:rsidRPr="00EC194D" w14:paraId="21D8CE5A" w14:textId="77777777" w:rsidTr="009F723B">
        <w:trPr>
          <w:cantSplit/>
          <w:trHeight w:val="70"/>
        </w:trPr>
        <w:tc>
          <w:tcPr>
            <w:tcW w:w="1475" w:type="pct"/>
            <w:tcBorders>
              <w:bottom w:val="single" w:sz="4" w:space="0" w:color="auto"/>
            </w:tcBorders>
            <w:noWrap/>
            <w:vAlign w:val="center"/>
          </w:tcPr>
          <w:p w14:paraId="7012DEA2" w14:textId="77777777" w:rsidR="0097029B" w:rsidRPr="0043335D" w:rsidRDefault="0097029B" w:rsidP="009F723B">
            <w:pPr>
              <w:pStyle w:val="Tabletext"/>
              <w:tabs>
                <w:tab w:val="left" w:pos="204"/>
              </w:tabs>
              <w:rPr>
                <w:b/>
                <w:bCs/>
              </w:rPr>
            </w:pPr>
            <w:r w:rsidRPr="0043335D">
              <w:rPr>
                <w:b/>
                <w:bCs/>
              </w:rPr>
              <w:t>Base case</w:t>
            </w:r>
          </w:p>
        </w:tc>
        <w:tc>
          <w:tcPr>
            <w:tcW w:w="543" w:type="pct"/>
            <w:tcBorders>
              <w:bottom w:val="single" w:sz="4" w:space="0" w:color="auto"/>
            </w:tcBorders>
            <w:noWrap/>
            <w:vAlign w:val="center"/>
          </w:tcPr>
          <w:p w14:paraId="1EF3D082" w14:textId="77777777" w:rsidR="0097029B" w:rsidRPr="0043335D" w:rsidRDefault="0097029B" w:rsidP="009F723B">
            <w:pPr>
              <w:spacing w:after="40"/>
              <w:jc w:val="center"/>
              <w:rPr>
                <w:rFonts w:cs="Calibri"/>
                <w:b/>
                <w:bCs/>
                <w:color w:val="000000"/>
              </w:rPr>
            </w:pPr>
            <w:r w:rsidRPr="0043335D">
              <w:rPr>
                <w:rFonts w:cstheme="minorHAnsi"/>
                <w:b/>
                <w:bCs/>
              </w:rPr>
              <w:t>-$638,174</w:t>
            </w:r>
          </w:p>
        </w:tc>
        <w:tc>
          <w:tcPr>
            <w:tcW w:w="746" w:type="pct"/>
            <w:tcBorders>
              <w:bottom w:val="single" w:sz="4" w:space="0" w:color="auto"/>
            </w:tcBorders>
            <w:noWrap/>
            <w:vAlign w:val="center"/>
          </w:tcPr>
          <w:p w14:paraId="0A92D52F" w14:textId="77777777" w:rsidR="0097029B" w:rsidRPr="0043335D" w:rsidRDefault="0097029B" w:rsidP="009F723B">
            <w:pPr>
              <w:spacing w:after="40"/>
              <w:jc w:val="center"/>
              <w:rPr>
                <w:rFonts w:cs="Calibri"/>
                <w:b/>
                <w:bCs/>
                <w:color w:val="000000"/>
              </w:rPr>
            </w:pPr>
            <w:r w:rsidRPr="0043335D">
              <w:rPr>
                <w:rFonts w:cstheme="minorHAnsi"/>
                <w:b/>
                <w:bCs/>
              </w:rPr>
              <w:t>-$998,325</w:t>
            </w:r>
          </w:p>
        </w:tc>
        <w:tc>
          <w:tcPr>
            <w:tcW w:w="696" w:type="pct"/>
            <w:tcBorders>
              <w:bottom w:val="single" w:sz="4" w:space="0" w:color="auto"/>
            </w:tcBorders>
            <w:noWrap/>
            <w:vAlign w:val="center"/>
          </w:tcPr>
          <w:p w14:paraId="3E092A44" w14:textId="77777777" w:rsidR="0097029B" w:rsidRPr="0043335D" w:rsidRDefault="0097029B" w:rsidP="009F723B">
            <w:pPr>
              <w:spacing w:after="40"/>
              <w:jc w:val="center"/>
              <w:rPr>
                <w:rFonts w:cs="Calibri"/>
                <w:b/>
                <w:bCs/>
                <w:color w:val="000000"/>
              </w:rPr>
            </w:pPr>
            <w:r w:rsidRPr="0043335D">
              <w:rPr>
                <w:rFonts w:cstheme="minorHAnsi"/>
                <w:b/>
                <w:bCs/>
              </w:rPr>
              <w:t>-$1,389,794</w:t>
            </w:r>
          </w:p>
        </w:tc>
        <w:tc>
          <w:tcPr>
            <w:tcW w:w="797" w:type="pct"/>
            <w:tcBorders>
              <w:bottom w:val="single" w:sz="4" w:space="0" w:color="auto"/>
            </w:tcBorders>
            <w:noWrap/>
            <w:vAlign w:val="center"/>
          </w:tcPr>
          <w:p w14:paraId="00A74368" w14:textId="77777777" w:rsidR="0097029B" w:rsidRPr="0043335D" w:rsidRDefault="0097029B" w:rsidP="009F723B">
            <w:pPr>
              <w:spacing w:after="40"/>
              <w:jc w:val="center"/>
              <w:rPr>
                <w:rFonts w:cs="Calibri"/>
                <w:b/>
                <w:bCs/>
                <w:color w:val="000000"/>
              </w:rPr>
            </w:pPr>
            <w:r w:rsidRPr="0043335D">
              <w:rPr>
                <w:rFonts w:cstheme="minorHAnsi"/>
                <w:b/>
                <w:bCs/>
              </w:rPr>
              <w:t>-$1,807,252</w:t>
            </w:r>
          </w:p>
        </w:tc>
        <w:tc>
          <w:tcPr>
            <w:tcW w:w="743" w:type="pct"/>
            <w:tcBorders>
              <w:bottom w:val="single" w:sz="4" w:space="0" w:color="auto"/>
            </w:tcBorders>
            <w:noWrap/>
            <w:vAlign w:val="center"/>
          </w:tcPr>
          <w:p w14:paraId="2BD191F2" w14:textId="77777777" w:rsidR="0097029B" w:rsidRPr="0043335D" w:rsidRDefault="0097029B" w:rsidP="009F723B">
            <w:pPr>
              <w:spacing w:after="40"/>
              <w:jc w:val="center"/>
              <w:rPr>
                <w:rFonts w:cs="Calibri"/>
                <w:b/>
                <w:bCs/>
                <w:color w:val="000000"/>
              </w:rPr>
            </w:pPr>
            <w:r w:rsidRPr="0043335D">
              <w:rPr>
                <w:rFonts w:cstheme="minorHAnsi"/>
                <w:b/>
                <w:bCs/>
              </w:rPr>
              <w:t>-$2,252,193</w:t>
            </w:r>
          </w:p>
        </w:tc>
      </w:tr>
      <w:tr w:rsidR="0097029B" w:rsidRPr="00EC194D" w14:paraId="67CF3733" w14:textId="77777777" w:rsidTr="009F723B">
        <w:trPr>
          <w:cantSplit/>
          <w:trHeight w:val="70"/>
        </w:trPr>
        <w:tc>
          <w:tcPr>
            <w:tcW w:w="1475" w:type="pct"/>
            <w:tcBorders>
              <w:bottom w:val="single" w:sz="4" w:space="0" w:color="auto"/>
              <w:right w:val="nil"/>
            </w:tcBorders>
            <w:noWrap/>
            <w:vAlign w:val="center"/>
          </w:tcPr>
          <w:p w14:paraId="15712515" w14:textId="77777777" w:rsidR="0097029B" w:rsidRDefault="0097029B" w:rsidP="009F723B">
            <w:pPr>
              <w:pStyle w:val="Tabletext"/>
              <w:tabs>
                <w:tab w:val="left" w:pos="204"/>
              </w:tabs>
            </w:pPr>
            <w:r>
              <w:rPr>
                <w:rFonts w:cs="Calibri"/>
                <w:color w:val="000000"/>
              </w:rPr>
              <w:t>Proportion eligible for Level 2 PSG</w:t>
            </w:r>
          </w:p>
        </w:tc>
        <w:tc>
          <w:tcPr>
            <w:tcW w:w="543" w:type="pct"/>
            <w:tcBorders>
              <w:left w:val="nil"/>
              <w:bottom w:val="single" w:sz="4" w:space="0" w:color="auto"/>
              <w:right w:val="nil"/>
            </w:tcBorders>
            <w:noWrap/>
            <w:vAlign w:val="center"/>
          </w:tcPr>
          <w:p w14:paraId="30A85250" w14:textId="77777777" w:rsidR="0097029B" w:rsidRPr="00963756" w:rsidRDefault="0097029B" w:rsidP="009F723B">
            <w:pPr>
              <w:spacing w:after="40"/>
            </w:pPr>
            <w:r>
              <w:rPr>
                <w:rFonts w:cs="Calibri"/>
                <w:color w:val="000000"/>
              </w:rPr>
              <w:t>(base case:</w:t>
            </w:r>
          </w:p>
        </w:tc>
        <w:tc>
          <w:tcPr>
            <w:tcW w:w="746" w:type="pct"/>
            <w:tcBorders>
              <w:left w:val="nil"/>
              <w:bottom w:val="single" w:sz="4" w:space="0" w:color="auto"/>
              <w:right w:val="nil"/>
            </w:tcBorders>
            <w:noWrap/>
            <w:vAlign w:val="center"/>
          </w:tcPr>
          <w:p w14:paraId="446A8152" w14:textId="77777777" w:rsidR="0097029B" w:rsidRPr="00963756" w:rsidRDefault="0097029B" w:rsidP="009F723B">
            <w:pPr>
              <w:spacing w:after="40"/>
            </w:pPr>
            <w:r>
              <w:t>95%)</w:t>
            </w:r>
          </w:p>
        </w:tc>
        <w:tc>
          <w:tcPr>
            <w:tcW w:w="696" w:type="pct"/>
            <w:tcBorders>
              <w:left w:val="nil"/>
              <w:bottom w:val="single" w:sz="4" w:space="0" w:color="auto"/>
              <w:right w:val="nil"/>
            </w:tcBorders>
            <w:noWrap/>
            <w:vAlign w:val="center"/>
          </w:tcPr>
          <w:p w14:paraId="44EFF61A" w14:textId="77777777" w:rsidR="0097029B" w:rsidRPr="00963756" w:rsidRDefault="0097029B" w:rsidP="009F723B">
            <w:pPr>
              <w:spacing w:after="40"/>
              <w:jc w:val="center"/>
            </w:pPr>
          </w:p>
        </w:tc>
        <w:tc>
          <w:tcPr>
            <w:tcW w:w="797" w:type="pct"/>
            <w:tcBorders>
              <w:left w:val="nil"/>
              <w:bottom w:val="single" w:sz="4" w:space="0" w:color="auto"/>
              <w:right w:val="nil"/>
            </w:tcBorders>
            <w:noWrap/>
            <w:vAlign w:val="center"/>
          </w:tcPr>
          <w:p w14:paraId="44C1145E" w14:textId="77777777" w:rsidR="0097029B" w:rsidRPr="00963756" w:rsidRDefault="0097029B" w:rsidP="009F723B">
            <w:pPr>
              <w:spacing w:after="40"/>
              <w:jc w:val="center"/>
            </w:pPr>
          </w:p>
        </w:tc>
        <w:tc>
          <w:tcPr>
            <w:tcW w:w="743" w:type="pct"/>
            <w:tcBorders>
              <w:left w:val="nil"/>
              <w:bottom w:val="single" w:sz="4" w:space="0" w:color="auto"/>
            </w:tcBorders>
            <w:noWrap/>
            <w:vAlign w:val="center"/>
          </w:tcPr>
          <w:p w14:paraId="3E373A95" w14:textId="77777777" w:rsidR="0097029B" w:rsidRPr="00963756" w:rsidRDefault="0097029B" w:rsidP="009F723B">
            <w:pPr>
              <w:spacing w:after="40"/>
              <w:jc w:val="center"/>
            </w:pPr>
          </w:p>
        </w:tc>
      </w:tr>
      <w:tr w:rsidR="0097029B" w:rsidRPr="00EC194D" w14:paraId="3886CC9E" w14:textId="77777777" w:rsidTr="009F723B">
        <w:trPr>
          <w:cantSplit/>
          <w:trHeight w:val="70"/>
        </w:trPr>
        <w:tc>
          <w:tcPr>
            <w:tcW w:w="1475" w:type="pct"/>
            <w:tcBorders>
              <w:bottom w:val="single" w:sz="4" w:space="0" w:color="auto"/>
            </w:tcBorders>
            <w:noWrap/>
            <w:vAlign w:val="center"/>
          </w:tcPr>
          <w:p w14:paraId="13858DE6" w14:textId="77777777" w:rsidR="0097029B" w:rsidRDefault="0097029B" w:rsidP="009F723B">
            <w:pPr>
              <w:pStyle w:val="Tabletext"/>
              <w:tabs>
                <w:tab w:val="left" w:pos="204"/>
              </w:tabs>
            </w:pPr>
            <w:r>
              <w:tab/>
              <w:t>100% eligible</w:t>
            </w:r>
          </w:p>
        </w:tc>
        <w:tc>
          <w:tcPr>
            <w:tcW w:w="543" w:type="pct"/>
            <w:tcBorders>
              <w:bottom w:val="single" w:sz="4" w:space="0" w:color="auto"/>
            </w:tcBorders>
            <w:noWrap/>
            <w:vAlign w:val="center"/>
          </w:tcPr>
          <w:p w14:paraId="05A17964" w14:textId="77777777" w:rsidR="0097029B" w:rsidRPr="00963756" w:rsidRDefault="0097029B" w:rsidP="009F723B">
            <w:pPr>
              <w:spacing w:after="40"/>
              <w:jc w:val="center"/>
            </w:pPr>
            <w:r w:rsidRPr="00963756">
              <w:t>-$640,745</w:t>
            </w:r>
          </w:p>
        </w:tc>
        <w:tc>
          <w:tcPr>
            <w:tcW w:w="746" w:type="pct"/>
            <w:tcBorders>
              <w:bottom w:val="single" w:sz="4" w:space="0" w:color="auto"/>
            </w:tcBorders>
            <w:noWrap/>
            <w:vAlign w:val="center"/>
          </w:tcPr>
          <w:p w14:paraId="1EBA93B9" w14:textId="77777777" w:rsidR="0097029B" w:rsidRPr="00963756" w:rsidRDefault="0097029B" w:rsidP="009F723B">
            <w:pPr>
              <w:spacing w:after="40"/>
              <w:jc w:val="center"/>
            </w:pPr>
            <w:r w:rsidRPr="00963756">
              <w:t>-$1,002,346</w:t>
            </w:r>
          </w:p>
        </w:tc>
        <w:tc>
          <w:tcPr>
            <w:tcW w:w="696" w:type="pct"/>
            <w:tcBorders>
              <w:bottom w:val="single" w:sz="4" w:space="0" w:color="auto"/>
            </w:tcBorders>
            <w:noWrap/>
            <w:vAlign w:val="center"/>
          </w:tcPr>
          <w:p w14:paraId="76C1E1FE" w14:textId="77777777" w:rsidR="0097029B" w:rsidRPr="00963756" w:rsidRDefault="0097029B" w:rsidP="009F723B">
            <w:pPr>
              <w:spacing w:after="40"/>
              <w:jc w:val="center"/>
            </w:pPr>
            <w:r w:rsidRPr="00963756">
              <w:t>-$1,395,392</w:t>
            </w:r>
          </w:p>
        </w:tc>
        <w:tc>
          <w:tcPr>
            <w:tcW w:w="797" w:type="pct"/>
            <w:tcBorders>
              <w:bottom w:val="single" w:sz="4" w:space="0" w:color="auto"/>
            </w:tcBorders>
            <w:noWrap/>
            <w:vAlign w:val="center"/>
          </w:tcPr>
          <w:p w14:paraId="0707B98C" w14:textId="77777777" w:rsidR="0097029B" w:rsidRPr="00963756" w:rsidRDefault="0097029B" w:rsidP="009F723B">
            <w:pPr>
              <w:spacing w:after="40"/>
              <w:jc w:val="center"/>
            </w:pPr>
            <w:r w:rsidRPr="00963756">
              <w:t>-$1,814,531</w:t>
            </w:r>
          </w:p>
        </w:tc>
        <w:tc>
          <w:tcPr>
            <w:tcW w:w="743" w:type="pct"/>
            <w:tcBorders>
              <w:bottom w:val="single" w:sz="4" w:space="0" w:color="auto"/>
            </w:tcBorders>
            <w:noWrap/>
            <w:vAlign w:val="center"/>
          </w:tcPr>
          <w:p w14:paraId="4E65F578" w14:textId="77777777" w:rsidR="0097029B" w:rsidRPr="00963756" w:rsidRDefault="0097029B" w:rsidP="009F723B">
            <w:pPr>
              <w:spacing w:after="40"/>
              <w:jc w:val="center"/>
            </w:pPr>
            <w:r w:rsidRPr="00963756">
              <w:t>-$2,261,265</w:t>
            </w:r>
          </w:p>
        </w:tc>
      </w:tr>
      <w:tr w:rsidR="0097029B" w:rsidRPr="00EC194D" w14:paraId="31F2D8CA" w14:textId="77777777" w:rsidTr="009F723B">
        <w:trPr>
          <w:cantSplit/>
          <w:trHeight w:val="70"/>
        </w:trPr>
        <w:tc>
          <w:tcPr>
            <w:tcW w:w="1475" w:type="pct"/>
            <w:tcBorders>
              <w:bottom w:val="single" w:sz="4" w:space="0" w:color="auto"/>
            </w:tcBorders>
            <w:noWrap/>
            <w:vAlign w:val="center"/>
          </w:tcPr>
          <w:p w14:paraId="2664A2F1" w14:textId="77777777" w:rsidR="0097029B" w:rsidRDefault="0097029B" w:rsidP="009F723B">
            <w:pPr>
              <w:pStyle w:val="Tabletext"/>
              <w:tabs>
                <w:tab w:val="left" w:pos="204"/>
              </w:tabs>
            </w:pPr>
            <w:r>
              <w:tab/>
              <w:t>80% eligible</w:t>
            </w:r>
          </w:p>
        </w:tc>
        <w:tc>
          <w:tcPr>
            <w:tcW w:w="543" w:type="pct"/>
            <w:tcBorders>
              <w:bottom w:val="single" w:sz="4" w:space="0" w:color="auto"/>
            </w:tcBorders>
            <w:noWrap/>
            <w:vAlign w:val="center"/>
          </w:tcPr>
          <w:p w14:paraId="7DCBAD59" w14:textId="77777777" w:rsidR="0097029B" w:rsidRPr="00963756" w:rsidRDefault="0097029B" w:rsidP="009F723B">
            <w:pPr>
              <w:spacing w:after="40"/>
              <w:jc w:val="center"/>
              <w:rPr>
                <w:rFonts w:cs="Calibri"/>
                <w:color w:val="000000"/>
              </w:rPr>
            </w:pPr>
            <w:r w:rsidRPr="00963756">
              <w:t>-$630,462</w:t>
            </w:r>
          </w:p>
        </w:tc>
        <w:tc>
          <w:tcPr>
            <w:tcW w:w="746" w:type="pct"/>
            <w:tcBorders>
              <w:bottom w:val="single" w:sz="4" w:space="0" w:color="auto"/>
            </w:tcBorders>
            <w:noWrap/>
            <w:vAlign w:val="center"/>
          </w:tcPr>
          <w:p w14:paraId="09C61936" w14:textId="77777777" w:rsidR="0097029B" w:rsidRPr="00963756" w:rsidRDefault="0097029B" w:rsidP="009F723B">
            <w:pPr>
              <w:spacing w:after="40"/>
              <w:jc w:val="center"/>
              <w:rPr>
                <w:rFonts w:cs="Calibri"/>
                <w:color w:val="000000"/>
              </w:rPr>
            </w:pPr>
            <w:r w:rsidRPr="00963756">
              <w:t>-$986,261</w:t>
            </w:r>
          </w:p>
        </w:tc>
        <w:tc>
          <w:tcPr>
            <w:tcW w:w="696" w:type="pct"/>
            <w:tcBorders>
              <w:bottom w:val="single" w:sz="4" w:space="0" w:color="auto"/>
            </w:tcBorders>
            <w:noWrap/>
            <w:vAlign w:val="center"/>
          </w:tcPr>
          <w:p w14:paraId="0FC1D30F" w14:textId="77777777" w:rsidR="0097029B" w:rsidRPr="00963756" w:rsidRDefault="0097029B" w:rsidP="009F723B">
            <w:pPr>
              <w:spacing w:after="40"/>
              <w:jc w:val="center"/>
              <w:rPr>
                <w:rFonts w:cs="Calibri"/>
                <w:color w:val="000000"/>
              </w:rPr>
            </w:pPr>
            <w:r w:rsidRPr="00963756">
              <w:t>-$1,373,001</w:t>
            </w:r>
          </w:p>
        </w:tc>
        <w:tc>
          <w:tcPr>
            <w:tcW w:w="797" w:type="pct"/>
            <w:tcBorders>
              <w:bottom w:val="single" w:sz="4" w:space="0" w:color="auto"/>
            </w:tcBorders>
            <w:noWrap/>
            <w:vAlign w:val="center"/>
          </w:tcPr>
          <w:p w14:paraId="19CAA0E5" w14:textId="77777777" w:rsidR="0097029B" w:rsidRPr="00963756" w:rsidRDefault="0097029B" w:rsidP="009F723B">
            <w:pPr>
              <w:spacing w:after="40"/>
              <w:jc w:val="center"/>
              <w:rPr>
                <w:rFonts w:cs="Calibri"/>
                <w:color w:val="000000"/>
              </w:rPr>
            </w:pPr>
            <w:r w:rsidRPr="00963756">
              <w:t>-$1,785,415</w:t>
            </w:r>
          </w:p>
        </w:tc>
        <w:tc>
          <w:tcPr>
            <w:tcW w:w="743" w:type="pct"/>
            <w:tcBorders>
              <w:bottom w:val="single" w:sz="4" w:space="0" w:color="auto"/>
            </w:tcBorders>
            <w:noWrap/>
            <w:vAlign w:val="center"/>
          </w:tcPr>
          <w:p w14:paraId="0D8B3EBF" w14:textId="77777777" w:rsidR="0097029B" w:rsidRPr="00963756" w:rsidRDefault="0097029B" w:rsidP="009F723B">
            <w:pPr>
              <w:spacing w:after="40"/>
              <w:jc w:val="center"/>
              <w:rPr>
                <w:rFonts w:cs="Calibri"/>
                <w:color w:val="000000"/>
              </w:rPr>
            </w:pPr>
            <w:r w:rsidRPr="00963756">
              <w:t>-$2,224,980</w:t>
            </w:r>
          </w:p>
        </w:tc>
      </w:tr>
      <w:tr w:rsidR="0097029B" w:rsidRPr="00EC194D" w14:paraId="6C387D9C" w14:textId="77777777" w:rsidTr="009F723B">
        <w:trPr>
          <w:cantSplit/>
          <w:trHeight w:val="70"/>
        </w:trPr>
        <w:tc>
          <w:tcPr>
            <w:tcW w:w="1475" w:type="pct"/>
            <w:tcBorders>
              <w:bottom w:val="single" w:sz="4" w:space="0" w:color="auto"/>
              <w:right w:val="nil"/>
            </w:tcBorders>
            <w:noWrap/>
            <w:vAlign w:val="center"/>
          </w:tcPr>
          <w:p w14:paraId="4C738816" w14:textId="77777777" w:rsidR="0097029B" w:rsidRDefault="0097029B" w:rsidP="009F723B">
            <w:pPr>
              <w:pStyle w:val="Tabletext"/>
              <w:tabs>
                <w:tab w:val="left" w:pos="204"/>
              </w:tabs>
            </w:pPr>
            <w:r w:rsidRPr="00963756">
              <w:rPr>
                <w:rFonts w:cs="Calibri"/>
                <w:color w:val="000000"/>
              </w:rPr>
              <w:t>Proportion eligible for Level 1 PSG</w:t>
            </w:r>
          </w:p>
        </w:tc>
        <w:tc>
          <w:tcPr>
            <w:tcW w:w="543" w:type="pct"/>
            <w:tcBorders>
              <w:left w:val="nil"/>
              <w:bottom w:val="single" w:sz="4" w:space="0" w:color="auto"/>
              <w:right w:val="nil"/>
            </w:tcBorders>
            <w:noWrap/>
            <w:vAlign w:val="center"/>
          </w:tcPr>
          <w:p w14:paraId="07389182" w14:textId="77777777" w:rsidR="0097029B" w:rsidRDefault="0097029B" w:rsidP="009F723B">
            <w:pPr>
              <w:spacing w:after="40"/>
            </w:pPr>
            <w:r w:rsidRPr="00963756">
              <w:rPr>
                <w:rFonts w:cs="Calibri"/>
                <w:color w:val="000000"/>
              </w:rPr>
              <w:t>(base case:</w:t>
            </w:r>
          </w:p>
        </w:tc>
        <w:tc>
          <w:tcPr>
            <w:tcW w:w="746" w:type="pct"/>
            <w:tcBorders>
              <w:left w:val="nil"/>
              <w:bottom w:val="single" w:sz="4" w:space="0" w:color="auto"/>
              <w:right w:val="nil"/>
            </w:tcBorders>
            <w:noWrap/>
            <w:vAlign w:val="center"/>
          </w:tcPr>
          <w:p w14:paraId="2032CFB7" w14:textId="77777777" w:rsidR="0097029B" w:rsidRPr="00963756" w:rsidRDefault="0097029B" w:rsidP="009F723B">
            <w:pPr>
              <w:spacing w:after="40"/>
            </w:pPr>
            <w:r>
              <w:t>10%)</w:t>
            </w:r>
          </w:p>
        </w:tc>
        <w:tc>
          <w:tcPr>
            <w:tcW w:w="696" w:type="pct"/>
            <w:tcBorders>
              <w:left w:val="nil"/>
              <w:bottom w:val="single" w:sz="4" w:space="0" w:color="auto"/>
              <w:right w:val="nil"/>
            </w:tcBorders>
            <w:noWrap/>
            <w:vAlign w:val="center"/>
          </w:tcPr>
          <w:p w14:paraId="58576EC1" w14:textId="77777777" w:rsidR="0097029B" w:rsidRPr="00963756" w:rsidRDefault="0097029B" w:rsidP="009F723B">
            <w:pPr>
              <w:spacing w:after="40"/>
              <w:jc w:val="center"/>
            </w:pPr>
          </w:p>
        </w:tc>
        <w:tc>
          <w:tcPr>
            <w:tcW w:w="797" w:type="pct"/>
            <w:tcBorders>
              <w:left w:val="nil"/>
              <w:bottom w:val="single" w:sz="4" w:space="0" w:color="auto"/>
              <w:right w:val="nil"/>
            </w:tcBorders>
            <w:noWrap/>
            <w:vAlign w:val="center"/>
          </w:tcPr>
          <w:p w14:paraId="2D40C2B3" w14:textId="77777777" w:rsidR="0097029B" w:rsidRPr="00963756" w:rsidRDefault="0097029B" w:rsidP="009F723B">
            <w:pPr>
              <w:spacing w:after="40"/>
              <w:jc w:val="center"/>
            </w:pPr>
          </w:p>
        </w:tc>
        <w:tc>
          <w:tcPr>
            <w:tcW w:w="743" w:type="pct"/>
            <w:tcBorders>
              <w:left w:val="nil"/>
              <w:bottom w:val="single" w:sz="4" w:space="0" w:color="auto"/>
            </w:tcBorders>
            <w:noWrap/>
            <w:vAlign w:val="center"/>
          </w:tcPr>
          <w:p w14:paraId="287A05AD" w14:textId="77777777" w:rsidR="0097029B" w:rsidRPr="00963756" w:rsidRDefault="0097029B" w:rsidP="009F723B">
            <w:pPr>
              <w:spacing w:after="40"/>
              <w:jc w:val="center"/>
            </w:pPr>
          </w:p>
        </w:tc>
      </w:tr>
      <w:tr w:rsidR="0097029B" w:rsidRPr="00EC194D" w14:paraId="2F27CD50" w14:textId="77777777" w:rsidTr="009F723B">
        <w:trPr>
          <w:cantSplit/>
          <w:trHeight w:val="70"/>
        </w:trPr>
        <w:tc>
          <w:tcPr>
            <w:tcW w:w="1475" w:type="pct"/>
            <w:tcBorders>
              <w:bottom w:val="single" w:sz="4" w:space="0" w:color="auto"/>
            </w:tcBorders>
            <w:noWrap/>
            <w:vAlign w:val="center"/>
          </w:tcPr>
          <w:p w14:paraId="4E37B99D" w14:textId="77777777" w:rsidR="0097029B" w:rsidRPr="00AA774B" w:rsidRDefault="0097029B" w:rsidP="009F723B">
            <w:pPr>
              <w:pStyle w:val="Tabletext"/>
              <w:tabs>
                <w:tab w:val="left" w:pos="204"/>
              </w:tabs>
            </w:pPr>
            <w:r>
              <w:tab/>
              <w:t>20% eligible</w:t>
            </w:r>
          </w:p>
        </w:tc>
        <w:tc>
          <w:tcPr>
            <w:tcW w:w="543" w:type="pct"/>
            <w:tcBorders>
              <w:bottom w:val="single" w:sz="4" w:space="0" w:color="auto"/>
            </w:tcBorders>
            <w:noWrap/>
            <w:vAlign w:val="center"/>
          </w:tcPr>
          <w:p w14:paraId="4AD8A443" w14:textId="77777777" w:rsidR="0097029B" w:rsidRPr="00963756" w:rsidRDefault="0097029B" w:rsidP="009F723B">
            <w:pPr>
              <w:spacing w:after="40"/>
              <w:jc w:val="center"/>
              <w:rPr>
                <w:rFonts w:cs="Calibri"/>
                <w:color w:val="000000"/>
              </w:rPr>
            </w:pPr>
            <w:r>
              <w:t>-</w:t>
            </w:r>
            <w:r w:rsidRPr="00963756">
              <w:t>$1,227,505</w:t>
            </w:r>
          </w:p>
        </w:tc>
        <w:tc>
          <w:tcPr>
            <w:tcW w:w="746" w:type="pct"/>
            <w:tcBorders>
              <w:bottom w:val="single" w:sz="4" w:space="0" w:color="auto"/>
            </w:tcBorders>
            <w:noWrap/>
            <w:vAlign w:val="center"/>
          </w:tcPr>
          <w:p w14:paraId="74226B37" w14:textId="77777777" w:rsidR="0097029B" w:rsidRPr="00963756" w:rsidRDefault="0097029B" w:rsidP="009F723B">
            <w:pPr>
              <w:spacing w:after="40"/>
              <w:jc w:val="center"/>
              <w:rPr>
                <w:rFonts w:cs="Calibri"/>
                <w:color w:val="000000"/>
              </w:rPr>
            </w:pPr>
            <w:r w:rsidRPr="00963756">
              <w:t>-$1,920,245</w:t>
            </w:r>
          </w:p>
        </w:tc>
        <w:tc>
          <w:tcPr>
            <w:tcW w:w="696" w:type="pct"/>
            <w:tcBorders>
              <w:bottom w:val="single" w:sz="4" w:space="0" w:color="auto"/>
            </w:tcBorders>
            <w:noWrap/>
            <w:vAlign w:val="center"/>
          </w:tcPr>
          <w:p w14:paraId="677804C1" w14:textId="77777777" w:rsidR="0097029B" w:rsidRPr="00963756" w:rsidRDefault="0097029B" w:rsidP="009F723B">
            <w:pPr>
              <w:spacing w:after="40"/>
              <w:jc w:val="center"/>
              <w:rPr>
                <w:rFonts w:cs="Calibri"/>
                <w:color w:val="000000"/>
              </w:rPr>
            </w:pPr>
            <w:r w:rsidRPr="00963756">
              <w:t>-$2,673,230</w:t>
            </w:r>
          </w:p>
        </w:tc>
        <w:tc>
          <w:tcPr>
            <w:tcW w:w="797" w:type="pct"/>
            <w:tcBorders>
              <w:bottom w:val="single" w:sz="4" w:space="0" w:color="auto"/>
            </w:tcBorders>
            <w:noWrap/>
            <w:vAlign w:val="center"/>
          </w:tcPr>
          <w:p w14:paraId="025B4FFC" w14:textId="77777777" w:rsidR="0097029B" w:rsidRPr="00963756" w:rsidRDefault="0097029B" w:rsidP="009F723B">
            <w:pPr>
              <w:spacing w:after="40"/>
              <w:jc w:val="center"/>
              <w:rPr>
                <w:rFonts w:cs="Calibri"/>
                <w:color w:val="000000"/>
              </w:rPr>
            </w:pPr>
            <w:r w:rsidRPr="00963756">
              <w:t>-$3,476,199</w:t>
            </w:r>
          </w:p>
        </w:tc>
        <w:tc>
          <w:tcPr>
            <w:tcW w:w="743" w:type="pct"/>
            <w:tcBorders>
              <w:bottom w:val="single" w:sz="4" w:space="0" w:color="auto"/>
            </w:tcBorders>
            <w:noWrap/>
            <w:vAlign w:val="center"/>
          </w:tcPr>
          <w:p w14:paraId="0418314B" w14:textId="77777777" w:rsidR="0097029B" w:rsidRPr="00963756" w:rsidRDefault="0097029B" w:rsidP="009F723B">
            <w:pPr>
              <w:spacing w:after="40"/>
              <w:jc w:val="center"/>
              <w:rPr>
                <w:rFonts w:cs="Calibri"/>
                <w:color w:val="000000"/>
              </w:rPr>
            </w:pPr>
            <w:r w:rsidRPr="00963756">
              <w:t>-$4,332,035</w:t>
            </w:r>
          </w:p>
        </w:tc>
      </w:tr>
      <w:tr w:rsidR="0097029B" w:rsidRPr="00EC194D" w14:paraId="2B2E1C74" w14:textId="77777777" w:rsidTr="009F723B">
        <w:trPr>
          <w:cantSplit/>
          <w:trHeight w:val="70"/>
        </w:trPr>
        <w:tc>
          <w:tcPr>
            <w:tcW w:w="1475" w:type="pct"/>
            <w:tcBorders>
              <w:bottom w:val="single" w:sz="4" w:space="0" w:color="auto"/>
            </w:tcBorders>
            <w:noWrap/>
            <w:vAlign w:val="center"/>
          </w:tcPr>
          <w:p w14:paraId="24FC2FFA" w14:textId="77777777" w:rsidR="0097029B" w:rsidRPr="00AA774B" w:rsidRDefault="0097029B" w:rsidP="009F723B">
            <w:pPr>
              <w:pStyle w:val="Tabletext"/>
              <w:tabs>
                <w:tab w:val="left" w:pos="204"/>
              </w:tabs>
            </w:pPr>
            <w:r>
              <w:tab/>
              <w:t>0% eligible</w:t>
            </w:r>
          </w:p>
        </w:tc>
        <w:tc>
          <w:tcPr>
            <w:tcW w:w="543" w:type="pct"/>
            <w:tcBorders>
              <w:bottom w:val="single" w:sz="4" w:space="0" w:color="auto"/>
            </w:tcBorders>
            <w:noWrap/>
            <w:vAlign w:val="center"/>
          </w:tcPr>
          <w:p w14:paraId="79C93DB4" w14:textId="77777777" w:rsidR="0097029B" w:rsidRPr="00963756" w:rsidRDefault="0097029B" w:rsidP="009F723B">
            <w:pPr>
              <w:spacing w:after="40"/>
              <w:jc w:val="center"/>
            </w:pPr>
            <w:r w:rsidRPr="00963756">
              <w:t>-$48,843</w:t>
            </w:r>
          </w:p>
        </w:tc>
        <w:tc>
          <w:tcPr>
            <w:tcW w:w="746" w:type="pct"/>
            <w:tcBorders>
              <w:bottom w:val="single" w:sz="4" w:space="0" w:color="auto"/>
            </w:tcBorders>
            <w:noWrap/>
            <w:vAlign w:val="center"/>
          </w:tcPr>
          <w:p w14:paraId="38512D92" w14:textId="77777777" w:rsidR="0097029B" w:rsidRPr="00963756" w:rsidRDefault="0097029B" w:rsidP="009F723B">
            <w:pPr>
              <w:spacing w:after="40"/>
              <w:jc w:val="center"/>
            </w:pPr>
            <w:r w:rsidRPr="00963756">
              <w:t>-$76,405</w:t>
            </w:r>
          </w:p>
        </w:tc>
        <w:tc>
          <w:tcPr>
            <w:tcW w:w="696" w:type="pct"/>
            <w:tcBorders>
              <w:bottom w:val="single" w:sz="4" w:space="0" w:color="auto"/>
            </w:tcBorders>
            <w:noWrap/>
            <w:vAlign w:val="center"/>
          </w:tcPr>
          <w:p w14:paraId="1D4E0FFC" w14:textId="77777777" w:rsidR="0097029B" w:rsidRPr="00963756" w:rsidRDefault="0097029B" w:rsidP="009F723B">
            <w:pPr>
              <w:spacing w:after="40"/>
              <w:jc w:val="center"/>
            </w:pPr>
            <w:r w:rsidRPr="00963756">
              <w:t>-$106,359</w:t>
            </w:r>
          </w:p>
        </w:tc>
        <w:tc>
          <w:tcPr>
            <w:tcW w:w="797" w:type="pct"/>
            <w:tcBorders>
              <w:bottom w:val="single" w:sz="4" w:space="0" w:color="auto"/>
            </w:tcBorders>
            <w:noWrap/>
            <w:vAlign w:val="center"/>
          </w:tcPr>
          <w:p w14:paraId="56C7F722" w14:textId="77777777" w:rsidR="0097029B" w:rsidRPr="00963756" w:rsidRDefault="0097029B" w:rsidP="009F723B">
            <w:pPr>
              <w:spacing w:after="40"/>
              <w:jc w:val="center"/>
            </w:pPr>
            <w:r w:rsidRPr="00963756">
              <w:t>-$138,305</w:t>
            </w:r>
          </w:p>
        </w:tc>
        <w:tc>
          <w:tcPr>
            <w:tcW w:w="743" w:type="pct"/>
            <w:tcBorders>
              <w:bottom w:val="single" w:sz="4" w:space="0" w:color="auto"/>
            </w:tcBorders>
            <w:noWrap/>
            <w:vAlign w:val="center"/>
          </w:tcPr>
          <w:p w14:paraId="5060C338" w14:textId="77777777" w:rsidR="0097029B" w:rsidRPr="00963756" w:rsidRDefault="0097029B" w:rsidP="009F723B">
            <w:pPr>
              <w:spacing w:after="40"/>
              <w:jc w:val="center"/>
            </w:pPr>
            <w:r w:rsidRPr="00963756">
              <w:t>-$172,352</w:t>
            </w:r>
          </w:p>
        </w:tc>
      </w:tr>
      <w:tr w:rsidR="0097029B" w:rsidRPr="00EC194D" w14:paraId="2CB1F0F4" w14:textId="77777777" w:rsidTr="009F723B">
        <w:trPr>
          <w:cantSplit/>
          <w:trHeight w:val="70"/>
        </w:trPr>
        <w:tc>
          <w:tcPr>
            <w:tcW w:w="1475" w:type="pct"/>
            <w:tcBorders>
              <w:bottom w:val="single" w:sz="4" w:space="0" w:color="auto"/>
              <w:right w:val="nil"/>
            </w:tcBorders>
            <w:noWrap/>
            <w:vAlign w:val="center"/>
          </w:tcPr>
          <w:p w14:paraId="23065134" w14:textId="77777777" w:rsidR="0097029B" w:rsidRDefault="0097029B" w:rsidP="009F723B">
            <w:pPr>
              <w:pStyle w:val="Tabletext"/>
              <w:tabs>
                <w:tab w:val="left" w:pos="204"/>
              </w:tabs>
            </w:pPr>
            <w:r w:rsidRPr="00963756">
              <w:t>Substitution of Level 2 PSG (base</w:t>
            </w:r>
          </w:p>
        </w:tc>
        <w:tc>
          <w:tcPr>
            <w:tcW w:w="543" w:type="pct"/>
            <w:tcBorders>
              <w:left w:val="nil"/>
              <w:bottom w:val="single" w:sz="4" w:space="0" w:color="auto"/>
              <w:right w:val="nil"/>
            </w:tcBorders>
            <w:noWrap/>
            <w:vAlign w:val="center"/>
          </w:tcPr>
          <w:p w14:paraId="4466012C" w14:textId="77777777" w:rsidR="0097029B" w:rsidRPr="00963756" w:rsidRDefault="0097029B" w:rsidP="009F723B">
            <w:pPr>
              <w:spacing w:after="40"/>
            </w:pPr>
            <w:r w:rsidRPr="00963756">
              <w:t>case 10% in</w:t>
            </w:r>
          </w:p>
        </w:tc>
        <w:tc>
          <w:tcPr>
            <w:tcW w:w="746" w:type="pct"/>
            <w:tcBorders>
              <w:left w:val="nil"/>
              <w:bottom w:val="single" w:sz="4" w:space="0" w:color="auto"/>
              <w:right w:val="nil"/>
            </w:tcBorders>
            <w:noWrap/>
            <w:vAlign w:val="center"/>
          </w:tcPr>
          <w:p w14:paraId="1847C130" w14:textId="77777777" w:rsidR="0097029B" w:rsidRPr="00963756" w:rsidRDefault="0097029B" w:rsidP="009F723B">
            <w:pPr>
              <w:spacing w:after="40"/>
            </w:pPr>
            <w:r w:rsidRPr="00963756">
              <w:t>Year 1 increasing</w:t>
            </w:r>
          </w:p>
        </w:tc>
        <w:tc>
          <w:tcPr>
            <w:tcW w:w="696" w:type="pct"/>
            <w:tcBorders>
              <w:left w:val="nil"/>
              <w:bottom w:val="single" w:sz="4" w:space="0" w:color="auto"/>
              <w:right w:val="nil"/>
            </w:tcBorders>
            <w:noWrap/>
            <w:vAlign w:val="center"/>
          </w:tcPr>
          <w:p w14:paraId="13CB1DDD" w14:textId="77777777" w:rsidR="0097029B" w:rsidRPr="00963756" w:rsidRDefault="0097029B" w:rsidP="009F723B">
            <w:pPr>
              <w:spacing w:after="40"/>
            </w:pPr>
            <w:r w:rsidRPr="00963756">
              <w:t>by 5% per year</w:t>
            </w:r>
          </w:p>
        </w:tc>
        <w:tc>
          <w:tcPr>
            <w:tcW w:w="797" w:type="pct"/>
            <w:tcBorders>
              <w:left w:val="nil"/>
              <w:bottom w:val="single" w:sz="4" w:space="0" w:color="auto"/>
              <w:right w:val="nil"/>
            </w:tcBorders>
            <w:noWrap/>
            <w:vAlign w:val="center"/>
          </w:tcPr>
          <w:p w14:paraId="72456F70" w14:textId="77777777" w:rsidR="0097029B" w:rsidRPr="00963756" w:rsidRDefault="0097029B" w:rsidP="009F723B">
            <w:pPr>
              <w:spacing w:after="40"/>
            </w:pPr>
            <w:r w:rsidRPr="00963756">
              <w:t>to 30% in Year</w:t>
            </w:r>
            <w:r>
              <w:t xml:space="preserve"> 5)</w:t>
            </w:r>
          </w:p>
        </w:tc>
        <w:tc>
          <w:tcPr>
            <w:tcW w:w="743" w:type="pct"/>
            <w:tcBorders>
              <w:left w:val="nil"/>
              <w:bottom w:val="single" w:sz="4" w:space="0" w:color="auto"/>
            </w:tcBorders>
            <w:noWrap/>
            <w:vAlign w:val="center"/>
          </w:tcPr>
          <w:p w14:paraId="6CD118D1" w14:textId="77777777" w:rsidR="0097029B" w:rsidRPr="00963756" w:rsidRDefault="0097029B" w:rsidP="009F723B">
            <w:pPr>
              <w:spacing w:after="40"/>
              <w:jc w:val="center"/>
            </w:pPr>
          </w:p>
        </w:tc>
      </w:tr>
      <w:tr w:rsidR="0097029B" w:rsidRPr="00EC194D" w14:paraId="45AFDAFA" w14:textId="77777777" w:rsidTr="009F723B">
        <w:trPr>
          <w:cantSplit/>
          <w:trHeight w:val="70"/>
        </w:trPr>
        <w:tc>
          <w:tcPr>
            <w:tcW w:w="1475" w:type="pct"/>
            <w:tcBorders>
              <w:bottom w:val="single" w:sz="4" w:space="0" w:color="auto"/>
            </w:tcBorders>
            <w:noWrap/>
            <w:vAlign w:val="center"/>
          </w:tcPr>
          <w:p w14:paraId="41759130" w14:textId="77777777" w:rsidR="0097029B" w:rsidRPr="00AA774B" w:rsidRDefault="0097029B" w:rsidP="009F723B">
            <w:pPr>
              <w:pStyle w:val="Tabletext"/>
              <w:tabs>
                <w:tab w:val="left" w:pos="204"/>
              </w:tabs>
            </w:pPr>
            <w:r>
              <w:tab/>
              <w:t>20% in Year 1 for Level 2 PSG</w:t>
            </w:r>
          </w:p>
        </w:tc>
        <w:tc>
          <w:tcPr>
            <w:tcW w:w="543" w:type="pct"/>
            <w:tcBorders>
              <w:bottom w:val="single" w:sz="4" w:space="0" w:color="auto"/>
            </w:tcBorders>
            <w:noWrap/>
            <w:vAlign w:val="center"/>
          </w:tcPr>
          <w:p w14:paraId="564FC264" w14:textId="77777777" w:rsidR="0097029B" w:rsidRPr="00963756" w:rsidRDefault="0097029B" w:rsidP="009F723B">
            <w:pPr>
              <w:spacing w:after="40"/>
              <w:jc w:val="center"/>
            </w:pPr>
            <w:r w:rsidRPr="00963756">
              <w:t>-$687,017</w:t>
            </w:r>
          </w:p>
        </w:tc>
        <w:tc>
          <w:tcPr>
            <w:tcW w:w="746" w:type="pct"/>
            <w:tcBorders>
              <w:bottom w:val="single" w:sz="4" w:space="0" w:color="auto"/>
            </w:tcBorders>
            <w:noWrap/>
            <w:vAlign w:val="center"/>
          </w:tcPr>
          <w:p w14:paraId="4CE15C01" w14:textId="77777777" w:rsidR="0097029B" w:rsidRPr="00963756" w:rsidRDefault="0097029B" w:rsidP="009F723B">
            <w:pPr>
              <w:spacing w:after="40"/>
              <w:jc w:val="center"/>
            </w:pPr>
            <w:r w:rsidRPr="00963756">
              <w:t>-$1,049,262</w:t>
            </w:r>
          </w:p>
        </w:tc>
        <w:tc>
          <w:tcPr>
            <w:tcW w:w="696" w:type="pct"/>
            <w:tcBorders>
              <w:bottom w:val="single" w:sz="4" w:space="0" w:color="auto"/>
            </w:tcBorders>
            <w:noWrap/>
            <w:vAlign w:val="center"/>
          </w:tcPr>
          <w:p w14:paraId="7C937EDB" w14:textId="77777777" w:rsidR="0097029B" w:rsidRPr="00963756" w:rsidRDefault="0097029B" w:rsidP="009F723B">
            <w:pPr>
              <w:spacing w:after="40"/>
              <w:jc w:val="center"/>
            </w:pPr>
            <w:r w:rsidRPr="00963756">
              <w:t>-$1,442,974</w:t>
            </w:r>
          </w:p>
        </w:tc>
        <w:tc>
          <w:tcPr>
            <w:tcW w:w="797" w:type="pct"/>
            <w:tcBorders>
              <w:bottom w:val="single" w:sz="4" w:space="0" w:color="auto"/>
            </w:tcBorders>
            <w:noWrap/>
            <w:vAlign w:val="center"/>
          </w:tcPr>
          <w:p w14:paraId="4176985C" w14:textId="77777777" w:rsidR="0097029B" w:rsidRPr="00963756" w:rsidRDefault="0097029B" w:rsidP="009F723B">
            <w:pPr>
              <w:spacing w:after="40"/>
              <w:jc w:val="center"/>
            </w:pPr>
            <w:r w:rsidRPr="00963756">
              <w:t>-$1,862,574</w:t>
            </w:r>
          </w:p>
        </w:tc>
        <w:tc>
          <w:tcPr>
            <w:tcW w:w="743" w:type="pct"/>
            <w:tcBorders>
              <w:bottom w:val="single" w:sz="4" w:space="0" w:color="auto"/>
            </w:tcBorders>
            <w:noWrap/>
            <w:vAlign w:val="center"/>
          </w:tcPr>
          <w:p w14:paraId="7DBFE48C" w14:textId="77777777" w:rsidR="0097029B" w:rsidRPr="00963756" w:rsidRDefault="0097029B" w:rsidP="009F723B">
            <w:pPr>
              <w:spacing w:after="40"/>
              <w:jc w:val="center"/>
            </w:pPr>
            <w:r w:rsidRPr="00963756">
              <w:t>-$2,309,644</w:t>
            </w:r>
          </w:p>
        </w:tc>
      </w:tr>
      <w:tr w:rsidR="0097029B" w:rsidRPr="00EC194D" w14:paraId="7F2800CC" w14:textId="77777777" w:rsidTr="009F723B">
        <w:trPr>
          <w:cantSplit/>
          <w:trHeight w:val="70"/>
        </w:trPr>
        <w:tc>
          <w:tcPr>
            <w:tcW w:w="1475" w:type="pct"/>
            <w:tcBorders>
              <w:bottom w:val="single" w:sz="4" w:space="0" w:color="auto"/>
            </w:tcBorders>
            <w:noWrap/>
            <w:vAlign w:val="center"/>
          </w:tcPr>
          <w:p w14:paraId="06707613" w14:textId="77777777" w:rsidR="0097029B" w:rsidRPr="00AA774B" w:rsidRDefault="0097029B" w:rsidP="009F723B">
            <w:pPr>
              <w:pStyle w:val="Tabletext"/>
              <w:tabs>
                <w:tab w:val="left" w:pos="204"/>
              </w:tabs>
            </w:pPr>
            <w:r>
              <w:tab/>
              <w:t>5% in Year 1 for Level 2 PSG</w:t>
            </w:r>
          </w:p>
        </w:tc>
        <w:tc>
          <w:tcPr>
            <w:tcW w:w="543" w:type="pct"/>
            <w:tcBorders>
              <w:bottom w:val="single" w:sz="4" w:space="0" w:color="auto"/>
            </w:tcBorders>
            <w:noWrap/>
            <w:vAlign w:val="center"/>
          </w:tcPr>
          <w:p w14:paraId="236E74CC" w14:textId="77777777" w:rsidR="0097029B" w:rsidRPr="00963756" w:rsidRDefault="0097029B" w:rsidP="009F723B">
            <w:pPr>
              <w:spacing w:after="40"/>
              <w:jc w:val="center"/>
            </w:pPr>
            <w:r w:rsidRPr="00963756">
              <w:t>-$613,753</w:t>
            </w:r>
          </w:p>
        </w:tc>
        <w:tc>
          <w:tcPr>
            <w:tcW w:w="746" w:type="pct"/>
            <w:tcBorders>
              <w:bottom w:val="single" w:sz="4" w:space="0" w:color="auto"/>
            </w:tcBorders>
            <w:noWrap/>
            <w:vAlign w:val="center"/>
          </w:tcPr>
          <w:p w14:paraId="5F836AEF" w14:textId="77777777" w:rsidR="0097029B" w:rsidRPr="00963756" w:rsidRDefault="0097029B" w:rsidP="009F723B">
            <w:pPr>
              <w:spacing w:after="40"/>
              <w:jc w:val="center"/>
            </w:pPr>
            <w:r w:rsidRPr="00963756">
              <w:t>-$972,856</w:t>
            </w:r>
          </w:p>
        </w:tc>
        <w:tc>
          <w:tcPr>
            <w:tcW w:w="696" w:type="pct"/>
            <w:tcBorders>
              <w:bottom w:val="single" w:sz="4" w:space="0" w:color="auto"/>
            </w:tcBorders>
            <w:noWrap/>
            <w:vAlign w:val="center"/>
          </w:tcPr>
          <w:p w14:paraId="4FAA2ED6" w14:textId="77777777" w:rsidR="0097029B" w:rsidRPr="00963756" w:rsidRDefault="0097029B" w:rsidP="009F723B">
            <w:pPr>
              <w:spacing w:after="40"/>
              <w:jc w:val="center"/>
            </w:pPr>
            <w:r w:rsidRPr="00963756">
              <w:t>-$1,363,205</w:t>
            </w:r>
          </w:p>
        </w:tc>
        <w:tc>
          <w:tcPr>
            <w:tcW w:w="797" w:type="pct"/>
            <w:tcBorders>
              <w:bottom w:val="single" w:sz="4" w:space="0" w:color="auto"/>
            </w:tcBorders>
            <w:noWrap/>
            <w:vAlign w:val="center"/>
          </w:tcPr>
          <w:p w14:paraId="4ED3A3AE" w14:textId="77777777" w:rsidR="0097029B" w:rsidRPr="00963756" w:rsidRDefault="0097029B" w:rsidP="009F723B">
            <w:pPr>
              <w:spacing w:after="40"/>
              <w:jc w:val="center"/>
            </w:pPr>
            <w:r w:rsidRPr="00963756">
              <w:t>-$1,779,591</w:t>
            </w:r>
          </w:p>
        </w:tc>
        <w:tc>
          <w:tcPr>
            <w:tcW w:w="743" w:type="pct"/>
            <w:tcBorders>
              <w:bottom w:val="single" w:sz="4" w:space="0" w:color="auto"/>
            </w:tcBorders>
            <w:noWrap/>
            <w:vAlign w:val="center"/>
          </w:tcPr>
          <w:p w14:paraId="283B1F2E" w14:textId="77777777" w:rsidR="0097029B" w:rsidRPr="00963756" w:rsidRDefault="0097029B" w:rsidP="009F723B">
            <w:pPr>
              <w:spacing w:after="40"/>
              <w:jc w:val="center"/>
            </w:pPr>
            <w:r w:rsidRPr="00963756">
              <w:t>-$2,223,468</w:t>
            </w:r>
          </w:p>
        </w:tc>
      </w:tr>
      <w:tr w:rsidR="0097029B" w:rsidRPr="00EC194D" w14:paraId="0D960FD2" w14:textId="77777777" w:rsidTr="009F723B">
        <w:trPr>
          <w:cantSplit/>
          <w:trHeight w:val="70"/>
        </w:trPr>
        <w:tc>
          <w:tcPr>
            <w:tcW w:w="1475" w:type="pct"/>
            <w:tcBorders>
              <w:bottom w:val="single" w:sz="4" w:space="0" w:color="auto"/>
            </w:tcBorders>
            <w:noWrap/>
            <w:vAlign w:val="center"/>
          </w:tcPr>
          <w:p w14:paraId="3CB39130" w14:textId="77777777" w:rsidR="0097029B" w:rsidRPr="00DA4C56" w:rsidRDefault="0097029B" w:rsidP="009F723B">
            <w:pPr>
              <w:pStyle w:val="Tabletext"/>
              <w:tabs>
                <w:tab w:val="left" w:pos="204"/>
              </w:tabs>
              <w:rPr>
                <w:i/>
              </w:rPr>
            </w:pPr>
            <w:r w:rsidRPr="00DA4C56">
              <w:rPr>
                <w:i/>
              </w:rPr>
              <w:tab/>
              <w:t>50% in Year 1 for Level 2 PSG</w:t>
            </w:r>
          </w:p>
        </w:tc>
        <w:tc>
          <w:tcPr>
            <w:tcW w:w="543" w:type="pct"/>
            <w:tcBorders>
              <w:bottom w:val="single" w:sz="4" w:space="0" w:color="auto"/>
            </w:tcBorders>
          </w:tcPr>
          <w:p w14:paraId="4FD5BAAC" w14:textId="77777777" w:rsidR="0097029B" w:rsidRPr="001D723F" w:rsidRDefault="0097029B" w:rsidP="009F723B">
            <w:pPr>
              <w:spacing w:after="40"/>
              <w:jc w:val="center"/>
              <w:rPr>
                <w:i/>
              </w:rPr>
            </w:pPr>
            <w:r>
              <w:rPr>
                <w:i/>
              </w:rPr>
              <w:t>-$833,547</w:t>
            </w:r>
          </w:p>
        </w:tc>
        <w:tc>
          <w:tcPr>
            <w:tcW w:w="746" w:type="pct"/>
            <w:tcBorders>
              <w:bottom w:val="single" w:sz="4" w:space="0" w:color="auto"/>
            </w:tcBorders>
          </w:tcPr>
          <w:p w14:paraId="55674953" w14:textId="77777777" w:rsidR="0097029B" w:rsidRPr="001D723F" w:rsidRDefault="0097029B" w:rsidP="009F723B">
            <w:pPr>
              <w:spacing w:after="40"/>
              <w:jc w:val="center"/>
              <w:rPr>
                <w:i/>
              </w:rPr>
            </w:pPr>
            <w:r>
              <w:rPr>
                <w:i/>
              </w:rPr>
              <w:t>-$1,202,072</w:t>
            </w:r>
          </w:p>
        </w:tc>
        <w:tc>
          <w:tcPr>
            <w:tcW w:w="696" w:type="pct"/>
            <w:tcBorders>
              <w:bottom w:val="single" w:sz="4" w:space="0" w:color="auto"/>
            </w:tcBorders>
          </w:tcPr>
          <w:p w14:paraId="7674E41E" w14:textId="77777777" w:rsidR="0097029B" w:rsidRPr="001D723F" w:rsidRDefault="0097029B" w:rsidP="009F723B">
            <w:pPr>
              <w:spacing w:after="40"/>
              <w:jc w:val="center"/>
              <w:rPr>
                <w:i/>
              </w:rPr>
            </w:pPr>
            <w:r>
              <w:rPr>
                <w:i/>
              </w:rPr>
              <w:t>-$1,602,513</w:t>
            </w:r>
          </w:p>
        </w:tc>
        <w:tc>
          <w:tcPr>
            <w:tcW w:w="797" w:type="pct"/>
            <w:tcBorders>
              <w:bottom w:val="single" w:sz="4" w:space="0" w:color="auto"/>
            </w:tcBorders>
          </w:tcPr>
          <w:p w14:paraId="7D605379" w14:textId="77777777" w:rsidR="0097029B" w:rsidRPr="001D723F" w:rsidRDefault="0097029B" w:rsidP="009F723B">
            <w:pPr>
              <w:spacing w:after="40"/>
              <w:jc w:val="center"/>
              <w:rPr>
                <w:i/>
              </w:rPr>
            </w:pPr>
            <w:r>
              <w:rPr>
                <w:i/>
              </w:rPr>
              <w:t>-$2,028,541</w:t>
            </w:r>
          </w:p>
        </w:tc>
        <w:tc>
          <w:tcPr>
            <w:tcW w:w="743" w:type="pct"/>
            <w:tcBorders>
              <w:bottom w:val="single" w:sz="4" w:space="0" w:color="auto"/>
            </w:tcBorders>
          </w:tcPr>
          <w:p w14:paraId="736F3D78" w14:textId="77777777" w:rsidR="0097029B" w:rsidRPr="001D723F" w:rsidRDefault="0097029B" w:rsidP="009F723B">
            <w:pPr>
              <w:spacing w:after="40"/>
              <w:jc w:val="center"/>
              <w:rPr>
                <w:i/>
              </w:rPr>
            </w:pPr>
            <w:r>
              <w:rPr>
                <w:i/>
              </w:rPr>
              <w:t>-$2,481,996</w:t>
            </w:r>
          </w:p>
        </w:tc>
      </w:tr>
      <w:tr w:rsidR="0097029B" w:rsidRPr="00EC194D" w14:paraId="408BC3D3" w14:textId="77777777" w:rsidTr="009F723B">
        <w:trPr>
          <w:cantSplit/>
          <w:trHeight w:val="90"/>
        </w:trPr>
        <w:tc>
          <w:tcPr>
            <w:tcW w:w="1475" w:type="pct"/>
            <w:tcBorders>
              <w:bottom w:val="single" w:sz="4" w:space="0" w:color="auto"/>
              <w:right w:val="nil"/>
            </w:tcBorders>
            <w:noWrap/>
            <w:vAlign w:val="center"/>
          </w:tcPr>
          <w:p w14:paraId="50E99C11" w14:textId="77777777" w:rsidR="0097029B" w:rsidRDefault="0097029B" w:rsidP="009F723B">
            <w:pPr>
              <w:pStyle w:val="Tabletext"/>
              <w:tabs>
                <w:tab w:val="left" w:pos="204"/>
              </w:tabs>
            </w:pPr>
            <w:r w:rsidRPr="00963756">
              <w:t>Substitution of Level 1</w:t>
            </w:r>
            <w:r>
              <w:t xml:space="preserve"> </w:t>
            </w:r>
            <w:r w:rsidRPr="00963756">
              <w:t>PSG (base</w:t>
            </w:r>
          </w:p>
        </w:tc>
        <w:tc>
          <w:tcPr>
            <w:tcW w:w="543" w:type="pct"/>
            <w:tcBorders>
              <w:left w:val="nil"/>
              <w:bottom w:val="single" w:sz="4" w:space="0" w:color="auto"/>
              <w:right w:val="nil"/>
            </w:tcBorders>
            <w:noWrap/>
            <w:vAlign w:val="center"/>
          </w:tcPr>
          <w:p w14:paraId="2D151B88" w14:textId="77777777" w:rsidR="0097029B" w:rsidRPr="00963756" w:rsidRDefault="0097029B" w:rsidP="009F723B">
            <w:pPr>
              <w:spacing w:after="40"/>
            </w:pPr>
            <w:r w:rsidRPr="00963756">
              <w:t>case 10% in</w:t>
            </w:r>
          </w:p>
        </w:tc>
        <w:tc>
          <w:tcPr>
            <w:tcW w:w="746" w:type="pct"/>
            <w:tcBorders>
              <w:left w:val="nil"/>
              <w:bottom w:val="single" w:sz="4" w:space="0" w:color="auto"/>
              <w:right w:val="nil"/>
            </w:tcBorders>
            <w:noWrap/>
            <w:vAlign w:val="center"/>
          </w:tcPr>
          <w:p w14:paraId="1DCE04B4" w14:textId="77777777" w:rsidR="0097029B" w:rsidRPr="00963756" w:rsidRDefault="0097029B" w:rsidP="009F723B">
            <w:pPr>
              <w:spacing w:after="40"/>
            </w:pPr>
            <w:r w:rsidRPr="00963756">
              <w:t>Year 1 increasing</w:t>
            </w:r>
          </w:p>
        </w:tc>
        <w:tc>
          <w:tcPr>
            <w:tcW w:w="696" w:type="pct"/>
            <w:tcBorders>
              <w:left w:val="nil"/>
              <w:bottom w:val="single" w:sz="4" w:space="0" w:color="auto"/>
              <w:right w:val="nil"/>
            </w:tcBorders>
            <w:noWrap/>
            <w:vAlign w:val="center"/>
          </w:tcPr>
          <w:p w14:paraId="03972E22" w14:textId="77777777" w:rsidR="0097029B" w:rsidRPr="00963756" w:rsidRDefault="0097029B" w:rsidP="009F723B">
            <w:pPr>
              <w:spacing w:after="40"/>
            </w:pPr>
            <w:r w:rsidRPr="00963756">
              <w:t>by 5% per year</w:t>
            </w:r>
          </w:p>
        </w:tc>
        <w:tc>
          <w:tcPr>
            <w:tcW w:w="797" w:type="pct"/>
            <w:tcBorders>
              <w:left w:val="nil"/>
              <w:bottom w:val="single" w:sz="4" w:space="0" w:color="auto"/>
              <w:right w:val="nil"/>
            </w:tcBorders>
            <w:noWrap/>
            <w:vAlign w:val="center"/>
          </w:tcPr>
          <w:p w14:paraId="59D17F6E" w14:textId="77777777" w:rsidR="0097029B" w:rsidRPr="00963756" w:rsidRDefault="0097029B" w:rsidP="009F723B">
            <w:pPr>
              <w:spacing w:after="40"/>
            </w:pPr>
            <w:r w:rsidRPr="00963756">
              <w:t>to 30% in Year 5)</w:t>
            </w:r>
          </w:p>
        </w:tc>
        <w:tc>
          <w:tcPr>
            <w:tcW w:w="743" w:type="pct"/>
            <w:tcBorders>
              <w:left w:val="nil"/>
              <w:bottom w:val="single" w:sz="4" w:space="0" w:color="auto"/>
            </w:tcBorders>
            <w:noWrap/>
            <w:vAlign w:val="center"/>
          </w:tcPr>
          <w:p w14:paraId="551277D3" w14:textId="77777777" w:rsidR="0097029B" w:rsidRPr="00963756" w:rsidRDefault="0097029B" w:rsidP="009F723B">
            <w:pPr>
              <w:spacing w:after="40"/>
              <w:jc w:val="center"/>
            </w:pPr>
          </w:p>
        </w:tc>
      </w:tr>
      <w:tr w:rsidR="0097029B" w:rsidRPr="00EC194D" w14:paraId="20BBAA63" w14:textId="77777777" w:rsidTr="009F723B">
        <w:trPr>
          <w:cantSplit/>
          <w:trHeight w:val="90"/>
        </w:trPr>
        <w:tc>
          <w:tcPr>
            <w:tcW w:w="1475" w:type="pct"/>
            <w:tcBorders>
              <w:bottom w:val="single" w:sz="4" w:space="0" w:color="auto"/>
            </w:tcBorders>
            <w:noWrap/>
            <w:vAlign w:val="center"/>
          </w:tcPr>
          <w:p w14:paraId="4CE45E40" w14:textId="77777777" w:rsidR="0097029B" w:rsidRPr="00AA774B" w:rsidRDefault="0097029B" w:rsidP="009F723B">
            <w:pPr>
              <w:pStyle w:val="Tabletext"/>
              <w:tabs>
                <w:tab w:val="left" w:pos="204"/>
              </w:tabs>
            </w:pPr>
            <w:r>
              <w:tab/>
              <w:t>20% in Year 1 for Level 1 PSG</w:t>
            </w:r>
          </w:p>
        </w:tc>
        <w:tc>
          <w:tcPr>
            <w:tcW w:w="543" w:type="pct"/>
            <w:tcBorders>
              <w:bottom w:val="single" w:sz="4" w:space="0" w:color="auto"/>
            </w:tcBorders>
            <w:noWrap/>
            <w:vAlign w:val="center"/>
          </w:tcPr>
          <w:p w14:paraId="7000ACF7" w14:textId="77777777" w:rsidR="0097029B" w:rsidRPr="00963756" w:rsidRDefault="0097029B" w:rsidP="009F723B">
            <w:pPr>
              <w:spacing w:after="40"/>
              <w:jc w:val="center"/>
            </w:pPr>
            <w:r w:rsidRPr="00963756">
              <w:t>-$1,227,505</w:t>
            </w:r>
          </w:p>
        </w:tc>
        <w:tc>
          <w:tcPr>
            <w:tcW w:w="746" w:type="pct"/>
            <w:tcBorders>
              <w:bottom w:val="single" w:sz="4" w:space="0" w:color="auto"/>
            </w:tcBorders>
            <w:noWrap/>
            <w:vAlign w:val="center"/>
          </w:tcPr>
          <w:p w14:paraId="64F87943" w14:textId="77777777" w:rsidR="0097029B" w:rsidRPr="00963756" w:rsidRDefault="0097029B" w:rsidP="009F723B">
            <w:pPr>
              <w:spacing w:after="40"/>
              <w:jc w:val="center"/>
            </w:pPr>
            <w:r w:rsidRPr="00963756">
              <w:t>-$1,612,938</w:t>
            </w:r>
          </w:p>
        </w:tc>
        <w:tc>
          <w:tcPr>
            <w:tcW w:w="696" w:type="pct"/>
            <w:tcBorders>
              <w:bottom w:val="single" w:sz="4" w:space="0" w:color="auto"/>
            </w:tcBorders>
            <w:noWrap/>
            <w:vAlign w:val="center"/>
          </w:tcPr>
          <w:p w14:paraId="2B50F128" w14:textId="77777777" w:rsidR="0097029B" w:rsidRPr="00963756" w:rsidRDefault="0097029B" w:rsidP="009F723B">
            <w:pPr>
              <w:spacing w:after="40"/>
              <w:jc w:val="center"/>
            </w:pPr>
            <w:r w:rsidRPr="00963756">
              <w:t>-$2,031,512</w:t>
            </w:r>
          </w:p>
        </w:tc>
        <w:tc>
          <w:tcPr>
            <w:tcW w:w="797" w:type="pct"/>
            <w:tcBorders>
              <w:bottom w:val="single" w:sz="4" w:space="0" w:color="auto"/>
            </w:tcBorders>
            <w:noWrap/>
            <w:vAlign w:val="center"/>
          </w:tcPr>
          <w:p w14:paraId="5B4061FF" w14:textId="77777777" w:rsidR="0097029B" w:rsidRPr="00963756" w:rsidRDefault="0097029B" w:rsidP="009F723B">
            <w:pPr>
              <w:spacing w:after="40"/>
              <w:jc w:val="center"/>
            </w:pPr>
            <w:r w:rsidRPr="00963756">
              <w:t>-$2,474,831</w:t>
            </w:r>
          </w:p>
        </w:tc>
        <w:tc>
          <w:tcPr>
            <w:tcW w:w="743" w:type="pct"/>
            <w:tcBorders>
              <w:bottom w:val="single" w:sz="4" w:space="0" w:color="auto"/>
            </w:tcBorders>
            <w:noWrap/>
            <w:vAlign w:val="center"/>
          </w:tcPr>
          <w:p w14:paraId="4FFC6501" w14:textId="77777777" w:rsidR="0097029B" w:rsidRPr="00963756" w:rsidRDefault="0097029B" w:rsidP="009F723B">
            <w:pPr>
              <w:spacing w:after="40"/>
              <w:jc w:val="center"/>
            </w:pPr>
            <w:r w:rsidRPr="00963756">
              <w:t>-$2,945,474</w:t>
            </w:r>
          </w:p>
        </w:tc>
      </w:tr>
      <w:tr w:rsidR="0097029B" w:rsidRPr="00EC194D" w14:paraId="34724AAC" w14:textId="77777777" w:rsidTr="009F723B">
        <w:trPr>
          <w:cantSplit/>
          <w:trHeight w:val="70"/>
        </w:trPr>
        <w:tc>
          <w:tcPr>
            <w:tcW w:w="1475" w:type="pct"/>
            <w:tcBorders>
              <w:bottom w:val="single" w:sz="4" w:space="0" w:color="auto"/>
            </w:tcBorders>
            <w:noWrap/>
            <w:vAlign w:val="center"/>
          </w:tcPr>
          <w:p w14:paraId="5A845554" w14:textId="77777777" w:rsidR="0097029B" w:rsidRPr="00AA774B" w:rsidRDefault="0097029B" w:rsidP="009F723B">
            <w:pPr>
              <w:pStyle w:val="Tabletext"/>
              <w:tabs>
                <w:tab w:val="left" w:pos="204"/>
              </w:tabs>
            </w:pPr>
            <w:r>
              <w:tab/>
              <w:t>5% in Year 1 for Level 1 PSG</w:t>
            </w:r>
          </w:p>
        </w:tc>
        <w:tc>
          <w:tcPr>
            <w:tcW w:w="543" w:type="pct"/>
            <w:tcBorders>
              <w:bottom w:val="single" w:sz="4" w:space="0" w:color="auto"/>
            </w:tcBorders>
            <w:noWrap/>
            <w:vAlign w:val="center"/>
          </w:tcPr>
          <w:p w14:paraId="21CA6EA7" w14:textId="77777777" w:rsidR="0097029B" w:rsidRPr="00963756" w:rsidRDefault="0097029B" w:rsidP="009F723B">
            <w:pPr>
              <w:spacing w:after="40"/>
              <w:jc w:val="center"/>
            </w:pPr>
            <w:r w:rsidRPr="00963756">
              <w:t>-$343,509</w:t>
            </w:r>
          </w:p>
        </w:tc>
        <w:tc>
          <w:tcPr>
            <w:tcW w:w="746" w:type="pct"/>
            <w:tcBorders>
              <w:bottom w:val="single" w:sz="4" w:space="0" w:color="auto"/>
            </w:tcBorders>
            <w:noWrap/>
            <w:vAlign w:val="center"/>
          </w:tcPr>
          <w:p w14:paraId="6E03CF29" w14:textId="77777777" w:rsidR="0097029B" w:rsidRPr="00963756" w:rsidRDefault="0097029B" w:rsidP="009F723B">
            <w:pPr>
              <w:spacing w:after="40"/>
              <w:jc w:val="center"/>
            </w:pPr>
            <w:r w:rsidRPr="00963756">
              <w:t>-$691,018</w:t>
            </w:r>
          </w:p>
        </w:tc>
        <w:tc>
          <w:tcPr>
            <w:tcW w:w="696" w:type="pct"/>
            <w:tcBorders>
              <w:bottom w:val="single" w:sz="4" w:space="0" w:color="auto"/>
            </w:tcBorders>
            <w:noWrap/>
            <w:vAlign w:val="center"/>
          </w:tcPr>
          <w:p w14:paraId="232F5793" w14:textId="77777777" w:rsidR="0097029B" w:rsidRPr="00963756" w:rsidRDefault="0097029B" w:rsidP="009F723B">
            <w:pPr>
              <w:spacing w:after="40"/>
              <w:jc w:val="center"/>
            </w:pPr>
            <w:r w:rsidRPr="00963756">
              <w:t>-$1,068,936</w:t>
            </w:r>
          </w:p>
        </w:tc>
        <w:tc>
          <w:tcPr>
            <w:tcW w:w="797" w:type="pct"/>
            <w:tcBorders>
              <w:bottom w:val="single" w:sz="4" w:space="0" w:color="auto"/>
            </w:tcBorders>
            <w:noWrap/>
            <w:vAlign w:val="center"/>
          </w:tcPr>
          <w:p w14:paraId="6A3F69A8" w14:textId="77777777" w:rsidR="0097029B" w:rsidRPr="00963756" w:rsidRDefault="0097029B" w:rsidP="009F723B">
            <w:pPr>
              <w:spacing w:after="40"/>
              <w:jc w:val="center"/>
            </w:pPr>
            <w:r w:rsidRPr="00963756">
              <w:t>-$1,473,463</w:t>
            </w:r>
          </w:p>
        </w:tc>
        <w:tc>
          <w:tcPr>
            <w:tcW w:w="743" w:type="pct"/>
            <w:tcBorders>
              <w:bottom w:val="single" w:sz="4" w:space="0" w:color="auto"/>
            </w:tcBorders>
            <w:noWrap/>
            <w:vAlign w:val="center"/>
          </w:tcPr>
          <w:p w14:paraId="1DC54845" w14:textId="77777777" w:rsidR="0097029B" w:rsidRPr="00963756" w:rsidRDefault="0097029B" w:rsidP="009F723B">
            <w:pPr>
              <w:spacing w:after="40"/>
              <w:jc w:val="center"/>
            </w:pPr>
            <w:r w:rsidRPr="00963756">
              <w:t>-$1,905,553</w:t>
            </w:r>
          </w:p>
        </w:tc>
      </w:tr>
      <w:tr w:rsidR="0097029B" w:rsidRPr="00EC194D" w14:paraId="5DB75987" w14:textId="77777777" w:rsidTr="009F723B">
        <w:trPr>
          <w:cantSplit/>
          <w:trHeight w:val="70"/>
        </w:trPr>
        <w:tc>
          <w:tcPr>
            <w:tcW w:w="1475" w:type="pct"/>
            <w:tcBorders>
              <w:right w:val="nil"/>
            </w:tcBorders>
            <w:noWrap/>
            <w:vAlign w:val="center"/>
          </w:tcPr>
          <w:p w14:paraId="1FA76687" w14:textId="77777777" w:rsidR="0097029B" w:rsidRDefault="0097029B" w:rsidP="009F723B">
            <w:pPr>
              <w:pStyle w:val="Tabletext"/>
              <w:tabs>
                <w:tab w:val="left" w:pos="204"/>
              </w:tabs>
            </w:pPr>
            <w:r w:rsidRPr="00963756">
              <w:rPr>
                <w:rFonts w:cstheme="minorHAnsi"/>
              </w:rPr>
              <w:t>Single use: re-usable HSAT/PAT</w:t>
            </w:r>
          </w:p>
        </w:tc>
        <w:tc>
          <w:tcPr>
            <w:tcW w:w="543" w:type="pct"/>
            <w:tcBorders>
              <w:left w:val="nil"/>
              <w:right w:val="nil"/>
            </w:tcBorders>
            <w:noWrap/>
            <w:vAlign w:val="center"/>
          </w:tcPr>
          <w:p w14:paraId="74150BCD" w14:textId="77777777" w:rsidR="0097029B" w:rsidRPr="00963756" w:rsidRDefault="0097029B" w:rsidP="009F723B">
            <w:pPr>
              <w:spacing w:after="40"/>
            </w:pPr>
            <w:r w:rsidRPr="00963756">
              <w:rPr>
                <w:rFonts w:cstheme="minorHAnsi"/>
              </w:rPr>
              <w:t>(base case:</w:t>
            </w:r>
          </w:p>
        </w:tc>
        <w:tc>
          <w:tcPr>
            <w:tcW w:w="746" w:type="pct"/>
            <w:tcBorders>
              <w:left w:val="nil"/>
              <w:right w:val="nil"/>
            </w:tcBorders>
            <w:noWrap/>
            <w:vAlign w:val="center"/>
          </w:tcPr>
          <w:p w14:paraId="6672B19B" w14:textId="77777777" w:rsidR="0097029B" w:rsidRPr="00963756" w:rsidRDefault="0097029B" w:rsidP="009F723B">
            <w:pPr>
              <w:spacing w:after="40"/>
            </w:pPr>
            <w:r w:rsidRPr="00963756">
              <w:rPr>
                <w:rFonts w:cstheme="minorHAnsi"/>
              </w:rPr>
              <w:t>80:20)</w:t>
            </w:r>
          </w:p>
        </w:tc>
        <w:tc>
          <w:tcPr>
            <w:tcW w:w="696" w:type="pct"/>
            <w:tcBorders>
              <w:left w:val="nil"/>
              <w:right w:val="nil"/>
            </w:tcBorders>
            <w:noWrap/>
            <w:vAlign w:val="center"/>
          </w:tcPr>
          <w:p w14:paraId="59146425" w14:textId="77777777" w:rsidR="0097029B" w:rsidRPr="00963756" w:rsidRDefault="0097029B" w:rsidP="009F723B">
            <w:pPr>
              <w:spacing w:after="40"/>
              <w:jc w:val="center"/>
            </w:pPr>
          </w:p>
        </w:tc>
        <w:tc>
          <w:tcPr>
            <w:tcW w:w="797" w:type="pct"/>
            <w:tcBorders>
              <w:left w:val="nil"/>
              <w:right w:val="nil"/>
            </w:tcBorders>
            <w:noWrap/>
            <w:vAlign w:val="center"/>
          </w:tcPr>
          <w:p w14:paraId="7E52BB4D" w14:textId="77777777" w:rsidR="0097029B" w:rsidRPr="00963756" w:rsidRDefault="0097029B" w:rsidP="009F723B">
            <w:pPr>
              <w:spacing w:after="40"/>
              <w:jc w:val="center"/>
            </w:pPr>
          </w:p>
        </w:tc>
        <w:tc>
          <w:tcPr>
            <w:tcW w:w="743" w:type="pct"/>
            <w:tcBorders>
              <w:left w:val="nil"/>
            </w:tcBorders>
            <w:noWrap/>
            <w:vAlign w:val="center"/>
          </w:tcPr>
          <w:p w14:paraId="46E86D56" w14:textId="77777777" w:rsidR="0097029B" w:rsidRPr="00963756" w:rsidRDefault="0097029B" w:rsidP="009F723B">
            <w:pPr>
              <w:spacing w:after="40"/>
              <w:jc w:val="center"/>
            </w:pPr>
          </w:p>
        </w:tc>
      </w:tr>
      <w:tr w:rsidR="0097029B" w:rsidRPr="00EC194D" w14:paraId="7022347B" w14:textId="77777777" w:rsidTr="009F723B">
        <w:trPr>
          <w:cantSplit/>
          <w:trHeight w:val="70"/>
        </w:trPr>
        <w:tc>
          <w:tcPr>
            <w:tcW w:w="1475" w:type="pct"/>
            <w:noWrap/>
            <w:vAlign w:val="center"/>
          </w:tcPr>
          <w:p w14:paraId="5DF26F5A" w14:textId="77777777" w:rsidR="0097029B" w:rsidRDefault="0097029B" w:rsidP="009F723B">
            <w:pPr>
              <w:pStyle w:val="Tabletext"/>
              <w:tabs>
                <w:tab w:val="left" w:pos="204"/>
              </w:tabs>
            </w:pPr>
            <w:r>
              <w:tab/>
              <w:t>70:30</w:t>
            </w:r>
          </w:p>
        </w:tc>
        <w:tc>
          <w:tcPr>
            <w:tcW w:w="543" w:type="pct"/>
            <w:noWrap/>
            <w:vAlign w:val="center"/>
          </w:tcPr>
          <w:p w14:paraId="38A6AB55" w14:textId="77777777" w:rsidR="0097029B" w:rsidRPr="00963756" w:rsidRDefault="0097029B" w:rsidP="009F723B">
            <w:pPr>
              <w:spacing w:after="40"/>
              <w:jc w:val="center"/>
              <w:rPr>
                <w:rFonts w:cstheme="minorHAnsi"/>
              </w:rPr>
            </w:pPr>
            <w:r w:rsidRPr="00963756">
              <w:t>-$663,702</w:t>
            </w:r>
          </w:p>
        </w:tc>
        <w:tc>
          <w:tcPr>
            <w:tcW w:w="746" w:type="pct"/>
            <w:noWrap/>
            <w:vAlign w:val="center"/>
          </w:tcPr>
          <w:p w14:paraId="6D07BB56" w14:textId="77777777" w:rsidR="0097029B" w:rsidRPr="00963756" w:rsidRDefault="0097029B" w:rsidP="009F723B">
            <w:pPr>
              <w:spacing w:after="40"/>
              <w:jc w:val="center"/>
              <w:rPr>
                <w:rFonts w:cstheme="minorHAnsi"/>
              </w:rPr>
            </w:pPr>
            <w:r w:rsidRPr="00963756">
              <w:t>-$1,038,258</w:t>
            </w:r>
          </w:p>
        </w:tc>
        <w:tc>
          <w:tcPr>
            <w:tcW w:w="696" w:type="pct"/>
            <w:noWrap/>
            <w:vAlign w:val="center"/>
          </w:tcPr>
          <w:p w14:paraId="5CAABBD1" w14:textId="77777777" w:rsidR="0097029B" w:rsidRPr="00963756" w:rsidRDefault="0097029B" w:rsidP="009F723B">
            <w:pPr>
              <w:spacing w:after="40"/>
              <w:jc w:val="center"/>
              <w:rPr>
                <w:rFonts w:cstheme="minorHAnsi"/>
              </w:rPr>
            </w:pPr>
            <w:r w:rsidRPr="00963756">
              <w:t>-$1,445,383</w:t>
            </w:r>
          </w:p>
        </w:tc>
        <w:tc>
          <w:tcPr>
            <w:tcW w:w="797" w:type="pct"/>
            <w:noWrap/>
            <w:vAlign w:val="center"/>
          </w:tcPr>
          <w:p w14:paraId="1CF41838" w14:textId="77777777" w:rsidR="0097029B" w:rsidRPr="00963756" w:rsidRDefault="0097029B" w:rsidP="009F723B">
            <w:pPr>
              <w:spacing w:after="40"/>
              <w:jc w:val="center"/>
              <w:rPr>
                <w:rFonts w:cstheme="minorHAnsi"/>
              </w:rPr>
            </w:pPr>
            <w:r w:rsidRPr="00963756">
              <w:t>-$1,879,538</w:t>
            </w:r>
          </w:p>
        </w:tc>
        <w:tc>
          <w:tcPr>
            <w:tcW w:w="743" w:type="pct"/>
            <w:noWrap/>
            <w:vAlign w:val="center"/>
          </w:tcPr>
          <w:p w14:paraId="5B51E745" w14:textId="77777777" w:rsidR="0097029B" w:rsidRPr="00963756" w:rsidRDefault="0097029B" w:rsidP="009F723B">
            <w:pPr>
              <w:spacing w:after="40"/>
              <w:jc w:val="center"/>
              <w:rPr>
                <w:rFonts w:cstheme="minorHAnsi"/>
              </w:rPr>
            </w:pPr>
            <w:r w:rsidRPr="00963756">
              <w:t>-$2,342,274</w:t>
            </w:r>
          </w:p>
        </w:tc>
      </w:tr>
      <w:tr w:rsidR="0097029B" w:rsidRPr="00EC194D" w14:paraId="72DEDB44" w14:textId="77777777" w:rsidTr="009F723B">
        <w:trPr>
          <w:cantSplit/>
          <w:trHeight w:val="70"/>
        </w:trPr>
        <w:tc>
          <w:tcPr>
            <w:tcW w:w="1475" w:type="pct"/>
            <w:tcBorders>
              <w:bottom w:val="single" w:sz="4" w:space="0" w:color="auto"/>
            </w:tcBorders>
            <w:noWrap/>
            <w:vAlign w:val="center"/>
          </w:tcPr>
          <w:p w14:paraId="6B443A88" w14:textId="77777777" w:rsidR="0097029B" w:rsidRDefault="0097029B" w:rsidP="009F723B">
            <w:pPr>
              <w:pStyle w:val="Tabletext"/>
              <w:tabs>
                <w:tab w:val="left" w:pos="204"/>
              </w:tabs>
            </w:pPr>
            <w:r>
              <w:tab/>
              <w:t>90:10</w:t>
            </w:r>
          </w:p>
        </w:tc>
        <w:tc>
          <w:tcPr>
            <w:tcW w:w="543" w:type="pct"/>
            <w:tcBorders>
              <w:bottom w:val="single" w:sz="4" w:space="0" w:color="auto"/>
            </w:tcBorders>
            <w:noWrap/>
            <w:vAlign w:val="center"/>
          </w:tcPr>
          <w:p w14:paraId="33866A52" w14:textId="77777777" w:rsidR="0097029B" w:rsidRPr="00963756" w:rsidRDefault="0097029B" w:rsidP="009F723B">
            <w:pPr>
              <w:spacing w:after="40"/>
              <w:jc w:val="center"/>
              <w:rPr>
                <w:rFonts w:cstheme="minorHAnsi"/>
              </w:rPr>
            </w:pPr>
            <w:r w:rsidRPr="00963756">
              <w:t>-$612,646</w:t>
            </w:r>
          </w:p>
        </w:tc>
        <w:tc>
          <w:tcPr>
            <w:tcW w:w="746" w:type="pct"/>
            <w:tcBorders>
              <w:bottom w:val="single" w:sz="4" w:space="0" w:color="auto"/>
            </w:tcBorders>
            <w:noWrap/>
            <w:vAlign w:val="center"/>
          </w:tcPr>
          <w:p w14:paraId="46A98974" w14:textId="77777777" w:rsidR="0097029B" w:rsidRPr="00963756" w:rsidRDefault="0097029B" w:rsidP="009F723B">
            <w:pPr>
              <w:spacing w:after="40"/>
              <w:jc w:val="center"/>
              <w:rPr>
                <w:rFonts w:cstheme="minorHAnsi"/>
              </w:rPr>
            </w:pPr>
            <w:r w:rsidRPr="00963756">
              <w:t>-$958,392</w:t>
            </w:r>
          </w:p>
        </w:tc>
        <w:tc>
          <w:tcPr>
            <w:tcW w:w="696" w:type="pct"/>
            <w:tcBorders>
              <w:bottom w:val="single" w:sz="4" w:space="0" w:color="auto"/>
            </w:tcBorders>
            <w:noWrap/>
            <w:vAlign w:val="center"/>
          </w:tcPr>
          <w:p w14:paraId="710B13C9" w14:textId="77777777" w:rsidR="0097029B" w:rsidRPr="00963756" w:rsidRDefault="0097029B" w:rsidP="009F723B">
            <w:pPr>
              <w:spacing w:after="40"/>
              <w:jc w:val="center"/>
              <w:rPr>
                <w:rFonts w:cstheme="minorHAnsi"/>
              </w:rPr>
            </w:pPr>
            <w:r w:rsidRPr="00963756">
              <w:t>-$1,334,205</w:t>
            </w:r>
          </w:p>
        </w:tc>
        <w:tc>
          <w:tcPr>
            <w:tcW w:w="797" w:type="pct"/>
            <w:tcBorders>
              <w:bottom w:val="single" w:sz="4" w:space="0" w:color="auto"/>
            </w:tcBorders>
            <w:noWrap/>
            <w:vAlign w:val="center"/>
          </w:tcPr>
          <w:p w14:paraId="5102EE65" w14:textId="77777777" w:rsidR="0097029B" w:rsidRPr="00963756" w:rsidRDefault="0097029B" w:rsidP="009F723B">
            <w:pPr>
              <w:spacing w:after="40"/>
              <w:jc w:val="center"/>
              <w:rPr>
                <w:rFonts w:cstheme="minorHAnsi"/>
              </w:rPr>
            </w:pPr>
            <w:r w:rsidRPr="00963756">
              <w:t>-$1,734,967</w:t>
            </w:r>
          </w:p>
        </w:tc>
        <w:tc>
          <w:tcPr>
            <w:tcW w:w="743" w:type="pct"/>
            <w:tcBorders>
              <w:bottom w:val="single" w:sz="4" w:space="0" w:color="auto"/>
            </w:tcBorders>
            <w:noWrap/>
            <w:vAlign w:val="center"/>
          </w:tcPr>
          <w:p w14:paraId="78807394" w14:textId="77777777" w:rsidR="0097029B" w:rsidRPr="00963756" w:rsidRDefault="0097029B" w:rsidP="009F723B">
            <w:pPr>
              <w:spacing w:after="40"/>
              <w:jc w:val="center"/>
              <w:rPr>
                <w:rFonts w:cstheme="minorHAnsi"/>
              </w:rPr>
            </w:pPr>
            <w:r w:rsidRPr="00963756">
              <w:t>-$2,162,113</w:t>
            </w:r>
          </w:p>
        </w:tc>
      </w:tr>
      <w:tr w:rsidR="0097029B" w:rsidRPr="00EC194D" w14:paraId="04D10084" w14:textId="77777777" w:rsidTr="009F723B">
        <w:trPr>
          <w:cantSplit/>
          <w:trHeight w:val="70"/>
        </w:trPr>
        <w:tc>
          <w:tcPr>
            <w:tcW w:w="1475" w:type="pct"/>
            <w:tcBorders>
              <w:right w:val="nil"/>
            </w:tcBorders>
            <w:noWrap/>
            <w:vAlign w:val="center"/>
          </w:tcPr>
          <w:p w14:paraId="6A8EAC1F" w14:textId="77777777" w:rsidR="0097029B" w:rsidRDefault="0097029B" w:rsidP="009F723B">
            <w:pPr>
              <w:pStyle w:val="Tabletext"/>
              <w:tabs>
                <w:tab w:val="left" w:pos="204"/>
              </w:tabs>
            </w:pPr>
            <w:r w:rsidRPr="00963756">
              <w:rPr>
                <w:rFonts w:cstheme="minorHAnsi"/>
              </w:rPr>
              <w:t>Follow-up Level 1 PSG for HSAT</w:t>
            </w:r>
            <w:r>
              <w:rPr>
                <w:rFonts w:cstheme="minorHAnsi"/>
              </w:rPr>
              <w:t>/</w:t>
            </w:r>
          </w:p>
        </w:tc>
        <w:tc>
          <w:tcPr>
            <w:tcW w:w="543" w:type="pct"/>
            <w:tcBorders>
              <w:left w:val="nil"/>
              <w:right w:val="nil"/>
            </w:tcBorders>
            <w:noWrap/>
            <w:vAlign w:val="center"/>
          </w:tcPr>
          <w:p w14:paraId="7E6E1B2B" w14:textId="77777777" w:rsidR="0097029B" w:rsidRPr="00963756" w:rsidRDefault="0097029B" w:rsidP="009F723B">
            <w:pPr>
              <w:spacing w:after="40"/>
            </w:pPr>
            <w:r>
              <w:t>PAT (base</w:t>
            </w:r>
          </w:p>
        </w:tc>
        <w:tc>
          <w:tcPr>
            <w:tcW w:w="746" w:type="pct"/>
            <w:tcBorders>
              <w:left w:val="nil"/>
              <w:right w:val="nil"/>
            </w:tcBorders>
            <w:noWrap/>
            <w:vAlign w:val="center"/>
          </w:tcPr>
          <w:p w14:paraId="61152EC4" w14:textId="77777777" w:rsidR="0097029B" w:rsidRPr="00963756" w:rsidRDefault="0097029B" w:rsidP="009F723B">
            <w:pPr>
              <w:spacing w:after="40"/>
            </w:pPr>
            <w:r w:rsidRPr="00963756">
              <w:rPr>
                <w:rFonts w:cstheme="minorHAnsi"/>
              </w:rPr>
              <w:t>case: 5%)</w:t>
            </w:r>
          </w:p>
        </w:tc>
        <w:tc>
          <w:tcPr>
            <w:tcW w:w="696" w:type="pct"/>
            <w:tcBorders>
              <w:left w:val="nil"/>
              <w:right w:val="nil"/>
            </w:tcBorders>
            <w:noWrap/>
            <w:vAlign w:val="center"/>
          </w:tcPr>
          <w:p w14:paraId="04AFEFA5" w14:textId="77777777" w:rsidR="0097029B" w:rsidRPr="00963756" w:rsidRDefault="0097029B" w:rsidP="009F723B">
            <w:pPr>
              <w:spacing w:after="40"/>
              <w:jc w:val="center"/>
            </w:pPr>
          </w:p>
        </w:tc>
        <w:tc>
          <w:tcPr>
            <w:tcW w:w="797" w:type="pct"/>
            <w:tcBorders>
              <w:left w:val="nil"/>
              <w:right w:val="nil"/>
            </w:tcBorders>
            <w:noWrap/>
            <w:vAlign w:val="center"/>
          </w:tcPr>
          <w:p w14:paraId="6C8949A2" w14:textId="77777777" w:rsidR="0097029B" w:rsidRPr="00963756" w:rsidRDefault="0097029B" w:rsidP="009F723B">
            <w:pPr>
              <w:spacing w:after="40"/>
              <w:jc w:val="center"/>
            </w:pPr>
          </w:p>
        </w:tc>
        <w:tc>
          <w:tcPr>
            <w:tcW w:w="743" w:type="pct"/>
            <w:tcBorders>
              <w:left w:val="nil"/>
            </w:tcBorders>
            <w:noWrap/>
            <w:vAlign w:val="center"/>
          </w:tcPr>
          <w:p w14:paraId="69DAAAA2" w14:textId="77777777" w:rsidR="0097029B" w:rsidRPr="00963756" w:rsidRDefault="0097029B" w:rsidP="009F723B">
            <w:pPr>
              <w:spacing w:after="40"/>
              <w:jc w:val="center"/>
            </w:pPr>
          </w:p>
        </w:tc>
      </w:tr>
      <w:tr w:rsidR="0097029B" w:rsidRPr="00EC194D" w14:paraId="18E63C53" w14:textId="77777777" w:rsidTr="009F723B">
        <w:trPr>
          <w:cantSplit/>
          <w:trHeight w:val="70"/>
        </w:trPr>
        <w:tc>
          <w:tcPr>
            <w:tcW w:w="1475" w:type="pct"/>
            <w:noWrap/>
            <w:vAlign w:val="center"/>
          </w:tcPr>
          <w:p w14:paraId="610D7E80" w14:textId="77777777" w:rsidR="0097029B" w:rsidRDefault="0097029B" w:rsidP="009F723B">
            <w:pPr>
              <w:pStyle w:val="Tabletext"/>
              <w:tabs>
                <w:tab w:val="left" w:pos="204"/>
              </w:tabs>
            </w:pPr>
            <w:r>
              <w:tab/>
              <w:t>3%</w:t>
            </w:r>
          </w:p>
        </w:tc>
        <w:tc>
          <w:tcPr>
            <w:tcW w:w="543" w:type="pct"/>
            <w:noWrap/>
            <w:vAlign w:val="center"/>
          </w:tcPr>
          <w:p w14:paraId="5DBAD754" w14:textId="77777777" w:rsidR="0097029B" w:rsidRPr="00963756" w:rsidRDefault="0097029B" w:rsidP="009F723B">
            <w:pPr>
              <w:spacing w:after="40"/>
              <w:jc w:val="center"/>
              <w:rPr>
                <w:rFonts w:cstheme="minorHAnsi"/>
              </w:rPr>
            </w:pPr>
            <w:r w:rsidRPr="00963756">
              <w:t>-$1,025,562</w:t>
            </w:r>
          </w:p>
        </w:tc>
        <w:tc>
          <w:tcPr>
            <w:tcW w:w="746" w:type="pct"/>
            <w:noWrap/>
            <w:vAlign w:val="center"/>
          </w:tcPr>
          <w:p w14:paraId="63E3A1C2" w14:textId="77777777" w:rsidR="0097029B" w:rsidRPr="00963756" w:rsidRDefault="0097029B" w:rsidP="009F723B">
            <w:pPr>
              <w:spacing w:after="40"/>
              <w:jc w:val="center"/>
              <w:rPr>
                <w:rFonts w:cstheme="minorHAnsi"/>
              </w:rPr>
            </w:pPr>
            <w:r w:rsidRPr="00963756">
              <w:t>-$1,604,312</w:t>
            </w:r>
          </w:p>
        </w:tc>
        <w:tc>
          <w:tcPr>
            <w:tcW w:w="696" w:type="pct"/>
            <w:noWrap/>
            <w:vAlign w:val="center"/>
          </w:tcPr>
          <w:p w14:paraId="2EC16D10" w14:textId="77777777" w:rsidR="0097029B" w:rsidRPr="00963756" w:rsidRDefault="0097029B" w:rsidP="009F723B">
            <w:pPr>
              <w:spacing w:after="40"/>
              <w:jc w:val="center"/>
              <w:rPr>
                <w:rFonts w:cstheme="minorHAnsi"/>
              </w:rPr>
            </w:pPr>
            <w:r w:rsidRPr="00963756">
              <w:t>-$2,233,358</w:t>
            </w:r>
          </w:p>
        </w:tc>
        <w:tc>
          <w:tcPr>
            <w:tcW w:w="797" w:type="pct"/>
            <w:noWrap/>
            <w:vAlign w:val="center"/>
          </w:tcPr>
          <w:p w14:paraId="4D81D3A1" w14:textId="77777777" w:rsidR="0097029B" w:rsidRPr="00963756" w:rsidRDefault="0097029B" w:rsidP="009F723B">
            <w:pPr>
              <w:spacing w:after="40"/>
              <w:jc w:val="center"/>
              <w:rPr>
                <w:rFonts w:cstheme="minorHAnsi"/>
              </w:rPr>
            </w:pPr>
            <w:r w:rsidRPr="00963756">
              <w:t>-$2,904,188</w:t>
            </w:r>
          </w:p>
        </w:tc>
        <w:tc>
          <w:tcPr>
            <w:tcW w:w="743" w:type="pct"/>
            <w:noWrap/>
            <w:vAlign w:val="center"/>
          </w:tcPr>
          <w:p w14:paraId="08A0B902" w14:textId="77777777" w:rsidR="0097029B" w:rsidRPr="00963756" w:rsidRDefault="0097029B" w:rsidP="009F723B">
            <w:pPr>
              <w:spacing w:after="40"/>
              <w:jc w:val="center"/>
              <w:rPr>
                <w:rFonts w:cstheme="minorHAnsi"/>
              </w:rPr>
            </w:pPr>
            <w:r w:rsidRPr="00963756">
              <w:t>-$3,619,162</w:t>
            </w:r>
          </w:p>
        </w:tc>
      </w:tr>
      <w:tr w:rsidR="0097029B" w:rsidRPr="00EC194D" w14:paraId="3B5B1292" w14:textId="77777777" w:rsidTr="009F723B">
        <w:trPr>
          <w:cantSplit/>
          <w:trHeight w:val="70"/>
        </w:trPr>
        <w:tc>
          <w:tcPr>
            <w:tcW w:w="1475" w:type="pct"/>
            <w:noWrap/>
            <w:vAlign w:val="center"/>
          </w:tcPr>
          <w:p w14:paraId="53A4F147" w14:textId="77777777" w:rsidR="0097029B" w:rsidRDefault="0097029B" w:rsidP="009F723B">
            <w:pPr>
              <w:pStyle w:val="Tabletext"/>
              <w:tabs>
                <w:tab w:val="left" w:pos="204"/>
              </w:tabs>
            </w:pPr>
            <w:r>
              <w:tab/>
              <w:t>7%</w:t>
            </w:r>
          </w:p>
        </w:tc>
        <w:tc>
          <w:tcPr>
            <w:tcW w:w="543" w:type="pct"/>
            <w:noWrap/>
            <w:vAlign w:val="center"/>
          </w:tcPr>
          <w:p w14:paraId="79C90250" w14:textId="77777777" w:rsidR="0097029B" w:rsidRPr="00963756" w:rsidRDefault="0097029B" w:rsidP="009F723B">
            <w:pPr>
              <w:spacing w:after="40"/>
              <w:jc w:val="center"/>
              <w:rPr>
                <w:rFonts w:cstheme="minorHAnsi"/>
              </w:rPr>
            </w:pPr>
            <w:r w:rsidRPr="00963756">
              <w:t>-$250,787</w:t>
            </w:r>
          </w:p>
        </w:tc>
        <w:tc>
          <w:tcPr>
            <w:tcW w:w="746" w:type="pct"/>
            <w:noWrap/>
            <w:vAlign w:val="center"/>
          </w:tcPr>
          <w:p w14:paraId="2F6AA8E1" w14:textId="77777777" w:rsidR="0097029B" w:rsidRPr="00963756" w:rsidRDefault="0097029B" w:rsidP="009F723B">
            <w:pPr>
              <w:spacing w:after="40"/>
              <w:jc w:val="center"/>
              <w:rPr>
                <w:rFonts w:cstheme="minorHAnsi"/>
              </w:rPr>
            </w:pPr>
            <w:r w:rsidRPr="00963756">
              <w:t>-$392,337</w:t>
            </w:r>
          </w:p>
        </w:tc>
        <w:tc>
          <w:tcPr>
            <w:tcW w:w="696" w:type="pct"/>
            <w:noWrap/>
            <w:vAlign w:val="center"/>
          </w:tcPr>
          <w:p w14:paraId="29DD9648" w14:textId="77777777" w:rsidR="0097029B" w:rsidRPr="00963756" w:rsidRDefault="0097029B" w:rsidP="009F723B">
            <w:pPr>
              <w:spacing w:after="40"/>
              <w:jc w:val="center"/>
              <w:rPr>
                <w:rFonts w:cstheme="minorHAnsi"/>
              </w:rPr>
            </w:pPr>
            <w:r w:rsidRPr="00963756">
              <w:t>-$546,231</w:t>
            </w:r>
          </w:p>
        </w:tc>
        <w:tc>
          <w:tcPr>
            <w:tcW w:w="797" w:type="pct"/>
            <w:noWrap/>
            <w:vAlign w:val="center"/>
          </w:tcPr>
          <w:p w14:paraId="34DB1A21" w14:textId="77777777" w:rsidR="0097029B" w:rsidRPr="00963756" w:rsidRDefault="0097029B" w:rsidP="009F723B">
            <w:pPr>
              <w:spacing w:after="40"/>
              <w:jc w:val="center"/>
              <w:rPr>
                <w:rFonts w:cstheme="minorHAnsi"/>
              </w:rPr>
            </w:pPr>
            <w:r w:rsidRPr="00963756">
              <w:t>-$710,316</w:t>
            </w:r>
          </w:p>
        </w:tc>
        <w:tc>
          <w:tcPr>
            <w:tcW w:w="743" w:type="pct"/>
            <w:noWrap/>
            <w:vAlign w:val="center"/>
          </w:tcPr>
          <w:p w14:paraId="548632E3" w14:textId="77777777" w:rsidR="0097029B" w:rsidRPr="00963756" w:rsidRDefault="0097029B" w:rsidP="009F723B">
            <w:pPr>
              <w:spacing w:after="40"/>
              <w:jc w:val="center"/>
              <w:rPr>
                <w:rFonts w:cstheme="minorHAnsi"/>
              </w:rPr>
            </w:pPr>
            <w:r w:rsidRPr="00963756">
              <w:t>-$885,225</w:t>
            </w:r>
          </w:p>
        </w:tc>
      </w:tr>
      <w:tr w:rsidR="0097029B" w:rsidRPr="00E47F9D" w14:paraId="205B7846" w14:textId="77777777" w:rsidTr="009F723B">
        <w:trPr>
          <w:cantSplit/>
          <w:trHeight w:val="70"/>
        </w:trPr>
        <w:tc>
          <w:tcPr>
            <w:tcW w:w="1475" w:type="pct"/>
            <w:tcBorders>
              <w:bottom w:val="single" w:sz="4" w:space="0" w:color="auto"/>
            </w:tcBorders>
            <w:noWrap/>
            <w:vAlign w:val="center"/>
          </w:tcPr>
          <w:p w14:paraId="2FE4384B" w14:textId="77777777" w:rsidR="0097029B" w:rsidRPr="00E47F9D" w:rsidRDefault="0097029B" w:rsidP="009F723B">
            <w:pPr>
              <w:pStyle w:val="Tabletext"/>
              <w:tabs>
                <w:tab w:val="left" w:pos="204"/>
              </w:tabs>
              <w:rPr>
                <w:i/>
                <w:iCs/>
              </w:rPr>
            </w:pPr>
            <w:r w:rsidRPr="00E47F9D">
              <w:rPr>
                <w:i/>
                <w:iCs/>
              </w:rPr>
              <w:tab/>
              <w:t>10%</w:t>
            </w:r>
          </w:p>
        </w:tc>
        <w:tc>
          <w:tcPr>
            <w:tcW w:w="543" w:type="pct"/>
            <w:tcBorders>
              <w:bottom w:val="single" w:sz="4" w:space="0" w:color="auto"/>
            </w:tcBorders>
            <w:noWrap/>
            <w:vAlign w:val="center"/>
          </w:tcPr>
          <w:p w14:paraId="61505323" w14:textId="77777777" w:rsidR="0097029B" w:rsidRPr="007D00DB" w:rsidRDefault="0097029B" w:rsidP="009F723B">
            <w:pPr>
              <w:spacing w:after="40"/>
              <w:jc w:val="center"/>
              <w:rPr>
                <w:i/>
                <w:iCs/>
              </w:rPr>
            </w:pPr>
            <w:r w:rsidRPr="007D00DB">
              <w:rPr>
                <w:rFonts w:cs="Calibri"/>
                <w:i/>
                <w:iCs/>
              </w:rPr>
              <w:t>$330,295</w:t>
            </w:r>
          </w:p>
        </w:tc>
        <w:tc>
          <w:tcPr>
            <w:tcW w:w="746" w:type="pct"/>
            <w:tcBorders>
              <w:bottom w:val="single" w:sz="4" w:space="0" w:color="auto"/>
            </w:tcBorders>
            <w:noWrap/>
            <w:vAlign w:val="center"/>
          </w:tcPr>
          <w:p w14:paraId="619240E7" w14:textId="77777777" w:rsidR="0097029B" w:rsidRPr="007D00DB" w:rsidRDefault="0097029B" w:rsidP="009F723B">
            <w:pPr>
              <w:spacing w:after="40"/>
              <w:jc w:val="center"/>
              <w:rPr>
                <w:i/>
                <w:iCs/>
              </w:rPr>
            </w:pPr>
            <w:r w:rsidRPr="007D00DB">
              <w:rPr>
                <w:rFonts w:cs="Calibri"/>
                <w:i/>
                <w:iCs/>
              </w:rPr>
              <w:t>$516,644</w:t>
            </w:r>
          </w:p>
        </w:tc>
        <w:tc>
          <w:tcPr>
            <w:tcW w:w="696" w:type="pct"/>
            <w:tcBorders>
              <w:bottom w:val="single" w:sz="4" w:space="0" w:color="auto"/>
            </w:tcBorders>
            <w:noWrap/>
            <w:vAlign w:val="center"/>
          </w:tcPr>
          <w:p w14:paraId="42D0B9EE" w14:textId="77777777" w:rsidR="0097029B" w:rsidRPr="007D00DB" w:rsidRDefault="0097029B" w:rsidP="009F723B">
            <w:pPr>
              <w:spacing w:after="40"/>
              <w:jc w:val="center"/>
              <w:rPr>
                <w:i/>
                <w:iCs/>
              </w:rPr>
            </w:pPr>
            <w:r w:rsidRPr="007D00DB">
              <w:rPr>
                <w:rFonts w:cs="Calibri"/>
                <w:i/>
                <w:iCs/>
              </w:rPr>
              <w:t>$719,115</w:t>
            </w:r>
          </w:p>
        </w:tc>
        <w:tc>
          <w:tcPr>
            <w:tcW w:w="797" w:type="pct"/>
            <w:tcBorders>
              <w:bottom w:val="single" w:sz="4" w:space="0" w:color="auto"/>
            </w:tcBorders>
            <w:noWrap/>
            <w:vAlign w:val="center"/>
          </w:tcPr>
          <w:p w14:paraId="5C79BB66" w14:textId="77777777" w:rsidR="0097029B" w:rsidRPr="007D00DB" w:rsidRDefault="0097029B" w:rsidP="009F723B">
            <w:pPr>
              <w:spacing w:after="40"/>
              <w:jc w:val="center"/>
              <w:rPr>
                <w:i/>
                <w:iCs/>
              </w:rPr>
            </w:pPr>
            <w:r w:rsidRPr="007D00DB">
              <w:rPr>
                <w:rFonts w:cs="Calibri"/>
                <w:i/>
                <w:iCs/>
              </w:rPr>
              <w:t>$935,088</w:t>
            </w:r>
          </w:p>
        </w:tc>
        <w:tc>
          <w:tcPr>
            <w:tcW w:w="743" w:type="pct"/>
            <w:tcBorders>
              <w:bottom w:val="single" w:sz="4" w:space="0" w:color="auto"/>
            </w:tcBorders>
            <w:noWrap/>
            <w:vAlign w:val="center"/>
          </w:tcPr>
          <w:p w14:paraId="45170D06" w14:textId="77777777" w:rsidR="0097029B" w:rsidRPr="007D00DB" w:rsidRDefault="0097029B" w:rsidP="009F723B">
            <w:pPr>
              <w:spacing w:after="40"/>
              <w:jc w:val="center"/>
              <w:rPr>
                <w:i/>
                <w:iCs/>
              </w:rPr>
            </w:pPr>
            <w:r w:rsidRPr="007D00DB">
              <w:rPr>
                <w:rFonts w:cs="Calibri"/>
                <w:i/>
                <w:iCs/>
              </w:rPr>
              <w:t>$1,165,229</w:t>
            </w:r>
          </w:p>
        </w:tc>
      </w:tr>
      <w:tr w:rsidR="0097029B" w:rsidRPr="00E47F9D" w14:paraId="234DBBF5" w14:textId="77777777" w:rsidTr="009F723B">
        <w:trPr>
          <w:cantSplit/>
          <w:trHeight w:val="70"/>
        </w:trPr>
        <w:tc>
          <w:tcPr>
            <w:tcW w:w="1475" w:type="pct"/>
            <w:tcBorders>
              <w:right w:val="nil"/>
            </w:tcBorders>
            <w:vAlign w:val="center"/>
          </w:tcPr>
          <w:p w14:paraId="7021C7C7" w14:textId="77777777" w:rsidR="0097029B" w:rsidRPr="008C1BE5" w:rsidRDefault="0097029B" w:rsidP="009F723B">
            <w:pPr>
              <w:pStyle w:val="Tabletext"/>
              <w:tabs>
                <w:tab w:val="left" w:pos="204"/>
              </w:tabs>
              <w:rPr>
                <w:i/>
                <w:iCs/>
              </w:rPr>
            </w:pPr>
            <w:r w:rsidRPr="008C1BE5">
              <w:rPr>
                <w:i/>
                <w:iCs/>
              </w:rPr>
              <w:t>Level 1 PSG 75% rebate</w:t>
            </w:r>
          </w:p>
        </w:tc>
        <w:tc>
          <w:tcPr>
            <w:tcW w:w="543" w:type="pct"/>
            <w:tcBorders>
              <w:left w:val="nil"/>
              <w:right w:val="nil"/>
            </w:tcBorders>
            <w:noWrap/>
            <w:vAlign w:val="center"/>
          </w:tcPr>
          <w:p w14:paraId="5AFA1FE4" w14:textId="77777777" w:rsidR="0097029B" w:rsidRPr="008C1BE5" w:rsidRDefault="0097029B" w:rsidP="009F723B">
            <w:pPr>
              <w:spacing w:after="40"/>
              <w:jc w:val="center"/>
              <w:rPr>
                <w:rFonts w:cs="Calibri"/>
                <w:i/>
                <w:iCs/>
              </w:rPr>
            </w:pPr>
          </w:p>
        </w:tc>
        <w:tc>
          <w:tcPr>
            <w:tcW w:w="746" w:type="pct"/>
            <w:tcBorders>
              <w:left w:val="nil"/>
              <w:right w:val="nil"/>
            </w:tcBorders>
            <w:noWrap/>
            <w:vAlign w:val="center"/>
          </w:tcPr>
          <w:p w14:paraId="48A65EBF" w14:textId="77777777" w:rsidR="0097029B" w:rsidRPr="008C1BE5" w:rsidRDefault="0097029B" w:rsidP="009F723B">
            <w:pPr>
              <w:spacing w:after="40"/>
              <w:jc w:val="center"/>
              <w:rPr>
                <w:rFonts w:cs="Calibri"/>
                <w:i/>
                <w:iCs/>
              </w:rPr>
            </w:pPr>
          </w:p>
        </w:tc>
        <w:tc>
          <w:tcPr>
            <w:tcW w:w="696" w:type="pct"/>
            <w:tcBorders>
              <w:left w:val="nil"/>
              <w:right w:val="nil"/>
            </w:tcBorders>
            <w:noWrap/>
            <w:vAlign w:val="center"/>
          </w:tcPr>
          <w:p w14:paraId="318D94F6" w14:textId="77777777" w:rsidR="0097029B" w:rsidRPr="008C1BE5" w:rsidRDefault="0097029B" w:rsidP="009F723B">
            <w:pPr>
              <w:spacing w:after="40"/>
              <w:jc w:val="center"/>
              <w:rPr>
                <w:rFonts w:cs="Calibri"/>
                <w:i/>
                <w:iCs/>
              </w:rPr>
            </w:pPr>
          </w:p>
        </w:tc>
        <w:tc>
          <w:tcPr>
            <w:tcW w:w="797" w:type="pct"/>
            <w:tcBorders>
              <w:left w:val="nil"/>
              <w:right w:val="nil"/>
            </w:tcBorders>
            <w:noWrap/>
            <w:vAlign w:val="center"/>
          </w:tcPr>
          <w:p w14:paraId="1F987776" w14:textId="77777777" w:rsidR="0097029B" w:rsidRPr="008C1BE5" w:rsidRDefault="0097029B" w:rsidP="009F723B">
            <w:pPr>
              <w:spacing w:after="40"/>
              <w:jc w:val="center"/>
              <w:rPr>
                <w:rFonts w:cs="Calibri"/>
                <w:i/>
                <w:iCs/>
              </w:rPr>
            </w:pPr>
          </w:p>
        </w:tc>
        <w:tc>
          <w:tcPr>
            <w:tcW w:w="743" w:type="pct"/>
            <w:tcBorders>
              <w:left w:val="nil"/>
            </w:tcBorders>
            <w:noWrap/>
            <w:vAlign w:val="center"/>
          </w:tcPr>
          <w:p w14:paraId="372BB865" w14:textId="77777777" w:rsidR="0097029B" w:rsidRPr="008C1BE5" w:rsidRDefault="0097029B" w:rsidP="009F723B">
            <w:pPr>
              <w:spacing w:after="40"/>
              <w:jc w:val="center"/>
              <w:rPr>
                <w:rFonts w:cs="Calibri"/>
                <w:i/>
                <w:iCs/>
              </w:rPr>
            </w:pPr>
          </w:p>
        </w:tc>
      </w:tr>
      <w:tr w:rsidR="0097029B" w:rsidRPr="00E47F9D" w14:paraId="2DC02D5B" w14:textId="77777777" w:rsidTr="009F723B">
        <w:trPr>
          <w:cantSplit/>
          <w:trHeight w:val="70"/>
        </w:trPr>
        <w:tc>
          <w:tcPr>
            <w:tcW w:w="1475" w:type="pct"/>
            <w:vAlign w:val="center"/>
          </w:tcPr>
          <w:p w14:paraId="7830617E" w14:textId="77777777" w:rsidR="0097029B" w:rsidRPr="008C1BE5" w:rsidRDefault="0097029B" w:rsidP="009F723B">
            <w:pPr>
              <w:pStyle w:val="Tabletext"/>
              <w:tabs>
                <w:tab w:val="left" w:pos="204"/>
              </w:tabs>
              <w:rPr>
                <w:i/>
                <w:iCs/>
              </w:rPr>
            </w:pPr>
            <w:r w:rsidRPr="008C1BE5">
              <w:rPr>
                <w:i/>
                <w:iCs/>
              </w:rPr>
              <w:tab/>
              <w:t>50%</w:t>
            </w:r>
            <w:r>
              <w:rPr>
                <w:i/>
                <w:iCs/>
                <w:vertAlign w:val="superscript"/>
              </w:rPr>
              <w:t>a</w:t>
            </w:r>
            <w:r w:rsidRPr="008C1BE5">
              <w:rPr>
                <w:i/>
                <w:iCs/>
              </w:rPr>
              <w:t xml:space="preserve"> of Level 1 PSG at 75% </w:t>
            </w:r>
            <w:r w:rsidRPr="008C1BE5">
              <w:rPr>
                <w:i/>
                <w:iCs/>
              </w:rPr>
              <w:tab/>
              <w:t>rebate and 50% at 85% rebate</w:t>
            </w:r>
          </w:p>
        </w:tc>
        <w:tc>
          <w:tcPr>
            <w:tcW w:w="543" w:type="pct"/>
            <w:noWrap/>
            <w:vAlign w:val="center"/>
          </w:tcPr>
          <w:p w14:paraId="73192784" w14:textId="77777777" w:rsidR="0097029B" w:rsidRPr="008C1BE5" w:rsidRDefault="0097029B" w:rsidP="009F723B">
            <w:pPr>
              <w:spacing w:after="40"/>
              <w:jc w:val="center"/>
              <w:rPr>
                <w:rFonts w:cs="Calibri"/>
                <w:i/>
                <w:iCs/>
              </w:rPr>
            </w:pPr>
            <w:r w:rsidRPr="008C1BE5">
              <w:rPr>
                <w:rFonts w:cs="Calibri"/>
                <w:i/>
                <w:iCs/>
              </w:rPr>
              <w:t>$966,675</w:t>
            </w:r>
          </w:p>
        </w:tc>
        <w:tc>
          <w:tcPr>
            <w:tcW w:w="746" w:type="pct"/>
            <w:noWrap/>
            <w:vAlign w:val="center"/>
          </w:tcPr>
          <w:p w14:paraId="270DDFD3" w14:textId="77777777" w:rsidR="0097029B" w:rsidRPr="008C1BE5" w:rsidRDefault="0097029B" w:rsidP="009F723B">
            <w:pPr>
              <w:spacing w:after="40"/>
              <w:jc w:val="center"/>
              <w:rPr>
                <w:rFonts w:cs="Calibri"/>
                <w:i/>
                <w:iCs/>
              </w:rPr>
            </w:pPr>
            <w:r w:rsidRPr="008C1BE5">
              <w:rPr>
                <w:rFonts w:cs="Calibri"/>
                <w:i/>
                <w:iCs/>
              </w:rPr>
              <w:t>$668,182</w:t>
            </w:r>
          </w:p>
        </w:tc>
        <w:tc>
          <w:tcPr>
            <w:tcW w:w="696" w:type="pct"/>
            <w:noWrap/>
            <w:vAlign w:val="center"/>
          </w:tcPr>
          <w:p w14:paraId="5A5078A5" w14:textId="77777777" w:rsidR="0097029B" w:rsidRPr="008C1BE5" w:rsidRDefault="0097029B" w:rsidP="009F723B">
            <w:pPr>
              <w:spacing w:after="40"/>
              <w:jc w:val="center"/>
              <w:rPr>
                <w:rFonts w:cs="Calibri"/>
                <w:i/>
                <w:iCs/>
              </w:rPr>
            </w:pPr>
            <w:r w:rsidRPr="008C1BE5">
              <w:rPr>
                <w:rFonts w:cs="Calibri"/>
                <w:i/>
                <w:iCs/>
              </w:rPr>
              <w:t>$342,693</w:t>
            </w:r>
          </w:p>
        </w:tc>
        <w:tc>
          <w:tcPr>
            <w:tcW w:w="797" w:type="pct"/>
            <w:noWrap/>
            <w:vAlign w:val="center"/>
          </w:tcPr>
          <w:p w14:paraId="5C31275C" w14:textId="77777777" w:rsidR="0097029B" w:rsidRPr="008C1BE5" w:rsidRDefault="0097029B" w:rsidP="009F723B">
            <w:pPr>
              <w:spacing w:after="40"/>
              <w:jc w:val="center"/>
              <w:rPr>
                <w:rFonts w:cs="Calibri"/>
                <w:i/>
                <w:iCs/>
              </w:rPr>
            </w:pPr>
            <w:r w:rsidRPr="008C1BE5">
              <w:rPr>
                <w:rFonts w:cs="Calibri"/>
                <w:i/>
                <w:iCs/>
              </w:rPr>
              <w:t>-$12,751</w:t>
            </w:r>
          </w:p>
        </w:tc>
        <w:tc>
          <w:tcPr>
            <w:tcW w:w="743" w:type="pct"/>
            <w:noWrap/>
            <w:vAlign w:val="center"/>
          </w:tcPr>
          <w:p w14:paraId="64BFD0F5" w14:textId="77777777" w:rsidR="0097029B" w:rsidRPr="008C1BE5" w:rsidRDefault="0097029B" w:rsidP="009F723B">
            <w:pPr>
              <w:spacing w:after="40"/>
              <w:jc w:val="center"/>
              <w:rPr>
                <w:rFonts w:cs="Calibri"/>
                <w:i/>
                <w:iCs/>
              </w:rPr>
            </w:pPr>
            <w:r w:rsidRPr="008C1BE5">
              <w:rPr>
                <w:rFonts w:cs="Calibri"/>
                <w:i/>
                <w:iCs/>
              </w:rPr>
              <w:t>-$396,712</w:t>
            </w:r>
          </w:p>
        </w:tc>
      </w:tr>
    </w:tbl>
    <w:p w14:paraId="4098DA8B" w14:textId="1648D777" w:rsidR="0097029B" w:rsidRPr="006D0F12" w:rsidRDefault="0097029B" w:rsidP="0097029B">
      <w:pPr>
        <w:rPr>
          <w:rFonts w:ascii="Arial Narrow" w:hAnsi="Arial Narrow"/>
          <w:sz w:val="18"/>
          <w:szCs w:val="18"/>
        </w:rPr>
      </w:pPr>
      <w:r w:rsidRPr="006D0F12">
        <w:rPr>
          <w:rFonts w:ascii="Arial Narrow" w:hAnsi="Arial Narrow"/>
          <w:sz w:val="18"/>
          <w:szCs w:val="18"/>
        </w:rPr>
        <w:t xml:space="preserve">Source: </w:t>
      </w:r>
      <w:r w:rsidR="00D05118">
        <w:rPr>
          <w:rFonts w:ascii="Arial Narrow" w:hAnsi="Arial Narrow"/>
          <w:sz w:val="18"/>
          <w:szCs w:val="18"/>
        </w:rPr>
        <w:t xml:space="preserve">Table 38, p 94 of the Commentary, compiled based on </w:t>
      </w:r>
      <w:r>
        <w:rPr>
          <w:rFonts w:ascii="Arial Narrow" w:hAnsi="Arial Narrow"/>
          <w:sz w:val="18"/>
          <w:szCs w:val="18"/>
        </w:rPr>
        <w:t xml:space="preserve">Table 26, p110-11 </w:t>
      </w:r>
      <w:r w:rsidRPr="006D0F12">
        <w:rPr>
          <w:rFonts w:ascii="Arial Narrow" w:hAnsi="Arial Narrow"/>
          <w:sz w:val="18"/>
          <w:szCs w:val="18"/>
        </w:rPr>
        <w:t>of the ADAR</w:t>
      </w:r>
      <w:r w:rsidR="00D05118">
        <w:rPr>
          <w:rFonts w:ascii="Arial Narrow" w:hAnsi="Arial Narrow"/>
          <w:sz w:val="18"/>
          <w:szCs w:val="18"/>
        </w:rPr>
        <w:t xml:space="preserve"> with Commentary in italics </w:t>
      </w:r>
    </w:p>
    <w:p w14:paraId="4304E235" w14:textId="02EB4A3B" w:rsidR="0097029B" w:rsidRDefault="0097029B" w:rsidP="0097029B">
      <w:pPr>
        <w:rPr>
          <w:rStyle w:val="TablenotesChar"/>
        </w:rPr>
      </w:pPr>
      <w:r>
        <w:rPr>
          <w:rStyle w:val="TablenotesChar"/>
        </w:rPr>
        <w:t>Abbreviation: HSAT=home sleep apnoea test; PAT=peripheral arterial tone; PSG=polysomnography</w:t>
      </w:r>
    </w:p>
    <w:p w14:paraId="2D66F1AF" w14:textId="178B6B6A" w:rsidR="0097029B" w:rsidRDefault="0097029B" w:rsidP="0097029B">
      <w:pPr>
        <w:tabs>
          <w:tab w:val="left" w:pos="142"/>
        </w:tabs>
        <w:rPr>
          <w:rFonts w:ascii="Arial Narrow" w:hAnsi="Arial Narrow"/>
          <w:sz w:val="18"/>
          <w:szCs w:val="18"/>
        </w:rPr>
      </w:pPr>
      <w:r>
        <w:rPr>
          <w:rStyle w:val="TablenotesChar"/>
          <w:vertAlign w:val="superscript"/>
        </w:rPr>
        <w:t>a</w:t>
      </w:r>
      <w:r>
        <w:rPr>
          <w:rStyle w:val="TablenotesChar"/>
          <w:vertAlign w:val="superscript"/>
        </w:rPr>
        <w:tab/>
      </w:r>
      <w:r w:rsidRPr="00C1519F">
        <w:rPr>
          <w:rFonts w:ascii="Arial Narrow" w:hAnsi="Arial Narrow"/>
          <w:sz w:val="18"/>
          <w:szCs w:val="18"/>
        </w:rPr>
        <w:t>50% refers to the number of Level 1 PSGs.</w:t>
      </w:r>
    </w:p>
    <w:p w14:paraId="0A669BDA" w14:textId="11F52877" w:rsidR="00EF72AB" w:rsidRDefault="00A865D2" w:rsidP="007D5F6D">
      <w:pPr>
        <w:spacing w:before="240"/>
      </w:pPr>
      <w:r>
        <w:t>The</w:t>
      </w:r>
      <w:r w:rsidR="0097029B">
        <w:t xml:space="preserve"> sensitivity analyses indicated that MBS listing of HSAT/PAT would remain cost saving when the proportion eligible, the substitution of PSG, the proportion of single use and re-usable HSAT/PAT, and proportion receiving a follow-up Level 1 PSG were altered. </w:t>
      </w:r>
      <w:r w:rsidR="00EF72AB">
        <w:t>The commentary noted that the sensitivity analyses show a large component of the estimated saving is due to the inclusion of follow-up Level 1 PSG when results are inconclusive, at a rate of 5%. When the failure rate of HSAT/PAT is increased to 10% from the 5% used in the base case, the estimated saving becomes a cost of $330,295 in Year 1 increasing to $1.2M in Year 5. The ADAR has not provided strong support for the claimed 5% retest level, and the failure rate for HSAT/PAT in the selected Level 2 studies was 5.4% and 7.5%, in both cases greater than 5%, and another study cited by the ADAR (Phua 2020) had a failure rate of 10.5% for HSAT/PAT.</w:t>
      </w:r>
    </w:p>
    <w:p w14:paraId="35DEA25A" w14:textId="051E1AAD" w:rsidR="0097029B" w:rsidRPr="00023E28" w:rsidRDefault="004D692F" w:rsidP="007D5F6D">
      <w:pPr>
        <w:spacing w:before="240"/>
      </w:pPr>
      <w:r>
        <w:t xml:space="preserve">The ADAR assumed 100% of Level 1 PSG are conducted in-hospital, assigned costs for </w:t>
      </w:r>
      <w:r w:rsidRPr="004D692F">
        <w:t xml:space="preserve">Level 1 PSG </w:t>
      </w:r>
      <w:r w:rsidR="000056C0">
        <w:t xml:space="preserve">that </w:t>
      </w:r>
      <w:r w:rsidRPr="004D692F">
        <w:t xml:space="preserve">included DRG costs and </w:t>
      </w:r>
      <w:r w:rsidR="000056C0">
        <w:t xml:space="preserve">applied the </w:t>
      </w:r>
      <w:r w:rsidRPr="004D692F">
        <w:t>75% MBS rebate</w:t>
      </w:r>
      <w:r w:rsidR="000056C0">
        <w:t xml:space="preserve"> for Level 1 PSG. However, </w:t>
      </w:r>
      <w:r>
        <w:t>the Department advised that</w:t>
      </w:r>
      <w:r w:rsidR="00023E28" w:rsidRPr="00023E28">
        <w:t xml:space="preserve"> </w:t>
      </w:r>
      <w:r w:rsidR="00B731A5">
        <w:t>MBS claiming data for MBS item 12203 (Level 1 sleep studies</w:t>
      </w:r>
      <w:r>
        <w:t xml:space="preserve">) indicated </w:t>
      </w:r>
      <w:r w:rsidR="00B731A5">
        <w:t xml:space="preserve">that </w:t>
      </w:r>
      <w:r w:rsidR="00023E28" w:rsidRPr="00023E28">
        <w:t>approximately 50% of Level 1 PSG are claimed</w:t>
      </w:r>
      <w:r w:rsidR="0097029B" w:rsidRPr="00023E28">
        <w:t xml:space="preserve"> </w:t>
      </w:r>
      <w:r w:rsidR="00023E28" w:rsidRPr="00023E28">
        <w:t xml:space="preserve">in-hospital </w:t>
      </w:r>
      <w:r w:rsidR="00B731A5">
        <w:t xml:space="preserve">(75% rebate) </w:t>
      </w:r>
      <w:r w:rsidR="00023E28" w:rsidRPr="00023E28">
        <w:t xml:space="preserve">and 50% are </w:t>
      </w:r>
      <w:r w:rsidR="00B731A5">
        <w:t xml:space="preserve">claimed </w:t>
      </w:r>
      <w:r w:rsidR="00023E28" w:rsidRPr="00023E28">
        <w:t>out-of-hospital</w:t>
      </w:r>
      <w:r w:rsidR="00B731A5">
        <w:t xml:space="preserve"> (85% rebate)</w:t>
      </w:r>
      <w:r w:rsidR="00023E28" w:rsidRPr="00023E28">
        <w:t xml:space="preserve">. Therefore, the commentary </w:t>
      </w:r>
      <w:r w:rsidR="0097029B" w:rsidRPr="00023E28">
        <w:t xml:space="preserve">also </w:t>
      </w:r>
      <w:r>
        <w:t>presented a sensitivity analysis in which</w:t>
      </w:r>
      <w:r w:rsidR="0097029B" w:rsidRPr="00023E28">
        <w:t xml:space="preserve"> </w:t>
      </w:r>
      <w:r>
        <w:t xml:space="preserve">the </w:t>
      </w:r>
      <w:r w:rsidR="0097029B" w:rsidRPr="00023E28">
        <w:t xml:space="preserve">75% rebate </w:t>
      </w:r>
      <w:r>
        <w:t xml:space="preserve">for Level 1 PSG was applied for half </w:t>
      </w:r>
      <w:r>
        <w:lastRenderedPageBreak/>
        <w:t xml:space="preserve">of the patients and the </w:t>
      </w:r>
      <w:r w:rsidR="0097029B" w:rsidRPr="00023E28">
        <w:t>85% rebate</w:t>
      </w:r>
      <w:r>
        <w:t xml:space="preserve"> for Level 1 PSG applied for the other half of patients</w:t>
      </w:r>
      <w:r w:rsidR="0097029B" w:rsidRPr="00023E28">
        <w:t xml:space="preserve">. This resulted in a net cost of $966,675 in Year 1, and a net saving in Year 5 of -$396,712, for an overall net cost over the first 5 years of listing of $1.6M. </w:t>
      </w:r>
    </w:p>
    <w:p w14:paraId="1B3FF7FB" w14:textId="3BFD844F" w:rsidR="0097029B" w:rsidRPr="00814E99" w:rsidRDefault="00246719" w:rsidP="007D5F6D">
      <w:pPr>
        <w:keepNext/>
        <w:keepLines/>
        <w:spacing w:before="240"/>
      </w:pPr>
      <w:r>
        <w:t xml:space="preserve">The pre-ESC response clarified that </w:t>
      </w:r>
      <w:r w:rsidR="000056C0">
        <w:t>a</w:t>
      </w:r>
      <w:r w:rsidR="00F7485C">
        <w:t xml:space="preserve">ny Level 1 PSGs performed in non-hospital clinics are only eligible for an 85% MBS rebate and are not covered by PHI, so cannot claim a hospital admission, and therefore the apportioned DRG. The sensitivity analysis </w:t>
      </w:r>
      <w:r w:rsidR="00B731A5">
        <w:t xml:space="preserve">by the commentary, </w:t>
      </w:r>
      <w:r w:rsidR="00F7485C">
        <w:t>where 50% of Level 1</w:t>
      </w:r>
      <w:r w:rsidR="00B731A5">
        <w:t xml:space="preserve"> PSG </w:t>
      </w:r>
      <w:r w:rsidR="00F7485C">
        <w:t>are performed out</w:t>
      </w:r>
      <w:r w:rsidR="00B731A5">
        <w:t>-</w:t>
      </w:r>
      <w:r w:rsidR="00F7485C">
        <w:t>of</w:t>
      </w:r>
      <w:r w:rsidR="00B731A5">
        <w:t>-</w:t>
      </w:r>
      <w:r w:rsidR="00F7485C">
        <w:t xml:space="preserve">hospital </w:t>
      </w:r>
      <w:r w:rsidR="00B731A5">
        <w:t xml:space="preserve">did </w:t>
      </w:r>
      <w:r w:rsidR="00F7485C">
        <w:t xml:space="preserve">not adjust the hospital costs. </w:t>
      </w:r>
      <w:r w:rsidR="00B731A5">
        <w:t>The pre-ESC response presented a</w:t>
      </w:r>
      <w:r w:rsidR="00F7485C">
        <w:t xml:space="preserve"> corrected calculation </w:t>
      </w:r>
      <w:r w:rsidR="000056C0">
        <w:t xml:space="preserve">that </w:t>
      </w:r>
      <w:r w:rsidR="000056C0" w:rsidRPr="00023E28">
        <w:t xml:space="preserve">resulted in a net </w:t>
      </w:r>
      <w:r w:rsidR="000056C0">
        <w:t>saving</w:t>
      </w:r>
      <w:r w:rsidR="000056C0" w:rsidRPr="00023E28">
        <w:t xml:space="preserve"> of </w:t>
      </w:r>
      <w:r w:rsidR="000056C0" w:rsidRPr="000056C0">
        <w:t>-</w:t>
      </w:r>
      <w:r w:rsidR="000056C0">
        <w:t>$</w:t>
      </w:r>
      <w:r w:rsidR="000056C0" w:rsidRPr="000056C0">
        <w:t>391,949</w:t>
      </w:r>
      <w:r w:rsidR="000056C0">
        <w:t xml:space="preserve"> </w:t>
      </w:r>
      <w:r w:rsidR="000056C0" w:rsidRPr="00023E28">
        <w:t>in Year 1</w:t>
      </w:r>
      <w:r w:rsidR="000056C0">
        <w:t xml:space="preserve"> increasing to</w:t>
      </w:r>
      <w:r w:rsidR="000056C0" w:rsidRPr="00023E28">
        <w:t xml:space="preserve"> a net saving in Year 5 of </w:t>
      </w:r>
      <w:r w:rsidR="000056C0" w:rsidRPr="000056C0">
        <w:t>-$1,383,226</w:t>
      </w:r>
      <w:r w:rsidR="00F7485C">
        <w:t>.</w:t>
      </w:r>
    </w:p>
    <w:p w14:paraId="4519492F" w14:textId="5C94C66E" w:rsidR="00136969" w:rsidRPr="00814E99" w:rsidRDefault="00065623"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t>Financial/budgetary impacts</w:t>
      </w:r>
    </w:p>
    <w:p w14:paraId="0E185F60" w14:textId="716204D8" w:rsidR="00EC3821" w:rsidRPr="00EC3821" w:rsidRDefault="00F2213E" w:rsidP="00EC3821">
      <w:pPr>
        <w:rPr>
          <w:i/>
          <w:iCs/>
        </w:rPr>
      </w:pPr>
      <w:r>
        <w:t xml:space="preserve">The financial implications for the proposed listing of HSAT using PAT are summarised in </w:t>
      </w:r>
      <w:r>
        <w:fldChar w:fldCharType="begin"/>
      </w:r>
      <w:r>
        <w:instrText xml:space="preserve"> REF _Ref75196784 \h </w:instrText>
      </w:r>
      <w:r>
        <w:fldChar w:fldCharType="separate"/>
      </w:r>
      <w:r w:rsidR="00824C87">
        <w:t xml:space="preserve">Table </w:t>
      </w:r>
      <w:r w:rsidR="00824C87">
        <w:rPr>
          <w:noProof/>
        </w:rPr>
        <w:t>13</w:t>
      </w:r>
      <w:r>
        <w:fldChar w:fldCharType="end"/>
      </w:r>
      <w:r>
        <w:t>.</w:t>
      </w:r>
      <w:bookmarkStart w:id="29" w:name="_Ref75196784"/>
      <w:bookmarkStart w:id="30" w:name="_Toc70768719"/>
    </w:p>
    <w:p w14:paraId="6C6FDE0A" w14:textId="4FA87EE1" w:rsidR="00F2213E" w:rsidRDefault="00F2213E" w:rsidP="007D5F6D">
      <w:pPr>
        <w:pStyle w:val="Caption"/>
        <w:spacing w:before="240"/>
      </w:pPr>
      <w:r>
        <w:t xml:space="preserve">Table </w:t>
      </w:r>
      <w:r w:rsidR="00A930B3">
        <w:fldChar w:fldCharType="begin"/>
      </w:r>
      <w:r w:rsidR="00A930B3">
        <w:instrText xml:space="preserve"> SEQ Table \* ARABIC </w:instrText>
      </w:r>
      <w:r w:rsidR="00A930B3">
        <w:fldChar w:fldCharType="separate"/>
      </w:r>
      <w:r w:rsidR="00824C87">
        <w:rPr>
          <w:noProof/>
        </w:rPr>
        <w:t>13</w:t>
      </w:r>
      <w:r w:rsidR="00A930B3">
        <w:rPr>
          <w:noProof/>
        </w:rPr>
        <w:fldChar w:fldCharType="end"/>
      </w:r>
      <w:bookmarkEnd w:id="29"/>
      <w:r>
        <w:tab/>
        <w:t>Estimated usage and cost to the MBS for the listing of HSAT/PAT</w:t>
      </w:r>
      <w:bookmarkEnd w:id="30"/>
      <w:r w:rsidRPr="00AA66CD">
        <w:t xml:space="preserve"> </w:t>
      </w:r>
    </w:p>
    <w:tbl>
      <w:tblPr>
        <w:tblStyle w:val="TableGrid1"/>
        <w:tblW w:w="5031" w:type="pct"/>
        <w:tblInd w:w="-5" w:type="dxa"/>
        <w:tblCellMar>
          <w:left w:w="28" w:type="dxa"/>
          <w:right w:w="28" w:type="dxa"/>
        </w:tblCellMar>
        <w:tblLook w:val="00A0" w:firstRow="1" w:lastRow="0" w:firstColumn="1" w:lastColumn="0" w:noHBand="0" w:noVBand="0"/>
        <w:tblCaption w:val="Table 12 Estimated usage and cost to the MBS for the listing of HSAT/PAT "/>
        <w:tblDescription w:val="This table provides the estimated usage and cost to the MBS for listing of HSAT/PAT"/>
      </w:tblPr>
      <w:tblGrid>
        <w:gridCol w:w="3630"/>
        <w:gridCol w:w="1168"/>
        <w:gridCol w:w="969"/>
        <w:gridCol w:w="1080"/>
        <w:gridCol w:w="969"/>
        <w:gridCol w:w="1256"/>
      </w:tblGrid>
      <w:tr w:rsidR="00F2213E" w:rsidRPr="00AA66CD" w14:paraId="6B8CA53D" w14:textId="77777777" w:rsidTr="00EF3383">
        <w:trPr>
          <w:cnfStyle w:val="100000000000" w:firstRow="1" w:lastRow="0" w:firstColumn="0" w:lastColumn="0" w:oddVBand="0" w:evenVBand="0" w:oddHBand="0" w:evenHBand="0" w:firstRowFirstColumn="0" w:firstRowLastColumn="0" w:lastRowFirstColumn="0" w:lastRowLastColumn="0"/>
          <w:cantSplit/>
          <w:trHeight w:val="70"/>
          <w:tblHeader/>
        </w:trPr>
        <w:tc>
          <w:tcPr>
            <w:tcW w:w="2001" w:type="pct"/>
            <w:tcBorders>
              <w:bottom w:val="single" w:sz="4" w:space="0" w:color="auto"/>
            </w:tcBorders>
            <w:noWrap/>
            <w:vAlign w:val="center"/>
          </w:tcPr>
          <w:p w14:paraId="1AA605C5" w14:textId="77777777" w:rsidR="00F2213E" w:rsidRPr="002D3D4D" w:rsidRDefault="00F2213E" w:rsidP="009F723B">
            <w:pPr>
              <w:pStyle w:val="Tabletextboldleft"/>
              <w:tabs>
                <w:tab w:val="left" w:pos="204"/>
              </w:tabs>
              <w:spacing w:after="40"/>
            </w:pPr>
          </w:p>
        </w:tc>
        <w:tc>
          <w:tcPr>
            <w:tcW w:w="644" w:type="pct"/>
            <w:tcBorders>
              <w:bottom w:val="single" w:sz="4" w:space="0" w:color="auto"/>
            </w:tcBorders>
            <w:noWrap/>
            <w:vAlign w:val="center"/>
          </w:tcPr>
          <w:p w14:paraId="6E380BD7" w14:textId="77777777" w:rsidR="00F2213E" w:rsidRDefault="00F2213E" w:rsidP="009F723B">
            <w:pPr>
              <w:pStyle w:val="Tabletextbold"/>
              <w:spacing w:after="40"/>
              <w:rPr>
                <w:sz w:val="24"/>
                <w:szCs w:val="24"/>
              </w:rPr>
            </w:pPr>
            <w:r>
              <w:t>Year 1</w:t>
            </w:r>
          </w:p>
        </w:tc>
        <w:tc>
          <w:tcPr>
            <w:tcW w:w="534" w:type="pct"/>
            <w:tcBorders>
              <w:bottom w:val="single" w:sz="4" w:space="0" w:color="auto"/>
            </w:tcBorders>
            <w:noWrap/>
            <w:vAlign w:val="center"/>
          </w:tcPr>
          <w:p w14:paraId="772B1690" w14:textId="77777777" w:rsidR="00F2213E" w:rsidRDefault="00F2213E" w:rsidP="009F723B">
            <w:pPr>
              <w:pStyle w:val="Tabletextbold"/>
              <w:spacing w:after="40"/>
              <w:rPr>
                <w:sz w:val="24"/>
                <w:szCs w:val="24"/>
              </w:rPr>
            </w:pPr>
            <w:r>
              <w:t>Year 2</w:t>
            </w:r>
          </w:p>
        </w:tc>
        <w:tc>
          <w:tcPr>
            <w:tcW w:w="595" w:type="pct"/>
            <w:tcBorders>
              <w:bottom w:val="single" w:sz="4" w:space="0" w:color="auto"/>
            </w:tcBorders>
            <w:noWrap/>
            <w:vAlign w:val="center"/>
          </w:tcPr>
          <w:p w14:paraId="4B0D7C09" w14:textId="77777777" w:rsidR="00F2213E" w:rsidRDefault="00F2213E" w:rsidP="009F723B">
            <w:pPr>
              <w:pStyle w:val="Tabletextbold"/>
              <w:spacing w:after="40"/>
              <w:rPr>
                <w:sz w:val="24"/>
                <w:szCs w:val="24"/>
              </w:rPr>
            </w:pPr>
            <w:r>
              <w:t>Year 3</w:t>
            </w:r>
          </w:p>
        </w:tc>
        <w:tc>
          <w:tcPr>
            <w:tcW w:w="534" w:type="pct"/>
            <w:tcBorders>
              <w:bottom w:val="single" w:sz="4" w:space="0" w:color="auto"/>
            </w:tcBorders>
            <w:noWrap/>
            <w:vAlign w:val="center"/>
          </w:tcPr>
          <w:p w14:paraId="5F5C4A7F" w14:textId="77777777" w:rsidR="00F2213E" w:rsidRDefault="00F2213E" w:rsidP="009F723B">
            <w:pPr>
              <w:pStyle w:val="Tabletextbold"/>
              <w:spacing w:after="40"/>
              <w:rPr>
                <w:sz w:val="24"/>
                <w:szCs w:val="24"/>
              </w:rPr>
            </w:pPr>
            <w:r>
              <w:t>Year 4</w:t>
            </w:r>
          </w:p>
        </w:tc>
        <w:tc>
          <w:tcPr>
            <w:tcW w:w="692" w:type="pct"/>
            <w:tcBorders>
              <w:bottom w:val="single" w:sz="4" w:space="0" w:color="auto"/>
            </w:tcBorders>
            <w:noWrap/>
            <w:vAlign w:val="center"/>
          </w:tcPr>
          <w:p w14:paraId="72A2D32F" w14:textId="77777777" w:rsidR="00F2213E" w:rsidRDefault="00F2213E" w:rsidP="009F723B">
            <w:pPr>
              <w:pStyle w:val="Tabletextbold"/>
              <w:spacing w:after="40"/>
              <w:rPr>
                <w:sz w:val="24"/>
                <w:szCs w:val="24"/>
              </w:rPr>
            </w:pPr>
            <w:r>
              <w:t>Year 5</w:t>
            </w:r>
          </w:p>
        </w:tc>
      </w:tr>
      <w:tr w:rsidR="00EF3383" w:rsidRPr="00AA66CD" w14:paraId="58D230AB" w14:textId="77777777" w:rsidTr="00EF3383">
        <w:trPr>
          <w:cnfStyle w:val="100000000000" w:firstRow="1" w:lastRow="0" w:firstColumn="0" w:lastColumn="0" w:oddVBand="0" w:evenVBand="0" w:oddHBand="0" w:evenHBand="0" w:firstRowFirstColumn="0" w:firstRowLastColumn="0" w:lastRowFirstColumn="0" w:lastRowLastColumn="0"/>
          <w:cantSplit/>
          <w:trHeight w:val="70"/>
          <w:tblHeader/>
        </w:trPr>
        <w:tc>
          <w:tcPr>
            <w:tcW w:w="5000" w:type="pct"/>
            <w:gridSpan w:val="6"/>
            <w:noWrap/>
            <w:vAlign w:val="center"/>
          </w:tcPr>
          <w:p w14:paraId="5739A094" w14:textId="464C5476" w:rsidR="00EF3383" w:rsidRDefault="00EF3383" w:rsidP="00EF3383">
            <w:pPr>
              <w:pStyle w:val="Tabletextboldleft"/>
              <w:tabs>
                <w:tab w:val="left" w:pos="204"/>
              </w:tabs>
              <w:spacing w:after="40"/>
            </w:pPr>
            <w:r w:rsidRPr="00583B18">
              <w:rPr>
                <w:rFonts w:cs="Calibri"/>
                <w:color w:val="000000"/>
              </w:rPr>
              <w:t xml:space="preserve">Use and cost of Level 1 and Level 2 </w:t>
            </w:r>
            <w:r>
              <w:rPr>
                <w:rFonts w:cs="Calibri"/>
                <w:color w:val="000000"/>
              </w:rPr>
              <w:t xml:space="preserve">PSG </w:t>
            </w:r>
            <w:r w:rsidRPr="00583B18">
              <w:rPr>
                <w:rFonts w:cs="Calibri"/>
                <w:color w:val="000000"/>
              </w:rPr>
              <w:t>on</w:t>
            </w:r>
            <w:r>
              <w:rPr>
                <w:rFonts w:cs="Calibri"/>
                <w:color w:val="000000"/>
              </w:rPr>
              <w:t xml:space="preserve"> </w:t>
            </w:r>
            <w:r w:rsidRPr="00583B18">
              <w:rPr>
                <w:rFonts w:cs="Calibri"/>
                <w:color w:val="000000"/>
              </w:rPr>
              <w:t>the</w:t>
            </w:r>
            <w:r>
              <w:rPr>
                <w:rFonts w:cs="Calibri"/>
                <w:color w:val="000000"/>
              </w:rPr>
              <w:t xml:space="preserve"> </w:t>
            </w:r>
            <w:r w:rsidRPr="00583B18">
              <w:rPr>
                <w:rFonts w:cs="Calibri"/>
                <w:color w:val="000000"/>
              </w:rPr>
              <w:t>MBS if</w:t>
            </w:r>
            <w:r>
              <w:rPr>
                <w:rFonts w:cs="Calibri"/>
                <w:color w:val="000000"/>
              </w:rPr>
              <w:t xml:space="preserve"> </w:t>
            </w:r>
            <w:r w:rsidRPr="00583B18">
              <w:rPr>
                <w:rFonts w:cs="Calibri"/>
                <w:color w:val="000000"/>
              </w:rPr>
              <w:t>HSAT/PAT is</w:t>
            </w:r>
            <w:r>
              <w:rPr>
                <w:rFonts w:cs="Calibri"/>
                <w:color w:val="000000"/>
              </w:rPr>
              <w:t xml:space="preserve"> </w:t>
            </w:r>
            <w:r w:rsidRPr="00583B18">
              <w:rPr>
                <w:rFonts w:cs="Calibri"/>
                <w:color w:val="000000"/>
              </w:rPr>
              <w:t>listed</w:t>
            </w:r>
          </w:p>
        </w:tc>
      </w:tr>
      <w:tr w:rsidR="00F2213E" w:rsidRPr="00EC194D" w14:paraId="68B905AE" w14:textId="77777777" w:rsidTr="00EF3383">
        <w:trPr>
          <w:cantSplit/>
          <w:trHeight w:val="70"/>
        </w:trPr>
        <w:tc>
          <w:tcPr>
            <w:tcW w:w="2001" w:type="pct"/>
            <w:tcBorders>
              <w:bottom w:val="single" w:sz="4" w:space="0" w:color="auto"/>
            </w:tcBorders>
            <w:noWrap/>
            <w:vAlign w:val="center"/>
          </w:tcPr>
          <w:p w14:paraId="390C022A" w14:textId="77777777" w:rsidR="00F2213E" w:rsidRDefault="00F2213E" w:rsidP="009F723B">
            <w:pPr>
              <w:pStyle w:val="Tabletext"/>
              <w:tabs>
                <w:tab w:val="left" w:pos="204"/>
              </w:tabs>
            </w:pPr>
            <w:r>
              <w:tab/>
              <w:t>Number of Level 1 PSG</w:t>
            </w:r>
          </w:p>
        </w:tc>
        <w:tc>
          <w:tcPr>
            <w:tcW w:w="644" w:type="pct"/>
            <w:tcBorders>
              <w:bottom w:val="single" w:sz="4" w:space="0" w:color="auto"/>
            </w:tcBorders>
            <w:noWrap/>
            <w:vAlign w:val="center"/>
          </w:tcPr>
          <w:p w14:paraId="1CBBCCF7" w14:textId="77777777" w:rsidR="00F2213E" w:rsidRPr="0098308C" w:rsidRDefault="00F2213E" w:rsidP="009F723B">
            <w:pPr>
              <w:spacing w:after="40"/>
              <w:jc w:val="center"/>
              <w:rPr>
                <w:rFonts w:cs="Calibri"/>
                <w:color w:val="000000"/>
              </w:rPr>
            </w:pPr>
            <w:r w:rsidRPr="0098308C">
              <w:rPr>
                <w:rFonts w:cs="Calibri"/>
                <w:color w:val="000000"/>
              </w:rPr>
              <w:t>42,951</w:t>
            </w:r>
          </w:p>
        </w:tc>
        <w:tc>
          <w:tcPr>
            <w:tcW w:w="534" w:type="pct"/>
            <w:tcBorders>
              <w:bottom w:val="single" w:sz="4" w:space="0" w:color="auto"/>
            </w:tcBorders>
            <w:noWrap/>
            <w:vAlign w:val="center"/>
          </w:tcPr>
          <w:p w14:paraId="6BB2F30C" w14:textId="77777777" w:rsidR="00F2213E" w:rsidRPr="0098308C" w:rsidRDefault="00F2213E" w:rsidP="009F723B">
            <w:pPr>
              <w:spacing w:after="40"/>
              <w:jc w:val="center"/>
              <w:rPr>
                <w:rFonts w:cs="Calibri"/>
                <w:color w:val="000000"/>
              </w:rPr>
            </w:pPr>
            <w:r w:rsidRPr="0098308C">
              <w:rPr>
                <w:rFonts w:cs="Calibri"/>
                <w:color w:val="000000"/>
              </w:rPr>
              <w:t>44,568</w:t>
            </w:r>
          </w:p>
        </w:tc>
        <w:tc>
          <w:tcPr>
            <w:tcW w:w="595" w:type="pct"/>
            <w:tcBorders>
              <w:bottom w:val="single" w:sz="4" w:space="0" w:color="auto"/>
            </w:tcBorders>
            <w:noWrap/>
            <w:vAlign w:val="center"/>
          </w:tcPr>
          <w:p w14:paraId="4B2312F6" w14:textId="77777777" w:rsidR="00F2213E" w:rsidRPr="0098308C" w:rsidRDefault="00F2213E" w:rsidP="009F723B">
            <w:pPr>
              <w:spacing w:after="40"/>
              <w:jc w:val="center"/>
              <w:rPr>
                <w:rFonts w:cs="Calibri"/>
                <w:color w:val="000000"/>
              </w:rPr>
            </w:pPr>
            <w:r w:rsidRPr="0098308C">
              <w:rPr>
                <w:rFonts w:cs="Calibri"/>
                <w:color w:val="000000"/>
              </w:rPr>
              <w:t>46,297</w:t>
            </w:r>
          </w:p>
        </w:tc>
        <w:tc>
          <w:tcPr>
            <w:tcW w:w="534" w:type="pct"/>
            <w:tcBorders>
              <w:bottom w:val="single" w:sz="4" w:space="0" w:color="auto"/>
            </w:tcBorders>
            <w:noWrap/>
            <w:vAlign w:val="center"/>
          </w:tcPr>
          <w:p w14:paraId="1B9B4E19" w14:textId="77777777" w:rsidR="00F2213E" w:rsidRPr="0098308C" w:rsidRDefault="00F2213E" w:rsidP="009F723B">
            <w:pPr>
              <w:spacing w:after="40"/>
              <w:jc w:val="center"/>
              <w:rPr>
                <w:rFonts w:cs="Calibri"/>
                <w:color w:val="000000"/>
              </w:rPr>
            </w:pPr>
            <w:r w:rsidRPr="0098308C">
              <w:rPr>
                <w:rFonts w:cs="Calibri"/>
                <w:color w:val="000000"/>
              </w:rPr>
              <w:t>47,917</w:t>
            </w:r>
          </w:p>
        </w:tc>
        <w:tc>
          <w:tcPr>
            <w:tcW w:w="692" w:type="pct"/>
            <w:tcBorders>
              <w:bottom w:val="single" w:sz="4" w:space="0" w:color="auto"/>
            </w:tcBorders>
            <w:noWrap/>
            <w:vAlign w:val="center"/>
          </w:tcPr>
          <w:p w14:paraId="300FC9AF" w14:textId="77777777" w:rsidR="00F2213E" w:rsidRPr="0098308C" w:rsidRDefault="00F2213E" w:rsidP="009F723B">
            <w:pPr>
              <w:spacing w:after="40"/>
              <w:jc w:val="center"/>
              <w:rPr>
                <w:rFonts w:cs="Calibri"/>
                <w:color w:val="000000"/>
              </w:rPr>
            </w:pPr>
            <w:r w:rsidRPr="0098308C">
              <w:rPr>
                <w:rFonts w:cs="Calibri"/>
                <w:color w:val="000000"/>
              </w:rPr>
              <w:t>49,506</w:t>
            </w:r>
          </w:p>
        </w:tc>
      </w:tr>
      <w:tr w:rsidR="00F2213E" w:rsidRPr="00EC194D" w14:paraId="71590553" w14:textId="77777777" w:rsidTr="00EF3383">
        <w:trPr>
          <w:cantSplit/>
          <w:trHeight w:val="70"/>
        </w:trPr>
        <w:tc>
          <w:tcPr>
            <w:tcW w:w="2001" w:type="pct"/>
            <w:tcBorders>
              <w:bottom w:val="single" w:sz="4" w:space="0" w:color="auto"/>
            </w:tcBorders>
            <w:noWrap/>
            <w:vAlign w:val="center"/>
          </w:tcPr>
          <w:p w14:paraId="1D1BCC83" w14:textId="77777777" w:rsidR="00F2213E" w:rsidRDefault="00F2213E" w:rsidP="009F723B">
            <w:pPr>
              <w:pStyle w:val="Tabletext"/>
              <w:tabs>
                <w:tab w:val="left" w:pos="204"/>
              </w:tabs>
            </w:pPr>
            <w:r>
              <w:tab/>
              <w:t>Cost: Level 1 PSG</w:t>
            </w:r>
          </w:p>
        </w:tc>
        <w:tc>
          <w:tcPr>
            <w:tcW w:w="644" w:type="pct"/>
            <w:tcBorders>
              <w:bottom w:val="single" w:sz="4" w:space="0" w:color="auto"/>
            </w:tcBorders>
            <w:noWrap/>
            <w:vAlign w:val="center"/>
          </w:tcPr>
          <w:p w14:paraId="4E81916F" w14:textId="77777777" w:rsidR="00F2213E" w:rsidRPr="0098308C" w:rsidRDefault="00F2213E" w:rsidP="009F723B">
            <w:pPr>
              <w:spacing w:after="40"/>
              <w:jc w:val="center"/>
              <w:rPr>
                <w:rFonts w:cs="Calibri"/>
                <w:color w:val="000000"/>
              </w:rPr>
            </w:pPr>
            <w:r w:rsidRPr="0098308C">
              <w:rPr>
                <w:rFonts w:cs="Calibri"/>
                <w:color w:val="000000"/>
              </w:rPr>
              <w:t>$28,189,097</w:t>
            </w:r>
          </w:p>
        </w:tc>
        <w:tc>
          <w:tcPr>
            <w:tcW w:w="534" w:type="pct"/>
            <w:tcBorders>
              <w:bottom w:val="single" w:sz="4" w:space="0" w:color="auto"/>
            </w:tcBorders>
            <w:noWrap/>
            <w:vAlign w:val="center"/>
          </w:tcPr>
          <w:p w14:paraId="5BB532FA" w14:textId="77777777" w:rsidR="00F2213E" w:rsidRPr="0098308C" w:rsidRDefault="00F2213E" w:rsidP="009F723B">
            <w:pPr>
              <w:spacing w:after="40"/>
              <w:jc w:val="center"/>
              <w:rPr>
                <w:rFonts w:cs="Calibri"/>
                <w:color w:val="000000"/>
              </w:rPr>
            </w:pPr>
            <w:r w:rsidRPr="0098308C">
              <w:rPr>
                <w:rFonts w:cs="Calibri"/>
                <w:color w:val="000000"/>
              </w:rPr>
              <w:t>$29,249,933</w:t>
            </w:r>
          </w:p>
        </w:tc>
        <w:tc>
          <w:tcPr>
            <w:tcW w:w="595" w:type="pct"/>
            <w:tcBorders>
              <w:bottom w:val="single" w:sz="4" w:space="0" w:color="auto"/>
            </w:tcBorders>
            <w:noWrap/>
            <w:vAlign w:val="center"/>
          </w:tcPr>
          <w:p w14:paraId="517190FD" w14:textId="77777777" w:rsidR="00F2213E" w:rsidRPr="0098308C" w:rsidRDefault="00F2213E" w:rsidP="009F723B">
            <w:pPr>
              <w:spacing w:after="40"/>
              <w:jc w:val="center"/>
              <w:rPr>
                <w:rFonts w:cs="Calibri"/>
                <w:color w:val="000000"/>
              </w:rPr>
            </w:pPr>
            <w:r w:rsidRPr="0098308C">
              <w:rPr>
                <w:rFonts w:cs="Calibri"/>
                <w:color w:val="000000"/>
              </w:rPr>
              <w:t>$30,384,830</w:t>
            </w:r>
          </w:p>
        </w:tc>
        <w:tc>
          <w:tcPr>
            <w:tcW w:w="534" w:type="pct"/>
            <w:tcBorders>
              <w:bottom w:val="single" w:sz="4" w:space="0" w:color="auto"/>
            </w:tcBorders>
            <w:noWrap/>
            <w:vAlign w:val="center"/>
          </w:tcPr>
          <w:p w14:paraId="0CD41088" w14:textId="77777777" w:rsidR="00F2213E" w:rsidRPr="0098308C" w:rsidRDefault="00F2213E" w:rsidP="009F723B">
            <w:pPr>
              <w:spacing w:after="40"/>
              <w:jc w:val="center"/>
              <w:rPr>
                <w:rFonts w:cs="Calibri"/>
                <w:color w:val="000000"/>
              </w:rPr>
            </w:pPr>
            <w:r w:rsidRPr="0098308C">
              <w:rPr>
                <w:rFonts w:cs="Calibri"/>
                <w:color w:val="000000"/>
              </w:rPr>
              <w:t>$31,448,067</w:t>
            </w:r>
          </w:p>
        </w:tc>
        <w:tc>
          <w:tcPr>
            <w:tcW w:w="692" w:type="pct"/>
            <w:tcBorders>
              <w:bottom w:val="single" w:sz="4" w:space="0" w:color="auto"/>
            </w:tcBorders>
            <w:noWrap/>
            <w:vAlign w:val="center"/>
          </w:tcPr>
          <w:p w14:paraId="3E8AE3FC" w14:textId="77777777" w:rsidR="00F2213E" w:rsidRPr="0098308C" w:rsidRDefault="00F2213E" w:rsidP="009F723B">
            <w:pPr>
              <w:spacing w:after="40"/>
              <w:jc w:val="center"/>
              <w:rPr>
                <w:rFonts w:cs="Calibri"/>
                <w:color w:val="000000"/>
              </w:rPr>
            </w:pPr>
            <w:r w:rsidRPr="0098308C">
              <w:rPr>
                <w:rFonts w:cs="Calibri"/>
                <w:color w:val="000000"/>
              </w:rPr>
              <w:t>$32,491,336</w:t>
            </w:r>
          </w:p>
        </w:tc>
      </w:tr>
      <w:tr w:rsidR="00F2213E" w:rsidRPr="00EC194D" w14:paraId="0FC1BB43" w14:textId="77777777" w:rsidTr="00EF3383">
        <w:trPr>
          <w:cantSplit/>
          <w:trHeight w:val="70"/>
        </w:trPr>
        <w:tc>
          <w:tcPr>
            <w:tcW w:w="2001" w:type="pct"/>
            <w:tcBorders>
              <w:bottom w:val="single" w:sz="4" w:space="0" w:color="auto"/>
            </w:tcBorders>
            <w:noWrap/>
            <w:vAlign w:val="center"/>
          </w:tcPr>
          <w:p w14:paraId="7F2E25A1" w14:textId="77777777" w:rsidR="00F2213E" w:rsidRDefault="00F2213E" w:rsidP="009F723B">
            <w:pPr>
              <w:pStyle w:val="Tabletext"/>
              <w:tabs>
                <w:tab w:val="left" w:pos="204"/>
              </w:tabs>
            </w:pPr>
            <w:r>
              <w:tab/>
              <w:t>Number of Level 2 PSG</w:t>
            </w:r>
          </w:p>
        </w:tc>
        <w:tc>
          <w:tcPr>
            <w:tcW w:w="644" w:type="pct"/>
            <w:tcBorders>
              <w:bottom w:val="single" w:sz="4" w:space="0" w:color="auto"/>
            </w:tcBorders>
            <w:noWrap/>
            <w:vAlign w:val="center"/>
          </w:tcPr>
          <w:p w14:paraId="286681A8" w14:textId="77777777" w:rsidR="00F2213E" w:rsidRPr="0098308C" w:rsidRDefault="00F2213E" w:rsidP="009F723B">
            <w:pPr>
              <w:spacing w:after="40"/>
              <w:jc w:val="center"/>
              <w:rPr>
                <w:rFonts w:cs="Calibri"/>
                <w:color w:val="000000"/>
              </w:rPr>
            </w:pPr>
            <w:r w:rsidRPr="0098308C">
              <w:rPr>
                <w:rFonts w:cs="Calibri"/>
                <w:color w:val="000000"/>
              </w:rPr>
              <w:t>91,235</w:t>
            </w:r>
          </w:p>
        </w:tc>
        <w:tc>
          <w:tcPr>
            <w:tcW w:w="534" w:type="pct"/>
            <w:tcBorders>
              <w:bottom w:val="single" w:sz="4" w:space="0" w:color="auto"/>
            </w:tcBorders>
            <w:noWrap/>
            <w:vAlign w:val="center"/>
          </w:tcPr>
          <w:p w14:paraId="7F88E0B8" w14:textId="77777777" w:rsidR="00F2213E" w:rsidRPr="0098308C" w:rsidRDefault="00F2213E" w:rsidP="009F723B">
            <w:pPr>
              <w:spacing w:after="40"/>
              <w:jc w:val="center"/>
              <w:rPr>
                <w:rFonts w:cs="Calibri"/>
                <w:color w:val="000000"/>
              </w:rPr>
            </w:pPr>
            <w:r w:rsidRPr="0098308C">
              <w:rPr>
                <w:rFonts w:cs="Calibri"/>
                <w:color w:val="000000"/>
              </w:rPr>
              <w:t>90,151</w:t>
            </w:r>
          </w:p>
        </w:tc>
        <w:tc>
          <w:tcPr>
            <w:tcW w:w="595" w:type="pct"/>
            <w:tcBorders>
              <w:bottom w:val="single" w:sz="4" w:space="0" w:color="auto"/>
            </w:tcBorders>
            <w:noWrap/>
            <w:vAlign w:val="center"/>
          </w:tcPr>
          <w:p w14:paraId="4121F91E" w14:textId="77777777" w:rsidR="00F2213E" w:rsidRPr="0098308C" w:rsidRDefault="00F2213E" w:rsidP="009F723B">
            <w:pPr>
              <w:spacing w:after="40"/>
              <w:jc w:val="center"/>
              <w:rPr>
                <w:rFonts w:cs="Calibri"/>
                <w:color w:val="000000"/>
              </w:rPr>
            </w:pPr>
            <w:r w:rsidRPr="0098308C">
              <w:rPr>
                <w:rFonts w:cs="Calibri"/>
                <w:color w:val="000000"/>
              </w:rPr>
              <w:t>88,907</w:t>
            </w:r>
          </w:p>
        </w:tc>
        <w:tc>
          <w:tcPr>
            <w:tcW w:w="534" w:type="pct"/>
            <w:tcBorders>
              <w:bottom w:val="single" w:sz="4" w:space="0" w:color="auto"/>
            </w:tcBorders>
            <w:noWrap/>
            <w:vAlign w:val="center"/>
          </w:tcPr>
          <w:p w14:paraId="4F5EBA8E" w14:textId="77777777" w:rsidR="00F2213E" w:rsidRPr="0098308C" w:rsidRDefault="00F2213E" w:rsidP="009F723B">
            <w:pPr>
              <w:spacing w:after="40"/>
              <w:jc w:val="center"/>
              <w:rPr>
                <w:rFonts w:cs="Calibri"/>
                <w:color w:val="000000"/>
              </w:rPr>
            </w:pPr>
            <w:r w:rsidRPr="0098308C">
              <w:rPr>
                <w:rFonts w:cs="Calibri"/>
                <w:color w:val="000000"/>
              </w:rPr>
              <w:t>87,065</w:t>
            </w:r>
          </w:p>
        </w:tc>
        <w:tc>
          <w:tcPr>
            <w:tcW w:w="692" w:type="pct"/>
            <w:tcBorders>
              <w:bottom w:val="single" w:sz="4" w:space="0" w:color="auto"/>
            </w:tcBorders>
            <w:noWrap/>
            <w:vAlign w:val="center"/>
          </w:tcPr>
          <w:p w14:paraId="0027BE72" w14:textId="77777777" w:rsidR="00F2213E" w:rsidRPr="0098308C" w:rsidRDefault="00F2213E" w:rsidP="009F723B">
            <w:pPr>
              <w:spacing w:after="40"/>
              <w:jc w:val="center"/>
              <w:rPr>
                <w:rFonts w:cs="Calibri"/>
                <w:color w:val="000000"/>
              </w:rPr>
            </w:pPr>
            <w:r w:rsidRPr="0098308C">
              <w:rPr>
                <w:rFonts w:cs="Calibri"/>
                <w:color w:val="000000"/>
              </w:rPr>
              <w:t>84,783</w:t>
            </w:r>
          </w:p>
        </w:tc>
      </w:tr>
      <w:tr w:rsidR="00F2213E" w:rsidRPr="00EC194D" w14:paraId="3314F95C" w14:textId="77777777" w:rsidTr="00EF3383">
        <w:trPr>
          <w:cantSplit/>
          <w:trHeight w:val="70"/>
        </w:trPr>
        <w:tc>
          <w:tcPr>
            <w:tcW w:w="2001" w:type="pct"/>
            <w:tcBorders>
              <w:bottom w:val="single" w:sz="4" w:space="0" w:color="auto"/>
            </w:tcBorders>
            <w:noWrap/>
            <w:vAlign w:val="center"/>
          </w:tcPr>
          <w:p w14:paraId="1639B463" w14:textId="77777777" w:rsidR="00F2213E" w:rsidRDefault="00F2213E" w:rsidP="009F723B">
            <w:pPr>
              <w:pStyle w:val="Tabletext"/>
              <w:tabs>
                <w:tab w:val="left" w:pos="204"/>
              </w:tabs>
            </w:pPr>
            <w:r>
              <w:tab/>
              <w:t>Cost: Level 2 PSG</w:t>
            </w:r>
          </w:p>
        </w:tc>
        <w:tc>
          <w:tcPr>
            <w:tcW w:w="644" w:type="pct"/>
            <w:tcBorders>
              <w:bottom w:val="single" w:sz="4" w:space="0" w:color="auto"/>
            </w:tcBorders>
            <w:noWrap/>
            <w:vAlign w:val="center"/>
          </w:tcPr>
          <w:p w14:paraId="3ECA00E7" w14:textId="77777777" w:rsidR="00F2213E" w:rsidRPr="0098308C" w:rsidRDefault="00F2213E" w:rsidP="009F723B">
            <w:pPr>
              <w:spacing w:after="40"/>
              <w:jc w:val="center"/>
              <w:rPr>
                <w:rFonts w:cs="Calibri"/>
                <w:color w:val="000000"/>
              </w:rPr>
            </w:pPr>
            <w:r w:rsidRPr="0098308C">
              <w:rPr>
                <w:rFonts w:cs="Calibri"/>
                <w:color w:val="000000"/>
              </w:rPr>
              <w:t>$45,198,207</w:t>
            </w:r>
          </w:p>
        </w:tc>
        <w:tc>
          <w:tcPr>
            <w:tcW w:w="534" w:type="pct"/>
            <w:tcBorders>
              <w:bottom w:val="single" w:sz="4" w:space="0" w:color="auto"/>
            </w:tcBorders>
            <w:noWrap/>
            <w:vAlign w:val="center"/>
          </w:tcPr>
          <w:p w14:paraId="66918021" w14:textId="77777777" w:rsidR="00F2213E" w:rsidRPr="0098308C" w:rsidRDefault="00F2213E" w:rsidP="009F723B">
            <w:pPr>
              <w:spacing w:after="40"/>
              <w:jc w:val="center"/>
              <w:rPr>
                <w:rFonts w:cs="Calibri"/>
                <w:color w:val="000000"/>
              </w:rPr>
            </w:pPr>
            <w:r w:rsidRPr="0098308C">
              <w:rPr>
                <w:rFonts w:cs="Calibri"/>
                <w:color w:val="000000"/>
              </w:rPr>
              <w:t>$44,661,448</w:t>
            </w:r>
          </w:p>
        </w:tc>
        <w:tc>
          <w:tcPr>
            <w:tcW w:w="595" w:type="pct"/>
            <w:tcBorders>
              <w:bottom w:val="single" w:sz="4" w:space="0" w:color="auto"/>
            </w:tcBorders>
            <w:noWrap/>
            <w:vAlign w:val="center"/>
          </w:tcPr>
          <w:p w14:paraId="76ED58B6" w14:textId="77777777" w:rsidR="00F2213E" w:rsidRPr="0098308C" w:rsidRDefault="00F2213E" w:rsidP="009F723B">
            <w:pPr>
              <w:spacing w:after="40"/>
              <w:jc w:val="center"/>
              <w:rPr>
                <w:rFonts w:cs="Calibri"/>
                <w:color w:val="000000"/>
              </w:rPr>
            </w:pPr>
            <w:r w:rsidRPr="0098308C">
              <w:rPr>
                <w:rFonts w:cs="Calibri"/>
                <w:color w:val="000000"/>
              </w:rPr>
              <w:t>$44,045,122</w:t>
            </w:r>
          </w:p>
        </w:tc>
        <w:tc>
          <w:tcPr>
            <w:tcW w:w="534" w:type="pct"/>
            <w:tcBorders>
              <w:bottom w:val="single" w:sz="4" w:space="0" w:color="auto"/>
            </w:tcBorders>
            <w:noWrap/>
            <w:vAlign w:val="center"/>
          </w:tcPr>
          <w:p w14:paraId="0A713F72" w14:textId="77777777" w:rsidR="00F2213E" w:rsidRPr="0098308C" w:rsidRDefault="00F2213E" w:rsidP="009F723B">
            <w:pPr>
              <w:spacing w:after="40"/>
              <w:jc w:val="center"/>
              <w:rPr>
                <w:rFonts w:cs="Calibri"/>
                <w:color w:val="000000"/>
              </w:rPr>
            </w:pPr>
            <w:r w:rsidRPr="0098308C">
              <w:rPr>
                <w:rFonts w:cs="Calibri"/>
                <w:color w:val="000000"/>
              </w:rPr>
              <w:t>$43,132,621</w:t>
            </w:r>
          </w:p>
        </w:tc>
        <w:tc>
          <w:tcPr>
            <w:tcW w:w="692" w:type="pct"/>
            <w:tcBorders>
              <w:bottom w:val="single" w:sz="4" w:space="0" w:color="auto"/>
            </w:tcBorders>
            <w:noWrap/>
            <w:vAlign w:val="center"/>
          </w:tcPr>
          <w:p w14:paraId="359BBFAC" w14:textId="77777777" w:rsidR="00F2213E" w:rsidRPr="0098308C" w:rsidRDefault="00F2213E" w:rsidP="009F723B">
            <w:pPr>
              <w:spacing w:after="40"/>
              <w:jc w:val="center"/>
              <w:rPr>
                <w:rFonts w:cs="Calibri"/>
                <w:color w:val="000000"/>
              </w:rPr>
            </w:pPr>
            <w:r w:rsidRPr="0098308C">
              <w:rPr>
                <w:rFonts w:cs="Calibri"/>
                <w:color w:val="000000"/>
              </w:rPr>
              <w:t>$42,001,776</w:t>
            </w:r>
          </w:p>
        </w:tc>
      </w:tr>
      <w:tr w:rsidR="00F2213E" w:rsidRPr="00EC194D" w14:paraId="7C0B3970" w14:textId="77777777" w:rsidTr="00EF3383">
        <w:trPr>
          <w:cantSplit/>
          <w:trHeight w:val="70"/>
        </w:trPr>
        <w:tc>
          <w:tcPr>
            <w:tcW w:w="2001" w:type="pct"/>
            <w:tcBorders>
              <w:bottom w:val="single" w:sz="4" w:space="0" w:color="auto"/>
            </w:tcBorders>
            <w:noWrap/>
            <w:vAlign w:val="center"/>
          </w:tcPr>
          <w:p w14:paraId="46AF0A06" w14:textId="77777777" w:rsidR="00F2213E" w:rsidRDefault="00F2213E" w:rsidP="009F723B">
            <w:pPr>
              <w:pStyle w:val="Tabletext"/>
              <w:tabs>
                <w:tab w:val="left" w:pos="204"/>
              </w:tabs>
            </w:pPr>
            <w:r>
              <w:tab/>
              <w:t>Cost: Level 1 and Level 2 PSG</w:t>
            </w:r>
          </w:p>
        </w:tc>
        <w:tc>
          <w:tcPr>
            <w:tcW w:w="644" w:type="pct"/>
            <w:tcBorders>
              <w:bottom w:val="single" w:sz="4" w:space="0" w:color="auto"/>
            </w:tcBorders>
            <w:noWrap/>
            <w:vAlign w:val="center"/>
          </w:tcPr>
          <w:p w14:paraId="44206C95" w14:textId="77777777" w:rsidR="00F2213E" w:rsidRPr="004876ED" w:rsidRDefault="00F2213E" w:rsidP="009F723B">
            <w:pPr>
              <w:spacing w:after="40"/>
              <w:jc w:val="center"/>
              <w:rPr>
                <w:rFonts w:cs="Calibri"/>
                <w:color w:val="000000"/>
              </w:rPr>
            </w:pPr>
            <w:r w:rsidRPr="004876ED">
              <w:rPr>
                <w:rFonts w:cs="Calibri"/>
                <w:color w:val="000000"/>
              </w:rPr>
              <w:t>$73,387,305</w:t>
            </w:r>
          </w:p>
        </w:tc>
        <w:tc>
          <w:tcPr>
            <w:tcW w:w="534" w:type="pct"/>
            <w:tcBorders>
              <w:bottom w:val="single" w:sz="4" w:space="0" w:color="auto"/>
            </w:tcBorders>
            <w:noWrap/>
            <w:vAlign w:val="center"/>
          </w:tcPr>
          <w:p w14:paraId="2AF27941" w14:textId="77777777" w:rsidR="00F2213E" w:rsidRPr="004876ED" w:rsidRDefault="00F2213E" w:rsidP="009F723B">
            <w:pPr>
              <w:spacing w:after="40"/>
              <w:jc w:val="center"/>
              <w:rPr>
                <w:rFonts w:cs="Calibri"/>
                <w:color w:val="000000"/>
              </w:rPr>
            </w:pPr>
            <w:r w:rsidRPr="004876ED">
              <w:rPr>
                <w:rFonts w:cs="Calibri"/>
                <w:color w:val="000000"/>
              </w:rPr>
              <w:t>$73,911,381</w:t>
            </w:r>
          </w:p>
        </w:tc>
        <w:tc>
          <w:tcPr>
            <w:tcW w:w="595" w:type="pct"/>
            <w:tcBorders>
              <w:bottom w:val="single" w:sz="4" w:space="0" w:color="auto"/>
            </w:tcBorders>
            <w:noWrap/>
            <w:vAlign w:val="center"/>
          </w:tcPr>
          <w:p w14:paraId="33228662" w14:textId="77777777" w:rsidR="00F2213E" w:rsidRPr="004876ED" w:rsidRDefault="00F2213E" w:rsidP="009F723B">
            <w:pPr>
              <w:spacing w:after="40"/>
              <w:jc w:val="center"/>
              <w:rPr>
                <w:rFonts w:cs="Calibri"/>
                <w:color w:val="000000"/>
              </w:rPr>
            </w:pPr>
            <w:r w:rsidRPr="004876ED">
              <w:rPr>
                <w:rFonts w:cs="Calibri"/>
                <w:color w:val="000000"/>
              </w:rPr>
              <w:t>$74,429,952</w:t>
            </w:r>
          </w:p>
        </w:tc>
        <w:tc>
          <w:tcPr>
            <w:tcW w:w="534" w:type="pct"/>
            <w:tcBorders>
              <w:bottom w:val="single" w:sz="4" w:space="0" w:color="auto"/>
            </w:tcBorders>
            <w:noWrap/>
            <w:vAlign w:val="center"/>
          </w:tcPr>
          <w:p w14:paraId="4E8A3A4A" w14:textId="77777777" w:rsidR="00F2213E" w:rsidRPr="004876ED" w:rsidRDefault="00F2213E" w:rsidP="009F723B">
            <w:pPr>
              <w:spacing w:after="40"/>
              <w:jc w:val="center"/>
              <w:rPr>
                <w:rFonts w:cs="Calibri"/>
                <w:color w:val="000000"/>
              </w:rPr>
            </w:pPr>
            <w:r w:rsidRPr="004876ED">
              <w:rPr>
                <w:rFonts w:cs="Calibri"/>
                <w:color w:val="000000"/>
              </w:rPr>
              <w:t>$74,580,687</w:t>
            </w:r>
          </w:p>
        </w:tc>
        <w:tc>
          <w:tcPr>
            <w:tcW w:w="692" w:type="pct"/>
            <w:tcBorders>
              <w:bottom w:val="single" w:sz="4" w:space="0" w:color="auto"/>
            </w:tcBorders>
            <w:noWrap/>
            <w:vAlign w:val="center"/>
          </w:tcPr>
          <w:p w14:paraId="27EAF6CF" w14:textId="77777777" w:rsidR="00F2213E" w:rsidRPr="004876ED" w:rsidRDefault="00F2213E" w:rsidP="009F723B">
            <w:pPr>
              <w:spacing w:after="40"/>
              <w:jc w:val="center"/>
              <w:rPr>
                <w:rFonts w:cs="Calibri"/>
                <w:color w:val="000000"/>
              </w:rPr>
            </w:pPr>
            <w:r w:rsidRPr="004876ED">
              <w:rPr>
                <w:rFonts w:cs="Calibri"/>
                <w:color w:val="000000"/>
              </w:rPr>
              <w:t>$74,493,113</w:t>
            </w:r>
          </w:p>
        </w:tc>
      </w:tr>
      <w:tr w:rsidR="00F2213E" w:rsidRPr="00583B18" w14:paraId="1B8E5ECF" w14:textId="77777777" w:rsidTr="00EF3383">
        <w:trPr>
          <w:cantSplit/>
          <w:trHeight w:val="70"/>
        </w:trPr>
        <w:tc>
          <w:tcPr>
            <w:tcW w:w="2001" w:type="pct"/>
            <w:tcBorders>
              <w:bottom w:val="single" w:sz="4" w:space="0" w:color="auto"/>
              <w:right w:val="nil"/>
            </w:tcBorders>
            <w:noWrap/>
            <w:vAlign w:val="center"/>
          </w:tcPr>
          <w:p w14:paraId="55A78083" w14:textId="77777777" w:rsidR="00F2213E" w:rsidRPr="00583B18" w:rsidRDefault="00F2213E" w:rsidP="009F723B">
            <w:pPr>
              <w:pStyle w:val="Tabletext"/>
              <w:tabs>
                <w:tab w:val="left" w:pos="204"/>
              </w:tabs>
              <w:rPr>
                <w:b/>
                <w:bCs/>
              </w:rPr>
            </w:pPr>
            <w:r>
              <w:rPr>
                <w:rFonts w:cs="Calibri"/>
                <w:b/>
                <w:bCs/>
                <w:color w:val="000000"/>
              </w:rPr>
              <w:t>Use and cost of HSAT/PAT</w:t>
            </w:r>
          </w:p>
        </w:tc>
        <w:tc>
          <w:tcPr>
            <w:tcW w:w="644" w:type="pct"/>
            <w:tcBorders>
              <w:left w:val="nil"/>
              <w:bottom w:val="single" w:sz="4" w:space="0" w:color="auto"/>
              <w:right w:val="nil"/>
            </w:tcBorders>
            <w:noWrap/>
            <w:vAlign w:val="center"/>
          </w:tcPr>
          <w:p w14:paraId="15FA0120" w14:textId="77777777" w:rsidR="00F2213E" w:rsidRPr="00583B18" w:rsidRDefault="00F2213E" w:rsidP="009F723B">
            <w:pPr>
              <w:spacing w:after="40"/>
              <w:jc w:val="center"/>
              <w:rPr>
                <w:rFonts w:cs="Calibri"/>
                <w:b/>
                <w:bCs/>
                <w:color w:val="000000"/>
              </w:rPr>
            </w:pPr>
          </w:p>
        </w:tc>
        <w:tc>
          <w:tcPr>
            <w:tcW w:w="534" w:type="pct"/>
            <w:tcBorders>
              <w:left w:val="nil"/>
              <w:bottom w:val="single" w:sz="4" w:space="0" w:color="auto"/>
              <w:right w:val="nil"/>
            </w:tcBorders>
            <w:noWrap/>
            <w:vAlign w:val="center"/>
          </w:tcPr>
          <w:p w14:paraId="3309F2CE" w14:textId="77777777" w:rsidR="00F2213E" w:rsidRPr="00583B18" w:rsidRDefault="00F2213E" w:rsidP="009F723B">
            <w:pPr>
              <w:spacing w:after="40"/>
              <w:jc w:val="center"/>
              <w:rPr>
                <w:rFonts w:cs="Calibri"/>
                <w:b/>
                <w:bCs/>
                <w:color w:val="000000"/>
              </w:rPr>
            </w:pPr>
          </w:p>
        </w:tc>
        <w:tc>
          <w:tcPr>
            <w:tcW w:w="595" w:type="pct"/>
            <w:tcBorders>
              <w:left w:val="nil"/>
              <w:bottom w:val="single" w:sz="4" w:space="0" w:color="auto"/>
              <w:right w:val="nil"/>
            </w:tcBorders>
            <w:noWrap/>
            <w:vAlign w:val="center"/>
          </w:tcPr>
          <w:p w14:paraId="1FB49BEF" w14:textId="77777777" w:rsidR="00F2213E" w:rsidRPr="00583B18" w:rsidRDefault="00F2213E" w:rsidP="009F723B">
            <w:pPr>
              <w:spacing w:after="40"/>
              <w:jc w:val="center"/>
              <w:rPr>
                <w:rFonts w:cs="Calibri"/>
                <w:b/>
                <w:bCs/>
                <w:color w:val="000000"/>
              </w:rPr>
            </w:pPr>
          </w:p>
        </w:tc>
        <w:tc>
          <w:tcPr>
            <w:tcW w:w="534" w:type="pct"/>
            <w:tcBorders>
              <w:left w:val="nil"/>
              <w:bottom w:val="single" w:sz="4" w:space="0" w:color="auto"/>
              <w:right w:val="nil"/>
            </w:tcBorders>
            <w:noWrap/>
            <w:vAlign w:val="center"/>
          </w:tcPr>
          <w:p w14:paraId="6ECEE428" w14:textId="77777777" w:rsidR="00F2213E" w:rsidRPr="00583B18" w:rsidRDefault="00F2213E" w:rsidP="009F723B">
            <w:pPr>
              <w:spacing w:after="40"/>
              <w:jc w:val="center"/>
              <w:rPr>
                <w:rFonts w:cs="Calibri"/>
                <w:b/>
                <w:bCs/>
                <w:color w:val="000000"/>
              </w:rPr>
            </w:pPr>
          </w:p>
        </w:tc>
        <w:tc>
          <w:tcPr>
            <w:tcW w:w="692" w:type="pct"/>
            <w:tcBorders>
              <w:left w:val="nil"/>
              <w:bottom w:val="single" w:sz="4" w:space="0" w:color="auto"/>
            </w:tcBorders>
            <w:noWrap/>
            <w:vAlign w:val="center"/>
          </w:tcPr>
          <w:p w14:paraId="1213C58D" w14:textId="77777777" w:rsidR="00F2213E" w:rsidRPr="00583B18" w:rsidRDefault="00F2213E" w:rsidP="009F723B">
            <w:pPr>
              <w:spacing w:after="40"/>
              <w:jc w:val="center"/>
              <w:rPr>
                <w:rFonts w:cs="Calibri"/>
                <w:b/>
                <w:bCs/>
                <w:color w:val="000000"/>
              </w:rPr>
            </w:pPr>
          </w:p>
        </w:tc>
      </w:tr>
      <w:tr w:rsidR="00F2213E" w:rsidRPr="00EC194D" w14:paraId="18DE9D2B" w14:textId="77777777" w:rsidTr="00EF3383">
        <w:trPr>
          <w:cantSplit/>
          <w:trHeight w:val="70"/>
        </w:trPr>
        <w:tc>
          <w:tcPr>
            <w:tcW w:w="2001" w:type="pct"/>
            <w:tcBorders>
              <w:bottom w:val="single" w:sz="4" w:space="0" w:color="auto"/>
            </w:tcBorders>
            <w:noWrap/>
            <w:vAlign w:val="center"/>
          </w:tcPr>
          <w:p w14:paraId="3FD7E199" w14:textId="77777777" w:rsidR="00F2213E" w:rsidRPr="00FE4C36" w:rsidRDefault="00F2213E" w:rsidP="009F723B">
            <w:pPr>
              <w:pStyle w:val="Tabletext"/>
              <w:tabs>
                <w:tab w:val="left" w:pos="204"/>
              </w:tabs>
              <w:rPr>
                <w:i/>
                <w:iCs/>
              </w:rPr>
            </w:pPr>
            <w:r w:rsidRPr="00FE4C36">
              <w:rPr>
                <w:i/>
                <w:iCs/>
              </w:rPr>
              <w:tab/>
              <w:t xml:space="preserve">Number eligible for Level 1 </w:t>
            </w:r>
            <w:r>
              <w:rPr>
                <w:i/>
                <w:iCs/>
              </w:rPr>
              <w:t>PSG</w:t>
            </w:r>
          </w:p>
        </w:tc>
        <w:tc>
          <w:tcPr>
            <w:tcW w:w="644" w:type="pct"/>
            <w:tcBorders>
              <w:bottom w:val="single" w:sz="4" w:space="0" w:color="auto"/>
            </w:tcBorders>
            <w:noWrap/>
            <w:vAlign w:val="center"/>
          </w:tcPr>
          <w:p w14:paraId="57F67F7A" w14:textId="77777777" w:rsidR="00F2213E" w:rsidRPr="00FE4C36" w:rsidRDefault="00F2213E" w:rsidP="009F723B">
            <w:pPr>
              <w:spacing w:after="40"/>
              <w:jc w:val="center"/>
              <w:rPr>
                <w:rFonts w:cs="Calibri"/>
                <w:i/>
                <w:iCs/>
                <w:color w:val="000000"/>
              </w:rPr>
            </w:pPr>
            <w:r w:rsidRPr="00FE4C36">
              <w:rPr>
                <w:rFonts w:cs="Calibri"/>
                <w:i/>
                <w:iCs/>
                <w:color w:val="000000"/>
              </w:rPr>
              <w:t>4,339</w:t>
            </w:r>
          </w:p>
        </w:tc>
        <w:tc>
          <w:tcPr>
            <w:tcW w:w="534" w:type="pct"/>
            <w:tcBorders>
              <w:bottom w:val="single" w:sz="4" w:space="0" w:color="auto"/>
            </w:tcBorders>
            <w:noWrap/>
            <w:vAlign w:val="center"/>
          </w:tcPr>
          <w:p w14:paraId="26853D72" w14:textId="77777777" w:rsidR="00F2213E" w:rsidRPr="00FE4C36" w:rsidRDefault="00F2213E" w:rsidP="009F723B">
            <w:pPr>
              <w:spacing w:after="40"/>
              <w:jc w:val="center"/>
              <w:rPr>
                <w:rFonts w:cs="Calibri"/>
                <w:i/>
                <w:iCs/>
                <w:color w:val="000000"/>
              </w:rPr>
            </w:pPr>
            <w:r w:rsidRPr="00FE4C36">
              <w:rPr>
                <w:rFonts w:cs="Calibri"/>
                <w:i/>
                <w:iCs/>
                <w:color w:val="000000"/>
              </w:rPr>
              <w:t>4,525</w:t>
            </w:r>
          </w:p>
        </w:tc>
        <w:tc>
          <w:tcPr>
            <w:tcW w:w="595" w:type="pct"/>
            <w:tcBorders>
              <w:bottom w:val="single" w:sz="4" w:space="0" w:color="auto"/>
            </w:tcBorders>
            <w:noWrap/>
            <w:vAlign w:val="center"/>
          </w:tcPr>
          <w:p w14:paraId="6092F4E3" w14:textId="77777777" w:rsidR="00F2213E" w:rsidRPr="00FE4C36" w:rsidRDefault="00F2213E" w:rsidP="009F723B">
            <w:pPr>
              <w:spacing w:after="40"/>
              <w:jc w:val="center"/>
              <w:rPr>
                <w:rFonts w:cs="Calibri"/>
                <w:i/>
                <w:iCs/>
                <w:color w:val="000000"/>
              </w:rPr>
            </w:pPr>
            <w:r w:rsidRPr="00FE4C36">
              <w:rPr>
                <w:rFonts w:cs="Calibri"/>
                <w:i/>
                <w:iCs/>
                <w:color w:val="000000"/>
              </w:rPr>
              <w:t>4,724</w:t>
            </w:r>
          </w:p>
        </w:tc>
        <w:tc>
          <w:tcPr>
            <w:tcW w:w="534" w:type="pct"/>
            <w:tcBorders>
              <w:bottom w:val="single" w:sz="4" w:space="0" w:color="auto"/>
            </w:tcBorders>
            <w:noWrap/>
            <w:vAlign w:val="center"/>
          </w:tcPr>
          <w:p w14:paraId="00C98455" w14:textId="77777777" w:rsidR="00F2213E" w:rsidRPr="00FE4C36" w:rsidRDefault="00F2213E" w:rsidP="009F723B">
            <w:pPr>
              <w:spacing w:after="40"/>
              <w:jc w:val="center"/>
              <w:rPr>
                <w:rFonts w:cs="Calibri"/>
                <w:i/>
                <w:iCs/>
                <w:color w:val="000000"/>
              </w:rPr>
            </w:pPr>
            <w:r w:rsidRPr="00FE4C36">
              <w:rPr>
                <w:rFonts w:cs="Calibri"/>
                <w:i/>
                <w:iCs/>
                <w:color w:val="000000"/>
              </w:rPr>
              <w:t>4,915</w:t>
            </w:r>
          </w:p>
        </w:tc>
        <w:tc>
          <w:tcPr>
            <w:tcW w:w="692" w:type="pct"/>
            <w:tcBorders>
              <w:bottom w:val="single" w:sz="4" w:space="0" w:color="auto"/>
            </w:tcBorders>
            <w:noWrap/>
            <w:vAlign w:val="center"/>
          </w:tcPr>
          <w:p w14:paraId="4DE65884" w14:textId="77777777" w:rsidR="00F2213E" w:rsidRPr="00FE4C36" w:rsidRDefault="00F2213E" w:rsidP="009F723B">
            <w:pPr>
              <w:spacing w:after="40"/>
              <w:jc w:val="center"/>
              <w:rPr>
                <w:rFonts w:cs="Calibri"/>
                <w:i/>
                <w:iCs/>
                <w:color w:val="000000"/>
              </w:rPr>
            </w:pPr>
            <w:r w:rsidRPr="00FE4C36">
              <w:rPr>
                <w:rFonts w:cs="Calibri"/>
                <w:i/>
                <w:iCs/>
                <w:color w:val="000000"/>
              </w:rPr>
              <w:t>5,104</w:t>
            </w:r>
          </w:p>
        </w:tc>
      </w:tr>
      <w:tr w:rsidR="00F2213E" w:rsidRPr="00EC194D" w14:paraId="2D97171F" w14:textId="77777777" w:rsidTr="00EF3383">
        <w:trPr>
          <w:cantSplit/>
          <w:trHeight w:val="70"/>
        </w:trPr>
        <w:tc>
          <w:tcPr>
            <w:tcW w:w="2001" w:type="pct"/>
            <w:tcBorders>
              <w:bottom w:val="single" w:sz="4" w:space="0" w:color="auto"/>
            </w:tcBorders>
            <w:noWrap/>
            <w:vAlign w:val="center"/>
          </w:tcPr>
          <w:p w14:paraId="2F403810" w14:textId="77777777" w:rsidR="00F2213E" w:rsidRPr="00FE4C36" w:rsidRDefault="00F2213E" w:rsidP="009F723B">
            <w:pPr>
              <w:pStyle w:val="Tabletext"/>
              <w:tabs>
                <w:tab w:val="left" w:pos="204"/>
              </w:tabs>
              <w:rPr>
                <w:i/>
                <w:iCs/>
              </w:rPr>
            </w:pPr>
            <w:r w:rsidRPr="00FE4C36">
              <w:rPr>
                <w:i/>
                <w:iCs/>
              </w:rPr>
              <w:tab/>
              <w:t xml:space="preserve">Number eligible for Level 2 </w:t>
            </w:r>
            <w:r>
              <w:rPr>
                <w:i/>
                <w:iCs/>
              </w:rPr>
              <w:t>PSG</w:t>
            </w:r>
          </w:p>
        </w:tc>
        <w:tc>
          <w:tcPr>
            <w:tcW w:w="644" w:type="pct"/>
            <w:tcBorders>
              <w:bottom w:val="single" w:sz="4" w:space="0" w:color="auto"/>
            </w:tcBorders>
            <w:noWrap/>
            <w:vAlign w:val="center"/>
          </w:tcPr>
          <w:p w14:paraId="4DB3958E" w14:textId="77777777" w:rsidR="00F2213E" w:rsidRPr="00FE4C36" w:rsidRDefault="00F2213E" w:rsidP="009F723B">
            <w:pPr>
              <w:spacing w:after="40"/>
              <w:jc w:val="center"/>
              <w:rPr>
                <w:rFonts w:cs="Calibri"/>
                <w:i/>
                <w:iCs/>
                <w:color w:val="000000"/>
              </w:rPr>
            </w:pPr>
            <w:r w:rsidRPr="00FE4C36">
              <w:rPr>
                <w:rFonts w:cs="Calibri"/>
                <w:i/>
                <w:iCs/>
                <w:color w:val="000000"/>
              </w:rPr>
              <w:t>95,771</w:t>
            </w:r>
          </w:p>
        </w:tc>
        <w:tc>
          <w:tcPr>
            <w:tcW w:w="534" w:type="pct"/>
            <w:tcBorders>
              <w:bottom w:val="single" w:sz="4" w:space="0" w:color="auto"/>
            </w:tcBorders>
            <w:noWrap/>
            <w:vAlign w:val="center"/>
          </w:tcPr>
          <w:p w14:paraId="7D7D36F5" w14:textId="77777777" w:rsidR="00F2213E" w:rsidRPr="00FE4C36" w:rsidRDefault="00F2213E" w:rsidP="009F723B">
            <w:pPr>
              <w:spacing w:after="40"/>
              <w:jc w:val="center"/>
              <w:rPr>
                <w:rFonts w:cs="Calibri"/>
                <w:i/>
                <w:iCs/>
                <w:color w:val="000000"/>
              </w:rPr>
            </w:pPr>
            <w:r w:rsidRPr="00FE4C36">
              <w:rPr>
                <w:rFonts w:cs="Calibri"/>
                <w:i/>
                <w:iCs/>
                <w:color w:val="000000"/>
              </w:rPr>
              <w:t>99,876</w:t>
            </w:r>
          </w:p>
        </w:tc>
        <w:tc>
          <w:tcPr>
            <w:tcW w:w="595" w:type="pct"/>
            <w:tcBorders>
              <w:bottom w:val="single" w:sz="4" w:space="0" w:color="auto"/>
            </w:tcBorders>
            <w:noWrap/>
            <w:vAlign w:val="center"/>
          </w:tcPr>
          <w:p w14:paraId="47B2550E" w14:textId="77777777" w:rsidR="00F2213E" w:rsidRPr="00FE4C36" w:rsidRDefault="00F2213E" w:rsidP="009F723B">
            <w:pPr>
              <w:spacing w:after="40"/>
              <w:jc w:val="center"/>
              <w:rPr>
                <w:rFonts w:cs="Calibri"/>
                <w:i/>
                <w:iCs/>
                <w:color w:val="000000"/>
              </w:rPr>
            </w:pPr>
            <w:r w:rsidRPr="00FE4C36">
              <w:rPr>
                <w:rFonts w:cs="Calibri"/>
                <w:i/>
                <w:iCs/>
                <w:color w:val="000000"/>
              </w:rPr>
              <w:t>104,274</w:t>
            </w:r>
          </w:p>
        </w:tc>
        <w:tc>
          <w:tcPr>
            <w:tcW w:w="534" w:type="pct"/>
            <w:tcBorders>
              <w:bottom w:val="single" w:sz="4" w:space="0" w:color="auto"/>
            </w:tcBorders>
            <w:noWrap/>
            <w:vAlign w:val="center"/>
          </w:tcPr>
          <w:p w14:paraId="1F75E443" w14:textId="77777777" w:rsidR="00F2213E" w:rsidRPr="00FE4C36" w:rsidRDefault="00F2213E" w:rsidP="009F723B">
            <w:pPr>
              <w:spacing w:after="40"/>
              <w:jc w:val="center"/>
              <w:rPr>
                <w:rFonts w:cs="Calibri"/>
                <w:i/>
                <w:iCs/>
                <w:color w:val="000000"/>
              </w:rPr>
            </w:pPr>
            <w:r w:rsidRPr="00FE4C36">
              <w:rPr>
                <w:rFonts w:cs="Calibri"/>
                <w:i/>
                <w:iCs/>
                <w:color w:val="000000"/>
              </w:rPr>
              <w:t>108,475</w:t>
            </w:r>
          </w:p>
        </w:tc>
        <w:tc>
          <w:tcPr>
            <w:tcW w:w="692" w:type="pct"/>
            <w:tcBorders>
              <w:bottom w:val="single" w:sz="4" w:space="0" w:color="auto"/>
            </w:tcBorders>
            <w:noWrap/>
            <w:vAlign w:val="center"/>
          </w:tcPr>
          <w:p w14:paraId="08C2A095" w14:textId="77777777" w:rsidR="00F2213E" w:rsidRPr="00FE4C36" w:rsidRDefault="00F2213E" w:rsidP="009F723B">
            <w:pPr>
              <w:spacing w:after="40"/>
              <w:jc w:val="center"/>
              <w:rPr>
                <w:rFonts w:cs="Calibri"/>
                <w:i/>
                <w:iCs/>
                <w:color w:val="000000"/>
              </w:rPr>
            </w:pPr>
            <w:r w:rsidRPr="00FE4C36">
              <w:rPr>
                <w:rFonts w:cs="Calibri"/>
                <w:i/>
                <w:iCs/>
                <w:color w:val="000000"/>
              </w:rPr>
              <w:t>112,648</w:t>
            </w:r>
          </w:p>
        </w:tc>
      </w:tr>
      <w:tr w:rsidR="00F2213E" w:rsidRPr="00EC194D" w14:paraId="5B96A709" w14:textId="77777777" w:rsidTr="00EF3383">
        <w:trPr>
          <w:cantSplit/>
          <w:trHeight w:val="70"/>
        </w:trPr>
        <w:tc>
          <w:tcPr>
            <w:tcW w:w="2001" w:type="pct"/>
            <w:tcBorders>
              <w:bottom w:val="single" w:sz="4" w:space="0" w:color="auto"/>
            </w:tcBorders>
            <w:noWrap/>
            <w:vAlign w:val="center"/>
          </w:tcPr>
          <w:p w14:paraId="185ED36F" w14:textId="77777777" w:rsidR="00F2213E" w:rsidRPr="00FE4C36" w:rsidRDefault="00F2213E" w:rsidP="009F723B">
            <w:pPr>
              <w:pStyle w:val="Tabletext"/>
              <w:tabs>
                <w:tab w:val="left" w:pos="204"/>
              </w:tabs>
              <w:rPr>
                <w:i/>
                <w:iCs/>
              </w:rPr>
            </w:pPr>
            <w:r w:rsidRPr="00FE4C36">
              <w:rPr>
                <w:i/>
                <w:iCs/>
              </w:rPr>
              <w:tab/>
              <w:t>Proportion Level 1 patients using HSAT</w:t>
            </w:r>
            <w:r>
              <w:rPr>
                <w:i/>
                <w:iCs/>
              </w:rPr>
              <w:t>/</w:t>
            </w:r>
            <w:r w:rsidRPr="00FE4C36">
              <w:rPr>
                <w:i/>
                <w:iCs/>
              </w:rPr>
              <w:t>PAT</w:t>
            </w:r>
          </w:p>
        </w:tc>
        <w:tc>
          <w:tcPr>
            <w:tcW w:w="644" w:type="pct"/>
            <w:tcBorders>
              <w:bottom w:val="single" w:sz="4" w:space="0" w:color="auto"/>
            </w:tcBorders>
            <w:noWrap/>
            <w:vAlign w:val="center"/>
          </w:tcPr>
          <w:p w14:paraId="08E214A1" w14:textId="77777777" w:rsidR="00F2213E" w:rsidRPr="00FE4C36" w:rsidRDefault="00F2213E" w:rsidP="009F723B">
            <w:pPr>
              <w:spacing w:after="40"/>
              <w:jc w:val="center"/>
              <w:rPr>
                <w:i/>
                <w:iCs/>
              </w:rPr>
            </w:pPr>
            <w:r w:rsidRPr="00FE4C36">
              <w:rPr>
                <w:rFonts w:cs="Calibri"/>
                <w:i/>
                <w:iCs/>
                <w:color w:val="000000"/>
              </w:rPr>
              <w:t>10%</w:t>
            </w:r>
          </w:p>
        </w:tc>
        <w:tc>
          <w:tcPr>
            <w:tcW w:w="534" w:type="pct"/>
            <w:tcBorders>
              <w:bottom w:val="single" w:sz="4" w:space="0" w:color="auto"/>
            </w:tcBorders>
            <w:noWrap/>
            <w:vAlign w:val="center"/>
          </w:tcPr>
          <w:p w14:paraId="643E2D04" w14:textId="77777777" w:rsidR="00F2213E" w:rsidRPr="00FE4C36" w:rsidRDefault="00F2213E" w:rsidP="009F723B">
            <w:pPr>
              <w:spacing w:after="40"/>
              <w:jc w:val="center"/>
              <w:rPr>
                <w:i/>
                <w:iCs/>
              </w:rPr>
            </w:pPr>
            <w:r w:rsidRPr="00FE4C36">
              <w:rPr>
                <w:rFonts w:cs="Calibri"/>
                <w:i/>
                <w:iCs/>
                <w:color w:val="000000"/>
              </w:rPr>
              <w:t>15%</w:t>
            </w:r>
          </w:p>
        </w:tc>
        <w:tc>
          <w:tcPr>
            <w:tcW w:w="595" w:type="pct"/>
            <w:tcBorders>
              <w:bottom w:val="single" w:sz="4" w:space="0" w:color="auto"/>
            </w:tcBorders>
            <w:noWrap/>
            <w:vAlign w:val="center"/>
          </w:tcPr>
          <w:p w14:paraId="4051EC10" w14:textId="77777777" w:rsidR="00F2213E" w:rsidRPr="00FE4C36" w:rsidRDefault="00F2213E" w:rsidP="009F723B">
            <w:pPr>
              <w:spacing w:after="40"/>
              <w:jc w:val="center"/>
              <w:rPr>
                <w:i/>
                <w:iCs/>
              </w:rPr>
            </w:pPr>
            <w:r w:rsidRPr="00FE4C36">
              <w:rPr>
                <w:rFonts w:cs="Calibri"/>
                <w:i/>
                <w:iCs/>
                <w:color w:val="000000"/>
              </w:rPr>
              <w:t>20%</w:t>
            </w:r>
          </w:p>
        </w:tc>
        <w:tc>
          <w:tcPr>
            <w:tcW w:w="534" w:type="pct"/>
            <w:tcBorders>
              <w:bottom w:val="single" w:sz="4" w:space="0" w:color="auto"/>
            </w:tcBorders>
            <w:noWrap/>
            <w:vAlign w:val="center"/>
          </w:tcPr>
          <w:p w14:paraId="21D9F416" w14:textId="77777777" w:rsidR="00F2213E" w:rsidRPr="00FE4C36" w:rsidRDefault="00F2213E" w:rsidP="009F723B">
            <w:pPr>
              <w:spacing w:after="40"/>
              <w:jc w:val="center"/>
              <w:rPr>
                <w:i/>
                <w:iCs/>
              </w:rPr>
            </w:pPr>
            <w:r w:rsidRPr="00FE4C36">
              <w:rPr>
                <w:rFonts w:cs="Calibri"/>
                <w:i/>
                <w:iCs/>
                <w:color w:val="000000"/>
              </w:rPr>
              <w:t>25%</w:t>
            </w:r>
          </w:p>
        </w:tc>
        <w:tc>
          <w:tcPr>
            <w:tcW w:w="692" w:type="pct"/>
            <w:tcBorders>
              <w:bottom w:val="single" w:sz="4" w:space="0" w:color="auto"/>
            </w:tcBorders>
            <w:noWrap/>
            <w:vAlign w:val="center"/>
          </w:tcPr>
          <w:p w14:paraId="4175B467" w14:textId="77777777" w:rsidR="00F2213E" w:rsidRPr="00FE4C36" w:rsidRDefault="00F2213E" w:rsidP="009F723B">
            <w:pPr>
              <w:spacing w:after="40"/>
              <w:jc w:val="center"/>
              <w:rPr>
                <w:i/>
                <w:iCs/>
              </w:rPr>
            </w:pPr>
            <w:r w:rsidRPr="00FE4C36">
              <w:rPr>
                <w:rFonts w:cs="Calibri"/>
                <w:i/>
                <w:iCs/>
                <w:color w:val="000000"/>
              </w:rPr>
              <w:t>30%</w:t>
            </w:r>
          </w:p>
        </w:tc>
      </w:tr>
      <w:tr w:rsidR="00F2213E" w:rsidRPr="00EC194D" w14:paraId="39AEB134" w14:textId="77777777" w:rsidTr="00EF3383">
        <w:trPr>
          <w:cantSplit/>
          <w:trHeight w:val="70"/>
        </w:trPr>
        <w:tc>
          <w:tcPr>
            <w:tcW w:w="2001" w:type="pct"/>
            <w:tcBorders>
              <w:bottom w:val="single" w:sz="4" w:space="0" w:color="auto"/>
            </w:tcBorders>
            <w:noWrap/>
            <w:vAlign w:val="center"/>
          </w:tcPr>
          <w:p w14:paraId="3D92F962" w14:textId="77777777" w:rsidR="00F2213E" w:rsidRPr="00FE4C36" w:rsidRDefault="00F2213E" w:rsidP="009F723B">
            <w:pPr>
              <w:pStyle w:val="Tabletext"/>
              <w:tabs>
                <w:tab w:val="left" w:pos="204"/>
              </w:tabs>
              <w:rPr>
                <w:i/>
                <w:iCs/>
              </w:rPr>
            </w:pPr>
            <w:r w:rsidRPr="00FE4C36">
              <w:rPr>
                <w:i/>
                <w:iCs/>
              </w:rPr>
              <w:tab/>
              <w:t>Proportion Level 2 patients using HSAT</w:t>
            </w:r>
            <w:r>
              <w:rPr>
                <w:i/>
                <w:iCs/>
              </w:rPr>
              <w:t>/</w:t>
            </w:r>
            <w:r w:rsidRPr="00FE4C36">
              <w:rPr>
                <w:i/>
                <w:iCs/>
              </w:rPr>
              <w:t>PAT</w:t>
            </w:r>
          </w:p>
        </w:tc>
        <w:tc>
          <w:tcPr>
            <w:tcW w:w="644" w:type="pct"/>
            <w:tcBorders>
              <w:bottom w:val="single" w:sz="4" w:space="0" w:color="auto"/>
            </w:tcBorders>
            <w:noWrap/>
            <w:vAlign w:val="center"/>
          </w:tcPr>
          <w:p w14:paraId="4A75FAC5" w14:textId="77777777" w:rsidR="00F2213E" w:rsidRPr="00FE4C36" w:rsidRDefault="00F2213E" w:rsidP="009F723B">
            <w:pPr>
              <w:spacing w:after="40"/>
              <w:jc w:val="center"/>
              <w:rPr>
                <w:i/>
                <w:iCs/>
              </w:rPr>
            </w:pPr>
            <w:r w:rsidRPr="00FE4C36">
              <w:rPr>
                <w:rFonts w:cs="Calibri"/>
                <w:i/>
                <w:iCs/>
                <w:color w:val="000000"/>
              </w:rPr>
              <w:t>10%</w:t>
            </w:r>
          </w:p>
        </w:tc>
        <w:tc>
          <w:tcPr>
            <w:tcW w:w="534" w:type="pct"/>
            <w:tcBorders>
              <w:bottom w:val="single" w:sz="4" w:space="0" w:color="auto"/>
            </w:tcBorders>
            <w:noWrap/>
            <w:vAlign w:val="center"/>
          </w:tcPr>
          <w:p w14:paraId="2B222D10" w14:textId="77777777" w:rsidR="00F2213E" w:rsidRPr="00FE4C36" w:rsidRDefault="00F2213E" w:rsidP="009F723B">
            <w:pPr>
              <w:spacing w:after="40"/>
              <w:jc w:val="center"/>
              <w:rPr>
                <w:i/>
                <w:iCs/>
              </w:rPr>
            </w:pPr>
            <w:r w:rsidRPr="00FE4C36">
              <w:rPr>
                <w:rFonts w:cs="Calibri"/>
                <w:i/>
                <w:iCs/>
                <w:color w:val="000000"/>
              </w:rPr>
              <w:t>15%</w:t>
            </w:r>
          </w:p>
        </w:tc>
        <w:tc>
          <w:tcPr>
            <w:tcW w:w="595" w:type="pct"/>
            <w:tcBorders>
              <w:bottom w:val="single" w:sz="4" w:space="0" w:color="auto"/>
            </w:tcBorders>
            <w:noWrap/>
            <w:vAlign w:val="center"/>
          </w:tcPr>
          <w:p w14:paraId="59277BF4" w14:textId="77777777" w:rsidR="00F2213E" w:rsidRPr="00FE4C36" w:rsidRDefault="00F2213E" w:rsidP="009F723B">
            <w:pPr>
              <w:spacing w:after="40"/>
              <w:jc w:val="center"/>
              <w:rPr>
                <w:i/>
                <w:iCs/>
              </w:rPr>
            </w:pPr>
            <w:r w:rsidRPr="00FE4C36">
              <w:rPr>
                <w:rFonts w:cs="Calibri"/>
                <w:i/>
                <w:iCs/>
                <w:color w:val="000000"/>
              </w:rPr>
              <w:t>20%</w:t>
            </w:r>
          </w:p>
        </w:tc>
        <w:tc>
          <w:tcPr>
            <w:tcW w:w="534" w:type="pct"/>
            <w:tcBorders>
              <w:bottom w:val="single" w:sz="4" w:space="0" w:color="auto"/>
            </w:tcBorders>
            <w:noWrap/>
            <w:vAlign w:val="center"/>
          </w:tcPr>
          <w:p w14:paraId="5ACB21DF" w14:textId="77777777" w:rsidR="00F2213E" w:rsidRPr="00FE4C36" w:rsidRDefault="00F2213E" w:rsidP="009F723B">
            <w:pPr>
              <w:spacing w:after="40"/>
              <w:jc w:val="center"/>
              <w:rPr>
                <w:i/>
                <w:iCs/>
              </w:rPr>
            </w:pPr>
            <w:r w:rsidRPr="00FE4C36">
              <w:rPr>
                <w:rFonts w:cs="Calibri"/>
                <w:i/>
                <w:iCs/>
                <w:color w:val="000000"/>
              </w:rPr>
              <w:t>25%</w:t>
            </w:r>
          </w:p>
        </w:tc>
        <w:tc>
          <w:tcPr>
            <w:tcW w:w="692" w:type="pct"/>
            <w:tcBorders>
              <w:bottom w:val="single" w:sz="4" w:space="0" w:color="auto"/>
            </w:tcBorders>
            <w:noWrap/>
            <w:vAlign w:val="center"/>
          </w:tcPr>
          <w:p w14:paraId="3DDF46DF" w14:textId="77777777" w:rsidR="00F2213E" w:rsidRPr="00FE4C36" w:rsidRDefault="00F2213E" w:rsidP="009F723B">
            <w:pPr>
              <w:spacing w:after="40"/>
              <w:jc w:val="center"/>
              <w:rPr>
                <w:i/>
                <w:iCs/>
              </w:rPr>
            </w:pPr>
            <w:r w:rsidRPr="00FE4C36">
              <w:rPr>
                <w:rFonts w:cs="Calibri"/>
                <w:i/>
                <w:iCs/>
                <w:color w:val="000000"/>
              </w:rPr>
              <w:t>30%</w:t>
            </w:r>
          </w:p>
        </w:tc>
      </w:tr>
      <w:tr w:rsidR="00F2213E" w:rsidRPr="00EC194D" w14:paraId="68BE1A59" w14:textId="77777777" w:rsidTr="00EF3383">
        <w:trPr>
          <w:cantSplit/>
          <w:trHeight w:val="70"/>
        </w:trPr>
        <w:tc>
          <w:tcPr>
            <w:tcW w:w="2001" w:type="pct"/>
            <w:tcBorders>
              <w:bottom w:val="single" w:sz="4" w:space="0" w:color="auto"/>
            </w:tcBorders>
            <w:noWrap/>
            <w:vAlign w:val="center"/>
          </w:tcPr>
          <w:p w14:paraId="7DD0E9B5" w14:textId="77777777" w:rsidR="00F2213E" w:rsidRPr="00FE4C36" w:rsidRDefault="00F2213E" w:rsidP="009F723B">
            <w:pPr>
              <w:pStyle w:val="Tabletext"/>
              <w:tabs>
                <w:tab w:val="left" w:pos="204"/>
              </w:tabs>
              <w:rPr>
                <w:i/>
                <w:iCs/>
              </w:rPr>
            </w:pPr>
            <w:r w:rsidRPr="00FE4C36">
              <w:rPr>
                <w:i/>
                <w:iCs/>
              </w:rPr>
              <w:tab/>
              <w:t>Number of services: Level 1 HSAT</w:t>
            </w:r>
            <w:r>
              <w:rPr>
                <w:i/>
                <w:iCs/>
              </w:rPr>
              <w:t>/</w:t>
            </w:r>
            <w:r w:rsidRPr="00FE4C36">
              <w:rPr>
                <w:i/>
                <w:iCs/>
              </w:rPr>
              <w:t>PAT</w:t>
            </w:r>
          </w:p>
        </w:tc>
        <w:tc>
          <w:tcPr>
            <w:tcW w:w="644" w:type="pct"/>
            <w:tcBorders>
              <w:bottom w:val="single" w:sz="4" w:space="0" w:color="auto"/>
            </w:tcBorders>
            <w:noWrap/>
            <w:vAlign w:val="center"/>
          </w:tcPr>
          <w:p w14:paraId="52A2D271" w14:textId="77777777" w:rsidR="00F2213E" w:rsidRPr="00FE4C36" w:rsidRDefault="00F2213E" w:rsidP="009F723B">
            <w:pPr>
              <w:spacing w:after="40"/>
              <w:jc w:val="center"/>
              <w:rPr>
                <w:i/>
                <w:iCs/>
              </w:rPr>
            </w:pPr>
            <w:r w:rsidRPr="00FE4C36">
              <w:rPr>
                <w:rFonts w:cs="Calibri"/>
                <w:i/>
                <w:iCs/>
                <w:color w:val="000000"/>
              </w:rPr>
              <w:t>434</w:t>
            </w:r>
          </w:p>
        </w:tc>
        <w:tc>
          <w:tcPr>
            <w:tcW w:w="534" w:type="pct"/>
            <w:tcBorders>
              <w:bottom w:val="single" w:sz="4" w:space="0" w:color="auto"/>
            </w:tcBorders>
            <w:noWrap/>
            <w:vAlign w:val="center"/>
          </w:tcPr>
          <w:p w14:paraId="4B702579" w14:textId="77777777" w:rsidR="00F2213E" w:rsidRPr="00FE4C36" w:rsidRDefault="00F2213E" w:rsidP="009F723B">
            <w:pPr>
              <w:spacing w:after="40"/>
              <w:jc w:val="center"/>
              <w:rPr>
                <w:i/>
                <w:iCs/>
              </w:rPr>
            </w:pPr>
            <w:r w:rsidRPr="00FE4C36">
              <w:rPr>
                <w:rFonts w:cs="Calibri"/>
                <w:i/>
                <w:iCs/>
                <w:color w:val="000000"/>
              </w:rPr>
              <w:t>679</w:t>
            </w:r>
          </w:p>
        </w:tc>
        <w:tc>
          <w:tcPr>
            <w:tcW w:w="595" w:type="pct"/>
            <w:tcBorders>
              <w:bottom w:val="single" w:sz="4" w:space="0" w:color="auto"/>
            </w:tcBorders>
            <w:noWrap/>
            <w:vAlign w:val="center"/>
          </w:tcPr>
          <w:p w14:paraId="285A666E" w14:textId="77777777" w:rsidR="00F2213E" w:rsidRPr="00FE4C36" w:rsidRDefault="00F2213E" w:rsidP="009F723B">
            <w:pPr>
              <w:spacing w:after="40"/>
              <w:jc w:val="center"/>
              <w:rPr>
                <w:i/>
                <w:iCs/>
              </w:rPr>
            </w:pPr>
            <w:r w:rsidRPr="00FE4C36">
              <w:rPr>
                <w:rFonts w:cs="Calibri"/>
                <w:i/>
                <w:iCs/>
                <w:color w:val="000000"/>
              </w:rPr>
              <w:t>945</w:t>
            </w:r>
          </w:p>
        </w:tc>
        <w:tc>
          <w:tcPr>
            <w:tcW w:w="534" w:type="pct"/>
            <w:tcBorders>
              <w:bottom w:val="single" w:sz="4" w:space="0" w:color="auto"/>
            </w:tcBorders>
            <w:noWrap/>
            <w:vAlign w:val="center"/>
          </w:tcPr>
          <w:p w14:paraId="2F184AC6" w14:textId="77777777" w:rsidR="00F2213E" w:rsidRPr="00FE4C36" w:rsidRDefault="00F2213E" w:rsidP="009F723B">
            <w:pPr>
              <w:spacing w:after="40"/>
              <w:jc w:val="center"/>
              <w:rPr>
                <w:i/>
                <w:iCs/>
              </w:rPr>
            </w:pPr>
            <w:r w:rsidRPr="00FE4C36">
              <w:rPr>
                <w:rFonts w:cs="Calibri"/>
                <w:i/>
                <w:iCs/>
                <w:color w:val="000000"/>
              </w:rPr>
              <w:t>1229</w:t>
            </w:r>
          </w:p>
        </w:tc>
        <w:tc>
          <w:tcPr>
            <w:tcW w:w="692" w:type="pct"/>
            <w:tcBorders>
              <w:bottom w:val="single" w:sz="4" w:space="0" w:color="auto"/>
            </w:tcBorders>
            <w:noWrap/>
            <w:vAlign w:val="center"/>
          </w:tcPr>
          <w:p w14:paraId="51F96C57" w14:textId="77777777" w:rsidR="00F2213E" w:rsidRPr="00FE4C36" w:rsidRDefault="00F2213E" w:rsidP="009F723B">
            <w:pPr>
              <w:spacing w:after="40"/>
              <w:jc w:val="center"/>
              <w:rPr>
                <w:i/>
                <w:iCs/>
              </w:rPr>
            </w:pPr>
            <w:r w:rsidRPr="00FE4C36">
              <w:rPr>
                <w:rFonts w:cs="Calibri"/>
                <w:i/>
                <w:iCs/>
                <w:color w:val="000000"/>
              </w:rPr>
              <w:t>1531</w:t>
            </w:r>
          </w:p>
        </w:tc>
      </w:tr>
      <w:tr w:rsidR="00F2213E" w:rsidRPr="00EC194D" w14:paraId="281300FD" w14:textId="77777777" w:rsidTr="00EF3383">
        <w:trPr>
          <w:cantSplit/>
          <w:trHeight w:val="70"/>
        </w:trPr>
        <w:tc>
          <w:tcPr>
            <w:tcW w:w="2001" w:type="pct"/>
            <w:tcBorders>
              <w:bottom w:val="single" w:sz="4" w:space="0" w:color="auto"/>
            </w:tcBorders>
            <w:noWrap/>
            <w:vAlign w:val="center"/>
          </w:tcPr>
          <w:p w14:paraId="6005B2E1" w14:textId="77777777" w:rsidR="00F2213E" w:rsidRPr="00FE4C36" w:rsidRDefault="00F2213E" w:rsidP="009F723B">
            <w:pPr>
              <w:pStyle w:val="Tabletext"/>
              <w:tabs>
                <w:tab w:val="left" w:pos="204"/>
              </w:tabs>
              <w:rPr>
                <w:i/>
                <w:iCs/>
              </w:rPr>
            </w:pPr>
            <w:r w:rsidRPr="00FE4C36">
              <w:rPr>
                <w:i/>
                <w:iCs/>
              </w:rPr>
              <w:tab/>
              <w:t>Number of services: Level 2 HSAT</w:t>
            </w:r>
            <w:r>
              <w:rPr>
                <w:i/>
                <w:iCs/>
              </w:rPr>
              <w:t>/</w:t>
            </w:r>
            <w:r w:rsidRPr="00FE4C36">
              <w:rPr>
                <w:i/>
                <w:iCs/>
              </w:rPr>
              <w:t>PAT</w:t>
            </w:r>
          </w:p>
        </w:tc>
        <w:tc>
          <w:tcPr>
            <w:tcW w:w="644" w:type="pct"/>
            <w:tcBorders>
              <w:bottom w:val="single" w:sz="4" w:space="0" w:color="auto"/>
            </w:tcBorders>
            <w:noWrap/>
            <w:vAlign w:val="center"/>
          </w:tcPr>
          <w:p w14:paraId="55AC46D1" w14:textId="77777777" w:rsidR="00F2213E" w:rsidRPr="00FE4C36" w:rsidRDefault="00F2213E" w:rsidP="009F723B">
            <w:pPr>
              <w:spacing w:after="40"/>
              <w:jc w:val="center"/>
              <w:rPr>
                <w:i/>
                <w:iCs/>
              </w:rPr>
            </w:pPr>
            <w:r w:rsidRPr="00FE4C36">
              <w:rPr>
                <w:rFonts w:cs="Calibri"/>
                <w:i/>
                <w:iCs/>
                <w:color w:val="000000"/>
              </w:rPr>
              <w:t>9,577</w:t>
            </w:r>
          </w:p>
        </w:tc>
        <w:tc>
          <w:tcPr>
            <w:tcW w:w="534" w:type="pct"/>
            <w:tcBorders>
              <w:bottom w:val="single" w:sz="4" w:space="0" w:color="auto"/>
            </w:tcBorders>
            <w:noWrap/>
            <w:vAlign w:val="center"/>
          </w:tcPr>
          <w:p w14:paraId="4D259B0A" w14:textId="77777777" w:rsidR="00F2213E" w:rsidRPr="00FE4C36" w:rsidRDefault="00F2213E" w:rsidP="009F723B">
            <w:pPr>
              <w:spacing w:after="40"/>
              <w:jc w:val="center"/>
              <w:rPr>
                <w:i/>
                <w:iCs/>
              </w:rPr>
            </w:pPr>
            <w:r w:rsidRPr="00FE4C36">
              <w:rPr>
                <w:rFonts w:cs="Calibri"/>
                <w:i/>
                <w:iCs/>
                <w:color w:val="000000"/>
              </w:rPr>
              <w:t>14,981</w:t>
            </w:r>
          </w:p>
        </w:tc>
        <w:tc>
          <w:tcPr>
            <w:tcW w:w="595" w:type="pct"/>
            <w:tcBorders>
              <w:bottom w:val="single" w:sz="4" w:space="0" w:color="auto"/>
            </w:tcBorders>
            <w:noWrap/>
            <w:vAlign w:val="center"/>
          </w:tcPr>
          <w:p w14:paraId="36B9A3AD" w14:textId="77777777" w:rsidR="00F2213E" w:rsidRPr="00FE4C36" w:rsidRDefault="00F2213E" w:rsidP="009F723B">
            <w:pPr>
              <w:spacing w:after="40"/>
              <w:jc w:val="center"/>
              <w:rPr>
                <w:i/>
                <w:iCs/>
              </w:rPr>
            </w:pPr>
            <w:r w:rsidRPr="00FE4C36">
              <w:rPr>
                <w:rFonts w:cs="Calibri"/>
                <w:i/>
                <w:iCs/>
                <w:color w:val="000000"/>
              </w:rPr>
              <w:t>20,855</w:t>
            </w:r>
          </w:p>
        </w:tc>
        <w:tc>
          <w:tcPr>
            <w:tcW w:w="534" w:type="pct"/>
            <w:tcBorders>
              <w:bottom w:val="single" w:sz="4" w:space="0" w:color="auto"/>
            </w:tcBorders>
            <w:noWrap/>
            <w:vAlign w:val="center"/>
          </w:tcPr>
          <w:p w14:paraId="0AC903E9" w14:textId="77777777" w:rsidR="00F2213E" w:rsidRPr="00FE4C36" w:rsidRDefault="00F2213E" w:rsidP="009F723B">
            <w:pPr>
              <w:spacing w:after="40"/>
              <w:jc w:val="center"/>
              <w:rPr>
                <w:i/>
                <w:iCs/>
              </w:rPr>
            </w:pPr>
            <w:r w:rsidRPr="00FE4C36">
              <w:rPr>
                <w:rFonts w:cs="Calibri"/>
                <w:i/>
                <w:iCs/>
                <w:color w:val="000000"/>
              </w:rPr>
              <w:t>27,119</w:t>
            </w:r>
          </w:p>
        </w:tc>
        <w:tc>
          <w:tcPr>
            <w:tcW w:w="692" w:type="pct"/>
            <w:tcBorders>
              <w:bottom w:val="single" w:sz="4" w:space="0" w:color="auto"/>
            </w:tcBorders>
            <w:noWrap/>
            <w:vAlign w:val="center"/>
          </w:tcPr>
          <w:p w14:paraId="5CA7AFE0" w14:textId="77777777" w:rsidR="00F2213E" w:rsidRPr="00FE4C36" w:rsidRDefault="00F2213E" w:rsidP="009F723B">
            <w:pPr>
              <w:spacing w:after="40"/>
              <w:jc w:val="center"/>
              <w:rPr>
                <w:i/>
                <w:iCs/>
              </w:rPr>
            </w:pPr>
            <w:r w:rsidRPr="00FE4C36">
              <w:rPr>
                <w:rFonts w:cs="Calibri"/>
                <w:i/>
                <w:iCs/>
                <w:color w:val="000000"/>
              </w:rPr>
              <w:t>33,794</w:t>
            </w:r>
          </w:p>
        </w:tc>
      </w:tr>
      <w:tr w:rsidR="00F2213E" w:rsidRPr="00EC194D" w14:paraId="70347BE8" w14:textId="77777777" w:rsidTr="00EF3383">
        <w:trPr>
          <w:cantSplit/>
          <w:trHeight w:val="70"/>
        </w:trPr>
        <w:tc>
          <w:tcPr>
            <w:tcW w:w="2001" w:type="pct"/>
            <w:tcBorders>
              <w:bottom w:val="single" w:sz="4" w:space="0" w:color="auto"/>
            </w:tcBorders>
            <w:noWrap/>
            <w:vAlign w:val="center"/>
          </w:tcPr>
          <w:p w14:paraId="7C19B0DD" w14:textId="77777777" w:rsidR="00F2213E" w:rsidRDefault="00F2213E" w:rsidP="009F723B">
            <w:pPr>
              <w:pStyle w:val="Tabletext"/>
              <w:tabs>
                <w:tab w:val="left" w:pos="204"/>
              </w:tabs>
            </w:pPr>
            <w:r>
              <w:tab/>
              <w:t>Number of services: Total HSAT/PAT</w:t>
            </w:r>
          </w:p>
        </w:tc>
        <w:tc>
          <w:tcPr>
            <w:tcW w:w="644" w:type="pct"/>
            <w:tcBorders>
              <w:bottom w:val="single" w:sz="4" w:space="0" w:color="auto"/>
            </w:tcBorders>
            <w:noWrap/>
            <w:vAlign w:val="center"/>
          </w:tcPr>
          <w:p w14:paraId="00A30F04" w14:textId="77777777" w:rsidR="00F2213E" w:rsidRPr="007819B3" w:rsidRDefault="00F2213E" w:rsidP="009F723B">
            <w:pPr>
              <w:spacing w:after="40"/>
              <w:jc w:val="center"/>
            </w:pPr>
            <w:r>
              <w:t>10,011</w:t>
            </w:r>
          </w:p>
        </w:tc>
        <w:tc>
          <w:tcPr>
            <w:tcW w:w="534" w:type="pct"/>
            <w:tcBorders>
              <w:bottom w:val="single" w:sz="4" w:space="0" w:color="auto"/>
            </w:tcBorders>
            <w:noWrap/>
            <w:vAlign w:val="center"/>
          </w:tcPr>
          <w:p w14:paraId="0A83C255" w14:textId="77777777" w:rsidR="00F2213E" w:rsidRPr="007819B3" w:rsidRDefault="00F2213E" w:rsidP="009F723B">
            <w:pPr>
              <w:spacing w:after="40"/>
              <w:jc w:val="center"/>
            </w:pPr>
            <w:r>
              <w:t>15,660</w:t>
            </w:r>
          </w:p>
        </w:tc>
        <w:tc>
          <w:tcPr>
            <w:tcW w:w="595" w:type="pct"/>
            <w:tcBorders>
              <w:bottom w:val="single" w:sz="4" w:space="0" w:color="auto"/>
            </w:tcBorders>
            <w:noWrap/>
            <w:vAlign w:val="center"/>
          </w:tcPr>
          <w:p w14:paraId="7BC2DAFE" w14:textId="77777777" w:rsidR="00F2213E" w:rsidRPr="007819B3" w:rsidRDefault="00F2213E" w:rsidP="009F723B">
            <w:pPr>
              <w:spacing w:after="40"/>
              <w:jc w:val="center"/>
            </w:pPr>
            <w:r>
              <w:t>21,800</w:t>
            </w:r>
          </w:p>
        </w:tc>
        <w:tc>
          <w:tcPr>
            <w:tcW w:w="534" w:type="pct"/>
            <w:tcBorders>
              <w:bottom w:val="single" w:sz="4" w:space="0" w:color="auto"/>
            </w:tcBorders>
            <w:noWrap/>
            <w:vAlign w:val="center"/>
          </w:tcPr>
          <w:p w14:paraId="7D583CBE" w14:textId="77777777" w:rsidR="00F2213E" w:rsidRPr="007819B3" w:rsidRDefault="00F2213E" w:rsidP="009F723B">
            <w:pPr>
              <w:spacing w:after="40"/>
              <w:jc w:val="center"/>
            </w:pPr>
            <w:r>
              <w:t>28,347</w:t>
            </w:r>
          </w:p>
        </w:tc>
        <w:tc>
          <w:tcPr>
            <w:tcW w:w="692" w:type="pct"/>
            <w:tcBorders>
              <w:bottom w:val="single" w:sz="4" w:space="0" w:color="auto"/>
            </w:tcBorders>
            <w:noWrap/>
            <w:vAlign w:val="center"/>
          </w:tcPr>
          <w:p w14:paraId="3D1F2E00" w14:textId="77777777" w:rsidR="00F2213E" w:rsidRPr="007819B3" w:rsidRDefault="00F2213E" w:rsidP="009F723B">
            <w:pPr>
              <w:spacing w:after="40"/>
              <w:jc w:val="center"/>
            </w:pPr>
            <w:r>
              <w:t>35,326</w:t>
            </w:r>
          </w:p>
        </w:tc>
      </w:tr>
      <w:tr w:rsidR="00F2213E" w:rsidRPr="00EC194D" w14:paraId="22D9A593" w14:textId="77777777" w:rsidTr="00EF3383">
        <w:trPr>
          <w:cantSplit/>
          <w:trHeight w:val="70"/>
        </w:trPr>
        <w:tc>
          <w:tcPr>
            <w:tcW w:w="2001" w:type="pct"/>
            <w:tcBorders>
              <w:bottom w:val="single" w:sz="4" w:space="0" w:color="auto"/>
            </w:tcBorders>
            <w:noWrap/>
            <w:vAlign w:val="center"/>
          </w:tcPr>
          <w:p w14:paraId="28825F2E" w14:textId="77777777" w:rsidR="00F2213E" w:rsidRDefault="00F2213E" w:rsidP="009F723B">
            <w:pPr>
              <w:pStyle w:val="Tabletext"/>
              <w:tabs>
                <w:tab w:val="left" w:pos="204"/>
              </w:tabs>
            </w:pPr>
            <w:r>
              <w:tab/>
              <w:t>Cost: HSAT/PAT</w:t>
            </w:r>
          </w:p>
        </w:tc>
        <w:tc>
          <w:tcPr>
            <w:tcW w:w="644" w:type="pct"/>
            <w:tcBorders>
              <w:bottom w:val="single" w:sz="4" w:space="0" w:color="auto"/>
            </w:tcBorders>
            <w:noWrap/>
            <w:vAlign w:val="center"/>
          </w:tcPr>
          <w:p w14:paraId="2C8A30C4" w14:textId="77777777" w:rsidR="00F2213E" w:rsidRPr="004876ED" w:rsidRDefault="00F2213E" w:rsidP="009F723B">
            <w:pPr>
              <w:spacing w:after="40"/>
              <w:jc w:val="center"/>
            </w:pPr>
            <w:r w:rsidRPr="004876ED">
              <w:rPr>
                <w:rFonts w:cs="Calibri"/>
                <w:color w:val="000000"/>
              </w:rPr>
              <w:t>$4,908,439</w:t>
            </w:r>
          </w:p>
        </w:tc>
        <w:tc>
          <w:tcPr>
            <w:tcW w:w="534" w:type="pct"/>
            <w:tcBorders>
              <w:bottom w:val="single" w:sz="4" w:space="0" w:color="auto"/>
            </w:tcBorders>
            <w:noWrap/>
            <w:vAlign w:val="center"/>
          </w:tcPr>
          <w:p w14:paraId="4C7DACDD" w14:textId="77777777" w:rsidR="00F2213E" w:rsidRPr="004876ED" w:rsidRDefault="00F2213E" w:rsidP="009F723B">
            <w:pPr>
              <w:spacing w:after="40"/>
              <w:jc w:val="center"/>
            </w:pPr>
            <w:r w:rsidRPr="004876ED">
              <w:rPr>
                <w:rFonts w:cs="Calibri"/>
                <w:color w:val="000000"/>
              </w:rPr>
              <w:t>$7,678,235</w:t>
            </w:r>
          </w:p>
        </w:tc>
        <w:tc>
          <w:tcPr>
            <w:tcW w:w="595" w:type="pct"/>
            <w:tcBorders>
              <w:bottom w:val="single" w:sz="4" w:space="0" w:color="auto"/>
            </w:tcBorders>
            <w:noWrap/>
            <w:vAlign w:val="center"/>
          </w:tcPr>
          <w:p w14:paraId="0C5D7613" w14:textId="77777777" w:rsidR="00F2213E" w:rsidRPr="004876ED" w:rsidRDefault="00F2213E" w:rsidP="009F723B">
            <w:pPr>
              <w:spacing w:after="40"/>
              <w:jc w:val="center"/>
            </w:pPr>
            <w:r w:rsidRPr="004876ED">
              <w:rPr>
                <w:rFonts w:cs="Calibri"/>
                <w:color w:val="000000"/>
              </w:rPr>
              <w:t>$10,688,469</w:t>
            </w:r>
          </w:p>
        </w:tc>
        <w:tc>
          <w:tcPr>
            <w:tcW w:w="534" w:type="pct"/>
            <w:tcBorders>
              <w:bottom w:val="single" w:sz="4" w:space="0" w:color="auto"/>
            </w:tcBorders>
            <w:noWrap/>
            <w:vAlign w:val="center"/>
          </w:tcPr>
          <w:p w14:paraId="78877DEE" w14:textId="77777777" w:rsidR="00F2213E" w:rsidRPr="004876ED" w:rsidRDefault="00F2213E" w:rsidP="009F723B">
            <w:pPr>
              <w:spacing w:after="40"/>
              <w:jc w:val="center"/>
            </w:pPr>
            <w:r w:rsidRPr="004876ED">
              <w:rPr>
                <w:rFonts w:cs="Calibri"/>
                <w:color w:val="000000"/>
              </w:rPr>
              <w:t>$13,898,853</w:t>
            </w:r>
          </w:p>
        </w:tc>
        <w:tc>
          <w:tcPr>
            <w:tcW w:w="692" w:type="pct"/>
            <w:tcBorders>
              <w:bottom w:val="single" w:sz="4" w:space="0" w:color="auto"/>
            </w:tcBorders>
            <w:noWrap/>
            <w:vAlign w:val="center"/>
          </w:tcPr>
          <w:p w14:paraId="00F71B29" w14:textId="77777777" w:rsidR="00F2213E" w:rsidRPr="004876ED" w:rsidRDefault="00F2213E" w:rsidP="009F723B">
            <w:pPr>
              <w:spacing w:after="40"/>
              <w:jc w:val="center"/>
            </w:pPr>
            <w:r w:rsidRPr="004876ED">
              <w:rPr>
                <w:rFonts w:cs="Calibri"/>
                <w:color w:val="000000"/>
              </w:rPr>
              <w:t>$17,320,335</w:t>
            </w:r>
          </w:p>
        </w:tc>
      </w:tr>
      <w:tr w:rsidR="00F2213E" w:rsidRPr="00EC194D" w14:paraId="6523F914" w14:textId="77777777" w:rsidTr="00EF3383">
        <w:trPr>
          <w:cantSplit/>
          <w:trHeight w:val="70"/>
        </w:trPr>
        <w:tc>
          <w:tcPr>
            <w:tcW w:w="2001" w:type="pct"/>
            <w:tcBorders>
              <w:bottom w:val="single" w:sz="4" w:space="0" w:color="auto"/>
            </w:tcBorders>
            <w:noWrap/>
            <w:vAlign w:val="center"/>
          </w:tcPr>
          <w:p w14:paraId="12B1BC4B" w14:textId="77777777" w:rsidR="00F2213E" w:rsidRPr="003B1D53" w:rsidRDefault="00F2213E" w:rsidP="009F723B">
            <w:pPr>
              <w:pStyle w:val="Tabletext"/>
              <w:tabs>
                <w:tab w:val="left" w:pos="204"/>
              </w:tabs>
            </w:pPr>
            <w:r w:rsidRPr="003B1D53">
              <w:t>Cost: Level 1 and Level 2 plus HSAT</w:t>
            </w:r>
            <w:r>
              <w:t>/</w:t>
            </w:r>
            <w:r w:rsidRPr="003B1D53">
              <w:t>PAT</w:t>
            </w:r>
          </w:p>
        </w:tc>
        <w:tc>
          <w:tcPr>
            <w:tcW w:w="644" w:type="pct"/>
            <w:tcBorders>
              <w:bottom w:val="single" w:sz="4" w:space="0" w:color="auto"/>
            </w:tcBorders>
            <w:noWrap/>
            <w:vAlign w:val="center"/>
          </w:tcPr>
          <w:p w14:paraId="47913797" w14:textId="77777777" w:rsidR="00F2213E" w:rsidRPr="003B1D53" w:rsidRDefault="00F2213E" w:rsidP="009F723B">
            <w:pPr>
              <w:spacing w:after="40"/>
              <w:jc w:val="center"/>
            </w:pPr>
            <w:r w:rsidRPr="003B1D53">
              <w:rPr>
                <w:rFonts w:cs="Calibri"/>
                <w:color w:val="000000"/>
              </w:rPr>
              <w:t>$78,295,744</w:t>
            </w:r>
          </w:p>
        </w:tc>
        <w:tc>
          <w:tcPr>
            <w:tcW w:w="534" w:type="pct"/>
            <w:tcBorders>
              <w:bottom w:val="single" w:sz="4" w:space="0" w:color="auto"/>
            </w:tcBorders>
            <w:noWrap/>
            <w:vAlign w:val="center"/>
          </w:tcPr>
          <w:p w14:paraId="290E6FBD" w14:textId="77777777" w:rsidR="00F2213E" w:rsidRPr="003B1D53" w:rsidRDefault="00F2213E" w:rsidP="009F723B">
            <w:pPr>
              <w:spacing w:after="40"/>
              <w:jc w:val="center"/>
            </w:pPr>
            <w:r w:rsidRPr="003B1D53">
              <w:rPr>
                <w:rFonts w:cs="Calibri"/>
                <w:color w:val="000000"/>
              </w:rPr>
              <w:t>$81,589,616</w:t>
            </w:r>
          </w:p>
        </w:tc>
        <w:tc>
          <w:tcPr>
            <w:tcW w:w="595" w:type="pct"/>
            <w:tcBorders>
              <w:bottom w:val="single" w:sz="4" w:space="0" w:color="auto"/>
            </w:tcBorders>
            <w:noWrap/>
            <w:vAlign w:val="center"/>
          </w:tcPr>
          <w:p w14:paraId="29E17995" w14:textId="77777777" w:rsidR="00F2213E" w:rsidRPr="003B1D53" w:rsidRDefault="00F2213E" w:rsidP="009F723B">
            <w:pPr>
              <w:spacing w:after="40"/>
              <w:jc w:val="center"/>
            </w:pPr>
            <w:r w:rsidRPr="003B1D53">
              <w:rPr>
                <w:rFonts w:cs="Calibri"/>
                <w:color w:val="000000"/>
              </w:rPr>
              <w:t>$85,118,422</w:t>
            </w:r>
          </w:p>
        </w:tc>
        <w:tc>
          <w:tcPr>
            <w:tcW w:w="534" w:type="pct"/>
            <w:tcBorders>
              <w:bottom w:val="single" w:sz="4" w:space="0" w:color="auto"/>
            </w:tcBorders>
            <w:noWrap/>
            <w:vAlign w:val="center"/>
          </w:tcPr>
          <w:p w14:paraId="4A020D63" w14:textId="77777777" w:rsidR="00F2213E" w:rsidRPr="003B1D53" w:rsidRDefault="00F2213E" w:rsidP="009F723B">
            <w:pPr>
              <w:spacing w:after="40"/>
              <w:jc w:val="center"/>
            </w:pPr>
            <w:r w:rsidRPr="003B1D53">
              <w:rPr>
                <w:rFonts w:cs="Calibri"/>
                <w:color w:val="000000"/>
              </w:rPr>
              <w:t>$88,479,540</w:t>
            </w:r>
          </w:p>
        </w:tc>
        <w:tc>
          <w:tcPr>
            <w:tcW w:w="692" w:type="pct"/>
            <w:tcBorders>
              <w:bottom w:val="single" w:sz="4" w:space="0" w:color="auto"/>
            </w:tcBorders>
            <w:noWrap/>
            <w:vAlign w:val="center"/>
          </w:tcPr>
          <w:p w14:paraId="4BC87B03" w14:textId="77777777" w:rsidR="00F2213E" w:rsidRPr="003B1D53" w:rsidRDefault="00F2213E" w:rsidP="009F723B">
            <w:pPr>
              <w:spacing w:after="40"/>
              <w:jc w:val="center"/>
            </w:pPr>
            <w:r w:rsidRPr="003B1D53">
              <w:rPr>
                <w:rFonts w:cs="Calibri"/>
                <w:color w:val="000000"/>
              </w:rPr>
              <w:t>$91,813,448</w:t>
            </w:r>
          </w:p>
        </w:tc>
      </w:tr>
      <w:tr w:rsidR="00F2213E" w:rsidRPr="00EC194D" w14:paraId="314E9EDA" w14:textId="77777777" w:rsidTr="00EF3383">
        <w:trPr>
          <w:cantSplit/>
          <w:trHeight w:val="70"/>
        </w:trPr>
        <w:tc>
          <w:tcPr>
            <w:tcW w:w="2001" w:type="pct"/>
            <w:tcBorders>
              <w:bottom w:val="single" w:sz="4" w:space="0" w:color="auto"/>
            </w:tcBorders>
            <w:noWrap/>
            <w:vAlign w:val="center"/>
          </w:tcPr>
          <w:p w14:paraId="3017700C" w14:textId="77777777" w:rsidR="00F2213E" w:rsidRDefault="00F2213E" w:rsidP="009F723B">
            <w:pPr>
              <w:pStyle w:val="Tabletext"/>
              <w:tabs>
                <w:tab w:val="left" w:pos="204"/>
              </w:tabs>
            </w:pPr>
            <w:r>
              <w:t>Cost: Level 1 and Level 2 without HSAT/PAT</w:t>
            </w:r>
          </w:p>
        </w:tc>
        <w:tc>
          <w:tcPr>
            <w:tcW w:w="644" w:type="pct"/>
            <w:tcBorders>
              <w:bottom w:val="single" w:sz="4" w:space="0" w:color="auto"/>
            </w:tcBorders>
            <w:noWrap/>
            <w:vAlign w:val="center"/>
          </w:tcPr>
          <w:p w14:paraId="0E3258E6" w14:textId="77777777" w:rsidR="00F2213E" w:rsidRPr="004876ED" w:rsidRDefault="00F2213E" w:rsidP="009F723B">
            <w:pPr>
              <w:spacing w:after="40"/>
              <w:jc w:val="center"/>
            </w:pPr>
            <w:r w:rsidRPr="004876ED">
              <w:rPr>
                <w:rFonts w:cs="Calibri"/>
                <w:color w:val="000000"/>
              </w:rPr>
              <w:t>$78,416,606</w:t>
            </w:r>
          </w:p>
        </w:tc>
        <w:tc>
          <w:tcPr>
            <w:tcW w:w="534" w:type="pct"/>
            <w:tcBorders>
              <w:bottom w:val="single" w:sz="4" w:space="0" w:color="auto"/>
            </w:tcBorders>
            <w:noWrap/>
            <w:vAlign w:val="center"/>
          </w:tcPr>
          <w:p w14:paraId="3C892F8B" w14:textId="77777777" w:rsidR="00F2213E" w:rsidRPr="004876ED" w:rsidRDefault="00F2213E" w:rsidP="009F723B">
            <w:pPr>
              <w:spacing w:after="40"/>
              <w:jc w:val="center"/>
            </w:pPr>
            <w:r w:rsidRPr="004876ED">
              <w:rPr>
                <w:rFonts w:cs="Calibri"/>
                <w:color w:val="000000"/>
              </w:rPr>
              <w:t>$81,778,684</w:t>
            </w:r>
          </w:p>
        </w:tc>
        <w:tc>
          <w:tcPr>
            <w:tcW w:w="595" w:type="pct"/>
            <w:tcBorders>
              <w:bottom w:val="single" w:sz="4" w:space="0" w:color="auto"/>
            </w:tcBorders>
            <w:noWrap/>
            <w:vAlign w:val="center"/>
          </w:tcPr>
          <w:p w14:paraId="75F1C5FA" w14:textId="77777777" w:rsidR="00F2213E" w:rsidRPr="004876ED" w:rsidRDefault="00F2213E" w:rsidP="009F723B">
            <w:pPr>
              <w:spacing w:after="40"/>
              <w:jc w:val="center"/>
            </w:pPr>
            <w:r w:rsidRPr="004876ED">
              <w:rPr>
                <w:rFonts w:cs="Calibri"/>
                <w:color w:val="000000"/>
              </w:rPr>
              <w:t>$85,381,623</w:t>
            </w:r>
          </w:p>
        </w:tc>
        <w:tc>
          <w:tcPr>
            <w:tcW w:w="534" w:type="pct"/>
            <w:tcBorders>
              <w:bottom w:val="single" w:sz="4" w:space="0" w:color="auto"/>
            </w:tcBorders>
            <w:noWrap/>
            <w:vAlign w:val="center"/>
          </w:tcPr>
          <w:p w14:paraId="574509E5" w14:textId="77777777" w:rsidR="00F2213E" w:rsidRPr="004876ED" w:rsidRDefault="00F2213E" w:rsidP="009F723B">
            <w:pPr>
              <w:spacing w:after="40"/>
              <w:jc w:val="center"/>
            </w:pPr>
            <w:r w:rsidRPr="004876ED">
              <w:rPr>
                <w:rFonts w:cs="Calibri"/>
                <w:color w:val="000000"/>
              </w:rPr>
              <w:t>$88,821,799</w:t>
            </w:r>
          </w:p>
        </w:tc>
        <w:tc>
          <w:tcPr>
            <w:tcW w:w="692" w:type="pct"/>
            <w:tcBorders>
              <w:bottom w:val="single" w:sz="4" w:space="0" w:color="auto"/>
            </w:tcBorders>
            <w:noWrap/>
            <w:vAlign w:val="center"/>
          </w:tcPr>
          <w:p w14:paraId="0E997C9F" w14:textId="77777777" w:rsidR="00F2213E" w:rsidRPr="004876ED" w:rsidRDefault="00F2213E" w:rsidP="009F723B">
            <w:pPr>
              <w:spacing w:after="40"/>
              <w:jc w:val="center"/>
            </w:pPr>
            <w:r w:rsidRPr="004876ED">
              <w:rPr>
                <w:rFonts w:cs="Calibri"/>
                <w:color w:val="000000"/>
              </w:rPr>
              <w:t>$92,239,966</w:t>
            </w:r>
          </w:p>
        </w:tc>
      </w:tr>
      <w:tr w:rsidR="00F2213E" w:rsidRPr="005B5219" w14:paraId="7ACFC77D" w14:textId="77777777" w:rsidTr="00EF3383">
        <w:trPr>
          <w:cantSplit/>
          <w:trHeight w:val="70"/>
        </w:trPr>
        <w:tc>
          <w:tcPr>
            <w:tcW w:w="2001" w:type="pct"/>
            <w:noWrap/>
            <w:vAlign w:val="center"/>
          </w:tcPr>
          <w:p w14:paraId="3030E8CA" w14:textId="77777777" w:rsidR="00F2213E" w:rsidRPr="005B5219" w:rsidRDefault="00F2213E" w:rsidP="009F723B">
            <w:pPr>
              <w:pStyle w:val="Tabletext"/>
              <w:tabs>
                <w:tab w:val="left" w:pos="204"/>
              </w:tabs>
              <w:rPr>
                <w:b/>
                <w:bCs/>
              </w:rPr>
            </w:pPr>
            <w:r w:rsidRPr="005B5219">
              <w:rPr>
                <w:b/>
                <w:bCs/>
              </w:rPr>
              <w:t>Net MBS cost</w:t>
            </w:r>
          </w:p>
        </w:tc>
        <w:tc>
          <w:tcPr>
            <w:tcW w:w="644" w:type="pct"/>
            <w:noWrap/>
            <w:vAlign w:val="center"/>
          </w:tcPr>
          <w:p w14:paraId="5F5F4DD2" w14:textId="77777777" w:rsidR="00F2213E" w:rsidRPr="004876ED" w:rsidRDefault="00F2213E" w:rsidP="009F723B">
            <w:pPr>
              <w:spacing w:after="40"/>
              <w:jc w:val="center"/>
              <w:rPr>
                <w:b/>
                <w:bCs/>
              </w:rPr>
            </w:pPr>
            <w:r w:rsidRPr="004876ED">
              <w:rPr>
                <w:rFonts w:cs="Calibri"/>
                <w:b/>
                <w:bCs/>
                <w:color w:val="000000"/>
              </w:rPr>
              <w:t>-$120,862</w:t>
            </w:r>
          </w:p>
        </w:tc>
        <w:tc>
          <w:tcPr>
            <w:tcW w:w="534" w:type="pct"/>
            <w:noWrap/>
            <w:vAlign w:val="center"/>
          </w:tcPr>
          <w:p w14:paraId="66395338" w14:textId="77777777" w:rsidR="00F2213E" w:rsidRPr="004876ED" w:rsidRDefault="00F2213E" w:rsidP="009F723B">
            <w:pPr>
              <w:spacing w:after="40"/>
              <w:jc w:val="center"/>
              <w:rPr>
                <w:b/>
                <w:bCs/>
              </w:rPr>
            </w:pPr>
            <w:r w:rsidRPr="004876ED">
              <w:rPr>
                <w:rFonts w:cs="Calibri"/>
                <w:b/>
                <w:bCs/>
                <w:color w:val="000000"/>
              </w:rPr>
              <w:t>-$189,068</w:t>
            </w:r>
          </w:p>
        </w:tc>
        <w:tc>
          <w:tcPr>
            <w:tcW w:w="595" w:type="pct"/>
            <w:noWrap/>
            <w:vAlign w:val="center"/>
          </w:tcPr>
          <w:p w14:paraId="403A74B1" w14:textId="77777777" w:rsidR="00F2213E" w:rsidRPr="004876ED" w:rsidRDefault="00F2213E" w:rsidP="009F723B">
            <w:pPr>
              <w:spacing w:after="40"/>
              <w:jc w:val="center"/>
              <w:rPr>
                <w:b/>
                <w:bCs/>
              </w:rPr>
            </w:pPr>
            <w:r w:rsidRPr="004876ED">
              <w:rPr>
                <w:rFonts w:cs="Calibri"/>
                <w:b/>
                <w:bCs/>
                <w:color w:val="000000"/>
              </w:rPr>
              <w:t>-$263,201</w:t>
            </w:r>
          </w:p>
        </w:tc>
        <w:tc>
          <w:tcPr>
            <w:tcW w:w="534" w:type="pct"/>
            <w:noWrap/>
            <w:vAlign w:val="center"/>
          </w:tcPr>
          <w:p w14:paraId="1D9B92FA" w14:textId="77777777" w:rsidR="00F2213E" w:rsidRPr="004876ED" w:rsidRDefault="00F2213E" w:rsidP="009F723B">
            <w:pPr>
              <w:spacing w:after="40"/>
              <w:jc w:val="center"/>
              <w:rPr>
                <w:b/>
                <w:bCs/>
              </w:rPr>
            </w:pPr>
            <w:r w:rsidRPr="004876ED">
              <w:rPr>
                <w:rFonts w:cs="Calibri"/>
                <w:b/>
                <w:bCs/>
                <w:color w:val="000000"/>
              </w:rPr>
              <w:t>-$342,259</w:t>
            </w:r>
          </w:p>
        </w:tc>
        <w:tc>
          <w:tcPr>
            <w:tcW w:w="692" w:type="pct"/>
            <w:noWrap/>
            <w:vAlign w:val="center"/>
          </w:tcPr>
          <w:p w14:paraId="74625124" w14:textId="77777777" w:rsidR="00F2213E" w:rsidRPr="004876ED" w:rsidRDefault="00F2213E" w:rsidP="009F723B">
            <w:pPr>
              <w:spacing w:after="40"/>
              <w:jc w:val="center"/>
              <w:rPr>
                <w:b/>
                <w:bCs/>
              </w:rPr>
            </w:pPr>
            <w:r w:rsidRPr="004876ED">
              <w:rPr>
                <w:rFonts w:cs="Calibri"/>
                <w:b/>
                <w:bCs/>
                <w:color w:val="000000"/>
              </w:rPr>
              <w:t>-$426,518</w:t>
            </w:r>
          </w:p>
        </w:tc>
      </w:tr>
    </w:tbl>
    <w:p w14:paraId="3D458EAF" w14:textId="5CDDC359" w:rsidR="00F2213E" w:rsidRDefault="00F2213E" w:rsidP="00F2213E">
      <w:pPr>
        <w:rPr>
          <w:rFonts w:ascii="Arial Narrow" w:hAnsi="Arial Narrow"/>
          <w:sz w:val="18"/>
          <w:szCs w:val="18"/>
        </w:rPr>
      </w:pPr>
      <w:r w:rsidRPr="006D0F12">
        <w:rPr>
          <w:rFonts w:ascii="Arial Narrow" w:hAnsi="Arial Narrow"/>
          <w:sz w:val="18"/>
          <w:szCs w:val="18"/>
        </w:rPr>
        <w:t xml:space="preserve">Source: </w:t>
      </w:r>
      <w:r w:rsidR="00D05118">
        <w:rPr>
          <w:rFonts w:ascii="Arial Narrow" w:hAnsi="Arial Narrow"/>
          <w:sz w:val="18"/>
          <w:szCs w:val="18"/>
        </w:rPr>
        <w:t xml:space="preserve">Table 12, p31 of the Commentary, compiled based on </w:t>
      </w:r>
      <w:r>
        <w:rPr>
          <w:rFonts w:ascii="Arial Narrow" w:hAnsi="Arial Narrow"/>
          <w:sz w:val="18"/>
          <w:szCs w:val="18"/>
        </w:rPr>
        <w:t>Table 24, p108</w:t>
      </w:r>
      <w:r w:rsidR="00D05118">
        <w:rPr>
          <w:rFonts w:ascii="Arial Narrow" w:hAnsi="Arial Narrow"/>
          <w:sz w:val="18"/>
          <w:szCs w:val="18"/>
        </w:rPr>
        <w:t xml:space="preserve"> and</w:t>
      </w:r>
      <w:r>
        <w:rPr>
          <w:rFonts w:ascii="Arial Narrow" w:hAnsi="Arial Narrow"/>
          <w:sz w:val="18"/>
          <w:szCs w:val="18"/>
        </w:rPr>
        <w:t xml:space="preserve"> </w:t>
      </w:r>
      <w:r w:rsidRPr="006D0F12">
        <w:rPr>
          <w:rFonts w:ascii="Arial Narrow" w:hAnsi="Arial Narrow"/>
          <w:sz w:val="18"/>
          <w:szCs w:val="18"/>
        </w:rPr>
        <w:t xml:space="preserve">Table </w:t>
      </w:r>
      <w:r>
        <w:rPr>
          <w:rFonts w:ascii="Arial Narrow" w:hAnsi="Arial Narrow"/>
          <w:sz w:val="18"/>
          <w:szCs w:val="18"/>
        </w:rPr>
        <w:t>27</w:t>
      </w:r>
      <w:r w:rsidRPr="006D0F12">
        <w:rPr>
          <w:rFonts w:ascii="Arial Narrow" w:hAnsi="Arial Narrow"/>
          <w:sz w:val="18"/>
          <w:szCs w:val="18"/>
        </w:rPr>
        <w:t>, p</w:t>
      </w:r>
      <w:r>
        <w:rPr>
          <w:rFonts w:ascii="Arial Narrow" w:hAnsi="Arial Narrow"/>
          <w:sz w:val="18"/>
          <w:szCs w:val="18"/>
        </w:rPr>
        <w:t>112</w:t>
      </w:r>
      <w:r w:rsidRPr="006D0F12">
        <w:rPr>
          <w:rFonts w:ascii="Arial Narrow" w:hAnsi="Arial Narrow"/>
          <w:sz w:val="18"/>
          <w:szCs w:val="18"/>
        </w:rPr>
        <w:t xml:space="preserve"> of the ADAR</w:t>
      </w:r>
      <w:r>
        <w:rPr>
          <w:rFonts w:ascii="Arial Narrow" w:hAnsi="Arial Narrow"/>
          <w:sz w:val="18"/>
          <w:szCs w:val="18"/>
        </w:rPr>
        <w:t xml:space="preserve"> with Commentary additions in italics</w:t>
      </w:r>
      <w:r w:rsidR="00D05118">
        <w:rPr>
          <w:rFonts w:ascii="Arial Narrow" w:hAnsi="Arial Narrow"/>
          <w:sz w:val="18"/>
          <w:szCs w:val="18"/>
        </w:rPr>
        <w:t xml:space="preserve"> </w:t>
      </w:r>
    </w:p>
    <w:p w14:paraId="755F1F18" w14:textId="515E9B0A" w:rsidR="00F2213E" w:rsidRDefault="00F2213E" w:rsidP="00F2213E">
      <w:pPr>
        <w:rPr>
          <w:rStyle w:val="TablenotesChar"/>
        </w:rPr>
      </w:pPr>
      <w:r>
        <w:rPr>
          <w:rStyle w:val="TablenotesChar"/>
        </w:rPr>
        <w:t>Abbreviations: HSAT=home sleep apnoea test;</w:t>
      </w:r>
      <w:r w:rsidR="00EF3383">
        <w:rPr>
          <w:rStyle w:val="TablenotesChar"/>
        </w:rPr>
        <w:t xml:space="preserve"> MBS=Medicare Benefits Schedule;</w:t>
      </w:r>
      <w:r>
        <w:rPr>
          <w:rStyle w:val="TablenotesChar"/>
        </w:rPr>
        <w:t xml:space="preserve"> PAT=peripheral arterial tone</w:t>
      </w:r>
      <w:r w:rsidR="00EF3383">
        <w:rPr>
          <w:rStyle w:val="TablenotesChar"/>
        </w:rPr>
        <w:t>; PSG=polysomnography</w:t>
      </w:r>
    </w:p>
    <w:p w14:paraId="5D38C391" w14:textId="53FD8482" w:rsidR="00F2213E" w:rsidRPr="00EF3383" w:rsidRDefault="00EF3383" w:rsidP="007D5F6D">
      <w:pPr>
        <w:spacing w:before="240"/>
        <w:rPr>
          <w:snapToGrid w:val="0"/>
          <w:lang w:eastAsia="en-US"/>
        </w:rPr>
      </w:pPr>
      <w:r w:rsidRPr="00EF3383">
        <w:rPr>
          <w:snapToGrid w:val="0"/>
          <w:lang w:eastAsia="en-US"/>
        </w:rPr>
        <w:t>The commentary noted that a</w:t>
      </w:r>
      <w:r w:rsidR="00F2213E" w:rsidRPr="00EF3383">
        <w:rPr>
          <w:snapToGrid w:val="0"/>
          <w:lang w:eastAsia="en-US"/>
        </w:rPr>
        <w:t>pproximately half of the estimated cost saving is due to the lower requested price for the re-usable device ($30.00 less), which is used by 20% of patients, with the remainder due to use of HSAT/PAT instead of Level 1 PSG.</w:t>
      </w:r>
      <w:r w:rsidR="009F723B">
        <w:rPr>
          <w:snapToGrid w:val="0"/>
          <w:lang w:eastAsia="en-US"/>
        </w:rPr>
        <w:t xml:space="preserve"> </w:t>
      </w:r>
    </w:p>
    <w:p w14:paraId="338BC673" w14:textId="062C4320" w:rsidR="00F2213E" w:rsidRDefault="009F723B" w:rsidP="007D5F6D">
      <w:pPr>
        <w:spacing w:before="240"/>
        <w:rPr>
          <w:i/>
          <w:iCs/>
          <w:snapToGrid w:val="0"/>
          <w:lang w:eastAsia="en-US"/>
        </w:rPr>
      </w:pPr>
      <w:r>
        <w:rPr>
          <w:snapToGrid w:val="0"/>
          <w:lang w:eastAsia="en-US"/>
        </w:rPr>
        <w:t>The estimated impact to the MBS did not include the costs for</w:t>
      </w:r>
      <w:r w:rsidRPr="009F723B">
        <w:t xml:space="preserve"> </w:t>
      </w:r>
      <w:r w:rsidRPr="009F723B">
        <w:rPr>
          <w:snapToGrid w:val="0"/>
          <w:lang w:eastAsia="en-US"/>
        </w:rPr>
        <w:t xml:space="preserve">the cost of a follow-up Level 1 PSG for patients whose HSAT/PAT or Level 2 PSG did not report satisfactory results, or required a repeat test for another reason. However, the commentary noted </w:t>
      </w:r>
      <w:r w:rsidR="00FF5420">
        <w:rPr>
          <w:snapToGrid w:val="0"/>
          <w:lang w:eastAsia="en-US"/>
        </w:rPr>
        <w:t>that</w:t>
      </w:r>
      <w:r w:rsidRPr="009F723B">
        <w:rPr>
          <w:snapToGrid w:val="0"/>
          <w:lang w:eastAsia="en-US"/>
        </w:rPr>
        <w:t xml:space="preserve"> inclusion of the cost of follow-up Level 1 tests is more likely to accurately reflect the estimated cost to the </w:t>
      </w:r>
      <w:r w:rsidRPr="009F723B">
        <w:rPr>
          <w:snapToGrid w:val="0"/>
          <w:lang w:eastAsia="en-US"/>
        </w:rPr>
        <w:lastRenderedPageBreak/>
        <w:t>MBS</w:t>
      </w:r>
      <w:r w:rsidR="00FF5420">
        <w:rPr>
          <w:snapToGrid w:val="0"/>
          <w:lang w:eastAsia="en-US"/>
        </w:rPr>
        <w:t>. The pre-ESC response presented updated MBS costs that included</w:t>
      </w:r>
      <w:r w:rsidR="00FF5420" w:rsidRPr="00FF5420">
        <w:t xml:space="preserve"> repeat Level 1 PS</w:t>
      </w:r>
      <w:r w:rsidR="001F668C">
        <w:fldChar w:fldCharType="begin"/>
      </w:r>
      <w:r w:rsidR="001F668C">
        <w:instrText xml:space="preserve"> REF _Ref72938014 \h </w:instrText>
      </w:r>
      <w:r w:rsidR="001F668C">
        <w:fldChar w:fldCharType="end"/>
      </w:r>
      <w:r w:rsidR="00FF5420" w:rsidRPr="00FF5420">
        <w:t>G</w:t>
      </w:r>
      <w:r w:rsidR="001F668C">
        <w:t xml:space="preserve"> (</w:t>
      </w:r>
      <w:r w:rsidR="001F668C">
        <w:fldChar w:fldCharType="begin"/>
      </w:r>
      <w:r w:rsidR="001F668C">
        <w:instrText xml:space="preserve"> REF _Ref72938014 \h </w:instrText>
      </w:r>
      <w:r w:rsidR="001F668C">
        <w:fldChar w:fldCharType="separate"/>
      </w:r>
      <w:r w:rsidR="00824C87" w:rsidRPr="00E20402">
        <w:t xml:space="preserve">Table </w:t>
      </w:r>
      <w:r w:rsidR="00824C87">
        <w:rPr>
          <w:noProof/>
        </w:rPr>
        <w:t>14</w:t>
      </w:r>
      <w:r w:rsidR="001F668C">
        <w:fldChar w:fldCharType="end"/>
      </w:r>
      <w:r w:rsidR="001F668C">
        <w:t>).</w:t>
      </w:r>
    </w:p>
    <w:p w14:paraId="1448E918" w14:textId="77777777" w:rsidR="00F2213E" w:rsidRPr="00F556EE" w:rsidRDefault="00F2213E" w:rsidP="007D5F6D">
      <w:pPr>
        <w:spacing w:before="240"/>
      </w:pPr>
      <w:r>
        <w:t>The ADAR did not provide any discussion of possible sources of uncertainty in the financial estimates, nor were any sensitivity analyses provided.</w:t>
      </w:r>
    </w:p>
    <w:p w14:paraId="45FED7C5" w14:textId="2DA22C4C" w:rsidR="001F668C" w:rsidRPr="00E20402" w:rsidRDefault="001F668C" w:rsidP="007D5F6D">
      <w:pPr>
        <w:pStyle w:val="Caption"/>
        <w:spacing w:before="240"/>
        <w:rPr>
          <w:b w:val="0"/>
          <w:bCs w:val="0"/>
          <w:i/>
        </w:rPr>
      </w:pPr>
      <w:bookmarkStart w:id="31" w:name="_Ref72938014"/>
      <w:r w:rsidRPr="00E20402">
        <w:t xml:space="preserve">Table </w:t>
      </w:r>
      <w:r w:rsidR="00A930B3">
        <w:fldChar w:fldCharType="begin"/>
      </w:r>
      <w:r w:rsidR="00A930B3">
        <w:instrText xml:space="preserve"> SEQ Table \* ARABIC </w:instrText>
      </w:r>
      <w:r w:rsidR="00A930B3">
        <w:fldChar w:fldCharType="separate"/>
      </w:r>
      <w:r w:rsidR="00824C87">
        <w:rPr>
          <w:noProof/>
        </w:rPr>
        <w:t>14</w:t>
      </w:r>
      <w:r w:rsidR="00A930B3">
        <w:rPr>
          <w:noProof/>
        </w:rPr>
        <w:fldChar w:fldCharType="end"/>
      </w:r>
      <w:bookmarkEnd w:id="31"/>
      <w:r w:rsidRPr="00E20402">
        <w:t xml:space="preserve"> </w:t>
      </w:r>
      <w:r>
        <w:t>Pre-ESC response -u</w:t>
      </w:r>
      <w:r w:rsidRPr="00E20402">
        <w:t>pdated MBS Costs</w:t>
      </w:r>
    </w:p>
    <w:tbl>
      <w:tblPr>
        <w:tblStyle w:val="TableGrid"/>
        <w:tblW w:w="0" w:type="auto"/>
        <w:tblInd w:w="-5" w:type="dxa"/>
        <w:tblLook w:val="04A0" w:firstRow="1" w:lastRow="0" w:firstColumn="1" w:lastColumn="0" w:noHBand="0" w:noVBand="1"/>
      </w:tblPr>
      <w:tblGrid>
        <w:gridCol w:w="1996"/>
        <w:gridCol w:w="1403"/>
        <w:gridCol w:w="1413"/>
        <w:gridCol w:w="1403"/>
        <w:gridCol w:w="1403"/>
        <w:gridCol w:w="1403"/>
      </w:tblGrid>
      <w:tr w:rsidR="001F668C" w:rsidRPr="00FA375A" w14:paraId="58A0FA3D" w14:textId="77777777" w:rsidTr="001F668C">
        <w:trPr>
          <w:trHeight w:val="257"/>
        </w:trPr>
        <w:tc>
          <w:tcPr>
            <w:tcW w:w="2086" w:type="dxa"/>
            <w:shd w:val="clear" w:color="auto" w:fill="auto"/>
          </w:tcPr>
          <w:p w14:paraId="5CA8795B" w14:textId="77777777" w:rsidR="001F668C" w:rsidRPr="006F11C1" w:rsidRDefault="001F668C" w:rsidP="001F668C">
            <w:pPr>
              <w:pStyle w:val="Tabletextbold"/>
              <w:jc w:val="left"/>
            </w:pPr>
            <w:r w:rsidRPr="006F11C1">
              <w:t>Current MBS</w:t>
            </w:r>
          </w:p>
        </w:tc>
        <w:tc>
          <w:tcPr>
            <w:tcW w:w="1430" w:type="dxa"/>
            <w:shd w:val="clear" w:color="auto" w:fill="auto"/>
          </w:tcPr>
          <w:p w14:paraId="46447B43" w14:textId="77777777" w:rsidR="001F668C" w:rsidRPr="006F11C1" w:rsidRDefault="001F668C" w:rsidP="001F668C">
            <w:pPr>
              <w:pStyle w:val="Tabletextbold"/>
            </w:pPr>
            <w:r w:rsidRPr="006F11C1">
              <w:t>2021</w:t>
            </w:r>
          </w:p>
        </w:tc>
        <w:tc>
          <w:tcPr>
            <w:tcW w:w="1441" w:type="dxa"/>
            <w:shd w:val="clear" w:color="auto" w:fill="auto"/>
          </w:tcPr>
          <w:p w14:paraId="4C39A60F" w14:textId="77777777" w:rsidR="001F668C" w:rsidRPr="006F11C1" w:rsidRDefault="001F668C" w:rsidP="001F668C">
            <w:pPr>
              <w:pStyle w:val="Tabletextbold"/>
            </w:pPr>
            <w:r w:rsidRPr="006F11C1">
              <w:t>2022</w:t>
            </w:r>
          </w:p>
        </w:tc>
        <w:tc>
          <w:tcPr>
            <w:tcW w:w="1430" w:type="dxa"/>
            <w:shd w:val="clear" w:color="auto" w:fill="auto"/>
          </w:tcPr>
          <w:p w14:paraId="5AA47CCB" w14:textId="77777777" w:rsidR="001F668C" w:rsidRPr="006F11C1" w:rsidRDefault="001F668C" w:rsidP="001F668C">
            <w:pPr>
              <w:pStyle w:val="Tabletextbold"/>
            </w:pPr>
            <w:r w:rsidRPr="006F11C1">
              <w:t>2023</w:t>
            </w:r>
          </w:p>
        </w:tc>
        <w:tc>
          <w:tcPr>
            <w:tcW w:w="1430" w:type="dxa"/>
            <w:shd w:val="clear" w:color="auto" w:fill="auto"/>
          </w:tcPr>
          <w:p w14:paraId="73544E6F" w14:textId="77777777" w:rsidR="001F668C" w:rsidRPr="006F11C1" w:rsidRDefault="001F668C" w:rsidP="001F668C">
            <w:pPr>
              <w:pStyle w:val="Tabletextbold"/>
            </w:pPr>
            <w:r w:rsidRPr="006F11C1">
              <w:t>2024</w:t>
            </w:r>
          </w:p>
        </w:tc>
        <w:tc>
          <w:tcPr>
            <w:tcW w:w="1430" w:type="dxa"/>
            <w:shd w:val="clear" w:color="auto" w:fill="auto"/>
          </w:tcPr>
          <w:p w14:paraId="0451FE9A" w14:textId="77777777" w:rsidR="001F668C" w:rsidRPr="006F11C1" w:rsidRDefault="001F668C" w:rsidP="001F668C">
            <w:pPr>
              <w:pStyle w:val="Tabletextbold"/>
            </w:pPr>
            <w:r w:rsidRPr="006F11C1">
              <w:t>2025</w:t>
            </w:r>
          </w:p>
        </w:tc>
      </w:tr>
      <w:tr w:rsidR="001F668C" w:rsidRPr="00741D61" w14:paraId="449DAEF3" w14:textId="77777777" w:rsidTr="00135909">
        <w:tc>
          <w:tcPr>
            <w:tcW w:w="2086" w:type="dxa"/>
            <w:vMerge w:val="restart"/>
          </w:tcPr>
          <w:p w14:paraId="32ACDB04" w14:textId="6C7C192E" w:rsidR="001F668C" w:rsidRPr="006F11C1" w:rsidRDefault="001F668C" w:rsidP="001F668C">
            <w:pPr>
              <w:pStyle w:val="TableText0"/>
              <w:jc w:val="left"/>
            </w:pPr>
            <w:r w:rsidRPr="006F11C1">
              <w:t xml:space="preserve">Level 2 </w:t>
            </w:r>
            <w:r>
              <w:t>PSG</w:t>
            </w:r>
            <w:r w:rsidRPr="006F11C1">
              <w:t xml:space="preserve"> utilisation and cost</w:t>
            </w:r>
          </w:p>
        </w:tc>
        <w:tc>
          <w:tcPr>
            <w:tcW w:w="1430" w:type="dxa"/>
          </w:tcPr>
          <w:p w14:paraId="2C5AEEAA" w14:textId="39EFB1BB" w:rsidR="001F668C" w:rsidRPr="006F11C1" w:rsidRDefault="001F668C" w:rsidP="001F668C">
            <w:pPr>
              <w:pStyle w:val="Tabletext"/>
              <w:jc w:val="center"/>
            </w:pPr>
            <w:r w:rsidRPr="006F11C1">
              <w:t>100,812</w:t>
            </w:r>
          </w:p>
        </w:tc>
        <w:tc>
          <w:tcPr>
            <w:tcW w:w="1441" w:type="dxa"/>
          </w:tcPr>
          <w:p w14:paraId="3782AACD" w14:textId="3B8234CA" w:rsidR="001F668C" w:rsidRPr="006F11C1" w:rsidRDefault="001F668C" w:rsidP="001F668C">
            <w:pPr>
              <w:pStyle w:val="Tabletext"/>
              <w:jc w:val="center"/>
            </w:pPr>
            <w:r w:rsidRPr="006F11C1">
              <w:t>105,133</w:t>
            </w:r>
          </w:p>
        </w:tc>
        <w:tc>
          <w:tcPr>
            <w:tcW w:w="1430" w:type="dxa"/>
          </w:tcPr>
          <w:p w14:paraId="2ADF5969" w14:textId="074024A4" w:rsidR="001F668C" w:rsidRPr="006F11C1" w:rsidRDefault="001F668C" w:rsidP="001F668C">
            <w:pPr>
              <w:pStyle w:val="Tabletext"/>
              <w:jc w:val="center"/>
            </w:pPr>
            <w:r w:rsidRPr="006F11C1">
              <w:t>109,762</w:t>
            </w:r>
          </w:p>
        </w:tc>
        <w:tc>
          <w:tcPr>
            <w:tcW w:w="1430" w:type="dxa"/>
          </w:tcPr>
          <w:p w14:paraId="5575C9F0" w14:textId="42CA512A" w:rsidR="001F668C" w:rsidRPr="006F11C1" w:rsidRDefault="001F668C" w:rsidP="001F668C">
            <w:pPr>
              <w:pStyle w:val="Tabletext"/>
              <w:jc w:val="center"/>
            </w:pPr>
            <w:r w:rsidRPr="006F11C1">
              <w:t>114,184</w:t>
            </w:r>
          </w:p>
        </w:tc>
        <w:tc>
          <w:tcPr>
            <w:tcW w:w="1430" w:type="dxa"/>
          </w:tcPr>
          <w:p w14:paraId="22D0F041" w14:textId="66988AD4" w:rsidR="001F668C" w:rsidRPr="006F11C1" w:rsidRDefault="001F668C" w:rsidP="001F668C">
            <w:pPr>
              <w:pStyle w:val="Tabletext"/>
              <w:jc w:val="center"/>
            </w:pPr>
            <w:r w:rsidRPr="006F11C1">
              <w:t>118,577</w:t>
            </w:r>
          </w:p>
        </w:tc>
      </w:tr>
      <w:tr w:rsidR="001F668C" w:rsidRPr="00741D61" w14:paraId="25AA22CE" w14:textId="77777777" w:rsidTr="00135909">
        <w:tc>
          <w:tcPr>
            <w:tcW w:w="2086" w:type="dxa"/>
            <w:vMerge/>
          </w:tcPr>
          <w:p w14:paraId="704D8919" w14:textId="77777777" w:rsidR="001F668C" w:rsidRPr="006F11C1" w:rsidRDefault="001F668C" w:rsidP="001F668C">
            <w:pPr>
              <w:pStyle w:val="TableText0"/>
              <w:jc w:val="left"/>
            </w:pPr>
          </w:p>
        </w:tc>
        <w:tc>
          <w:tcPr>
            <w:tcW w:w="1430" w:type="dxa"/>
          </w:tcPr>
          <w:p w14:paraId="699188B4" w14:textId="77777777" w:rsidR="001F668C" w:rsidRPr="006F11C1" w:rsidRDefault="001F668C" w:rsidP="001F668C">
            <w:pPr>
              <w:pStyle w:val="Tabletext"/>
              <w:jc w:val="center"/>
            </w:pPr>
            <w:r w:rsidRPr="006F11C1">
              <w:t>$54,512,191</w:t>
            </w:r>
          </w:p>
        </w:tc>
        <w:tc>
          <w:tcPr>
            <w:tcW w:w="1441" w:type="dxa"/>
          </w:tcPr>
          <w:p w14:paraId="0F364EB7" w14:textId="77777777" w:rsidR="001F668C" w:rsidRPr="006F11C1" w:rsidRDefault="001F668C" w:rsidP="001F668C">
            <w:pPr>
              <w:pStyle w:val="Tabletext"/>
              <w:jc w:val="center"/>
            </w:pPr>
            <w:r w:rsidRPr="006F11C1">
              <w:t>$56,848,587</w:t>
            </w:r>
          </w:p>
        </w:tc>
        <w:tc>
          <w:tcPr>
            <w:tcW w:w="1430" w:type="dxa"/>
          </w:tcPr>
          <w:p w14:paraId="3176767B" w14:textId="77777777" w:rsidR="001F668C" w:rsidRPr="006F11C1" w:rsidRDefault="001F668C" w:rsidP="001F668C">
            <w:pPr>
              <w:pStyle w:val="Tabletext"/>
              <w:jc w:val="center"/>
            </w:pPr>
            <w:r w:rsidRPr="006F11C1">
              <w:t>$59,351,788</w:t>
            </w:r>
          </w:p>
        </w:tc>
        <w:tc>
          <w:tcPr>
            <w:tcW w:w="1430" w:type="dxa"/>
          </w:tcPr>
          <w:p w14:paraId="28AC28C6" w14:textId="77777777" w:rsidR="001F668C" w:rsidRPr="006F11C1" w:rsidRDefault="001F668C" w:rsidP="001F668C">
            <w:pPr>
              <w:pStyle w:val="Tabletext"/>
              <w:jc w:val="center"/>
            </w:pPr>
            <w:r w:rsidRPr="006F11C1">
              <w:t>$61,742,898</w:t>
            </w:r>
          </w:p>
        </w:tc>
        <w:tc>
          <w:tcPr>
            <w:tcW w:w="1430" w:type="dxa"/>
          </w:tcPr>
          <w:p w14:paraId="6FA4F078" w14:textId="77777777" w:rsidR="001F668C" w:rsidRPr="006F11C1" w:rsidRDefault="001F668C" w:rsidP="001F668C">
            <w:pPr>
              <w:pStyle w:val="Tabletext"/>
              <w:jc w:val="center"/>
            </w:pPr>
            <w:r w:rsidRPr="006F11C1">
              <w:t>$64,118,392</w:t>
            </w:r>
          </w:p>
        </w:tc>
      </w:tr>
      <w:tr w:rsidR="001F668C" w:rsidRPr="00741D61" w14:paraId="109666F6" w14:textId="77777777" w:rsidTr="00135909">
        <w:trPr>
          <w:trHeight w:val="474"/>
        </w:trPr>
        <w:tc>
          <w:tcPr>
            <w:tcW w:w="2086" w:type="dxa"/>
            <w:vMerge w:val="restart"/>
          </w:tcPr>
          <w:p w14:paraId="0B061261" w14:textId="77777777" w:rsidR="001F668C" w:rsidRPr="006F11C1" w:rsidRDefault="001F668C" w:rsidP="001F668C">
            <w:pPr>
              <w:pStyle w:val="TableText0"/>
              <w:jc w:val="left"/>
            </w:pPr>
            <w:r w:rsidRPr="006F11C1">
              <w:t>Level 1 PSG utilisation and cost</w:t>
            </w:r>
          </w:p>
        </w:tc>
        <w:tc>
          <w:tcPr>
            <w:tcW w:w="1430" w:type="dxa"/>
          </w:tcPr>
          <w:p w14:paraId="02FBC90A" w14:textId="3C74981C" w:rsidR="001F668C" w:rsidRPr="006F11C1" w:rsidRDefault="001F668C" w:rsidP="001F668C">
            <w:pPr>
              <w:pStyle w:val="Tabletext"/>
              <w:jc w:val="center"/>
            </w:pPr>
            <w:r w:rsidRPr="006F11C1">
              <w:t>43,385</w:t>
            </w:r>
          </w:p>
        </w:tc>
        <w:tc>
          <w:tcPr>
            <w:tcW w:w="1441" w:type="dxa"/>
          </w:tcPr>
          <w:p w14:paraId="105C4825" w14:textId="6A5A0950" w:rsidR="001F668C" w:rsidRPr="006F11C1" w:rsidRDefault="001F668C" w:rsidP="001F668C">
            <w:pPr>
              <w:pStyle w:val="Tabletext"/>
              <w:jc w:val="center"/>
            </w:pPr>
            <w:r w:rsidRPr="006F11C1">
              <w:t>45,246</w:t>
            </w:r>
          </w:p>
        </w:tc>
        <w:tc>
          <w:tcPr>
            <w:tcW w:w="1430" w:type="dxa"/>
          </w:tcPr>
          <w:p w14:paraId="3F48802C" w14:textId="578DCDB4" w:rsidR="001F668C" w:rsidRPr="006F11C1" w:rsidRDefault="001F668C" w:rsidP="001F668C">
            <w:pPr>
              <w:pStyle w:val="Tabletext"/>
              <w:jc w:val="center"/>
            </w:pPr>
            <w:r w:rsidRPr="006F11C1">
              <w:t>47,242</w:t>
            </w:r>
          </w:p>
        </w:tc>
        <w:tc>
          <w:tcPr>
            <w:tcW w:w="1430" w:type="dxa"/>
          </w:tcPr>
          <w:p w14:paraId="5B69E276" w14:textId="45C1ABC2" w:rsidR="001F668C" w:rsidRPr="006F11C1" w:rsidRDefault="001F668C" w:rsidP="001F668C">
            <w:pPr>
              <w:pStyle w:val="Tabletext"/>
              <w:jc w:val="center"/>
            </w:pPr>
            <w:r w:rsidRPr="006F11C1">
              <w:t>49,145</w:t>
            </w:r>
          </w:p>
        </w:tc>
        <w:tc>
          <w:tcPr>
            <w:tcW w:w="1430" w:type="dxa"/>
          </w:tcPr>
          <w:p w14:paraId="0821B7D7" w14:textId="074DF83D" w:rsidR="001F668C" w:rsidRPr="006F11C1" w:rsidRDefault="001F668C" w:rsidP="001F668C">
            <w:pPr>
              <w:pStyle w:val="Tabletext"/>
              <w:jc w:val="center"/>
            </w:pPr>
            <w:r w:rsidRPr="006F11C1">
              <w:t>51,038</w:t>
            </w:r>
          </w:p>
        </w:tc>
      </w:tr>
      <w:tr w:rsidR="001F668C" w:rsidRPr="00741D61" w14:paraId="4F4AF22F" w14:textId="77777777" w:rsidTr="00135909">
        <w:trPr>
          <w:trHeight w:val="474"/>
        </w:trPr>
        <w:tc>
          <w:tcPr>
            <w:tcW w:w="2086" w:type="dxa"/>
            <w:vMerge/>
          </w:tcPr>
          <w:p w14:paraId="74F89327" w14:textId="77777777" w:rsidR="001F668C" w:rsidRPr="006F11C1" w:rsidRDefault="001F668C" w:rsidP="001F668C">
            <w:pPr>
              <w:pStyle w:val="TableText0"/>
            </w:pPr>
          </w:p>
        </w:tc>
        <w:tc>
          <w:tcPr>
            <w:tcW w:w="1430" w:type="dxa"/>
          </w:tcPr>
          <w:p w14:paraId="7F322A50" w14:textId="77777777" w:rsidR="001F668C" w:rsidRPr="006F11C1" w:rsidRDefault="001F668C" w:rsidP="001F668C">
            <w:pPr>
              <w:pStyle w:val="Tabletext"/>
              <w:jc w:val="center"/>
            </w:pPr>
            <w:r w:rsidRPr="006F11C1">
              <w:t>$29,923,979</w:t>
            </w:r>
          </w:p>
        </w:tc>
        <w:tc>
          <w:tcPr>
            <w:tcW w:w="1441" w:type="dxa"/>
          </w:tcPr>
          <w:p w14:paraId="428E35AD" w14:textId="77777777" w:rsidR="001F668C" w:rsidRPr="006F11C1" w:rsidRDefault="001F668C" w:rsidP="001F668C">
            <w:pPr>
              <w:pStyle w:val="Tabletext"/>
              <w:jc w:val="center"/>
            </w:pPr>
            <w:r w:rsidRPr="006F11C1">
              <w:t>$31,207,718</w:t>
            </w:r>
          </w:p>
        </w:tc>
        <w:tc>
          <w:tcPr>
            <w:tcW w:w="1430" w:type="dxa"/>
          </w:tcPr>
          <w:p w14:paraId="64ADF600" w14:textId="77777777" w:rsidR="001F668C" w:rsidRPr="006F11C1" w:rsidRDefault="001F668C" w:rsidP="001F668C">
            <w:pPr>
              <w:pStyle w:val="Tabletext"/>
              <w:jc w:val="center"/>
            </w:pPr>
            <w:r w:rsidRPr="006F11C1">
              <w:t>$32,583,979</w:t>
            </w:r>
          </w:p>
        </w:tc>
        <w:tc>
          <w:tcPr>
            <w:tcW w:w="1430" w:type="dxa"/>
          </w:tcPr>
          <w:p w14:paraId="00C35B22" w14:textId="77777777" w:rsidR="001F668C" w:rsidRPr="006F11C1" w:rsidRDefault="001F668C" w:rsidP="001F668C">
            <w:pPr>
              <w:pStyle w:val="Tabletext"/>
              <w:jc w:val="center"/>
            </w:pPr>
            <w:r w:rsidRPr="006F11C1">
              <w:t>$33,897,113</w:t>
            </w:r>
          </w:p>
        </w:tc>
        <w:tc>
          <w:tcPr>
            <w:tcW w:w="1430" w:type="dxa"/>
          </w:tcPr>
          <w:p w14:paraId="618BE7DD" w14:textId="77777777" w:rsidR="001F668C" w:rsidRPr="006F11C1" w:rsidRDefault="001F668C" w:rsidP="001F668C">
            <w:pPr>
              <w:pStyle w:val="Tabletext"/>
              <w:jc w:val="center"/>
            </w:pPr>
            <w:r w:rsidRPr="006F11C1">
              <w:t>$35,202,152</w:t>
            </w:r>
          </w:p>
        </w:tc>
      </w:tr>
      <w:tr w:rsidR="001F668C" w:rsidRPr="00741D61" w14:paraId="25E14C35" w14:textId="77777777" w:rsidTr="001F668C">
        <w:tc>
          <w:tcPr>
            <w:tcW w:w="2086" w:type="dxa"/>
            <w:tcBorders>
              <w:bottom w:val="single" w:sz="4" w:space="0" w:color="auto"/>
            </w:tcBorders>
            <w:shd w:val="clear" w:color="auto" w:fill="auto"/>
          </w:tcPr>
          <w:p w14:paraId="0939E5C5" w14:textId="77777777" w:rsidR="001F668C" w:rsidRPr="006F11C1" w:rsidRDefault="001F668C" w:rsidP="001F668C">
            <w:pPr>
              <w:pStyle w:val="TableText0"/>
            </w:pPr>
            <w:r w:rsidRPr="006F11C1">
              <w:t>Total</w:t>
            </w:r>
          </w:p>
        </w:tc>
        <w:tc>
          <w:tcPr>
            <w:tcW w:w="1430" w:type="dxa"/>
            <w:tcBorders>
              <w:bottom w:val="single" w:sz="4" w:space="0" w:color="auto"/>
            </w:tcBorders>
            <w:shd w:val="clear" w:color="auto" w:fill="auto"/>
          </w:tcPr>
          <w:p w14:paraId="0D30713D" w14:textId="77777777" w:rsidR="001F668C" w:rsidRPr="006F11C1" w:rsidRDefault="001F668C" w:rsidP="001F668C">
            <w:pPr>
              <w:pStyle w:val="Tabletext"/>
              <w:jc w:val="center"/>
            </w:pPr>
            <w:r w:rsidRPr="006F11C1">
              <w:t>$84,436,171</w:t>
            </w:r>
          </w:p>
        </w:tc>
        <w:tc>
          <w:tcPr>
            <w:tcW w:w="1441" w:type="dxa"/>
            <w:tcBorders>
              <w:bottom w:val="single" w:sz="4" w:space="0" w:color="auto"/>
            </w:tcBorders>
            <w:shd w:val="clear" w:color="auto" w:fill="auto"/>
          </w:tcPr>
          <w:p w14:paraId="1674ED41" w14:textId="77777777" w:rsidR="001F668C" w:rsidRPr="006F11C1" w:rsidRDefault="001F668C" w:rsidP="001F668C">
            <w:pPr>
              <w:pStyle w:val="Tabletext"/>
              <w:jc w:val="center"/>
            </w:pPr>
            <w:r w:rsidRPr="006F11C1">
              <w:t>$88,056,305</w:t>
            </w:r>
          </w:p>
        </w:tc>
        <w:tc>
          <w:tcPr>
            <w:tcW w:w="1430" w:type="dxa"/>
            <w:tcBorders>
              <w:bottom w:val="single" w:sz="4" w:space="0" w:color="auto"/>
            </w:tcBorders>
            <w:shd w:val="clear" w:color="auto" w:fill="auto"/>
          </w:tcPr>
          <w:p w14:paraId="1EBEA404" w14:textId="77777777" w:rsidR="001F668C" w:rsidRPr="006F11C1" w:rsidRDefault="001F668C" w:rsidP="001F668C">
            <w:pPr>
              <w:pStyle w:val="Tabletext"/>
              <w:jc w:val="center"/>
            </w:pPr>
            <w:r w:rsidRPr="006F11C1">
              <w:t>$91,935,767</w:t>
            </w:r>
          </w:p>
        </w:tc>
        <w:tc>
          <w:tcPr>
            <w:tcW w:w="1430" w:type="dxa"/>
            <w:tcBorders>
              <w:bottom w:val="single" w:sz="4" w:space="0" w:color="auto"/>
            </w:tcBorders>
            <w:shd w:val="clear" w:color="auto" w:fill="auto"/>
          </w:tcPr>
          <w:p w14:paraId="12A6F949" w14:textId="77777777" w:rsidR="001F668C" w:rsidRPr="006F11C1" w:rsidRDefault="001F668C" w:rsidP="001F668C">
            <w:pPr>
              <w:pStyle w:val="Tabletext"/>
              <w:jc w:val="center"/>
            </w:pPr>
            <w:r w:rsidRPr="006F11C1">
              <w:t>$95,640,011</w:t>
            </w:r>
          </w:p>
        </w:tc>
        <w:tc>
          <w:tcPr>
            <w:tcW w:w="1430" w:type="dxa"/>
            <w:tcBorders>
              <w:bottom w:val="single" w:sz="4" w:space="0" w:color="auto"/>
            </w:tcBorders>
            <w:shd w:val="clear" w:color="auto" w:fill="auto"/>
          </w:tcPr>
          <w:p w14:paraId="2AB6121A" w14:textId="77777777" w:rsidR="001F668C" w:rsidRPr="006F11C1" w:rsidRDefault="001F668C" w:rsidP="001F668C">
            <w:pPr>
              <w:pStyle w:val="Tabletext"/>
              <w:jc w:val="center"/>
            </w:pPr>
            <w:r w:rsidRPr="006F11C1">
              <w:t>$99,320,544</w:t>
            </w:r>
          </w:p>
        </w:tc>
      </w:tr>
      <w:tr w:rsidR="001F668C" w:rsidRPr="004D1DF1" w14:paraId="3FEC0F65" w14:textId="77777777" w:rsidTr="00135909">
        <w:tc>
          <w:tcPr>
            <w:tcW w:w="2086" w:type="dxa"/>
            <w:tcBorders>
              <w:bottom w:val="single" w:sz="4" w:space="0" w:color="auto"/>
            </w:tcBorders>
            <w:shd w:val="clear" w:color="auto" w:fill="auto"/>
          </w:tcPr>
          <w:p w14:paraId="4F356226" w14:textId="77777777" w:rsidR="001F668C" w:rsidRPr="006F11C1" w:rsidRDefault="001F668C" w:rsidP="001F668C">
            <w:pPr>
              <w:pStyle w:val="TableText0"/>
            </w:pPr>
          </w:p>
        </w:tc>
        <w:tc>
          <w:tcPr>
            <w:tcW w:w="1430" w:type="dxa"/>
            <w:tcBorders>
              <w:bottom w:val="single" w:sz="4" w:space="0" w:color="auto"/>
            </w:tcBorders>
            <w:shd w:val="clear" w:color="auto" w:fill="auto"/>
            <w:vAlign w:val="center"/>
          </w:tcPr>
          <w:p w14:paraId="4E031DED" w14:textId="77777777" w:rsidR="001F668C" w:rsidRPr="006F11C1" w:rsidRDefault="001F668C" w:rsidP="001F668C">
            <w:pPr>
              <w:pStyle w:val="TableText0"/>
              <w:rPr>
                <w:color w:val="000000"/>
              </w:rPr>
            </w:pPr>
          </w:p>
        </w:tc>
        <w:tc>
          <w:tcPr>
            <w:tcW w:w="1441" w:type="dxa"/>
            <w:tcBorders>
              <w:bottom w:val="single" w:sz="4" w:space="0" w:color="auto"/>
            </w:tcBorders>
            <w:shd w:val="clear" w:color="auto" w:fill="auto"/>
            <w:vAlign w:val="center"/>
          </w:tcPr>
          <w:p w14:paraId="689FE9EF" w14:textId="77777777" w:rsidR="001F668C" w:rsidRPr="006F11C1" w:rsidRDefault="001F668C" w:rsidP="001F668C">
            <w:pPr>
              <w:pStyle w:val="TableText0"/>
              <w:rPr>
                <w:color w:val="000000"/>
              </w:rPr>
            </w:pPr>
          </w:p>
        </w:tc>
        <w:tc>
          <w:tcPr>
            <w:tcW w:w="1430" w:type="dxa"/>
            <w:tcBorders>
              <w:bottom w:val="single" w:sz="4" w:space="0" w:color="auto"/>
            </w:tcBorders>
            <w:shd w:val="clear" w:color="auto" w:fill="auto"/>
            <w:vAlign w:val="center"/>
          </w:tcPr>
          <w:p w14:paraId="59DE51AF" w14:textId="77777777" w:rsidR="001F668C" w:rsidRPr="006F11C1" w:rsidRDefault="001F668C" w:rsidP="001F668C">
            <w:pPr>
              <w:pStyle w:val="TableText0"/>
              <w:rPr>
                <w:color w:val="000000"/>
              </w:rPr>
            </w:pPr>
          </w:p>
        </w:tc>
        <w:tc>
          <w:tcPr>
            <w:tcW w:w="1430" w:type="dxa"/>
            <w:tcBorders>
              <w:bottom w:val="single" w:sz="4" w:space="0" w:color="auto"/>
            </w:tcBorders>
            <w:shd w:val="clear" w:color="auto" w:fill="auto"/>
            <w:vAlign w:val="center"/>
          </w:tcPr>
          <w:p w14:paraId="40F09AF0" w14:textId="77777777" w:rsidR="001F668C" w:rsidRPr="006F11C1" w:rsidRDefault="001F668C" w:rsidP="001F668C">
            <w:pPr>
              <w:pStyle w:val="TableText0"/>
              <w:rPr>
                <w:color w:val="000000"/>
              </w:rPr>
            </w:pPr>
          </w:p>
        </w:tc>
        <w:tc>
          <w:tcPr>
            <w:tcW w:w="1430" w:type="dxa"/>
            <w:tcBorders>
              <w:bottom w:val="single" w:sz="4" w:space="0" w:color="auto"/>
            </w:tcBorders>
            <w:shd w:val="clear" w:color="auto" w:fill="auto"/>
            <w:vAlign w:val="center"/>
          </w:tcPr>
          <w:p w14:paraId="6974C665" w14:textId="77777777" w:rsidR="001F668C" w:rsidRPr="006F11C1" w:rsidRDefault="001F668C" w:rsidP="001F668C">
            <w:pPr>
              <w:pStyle w:val="TableText0"/>
              <w:rPr>
                <w:color w:val="000000"/>
              </w:rPr>
            </w:pPr>
          </w:p>
        </w:tc>
      </w:tr>
      <w:tr w:rsidR="001F668C" w:rsidRPr="004D1DF1" w14:paraId="33CAB8BB" w14:textId="77777777" w:rsidTr="001F668C">
        <w:tc>
          <w:tcPr>
            <w:tcW w:w="2086" w:type="dxa"/>
            <w:shd w:val="clear" w:color="auto" w:fill="auto"/>
          </w:tcPr>
          <w:p w14:paraId="5E177573" w14:textId="6089DFF1" w:rsidR="001F668C" w:rsidRPr="006F11C1" w:rsidRDefault="001F668C" w:rsidP="001F668C">
            <w:pPr>
              <w:pStyle w:val="Tabletextbold"/>
              <w:jc w:val="left"/>
            </w:pPr>
            <w:r w:rsidRPr="006F11C1">
              <w:t xml:space="preserve">MBS with </w:t>
            </w:r>
            <w:r>
              <w:t>HSAT/PAT</w:t>
            </w:r>
          </w:p>
        </w:tc>
        <w:tc>
          <w:tcPr>
            <w:tcW w:w="1430" w:type="dxa"/>
            <w:shd w:val="clear" w:color="auto" w:fill="auto"/>
          </w:tcPr>
          <w:p w14:paraId="45019BDD" w14:textId="77777777" w:rsidR="001F668C" w:rsidRPr="006F11C1" w:rsidRDefault="001F668C" w:rsidP="001F668C">
            <w:pPr>
              <w:pStyle w:val="Tabletextbold"/>
            </w:pPr>
            <w:r w:rsidRPr="006F11C1">
              <w:t>2021</w:t>
            </w:r>
          </w:p>
        </w:tc>
        <w:tc>
          <w:tcPr>
            <w:tcW w:w="1441" w:type="dxa"/>
            <w:shd w:val="clear" w:color="auto" w:fill="auto"/>
          </w:tcPr>
          <w:p w14:paraId="69C53404" w14:textId="77777777" w:rsidR="001F668C" w:rsidRPr="006F11C1" w:rsidRDefault="001F668C" w:rsidP="001F668C">
            <w:pPr>
              <w:pStyle w:val="Tabletextbold"/>
            </w:pPr>
            <w:r w:rsidRPr="006F11C1">
              <w:t>2022</w:t>
            </w:r>
          </w:p>
        </w:tc>
        <w:tc>
          <w:tcPr>
            <w:tcW w:w="1430" w:type="dxa"/>
            <w:shd w:val="clear" w:color="auto" w:fill="auto"/>
          </w:tcPr>
          <w:p w14:paraId="4D696946" w14:textId="77777777" w:rsidR="001F668C" w:rsidRPr="006F11C1" w:rsidRDefault="001F668C" w:rsidP="001F668C">
            <w:pPr>
              <w:pStyle w:val="Tabletextbold"/>
            </w:pPr>
            <w:r w:rsidRPr="006F11C1">
              <w:t>2023</w:t>
            </w:r>
          </w:p>
        </w:tc>
        <w:tc>
          <w:tcPr>
            <w:tcW w:w="1430" w:type="dxa"/>
            <w:shd w:val="clear" w:color="auto" w:fill="auto"/>
          </w:tcPr>
          <w:p w14:paraId="5FF88AE1" w14:textId="77777777" w:rsidR="001F668C" w:rsidRPr="006F11C1" w:rsidRDefault="001F668C" w:rsidP="001F668C">
            <w:pPr>
              <w:pStyle w:val="Tabletextbold"/>
            </w:pPr>
            <w:r w:rsidRPr="006F11C1">
              <w:t>2024</w:t>
            </w:r>
          </w:p>
        </w:tc>
        <w:tc>
          <w:tcPr>
            <w:tcW w:w="1430" w:type="dxa"/>
            <w:shd w:val="clear" w:color="auto" w:fill="auto"/>
          </w:tcPr>
          <w:p w14:paraId="5CF4BB85" w14:textId="77777777" w:rsidR="001F668C" w:rsidRPr="006F11C1" w:rsidRDefault="001F668C" w:rsidP="001F668C">
            <w:pPr>
              <w:pStyle w:val="Tabletextbold"/>
            </w:pPr>
            <w:r w:rsidRPr="006F11C1">
              <w:t>2025</w:t>
            </w:r>
          </w:p>
        </w:tc>
      </w:tr>
      <w:tr w:rsidR="001F668C" w:rsidRPr="00741D61" w14:paraId="40E3E952" w14:textId="77777777" w:rsidTr="00135909">
        <w:tc>
          <w:tcPr>
            <w:tcW w:w="2086" w:type="dxa"/>
            <w:vMerge w:val="restart"/>
          </w:tcPr>
          <w:p w14:paraId="031DA87E" w14:textId="77777777" w:rsidR="001F668C" w:rsidRPr="006F11C1" w:rsidRDefault="001F668C" w:rsidP="001F668C">
            <w:pPr>
              <w:pStyle w:val="TableText0"/>
              <w:jc w:val="left"/>
            </w:pPr>
            <w:r w:rsidRPr="006F11C1">
              <w:t>Level 2 HSAT utilisation and cost</w:t>
            </w:r>
          </w:p>
        </w:tc>
        <w:tc>
          <w:tcPr>
            <w:tcW w:w="1430" w:type="dxa"/>
          </w:tcPr>
          <w:p w14:paraId="23D592FC" w14:textId="06C0B5B3" w:rsidR="001F668C" w:rsidRPr="006F11C1" w:rsidRDefault="001F668C" w:rsidP="001F668C">
            <w:pPr>
              <w:pStyle w:val="Tabletext"/>
              <w:jc w:val="center"/>
            </w:pPr>
            <w:r w:rsidRPr="006F11C1">
              <w:t>91,235</w:t>
            </w:r>
          </w:p>
        </w:tc>
        <w:tc>
          <w:tcPr>
            <w:tcW w:w="1441" w:type="dxa"/>
          </w:tcPr>
          <w:p w14:paraId="5374A3A4" w14:textId="71D68DFC" w:rsidR="001F668C" w:rsidRPr="006F11C1" w:rsidRDefault="001F668C" w:rsidP="001F668C">
            <w:pPr>
              <w:pStyle w:val="Tabletext"/>
              <w:jc w:val="center"/>
            </w:pPr>
            <w:r w:rsidRPr="006F11C1">
              <w:t>90,151</w:t>
            </w:r>
          </w:p>
        </w:tc>
        <w:tc>
          <w:tcPr>
            <w:tcW w:w="1430" w:type="dxa"/>
          </w:tcPr>
          <w:p w14:paraId="3CB6B01B" w14:textId="7DEC7C95" w:rsidR="001F668C" w:rsidRPr="006F11C1" w:rsidRDefault="001F668C" w:rsidP="001F668C">
            <w:pPr>
              <w:pStyle w:val="Tabletext"/>
              <w:jc w:val="center"/>
            </w:pPr>
            <w:r w:rsidRPr="006F11C1">
              <w:t>88,907</w:t>
            </w:r>
          </w:p>
        </w:tc>
        <w:tc>
          <w:tcPr>
            <w:tcW w:w="1430" w:type="dxa"/>
          </w:tcPr>
          <w:p w14:paraId="478EDA5E" w14:textId="2FAECDE8" w:rsidR="001F668C" w:rsidRPr="006F11C1" w:rsidRDefault="001F668C" w:rsidP="001F668C">
            <w:pPr>
              <w:pStyle w:val="Tabletext"/>
              <w:jc w:val="center"/>
            </w:pPr>
            <w:r w:rsidRPr="006F11C1">
              <w:t>87,065</w:t>
            </w:r>
          </w:p>
        </w:tc>
        <w:tc>
          <w:tcPr>
            <w:tcW w:w="1430" w:type="dxa"/>
          </w:tcPr>
          <w:p w14:paraId="4E5C2AD4" w14:textId="7A44F624" w:rsidR="001F668C" w:rsidRPr="006F11C1" w:rsidRDefault="001F668C" w:rsidP="001F668C">
            <w:pPr>
              <w:pStyle w:val="Tabletext"/>
              <w:jc w:val="center"/>
            </w:pPr>
            <w:r w:rsidRPr="006F11C1">
              <w:t>84,783</w:t>
            </w:r>
          </w:p>
        </w:tc>
      </w:tr>
      <w:tr w:rsidR="001F668C" w:rsidRPr="004D1DF1" w14:paraId="15F4B6EF" w14:textId="77777777" w:rsidTr="00135909">
        <w:tc>
          <w:tcPr>
            <w:tcW w:w="2086" w:type="dxa"/>
            <w:vMerge/>
          </w:tcPr>
          <w:p w14:paraId="027AD49F" w14:textId="77777777" w:rsidR="001F668C" w:rsidRPr="006F11C1" w:rsidRDefault="001F668C" w:rsidP="001F668C">
            <w:pPr>
              <w:pStyle w:val="TableText0"/>
              <w:jc w:val="left"/>
            </w:pPr>
          </w:p>
        </w:tc>
        <w:tc>
          <w:tcPr>
            <w:tcW w:w="1430" w:type="dxa"/>
          </w:tcPr>
          <w:p w14:paraId="3D3B8578" w14:textId="77777777" w:rsidR="001F668C" w:rsidRPr="006F11C1" w:rsidRDefault="001F668C" w:rsidP="001F668C">
            <w:pPr>
              <w:pStyle w:val="Tabletext"/>
              <w:jc w:val="center"/>
            </w:pPr>
            <w:r w:rsidRPr="006F11C1">
              <w:t>$49,333,533</w:t>
            </w:r>
          </w:p>
        </w:tc>
        <w:tc>
          <w:tcPr>
            <w:tcW w:w="1441" w:type="dxa"/>
          </w:tcPr>
          <w:p w14:paraId="2F7C1ECB" w14:textId="77777777" w:rsidR="001F668C" w:rsidRPr="006F11C1" w:rsidRDefault="001F668C" w:rsidP="001F668C">
            <w:pPr>
              <w:pStyle w:val="Tabletext"/>
              <w:jc w:val="center"/>
            </w:pPr>
            <w:r w:rsidRPr="006F11C1">
              <w:t>$48,747,664</w:t>
            </w:r>
          </w:p>
        </w:tc>
        <w:tc>
          <w:tcPr>
            <w:tcW w:w="1430" w:type="dxa"/>
          </w:tcPr>
          <w:p w14:paraId="47B62631" w14:textId="77777777" w:rsidR="001F668C" w:rsidRPr="006F11C1" w:rsidRDefault="001F668C" w:rsidP="001F668C">
            <w:pPr>
              <w:pStyle w:val="Tabletext"/>
              <w:jc w:val="center"/>
            </w:pPr>
            <w:r w:rsidRPr="006F11C1">
              <w:t>$48,074,949</w:t>
            </w:r>
          </w:p>
        </w:tc>
        <w:tc>
          <w:tcPr>
            <w:tcW w:w="1430" w:type="dxa"/>
          </w:tcPr>
          <w:p w14:paraId="31E3F47A" w14:textId="77777777" w:rsidR="001F668C" w:rsidRPr="006F11C1" w:rsidRDefault="001F668C" w:rsidP="001F668C">
            <w:pPr>
              <w:pStyle w:val="Tabletext"/>
              <w:jc w:val="center"/>
            </w:pPr>
            <w:r w:rsidRPr="006F11C1">
              <w:t>$47,078,959</w:t>
            </w:r>
          </w:p>
        </w:tc>
        <w:tc>
          <w:tcPr>
            <w:tcW w:w="1430" w:type="dxa"/>
          </w:tcPr>
          <w:p w14:paraId="1126BB86" w14:textId="77777777" w:rsidR="001F668C" w:rsidRPr="006F11C1" w:rsidRDefault="001F668C" w:rsidP="001F668C">
            <w:pPr>
              <w:pStyle w:val="Tabletext"/>
              <w:jc w:val="center"/>
            </w:pPr>
            <w:r w:rsidRPr="006F11C1">
              <w:t>$45,844,651</w:t>
            </w:r>
          </w:p>
        </w:tc>
      </w:tr>
      <w:tr w:rsidR="001F668C" w:rsidRPr="00741D61" w14:paraId="465984EB" w14:textId="77777777" w:rsidTr="00135909">
        <w:tc>
          <w:tcPr>
            <w:tcW w:w="2086" w:type="dxa"/>
            <w:vMerge w:val="restart"/>
          </w:tcPr>
          <w:p w14:paraId="681AAB97" w14:textId="77777777" w:rsidR="001F668C" w:rsidRPr="006F11C1" w:rsidRDefault="001F668C" w:rsidP="001F668C">
            <w:pPr>
              <w:pStyle w:val="TableText0"/>
              <w:jc w:val="left"/>
            </w:pPr>
            <w:r w:rsidRPr="006F11C1">
              <w:t>Level 1 PSG utilisation and cost</w:t>
            </w:r>
          </w:p>
        </w:tc>
        <w:tc>
          <w:tcPr>
            <w:tcW w:w="1430" w:type="dxa"/>
          </w:tcPr>
          <w:p w14:paraId="6235A59B" w14:textId="1FE92E82" w:rsidR="001F668C" w:rsidRPr="006F11C1" w:rsidRDefault="001F668C" w:rsidP="001F668C">
            <w:pPr>
              <w:pStyle w:val="Tabletext"/>
              <w:jc w:val="center"/>
            </w:pPr>
            <w:r w:rsidRPr="006F11C1">
              <w:t>42,951</w:t>
            </w:r>
          </w:p>
        </w:tc>
        <w:tc>
          <w:tcPr>
            <w:tcW w:w="1441" w:type="dxa"/>
          </w:tcPr>
          <w:p w14:paraId="3F1F1EC6" w14:textId="46B15CCB" w:rsidR="001F668C" w:rsidRPr="006F11C1" w:rsidRDefault="001F668C" w:rsidP="001F668C">
            <w:pPr>
              <w:pStyle w:val="Tabletext"/>
              <w:jc w:val="center"/>
            </w:pPr>
            <w:r w:rsidRPr="006F11C1">
              <w:t>44,568</w:t>
            </w:r>
          </w:p>
        </w:tc>
        <w:tc>
          <w:tcPr>
            <w:tcW w:w="1430" w:type="dxa"/>
          </w:tcPr>
          <w:p w14:paraId="27EC6840" w14:textId="798658D8" w:rsidR="001F668C" w:rsidRPr="006F11C1" w:rsidRDefault="001F668C" w:rsidP="001F668C">
            <w:pPr>
              <w:pStyle w:val="Tabletext"/>
              <w:jc w:val="center"/>
            </w:pPr>
            <w:r w:rsidRPr="006F11C1">
              <w:t>46,297</w:t>
            </w:r>
          </w:p>
        </w:tc>
        <w:tc>
          <w:tcPr>
            <w:tcW w:w="1430" w:type="dxa"/>
          </w:tcPr>
          <w:p w14:paraId="33681C51" w14:textId="79CC21D9" w:rsidR="001F668C" w:rsidRPr="006F11C1" w:rsidRDefault="001F668C" w:rsidP="001F668C">
            <w:pPr>
              <w:pStyle w:val="Tabletext"/>
              <w:jc w:val="center"/>
            </w:pPr>
            <w:r w:rsidRPr="006F11C1">
              <w:t>47,917</w:t>
            </w:r>
          </w:p>
        </w:tc>
        <w:tc>
          <w:tcPr>
            <w:tcW w:w="1430" w:type="dxa"/>
          </w:tcPr>
          <w:p w14:paraId="3C132AB0" w14:textId="31AD7CF2" w:rsidR="001F668C" w:rsidRPr="006F11C1" w:rsidRDefault="001F668C" w:rsidP="001F668C">
            <w:pPr>
              <w:pStyle w:val="Tabletext"/>
              <w:jc w:val="center"/>
            </w:pPr>
            <w:r w:rsidRPr="006F11C1">
              <w:t>49,506</w:t>
            </w:r>
          </w:p>
        </w:tc>
      </w:tr>
      <w:tr w:rsidR="001F668C" w:rsidRPr="00741D61" w14:paraId="4E5F4DEB" w14:textId="77777777" w:rsidTr="00135909">
        <w:tc>
          <w:tcPr>
            <w:tcW w:w="2086" w:type="dxa"/>
            <w:vMerge/>
          </w:tcPr>
          <w:p w14:paraId="734D032F" w14:textId="77777777" w:rsidR="001F668C" w:rsidRPr="006F11C1" w:rsidRDefault="001F668C" w:rsidP="001F668C">
            <w:pPr>
              <w:pStyle w:val="TableText0"/>
              <w:jc w:val="left"/>
            </w:pPr>
          </w:p>
        </w:tc>
        <w:tc>
          <w:tcPr>
            <w:tcW w:w="1430" w:type="dxa"/>
          </w:tcPr>
          <w:p w14:paraId="6C801DC7" w14:textId="77777777" w:rsidR="001F668C" w:rsidRPr="006F11C1" w:rsidRDefault="001F668C" w:rsidP="001F668C">
            <w:pPr>
              <w:pStyle w:val="Tabletext"/>
              <w:jc w:val="center"/>
            </w:pPr>
            <w:r w:rsidRPr="006F11C1">
              <w:t>$29,624,740</w:t>
            </w:r>
          </w:p>
        </w:tc>
        <w:tc>
          <w:tcPr>
            <w:tcW w:w="1441" w:type="dxa"/>
          </w:tcPr>
          <w:p w14:paraId="0A03574E" w14:textId="77777777" w:rsidR="001F668C" w:rsidRPr="006F11C1" w:rsidRDefault="001F668C" w:rsidP="001F668C">
            <w:pPr>
              <w:pStyle w:val="Tabletext"/>
              <w:jc w:val="center"/>
            </w:pPr>
            <w:r w:rsidRPr="006F11C1">
              <w:t>$30,739,602</w:t>
            </w:r>
          </w:p>
        </w:tc>
        <w:tc>
          <w:tcPr>
            <w:tcW w:w="1430" w:type="dxa"/>
          </w:tcPr>
          <w:p w14:paraId="3D38F020" w14:textId="77777777" w:rsidR="001F668C" w:rsidRPr="006F11C1" w:rsidRDefault="001F668C" w:rsidP="001F668C">
            <w:pPr>
              <w:pStyle w:val="Tabletext"/>
              <w:jc w:val="center"/>
            </w:pPr>
            <w:r w:rsidRPr="006F11C1">
              <w:t>$31,932,299</w:t>
            </w:r>
          </w:p>
        </w:tc>
        <w:tc>
          <w:tcPr>
            <w:tcW w:w="1430" w:type="dxa"/>
          </w:tcPr>
          <w:p w14:paraId="4C60DC95" w14:textId="77777777" w:rsidR="001F668C" w:rsidRPr="006F11C1" w:rsidRDefault="001F668C" w:rsidP="001F668C">
            <w:pPr>
              <w:pStyle w:val="Tabletext"/>
              <w:jc w:val="center"/>
            </w:pPr>
            <w:r w:rsidRPr="006F11C1">
              <w:t>$33,049,685</w:t>
            </w:r>
          </w:p>
        </w:tc>
        <w:tc>
          <w:tcPr>
            <w:tcW w:w="1430" w:type="dxa"/>
          </w:tcPr>
          <w:p w14:paraId="3AFB1B9E" w14:textId="77777777" w:rsidR="001F668C" w:rsidRPr="006F11C1" w:rsidRDefault="001F668C" w:rsidP="001F668C">
            <w:pPr>
              <w:pStyle w:val="Tabletext"/>
              <w:jc w:val="center"/>
            </w:pPr>
            <w:r w:rsidRPr="006F11C1">
              <w:t>$34,146,087</w:t>
            </w:r>
          </w:p>
        </w:tc>
      </w:tr>
      <w:tr w:rsidR="001F668C" w:rsidRPr="00741D61" w14:paraId="0E5F6927" w14:textId="77777777" w:rsidTr="00135909">
        <w:tc>
          <w:tcPr>
            <w:tcW w:w="2086" w:type="dxa"/>
            <w:vMerge w:val="restart"/>
          </w:tcPr>
          <w:p w14:paraId="393D2230" w14:textId="3151CB03" w:rsidR="001F668C" w:rsidRPr="001F668C" w:rsidRDefault="001F668C" w:rsidP="001F668C">
            <w:pPr>
              <w:pStyle w:val="TableText0"/>
              <w:jc w:val="left"/>
            </w:pPr>
            <w:r w:rsidRPr="001F668C">
              <w:t>HSAT/PAT</w:t>
            </w:r>
          </w:p>
        </w:tc>
        <w:tc>
          <w:tcPr>
            <w:tcW w:w="1430" w:type="dxa"/>
            <w:tcBorders>
              <w:bottom w:val="single" w:sz="4" w:space="0" w:color="auto"/>
            </w:tcBorders>
          </w:tcPr>
          <w:p w14:paraId="795561E7" w14:textId="77777777" w:rsidR="001F668C" w:rsidRPr="006F11C1" w:rsidRDefault="001F668C" w:rsidP="001F668C">
            <w:pPr>
              <w:pStyle w:val="Tabletext"/>
              <w:jc w:val="center"/>
            </w:pPr>
            <w:r w:rsidRPr="006F11C1">
              <w:t>10,011</w:t>
            </w:r>
          </w:p>
        </w:tc>
        <w:tc>
          <w:tcPr>
            <w:tcW w:w="1441" w:type="dxa"/>
            <w:tcBorders>
              <w:bottom w:val="single" w:sz="4" w:space="0" w:color="auto"/>
            </w:tcBorders>
          </w:tcPr>
          <w:p w14:paraId="5B99CC48" w14:textId="77777777" w:rsidR="001F668C" w:rsidRPr="006F11C1" w:rsidRDefault="001F668C" w:rsidP="001F668C">
            <w:pPr>
              <w:pStyle w:val="Tabletext"/>
              <w:jc w:val="center"/>
            </w:pPr>
            <w:r w:rsidRPr="006F11C1">
              <w:t>15,660</w:t>
            </w:r>
          </w:p>
        </w:tc>
        <w:tc>
          <w:tcPr>
            <w:tcW w:w="1430" w:type="dxa"/>
            <w:tcBorders>
              <w:bottom w:val="single" w:sz="4" w:space="0" w:color="auto"/>
            </w:tcBorders>
          </w:tcPr>
          <w:p w14:paraId="363EDF9E" w14:textId="77777777" w:rsidR="001F668C" w:rsidRPr="006F11C1" w:rsidRDefault="001F668C" w:rsidP="001F668C">
            <w:pPr>
              <w:pStyle w:val="Tabletext"/>
              <w:jc w:val="center"/>
            </w:pPr>
            <w:r w:rsidRPr="006F11C1">
              <w:t>21,800</w:t>
            </w:r>
          </w:p>
        </w:tc>
        <w:tc>
          <w:tcPr>
            <w:tcW w:w="1430" w:type="dxa"/>
            <w:tcBorders>
              <w:bottom w:val="single" w:sz="4" w:space="0" w:color="auto"/>
            </w:tcBorders>
          </w:tcPr>
          <w:p w14:paraId="251574BC" w14:textId="77777777" w:rsidR="001F668C" w:rsidRPr="006F11C1" w:rsidRDefault="001F668C" w:rsidP="001F668C">
            <w:pPr>
              <w:pStyle w:val="Tabletext"/>
              <w:jc w:val="center"/>
            </w:pPr>
            <w:r w:rsidRPr="006F11C1">
              <w:t>28,347</w:t>
            </w:r>
          </w:p>
        </w:tc>
        <w:tc>
          <w:tcPr>
            <w:tcW w:w="1430" w:type="dxa"/>
            <w:tcBorders>
              <w:bottom w:val="single" w:sz="4" w:space="0" w:color="auto"/>
            </w:tcBorders>
          </w:tcPr>
          <w:p w14:paraId="432C1CF3" w14:textId="77777777" w:rsidR="001F668C" w:rsidRPr="006F11C1" w:rsidRDefault="001F668C" w:rsidP="001F668C">
            <w:pPr>
              <w:pStyle w:val="Tabletext"/>
              <w:jc w:val="center"/>
            </w:pPr>
            <w:r w:rsidRPr="006F11C1">
              <w:t>35,326</w:t>
            </w:r>
          </w:p>
        </w:tc>
      </w:tr>
      <w:tr w:rsidR="001F668C" w:rsidRPr="00741D61" w14:paraId="13ABD005" w14:textId="77777777" w:rsidTr="00135909">
        <w:tc>
          <w:tcPr>
            <w:tcW w:w="2086" w:type="dxa"/>
            <w:vMerge/>
            <w:tcBorders>
              <w:bottom w:val="single" w:sz="4" w:space="0" w:color="auto"/>
            </w:tcBorders>
          </w:tcPr>
          <w:p w14:paraId="7D51AC98" w14:textId="77777777" w:rsidR="001F668C" w:rsidRPr="006F11C1" w:rsidRDefault="001F668C" w:rsidP="001F668C">
            <w:pPr>
              <w:pStyle w:val="TableText0"/>
            </w:pPr>
          </w:p>
        </w:tc>
        <w:tc>
          <w:tcPr>
            <w:tcW w:w="1430" w:type="dxa"/>
            <w:tcBorders>
              <w:bottom w:val="single" w:sz="4" w:space="0" w:color="auto"/>
            </w:tcBorders>
          </w:tcPr>
          <w:p w14:paraId="41574299" w14:textId="77777777" w:rsidR="001F668C" w:rsidRPr="006F11C1" w:rsidRDefault="001F668C" w:rsidP="001F668C">
            <w:pPr>
              <w:pStyle w:val="Tabletext"/>
              <w:jc w:val="center"/>
            </w:pPr>
            <w:r w:rsidRPr="006F11C1">
              <w:t>$5,362,199</w:t>
            </w:r>
          </w:p>
        </w:tc>
        <w:tc>
          <w:tcPr>
            <w:tcW w:w="1441" w:type="dxa"/>
            <w:tcBorders>
              <w:bottom w:val="single" w:sz="4" w:space="0" w:color="auto"/>
            </w:tcBorders>
          </w:tcPr>
          <w:p w14:paraId="4BA2B954" w14:textId="77777777" w:rsidR="001F668C" w:rsidRPr="006F11C1" w:rsidRDefault="001F668C" w:rsidP="001F668C">
            <w:pPr>
              <w:pStyle w:val="Tabletext"/>
              <w:jc w:val="center"/>
            </w:pPr>
            <w:r w:rsidRPr="006F11C1">
              <w:t>$8,388,049</w:t>
            </w:r>
          </w:p>
        </w:tc>
        <w:tc>
          <w:tcPr>
            <w:tcW w:w="1430" w:type="dxa"/>
            <w:tcBorders>
              <w:bottom w:val="single" w:sz="4" w:space="0" w:color="auto"/>
            </w:tcBorders>
          </w:tcPr>
          <w:p w14:paraId="3CACABE0" w14:textId="77777777" w:rsidR="001F668C" w:rsidRPr="006F11C1" w:rsidRDefault="001F668C" w:rsidP="001F668C">
            <w:pPr>
              <w:pStyle w:val="Tabletext"/>
              <w:jc w:val="center"/>
            </w:pPr>
            <w:r w:rsidRPr="006F11C1">
              <w:t>$11,676,563</w:t>
            </w:r>
          </w:p>
        </w:tc>
        <w:tc>
          <w:tcPr>
            <w:tcW w:w="1430" w:type="dxa"/>
            <w:tcBorders>
              <w:bottom w:val="single" w:sz="4" w:space="0" w:color="auto"/>
            </w:tcBorders>
          </w:tcPr>
          <w:p w14:paraId="474A7A7B" w14:textId="77777777" w:rsidR="001F668C" w:rsidRPr="006F11C1" w:rsidRDefault="001F668C" w:rsidP="001F668C">
            <w:pPr>
              <w:pStyle w:val="Tabletext"/>
              <w:jc w:val="center"/>
            </w:pPr>
            <w:r w:rsidRPr="006F11C1">
              <w:t>$15,183,730</w:t>
            </w:r>
          </w:p>
        </w:tc>
        <w:tc>
          <w:tcPr>
            <w:tcW w:w="1430" w:type="dxa"/>
            <w:tcBorders>
              <w:bottom w:val="single" w:sz="4" w:space="0" w:color="auto"/>
            </w:tcBorders>
          </w:tcPr>
          <w:p w14:paraId="0F498CD0" w14:textId="77777777" w:rsidR="001F668C" w:rsidRPr="006F11C1" w:rsidRDefault="001F668C" w:rsidP="001F668C">
            <w:pPr>
              <w:pStyle w:val="Tabletext"/>
              <w:jc w:val="center"/>
            </w:pPr>
            <w:r w:rsidRPr="006F11C1">
              <w:t>$18,921,510</w:t>
            </w:r>
          </w:p>
        </w:tc>
      </w:tr>
      <w:tr w:rsidR="001F668C" w:rsidRPr="00741D61" w14:paraId="2DE3BDB2" w14:textId="77777777" w:rsidTr="001F668C">
        <w:tc>
          <w:tcPr>
            <w:tcW w:w="2086" w:type="dxa"/>
            <w:shd w:val="clear" w:color="auto" w:fill="auto"/>
          </w:tcPr>
          <w:p w14:paraId="41581C18" w14:textId="77777777" w:rsidR="001F668C" w:rsidRPr="006F11C1" w:rsidRDefault="001F668C" w:rsidP="001F668C">
            <w:pPr>
              <w:pStyle w:val="TableText0"/>
            </w:pPr>
            <w:r w:rsidRPr="006F11C1">
              <w:t>Total</w:t>
            </w:r>
          </w:p>
        </w:tc>
        <w:tc>
          <w:tcPr>
            <w:tcW w:w="1430" w:type="dxa"/>
            <w:shd w:val="clear" w:color="auto" w:fill="auto"/>
          </w:tcPr>
          <w:p w14:paraId="6C3A9B1C" w14:textId="77777777" w:rsidR="001F668C" w:rsidRPr="006F11C1" w:rsidRDefault="001F668C" w:rsidP="001F668C">
            <w:pPr>
              <w:pStyle w:val="Tabletext"/>
              <w:jc w:val="center"/>
            </w:pPr>
            <w:r w:rsidRPr="006F11C1">
              <w:t>$84,320,472</w:t>
            </w:r>
          </w:p>
        </w:tc>
        <w:tc>
          <w:tcPr>
            <w:tcW w:w="1441" w:type="dxa"/>
            <w:shd w:val="clear" w:color="auto" w:fill="auto"/>
          </w:tcPr>
          <w:p w14:paraId="1F5D6B93" w14:textId="77777777" w:rsidR="001F668C" w:rsidRPr="006F11C1" w:rsidRDefault="001F668C" w:rsidP="001F668C">
            <w:pPr>
              <w:pStyle w:val="Tabletext"/>
              <w:jc w:val="center"/>
            </w:pPr>
            <w:r w:rsidRPr="006F11C1">
              <w:t>$87,875,315</w:t>
            </w:r>
          </w:p>
        </w:tc>
        <w:tc>
          <w:tcPr>
            <w:tcW w:w="1430" w:type="dxa"/>
            <w:shd w:val="clear" w:color="auto" w:fill="auto"/>
          </w:tcPr>
          <w:p w14:paraId="5DF4972E" w14:textId="77777777" w:rsidR="001F668C" w:rsidRPr="006F11C1" w:rsidRDefault="001F668C" w:rsidP="001F668C">
            <w:pPr>
              <w:pStyle w:val="Tabletext"/>
              <w:jc w:val="center"/>
            </w:pPr>
            <w:r w:rsidRPr="006F11C1">
              <w:t>$91,683,810</w:t>
            </w:r>
          </w:p>
        </w:tc>
        <w:tc>
          <w:tcPr>
            <w:tcW w:w="1430" w:type="dxa"/>
            <w:shd w:val="clear" w:color="auto" w:fill="auto"/>
          </w:tcPr>
          <w:p w14:paraId="0B58A312" w14:textId="77777777" w:rsidR="001F668C" w:rsidRPr="006F11C1" w:rsidRDefault="001F668C" w:rsidP="001F668C">
            <w:pPr>
              <w:pStyle w:val="Tabletext"/>
              <w:jc w:val="center"/>
            </w:pPr>
            <w:r w:rsidRPr="006F11C1">
              <w:t>$95,312,374</w:t>
            </w:r>
          </w:p>
        </w:tc>
        <w:tc>
          <w:tcPr>
            <w:tcW w:w="1430" w:type="dxa"/>
            <w:shd w:val="clear" w:color="auto" w:fill="auto"/>
          </w:tcPr>
          <w:p w14:paraId="62749778" w14:textId="77777777" w:rsidR="001F668C" w:rsidRPr="006F11C1" w:rsidRDefault="001F668C" w:rsidP="001F668C">
            <w:pPr>
              <w:pStyle w:val="Tabletext"/>
              <w:jc w:val="center"/>
            </w:pPr>
            <w:r w:rsidRPr="006F11C1">
              <w:t>$98,912,248</w:t>
            </w:r>
          </w:p>
        </w:tc>
      </w:tr>
      <w:tr w:rsidR="001F668C" w:rsidRPr="008F11E7" w14:paraId="456956C5" w14:textId="77777777" w:rsidTr="00135909">
        <w:tc>
          <w:tcPr>
            <w:tcW w:w="2086" w:type="dxa"/>
          </w:tcPr>
          <w:p w14:paraId="14F12D1C" w14:textId="77777777" w:rsidR="001F668C" w:rsidRPr="006F11C1" w:rsidRDefault="001F668C" w:rsidP="001F668C">
            <w:pPr>
              <w:pStyle w:val="Tabletextbold"/>
              <w:jc w:val="left"/>
            </w:pPr>
            <w:r w:rsidRPr="006F11C1">
              <w:t>Differential</w:t>
            </w:r>
          </w:p>
        </w:tc>
        <w:tc>
          <w:tcPr>
            <w:tcW w:w="1430" w:type="dxa"/>
          </w:tcPr>
          <w:p w14:paraId="035C3DAD" w14:textId="77777777" w:rsidR="001F668C" w:rsidRPr="006F11C1" w:rsidRDefault="001F668C" w:rsidP="001F668C">
            <w:pPr>
              <w:pStyle w:val="Tabletextbold"/>
              <w:rPr>
                <w:color w:val="FF0000"/>
              </w:rPr>
            </w:pPr>
            <w:r w:rsidRPr="006F11C1">
              <w:t>-$115,699</w:t>
            </w:r>
          </w:p>
        </w:tc>
        <w:tc>
          <w:tcPr>
            <w:tcW w:w="1441" w:type="dxa"/>
          </w:tcPr>
          <w:p w14:paraId="04B6D9A9" w14:textId="77777777" w:rsidR="001F668C" w:rsidRPr="006F11C1" w:rsidRDefault="001F668C" w:rsidP="001F668C">
            <w:pPr>
              <w:pStyle w:val="Tabletextbold"/>
              <w:rPr>
                <w:color w:val="FF0000"/>
              </w:rPr>
            </w:pPr>
            <w:r w:rsidRPr="006F11C1">
              <w:t>-$180,991</w:t>
            </w:r>
          </w:p>
        </w:tc>
        <w:tc>
          <w:tcPr>
            <w:tcW w:w="1430" w:type="dxa"/>
          </w:tcPr>
          <w:p w14:paraId="75C8EAA1" w14:textId="77777777" w:rsidR="001F668C" w:rsidRPr="006F11C1" w:rsidRDefault="001F668C" w:rsidP="001F668C">
            <w:pPr>
              <w:pStyle w:val="Tabletextbold"/>
              <w:rPr>
                <w:color w:val="FF0000"/>
              </w:rPr>
            </w:pPr>
            <w:r w:rsidRPr="006F11C1">
              <w:t>-$251,957</w:t>
            </w:r>
          </w:p>
        </w:tc>
        <w:tc>
          <w:tcPr>
            <w:tcW w:w="1430" w:type="dxa"/>
          </w:tcPr>
          <w:p w14:paraId="37DE1235" w14:textId="77777777" w:rsidR="001F668C" w:rsidRPr="006F11C1" w:rsidRDefault="001F668C" w:rsidP="001F668C">
            <w:pPr>
              <w:pStyle w:val="Tabletextbold"/>
              <w:rPr>
                <w:color w:val="FF0000"/>
              </w:rPr>
            </w:pPr>
            <w:r w:rsidRPr="006F11C1">
              <w:t>-$327,636</w:t>
            </w:r>
          </w:p>
        </w:tc>
        <w:tc>
          <w:tcPr>
            <w:tcW w:w="1430" w:type="dxa"/>
          </w:tcPr>
          <w:p w14:paraId="5D6D4E7F" w14:textId="77777777" w:rsidR="001F668C" w:rsidRPr="006F11C1" w:rsidRDefault="001F668C" w:rsidP="001F668C">
            <w:pPr>
              <w:pStyle w:val="Tabletextbold"/>
              <w:rPr>
                <w:color w:val="FF0000"/>
              </w:rPr>
            </w:pPr>
            <w:r w:rsidRPr="006F11C1">
              <w:t>-$408,296</w:t>
            </w:r>
          </w:p>
        </w:tc>
      </w:tr>
    </w:tbl>
    <w:p w14:paraId="7532AE56" w14:textId="0402D3B6" w:rsidR="001F668C" w:rsidRDefault="001F668C" w:rsidP="001F668C">
      <w:pPr>
        <w:pStyle w:val="Tablenotes"/>
      </w:pPr>
      <w:r>
        <w:t>Source: Table 3, p5 of the pre-ESC response</w:t>
      </w:r>
    </w:p>
    <w:p w14:paraId="7DC5DFA5" w14:textId="5C36F9E3" w:rsidR="00814E99" w:rsidRPr="00814E99" w:rsidRDefault="001F668C" w:rsidP="00814E99">
      <w:pPr>
        <w:pStyle w:val="Tablenotes"/>
        <w:rPr>
          <w:snapToGrid/>
        </w:rPr>
      </w:pPr>
      <w:r>
        <w:t xml:space="preserve">Abbreviations: </w:t>
      </w:r>
      <w:r>
        <w:rPr>
          <w:rStyle w:val="TablenotesChar"/>
        </w:rPr>
        <w:t>HSAT=home sleep apnoea test; MBS=Medicare Benefits Schedule; PAT=peripheral arterial tone; PSG=polysomnography</w:t>
      </w:r>
    </w:p>
    <w:p w14:paraId="0325D7C3" w14:textId="1DAEF698" w:rsidR="00814E99" w:rsidRPr="00814E99" w:rsidRDefault="00814E99"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t xml:space="preserve">Key Issues from ESC </w:t>
      </w:r>
      <w:r>
        <w:rPr>
          <w:rFonts w:ascii="Arial" w:eastAsia="Times New Roman" w:hAnsi="Arial" w:cs="Times New Roman"/>
        </w:rPr>
        <w:t>for</w:t>
      </w:r>
      <w:r w:rsidRPr="00814E99">
        <w:rPr>
          <w:rFonts w:ascii="Arial" w:eastAsia="Times New Roman" w:hAnsi="Arial" w:cs="Times New Roman"/>
        </w:rPr>
        <w:t xml:space="preserve"> MSAC</w:t>
      </w:r>
    </w:p>
    <w:tbl>
      <w:tblPr>
        <w:tblStyle w:val="TableGrid"/>
        <w:tblpPr w:leftFromText="180" w:rightFromText="180" w:vertAnchor="text" w:tblpY="1"/>
        <w:tblOverlap w:val="never"/>
        <w:tblW w:w="0" w:type="auto"/>
        <w:tblLook w:val="04A0" w:firstRow="1" w:lastRow="0" w:firstColumn="1" w:lastColumn="0" w:noHBand="0" w:noVBand="1"/>
      </w:tblPr>
      <w:tblGrid>
        <w:gridCol w:w="2221"/>
        <w:gridCol w:w="6795"/>
      </w:tblGrid>
      <w:tr w:rsidR="00814E99" w:rsidRPr="003B50D2" w14:paraId="53CBA18F" w14:textId="77777777" w:rsidTr="0098781A">
        <w:tc>
          <w:tcPr>
            <w:tcW w:w="2221" w:type="dxa"/>
          </w:tcPr>
          <w:p w14:paraId="5DD2F82E" w14:textId="77777777" w:rsidR="00814E99" w:rsidRPr="003B50D2" w:rsidRDefault="00814E99" w:rsidP="0098781A">
            <w:pPr>
              <w:pStyle w:val="TableHeading"/>
              <w:rPr>
                <w:rFonts w:ascii="Times New Roman" w:hAnsi="Times New Roman" w:cs="Times New Roman"/>
                <w:sz w:val="22"/>
                <w:szCs w:val="22"/>
              </w:rPr>
            </w:pPr>
            <w:r w:rsidRPr="003B50D2">
              <w:rPr>
                <w:rFonts w:ascii="Times New Roman" w:hAnsi="Times New Roman" w:cs="Times New Roman"/>
                <w:sz w:val="22"/>
                <w:szCs w:val="22"/>
              </w:rPr>
              <w:t>ESC key issue</w:t>
            </w:r>
          </w:p>
        </w:tc>
        <w:tc>
          <w:tcPr>
            <w:tcW w:w="6795" w:type="dxa"/>
          </w:tcPr>
          <w:p w14:paraId="0187DA3A" w14:textId="77777777" w:rsidR="00814E99" w:rsidRPr="003B50D2" w:rsidRDefault="00814E99" w:rsidP="0098781A">
            <w:pPr>
              <w:pStyle w:val="TableHeading"/>
              <w:rPr>
                <w:rFonts w:ascii="Times New Roman" w:hAnsi="Times New Roman" w:cs="Times New Roman"/>
                <w:sz w:val="22"/>
                <w:szCs w:val="22"/>
              </w:rPr>
            </w:pPr>
            <w:r w:rsidRPr="003B50D2">
              <w:rPr>
                <w:rFonts w:ascii="Times New Roman" w:hAnsi="Times New Roman" w:cs="Times New Roman"/>
                <w:sz w:val="22"/>
                <w:szCs w:val="22"/>
              </w:rPr>
              <w:t>ESC advice to MSAC</w:t>
            </w:r>
          </w:p>
        </w:tc>
      </w:tr>
      <w:tr w:rsidR="00814E99" w:rsidRPr="003B50D2" w14:paraId="12B2665B" w14:textId="77777777" w:rsidTr="0098781A">
        <w:tc>
          <w:tcPr>
            <w:tcW w:w="2221" w:type="dxa"/>
          </w:tcPr>
          <w:p w14:paraId="4601D785" w14:textId="77777777" w:rsidR="00814E99" w:rsidRPr="00B07D7E" w:rsidRDefault="00814E99" w:rsidP="0098781A">
            <w:pPr>
              <w:pStyle w:val="TableText1"/>
              <w:rPr>
                <w:rFonts w:ascii="Times New Roman" w:hAnsi="Times New Roman"/>
                <w:sz w:val="22"/>
                <w:szCs w:val="22"/>
              </w:rPr>
            </w:pPr>
            <w:r>
              <w:rPr>
                <w:rFonts w:ascii="Times New Roman" w:hAnsi="Times New Roman"/>
                <w:sz w:val="22"/>
                <w:szCs w:val="22"/>
              </w:rPr>
              <w:t>Comparative s</w:t>
            </w:r>
            <w:r w:rsidRPr="00B07D7E">
              <w:rPr>
                <w:rFonts w:ascii="Times New Roman" w:hAnsi="Times New Roman"/>
                <w:sz w:val="22"/>
                <w:szCs w:val="22"/>
              </w:rPr>
              <w:t>afety</w:t>
            </w:r>
          </w:p>
        </w:tc>
        <w:tc>
          <w:tcPr>
            <w:tcW w:w="6795" w:type="dxa"/>
          </w:tcPr>
          <w:p w14:paraId="4FB5F630" w14:textId="43721C8A" w:rsidR="00814E99" w:rsidRPr="003B50D2" w:rsidRDefault="00814E99" w:rsidP="00EC3821">
            <w:pPr>
              <w:pStyle w:val="TableText1"/>
              <w:spacing w:after="120"/>
              <w:rPr>
                <w:sz w:val="22"/>
                <w:szCs w:val="22"/>
              </w:rPr>
            </w:pPr>
            <w:r w:rsidRPr="00A7131B">
              <w:rPr>
                <w:rFonts w:ascii="Times New Roman" w:hAnsi="Times New Roman"/>
                <w:sz w:val="22"/>
                <w:szCs w:val="22"/>
              </w:rPr>
              <w:t>No safety issues identified by the ADAR however, the studies reviewed did not directly assess safety.</w:t>
            </w:r>
            <w:r w:rsidRPr="00A7131B">
              <w:rPr>
                <w:sz w:val="22"/>
                <w:szCs w:val="22"/>
              </w:rPr>
              <w:t xml:space="preserve"> </w:t>
            </w:r>
            <w:r w:rsidRPr="00A7131B">
              <w:rPr>
                <w:rFonts w:ascii="Times New Roman" w:hAnsi="Times New Roman"/>
                <w:color w:val="auto"/>
                <w:sz w:val="22"/>
                <w:szCs w:val="22"/>
              </w:rPr>
              <w:t>Potential harms may include over and under-diagnosis.</w:t>
            </w:r>
          </w:p>
        </w:tc>
      </w:tr>
      <w:tr w:rsidR="00814E99" w:rsidRPr="003B50D2" w14:paraId="7A82BA27" w14:textId="77777777" w:rsidTr="0098781A">
        <w:tc>
          <w:tcPr>
            <w:tcW w:w="2221" w:type="dxa"/>
          </w:tcPr>
          <w:p w14:paraId="610D7F82" w14:textId="77777777" w:rsidR="00814E99" w:rsidRPr="003B50D2" w:rsidRDefault="00814E99" w:rsidP="0098781A">
            <w:pPr>
              <w:pStyle w:val="TableText1"/>
              <w:rPr>
                <w:rFonts w:ascii="Times New Roman" w:hAnsi="Times New Roman"/>
                <w:sz w:val="22"/>
                <w:szCs w:val="22"/>
              </w:rPr>
            </w:pPr>
            <w:r>
              <w:rPr>
                <w:rFonts w:ascii="Times New Roman" w:hAnsi="Times New Roman"/>
                <w:sz w:val="22"/>
                <w:szCs w:val="22"/>
              </w:rPr>
              <w:t>Comparative e</w:t>
            </w:r>
            <w:r w:rsidRPr="003B50D2">
              <w:rPr>
                <w:rFonts w:ascii="Times New Roman" w:hAnsi="Times New Roman"/>
                <w:sz w:val="22"/>
                <w:szCs w:val="22"/>
              </w:rPr>
              <w:t xml:space="preserve">ffectiveness </w:t>
            </w:r>
          </w:p>
        </w:tc>
        <w:tc>
          <w:tcPr>
            <w:tcW w:w="6795" w:type="dxa"/>
          </w:tcPr>
          <w:p w14:paraId="5DE17EE2" w14:textId="77777777" w:rsidR="00814E99" w:rsidRDefault="00814E99" w:rsidP="0098781A">
            <w:pPr>
              <w:pStyle w:val="TableText1"/>
              <w:rPr>
                <w:rFonts w:ascii="Times New Roman" w:hAnsi="Times New Roman"/>
                <w:sz w:val="22"/>
                <w:szCs w:val="22"/>
              </w:rPr>
            </w:pPr>
            <w:r>
              <w:rPr>
                <w:rFonts w:ascii="Times New Roman" w:hAnsi="Times New Roman"/>
                <w:sz w:val="22"/>
                <w:szCs w:val="22"/>
              </w:rPr>
              <w:t>The is no evidence for</w:t>
            </w:r>
            <w:r w:rsidRPr="009716C7">
              <w:rPr>
                <w:rFonts w:ascii="Times New Roman" w:hAnsi="Times New Roman"/>
                <w:sz w:val="22"/>
                <w:szCs w:val="22"/>
              </w:rPr>
              <w:t xml:space="preserve"> direct effectiveness of HSAT/PAT in terms of health outcomes</w:t>
            </w:r>
            <w:r>
              <w:rPr>
                <w:rFonts w:ascii="Times New Roman" w:hAnsi="Times New Roman"/>
                <w:sz w:val="22"/>
                <w:szCs w:val="22"/>
              </w:rPr>
              <w:t>.</w:t>
            </w:r>
          </w:p>
          <w:p w14:paraId="2ECD8A15" w14:textId="77777777" w:rsidR="00814E99" w:rsidRDefault="00814E99" w:rsidP="0098781A">
            <w:pPr>
              <w:pStyle w:val="TableText1"/>
              <w:rPr>
                <w:rFonts w:ascii="Times New Roman" w:hAnsi="Times New Roman"/>
                <w:sz w:val="22"/>
                <w:szCs w:val="22"/>
              </w:rPr>
            </w:pPr>
            <w:r>
              <w:rPr>
                <w:rFonts w:ascii="Times New Roman" w:hAnsi="Times New Roman"/>
                <w:sz w:val="22"/>
                <w:szCs w:val="22"/>
              </w:rPr>
              <w:t xml:space="preserve">The ADAR only considered the effectiveness of HSAT/PAT in terms of </w:t>
            </w:r>
            <w:r w:rsidRPr="009716C7">
              <w:rPr>
                <w:rFonts w:ascii="Times New Roman" w:hAnsi="Times New Roman"/>
                <w:sz w:val="22"/>
                <w:szCs w:val="22"/>
              </w:rPr>
              <w:t>the comparative diagnostic performance (i.e. test accuracy) of HSAT/PAT versus the comparators</w:t>
            </w:r>
            <w:r>
              <w:rPr>
                <w:rFonts w:ascii="Times New Roman" w:hAnsi="Times New Roman"/>
                <w:sz w:val="22"/>
                <w:szCs w:val="22"/>
              </w:rPr>
              <w:t>.</w:t>
            </w:r>
          </w:p>
          <w:p w14:paraId="1E370346" w14:textId="77777777" w:rsidR="00814E99" w:rsidRDefault="00814E99" w:rsidP="0098781A">
            <w:pPr>
              <w:pStyle w:val="TableText1"/>
              <w:rPr>
                <w:rFonts w:ascii="Times New Roman" w:hAnsi="Times New Roman"/>
                <w:sz w:val="22"/>
                <w:szCs w:val="22"/>
              </w:rPr>
            </w:pPr>
            <w:r>
              <w:rPr>
                <w:rFonts w:ascii="Times New Roman" w:hAnsi="Times New Roman"/>
                <w:sz w:val="22"/>
                <w:szCs w:val="22"/>
              </w:rPr>
              <w:t>Limited</w:t>
            </w:r>
            <w:r w:rsidRPr="003B50D2">
              <w:rPr>
                <w:rFonts w:ascii="Times New Roman" w:hAnsi="Times New Roman"/>
                <w:sz w:val="22"/>
                <w:szCs w:val="22"/>
              </w:rPr>
              <w:t xml:space="preserve"> evidence </w:t>
            </w:r>
            <w:r>
              <w:rPr>
                <w:rFonts w:ascii="Times New Roman" w:hAnsi="Times New Roman"/>
                <w:sz w:val="22"/>
                <w:szCs w:val="22"/>
              </w:rPr>
              <w:t xml:space="preserve">(k=2) with limited applicability on the comparative accuracy of HSAT/PAT versus Level 2 PSG (main comparator). </w:t>
            </w:r>
          </w:p>
          <w:p w14:paraId="3F855E62" w14:textId="745891B2" w:rsidR="00814E99" w:rsidRPr="003B50D2" w:rsidRDefault="00814E99" w:rsidP="00EC3821">
            <w:pPr>
              <w:pStyle w:val="TableText1"/>
              <w:spacing w:after="120"/>
              <w:rPr>
                <w:rFonts w:ascii="Times New Roman" w:hAnsi="Times New Roman"/>
                <w:sz w:val="22"/>
                <w:szCs w:val="22"/>
              </w:rPr>
            </w:pPr>
            <w:r>
              <w:rPr>
                <w:rFonts w:ascii="Times New Roman" w:hAnsi="Times New Roman"/>
                <w:sz w:val="22"/>
                <w:szCs w:val="22"/>
              </w:rPr>
              <w:t>There is a l</w:t>
            </w:r>
            <w:r w:rsidRPr="003B50D2">
              <w:rPr>
                <w:rFonts w:ascii="Times New Roman" w:hAnsi="Times New Roman"/>
                <w:sz w:val="22"/>
                <w:szCs w:val="22"/>
              </w:rPr>
              <w:t>arger evidence base</w:t>
            </w:r>
            <w:r>
              <w:rPr>
                <w:rFonts w:ascii="Times New Roman" w:hAnsi="Times New Roman"/>
                <w:sz w:val="22"/>
                <w:szCs w:val="22"/>
              </w:rPr>
              <w:t xml:space="preserve"> (k=16)</w:t>
            </w:r>
            <w:r w:rsidRPr="003B50D2">
              <w:rPr>
                <w:rFonts w:ascii="Times New Roman" w:hAnsi="Times New Roman"/>
                <w:sz w:val="22"/>
                <w:szCs w:val="22"/>
              </w:rPr>
              <w:t xml:space="preserve"> </w:t>
            </w:r>
            <w:r>
              <w:rPr>
                <w:rFonts w:ascii="Times New Roman" w:hAnsi="Times New Roman"/>
                <w:sz w:val="22"/>
                <w:szCs w:val="22"/>
              </w:rPr>
              <w:t xml:space="preserve">comparing HSAT/PAT accuracy with </w:t>
            </w:r>
            <w:r w:rsidRPr="003B50D2">
              <w:rPr>
                <w:rFonts w:ascii="Times New Roman" w:hAnsi="Times New Roman"/>
                <w:sz w:val="22"/>
                <w:szCs w:val="22"/>
              </w:rPr>
              <w:t>Level 1</w:t>
            </w:r>
            <w:r>
              <w:rPr>
                <w:rFonts w:ascii="Times New Roman" w:hAnsi="Times New Roman"/>
                <w:sz w:val="22"/>
                <w:szCs w:val="22"/>
              </w:rPr>
              <w:t xml:space="preserve"> PSG (secondary comparator</w:t>
            </w:r>
            <w:r w:rsidRPr="003B50D2">
              <w:rPr>
                <w:rFonts w:ascii="Times New Roman" w:hAnsi="Times New Roman"/>
                <w:sz w:val="22"/>
                <w:szCs w:val="22"/>
              </w:rPr>
              <w:t>), but the setting is laboratory</w:t>
            </w:r>
            <w:r>
              <w:rPr>
                <w:rFonts w:ascii="Times New Roman" w:hAnsi="Times New Roman"/>
                <w:sz w:val="22"/>
                <w:szCs w:val="22"/>
              </w:rPr>
              <w:t>-based</w:t>
            </w:r>
            <w:r w:rsidRPr="003B50D2">
              <w:rPr>
                <w:rFonts w:ascii="Times New Roman" w:hAnsi="Times New Roman"/>
                <w:sz w:val="22"/>
                <w:szCs w:val="22"/>
              </w:rPr>
              <w:t xml:space="preserve"> </w:t>
            </w:r>
            <w:r>
              <w:rPr>
                <w:rFonts w:ascii="Times New Roman" w:hAnsi="Times New Roman"/>
                <w:sz w:val="22"/>
                <w:szCs w:val="22"/>
              </w:rPr>
              <w:t>which is not representative of the intended setting of use for HSAT/PAT. Although results report correlation (</w:t>
            </w:r>
            <w:r w:rsidRPr="003B50D2">
              <w:rPr>
                <w:rFonts w:ascii="Times New Roman" w:hAnsi="Times New Roman"/>
                <w:sz w:val="22"/>
                <w:szCs w:val="22"/>
              </w:rPr>
              <w:t>r &gt;0.7</w:t>
            </w:r>
            <w:r>
              <w:rPr>
                <w:rFonts w:ascii="Times New Roman" w:hAnsi="Times New Roman"/>
                <w:sz w:val="22"/>
                <w:szCs w:val="22"/>
              </w:rPr>
              <w:t>), t</w:t>
            </w:r>
            <w:r w:rsidRPr="003B50D2">
              <w:rPr>
                <w:rFonts w:ascii="Times New Roman" w:hAnsi="Times New Roman"/>
                <w:sz w:val="22"/>
                <w:szCs w:val="22"/>
              </w:rPr>
              <w:t xml:space="preserve">here is one </w:t>
            </w:r>
            <w:r>
              <w:rPr>
                <w:rFonts w:ascii="Times New Roman" w:hAnsi="Times New Roman"/>
                <w:sz w:val="22"/>
                <w:szCs w:val="22"/>
              </w:rPr>
              <w:t>contrasting</w:t>
            </w:r>
            <w:r w:rsidRPr="003B50D2">
              <w:rPr>
                <w:rFonts w:ascii="Times New Roman" w:hAnsi="Times New Roman"/>
                <w:sz w:val="22"/>
                <w:szCs w:val="22"/>
              </w:rPr>
              <w:t xml:space="preserve"> study,</w:t>
            </w:r>
            <w:r w:rsidRPr="009716C7">
              <w:rPr>
                <w:rFonts w:ascii="Times New Roman" w:hAnsi="Times New Roman"/>
                <w:color w:val="auto"/>
                <w:sz w:val="24"/>
                <w:szCs w:val="20"/>
              </w:rPr>
              <w:t xml:space="preserve"> </w:t>
            </w:r>
            <w:r w:rsidRPr="009716C7">
              <w:rPr>
                <w:rFonts w:ascii="Times New Roman" w:hAnsi="Times New Roman"/>
                <w:sz w:val="22"/>
                <w:szCs w:val="22"/>
              </w:rPr>
              <w:t xml:space="preserve">raising uncertainty as to whether </w:t>
            </w:r>
            <w:r>
              <w:rPr>
                <w:rFonts w:ascii="Times New Roman" w:hAnsi="Times New Roman"/>
                <w:sz w:val="22"/>
                <w:szCs w:val="22"/>
              </w:rPr>
              <w:t>level of correlation would</w:t>
            </w:r>
            <w:r w:rsidRPr="009716C7">
              <w:rPr>
                <w:rFonts w:ascii="Times New Roman" w:hAnsi="Times New Roman"/>
                <w:sz w:val="22"/>
                <w:szCs w:val="22"/>
              </w:rPr>
              <w:t xml:space="preserve"> occur in real world experience and lead to </w:t>
            </w:r>
            <w:r>
              <w:rPr>
                <w:rFonts w:ascii="Times New Roman" w:hAnsi="Times New Roman"/>
                <w:sz w:val="22"/>
                <w:szCs w:val="22"/>
              </w:rPr>
              <w:t>discrepant</w:t>
            </w:r>
            <w:r w:rsidRPr="009716C7">
              <w:rPr>
                <w:rFonts w:ascii="Times New Roman" w:hAnsi="Times New Roman"/>
                <w:sz w:val="22"/>
                <w:szCs w:val="22"/>
              </w:rPr>
              <w:t xml:space="preserve"> results for some patients</w:t>
            </w:r>
            <w:r>
              <w:rPr>
                <w:rFonts w:ascii="Times New Roman" w:hAnsi="Times New Roman"/>
                <w:sz w:val="22"/>
                <w:szCs w:val="22"/>
              </w:rPr>
              <w:t>, and what that impact would be.</w:t>
            </w:r>
            <w:r w:rsidRPr="009716C7" w:rsidDel="009716C7">
              <w:rPr>
                <w:rFonts w:ascii="Times New Roman" w:hAnsi="Times New Roman"/>
                <w:sz w:val="22"/>
                <w:szCs w:val="22"/>
              </w:rPr>
              <w:t xml:space="preserve"> </w:t>
            </w:r>
          </w:p>
        </w:tc>
      </w:tr>
      <w:tr w:rsidR="00814E99" w:rsidRPr="003B50D2" w14:paraId="11919DAD" w14:textId="77777777" w:rsidTr="0098781A">
        <w:tc>
          <w:tcPr>
            <w:tcW w:w="2221" w:type="dxa"/>
          </w:tcPr>
          <w:p w14:paraId="042C613C" w14:textId="77777777" w:rsidR="00814E99" w:rsidRPr="003B50D2" w:rsidRDefault="00814E99" w:rsidP="0098781A">
            <w:pPr>
              <w:pStyle w:val="TableText1"/>
              <w:rPr>
                <w:rFonts w:ascii="Times New Roman" w:hAnsi="Times New Roman"/>
                <w:sz w:val="22"/>
                <w:szCs w:val="22"/>
              </w:rPr>
            </w:pPr>
            <w:r w:rsidRPr="003B50D2">
              <w:rPr>
                <w:rFonts w:ascii="Times New Roman" w:hAnsi="Times New Roman"/>
                <w:sz w:val="22"/>
                <w:szCs w:val="22"/>
              </w:rPr>
              <w:lastRenderedPageBreak/>
              <w:t>Access and equity</w:t>
            </w:r>
          </w:p>
        </w:tc>
        <w:tc>
          <w:tcPr>
            <w:tcW w:w="6795" w:type="dxa"/>
          </w:tcPr>
          <w:p w14:paraId="359AE00A" w14:textId="57654F72" w:rsidR="00814E99" w:rsidRPr="003B50D2" w:rsidRDefault="006B179B" w:rsidP="00EC3821">
            <w:pPr>
              <w:pStyle w:val="TableText1"/>
              <w:spacing w:after="120"/>
              <w:rPr>
                <w:rFonts w:ascii="Times New Roman" w:hAnsi="Times New Roman"/>
                <w:sz w:val="22"/>
                <w:szCs w:val="22"/>
              </w:rPr>
            </w:pPr>
            <w:r w:rsidRPr="00E16F4B">
              <w:rPr>
                <w:rFonts w:ascii="Times New Roman" w:hAnsi="Times New Roman"/>
                <w:sz w:val="22"/>
                <w:szCs w:val="22"/>
              </w:rPr>
              <w:t xml:space="preserve">The single use </w:t>
            </w:r>
            <w:r w:rsidR="00814E99" w:rsidRPr="00E16F4B">
              <w:rPr>
                <w:rFonts w:ascii="Times New Roman" w:hAnsi="Times New Roman"/>
                <w:sz w:val="22"/>
                <w:szCs w:val="22"/>
              </w:rPr>
              <w:t>HSAT/PAT requires a smartphone</w:t>
            </w:r>
            <w:r w:rsidR="00906DB3" w:rsidRPr="00E16F4B">
              <w:rPr>
                <w:rFonts w:ascii="Times New Roman" w:hAnsi="Times New Roman"/>
                <w:sz w:val="22"/>
                <w:szCs w:val="22"/>
              </w:rPr>
              <w:t xml:space="preserve"> and</w:t>
            </w:r>
            <w:r w:rsidR="00814E99" w:rsidRPr="00E16F4B">
              <w:rPr>
                <w:rFonts w:ascii="Times New Roman" w:hAnsi="Times New Roman"/>
                <w:sz w:val="22"/>
                <w:szCs w:val="22"/>
              </w:rPr>
              <w:t xml:space="preserve"> internet access</w:t>
            </w:r>
            <w:r w:rsidR="00814E99" w:rsidRPr="00A7131B">
              <w:rPr>
                <w:rFonts w:ascii="Times New Roman" w:hAnsi="Times New Roman"/>
                <w:sz w:val="22"/>
                <w:szCs w:val="22"/>
              </w:rPr>
              <w:t>; it may improve</w:t>
            </w:r>
            <w:r w:rsidR="00814E99" w:rsidRPr="004F6157">
              <w:rPr>
                <w:rFonts w:ascii="Times New Roman" w:hAnsi="Times New Roman"/>
                <w:sz w:val="22"/>
                <w:szCs w:val="22"/>
              </w:rPr>
              <w:t xml:space="preserve"> access in regional and remote communities. </w:t>
            </w:r>
            <w:r w:rsidR="00814E99" w:rsidRPr="00B07D7E">
              <w:rPr>
                <w:rFonts w:ascii="Times New Roman" w:hAnsi="Times New Roman"/>
                <w:sz w:val="22"/>
                <w:szCs w:val="22"/>
              </w:rPr>
              <w:t>However, no evidence was presented that improved access would lead to changed clinical management or improved health outcomes.</w:t>
            </w:r>
          </w:p>
        </w:tc>
      </w:tr>
      <w:tr w:rsidR="00814E99" w:rsidRPr="003B50D2" w14:paraId="02848FBD" w14:textId="77777777" w:rsidTr="0098781A">
        <w:tc>
          <w:tcPr>
            <w:tcW w:w="2221" w:type="dxa"/>
          </w:tcPr>
          <w:p w14:paraId="1A5AB89D" w14:textId="77777777" w:rsidR="00814E99" w:rsidRPr="003B50D2" w:rsidRDefault="00814E99" w:rsidP="0098781A">
            <w:pPr>
              <w:pStyle w:val="TableText1"/>
              <w:rPr>
                <w:sz w:val="22"/>
                <w:szCs w:val="22"/>
              </w:rPr>
            </w:pPr>
            <w:r w:rsidRPr="00B07D7E">
              <w:rPr>
                <w:rFonts w:ascii="Times New Roman" w:hAnsi="Times New Roman"/>
                <w:sz w:val="22"/>
                <w:szCs w:val="22"/>
              </w:rPr>
              <w:t>HSAT/PAT technology and market</w:t>
            </w:r>
          </w:p>
        </w:tc>
        <w:tc>
          <w:tcPr>
            <w:tcW w:w="6795" w:type="dxa"/>
          </w:tcPr>
          <w:p w14:paraId="25690C72" w14:textId="77777777" w:rsidR="00814E99" w:rsidRPr="00B07D7E" w:rsidRDefault="00814E99" w:rsidP="0098781A">
            <w:pPr>
              <w:pStyle w:val="TableText1"/>
              <w:rPr>
                <w:rFonts w:ascii="Times New Roman" w:hAnsi="Times New Roman"/>
                <w:sz w:val="22"/>
                <w:szCs w:val="22"/>
                <w:lang w:val="en-GB"/>
              </w:rPr>
            </w:pPr>
            <w:r w:rsidRPr="00B07D7E">
              <w:rPr>
                <w:rFonts w:ascii="Times New Roman" w:hAnsi="Times New Roman"/>
                <w:sz w:val="22"/>
                <w:szCs w:val="22"/>
                <w:lang w:val="en-GB"/>
              </w:rPr>
              <w:t>HSAT/PAT devices, including the WatchPAT HSAT/PAT device described in this application are currently available as a Direct to Consumer products.</w:t>
            </w:r>
          </w:p>
          <w:p w14:paraId="42744B96" w14:textId="04DA3D66" w:rsidR="00814E99" w:rsidRPr="004D3B8B" w:rsidRDefault="00814E99" w:rsidP="0098781A">
            <w:pPr>
              <w:pStyle w:val="TableText1"/>
              <w:rPr>
                <w:rFonts w:ascii="Times New Roman" w:hAnsi="Times New Roman"/>
                <w:sz w:val="22"/>
                <w:szCs w:val="22"/>
                <w:lang w:val="en-GB"/>
              </w:rPr>
            </w:pPr>
            <w:r w:rsidRPr="00B07D7E">
              <w:rPr>
                <w:rFonts w:ascii="Times New Roman" w:hAnsi="Times New Roman"/>
                <w:sz w:val="22"/>
                <w:szCs w:val="22"/>
                <w:lang w:val="en-GB"/>
              </w:rPr>
              <w:t>Competitor HSAT devices are available in Australia which are similar to the WatchPAT HSAT/PAT in that they measure</w:t>
            </w:r>
            <w:r>
              <w:rPr>
                <w:rFonts w:ascii="Times New Roman" w:hAnsi="Times New Roman"/>
                <w:sz w:val="22"/>
                <w:szCs w:val="22"/>
                <w:lang w:val="en-GB"/>
              </w:rPr>
              <w:t xml:space="preserve"> a</w:t>
            </w:r>
            <w:r w:rsidRPr="00B07D7E">
              <w:rPr>
                <w:rFonts w:ascii="Times New Roman" w:hAnsi="Times New Roman"/>
                <w:sz w:val="22"/>
                <w:szCs w:val="22"/>
                <w:lang w:val="en-GB"/>
              </w:rPr>
              <w:t xml:space="preserve"> P</w:t>
            </w:r>
            <w:r w:rsidR="00714452">
              <w:rPr>
                <w:rFonts w:ascii="Times New Roman" w:hAnsi="Times New Roman"/>
                <w:sz w:val="22"/>
                <w:szCs w:val="22"/>
                <w:lang w:val="en-GB"/>
              </w:rPr>
              <w:t>PG</w:t>
            </w:r>
            <w:r w:rsidRPr="00B07D7E">
              <w:rPr>
                <w:rFonts w:ascii="Times New Roman" w:hAnsi="Times New Roman"/>
                <w:sz w:val="22"/>
                <w:szCs w:val="22"/>
                <w:lang w:val="en-GB"/>
              </w:rPr>
              <w:t xml:space="preserve"> signal but differ in the other parameters measured</w:t>
            </w:r>
            <w:r>
              <w:rPr>
                <w:rFonts w:ascii="Times New Roman" w:hAnsi="Times New Roman"/>
                <w:sz w:val="22"/>
                <w:szCs w:val="22"/>
                <w:lang w:val="en-GB"/>
              </w:rPr>
              <w:t>,</w:t>
            </w:r>
            <w:r w:rsidRPr="00B07D7E">
              <w:rPr>
                <w:rFonts w:ascii="Times New Roman" w:hAnsi="Times New Roman"/>
                <w:sz w:val="22"/>
                <w:szCs w:val="22"/>
                <w:lang w:val="en-GB"/>
              </w:rPr>
              <w:t xml:space="preserve"> and </w:t>
            </w:r>
            <w:r>
              <w:rPr>
                <w:rFonts w:ascii="Times New Roman" w:hAnsi="Times New Roman"/>
                <w:sz w:val="22"/>
                <w:szCs w:val="22"/>
                <w:lang w:val="en-GB"/>
              </w:rPr>
              <w:t xml:space="preserve">may </w:t>
            </w:r>
            <w:r w:rsidRPr="00B07D7E">
              <w:rPr>
                <w:rFonts w:ascii="Times New Roman" w:hAnsi="Times New Roman"/>
                <w:sz w:val="22"/>
                <w:szCs w:val="22"/>
                <w:lang w:val="en-GB"/>
              </w:rPr>
              <w:t>provide multi-night analysis.</w:t>
            </w:r>
            <w:r>
              <w:rPr>
                <w:rFonts w:ascii="Times New Roman" w:hAnsi="Times New Roman"/>
                <w:sz w:val="22"/>
                <w:szCs w:val="22"/>
                <w:lang w:val="en-GB"/>
              </w:rPr>
              <w:t xml:space="preserve"> </w:t>
            </w:r>
          </w:p>
        </w:tc>
      </w:tr>
      <w:tr w:rsidR="00814E99" w:rsidRPr="003B50D2" w14:paraId="247F4ADD" w14:textId="77777777" w:rsidTr="0098781A">
        <w:tc>
          <w:tcPr>
            <w:tcW w:w="2221" w:type="dxa"/>
          </w:tcPr>
          <w:p w14:paraId="328AFBC2" w14:textId="77777777" w:rsidR="00814E99" w:rsidRPr="003B50D2" w:rsidRDefault="00814E99" w:rsidP="0098781A">
            <w:pPr>
              <w:pStyle w:val="TableText1"/>
              <w:rPr>
                <w:rFonts w:ascii="Times New Roman" w:hAnsi="Times New Roman"/>
                <w:sz w:val="22"/>
                <w:szCs w:val="22"/>
              </w:rPr>
            </w:pPr>
            <w:r w:rsidRPr="003B50D2">
              <w:rPr>
                <w:rFonts w:ascii="Times New Roman" w:hAnsi="Times New Roman"/>
                <w:sz w:val="22"/>
                <w:szCs w:val="22"/>
              </w:rPr>
              <w:t>MBS item descriptor</w:t>
            </w:r>
            <w:r>
              <w:rPr>
                <w:rFonts w:ascii="Times New Roman" w:hAnsi="Times New Roman"/>
                <w:sz w:val="22"/>
                <w:szCs w:val="22"/>
              </w:rPr>
              <w:t xml:space="preserve">, fee </w:t>
            </w:r>
            <w:r w:rsidRPr="003B50D2">
              <w:rPr>
                <w:rFonts w:ascii="Times New Roman" w:hAnsi="Times New Roman"/>
                <w:sz w:val="22"/>
                <w:szCs w:val="22"/>
              </w:rPr>
              <w:t>and co-claiming</w:t>
            </w:r>
          </w:p>
        </w:tc>
        <w:tc>
          <w:tcPr>
            <w:tcW w:w="6795" w:type="dxa"/>
          </w:tcPr>
          <w:p w14:paraId="18E920DE" w14:textId="77777777" w:rsidR="00814E99" w:rsidRPr="002B5255" w:rsidRDefault="00814E99" w:rsidP="0098781A">
            <w:pPr>
              <w:pStyle w:val="TableText1"/>
              <w:rPr>
                <w:rFonts w:ascii="Times New Roman" w:hAnsi="Times New Roman"/>
                <w:sz w:val="22"/>
                <w:szCs w:val="22"/>
                <w:lang w:val="en-GB"/>
              </w:rPr>
            </w:pPr>
            <w:r w:rsidRPr="002B5255">
              <w:rPr>
                <w:rFonts w:ascii="Times New Roman" w:hAnsi="Times New Roman"/>
                <w:sz w:val="22"/>
                <w:szCs w:val="22"/>
                <w:lang w:val="en-GB"/>
              </w:rPr>
              <w:t>MSAC may want to consider:</w:t>
            </w:r>
          </w:p>
          <w:p w14:paraId="429E9188" w14:textId="77777777" w:rsidR="00814E99" w:rsidRPr="002B5255" w:rsidRDefault="00814E99" w:rsidP="0098781A">
            <w:pPr>
              <w:pStyle w:val="TableBullet"/>
              <w:rPr>
                <w:rFonts w:ascii="Times New Roman" w:hAnsi="Times New Roman"/>
                <w:sz w:val="22"/>
                <w:szCs w:val="22"/>
                <w:lang w:val="en-GB"/>
              </w:rPr>
            </w:pPr>
            <w:r w:rsidRPr="002B5255">
              <w:rPr>
                <w:rFonts w:ascii="Times New Roman" w:hAnsi="Times New Roman"/>
                <w:sz w:val="22"/>
                <w:szCs w:val="22"/>
                <w:lang w:val="en-GB"/>
              </w:rPr>
              <w:t>A new descriptor for the service aligned to MBS item 12250, fit for purpose for PAT-based HSAT, noting likely other similar technologies to future proof (i.e. device agnostic).</w:t>
            </w:r>
          </w:p>
          <w:p w14:paraId="5841E0AD" w14:textId="77777777" w:rsidR="00814E99" w:rsidRPr="002B5255" w:rsidRDefault="00814E99" w:rsidP="0098781A">
            <w:pPr>
              <w:pStyle w:val="TableBullet"/>
              <w:rPr>
                <w:rFonts w:ascii="Times New Roman" w:hAnsi="Times New Roman"/>
                <w:sz w:val="22"/>
                <w:szCs w:val="22"/>
                <w:lang w:val="en-GB"/>
              </w:rPr>
            </w:pPr>
            <w:r w:rsidRPr="002B5255">
              <w:rPr>
                <w:rFonts w:ascii="Times New Roman" w:hAnsi="Times New Roman"/>
                <w:sz w:val="22"/>
                <w:szCs w:val="22"/>
                <w:lang w:val="en-GB"/>
              </w:rPr>
              <w:t xml:space="preserve">Department advice that the MBS fee should cover the </w:t>
            </w:r>
            <w:r w:rsidRPr="002B5255">
              <w:rPr>
                <w:rFonts w:ascii="Times New Roman" w:hAnsi="Times New Roman"/>
                <w:sz w:val="22"/>
                <w:szCs w:val="22"/>
              </w:rPr>
              <w:t>professional service only</w:t>
            </w:r>
            <w:r w:rsidRPr="002B5255">
              <w:rPr>
                <w:rFonts w:ascii="Times New Roman" w:hAnsi="Times New Roman"/>
                <w:sz w:val="22"/>
                <w:szCs w:val="22"/>
                <w:lang w:val="en-GB"/>
              </w:rPr>
              <w:t xml:space="preserve"> and the implications </w:t>
            </w:r>
            <w:r>
              <w:rPr>
                <w:rFonts w:ascii="Times New Roman" w:hAnsi="Times New Roman"/>
                <w:sz w:val="22"/>
                <w:szCs w:val="22"/>
                <w:lang w:val="en-GB"/>
              </w:rPr>
              <w:t>whether</w:t>
            </w:r>
            <w:r w:rsidRPr="002B5255">
              <w:rPr>
                <w:rFonts w:ascii="Times New Roman" w:hAnsi="Times New Roman"/>
                <w:sz w:val="22"/>
                <w:szCs w:val="22"/>
                <w:lang w:val="en-GB"/>
              </w:rPr>
              <w:t xml:space="preserve"> the MBS item fee does or does not include costs for the disposable/reusable device (i.e. policy implications, out-of-pocket costs to patients for the device).</w:t>
            </w:r>
          </w:p>
          <w:p w14:paraId="7255379E" w14:textId="77777777" w:rsidR="00814E99" w:rsidRPr="002B5255" w:rsidRDefault="00814E99" w:rsidP="0098781A">
            <w:pPr>
              <w:pStyle w:val="TableBullet"/>
              <w:rPr>
                <w:rFonts w:ascii="Times New Roman" w:hAnsi="Times New Roman"/>
                <w:sz w:val="22"/>
                <w:szCs w:val="22"/>
                <w:lang w:val="en-GB"/>
              </w:rPr>
            </w:pPr>
            <w:r w:rsidRPr="002B5255">
              <w:rPr>
                <w:rFonts w:ascii="Times New Roman" w:hAnsi="Times New Roman"/>
                <w:sz w:val="22"/>
                <w:szCs w:val="22"/>
                <w:lang w:val="en-GB"/>
              </w:rPr>
              <w:t>Only one MBS item covering the professional services for HSAT/PAT would be required if the cost of the device/consumables is separated out.</w:t>
            </w:r>
          </w:p>
          <w:p w14:paraId="4A43A262" w14:textId="77777777" w:rsidR="00814E99" w:rsidRPr="002B5255" w:rsidRDefault="00814E99" w:rsidP="0098781A">
            <w:pPr>
              <w:pStyle w:val="TableBullet"/>
              <w:rPr>
                <w:rFonts w:ascii="Times New Roman" w:hAnsi="Times New Roman"/>
                <w:sz w:val="22"/>
                <w:szCs w:val="22"/>
                <w:lang w:val="en-GB"/>
              </w:rPr>
            </w:pPr>
            <w:r w:rsidRPr="002B5255">
              <w:rPr>
                <w:rFonts w:ascii="Times New Roman" w:hAnsi="Times New Roman"/>
                <w:sz w:val="22"/>
                <w:szCs w:val="22"/>
                <w:lang w:val="en-GB"/>
              </w:rPr>
              <w:t xml:space="preserve">Reducing the proposed fee which ESC considers to be high as it includes the cost of HSAT/PAT device and </w:t>
            </w:r>
            <w:r>
              <w:rPr>
                <w:rFonts w:ascii="Times New Roman" w:hAnsi="Times New Roman"/>
                <w:sz w:val="22"/>
                <w:szCs w:val="22"/>
                <w:lang w:val="en-GB"/>
              </w:rPr>
              <w:t xml:space="preserve">as </w:t>
            </w:r>
            <w:r w:rsidRPr="002B5255">
              <w:rPr>
                <w:rFonts w:ascii="Times New Roman" w:hAnsi="Times New Roman"/>
                <w:sz w:val="22"/>
                <w:szCs w:val="22"/>
                <w:lang w:val="en-GB"/>
              </w:rPr>
              <w:t>HSAT/PAT is not equivalent to Level 2 PSG.</w:t>
            </w:r>
            <w:r>
              <w:rPr>
                <w:rFonts w:ascii="Times New Roman" w:hAnsi="Times New Roman"/>
                <w:sz w:val="22"/>
                <w:szCs w:val="22"/>
                <w:lang w:val="en-GB"/>
              </w:rPr>
              <w:t xml:space="preserve"> The wording of the descriptor needs consideration in relation to exchangeability of those PAT devices that have not been assessed in this application.</w:t>
            </w:r>
          </w:p>
          <w:p w14:paraId="1FB9585A" w14:textId="77777777" w:rsidR="00814E99" w:rsidRPr="00B07D7E" w:rsidRDefault="00814E99" w:rsidP="0098781A">
            <w:pPr>
              <w:pStyle w:val="TableBullet"/>
              <w:rPr>
                <w:rFonts w:ascii="Times New Roman" w:hAnsi="Times New Roman"/>
                <w:sz w:val="22"/>
                <w:szCs w:val="22"/>
              </w:rPr>
            </w:pPr>
            <w:r w:rsidRPr="002B5255">
              <w:rPr>
                <w:rFonts w:ascii="Times New Roman" w:hAnsi="Times New Roman"/>
                <w:sz w:val="22"/>
                <w:szCs w:val="22"/>
              </w:rPr>
              <w:t>Include similar restrictions as those for MBS item 12250, such as other sleep items, once per year, age over 18.</w:t>
            </w:r>
          </w:p>
        </w:tc>
      </w:tr>
      <w:tr w:rsidR="00814E99" w:rsidRPr="003B50D2" w14:paraId="07547258" w14:textId="77777777" w:rsidTr="0098781A">
        <w:tc>
          <w:tcPr>
            <w:tcW w:w="2221" w:type="dxa"/>
          </w:tcPr>
          <w:p w14:paraId="4267D5C7" w14:textId="77777777" w:rsidR="00814E99" w:rsidRPr="003B50D2" w:rsidRDefault="00814E99" w:rsidP="0098781A">
            <w:pPr>
              <w:pStyle w:val="TableText1"/>
              <w:rPr>
                <w:rFonts w:ascii="Times New Roman" w:hAnsi="Times New Roman"/>
                <w:sz w:val="22"/>
                <w:szCs w:val="22"/>
              </w:rPr>
            </w:pPr>
            <w:r>
              <w:rPr>
                <w:rFonts w:ascii="Times New Roman" w:hAnsi="Times New Roman"/>
                <w:sz w:val="22"/>
                <w:szCs w:val="22"/>
              </w:rPr>
              <w:t>Uptake of HSAT/PAT</w:t>
            </w:r>
          </w:p>
        </w:tc>
        <w:tc>
          <w:tcPr>
            <w:tcW w:w="6795" w:type="dxa"/>
          </w:tcPr>
          <w:p w14:paraId="248116CD" w14:textId="079FC9C7" w:rsidR="00814E99" w:rsidRPr="003B50D2" w:rsidRDefault="00814E99" w:rsidP="0098781A">
            <w:pPr>
              <w:pStyle w:val="TableText1"/>
              <w:rPr>
                <w:rFonts w:ascii="Times New Roman" w:hAnsi="Times New Roman"/>
                <w:sz w:val="22"/>
                <w:szCs w:val="22"/>
              </w:rPr>
            </w:pPr>
            <w:r>
              <w:rPr>
                <w:rFonts w:ascii="Times New Roman" w:hAnsi="Times New Roman"/>
                <w:sz w:val="22"/>
                <w:szCs w:val="22"/>
              </w:rPr>
              <w:t xml:space="preserve">The uptake of HSAT/PAT </w:t>
            </w:r>
            <w:r w:rsidRPr="003B50D2">
              <w:rPr>
                <w:rFonts w:ascii="Times New Roman" w:hAnsi="Times New Roman"/>
                <w:sz w:val="22"/>
                <w:szCs w:val="22"/>
              </w:rPr>
              <w:t>is highly uncertain</w:t>
            </w:r>
            <w:r>
              <w:rPr>
                <w:rFonts w:ascii="Times New Roman" w:hAnsi="Times New Roman"/>
                <w:sz w:val="22"/>
                <w:szCs w:val="22"/>
              </w:rPr>
              <w:t>. HSAT/PAT is unlikely to directly substitute Level 2 and Level 1 PSGs. There is likely potential for HSAT/PAT to increase the overall market as t</w:t>
            </w:r>
            <w:r w:rsidRPr="007A3EC4">
              <w:rPr>
                <w:rFonts w:ascii="Times New Roman" w:hAnsi="Times New Roman"/>
                <w:sz w:val="22"/>
                <w:szCs w:val="22"/>
              </w:rPr>
              <w:t>he device is easier to apply than the comparators</w:t>
            </w:r>
            <w:r>
              <w:rPr>
                <w:rFonts w:ascii="Times New Roman" w:hAnsi="Times New Roman"/>
                <w:sz w:val="22"/>
                <w:szCs w:val="22"/>
              </w:rPr>
              <w:t xml:space="preserve"> and may increase access in rural/regional communities. </w:t>
            </w:r>
          </w:p>
        </w:tc>
      </w:tr>
      <w:tr w:rsidR="00814E99" w:rsidRPr="003B50D2" w14:paraId="16453C0F" w14:textId="77777777" w:rsidTr="0098781A">
        <w:tc>
          <w:tcPr>
            <w:tcW w:w="2221" w:type="dxa"/>
          </w:tcPr>
          <w:p w14:paraId="4DB35277" w14:textId="77777777" w:rsidR="00814E99" w:rsidRPr="003B50D2" w:rsidRDefault="00814E99" w:rsidP="0098781A">
            <w:pPr>
              <w:pStyle w:val="TableText1"/>
              <w:rPr>
                <w:rFonts w:ascii="Times New Roman" w:hAnsi="Times New Roman"/>
                <w:sz w:val="22"/>
                <w:szCs w:val="22"/>
              </w:rPr>
            </w:pPr>
            <w:r w:rsidRPr="003B50D2">
              <w:rPr>
                <w:rFonts w:ascii="Times New Roman" w:hAnsi="Times New Roman"/>
                <w:sz w:val="22"/>
                <w:szCs w:val="22"/>
              </w:rPr>
              <w:t>Substitution</w:t>
            </w:r>
            <w:r>
              <w:rPr>
                <w:rFonts w:ascii="Times New Roman" w:hAnsi="Times New Roman"/>
                <w:sz w:val="22"/>
                <w:szCs w:val="22"/>
              </w:rPr>
              <w:t xml:space="preserve"> of Level 1 PSG</w:t>
            </w:r>
          </w:p>
        </w:tc>
        <w:tc>
          <w:tcPr>
            <w:tcW w:w="6795" w:type="dxa"/>
          </w:tcPr>
          <w:p w14:paraId="736F776B" w14:textId="77777777" w:rsidR="00814E99" w:rsidRPr="003B50D2" w:rsidRDefault="00814E99" w:rsidP="0098781A">
            <w:pPr>
              <w:pStyle w:val="TableText1"/>
              <w:rPr>
                <w:rFonts w:ascii="Times New Roman" w:hAnsi="Times New Roman"/>
                <w:sz w:val="22"/>
                <w:szCs w:val="22"/>
              </w:rPr>
            </w:pPr>
            <w:r w:rsidRPr="003B50D2">
              <w:rPr>
                <w:rFonts w:ascii="Times New Roman" w:hAnsi="Times New Roman"/>
                <w:sz w:val="22"/>
                <w:szCs w:val="22"/>
              </w:rPr>
              <w:t xml:space="preserve">The </w:t>
            </w:r>
            <w:r>
              <w:rPr>
                <w:rFonts w:ascii="Times New Roman" w:hAnsi="Times New Roman"/>
                <w:sz w:val="22"/>
                <w:szCs w:val="22"/>
              </w:rPr>
              <w:t>HSAT/PAT</w:t>
            </w:r>
            <w:r w:rsidRPr="003B50D2">
              <w:rPr>
                <w:rFonts w:ascii="Times New Roman" w:hAnsi="Times New Roman"/>
                <w:sz w:val="22"/>
                <w:szCs w:val="22"/>
              </w:rPr>
              <w:t xml:space="preserve"> is unlikely to substitut</w:t>
            </w:r>
            <w:r>
              <w:rPr>
                <w:rFonts w:ascii="Times New Roman" w:hAnsi="Times New Roman"/>
                <w:sz w:val="22"/>
                <w:szCs w:val="22"/>
              </w:rPr>
              <w:t>e</w:t>
            </w:r>
            <w:r w:rsidRPr="003B50D2">
              <w:rPr>
                <w:rFonts w:ascii="Times New Roman" w:hAnsi="Times New Roman"/>
                <w:sz w:val="22"/>
                <w:szCs w:val="22"/>
              </w:rPr>
              <w:t xml:space="preserve"> for a Level 1 PSG to the </w:t>
            </w:r>
            <w:r>
              <w:rPr>
                <w:rFonts w:ascii="Times New Roman" w:hAnsi="Times New Roman"/>
                <w:sz w:val="22"/>
                <w:szCs w:val="22"/>
              </w:rPr>
              <w:t>degree</w:t>
            </w:r>
            <w:r w:rsidRPr="003B50D2">
              <w:rPr>
                <w:rFonts w:ascii="Times New Roman" w:hAnsi="Times New Roman"/>
                <w:sz w:val="22"/>
                <w:szCs w:val="22"/>
              </w:rPr>
              <w:t xml:space="preserve"> specified</w:t>
            </w:r>
            <w:r>
              <w:rPr>
                <w:rFonts w:ascii="Times New Roman" w:hAnsi="Times New Roman"/>
                <w:sz w:val="22"/>
                <w:szCs w:val="22"/>
              </w:rPr>
              <w:t xml:space="preserve">, as the </w:t>
            </w:r>
            <w:r w:rsidRPr="007A3EC4">
              <w:rPr>
                <w:rFonts w:ascii="Times New Roman" w:hAnsi="Times New Roman"/>
                <w:sz w:val="22"/>
                <w:szCs w:val="22"/>
              </w:rPr>
              <w:t xml:space="preserve">ADAR </w:t>
            </w:r>
            <w:r>
              <w:rPr>
                <w:rFonts w:ascii="Times New Roman" w:hAnsi="Times New Roman"/>
                <w:sz w:val="22"/>
                <w:szCs w:val="22"/>
              </w:rPr>
              <w:t>did</w:t>
            </w:r>
            <w:r w:rsidRPr="007A3EC4">
              <w:rPr>
                <w:rFonts w:ascii="Times New Roman" w:hAnsi="Times New Roman"/>
                <w:sz w:val="22"/>
                <w:szCs w:val="22"/>
              </w:rPr>
              <w:t xml:space="preserve"> not adequately justif</w:t>
            </w:r>
            <w:r>
              <w:rPr>
                <w:rFonts w:ascii="Times New Roman" w:hAnsi="Times New Roman"/>
                <w:sz w:val="22"/>
                <w:szCs w:val="22"/>
              </w:rPr>
              <w:t>y</w:t>
            </w:r>
            <w:r w:rsidRPr="007A3EC4">
              <w:rPr>
                <w:rFonts w:ascii="Times New Roman" w:hAnsi="Times New Roman"/>
                <w:sz w:val="22"/>
                <w:szCs w:val="22"/>
              </w:rPr>
              <w:t xml:space="preserve"> which (and how many) patients who </w:t>
            </w:r>
            <w:r>
              <w:rPr>
                <w:rFonts w:ascii="Times New Roman" w:hAnsi="Times New Roman"/>
                <w:sz w:val="22"/>
                <w:szCs w:val="22"/>
              </w:rPr>
              <w:t xml:space="preserve">would </w:t>
            </w:r>
            <w:r w:rsidRPr="007A3EC4">
              <w:rPr>
                <w:rFonts w:ascii="Times New Roman" w:hAnsi="Times New Roman"/>
                <w:sz w:val="22"/>
                <w:szCs w:val="22"/>
              </w:rPr>
              <w:t>otherwise require</w:t>
            </w:r>
            <w:r>
              <w:rPr>
                <w:rFonts w:ascii="Times New Roman" w:hAnsi="Times New Roman"/>
                <w:sz w:val="22"/>
                <w:szCs w:val="22"/>
              </w:rPr>
              <w:t xml:space="preserve"> a</w:t>
            </w:r>
            <w:r w:rsidRPr="007A3EC4">
              <w:rPr>
                <w:rFonts w:ascii="Times New Roman" w:hAnsi="Times New Roman"/>
                <w:sz w:val="22"/>
                <w:szCs w:val="22"/>
              </w:rPr>
              <w:t xml:space="preserve"> Level 1 PSG could swap to a HSAT/PAT</w:t>
            </w:r>
            <w:r>
              <w:rPr>
                <w:rFonts w:ascii="Times New Roman" w:hAnsi="Times New Roman"/>
                <w:sz w:val="22"/>
                <w:szCs w:val="22"/>
              </w:rPr>
              <w:t xml:space="preserve">. Further, </w:t>
            </w:r>
            <w:r w:rsidRPr="003B50D2">
              <w:rPr>
                <w:rFonts w:ascii="Times New Roman" w:hAnsi="Times New Roman"/>
                <w:sz w:val="22"/>
                <w:szCs w:val="22"/>
              </w:rPr>
              <w:t>Level 1 PSG</w:t>
            </w:r>
            <w:r>
              <w:rPr>
                <w:rFonts w:ascii="Times New Roman" w:hAnsi="Times New Roman"/>
                <w:sz w:val="22"/>
                <w:szCs w:val="22"/>
              </w:rPr>
              <w:t xml:space="preserve"> usage</w:t>
            </w:r>
            <w:r w:rsidRPr="003B50D2">
              <w:rPr>
                <w:rFonts w:ascii="Times New Roman" w:hAnsi="Times New Roman"/>
                <w:sz w:val="22"/>
                <w:szCs w:val="22"/>
              </w:rPr>
              <w:t xml:space="preserve"> have been decreasing over time.</w:t>
            </w:r>
          </w:p>
        </w:tc>
      </w:tr>
      <w:tr w:rsidR="00814E99" w:rsidRPr="003B50D2" w14:paraId="0179E26E" w14:textId="77777777" w:rsidTr="0098781A">
        <w:tc>
          <w:tcPr>
            <w:tcW w:w="2221" w:type="dxa"/>
          </w:tcPr>
          <w:p w14:paraId="791DCC69" w14:textId="77777777" w:rsidR="00814E99" w:rsidRPr="007A3EC4" w:rsidRDefault="00814E99" w:rsidP="0098781A">
            <w:pPr>
              <w:pStyle w:val="TableText1"/>
              <w:rPr>
                <w:rFonts w:ascii="Times New Roman" w:hAnsi="Times New Roman"/>
                <w:sz w:val="22"/>
                <w:szCs w:val="22"/>
              </w:rPr>
            </w:pPr>
            <w:r w:rsidRPr="007A3EC4">
              <w:rPr>
                <w:rFonts w:ascii="Times New Roman" w:hAnsi="Times New Roman"/>
                <w:sz w:val="22"/>
                <w:szCs w:val="22"/>
              </w:rPr>
              <w:t>Economic evaluation</w:t>
            </w:r>
          </w:p>
        </w:tc>
        <w:tc>
          <w:tcPr>
            <w:tcW w:w="6795" w:type="dxa"/>
          </w:tcPr>
          <w:p w14:paraId="0737C47F" w14:textId="77777777" w:rsidR="00814E99" w:rsidRPr="003B50D2" w:rsidRDefault="00814E99" w:rsidP="0098781A">
            <w:pPr>
              <w:pStyle w:val="TableText1"/>
              <w:rPr>
                <w:rFonts w:ascii="Times New Roman" w:hAnsi="Times New Roman"/>
                <w:sz w:val="22"/>
                <w:szCs w:val="22"/>
              </w:rPr>
            </w:pPr>
            <w:r w:rsidRPr="003B50D2">
              <w:rPr>
                <w:rFonts w:ascii="Times New Roman" w:hAnsi="Times New Roman"/>
                <w:sz w:val="22"/>
                <w:szCs w:val="22"/>
              </w:rPr>
              <w:t xml:space="preserve">The </w:t>
            </w:r>
            <w:r w:rsidRPr="007A3EC4">
              <w:rPr>
                <w:rFonts w:ascii="Times New Roman" w:hAnsi="Times New Roman"/>
                <w:sz w:val="22"/>
                <w:szCs w:val="22"/>
              </w:rPr>
              <w:t>economic evaluation presented was not a cost-minimisation analysis</w:t>
            </w:r>
            <w:r>
              <w:rPr>
                <w:rFonts w:ascii="Times New Roman" w:hAnsi="Times New Roman"/>
                <w:sz w:val="22"/>
                <w:szCs w:val="22"/>
              </w:rPr>
              <w:t>,</w:t>
            </w:r>
            <w:r>
              <w:t xml:space="preserve"> but </w:t>
            </w:r>
            <w:r w:rsidRPr="00CD516D">
              <w:rPr>
                <w:rFonts w:ascii="Times New Roman" w:hAnsi="Times New Roman"/>
                <w:sz w:val="22"/>
                <w:szCs w:val="22"/>
              </w:rPr>
              <w:t>a financial estimate over 5 years</w:t>
            </w:r>
            <w:r>
              <w:rPr>
                <w:rFonts w:ascii="Times New Roman" w:hAnsi="Times New Roman"/>
                <w:sz w:val="22"/>
                <w:szCs w:val="22"/>
              </w:rPr>
              <w:t xml:space="preserve"> which is</w:t>
            </w:r>
            <w:r w:rsidRPr="00B07D7E">
              <w:rPr>
                <w:rFonts w:ascii="Times New Roman" w:hAnsi="Times New Roman"/>
                <w:sz w:val="22"/>
                <w:szCs w:val="22"/>
              </w:rPr>
              <w:t xml:space="preserve"> highly uncertain and not informative</w:t>
            </w:r>
            <w:r w:rsidRPr="007A3EC4">
              <w:rPr>
                <w:rFonts w:ascii="Times New Roman" w:hAnsi="Times New Roman"/>
                <w:sz w:val="22"/>
                <w:szCs w:val="22"/>
              </w:rPr>
              <w:t>.</w:t>
            </w:r>
            <w:r w:rsidRPr="003B50D2">
              <w:rPr>
                <w:rFonts w:ascii="Times New Roman" w:hAnsi="Times New Roman"/>
                <w:sz w:val="22"/>
                <w:szCs w:val="22"/>
              </w:rPr>
              <w:t xml:space="preserve"> </w:t>
            </w:r>
          </w:p>
        </w:tc>
      </w:tr>
      <w:tr w:rsidR="00814E99" w:rsidRPr="003B50D2" w14:paraId="36B17972" w14:textId="77777777" w:rsidTr="0098781A">
        <w:tc>
          <w:tcPr>
            <w:tcW w:w="2221" w:type="dxa"/>
          </w:tcPr>
          <w:p w14:paraId="3BF04278" w14:textId="77777777" w:rsidR="00814E99" w:rsidRPr="00A973E9" w:rsidRDefault="00814E99" w:rsidP="0098781A">
            <w:pPr>
              <w:pStyle w:val="TableText1"/>
              <w:rPr>
                <w:rFonts w:ascii="Times New Roman" w:hAnsi="Times New Roman"/>
                <w:sz w:val="22"/>
                <w:szCs w:val="22"/>
              </w:rPr>
            </w:pPr>
            <w:r w:rsidRPr="00A973E9">
              <w:rPr>
                <w:rFonts w:ascii="Times New Roman" w:hAnsi="Times New Roman"/>
                <w:sz w:val="22"/>
                <w:szCs w:val="22"/>
              </w:rPr>
              <w:t>Financial implications</w:t>
            </w:r>
          </w:p>
        </w:tc>
        <w:tc>
          <w:tcPr>
            <w:tcW w:w="6795" w:type="dxa"/>
          </w:tcPr>
          <w:p w14:paraId="0B32CB64" w14:textId="77777777" w:rsidR="00814E99" w:rsidRPr="00591FB8" w:rsidRDefault="00814E99" w:rsidP="0098781A">
            <w:pPr>
              <w:pStyle w:val="TableText1"/>
              <w:rPr>
                <w:rFonts w:ascii="Times New Roman" w:hAnsi="Times New Roman"/>
                <w:sz w:val="22"/>
                <w:szCs w:val="22"/>
              </w:rPr>
            </w:pPr>
            <w:r w:rsidRPr="00591FB8">
              <w:rPr>
                <w:rFonts w:ascii="Times New Roman" w:hAnsi="Times New Roman"/>
                <w:sz w:val="22"/>
                <w:szCs w:val="22"/>
              </w:rPr>
              <w:t xml:space="preserve">The estimated impact of listing HSAT/PAT to the MBS is highly uncertain. The estimated savings to the MBS are due to the lower requested MBS fee for the re-usable HSAT/PAT MBS item and substitution of </w:t>
            </w:r>
            <w:r>
              <w:rPr>
                <w:rFonts w:ascii="Times New Roman" w:hAnsi="Times New Roman"/>
                <w:sz w:val="22"/>
                <w:szCs w:val="22"/>
              </w:rPr>
              <w:t>L</w:t>
            </w:r>
            <w:r w:rsidRPr="00591FB8">
              <w:rPr>
                <w:rFonts w:ascii="Times New Roman" w:hAnsi="Times New Roman"/>
                <w:sz w:val="22"/>
                <w:szCs w:val="22"/>
              </w:rPr>
              <w:t xml:space="preserve">evel </w:t>
            </w:r>
            <w:r w:rsidRPr="00F8440C">
              <w:rPr>
                <w:rFonts w:ascii="Times New Roman" w:hAnsi="Times New Roman"/>
                <w:sz w:val="22"/>
                <w:szCs w:val="22"/>
              </w:rPr>
              <w:t xml:space="preserve">1 PSG </w:t>
            </w:r>
            <w:r w:rsidRPr="00717C92">
              <w:rPr>
                <w:rFonts w:ascii="Times New Roman" w:hAnsi="Times New Roman"/>
                <w:sz w:val="22"/>
                <w:szCs w:val="22"/>
              </w:rPr>
              <w:t>which have not been adequately justified and are highly uncertain.</w:t>
            </w:r>
          </w:p>
        </w:tc>
      </w:tr>
    </w:tbl>
    <w:p w14:paraId="22B35F18" w14:textId="77777777" w:rsidR="00814E99" w:rsidRDefault="00814E99" w:rsidP="004D3B8B">
      <w:pPr>
        <w:pStyle w:val="Heading1"/>
        <w:spacing w:before="240"/>
        <w:ind w:left="720" w:hanging="720"/>
      </w:pPr>
      <w:r>
        <w:lastRenderedPageBreak/>
        <w:t xml:space="preserve">ESC Discussion </w:t>
      </w:r>
    </w:p>
    <w:p w14:paraId="5653D26A" w14:textId="77777777" w:rsidR="00814E99" w:rsidRDefault="00814E99" w:rsidP="00814E99">
      <w:pPr>
        <w:spacing w:after="240"/>
      </w:pPr>
      <w:r>
        <w:t>ESC noted that this application was for Medicare Benefits Schedule (MBS) listing of h</w:t>
      </w:r>
      <w:r w:rsidRPr="004E73B6">
        <w:t>ome sleep apnoea test (HSAT) utilising peripheral arterial tone (PAT)</w:t>
      </w:r>
      <w:r>
        <w:t xml:space="preserve"> </w:t>
      </w:r>
      <w:r w:rsidRPr="006412CB">
        <w:t>for the diagnosis of obstructive sleep apnoea (OSA)</w:t>
      </w:r>
      <w:r>
        <w:t>.</w:t>
      </w:r>
    </w:p>
    <w:p w14:paraId="68BC1D46" w14:textId="2B9C908A" w:rsidR="00814E99" w:rsidRDefault="00814E99" w:rsidP="00814E99">
      <w:r>
        <w:t xml:space="preserve">ESC noted that HSAT/PAT uses a patient worn device, such as the WatchPAT which measures </w:t>
      </w:r>
      <w:r w:rsidRPr="00E719EA">
        <w:t xml:space="preserve">PAT signal, heart rate, oximetry, actigraphy (body movement), body position, snoring sound level, </w:t>
      </w:r>
      <w:r>
        <w:t xml:space="preserve">and </w:t>
      </w:r>
      <w:r w:rsidRPr="00E719EA">
        <w:t>chest motion via three points of contact</w:t>
      </w:r>
      <w:r>
        <w:t xml:space="preserve">. ESC noted that the parameters measured by HSAT/PAT devices such as the WatchPAT are not equivalent to the parameters measured during polysomnography (PSG) sleep studies which, for Level 2 PSG includes airflow, </w:t>
      </w:r>
      <w:bookmarkStart w:id="32" w:name="_Hlk79823682"/>
      <w:r>
        <w:t>continuous e</w:t>
      </w:r>
      <w:r w:rsidRPr="006B3FAF">
        <w:t>lectromyography (EMG)</w:t>
      </w:r>
      <w:r>
        <w:t xml:space="preserve">, continuous </w:t>
      </w:r>
      <w:r w:rsidRPr="006B3FAF">
        <w:t>electrocardiogram (ECG</w:t>
      </w:r>
      <w:r>
        <w:t xml:space="preserve">), continuous </w:t>
      </w:r>
      <w:r w:rsidRPr="006B3FAF">
        <w:t>electroencephalogram (EEG)</w:t>
      </w:r>
      <w:r>
        <w:t>, e</w:t>
      </w:r>
      <w:r w:rsidRPr="006B3FAF">
        <w:t>lectro-oculography (EOG)</w:t>
      </w:r>
      <w:bookmarkEnd w:id="32"/>
      <w:r>
        <w:t xml:space="preserve">, oxygen saturation and respiratory effort. ESC noted that, in addition to the WatchPAT device nominated in this application, another HSAT device, the NightOwl HSAT (ARTG 319834 &amp; 320061) is also available in Australia. ESC also noted that: </w:t>
      </w:r>
    </w:p>
    <w:p w14:paraId="13BBEE6F" w14:textId="77777777" w:rsidR="00814E99" w:rsidRPr="00E719EA" w:rsidRDefault="00814E99" w:rsidP="00814E99">
      <w:pPr>
        <w:pStyle w:val="ListParagraph"/>
        <w:numPr>
          <w:ilvl w:val="0"/>
          <w:numId w:val="28"/>
        </w:numPr>
      </w:pPr>
      <w:r w:rsidRPr="00E719EA">
        <w:t>accreditation by the Australasian Sleep Association (ASA) and the National</w:t>
      </w:r>
      <w:r>
        <w:t>,</w:t>
      </w:r>
      <w:r w:rsidRPr="00E719EA">
        <w:t xml:space="preserve"> Association of Testing Authorities (NATA) should be required</w:t>
      </w:r>
      <w:r>
        <w:t>,</w:t>
      </w:r>
      <w:r w:rsidRPr="00E719EA">
        <w:t xml:space="preserve"> </w:t>
      </w:r>
    </w:p>
    <w:p w14:paraId="2BB6D04C" w14:textId="77777777" w:rsidR="00814E99" w:rsidRPr="00E719EA" w:rsidRDefault="00814E99" w:rsidP="00814E99">
      <w:pPr>
        <w:pStyle w:val="ListParagraph"/>
        <w:numPr>
          <w:ilvl w:val="0"/>
          <w:numId w:val="28"/>
        </w:numPr>
      </w:pPr>
      <w:r w:rsidRPr="00E719EA">
        <w:t>specific training in understanding of the PAT signal should be mandatory</w:t>
      </w:r>
      <w:r>
        <w:t>,</w:t>
      </w:r>
      <w:r w:rsidRPr="00E719EA">
        <w:t xml:space="preserve"> </w:t>
      </w:r>
    </w:p>
    <w:p w14:paraId="1F61C163" w14:textId="77777777" w:rsidR="00814E99" w:rsidRPr="00E719EA" w:rsidRDefault="00814E99" w:rsidP="00814E99">
      <w:pPr>
        <w:pStyle w:val="ListParagraph"/>
        <w:numPr>
          <w:ilvl w:val="0"/>
          <w:numId w:val="28"/>
        </w:numPr>
      </w:pPr>
      <w:r w:rsidRPr="00E719EA">
        <w:t>either a sleep technologist or a sleep physician may score the test and a sleep physician should determine if further treatment is needed</w:t>
      </w:r>
      <w:r>
        <w:t>,</w:t>
      </w:r>
    </w:p>
    <w:p w14:paraId="0444BB46" w14:textId="77777777" w:rsidR="00814E99" w:rsidRPr="00E719EA" w:rsidRDefault="00814E99" w:rsidP="00814E99">
      <w:pPr>
        <w:pStyle w:val="ListParagraph"/>
        <w:numPr>
          <w:ilvl w:val="0"/>
          <w:numId w:val="28"/>
        </w:numPr>
      </w:pPr>
      <w:r w:rsidRPr="00E719EA">
        <w:t>guidelines for manual review and adjustment of automated scoring</w:t>
      </w:r>
      <w:r>
        <w:t xml:space="preserve"> are available, and</w:t>
      </w:r>
    </w:p>
    <w:p w14:paraId="5BD12AC5" w14:textId="77777777" w:rsidR="00814E99" w:rsidRDefault="00814E99" w:rsidP="00814E99">
      <w:pPr>
        <w:pStyle w:val="ListParagraph"/>
        <w:numPr>
          <w:ilvl w:val="0"/>
          <w:numId w:val="28"/>
        </w:numPr>
      </w:pPr>
      <w:r w:rsidRPr="00E719EA">
        <w:t>manual review is based on review o</w:t>
      </w:r>
      <w:r>
        <w:t>f</w:t>
      </w:r>
      <w:r w:rsidRPr="00E719EA">
        <w:t xml:space="preserve"> the automated report and takes 10-15 minutes</w:t>
      </w:r>
      <w:r>
        <w:t>.</w:t>
      </w:r>
    </w:p>
    <w:p w14:paraId="1D8EDC2E" w14:textId="3061D593" w:rsidR="00814E99" w:rsidRDefault="00814E99" w:rsidP="007D5F6D">
      <w:pPr>
        <w:spacing w:before="240" w:after="240"/>
      </w:pPr>
      <w:r>
        <w:t>ESC noted that the consultation feedback received mixed support. Some feedback advised that the WatchPAT HSAT/PAT device was more appropriately classified as a Level 3 sleep study, and is not equivalent to a Level 2 sleep study (unattended polysomnography</w:t>
      </w:r>
      <w:r w:rsidDel="003C2A7E">
        <w:t xml:space="preserve"> </w:t>
      </w:r>
      <w:r>
        <w:t xml:space="preserve">[PSG]) as claimed in the Applicant Developed Assessment Report (ADAR) as the HSAT/PAT devices do not continuously and directly measure the same parameters as a Level 2 PSG and does not specifically measure respiration. </w:t>
      </w:r>
      <w:r w:rsidRPr="00E16F4B">
        <w:t xml:space="preserve">ESC agreed with consultation feedback that there is a risk of </w:t>
      </w:r>
      <w:r w:rsidR="00976962" w:rsidRPr="00E16F4B">
        <w:t xml:space="preserve">over diagnosis </w:t>
      </w:r>
      <w:r w:rsidRPr="00E16F4B">
        <w:t>of OSA using HSAT/PAT devices</w:t>
      </w:r>
      <w:r w:rsidR="00976962" w:rsidRPr="00976962">
        <w:t xml:space="preserve"> </w:t>
      </w:r>
      <w:r w:rsidR="00976962">
        <w:rPr>
          <w:rStyle w:val="normaltextrun"/>
        </w:rPr>
        <w:t>or other sleep study devices</w:t>
      </w:r>
      <w:r w:rsidRPr="00E16F4B">
        <w:t>,</w:t>
      </w:r>
      <w:r>
        <w:t xml:space="preserve"> that t</w:t>
      </w:r>
      <w:r w:rsidRPr="002C093D">
        <w:t xml:space="preserve">reatment benefits do not correlate well with </w:t>
      </w:r>
      <w:r>
        <w:t>sleep study</w:t>
      </w:r>
      <w:r w:rsidRPr="002C093D">
        <w:t xml:space="preserve"> results</w:t>
      </w:r>
      <w:r>
        <w:t>, and there are commercial implications which ESC considered are likely to increase the market</w:t>
      </w:r>
      <w:r w:rsidRPr="002C093D">
        <w:t xml:space="preserve">. </w:t>
      </w:r>
      <w:r>
        <w:t>ESC noted feedback that the proposed MBS fee for HSAT/PAT is not</w:t>
      </w:r>
      <w:r w:rsidRPr="00B64008">
        <w:t xml:space="preserve"> reflective of the different effort, cost, specialization, and application involved with a </w:t>
      </w:r>
      <w:r>
        <w:t xml:space="preserve">Level 2 PSG sleep study. ESC also noted consumer feedback queried whether the single use disposable device is recyclable. </w:t>
      </w:r>
    </w:p>
    <w:p w14:paraId="0CA1888A" w14:textId="77777777" w:rsidR="00814E99" w:rsidRDefault="00814E99" w:rsidP="00814E99">
      <w:pPr>
        <w:spacing w:after="240"/>
      </w:pPr>
      <w:r>
        <w:t xml:space="preserve">ESC also noted that the HSAT/PAT </w:t>
      </w:r>
      <w:r w:rsidDel="006B0590">
        <w:t xml:space="preserve">devices require smart phone and internet access, which raises equity issues for people who do not have this access. However, ESC </w:t>
      </w:r>
      <w:r w:rsidRPr="00545F28" w:rsidDel="006B0590">
        <w:t>noted that the devices</w:t>
      </w:r>
      <w:r w:rsidDel="006B0590">
        <w:t xml:space="preserve"> c</w:t>
      </w:r>
      <w:r w:rsidRPr="006412CB" w:rsidDel="006B0590">
        <w:t xml:space="preserve">an be posted to a patient’s home </w:t>
      </w:r>
      <w:r w:rsidDel="006B0590">
        <w:t>with</w:t>
      </w:r>
      <w:r w:rsidRPr="006412CB" w:rsidDel="006B0590">
        <w:t xml:space="preserve"> access to 24-hour support</w:t>
      </w:r>
      <w:r w:rsidDel="006B0590">
        <w:t>,</w:t>
      </w:r>
      <w:r>
        <w:t xml:space="preserve"> and agreed with consultation feedback that these devices</w:t>
      </w:r>
      <w:r w:rsidDel="006B0590">
        <w:t xml:space="preserve"> may increase equity for rural and regional patients.</w:t>
      </w:r>
    </w:p>
    <w:p w14:paraId="2BFFC69D" w14:textId="78892AC9" w:rsidR="00814E99" w:rsidRDefault="00814E99" w:rsidP="00814E99">
      <w:pPr>
        <w:spacing w:after="240"/>
      </w:pPr>
      <w:r>
        <w:t xml:space="preserve">ESC noted that the </w:t>
      </w:r>
      <w:r w:rsidRPr="006412CB">
        <w:t>ADAR propose</w:t>
      </w:r>
      <w:r>
        <w:t>d</w:t>
      </w:r>
      <w:r w:rsidRPr="006412CB">
        <w:t xml:space="preserve"> two new </w:t>
      </w:r>
      <w:r>
        <w:t xml:space="preserve">MBS </w:t>
      </w:r>
      <w:r w:rsidRPr="006412CB">
        <w:t>item</w:t>
      </w:r>
      <w:r>
        <w:t xml:space="preserve">s </w:t>
      </w:r>
      <w:r w:rsidRPr="006412CB">
        <w:t>for HSAT/PAT</w:t>
      </w:r>
      <w:r>
        <w:t>:</w:t>
      </w:r>
      <w:r w:rsidRPr="006412CB">
        <w:t xml:space="preserve"> </w:t>
      </w:r>
      <w:r>
        <w:t xml:space="preserve">one for conducting HSAT/PAT using a single use HSAT/PAT device and one for conducting HSAT/PAT using a cheaper reusable HSAT/PAT device. ESC noted that the proposed MBS items were the same except for the proposed fee and that the proposed fees include both professional service costs and consumable device costs. However, </w:t>
      </w:r>
      <w:r w:rsidRPr="00B64008">
        <w:t>the ADAR did not provide a breakdown of the cost of the device, consumables and service</w:t>
      </w:r>
      <w:r>
        <w:t xml:space="preserve">. ESC noted advice from the Department that </w:t>
      </w:r>
      <w:r w:rsidRPr="00B64008">
        <w:t xml:space="preserve">MBS item numbers are intended to take into consideration only the professional service and not the cost of devices or consumables. </w:t>
      </w:r>
      <w:r>
        <w:t xml:space="preserve">ESC noted the applicant stated the </w:t>
      </w:r>
      <w:r w:rsidRPr="00A469D3">
        <w:t xml:space="preserve">cost for the single use WatchPAT is </w:t>
      </w:r>
      <w:r w:rsidR="00E16F4B" w:rsidRPr="00E16F4B">
        <w:rPr>
          <w:b/>
          <w:bCs/>
        </w:rPr>
        <w:t>redacted</w:t>
      </w:r>
      <w:r w:rsidR="00E16F4B" w:rsidRPr="00E16F4B">
        <w:t xml:space="preserve"> </w:t>
      </w:r>
      <w:r>
        <w:t xml:space="preserve">and </w:t>
      </w:r>
      <w:r w:rsidRPr="00A469D3">
        <w:t xml:space="preserve">disposables for the reusable WatchPAT </w:t>
      </w:r>
      <w:r>
        <w:t>cost</w:t>
      </w:r>
      <w:r w:rsidR="003A368C">
        <w:t xml:space="preserve"> </w:t>
      </w:r>
      <w:r w:rsidR="00E16F4B" w:rsidRPr="00E16F4B">
        <w:rPr>
          <w:b/>
          <w:bCs/>
        </w:rPr>
        <w:t>redacted</w:t>
      </w:r>
      <w:r>
        <w:t xml:space="preserve">. </w:t>
      </w:r>
      <w:r>
        <w:lastRenderedPageBreak/>
        <w:t>However, ESC noted that the WatchPAT</w:t>
      </w:r>
      <w:r w:rsidRPr="00014036">
        <w:rPr>
          <w:sz w:val="28"/>
          <w:szCs w:val="22"/>
          <w:vertAlign w:val="superscript"/>
        </w:rPr>
        <w:t>®</w:t>
      </w:r>
      <w:r>
        <w:t>ONE is available online for $229.95 and that a competitor device is available to purchase online for $149.00, which includes multi-night (3 night) assessment, consultation and an analysis report. ESC considered that only one new MBS item for HSAT/PAT should be proposed with a single proposed fee commensurate with the professional services required however, it was unclear to ESC</w:t>
      </w:r>
      <w:r w:rsidRPr="00B64008">
        <w:t xml:space="preserve"> how much of the</w:t>
      </w:r>
      <w:r>
        <w:t xml:space="preserve"> Applicant proposed MBS fees for HSAT/PAT are</w:t>
      </w:r>
      <w:r w:rsidRPr="00B64008">
        <w:t xml:space="preserve"> attributable to the </w:t>
      </w:r>
      <w:r>
        <w:t>professional service</w:t>
      </w:r>
      <w:r w:rsidRPr="00B64008">
        <w:t>.</w:t>
      </w:r>
    </w:p>
    <w:p w14:paraId="0E733C85" w14:textId="77777777" w:rsidR="00814E99" w:rsidRDefault="00814E99" w:rsidP="00814E99">
      <w:pPr>
        <w:spacing w:after="240"/>
      </w:pPr>
      <w:r>
        <w:t>ESC noted the test requirements listed in the proposed MBS descriptor could potentially make the proposed MBS item device gnostic (e.g. overnight, the number and type of parameters measured). ESC considered that the item descriptor criteria should be reviewed and revised to ensure the proposed MBS item is device agnostic, while not permitting use of devices that have not been assessed for comparable clinical or cost-effectiveness. ESC also considered that the applicant should clarify why the proposed MBS descriptor for HSAT/PAT specifies 'scoring in epochs of not more than 20 minutes’ and why this is different to the MBS item for Level 2 PSG which specifies ‘s</w:t>
      </w:r>
      <w:r w:rsidRPr="004E6E98">
        <w:t>coring in epochs of not more than 1 minute</w:t>
      </w:r>
      <w:r>
        <w:t xml:space="preserve">’. ESC also considered that the item descriptor should apply the same claiming restrictions as MBS item 12250 (e.g. a frequency restriction to limit billing to once per patient in a 12 month period.) and is a Type C: out-of-hospital procedure. </w:t>
      </w:r>
    </w:p>
    <w:p w14:paraId="75E578BB" w14:textId="77777777" w:rsidR="00814E99" w:rsidRDefault="00814E99" w:rsidP="00814E99">
      <w:pPr>
        <w:spacing w:after="240"/>
      </w:pPr>
      <w:r>
        <w:t xml:space="preserve">ESC noted the primary comparator is Level 2 PSG and the secondary comparator is Level 1 PSG. ESC noted the ADAR clinical management algorithm depicted HSAT/PAT substituting both Level 2 PSG and Level 1 PSG. However, ESC considered that the ADAR did not provide sufficient information to justify the </w:t>
      </w:r>
      <w:r w:rsidRPr="00A06957">
        <w:t xml:space="preserve">use of HSAT/PAT in patients who otherwise would </w:t>
      </w:r>
      <w:r>
        <w:t>require</w:t>
      </w:r>
      <w:r w:rsidRPr="00A06957">
        <w:t xml:space="preserve"> a</w:t>
      </w:r>
      <w:r>
        <w:t>n attended</w:t>
      </w:r>
      <w:r w:rsidRPr="00A06957">
        <w:t xml:space="preserve"> Level 1 PSG </w:t>
      </w:r>
      <w:r>
        <w:t>(i.e. patients who are unsuitable for an unattended PSG [Level 2] and require an attended PSG [Level 1]), noting that</w:t>
      </w:r>
      <w:r w:rsidRPr="00A06957">
        <w:t xml:space="preserve"> the ADAR </w:t>
      </w:r>
      <w:r>
        <w:t>did</w:t>
      </w:r>
      <w:r w:rsidRPr="00A06957">
        <w:t xml:space="preserve"> not demonstrate how patients who have difficulty communicating</w:t>
      </w:r>
      <w:r>
        <w:t>,</w:t>
      </w:r>
      <w:r w:rsidRPr="00A06957">
        <w:t xml:space="preserve"> a language barrier</w:t>
      </w:r>
      <w:r>
        <w:t>,</w:t>
      </w:r>
      <w:r w:rsidRPr="00A06957">
        <w:t xml:space="preserve"> mobility problems or other physical disabilities may be suitable for HSAT/PAT</w:t>
      </w:r>
      <w:r>
        <w:t xml:space="preserve"> in place of Level 1 PSG</w:t>
      </w:r>
      <w:r w:rsidRPr="00A06957">
        <w:t>.</w:t>
      </w:r>
    </w:p>
    <w:p w14:paraId="7F558388" w14:textId="77777777" w:rsidR="00814E99" w:rsidRDefault="00814E99" w:rsidP="00814E99">
      <w:pPr>
        <w:spacing w:after="240"/>
      </w:pPr>
      <w:r>
        <w:t xml:space="preserve">ESC noted the clinical evidence base consisted of </w:t>
      </w:r>
      <w:r w:rsidRPr="00FE5432">
        <w:t xml:space="preserve">two </w:t>
      </w:r>
      <w:r>
        <w:t xml:space="preserve">cohort </w:t>
      </w:r>
      <w:r w:rsidRPr="00FE5432">
        <w:t xml:space="preserve">studies comparing </w:t>
      </w:r>
      <w:r>
        <w:t xml:space="preserve">the accuracy of </w:t>
      </w:r>
      <w:r w:rsidRPr="00FE5432">
        <w:t xml:space="preserve">HSAT/PAT </w:t>
      </w:r>
      <w:r>
        <w:t xml:space="preserve">with </w:t>
      </w:r>
      <w:r w:rsidRPr="00FE5432">
        <w:t xml:space="preserve">Level 2 PSG (main comparator), </w:t>
      </w:r>
      <w:r>
        <w:t>and</w:t>
      </w:r>
      <w:r w:rsidRPr="00FE5432">
        <w:t xml:space="preserve"> 16 studies comparing</w:t>
      </w:r>
      <w:r>
        <w:t xml:space="preserve"> the accuracy of</w:t>
      </w:r>
      <w:r w:rsidRPr="00FE5432">
        <w:t xml:space="preserve"> HSAT/PAT </w:t>
      </w:r>
      <w:r>
        <w:t>with</w:t>
      </w:r>
      <w:r w:rsidRPr="00FE5432">
        <w:t xml:space="preserve"> Level 1 PSG (secondary comparator).</w:t>
      </w:r>
      <w:r>
        <w:t xml:space="preserve"> ESC noted that the </w:t>
      </w:r>
      <w:r w:rsidRPr="00A06957">
        <w:t xml:space="preserve">ADAR </w:t>
      </w:r>
      <w:r>
        <w:t>did</w:t>
      </w:r>
      <w:r w:rsidRPr="00A06957">
        <w:t xml:space="preserve"> not provide any evidence linking Level 2 and Level 1 PSG</w:t>
      </w:r>
      <w:r>
        <w:t xml:space="preserve">. ESC noted </w:t>
      </w:r>
      <w:r w:rsidRPr="007B13D7">
        <w:t xml:space="preserve">the patient population </w:t>
      </w:r>
      <w:r>
        <w:t>in the two studies comparing HSAT/PAT with Level 2 PSG were</w:t>
      </w:r>
      <w:r w:rsidRPr="007B13D7">
        <w:t xml:space="preserve"> highly selected (pregnant women and patients selected from a hypertension and diabetes database) and </w:t>
      </w:r>
      <w:r>
        <w:t>as such were not considered</w:t>
      </w:r>
      <w:r w:rsidRPr="007B13D7">
        <w:t xml:space="preserve"> representative of </w:t>
      </w:r>
      <w:r>
        <w:t>the population</w:t>
      </w:r>
      <w:r w:rsidRPr="007B13D7">
        <w:t xml:space="preserve"> </w:t>
      </w:r>
      <w:r>
        <w:t xml:space="preserve">in the </w:t>
      </w:r>
      <w:r w:rsidRPr="007B13D7">
        <w:t xml:space="preserve">proposed </w:t>
      </w:r>
      <w:r>
        <w:t>MBS item</w:t>
      </w:r>
      <w:r w:rsidRPr="007B13D7">
        <w:t xml:space="preserve"> HSAT/PAT.</w:t>
      </w:r>
      <w:r>
        <w:t xml:space="preserve"> ESC also noted the 16 studies comparing HSAT/PAT with Level 1 PSG were conducted in a sleep laboratory and that the results in this setting may not be representative of results achieved in a home-based setting.</w:t>
      </w:r>
    </w:p>
    <w:p w14:paraId="0EA4044D" w14:textId="77777777" w:rsidR="00814E99" w:rsidRDefault="00814E99" w:rsidP="00814E99">
      <w:pPr>
        <w:spacing w:after="240"/>
      </w:pPr>
      <w:r>
        <w:t>Regarding comparative safety, ESC noted t</w:t>
      </w:r>
      <w:r w:rsidRPr="00B95B20">
        <w:t xml:space="preserve">he </w:t>
      </w:r>
      <w:r>
        <w:t xml:space="preserve">included </w:t>
      </w:r>
      <w:r w:rsidRPr="00B95B20">
        <w:t>studies</w:t>
      </w:r>
      <w:r>
        <w:t xml:space="preserve"> comparing HSAT/PAT with Level 2 and Level 1 PSG</w:t>
      </w:r>
      <w:r w:rsidRPr="00B95B20">
        <w:t xml:space="preserve"> generally did not directly assess safety outcomes. </w:t>
      </w:r>
      <w:r>
        <w:t xml:space="preserve">ESC also noted the studies did not consider or evaluate potential for harm </w:t>
      </w:r>
      <w:r w:rsidRPr="00B95B20">
        <w:t xml:space="preserve">through </w:t>
      </w:r>
      <w:r>
        <w:t>mis</w:t>
      </w:r>
      <w:r w:rsidRPr="00B95B20">
        <w:t>diagnosis, overtreatment or psychosocial harms (e</w:t>
      </w:r>
      <w:r>
        <w:t>.</w:t>
      </w:r>
      <w:r w:rsidRPr="00B95B20">
        <w:t>g</w:t>
      </w:r>
      <w:r>
        <w:t>. </w:t>
      </w:r>
      <w:r w:rsidRPr="00B95B20">
        <w:t>anxiety, labelling</w:t>
      </w:r>
      <w:r>
        <w:t>)</w:t>
      </w:r>
      <w:r w:rsidRPr="00B95B20">
        <w:t>.</w:t>
      </w:r>
    </w:p>
    <w:p w14:paraId="4545B63E" w14:textId="7DE58360" w:rsidR="00814E99" w:rsidRDefault="00814E99" w:rsidP="00814E99">
      <w:pPr>
        <w:spacing w:after="240"/>
      </w:pPr>
      <w:r>
        <w:t xml:space="preserve">Regarding comparative effectiveness, ESC noted that the ADAR did not consider the </w:t>
      </w:r>
      <w:r w:rsidRPr="00605812">
        <w:t>direct effectiveness</w:t>
      </w:r>
      <w:r>
        <w:t xml:space="preserve"> of HSAT/PAT</w:t>
      </w:r>
      <w:r w:rsidRPr="00605812">
        <w:t xml:space="preserve"> in terms of health outcomes</w:t>
      </w:r>
      <w:r>
        <w:t xml:space="preserve">, and only presented evidence on the comparative diagnostic performance (i.e. test accuracy) of HSAT/PAT versus the comparators. In considering the comparative accuracy of HSAT/PAT versus Level 2 PSG, ESC noted that the results suggest good </w:t>
      </w:r>
      <w:r w:rsidRPr="007B13D7">
        <w:t xml:space="preserve">correlation </w:t>
      </w:r>
      <w:r>
        <w:t xml:space="preserve">of HSAT/PAT with Level 2 PSG but was concerned with the inconsistencies in correlation values reported across the studies. ESC </w:t>
      </w:r>
      <w:r>
        <w:lastRenderedPageBreak/>
        <w:t xml:space="preserve">noted the correlation of HSAT/PAT AHI with Level 2 PSG AHI was </w:t>
      </w:r>
      <w:r w:rsidRPr="007B13D7">
        <w:t xml:space="preserve">considerably lower in the O’Brien </w:t>
      </w:r>
      <w:r w:rsidR="00C81841">
        <w:t>et al. (</w:t>
      </w:r>
      <w:r>
        <w:t>2012</w:t>
      </w:r>
      <w:r w:rsidR="00C81841">
        <w:t>)</w:t>
      </w:r>
      <w:r>
        <w:t xml:space="preserve"> </w:t>
      </w:r>
      <w:r w:rsidRPr="007B13D7">
        <w:t>study (r</w:t>
      </w:r>
      <w:r>
        <w:t> </w:t>
      </w:r>
      <w:r w:rsidRPr="007B13D7">
        <w:t>=</w:t>
      </w:r>
      <w:r>
        <w:t> </w:t>
      </w:r>
      <w:r w:rsidRPr="007B13D7">
        <w:t xml:space="preserve">0.73) compared to the Zou </w:t>
      </w:r>
      <w:r w:rsidR="00901C43">
        <w:t>et al. (</w:t>
      </w:r>
      <w:r>
        <w:t>2006</w:t>
      </w:r>
      <w:r w:rsidR="00901C43">
        <w:t>)</w:t>
      </w:r>
      <w:r>
        <w:t xml:space="preserve"> </w:t>
      </w:r>
      <w:r w:rsidRPr="007B13D7">
        <w:t>study</w:t>
      </w:r>
      <w:r>
        <w:t xml:space="preserve"> (r = 0.90). Similarly, </w:t>
      </w:r>
      <w:r w:rsidRPr="007B13D7">
        <w:t xml:space="preserve">for </w:t>
      </w:r>
      <w:r>
        <w:t xml:space="preserve">the </w:t>
      </w:r>
      <w:r w:rsidRPr="00DC3C3F">
        <w:t xml:space="preserve">Respiratory Disturbance Index </w:t>
      </w:r>
      <w:r>
        <w:t>(</w:t>
      </w:r>
      <w:r w:rsidRPr="007B13D7">
        <w:t>RDI</w:t>
      </w:r>
      <w:r>
        <w:t xml:space="preserve">), the correlation between HSAT/PAT and Level 2 PSG was </w:t>
      </w:r>
      <w:r w:rsidRPr="007B13D7">
        <w:t>inconsisten</w:t>
      </w:r>
      <w:r>
        <w:t>t</w:t>
      </w:r>
      <w:r w:rsidRPr="007B13D7">
        <w:t xml:space="preserve"> </w:t>
      </w:r>
      <w:r>
        <w:t xml:space="preserve">across the two studies </w:t>
      </w:r>
      <w:r w:rsidRPr="007B13D7">
        <w:t>(</w:t>
      </w:r>
      <w:r>
        <w:t xml:space="preserve">O’Brien </w:t>
      </w:r>
      <w:r w:rsidR="00C81841">
        <w:t xml:space="preserve">et al. </w:t>
      </w:r>
      <w:r>
        <w:t xml:space="preserve">2012, </w:t>
      </w:r>
      <w:r w:rsidRPr="007B13D7">
        <w:t>r</w:t>
      </w:r>
      <w:r>
        <w:t> </w:t>
      </w:r>
      <w:r w:rsidRPr="007B13D7">
        <w:t>=</w:t>
      </w:r>
      <w:r>
        <w:t> </w:t>
      </w:r>
      <w:r w:rsidRPr="007B13D7">
        <w:t>0.68</w:t>
      </w:r>
      <w:r>
        <w:t>;</w:t>
      </w:r>
      <w:r w:rsidRPr="007B13D7">
        <w:t xml:space="preserve"> </w:t>
      </w:r>
      <w:r>
        <w:t xml:space="preserve">Zou </w:t>
      </w:r>
      <w:r w:rsidR="00901C43">
        <w:t xml:space="preserve">et al. </w:t>
      </w:r>
      <w:r>
        <w:t>2006,</w:t>
      </w:r>
      <w:r w:rsidRPr="007B13D7">
        <w:t xml:space="preserve"> r</w:t>
      </w:r>
      <w:r>
        <w:t xml:space="preserve"> = </w:t>
      </w:r>
      <w:r w:rsidRPr="007B13D7">
        <w:t>0.88).</w:t>
      </w:r>
      <w:r>
        <w:t xml:space="preserve"> ESC expressed concern with the </w:t>
      </w:r>
      <w:r w:rsidRPr="007B13D7">
        <w:t xml:space="preserve">inconsistency in correlation values </w:t>
      </w:r>
      <w:r>
        <w:t>and</w:t>
      </w:r>
      <w:r w:rsidRPr="007B13D7">
        <w:t xml:space="preserve"> lower correlation observed in the O’Brien </w:t>
      </w:r>
      <w:r w:rsidR="00C81841">
        <w:t xml:space="preserve">et al. (2012) </w:t>
      </w:r>
      <w:r w:rsidRPr="007B13D7">
        <w:t>study</w:t>
      </w:r>
      <w:r>
        <w:t xml:space="preserve">. ESC also noted that HSAT/PAT </w:t>
      </w:r>
      <w:r w:rsidRPr="007B13D7">
        <w:t>sensitivity, specificity, positive predictive value (PPV) and negative predictive value (NPV) were not available</w:t>
      </w:r>
      <w:r>
        <w:t xml:space="preserve"> from the Zou </w:t>
      </w:r>
      <w:r w:rsidR="00901C43">
        <w:t>et al. (</w:t>
      </w:r>
      <w:r>
        <w:t>2006</w:t>
      </w:r>
      <w:r w:rsidR="00901C43">
        <w:t>)</w:t>
      </w:r>
      <w:r>
        <w:t xml:space="preserve"> study</w:t>
      </w:r>
      <w:r w:rsidRPr="007B13D7">
        <w:t>.</w:t>
      </w:r>
      <w:r>
        <w:t xml:space="preserve"> </w:t>
      </w:r>
    </w:p>
    <w:p w14:paraId="1E6D522D" w14:textId="413B6737" w:rsidR="00814E99" w:rsidRPr="00545F28" w:rsidRDefault="00814E99" w:rsidP="00814E99">
      <w:pPr>
        <w:spacing w:after="240"/>
      </w:pPr>
      <w:r>
        <w:t xml:space="preserve">In considering the comparative accuracy of HSAT/PAT versus Level 1 PSG, ESC noted the </w:t>
      </w:r>
      <w:r w:rsidRPr="007D40F9">
        <w:t>meta-analyses</w:t>
      </w:r>
      <w:r>
        <w:t xml:space="preserve"> using data from the 16 accuracy trials</w:t>
      </w:r>
      <w:r w:rsidRPr="007D40F9">
        <w:t xml:space="preserve"> </w:t>
      </w:r>
      <w:r>
        <w:t>comparing HSAT/PAT with Level 1 PSG</w:t>
      </w:r>
      <w:r w:rsidRPr="007D40F9">
        <w:t>.</w:t>
      </w:r>
      <w:r>
        <w:t xml:space="preserve"> ESC noted the findings in </w:t>
      </w:r>
      <w:r w:rsidRPr="004914F3">
        <w:t>Ioachimescu (2020)</w:t>
      </w:r>
      <w:r>
        <w:rPr>
          <w:rStyle w:val="FootnoteReference"/>
        </w:rPr>
        <w:footnoteReference w:id="16"/>
      </w:r>
      <w:r w:rsidRPr="004914F3">
        <w:t xml:space="preserve"> </w:t>
      </w:r>
      <w:r>
        <w:t>d</w:t>
      </w:r>
      <w:r w:rsidRPr="004914F3">
        <w:t>iffered from all other studies</w:t>
      </w:r>
      <w:r>
        <w:t>, that these study authors stated</w:t>
      </w:r>
      <w:r w:rsidRPr="004914F3">
        <w:t xml:space="preserve"> that PAT-based testing showed high rates of diagnostic misclassification (30% to 50%) against concomitant gold standard PSG, and the diagnostic misclassifications were both over- and under-estimations.</w:t>
      </w:r>
      <w:r>
        <w:t xml:space="preserve"> In regards to </w:t>
      </w:r>
      <w:r w:rsidRPr="00545F28">
        <w:t xml:space="preserve">AHI correlation, </w:t>
      </w:r>
      <w:r>
        <w:t>ESC noted that while</w:t>
      </w:r>
      <w:r w:rsidRPr="004914F3">
        <w:t xml:space="preserve"> the results suggest good correlation of HSAT/PAT with Level </w:t>
      </w:r>
      <w:r>
        <w:t>1</w:t>
      </w:r>
      <w:r w:rsidRPr="004914F3">
        <w:t xml:space="preserve"> PSG</w:t>
      </w:r>
      <w:r>
        <w:t>, ESC also noted that the sensitivity of HSAT/PAT declines with OSA severity. ESC also agreed with the commentary that the meta-analysis claims for HSAT/PAT should be interpreted with caution due to the issues with the meta-analyses identified by the commentary, such as inclusion of RDI</w:t>
      </w:r>
      <w:r w:rsidRPr="00545F28">
        <w:t xml:space="preserve"> correlation</w:t>
      </w:r>
      <w:r>
        <w:t xml:space="preserve"> data in the analysis of AHI correlation, and simplifications and assumptions </w:t>
      </w:r>
      <w:r w:rsidRPr="00545F28">
        <w:t>in the analyses to assist calculations which may reduce precision and reliability of the results.</w:t>
      </w:r>
    </w:p>
    <w:p w14:paraId="62F6402B" w14:textId="77777777" w:rsidR="00814E99" w:rsidRDefault="00814E99" w:rsidP="00814E99">
      <w:pPr>
        <w:spacing w:after="240"/>
      </w:pPr>
      <w:r w:rsidRPr="00545F28">
        <w:t xml:space="preserve">Overall, </w:t>
      </w:r>
      <w:r>
        <w:t>ESC agreed with the commentary that clinical claim</w:t>
      </w:r>
      <w:r w:rsidRPr="00CB5169">
        <w:t xml:space="preserve"> that HSAT/PAT is non-inferior, in regard to safety and efficacy, to main comparator Level 2 HSAT and secondary comparator Level 1 PSG</w:t>
      </w:r>
      <w:r>
        <w:t>, is not strongly supported by the evidence presented in the ADAR</w:t>
      </w:r>
      <w:r w:rsidRPr="00545F28">
        <w:t>.</w:t>
      </w:r>
    </w:p>
    <w:p w14:paraId="1C0897D3" w14:textId="77777777" w:rsidR="00814E99" w:rsidRDefault="00814E99" w:rsidP="00814E99">
      <w:pPr>
        <w:pStyle w:val="NormalBeforeBullet"/>
      </w:pPr>
      <w:r>
        <w:t>ESC noted that the ADAR did not present a cost-minimisation analysis as claimed, instead the economic analysis was essentially a financial estimate over 5 years for the overall health system with each year presented separately.  ESC noted several issues with the economic evaluation:</w:t>
      </w:r>
    </w:p>
    <w:p w14:paraId="10B54A34" w14:textId="77777777" w:rsidR="00814E99" w:rsidRDefault="00814E99" w:rsidP="00814E99">
      <w:pPr>
        <w:pStyle w:val="Bullet"/>
      </w:pPr>
      <w:r>
        <w:t xml:space="preserve">The ADAR assumed HSAT/PAT would not increase sleep apnoea tests numbers. However, ESC considered this assumption to be highly uncertain and considers there is likely potential that listing HSAT/PAT would grow the market as it is easier to administer and simpler to use at home. </w:t>
      </w:r>
    </w:p>
    <w:p w14:paraId="15EC6A7C" w14:textId="77777777" w:rsidR="00814E99" w:rsidRDefault="00814E99" w:rsidP="00814E99">
      <w:pPr>
        <w:pStyle w:val="Bullet"/>
      </w:pPr>
      <w:r>
        <w:t xml:space="preserve">The ADAR assumed </w:t>
      </w:r>
      <w:r w:rsidRPr="00766FDB">
        <w:t xml:space="preserve">5% of patients receiving </w:t>
      </w:r>
      <w:r>
        <w:t>HSAT/PAT or L</w:t>
      </w:r>
      <w:r w:rsidRPr="00766FDB">
        <w:t>evel 2 PSG</w:t>
      </w:r>
      <w:r w:rsidRPr="00766FDB">
        <w:rPr>
          <w:color w:val="auto"/>
        </w:rPr>
        <w:t xml:space="preserve"> </w:t>
      </w:r>
      <w:r w:rsidRPr="00766FDB">
        <w:t xml:space="preserve">will have no result and </w:t>
      </w:r>
      <w:r>
        <w:t>require</w:t>
      </w:r>
      <w:r w:rsidRPr="00766FDB">
        <w:t xml:space="preserve"> a </w:t>
      </w:r>
      <w:r>
        <w:t>follow up L</w:t>
      </w:r>
      <w:r w:rsidRPr="00766FDB">
        <w:t>evel 1 PSG</w:t>
      </w:r>
      <w:r>
        <w:t xml:space="preserve">. However, ESC noted that the failure rate for HSAT/PAT in studies ranges from </w:t>
      </w:r>
      <w:r w:rsidRPr="00584DDE">
        <w:t>0% to 9.6%.</w:t>
      </w:r>
    </w:p>
    <w:p w14:paraId="29BDD65D" w14:textId="77777777" w:rsidR="00814E99" w:rsidRPr="00584DDE" w:rsidRDefault="00814E99" w:rsidP="00814E99">
      <w:pPr>
        <w:pStyle w:val="Bullet"/>
      </w:pPr>
      <w:r>
        <w:t>The ADAR assumed u</w:t>
      </w:r>
      <w:r w:rsidRPr="00584DDE">
        <w:t>p to 10% of patients who receive a level 1 PSG can swap to HSAT/PAT</w:t>
      </w:r>
      <w:r>
        <w:t xml:space="preserve">. ESC considered this assumption was uncertain as it was unclear which patients who aren’t suitable for an unattended Level 2 PSG and require attend Level 1 PSG can then swap to a HSAT/PAT.  </w:t>
      </w:r>
    </w:p>
    <w:p w14:paraId="72D573EA" w14:textId="77777777" w:rsidR="00814E99" w:rsidRPr="00584DDE" w:rsidRDefault="00814E99" w:rsidP="00814E99">
      <w:pPr>
        <w:pStyle w:val="Bullet"/>
      </w:pPr>
      <w:r>
        <w:t>The ADAR a</w:t>
      </w:r>
      <w:r w:rsidRPr="00584DDE">
        <w:t xml:space="preserve">ssumed </w:t>
      </w:r>
      <w:r>
        <w:t xml:space="preserve">all Level 1 PSG are conducted in a </w:t>
      </w:r>
      <w:r w:rsidRPr="00584DDE">
        <w:t xml:space="preserve">hospital </w:t>
      </w:r>
      <w:r>
        <w:t xml:space="preserve">and therefore applied hospital costs to all patients receiving Level 1 PSG. ESC noted that in practice, the MBS claiming data shows in practice 50% are conducted in-hospital and 50% conducted out-of-hospital in private clinics but that it may be reasonable to assume similar costs. </w:t>
      </w:r>
    </w:p>
    <w:p w14:paraId="01CCD8D0" w14:textId="77777777" w:rsidR="00814E99" w:rsidRPr="00F8233C" w:rsidRDefault="00814E99" w:rsidP="00814E99">
      <w:pPr>
        <w:pStyle w:val="Bullet"/>
      </w:pPr>
      <w:r>
        <w:lastRenderedPageBreak/>
        <w:t>The ADAR did not identify any applicability issues. However, ESC agreed with the commentary that t</w:t>
      </w:r>
      <w:r w:rsidRPr="00F8233C">
        <w:t xml:space="preserve">here are applicability issues given that the studies </w:t>
      </w:r>
      <w:r>
        <w:t>comparing HSAT/PAT with Level 2 PSG</w:t>
      </w:r>
      <w:r w:rsidRPr="00F8233C">
        <w:t xml:space="preserve"> have limited applicability and represent only a subgroup of the proposed population (e.g. pregnant women, </w:t>
      </w:r>
      <w:r>
        <w:t>patients selected from a hypertension and diabetes database</w:t>
      </w:r>
      <w:r w:rsidRPr="00F8233C">
        <w:t>)</w:t>
      </w:r>
      <w:r>
        <w:t>.</w:t>
      </w:r>
    </w:p>
    <w:p w14:paraId="2AA66055" w14:textId="77777777" w:rsidR="00814E99" w:rsidRDefault="00814E99" w:rsidP="00814E99">
      <w:pPr>
        <w:pStyle w:val="Bullet"/>
      </w:pPr>
      <w:r>
        <w:t>The economic analysis assumed 80% of patients would use the single-use device and 20% the reusable device. However, ESC noted that this assumption was not justified.</w:t>
      </w:r>
    </w:p>
    <w:p w14:paraId="4BCA5C45" w14:textId="77777777" w:rsidR="00814E99" w:rsidRDefault="00814E99" w:rsidP="00814E99">
      <w:pPr>
        <w:pStyle w:val="BulletLast"/>
        <w:numPr>
          <w:ilvl w:val="0"/>
          <w:numId w:val="0"/>
        </w:numPr>
      </w:pPr>
      <w:r>
        <w:t xml:space="preserve">ESC noted the cost per patient used in the ADAR economic analysis was based upon the cost of the test and physician consults using MBS items 104/105 ($89.55/$45). ESC considered the cost per patient was underestimated as the analysis should have </w:t>
      </w:r>
      <w:r w:rsidRPr="00BD1C4D">
        <w:t xml:space="preserve">used </w:t>
      </w:r>
      <w:r>
        <w:t xml:space="preserve">MBS items </w:t>
      </w:r>
      <w:r w:rsidRPr="00BD1C4D">
        <w:t>110/116 ($157.95/$79.05) and 132/133 ($276.25/$138.30)</w:t>
      </w:r>
      <w:r>
        <w:t xml:space="preserve">. </w:t>
      </w:r>
    </w:p>
    <w:p w14:paraId="2D42A72C" w14:textId="130CB997" w:rsidR="00814E99" w:rsidRDefault="00814E99" w:rsidP="00814E99">
      <w:pPr>
        <w:pStyle w:val="BulletLast"/>
        <w:numPr>
          <w:ilvl w:val="0"/>
          <w:numId w:val="0"/>
        </w:numPr>
      </w:pPr>
      <w:r>
        <w:t xml:space="preserve">ESC noted the results of the economic analysis indicated a cost saving of </w:t>
      </w:r>
      <w:r w:rsidR="00717C92">
        <w:t>-</w:t>
      </w:r>
      <w:r>
        <w:t xml:space="preserve">$638,174 in year 1 rising to </w:t>
      </w:r>
      <w:r w:rsidRPr="00066790">
        <w:t xml:space="preserve">-$2,252,193 </w:t>
      </w:r>
      <w:r>
        <w:t xml:space="preserve">as </w:t>
      </w:r>
      <w:r w:rsidRPr="00066790">
        <w:t>uptake increase over tim</w:t>
      </w:r>
      <w:r>
        <w:t xml:space="preserve">e. ESC noted the cost savings are largely driven by reduced hospital costs through substitution of Level 1 PSG with HSAT/PAT, but ESC considered that substitution of Level 1 PSG with HSAT/PAT was highly uncertain as the ADAR had not adequately justified which (and how many) patients who otherwise required Level 1 PSG could swap to a HSAT/PAT. ESC noted that the economic analysis did not take into consideration </w:t>
      </w:r>
      <w:r w:rsidRPr="008A217E">
        <w:t>sensitivity and specificity</w:t>
      </w:r>
      <w:r>
        <w:t xml:space="preserve"> of HSAT/PAT. ESC noted concerns with high sensitivity and poor specificity, a consequence of which is false positives leading to subsequent investment in treatment. Overall, ESC considered the economic analysis to be highly uncertain and not informative.</w:t>
      </w:r>
    </w:p>
    <w:p w14:paraId="496D5A16" w14:textId="1A614976" w:rsidR="00814E99" w:rsidRPr="00814E99" w:rsidRDefault="00814E99" w:rsidP="00814E99">
      <w:r>
        <w:t xml:space="preserve">ESC noted the financial estimates presented in the ADAR appear to be </w:t>
      </w:r>
      <w:r w:rsidRPr="004D58B4">
        <w:t>market-share approach with direct substitution of Level 1 and Level 2 PSG</w:t>
      </w:r>
      <w:r>
        <w:t xml:space="preserve"> which, was essentially the same as the economic analysis but with hospital costs removed to</w:t>
      </w:r>
      <w:r w:rsidRPr="00766FDB">
        <w:t xml:space="preserve"> provide </w:t>
      </w:r>
      <w:r>
        <w:t xml:space="preserve">an estimate of the </w:t>
      </w:r>
      <w:r w:rsidRPr="00766FDB">
        <w:t>fin</w:t>
      </w:r>
      <w:r>
        <w:t>ancial</w:t>
      </w:r>
      <w:r w:rsidRPr="00766FDB">
        <w:t xml:space="preserve"> imp</w:t>
      </w:r>
      <w:r>
        <w:t>act to the</w:t>
      </w:r>
      <w:r w:rsidRPr="00766FDB">
        <w:t xml:space="preserve"> MBS</w:t>
      </w:r>
      <w:r>
        <w:t xml:space="preserve">. ESC also noted the financial analysis did not include </w:t>
      </w:r>
      <w:r w:rsidRPr="008A217E">
        <w:t>eligibility, rate of uptake or determination of costs.</w:t>
      </w:r>
      <w:r>
        <w:t xml:space="preserve"> ESC considered the estimated number of Level 1 PSG to be highly uncertain and likely over-estimated as t</w:t>
      </w:r>
      <w:r w:rsidRPr="002C093D">
        <w:t xml:space="preserve">he ADAR estimated a linear increase in </w:t>
      </w:r>
      <w:r>
        <w:t xml:space="preserve">the </w:t>
      </w:r>
      <w:r w:rsidRPr="002C093D">
        <w:t xml:space="preserve">use of </w:t>
      </w:r>
      <w:r>
        <w:t>L</w:t>
      </w:r>
      <w:r w:rsidRPr="002C093D">
        <w:t>evel 1 PSG when 2017</w:t>
      </w:r>
      <w:r>
        <w:t>–2</w:t>
      </w:r>
      <w:r w:rsidRPr="002C093D">
        <w:t xml:space="preserve">019 </w:t>
      </w:r>
      <w:r>
        <w:t xml:space="preserve">data </w:t>
      </w:r>
      <w:r w:rsidRPr="002C093D">
        <w:t>showed a year</w:t>
      </w:r>
      <w:r>
        <w:t>-</w:t>
      </w:r>
      <w:r w:rsidRPr="002C093D">
        <w:t>on</w:t>
      </w:r>
      <w:r>
        <w:t>-</w:t>
      </w:r>
      <w:r w:rsidRPr="002C093D">
        <w:t>year decrease in us</w:t>
      </w:r>
      <w:r>
        <w:t>e estimated, and the estimated number inappropriately took into consideration use of MBS items 12204 and 12205 which are note for primary diagnosis of OSA using Level 1 PSG. ESC noted the estimated savings to the MBS are due to the l</w:t>
      </w:r>
      <w:r w:rsidRPr="00A4183A">
        <w:t xml:space="preserve">ower requested </w:t>
      </w:r>
      <w:r>
        <w:t>MBS fee</w:t>
      </w:r>
      <w:r w:rsidRPr="00A4183A">
        <w:t xml:space="preserve"> for the re-usable </w:t>
      </w:r>
      <w:r>
        <w:t>HSAT/PAT MBS item and s</w:t>
      </w:r>
      <w:r w:rsidRPr="00A4183A">
        <w:t>ubstitution of level 1 PSG</w:t>
      </w:r>
      <w:r>
        <w:t xml:space="preserve">. ESC considered that including this device on the MBS would likely expand testing, which could result in overdiagnosis of OSA and increased sales of associated devices to treat OSA. ESC considered it unlikely that listing HSAT/PAT on the MBS would lead to changed clinical management or improved health outcomes, and no evidence was presented to suggest that it would. Overall, ESC considered the financial estimates presented in the ADAR to be highly uncertain. </w:t>
      </w:r>
    </w:p>
    <w:p w14:paraId="181F1A32" w14:textId="77777777" w:rsidR="00814E99" w:rsidRPr="00814E99" w:rsidRDefault="00814E99"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t>Other significant factors</w:t>
      </w:r>
    </w:p>
    <w:p w14:paraId="7C3CA031" w14:textId="79A3A345" w:rsidR="00814E99" w:rsidRPr="00814E99" w:rsidRDefault="00814E99" w:rsidP="00814E99">
      <w:pPr>
        <w:spacing w:after="240"/>
        <w:rPr>
          <w:iCs/>
          <w:szCs w:val="24"/>
        </w:rPr>
      </w:pPr>
      <w:r w:rsidRPr="00814E99">
        <w:rPr>
          <w:iCs/>
          <w:szCs w:val="24"/>
        </w:rPr>
        <w:t>Nil</w:t>
      </w:r>
    </w:p>
    <w:p w14:paraId="3CDA6233" w14:textId="77777777" w:rsidR="00814E99" w:rsidRPr="00814E99" w:rsidRDefault="00814E99"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lastRenderedPageBreak/>
        <w:t>Applicant comments on MSAC’s Public Summary Document</w:t>
      </w:r>
    </w:p>
    <w:p w14:paraId="3A81395D" w14:textId="33C776D0" w:rsidR="003A368C" w:rsidRPr="004D3B8B" w:rsidRDefault="003A368C" w:rsidP="00402FE8">
      <w:pPr>
        <w:pStyle w:val="Heading1"/>
        <w:spacing w:before="240" w:after="240"/>
        <w:rPr>
          <w:rFonts w:ascii="Arial" w:eastAsia="Times New Roman" w:hAnsi="Arial" w:cs="Times New Roman"/>
        </w:rPr>
      </w:pPr>
      <w:r w:rsidRPr="004D3B8B">
        <w:rPr>
          <w:rFonts w:eastAsia="Times New Roman" w:cs="Times New Roman"/>
          <w:b w:val="0"/>
          <w:bCs w:val="0"/>
          <w:szCs w:val="24"/>
        </w:rPr>
        <w:t>The applicant would like to thank MSAC for their consideration of this application and the work undertaken throughout the application process. While we are disappointed in the outcome</w:t>
      </w:r>
      <w:r w:rsidR="00272965" w:rsidRPr="004D3B8B">
        <w:rPr>
          <w:rFonts w:eastAsia="Times New Roman" w:cs="Times New Roman"/>
          <w:b w:val="0"/>
          <w:bCs w:val="0"/>
          <w:szCs w:val="24"/>
        </w:rPr>
        <w:t>,</w:t>
      </w:r>
      <w:r w:rsidRPr="004D3B8B">
        <w:rPr>
          <w:rFonts w:eastAsia="Times New Roman" w:cs="Times New Roman"/>
          <w:b w:val="0"/>
          <w:bCs w:val="0"/>
          <w:szCs w:val="24"/>
        </w:rPr>
        <w:t xml:space="preserve"> we will consider MSACs advice in any future submission. </w:t>
      </w:r>
    </w:p>
    <w:p w14:paraId="1BAA247B" w14:textId="43735499" w:rsidR="00814E99" w:rsidRPr="00814E99" w:rsidRDefault="00814E99" w:rsidP="00814E99">
      <w:pPr>
        <w:pStyle w:val="Heading1"/>
        <w:numPr>
          <w:ilvl w:val="0"/>
          <w:numId w:val="13"/>
        </w:numPr>
        <w:spacing w:before="240" w:after="240"/>
        <w:ind w:hanging="720"/>
        <w:rPr>
          <w:rFonts w:ascii="Arial" w:eastAsia="Times New Roman" w:hAnsi="Arial" w:cs="Times New Roman"/>
        </w:rPr>
      </w:pPr>
      <w:r w:rsidRPr="00814E99">
        <w:rPr>
          <w:rFonts w:ascii="Arial" w:eastAsia="Times New Roman" w:hAnsi="Arial" w:cs="Times New Roman"/>
        </w:rPr>
        <w:t>Further information on MSAC</w:t>
      </w:r>
    </w:p>
    <w:p w14:paraId="587192F1" w14:textId="61DE4942" w:rsidR="00814E99" w:rsidRPr="00814E99" w:rsidRDefault="00814E99" w:rsidP="00814E99">
      <w:pPr>
        <w:spacing w:after="240"/>
        <w:rPr>
          <w:szCs w:val="24"/>
        </w:rPr>
      </w:pPr>
      <w:r w:rsidRPr="00F715D1">
        <w:rPr>
          <w:szCs w:val="24"/>
        </w:rPr>
        <w:t xml:space="preserve">MSAC Terms of Reference and other information are available on the MSAC Website: </w:t>
      </w:r>
      <w:r>
        <w:rPr>
          <w:szCs w:val="24"/>
        </w:rPr>
        <w:br/>
      </w:r>
      <w:hyperlink r:id="rId14" w:tooltip="Link to Medical Services Advisory Committee website" w:history="1">
        <w:r w:rsidRPr="00F715D1">
          <w:rPr>
            <w:rStyle w:val="Hyperlink"/>
            <w:szCs w:val="24"/>
          </w:rPr>
          <w:t>visit the MSAC website</w:t>
        </w:r>
      </w:hyperlink>
    </w:p>
    <w:sectPr w:rsidR="00814E99" w:rsidRPr="00814E99" w:rsidSect="00166989">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F2E91" w14:textId="77777777" w:rsidR="00E16F4B" w:rsidRDefault="00E16F4B" w:rsidP="00065623">
      <w:r>
        <w:separator/>
      </w:r>
    </w:p>
  </w:endnote>
  <w:endnote w:type="continuationSeparator" w:id="0">
    <w:p w14:paraId="479DA0DF" w14:textId="77777777" w:rsidR="00E16F4B" w:rsidRDefault="00E16F4B"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umanist 77 7 BT">
    <w:altName w:val="Calibri"/>
    <w:panose1 w:val="00000000000000000000"/>
    <w:charset w:val="00"/>
    <w:family w:val="swiss"/>
    <w:notTrueType/>
    <w:pitch w:val="default"/>
    <w:sig w:usb0="00000003" w:usb1="00000000" w:usb2="00000000" w:usb3="00000000" w:csb0="00000001" w:csb1="00000000"/>
  </w:font>
  <w:font w:name="@Yu Gothic UI Semibold">
    <w:charset w:val="80"/>
    <w:family w:val="swiss"/>
    <w:pitch w:val="variable"/>
    <w:sig w:usb0="E00002FF" w:usb1="2AC7FDFF" w:usb2="00000016" w:usb3="00000000" w:csb0="0002009F" w:csb1="00000000"/>
  </w:font>
  <w:font w:name="Helvetica">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73568"/>
      <w:docPartObj>
        <w:docPartGallery w:val="Page Numbers (Bottom of Page)"/>
        <w:docPartUnique/>
      </w:docPartObj>
    </w:sdtPr>
    <w:sdtEndPr>
      <w:rPr>
        <w:noProof/>
      </w:rPr>
    </w:sdtEndPr>
    <w:sdtContent>
      <w:p w14:paraId="57D6A905" w14:textId="0748F5FD" w:rsidR="00E16F4B" w:rsidRDefault="00E16F4B">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611F0B18" w14:textId="77777777" w:rsidR="00E16F4B" w:rsidRDefault="00E16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FECA9" w14:textId="77777777" w:rsidR="00E16F4B" w:rsidRDefault="00E16F4B" w:rsidP="00065623">
      <w:r>
        <w:separator/>
      </w:r>
    </w:p>
  </w:footnote>
  <w:footnote w:type="continuationSeparator" w:id="0">
    <w:p w14:paraId="28571A3C" w14:textId="77777777" w:rsidR="00E16F4B" w:rsidRDefault="00E16F4B" w:rsidP="00065623">
      <w:r>
        <w:continuationSeparator/>
      </w:r>
    </w:p>
  </w:footnote>
  <w:footnote w:id="1">
    <w:p w14:paraId="7857B8E7" w14:textId="0310EBEE" w:rsidR="00E16F4B" w:rsidRDefault="00E16F4B">
      <w:pPr>
        <w:pStyle w:val="FootnoteText"/>
      </w:pPr>
      <w:r>
        <w:rPr>
          <w:rStyle w:val="FootnoteReference"/>
        </w:rPr>
        <w:footnoteRef/>
      </w:r>
      <w:r>
        <w:t xml:space="preserve"> </w:t>
      </w:r>
      <w:r w:rsidRPr="00E6493B">
        <w:t xml:space="preserve"> Zhang et al. (20250) </w:t>
      </w:r>
      <w:r w:rsidRPr="00250D64">
        <w:rPr>
          <w:i/>
          <w:iCs/>
        </w:rPr>
        <w:t>Journal of Clinical Sleep Medicine</w:t>
      </w:r>
      <w:r w:rsidRPr="00E6493B">
        <w:t>. 16(4):563-573.</w:t>
      </w:r>
    </w:p>
  </w:footnote>
  <w:footnote w:id="2">
    <w:p w14:paraId="4A3AC451" w14:textId="77777777" w:rsidR="00E16F4B" w:rsidRDefault="00E16F4B" w:rsidP="00C55F87">
      <w:pPr>
        <w:pStyle w:val="FootnoteText"/>
      </w:pPr>
      <w:r>
        <w:rPr>
          <w:rStyle w:val="FootnoteReference"/>
        </w:rPr>
        <w:footnoteRef/>
      </w:r>
      <w:r>
        <w:t xml:space="preserve"> </w:t>
      </w:r>
      <w:r w:rsidRPr="000B1085">
        <w:t>O'Brien L</w:t>
      </w:r>
      <w:r>
        <w:t>,</w:t>
      </w:r>
      <w:r w:rsidRPr="000B1085">
        <w:t xml:space="preserve"> et al. </w:t>
      </w:r>
      <w:r>
        <w:t>(2012)</w:t>
      </w:r>
      <w:r w:rsidRPr="000B1085">
        <w:t xml:space="preserve"> </w:t>
      </w:r>
      <w:r w:rsidRPr="00A973E9">
        <w:rPr>
          <w:i/>
          <w:iCs/>
        </w:rPr>
        <w:t>J</w:t>
      </w:r>
      <w:r>
        <w:rPr>
          <w:i/>
          <w:iCs/>
        </w:rPr>
        <w:t xml:space="preserve">ournal of </w:t>
      </w:r>
      <w:r w:rsidRPr="00A973E9">
        <w:rPr>
          <w:i/>
          <w:iCs/>
        </w:rPr>
        <w:t>Clin</w:t>
      </w:r>
      <w:r>
        <w:rPr>
          <w:i/>
          <w:iCs/>
        </w:rPr>
        <w:t>ical</w:t>
      </w:r>
      <w:r w:rsidRPr="00A973E9">
        <w:rPr>
          <w:i/>
          <w:iCs/>
        </w:rPr>
        <w:t xml:space="preserve"> Sleep Med</w:t>
      </w:r>
      <w:r>
        <w:rPr>
          <w:i/>
          <w:iCs/>
        </w:rPr>
        <w:t>icine.</w:t>
      </w:r>
      <w:r w:rsidRPr="000B1085">
        <w:t xml:space="preserve"> 8</w:t>
      </w:r>
      <w:r>
        <w:t>:</w:t>
      </w:r>
      <w:r w:rsidRPr="000B1085">
        <w:t>287-294.</w:t>
      </w:r>
    </w:p>
  </w:footnote>
  <w:footnote w:id="3">
    <w:p w14:paraId="7BF78A07" w14:textId="77777777" w:rsidR="00E16F4B" w:rsidRDefault="00E16F4B" w:rsidP="00901C43">
      <w:pPr>
        <w:pStyle w:val="FootnoteText"/>
      </w:pPr>
      <w:r>
        <w:rPr>
          <w:rStyle w:val="FootnoteReference"/>
        </w:rPr>
        <w:footnoteRef/>
      </w:r>
      <w:r>
        <w:t xml:space="preserve"> </w:t>
      </w:r>
      <w:r w:rsidRPr="000B1085">
        <w:t>Zou D</w:t>
      </w:r>
      <w:r>
        <w:t>, et al. (2006)</w:t>
      </w:r>
      <w:r w:rsidRPr="000B1085">
        <w:t xml:space="preserve">. </w:t>
      </w:r>
      <w:r>
        <w:rPr>
          <w:i/>
          <w:iCs/>
        </w:rPr>
        <w:t>Sleep.</w:t>
      </w:r>
      <w:r w:rsidRPr="000B1085">
        <w:t xml:space="preserve"> 29</w:t>
      </w:r>
      <w:r>
        <w:t>:</w:t>
      </w:r>
      <w:r w:rsidRPr="000B1085">
        <w:t>367-374.</w:t>
      </w:r>
    </w:p>
  </w:footnote>
  <w:footnote w:id="4">
    <w:p w14:paraId="58A32376" w14:textId="29A27867" w:rsidR="00E16F4B" w:rsidRDefault="00E16F4B">
      <w:pPr>
        <w:pStyle w:val="FootnoteText"/>
      </w:pPr>
      <w:r>
        <w:rPr>
          <w:rStyle w:val="FootnoteReference"/>
        </w:rPr>
        <w:footnoteRef/>
      </w:r>
      <w:r>
        <w:t xml:space="preserve"> </w:t>
      </w:r>
      <w:r w:rsidRPr="00392A49">
        <w:t xml:space="preserve">Ioachimescu, O. C. et al. </w:t>
      </w:r>
      <w:r>
        <w:t>(2020)</w:t>
      </w:r>
      <w:r w:rsidRPr="00392A49">
        <w:t xml:space="preserve"> </w:t>
      </w:r>
      <w:r w:rsidRPr="00392A49">
        <w:rPr>
          <w:i/>
          <w:iCs/>
        </w:rPr>
        <w:t>Journal of Investigative Medicine</w:t>
      </w:r>
      <w:r>
        <w:t>. 68(8):1370-1378.</w:t>
      </w:r>
    </w:p>
  </w:footnote>
  <w:footnote w:id="5">
    <w:p w14:paraId="4D89A037" w14:textId="770CA788" w:rsidR="00E16F4B" w:rsidRDefault="00E16F4B" w:rsidP="003F195D">
      <w:pPr>
        <w:pStyle w:val="FootnoteText"/>
      </w:pPr>
      <w:r>
        <w:rPr>
          <w:rStyle w:val="FootnoteReference"/>
        </w:rPr>
        <w:footnoteRef/>
      </w:r>
      <w:r>
        <w:t xml:space="preserve"> Douglas J, et al. (2017) Guidelines for sleep studies in adults e a position statement of the</w:t>
      </w:r>
    </w:p>
    <w:p w14:paraId="10A033F9" w14:textId="33D44E39" w:rsidR="00E16F4B" w:rsidRDefault="00E16F4B" w:rsidP="003F195D">
      <w:pPr>
        <w:pStyle w:val="FootnoteText"/>
      </w:pPr>
      <w:r>
        <w:t xml:space="preserve">Australasian Sleep Association. </w:t>
      </w:r>
      <w:r>
        <w:rPr>
          <w:i/>
        </w:rPr>
        <w:t>Sleep Medicine</w:t>
      </w:r>
      <w:r>
        <w:t>. 36:S2-S22.</w:t>
      </w:r>
    </w:p>
  </w:footnote>
  <w:footnote w:id="6">
    <w:p w14:paraId="3F0373BC" w14:textId="3404D9B6" w:rsidR="00E16F4B" w:rsidRDefault="00E16F4B">
      <w:pPr>
        <w:pStyle w:val="FootnoteText"/>
      </w:pPr>
      <w:r>
        <w:rPr>
          <w:rStyle w:val="FootnoteReference"/>
        </w:rPr>
        <w:footnoteRef/>
      </w:r>
      <w:r>
        <w:t xml:space="preserve"> Minimum parameters to be measured in a Level 2 PSG study as per MBS item 12250: Level 2 PSG includes airflow, continuous e</w:t>
      </w:r>
      <w:r w:rsidRPr="006B3FAF">
        <w:t>lectromyography (EMG)</w:t>
      </w:r>
      <w:r>
        <w:t xml:space="preserve">, continuous </w:t>
      </w:r>
      <w:r w:rsidRPr="006B3FAF">
        <w:t>electrocardiogram (ECG</w:t>
      </w:r>
      <w:r>
        <w:t xml:space="preserve">), continuous </w:t>
      </w:r>
      <w:r w:rsidRPr="006B3FAF">
        <w:t>electroencephalogram (EEG)</w:t>
      </w:r>
      <w:r>
        <w:t>, e</w:t>
      </w:r>
      <w:r w:rsidRPr="006B3FAF">
        <w:t>lectro-oculography (EOG)</w:t>
      </w:r>
      <w:r>
        <w:t>, oxygen saturation and respiratory effort</w:t>
      </w:r>
    </w:p>
  </w:footnote>
  <w:footnote w:id="7">
    <w:p w14:paraId="2347C05E" w14:textId="77777777" w:rsidR="00E16F4B" w:rsidRDefault="00E16F4B" w:rsidP="008B7EF6">
      <w:pPr>
        <w:pStyle w:val="FootnoteText"/>
      </w:pPr>
      <w:r>
        <w:rPr>
          <w:rStyle w:val="FootnoteReference"/>
        </w:rPr>
        <w:footnoteRef/>
      </w:r>
      <w:r>
        <w:t xml:space="preserve"> </w:t>
      </w:r>
      <w:r w:rsidRPr="006200F0">
        <w:t>Douglas JA, C</w:t>
      </w:r>
      <w:r>
        <w:t>ha</w:t>
      </w:r>
      <w:r w:rsidRPr="006200F0">
        <w:t>i-Coetzer CL, McEvoy D, Naughton MT et al.  Guidelines for sleep studies in adults – a position statement of the Australasian Sleep Association</w:t>
      </w:r>
      <w:r w:rsidRPr="006200F0">
        <w:rPr>
          <w:i/>
          <w:iCs/>
        </w:rPr>
        <w:t>.  Sleep Medicine</w:t>
      </w:r>
      <w:r w:rsidRPr="006200F0">
        <w:t xml:space="preserve"> 2017; 36: S2-S22.</w:t>
      </w:r>
    </w:p>
  </w:footnote>
  <w:footnote w:id="8">
    <w:p w14:paraId="128A73B0" w14:textId="77777777" w:rsidR="00E16F4B" w:rsidRDefault="00E16F4B" w:rsidP="00C55F87">
      <w:pPr>
        <w:pStyle w:val="FootnoteText"/>
      </w:pPr>
      <w:r>
        <w:rPr>
          <w:rStyle w:val="FootnoteReference"/>
        </w:rPr>
        <w:footnoteRef/>
      </w:r>
      <w:r>
        <w:t xml:space="preserve"> </w:t>
      </w:r>
      <w:r w:rsidRPr="000B1085">
        <w:t>O'Brien L</w:t>
      </w:r>
      <w:r>
        <w:t>,</w:t>
      </w:r>
      <w:r w:rsidRPr="000B1085">
        <w:t xml:space="preserve"> et al. </w:t>
      </w:r>
      <w:r>
        <w:t>(2012)</w:t>
      </w:r>
      <w:r w:rsidRPr="000B1085">
        <w:t xml:space="preserve"> </w:t>
      </w:r>
      <w:r w:rsidRPr="00A973E9">
        <w:rPr>
          <w:i/>
          <w:iCs/>
        </w:rPr>
        <w:t>J</w:t>
      </w:r>
      <w:r>
        <w:rPr>
          <w:i/>
          <w:iCs/>
        </w:rPr>
        <w:t xml:space="preserve">ournal of </w:t>
      </w:r>
      <w:r w:rsidRPr="00A973E9">
        <w:rPr>
          <w:i/>
          <w:iCs/>
        </w:rPr>
        <w:t>Clin</w:t>
      </w:r>
      <w:r>
        <w:rPr>
          <w:i/>
          <w:iCs/>
        </w:rPr>
        <w:t>ical</w:t>
      </w:r>
      <w:r w:rsidRPr="00A973E9">
        <w:rPr>
          <w:i/>
          <w:iCs/>
        </w:rPr>
        <w:t xml:space="preserve"> Sleep Med</w:t>
      </w:r>
      <w:r>
        <w:rPr>
          <w:i/>
          <w:iCs/>
        </w:rPr>
        <w:t>icine.</w:t>
      </w:r>
      <w:r w:rsidRPr="000B1085">
        <w:t xml:space="preserve"> 8</w:t>
      </w:r>
      <w:r>
        <w:t>:</w:t>
      </w:r>
      <w:r w:rsidRPr="000B1085">
        <w:t>287-294.</w:t>
      </w:r>
    </w:p>
  </w:footnote>
  <w:footnote w:id="9">
    <w:p w14:paraId="266C9F61" w14:textId="77777777" w:rsidR="00E16F4B" w:rsidRDefault="00E16F4B" w:rsidP="00901C43">
      <w:pPr>
        <w:pStyle w:val="FootnoteText"/>
      </w:pPr>
      <w:r>
        <w:rPr>
          <w:rStyle w:val="FootnoteReference"/>
        </w:rPr>
        <w:footnoteRef/>
      </w:r>
      <w:r>
        <w:t xml:space="preserve"> </w:t>
      </w:r>
      <w:r w:rsidRPr="000B1085">
        <w:t>Zou D</w:t>
      </w:r>
      <w:r>
        <w:t>, et al. (2006)</w:t>
      </w:r>
      <w:r w:rsidRPr="000B1085">
        <w:t xml:space="preserve">. </w:t>
      </w:r>
      <w:r>
        <w:rPr>
          <w:i/>
          <w:iCs/>
        </w:rPr>
        <w:t>Sleep.</w:t>
      </w:r>
      <w:r w:rsidRPr="000B1085">
        <w:t xml:space="preserve"> 29</w:t>
      </w:r>
      <w:r>
        <w:t>:</w:t>
      </w:r>
      <w:r w:rsidRPr="000B1085">
        <w:t>367-374.</w:t>
      </w:r>
    </w:p>
  </w:footnote>
  <w:footnote w:id="10">
    <w:p w14:paraId="44036694" w14:textId="44324B7A" w:rsidR="00E16F4B" w:rsidRDefault="00E16F4B" w:rsidP="00412CCE">
      <w:pPr>
        <w:pStyle w:val="FootnoteText"/>
      </w:pPr>
      <w:r w:rsidRPr="00A973E9">
        <w:rPr>
          <w:rStyle w:val="FootnoteReference"/>
        </w:rPr>
        <w:footnoteRef/>
      </w:r>
      <w:r w:rsidRPr="00A973E9">
        <w:t xml:space="preserve"> </w:t>
      </w:r>
      <w:r w:rsidRPr="00A973E9">
        <w:rPr>
          <w:rFonts w:cs="Calibri"/>
        </w:rPr>
        <w:t>Jonas D, et al. (2017) Screening for Obstructive Sleep Apn</w:t>
      </w:r>
      <w:r>
        <w:rPr>
          <w:rFonts w:cs="Calibri"/>
        </w:rPr>
        <w:t>o</w:t>
      </w:r>
      <w:r w:rsidRPr="00A973E9">
        <w:rPr>
          <w:rFonts w:cs="Calibri"/>
        </w:rPr>
        <w:t>ea in Adults: An Evidence Review for the U.S. Preventive Services Task Force: Agency for Healthcare Research and Quality (US); Report No: 14-05216-EF-1.</w:t>
      </w:r>
    </w:p>
  </w:footnote>
  <w:footnote w:id="11">
    <w:p w14:paraId="6BBBE870" w14:textId="77777777" w:rsidR="00E16F4B" w:rsidRDefault="00E16F4B" w:rsidP="0093216A">
      <w:pPr>
        <w:pStyle w:val="FootnoteText"/>
      </w:pPr>
      <w:r>
        <w:rPr>
          <w:rStyle w:val="FootnoteReference"/>
        </w:rPr>
        <w:footnoteRef/>
      </w:r>
      <w:r>
        <w:t xml:space="preserve"> </w:t>
      </w:r>
      <w:r w:rsidRPr="00392A49">
        <w:t xml:space="preserve">Ioachimescu, O. C. et al. </w:t>
      </w:r>
      <w:r>
        <w:t>(2020)</w:t>
      </w:r>
      <w:r w:rsidRPr="00392A49">
        <w:t xml:space="preserve"> </w:t>
      </w:r>
      <w:r w:rsidRPr="00392A49">
        <w:rPr>
          <w:i/>
          <w:iCs/>
        </w:rPr>
        <w:t>Journal of Investigative Medicine</w:t>
      </w:r>
      <w:r>
        <w:t>. 68(8):1370-1378.</w:t>
      </w:r>
    </w:p>
  </w:footnote>
  <w:footnote w:id="12">
    <w:p w14:paraId="1EBDC50A" w14:textId="63EC9E2B" w:rsidR="00E16F4B" w:rsidRDefault="00E16F4B">
      <w:pPr>
        <w:pStyle w:val="FootnoteText"/>
      </w:pPr>
      <w:r>
        <w:rPr>
          <w:rStyle w:val="FootnoteReference"/>
        </w:rPr>
        <w:footnoteRef/>
      </w:r>
      <w:r>
        <w:t xml:space="preserve"> </w:t>
      </w:r>
      <w:r w:rsidRPr="004479B1">
        <w:t xml:space="preserve">Escourrou, P. et al. </w:t>
      </w:r>
      <w:r>
        <w:t xml:space="preserve">(2015) </w:t>
      </w:r>
      <w:r w:rsidRPr="00392A49">
        <w:rPr>
          <w:i/>
          <w:iCs/>
        </w:rPr>
        <w:t>J</w:t>
      </w:r>
      <w:r>
        <w:rPr>
          <w:i/>
          <w:iCs/>
        </w:rPr>
        <w:t>ournal of</w:t>
      </w:r>
      <w:r w:rsidRPr="00392A49">
        <w:rPr>
          <w:i/>
          <w:iCs/>
        </w:rPr>
        <w:t xml:space="preserve"> Sleep Res</w:t>
      </w:r>
      <w:r>
        <w:rPr>
          <w:i/>
          <w:iCs/>
        </w:rPr>
        <w:t>earch</w:t>
      </w:r>
      <w:r>
        <w:t>.</w:t>
      </w:r>
      <w:r w:rsidRPr="004479B1">
        <w:t xml:space="preserve"> 24</w:t>
      </w:r>
      <w:r>
        <w:t>(6):</w:t>
      </w:r>
      <w:r w:rsidRPr="004479B1">
        <w:t>730-738.</w:t>
      </w:r>
    </w:p>
  </w:footnote>
  <w:footnote w:id="13">
    <w:p w14:paraId="63828640" w14:textId="087E318A" w:rsidR="00E16F4B" w:rsidRDefault="00E16F4B" w:rsidP="00C61760">
      <w:pPr>
        <w:pStyle w:val="FootnoteText"/>
      </w:pPr>
      <w:r>
        <w:rPr>
          <w:rStyle w:val="FootnoteReference"/>
        </w:rPr>
        <w:footnoteRef/>
      </w:r>
      <w:r>
        <w:t xml:space="preserve"> Zhang et al. (20250) </w:t>
      </w:r>
      <w:r>
        <w:rPr>
          <w:i/>
          <w:iCs/>
        </w:rPr>
        <w:t xml:space="preserve">Journal of Clinical Sleep Medicine. </w:t>
      </w:r>
      <w:r>
        <w:t>16(4):563-573.</w:t>
      </w:r>
    </w:p>
  </w:footnote>
  <w:footnote w:id="14">
    <w:p w14:paraId="632ABE9E" w14:textId="77777777" w:rsidR="00E16F4B" w:rsidRDefault="00E16F4B" w:rsidP="00412CCE">
      <w:pPr>
        <w:pStyle w:val="FootnoteText"/>
      </w:pPr>
      <w:r>
        <w:rPr>
          <w:rStyle w:val="FootnoteReference"/>
        </w:rPr>
        <w:footnoteRef/>
      </w:r>
      <w:r>
        <w:t xml:space="preserve"> Calculated from a 2x2 table calculated from results reported in Figure 1 of the publication, composed of true positive (TP)=56, false positive (FP)=90, false negative (FN)=79, true negative (TN)=275. Sensitivity=56/(56+79)=41%, specificity=275/(275+90)=75%</w:t>
      </w:r>
    </w:p>
  </w:footnote>
  <w:footnote w:id="15">
    <w:p w14:paraId="79DFA8F5" w14:textId="77777777" w:rsidR="00E16F4B" w:rsidRDefault="00E16F4B" w:rsidP="00412CCE">
      <w:pPr>
        <w:pStyle w:val="FootnoteText"/>
      </w:pPr>
      <w:r>
        <w:rPr>
          <w:rStyle w:val="FootnoteReference"/>
        </w:rPr>
        <w:footnoteRef/>
      </w:r>
      <w:r>
        <w:t xml:space="preserve"> Calculated from a 2x2 table calculated from results reported in Figure 1 of the publication composed of TP=128, FP=27, FN=72, FP=273.  Therefore sensitivity =128/(128+27)=83%, specificity=273/(273+72)=79%</w:t>
      </w:r>
    </w:p>
  </w:footnote>
  <w:footnote w:id="16">
    <w:p w14:paraId="3DF0C166" w14:textId="77777777" w:rsidR="00E16F4B" w:rsidRDefault="00E16F4B" w:rsidP="00814E99">
      <w:pPr>
        <w:pStyle w:val="FootnoteText"/>
      </w:pPr>
      <w:r>
        <w:rPr>
          <w:rStyle w:val="FootnoteReference"/>
        </w:rPr>
        <w:footnoteRef/>
      </w:r>
      <w:r>
        <w:t xml:space="preserve"> I</w:t>
      </w:r>
      <w:r w:rsidRPr="000B1085">
        <w:t>oachimescu O</w:t>
      </w:r>
      <w:r>
        <w:t>,</w:t>
      </w:r>
      <w:r w:rsidRPr="000B1085">
        <w:t xml:space="preserve"> et al. </w:t>
      </w:r>
      <w:r>
        <w:t xml:space="preserve">(2020) </w:t>
      </w:r>
      <w:r w:rsidRPr="00A973E9">
        <w:rPr>
          <w:i/>
          <w:iCs/>
        </w:rPr>
        <w:t>Journal of Investigative Medicine</w:t>
      </w:r>
      <w:r>
        <w:t>. 68(8):</w:t>
      </w:r>
      <w:r w:rsidRPr="007063BA">
        <w:t>1370-1378.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96D55"/>
    <w:multiLevelType w:val="hybridMultilevel"/>
    <w:tmpl w:val="6A5241C2"/>
    <w:lvl w:ilvl="0" w:tplc="42E00E60">
      <w:start w:val="1"/>
      <w:numFmt w:val="bullet"/>
      <w:lvlText w:val=""/>
      <w:lvlJc w:val="left"/>
      <w:pPr>
        <w:tabs>
          <w:tab w:val="num" w:pos="720"/>
        </w:tabs>
        <w:ind w:left="720" w:hanging="360"/>
      </w:pPr>
      <w:rPr>
        <w:rFonts w:ascii="Wingdings" w:hAnsi="Wingdings" w:hint="default"/>
      </w:rPr>
    </w:lvl>
    <w:lvl w:ilvl="1" w:tplc="BC28FAF2">
      <w:start w:val="1"/>
      <w:numFmt w:val="bullet"/>
      <w:lvlText w:val=""/>
      <w:lvlJc w:val="left"/>
      <w:pPr>
        <w:tabs>
          <w:tab w:val="num" w:pos="1440"/>
        </w:tabs>
        <w:ind w:left="1440" w:hanging="360"/>
      </w:pPr>
      <w:rPr>
        <w:rFonts w:ascii="Wingdings" w:hAnsi="Wingdings" w:hint="default"/>
      </w:rPr>
    </w:lvl>
    <w:lvl w:ilvl="2" w:tplc="975E5FA4" w:tentative="1">
      <w:start w:val="1"/>
      <w:numFmt w:val="bullet"/>
      <w:lvlText w:val=""/>
      <w:lvlJc w:val="left"/>
      <w:pPr>
        <w:tabs>
          <w:tab w:val="num" w:pos="2160"/>
        </w:tabs>
        <w:ind w:left="2160" w:hanging="360"/>
      </w:pPr>
      <w:rPr>
        <w:rFonts w:ascii="Wingdings" w:hAnsi="Wingdings" w:hint="default"/>
      </w:rPr>
    </w:lvl>
    <w:lvl w:ilvl="3" w:tplc="85D6C652" w:tentative="1">
      <w:start w:val="1"/>
      <w:numFmt w:val="bullet"/>
      <w:lvlText w:val=""/>
      <w:lvlJc w:val="left"/>
      <w:pPr>
        <w:tabs>
          <w:tab w:val="num" w:pos="2880"/>
        </w:tabs>
        <w:ind w:left="2880" w:hanging="360"/>
      </w:pPr>
      <w:rPr>
        <w:rFonts w:ascii="Wingdings" w:hAnsi="Wingdings" w:hint="default"/>
      </w:rPr>
    </w:lvl>
    <w:lvl w:ilvl="4" w:tplc="D4266254" w:tentative="1">
      <w:start w:val="1"/>
      <w:numFmt w:val="bullet"/>
      <w:lvlText w:val=""/>
      <w:lvlJc w:val="left"/>
      <w:pPr>
        <w:tabs>
          <w:tab w:val="num" w:pos="3600"/>
        </w:tabs>
        <w:ind w:left="3600" w:hanging="360"/>
      </w:pPr>
      <w:rPr>
        <w:rFonts w:ascii="Wingdings" w:hAnsi="Wingdings" w:hint="default"/>
      </w:rPr>
    </w:lvl>
    <w:lvl w:ilvl="5" w:tplc="C8223274" w:tentative="1">
      <w:start w:val="1"/>
      <w:numFmt w:val="bullet"/>
      <w:lvlText w:val=""/>
      <w:lvlJc w:val="left"/>
      <w:pPr>
        <w:tabs>
          <w:tab w:val="num" w:pos="4320"/>
        </w:tabs>
        <w:ind w:left="4320" w:hanging="360"/>
      </w:pPr>
      <w:rPr>
        <w:rFonts w:ascii="Wingdings" w:hAnsi="Wingdings" w:hint="default"/>
      </w:rPr>
    </w:lvl>
    <w:lvl w:ilvl="6" w:tplc="101202E6" w:tentative="1">
      <w:start w:val="1"/>
      <w:numFmt w:val="bullet"/>
      <w:lvlText w:val=""/>
      <w:lvlJc w:val="left"/>
      <w:pPr>
        <w:tabs>
          <w:tab w:val="num" w:pos="5040"/>
        </w:tabs>
        <w:ind w:left="5040" w:hanging="360"/>
      </w:pPr>
      <w:rPr>
        <w:rFonts w:ascii="Wingdings" w:hAnsi="Wingdings" w:hint="default"/>
      </w:rPr>
    </w:lvl>
    <w:lvl w:ilvl="7" w:tplc="B0B0C9E2" w:tentative="1">
      <w:start w:val="1"/>
      <w:numFmt w:val="bullet"/>
      <w:lvlText w:val=""/>
      <w:lvlJc w:val="left"/>
      <w:pPr>
        <w:tabs>
          <w:tab w:val="num" w:pos="5760"/>
        </w:tabs>
        <w:ind w:left="5760" w:hanging="360"/>
      </w:pPr>
      <w:rPr>
        <w:rFonts w:ascii="Wingdings" w:hAnsi="Wingdings" w:hint="default"/>
      </w:rPr>
    </w:lvl>
    <w:lvl w:ilvl="8" w:tplc="9484EF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A94D6F"/>
    <w:multiLevelType w:val="hybridMultilevel"/>
    <w:tmpl w:val="BF408F50"/>
    <w:lvl w:ilvl="0" w:tplc="5E2C1D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D098D"/>
    <w:multiLevelType w:val="hybridMultilevel"/>
    <w:tmpl w:val="C2E67F76"/>
    <w:lvl w:ilvl="0" w:tplc="1A68746C">
      <w:start w:val="1"/>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 w15:restartNumberingAfterBreak="0">
    <w:nsid w:val="17430932"/>
    <w:multiLevelType w:val="hybridMultilevel"/>
    <w:tmpl w:val="5044B5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026B84"/>
    <w:multiLevelType w:val="hybridMultilevel"/>
    <w:tmpl w:val="1D3CC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E01727"/>
    <w:multiLevelType w:val="hybridMultilevel"/>
    <w:tmpl w:val="57E2FA68"/>
    <w:lvl w:ilvl="0" w:tplc="AAE6E2EC">
      <w:start w:val="1"/>
      <w:numFmt w:val="lowerRoman"/>
      <w:lvlText w:val="(%1)"/>
      <w:lvlJc w:val="left"/>
      <w:pPr>
        <w:ind w:left="760" w:hanging="72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2" w15:restartNumberingAfterBreak="0">
    <w:nsid w:val="3EEC1987"/>
    <w:multiLevelType w:val="hybridMultilevel"/>
    <w:tmpl w:val="3B14EE7E"/>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4" w15:restartNumberingAfterBreak="0">
    <w:nsid w:val="43972CE3"/>
    <w:multiLevelType w:val="hybridMultilevel"/>
    <w:tmpl w:val="44562110"/>
    <w:lvl w:ilvl="0" w:tplc="0C090001">
      <w:start w:val="1"/>
      <w:numFmt w:val="bullet"/>
      <w:lvlText w:val=""/>
      <w:lvlJc w:val="left"/>
      <w:pPr>
        <w:ind w:left="518"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444251C1"/>
    <w:multiLevelType w:val="hybridMultilevel"/>
    <w:tmpl w:val="28A0E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7B404DD"/>
    <w:multiLevelType w:val="multilevel"/>
    <w:tmpl w:val="A192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92201E"/>
    <w:multiLevelType w:val="hybridMultilevel"/>
    <w:tmpl w:val="BD9A7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FD0D27"/>
    <w:multiLevelType w:val="hybridMultilevel"/>
    <w:tmpl w:val="CEB216A6"/>
    <w:lvl w:ilvl="0" w:tplc="FD3A63D2">
      <w:start w:val="7"/>
      <w:numFmt w:val="bullet"/>
      <w:lvlText w:val="-"/>
      <w:lvlJc w:val="left"/>
      <w:pPr>
        <w:ind w:left="410" w:hanging="360"/>
      </w:pPr>
      <w:rPr>
        <w:rFonts w:ascii="Times New Roman" w:eastAsia="Times New Roman"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2" w15:restartNumberingAfterBreak="0">
    <w:nsid w:val="5B55259D"/>
    <w:multiLevelType w:val="hybridMultilevel"/>
    <w:tmpl w:val="510E0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387448"/>
    <w:multiLevelType w:val="multilevel"/>
    <w:tmpl w:val="B22A93B6"/>
    <w:numStyleLink w:val="Heading1a"/>
  </w:abstractNum>
  <w:abstractNum w:abstractNumId="24"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916394"/>
    <w:multiLevelType w:val="hybridMultilevel"/>
    <w:tmpl w:val="C1AEAD08"/>
    <w:lvl w:ilvl="0" w:tplc="784A0FBA">
      <w:start w:val="1"/>
      <w:numFmt w:val="bullet"/>
      <w:lvlText w:val="•"/>
      <w:lvlJc w:val="left"/>
      <w:pPr>
        <w:tabs>
          <w:tab w:val="num" w:pos="720"/>
        </w:tabs>
        <w:ind w:left="720" w:hanging="360"/>
      </w:pPr>
      <w:rPr>
        <w:rFonts w:ascii="Arial" w:hAnsi="Arial" w:hint="default"/>
      </w:rPr>
    </w:lvl>
    <w:lvl w:ilvl="1" w:tplc="AA1A55A2" w:tentative="1">
      <w:start w:val="1"/>
      <w:numFmt w:val="bullet"/>
      <w:lvlText w:val="•"/>
      <w:lvlJc w:val="left"/>
      <w:pPr>
        <w:tabs>
          <w:tab w:val="num" w:pos="1440"/>
        </w:tabs>
        <w:ind w:left="1440" w:hanging="360"/>
      </w:pPr>
      <w:rPr>
        <w:rFonts w:ascii="Arial" w:hAnsi="Arial" w:hint="default"/>
      </w:rPr>
    </w:lvl>
    <w:lvl w:ilvl="2" w:tplc="B472EA70" w:tentative="1">
      <w:start w:val="1"/>
      <w:numFmt w:val="bullet"/>
      <w:lvlText w:val="•"/>
      <w:lvlJc w:val="left"/>
      <w:pPr>
        <w:tabs>
          <w:tab w:val="num" w:pos="2160"/>
        </w:tabs>
        <w:ind w:left="2160" w:hanging="360"/>
      </w:pPr>
      <w:rPr>
        <w:rFonts w:ascii="Arial" w:hAnsi="Arial" w:hint="default"/>
      </w:rPr>
    </w:lvl>
    <w:lvl w:ilvl="3" w:tplc="63FE8DE2" w:tentative="1">
      <w:start w:val="1"/>
      <w:numFmt w:val="bullet"/>
      <w:lvlText w:val="•"/>
      <w:lvlJc w:val="left"/>
      <w:pPr>
        <w:tabs>
          <w:tab w:val="num" w:pos="2880"/>
        </w:tabs>
        <w:ind w:left="2880" w:hanging="360"/>
      </w:pPr>
      <w:rPr>
        <w:rFonts w:ascii="Arial" w:hAnsi="Arial" w:hint="default"/>
      </w:rPr>
    </w:lvl>
    <w:lvl w:ilvl="4" w:tplc="B5CC061E" w:tentative="1">
      <w:start w:val="1"/>
      <w:numFmt w:val="bullet"/>
      <w:lvlText w:val="•"/>
      <w:lvlJc w:val="left"/>
      <w:pPr>
        <w:tabs>
          <w:tab w:val="num" w:pos="3600"/>
        </w:tabs>
        <w:ind w:left="3600" w:hanging="360"/>
      </w:pPr>
      <w:rPr>
        <w:rFonts w:ascii="Arial" w:hAnsi="Arial" w:hint="default"/>
      </w:rPr>
    </w:lvl>
    <w:lvl w:ilvl="5" w:tplc="0D6680B8" w:tentative="1">
      <w:start w:val="1"/>
      <w:numFmt w:val="bullet"/>
      <w:lvlText w:val="•"/>
      <w:lvlJc w:val="left"/>
      <w:pPr>
        <w:tabs>
          <w:tab w:val="num" w:pos="4320"/>
        </w:tabs>
        <w:ind w:left="4320" w:hanging="360"/>
      </w:pPr>
      <w:rPr>
        <w:rFonts w:ascii="Arial" w:hAnsi="Arial" w:hint="default"/>
      </w:rPr>
    </w:lvl>
    <w:lvl w:ilvl="6" w:tplc="9F8C3D9C" w:tentative="1">
      <w:start w:val="1"/>
      <w:numFmt w:val="bullet"/>
      <w:lvlText w:val="•"/>
      <w:lvlJc w:val="left"/>
      <w:pPr>
        <w:tabs>
          <w:tab w:val="num" w:pos="5040"/>
        </w:tabs>
        <w:ind w:left="5040" w:hanging="360"/>
      </w:pPr>
      <w:rPr>
        <w:rFonts w:ascii="Arial" w:hAnsi="Arial" w:hint="default"/>
      </w:rPr>
    </w:lvl>
    <w:lvl w:ilvl="7" w:tplc="E168FDBE" w:tentative="1">
      <w:start w:val="1"/>
      <w:numFmt w:val="bullet"/>
      <w:lvlText w:val="•"/>
      <w:lvlJc w:val="left"/>
      <w:pPr>
        <w:tabs>
          <w:tab w:val="num" w:pos="5760"/>
        </w:tabs>
        <w:ind w:left="5760" w:hanging="360"/>
      </w:pPr>
      <w:rPr>
        <w:rFonts w:ascii="Arial" w:hAnsi="Arial" w:hint="default"/>
      </w:rPr>
    </w:lvl>
    <w:lvl w:ilvl="8" w:tplc="FDB4798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1955D5"/>
    <w:multiLevelType w:val="hybridMultilevel"/>
    <w:tmpl w:val="0EBEE18A"/>
    <w:lvl w:ilvl="0" w:tplc="EEB41C6A">
      <w:start w:val="1"/>
      <w:numFmt w:val="bullet"/>
      <w:lvlText w:val="•"/>
      <w:lvlJc w:val="left"/>
      <w:pPr>
        <w:tabs>
          <w:tab w:val="num" w:pos="720"/>
        </w:tabs>
        <w:ind w:left="720" w:hanging="360"/>
      </w:pPr>
      <w:rPr>
        <w:rFonts w:ascii="Arial" w:hAnsi="Arial" w:hint="default"/>
      </w:rPr>
    </w:lvl>
    <w:lvl w:ilvl="1" w:tplc="555C2476" w:tentative="1">
      <w:start w:val="1"/>
      <w:numFmt w:val="bullet"/>
      <w:lvlText w:val="•"/>
      <w:lvlJc w:val="left"/>
      <w:pPr>
        <w:tabs>
          <w:tab w:val="num" w:pos="1440"/>
        </w:tabs>
        <w:ind w:left="1440" w:hanging="360"/>
      </w:pPr>
      <w:rPr>
        <w:rFonts w:ascii="Arial" w:hAnsi="Arial" w:hint="default"/>
      </w:rPr>
    </w:lvl>
    <w:lvl w:ilvl="2" w:tplc="3662C4FC">
      <w:start w:val="1"/>
      <w:numFmt w:val="bullet"/>
      <w:lvlText w:val="•"/>
      <w:lvlJc w:val="left"/>
      <w:pPr>
        <w:tabs>
          <w:tab w:val="num" w:pos="2160"/>
        </w:tabs>
        <w:ind w:left="2160" w:hanging="360"/>
      </w:pPr>
      <w:rPr>
        <w:rFonts w:ascii="Arial" w:hAnsi="Arial" w:hint="default"/>
      </w:rPr>
    </w:lvl>
    <w:lvl w:ilvl="3" w:tplc="81A88790" w:tentative="1">
      <w:start w:val="1"/>
      <w:numFmt w:val="bullet"/>
      <w:lvlText w:val="•"/>
      <w:lvlJc w:val="left"/>
      <w:pPr>
        <w:tabs>
          <w:tab w:val="num" w:pos="2880"/>
        </w:tabs>
        <w:ind w:left="2880" w:hanging="360"/>
      </w:pPr>
      <w:rPr>
        <w:rFonts w:ascii="Arial" w:hAnsi="Arial" w:hint="default"/>
      </w:rPr>
    </w:lvl>
    <w:lvl w:ilvl="4" w:tplc="2BFA6048" w:tentative="1">
      <w:start w:val="1"/>
      <w:numFmt w:val="bullet"/>
      <w:lvlText w:val="•"/>
      <w:lvlJc w:val="left"/>
      <w:pPr>
        <w:tabs>
          <w:tab w:val="num" w:pos="3600"/>
        </w:tabs>
        <w:ind w:left="3600" w:hanging="360"/>
      </w:pPr>
      <w:rPr>
        <w:rFonts w:ascii="Arial" w:hAnsi="Arial" w:hint="default"/>
      </w:rPr>
    </w:lvl>
    <w:lvl w:ilvl="5" w:tplc="10562000" w:tentative="1">
      <w:start w:val="1"/>
      <w:numFmt w:val="bullet"/>
      <w:lvlText w:val="•"/>
      <w:lvlJc w:val="left"/>
      <w:pPr>
        <w:tabs>
          <w:tab w:val="num" w:pos="4320"/>
        </w:tabs>
        <w:ind w:left="4320" w:hanging="360"/>
      </w:pPr>
      <w:rPr>
        <w:rFonts w:ascii="Arial" w:hAnsi="Arial" w:hint="default"/>
      </w:rPr>
    </w:lvl>
    <w:lvl w:ilvl="6" w:tplc="17EE83F6" w:tentative="1">
      <w:start w:val="1"/>
      <w:numFmt w:val="bullet"/>
      <w:lvlText w:val="•"/>
      <w:lvlJc w:val="left"/>
      <w:pPr>
        <w:tabs>
          <w:tab w:val="num" w:pos="5040"/>
        </w:tabs>
        <w:ind w:left="5040" w:hanging="360"/>
      </w:pPr>
      <w:rPr>
        <w:rFonts w:ascii="Arial" w:hAnsi="Arial" w:hint="default"/>
      </w:rPr>
    </w:lvl>
    <w:lvl w:ilvl="7" w:tplc="E3D27D8A" w:tentative="1">
      <w:start w:val="1"/>
      <w:numFmt w:val="bullet"/>
      <w:lvlText w:val="•"/>
      <w:lvlJc w:val="left"/>
      <w:pPr>
        <w:tabs>
          <w:tab w:val="num" w:pos="5760"/>
        </w:tabs>
        <w:ind w:left="5760" w:hanging="360"/>
      </w:pPr>
      <w:rPr>
        <w:rFonts w:ascii="Arial" w:hAnsi="Arial" w:hint="default"/>
      </w:rPr>
    </w:lvl>
    <w:lvl w:ilvl="8" w:tplc="8E4ED24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6D110A"/>
    <w:multiLevelType w:val="hybridMultilevel"/>
    <w:tmpl w:val="DD84B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3C63CA"/>
    <w:multiLevelType w:val="hybridMultilevel"/>
    <w:tmpl w:val="114A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403F90"/>
    <w:multiLevelType w:val="hybridMultilevel"/>
    <w:tmpl w:val="6E0E9DBE"/>
    <w:lvl w:ilvl="0" w:tplc="AAE6E2EC">
      <w:start w:val="1"/>
      <w:numFmt w:val="lowerRoman"/>
      <w:lvlText w:val="(%1)"/>
      <w:lvlJc w:val="left"/>
      <w:pPr>
        <w:ind w:left="7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4"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5F3E27"/>
    <w:multiLevelType w:val="hybridMultilevel"/>
    <w:tmpl w:val="57D29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8"/>
  </w:num>
  <w:num w:numId="4">
    <w:abstractNumId w:val="34"/>
  </w:num>
  <w:num w:numId="5">
    <w:abstractNumId w:val="25"/>
  </w:num>
  <w:num w:numId="6">
    <w:abstractNumId w:val="24"/>
  </w:num>
  <w:num w:numId="7">
    <w:abstractNumId w:val="13"/>
  </w:num>
  <w:num w:numId="8">
    <w:abstractNumId w:val="8"/>
  </w:num>
  <w:num w:numId="9">
    <w:abstractNumId w:val="28"/>
  </w:num>
  <w:num w:numId="10">
    <w:abstractNumId w:val="33"/>
  </w:num>
  <w:num w:numId="11">
    <w:abstractNumId w:val="7"/>
  </w:num>
  <w:num w:numId="12">
    <w:abstractNumId w:val="23"/>
  </w:num>
  <w:num w:numId="13">
    <w:abstractNumId w:val="16"/>
  </w:num>
  <w:num w:numId="14">
    <w:abstractNumId w:val="36"/>
  </w:num>
  <w:num w:numId="15">
    <w:abstractNumId w:val="22"/>
  </w:num>
  <w:num w:numId="16">
    <w:abstractNumId w:val="11"/>
  </w:num>
  <w:num w:numId="17">
    <w:abstractNumId w:val="32"/>
  </w:num>
  <w:num w:numId="18">
    <w:abstractNumId w:val="19"/>
  </w:num>
  <w:num w:numId="19">
    <w:abstractNumId w:val="29"/>
  </w:num>
  <w:num w:numId="20">
    <w:abstractNumId w:val="4"/>
  </w:num>
  <w:num w:numId="21">
    <w:abstractNumId w:val="2"/>
  </w:num>
  <w:num w:numId="22">
    <w:abstractNumId w:val="20"/>
  </w:num>
  <w:num w:numId="23">
    <w:abstractNumId w:val="30"/>
  </w:num>
  <w:num w:numId="24">
    <w:abstractNumId w:val="35"/>
  </w:num>
  <w:num w:numId="25">
    <w:abstractNumId w:val="17"/>
  </w:num>
  <w:num w:numId="26">
    <w:abstractNumId w:val="31"/>
  </w:num>
  <w:num w:numId="27">
    <w:abstractNumId w:val="27"/>
  </w:num>
  <w:num w:numId="28">
    <w:abstractNumId w:val="10"/>
  </w:num>
  <w:num w:numId="29">
    <w:abstractNumId w:val="21"/>
  </w:num>
  <w:num w:numId="30">
    <w:abstractNumId w:val="26"/>
  </w:num>
  <w:num w:numId="31">
    <w:abstractNumId w:val="12"/>
  </w:num>
  <w:num w:numId="32">
    <w:abstractNumId w:val="15"/>
  </w:num>
  <w:num w:numId="33">
    <w:abstractNumId w:val="6"/>
  </w:num>
  <w:num w:numId="34">
    <w:abstractNumId w:val="9"/>
  </w:num>
  <w:num w:numId="35">
    <w:abstractNumId w:val="0"/>
  </w:num>
  <w:num w:numId="36">
    <w:abstractNumId w:val="3"/>
  </w:num>
  <w:num w:numId="3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1884"/>
    <w:rsid w:val="000036AF"/>
    <w:rsid w:val="000038AB"/>
    <w:rsid w:val="000056C0"/>
    <w:rsid w:val="00007434"/>
    <w:rsid w:val="00007CE6"/>
    <w:rsid w:val="00014036"/>
    <w:rsid w:val="00014731"/>
    <w:rsid w:val="000171A6"/>
    <w:rsid w:val="000213E9"/>
    <w:rsid w:val="00021DA2"/>
    <w:rsid w:val="000229A1"/>
    <w:rsid w:val="00023E28"/>
    <w:rsid w:val="000268A1"/>
    <w:rsid w:val="00030952"/>
    <w:rsid w:val="000334B8"/>
    <w:rsid w:val="00046D3F"/>
    <w:rsid w:val="00054151"/>
    <w:rsid w:val="0006073C"/>
    <w:rsid w:val="000632EF"/>
    <w:rsid w:val="00063584"/>
    <w:rsid w:val="00065623"/>
    <w:rsid w:val="0006603E"/>
    <w:rsid w:val="00066790"/>
    <w:rsid w:val="00071D22"/>
    <w:rsid w:val="0007292E"/>
    <w:rsid w:val="000736DC"/>
    <w:rsid w:val="00077496"/>
    <w:rsid w:val="00080F78"/>
    <w:rsid w:val="000827F0"/>
    <w:rsid w:val="00085211"/>
    <w:rsid w:val="0008767E"/>
    <w:rsid w:val="000A63D3"/>
    <w:rsid w:val="000A738E"/>
    <w:rsid w:val="000B1085"/>
    <w:rsid w:val="000B4553"/>
    <w:rsid w:val="000B511B"/>
    <w:rsid w:val="000B6A72"/>
    <w:rsid w:val="000C20CE"/>
    <w:rsid w:val="000C26FD"/>
    <w:rsid w:val="000C2741"/>
    <w:rsid w:val="000C75CF"/>
    <w:rsid w:val="000D1F59"/>
    <w:rsid w:val="000D5AF3"/>
    <w:rsid w:val="000E0E56"/>
    <w:rsid w:val="000E396B"/>
    <w:rsid w:val="000E3C10"/>
    <w:rsid w:val="000E6588"/>
    <w:rsid w:val="000F1D28"/>
    <w:rsid w:val="000F21FE"/>
    <w:rsid w:val="000F6548"/>
    <w:rsid w:val="00104710"/>
    <w:rsid w:val="001062DD"/>
    <w:rsid w:val="0010741B"/>
    <w:rsid w:val="001139D6"/>
    <w:rsid w:val="00113BC1"/>
    <w:rsid w:val="0013032B"/>
    <w:rsid w:val="0013112F"/>
    <w:rsid w:val="00135909"/>
    <w:rsid w:val="00136257"/>
    <w:rsid w:val="00136969"/>
    <w:rsid w:val="0014545A"/>
    <w:rsid w:val="00147513"/>
    <w:rsid w:val="001538CF"/>
    <w:rsid w:val="00155BF4"/>
    <w:rsid w:val="001576BB"/>
    <w:rsid w:val="00157D30"/>
    <w:rsid w:val="0016007A"/>
    <w:rsid w:val="001601BE"/>
    <w:rsid w:val="00163315"/>
    <w:rsid w:val="00166989"/>
    <w:rsid w:val="00167C8A"/>
    <w:rsid w:val="00171759"/>
    <w:rsid w:val="001717E7"/>
    <w:rsid w:val="00175716"/>
    <w:rsid w:val="00177A1E"/>
    <w:rsid w:val="0018588C"/>
    <w:rsid w:val="001921DF"/>
    <w:rsid w:val="00192A34"/>
    <w:rsid w:val="00193407"/>
    <w:rsid w:val="001951EC"/>
    <w:rsid w:val="001A669F"/>
    <w:rsid w:val="001B1447"/>
    <w:rsid w:val="001B1DFA"/>
    <w:rsid w:val="001B7813"/>
    <w:rsid w:val="001C2094"/>
    <w:rsid w:val="001C4CA7"/>
    <w:rsid w:val="001C5C22"/>
    <w:rsid w:val="001C7004"/>
    <w:rsid w:val="001C75D8"/>
    <w:rsid w:val="001D24A5"/>
    <w:rsid w:val="001D2A85"/>
    <w:rsid w:val="001D2B29"/>
    <w:rsid w:val="001D34EA"/>
    <w:rsid w:val="001D43A3"/>
    <w:rsid w:val="001D47FB"/>
    <w:rsid w:val="001D523F"/>
    <w:rsid w:val="001E2C82"/>
    <w:rsid w:val="001E457C"/>
    <w:rsid w:val="001F11FA"/>
    <w:rsid w:val="001F3C4C"/>
    <w:rsid w:val="001F668C"/>
    <w:rsid w:val="00205548"/>
    <w:rsid w:val="002059F5"/>
    <w:rsid w:val="00206760"/>
    <w:rsid w:val="0021159F"/>
    <w:rsid w:val="00214A28"/>
    <w:rsid w:val="00215359"/>
    <w:rsid w:val="00215527"/>
    <w:rsid w:val="002216DE"/>
    <w:rsid w:val="00236247"/>
    <w:rsid w:val="00236531"/>
    <w:rsid w:val="0024059B"/>
    <w:rsid w:val="00242AD4"/>
    <w:rsid w:val="0024349A"/>
    <w:rsid w:val="0024595B"/>
    <w:rsid w:val="00246719"/>
    <w:rsid w:val="00250D64"/>
    <w:rsid w:val="00252638"/>
    <w:rsid w:val="00265841"/>
    <w:rsid w:val="0026665D"/>
    <w:rsid w:val="00266BF8"/>
    <w:rsid w:val="00267F42"/>
    <w:rsid w:val="0027168E"/>
    <w:rsid w:val="002727CB"/>
    <w:rsid w:val="00272965"/>
    <w:rsid w:val="00280998"/>
    <w:rsid w:val="00286676"/>
    <w:rsid w:val="00286BC8"/>
    <w:rsid w:val="0029348E"/>
    <w:rsid w:val="002935BB"/>
    <w:rsid w:val="00295EF8"/>
    <w:rsid w:val="002A0822"/>
    <w:rsid w:val="002A4F2A"/>
    <w:rsid w:val="002A6790"/>
    <w:rsid w:val="002A7743"/>
    <w:rsid w:val="002B34D5"/>
    <w:rsid w:val="002B3973"/>
    <w:rsid w:val="002B4E82"/>
    <w:rsid w:val="002B5255"/>
    <w:rsid w:val="002C482C"/>
    <w:rsid w:val="002D0267"/>
    <w:rsid w:val="002D08AA"/>
    <w:rsid w:val="002D13D6"/>
    <w:rsid w:val="002D2973"/>
    <w:rsid w:val="002D2FD8"/>
    <w:rsid w:val="002D330C"/>
    <w:rsid w:val="002D43CE"/>
    <w:rsid w:val="002D57BB"/>
    <w:rsid w:val="002E4460"/>
    <w:rsid w:val="002E4D7E"/>
    <w:rsid w:val="002F3D9D"/>
    <w:rsid w:val="002F54B1"/>
    <w:rsid w:val="002F6063"/>
    <w:rsid w:val="002F693D"/>
    <w:rsid w:val="00301462"/>
    <w:rsid w:val="00303414"/>
    <w:rsid w:val="003130F2"/>
    <w:rsid w:val="00337945"/>
    <w:rsid w:val="0034047C"/>
    <w:rsid w:val="00342FAC"/>
    <w:rsid w:val="00343B28"/>
    <w:rsid w:val="00344582"/>
    <w:rsid w:val="003515D1"/>
    <w:rsid w:val="00351EAC"/>
    <w:rsid w:val="0035232B"/>
    <w:rsid w:val="00352F83"/>
    <w:rsid w:val="0035535A"/>
    <w:rsid w:val="00355B86"/>
    <w:rsid w:val="0035718D"/>
    <w:rsid w:val="00361DD2"/>
    <w:rsid w:val="00367153"/>
    <w:rsid w:val="003700A9"/>
    <w:rsid w:val="003801A5"/>
    <w:rsid w:val="00380E78"/>
    <w:rsid w:val="00381448"/>
    <w:rsid w:val="00382B49"/>
    <w:rsid w:val="00386D67"/>
    <w:rsid w:val="003873B4"/>
    <w:rsid w:val="00392A49"/>
    <w:rsid w:val="003A068D"/>
    <w:rsid w:val="003A078D"/>
    <w:rsid w:val="003A0FDE"/>
    <w:rsid w:val="003A326F"/>
    <w:rsid w:val="003A368C"/>
    <w:rsid w:val="003A4F78"/>
    <w:rsid w:val="003B02B8"/>
    <w:rsid w:val="003B0CA4"/>
    <w:rsid w:val="003B1E3B"/>
    <w:rsid w:val="003B50D2"/>
    <w:rsid w:val="003C2A7E"/>
    <w:rsid w:val="003C6777"/>
    <w:rsid w:val="003D2991"/>
    <w:rsid w:val="003D4BFC"/>
    <w:rsid w:val="003D6A0F"/>
    <w:rsid w:val="003E1045"/>
    <w:rsid w:val="003E3728"/>
    <w:rsid w:val="003E44A3"/>
    <w:rsid w:val="003E63C9"/>
    <w:rsid w:val="003F0834"/>
    <w:rsid w:val="003F195D"/>
    <w:rsid w:val="003F301A"/>
    <w:rsid w:val="003F30AD"/>
    <w:rsid w:val="003F5EE6"/>
    <w:rsid w:val="003F6EFE"/>
    <w:rsid w:val="00402FE8"/>
    <w:rsid w:val="004031F7"/>
    <w:rsid w:val="00410178"/>
    <w:rsid w:val="00410B4E"/>
    <w:rsid w:val="00412CCE"/>
    <w:rsid w:val="00413D09"/>
    <w:rsid w:val="0042114B"/>
    <w:rsid w:val="00421579"/>
    <w:rsid w:val="00431323"/>
    <w:rsid w:val="00433060"/>
    <w:rsid w:val="00441507"/>
    <w:rsid w:val="00443333"/>
    <w:rsid w:val="00443F1D"/>
    <w:rsid w:val="004479B1"/>
    <w:rsid w:val="00451310"/>
    <w:rsid w:val="00452200"/>
    <w:rsid w:val="00452DFC"/>
    <w:rsid w:val="00460DB6"/>
    <w:rsid w:val="004655E1"/>
    <w:rsid w:val="0046745E"/>
    <w:rsid w:val="00471A4E"/>
    <w:rsid w:val="00471BF1"/>
    <w:rsid w:val="004851AB"/>
    <w:rsid w:val="004851B6"/>
    <w:rsid w:val="0048586D"/>
    <w:rsid w:val="004914F3"/>
    <w:rsid w:val="00491B49"/>
    <w:rsid w:val="004932FF"/>
    <w:rsid w:val="004940B0"/>
    <w:rsid w:val="00495285"/>
    <w:rsid w:val="004A0740"/>
    <w:rsid w:val="004A312E"/>
    <w:rsid w:val="004A3300"/>
    <w:rsid w:val="004A4E41"/>
    <w:rsid w:val="004B01A4"/>
    <w:rsid w:val="004B2358"/>
    <w:rsid w:val="004C0219"/>
    <w:rsid w:val="004C0F2C"/>
    <w:rsid w:val="004D171C"/>
    <w:rsid w:val="004D1800"/>
    <w:rsid w:val="004D3B8B"/>
    <w:rsid w:val="004D58B4"/>
    <w:rsid w:val="004D692F"/>
    <w:rsid w:val="004E348D"/>
    <w:rsid w:val="004E432D"/>
    <w:rsid w:val="004E5C21"/>
    <w:rsid w:val="004E6881"/>
    <w:rsid w:val="004E6E98"/>
    <w:rsid w:val="004F1390"/>
    <w:rsid w:val="004F2B5D"/>
    <w:rsid w:val="004F6157"/>
    <w:rsid w:val="005012C3"/>
    <w:rsid w:val="0050188B"/>
    <w:rsid w:val="005025FD"/>
    <w:rsid w:val="005111D9"/>
    <w:rsid w:val="00511EE0"/>
    <w:rsid w:val="00514BAF"/>
    <w:rsid w:val="00516547"/>
    <w:rsid w:val="00516ACE"/>
    <w:rsid w:val="00521E3B"/>
    <w:rsid w:val="005241E9"/>
    <w:rsid w:val="0053787D"/>
    <w:rsid w:val="005420D3"/>
    <w:rsid w:val="00544BA0"/>
    <w:rsid w:val="00547823"/>
    <w:rsid w:val="00552DFF"/>
    <w:rsid w:val="00565224"/>
    <w:rsid w:val="00566DC3"/>
    <w:rsid w:val="00567131"/>
    <w:rsid w:val="0056736C"/>
    <w:rsid w:val="00573F22"/>
    <w:rsid w:val="00574146"/>
    <w:rsid w:val="00576ED3"/>
    <w:rsid w:val="00582977"/>
    <w:rsid w:val="00582C20"/>
    <w:rsid w:val="00583D1B"/>
    <w:rsid w:val="00584BEF"/>
    <w:rsid w:val="00584DDE"/>
    <w:rsid w:val="005856E5"/>
    <w:rsid w:val="0058659C"/>
    <w:rsid w:val="00590817"/>
    <w:rsid w:val="00590A73"/>
    <w:rsid w:val="00591FB8"/>
    <w:rsid w:val="005922DB"/>
    <w:rsid w:val="005938FD"/>
    <w:rsid w:val="00594478"/>
    <w:rsid w:val="005A1355"/>
    <w:rsid w:val="005A14E4"/>
    <w:rsid w:val="005A30C6"/>
    <w:rsid w:val="005B59F4"/>
    <w:rsid w:val="005C6406"/>
    <w:rsid w:val="005D0332"/>
    <w:rsid w:val="005D471F"/>
    <w:rsid w:val="005D584E"/>
    <w:rsid w:val="005D637D"/>
    <w:rsid w:val="005D75F0"/>
    <w:rsid w:val="005E0FA6"/>
    <w:rsid w:val="005E3645"/>
    <w:rsid w:val="005E3E64"/>
    <w:rsid w:val="005E42A8"/>
    <w:rsid w:val="005F004E"/>
    <w:rsid w:val="005F6B64"/>
    <w:rsid w:val="005F7031"/>
    <w:rsid w:val="005F7BC6"/>
    <w:rsid w:val="00602456"/>
    <w:rsid w:val="00603860"/>
    <w:rsid w:val="00605812"/>
    <w:rsid w:val="006074D3"/>
    <w:rsid w:val="00607D37"/>
    <w:rsid w:val="00611744"/>
    <w:rsid w:val="00612A11"/>
    <w:rsid w:val="006139C1"/>
    <w:rsid w:val="0061621F"/>
    <w:rsid w:val="00616357"/>
    <w:rsid w:val="00622EBB"/>
    <w:rsid w:val="00627118"/>
    <w:rsid w:val="0063740F"/>
    <w:rsid w:val="00640A46"/>
    <w:rsid w:val="00652E31"/>
    <w:rsid w:val="0065529B"/>
    <w:rsid w:val="00661557"/>
    <w:rsid w:val="00661C5F"/>
    <w:rsid w:val="00662942"/>
    <w:rsid w:val="006646DC"/>
    <w:rsid w:val="00676A80"/>
    <w:rsid w:val="00676C49"/>
    <w:rsid w:val="00683AC9"/>
    <w:rsid w:val="00685001"/>
    <w:rsid w:val="0068556C"/>
    <w:rsid w:val="00693716"/>
    <w:rsid w:val="006965C5"/>
    <w:rsid w:val="006A27C7"/>
    <w:rsid w:val="006B032A"/>
    <w:rsid w:val="006B0590"/>
    <w:rsid w:val="006B12AA"/>
    <w:rsid w:val="006B179B"/>
    <w:rsid w:val="006B241A"/>
    <w:rsid w:val="006B3FAF"/>
    <w:rsid w:val="006B5BE7"/>
    <w:rsid w:val="006B5D21"/>
    <w:rsid w:val="006B7F3E"/>
    <w:rsid w:val="006C1938"/>
    <w:rsid w:val="006C26E3"/>
    <w:rsid w:val="006C3324"/>
    <w:rsid w:val="006C5230"/>
    <w:rsid w:val="006D6C51"/>
    <w:rsid w:val="006D7D0C"/>
    <w:rsid w:val="006E2F06"/>
    <w:rsid w:val="006E4CAB"/>
    <w:rsid w:val="006E7A8E"/>
    <w:rsid w:val="006F2A30"/>
    <w:rsid w:val="006F36A2"/>
    <w:rsid w:val="006F47F4"/>
    <w:rsid w:val="006F50E9"/>
    <w:rsid w:val="006F6970"/>
    <w:rsid w:val="00702A13"/>
    <w:rsid w:val="00703892"/>
    <w:rsid w:val="007049CD"/>
    <w:rsid w:val="007063BA"/>
    <w:rsid w:val="00707FED"/>
    <w:rsid w:val="00712274"/>
    <w:rsid w:val="00713D11"/>
    <w:rsid w:val="00714452"/>
    <w:rsid w:val="0071498A"/>
    <w:rsid w:val="00717C92"/>
    <w:rsid w:val="00720BAA"/>
    <w:rsid w:val="00721B4D"/>
    <w:rsid w:val="00721B52"/>
    <w:rsid w:val="00722408"/>
    <w:rsid w:val="00722776"/>
    <w:rsid w:val="007229D6"/>
    <w:rsid w:val="00723375"/>
    <w:rsid w:val="00731492"/>
    <w:rsid w:val="00731730"/>
    <w:rsid w:val="00732C4E"/>
    <w:rsid w:val="0073372A"/>
    <w:rsid w:val="00736B3B"/>
    <w:rsid w:val="00744301"/>
    <w:rsid w:val="00744C5D"/>
    <w:rsid w:val="007554DA"/>
    <w:rsid w:val="00756665"/>
    <w:rsid w:val="00761963"/>
    <w:rsid w:val="00766E36"/>
    <w:rsid w:val="00766FDB"/>
    <w:rsid w:val="007730E7"/>
    <w:rsid w:val="00775963"/>
    <w:rsid w:val="007768A6"/>
    <w:rsid w:val="007849B8"/>
    <w:rsid w:val="0079042A"/>
    <w:rsid w:val="0079055D"/>
    <w:rsid w:val="0079342F"/>
    <w:rsid w:val="00794D30"/>
    <w:rsid w:val="007964EB"/>
    <w:rsid w:val="00797D8D"/>
    <w:rsid w:val="007A0F08"/>
    <w:rsid w:val="007A1D2E"/>
    <w:rsid w:val="007A3EC4"/>
    <w:rsid w:val="007A6BE5"/>
    <w:rsid w:val="007A7B08"/>
    <w:rsid w:val="007B66CA"/>
    <w:rsid w:val="007C2D6A"/>
    <w:rsid w:val="007C4959"/>
    <w:rsid w:val="007D40F9"/>
    <w:rsid w:val="007D5F6D"/>
    <w:rsid w:val="007D6699"/>
    <w:rsid w:val="007D6C35"/>
    <w:rsid w:val="007D7ECB"/>
    <w:rsid w:val="007E0EAF"/>
    <w:rsid w:val="007E1068"/>
    <w:rsid w:val="007E7842"/>
    <w:rsid w:val="007F4E20"/>
    <w:rsid w:val="007F5142"/>
    <w:rsid w:val="00800DFC"/>
    <w:rsid w:val="00802B44"/>
    <w:rsid w:val="00806A9C"/>
    <w:rsid w:val="0080749F"/>
    <w:rsid w:val="00814E99"/>
    <w:rsid w:val="008171BB"/>
    <w:rsid w:val="008227C1"/>
    <w:rsid w:val="00824C87"/>
    <w:rsid w:val="00827C06"/>
    <w:rsid w:val="0083013B"/>
    <w:rsid w:val="008321D5"/>
    <w:rsid w:val="0084645A"/>
    <w:rsid w:val="00850724"/>
    <w:rsid w:val="00856C93"/>
    <w:rsid w:val="0086104A"/>
    <w:rsid w:val="008671F5"/>
    <w:rsid w:val="008712D2"/>
    <w:rsid w:val="00871821"/>
    <w:rsid w:val="0088125C"/>
    <w:rsid w:val="0088197A"/>
    <w:rsid w:val="008834CD"/>
    <w:rsid w:val="00883DCC"/>
    <w:rsid w:val="008848AA"/>
    <w:rsid w:val="00892BA7"/>
    <w:rsid w:val="00896E79"/>
    <w:rsid w:val="008A0363"/>
    <w:rsid w:val="008A0D74"/>
    <w:rsid w:val="008A217E"/>
    <w:rsid w:val="008A5C67"/>
    <w:rsid w:val="008A6001"/>
    <w:rsid w:val="008A6C0C"/>
    <w:rsid w:val="008A7405"/>
    <w:rsid w:val="008B7EF6"/>
    <w:rsid w:val="008C125C"/>
    <w:rsid w:val="008C5ECD"/>
    <w:rsid w:val="008C6DE4"/>
    <w:rsid w:val="008D20B2"/>
    <w:rsid w:val="008D2AE4"/>
    <w:rsid w:val="008D6416"/>
    <w:rsid w:val="008D7CEA"/>
    <w:rsid w:val="008E2DF5"/>
    <w:rsid w:val="008E2EB8"/>
    <w:rsid w:val="008E33E3"/>
    <w:rsid w:val="008E447B"/>
    <w:rsid w:val="008E7E03"/>
    <w:rsid w:val="008F77F9"/>
    <w:rsid w:val="00901821"/>
    <w:rsid w:val="00901C43"/>
    <w:rsid w:val="00906DB3"/>
    <w:rsid w:val="009110E5"/>
    <w:rsid w:val="00912AD8"/>
    <w:rsid w:val="0091549B"/>
    <w:rsid w:val="009162A7"/>
    <w:rsid w:val="00920692"/>
    <w:rsid w:val="00920A83"/>
    <w:rsid w:val="0092615B"/>
    <w:rsid w:val="00926EF0"/>
    <w:rsid w:val="009309F7"/>
    <w:rsid w:val="00931134"/>
    <w:rsid w:val="0093216A"/>
    <w:rsid w:val="00933B33"/>
    <w:rsid w:val="009351F0"/>
    <w:rsid w:val="00940F74"/>
    <w:rsid w:val="009418C0"/>
    <w:rsid w:val="00941C01"/>
    <w:rsid w:val="00943312"/>
    <w:rsid w:val="00950C0C"/>
    <w:rsid w:val="009606B7"/>
    <w:rsid w:val="00961AD6"/>
    <w:rsid w:val="00962555"/>
    <w:rsid w:val="00964755"/>
    <w:rsid w:val="0097029B"/>
    <w:rsid w:val="009716C7"/>
    <w:rsid w:val="00971D3F"/>
    <w:rsid w:val="009761EE"/>
    <w:rsid w:val="009765FA"/>
    <w:rsid w:val="00976962"/>
    <w:rsid w:val="00976B13"/>
    <w:rsid w:val="0098781A"/>
    <w:rsid w:val="00990BF9"/>
    <w:rsid w:val="009A1FE3"/>
    <w:rsid w:val="009A702B"/>
    <w:rsid w:val="009B0BBF"/>
    <w:rsid w:val="009B2DA2"/>
    <w:rsid w:val="009B2DD5"/>
    <w:rsid w:val="009B47FE"/>
    <w:rsid w:val="009B7E08"/>
    <w:rsid w:val="009B7E2B"/>
    <w:rsid w:val="009C34E7"/>
    <w:rsid w:val="009C5E44"/>
    <w:rsid w:val="009C5E6A"/>
    <w:rsid w:val="009C715C"/>
    <w:rsid w:val="009D1BAC"/>
    <w:rsid w:val="009D64AB"/>
    <w:rsid w:val="009E1CE8"/>
    <w:rsid w:val="009E2FFB"/>
    <w:rsid w:val="009E5212"/>
    <w:rsid w:val="009F51C4"/>
    <w:rsid w:val="009F723B"/>
    <w:rsid w:val="00A009C9"/>
    <w:rsid w:val="00A021B7"/>
    <w:rsid w:val="00A15759"/>
    <w:rsid w:val="00A217DC"/>
    <w:rsid w:val="00A30752"/>
    <w:rsid w:val="00A30A85"/>
    <w:rsid w:val="00A317E6"/>
    <w:rsid w:val="00A32BD8"/>
    <w:rsid w:val="00A35A4F"/>
    <w:rsid w:val="00A4183A"/>
    <w:rsid w:val="00A44C6E"/>
    <w:rsid w:val="00A469D3"/>
    <w:rsid w:val="00A52FEC"/>
    <w:rsid w:val="00A533E4"/>
    <w:rsid w:val="00A539D3"/>
    <w:rsid w:val="00A601D9"/>
    <w:rsid w:val="00A62E35"/>
    <w:rsid w:val="00A6602A"/>
    <w:rsid w:val="00A7064F"/>
    <w:rsid w:val="00A7131B"/>
    <w:rsid w:val="00A77947"/>
    <w:rsid w:val="00A813FA"/>
    <w:rsid w:val="00A8603E"/>
    <w:rsid w:val="00A865D2"/>
    <w:rsid w:val="00A90662"/>
    <w:rsid w:val="00A9148B"/>
    <w:rsid w:val="00A92E4D"/>
    <w:rsid w:val="00A930B3"/>
    <w:rsid w:val="00A96916"/>
    <w:rsid w:val="00A973E9"/>
    <w:rsid w:val="00AA3E4B"/>
    <w:rsid w:val="00AA502F"/>
    <w:rsid w:val="00AA689B"/>
    <w:rsid w:val="00AB010E"/>
    <w:rsid w:val="00AB109B"/>
    <w:rsid w:val="00AB37FD"/>
    <w:rsid w:val="00AB5AA7"/>
    <w:rsid w:val="00AC0916"/>
    <w:rsid w:val="00AC4441"/>
    <w:rsid w:val="00AD026F"/>
    <w:rsid w:val="00AD1A04"/>
    <w:rsid w:val="00AE4754"/>
    <w:rsid w:val="00AE4C2D"/>
    <w:rsid w:val="00AE76A3"/>
    <w:rsid w:val="00AF64E7"/>
    <w:rsid w:val="00AF72BF"/>
    <w:rsid w:val="00B021B8"/>
    <w:rsid w:val="00B0234D"/>
    <w:rsid w:val="00B02E35"/>
    <w:rsid w:val="00B03576"/>
    <w:rsid w:val="00B0472C"/>
    <w:rsid w:val="00B05B9F"/>
    <w:rsid w:val="00B0675E"/>
    <w:rsid w:val="00B06874"/>
    <w:rsid w:val="00B07D7E"/>
    <w:rsid w:val="00B102D9"/>
    <w:rsid w:val="00B1779B"/>
    <w:rsid w:val="00B26091"/>
    <w:rsid w:val="00B26EDB"/>
    <w:rsid w:val="00B3346C"/>
    <w:rsid w:val="00B33D7B"/>
    <w:rsid w:val="00B360D5"/>
    <w:rsid w:val="00B37582"/>
    <w:rsid w:val="00B40410"/>
    <w:rsid w:val="00B411FE"/>
    <w:rsid w:val="00B46C7E"/>
    <w:rsid w:val="00B52FCF"/>
    <w:rsid w:val="00B6033B"/>
    <w:rsid w:val="00B62617"/>
    <w:rsid w:val="00B64008"/>
    <w:rsid w:val="00B731A5"/>
    <w:rsid w:val="00B83AA5"/>
    <w:rsid w:val="00B96090"/>
    <w:rsid w:val="00B96CFB"/>
    <w:rsid w:val="00BA5A83"/>
    <w:rsid w:val="00BA6207"/>
    <w:rsid w:val="00BA6799"/>
    <w:rsid w:val="00BB18CD"/>
    <w:rsid w:val="00BB26AB"/>
    <w:rsid w:val="00BC04A2"/>
    <w:rsid w:val="00BC44F4"/>
    <w:rsid w:val="00BD1C4D"/>
    <w:rsid w:val="00BD52A9"/>
    <w:rsid w:val="00BD6C4E"/>
    <w:rsid w:val="00BE093C"/>
    <w:rsid w:val="00BE396E"/>
    <w:rsid w:val="00BE69AC"/>
    <w:rsid w:val="00BF0479"/>
    <w:rsid w:val="00BF0D12"/>
    <w:rsid w:val="00BF0DFE"/>
    <w:rsid w:val="00BF3109"/>
    <w:rsid w:val="00BF373B"/>
    <w:rsid w:val="00BF4914"/>
    <w:rsid w:val="00C0013C"/>
    <w:rsid w:val="00C04349"/>
    <w:rsid w:val="00C05EDF"/>
    <w:rsid w:val="00C13B47"/>
    <w:rsid w:val="00C15C58"/>
    <w:rsid w:val="00C1782D"/>
    <w:rsid w:val="00C20B8A"/>
    <w:rsid w:val="00C20BEE"/>
    <w:rsid w:val="00C22F1A"/>
    <w:rsid w:val="00C34180"/>
    <w:rsid w:val="00C4534B"/>
    <w:rsid w:val="00C45D90"/>
    <w:rsid w:val="00C50B10"/>
    <w:rsid w:val="00C55F87"/>
    <w:rsid w:val="00C57BA9"/>
    <w:rsid w:val="00C614AF"/>
    <w:rsid w:val="00C61760"/>
    <w:rsid w:val="00C67123"/>
    <w:rsid w:val="00C703C1"/>
    <w:rsid w:val="00C77772"/>
    <w:rsid w:val="00C808E5"/>
    <w:rsid w:val="00C8153E"/>
    <w:rsid w:val="00C81841"/>
    <w:rsid w:val="00C81F98"/>
    <w:rsid w:val="00C84EFB"/>
    <w:rsid w:val="00C90108"/>
    <w:rsid w:val="00C90EB4"/>
    <w:rsid w:val="00C91B1B"/>
    <w:rsid w:val="00CB1778"/>
    <w:rsid w:val="00CB19A8"/>
    <w:rsid w:val="00CB4679"/>
    <w:rsid w:val="00CB5169"/>
    <w:rsid w:val="00CB7E7D"/>
    <w:rsid w:val="00CC038A"/>
    <w:rsid w:val="00CC23B0"/>
    <w:rsid w:val="00CC2A8B"/>
    <w:rsid w:val="00CC6399"/>
    <w:rsid w:val="00CC764D"/>
    <w:rsid w:val="00CC7BBB"/>
    <w:rsid w:val="00CD10A4"/>
    <w:rsid w:val="00CD242C"/>
    <w:rsid w:val="00CD29CD"/>
    <w:rsid w:val="00CD2E07"/>
    <w:rsid w:val="00CD516D"/>
    <w:rsid w:val="00CD5843"/>
    <w:rsid w:val="00CD712E"/>
    <w:rsid w:val="00CD7AAF"/>
    <w:rsid w:val="00CF2917"/>
    <w:rsid w:val="00CF305A"/>
    <w:rsid w:val="00CF7D76"/>
    <w:rsid w:val="00D00813"/>
    <w:rsid w:val="00D05118"/>
    <w:rsid w:val="00D059EE"/>
    <w:rsid w:val="00D06219"/>
    <w:rsid w:val="00D10820"/>
    <w:rsid w:val="00D118AD"/>
    <w:rsid w:val="00D12753"/>
    <w:rsid w:val="00D14C3F"/>
    <w:rsid w:val="00D14FEA"/>
    <w:rsid w:val="00D15284"/>
    <w:rsid w:val="00D2016C"/>
    <w:rsid w:val="00D205DD"/>
    <w:rsid w:val="00D25C38"/>
    <w:rsid w:val="00D27B27"/>
    <w:rsid w:val="00D3438C"/>
    <w:rsid w:val="00D429B1"/>
    <w:rsid w:val="00D4755A"/>
    <w:rsid w:val="00D47734"/>
    <w:rsid w:val="00D47A2C"/>
    <w:rsid w:val="00D55D87"/>
    <w:rsid w:val="00D55F83"/>
    <w:rsid w:val="00D639D0"/>
    <w:rsid w:val="00D63F0E"/>
    <w:rsid w:val="00D701CC"/>
    <w:rsid w:val="00D70C50"/>
    <w:rsid w:val="00D73DD6"/>
    <w:rsid w:val="00D769FB"/>
    <w:rsid w:val="00D81AA6"/>
    <w:rsid w:val="00D9024E"/>
    <w:rsid w:val="00D93418"/>
    <w:rsid w:val="00D964E8"/>
    <w:rsid w:val="00DA2F53"/>
    <w:rsid w:val="00DA4136"/>
    <w:rsid w:val="00DA7028"/>
    <w:rsid w:val="00DB1E71"/>
    <w:rsid w:val="00DB477B"/>
    <w:rsid w:val="00DB4A4B"/>
    <w:rsid w:val="00DB6547"/>
    <w:rsid w:val="00DC0E3C"/>
    <w:rsid w:val="00DC3FFD"/>
    <w:rsid w:val="00DC4741"/>
    <w:rsid w:val="00DD0AF1"/>
    <w:rsid w:val="00DD311A"/>
    <w:rsid w:val="00DD676D"/>
    <w:rsid w:val="00DE1748"/>
    <w:rsid w:val="00DE552A"/>
    <w:rsid w:val="00DE5C6D"/>
    <w:rsid w:val="00DF27AE"/>
    <w:rsid w:val="00E02561"/>
    <w:rsid w:val="00E031DE"/>
    <w:rsid w:val="00E034EA"/>
    <w:rsid w:val="00E06462"/>
    <w:rsid w:val="00E16CCC"/>
    <w:rsid w:val="00E16F4B"/>
    <w:rsid w:val="00E2554C"/>
    <w:rsid w:val="00E31F56"/>
    <w:rsid w:val="00E445E8"/>
    <w:rsid w:val="00E44A15"/>
    <w:rsid w:val="00E45267"/>
    <w:rsid w:val="00E521B1"/>
    <w:rsid w:val="00E57B85"/>
    <w:rsid w:val="00E62F27"/>
    <w:rsid w:val="00E6493B"/>
    <w:rsid w:val="00E65CD2"/>
    <w:rsid w:val="00E713BF"/>
    <w:rsid w:val="00E719EA"/>
    <w:rsid w:val="00E729FC"/>
    <w:rsid w:val="00E7422C"/>
    <w:rsid w:val="00E74504"/>
    <w:rsid w:val="00E7560F"/>
    <w:rsid w:val="00E846B1"/>
    <w:rsid w:val="00E924FD"/>
    <w:rsid w:val="00E936DA"/>
    <w:rsid w:val="00E97375"/>
    <w:rsid w:val="00EA0DE8"/>
    <w:rsid w:val="00EA3CBC"/>
    <w:rsid w:val="00EA584D"/>
    <w:rsid w:val="00EA6C3A"/>
    <w:rsid w:val="00EB1BAD"/>
    <w:rsid w:val="00EC1C64"/>
    <w:rsid w:val="00EC3821"/>
    <w:rsid w:val="00ED4E80"/>
    <w:rsid w:val="00ED5978"/>
    <w:rsid w:val="00EE036C"/>
    <w:rsid w:val="00EE2D09"/>
    <w:rsid w:val="00EE647B"/>
    <w:rsid w:val="00EF3110"/>
    <w:rsid w:val="00EF3383"/>
    <w:rsid w:val="00EF563C"/>
    <w:rsid w:val="00EF5A1E"/>
    <w:rsid w:val="00EF72AB"/>
    <w:rsid w:val="00EF7D01"/>
    <w:rsid w:val="00F04F02"/>
    <w:rsid w:val="00F05959"/>
    <w:rsid w:val="00F16E5D"/>
    <w:rsid w:val="00F2152F"/>
    <w:rsid w:val="00F2184D"/>
    <w:rsid w:val="00F2213E"/>
    <w:rsid w:val="00F2353D"/>
    <w:rsid w:val="00F240E0"/>
    <w:rsid w:val="00F25A3C"/>
    <w:rsid w:val="00F25D72"/>
    <w:rsid w:val="00F326F1"/>
    <w:rsid w:val="00F36828"/>
    <w:rsid w:val="00F51E0F"/>
    <w:rsid w:val="00F530A0"/>
    <w:rsid w:val="00F53378"/>
    <w:rsid w:val="00F60AAE"/>
    <w:rsid w:val="00F62B08"/>
    <w:rsid w:val="00F64B99"/>
    <w:rsid w:val="00F651C0"/>
    <w:rsid w:val="00F708D3"/>
    <w:rsid w:val="00F7360A"/>
    <w:rsid w:val="00F7484F"/>
    <w:rsid w:val="00F7485C"/>
    <w:rsid w:val="00F76F13"/>
    <w:rsid w:val="00F8174C"/>
    <w:rsid w:val="00F817E7"/>
    <w:rsid w:val="00F8233C"/>
    <w:rsid w:val="00F8440C"/>
    <w:rsid w:val="00F972E7"/>
    <w:rsid w:val="00F978B2"/>
    <w:rsid w:val="00FA36DD"/>
    <w:rsid w:val="00FA4810"/>
    <w:rsid w:val="00FA51A7"/>
    <w:rsid w:val="00FB1AC2"/>
    <w:rsid w:val="00FB7083"/>
    <w:rsid w:val="00FC0D62"/>
    <w:rsid w:val="00FC13AA"/>
    <w:rsid w:val="00FC2897"/>
    <w:rsid w:val="00FC6309"/>
    <w:rsid w:val="00FD0378"/>
    <w:rsid w:val="00FD1E48"/>
    <w:rsid w:val="00FD2E39"/>
    <w:rsid w:val="00FD60FF"/>
    <w:rsid w:val="00FE1A4B"/>
    <w:rsid w:val="00FE5432"/>
    <w:rsid w:val="00FE5F2A"/>
    <w:rsid w:val="00FE7B0C"/>
    <w:rsid w:val="00FF4A47"/>
    <w:rsid w:val="00FF5420"/>
    <w:rsid w:val="00FF611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pPr>
      <w:spacing w:after="0" w:line="240" w:lineRule="auto"/>
    </w:pPr>
    <w:rPr>
      <w:rFonts w:eastAsia="Times New Roman" w:cs="Times New Roman"/>
      <w:szCs w:val="20"/>
      <w:lang w:eastAsia="en-AU"/>
    </w:rPr>
  </w:style>
  <w:style w:type="paragraph" w:styleId="Heading1">
    <w:name w:val="heading 1"/>
    <w:basedOn w:val="Normal"/>
    <w:link w:val="Heading1Char"/>
    <w:uiPriority w:val="99"/>
    <w:qFormat/>
    <w:rsid w:val="00AF64E7"/>
    <w:pPr>
      <w:keepNext/>
      <w:keepLines/>
      <w:outlineLvl w:val="0"/>
    </w:pPr>
    <w:rPr>
      <w:rFonts w:eastAsiaTheme="majorEastAsia" w:cstheme="majorBidi"/>
      <w:b/>
      <w:bCs/>
      <w:szCs w:val="28"/>
    </w:rPr>
  </w:style>
  <w:style w:type="paragraph" w:styleId="Heading2">
    <w:name w:val="heading 2"/>
    <w:basedOn w:val="Normal"/>
    <w:link w:val="Heading2Char"/>
    <w:uiPriority w:val="9"/>
    <w:unhideWhenUsed/>
    <w:qFormat/>
    <w:rsid w:val="00451310"/>
    <w:pPr>
      <w:keepNext/>
      <w:keepLines/>
      <w:outlineLvl w:val="1"/>
    </w:pPr>
    <w:rPr>
      <w:rFonts w:eastAsiaTheme="majorEastAsia" w:cstheme="majorBidi"/>
      <w:bCs/>
      <w:i/>
      <w:szCs w:val="26"/>
    </w:rPr>
  </w:style>
  <w:style w:type="paragraph" w:styleId="Heading3">
    <w:name w:val="heading 3"/>
    <w:basedOn w:val="Normal"/>
    <w:next w:val="Normal"/>
    <w:link w:val="Heading3Char"/>
    <w:uiPriority w:val="9"/>
    <w:unhideWhenUsed/>
    <w:qFormat/>
    <w:rsid w:val="00301462"/>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2CC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12CC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5623"/>
    <w:rPr>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vertAlign w:val="superscript"/>
    </w:rPr>
  </w:style>
  <w:style w:type="paragraph" w:styleId="ListParagraph">
    <w:name w:val="List Paragraph"/>
    <w:aliases w:val="Styl moj,Akapit z listą1,Akapit z listą11,BulletPoints,Body Text Bullet Points,Numbered para,List Paragraph1,Bullet point,List Paragraph11,Recommendation,Section heading,Footnote,ES Paragraph,PBAC ES Paragraph,PBAC normal points"/>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iPriority w:val="99"/>
    <w:unhideWhenUsed/>
    <w:rsid w:val="008227C1"/>
    <w:pPr>
      <w:tabs>
        <w:tab w:val="center" w:pos="4513"/>
        <w:tab w:val="right" w:pos="9026"/>
      </w:tabs>
    </w:pPr>
  </w:style>
  <w:style w:type="character" w:customStyle="1" w:styleId="HeaderChar">
    <w:name w:val="Header Char"/>
    <w:basedOn w:val="DefaultParagraphFont"/>
    <w:link w:val="Header"/>
    <w:uiPriority w:val="99"/>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basedOn w:val="TableNormal"/>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qFormat/>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cs="Times New Roman"/>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i/>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451310"/>
    <w:rPr>
      <w:rFonts w:eastAsiaTheme="majorEastAsia" w:cstheme="majorBidi"/>
      <w:bCs/>
      <w:i/>
      <w:szCs w:val="26"/>
      <w:lang w:eastAsia="en-AU"/>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6E4CAB"/>
    <w:pPr>
      <w:keepNext/>
      <w:spacing w:after="40"/>
      <w:jc w:val="both"/>
      <w:outlineLvl w:val="2"/>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6E4CAB"/>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9110E5"/>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110E5"/>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Heading1Char">
    <w:name w:val="Heading 1 Char"/>
    <w:basedOn w:val="DefaultParagraphFont"/>
    <w:link w:val="Heading1"/>
    <w:uiPriority w:val="99"/>
    <w:rsid w:val="00AF64E7"/>
    <w:rPr>
      <w:rFonts w:eastAsiaTheme="majorEastAsia" w:cstheme="majorBidi"/>
      <w:b/>
      <w:bCs/>
      <w:szCs w:val="28"/>
      <w:lang w:eastAsia="en-AU"/>
    </w:rPr>
  </w:style>
  <w:style w:type="character" w:customStyle="1" w:styleId="Heading3Char">
    <w:name w:val="Heading 3 Char"/>
    <w:basedOn w:val="DefaultParagraphFont"/>
    <w:link w:val="Heading3"/>
    <w:uiPriority w:val="9"/>
    <w:rsid w:val="00301462"/>
    <w:rPr>
      <w:rFonts w:eastAsiaTheme="majorEastAsia" w:cstheme="majorBidi"/>
      <w:szCs w:val="24"/>
      <w:u w:val="single"/>
      <w:lang w:eastAsia="en-AU"/>
    </w:rPr>
  </w:style>
  <w:style w:type="character" w:customStyle="1" w:styleId="ListParagraphChar">
    <w:name w:val="List Paragraph Char"/>
    <w:aliases w:val="Styl moj Char,Akapit z listą1 Char,Akapit z listą11 Char,BulletPoints Char,Body Text Bullet Points Char,Numbered para Char,List Paragraph1 Char,Bullet point Char,List Paragraph11 Char,Recommendation Char,Section heading Char"/>
    <w:link w:val="ListParagraph"/>
    <w:uiPriority w:val="34"/>
    <w:qFormat/>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576BB"/>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Yu Gothic UI Semibold" w:hAnsi="@Yu Gothic UI Semibold"/>
        <w:b w:val="0"/>
        <w:sz w:val="20"/>
      </w:rPr>
    </w:tblStylePr>
  </w:style>
  <w:style w:type="character" w:styleId="FollowedHyperlink">
    <w:name w:val="FollowedHyperlink"/>
    <w:basedOn w:val="DefaultParagraphFont"/>
    <w:uiPriority w:val="99"/>
    <w:semiHidden/>
    <w:unhideWhenUsed/>
    <w:rsid w:val="005025FD"/>
    <w:rPr>
      <w:color w:val="800080" w:themeColor="followedHyperlink"/>
      <w:u w:val="single"/>
    </w:rPr>
  </w:style>
  <w:style w:type="paragraph" w:customStyle="1" w:styleId="CommentTabletext">
    <w:name w:val="Comment Table text"/>
    <w:basedOn w:val="Normal"/>
    <w:qFormat/>
    <w:rsid w:val="004940B0"/>
    <w:pPr>
      <w:tabs>
        <w:tab w:val="num" w:pos="720"/>
      </w:tabs>
      <w:spacing w:before="40" w:after="40"/>
      <w:ind w:left="720"/>
      <w:jc w:val="both"/>
    </w:pPr>
    <w:rPr>
      <w:rFonts w:ascii="Arial Narrow" w:hAnsi="Arial Narrow" w:cs="Tahoma"/>
      <w:i/>
      <w:sz w:val="20"/>
    </w:rPr>
  </w:style>
  <w:style w:type="paragraph" w:customStyle="1" w:styleId="Tabletextright">
    <w:name w:val="Table text right"/>
    <w:basedOn w:val="Normal"/>
    <w:link w:val="TabletextrightChar"/>
    <w:qFormat/>
    <w:rsid w:val="008E447B"/>
    <w:pPr>
      <w:keepNext/>
      <w:jc w:val="right"/>
    </w:pPr>
    <w:rPr>
      <w:rFonts w:ascii="Arial Narrow" w:hAnsi="Arial Narrow" w:cs="Arial"/>
      <w:sz w:val="20"/>
      <w:lang w:eastAsia="en-US"/>
    </w:rPr>
  </w:style>
  <w:style w:type="character" w:customStyle="1" w:styleId="TabletextrightChar">
    <w:name w:val="Table text right Char"/>
    <w:basedOn w:val="DefaultParagraphFont"/>
    <w:link w:val="Tabletextright"/>
    <w:rsid w:val="008E447B"/>
    <w:rPr>
      <w:rFonts w:ascii="Arial Narrow" w:eastAsia="Times New Roman" w:hAnsi="Arial Narrow" w:cs="Arial"/>
      <w:sz w:val="20"/>
      <w:szCs w:val="20"/>
    </w:rPr>
  </w:style>
  <w:style w:type="paragraph" w:customStyle="1" w:styleId="paragraph">
    <w:name w:val="paragraph"/>
    <w:basedOn w:val="Normal"/>
    <w:rsid w:val="007B66CA"/>
    <w:pPr>
      <w:spacing w:before="100" w:beforeAutospacing="1" w:after="100" w:afterAutospacing="1"/>
    </w:pPr>
    <w:rPr>
      <w:szCs w:val="24"/>
    </w:rPr>
  </w:style>
  <w:style w:type="character" w:customStyle="1" w:styleId="normaltextrun">
    <w:name w:val="normaltextrun"/>
    <w:basedOn w:val="DefaultParagraphFont"/>
    <w:rsid w:val="007B66CA"/>
  </w:style>
  <w:style w:type="character" w:customStyle="1" w:styleId="eop">
    <w:name w:val="eop"/>
    <w:basedOn w:val="DefaultParagraphFont"/>
    <w:rsid w:val="007B66CA"/>
  </w:style>
  <w:style w:type="character" w:customStyle="1" w:styleId="Heading5Char">
    <w:name w:val="Heading 5 Char"/>
    <w:basedOn w:val="DefaultParagraphFont"/>
    <w:link w:val="Heading5"/>
    <w:uiPriority w:val="9"/>
    <w:semiHidden/>
    <w:rsid w:val="00412CCE"/>
    <w:rPr>
      <w:rFonts w:asciiTheme="majorHAnsi" w:eastAsiaTheme="majorEastAsia" w:hAnsiTheme="majorHAnsi" w:cstheme="majorBidi"/>
      <w:color w:val="365F91" w:themeColor="accent1" w:themeShade="BF"/>
      <w:szCs w:val="20"/>
      <w:lang w:eastAsia="en-AU"/>
    </w:rPr>
  </w:style>
  <w:style w:type="character" w:customStyle="1" w:styleId="Heading6Char">
    <w:name w:val="Heading 6 Char"/>
    <w:basedOn w:val="DefaultParagraphFont"/>
    <w:link w:val="Heading6"/>
    <w:uiPriority w:val="9"/>
    <w:semiHidden/>
    <w:rsid w:val="00412CCE"/>
    <w:rPr>
      <w:rFonts w:asciiTheme="majorHAnsi" w:eastAsiaTheme="majorEastAsia" w:hAnsiTheme="majorHAnsi" w:cstheme="majorBidi"/>
      <w:color w:val="243F60" w:themeColor="accent1" w:themeShade="7F"/>
      <w:szCs w:val="20"/>
      <w:lang w:eastAsia="en-AU"/>
    </w:rPr>
  </w:style>
  <w:style w:type="paragraph" w:customStyle="1" w:styleId="TableText0">
    <w:name w:val="Table Text"/>
    <w:basedOn w:val="Normal"/>
    <w:link w:val="TableTextChar0"/>
    <w:qFormat/>
    <w:rsid w:val="00412CCE"/>
    <w:pPr>
      <w:keepNext/>
      <w:spacing w:before="40" w:after="40"/>
      <w:jc w:val="both"/>
    </w:pPr>
    <w:rPr>
      <w:rFonts w:ascii="Arial Narrow" w:hAnsi="Arial Narrow" w:cs="Tahoma"/>
      <w:sz w:val="20"/>
      <w:szCs w:val="22"/>
      <w:lang w:eastAsia="en-US"/>
    </w:rPr>
  </w:style>
  <w:style w:type="character" w:customStyle="1" w:styleId="TableTextChar0">
    <w:name w:val="Table Text Char"/>
    <w:link w:val="TableText0"/>
    <w:rsid w:val="00412CCE"/>
    <w:rPr>
      <w:rFonts w:ascii="Arial Narrow" w:eastAsia="Times New Roman" w:hAnsi="Arial Narrow" w:cs="Tahoma"/>
      <w:sz w:val="20"/>
    </w:rPr>
  </w:style>
  <w:style w:type="paragraph" w:customStyle="1" w:styleId="TableText1">
    <w:name w:val="TableText"/>
    <w:basedOn w:val="Normal"/>
    <w:rsid w:val="003B50D2"/>
    <w:pPr>
      <w:keepNext/>
      <w:spacing w:before="60" w:after="60"/>
    </w:pPr>
    <w:rPr>
      <w:color w:val="000000"/>
      <w:sz w:val="21"/>
      <w:szCs w:val="21"/>
    </w:rPr>
  </w:style>
  <w:style w:type="paragraph" w:customStyle="1" w:styleId="TableBullet">
    <w:name w:val="TableBullet"/>
    <w:basedOn w:val="TableText1"/>
    <w:rsid w:val="003B50D2"/>
    <w:pPr>
      <w:numPr>
        <w:numId w:val="25"/>
      </w:numPr>
      <w:tabs>
        <w:tab w:val="clear" w:pos="360"/>
        <w:tab w:val="left" w:pos="216"/>
      </w:tabs>
      <w:ind w:left="216" w:hanging="216"/>
    </w:pPr>
  </w:style>
  <w:style w:type="paragraph" w:styleId="Quote">
    <w:name w:val="Quote"/>
    <w:basedOn w:val="Normal"/>
    <w:link w:val="QuoteChar"/>
    <w:rsid w:val="003B50D2"/>
    <w:pPr>
      <w:spacing w:after="240"/>
      <w:ind w:left="720" w:right="720"/>
    </w:pPr>
    <w:rPr>
      <w:color w:val="000000"/>
      <w:sz w:val="20"/>
    </w:rPr>
  </w:style>
  <w:style w:type="character" w:customStyle="1" w:styleId="QuoteChar">
    <w:name w:val="Quote Char"/>
    <w:basedOn w:val="DefaultParagraphFont"/>
    <w:link w:val="Quote"/>
    <w:rsid w:val="003B50D2"/>
    <w:rPr>
      <w:rFonts w:eastAsia="Times New Roman" w:cs="Times New Roman"/>
      <w:color w:val="000000"/>
      <w:sz w:val="20"/>
      <w:szCs w:val="20"/>
      <w:lang w:eastAsia="en-AU"/>
    </w:rPr>
  </w:style>
  <w:style w:type="paragraph" w:customStyle="1" w:styleId="BulletBeforeDash">
    <w:name w:val="BulletBeforeDash"/>
    <w:basedOn w:val="Normal"/>
    <w:rsid w:val="003B50D2"/>
    <w:pPr>
      <w:numPr>
        <w:numId w:val="26"/>
      </w:numPr>
      <w:ind w:left="720"/>
    </w:pPr>
    <w:rPr>
      <w:color w:val="000000"/>
    </w:rPr>
  </w:style>
  <w:style w:type="paragraph" w:customStyle="1" w:styleId="Bullet">
    <w:name w:val="Bullet"/>
    <w:basedOn w:val="BulletBeforeDash"/>
    <w:qFormat/>
    <w:rsid w:val="003B50D2"/>
    <w:pPr>
      <w:spacing w:after="120"/>
    </w:pPr>
  </w:style>
  <w:style w:type="paragraph" w:customStyle="1" w:styleId="BulletLast">
    <w:name w:val="BulletLast"/>
    <w:basedOn w:val="Bullet"/>
    <w:qFormat/>
    <w:rsid w:val="003B50D2"/>
    <w:pPr>
      <w:spacing w:after="240"/>
    </w:pPr>
  </w:style>
  <w:style w:type="paragraph" w:customStyle="1" w:styleId="NormalBeforeBullet">
    <w:name w:val="NormalBeforeBullet"/>
    <w:basedOn w:val="Normal"/>
    <w:qFormat/>
    <w:rsid w:val="003B50D2"/>
    <w:pPr>
      <w:keepNext/>
      <w:spacing w:after="120"/>
    </w:pPr>
    <w:rPr>
      <w:color w:val="000000"/>
    </w:rPr>
  </w:style>
  <w:style w:type="paragraph" w:styleId="Revision">
    <w:name w:val="Revision"/>
    <w:hidden/>
    <w:uiPriority w:val="99"/>
    <w:semiHidden/>
    <w:rsid w:val="0010741B"/>
    <w:pPr>
      <w:spacing w:after="0" w:line="240" w:lineRule="auto"/>
    </w:pPr>
    <w:rPr>
      <w:rFonts w:eastAsia="Times New Roman" w:cs="Times New Roman"/>
      <w:szCs w:val="20"/>
      <w:lang w:eastAsia="en-AU"/>
    </w:rPr>
  </w:style>
  <w:style w:type="paragraph" w:customStyle="1" w:styleId="Style1">
    <w:name w:val="Style1"/>
    <w:basedOn w:val="ListParagraph"/>
    <w:link w:val="Style1Char"/>
    <w:qFormat/>
    <w:rsid w:val="00F8440C"/>
    <w:pPr>
      <w:numPr>
        <w:numId w:val="33"/>
      </w:numPr>
      <w:spacing w:before="100" w:beforeAutospacing="1" w:after="100" w:afterAutospacing="1"/>
    </w:pPr>
    <w:rPr>
      <w:rFonts w:ascii="Calibri" w:eastAsiaTheme="minorHAnsi" w:hAnsi="Calibri"/>
      <w:b/>
      <w:sz w:val="20"/>
      <w:lang w:eastAsia="en-US"/>
    </w:rPr>
  </w:style>
  <w:style w:type="character" w:customStyle="1" w:styleId="Style1Char">
    <w:name w:val="Style1 Char"/>
    <w:basedOn w:val="DefaultParagraphFont"/>
    <w:link w:val="Style1"/>
    <w:rsid w:val="00F8440C"/>
    <w:rPr>
      <w:rFonts w:ascii="Calibri" w:hAnsi="Calibri" w:cs="Times New Roman"/>
      <w:b/>
      <w:sz w:val="20"/>
      <w:szCs w:val="20"/>
    </w:rPr>
  </w:style>
  <w:style w:type="paragraph" w:styleId="Title">
    <w:name w:val="Title"/>
    <w:basedOn w:val="Normal"/>
    <w:next w:val="Normal"/>
    <w:link w:val="TitleChar"/>
    <w:qFormat/>
    <w:rsid w:val="00814E99"/>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814E9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814E99"/>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814E99"/>
    <w:rPr>
      <w:rFonts w:ascii="Arial" w:eastAsia="Times New Roman" w:hAnsi="Arial" w:cs="Arial"/>
      <w:b/>
      <w:bCs/>
      <w:i/>
      <w:color w:val="000080"/>
      <w:sz w:val="28"/>
      <w:szCs w:val="28"/>
      <w:lang w:eastAsia="en-AU"/>
    </w:rPr>
  </w:style>
  <w:style w:type="paragraph" w:customStyle="1" w:styleId="Default">
    <w:name w:val="Default"/>
    <w:rsid w:val="00814E99"/>
    <w:pPr>
      <w:autoSpaceDE w:val="0"/>
      <w:autoSpaceDN w:val="0"/>
      <w:adjustRightInd w:val="0"/>
      <w:spacing w:after="0" w:line="240" w:lineRule="auto"/>
    </w:pPr>
    <w:rPr>
      <w:rFonts w:eastAsia="Calibri" w:cs="Times New Roman"/>
      <w:color w:val="000000"/>
      <w:szCs w:val="24"/>
    </w:rPr>
  </w:style>
  <w:style w:type="paragraph" w:customStyle="1" w:styleId="BoxText">
    <w:name w:val="BoxText"/>
    <w:basedOn w:val="Normal"/>
    <w:qFormat/>
    <w:rsid w:val="00BD52A9"/>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BD52A9"/>
    <w:pPr>
      <w:keepNext/>
      <w:spacing w:before="180"/>
      <w:ind w:left="1080" w:hanging="1080"/>
    </w:pPr>
    <w:rPr>
      <w:b/>
      <w:bCs/>
    </w:rPr>
  </w:style>
  <w:style w:type="character" w:styleId="Strong">
    <w:name w:val="Strong"/>
    <w:basedOn w:val="DefaultParagraphFont"/>
    <w:uiPriority w:val="22"/>
    <w:qFormat/>
    <w:rsid w:val="00BD52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68370">
      <w:bodyDiv w:val="1"/>
      <w:marLeft w:val="0"/>
      <w:marRight w:val="0"/>
      <w:marTop w:val="0"/>
      <w:marBottom w:val="0"/>
      <w:divBdr>
        <w:top w:val="none" w:sz="0" w:space="0" w:color="auto"/>
        <w:left w:val="none" w:sz="0" w:space="0" w:color="auto"/>
        <w:bottom w:val="none" w:sz="0" w:space="0" w:color="auto"/>
        <w:right w:val="none" w:sz="0" w:space="0" w:color="auto"/>
      </w:divBdr>
    </w:div>
    <w:div w:id="135026159">
      <w:bodyDiv w:val="1"/>
      <w:marLeft w:val="0"/>
      <w:marRight w:val="0"/>
      <w:marTop w:val="0"/>
      <w:marBottom w:val="0"/>
      <w:divBdr>
        <w:top w:val="none" w:sz="0" w:space="0" w:color="auto"/>
        <w:left w:val="none" w:sz="0" w:space="0" w:color="auto"/>
        <w:bottom w:val="none" w:sz="0" w:space="0" w:color="auto"/>
        <w:right w:val="none" w:sz="0" w:space="0" w:color="auto"/>
      </w:divBdr>
    </w:div>
    <w:div w:id="305160416">
      <w:bodyDiv w:val="1"/>
      <w:marLeft w:val="0"/>
      <w:marRight w:val="0"/>
      <w:marTop w:val="0"/>
      <w:marBottom w:val="0"/>
      <w:divBdr>
        <w:top w:val="none" w:sz="0" w:space="0" w:color="auto"/>
        <w:left w:val="none" w:sz="0" w:space="0" w:color="auto"/>
        <w:bottom w:val="none" w:sz="0" w:space="0" w:color="auto"/>
        <w:right w:val="none" w:sz="0" w:space="0" w:color="auto"/>
      </w:divBdr>
    </w:div>
    <w:div w:id="314066289">
      <w:bodyDiv w:val="1"/>
      <w:marLeft w:val="0"/>
      <w:marRight w:val="0"/>
      <w:marTop w:val="0"/>
      <w:marBottom w:val="0"/>
      <w:divBdr>
        <w:top w:val="none" w:sz="0" w:space="0" w:color="auto"/>
        <w:left w:val="none" w:sz="0" w:space="0" w:color="auto"/>
        <w:bottom w:val="none" w:sz="0" w:space="0" w:color="auto"/>
        <w:right w:val="none" w:sz="0" w:space="0" w:color="auto"/>
      </w:divBdr>
    </w:div>
    <w:div w:id="753434341">
      <w:bodyDiv w:val="1"/>
      <w:marLeft w:val="0"/>
      <w:marRight w:val="0"/>
      <w:marTop w:val="0"/>
      <w:marBottom w:val="0"/>
      <w:divBdr>
        <w:top w:val="none" w:sz="0" w:space="0" w:color="auto"/>
        <w:left w:val="none" w:sz="0" w:space="0" w:color="auto"/>
        <w:bottom w:val="none" w:sz="0" w:space="0" w:color="auto"/>
        <w:right w:val="none" w:sz="0" w:space="0" w:color="auto"/>
      </w:divBdr>
    </w:div>
    <w:div w:id="815413078">
      <w:bodyDiv w:val="1"/>
      <w:marLeft w:val="0"/>
      <w:marRight w:val="0"/>
      <w:marTop w:val="0"/>
      <w:marBottom w:val="0"/>
      <w:divBdr>
        <w:top w:val="none" w:sz="0" w:space="0" w:color="auto"/>
        <w:left w:val="none" w:sz="0" w:space="0" w:color="auto"/>
        <w:bottom w:val="none" w:sz="0" w:space="0" w:color="auto"/>
        <w:right w:val="none" w:sz="0" w:space="0" w:color="auto"/>
      </w:divBdr>
      <w:divsChild>
        <w:div w:id="471019861">
          <w:marLeft w:val="1051"/>
          <w:marRight w:val="0"/>
          <w:marTop w:val="86"/>
          <w:marBottom w:val="0"/>
          <w:divBdr>
            <w:top w:val="none" w:sz="0" w:space="0" w:color="auto"/>
            <w:left w:val="none" w:sz="0" w:space="0" w:color="auto"/>
            <w:bottom w:val="none" w:sz="0" w:space="0" w:color="auto"/>
            <w:right w:val="none" w:sz="0" w:space="0" w:color="auto"/>
          </w:divBdr>
        </w:div>
      </w:divsChild>
    </w:div>
    <w:div w:id="1035345874">
      <w:bodyDiv w:val="1"/>
      <w:marLeft w:val="0"/>
      <w:marRight w:val="0"/>
      <w:marTop w:val="0"/>
      <w:marBottom w:val="0"/>
      <w:divBdr>
        <w:top w:val="none" w:sz="0" w:space="0" w:color="auto"/>
        <w:left w:val="none" w:sz="0" w:space="0" w:color="auto"/>
        <w:bottom w:val="none" w:sz="0" w:space="0" w:color="auto"/>
        <w:right w:val="none" w:sz="0" w:space="0" w:color="auto"/>
      </w:divBdr>
      <w:divsChild>
        <w:div w:id="458961784">
          <w:marLeft w:val="1152"/>
          <w:marRight w:val="0"/>
          <w:marTop w:val="96"/>
          <w:marBottom w:val="0"/>
          <w:divBdr>
            <w:top w:val="none" w:sz="0" w:space="0" w:color="auto"/>
            <w:left w:val="none" w:sz="0" w:space="0" w:color="auto"/>
            <w:bottom w:val="none" w:sz="0" w:space="0" w:color="auto"/>
            <w:right w:val="none" w:sz="0" w:space="0" w:color="auto"/>
          </w:divBdr>
        </w:div>
        <w:div w:id="478150855">
          <w:marLeft w:val="1152"/>
          <w:marRight w:val="0"/>
          <w:marTop w:val="96"/>
          <w:marBottom w:val="0"/>
          <w:divBdr>
            <w:top w:val="none" w:sz="0" w:space="0" w:color="auto"/>
            <w:left w:val="none" w:sz="0" w:space="0" w:color="auto"/>
            <w:bottom w:val="none" w:sz="0" w:space="0" w:color="auto"/>
            <w:right w:val="none" w:sz="0" w:space="0" w:color="auto"/>
          </w:divBdr>
        </w:div>
        <w:div w:id="891844595">
          <w:marLeft w:val="1152"/>
          <w:marRight w:val="0"/>
          <w:marTop w:val="96"/>
          <w:marBottom w:val="0"/>
          <w:divBdr>
            <w:top w:val="none" w:sz="0" w:space="0" w:color="auto"/>
            <w:left w:val="none" w:sz="0" w:space="0" w:color="auto"/>
            <w:bottom w:val="none" w:sz="0" w:space="0" w:color="auto"/>
            <w:right w:val="none" w:sz="0" w:space="0" w:color="auto"/>
          </w:divBdr>
        </w:div>
        <w:div w:id="45955840">
          <w:marLeft w:val="1152"/>
          <w:marRight w:val="0"/>
          <w:marTop w:val="96"/>
          <w:marBottom w:val="0"/>
          <w:divBdr>
            <w:top w:val="none" w:sz="0" w:space="0" w:color="auto"/>
            <w:left w:val="none" w:sz="0" w:space="0" w:color="auto"/>
            <w:bottom w:val="none" w:sz="0" w:space="0" w:color="auto"/>
            <w:right w:val="none" w:sz="0" w:space="0" w:color="auto"/>
          </w:divBdr>
        </w:div>
        <w:div w:id="196554603">
          <w:marLeft w:val="1152"/>
          <w:marRight w:val="0"/>
          <w:marTop w:val="96"/>
          <w:marBottom w:val="0"/>
          <w:divBdr>
            <w:top w:val="none" w:sz="0" w:space="0" w:color="auto"/>
            <w:left w:val="none" w:sz="0" w:space="0" w:color="auto"/>
            <w:bottom w:val="none" w:sz="0" w:space="0" w:color="auto"/>
            <w:right w:val="none" w:sz="0" w:space="0" w:color="auto"/>
          </w:divBdr>
        </w:div>
      </w:divsChild>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2018075833">
          <w:marLeft w:val="288"/>
          <w:marRight w:val="0"/>
          <w:marTop w:val="115"/>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602231550">
          <w:marLeft w:val="720"/>
          <w:marRight w:val="0"/>
          <w:marTop w:val="96"/>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sChild>
    </w:div>
    <w:div w:id="1279676143">
      <w:bodyDiv w:val="1"/>
      <w:marLeft w:val="0"/>
      <w:marRight w:val="0"/>
      <w:marTop w:val="0"/>
      <w:marBottom w:val="0"/>
      <w:divBdr>
        <w:top w:val="none" w:sz="0" w:space="0" w:color="auto"/>
        <w:left w:val="none" w:sz="0" w:space="0" w:color="auto"/>
        <w:bottom w:val="none" w:sz="0" w:space="0" w:color="auto"/>
        <w:right w:val="none" w:sz="0" w:space="0" w:color="auto"/>
      </w:divBdr>
    </w:div>
    <w:div w:id="1403482511">
      <w:bodyDiv w:val="1"/>
      <w:marLeft w:val="0"/>
      <w:marRight w:val="0"/>
      <w:marTop w:val="0"/>
      <w:marBottom w:val="0"/>
      <w:divBdr>
        <w:top w:val="none" w:sz="0" w:space="0" w:color="auto"/>
        <w:left w:val="none" w:sz="0" w:space="0" w:color="auto"/>
        <w:bottom w:val="none" w:sz="0" w:space="0" w:color="auto"/>
        <w:right w:val="none" w:sz="0" w:space="0" w:color="auto"/>
      </w:divBdr>
    </w:div>
    <w:div w:id="1655914380">
      <w:bodyDiv w:val="1"/>
      <w:marLeft w:val="0"/>
      <w:marRight w:val="0"/>
      <w:marTop w:val="0"/>
      <w:marBottom w:val="0"/>
      <w:divBdr>
        <w:top w:val="none" w:sz="0" w:space="0" w:color="auto"/>
        <w:left w:val="none" w:sz="0" w:space="0" w:color="auto"/>
        <w:bottom w:val="none" w:sz="0" w:space="0" w:color="auto"/>
        <w:right w:val="none" w:sz="0" w:space="0" w:color="auto"/>
      </w:divBdr>
    </w:div>
    <w:div w:id="1739671710">
      <w:bodyDiv w:val="1"/>
      <w:marLeft w:val="0"/>
      <w:marRight w:val="0"/>
      <w:marTop w:val="0"/>
      <w:marBottom w:val="0"/>
      <w:divBdr>
        <w:top w:val="none" w:sz="0" w:space="0" w:color="auto"/>
        <w:left w:val="none" w:sz="0" w:space="0" w:color="auto"/>
        <w:bottom w:val="none" w:sz="0" w:space="0" w:color="auto"/>
        <w:right w:val="none" w:sz="0" w:space="0" w:color="auto"/>
      </w:divBdr>
      <w:divsChild>
        <w:div w:id="1431661462">
          <w:marLeft w:val="288"/>
          <w:marRight w:val="0"/>
          <w:marTop w:val="115"/>
          <w:marBottom w:val="0"/>
          <w:divBdr>
            <w:top w:val="none" w:sz="0" w:space="0" w:color="auto"/>
            <w:left w:val="none" w:sz="0" w:space="0" w:color="auto"/>
            <w:bottom w:val="none" w:sz="0" w:space="0" w:color="auto"/>
            <w:right w:val="none" w:sz="0" w:space="0" w:color="auto"/>
          </w:divBdr>
        </w:div>
        <w:div w:id="354188112">
          <w:marLeft w:val="288"/>
          <w:marRight w:val="0"/>
          <w:marTop w:val="115"/>
          <w:marBottom w:val="0"/>
          <w:divBdr>
            <w:top w:val="none" w:sz="0" w:space="0" w:color="auto"/>
            <w:left w:val="none" w:sz="0" w:space="0" w:color="auto"/>
            <w:bottom w:val="none" w:sz="0" w:space="0" w:color="auto"/>
            <w:right w:val="none" w:sz="0" w:space="0" w:color="auto"/>
          </w:divBdr>
        </w:div>
        <w:div w:id="954678205">
          <w:marLeft w:val="288"/>
          <w:marRight w:val="0"/>
          <w:marTop w:val="115"/>
          <w:marBottom w:val="0"/>
          <w:divBdr>
            <w:top w:val="none" w:sz="0" w:space="0" w:color="auto"/>
            <w:left w:val="none" w:sz="0" w:space="0" w:color="auto"/>
            <w:bottom w:val="none" w:sz="0" w:space="0" w:color="auto"/>
            <w:right w:val="none" w:sz="0" w:space="0" w:color="auto"/>
          </w:divBdr>
        </w:div>
      </w:divsChild>
    </w:div>
    <w:div w:id="1797870061">
      <w:bodyDiv w:val="1"/>
      <w:marLeft w:val="0"/>
      <w:marRight w:val="0"/>
      <w:marTop w:val="0"/>
      <w:marBottom w:val="0"/>
      <w:divBdr>
        <w:top w:val="none" w:sz="0" w:space="0" w:color="auto"/>
        <w:left w:val="none" w:sz="0" w:space="0" w:color="auto"/>
        <w:bottom w:val="none" w:sz="0" w:space="0" w:color="auto"/>
        <w:right w:val="none" w:sz="0" w:space="0" w:color="auto"/>
      </w:divBdr>
    </w:div>
    <w:div w:id="1902910164">
      <w:bodyDiv w:val="1"/>
      <w:marLeft w:val="0"/>
      <w:marRight w:val="0"/>
      <w:marTop w:val="0"/>
      <w:marBottom w:val="0"/>
      <w:divBdr>
        <w:top w:val="none" w:sz="0" w:space="0" w:color="auto"/>
        <w:left w:val="none" w:sz="0" w:space="0" w:color="auto"/>
        <w:bottom w:val="none" w:sz="0" w:space="0" w:color="auto"/>
        <w:right w:val="none" w:sz="0" w:space="0" w:color="auto"/>
      </w:divBdr>
      <w:divsChild>
        <w:div w:id="845902704">
          <w:marLeft w:val="0"/>
          <w:marRight w:val="0"/>
          <w:marTop w:val="0"/>
          <w:marBottom w:val="0"/>
          <w:divBdr>
            <w:top w:val="none" w:sz="0" w:space="0" w:color="auto"/>
            <w:left w:val="none" w:sz="0" w:space="0" w:color="auto"/>
            <w:bottom w:val="none" w:sz="0" w:space="0" w:color="auto"/>
            <w:right w:val="none" w:sz="0" w:space="0" w:color="auto"/>
          </w:divBdr>
        </w:div>
        <w:div w:id="810516172">
          <w:marLeft w:val="0"/>
          <w:marRight w:val="0"/>
          <w:marTop w:val="0"/>
          <w:marBottom w:val="0"/>
          <w:divBdr>
            <w:top w:val="none" w:sz="0" w:space="0" w:color="auto"/>
            <w:left w:val="none" w:sz="0" w:space="0" w:color="auto"/>
            <w:bottom w:val="none" w:sz="0" w:space="0" w:color="auto"/>
            <w:right w:val="none" w:sz="0" w:space="0" w:color="auto"/>
          </w:divBdr>
          <w:divsChild>
            <w:div w:id="434054859">
              <w:marLeft w:val="0"/>
              <w:marRight w:val="0"/>
              <w:marTop w:val="0"/>
              <w:marBottom w:val="0"/>
              <w:divBdr>
                <w:top w:val="none" w:sz="0" w:space="0" w:color="auto"/>
                <w:left w:val="none" w:sz="0" w:space="0" w:color="auto"/>
                <w:bottom w:val="none" w:sz="0" w:space="0" w:color="auto"/>
                <w:right w:val="none" w:sz="0" w:space="0" w:color="auto"/>
              </w:divBdr>
            </w:div>
            <w:div w:id="1181048680">
              <w:marLeft w:val="0"/>
              <w:marRight w:val="0"/>
              <w:marTop w:val="0"/>
              <w:marBottom w:val="0"/>
              <w:divBdr>
                <w:top w:val="none" w:sz="0" w:space="0" w:color="auto"/>
                <w:left w:val="none" w:sz="0" w:space="0" w:color="auto"/>
                <w:bottom w:val="none" w:sz="0" w:space="0" w:color="auto"/>
                <w:right w:val="none" w:sz="0" w:space="0" w:color="auto"/>
              </w:divBdr>
            </w:div>
          </w:divsChild>
        </w:div>
        <w:div w:id="285740754">
          <w:marLeft w:val="0"/>
          <w:marRight w:val="0"/>
          <w:marTop w:val="0"/>
          <w:marBottom w:val="0"/>
          <w:divBdr>
            <w:top w:val="none" w:sz="0" w:space="0" w:color="auto"/>
            <w:left w:val="none" w:sz="0" w:space="0" w:color="auto"/>
            <w:bottom w:val="none" w:sz="0" w:space="0" w:color="auto"/>
            <w:right w:val="none" w:sz="0" w:space="0" w:color="auto"/>
          </w:divBdr>
        </w:div>
        <w:div w:id="312638745">
          <w:marLeft w:val="0"/>
          <w:marRight w:val="0"/>
          <w:marTop w:val="0"/>
          <w:marBottom w:val="0"/>
          <w:divBdr>
            <w:top w:val="none" w:sz="0" w:space="0" w:color="auto"/>
            <w:left w:val="none" w:sz="0" w:space="0" w:color="auto"/>
            <w:bottom w:val="none" w:sz="0" w:space="0" w:color="auto"/>
            <w:right w:val="none" w:sz="0" w:space="0" w:color="auto"/>
          </w:divBdr>
        </w:div>
        <w:div w:id="1238899329">
          <w:marLeft w:val="0"/>
          <w:marRight w:val="0"/>
          <w:marTop w:val="0"/>
          <w:marBottom w:val="0"/>
          <w:divBdr>
            <w:top w:val="none" w:sz="0" w:space="0" w:color="auto"/>
            <w:left w:val="none" w:sz="0" w:space="0" w:color="auto"/>
            <w:bottom w:val="none" w:sz="0" w:space="0" w:color="auto"/>
            <w:right w:val="none" w:sz="0" w:space="0" w:color="auto"/>
          </w:divBdr>
        </w:div>
        <w:div w:id="1622615628">
          <w:marLeft w:val="0"/>
          <w:marRight w:val="0"/>
          <w:marTop w:val="0"/>
          <w:marBottom w:val="0"/>
          <w:divBdr>
            <w:top w:val="none" w:sz="0" w:space="0" w:color="auto"/>
            <w:left w:val="none" w:sz="0" w:space="0" w:color="auto"/>
            <w:bottom w:val="none" w:sz="0" w:space="0" w:color="auto"/>
            <w:right w:val="none" w:sz="0" w:space="0" w:color="auto"/>
          </w:divBdr>
        </w:div>
        <w:div w:id="1475609244">
          <w:marLeft w:val="0"/>
          <w:marRight w:val="0"/>
          <w:marTop w:val="0"/>
          <w:marBottom w:val="0"/>
          <w:divBdr>
            <w:top w:val="none" w:sz="0" w:space="0" w:color="auto"/>
            <w:left w:val="none" w:sz="0" w:space="0" w:color="auto"/>
            <w:bottom w:val="none" w:sz="0" w:space="0" w:color="auto"/>
            <w:right w:val="none" w:sz="0" w:space="0" w:color="auto"/>
          </w:divBdr>
        </w:div>
        <w:div w:id="540677102">
          <w:marLeft w:val="0"/>
          <w:marRight w:val="0"/>
          <w:marTop w:val="0"/>
          <w:marBottom w:val="0"/>
          <w:divBdr>
            <w:top w:val="none" w:sz="0" w:space="0" w:color="auto"/>
            <w:left w:val="none" w:sz="0" w:space="0" w:color="auto"/>
            <w:bottom w:val="none" w:sz="0" w:space="0" w:color="auto"/>
            <w:right w:val="none" w:sz="0" w:space="0" w:color="auto"/>
          </w:divBdr>
        </w:div>
        <w:div w:id="810487395">
          <w:marLeft w:val="0"/>
          <w:marRight w:val="0"/>
          <w:marTop w:val="0"/>
          <w:marBottom w:val="0"/>
          <w:divBdr>
            <w:top w:val="none" w:sz="0" w:space="0" w:color="auto"/>
            <w:left w:val="none" w:sz="0" w:space="0" w:color="auto"/>
            <w:bottom w:val="none" w:sz="0" w:space="0" w:color="auto"/>
            <w:right w:val="none" w:sz="0" w:space="0" w:color="auto"/>
          </w:divBdr>
        </w:div>
      </w:divsChild>
    </w:div>
    <w:div w:id="1959099411">
      <w:bodyDiv w:val="1"/>
      <w:marLeft w:val="0"/>
      <w:marRight w:val="0"/>
      <w:marTop w:val="0"/>
      <w:marBottom w:val="0"/>
      <w:divBdr>
        <w:top w:val="none" w:sz="0" w:space="0" w:color="auto"/>
        <w:left w:val="none" w:sz="0" w:space="0" w:color="auto"/>
        <w:bottom w:val="none" w:sz="0" w:space="0" w:color="auto"/>
        <w:right w:val="none" w:sz="0" w:space="0" w:color="auto"/>
      </w:divBdr>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 w:id="208938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9.health.gov.au/mbs/search.cfm?q=12250&amp;Submit=&amp;sopt=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ac.gov.au/internet/msac/publishing.nsf/Content/1130-public"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CE7EB-4126-4955-9169-CECF7905B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13691</Words>
  <Characters>73662</Characters>
  <Application>Microsoft Office Word</Application>
  <DocSecurity>0</DocSecurity>
  <Lines>2455</Lines>
  <Paragraphs>1559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2021-09-24T05:58:00Z</dcterms:created>
  <dcterms:modified xsi:type="dcterms:W3CDTF">2021-10-01T02:38:00Z</dcterms:modified>
</cp:coreProperties>
</file>