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1334" w14:textId="77777777" w:rsidR="00E44B80" w:rsidRPr="00F637B3" w:rsidRDefault="00E44B80" w:rsidP="00E44B80">
      <w:pPr>
        <w:jc w:val="center"/>
        <w:rPr>
          <w:b/>
          <w:szCs w:val="20"/>
        </w:rPr>
      </w:pPr>
      <w:r>
        <w:rPr>
          <w:noProof/>
          <w:lang w:eastAsia="en-AU"/>
        </w:rPr>
        <w:drawing>
          <wp:inline distT="0" distB="0" distL="0" distR="0" wp14:anchorId="73030440" wp14:editId="55C70B9A">
            <wp:extent cx="1897077" cy="1257300"/>
            <wp:effectExtent l="0" t="0" r="8255" b="0"/>
            <wp:docPr id="1009199880"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97077" cy="1257300"/>
                    </a:xfrm>
                    <a:prstGeom prst="rect">
                      <a:avLst/>
                    </a:prstGeom>
                  </pic:spPr>
                </pic:pic>
              </a:graphicData>
            </a:graphic>
          </wp:inline>
        </w:drawing>
      </w:r>
    </w:p>
    <w:p w14:paraId="794B7F4A" w14:textId="645945D9" w:rsidR="008B2610" w:rsidRDefault="00FF0276" w:rsidP="00F971CC">
      <w:pPr>
        <w:pStyle w:val="Title"/>
        <w:spacing w:before="2600"/>
      </w:pPr>
      <w:r>
        <w:t xml:space="preserve">MSAC </w:t>
      </w:r>
      <w:r w:rsidR="008B2610" w:rsidRPr="001906CD">
        <w:t>Application</w:t>
      </w:r>
      <w:r>
        <w:t xml:space="preserve"> 1647</w:t>
      </w:r>
    </w:p>
    <w:p w14:paraId="3E2AA7D9" w14:textId="503F1AB2" w:rsidR="00945E5B" w:rsidRDefault="00945E5B" w:rsidP="00FF0276">
      <w:pPr>
        <w:pStyle w:val="TitleBlue"/>
        <w:jc w:val="left"/>
      </w:pPr>
    </w:p>
    <w:p w14:paraId="05760C99" w14:textId="1357AE9F" w:rsidR="0056015F" w:rsidRPr="0056015F" w:rsidRDefault="00977873" w:rsidP="00397A4B">
      <w:pPr>
        <w:pStyle w:val="TitleBlue"/>
        <w:spacing w:after="840"/>
      </w:pPr>
      <w:bookmarkStart w:id="0" w:name="_Hlk46478027"/>
      <w:proofErr w:type="spellStart"/>
      <w:r>
        <w:t>Brexucabtagene</w:t>
      </w:r>
      <w:proofErr w:type="spellEnd"/>
      <w:r>
        <w:t xml:space="preserve"> </w:t>
      </w:r>
      <w:proofErr w:type="spellStart"/>
      <w:r>
        <w:t>autoleucel</w:t>
      </w:r>
      <w:proofErr w:type="spellEnd"/>
      <w:r>
        <w:br/>
      </w:r>
      <w:r w:rsidR="000271C7">
        <w:t>for relapsed or ref</w:t>
      </w:r>
      <w:r w:rsidR="00232EE5">
        <w:t>r</w:t>
      </w:r>
      <w:r w:rsidR="000271C7">
        <w:t>actory</w:t>
      </w:r>
      <w:r>
        <w:br/>
      </w:r>
      <w:proofErr w:type="gramStart"/>
      <w:r w:rsidR="00396DAA">
        <w:t>m</w:t>
      </w:r>
      <w:r w:rsidR="000271C7">
        <w:t>antle</w:t>
      </w:r>
      <w:proofErr w:type="gramEnd"/>
      <w:r w:rsidR="000271C7">
        <w:t xml:space="preserve"> cell lymphoma</w:t>
      </w:r>
    </w:p>
    <w:bookmarkEnd w:id="0"/>
    <w:p w14:paraId="688DA89B" w14:textId="77777777" w:rsidR="00397A4B" w:rsidRPr="00154B00" w:rsidRDefault="00397A4B" w:rsidP="00397A4B">
      <w:r>
        <w:t>T</w:t>
      </w:r>
      <w:r w:rsidRPr="00154B00">
        <w:t xml:space="preserve">his application form is to be completed for new and amended </w:t>
      </w:r>
      <w:r>
        <w:t xml:space="preserve">requests for public funding (including but not limited to the </w:t>
      </w:r>
      <w:r w:rsidRPr="00154B00">
        <w:t>Medicare Benefits Schedule (MBS)</w:t>
      </w:r>
      <w:r>
        <w:t>)</w:t>
      </w:r>
      <w:r w:rsidRPr="00154B00">
        <w:t xml:space="preserve">.  It describes the detailed information that the Australian Government Department of Health requires to determine whether </w:t>
      </w:r>
      <w:r>
        <w:t>a</w:t>
      </w:r>
      <w:r w:rsidRPr="00154B00">
        <w:t xml:space="preserve"> proposed </w:t>
      </w:r>
      <w:r>
        <w:t xml:space="preserve">medical </w:t>
      </w:r>
      <w:r w:rsidRPr="00154B00">
        <w:t>service is suitable.</w:t>
      </w:r>
    </w:p>
    <w:p w14:paraId="1D8A3FBE" w14:textId="77777777" w:rsidR="00397A4B" w:rsidRPr="00154B00" w:rsidRDefault="00397A4B" w:rsidP="00397A4B">
      <w:r w:rsidRPr="00154B00">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14:paraId="5BBC120C" w14:textId="77777777" w:rsidR="00397A4B" w:rsidRPr="00154B00" w:rsidRDefault="00397A4B" w:rsidP="00397A4B">
      <w:r w:rsidRPr="00154B00">
        <w:t xml:space="preserve">Should you require any further assistance, departmental staff are available through the Health Technology Assessment </w:t>
      </w:r>
      <w:r>
        <w:t xml:space="preserve">Team </w:t>
      </w:r>
      <w:r w:rsidRPr="00154B00">
        <w:t>(HTA Team) on the contact numbers and email below to discuss the application form, or any other component of the Medical Services Advisory Committee process.</w:t>
      </w:r>
    </w:p>
    <w:p w14:paraId="590D2EC6" w14:textId="77777777" w:rsidR="00397A4B" w:rsidRPr="00154B00" w:rsidRDefault="00397A4B" w:rsidP="00397A4B">
      <w:pPr>
        <w:spacing w:before="0" w:after="0"/>
      </w:pPr>
    </w:p>
    <w:p w14:paraId="69C848A7" w14:textId="77777777" w:rsidR="00397A4B" w:rsidRPr="00154B00" w:rsidRDefault="00397A4B" w:rsidP="00397A4B">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41973783" w14:textId="15EE2240" w:rsidR="009F5758" w:rsidRPr="00154B00" w:rsidRDefault="00397A4B" w:rsidP="003F7CB9">
      <w:pPr>
        <w:spacing w:before="0" w:after="0"/>
      </w:pPr>
      <w:r w:rsidRPr="00154B00">
        <w:t xml:space="preserve">Website:  </w:t>
      </w:r>
      <w:hyperlink r:id="rId10" w:tooltip="click here to visit the Medical Services Advisory Committee website" w:history="1">
        <w:r w:rsidRPr="00202C1D">
          <w:rPr>
            <w:rStyle w:val="Hyperlink"/>
          </w:rPr>
          <w:t>www.msac.gov.au</w:t>
        </w:r>
      </w:hyperlink>
    </w:p>
    <w:p w14:paraId="61396A97" w14:textId="77777777"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72BB0010" w14:textId="77777777" w:rsidR="00392F00" w:rsidRDefault="00D57F88" w:rsidP="00561A90">
      <w:pPr>
        <w:pStyle w:val="Heading2"/>
      </w:pPr>
      <w:r w:rsidRPr="00A8732C">
        <w:t>Applicant d</w:t>
      </w:r>
      <w:r w:rsidR="00392F00" w:rsidRPr="00A8732C">
        <w:t>etails</w:t>
      </w:r>
      <w:r w:rsidR="000D066E" w:rsidRPr="00A8732C">
        <w:t xml:space="preserve"> (primary and alternative contacts)</w:t>
      </w:r>
    </w:p>
    <w:p w14:paraId="0AFE6485" w14:textId="77777777"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p>
    <w:p w14:paraId="5C62FBC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863B3B" w:rsidRPr="00863B3B">
        <w:t>Gilead Sciences Pty Limited</w:t>
      </w:r>
    </w:p>
    <w:p w14:paraId="5C623412" w14:textId="5B8F90BE" w:rsidR="00C171FB" w:rsidRPr="00E651F5" w:rsidRDefault="00C171FB" w:rsidP="00C171FB">
      <w:pPr>
        <w:pBdr>
          <w:top w:val="single" w:sz="4" w:space="1" w:color="auto"/>
          <w:left w:val="single" w:sz="4" w:space="4" w:color="auto"/>
          <w:bottom w:val="single" w:sz="4" w:space="1" w:color="auto"/>
          <w:right w:val="single" w:sz="4" w:space="4" w:color="auto"/>
        </w:pBdr>
      </w:pPr>
      <w:r w:rsidRPr="00E651F5">
        <w:t xml:space="preserve">ABN: </w:t>
      </w:r>
      <w:r w:rsidR="005E3988" w:rsidRPr="00FF0276">
        <w:rPr>
          <w:b/>
        </w:rPr>
        <w:t>REDACTED</w:t>
      </w:r>
    </w:p>
    <w:p w14:paraId="3E747F84" w14:textId="77777777" w:rsidR="00C171FB" w:rsidRPr="00E651F5" w:rsidRDefault="00C171FB" w:rsidP="00C171FB">
      <w:pPr>
        <w:pBdr>
          <w:top w:val="single" w:sz="4" w:space="1" w:color="auto"/>
          <w:left w:val="single" w:sz="4" w:space="4" w:color="auto"/>
          <w:bottom w:val="single" w:sz="4" w:space="1" w:color="auto"/>
          <w:right w:val="single" w:sz="4" w:space="4" w:color="auto"/>
        </w:pBdr>
      </w:pPr>
      <w:r w:rsidRPr="00E651F5">
        <w:t xml:space="preserve">Business trading name: </w:t>
      </w:r>
      <w:r w:rsidR="004E5126" w:rsidRPr="00E651F5">
        <w:t>Gilead Sciences Pty Limited</w:t>
      </w:r>
    </w:p>
    <w:p w14:paraId="164CB0CA" w14:textId="77777777" w:rsidR="00C171FB" w:rsidRPr="00E651F5" w:rsidRDefault="00C171FB" w:rsidP="00C171FB"/>
    <w:p w14:paraId="1726F3F3" w14:textId="2DB0B5AC" w:rsidR="00C171FB" w:rsidRPr="00E651F5" w:rsidRDefault="00C171FB" w:rsidP="00C171FB">
      <w:pPr>
        <w:rPr>
          <w:b/>
        </w:rPr>
      </w:pPr>
      <w:r w:rsidRPr="00E651F5">
        <w:rPr>
          <w:b/>
        </w:rPr>
        <w:t xml:space="preserve">Primary contact name: </w:t>
      </w:r>
      <w:r w:rsidR="00070797" w:rsidRPr="00E651F5">
        <w:rPr>
          <w:b/>
        </w:rPr>
        <w:t xml:space="preserve"> </w:t>
      </w:r>
      <w:r w:rsidR="009F56BE" w:rsidRPr="00FF0276">
        <w:rPr>
          <w:b/>
        </w:rPr>
        <w:t>REDACTED</w:t>
      </w:r>
    </w:p>
    <w:p w14:paraId="4C697E74" w14:textId="77777777" w:rsidR="00C171FB" w:rsidRPr="00E651F5" w:rsidRDefault="00C171FB" w:rsidP="00C171FB">
      <w:pPr>
        <w:pBdr>
          <w:top w:val="single" w:sz="4" w:space="1" w:color="auto"/>
          <w:left w:val="single" w:sz="4" w:space="4" w:color="auto"/>
          <w:bottom w:val="single" w:sz="4" w:space="1" w:color="auto"/>
          <w:right w:val="single" w:sz="4" w:space="4" w:color="auto"/>
        </w:pBdr>
      </w:pPr>
      <w:r w:rsidRPr="00E651F5">
        <w:t>Primary contact numbers</w:t>
      </w:r>
    </w:p>
    <w:p w14:paraId="0625056E" w14:textId="10AE67F4" w:rsidR="00CE1B51" w:rsidRPr="00E651F5" w:rsidRDefault="00CE1B51" w:rsidP="00CE1B51">
      <w:pPr>
        <w:pBdr>
          <w:top w:val="single" w:sz="4" w:space="1" w:color="auto"/>
          <w:left w:val="single" w:sz="4" w:space="4" w:color="auto"/>
          <w:bottom w:val="single" w:sz="4" w:space="1" w:color="auto"/>
          <w:right w:val="single" w:sz="4" w:space="4" w:color="auto"/>
        </w:pBdr>
        <w:tabs>
          <w:tab w:val="left" w:pos="993"/>
        </w:tabs>
      </w:pPr>
      <w:r w:rsidRPr="00E651F5">
        <w:t xml:space="preserve">Business: </w:t>
      </w:r>
      <w:r w:rsidRPr="00E651F5">
        <w:tab/>
      </w:r>
      <w:r w:rsidR="009F56BE" w:rsidRPr="00FF0276">
        <w:rPr>
          <w:b/>
        </w:rPr>
        <w:t>REDACTED</w:t>
      </w:r>
    </w:p>
    <w:p w14:paraId="554E05E8" w14:textId="00E359BF" w:rsidR="00CE1B51" w:rsidRPr="00FF0276" w:rsidRDefault="00CE1B51" w:rsidP="00CE1B51">
      <w:pPr>
        <w:pBdr>
          <w:top w:val="single" w:sz="4" w:space="1" w:color="auto"/>
          <w:left w:val="single" w:sz="4" w:space="4" w:color="auto"/>
          <w:bottom w:val="single" w:sz="4" w:space="1" w:color="auto"/>
          <w:right w:val="single" w:sz="4" w:space="4" w:color="auto"/>
        </w:pBdr>
        <w:tabs>
          <w:tab w:val="left" w:pos="993"/>
        </w:tabs>
        <w:rPr>
          <w:b/>
        </w:rPr>
      </w:pPr>
      <w:r w:rsidRPr="00E651F5">
        <w:t>Mobile:</w:t>
      </w:r>
      <w:r w:rsidRPr="00E651F5">
        <w:tab/>
      </w:r>
      <w:r w:rsidR="009F56BE" w:rsidRPr="00FF0276">
        <w:rPr>
          <w:b/>
        </w:rPr>
        <w:t>REDACTED</w:t>
      </w:r>
    </w:p>
    <w:p w14:paraId="2D4570EC" w14:textId="2CF6A11F" w:rsidR="00C171FB" w:rsidRPr="00E651F5" w:rsidRDefault="00CE1B51" w:rsidP="00A75DCF">
      <w:pPr>
        <w:pBdr>
          <w:top w:val="single" w:sz="4" w:space="1" w:color="auto"/>
          <w:left w:val="single" w:sz="4" w:space="4" w:color="auto"/>
          <w:bottom w:val="single" w:sz="4" w:space="1" w:color="auto"/>
          <w:right w:val="single" w:sz="4" w:space="4" w:color="auto"/>
        </w:pBdr>
        <w:tabs>
          <w:tab w:val="left" w:pos="993"/>
        </w:tabs>
      </w:pPr>
      <w:r w:rsidRPr="00E651F5">
        <w:t xml:space="preserve">Email: </w:t>
      </w:r>
      <w:r w:rsidRPr="00E651F5">
        <w:tab/>
      </w:r>
      <w:r w:rsidR="009F56BE" w:rsidRPr="00FF0276">
        <w:rPr>
          <w:b/>
        </w:rPr>
        <w:t>REDACTED</w:t>
      </w:r>
    </w:p>
    <w:p w14:paraId="5C09C6D4" w14:textId="77777777" w:rsidR="00C171FB" w:rsidRPr="00E651F5" w:rsidRDefault="00C171FB" w:rsidP="00C171FB">
      <w:pPr>
        <w:rPr>
          <w:b/>
        </w:rPr>
      </w:pPr>
    </w:p>
    <w:p w14:paraId="7E1D9C96" w14:textId="0C8FE69A" w:rsidR="00C171FB" w:rsidRPr="00E651F5" w:rsidRDefault="00C171FB" w:rsidP="00C171FB">
      <w:pPr>
        <w:rPr>
          <w:b/>
        </w:rPr>
      </w:pPr>
      <w:r w:rsidRPr="00E651F5">
        <w:rPr>
          <w:b/>
        </w:rPr>
        <w:t xml:space="preserve">Alternative contact name: </w:t>
      </w:r>
      <w:r w:rsidR="009F56BE" w:rsidRPr="00FF0276">
        <w:rPr>
          <w:b/>
        </w:rPr>
        <w:t>REDACTED</w:t>
      </w:r>
    </w:p>
    <w:p w14:paraId="510D2412" w14:textId="77777777" w:rsidR="00C171FB" w:rsidRPr="00E651F5" w:rsidRDefault="00C171FB" w:rsidP="00C171FB">
      <w:pPr>
        <w:pBdr>
          <w:top w:val="single" w:sz="4" w:space="1" w:color="auto"/>
          <w:left w:val="single" w:sz="4" w:space="4" w:color="auto"/>
          <w:bottom w:val="single" w:sz="4" w:space="1" w:color="auto"/>
          <w:right w:val="single" w:sz="4" w:space="4" w:color="auto"/>
        </w:pBdr>
      </w:pPr>
      <w:r w:rsidRPr="00E651F5">
        <w:t>Alternative contact numbers</w:t>
      </w:r>
      <w:r w:rsidRPr="00E651F5">
        <w:tab/>
      </w:r>
    </w:p>
    <w:p w14:paraId="002DB0DE" w14:textId="26B12512" w:rsidR="00CE1B51" w:rsidRPr="00FF0276" w:rsidRDefault="00CE1B51" w:rsidP="00CE1B51">
      <w:pPr>
        <w:pBdr>
          <w:top w:val="single" w:sz="4" w:space="1" w:color="auto"/>
          <w:left w:val="single" w:sz="4" w:space="4" w:color="auto"/>
          <w:bottom w:val="single" w:sz="4" w:space="1" w:color="auto"/>
          <w:right w:val="single" w:sz="4" w:space="4" w:color="auto"/>
        </w:pBdr>
        <w:tabs>
          <w:tab w:val="left" w:pos="993"/>
        </w:tabs>
        <w:rPr>
          <w:b/>
        </w:rPr>
      </w:pPr>
      <w:r w:rsidRPr="00E651F5">
        <w:t>Business:</w:t>
      </w:r>
      <w:r w:rsidRPr="00E651F5">
        <w:tab/>
      </w:r>
      <w:r w:rsidR="009F56BE" w:rsidRPr="00FF0276">
        <w:rPr>
          <w:b/>
        </w:rPr>
        <w:t>REDACTED</w:t>
      </w:r>
    </w:p>
    <w:p w14:paraId="73E6DE75" w14:textId="21A4CBEE" w:rsidR="00CE1B51" w:rsidRPr="00E651F5" w:rsidRDefault="00CE1B51" w:rsidP="00CE1B51">
      <w:pPr>
        <w:pBdr>
          <w:top w:val="single" w:sz="4" w:space="1" w:color="auto"/>
          <w:left w:val="single" w:sz="4" w:space="4" w:color="auto"/>
          <w:bottom w:val="single" w:sz="4" w:space="1" w:color="auto"/>
          <w:right w:val="single" w:sz="4" w:space="4" w:color="auto"/>
        </w:pBdr>
        <w:tabs>
          <w:tab w:val="left" w:pos="993"/>
        </w:tabs>
      </w:pPr>
      <w:r w:rsidRPr="00E651F5">
        <w:t>Mobile:</w:t>
      </w:r>
      <w:r w:rsidRPr="00E651F5">
        <w:tab/>
      </w:r>
      <w:r w:rsidR="009F56BE" w:rsidRPr="00FF0276">
        <w:rPr>
          <w:b/>
        </w:rPr>
        <w:t>REDACTED</w:t>
      </w:r>
    </w:p>
    <w:p w14:paraId="7AF115FA" w14:textId="46A4F0C4" w:rsidR="00C171FB" w:rsidRPr="00FF0276" w:rsidRDefault="00CE1B51" w:rsidP="00CE1B51">
      <w:pPr>
        <w:pBdr>
          <w:top w:val="single" w:sz="4" w:space="1" w:color="auto"/>
          <w:left w:val="single" w:sz="4" w:space="4" w:color="auto"/>
          <w:bottom w:val="single" w:sz="4" w:space="1" w:color="auto"/>
          <w:right w:val="single" w:sz="4" w:space="4" w:color="auto"/>
        </w:pBdr>
        <w:tabs>
          <w:tab w:val="left" w:pos="993"/>
        </w:tabs>
        <w:rPr>
          <w:b/>
        </w:rPr>
      </w:pPr>
      <w:r w:rsidRPr="00E651F5">
        <w:t xml:space="preserve">Email:  </w:t>
      </w:r>
      <w:r w:rsidRPr="00E651F5">
        <w:tab/>
      </w:r>
      <w:r w:rsidR="009F56BE" w:rsidRPr="00FF0276">
        <w:rPr>
          <w:b/>
        </w:rPr>
        <w:t>REDACTED</w:t>
      </w:r>
      <w:r w:rsidRPr="00FF0276">
        <w:rPr>
          <w:b/>
        </w:rPr>
        <w:t xml:space="preserve"> </w:t>
      </w:r>
    </w:p>
    <w:p w14:paraId="0DE52091" w14:textId="77777777" w:rsidR="00C171FB" w:rsidRPr="00C171FB" w:rsidRDefault="00C171FB" w:rsidP="00C171FB"/>
    <w:p w14:paraId="2A1F212F" w14:textId="77777777" w:rsidR="00534C5F" w:rsidRPr="00154B00" w:rsidRDefault="00494011" w:rsidP="00561A90">
      <w:pPr>
        <w:pStyle w:val="Heading2"/>
      </w:pPr>
      <w:r>
        <w:t xml:space="preserve">(a) </w:t>
      </w:r>
      <w:r w:rsidR="00534C5F">
        <w:t>Are you a lobbyist acting on behalf of an Applicant?</w:t>
      </w:r>
    </w:p>
    <w:p w14:paraId="0748DEF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A5DA6">
        <w:rPr>
          <w:szCs w:val="20"/>
        </w:rPr>
      </w:r>
      <w:r w:rsidR="00AA5DA6">
        <w:rPr>
          <w:szCs w:val="20"/>
        </w:rPr>
        <w:fldChar w:fldCharType="separate"/>
      </w:r>
      <w:r w:rsidRPr="00753C44">
        <w:rPr>
          <w:szCs w:val="20"/>
        </w:rPr>
        <w:fldChar w:fldCharType="end"/>
      </w:r>
      <w:r>
        <w:rPr>
          <w:szCs w:val="20"/>
        </w:rPr>
        <w:t xml:space="preserve"> Yes</w:t>
      </w:r>
    </w:p>
    <w:p w14:paraId="119F84BA" w14:textId="3F99C170" w:rsidR="00A6491A" w:rsidRDefault="002E33D0" w:rsidP="00C41DFF">
      <w:pPr>
        <w:spacing w:before="0"/>
        <w:ind w:left="425"/>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AA5DA6">
        <w:rPr>
          <w:szCs w:val="20"/>
        </w:rPr>
      </w:r>
      <w:r w:rsidR="00AA5DA6">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089ECB85" w14:textId="5C850482" w:rsidR="00C41DFF" w:rsidRPr="00C41DFF" w:rsidRDefault="00C41DFF" w:rsidP="00C41DFF">
      <w:pPr>
        <w:pStyle w:val="ListParagraph"/>
        <w:numPr>
          <w:ilvl w:val="0"/>
          <w:numId w:val="2"/>
        </w:numPr>
        <w:spacing w:before="0"/>
        <w:ind w:left="714" w:hanging="357"/>
        <w:rPr>
          <w:b/>
          <w:szCs w:val="20"/>
        </w:rPr>
      </w:pPr>
      <w:r w:rsidRPr="00C41DFF">
        <w:rPr>
          <w:b/>
          <w:szCs w:val="20"/>
        </w:rPr>
        <w:t>If yes, are you listed on the Register of Lobbyists</w:t>
      </w:r>
    </w:p>
    <w:p w14:paraId="1134C14A" w14:textId="35711687" w:rsidR="00E04FB3" w:rsidRPr="00C41DFF" w:rsidRDefault="00C41DFF" w:rsidP="00C41DFF">
      <w:pPr>
        <w:spacing w:before="0" w:after="0"/>
        <w:ind w:left="360"/>
        <w:rPr>
          <w:szCs w:val="20"/>
        </w:rPr>
      </w:pPr>
      <w:r>
        <w:rPr>
          <w:szCs w:val="20"/>
        </w:rPr>
        <w:t xml:space="preserve"> Not applicable</w:t>
      </w:r>
      <w:r w:rsidR="00E04FB3" w:rsidRPr="00154B00">
        <w:rPr>
          <w:b/>
          <w:szCs w:val="20"/>
        </w:rPr>
        <w:br w:type="page"/>
      </w:r>
    </w:p>
    <w:p w14:paraId="2FE7F213"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03E9399" w14:textId="77777777" w:rsidR="000B3CD0" w:rsidRDefault="000B3CD0" w:rsidP="00B841F5">
      <w:pPr>
        <w:pStyle w:val="Heading2"/>
        <w:ind w:left="284" w:hanging="284"/>
      </w:pPr>
      <w:bookmarkStart w:id="3" w:name="_Hlk46175229"/>
      <w:r w:rsidRPr="00154B00">
        <w:t>Application title</w:t>
      </w:r>
      <w:r w:rsidR="00A8732C">
        <w:t xml:space="preserve"> </w:t>
      </w:r>
    </w:p>
    <w:p w14:paraId="2BB14679" w14:textId="5A42A0D3" w:rsidR="009056C5" w:rsidRPr="009056C5" w:rsidRDefault="00AA5DA6" w:rsidP="00A6491A">
      <w:pPr>
        <w:ind w:left="284"/>
      </w:pPr>
      <w:proofErr w:type="spellStart"/>
      <w:r w:rsidRPr="00AA5DA6">
        <w:t>Brexucabtagene</w:t>
      </w:r>
      <w:proofErr w:type="spellEnd"/>
      <w:r w:rsidRPr="00AA5DA6">
        <w:t xml:space="preserve"> </w:t>
      </w:r>
      <w:proofErr w:type="spellStart"/>
      <w:r w:rsidRPr="00AA5DA6">
        <w:t>autoleucel</w:t>
      </w:r>
      <w:proofErr w:type="spellEnd"/>
      <w:r w:rsidRPr="00AA5DA6">
        <w:t xml:space="preserve"> for the treatment of patients with mantle cell lymphoma that has relapsed following, or is refractory, to treatment with: an </w:t>
      </w:r>
      <w:proofErr w:type="spellStart"/>
      <w:r w:rsidRPr="00AA5DA6">
        <w:t>anthracycline</w:t>
      </w:r>
      <w:proofErr w:type="spellEnd"/>
      <w:r w:rsidRPr="00AA5DA6">
        <w:t xml:space="preserve">- or </w:t>
      </w:r>
      <w:proofErr w:type="spellStart"/>
      <w:r w:rsidRPr="00AA5DA6">
        <w:t>bendamustine</w:t>
      </w:r>
      <w:proofErr w:type="spellEnd"/>
      <w:r w:rsidRPr="00AA5DA6">
        <w:t xml:space="preserve">-containing chemotherapy; an anti-CD20 antibody; and a </w:t>
      </w:r>
      <w:proofErr w:type="spellStart"/>
      <w:r w:rsidRPr="00AA5DA6">
        <w:t>Bruton’s</w:t>
      </w:r>
      <w:proofErr w:type="spellEnd"/>
      <w:r w:rsidRPr="00AA5DA6">
        <w:t xml:space="preserve"> tyrosine kinase (</w:t>
      </w:r>
      <w:r>
        <w:t xml:space="preserve">BTK) inhibitor (e.g., </w:t>
      </w:r>
      <w:proofErr w:type="spellStart"/>
      <w:r>
        <w:t>ibrutinib</w:t>
      </w:r>
      <w:proofErr w:type="spellEnd"/>
      <w:r w:rsidR="00AF1DAF">
        <w:t>)</w:t>
      </w:r>
      <w:r w:rsidR="009174D6">
        <w:t>.</w:t>
      </w:r>
    </w:p>
    <w:p w14:paraId="4AE96D64" w14:textId="77777777" w:rsidR="009B4E1E" w:rsidRDefault="009B4E1E" w:rsidP="00B841F5">
      <w:pPr>
        <w:pStyle w:val="Heading2"/>
        <w:ind w:left="284" w:hanging="284"/>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8168292" w14:textId="2C40A2EB" w:rsidR="002C3345" w:rsidRPr="009056C5" w:rsidRDefault="00561A90" w:rsidP="00D20154">
      <w:pPr>
        <w:ind w:left="284"/>
      </w:pPr>
      <w:bookmarkStart w:id="4" w:name="_Hlk46158171"/>
      <w:r>
        <w:t>Mantle cell lymphoma (MCL) is an aggressive subtype of non</w:t>
      </w:r>
      <w:r w:rsidR="0078334F">
        <w:t>-</w:t>
      </w:r>
      <w:r w:rsidR="00757B11">
        <w:t>Hodgkin</w:t>
      </w:r>
      <w:r>
        <w:t xml:space="preserve"> lymphoma (NHL) with distinctive clinical, biological, and molecular characteristic</w:t>
      </w:r>
      <w:r w:rsidRPr="00AE0455">
        <w:t>s</w:t>
      </w:r>
      <w:r w:rsidR="00D403FB" w:rsidRPr="00AE0455">
        <w:t xml:space="preserve"> (</w:t>
      </w:r>
      <w:proofErr w:type="spellStart"/>
      <w:r w:rsidR="00D403FB" w:rsidRPr="00AE0455">
        <w:t>Fakhri</w:t>
      </w:r>
      <w:proofErr w:type="spellEnd"/>
      <w:r w:rsidR="00D403FB" w:rsidRPr="00AE0455">
        <w:t xml:space="preserve"> 2017)</w:t>
      </w:r>
      <w:bookmarkStart w:id="5" w:name="_Ref44340997"/>
      <w:r w:rsidR="00087379" w:rsidRPr="00AE0455">
        <w:rPr>
          <w:rStyle w:val="EndnoteReference"/>
        </w:rPr>
        <w:endnoteReference w:id="2"/>
      </w:r>
      <w:bookmarkEnd w:id="5"/>
      <w:r w:rsidR="000579DA" w:rsidRPr="00AE0455">
        <w:t>. Frontline therap</w:t>
      </w:r>
      <w:r w:rsidR="00C75327" w:rsidRPr="00AE0455">
        <w:t>ies</w:t>
      </w:r>
      <w:r w:rsidR="000579DA" w:rsidRPr="00AE0455">
        <w:t xml:space="preserve"> for MCL </w:t>
      </w:r>
      <w:r w:rsidR="001D2447" w:rsidRPr="00AE0455">
        <w:t xml:space="preserve">can </w:t>
      </w:r>
      <w:r w:rsidR="000579DA" w:rsidRPr="00AE0455">
        <w:t xml:space="preserve">lead to </w:t>
      </w:r>
      <w:r w:rsidR="001D2447" w:rsidRPr="00AE0455">
        <w:t xml:space="preserve">high </w:t>
      </w:r>
      <w:r w:rsidR="000579DA" w:rsidRPr="00AE0455">
        <w:t xml:space="preserve">objective response rates (ORRs) and complete response (CR) rates of up to 53% </w:t>
      </w:r>
      <w:r w:rsidR="0099553C" w:rsidRPr="00AE0455">
        <w:t>(</w:t>
      </w:r>
      <w:proofErr w:type="spellStart"/>
      <w:r w:rsidR="000579DA" w:rsidRPr="00AE0455">
        <w:t>Flinn</w:t>
      </w:r>
      <w:proofErr w:type="spellEnd"/>
      <w:r w:rsidR="000579DA" w:rsidRPr="00AE0455">
        <w:t xml:space="preserve"> 2014</w:t>
      </w:r>
      <w:r w:rsidR="001C1A2E" w:rsidRPr="00AE0455">
        <w:rPr>
          <w:rStyle w:val="EndnoteReference"/>
        </w:rPr>
        <w:endnoteReference w:id="3"/>
      </w:r>
      <w:r w:rsidR="000579DA" w:rsidRPr="00AE0455">
        <w:t xml:space="preserve">, </w:t>
      </w:r>
      <w:proofErr w:type="spellStart"/>
      <w:r w:rsidR="000579DA" w:rsidRPr="00AE0455">
        <w:t>Kluin-Nelemans</w:t>
      </w:r>
      <w:proofErr w:type="spellEnd"/>
      <w:r w:rsidR="000579DA" w:rsidRPr="00AE0455">
        <w:t xml:space="preserve"> 2012</w:t>
      </w:r>
      <w:r w:rsidR="00721FEE" w:rsidRPr="00AE0455">
        <w:rPr>
          <w:rStyle w:val="EndnoteReference"/>
        </w:rPr>
        <w:endnoteReference w:id="4"/>
      </w:r>
      <w:r w:rsidR="000579DA" w:rsidRPr="00AE0455">
        <w:t>, Lenz 2005</w:t>
      </w:r>
      <w:r w:rsidR="00052792" w:rsidRPr="00AE0455">
        <w:rPr>
          <w:rStyle w:val="EndnoteReference"/>
        </w:rPr>
        <w:endnoteReference w:id="5"/>
      </w:r>
      <w:r w:rsidR="000579DA" w:rsidRPr="00AE0455">
        <w:t xml:space="preserve">, </w:t>
      </w:r>
      <w:proofErr w:type="spellStart"/>
      <w:r w:rsidR="000579DA" w:rsidRPr="00AE0455">
        <w:t>Robak</w:t>
      </w:r>
      <w:proofErr w:type="spellEnd"/>
      <w:r w:rsidR="000579DA" w:rsidRPr="00AE0455">
        <w:t xml:space="preserve"> 2015</w:t>
      </w:r>
      <w:r w:rsidR="00764ACC" w:rsidRPr="00AE0455">
        <w:rPr>
          <w:rStyle w:val="EndnoteReference"/>
        </w:rPr>
        <w:endnoteReference w:id="6"/>
      </w:r>
      <w:r w:rsidR="00C27BED" w:rsidRPr="00AE0455">
        <w:t>)</w:t>
      </w:r>
      <w:r w:rsidR="000579DA" w:rsidRPr="00AE0455">
        <w:t xml:space="preserve">. </w:t>
      </w:r>
      <w:r w:rsidR="00D20154" w:rsidRPr="00AE0455">
        <w:t>Despite high ORRs</w:t>
      </w:r>
      <w:r w:rsidR="00581AE6" w:rsidRPr="00AE0455">
        <w:t xml:space="preserve"> for frontline therapy</w:t>
      </w:r>
      <w:r w:rsidR="00D20154" w:rsidRPr="00AE0455">
        <w:t>, treatment is not considered curative</w:t>
      </w:r>
      <w:r w:rsidR="00C27BED" w:rsidRPr="00AE0455">
        <w:t xml:space="preserve"> and most patients experience relapse</w:t>
      </w:r>
      <w:r w:rsidR="00D20154" w:rsidRPr="00AE0455">
        <w:t xml:space="preserve"> </w:t>
      </w:r>
      <w:r w:rsidR="00C27BED" w:rsidRPr="00AE0455">
        <w:t>(</w:t>
      </w:r>
      <w:r w:rsidR="00D20154" w:rsidRPr="00AE0455">
        <w:t>Martin 2016</w:t>
      </w:r>
      <w:bookmarkStart w:id="6" w:name="_Ref44340942"/>
      <w:r w:rsidR="00677892" w:rsidRPr="00AE0455">
        <w:rPr>
          <w:rStyle w:val="EndnoteReference"/>
        </w:rPr>
        <w:endnoteReference w:id="7"/>
      </w:r>
      <w:bookmarkEnd w:id="6"/>
      <w:r w:rsidR="00C27BED" w:rsidRPr="00AE0455">
        <w:t>)</w:t>
      </w:r>
      <w:r w:rsidR="00D20154" w:rsidRPr="00AE0455">
        <w:t>.</w:t>
      </w:r>
      <w:r w:rsidR="00581AE6" w:rsidRPr="00AE0455">
        <w:t xml:space="preserve"> </w:t>
      </w:r>
      <w:r w:rsidR="000357EB" w:rsidRPr="00AE0455">
        <w:t xml:space="preserve">Relapse is typically treated with a </w:t>
      </w:r>
      <w:r w:rsidR="00D20154" w:rsidRPr="00AE0455">
        <w:t>BTK inhibitor treatment</w:t>
      </w:r>
      <w:r w:rsidR="000357EB" w:rsidRPr="00AE0455">
        <w:t xml:space="preserve"> however, again, most patients’ experience progression following such treatment. </w:t>
      </w:r>
      <w:r w:rsidR="00F523ED" w:rsidRPr="00AE0455">
        <w:t>P</w:t>
      </w:r>
      <w:r w:rsidR="00D20154" w:rsidRPr="00AE0455">
        <w:t xml:space="preserve">atients </w:t>
      </w:r>
      <w:r w:rsidR="00F523ED" w:rsidRPr="00AE0455">
        <w:t xml:space="preserve">experiencing disease progression after a BTK inhibitor </w:t>
      </w:r>
      <w:r w:rsidR="00D20154" w:rsidRPr="00AE0455">
        <w:t>have</w:t>
      </w:r>
      <w:r w:rsidR="00581AE6" w:rsidRPr="00AE0455">
        <w:t xml:space="preserve"> </w:t>
      </w:r>
      <w:r w:rsidR="00D20154" w:rsidRPr="00AE0455">
        <w:t>limited treatment options</w:t>
      </w:r>
      <w:r w:rsidR="00433254" w:rsidRPr="00AE0455">
        <w:t>. O</w:t>
      </w:r>
      <w:r w:rsidR="00D20154" w:rsidRPr="00AE0455">
        <w:t xml:space="preserve">utcomes </w:t>
      </w:r>
      <w:r w:rsidR="00F523ED" w:rsidRPr="00AE0455">
        <w:t>following</w:t>
      </w:r>
      <w:r w:rsidR="00D20154" w:rsidRPr="00AE0455">
        <w:t xml:space="preserve"> salvage therapy </w:t>
      </w:r>
      <w:r w:rsidR="00433254" w:rsidRPr="00AE0455">
        <w:t xml:space="preserve">are </w:t>
      </w:r>
      <w:r w:rsidR="00224A37" w:rsidRPr="00AE0455">
        <w:t xml:space="preserve">poor with </w:t>
      </w:r>
      <w:r w:rsidR="00D20154" w:rsidRPr="00AE0455">
        <w:t>ORRs ranging from 20%</w:t>
      </w:r>
      <w:r w:rsidR="00581AE6" w:rsidRPr="00AE0455">
        <w:t xml:space="preserve"> </w:t>
      </w:r>
      <w:r w:rsidR="00D20154" w:rsidRPr="00AE0455">
        <w:t xml:space="preserve">to 42%, median </w:t>
      </w:r>
      <w:r w:rsidR="008217E3" w:rsidRPr="00AE0455">
        <w:t>duration of response (</w:t>
      </w:r>
      <w:r w:rsidR="00D20154" w:rsidRPr="00AE0455">
        <w:t>DOR</w:t>
      </w:r>
      <w:r w:rsidR="008217E3" w:rsidRPr="00AE0455">
        <w:t>)</w:t>
      </w:r>
      <w:r w:rsidR="00D20154" w:rsidRPr="00AE0455">
        <w:t xml:space="preserve"> ranging from 3 to 5.8 months, and median </w:t>
      </w:r>
      <w:r w:rsidR="002C5FA9" w:rsidRPr="00AE0455">
        <w:t>overall survival</w:t>
      </w:r>
      <w:r w:rsidR="00D20154" w:rsidRPr="00AE0455">
        <w:t xml:space="preserve"> ranging from 2.5 to</w:t>
      </w:r>
      <w:r w:rsidR="00581AE6" w:rsidRPr="00AE0455">
        <w:t xml:space="preserve"> </w:t>
      </w:r>
      <w:r w:rsidR="00D20154" w:rsidRPr="00AE0455">
        <w:t xml:space="preserve">9 months </w:t>
      </w:r>
      <w:r w:rsidR="00224A37" w:rsidRPr="00AE0455">
        <w:t>(</w:t>
      </w:r>
      <w:proofErr w:type="spellStart"/>
      <w:r w:rsidR="00D20154" w:rsidRPr="00AE0455">
        <w:t>Cheah</w:t>
      </w:r>
      <w:proofErr w:type="spellEnd"/>
      <w:r w:rsidR="00D20154" w:rsidRPr="00AE0455">
        <w:t xml:space="preserve"> 2015</w:t>
      </w:r>
      <w:bookmarkStart w:id="7" w:name="_Ref44341578"/>
      <w:r w:rsidR="006534C6" w:rsidRPr="00AE0455">
        <w:rPr>
          <w:rStyle w:val="EndnoteReference"/>
        </w:rPr>
        <w:endnoteReference w:id="8"/>
      </w:r>
      <w:bookmarkEnd w:id="7"/>
      <w:r w:rsidR="00D20154" w:rsidRPr="00AE0455">
        <w:t xml:space="preserve">, </w:t>
      </w:r>
      <w:proofErr w:type="spellStart"/>
      <w:r w:rsidR="00D20154" w:rsidRPr="00AE0455">
        <w:t>Epperla</w:t>
      </w:r>
      <w:proofErr w:type="spellEnd"/>
      <w:r w:rsidR="00D20154" w:rsidRPr="00AE0455">
        <w:t xml:space="preserve"> 2017</w:t>
      </w:r>
      <w:r w:rsidR="007E0D71" w:rsidRPr="00AE0455">
        <w:rPr>
          <w:rStyle w:val="EndnoteReference"/>
        </w:rPr>
        <w:endnoteReference w:id="9"/>
      </w:r>
      <w:r w:rsidR="00D20154" w:rsidRPr="00AE0455">
        <w:t>, Jain 2018a</w:t>
      </w:r>
      <w:bookmarkStart w:id="8" w:name="_Ref44341657"/>
      <w:r w:rsidR="00836CE2" w:rsidRPr="00AE0455">
        <w:rPr>
          <w:rStyle w:val="EndnoteReference"/>
        </w:rPr>
        <w:endnoteReference w:id="10"/>
      </w:r>
      <w:bookmarkEnd w:id="8"/>
      <w:r w:rsidR="00D20154" w:rsidRPr="00AE0455">
        <w:t>, Martin 2016</w:t>
      </w:r>
      <w:r w:rsidR="00514934" w:rsidRPr="00AE0455">
        <w:fldChar w:fldCharType="begin"/>
      </w:r>
      <w:r w:rsidR="00514934" w:rsidRPr="00AE0455">
        <w:instrText xml:space="preserve"> NOTEREF _Ref44340942 \f \h </w:instrText>
      </w:r>
      <w:r w:rsidR="00AE0455">
        <w:instrText xml:space="preserve"> \* MERGEFORMAT </w:instrText>
      </w:r>
      <w:r w:rsidR="00514934" w:rsidRPr="00AE0455">
        <w:fldChar w:fldCharType="separate"/>
      </w:r>
      <w:r w:rsidR="002E5497" w:rsidRPr="002E5497">
        <w:rPr>
          <w:rStyle w:val="EndnoteReference"/>
        </w:rPr>
        <w:t>6</w:t>
      </w:r>
      <w:r w:rsidR="00514934" w:rsidRPr="00AE0455">
        <w:fldChar w:fldCharType="end"/>
      </w:r>
      <w:r w:rsidR="00D20154" w:rsidRPr="00AE0455">
        <w:t>, Wang 2017</w:t>
      </w:r>
      <w:r w:rsidR="00FB2DDC" w:rsidRPr="00AE0455">
        <w:rPr>
          <w:rStyle w:val="EndnoteReference"/>
        </w:rPr>
        <w:endnoteReference w:id="11"/>
      </w:r>
      <w:r w:rsidR="00224A37" w:rsidRPr="00AE0455">
        <w:t>)</w:t>
      </w:r>
      <w:r w:rsidR="00D20154" w:rsidRPr="00AE0455">
        <w:t>.</w:t>
      </w:r>
    </w:p>
    <w:bookmarkEnd w:id="4"/>
    <w:p w14:paraId="129C14CD" w14:textId="77777777" w:rsidR="000955E7" w:rsidRDefault="000955E7" w:rsidP="00B841F5">
      <w:pPr>
        <w:pStyle w:val="Heading2"/>
        <w:ind w:left="284" w:hanging="284"/>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8D6B665" w14:textId="77777777" w:rsidR="00DA467F" w:rsidRDefault="00977873" w:rsidP="00A6491A">
      <w:pPr>
        <w:ind w:left="284"/>
      </w:pPr>
      <w:proofErr w:type="spellStart"/>
      <w:r>
        <w:t>Brexucabtagene</w:t>
      </w:r>
      <w:proofErr w:type="spellEnd"/>
      <w:r>
        <w:t xml:space="preserve"> </w:t>
      </w:r>
      <w:proofErr w:type="spellStart"/>
      <w:r>
        <w:t>autoleucel</w:t>
      </w:r>
      <w:proofErr w:type="spellEnd"/>
      <w:r w:rsidR="003C7B9E">
        <w:t xml:space="preserve"> is</w:t>
      </w:r>
      <w:r w:rsidR="003C7B9E" w:rsidRPr="003C7B9E">
        <w:t xml:space="preserve"> an </w:t>
      </w:r>
      <w:r w:rsidR="007C563F">
        <w:t xml:space="preserve">autologous </w:t>
      </w:r>
      <w:r w:rsidR="003C7B9E" w:rsidRPr="003C7B9E">
        <w:t>anti-CD19 chimeric antigen receptor (CAR) T-cell</w:t>
      </w:r>
      <w:r w:rsidR="007C563F">
        <w:t xml:space="preserve"> product</w:t>
      </w:r>
      <w:r w:rsidR="00521101">
        <w:t>.</w:t>
      </w:r>
    </w:p>
    <w:p w14:paraId="302003D4" w14:textId="77777777" w:rsidR="00CB12EC" w:rsidRDefault="00521101" w:rsidP="00A6491A">
      <w:pPr>
        <w:ind w:left="284"/>
      </w:pPr>
      <w:bookmarkStart w:id="9" w:name="_Hlk46175623"/>
      <w:r>
        <w:t>CAR</w:t>
      </w:r>
      <w:r w:rsidR="00F2705A">
        <w:t xml:space="preserve"> T-cell</w:t>
      </w:r>
      <w:r w:rsidR="00F2705A" w:rsidRPr="00F2705A">
        <w:t xml:space="preserve"> therapy is a type of immunotherapy in which a patient’s T-cells </w:t>
      </w:r>
      <w:r w:rsidR="008F11B5">
        <w:t>(</w:t>
      </w:r>
      <w:r w:rsidR="00F2705A" w:rsidRPr="00F2705A">
        <w:t>immune cells with anti</w:t>
      </w:r>
      <w:r w:rsidR="005537EC">
        <w:t>cancer</w:t>
      </w:r>
      <w:r w:rsidR="00F2705A" w:rsidRPr="00F2705A">
        <w:t xml:space="preserve"> activity</w:t>
      </w:r>
      <w:r w:rsidR="008F11B5">
        <w:t>)</w:t>
      </w:r>
      <w:r w:rsidR="00F2705A" w:rsidRPr="00F2705A">
        <w:t xml:space="preserve"> are collected and </w:t>
      </w:r>
      <w:r w:rsidR="00F2705A" w:rsidRPr="00BF5D41">
        <w:t>genetically modified</w:t>
      </w:r>
      <w:r w:rsidR="00F2705A" w:rsidRPr="00F2705A">
        <w:t xml:space="preserve"> in the lab</w:t>
      </w:r>
      <w:r w:rsidR="001A5BA3">
        <w:t>oratory</w:t>
      </w:r>
      <w:r w:rsidR="00F2705A" w:rsidRPr="00F2705A">
        <w:t xml:space="preserve"> to recogni</w:t>
      </w:r>
      <w:r w:rsidR="001A5BA3">
        <w:t>s</w:t>
      </w:r>
      <w:r w:rsidR="00F2705A" w:rsidRPr="00F2705A">
        <w:t xml:space="preserve">e cancer </w:t>
      </w:r>
      <w:r w:rsidR="00447263">
        <w:t>cells that express CD</w:t>
      </w:r>
      <w:r w:rsidR="00477F14">
        <w:t>19 on their surface</w:t>
      </w:r>
      <w:r w:rsidR="00F2705A" w:rsidRPr="00F2705A">
        <w:t xml:space="preserve">. </w:t>
      </w:r>
      <w:r w:rsidR="001A5BA3">
        <w:t>The modified T-cells are then</w:t>
      </w:r>
      <w:r w:rsidR="00F2705A" w:rsidRPr="00F2705A">
        <w:t xml:space="preserve"> expanded to several million </w:t>
      </w:r>
      <w:r w:rsidR="001A5BA3">
        <w:t xml:space="preserve">and </w:t>
      </w:r>
      <w:r w:rsidR="00F2705A" w:rsidRPr="00F2705A">
        <w:t xml:space="preserve">the modified cells are </w:t>
      </w:r>
      <w:r w:rsidR="003F6F9F">
        <w:t xml:space="preserve">then </w:t>
      </w:r>
      <w:r w:rsidR="00F2705A" w:rsidRPr="00F2705A">
        <w:t>infused back into the patient, where they target and kill cancer cells.</w:t>
      </w:r>
    </w:p>
    <w:p w14:paraId="573FAC43" w14:textId="271A8F69" w:rsidR="00A352B0" w:rsidRDefault="005F68BE" w:rsidP="00A352B0">
      <w:pPr>
        <w:ind w:left="284"/>
        <w:rPr>
          <w:b/>
        </w:rPr>
      </w:pPr>
      <w:bookmarkStart w:id="10" w:name="_Hlk53565663"/>
      <w:bookmarkEnd w:id="3"/>
      <w:r w:rsidRPr="00397A4B">
        <w:rPr>
          <w:b/>
        </w:rPr>
        <w:t>REDACTED.</w:t>
      </w:r>
    </w:p>
    <w:p w14:paraId="57061127" w14:textId="018326A6" w:rsidR="00F26681" w:rsidRPr="00F26681" w:rsidRDefault="00F26681" w:rsidP="00C41DFF">
      <w:pPr>
        <w:pStyle w:val="Heading2"/>
        <w:keepNext/>
        <w:ind w:left="284" w:hanging="284"/>
      </w:pPr>
      <w:r w:rsidRPr="00F26681">
        <w:t xml:space="preserve">(a) </w:t>
      </w:r>
      <w:r w:rsidR="00397A4B" w:rsidRPr="00F26681">
        <w:t>Is this a request for MBS funding?</w:t>
      </w:r>
    </w:p>
    <w:p w14:paraId="05CDD3EC" w14:textId="77777777" w:rsidR="00397A4B" w:rsidRDefault="00397A4B" w:rsidP="00C41DFF">
      <w:pPr>
        <w:spacing w:before="0" w:after="0"/>
        <w:ind w:left="720" w:hanging="43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A5DA6">
        <w:rPr>
          <w:szCs w:val="20"/>
        </w:rPr>
      </w:r>
      <w:r w:rsidR="00AA5DA6">
        <w:rPr>
          <w:szCs w:val="20"/>
        </w:rPr>
        <w:fldChar w:fldCharType="separate"/>
      </w:r>
      <w:r w:rsidRPr="00753C44">
        <w:rPr>
          <w:szCs w:val="20"/>
        </w:rPr>
        <w:fldChar w:fldCharType="end"/>
      </w:r>
      <w:r>
        <w:rPr>
          <w:szCs w:val="20"/>
        </w:rPr>
        <w:t xml:space="preserve"> Yes</w:t>
      </w:r>
    </w:p>
    <w:p w14:paraId="4447B67D" w14:textId="3331D22E" w:rsidR="00397A4B" w:rsidRPr="00753C44" w:rsidRDefault="00397A4B" w:rsidP="00C41DFF">
      <w:pPr>
        <w:spacing w:before="0" w:after="0"/>
        <w:ind w:left="720" w:hanging="43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Pr>
          <w:szCs w:val="20"/>
        </w:rPr>
        <w:t xml:space="preserve"> No</w:t>
      </w:r>
      <w:r w:rsidRPr="00753C44">
        <w:rPr>
          <w:szCs w:val="20"/>
        </w:rPr>
        <w:t xml:space="preserve">  </w:t>
      </w:r>
    </w:p>
    <w:p w14:paraId="0E30A444" w14:textId="3A3BFF4C" w:rsidR="00397A4B" w:rsidRPr="0011036E" w:rsidRDefault="00397A4B" w:rsidP="00397A4B">
      <w:pPr>
        <w:pStyle w:val="Heading2"/>
        <w:numPr>
          <w:ilvl w:val="0"/>
          <w:numId w:val="27"/>
        </w:numPr>
        <w:rPr>
          <w:rStyle w:val="Strong"/>
          <w:b w:val="0"/>
        </w:rPr>
      </w:pPr>
      <w:r w:rsidRPr="0011036E">
        <w:rPr>
          <w:rStyle w:val="Strong"/>
        </w:rPr>
        <w:t>If yes, is the medical service(s) proposed to be covered under an existing MBS item number(s) or is a new MBS item(s) being sought altogether?</w:t>
      </w:r>
    </w:p>
    <w:p w14:paraId="4424CFFE" w14:textId="6608D566" w:rsidR="00397A4B" w:rsidRPr="00753C44" w:rsidRDefault="005A211E" w:rsidP="00C41DFF">
      <w:pPr>
        <w:spacing w:before="0" w:after="0"/>
        <w:ind w:left="284"/>
        <w:rPr>
          <w:szCs w:val="20"/>
        </w:rPr>
      </w:pPr>
      <w:r>
        <w:rPr>
          <w:szCs w:val="20"/>
        </w:rPr>
        <w:t>Not applicable</w:t>
      </w:r>
    </w:p>
    <w:p w14:paraId="534C135F" w14:textId="27C71F87" w:rsidR="00397A4B" w:rsidRPr="0011036E" w:rsidRDefault="00397A4B" w:rsidP="00397A4B">
      <w:pPr>
        <w:pStyle w:val="Heading2"/>
        <w:numPr>
          <w:ilvl w:val="0"/>
          <w:numId w:val="27"/>
        </w:numPr>
        <w:rPr>
          <w:rStyle w:val="Strong"/>
          <w:b w:val="0"/>
        </w:rPr>
      </w:pPr>
      <w:r w:rsidRPr="0011036E">
        <w:rPr>
          <w:rStyle w:val="Strong"/>
        </w:rPr>
        <w:t xml:space="preserve">If an amendment to an existing item(s) is being sought, please list the relevant MBS item number(s) that are to be amended to include the proposed medical service: </w:t>
      </w:r>
    </w:p>
    <w:p w14:paraId="28900405" w14:textId="66D12428" w:rsidR="00397A4B" w:rsidRPr="00CB12EC" w:rsidRDefault="005A211E" w:rsidP="00C41DFF">
      <w:pPr>
        <w:ind w:left="284"/>
      </w:pPr>
      <w:r>
        <w:t>Not applicable</w:t>
      </w:r>
    </w:p>
    <w:p w14:paraId="37F70BDC" w14:textId="05834F8E" w:rsidR="00397A4B" w:rsidRDefault="00397A4B" w:rsidP="00397A4B">
      <w:pPr>
        <w:pStyle w:val="Heading2"/>
        <w:numPr>
          <w:ilvl w:val="0"/>
          <w:numId w:val="27"/>
        </w:numPr>
        <w:rPr>
          <w:rStyle w:val="Strong"/>
        </w:rPr>
      </w:pPr>
      <w:r w:rsidRPr="0011036E">
        <w:rPr>
          <w:rStyle w:val="Strong"/>
        </w:rPr>
        <w:t>If an amendment to an existing item(s) is being sought, what is the nature of the amendment(s)?</w:t>
      </w:r>
    </w:p>
    <w:p w14:paraId="198FBD0D" w14:textId="3807B03F" w:rsidR="00F26681" w:rsidRPr="00F26681" w:rsidRDefault="00F26681" w:rsidP="00C41DFF">
      <w:pPr>
        <w:ind w:left="644" w:hanging="360"/>
      </w:pPr>
      <w:r>
        <w:t>Not applicable</w:t>
      </w:r>
    </w:p>
    <w:p w14:paraId="35632505" w14:textId="2FCF8827" w:rsidR="00397A4B" w:rsidRDefault="00397A4B" w:rsidP="00397A4B">
      <w:pPr>
        <w:pStyle w:val="Heading2"/>
        <w:numPr>
          <w:ilvl w:val="0"/>
          <w:numId w:val="27"/>
        </w:numPr>
        <w:rPr>
          <w:rStyle w:val="Strong"/>
        </w:rPr>
      </w:pPr>
      <w:r w:rsidRPr="007E39E4">
        <w:rPr>
          <w:rStyle w:val="Strong"/>
        </w:rPr>
        <w:t>If a new item(s) is being requested, what is the nature of the change to the MBS being sought?</w:t>
      </w:r>
    </w:p>
    <w:p w14:paraId="47A706AD" w14:textId="282B0688" w:rsidR="00F26681" w:rsidRPr="00F26681" w:rsidRDefault="00F26681" w:rsidP="00C41DFF">
      <w:pPr>
        <w:ind w:left="644" w:hanging="360"/>
      </w:pPr>
      <w:r>
        <w:t>Not applicable</w:t>
      </w:r>
    </w:p>
    <w:p w14:paraId="282E5D0C" w14:textId="77777777" w:rsidR="00C41DFF" w:rsidRDefault="00C41DFF">
      <w:pPr>
        <w:spacing w:before="0" w:after="200" w:line="276" w:lineRule="auto"/>
        <w:rPr>
          <w:rStyle w:val="Strong"/>
          <w:b/>
          <w:szCs w:val="20"/>
        </w:rPr>
      </w:pPr>
      <w:r>
        <w:rPr>
          <w:rStyle w:val="Strong"/>
        </w:rPr>
        <w:br w:type="page"/>
      </w:r>
    </w:p>
    <w:p w14:paraId="69D522F6" w14:textId="4EBF9E72" w:rsidR="00397A4B" w:rsidRPr="007E39E4" w:rsidRDefault="00397A4B" w:rsidP="00397A4B">
      <w:pPr>
        <w:pStyle w:val="Heading2"/>
        <w:numPr>
          <w:ilvl w:val="0"/>
          <w:numId w:val="27"/>
        </w:numPr>
        <w:rPr>
          <w:rStyle w:val="Strong"/>
          <w:b w:val="0"/>
        </w:rPr>
      </w:pPr>
      <w:r w:rsidRPr="007E39E4">
        <w:rPr>
          <w:rStyle w:val="Strong"/>
        </w:rPr>
        <w:lastRenderedPageBreak/>
        <w:t>Is the proposed service seeking public funding other than the MBS?</w:t>
      </w:r>
    </w:p>
    <w:p w14:paraId="30AB279C" w14:textId="59302577" w:rsidR="00397A4B" w:rsidRDefault="00F26681" w:rsidP="00C41DFF">
      <w:pPr>
        <w:spacing w:before="0" w:after="0"/>
        <w:ind w:left="644" w:hanging="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397A4B" w:rsidRPr="000A5B32">
        <w:rPr>
          <w:szCs w:val="20"/>
        </w:rPr>
        <w:t xml:space="preserve"> Yes</w:t>
      </w:r>
    </w:p>
    <w:p w14:paraId="45BFF498" w14:textId="0673B5DE" w:rsidR="00626365" w:rsidRDefault="00397A4B" w:rsidP="00C41DFF">
      <w:pPr>
        <w:spacing w:before="0" w:after="0"/>
        <w:ind w:left="644" w:hanging="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sidRPr="000A5B32">
        <w:rPr>
          <w:szCs w:val="20"/>
        </w:rPr>
        <w:t xml:space="preserve"> No</w:t>
      </w:r>
      <w:bookmarkEnd w:id="9"/>
      <w:bookmarkEnd w:id="10"/>
    </w:p>
    <w:p w14:paraId="701751A5" w14:textId="36E3A7A3" w:rsidR="003027BB" w:rsidRPr="004A2092" w:rsidRDefault="003027BB" w:rsidP="00C41DFF">
      <w:pPr>
        <w:pStyle w:val="Heading2"/>
        <w:numPr>
          <w:ilvl w:val="0"/>
          <w:numId w:val="27"/>
        </w:numPr>
        <w:contextualSpacing w:val="0"/>
        <w:rPr>
          <w:rStyle w:val="Strong"/>
        </w:rPr>
      </w:pPr>
      <w:r w:rsidRPr="007E39E4">
        <w:rPr>
          <w:rStyle w:val="Strong"/>
        </w:rPr>
        <w:t xml:space="preserve">If yes, please </w:t>
      </w:r>
      <w:proofErr w:type="gramStart"/>
      <w:r w:rsidRPr="007E39E4">
        <w:rPr>
          <w:rStyle w:val="Strong"/>
        </w:rPr>
        <w:t>advis</w:t>
      </w:r>
      <w:r w:rsidRPr="004A2092">
        <w:rPr>
          <w:rStyle w:val="Strong"/>
        </w:rPr>
        <w:t>e</w:t>
      </w:r>
      <w:proofErr w:type="gramEnd"/>
      <w:r w:rsidRPr="004A2092">
        <w:rPr>
          <w:rStyle w:val="Strong"/>
        </w:rPr>
        <w:t>:</w:t>
      </w:r>
    </w:p>
    <w:p w14:paraId="49A40C65" w14:textId="636DA244" w:rsidR="000A5B32" w:rsidRPr="00855944" w:rsidRDefault="00AC2EB9" w:rsidP="00C41DFF">
      <w:pPr>
        <w:ind w:left="284"/>
        <w:rPr>
          <w:rStyle w:val="Strong"/>
        </w:rPr>
      </w:pPr>
      <w:r>
        <w:t xml:space="preserve">Funding of </w:t>
      </w:r>
      <w:proofErr w:type="spellStart"/>
      <w:r w:rsidR="00977873">
        <w:t>brexucabtagene</w:t>
      </w:r>
      <w:proofErr w:type="spellEnd"/>
      <w:r w:rsidR="00977873">
        <w:t xml:space="preserve"> </w:t>
      </w:r>
      <w:proofErr w:type="spellStart"/>
      <w:r w:rsidR="00977873">
        <w:t>autoleucel</w:t>
      </w:r>
      <w:proofErr w:type="spellEnd"/>
      <w:r>
        <w:t xml:space="preserve"> </w:t>
      </w:r>
      <w:r w:rsidR="00383B51">
        <w:t xml:space="preserve">through the same </w:t>
      </w:r>
      <w:r w:rsidR="00D87DAB">
        <w:t xml:space="preserve">block funding </w:t>
      </w:r>
      <w:r w:rsidR="00383B51">
        <w:t>mechanism</w:t>
      </w:r>
      <w:r w:rsidR="00114D78">
        <w:t xml:space="preserve"> that has been</w:t>
      </w:r>
      <w:r w:rsidR="00F53AA8">
        <w:t xml:space="preserve"> </w:t>
      </w:r>
      <w:r w:rsidR="00F53AA8" w:rsidRPr="00E651F5">
        <w:t>agreed by the Commonwealth and the States</w:t>
      </w:r>
      <w:r w:rsidR="00383B51" w:rsidRPr="00E651F5">
        <w:t xml:space="preserve"> </w:t>
      </w:r>
      <w:r w:rsidR="00E06E81" w:rsidRPr="00E651F5">
        <w:t xml:space="preserve">that </w:t>
      </w:r>
      <w:r w:rsidR="003738D5" w:rsidRPr="00E651F5">
        <w:t xml:space="preserve">is </w:t>
      </w:r>
      <w:r w:rsidR="00E06E81" w:rsidRPr="00E651F5">
        <w:t xml:space="preserve">currently </w:t>
      </w:r>
      <w:r w:rsidR="00721C49" w:rsidRPr="00E651F5">
        <w:t>used to fund</w:t>
      </w:r>
      <w:r w:rsidR="00383B51" w:rsidRPr="00E651F5">
        <w:t xml:space="preserve"> other CAR T-cell therapies </w:t>
      </w:r>
      <w:r w:rsidR="005F68BE" w:rsidRPr="00F26681">
        <w:rPr>
          <w:b/>
        </w:rPr>
        <w:t>REDACTED</w:t>
      </w:r>
      <w:r w:rsidR="005F68BE" w:rsidRPr="00E651F5">
        <w:t xml:space="preserve"> </w:t>
      </w:r>
      <w:r w:rsidR="000867CD" w:rsidRPr="00E651F5">
        <w:t>is sought</w:t>
      </w:r>
      <w:r w:rsidR="000867CD">
        <w:t>.</w:t>
      </w:r>
    </w:p>
    <w:p w14:paraId="357C566F" w14:textId="77777777" w:rsidR="000B3CD0" w:rsidRDefault="000B3CD0" w:rsidP="002719D5">
      <w:pPr>
        <w:pStyle w:val="Heading2"/>
        <w:ind w:left="284" w:hanging="284"/>
      </w:pPr>
      <w:r w:rsidRPr="00154B00">
        <w:t xml:space="preserve">What is the type of </w:t>
      </w:r>
      <w:proofErr w:type="gramStart"/>
      <w:r w:rsidRPr="00154B00">
        <w:t>service:</w:t>
      </w:r>
      <w:proofErr w:type="gramEnd"/>
    </w:p>
    <w:p w14:paraId="7E0CAEB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Therapeutic medical service</w:t>
      </w:r>
    </w:p>
    <w:p w14:paraId="4796E2B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Investigative medical service</w:t>
      </w:r>
    </w:p>
    <w:p w14:paraId="028470A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Single consultation medical service</w:t>
      </w:r>
    </w:p>
    <w:p w14:paraId="2DE29F4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Global consultation medical service</w:t>
      </w:r>
    </w:p>
    <w:p w14:paraId="6A04E36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Allied health service</w:t>
      </w:r>
    </w:p>
    <w:p w14:paraId="5895906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Co-dependent technology</w:t>
      </w:r>
    </w:p>
    <w:p w14:paraId="4733A492" w14:textId="109296C6" w:rsidR="00A6594E" w:rsidRDefault="002719D5" w:rsidP="00C41DFF">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A5DA6">
        <w:rPr>
          <w:b/>
          <w:szCs w:val="20"/>
        </w:rPr>
      </w:r>
      <w:r w:rsidR="00AA5DA6">
        <w:rPr>
          <w:b/>
          <w:szCs w:val="20"/>
        </w:rPr>
        <w:fldChar w:fldCharType="separate"/>
      </w:r>
      <w:r>
        <w:rPr>
          <w:b/>
          <w:szCs w:val="20"/>
        </w:rPr>
        <w:fldChar w:fldCharType="end"/>
      </w:r>
      <w:r w:rsidR="00A6594E" w:rsidRPr="0027105F">
        <w:rPr>
          <w:b/>
          <w:szCs w:val="20"/>
        </w:rPr>
        <w:t xml:space="preserve"> </w:t>
      </w:r>
      <w:r w:rsidR="00A6594E">
        <w:t>Hybrid health technology</w:t>
      </w:r>
    </w:p>
    <w:p w14:paraId="62AED34A" w14:textId="56D5B225" w:rsidR="00C41DFF" w:rsidRDefault="00C41DFF" w:rsidP="00C41DFF">
      <w:pPr>
        <w:spacing w:before="0" w:after="0"/>
        <w:ind w:left="284"/>
      </w:pPr>
    </w:p>
    <w:p w14:paraId="5ACCC02D" w14:textId="77777777" w:rsidR="00C41DFF" w:rsidRDefault="00C41DFF" w:rsidP="00C41DFF">
      <w:pPr>
        <w:pStyle w:val="Heading2"/>
      </w:pPr>
      <w:r w:rsidRPr="00154B00">
        <w:t xml:space="preserve">For investigative services, advise the specific purpose of performing the service </w:t>
      </w:r>
      <w:r w:rsidRPr="00154B00">
        <w:rPr>
          <w:i/>
        </w:rPr>
        <w:t>(which could be one or more of the following)</w:t>
      </w:r>
      <w:r w:rsidRPr="00154B00">
        <w:t>:</w:t>
      </w:r>
    </w:p>
    <w:p w14:paraId="7BF560CD" w14:textId="77777777" w:rsidR="00C41DFF" w:rsidRDefault="00C41DFF" w:rsidP="00C41DFF">
      <w:pPr>
        <w:pStyle w:val="ListParagraph"/>
        <w:numPr>
          <w:ilvl w:val="0"/>
          <w:numId w:val="29"/>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A5DA6">
        <w:rPr>
          <w:b/>
          <w:szCs w:val="20"/>
        </w:rPr>
      </w:r>
      <w:r w:rsidR="00AA5DA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F8F8C3D" w14:textId="77777777" w:rsidR="00C41DFF" w:rsidRDefault="00C41DFF" w:rsidP="00C41DFF">
      <w:pPr>
        <w:pStyle w:val="ListParagraph"/>
        <w:numPr>
          <w:ilvl w:val="0"/>
          <w:numId w:val="29"/>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A5DA6">
        <w:rPr>
          <w:b/>
          <w:szCs w:val="20"/>
        </w:rPr>
      </w:r>
      <w:r w:rsidR="00AA5DA6">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103CC11" w14:textId="77777777" w:rsidR="00C41DFF" w:rsidRDefault="00C41DFF" w:rsidP="00C41DFF">
      <w:pPr>
        <w:pStyle w:val="ListParagraph"/>
        <w:numPr>
          <w:ilvl w:val="0"/>
          <w:numId w:val="29"/>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A5DA6">
        <w:rPr>
          <w:b/>
          <w:szCs w:val="20"/>
        </w:rPr>
      </w:r>
      <w:r w:rsidR="00AA5DA6">
        <w:rPr>
          <w:b/>
          <w:szCs w:val="20"/>
        </w:rPr>
        <w:fldChar w:fldCharType="separate"/>
      </w:r>
      <w:r w:rsidRPr="00AF4466">
        <w:rPr>
          <w:b/>
          <w:szCs w:val="20"/>
        </w:rPr>
        <w:fldChar w:fldCharType="end"/>
      </w:r>
      <w:r w:rsidRPr="00AF4466">
        <w:rPr>
          <w:b/>
          <w:szCs w:val="20"/>
        </w:rPr>
        <w:t xml:space="preserve"> </w:t>
      </w:r>
      <w:r>
        <w:t>Provides information about prognosis</w:t>
      </w:r>
    </w:p>
    <w:p w14:paraId="59B85BBA" w14:textId="77777777" w:rsidR="00C41DFF" w:rsidRDefault="00C41DFF" w:rsidP="00C41DFF">
      <w:pPr>
        <w:pStyle w:val="ListParagraph"/>
        <w:numPr>
          <w:ilvl w:val="0"/>
          <w:numId w:val="29"/>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A5DA6">
        <w:rPr>
          <w:b/>
          <w:szCs w:val="20"/>
        </w:rPr>
      </w:r>
      <w:r w:rsidR="00AA5DA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5F201C8B" w14:textId="7141BDF6" w:rsidR="00C41DFF" w:rsidRPr="00C41DFF" w:rsidRDefault="00C41DFF" w:rsidP="00C41DFF">
      <w:pPr>
        <w:pStyle w:val="ListParagraph"/>
        <w:numPr>
          <w:ilvl w:val="0"/>
          <w:numId w:val="29"/>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A5DA6">
        <w:rPr>
          <w:b/>
          <w:szCs w:val="20"/>
        </w:rPr>
      </w:r>
      <w:r w:rsidR="00AA5DA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233D4B35" w14:textId="77777777" w:rsidR="000B3CD0" w:rsidRDefault="000B3CD0" w:rsidP="00561A90">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17B05C0" w14:textId="77777777" w:rsidR="00FE16C1" w:rsidRDefault="004C73EF"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A5DA6">
        <w:rPr>
          <w:b/>
          <w:szCs w:val="20"/>
        </w:rPr>
      </w:r>
      <w:r w:rsidR="00AA5DA6">
        <w:rPr>
          <w:b/>
          <w:szCs w:val="20"/>
        </w:rPr>
        <w:fldChar w:fldCharType="separate"/>
      </w:r>
      <w:r>
        <w:rPr>
          <w:b/>
          <w:szCs w:val="20"/>
        </w:rPr>
        <w:fldChar w:fldCharType="end"/>
      </w:r>
      <w:r w:rsidR="00FE16C1" w:rsidRPr="0027105F">
        <w:rPr>
          <w:b/>
          <w:szCs w:val="20"/>
        </w:rPr>
        <w:t xml:space="preserve"> </w:t>
      </w:r>
      <w:r w:rsidR="00FE16C1">
        <w:t>Pharmaceutical / Biological</w:t>
      </w:r>
    </w:p>
    <w:p w14:paraId="679853E4"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Prosthesis or device</w:t>
      </w:r>
    </w:p>
    <w:p w14:paraId="59D7340F"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A5DA6">
        <w:rPr>
          <w:b/>
          <w:szCs w:val="20"/>
        </w:rPr>
      </w:r>
      <w:r w:rsidR="00AA5DA6">
        <w:rPr>
          <w:b/>
          <w:szCs w:val="20"/>
        </w:rPr>
        <w:fldChar w:fldCharType="separate"/>
      </w:r>
      <w:r w:rsidRPr="0027105F">
        <w:rPr>
          <w:b/>
          <w:szCs w:val="20"/>
        </w:rPr>
        <w:fldChar w:fldCharType="end"/>
      </w:r>
      <w:r w:rsidRPr="0027105F">
        <w:rPr>
          <w:b/>
          <w:szCs w:val="20"/>
        </w:rPr>
        <w:t xml:space="preserve"> </w:t>
      </w:r>
      <w:r>
        <w:t>No</w:t>
      </w:r>
    </w:p>
    <w:p w14:paraId="0CE80DED" w14:textId="77777777" w:rsidR="000E5439" w:rsidRPr="001E6958" w:rsidRDefault="00530204" w:rsidP="00DE1E1E">
      <w:pPr>
        <w:pStyle w:val="Heading2"/>
        <w:keepNext/>
        <w:ind w:left="357" w:hanging="357"/>
      </w:pPr>
      <w:r>
        <w:t xml:space="preserve">(a)  </w:t>
      </w:r>
      <w:r w:rsidR="000E5439" w:rsidRPr="001E6958">
        <w:t>If the proposed service has a pharmaceutical component to it, is it already covered under an existing Pharmaceutical Benefits Scheme (PBS) listing?</w:t>
      </w:r>
    </w:p>
    <w:p w14:paraId="3D6AEAA8" w14:textId="77777777" w:rsidR="00FE16C1" w:rsidRDefault="00B5302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FE16C1" w:rsidRPr="000A5B32">
        <w:rPr>
          <w:szCs w:val="20"/>
        </w:rPr>
        <w:t xml:space="preserve"> Yes</w:t>
      </w:r>
    </w:p>
    <w:p w14:paraId="575A49EE" w14:textId="6B2C9E21" w:rsidR="00B53023"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No</w:t>
      </w:r>
    </w:p>
    <w:p w14:paraId="29BB57F8" w14:textId="77777777" w:rsidR="00A61CF5" w:rsidRDefault="00A61CF5" w:rsidP="00A6491A">
      <w:pPr>
        <w:spacing w:before="0" w:after="0"/>
        <w:ind w:left="284"/>
        <w:rPr>
          <w:szCs w:val="20"/>
        </w:rPr>
      </w:pPr>
    </w:p>
    <w:p w14:paraId="3DD30674" w14:textId="77777777" w:rsidR="00B53023" w:rsidRDefault="00B53023" w:rsidP="00560506">
      <w:pPr>
        <w:autoSpaceDE w:val="0"/>
        <w:autoSpaceDN w:val="0"/>
        <w:adjustRightInd w:val="0"/>
        <w:spacing w:before="0" w:after="0"/>
        <w:ind w:left="360"/>
        <w:rPr>
          <w:szCs w:val="20"/>
        </w:rPr>
      </w:pPr>
      <w:r w:rsidRPr="006318FF">
        <w:rPr>
          <w:szCs w:val="20"/>
        </w:rPr>
        <w:t>Bridging therapy</w:t>
      </w:r>
      <w:r w:rsidR="006B2339" w:rsidRPr="006318FF">
        <w:rPr>
          <w:szCs w:val="20"/>
        </w:rPr>
        <w:t xml:space="preserve"> </w:t>
      </w:r>
      <w:r w:rsidR="00CA4205" w:rsidRPr="006318FF">
        <w:rPr>
          <w:szCs w:val="20"/>
        </w:rPr>
        <w:t xml:space="preserve">may be </w:t>
      </w:r>
      <w:r w:rsidR="00CC6C8D" w:rsidRPr="006318FF">
        <w:rPr>
          <w:szCs w:val="20"/>
        </w:rPr>
        <w:t>administered</w:t>
      </w:r>
      <w:r w:rsidR="00CA4205" w:rsidRPr="006318FF">
        <w:rPr>
          <w:szCs w:val="20"/>
        </w:rPr>
        <w:t xml:space="preserve"> </w:t>
      </w:r>
      <w:r w:rsidR="001D0D54">
        <w:rPr>
          <w:szCs w:val="20"/>
        </w:rPr>
        <w:t>to</w:t>
      </w:r>
      <w:r w:rsidR="00CA4205" w:rsidRPr="006318FF">
        <w:rPr>
          <w:szCs w:val="20"/>
        </w:rPr>
        <w:t xml:space="preserve"> some patients</w:t>
      </w:r>
      <w:r w:rsidR="0094719F" w:rsidRPr="006318FF">
        <w:rPr>
          <w:szCs w:val="20"/>
        </w:rPr>
        <w:t xml:space="preserve"> </w:t>
      </w:r>
      <w:r w:rsidR="00802835">
        <w:rPr>
          <w:szCs w:val="20"/>
        </w:rPr>
        <w:t xml:space="preserve">in the period between </w:t>
      </w:r>
      <w:r w:rsidR="00FF6A18">
        <w:rPr>
          <w:szCs w:val="20"/>
        </w:rPr>
        <w:t xml:space="preserve">the </w:t>
      </w:r>
      <w:r w:rsidR="00DE4544">
        <w:rPr>
          <w:szCs w:val="20"/>
        </w:rPr>
        <w:t xml:space="preserve">collection </w:t>
      </w:r>
      <w:r w:rsidR="00FF6A18">
        <w:rPr>
          <w:szCs w:val="20"/>
        </w:rPr>
        <w:t xml:space="preserve">of cells </w:t>
      </w:r>
      <w:r w:rsidR="00DE4544">
        <w:rPr>
          <w:szCs w:val="20"/>
        </w:rPr>
        <w:t xml:space="preserve">and </w:t>
      </w:r>
      <w:r w:rsidR="00FF6A18">
        <w:rPr>
          <w:szCs w:val="20"/>
        </w:rPr>
        <w:t xml:space="preserve">the </w:t>
      </w:r>
      <w:r w:rsidR="006066C5">
        <w:rPr>
          <w:szCs w:val="20"/>
        </w:rPr>
        <w:t xml:space="preserve">infusion of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sidR="00C0713E">
        <w:rPr>
          <w:szCs w:val="20"/>
        </w:rPr>
        <w:t>. Bridging therapy may be required</w:t>
      </w:r>
      <w:r w:rsidR="001D533D">
        <w:rPr>
          <w:szCs w:val="20"/>
        </w:rPr>
        <w:t xml:space="preserve"> in patients</w:t>
      </w:r>
      <w:r w:rsidR="00C4163C">
        <w:rPr>
          <w:szCs w:val="20"/>
        </w:rPr>
        <w:t xml:space="preserve"> who have</w:t>
      </w:r>
      <w:r w:rsidR="0094719F" w:rsidRPr="006318FF">
        <w:rPr>
          <w:szCs w:val="20"/>
        </w:rPr>
        <w:t xml:space="preserve"> a high disease burden</w:t>
      </w:r>
      <w:r w:rsidR="00696F79" w:rsidRPr="006318FF">
        <w:rPr>
          <w:szCs w:val="20"/>
        </w:rPr>
        <w:t xml:space="preserve"> to </w:t>
      </w:r>
      <w:r w:rsidR="00C85DE4" w:rsidRPr="006318FF">
        <w:rPr>
          <w:szCs w:val="20"/>
        </w:rPr>
        <w:t xml:space="preserve">ensure that the patient remains </w:t>
      </w:r>
      <w:r w:rsidR="001906D6" w:rsidRPr="006318FF">
        <w:rPr>
          <w:szCs w:val="20"/>
        </w:rPr>
        <w:t>viable</w:t>
      </w:r>
      <w:r w:rsidR="00C85DE4" w:rsidRPr="006318FF">
        <w:rPr>
          <w:szCs w:val="20"/>
        </w:rPr>
        <w:t xml:space="preserve"> to have the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sidR="00C85DE4" w:rsidRPr="006318FF">
        <w:rPr>
          <w:szCs w:val="20"/>
        </w:rPr>
        <w:t xml:space="preserve"> product infused</w:t>
      </w:r>
      <w:r w:rsidR="00CA4205" w:rsidRPr="006318FF">
        <w:rPr>
          <w:szCs w:val="20"/>
        </w:rPr>
        <w:t>.</w:t>
      </w:r>
      <w:r w:rsidR="00BA2242">
        <w:rPr>
          <w:szCs w:val="20"/>
        </w:rPr>
        <w:t xml:space="preserve"> </w:t>
      </w:r>
      <w:r w:rsidR="00BF2F31" w:rsidRPr="00BF2F31">
        <w:rPr>
          <w:szCs w:val="20"/>
        </w:rPr>
        <w:t>The most commonly administered</w:t>
      </w:r>
      <w:r w:rsidR="00BF2F31">
        <w:rPr>
          <w:szCs w:val="20"/>
        </w:rPr>
        <w:t xml:space="preserve"> </w:t>
      </w:r>
      <w:r w:rsidR="00240378">
        <w:rPr>
          <w:szCs w:val="20"/>
        </w:rPr>
        <w:t xml:space="preserve">bridging </w:t>
      </w:r>
      <w:r w:rsidR="00BF2F31" w:rsidRPr="00BF2F31">
        <w:rPr>
          <w:szCs w:val="20"/>
        </w:rPr>
        <w:t xml:space="preserve">therapies </w:t>
      </w:r>
      <w:r w:rsidR="00240378">
        <w:rPr>
          <w:szCs w:val="20"/>
        </w:rPr>
        <w:t xml:space="preserve">administered in the key </w:t>
      </w:r>
      <w:r w:rsidR="00ED5AFE">
        <w:rPr>
          <w:szCs w:val="20"/>
        </w:rPr>
        <w:t>study</w:t>
      </w:r>
      <w:r w:rsidR="00240378">
        <w:rPr>
          <w:szCs w:val="20"/>
        </w:rPr>
        <w:t xml:space="preserve"> </w:t>
      </w:r>
      <w:r w:rsidR="00BF2F31" w:rsidRPr="00BF2F31">
        <w:rPr>
          <w:szCs w:val="20"/>
        </w:rPr>
        <w:t xml:space="preserve">were dexamethasone </w:t>
      </w:r>
      <w:r w:rsidR="00240378">
        <w:rPr>
          <w:szCs w:val="20"/>
        </w:rPr>
        <w:t xml:space="preserve">and </w:t>
      </w:r>
      <w:proofErr w:type="spellStart"/>
      <w:r w:rsidR="00240378">
        <w:rPr>
          <w:szCs w:val="20"/>
        </w:rPr>
        <w:t>ibrutinib</w:t>
      </w:r>
      <w:proofErr w:type="spellEnd"/>
      <w:r w:rsidR="00240378">
        <w:rPr>
          <w:szCs w:val="20"/>
        </w:rPr>
        <w:t xml:space="preserve">, </w:t>
      </w:r>
      <w:r w:rsidR="00714F2B">
        <w:rPr>
          <w:szCs w:val="20"/>
        </w:rPr>
        <w:t xml:space="preserve">both of </w:t>
      </w:r>
      <w:r w:rsidR="00240378">
        <w:rPr>
          <w:szCs w:val="20"/>
        </w:rPr>
        <w:t xml:space="preserve">which are PBS-listed for </w:t>
      </w:r>
      <w:r w:rsidR="00270E25">
        <w:rPr>
          <w:szCs w:val="20"/>
        </w:rPr>
        <w:t>patients with MCL</w:t>
      </w:r>
      <w:r w:rsidR="00BF2F31" w:rsidRPr="00BF2F31">
        <w:rPr>
          <w:szCs w:val="20"/>
        </w:rPr>
        <w:t>.</w:t>
      </w:r>
    </w:p>
    <w:p w14:paraId="63AB658F" w14:textId="77777777" w:rsidR="00B53023" w:rsidRDefault="00B53023" w:rsidP="00560506">
      <w:pPr>
        <w:autoSpaceDE w:val="0"/>
        <w:autoSpaceDN w:val="0"/>
        <w:adjustRightInd w:val="0"/>
        <w:spacing w:before="0" w:after="0"/>
        <w:ind w:left="360"/>
        <w:rPr>
          <w:szCs w:val="20"/>
        </w:rPr>
      </w:pPr>
    </w:p>
    <w:p w14:paraId="4163FB7C" w14:textId="77777777" w:rsidR="00B53023" w:rsidRDefault="00714F2B" w:rsidP="00560506">
      <w:pPr>
        <w:autoSpaceDE w:val="0"/>
        <w:autoSpaceDN w:val="0"/>
        <w:adjustRightInd w:val="0"/>
        <w:spacing w:before="0" w:after="0"/>
        <w:ind w:left="360"/>
        <w:rPr>
          <w:szCs w:val="20"/>
        </w:rPr>
      </w:pPr>
      <w:r>
        <w:rPr>
          <w:szCs w:val="20"/>
        </w:rPr>
        <w:t xml:space="preserve">Conditioning chemotherapy is required to be administered prior to infusion of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Pr>
          <w:szCs w:val="20"/>
        </w:rPr>
        <w:t xml:space="preserve">. </w:t>
      </w:r>
      <w:r w:rsidR="00ED5AFE">
        <w:rPr>
          <w:szCs w:val="20"/>
        </w:rPr>
        <w:t xml:space="preserve">The </w:t>
      </w:r>
      <w:proofErr w:type="spellStart"/>
      <w:r w:rsidR="006C3623" w:rsidRPr="006C3623">
        <w:rPr>
          <w:szCs w:val="20"/>
        </w:rPr>
        <w:t>lymphodepleting</w:t>
      </w:r>
      <w:proofErr w:type="spellEnd"/>
      <w:r w:rsidR="006C3623" w:rsidRPr="006C3623">
        <w:rPr>
          <w:szCs w:val="20"/>
        </w:rPr>
        <w:t xml:space="preserve"> chemotherapy regimen </w:t>
      </w:r>
      <w:r w:rsidR="00ED5AFE">
        <w:rPr>
          <w:szCs w:val="20"/>
        </w:rPr>
        <w:t xml:space="preserve">administered in the key </w:t>
      </w:r>
      <w:r w:rsidR="00DD734C">
        <w:rPr>
          <w:szCs w:val="20"/>
        </w:rPr>
        <w:t xml:space="preserve">ZUMA-2 </w:t>
      </w:r>
      <w:r w:rsidR="00ED5AFE">
        <w:rPr>
          <w:szCs w:val="20"/>
        </w:rPr>
        <w:t xml:space="preserve">study </w:t>
      </w:r>
      <w:r w:rsidR="006C3623" w:rsidRPr="006C3623">
        <w:rPr>
          <w:szCs w:val="20"/>
        </w:rPr>
        <w:t>consist</w:t>
      </w:r>
      <w:r w:rsidR="00ED5AFE">
        <w:rPr>
          <w:szCs w:val="20"/>
        </w:rPr>
        <w:t>ed</w:t>
      </w:r>
      <w:r w:rsidR="006C3623" w:rsidRPr="006C3623">
        <w:rPr>
          <w:szCs w:val="20"/>
        </w:rPr>
        <w:t xml:space="preserve"> of</w:t>
      </w:r>
      <w:r w:rsidR="00ED5AFE">
        <w:rPr>
          <w:szCs w:val="20"/>
        </w:rPr>
        <w:t>:</w:t>
      </w:r>
      <w:r w:rsidR="006C3623" w:rsidRPr="006C3623">
        <w:rPr>
          <w:szCs w:val="20"/>
        </w:rPr>
        <w:t xml:space="preserve"> </w:t>
      </w:r>
      <w:proofErr w:type="spellStart"/>
      <w:r w:rsidR="003D11AB" w:rsidRPr="006C3623">
        <w:rPr>
          <w:szCs w:val="20"/>
        </w:rPr>
        <w:t>fludarabine</w:t>
      </w:r>
      <w:proofErr w:type="spellEnd"/>
      <w:r w:rsidR="003D11AB" w:rsidRPr="006C3623">
        <w:rPr>
          <w:szCs w:val="20"/>
        </w:rPr>
        <w:t xml:space="preserve"> 30 mg/m</w:t>
      </w:r>
      <w:r w:rsidR="003D11AB" w:rsidRPr="00FF4C27">
        <w:rPr>
          <w:szCs w:val="20"/>
          <w:vertAlign w:val="superscript"/>
        </w:rPr>
        <w:t>2</w:t>
      </w:r>
      <w:r w:rsidR="003D11AB" w:rsidRPr="006C3623">
        <w:rPr>
          <w:szCs w:val="20"/>
        </w:rPr>
        <w:t xml:space="preserve"> </w:t>
      </w:r>
      <w:r w:rsidR="006C3623" w:rsidRPr="006C3623">
        <w:rPr>
          <w:szCs w:val="20"/>
        </w:rPr>
        <w:t>intravenous</w:t>
      </w:r>
      <w:r w:rsidR="003D11AB">
        <w:rPr>
          <w:szCs w:val="20"/>
        </w:rPr>
        <w:t xml:space="preserve"> </w:t>
      </w:r>
      <w:r w:rsidR="006C3623" w:rsidRPr="006C3623">
        <w:rPr>
          <w:szCs w:val="20"/>
        </w:rPr>
        <w:t xml:space="preserve">(IV) and </w:t>
      </w:r>
      <w:r w:rsidR="003D11AB" w:rsidRPr="006C3623">
        <w:rPr>
          <w:szCs w:val="20"/>
        </w:rPr>
        <w:t>cyclophosphamide 500 mg/m</w:t>
      </w:r>
      <w:r w:rsidR="003D11AB" w:rsidRPr="00FF4C27">
        <w:rPr>
          <w:szCs w:val="20"/>
          <w:vertAlign w:val="superscript"/>
        </w:rPr>
        <w:t>2</w:t>
      </w:r>
      <w:r w:rsidR="003D11AB">
        <w:rPr>
          <w:szCs w:val="20"/>
        </w:rPr>
        <w:t xml:space="preserve"> </w:t>
      </w:r>
      <w:r w:rsidR="006C3623" w:rsidRPr="006C3623">
        <w:rPr>
          <w:szCs w:val="20"/>
        </w:rPr>
        <w:t>IV</w:t>
      </w:r>
      <w:r w:rsidR="00F10A20">
        <w:rPr>
          <w:szCs w:val="20"/>
        </w:rPr>
        <w:t xml:space="preserve">, each </w:t>
      </w:r>
      <w:r w:rsidR="006C3623" w:rsidRPr="006C3623">
        <w:rPr>
          <w:szCs w:val="20"/>
        </w:rPr>
        <w:t>administered</w:t>
      </w:r>
      <w:r w:rsidR="000C5FD3">
        <w:rPr>
          <w:szCs w:val="20"/>
        </w:rPr>
        <w:t xml:space="preserve"> </w:t>
      </w:r>
      <w:r w:rsidR="00E77150">
        <w:rPr>
          <w:szCs w:val="20"/>
        </w:rPr>
        <w:t xml:space="preserve">on </w:t>
      </w:r>
      <w:r w:rsidR="00521729">
        <w:rPr>
          <w:szCs w:val="20"/>
        </w:rPr>
        <w:t>the</w:t>
      </w:r>
      <w:r w:rsidR="00E77150">
        <w:rPr>
          <w:szCs w:val="20"/>
        </w:rPr>
        <w:t xml:space="preserve"> </w:t>
      </w:r>
      <w:r w:rsidR="00A60377">
        <w:rPr>
          <w:szCs w:val="20"/>
        </w:rPr>
        <w:t>fifth</w:t>
      </w:r>
      <w:r w:rsidR="00E77150">
        <w:rPr>
          <w:szCs w:val="20"/>
        </w:rPr>
        <w:t xml:space="preserve">, </w:t>
      </w:r>
      <w:r w:rsidR="00A60377">
        <w:rPr>
          <w:szCs w:val="20"/>
        </w:rPr>
        <w:t xml:space="preserve">fourth </w:t>
      </w:r>
      <w:r w:rsidR="00E77150">
        <w:rPr>
          <w:szCs w:val="20"/>
        </w:rPr>
        <w:t xml:space="preserve">and </w:t>
      </w:r>
      <w:r w:rsidR="00A60377">
        <w:rPr>
          <w:szCs w:val="20"/>
        </w:rPr>
        <w:t xml:space="preserve">third </w:t>
      </w:r>
      <w:r w:rsidR="00521729">
        <w:rPr>
          <w:szCs w:val="20"/>
        </w:rPr>
        <w:t>day</w:t>
      </w:r>
      <w:r w:rsidR="00E77150">
        <w:rPr>
          <w:szCs w:val="20"/>
        </w:rPr>
        <w:t xml:space="preserve"> prior to </w:t>
      </w:r>
      <w:r w:rsidR="006C3623" w:rsidRPr="006C3623">
        <w:rPr>
          <w:szCs w:val="20"/>
        </w:rPr>
        <w:t>infusion of</w:t>
      </w:r>
      <w:r w:rsidR="000432EA">
        <w:rPr>
          <w:szCs w:val="20"/>
        </w:rPr>
        <w:t xml:space="preserve">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sidR="006C3623" w:rsidRPr="006C3623">
        <w:rPr>
          <w:szCs w:val="20"/>
        </w:rPr>
        <w:t>.</w:t>
      </w:r>
      <w:r w:rsidR="00E77150">
        <w:rPr>
          <w:szCs w:val="20"/>
        </w:rPr>
        <w:t xml:space="preserve"> </w:t>
      </w:r>
      <w:r w:rsidR="00F10A20">
        <w:rPr>
          <w:szCs w:val="20"/>
        </w:rPr>
        <w:t xml:space="preserve">Both of these therapies are </w:t>
      </w:r>
      <w:r w:rsidR="00D73A6D">
        <w:rPr>
          <w:szCs w:val="20"/>
        </w:rPr>
        <w:t>available as unrestricted benefits on the PBS.</w:t>
      </w:r>
    </w:p>
    <w:p w14:paraId="33B3AA66" w14:textId="77777777" w:rsidR="00827AC4" w:rsidRDefault="00827AC4" w:rsidP="00560506">
      <w:pPr>
        <w:autoSpaceDE w:val="0"/>
        <w:autoSpaceDN w:val="0"/>
        <w:adjustRightInd w:val="0"/>
        <w:spacing w:before="0" w:after="0"/>
        <w:ind w:left="360"/>
        <w:rPr>
          <w:szCs w:val="20"/>
        </w:rPr>
      </w:pPr>
    </w:p>
    <w:p w14:paraId="0E9CE98B" w14:textId="77777777" w:rsidR="00827AC4" w:rsidRPr="00E651F5" w:rsidRDefault="001F62ED" w:rsidP="00560506">
      <w:pPr>
        <w:autoSpaceDE w:val="0"/>
        <w:autoSpaceDN w:val="0"/>
        <w:adjustRightInd w:val="0"/>
        <w:spacing w:before="0" w:after="0"/>
        <w:ind w:left="360"/>
        <w:rPr>
          <w:szCs w:val="20"/>
        </w:rPr>
      </w:pPr>
      <w:r>
        <w:rPr>
          <w:szCs w:val="20"/>
        </w:rPr>
        <w:t xml:space="preserve">As with the other CAR </w:t>
      </w:r>
      <w:r w:rsidR="002657C5">
        <w:rPr>
          <w:szCs w:val="20"/>
        </w:rPr>
        <w:t>T-cell</w:t>
      </w:r>
      <w:r>
        <w:rPr>
          <w:szCs w:val="20"/>
        </w:rPr>
        <w:t xml:space="preserve"> therapies, </w:t>
      </w:r>
      <w:r w:rsidR="00432B90">
        <w:rPr>
          <w:szCs w:val="20"/>
        </w:rPr>
        <w:t xml:space="preserve">corticosteroids and </w:t>
      </w:r>
      <w:proofErr w:type="spellStart"/>
      <w:r>
        <w:rPr>
          <w:szCs w:val="20"/>
        </w:rPr>
        <w:t>t</w:t>
      </w:r>
      <w:r w:rsidR="00827AC4" w:rsidRPr="00827AC4">
        <w:rPr>
          <w:szCs w:val="20"/>
        </w:rPr>
        <w:t>ocilizumab</w:t>
      </w:r>
      <w:proofErr w:type="spellEnd"/>
      <w:r w:rsidR="00827AC4" w:rsidRPr="00827AC4">
        <w:rPr>
          <w:szCs w:val="20"/>
        </w:rPr>
        <w:t xml:space="preserve"> may be administered </w:t>
      </w:r>
      <w:r w:rsidR="00C95FCC">
        <w:rPr>
          <w:szCs w:val="20"/>
        </w:rPr>
        <w:t>to</w:t>
      </w:r>
      <w:r w:rsidR="00827AC4" w:rsidRPr="00827AC4">
        <w:rPr>
          <w:szCs w:val="20"/>
        </w:rPr>
        <w:t xml:space="preserve"> patient</w:t>
      </w:r>
      <w:r w:rsidR="00C95FCC">
        <w:rPr>
          <w:szCs w:val="20"/>
        </w:rPr>
        <w:t>s</w:t>
      </w:r>
      <w:r w:rsidR="00827AC4" w:rsidRPr="00827AC4">
        <w:rPr>
          <w:szCs w:val="20"/>
        </w:rPr>
        <w:t xml:space="preserve"> </w:t>
      </w:r>
      <w:r w:rsidR="00C95FCC" w:rsidRPr="00E651F5">
        <w:rPr>
          <w:szCs w:val="20"/>
        </w:rPr>
        <w:t xml:space="preserve">requiring </w:t>
      </w:r>
      <w:r w:rsidR="00827AC4" w:rsidRPr="00E651F5">
        <w:rPr>
          <w:szCs w:val="20"/>
        </w:rPr>
        <w:t>management of cytokine</w:t>
      </w:r>
      <w:r w:rsidRPr="00E651F5">
        <w:rPr>
          <w:szCs w:val="20"/>
        </w:rPr>
        <w:t xml:space="preserve"> </w:t>
      </w:r>
      <w:r w:rsidR="00827AC4" w:rsidRPr="00E651F5">
        <w:rPr>
          <w:szCs w:val="20"/>
        </w:rPr>
        <w:t>release syndrome (CRS)</w:t>
      </w:r>
      <w:r w:rsidR="00432B90" w:rsidRPr="00E651F5">
        <w:rPr>
          <w:szCs w:val="20"/>
        </w:rPr>
        <w:t>.</w:t>
      </w:r>
      <w:r w:rsidR="00391221" w:rsidRPr="00E651F5">
        <w:rPr>
          <w:szCs w:val="20"/>
        </w:rPr>
        <w:t xml:space="preserve"> Although </w:t>
      </w:r>
      <w:proofErr w:type="spellStart"/>
      <w:r w:rsidR="00391221" w:rsidRPr="00E651F5">
        <w:rPr>
          <w:szCs w:val="20"/>
        </w:rPr>
        <w:t>tocilizumab</w:t>
      </w:r>
      <w:proofErr w:type="spellEnd"/>
      <w:r w:rsidR="00391221" w:rsidRPr="00E651F5">
        <w:rPr>
          <w:szCs w:val="20"/>
        </w:rPr>
        <w:t xml:space="preserve"> is PBS-listed, it is not reimbursed for </w:t>
      </w:r>
      <w:r w:rsidR="000D4776" w:rsidRPr="00E651F5">
        <w:rPr>
          <w:szCs w:val="20"/>
        </w:rPr>
        <w:t>the management of CRS.</w:t>
      </w:r>
    </w:p>
    <w:p w14:paraId="34B82ED9" w14:textId="77777777" w:rsidR="00435E7A" w:rsidRPr="00E651F5" w:rsidRDefault="00435E7A" w:rsidP="00560506">
      <w:pPr>
        <w:autoSpaceDE w:val="0"/>
        <w:autoSpaceDN w:val="0"/>
        <w:adjustRightInd w:val="0"/>
        <w:spacing w:before="0" w:after="0"/>
        <w:ind w:left="360"/>
        <w:rPr>
          <w:szCs w:val="20"/>
        </w:rPr>
      </w:pPr>
    </w:p>
    <w:p w14:paraId="634B08A4" w14:textId="77777777" w:rsidR="00435E7A" w:rsidRPr="00E651F5" w:rsidRDefault="005F68BE" w:rsidP="00560506">
      <w:pPr>
        <w:autoSpaceDE w:val="0"/>
        <w:autoSpaceDN w:val="0"/>
        <w:adjustRightInd w:val="0"/>
        <w:spacing w:before="0" w:after="0"/>
        <w:ind w:left="360"/>
        <w:rPr>
          <w:szCs w:val="20"/>
        </w:rPr>
      </w:pPr>
      <w:r w:rsidRPr="00C12E1D">
        <w:rPr>
          <w:b/>
        </w:rPr>
        <w:t>REDACTED</w:t>
      </w:r>
      <w:r w:rsidR="00E20986" w:rsidRPr="00E651F5">
        <w:rPr>
          <w:szCs w:val="20"/>
        </w:rPr>
        <w:t>.</w:t>
      </w:r>
    </w:p>
    <w:p w14:paraId="46458EB0" w14:textId="77777777" w:rsidR="00C12E1D" w:rsidRDefault="00C12E1D">
      <w:pPr>
        <w:spacing w:before="0" w:after="200" w:line="276" w:lineRule="auto"/>
        <w:rPr>
          <w:b/>
          <w:szCs w:val="20"/>
        </w:rPr>
      </w:pPr>
      <w:r>
        <w:br w:type="page"/>
      </w:r>
    </w:p>
    <w:p w14:paraId="50977988" w14:textId="493D0DC1" w:rsidR="00EC127A" w:rsidRPr="00E651F5" w:rsidRDefault="000E5439" w:rsidP="00F61C84">
      <w:pPr>
        <w:pStyle w:val="Heading2"/>
        <w:numPr>
          <w:ilvl w:val="0"/>
          <w:numId w:val="4"/>
        </w:numPr>
      </w:pPr>
      <w:r w:rsidRPr="00E651F5">
        <w:lastRenderedPageBreak/>
        <w:t xml:space="preserve">If yes, </w:t>
      </w:r>
      <w:r w:rsidR="00BB003A" w:rsidRPr="00E651F5">
        <w:t>please list</w:t>
      </w:r>
      <w:r w:rsidRPr="00E651F5">
        <w:t xml:space="preserve"> the</w:t>
      </w:r>
      <w:r w:rsidR="00BB003A" w:rsidRPr="00E651F5">
        <w:t xml:space="preserve"> relevant</w:t>
      </w:r>
      <w:r w:rsidRPr="00E651F5">
        <w:t xml:space="preserve"> PBS </w:t>
      </w:r>
      <w:r w:rsidR="001E23EA" w:rsidRPr="00E651F5">
        <w:t>item code</w:t>
      </w:r>
      <w:r w:rsidRPr="00E651F5">
        <w:t>(s)</w:t>
      </w:r>
      <w:r w:rsidR="007E39E4" w:rsidRPr="00E651F5">
        <w:t>:</w:t>
      </w:r>
    </w:p>
    <w:p w14:paraId="5E1E3D35" w14:textId="77777777" w:rsidR="000E5582" w:rsidRPr="00E651F5" w:rsidRDefault="000E5582" w:rsidP="000E5582">
      <w:pPr>
        <w:autoSpaceDE w:val="0"/>
        <w:autoSpaceDN w:val="0"/>
        <w:adjustRightInd w:val="0"/>
        <w:spacing w:before="0" w:after="0"/>
        <w:ind w:left="2127" w:hanging="1767"/>
        <w:rPr>
          <w:szCs w:val="20"/>
        </w:rPr>
      </w:pPr>
      <w:r w:rsidRPr="00E651F5">
        <w:rPr>
          <w:szCs w:val="20"/>
        </w:rPr>
        <w:t>Dexamethasone:</w:t>
      </w:r>
      <w:r w:rsidRPr="00E651F5">
        <w:rPr>
          <w:szCs w:val="20"/>
        </w:rPr>
        <w:tab/>
      </w:r>
      <w:r w:rsidR="000A1B5C" w:rsidRPr="00E651F5">
        <w:rPr>
          <w:szCs w:val="20"/>
        </w:rPr>
        <w:t xml:space="preserve">1292B, </w:t>
      </w:r>
      <w:r w:rsidR="00A00437" w:rsidRPr="00E651F5">
        <w:rPr>
          <w:szCs w:val="20"/>
        </w:rPr>
        <w:t xml:space="preserve">2507Y, 1291Y, </w:t>
      </w:r>
      <w:r w:rsidR="00082A6E" w:rsidRPr="00E651F5">
        <w:rPr>
          <w:szCs w:val="20"/>
        </w:rPr>
        <w:t>2509C, 3472R</w:t>
      </w:r>
    </w:p>
    <w:p w14:paraId="491EFC2F" w14:textId="77777777" w:rsidR="008E6396" w:rsidRPr="00E651F5" w:rsidRDefault="007409C4" w:rsidP="000E5582">
      <w:pPr>
        <w:autoSpaceDE w:val="0"/>
        <w:autoSpaceDN w:val="0"/>
        <w:adjustRightInd w:val="0"/>
        <w:spacing w:before="0" w:after="0"/>
        <w:ind w:left="2127" w:hanging="1767"/>
        <w:rPr>
          <w:szCs w:val="20"/>
        </w:rPr>
      </w:pPr>
      <w:proofErr w:type="spellStart"/>
      <w:r w:rsidRPr="00E651F5">
        <w:rPr>
          <w:szCs w:val="20"/>
        </w:rPr>
        <w:t>Ibrutinib</w:t>
      </w:r>
      <w:proofErr w:type="spellEnd"/>
      <w:r w:rsidRPr="00E651F5">
        <w:rPr>
          <w:szCs w:val="20"/>
        </w:rPr>
        <w:t>:</w:t>
      </w:r>
      <w:r w:rsidR="008A50F8" w:rsidRPr="00E651F5">
        <w:rPr>
          <w:szCs w:val="20"/>
        </w:rPr>
        <w:t xml:space="preserve"> </w:t>
      </w:r>
      <w:r w:rsidR="000E5582" w:rsidRPr="00E651F5">
        <w:rPr>
          <w:szCs w:val="20"/>
        </w:rPr>
        <w:tab/>
      </w:r>
      <w:r w:rsidR="008A50F8" w:rsidRPr="00E651F5">
        <w:rPr>
          <w:szCs w:val="20"/>
        </w:rPr>
        <w:t>11419B</w:t>
      </w:r>
    </w:p>
    <w:p w14:paraId="44BD806C" w14:textId="77777777" w:rsidR="007409C4" w:rsidRPr="00E651F5" w:rsidRDefault="008A50F8" w:rsidP="000E5582">
      <w:pPr>
        <w:autoSpaceDE w:val="0"/>
        <w:autoSpaceDN w:val="0"/>
        <w:adjustRightInd w:val="0"/>
        <w:spacing w:before="0" w:after="0"/>
        <w:ind w:left="2127" w:hanging="1767"/>
        <w:rPr>
          <w:szCs w:val="20"/>
        </w:rPr>
      </w:pPr>
      <w:proofErr w:type="spellStart"/>
      <w:r w:rsidRPr="00E651F5">
        <w:rPr>
          <w:szCs w:val="20"/>
        </w:rPr>
        <w:t>Fludarabine</w:t>
      </w:r>
      <w:proofErr w:type="spellEnd"/>
      <w:r w:rsidRPr="00E651F5">
        <w:rPr>
          <w:szCs w:val="20"/>
        </w:rPr>
        <w:t xml:space="preserve">: </w:t>
      </w:r>
      <w:r w:rsidR="000E5582" w:rsidRPr="00E651F5">
        <w:rPr>
          <w:szCs w:val="20"/>
        </w:rPr>
        <w:tab/>
      </w:r>
      <w:r w:rsidRPr="00E651F5">
        <w:rPr>
          <w:szCs w:val="20"/>
        </w:rPr>
        <w:t>4393F</w:t>
      </w:r>
    </w:p>
    <w:p w14:paraId="34F497E9" w14:textId="77777777" w:rsidR="008A50F8" w:rsidRPr="00E651F5" w:rsidRDefault="008A50F8" w:rsidP="000E5582">
      <w:pPr>
        <w:autoSpaceDE w:val="0"/>
        <w:autoSpaceDN w:val="0"/>
        <w:adjustRightInd w:val="0"/>
        <w:spacing w:before="0" w:after="0"/>
        <w:ind w:left="2127" w:hanging="1767"/>
        <w:rPr>
          <w:szCs w:val="20"/>
        </w:rPr>
      </w:pPr>
      <w:r w:rsidRPr="00E651F5">
        <w:rPr>
          <w:szCs w:val="20"/>
        </w:rPr>
        <w:t xml:space="preserve">Cyclophosphamide: </w:t>
      </w:r>
      <w:r w:rsidR="000E5582" w:rsidRPr="00E651F5">
        <w:rPr>
          <w:szCs w:val="20"/>
        </w:rPr>
        <w:tab/>
      </w:r>
      <w:r w:rsidRPr="00E651F5">
        <w:rPr>
          <w:szCs w:val="20"/>
        </w:rPr>
        <w:t>4327R</w:t>
      </w:r>
    </w:p>
    <w:p w14:paraId="267495F8" w14:textId="77777777" w:rsidR="00250930" w:rsidRPr="00E651F5" w:rsidRDefault="00250930" w:rsidP="000E5582">
      <w:pPr>
        <w:autoSpaceDE w:val="0"/>
        <w:autoSpaceDN w:val="0"/>
        <w:adjustRightInd w:val="0"/>
        <w:spacing w:before="0" w:after="0"/>
        <w:ind w:left="2127" w:hanging="1767"/>
        <w:rPr>
          <w:szCs w:val="20"/>
        </w:rPr>
      </w:pPr>
      <w:proofErr w:type="spellStart"/>
      <w:r w:rsidRPr="00E651F5">
        <w:rPr>
          <w:szCs w:val="20"/>
        </w:rPr>
        <w:t>Tocilizumab</w:t>
      </w:r>
      <w:proofErr w:type="spellEnd"/>
      <w:r w:rsidRPr="00E651F5">
        <w:rPr>
          <w:szCs w:val="20"/>
        </w:rPr>
        <w:t xml:space="preserve">: </w:t>
      </w:r>
      <w:r w:rsidR="000E5582" w:rsidRPr="00E651F5">
        <w:rPr>
          <w:szCs w:val="20"/>
        </w:rPr>
        <w:tab/>
      </w:r>
      <w:r w:rsidR="009C2177" w:rsidRPr="00E651F5">
        <w:rPr>
          <w:szCs w:val="20"/>
        </w:rPr>
        <w:t>not reimbursed for the CRS indication</w:t>
      </w:r>
    </w:p>
    <w:p w14:paraId="55B9C91E" w14:textId="77777777" w:rsidR="009C2177" w:rsidRPr="009C2177" w:rsidRDefault="005F68BE" w:rsidP="000E5582">
      <w:pPr>
        <w:autoSpaceDE w:val="0"/>
        <w:autoSpaceDN w:val="0"/>
        <w:adjustRightInd w:val="0"/>
        <w:spacing w:before="0" w:after="0"/>
        <w:ind w:left="2127" w:hanging="1767"/>
        <w:rPr>
          <w:szCs w:val="20"/>
        </w:rPr>
      </w:pPr>
      <w:r w:rsidRPr="00E651F5">
        <w:t>REDACTED</w:t>
      </w:r>
    </w:p>
    <w:p w14:paraId="53656F45" w14:textId="77777777" w:rsidR="00411735" w:rsidRPr="001E6958" w:rsidRDefault="00411735" w:rsidP="00F61C84">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56A8F11" w14:textId="77777777" w:rsidR="007E39E4" w:rsidRDefault="007E39E4" w:rsidP="00C12E1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3FF79B0" w14:textId="77777777" w:rsidR="001E6919" w:rsidRDefault="007C76EF" w:rsidP="00C12E1D">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1E6919">
        <w:rPr>
          <w:szCs w:val="20"/>
        </w:rPr>
        <w:t xml:space="preserve"> No</w:t>
      </w:r>
    </w:p>
    <w:p w14:paraId="0E189938" w14:textId="77777777" w:rsidR="00C12E1D" w:rsidRDefault="00C12E1D" w:rsidP="00C12E1D">
      <w:pPr>
        <w:pStyle w:val="Heading2"/>
        <w:numPr>
          <w:ilvl w:val="0"/>
          <w:numId w:val="4"/>
        </w:numPr>
      </w:pPr>
      <w:r w:rsidRPr="007E39E4">
        <w:t>If you are seeking both MBS and PBS listing, what is the trade name and generic name of the pharmaceutical?</w:t>
      </w:r>
    </w:p>
    <w:p w14:paraId="75D7F6B3" w14:textId="49FA01E2" w:rsidR="00C12E1D" w:rsidRPr="001E6958" w:rsidRDefault="00C12E1D" w:rsidP="00C12E1D">
      <w:pPr>
        <w:spacing w:before="0" w:after="0"/>
        <w:ind w:left="360"/>
      </w:pPr>
      <w:r>
        <w:t>Not applicable</w:t>
      </w:r>
    </w:p>
    <w:p w14:paraId="792016DA" w14:textId="77777777" w:rsidR="00C12E1D" w:rsidRDefault="00C12E1D" w:rsidP="00C12E1D">
      <w:pPr>
        <w:pStyle w:val="Heading2"/>
      </w:pPr>
      <w:r>
        <w:t xml:space="preserve">(a) </w:t>
      </w:r>
      <w:r w:rsidRPr="00154B00">
        <w:t xml:space="preserve">If the proposed service </w:t>
      </w:r>
      <w:r>
        <w:t xml:space="preserve">is dependent on the use of a prosthesis, </w:t>
      </w:r>
      <w:r w:rsidRPr="00154B00">
        <w:t>is it already included on the Prosthes</w:t>
      </w:r>
      <w:r>
        <w:t>e</w:t>
      </w:r>
      <w:r w:rsidRPr="00154B00">
        <w:t>s List?</w:t>
      </w:r>
    </w:p>
    <w:p w14:paraId="17404C25" w14:textId="6E783828" w:rsidR="00C12E1D" w:rsidRDefault="00C12E1D" w:rsidP="00C12E1D">
      <w:pPr>
        <w:spacing w:before="0" w:after="0"/>
        <w:ind w:left="360"/>
        <w:rPr>
          <w:szCs w:val="20"/>
        </w:rPr>
      </w:pPr>
      <w:r>
        <w:rPr>
          <w:szCs w:val="20"/>
        </w:rPr>
        <w:t xml:space="preserve">Not </w:t>
      </w:r>
      <w:proofErr w:type="spellStart"/>
      <w:r>
        <w:rPr>
          <w:szCs w:val="20"/>
        </w:rPr>
        <w:t>aplicable</w:t>
      </w:r>
      <w:proofErr w:type="spellEnd"/>
    </w:p>
    <w:p w14:paraId="12C1C4E0" w14:textId="77777777" w:rsidR="00C12E1D" w:rsidRDefault="00C12E1D" w:rsidP="00C12E1D">
      <w:pPr>
        <w:pStyle w:val="Heading2"/>
        <w:numPr>
          <w:ilvl w:val="0"/>
          <w:numId w:val="5"/>
        </w:numPr>
      </w:pPr>
      <w:r w:rsidRPr="001E6958">
        <w:t xml:space="preserve">If yes, please provide the following information (where relevant): </w:t>
      </w:r>
    </w:p>
    <w:p w14:paraId="42DA57AD" w14:textId="4D692041" w:rsidR="00C12E1D" w:rsidRPr="001E6958" w:rsidRDefault="00C12E1D" w:rsidP="00C12E1D">
      <w:pPr>
        <w:spacing w:before="0" w:after="0"/>
        <w:ind w:left="284" w:firstLine="76"/>
      </w:pPr>
      <w:r>
        <w:t>Not applicable</w:t>
      </w:r>
    </w:p>
    <w:p w14:paraId="4F425187" w14:textId="77777777" w:rsidR="00C12E1D" w:rsidRDefault="00C12E1D" w:rsidP="00C12E1D">
      <w:pPr>
        <w:pStyle w:val="Heading2"/>
        <w:numPr>
          <w:ilvl w:val="0"/>
          <w:numId w:val="5"/>
        </w:numPr>
      </w:pPr>
      <w:r w:rsidRPr="001E6958">
        <w:t>If no, is an application in the process of being considered by a Clinical Advisory Group or the Prostheses List Advisory Committee (PLAC)?</w:t>
      </w:r>
    </w:p>
    <w:p w14:paraId="7EFE0D4A" w14:textId="10A8D227" w:rsidR="00C12E1D" w:rsidRPr="009939DC" w:rsidRDefault="00C12E1D" w:rsidP="00C12E1D">
      <w:pPr>
        <w:spacing w:before="0" w:after="0"/>
        <w:ind w:left="360"/>
        <w:rPr>
          <w:szCs w:val="20"/>
        </w:rPr>
      </w:pPr>
      <w:r>
        <w:rPr>
          <w:szCs w:val="20"/>
        </w:rPr>
        <w:t>Not applicable</w:t>
      </w:r>
    </w:p>
    <w:p w14:paraId="7350B9C1" w14:textId="77777777" w:rsidR="00C12E1D" w:rsidRPr="009939DC" w:rsidRDefault="00C12E1D" w:rsidP="00C12E1D">
      <w:pPr>
        <w:pStyle w:val="Heading2"/>
        <w:numPr>
          <w:ilvl w:val="0"/>
          <w:numId w:val="5"/>
        </w:numPr>
      </w:pPr>
      <w:r w:rsidRPr="009939DC">
        <w:t>Are there any other sponsor(s) and / or manufacturer(s) that have a similar prosthesis or device component in the Australian market place which this application is relevant to?</w:t>
      </w:r>
    </w:p>
    <w:p w14:paraId="5A5DC8AD" w14:textId="56933215" w:rsidR="00C12E1D" w:rsidRPr="001E6958" w:rsidRDefault="00C12E1D" w:rsidP="00C12E1D">
      <w:pPr>
        <w:spacing w:before="0" w:after="0"/>
        <w:ind w:left="284" w:firstLine="76"/>
        <w:rPr>
          <w:szCs w:val="20"/>
        </w:rPr>
      </w:pPr>
      <w:r>
        <w:rPr>
          <w:szCs w:val="20"/>
        </w:rPr>
        <w:t>Not applicable</w:t>
      </w:r>
    </w:p>
    <w:p w14:paraId="5AE86971" w14:textId="77777777" w:rsidR="00C12E1D" w:rsidRDefault="00C12E1D" w:rsidP="00C12E1D">
      <w:pPr>
        <w:pStyle w:val="Heading2"/>
        <w:numPr>
          <w:ilvl w:val="0"/>
          <w:numId w:val="5"/>
        </w:numPr>
      </w:pPr>
      <w:r w:rsidRPr="009939DC">
        <w:t>If yes, please provide the name(s) of the spon</w:t>
      </w:r>
      <w:r>
        <w:t>sor(s) and / or manufacturer(s):</w:t>
      </w:r>
    </w:p>
    <w:p w14:paraId="2121F0AA" w14:textId="201A0815" w:rsidR="00C12E1D" w:rsidRPr="009939DC" w:rsidRDefault="00C12E1D" w:rsidP="00C12E1D">
      <w:pPr>
        <w:ind w:left="284" w:firstLine="76"/>
      </w:pPr>
      <w:r>
        <w:t>Not applicable</w:t>
      </w:r>
    </w:p>
    <w:p w14:paraId="1DEB24B7" w14:textId="77777777" w:rsidR="0084657B" w:rsidRPr="009939DC" w:rsidRDefault="00A9062D" w:rsidP="00561A90">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0EC451D" w14:textId="77777777" w:rsidR="00E73BA9" w:rsidRDefault="00102419" w:rsidP="00C12E1D">
      <w:pPr>
        <w:spacing w:before="0" w:after="0"/>
        <w:ind w:left="360"/>
      </w:pPr>
      <w:r>
        <w:t>T</w:t>
      </w:r>
      <w:r w:rsidR="009C5CD0">
        <w:t>here are a number of</w:t>
      </w:r>
      <w:r w:rsidR="00111C66">
        <w:t xml:space="preserve"> stages</w:t>
      </w:r>
      <w:r w:rsidR="0061268A">
        <w:t xml:space="preserve"> in the </w:t>
      </w:r>
      <w:r w:rsidR="001C67EF">
        <w:t xml:space="preserve">process of delivering </w:t>
      </w:r>
      <w:proofErr w:type="spellStart"/>
      <w:r w:rsidR="00637C62">
        <w:t>brexucabtagene</w:t>
      </w:r>
      <w:proofErr w:type="spellEnd"/>
      <w:r w:rsidR="00637C62">
        <w:t xml:space="preserve"> </w:t>
      </w:r>
      <w:proofErr w:type="spellStart"/>
      <w:r w:rsidR="00637C62">
        <w:t>autoleucel</w:t>
      </w:r>
      <w:proofErr w:type="spellEnd"/>
      <w:r w:rsidR="00111C66">
        <w:t xml:space="preserve"> </w:t>
      </w:r>
      <w:r w:rsidR="00291CBD">
        <w:t>that require the use of consumables</w:t>
      </w:r>
      <w:r w:rsidR="001C67EF">
        <w:t xml:space="preserve"> e.g.,</w:t>
      </w:r>
      <w:r w:rsidR="00224394">
        <w:t xml:space="preserve"> </w:t>
      </w:r>
      <w:r w:rsidR="00214EEA">
        <w:t xml:space="preserve">collection of </w:t>
      </w:r>
      <w:r w:rsidR="001757DB">
        <w:t>leucocytes from the patient</w:t>
      </w:r>
      <w:r w:rsidR="00214EEA">
        <w:t xml:space="preserve"> by </w:t>
      </w:r>
      <w:proofErr w:type="spellStart"/>
      <w:r w:rsidR="00224394">
        <w:t>leukapheresis</w:t>
      </w:r>
      <w:proofErr w:type="spellEnd"/>
      <w:r w:rsidR="00291CBD">
        <w:t xml:space="preserve">; administration of bridging therapy, </w:t>
      </w:r>
      <w:r w:rsidR="00C73900">
        <w:t xml:space="preserve">administration of conditioning chemotherapy, </w:t>
      </w:r>
      <w:r w:rsidR="00E73BA9">
        <w:t xml:space="preserve">infusion of </w:t>
      </w:r>
      <w:proofErr w:type="spellStart"/>
      <w:r w:rsidR="00637C62">
        <w:t>brexucabtagene</w:t>
      </w:r>
      <w:proofErr w:type="spellEnd"/>
      <w:r w:rsidR="00637C62">
        <w:t xml:space="preserve"> </w:t>
      </w:r>
      <w:proofErr w:type="spellStart"/>
      <w:r w:rsidR="00637C62">
        <w:t>autoleucel</w:t>
      </w:r>
      <w:proofErr w:type="spellEnd"/>
      <w:r w:rsidR="00E73BA9">
        <w:t>.</w:t>
      </w:r>
    </w:p>
    <w:p w14:paraId="6324520F" w14:textId="77777777" w:rsidR="00E73BA9" w:rsidRDefault="00E73BA9" w:rsidP="00C12E1D">
      <w:pPr>
        <w:spacing w:before="0" w:after="0"/>
        <w:ind w:left="360"/>
      </w:pPr>
    </w:p>
    <w:p w14:paraId="036CF234" w14:textId="77777777" w:rsidR="00F648EE" w:rsidRDefault="00E73BA9" w:rsidP="00C12E1D">
      <w:pPr>
        <w:spacing w:before="0" w:after="0"/>
        <w:ind w:left="360"/>
      </w:pPr>
      <w:r>
        <w:t xml:space="preserve">Consumables </w:t>
      </w:r>
      <w:r w:rsidR="00F20723">
        <w:t xml:space="preserve">that </w:t>
      </w:r>
      <w:r w:rsidR="00313163">
        <w:t>are likely to be</w:t>
      </w:r>
      <w:r w:rsidR="00F20723">
        <w:t xml:space="preserve"> required include: </w:t>
      </w:r>
      <w:r w:rsidR="00AC7D5A">
        <w:t xml:space="preserve">gloves, masks, </w:t>
      </w:r>
      <w:r w:rsidR="00DC7132">
        <w:t>sterile alcohol wipes</w:t>
      </w:r>
      <w:r w:rsidR="006201EA">
        <w:t xml:space="preserve">, </w:t>
      </w:r>
      <w:r w:rsidR="00F9215F">
        <w:t>sterile field pro</w:t>
      </w:r>
      <w:r w:rsidR="005E13DF">
        <w:t xml:space="preserve">cedural mats, </w:t>
      </w:r>
      <w:r w:rsidR="00F5574A">
        <w:t xml:space="preserve">spill kits, labels, </w:t>
      </w:r>
      <w:r w:rsidR="00CA54CC">
        <w:t xml:space="preserve">syringes, needles, </w:t>
      </w:r>
      <w:r w:rsidR="00CA415E">
        <w:t>gauze</w:t>
      </w:r>
      <w:r w:rsidR="000668FF">
        <w:t xml:space="preserve">, </w:t>
      </w:r>
      <w:r w:rsidR="00DA6C96">
        <w:t>plasma collection sets,</w:t>
      </w:r>
      <w:r w:rsidR="00D579E2">
        <w:t xml:space="preserve"> collection containers, </w:t>
      </w:r>
      <w:r w:rsidR="00C478CE">
        <w:t>adhesive tapes,</w:t>
      </w:r>
      <w:r w:rsidR="00DA6C96">
        <w:t xml:space="preserve"> </w:t>
      </w:r>
      <w:r w:rsidR="00D579E2">
        <w:t>IV administration</w:t>
      </w:r>
      <w:r w:rsidR="00CD141F">
        <w:t xml:space="preserve"> sets</w:t>
      </w:r>
      <w:r w:rsidR="00F20723">
        <w:t>, filters</w:t>
      </w:r>
      <w:r w:rsidR="00CD141F">
        <w:t xml:space="preserve">, </w:t>
      </w:r>
      <w:r w:rsidR="00DC7132">
        <w:t>IV fluids</w:t>
      </w:r>
      <w:r w:rsidR="00D579E2">
        <w:t xml:space="preserve"> (e.g., normal saline)</w:t>
      </w:r>
      <w:r w:rsidR="00F070C6">
        <w:t xml:space="preserve">. </w:t>
      </w:r>
    </w:p>
    <w:p w14:paraId="059465D3" w14:textId="77777777" w:rsidR="00F648EE" w:rsidRDefault="00F648EE" w:rsidP="00A6491A">
      <w:pPr>
        <w:spacing w:before="0" w:after="0"/>
        <w:ind w:left="284"/>
      </w:pPr>
    </w:p>
    <w:p w14:paraId="2912F438" w14:textId="77777777" w:rsidR="00F301F1" w:rsidRPr="00855944" w:rsidRDefault="00F301F1" w:rsidP="00A6491A">
      <w:pPr>
        <w:spacing w:before="0" w:after="0"/>
        <w:ind w:left="284"/>
      </w:pPr>
      <w:r w:rsidRPr="00855944">
        <w:br w:type="page"/>
      </w:r>
    </w:p>
    <w:p w14:paraId="572FD465"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0F40E8A" w14:textId="77777777" w:rsidR="001A1ADF" w:rsidRPr="00A6491A" w:rsidRDefault="0011369B" w:rsidP="00561A90">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DDEBAE6"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9539A5">
        <w:rPr>
          <w:szCs w:val="20"/>
        </w:rPr>
        <w:tab/>
      </w:r>
      <w:r w:rsidR="005C4402">
        <w:t>Class</w:t>
      </w:r>
      <w:r w:rsidR="00E956DC">
        <w:t xml:space="preserve"> 4 biological product</w:t>
      </w:r>
    </w:p>
    <w:p w14:paraId="34B4B936"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9539A5">
        <w:rPr>
          <w:szCs w:val="20"/>
        </w:rPr>
        <w:tab/>
      </w:r>
      <w:r w:rsidR="009539A5">
        <w:rPr>
          <w:szCs w:val="20"/>
        </w:rPr>
        <w:tab/>
      </w:r>
      <w:r w:rsidR="00E956DC">
        <w:t>Kite Pharma, a Gilead Company</w:t>
      </w:r>
    </w:p>
    <w:p w14:paraId="1432142D"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9539A5">
        <w:rPr>
          <w:szCs w:val="20"/>
        </w:rPr>
        <w:tab/>
      </w:r>
      <w:r w:rsidR="009539A5">
        <w:rPr>
          <w:szCs w:val="20"/>
        </w:rPr>
        <w:tab/>
      </w:r>
      <w:r w:rsidR="00E956DC">
        <w:t>Gilead Sciences Pty Ltd</w:t>
      </w:r>
    </w:p>
    <w:p w14:paraId="603CC7BB" w14:textId="77777777" w:rsidR="005E2CE3" w:rsidRPr="00154B00" w:rsidRDefault="005E2CE3" w:rsidP="00F61C84">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16C7326B"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sidRPr="000A5B32">
        <w:rPr>
          <w:szCs w:val="20"/>
        </w:rPr>
        <w:t xml:space="preserve"> </w:t>
      </w:r>
      <w:r w:rsidRPr="00615F42">
        <w:rPr>
          <w:szCs w:val="20"/>
        </w:rPr>
        <w:t>Class III</w:t>
      </w:r>
    </w:p>
    <w:p w14:paraId="72E5F26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sidRPr="000A5B32">
        <w:rPr>
          <w:szCs w:val="20"/>
        </w:rPr>
        <w:t xml:space="preserve"> </w:t>
      </w:r>
      <w:r w:rsidRPr="00615F42">
        <w:rPr>
          <w:szCs w:val="20"/>
        </w:rPr>
        <w:t>AIMD</w:t>
      </w:r>
    </w:p>
    <w:p w14:paraId="7A91812E" w14:textId="77777777" w:rsidR="005E2CE3" w:rsidRPr="00154B00" w:rsidRDefault="00E956D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615F42" w:rsidRPr="000A5B32">
        <w:rPr>
          <w:szCs w:val="20"/>
        </w:rPr>
        <w:t xml:space="preserve"> </w:t>
      </w:r>
      <w:r w:rsidR="00615F42" w:rsidRPr="00615F42">
        <w:rPr>
          <w:szCs w:val="20"/>
        </w:rPr>
        <w:t>N/A</w:t>
      </w:r>
    </w:p>
    <w:p w14:paraId="3B15B63A" w14:textId="77777777" w:rsidR="003421AE" w:rsidRPr="00A6491A" w:rsidRDefault="0011369B" w:rsidP="00561A90">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AFC93EE"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6C3E887" w14:textId="77777777" w:rsidR="003421AE" w:rsidRPr="00615F42" w:rsidRDefault="00E956DC"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615F42">
        <w:rPr>
          <w:szCs w:val="20"/>
        </w:rPr>
        <w:t xml:space="preserve"> No</w:t>
      </w:r>
    </w:p>
    <w:p w14:paraId="34BC5F6E" w14:textId="77777777" w:rsidR="00D85676" w:rsidRDefault="00D85676" w:rsidP="00F61C84">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39A5D761"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Yes (if yes, please provide details below)</w:t>
      </w:r>
    </w:p>
    <w:p w14:paraId="2A44649A" w14:textId="77777777" w:rsidR="0043654D" w:rsidRDefault="00E956DC"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43654D">
        <w:rPr>
          <w:szCs w:val="20"/>
        </w:rPr>
        <w:t xml:space="preserve"> No</w:t>
      </w:r>
    </w:p>
    <w:p w14:paraId="1CD442E9" w14:textId="77777777" w:rsidR="0043654D" w:rsidRPr="00615F42" w:rsidRDefault="0043654D" w:rsidP="0043654D">
      <w:pPr>
        <w:spacing w:before="0" w:after="0"/>
        <w:ind w:left="284"/>
        <w:rPr>
          <w:b/>
          <w:szCs w:val="20"/>
        </w:rPr>
      </w:pPr>
    </w:p>
    <w:p w14:paraId="69228154" w14:textId="77777777" w:rsidR="00C0796F" w:rsidRDefault="00C0796F" w:rsidP="00561A90">
      <w:pPr>
        <w:pStyle w:val="Heading2"/>
      </w:pPr>
      <w:r w:rsidRPr="00CA1509">
        <w:t>If the therapeutic good has not been listed, registered or included in the ARTG, is the therapeutic good in the process of being considered for inclusion by the TGA?</w:t>
      </w:r>
    </w:p>
    <w:p w14:paraId="0180B19C" w14:textId="327D6E50" w:rsidR="003E3924" w:rsidRDefault="003E3924" w:rsidP="00C12E1D">
      <w:pPr>
        <w:ind w:firstLine="360"/>
        <w:rPr>
          <w:b/>
        </w:rPr>
      </w:pPr>
      <w:r w:rsidRPr="00C12E1D">
        <w:rPr>
          <w:b/>
        </w:rPr>
        <w:t>REDACTED</w:t>
      </w:r>
    </w:p>
    <w:p w14:paraId="7B51CF88" w14:textId="77777777" w:rsidR="00C12E1D" w:rsidRPr="000A110D" w:rsidRDefault="00C12E1D" w:rsidP="00C12E1D">
      <w:pPr>
        <w:pStyle w:val="Heading2"/>
      </w:pPr>
      <w:r>
        <w:t>I</w:t>
      </w:r>
      <w:r w:rsidRPr="000A110D">
        <w:t>f the therapeutic good is not in the process of being considered for listing, registration or inclusion by the TGA, is an application to the TGA being prepared?</w:t>
      </w:r>
    </w:p>
    <w:p w14:paraId="3F9FB23B" w14:textId="77777777" w:rsidR="003E3924" w:rsidRPr="00C12E1D" w:rsidRDefault="003E3924" w:rsidP="00C12E1D">
      <w:pPr>
        <w:ind w:firstLine="360"/>
        <w:rPr>
          <w:b/>
        </w:rPr>
      </w:pPr>
      <w:r w:rsidRPr="00C12E1D">
        <w:rPr>
          <w:b/>
        </w:rPr>
        <w:t>REDACTED</w:t>
      </w:r>
    </w:p>
    <w:p w14:paraId="6C855F04" w14:textId="77777777" w:rsidR="00F83A9D" w:rsidRPr="00154B00" w:rsidRDefault="00F83A9D" w:rsidP="00F83A9D">
      <w:pPr>
        <w:rPr>
          <w:szCs w:val="20"/>
        </w:rPr>
      </w:pPr>
    </w:p>
    <w:p w14:paraId="539B17A2" w14:textId="77777777" w:rsidR="00DD308E" w:rsidRDefault="00DD308E">
      <w:pPr>
        <w:rPr>
          <w:b/>
          <w:sz w:val="32"/>
          <w:szCs w:val="32"/>
        </w:rPr>
        <w:sectPr w:rsidR="00DD308E" w:rsidSect="00991EE4">
          <w:footerReference w:type="default" r:id="rId11"/>
          <w:endnotePr>
            <w:numFmt w:val="decimal"/>
          </w:endnotePr>
          <w:pgSz w:w="11906" w:h="16838"/>
          <w:pgMar w:top="1440" w:right="1440" w:bottom="1440" w:left="1440" w:header="708" w:footer="708" w:gutter="0"/>
          <w:pgNumType w:start="0"/>
          <w:cols w:space="708"/>
          <w:titlePg/>
          <w:docGrid w:linePitch="360"/>
        </w:sectPr>
      </w:pPr>
    </w:p>
    <w:p w14:paraId="7FE6935D"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4BB05E1B" w14:textId="77777777" w:rsidR="00DD308E" w:rsidRPr="00493D9F" w:rsidRDefault="00DD308E" w:rsidP="00561A90">
      <w:pPr>
        <w:pStyle w:val="Heading2"/>
        <w:rPr>
          <w:iCs/>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CellMar>
          <w:left w:w="57" w:type="dxa"/>
          <w:right w:w="57" w:type="dxa"/>
        </w:tblCellMar>
        <w:tblLook w:val="04A0" w:firstRow="1" w:lastRow="0" w:firstColumn="1" w:lastColumn="0" w:noHBand="0" w:noVBand="1"/>
        <w:tblCaption w:val="Summary of Evidence - Published"/>
      </w:tblPr>
      <w:tblGrid>
        <w:gridCol w:w="216"/>
        <w:gridCol w:w="1158"/>
        <w:gridCol w:w="2223"/>
        <w:gridCol w:w="4109"/>
        <w:gridCol w:w="4811"/>
        <w:gridCol w:w="1431"/>
      </w:tblGrid>
      <w:tr w:rsidR="00DD308E" w14:paraId="4EBCEF09" w14:textId="77777777" w:rsidTr="00C12E1D">
        <w:trPr>
          <w:cantSplit/>
          <w:tblHeader/>
        </w:trPr>
        <w:tc>
          <w:tcPr>
            <w:tcW w:w="151" w:type="pct"/>
          </w:tcPr>
          <w:p w14:paraId="48170D72" w14:textId="77777777" w:rsidR="00DD308E" w:rsidRDefault="00DD308E" w:rsidP="00CE7882">
            <w:pPr>
              <w:pStyle w:val="TableHEADER"/>
              <w:jc w:val="center"/>
            </w:pPr>
          </w:p>
        </w:tc>
        <w:tc>
          <w:tcPr>
            <w:tcW w:w="763" w:type="pct"/>
          </w:tcPr>
          <w:p w14:paraId="376BADE0" w14:textId="77777777" w:rsidR="00DD308E" w:rsidRDefault="00DD308E" w:rsidP="00855944">
            <w:pPr>
              <w:pStyle w:val="TableHEADER"/>
            </w:pPr>
            <w:r>
              <w:t>Type of study design*</w:t>
            </w:r>
          </w:p>
        </w:tc>
        <w:tc>
          <w:tcPr>
            <w:tcW w:w="943" w:type="pct"/>
          </w:tcPr>
          <w:p w14:paraId="38FA2D96" w14:textId="77777777" w:rsidR="00DD308E" w:rsidRDefault="00DD308E" w:rsidP="00855944">
            <w:pPr>
              <w:pStyle w:val="TableHEADER"/>
            </w:pPr>
            <w:r>
              <w:t>Title of journal article  or research project (including any trial identifier or study lead if relevant)</w:t>
            </w:r>
          </w:p>
        </w:tc>
        <w:tc>
          <w:tcPr>
            <w:tcW w:w="1850" w:type="pct"/>
          </w:tcPr>
          <w:p w14:paraId="70B3AAB5" w14:textId="77777777" w:rsidR="00DD308E" w:rsidRDefault="00DD308E" w:rsidP="00855944">
            <w:pPr>
              <w:pStyle w:val="TableHEADER"/>
            </w:pPr>
            <w:r>
              <w:t>Short description of research (max 50 words)**</w:t>
            </w:r>
          </w:p>
        </w:tc>
        <w:tc>
          <w:tcPr>
            <w:tcW w:w="762" w:type="pct"/>
          </w:tcPr>
          <w:p w14:paraId="37A8CC14" w14:textId="77777777" w:rsidR="00DD308E" w:rsidRDefault="00DD308E" w:rsidP="00855944">
            <w:pPr>
              <w:pStyle w:val="TableHEADER"/>
            </w:pPr>
            <w:r w:rsidRPr="00E82F54">
              <w:t xml:space="preserve">Website link to </w:t>
            </w:r>
            <w:r>
              <w:t>journal article or research (if available)</w:t>
            </w:r>
          </w:p>
        </w:tc>
        <w:tc>
          <w:tcPr>
            <w:tcW w:w="530" w:type="pct"/>
          </w:tcPr>
          <w:p w14:paraId="61A9EB83" w14:textId="77777777" w:rsidR="00DD308E" w:rsidRDefault="00DD308E" w:rsidP="00855944">
            <w:pPr>
              <w:pStyle w:val="TableHEADER"/>
            </w:pPr>
            <w:r w:rsidRPr="00E82F54">
              <w:t>Date</w:t>
            </w:r>
            <w:r>
              <w:t xml:space="preserve"> of publication</w:t>
            </w:r>
            <w:r w:rsidRPr="00E82F54">
              <w:t>*</w:t>
            </w:r>
            <w:r>
              <w:t>**</w:t>
            </w:r>
          </w:p>
        </w:tc>
      </w:tr>
      <w:tr w:rsidR="00DD308E" w14:paraId="5AE7E8A4" w14:textId="77777777" w:rsidTr="00C12E1D">
        <w:trPr>
          <w:cantSplit/>
        </w:trPr>
        <w:tc>
          <w:tcPr>
            <w:tcW w:w="151" w:type="pct"/>
          </w:tcPr>
          <w:p w14:paraId="412AFC12" w14:textId="77777777" w:rsidR="00DD308E" w:rsidRPr="00965B6B" w:rsidRDefault="00DD308E" w:rsidP="00CE7882">
            <w:pPr>
              <w:jc w:val="center"/>
              <w:rPr>
                <w:szCs w:val="20"/>
              </w:rPr>
            </w:pPr>
            <w:r w:rsidRPr="00965B6B">
              <w:rPr>
                <w:szCs w:val="20"/>
              </w:rPr>
              <w:t>1</w:t>
            </w:r>
          </w:p>
        </w:tc>
        <w:tc>
          <w:tcPr>
            <w:tcW w:w="763" w:type="pct"/>
          </w:tcPr>
          <w:p w14:paraId="2915032D" w14:textId="77777777" w:rsidR="00DD308E" w:rsidRPr="001F685C" w:rsidRDefault="00EC157E" w:rsidP="00DD308E">
            <w:pPr>
              <w:rPr>
                <w:b/>
                <w:bCs/>
              </w:rPr>
            </w:pPr>
            <w:r>
              <w:rPr>
                <w:b/>
                <w:bCs/>
              </w:rPr>
              <w:t xml:space="preserve">Phase II </w:t>
            </w:r>
            <w:r w:rsidR="00DA38DC">
              <w:rPr>
                <w:b/>
                <w:bCs/>
              </w:rPr>
              <w:t>multicentre</w:t>
            </w:r>
            <w:r w:rsidR="00BB2553">
              <w:rPr>
                <w:b/>
                <w:bCs/>
              </w:rPr>
              <w:t xml:space="preserve">, open-label, </w:t>
            </w:r>
            <w:r>
              <w:rPr>
                <w:b/>
                <w:bCs/>
              </w:rPr>
              <w:t>non</w:t>
            </w:r>
            <w:r w:rsidR="0078334F">
              <w:rPr>
                <w:b/>
                <w:bCs/>
              </w:rPr>
              <w:t>-comparative</w:t>
            </w:r>
            <w:r>
              <w:rPr>
                <w:b/>
                <w:bCs/>
              </w:rPr>
              <w:t xml:space="preserve"> study</w:t>
            </w:r>
          </w:p>
        </w:tc>
        <w:tc>
          <w:tcPr>
            <w:tcW w:w="943" w:type="pct"/>
          </w:tcPr>
          <w:p w14:paraId="26279783" w14:textId="77777777" w:rsidR="00BA1D40" w:rsidRDefault="00BA1D40" w:rsidP="00BA1D40">
            <w:pPr>
              <w:rPr>
                <w:bCs/>
                <w:szCs w:val="20"/>
              </w:rPr>
            </w:pPr>
            <w:r>
              <w:rPr>
                <w:bCs/>
                <w:szCs w:val="20"/>
              </w:rPr>
              <w:t>ZUMA-2 study</w:t>
            </w:r>
          </w:p>
          <w:p w14:paraId="57EC3EFA" w14:textId="77777777" w:rsidR="00BA1D40" w:rsidRDefault="00BA1D40" w:rsidP="00BA1D40">
            <w:pPr>
              <w:rPr>
                <w:bCs/>
                <w:szCs w:val="20"/>
              </w:rPr>
            </w:pPr>
            <w:r w:rsidRPr="006251C4">
              <w:rPr>
                <w:bCs/>
                <w:szCs w:val="20"/>
              </w:rPr>
              <w:t>NCT02601313</w:t>
            </w:r>
          </w:p>
          <w:p w14:paraId="1D38D41D" w14:textId="77777777" w:rsidR="006251C4" w:rsidRPr="006251C4" w:rsidRDefault="0030184A" w:rsidP="00B051D1">
            <w:pPr>
              <w:rPr>
                <w:bCs/>
                <w:szCs w:val="20"/>
              </w:rPr>
            </w:pPr>
            <w:r>
              <w:t>Wang M et al. KTE-X19</w:t>
            </w:r>
            <w:r w:rsidR="001B71DC">
              <w:t xml:space="preserve"> CAR</w:t>
            </w:r>
            <w:r w:rsidR="002657C5">
              <w:t xml:space="preserve"> </w:t>
            </w:r>
            <w:r w:rsidR="001B71DC">
              <w:t>T</w:t>
            </w:r>
            <w:r w:rsidR="002657C5">
              <w:t>-</w:t>
            </w:r>
            <w:r w:rsidR="001B71DC">
              <w:t>cell therapy in relapsed or refractory mantle</w:t>
            </w:r>
            <w:r w:rsidR="00E7373B">
              <w:t>-</w:t>
            </w:r>
            <w:r w:rsidR="001B71DC">
              <w:t>cell lymphoma</w:t>
            </w:r>
            <w:r w:rsidR="00A67CCF">
              <w:t xml:space="preserve">. </w:t>
            </w:r>
            <w:r w:rsidR="00A67CCF" w:rsidRPr="00B25BC5">
              <w:rPr>
                <w:i/>
                <w:iCs/>
              </w:rPr>
              <w:t xml:space="preserve">N </w:t>
            </w:r>
            <w:proofErr w:type="spellStart"/>
            <w:r w:rsidR="00A67CCF" w:rsidRPr="00B25BC5">
              <w:rPr>
                <w:i/>
                <w:iCs/>
              </w:rPr>
              <w:t>Engl</w:t>
            </w:r>
            <w:proofErr w:type="spellEnd"/>
            <w:r w:rsidR="00A67CCF" w:rsidRPr="00B25BC5">
              <w:rPr>
                <w:i/>
                <w:iCs/>
              </w:rPr>
              <w:t xml:space="preserve"> J Med</w:t>
            </w:r>
            <w:r w:rsidR="00A67CCF">
              <w:t xml:space="preserve"> </w:t>
            </w:r>
            <w:r w:rsidR="00847DBD">
              <w:t>2020</w:t>
            </w:r>
            <w:proofErr w:type="gramStart"/>
            <w:r w:rsidR="00847DBD">
              <w:t>;382</w:t>
            </w:r>
            <w:proofErr w:type="gramEnd"/>
            <w:r w:rsidR="00D26BD3">
              <w:t>(14)</w:t>
            </w:r>
            <w:r w:rsidR="00847DBD">
              <w:t>:1331-1342</w:t>
            </w:r>
            <w:r w:rsidR="00554380">
              <w:t xml:space="preserve">. DOI: </w:t>
            </w:r>
            <w:r w:rsidR="00554380" w:rsidRPr="00554380">
              <w:t>10.1056/NEJMoa1914347</w:t>
            </w:r>
          </w:p>
        </w:tc>
        <w:tc>
          <w:tcPr>
            <w:tcW w:w="1850" w:type="pct"/>
          </w:tcPr>
          <w:p w14:paraId="282E2777" w14:textId="77777777" w:rsidR="00DE23B0" w:rsidRDefault="003254FF" w:rsidP="00DE23B0">
            <w:r>
              <w:t xml:space="preserve">Evaluation of </w:t>
            </w:r>
            <w:r w:rsidR="00FC54B6">
              <w:t xml:space="preserve">the efficacy of </w:t>
            </w:r>
            <w:proofErr w:type="spellStart"/>
            <w:r w:rsidR="00637C62">
              <w:t>brexucabtagene</w:t>
            </w:r>
            <w:proofErr w:type="spellEnd"/>
            <w:r w:rsidR="00637C62">
              <w:t xml:space="preserve"> </w:t>
            </w:r>
            <w:proofErr w:type="spellStart"/>
            <w:r w:rsidR="00637C62">
              <w:t>autoleucel</w:t>
            </w:r>
            <w:proofErr w:type="spellEnd"/>
            <w:r>
              <w:t xml:space="preserve"> in </w:t>
            </w:r>
            <w:r w:rsidR="00011CE7">
              <w:t>60</w:t>
            </w:r>
            <w:r w:rsidR="00A179AD">
              <w:t xml:space="preserve"> patients </w:t>
            </w:r>
            <w:r w:rsidR="00564C24">
              <w:t xml:space="preserve">and safety in 68 patients </w:t>
            </w:r>
            <w:r w:rsidR="00A179AD">
              <w:t>with relapsed or refractory MCL</w:t>
            </w:r>
            <w:r w:rsidR="00750266">
              <w:t>.</w:t>
            </w:r>
          </w:p>
          <w:p w14:paraId="0DACCC49" w14:textId="77777777" w:rsidR="00564C24" w:rsidRPr="006602B0" w:rsidRDefault="00637C62" w:rsidP="00DE23B0">
            <w:proofErr w:type="spellStart"/>
            <w:r>
              <w:t>Brexucabtagene</w:t>
            </w:r>
            <w:proofErr w:type="spellEnd"/>
            <w:r>
              <w:t xml:space="preserve"> </w:t>
            </w:r>
            <w:proofErr w:type="spellStart"/>
            <w:r>
              <w:t>autoleucel</w:t>
            </w:r>
            <w:proofErr w:type="spellEnd"/>
            <w:r w:rsidR="00DE23B0">
              <w:t xml:space="preserve"> induced durable remissions in a majority of patients with relapsed or refractory mantle-cell lymphoma. The adverse event profile </w:t>
            </w:r>
            <w:r w:rsidR="00561853">
              <w:t xml:space="preserve">of </w:t>
            </w:r>
            <w:proofErr w:type="spellStart"/>
            <w:r>
              <w:t>brexucabtagene</w:t>
            </w:r>
            <w:proofErr w:type="spellEnd"/>
            <w:r>
              <w:t xml:space="preserve"> </w:t>
            </w:r>
            <w:proofErr w:type="spellStart"/>
            <w:r>
              <w:t>autoleucel</w:t>
            </w:r>
            <w:proofErr w:type="spellEnd"/>
            <w:r w:rsidR="00561853">
              <w:t xml:space="preserve"> is </w:t>
            </w:r>
            <w:r w:rsidR="00DE23B0">
              <w:t xml:space="preserve">consistent with </w:t>
            </w:r>
            <w:r w:rsidR="00561853">
              <w:t xml:space="preserve">that </w:t>
            </w:r>
            <w:r w:rsidR="00DE23B0">
              <w:t>reported with other CAR T-cell therapies.</w:t>
            </w:r>
          </w:p>
        </w:tc>
        <w:tc>
          <w:tcPr>
            <w:tcW w:w="762" w:type="pct"/>
          </w:tcPr>
          <w:p w14:paraId="3925CE02" w14:textId="77777777" w:rsidR="00DD308E" w:rsidRPr="00E82F54" w:rsidRDefault="00AA5DA6" w:rsidP="00DD308E">
            <w:pPr>
              <w:rPr>
                <w:b/>
                <w:szCs w:val="20"/>
              </w:rPr>
            </w:pPr>
            <w:hyperlink r:id="rId12" w:history="1">
              <w:r w:rsidR="00E61D31" w:rsidRPr="0017447A">
                <w:rPr>
                  <w:rStyle w:val="Hyperlink"/>
                </w:rPr>
                <w:t>https://www.nejm.org/doi/full/10.1056/NEJMoa1914347</w:t>
              </w:r>
            </w:hyperlink>
            <w:r w:rsidR="007E31DD">
              <w:t xml:space="preserve"> [Last accessed: </w:t>
            </w:r>
            <w:r w:rsidR="00090002">
              <w:t>26 Jun 2020]</w:t>
            </w:r>
          </w:p>
        </w:tc>
        <w:tc>
          <w:tcPr>
            <w:tcW w:w="530" w:type="pct"/>
          </w:tcPr>
          <w:p w14:paraId="7A5CF31F" w14:textId="77777777" w:rsidR="00DD308E" w:rsidRPr="00E82F54" w:rsidRDefault="00F17061" w:rsidP="00DD308E">
            <w:pPr>
              <w:rPr>
                <w:b/>
                <w:szCs w:val="20"/>
              </w:rPr>
            </w:pPr>
            <w:r>
              <w:t>2020</w:t>
            </w:r>
          </w:p>
        </w:tc>
      </w:tr>
    </w:tbl>
    <w:p w14:paraId="0DD4C980" w14:textId="77777777" w:rsidR="00DD308E" w:rsidRDefault="00DD308E" w:rsidP="00A168E7">
      <w:pPr>
        <w:spacing w:before="0" w:after="0"/>
        <w:ind w:left="850" w:hanging="425"/>
        <w:rPr>
          <w:i/>
          <w:szCs w:val="20"/>
        </w:rPr>
      </w:pPr>
      <w:r>
        <w:rPr>
          <w:i/>
          <w:szCs w:val="20"/>
        </w:rPr>
        <w:t>*</w:t>
      </w:r>
      <w:r w:rsidR="00A6285D">
        <w:rPr>
          <w:i/>
          <w:szCs w:val="20"/>
        </w:rPr>
        <w:tab/>
      </w:r>
      <w:r>
        <w:rPr>
          <w:i/>
          <w:szCs w:val="20"/>
        </w:rPr>
        <w:t xml:space="preserve">Categorise study design, for example meta-analysis, randomised trials, non-randomised trial or observational study, study of diagnostic accuracy, etc. </w:t>
      </w:r>
    </w:p>
    <w:p w14:paraId="3742F8E2" w14:textId="77777777" w:rsidR="00DD308E" w:rsidRDefault="00DD308E" w:rsidP="00A168E7">
      <w:pPr>
        <w:spacing w:before="0" w:after="0"/>
        <w:ind w:left="850" w:hanging="425"/>
        <w:rPr>
          <w:i/>
          <w:szCs w:val="20"/>
        </w:rPr>
      </w:pPr>
      <w:r>
        <w:rPr>
          <w:i/>
          <w:szCs w:val="20"/>
        </w:rPr>
        <w:t>**</w:t>
      </w:r>
      <w:r w:rsidR="00A6285D">
        <w:rPr>
          <w:i/>
          <w:szCs w:val="20"/>
        </w:rPr>
        <w:tab/>
      </w:r>
      <w:r>
        <w:rPr>
          <w:i/>
          <w:szCs w:val="20"/>
        </w:rPr>
        <w:t>Provide high level information including population numbers and whether patients are being recruited or in post-recruitment, including providing the trial registration number to allow for tracking purposes.</w:t>
      </w:r>
    </w:p>
    <w:p w14:paraId="71A63170" w14:textId="77777777" w:rsidR="00A168E7" w:rsidRDefault="00DD308E" w:rsidP="00A168E7">
      <w:pPr>
        <w:spacing w:before="0" w:after="0"/>
        <w:ind w:left="850" w:hanging="425"/>
        <w:rPr>
          <w:i/>
          <w:szCs w:val="20"/>
        </w:rPr>
      </w:pPr>
      <w:r w:rsidRPr="00E82F54">
        <w:rPr>
          <w:i/>
          <w:szCs w:val="20"/>
        </w:rPr>
        <w:t>*</w:t>
      </w:r>
      <w:r>
        <w:rPr>
          <w:szCs w:val="20"/>
        </w:rPr>
        <w:t>**</w:t>
      </w:r>
      <w:r w:rsidR="00A6285D">
        <w:rPr>
          <w:szCs w:val="20"/>
        </w:rPr>
        <w:tab/>
      </w:r>
      <w:r>
        <w:rPr>
          <w:i/>
          <w:szCs w:val="20"/>
        </w:rPr>
        <w:t>If the publication is a follow-up to an init</w:t>
      </w:r>
      <w:r w:rsidR="00A168E7">
        <w:rPr>
          <w:i/>
          <w:szCs w:val="20"/>
        </w:rPr>
        <w:t xml:space="preserve">ial publication, please </w:t>
      </w:r>
      <w:proofErr w:type="gramStart"/>
      <w:r w:rsidR="00A168E7">
        <w:rPr>
          <w:i/>
          <w:szCs w:val="20"/>
        </w:rPr>
        <w:t>advise</w:t>
      </w:r>
      <w:proofErr w:type="gramEnd"/>
      <w:r w:rsidR="00A168E7">
        <w:rPr>
          <w:i/>
          <w:szCs w:val="20"/>
        </w:rPr>
        <w:t>.</w:t>
      </w:r>
    </w:p>
    <w:p w14:paraId="75CF15DB" w14:textId="77777777" w:rsidR="00A168E7" w:rsidRDefault="00A168E7" w:rsidP="00A168E7">
      <w:pPr>
        <w:spacing w:before="0" w:after="0"/>
        <w:ind w:left="850" w:hanging="425"/>
        <w:rPr>
          <w:i/>
          <w:szCs w:val="20"/>
        </w:rPr>
      </w:pPr>
    </w:p>
    <w:p w14:paraId="254A87FE" w14:textId="6906B9A9" w:rsidR="00227701" w:rsidRPr="006C268A" w:rsidRDefault="004C49EF" w:rsidP="00A168E7">
      <w:pPr>
        <w:pStyle w:val="Heading2"/>
        <w:rPr>
          <w:iCs/>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523924F8" w14:textId="3987E222" w:rsidR="00DD308E" w:rsidRPr="00A168E7" w:rsidRDefault="00A168E7" w:rsidP="00A168E7">
      <w:pPr>
        <w:ind w:left="360"/>
        <w:rPr>
          <w:sz w:val="32"/>
          <w:szCs w:val="32"/>
        </w:rPr>
        <w:sectPr w:rsidR="00DD308E" w:rsidRPr="00A168E7" w:rsidSect="00DD308E">
          <w:pgSz w:w="16838" w:h="11906" w:orient="landscape"/>
          <w:pgMar w:top="1440" w:right="1440" w:bottom="1440" w:left="1440" w:header="708" w:footer="708" w:gutter="0"/>
          <w:cols w:space="708"/>
          <w:docGrid w:linePitch="360"/>
        </w:sectPr>
      </w:pPr>
      <w:r w:rsidRPr="00A168E7">
        <w:rPr>
          <w:szCs w:val="20"/>
        </w:rPr>
        <w:t xml:space="preserve">Not </w:t>
      </w:r>
      <w:proofErr w:type="spellStart"/>
      <w:r w:rsidRPr="00A168E7">
        <w:rPr>
          <w:szCs w:val="20"/>
        </w:rPr>
        <w:t>applcable</w:t>
      </w:r>
      <w:proofErr w:type="spellEnd"/>
      <w:r w:rsidR="00F301F1" w:rsidRPr="00A168E7">
        <w:rPr>
          <w:sz w:val="32"/>
          <w:szCs w:val="32"/>
        </w:rPr>
        <w:br w:type="page"/>
      </w:r>
    </w:p>
    <w:p w14:paraId="754C29FD"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5F3BE55" w14:textId="77777777" w:rsidR="00E82F54" w:rsidRDefault="00E82F54" w:rsidP="00561A90">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w:t>
      </w:r>
      <w:r w:rsidR="00EA173C" w:rsidRPr="00074A31">
        <w:t xml:space="preserve">the service </w:t>
      </w:r>
      <w:r w:rsidR="00F93784" w:rsidRPr="00074A31">
        <w:t xml:space="preserve">(please </w:t>
      </w:r>
      <w:r w:rsidR="00EA173C" w:rsidRPr="00074A31">
        <w:t>attach</w:t>
      </w:r>
      <w:r w:rsidR="00F93784" w:rsidRPr="00074A31">
        <w:t xml:space="preserve"> a </w:t>
      </w:r>
      <w:r w:rsidR="00254813" w:rsidRPr="00074A31">
        <w:t>statement of clinical relevance from</w:t>
      </w:r>
      <w:r w:rsidR="00EA173C" w:rsidRPr="00074A31">
        <w:t xml:space="preserve"> each </w:t>
      </w:r>
      <w:r w:rsidR="00F93784" w:rsidRPr="00074A31">
        <w:t>group</w:t>
      </w:r>
      <w:r w:rsidR="00EA173C" w:rsidRPr="00074A31">
        <w:t xml:space="preserve"> nominated</w:t>
      </w:r>
      <w:r w:rsidR="00F93784" w:rsidRPr="00074A31">
        <w:t>)</w:t>
      </w:r>
      <w:r w:rsidR="00A727B6" w:rsidRPr="00074A31">
        <w:t>:</w:t>
      </w:r>
    </w:p>
    <w:p w14:paraId="756AADA9" w14:textId="77777777" w:rsidR="00AE54C3" w:rsidRPr="00A168E7" w:rsidRDefault="00AE54C3" w:rsidP="00A168E7">
      <w:pPr>
        <w:pStyle w:val="ListParagraph"/>
        <w:ind w:left="709" w:hanging="360"/>
        <w:rPr>
          <w:b/>
          <w:szCs w:val="20"/>
        </w:rPr>
      </w:pPr>
      <w:r w:rsidRPr="00A168E7">
        <w:rPr>
          <w:b/>
          <w:szCs w:val="20"/>
        </w:rPr>
        <w:t>REDACTED</w:t>
      </w:r>
    </w:p>
    <w:p w14:paraId="18951EF6" w14:textId="77777777" w:rsidR="00EA173C" w:rsidRPr="00E651F5" w:rsidRDefault="00EA173C" w:rsidP="00561A90">
      <w:pPr>
        <w:pStyle w:val="Heading2"/>
      </w:pPr>
      <w:r w:rsidRPr="00E651F5">
        <w:t>List any professional bodies / organisations that may be impacted by this medical service</w:t>
      </w:r>
      <w:r w:rsidR="00F93784" w:rsidRPr="00E651F5">
        <w:t xml:space="preserve"> (i.e. those who provide the comparator service)</w:t>
      </w:r>
      <w:r w:rsidR="00197D29" w:rsidRPr="00E651F5">
        <w:t>:</w:t>
      </w:r>
    </w:p>
    <w:p w14:paraId="2BD192DE" w14:textId="47ED0BC3" w:rsidR="00EA173C" w:rsidRPr="00A168E7" w:rsidRDefault="00C47F30" w:rsidP="00A168E7">
      <w:pPr>
        <w:ind w:firstLine="360"/>
        <w:rPr>
          <w:b/>
        </w:rPr>
      </w:pPr>
      <w:r w:rsidRPr="00A168E7">
        <w:rPr>
          <w:b/>
        </w:rPr>
        <w:t>REDACTED</w:t>
      </w:r>
    </w:p>
    <w:p w14:paraId="21FC1DC6" w14:textId="77777777" w:rsidR="00E82F54" w:rsidRPr="00E651F5" w:rsidRDefault="00E82F54" w:rsidP="00561A90">
      <w:pPr>
        <w:pStyle w:val="Heading2"/>
      </w:pPr>
      <w:r w:rsidRPr="00E651F5">
        <w:t>List the consumer organisations relevant to the proposed medical service</w:t>
      </w:r>
      <w:r w:rsidR="00C12C5C" w:rsidRPr="00E651F5">
        <w:t xml:space="preserve"> (please attach a letter of support for each consumer organisation nominated)</w:t>
      </w:r>
      <w:r w:rsidR="00197D29" w:rsidRPr="00E651F5">
        <w:t>:</w:t>
      </w:r>
    </w:p>
    <w:p w14:paraId="6321E10B" w14:textId="77777777" w:rsidR="00AB0F90" w:rsidRPr="00A168E7" w:rsidRDefault="00AE54C3" w:rsidP="00A168E7">
      <w:pPr>
        <w:ind w:firstLine="360"/>
        <w:rPr>
          <w:b/>
          <w:szCs w:val="20"/>
        </w:rPr>
      </w:pPr>
      <w:r w:rsidRPr="00A168E7">
        <w:rPr>
          <w:b/>
          <w:szCs w:val="20"/>
        </w:rPr>
        <w:t>REDACTED</w:t>
      </w:r>
    </w:p>
    <w:p w14:paraId="25C359FC" w14:textId="77777777" w:rsidR="003433D1" w:rsidRDefault="003433D1" w:rsidP="00561A90">
      <w:pPr>
        <w:pStyle w:val="Heading2"/>
      </w:pPr>
      <w:r>
        <w:t xml:space="preserve">List the relevant </w:t>
      </w:r>
      <w:r w:rsidRPr="00EE6450">
        <w:t>sponsor</w:t>
      </w:r>
      <w:r>
        <w:t xml:space="preserve">(s) and / or manufacturer(s) who produce similar products relevant </w:t>
      </w:r>
      <w:r w:rsidR="00197D29">
        <w:t>to the proposed medical service:</w:t>
      </w:r>
    </w:p>
    <w:p w14:paraId="525FDD1B" w14:textId="77777777" w:rsidR="002657C5" w:rsidRDefault="00FE01B9" w:rsidP="00D166D4">
      <w:pPr>
        <w:ind w:firstLine="360"/>
      </w:pPr>
      <w:r>
        <w:t>Novartis</w:t>
      </w:r>
      <w:r w:rsidR="002657C5">
        <w:t xml:space="preserve"> Pharmaceuticals Australia Pty Ltd produce </w:t>
      </w:r>
      <w:proofErr w:type="spellStart"/>
      <w:r w:rsidR="00CC6C92" w:rsidRPr="00D70E47">
        <w:t>tisagenlecleucel</w:t>
      </w:r>
      <w:proofErr w:type="spellEnd"/>
      <w:r w:rsidR="00CC6C92">
        <w:t>.</w:t>
      </w:r>
    </w:p>
    <w:p w14:paraId="42B2365E" w14:textId="77777777" w:rsidR="00EE6450" w:rsidRDefault="002657C5" w:rsidP="00D166D4">
      <w:pPr>
        <w:ind w:firstLine="360"/>
        <w:rPr>
          <w:szCs w:val="20"/>
        </w:rPr>
      </w:pPr>
      <w:r>
        <w:t xml:space="preserve">Gilead Sciences Pty Limited (same sponsor) produce </w:t>
      </w:r>
      <w:proofErr w:type="spellStart"/>
      <w:r w:rsidR="00CC6C92" w:rsidRPr="00296913">
        <w:t>axicabtagene</w:t>
      </w:r>
      <w:proofErr w:type="spellEnd"/>
      <w:r w:rsidR="00CC6C92" w:rsidRPr="00296913">
        <w:t xml:space="preserve"> </w:t>
      </w:r>
      <w:proofErr w:type="spellStart"/>
      <w:r w:rsidR="00CC6C92" w:rsidRPr="00296913">
        <w:t>ciloleucel</w:t>
      </w:r>
      <w:proofErr w:type="spellEnd"/>
      <w:r w:rsidR="00CC6C92">
        <w:t>.</w:t>
      </w:r>
    </w:p>
    <w:p w14:paraId="49DC7AA8" w14:textId="77777777" w:rsidR="00E82F54" w:rsidRDefault="00E82F54" w:rsidP="00561A90">
      <w:pPr>
        <w:pStyle w:val="Heading2"/>
      </w:pPr>
      <w:r w:rsidRPr="00154B00">
        <w:t>Nominate two experts who could be approached about the proposed medical service and the current clinical management of the service(s):</w:t>
      </w:r>
    </w:p>
    <w:p w14:paraId="2A5A55F3" w14:textId="77777777" w:rsidR="00A96329" w:rsidRPr="00A96329" w:rsidRDefault="00A96329" w:rsidP="00A96329"/>
    <w:p w14:paraId="66A019BA" w14:textId="402F57B7" w:rsidR="00987ABE" w:rsidRPr="00E651F5" w:rsidRDefault="00987ABE" w:rsidP="00987ABE">
      <w:pPr>
        <w:ind w:left="426"/>
        <w:rPr>
          <w:szCs w:val="20"/>
        </w:rPr>
      </w:pPr>
      <w:r>
        <w:rPr>
          <w:szCs w:val="20"/>
        </w:rPr>
        <w:t xml:space="preserve">Name of expert 1: </w:t>
      </w:r>
      <w:r w:rsidR="002657C5">
        <w:rPr>
          <w:szCs w:val="20"/>
        </w:rPr>
        <w:tab/>
      </w:r>
      <w:r w:rsidR="002657C5">
        <w:rPr>
          <w:szCs w:val="20"/>
        </w:rPr>
        <w:tab/>
      </w:r>
      <w:r w:rsidR="00A10C05" w:rsidRPr="00A168E7">
        <w:rPr>
          <w:b/>
        </w:rPr>
        <w:t>REDACTED</w:t>
      </w:r>
    </w:p>
    <w:p w14:paraId="2707D53B" w14:textId="7344DE3F" w:rsidR="007816D0" w:rsidRPr="00E651F5" w:rsidRDefault="00987ABE" w:rsidP="00987ABE">
      <w:pPr>
        <w:ind w:left="426"/>
      </w:pPr>
      <w:r w:rsidRPr="00E651F5">
        <w:rPr>
          <w:szCs w:val="20"/>
        </w:rPr>
        <w:t xml:space="preserve">Telephone number(s): </w:t>
      </w:r>
      <w:r w:rsidR="002657C5" w:rsidRPr="00E651F5">
        <w:rPr>
          <w:szCs w:val="20"/>
        </w:rPr>
        <w:tab/>
      </w:r>
      <w:r w:rsidR="00A10C05" w:rsidRPr="00A168E7">
        <w:rPr>
          <w:b/>
        </w:rPr>
        <w:t>REDACTED</w:t>
      </w:r>
    </w:p>
    <w:p w14:paraId="728BF80C" w14:textId="340EFDC4" w:rsidR="00987ABE" w:rsidRPr="00E651F5" w:rsidRDefault="00987ABE" w:rsidP="00987ABE">
      <w:pPr>
        <w:ind w:left="426"/>
        <w:rPr>
          <w:szCs w:val="20"/>
        </w:rPr>
      </w:pPr>
      <w:r w:rsidRPr="00E651F5">
        <w:rPr>
          <w:szCs w:val="20"/>
        </w:rPr>
        <w:t xml:space="preserve">Email address: </w:t>
      </w:r>
      <w:r w:rsidR="002657C5" w:rsidRPr="00E651F5">
        <w:rPr>
          <w:szCs w:val="20"/>
        </w:rPr>
        <w:tab/>
      </w:r>
      <w:r w:rsidR="002657C5" w:rsidRPr="00E651F5">
        <w:rPr>
          <w:szCs w:val="20"/>
        </w:rPr>
        <w:tab/>
      </w:r>
      <w:r w:rsidR="00A10C05" w:rsidRPr="00A168E7">
        <w:rPr>
          <w:b/>
        </w:rPr>
        <w:t>REDACTED</w:t>
      </w:r>
      <w:r w:rsidR="007816D0" w:rsidRPr="00A168E7">
        <w:rPr>
          <w:b/>
        </w:rPr>
        <w:t xml:space="preserve"> </w:t>
      </w:r>
    </w:p>
    <w:p w14:paraId="7EB7C65D" w14:textId="3E2A0AD1" w:rsidR="00987ABE" w:rsidRPr="00E651F5" w:rsidRDefault="00987ABE" w:rsidP="00987ABE">
      <w:pPr>
        <w:ind w:left="426"/>
        <w:rPr>
          <w:szCs w:val="20"/>
        </w:rPr>
      </w:pPr>
      <w:r w:rsidRPr="00E651F5">
        <w:rPr>
          <w:szCs w:val="20"/>
        </w:rPr>
        <w:t xml:space="preserve">Justification of expertise: </w:t>
      </w:r>
      <w:r w:rsidR="002657C5" w:rsidRPr="00E651F5">
        <w:rPr>
          <w:szCs w:val="20"/>
        </w:rPr>
        <w:tab/>
      </w:r>
      <w:r w:rsidR="00A10C05" w:rsidRPr="00A168E7">
        <w:rPr>
          <w:b/>
        </w:rPr>
        <w:t>REDACTED</w:t>
      </w:r>
    </w:p>
    <w:p w14:paraId="6B41CE1A" w14:textId="77777777" w:rsidR="00987ABE" w:rsidRPr="00E651F5" w:rsidRDefault="00987ABE" w:rsidP="00987ABE">
      <w:pPr>
        <w:ind w:left="426"/>
        <w:rPr>
          <w:szCs w:val="20"/>
        </w:rPr>
      </w:pPr>
    </w:p>
    <w:p w14:paraId="568CA013" w14:textId="0C405F09" w:rsidR="00987ABE" w:rsidRPr="00E651F5" w:rsidRDefault="00987ABE" w:rsidP="00987ABE">
      <w:pPr>
        <w:ind w:left="426"/>
        <w:rPr>
          <w:szCs w:val="20"/>
        </w:rPr>
      </w:pPr>
      <w:r w:rsidRPr="00E651F5">
        <w:rPr>
          <w:szCs w:val="20"/>
        </w:rPr>
        <w:t xml:space="preserve">Name of expert 2: </w:t>
      </w:r>
      <w:r w:rsidR="002657C5" w:rsidRPr="00E651F5">
        <w:rPr>
          <w:szCs w:val="20"/>
        </w:rPr>
        <w:tab/>
      </w:r>
      <w:r w:rsidR="002657C5" w:rsidRPr="00E651F5">
        <w:rPr>
          <w:szCs w:val="20"/>
        </w:rPr>
        <w:tab/>
      </w:r>
      <w:r w:rsidR="00A10C05" w:rsidRPr="00A168E7">
        <w:rPr>
          <w:b/>
        </w:rPr>
        <w:t>REDACTED</w:t>
      </w:r>
    </w:p>
    <w:p w14:paraId="6BE5D0A4" w14:textId="1C8A9A2A" w:rsidR="00987ABE" w:rsidRPr="00E651F5" w:rsidRDefault="00987ABE" w:rsidP="00987ABE">
      <w:pPr>
        <w:ind w:left="426"/>
        <w:rPr>
          <w:szCs w:val="20"/>
        </w:rPr>
      </w:pPr>
      <w:r w:rsidRPr="00E651F5">
        <w:rPr>
          <w:szCs w:val="20"/>
        </w:rPr>
        <w:t xml:space="preserve">Telephone number(s): </w:t>
      </w:r>
      <w:r w:rsidR="002657C5" w:rsidRPr="00E651F5">
        <w:rPr>
          <w:szCs w:val="20"/>
        </w:rPr>
        <w:tab/>
      </w:r>
      <w:r w:rsidR="00A10C05" w:rsidRPr="00A168E7">
        <w:rPr>
          <w:b/>
        </w:rPr>
        <w:t>REDACTED</w:t>
      </w:r>
    </w:p>
    <w:p w14:paraId="6A821850" w14:textId="0C48F216" w:rsidR="00987ABE" w:rsidRPr="00E651F5" w:rsidRDefault="00987ABE" w:rsidP="00987ABE">
      <w:pPr>
        <w:ind w:left="426"/>
        <w:rPr>
          <w:szCs w:val="20"/>
        </w:rPr>
      </w:pPr>
      <w:r w:rsidRPr="00E651F5">
        <w:rPr>
          <w:szCs w:val="20"/>
        </w:rPr>
        <w:t xml:space="preserve">Email address: </w:t>
      </w:r>
      <w:r w:rsidR="002657C5" w:rsidRPr="00E651F5">
        <w:rPr>
          <w:szCs w:val="20"/>
        </w:rPr>
        <w:tab/>
      </w:r>
      <w:r w:rsidR="002657C5" w:rsidRPr="00E651F5">
        <w:rPr>
          <w:szCs w:val="20"/>
        </w:rPr>
        <w:tab/>
      </w:r>
      <w:r w:rsidR="00A10C05" w:rsidRPr="00A168E7">
        <w:rPr>
          <w:b/>
        </w:rPr>
        <w:t>REDACTED</w:t>
      </w:r>
    </w:p>
    <w:p w14:paraId="1BEBB544" w14:textId="657BEBA4" w:rsidR="00E82F54" w:rsidRPr="00154B00" w:rsidRDefault="00987ABE" w:rsidP="00987ABE">
      <w:pPr>
        <w:ind w:left="426"/>
        <w:rPr>
          <w:szCs w:val="20"/>
        </w:rPr>
      </w:pPr>
      <w:r w:rsidRPr="00E651F5">
        <w:rPr>
          <w:szCs w:val="20"/>
        </w:rPr>
        <w:t xml:space="preserve">Justification of expertise: </w:t>
      </w:r>
      <w:r w:rsidR="002657C5" w:rsidRPr="00E651F5">
        <w:rPr>
          <w:szCs w:val="20"/>
        </w:rPr>
        <w:tab/>
      </w:r>
      <w:r w:rsidR="00A10C05" w:rsidRPr="00A168E7">
        <w:rPr>
          <w:b/>
        </w:rPr>
        <w:t>REDACTED</w:t>
      </w:r>
    </w:p>
    <w:p w14:paraId="3C95C360" w14:textId="77777777" w:rsidR="00987ABE" w:rsidRDefault="00987ABE" w:rsidP="00E82F54">
      <w:pPr>
        <w:ind w:left="426"/>
        <w:rPr>
          <w:i/>
          <w:szCs w:val="20"/>
        </w:rPr>
      </w:pPr>
    </w:p>
    <w:p w14:paraId="58751343"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1E70E5EE" w14:textId="77777777" w:rsidR="003433D1" w:rsidRDefault="003433D1">
      <w:pPr>
        <w:rPr>
          <w:b/>
          <w:sz w:val="32"/>
          <w:szCs w:val="32"/>
        </w:rPr>
      </w:pPr>
      <w:r>
        <w:rPr>
          <w:b/>
          <w:sz w:val="32"/>
          <w:szCs w:val="32"/>
        </w:rPr>
        <w:br w:type="page"/>
      </w:r>
    </w:p>
    <w:p w14:paraId="6C31A736"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47E8B4F5" w14:textId="77777777" w:rsidR="0021185D" w:rsidRPr="005C3AE7" w:rsidRDefault="005C3AE7" w:rsidP="00A168E7">
      <w:pPr>
        <w:pStyle w:val="Subtitle"/>
        <w:ind w:hanging="357"/>
      </w:pPr>
      <w:r w:rsidRPr="005C3AE7">
        <w:t xml:space="preserve">PART 6a – </w:t>
      </w:r>
      <w:r w:rsidR="0021185D" w:rsidRPr="005C3AE7">
        <w:t>INFORMATION ABOUT THE PROPOSED POPULATION</w:t>
      </w:r>
    </w:p>
    <w:p w14:paraId="4572FC09" w14:textId="77777777" w:rsidR="0021185D" w:rsidRPr="00A96329" w:rsidRDefault="0021185D" w:rsidP="00561A90">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73BC7B9" w14:textId="77777777" w:rsidR="00D03592" w:rsidRPr="00D03592" w:rsidRDefault="00D03592" w:rsidP="00A61CAC">
      <w:pPr>
        <w:ind w:left="284"/>
        <w:rPr>
          <w:u w:val="single"/>
        </w:rPr>
      </w:pPr>
      <w:r>
        <w:rPr>
          <w:u w:val="single"/>
        </w:rPr>
        <w:t>Mantle cell lymphoma</w:t>
      </w:r>
    </w:p>
    <w:p w14:paraId="7B69F7F8" w14:textId="4C4C89F0" w:rsidR="00D231F9" w:rsidRPr="004A5E4B" w:rsidRDefault="00AF6419" w:rsidP="00A61CAC">
      <w:pPr>
        <w:ind w:left="284"/>
      </w:pPr>
      <w:r w:rsidRPr="004A5E4B">
        <w:t>MCL</w:t>
      </w:r>
      <w:r w:rsidR="00176FA5" w:rsidRPr="004A5E4B">
        <w:t xml:space="preserve"> </w:t>
      </w:r>
      <w:r w:rsidR="00A61CAC" w:rsidRPr="004A5E4B">
        <w:t>is an aggressive subtype of NHL with distinctive clinical, biological, and molecular characteristics (</w:t>
      </w:r>
      <w:proofErr w:type="spellStart"/>
      <w:r w:rsidR="00A61CAC" w:rsidRPr="004A5E4B">
        <w:t>Fakhri</w:t>
      </w:r>
      <w:proofErr w:type="spellEnd"/>
      <w:r w:rsidR="00A61CAC" w:rsidRPr="004A5E4B">
        <w:t xml:space="preserve"> 2017</w:t>
      </w:r>
      <w:r w:rsidR="00E704C4" w:rsidRPr="004A5E4B">
        <w:fldChar w:fldCharType="begin"/>
      </w:r>
      <w:r w:rsidR="00E704C4" w:rsidRPr="004A5E4B">
        <w:instrText xml:space="preserve"> NOTEREF _Ref44340997 \f \h </w:instrText>
      </w:r>
      <w:r w:rsidR="004A5E4B">
        <w:instrText xml:space="preserve"> \* MERGEFORMAT </w:instrText>
      </w:r>
      <w:r w:rsidR="00E704C4" w:rsidRPr="004A5E4B">
        <w:fldChar w:fldCharType="separate"/>
      </w:r>
      <w:r w:rsidR="002E5497" w:rsidRPr="002E5497">
        <w:rPr>
          <w:rStyle w:val="EndnoteReference"/>
        </w:rPr>
        <w:t>1</w:t>
      </w:r>
      <w:r w:rsidR="00E704C4" w:rsidRPr="004A5E4B">
        <w:fldChar w:fldCharType="end"/>
      </w:r>
      <w:r w:rsidR="00A61CAC" w:rsidRPr="004A5E4B">
        <w:t>).</w:t>
      </w:r>
      <w:r w:rsidR="006E663B" w:rsidRPr="004A5E4B">
        <w:t xml:space="preserve"> </w:t>
      </w:r>
      <w:r w:rsidR="001E7D51" w:rsidRPr="004A5E4B">
        <w:t xml:space="preserve">The </w:t>
      </w:r>
      <w:r w:rsidR="002E5E83" w:rsidRPr="004A5E4B">
        <w:t>molecular hallmark of MCL</w:t>
      </w:r>
      <w:r w:rsidR="001E7D51" w:rsidRPr="004A5E4B">
        <w:t xml:space="preserve"> </w:t>
      </w:r>
      <w:r w:rsidR="000C01AA" w:rsidRPr="004A5E4B">
        <w:t xml:space="preserve">is the chromosomal translocation </w:t>
      </w:r>
      <w:proofErr w:type="gramStart"/>
      <w:r w:rsidR="000C01AA" w:rsidRPr="004A5E4B">
        <w:t>t(</w:t>
      </w:r>
      <w:proofErr w:type="gramEnd"/>
      <w:r w:rsidR="000C01AA" w:rsidRPr="004A5E4B">
        <w:t>11;14)(q13;q32)</w:t>
      </w:r>
      <w:r w:rsidR="001A3D1B" w:rsidRPr="004A5E4B">
        <w:t>,</w:t>
      </w:r>
      <w:r w:rsidR="000C01AA" w:rsidRPr="004A5E4B">
        <w:t xml:space="preserve"> </w:t>
      </w:r>
      <w:r w:rsidR="007A4E9B" w:rsidRPr="004A5E4B">
        <w:t>which results in</w:t>
      </w:r>
      <w:r w:rsidR="004E4F85" w:rsidRPr="004A5E4B">
        <w:t xml:space="preserve"> </w:t>
      </w:r>
      <w:r w:rsidR="00436217" w:rsidRPr="004A5E4B">
        <w:t>an</w:t>
      </w:r>
      <w:r w:rsidR="004E4F85" w:rsidRPr="004A5E4B">
        <w:t xml:space="preserve"> overexpression of cyclin D1 (a protein that stimulates cell growth)</w:t>
      </w:r>
      <w:r w:rsidR="00DC5CD6" w:rsidRPr="004A5E4B">
        <w:t xml:space="preserve"> (</w:t>
      </w:r>
      <w:proofErr w:type="spellStart"/>
      <w:r w:rsidR="00C465E4" w:rsidRPr="004A5E4B">
        <w:t>Schieber</w:t>
      </w:r>
      <w:proofErr w:type="spellEnd"/>
      <w:r w:rsidR="00C465E4" w:rsidRPr="004A5E4B">
        <w:t xml:space="preserve"> 2018</w:t>
      </w:r>
      <w:bookmarkStart w:id="11" w:name="_Ref44341214"/>
      <w:r w:rsidR="002A4462" w:rsidRPr="004A5E4B">
        <w:rPr>
          <w:rStyle w:val="EndnoteReference"/>
        </w:rPr>
        <w:endnoteReference w:id="12"/>
      </w:r>
      <w:bookmarkEnd w:id="11"/>
      <w:r w:rsidR="00C465E4" w:rsidRPr="004A5E4B">
        <w:t>)</w:t>
      </w:r>
      <w:r w:rsidR="003A0EC6" w:rsidRPr="004A5E4B">
        <w:t xml:space="preserve">. </w:t>
      </w:r>
      <w:r w:rsidR="002313BF" w:rsidRPr="004A5E4B">
        <w:t>Th</w:t>
      </w:r>
      <w:r w:rsidR="003B3305" w:rsidRPr="004A5E4B">
        <w:t>is</w:t>
      </w:r>
      <w:r w:rsidR="002313BF" w:rsidRPr="004A5E4B">
        <w:t xml:space="preserve"> overexpression </w:t>
      </w:r>
      <w:r w:rsidR="00631214" w:rsidRPr="004A5E4B">
        <w:t>lead</w:t>
      </w:r>
      <w:r w:rsidR="003A0EC6" w:rsidRPr="004A5E4B">
        <w:t>s</w:t>
      </w:r>
      <w:r w:rsidR="00631214" w:rsidRPr="004A5E4B">
        <w:t xml:space="preserve"> to</w:t>
      </w:r>
      <w:r w:rsidR="00DA2BE8" w:rsidRPr="004A5E4B">
        <w:t xml:space="preserve"> an abnormal growth of B-cells</w:t>
      </w:r>
      <w:r w:rsidR="000A5098" w:rsidRPr="004A5E4B">
        <w:t>, which make antibodies to fight infection</w:t>
      </w:r>
      <w:r w:rsidR="00DA2BE8" w:rsidRPr="004A5E4B">
        <w:t>.</w:t>
      </w:r>
    </w:p>
    <w:p w14:paraId="2B5AD749" w14:textId="5C9BEA3D" w:rsidR="00F64426" w:rsidRDefault="002D277D" w:rsidP="00F64426">
      <w:pPr>
        <w:ind w:left="284"/>
      </w:pPr>
      <w:r w:rsidRPr="004A5E4B">
        <w:t>Typical</w:t>
      </w:r>
      <w:r w:rsidR="00B239CE" w:rsidRPr="004A5E4B">
        <w:t>ly</w:t>
      </w:r>
      <w:r w:rsidR="00025E06" w:rsidRPr="004A5E4B">
        <w:t>,</w:t>
      </w:r>
      <w:r w:rsidR="00B239CE" w:rsidRPr="004A5E4B">
        <w:t xml:space="preserve"> </w:t>
      </w:r>
      <w:r w:rsidR="00C6776E" w:rsidRPr="004A5E4B">
        <w:t>MCL</w:t>
      </w:r>
      <w:r w:rsidR="00B239CE" w:rsidRPr="004A5E4B">
        <w:t xml:space="preserve"> </w:t>
      </w:r>
      <w:r w:rsidR="003216A1" w:rsidRPr="004A5E4B">
        <w:t>appear</w:t>
      </w:r>
      <w:r w:rsidR="007E14C9" w:rsidRPr="004A5E4B">
        <w:t>s</w:t>
      </w:r>
      <w:r w:rsidR="00B239CE" w:rsidRPr="004A5E4B">
        <w:t xml:space="preserve"> as lymphadenopathy</w:t>
      </w:r>
      <w:r w:rsidR="00C6776E" w:rsidRPr="004A5E4B">
        <w:t xml:space="preserve"> however, </w:t>
      </w:r>
      <w:r w:rsidR="00F64426" w:rsidRPr="004A5E4B">
        <w:t xml:space="preserve">there </w:t>
      </w:r>
      <w:r w:rsidR="00B254A3" w:rsidRPr="004A5E4B">
        <w:t>can be</w:t>
      </w:r>
      <w:r w:rsidR="00F64426" w:rsidRPr="004A5E4B">
        <w:t xml:space="preserve"> frequent manifestation of disease in </w:t>
      </w:r>
      <w:proofErr w:type="spellStart"/>
      <w:r w:rsidR="00F64426" w:rsidRPr="004A5E4B">
        <w:t>extranodal</w:t>
      </w:r>
      <w:proofErr w:type="spellEnd"/>
      <w:r w:rsidR="00F64426" w:rsidRPr="004A5E4B">
        <w:t xml:space="preserve"> sites (bone marrow, gastrointestinal, spleen, liver, blood, etc</w:t>
      </w:r>
      <w:r w:rsidR="007A4084" w:rsidRPr="004A5E4B">
        <w:t>.</w:t>
      </w:r>
      <w:r w:rsidR="00F64426" w:rsidRPr="004A5E4B">
        <w:t xml:space="preserve">) </w:t>
      </w:r>
      <w:r w:rsidR="006A24E8" w:rsidRPr="004A5E4B">
        <w:t>(</w:t>
      </w:r>
      <w:proofErr w:type="spellStart"/>
      <w:r w:rsidR="00E84D3C" w:rsidRPr="004A5E4B">
        <w:t>Schieber</w:t>
      </w:r>
      <w:proofErr w:type="spellEnd"/>
      <w:r w:rsidR="00E84D3C" w:rsidRPr="004A5E4B">
        <w:t xml:space="preserve"> 2018</w:t>
      </w:r>
      <w:r w:rsidR="002A4462" w:rsidRPr="004A5E4B">
        <w:fldChar w:fldCharType="begin"/>
      </w:r>
      <w:r w:rsidR="002A4462" w:rsidRPr="004A5E4B">
        <w:instrText xml:space="preserve"> NOTEREF _Ref44341214 \f \h </w:instrText>
      </w:r>
      <w:r w:rsidR="004A5E4B">
        <w:instrText xml:space="preserve"> \* MERGEFORMAT </w:instrText>
      </w:r>
      <w:r w:rsidR="002A4462" w:rsidRPr="004A5E4B">
        <w:fldChar w:fldCharType="separate"/>
      </w:r>
      <w:r w:rsidR="002E5497" w:rsidRPr="002E5497">
        <w:rPr>
          <w:rStyle w:val="EndnoteReference"/>
        </w:rPr>
        <w:t>11</w:t>
      </w:r>
      <w:r w:rsidR="002A4462" w:rsidRPr="004A5E4B">
        <w:fldChar w:fldCharType="end"/>
      </w:r>
      <w:r w:rsidR="007A048F" w:rsidRPr="004A5E4B">
        <w:t xml:space="preserve">, </w:t>
      </w:r>
      <w:proofErr w:type="spellStart"/>
      <w:r w:rsidR="006A24E8" w:rsidRPr="004A5E4B">
        <w:t>Ar</w:t>
      </w:r>
      <w:r w:rsidR="00192C14" w:rsidRPr="004A5E4B">
        <w:t>gatoff</w:t>
      </w:r>
      <w:proofErr w:type="spellEnd"/>
      <w:r w:rsidR="00192C14" w:rsidRPr="004A5E4B">
        <w:t xml:space="preserve"> 1997</w:t>
      </w:r>
      <w:r w:rsidR="002A4462" w:rsidRPr="004A5E4B">
        <w:rPr>
          <w:rStyle w:val="EndnoteReference"/>
        </w:rPr>
        <w:endnoteReference w:id="13"/>
      </w:r>
      <w:r w:rsidR="004C2C51" w:rsidRPr="004A5E4B">
        <w:t xml:space="preserve">, </w:t>
      </w:r>
      <w:proofErr w:type="spellStart"/>
      <w:r w:rsidR="004C2C51" w:rsidRPr="004A5E4B">
        <w:t>Cheah</w:t>
      </w:r>
      <w:proofErr w:type="spellEnd"/>
      <w:r w:rsidR="004C2C51" w:rsidRPr="004A5E4B">
        <w:t xml:space="preserve"> 2016</w:t>
      </w:r>
      <w:r w:rsidR="00383292" w:rsidRPr="004A5E4B">
        <w:rPr>
          <w:rStyle w:val="EndnoteReference"/>
        </w:rPr>
        <w:endnoteReference w:id="14"/>
      </w:r>
      <w:r w:rsidR="00611C16" w:rsidRPr="004A5E4B">
        <w:t>)</w:t>
      </w:r>
      <w:r w:rsidR="009C79A4" w:rsidRPr="004A5E4B">
        <w:t xml:space="preserve">. </w:t>
      </w:r>
      <w:r w:rsidR="00DB050F" w:rsidRPr="004A5E4B">
        <w:t xml:space="preserve">As a result, </w:t>
      </w:r>
      <w:r w:rsidR="004B136C" w:rsidRPr="004A5E4B">
        <w:t>dependent on the sites involved</w:t>
      </w:r>
      <w:r w:rsidR="00DB050F" w:rsidRPr="004A5E4B">
        <w:t xml:space="preserve">, </w:t>
      </w:r>
      <w:r w:rsidR="009C68E6" w:rsidRPr="004A5E4B">
        <w:t>s</w:t>
      </w:r>
      <w:r w:rsidR="00F64426" w:rsidRPr="004A5E4B">
        <w:t>ymptoms</w:t>
      </w:r>
      <w:r w:rsidR="009C68E6" w:rsidRPr="004A5E4B">
        <w:t xml:space="preserve"> </w:t>
      </w:r>
      <w:r w:rsidR="0058613F" w:rsidRPr="004A5E4B">
        <w:t>can vary</w:t>
      </w:r>
      <w:r w:rsidR="00201CB1" w:rsidRPr="004A5E4B">
        <w:t>.</w:t>
      </w:r>
      <w:r w:rsidR="00F64426" w:rsidRPr="004A5E4B">
        <w:t xml:space="preserve"> </w:t>
      </w:r>
      <w:r w:rsidR="008F3E9D" w:rsidRPr="004A5E4B">
        <w:t>Typical</w:t>
      </w:r>
      <w:r w:rsidR="002C70E8" w:rsidRPr="004A5E4B">
        <w:t xml:space="preserve"> symptoms include:</w:t>
      </w:r>
      <w:r w:rsidR="00F64426" w:rsidRPr="004A5E4B">
        <w:t xml:space="preserve"> </w:t>
      </w:r>
      <w:r w:rsidR="00E62D93" w:rsidRPr="004A5E4B">
        <w:t>loss of appetite and weight loss; fever; night sweats; nausea and/or vomiting; indigestion, abdominal pain</w:t>
      </w:r>
      <w:r w:rsidR="00E62D93">
        <w:t xml:space="preserve"> or bloating; a feeling of “fullness” or discomfort as a result of enlarged tonsils, liver or spleen; pressure or pain in the lower back that often extends down one or both legs; or fatigue from an</w:t>
      </w:r>
      <w:r w:rsidR="00F47851">
        <w:t>aemia</w:t>
      </w:r>
      <w:r w:rsidR="00D3402A">
        <w:t xml:space="preserve"> </w:t>
      </w:r>
      <w:r w:rsidR="00D3402A" w:rsidRPr="00F52F1E">
        <w:t>(</w:t>
      </w:r>
      <w:proofErr w:type="spellStart"/>
      <w:r w:rsidR="00F52F1E" w:rsidRPr="00F52F1E">
        <w:t>Leukemia</w:t>
      </w:r>
      <w:proofErr w:type="spellEnd"/>
      <w:r w:rsidR="00F52F1E" w:rsidRPr="00F52F1E">
        <w:t xml:space="preserve"> &amp; Lymphoma Society</w:t>
      </w:r>
      <w:r w:rsidR="00D3402A" w:rsidRPr="00F52F1E">
        <w:t xml:space="preserve"> 2018</w:t>
      </w:r>
      <w:r w:rsidR="002A624D" w:rsidRPr="00F52F1E">
        <w:rPr>
          <w:rStyle w:val="EndnoteReference"/>
        </w:rPr>
        <w:endnoteReference w:id="15"/>
      </w:r>
      <w:r w:rsidR="00D3402A" w:rsidRPr="00F52F1E">
        <w:t>)</w:t>
      </w:r>
      <w:r w:rsidR="00E62D93" w:rsidRPr="00F52F1E">
        <w:t>.</w:t>
      </w:r>
    </w:p>
    <w:p w14:paraId="5701DE77" w14:textId="48711757" w:rsidR="004A3F41" w:rsidRDefault="00214382" w:rsidP="00AC122A">
      <w:pPr>
        <w:spacing w:after="0"/>
        <w:ind w:left="284"/>
      </w:pPr>
      <w:r>
        <w:t xml:space="preserve">Prognosis of patients newly diagnosed with MCL is variable. </w:t>
      </w:r>
      <w:r w:rsidR="00AE78A8">
        <w:t xml:space="preserve">The </w:t>
      </w:r>
      <w:r w:rsidR="0080590E">
        <w:t xml:space="preserve">simplified </w:t>
      </w:r>
      <w:r w:rsidR="004A3F41">
        <w:t xml:space="preserve">MCL </w:t>
      </w:r>
      <w:r w:rsidR="00AE78A8">
        <w:t>International Prognostic Index (</w:t>
      </w:r>
      <w:r w:rsidR="0080590E">
        <w:t>s-</w:t>
      </w:r>
      <w:r w:rsidR="00AE78A8">
        <w:t>MIPI</w:t>
      </w:r>
      <w:r w:rsidR="00794224">
        <w:t xml:space="preserve">, shown in </w:t>
      </w:r>
      <w:r w:rsidR="00DE1E1E" w:rsidRPr="00DE1E1E">
        <w:rPr>
          <w:b/>
          <w:bCs/>
        </w:rPr>
        <w:fldChar w:fldCharType="begin"/>
      </w:r>
      <w:r w:rsidR="00DE1E1E" w:rsidRPr="00DE1E1E">
        <w:rPr>
          <w:b/>
          <w:bCs/>
        </w:rPr>
        <w:instrText xml:space="preserve"> REF _Ref44278003 \h </w:instrText>
      </w:r>
      <w:r w:rsidR="00DE1E1E">
        <w:rPr>
          <w:b/>
          <w:bCs/>
        </w:rPr>
        <w:instrText xml:space="preserve"> \* MERGEFORMAT </w:instrText>
      </w:r>
      <w:r w:rsidR="00DE1E1E" w:rsidRPr="00DE1E1E">
        <w:rPr>
          <w:b/>
          <w:bCs/>
        </w:rPr>
      </w:r>
      <w:r w:rsidR="00DE1E1E" w:rsidRPr="00DE1E1E">
        <w:rPr>
          <w:b/>
          <w:bCs/>
        </w:rPr>
        <w:fldChar w:fldCharType="separate"/>
      </w:r>
      <w:r w:rsidR="00AA5DA6" w:rsidRPr="00AA5DA6">
        <w:rPr>
          <w:b/>
          <w:bCs/>
        </w:rPr>
        <w:t>Tab</w:t>
      </w:r>
      <w:r w:rsidR="00AA5DA6" w:rsidRPr="00AA5DA6">
        <w:rPr>
          <w:b/>
          <w:bCs/>
        </w:rPr>
        <w:t>l</w:t>
      </w:r>
      <w:r w:rsidR="00AA5DA6" w:rsidRPr="00AA5DA6">
        <w:rPr>
          <w:b/>
          <w:bCs/>
        </w:rPr>
        <w:t xml:space="preserve">e </w:t>
      </w:r>
      <w:r w:rsidR="00AA5DA6" w:rsidRPr="00AA5DA6">
        <w:rPr>
          <w:b/>
          <w:bCs/>
          <w:noProof/>
        </w:rPr>
        <w:t>1</w:t>
      </w:r>
      <w:r w:rsidR="00DE1E1E" w:rsidRPr="00DE1E1E">
        <w:rPr>
          <w:b/>
          <w:bCs/>
        </w:rPr>
        <w:fldChar w:fldCharType="end"/>
      </w:r>
      <w:r w:rsidR="00AE78A8">
        <w:t xml:space="preserve">) uses </w:t>
      </w:r>
      <w:r w:rsidR="007C1030">
        <w:t>four</w:t>
      </w:r>
      <w:r w:rsidR="00AE78A8">
        <w:t xml:space="preserve"> independent factors (age, Eastern Cooperative Oncology</w:t>
      </w:r>
      <w:r w:rsidR="004A3F41">
        <w:t xml:space="preserve"> </w:t>
      </w:r>
      <w:r w:rsidR="00AE78A8">
        <w:t>Group [ECOG] performance status, blood lactate dehyd</w:t>
      </w:r>
      <w:r w:rsidR="00AE78A8" w:rsidRPr="004A5E4B">
        <w:t>rogenase, and leukocyte count)</w:t>
      </w:r>
      <w:r w:rsidR="004A3F41" w:rsidRPr="004A5E4B">
        <w:t xml:space="preserve"> </w:t>
      </w:r>
      <w:r w:rsidR="00AE78A8" w:rsidRPr="004A5E4B">
        <w:t>to stratify patients into low-, intermediate-, and high-risk prognostic groups</w:t>
      </w:r>
      <w:r w:rsidR="00BD2795" w:rsidRPr="004A5E4B">
        <w:t xml:space="preserve"> (</w:t>
      </w:r>
      <w:proofErr w:type="spellStart"/>
      <w:r w:rsidR="00661EEE" w:rsidRPr="004A5E4B">
        <w:t>Hoster</w:t>
      </w:r>
      <w:proofErr w:type="spellEnd"/>
      <w:r w:rsidR="00661EEE" w:rsidRPr="004A5E4B">
        <w:t xml:space="preserve"> 2008</w:t>
      </w:r>
      <w:r w:rsidR="00C9032A" w:rsidRPr="004A5E4B">
        <w:rPr>
          <w:rStyle w:val="EndnoteReference"/>
        </w:rPr>
        <w:endnoteReference w:id="16"/>
      </w:r>
      <w:r w:rsidR="00661EEE" w:rsidRPr="004A5E4B">
        <w:t>)</w:t>
      </w:r>
      <w:r w:rsidR="00AE78A8" w:rsidRPr="004A5E4B">
        <w:t xml:space="preserve">. </w:t>
      </w:r>
      <w:r w:rsidR="00797046" w:rsidRPr="004A5E4B">
        <w:t>The s</w:t>
      </w:r>
      <w:r w:rsidR="00661EEE" w:rsidRPr="004A5E4B">
        <w:noBreakHyphen/>
      </w:r>
      <w:r w:rsidR="00797046" w:rsidRPr="004A5E4B">
        <w:t>MIPI</w:t>
      </w:r>
      <w:r w:rsidR="00797046">
        <w:t xml:space="preserve"> assigns a score</w:t>
      </w:r>
      <w:r w:rsidR="00C57557">
        <w:t xml:space="preserve"> </w:t>
      </w:r>
      <w:r w:rsidR="00632EB8">
        <w:t>based on</w:t>
      </w:r>
      <w:r w:rsidR="00C57557">
        <w:t xml:space="preserve"> </w:t>
      </w:r>
      <w:r w:rsidR="003F5D57">
        <w:t>each of these factors</w:t>
      </w:r>
      <w:r w:rsidR="00C57557">
        <w:t xml:space="preserve"> </w:t>
      </w:r>
      <w:r w:rsidR="00632EB8">
        <w:t>to each patient</w:t>
      </w:r>
      <w:r w:rsidR="00D21C2E">
        <w:t>, corresponding to</w:t>
      </w:r>
      <w:r w:rsidR="000D1404">
        <w:t xml:space="preserve"> </w:t>
      </w:r>
      <w:r w:rsidR="005B07AC">
        <w:t>a</w:t>
      </w:r>
      <w:r w:rsidR="00E47572">
        <w:t xml:space="preserve"> </w:t>
      </w:r>
      <w:r w:rsidR="0000060C">
        <w:t>prognostic</w:t>
      </w:r>
      <w:r w:rsidR="00E47572">
        <w:t xml:space="preserve"> risk group</w:t>
      </w:r>
      <w:r w:rsidR="00C44009">
        <w:t>:</w:t>
      </w:r>
    </w:p>
    <w:p w14:paraId="7DC057FD" w14:textId="77777777" w:rsidR="00C44009" w:rsidRPr="00C44009" w:rsidRDefault="00C44009" w:rsidP="00AC122A">
      <w:pPr>
        <w:pStyle w:val="ListParagraph"/>
        <w:numPr>
          <w:ilvl w:val="0"/>
          <w:numId w:val="18"/>
        </w:numPr>
        <w:spacing w:before="0"/>
        <w:ind w:left="1003" w:hanging="357"/>
      </w:pPr>
      <w:r w:rsidRPr="00C44009">
        <w:t>Score of 0-3 =&gt; low risk</w:t>
      </w:r>
    </w:p>
    <w:p w14:paraId="56FC802B" w14:textId="77777777" w:rsidR="00C44009" w:rsidRPr="00C44009" w:rsidRDefault="00C44009" w:rsidP="00AC122A">
      <w:pPr>
        <w:pStyle w:val="ListParagraph"/>
        <w:numPr>
          <w:ilvl w:val="0"/>
          <w:numId w:val="18"/>
        </w:numPr>
        <w:ind w:left="1004"/>
      </w:pPr>
      <w:r w:rsidRPr="00C44009">
        <w:t>Score of 4-5 =&gt; intermediate risk</w:t>
      </w:r>
    </w:p>
    <w:p w14:paraId="2FCDC3D2" w14:textId="77777777" w:rsidR="0004591B" w:rsidRDefault="00C44009" w:rsidP="00AC122A">
      <w:pPr>
        <w:pStyle w:val="ListParagraph"/>
        <w:numPr>
          <w:ilvl w:val="0"/>
          <w:numId w:val="18"/>
        </w:numPr>
        <w:ind w:left="1004"/>
      </w:pPr>
      <w:r w:rsidRPr="00C44009">
        <w:t>Score of &gt; 5 =&gt; high risk</w:t>
      </w:r>
    </w:p>
    <w:p w14:paraId="03DE0CBC" w14:textId="5C20517B" w:rsidR="00AC122A" w:rsidRPr="00321269" w:rsidRDefault="0078515B" w:rsidP="0078515B">
      <w:pPr>
        <w:pStyle w:val="Caption"/>
      </w:pPr>
      <w:bookmarkStart w:id="12" w:name="_Ref44278003"/>
      <w:r>
        <w:t xml:space="preserve">Table </w:t>
      </w:r>
      <w:r>
        <w:fldChar w:fldCharType="begin"/>
      </w:r>
      <w:r>
        <w:instrText>SEQ Table \* ARABIC</w:instrText>
      </w:r>
      <w:r>
        <w:fldChar w:fldCharType="separate"/>
      </w:r>
      <w:r w:rsidR="002E5497">
        <w:rPr>
          <w:noProof/>
        </w:rPr>
        <w:t>1</w:t>
      </w:r>
      <w:r>
        <w:fldChar w:fldCharType="end"/>
      </w:r>
      <w:bookmarkEnd w:id="12"/>
      <w:r w:rsidR="00AC122A" w:rsidRPr="00321269">
        <w:t xml:space="preserve">: </w:t>
      </w:r>
      <w:r w:rsidR="000D6152" w:rsidRPr="00321269">
        <w:t>Simplified</w:t>
      </w:r>
      <w:r w:rsidR="00FE3AC0" w:rsidRPr="00321269">
        <w:t xml:space="preserve"> MCL Lymphoma Prognostic Index (</w:t>
      </w:r>
      <w:proofErr w:type="spellStart"/>
      <w:r w:rsidR="00FE3AC0" w:rsidRPr="00321269">
        <w:t>sMIPI</w:t>
      </w:r>
      <w:proofErr w:type="spellEnd"/>
      <w:r w:rsidR="00FE3AC0" w:rsidRPr="00321269">
        <w:t>)</w:t>
      </w:r>
      <w:r w:rsidR="00BD5A46" w:rsidRPr="00321269">
        <w:t xml:space="preserve"> </w:t>
      </w:r>
    </w:p>
    <w:tbl>
      <w:tblPr>
        <w:tblStyle w:val="TableGrid"/>
        <w:tblW w:w="0" w:type="auto"/>
        <w:tblInd w:w="279" w:type="dxa"/>
        <w:tblLook w:val="04A0" w:firstRow="1" w:lastRow="0" w:firstColumn="1" w:lastColumn="0" w:noHBand="0" w:noVBand="1"/>
        <w:tblCaption w:val="Table 1"/>
        <w:tblDescription w:val="Table"/>
      </w:tblPr>
      <w:tblGrid>
        <w:gridCol w:w="1524"/>
        <w:gridCol w:w="1803"/>
        <w:gridCol w:w="1803"/>
        <w:gridCol w:w="1803"/>
        <w:gridCol w:w="1804"/>
      </w:tblGrid>
      <w:tr w:rsidR="00E73465" w:rsidRPr="007473D2" w14:paraId="753B6C39" w14:textId="77777777" w:rsidTr="00A61CF5">
        <w:trPr>
          <w:tblHeader/>
        </w:trPr>
        <w:tc>
          <w:tcPr>
            <w:tcW w:w="1524" w:type="dxa"/>
            <w:vAlign w:val="center"/>
          </w:tcPr>
          <w:p w14:paraId="789B39AC" w14:textId="77777777" w:rsidR="00E73465" w:rsidRPr="007473D2" w:rsidRDefault="00210128" w:rsidP="007473D2">
            <w:pPr>
              <w:spacing w:before="0" w:after="0" w:line="259" w:lineRule="auto"/>
              <w:jc w:val="center"/>
              <w:rPr>
                <w:b/>
                <w:bCs/>
              </w:rPr>
            </w:pPr>
            <w:r w:rsidRPr="007473D2">
              <w:rPr>
                <w:b/>
                <w:bCs/>
              </w:rPr>
              <w:t>Points</w:t>
            </w:r>
          </w:p>
        </w:tc>
        <w:tc>
          <w:tcPr>
            <w:tcW w:w="1803" w:type="dxa"/>
            <w:vAlign w:val="center"/>
          </w:tcPr>
          <w:p w14:paraId="76007038" w14:textId="77777777" w:rsidR="00E73465" w:rsidRPr="007473D2" w:rsidRDefault="00210128" w:rsidP="007473D2">
            <w:pPr>
              <w:spacing w:before="0" w:after="0" w:line="259" w:lineRule="auto"/>
              <w:jc w:val="center"/>
              <w:rPr>
                <w:b/>
                <w:bCs/>
              </w:rPr>
            </w:pPr>
            <w:r w:rsidRPr="007473D2">
              <w:rPr>
                <w:b/>
                <w:bCs/>
              </w:rPr>
              <w:t>Age (years)</w:t>
            </w:r>
          </w:p>
        </w:tc>
        <w:tc>
          <w:tcPr>
            <w:tcW w:w="1803" w:type="dxa"/>
            <w:vAlign w:val="center"/>
          </w:tcPr>
          <w:p w14:paraId="09DE148D" w14:textId="77777777" w:rsidR="00E73465" w:rsidRPr="007473D2" w:rsidRDefault="00210128" w:rsidP="007473D2">
            <w:pPr>
              <w:spacing w:before="0" w:after="0" w:line="259" w:lineRule="auto"/>
              <w:jc w:val="center"/>
              <w:rPr>
                <w:b/>
                <w:bCs/>
              </w:rPr>
            </w:pPr>
            <w:r w:rsidRPr="007473D2">
              <w:rPr>
                <w:b/>
                <w:bCs/>
              </w:rPr>
              <w:t>ECOG-PS</w:t>
            </w:r>
          </w:p>
        </w:tc>
        <w:tc>
          <w:tcPr>
            <w:tcW w:w="1803" w:type="dxa"/>
            <w:vAlign w:val="center"/>
          </w:tcPr>
          <w:p w14:paraId="27C7109C" w14:textId="77777777" w:rsidR="00E73465" w:rsidRPr="007473D2" w:rsidRDefault="00210128" w:rsidP="007473D2">
            <w:pPr>
              <w:spacing w:before="0" w:after="0" w:line="259" w:lineRule="auto"/>
              <w:jc w:val="center"/>
              <w:rPr>
                <w:b/>
                <w:bCs/>
              </w:rPr>
            </w:pPr>
            <w:r w:rsidRPr="007473D2">
              <w:rPr>
                <w:b/>
                <w:bCs/>
              </w:rPr>
              <w:t>LDH (vs ULN)</w:t>
            </w:r>
          </w:p>
        </w:tc>
        <w:tc>
          <w:tcPr>
            <w:tcW w:w="1804" w:type="dxa"/>
            <w:vAlign w:val="center"/>
          </w:tcPr>
          <w:p w14:paraId="1AD4EAAB" w14:textId="77777777" w:rsidR="00E73465" w:rsidRPr="007473D2" w:rsidRDefault="00210128" w:rsidP="007473D2">
            <w:pPr>
              <w:spacing w:before="0" w:after="0" w:line="259" w:lineRule="auto"/>
              <w:jc w:val="center"/>
              <w:rPr>
                <w:b/>
                <w:bCs/>
              </w:rPr>
            </w:pPr>
            <w:r w:rsidRPr="007473D2">
              <w:rPr>
                <w:b/>
                <w:bCs/>
              </w:rPr>
              <w:t>WBC</w:t>
            </w:r>
            <w:r w:rsidR="007473D2" w:rsidRPr="007473D2">
              <w:rPr>
                <w:b/>
                <w:bCs/>
              </w:rPr>
              <w:t xml:space="preserve"> (x 10</w:t>
            </w:r>
            <w:r w:rsidR="007473D2" w:rsidRPr="007473D2">
              <w:rPr>
                <w:b/>
                <w:bCs/>
                <w:vertAlign w:val="superscript"/>
              </w:rPr>
              <w:t>9</w:t>
            </w:r>
            <w:r w:rsidR="007473D2" w:rsidRPr="007473D2">
              <w:rPr>
                <w:b/>
                <w:bCs/>
              </w:rPr>
              <w:t>/L)</w:t>
            </w:r>
          </w:p>
        </w:tc>
      </w:tr>
      <w:tr w:rsidR="00E73465" w14:paraId="6B2262D5" w14:textId="77777777" w:rsidTr="007473D2">
        <w:tc>
          <w:tcPr>
            <w:tcW w:w="1524" w:type="dxa"/>
            <w:vAlign w:val="center"/>
          </w:tcPr>
          <w:p w14:paraId="03B3B934" w14:textId="77777777" w:rsidR="00E73465" w:rsidRDefault="00031F61" w:rsidP="007473D2">
            <w:pPr>
              <w:spacing w:before="0" w:after="0" w:line="259" w:lineRule="auto"/>
              <w:jc w:val="center"/>
            </w:pPr>
            <w:r>
              <w:t>0</w:t>
            </w:r>
          </w:p>
        </w:tc>
        <w:tc>
          <w:tcPr>
            <w:tcW w:w="1803" w:type="dxa"/>
            <w:vAlign w:val="center"/>
          </w:tcPr>
          <w:p w14:paraId="20D4A1FC" w14:textId="77777777" w:rsidR="00E73465" w:rsidRDefault="00031F61" w:rsidP="007473D2">
            <w:pPr>
              <w:spacing w:before="0" w:after="0" w:line="259" w:lineRule="auto"/>
              <w:jc w:val="center"/>
            </w:pPr>
            <w:r>
              <w:t>&lt;</w:t>
            </w:r>
            <w:r w:rsidR="002976EA">
              <w:t xml:space="preserve"> </w:t>
            </w:r>
            <w:r>
              <w:t>50</w:t>
            </w:r>
          </w:p>
        </w:tc>
        <w:tc>
          <w:tcPr>
            <w:tcW w:w="1803" w:type="dxa"/>
            <w:vAlign w:val="center"/>
          </w:tcPr>
          <w:p w14:paraId="18570CD4" w14:textId="77777777" w:rsidR="00E73465" w:rsidRDefault="009F1DCD" w:rsidP="007473D2">
            <w:pPr>
              <w:spacing w:before="0" w:after="0" w:line="259" w:lineRule="auto"/>
              <w:jc w:val="center"/>
            </w:pPr>
            <w:r>
              <w:t>0 - 1</w:t>
            </w:r>
          </w:p>
        </w:tc>
        <w:tc>
          <w:tcPr>
            <w:tcW w:w="1803" w:type="dxa"/>
            <w:vAlign w:val="center"/>
          </w:tcPr>
          <w:p w14:paraId="5E93D10B" w14:textId="77777777" w:rsidR="00E73465" w:rsidRDefault="009F1DCD" w:rsidP="007473D2">
            <w:pPr>
              <w:spacing w:before="0" w:after="0" w:line="259" w:lineRule="auto"/>
              <w:jc w:val="center"/>
            </w:pPr>
            <w:r>
              <w:t>&lt;</w:t>
            </w:r>
            <w:r w:rsidR="002976EA">
              <w:t xml:space="preserve"> </w:t>
            </w:r>
            <w:r>
              <w:t>0.67</w:t>
            </w:r>
          </w:p>
        </w:tc>
        <w:tc>
          <w:tcPr>
            <w:tcW w:w="1804" w:type="dxa"/>
            <w:vAlign w:val="center"/>
          </w:tcPr>
          <w:p w14:paraId="67C77D64" w14:textId="77777777" w:rsidR="00E73465" w:rsidRDefault="002976EA" w:rsidP="007473D2">
            <w:pPr>
              <w:spacing w:before="0" w:after="0" w:line="259" w:lineRule="auto"/>
              <w:jc w:val="center"/>
            </w:pPr>
            <w:r>
              <w:t>&lt; 6.700</w:t>
            </w:r>
          </w:p>
        </w:tc>
      </w:tr>
      <w:tr w:rsidR="00E73465" w14:paraId="72AC1BB4" w14:textId="77777777" w:rsidTr="007473D2">
        <w:tc>
          <w:tcPr>
            <w:tcW w:w="1524" w:type="dxa"/>
            <w:vAlign w:val="center"/>
          </w:tcPr>
          <w:p w14:paraId="213668BC" w14:textId="77777777" w:rsidR="00E73465" w:rsidRDefault="00031F61" w:rsidP="007473D2">
            <w:pPr>
              <w:spacing w:before="0" w:after="0" w:line="259" w:lineRule="auto"/>
              <w:jc w:val="center"/>
            </w:pPr>
            <w:r>
              <w:t>1</w:t>
            </w:r>
          </w:p>
        </w:tc>
        <w:tc>
          <w:tcPr>
            <w:tcW w:w="1803" w:type="dxa"/>
            <w:vAlign w:val="center"/>
          </w:tcPr>
          <w:p w14:paraId="3F5CC8BE" w14:textId="77777777" w:rsidR="00E73465" w:rsidRDefault="00031F61" w:rsidP="007473D2">
            <w:pPr>
              <w:spacing w:before="0" w:after="0" w:line="259" w:lineRule="auto"/>
              <w:jc w:val="center"/>
            </w:pPr>
            <w:r>
              <w:t>50 - 59</w:t>
            </w:r>
          </w:p>
        </w:tc>
        <w:tc>
          <w:tcPr>
            <w:tcW w:w="1803" w:type="dxa"/>
            <w:vAlign w:val="center"/>
          </w:tcPr>
          <w:p w14:paraId="658DEFB2" w14:textId="77777777" w:rsidR="00E73465" w:rsidRDefault="009F1DCD" w:rsidP="007473D2">
            <w:pPr>
              <w:spacing w:before="0" w:after="0" w:line="259" w:lineRule="auto"/>
              <w:jc w:val="center"/>
            </w:pPr>
            <w:r>
              <w:t>-</w:t>
            </w:r>
          </w:p>
        </w:tc>
        <w:tc>
          <w:tcPr>
            <w:tcW w:w="1803" w:type="dxa"/>
            <w:vAlign w:val="center"/>
          </w:tcPr>
          <w:p w14:paraId="1131753B" w14:textId="77777777" w:rsidR="00E73465" w:rsidRDefault="002976EA" w:rsidP="007473D2">
            <w:pPr>
              <w:spacing w:before="0" w:after="0" w:line="259" w:lineRule="auto"/>
              <w:jc w:val="center"/>
            </w:pPr>
            <w:r>
              <w:t>0.67 – 0.99</w:t>
            </w:r>
          </w:p>
        </w:tc>
        <w:tc>
          <w:tcPr>
            <w:tcW w:w="1804" w:type="dxa"/>
            <w:vAlign w:val="center"/>
          </w:tcPr>
          <w:p w14:paraId="316B0BB0" w14:textId="77777777" w:rsidR="00E73465" w:rsidRDefault="002976EA" w:rsidP="007473D2">
            <w:pPr>
              <w:spacing w:before="0" w:after="0" w:line="259" w:lineRule="auto"/>
              <w:jc w:val="center"/>
            </w:pPr>
            <w:r>
              <w:t xml:space="preserve">6.700 </w:t>
            </w:r>
            <w:r w:rsidR="00B70EC3">
              <w:t>–</w:t>
            </w:r>
            <w:r>
              <w:t xml:space="preserve"> </w:t>
            </w:r>
            <w:r w:rsidR="00B70EC3">
              <w:t>9.999</w:t>
            </w:r>
          </w:p>
        </w:tc>
      </w:tr>
      <w:tr w:rsidR="00E73465" w14:paraId="61F7B67C" w14:textId="77777777" w:rsidTr="007473D2">
        <w:tc>
          <w:tcPr>
            <w:tcW w:w="1524" w:type="dxa"/>
            <w:vAlign w:val="center"/>
          </w:tcPr>
          <w:p w14:paraId="4FAFAE25" w14:textId="77777777" w:rsidR="00E73465" w:rsidRDefault="00031F61" w:rsidP="007473D2">
            <w:pPr>
              <w:spacing w:before="0" w:after="0" w:line="259" w:lineRule="auto"/>
              <w:jc w:val="center"/>
            </w:pPr>
            <w:r>
              <w:t>2</w:t>
            </w:r>
          </w:p>
        </w:tc>
        <w:tc>
          <w:tcPr>
            <w:tcW w:w="1803" w:type="dxa"/>
            <w:vAlign w:val="center"/>
          </w:tcPr>
          <w:p w14:paraId="21B88EB2" w14:textId="77777777" w:rsidR="00E73465" w:rsidRDefault="00031F61" w:rsidP="007473D2">
            <w:pPr>
              <w:spacing w:before="0" w:after="0" w:line="259" w:lineRule="auto"/>
              <w:jc w:val="center"/>
            </w:pPr>
            <w:r>
              <w:t>60 – 69</w:t>
            </w:r>
          </w:p>
        </w:tc>
        <w:tc>
          <w:tcPr>
            <w:tcW w:w="1803" w:type="dxa"/>
            <w:vAlign w:val="center"/>
          </w:tcPr>
          <w:p w14:paraId="4047008E" w14:textId="77777777" w:rsidR="00E73465" w:rsidRDefault="009F1DCD" w:rsidP="007473D2">
            <w:pPr>
              <w:spacing w:before="0" w:after="0" w:line="259" w:lineRule="auto"/>
              <w:jc w:val="center"/>
            </w:pPr>
            <w:r>
              <w:t>2 - 4</w:t>
            </w:r>
          </w:p>
        </w:tc>
        <w:tc>
          <w:tcPr>
            <w:tcW w:w="1803" w:type="dxa"/>
            <w:vAlign w:val="center"/>
          </w:tcPr>
          <w:p w14:paraId="7EED22C5" w14:textId="77777777" w:rsidR="00E73465" w:rsidRDefault="002976EA" w:rsidP="007473D2">
            <w:pPr>
              <w:spacing w:before="0" w:after="0" w:line="259" w:lineRule="auto"/>
              <w:jc w:val="center"/>
            </w:pPr>
            <w:r>
              <w:t>1.000 – 1.49</w:t>
            </w:r>
          </w:p>
        </w:tc>
        <w:tc>
          <w:tcPr>
            <w:tcW w:w="1804" w:type="dxa"/>
            <w:vAlign w:val="center"/>
          </w:tcPr>
          <w:p w14:paraId="6A5BE1F0" w14:textId="77777777" w:rsidR="00E73465" w:rsidRDefault="00B70EC3" w:rsidP="007473D2">
            <w:pPr>
              <w:spacing w:before="0" w:after="0" w:line="259" w:lineRule="auto"/>
              <w:jc w:val="center"/>
            </w:pPr>
            <w:r>
              <w:t>1.000 – 14.999</w:t>
            </w:r>
          </w:p>
        </w:tc>
      </w:tr>
      <w:tr w:rsidR="00E73465" w14:paraId="611A3A89" w14:textId="77777777" w:rsidTr="007473D2">
        <w:tc>
          <w:tcPr>
            <w:tcW w:w="1524" w:type="dxa"/>
            <w:vAlign w:val="center"/>
          </w:tcPr>
          <w:p w14:paraId="7720AE60" w14:textId="77777777" w:rsidR="00E73465" w:rsidRDefault="00031F61" w:rsidP="007473D2">
            <w:pPr>
              <w:spacing w:before="0" w:after="0" w:line="259" w:lineRule="auto"/>
              <w:jc w:val="center"/>
            </w:pPr>
            <w:r>
              <w:t>3</w:t>
            </w:r>
          </w:p>
        </w:tc>
        <w:tc>
          <w:tcPr>
            <w:tcW w:w="1803" w:type="dxa"/>
            <w:vAlign w:val="center"/>
          </w:tcPr>
          <w:p w14:paraId="3BCE9854" w14:textId="77777777" w:rsidR="00E73465" w:rsidRDefault="00031F61" w:rsidP="007473D2">
            <w:pPr>
              <w:spacing w:before="0" w:after="0" w:line="259" w:lineRule="auto"/>
              <w:jc w:val="center"/>
            </w:pPr>
            <w:r>
              <w:rPr>
                <w:rFonts w:cstheme="minorHAnsi"/>
              </w:rPr>
              <w:t>≥</w:t>
            </w:r>
            <w:r>
              <w:t xml:space="preserve"> 70</w:t>
            </w:r>
          </w:p>
        </w:tc>
        <w:tc>
          <w:tcPr>
            <w:tcW w:w="1803" w:type="dxa"/>
            <w:vAlign w:val="center"/>
          </w:tcPr>
          <w:p w14:paraId="7FB6A74D" w14:textId="77777777" w:rsidR="00E73465" w:rsidRDefault="009F1DCD" w:rsidP="007473D2">
            <w:pPr>
              <w:spacing w:before="0" w:after="0" w:line="259" w:lineRule="auto"/>
              <w:jc w:val="center"/>
            </w:pPr>
            <w:r>
              <w:t>-</w:t>
            </w:r>
          </w:p>
        </w:tc>
        <w:tc>
          <w:tcPr>
            <w:tcW w:w="1803" w:type="dxa"/>
            <w:vAlign w:val="center"/>
          </w:tcPr>
          <w:p w14:paraId="1D3D3E8B" w14:textId="77777777" w:rsidR="00E73465" w:rsidRDefault="002976EA" w:rsidP="007473D2">
            <w:pPr>
              <w:spacing w:before="0" w:after="0" w:line="259" w:lineRule="auto"/>
              <w:jc w:val="center"/>
            </w:pPr>
            <w:r>
              <w:rPr>
                <w:rFonts w:cstheme="minorHAnsi"/>
              </w:rPr>
              <w:t>≥</w:t>
            </w:r>
            <w:r>
              <w:t xml:space="preserve"> 1.5000</w:t>
            </w:r>
          </w:p>
        </w:tc>
        <w:tc>
          <w:tcPr>
            <w:tcW w:w="1804" w:type="dxa"/>
            <w:vAlign w:val="center"/>
          </w:tcPr>
          <w:p w14:paraId="519520DA" w14:textId="77777777" w:rsidR="00E73465" w:rsidRDefault="00B70EC3" w:rsidP="007473D2">
            <w:pPr>
              <w:spacing w:before="0" w:after="0" w:line="259" w:lineRule="auto"/>
              <w:jc w:val="center"/>
            </w:pPr>
            <w:r>
              <w:rPr>
                <w:rFonts w:cstheme="minorHAnsi"/>
              </w:rPr>
              <w:t>≥</w:t>
            </w:r>
            <w:r>
              <w:t xml:space="preserve"> 15.000</w:t>
            </w:r>
          </w:p>
        </w:tc>
      </w:tr>
    </w:tbl>
    <w:p w14:paraId="464496D3" w14:textId="77777777" w:rsidR="00BD5A46" w:rsidRPr="009E5C59" w:rsidRDefault="007E0803" w:rsidP="00282073">
      <w:pPr>
        <w:spacing w:before="0"/>
        <w:ind w:left="284"/>
        <w:rPr>
          <w:sz w:val="18"/>
          <w:szCs w:val="20"/>
        </w:rPr>
      </w:pPr>
      <w:r w:rsidRPr="009E5C59">
        <w:rPr>
          <w:sz w:val="18"/>
          <w:szCs w:val="20"/>
        </w:rPr>
        <w:t xml:space="preserve">Abbreviations: ECOG-PS </w:t>
      </w:r>
      <w:proofErr w:type="gramStart"/>
      <w:r w:rsidRPr="009E5C59">
        <w:rPr>
          <w:sz w:val="18"/>
          <w:szCs w:val="20"/>
        </w:rPr>
        <w:t>=</w:t>
      </w:r>
      <w:r w:rsidR="00423975" w:rsidRPr="009E5C59">
        <w:rPr>
          <w:sz w:val="18"/>
          <w:szCs w:val="20"/>
        </w:rPr>
        <w:t xml:space="preserve">  Eastern</w:t>
      </w:r>
      <w:proofErr w:type="gramEnd"/>
      <w:r w:rsidR="00423975" w:rsidRPr="009E5C59">
        <w:rPr>
          <w:sz w:val="18"/>
          <w:szCs w:val="20"/>
        </w:rPr>
        <w:t xml:space="preserve"> Cooperative Oncology Group Performance Status</w:t>
      </w:r>
      <w:r w:rsidRPr="009E5C59">
        <w:rPr>
          <w:sz w:val="18"/>
          <w:szCs w:val="20"/>
        </w:rPr>
        <w:t xml:space="preserve">; LDH = </w:t>
      </w:r>
      <w:r w:rsidR="00423975" w:rsidRPr="009E5C59">
        <w:rPr>
          <w:sz w:val="18"/>
          <w:szCs w:val="20"/>
        </w:rPr>
        <w:t>lactic acid dehy</w:t>
      </w:r>
      <w:r w:rsidR="00EB4AFF" w:rsidRPr="009E5C59">
        <w:rPr>
          <w:sz w:val="18"/>
          <w:szCs w:val="20"/>
        </w:rPr>
        <w:t xml:space="preserve">drogenase </w:t>
      </w:r>
      <w:r w:rsidR="00B00CB3" w:rsidRPr="009E5C59">
        <w:rPr>
          <w:sz w:val="18"/>
          <w:szCs w:val="20"/>
        </w:rPr>
        <w:t>in IU/L</w:t>
      </w:r>
      <w:r w:rsidRPr="009E5C59">
        <w:rPr>
          <w:sz w:val="18"/>
          <w:szCs w:val="20"/>
        </w:rPr>
        <w:t xml:space="preserve">; ULN = </w:t>
      </w:r>
      <w:proofErr w:type="spellStart"/>
      <w:r w:rsidR="00EB4AFF" w:rsidRPr="009E5C59">
        <w:rPr>
          <w:sz w:val="18"/>
          <w:szCs w:val="20"/>
        </w:rPr>
        <w:t>uppler</w:t>
      </w:r>
      <w:proofErr w:type="spellEnd"/>
      <w:r w:rsidR="00EB4AFF" w:rsidRPr="009E5C59">
        <w:rPr>
          <w:sz w:val="18"/>
          <w:szCs w:val="20"/>
        </w:rPr>
        <w:t xml:space="preserve"> limit of normal</w:t>
      </w:r>
      <w:r w:rsidR="00B00CB3" w:rsidRPr="009E5C59">
        <w:rPr>
          <w:sz w:val="18"/>
          <w:szCs w:val="20"/>
        </w:rPr>
        <w:t xml:space="preserve"> in IU/L </w:t>
      </w:r>
      <w:r w:rsidR="006D6291" w:rsidRPr="009E5C59">
        <w:rPr>
          <w:sz w:val="18"/>
          <w:szCs w:val="20"/>
        </w:rPr>
        <w:t>(normal range is between 140 and 280 IU/L</w:t>
      </w:r>
      <w:r w:rsidRPr="009E5C59">
        <w:rPr>
          <w:sz w:val="18"/>
          <w:szCs w:val="20"/>
        </w:rPr>
        <w:t xml:space="preserve">; WBC </w:t>
      </w:r>
      <w:r w:rsidR="00031F61" w:rsidRPr="009E5C59">
        <w:rPr>
          <w:sz w:val="18"/>
          <w:szCs w:val="20"/>
        </w:rPr>
        <w:t>=</w:t>
      </w:r>
      <w:r w:rsidR="006D6291" w:rsidRPr="009E5C59">
        <w:rPr>
          <w:sz w:val="18"/>
          <w:szCs w:val="20"/>
        </w:rPr>
        <w:t xml:space="preserve"> white blood cell count</w:t>
      </w:r>
    </w:p>
    <w:p w14:paraId="505AFC8F" w14:textId="77777777" w:rsidR="009E5C59" w:rsidRPr="00B86E6E" w:rsidRDefault="0097345A" w:rsidP="009E5C59">
      <w:pPr>
        <w:ind w:left="284"/>
      </w:pPr>
      <w:r>
        <w:t>An additional independent prognostic factor is the</w:t>
      </w:r>
      <w:r w:rsidR="0070038F">
        <w:t xml:space="preserve"> </w:t>
      </w:r>
      <w:r w:rsidR="00CB1615">
        <w:t xml:space="preserve">Ki-67 </w:t>
      </w:r>
      <w:r w:rsidR="00EB4742">
        <w:t>index</w:t>
      </w:r>
      <w:r w:rsidR="004D4E74">
        <w:t xml:space="preserve">, which </w:t>
      </w:r>
      <w:r w:rsidR="00087742">
        <w:t>measures tumour cell proliferation</w:t>
      </w:r>
      <w:r w:rsidR="00EB4742">
        <w:t>. A Ki-67</w:t>
      </w:r>
      <w:r w:rsidR="00CB1615">
        <w:t xml:space="preserve"> </w:t>
      </w:r>
      <w:r w:rsidR="009B4833">
        <w:rPr>
          <w:rFonts w:cstheme="minorHAnsi"/>
        </w:rPr>
        <w:t>≥</w:t>
      </w:r>
      <w:r w:rsidR="009B4833">
        <w:t xml:space="preserve"> 30% </w:t>
      </w:r>
      <w:r w:rsidR="00844E91">
        <w:t>was found to be strongly adversely prognostic</w:t>
      </w:r>
      <w:r w:rsidR="0010595F">
        <w:t xml:space="preserve">. </w:t>
      </w:r>
      <w:r w:rsidR="00E46C4D">
        <w:t xml:space="preserve">A modified MIPI incorporating the </w:t>
      </w:r>
      <w:r w:rsidR="008145F8">
        <w:t>Ki-67</w:t>
      </w:r>
      <w:r w:rsidR="003E29A1">
        <w:t xml:space="preserve"> </w:t>
      </w:r>
      <w:r w:rsidR="00B262AE">
        <w:t xml:space="preserve">as well as the standard MIPI elements </w:t>
      </w:r>
      <w:r w:rsidR="003E29A1">
        <w:t xml:space="preserve">demonstrated improved </w:t>
      </w:r>
      <w:r w:rsidR="002E440E">
        <w:t>discrim</w:t>
      </w:r>
      <w:r w:rsidR="005B0E8C">
        <w:t xml:space="preserve">inatory </w:t>
      </w:r>
      <w:r w:rsidR="003B6643">
        <w:t>power</w:t>
      </w:r>
      <w:r w:rsidR="00114D42">
        <w:t xml:space="preserve"> </w:t>
      </w:r>
      <w:r w:rsidR="00022F4E">
        <w:t xml:space="preserve">when estimating </w:t>
      </w:r>
      <w:r w:rsidR="004A0188">
        <w:t>progression-free survival (</w:t>
      </w:r>
      <w:r w:rsidR="00022F4E">
        <w:t>PFS</w:t>
      </w:r>
      <w:r w:rsidR="004A0188">
        <w:t>)</w:t>
      </w:r>
      <w:r w:rsidR="00022F4E">
        <w:t xml:space="preserve"> based on r</w:t>
      </w:r>
      <w:r w:rsidR="00022F4E" w:rsidRPr="00B86E6E">
        <w:t xml:space="preserve">isk group </w:t>
      </w:r>
      <w:r w:rsidR="00114D42" w:rsidRPr="00B86E6E">
        <w:t>(</w:t>
      </w:r>
      <w:proofErr w:type="spellStart"/>
      <w:r w:rsidR="00114D42" w:rsidRPr="00B86E6E">
        <w:t>Hoster</w:t>
      </w:r>
      <w:proofErr w:type="spellEnd"/>
      <w:r w:rsidR="00114D42" w:rsidRPr="00B86E6E">
        <w:t xml:space="preserve"> 2016</w:t>
      </w:r>
      <w:r w:rsidR="000407E9" w:rsidRPr="00B86E6E">
        <w:rPr>
          <w:rStyle w:val="EndnoteReference"/>
        </w:rPr>
        <w:endnoteReference w:id="17"/>
      </w:r>
      <w:r w:rsidR="00114D42" w:rsidRPr="00B86E6E">
        <w:t>)</w:t>
      </w:r>
      <w:r w:rsidR="00AB6E4B" w:rsidRPr="00B86E6E">
        <w:t xml:space="preserve">. </w:t>
      </w:r>
    </w:p>
    <w:p w14:paraId="4D97E6F8" w14:textId="6BDF8B46" w:rsidR="009F4455" w:rsidRDefault="00C401E9" w:rsidP="009E5C59">
      <w:pPr>
        <w:ind w:left="284"/>
      </w:pPr>
      <w:r w:rsidRPr="00B86E6E">
        <w:t>Staging defines disease location and extent, and also suggests additional prognostic information (</w:t>
      </w:r>
      <w:proofErr w:type="spellStart"/>
      <w:r w:rsidRPr="00B86E6E">
        <w:t>Cheson</w:t>
      </w:r>
      <w:proofErr w:type="spellEnd"/>
      <w:r w:rsidRPr="00B86E6E">
        <w:t xml:space="preserve"> 2014</w:t>
      </w:r>
      <w:r w:rsidR="009105C8" w:rsidRPr="00B86E6E">
        <w:rPr>
          <w:rStyle w:val="EndnoteReference"/>
        </w:rPr>
        <w:endnoteReference w:id="18"/>
      </w:r>
      <w:r w:rsidRPr="00B86E6E">
        <w:t xml:space="preserve">). The </w:t>
      </w:r>
      <w:r w:rsidR="1996E1CD" w:rsidRPr="00B86E6E">
        <w:t>various stages</w:t>
      </w:r>
      <w:r w:rsidRPr="00B86E6E">
        <w:t xml:space="preserve"> are </w:t>
      </w:r>
      <w:r w:rsidR="009E5C59" w:rsidRPr="00B86E6E">
        <w:t>illustrated</w:t>
      </w:r>
      <w:r w:rsidRPr="00B86E6E">
        <w:t xml:space="preserve"> in </w:t>
      </w:r>
      <w:r w:rsidR="009E5C59" w:rsidRPr="00B86E6E">
        <w:rPr>
          <w:b/>
          <w:bCs/>
        </w:rPr>
        <w:fldChar w:fldCharType="begin"/>
      </w:r>
      <w:r w:rsidR="009E5C59" w:rsidRPr="00B86E6E">
        <w:rPr>
          <w:b/>
          <w:bCs/>
        </w:rPr>
        <w:instrText xml:space="preserve"> REF _Ref44277343 \h </w:instrText>
      </w:r>
      <w:r w:rsidR="00722941" w:rsidRPr="00B86E6E">
        <w:rPr>
          <w:b/>
          <w:bCs/>
        </w:rPr>
        <w:instrText xml:space="preserve"> \* MERGEFORMAT </w:instrText>
      </w:r>
      <w:r w:rsidR="009E5C59" w:rsidRPr="00B86E6E">
        <w:rPr>
          <w:b/>
          <w:bCs/>
        </w:rPr>
      </w:r>
      <w:r w:rsidR="009E5C59" w:rsidRPr="00B86E6E">
        <w:rPr>
          <w:b/>
          <w:bCs/>
        </w:rPr>
        <w:fldChar w:fldCharType="separate"/>
      </w:r>
      <w:r w:rsidR="002E5497" w:rsidRPr="002E5497">
        <w:rPr>
          <w:b/>
          <w:bCs/>
        </w:rPr>
        <w:t xml:space="preserve">Figure </w:t>
      </w:r>
      <w:r w:rsidR="002E5497" w:rsidRPr="002E5497">
        <w:rPr>
          <w:b/>
          <w:bCs/>
          <w:noProof/>
        </w:rPr>
        <w:t>1</w:t>
      </w:r>
      <w:r w:rsidR="009E5C59" w:rsidRPr="00B86E6E">
        <w:rPr>
          <w:b/>
          <w:bCs/>
        </w:rPr>
        <w:fldChar w:fldCharType="end"/>
      </w:r>
      <w:r w:rsidRPr="00B86E6E">
        <w:t xml:space="preserve">. </w:t>
      </w:r>
      <w:r w:rsidR="00947B2C" w:rsidRPr="00B86E6E">
        <w:t>Typically, p</w:t>
      </w:r>
      <w:r w:rsidR="00A560E3" w:rsidRPr="00B86E6E">
        <w:t>atients</w:t>
      </w:r>
      <w:r w:rsidR="008B7CB4" w:rsidRPr="00B86E6E">
        <w:t xml:space="preserve"> </w:t>
      </w:r>
      <w:r w:rsidRPr="00B86E6E">
        <w:t>are diagnose</w:t>
      </w:r>
      <w:r w:rsidR="009E5C59" w:rsidRPr="00B86E6E">
        <w:t>d</w:t>
      </w:r>
      <w:r w:rsidRPr="00B86E6E">
        <w:t xml:space="preserve"> </w:t>
      </w:r>
      <w:r w:rsidR="006F0836" w:rsidRPr="00B86E6E">
        <w:t>with Stage III or IV</w:t>
      </w:r>
      <w:r w:rsidR="006F0836">
        <w:t xml:space="preserve"> diseas</w:t>
      </w:r>
      <w:r w:rsidR="006F0836" w:rsidRPr="00FB01EC">
        <w:t>e</w:t>
      </w:r>
      <w:r w:rsidR="008B7CB4" w:rsidRPr="00FB01EC">
        <w:t xml:space="preserve"> </w:t>
      </w:r>
      <w:r w:rsidR="00597272" w:rsidRPr="00FB01EC">
        <w:t>(</w:t>
      </w:r>
      <w:r w:rsidR="00E3799C" w:rsidRPr="00FB01EC">
        <w:t xml:space="preserve">NCCN </w:t>
      </w:r>
      <w:r w:rsidR="00F52F1E">
        <w:t xml:space="preserve">Guidelines, </w:t>
      </w:r>
      <w:r w:rsidR="00E3799C" w:rsidRPr="00FB01EC">
        <w:t>2</w:t>
      </w:r>
      <w:r w:rsidR="005E410C" w:rsidRPr="00FB01EC">
        <w:t>0</w:t>
      </w:r>
      <w:r w:rsidR="00B04250" w:rsidRPr="00FB01EC">
        <w:t>20</w:t>
      </w:r>
      <w:r w:rsidR="005B653A" w:rsidRPr="007665A5">
        <w:rPr>
          <w:rStyle w:val="EndnoteReference"/>
        </w:rPr>
        <w:endnoteReference w:id="19"/>
      </w:r>
      <w:r w:rsidR="005E410C" w:rsidRPr="007665A5">
        <w:t>, Smith 2015</w:t>
      </w:r>
      <w:r w:rsidR="00F14507" w:rsidRPr="007665A5">
        <w:rPr>
          <w:rStyle w:val="EndnoteReference"/>
        </w:rPr>
        <w:endnoteReference w:id="20"/>
      </w:r>
      <w:r w:rsidR="005E410C" w:rsidRPr="007665A5">
        <w:t>)</w:t>
      </w:r>
      <w:r w:rsidR="00654D95" w:rsidRPr="007665A5">
        <w:t>.</w:t>
      </w:r>
      <w:r w:rsidR="008B7CB4">
        <w:t xml:space="preserve"> </w:t>
      </w:r>
    </w:p>
    <w:p w14:paraId="57849CF2" w14:textId="5A4A5E9A" w:rsidR="00321269" w:rsidRDefault="009E5C59" w:rsidP="00AA5DA6">
      <w:pPr>
        <w:pStyle w:val="Caption"/>
        <w:spacing w:before="240"/>
      </w:pPr>
      <w:bookmarkStart w:id="13" w:name="_Ref44277343"/>
      <w:r>
        <w:t xml:space="preserve">Figure </w:t>
      </w:r>
      <w:r>
        <w:fldChar w:fldCharType="begin"/>
      </w:r>
      <w:r>
        <w:instrText>SEQ Figure \* ARABIC</w:instrText>
      </w:r>
      <w:r>
        <w:fldChar w:fldCharType="separate"/>
      </w:r>
      <w:r w:rsidR="002E5497">
        <w:rPr>
          <w:noProof/>
        </w:rPr>
        <w:t>1</w:t>
      </w:r>
      <w:r>
        <w:fldChar w:fldCharType="end"/>
      </w:r>
      <w:bookmarkEnd w:id="13"/>
      <w:r w:rsidR="00C401E9" w:rsidRPr="00DE293F">
        <w:t xml:space="preserve">: </w:t>
      </w:r>
      <w:r w:rsidR="00F16DE4">
        <w:t xml:space="preserve">Diagrammatic representation of the stages of </w:t>
      </w:r>
      <w:r w:rsidR="00321269">
        <w:t>mantle cell lymphoma</w:t>
      </w:r>
    </w:p>
    <w:p w14:paraId="1585DC7D" w14:textId="32CA6F85" w:rsidR="0046292D" w:rsidRDefault="00AA5DA6" w:rsidP="00AA5DA6">
      <w:pPr>
        <w:pStyle w:val="Caption"/>
        <w:spacing w:before="120"/>
      </w:pPr>
      <w:r>
        <w:rPr>
          <w:noProof/>
          <w:lang w:eastAsia="en-AU"/>
        </w:rPr>
        <w:t>REDACTED</w:t>
      </w:r>
    </w:p>
    <w:p w14:paraId="6CC96078" w14:textId="77777777" w:rsidR="00AA5DA6" w:rsidRDefault="00AA5DA6">
      <w:pPr>
        <w:spacing w:before="0" w:after="200" w:line="276" w:lineRule="auto"/>
        <w:rPr>
          <w:u w:val="single"/>
        </w:rPr>
      </w:pPr>
      <w:r>
        <w:rPr>
          <w:u w:val="single"/>
        </w:rPr>
        <w:br w:type="page"/>
      </w:r>
    </w:p>
    <w:p w14:paraId="4B686274" w14:textId="0B162D02" w:rsidR="00D03592" w:rsidRPr="00D03592" w:rsidRDefault="00D03592" w:rsidP="00A61CAC">
      <w:pPr>
        <w:ind w:left="284"/>
        <w:rPr>
          <w:u w:val="single"/>
        </w:rPr>
      </w:pPr>
      <w:r>
        <w:rPr>
          <w:u w:val="single"/>
        </w:rPr>
        <w:lastRenderedPageBreak/>
        <w:t>Epidemiology of MCL</w:t>
      </w:r>
    </w:p>
    <w:p w14:paraId="7E95DB12" w14:textId="4F77034F" w:rsidR="00176FA5" w:rsidRDefault="00C41347" w:rsidP="00A61CAC">
      <w:pPr>
        <w:ind w:left="284"/>
      </w:pPr>
      <w:r>
        <w:t>The</w:t>
      </w:r>
      <w:r w:rsidR="00CA07D0">
        <w:t xml:space="preserve"> age</w:t>
      </w:r>
      <w:r w:rsidR="00B97601">
        <w:t>-standardised</w:t>
      </w:r>
      <w:r>
        <w:t xml:space="preserve"> incidence of MCL</w:t>
      </w:r>
      <w:r w:rsidR="00CA6B5E">
        <w:t xml:space="preserve"> </w:t>
      </w:r>
      <w:r w:rsidR="008066DF">
        <w:t xml:space="preserve">in Australia </w:t>
      </w:r>
      <w:r w:rsidR="00B97601">
        <w:t xml:space="preserve">was reported to be 0.5 per 100,000 </w:t>
      </w:r>
      <w:r w:rsidR="005A2DBA">
        <w:t>person-years in the period from 1997 to 2006</w:t>
      </w:r>
      <w:r w:rsidR="00D667E2">
        <w:t>, increasing</w:t>
      </w:r>
      <w:r w:rsidR="00D03592">
        <w:t xml:space="preserve">, on average, by </w:t>
      </w:r>
      <w:r w:rsidR="008066DF">
        <w:t>4.</w:t>
      </w:r>
      <w:r w:rsidR="00954DB2">
        <w:t xml:space="preserve">2% </w:t>
      </w:r>
      <w:r w:rsidR="00157EBD">
        <w:t xml:space="preserve">(95% </w:t>
      </w:r>
      <w:r w:rsidR="00157EBD" w:rsidRPr="001753D7">
        <w:t xml:space="preserve">CI: 0.5% - 8.1%) </w:t>
      </w:r>
      <w:r w:rsidR="00954DB2" w:rsidRPr="001753D7">
        <w:t>per annum</w:t>
      </w:r>
      <w:r w:rsidR="00EA66D9" w:rsidRPr="001753D7">
        <w:t xml:space="preserve"> (van </w:t>
      </w:r>
      <w:proofErr w:type="spellStart"/>
      <w:r w:rsidR="00EA66D9" w:rsidRPr="001753D7">
        <w:t>Leeuwen</w:t>
      </w:r>
      <w:proofErr w:type="spellEnd"/>
      <w:r w:rsidR="00EA66D9" w:rsidRPr="001753D7">
        <w:t xml:space="preserve"> 2014</w:t>
      </w:r>
      <w:bookmarkStart w:id="14" w:name="_Ref44341445"/>
      <w:r w:rsidR="009F5FCB" w:rsidRPr="001753D7">
        <w:rPr>
          <w:rStyle w:val="EndnoteReference"/>
        </w:rPr>
        <w:endnoteReference w:id="21"/>
      </w:r>
      <w:bookmarkEnd w:id="14"/>
      <w:r w:rsidR="00EA66D9" w:rsidRPr="001753D7">
        <w:t>)</w:t>
      </w:r>
      <w:r w:rsidR="00954DB2" w:rsidRPr="001753D7">
        <w:t>.</w:t>
      </w:r>
      <w:r w:rsidR="000A169B" w:rsidRPr="001753D7">
        <w:t xml:space="preserve"> </w:t>
      </w:r>
      <w:r w:rsidR="004A156F" w:rsidRPr="001753D7">
        <w:t>The increasing incide</w:t>
      </w:r>
      <w:r w:rsidR="00313DAE" w:rsidRPr="001753D7">
        <w:t>nce likely reflects its recognition as a distinct condition and</w:t>
      </w:r>
      <w:r w:rsidR="00B34F37" w:rsidRPr="001753D7">
        <w:t xml:space="preserve"> improved diagnostic specificity </w:t>
      </w:r>
      <w:r w:rsidR="00FC1B49" w:rsidRPr="001753D7">
        <w:t>with</w:t>
      </w:r>
      <w:r w:rsidR="00313DAE" w:rsidRPr="001753D7">
        <w:t xml:space="preserve"> the introduction of </w:t>
      </w:r>
      <w:proofErr w:type="spellStart"/>
      <w:r w:rsidR="00313DAE" w:rsidRPr="001753D7">
        <w:t>immunohistochemical</w:t>
      </w:r>
      <w:proofErr w:type="spellEnd"/>
      <w:r w:rsidR="00313DAE" w:rsidRPr="001753D7">
        <w:t xml:space="preserve"> staining for cyclin D1</w:t>
      </w:r>
      <w:r w:rsidR="00956C6E" w:rsidRPr="001753D7">
        <w:t xml:space="preserve">. </w:t>
      </w:r>
      <w:r w:rsidR="000A169B" w:rsidRPr="001753D7">
        <w:t>The condi</w:t>
      </w:r>
      <w:r w:rsidR="0097626C" w:rsidRPr="001753D7">
        <w:t xml:space="preserve">tion </w:t>
      </w:r>
      <w:r w:rsidR="00D23DE0" w:rsidRPr="001753D7">
        <w:t xml:space="preserve">is associated with male predominance, with </w:t>
      </w:r>
      <w:r w:rsidR="003C2677" w:rsidRPr="001753D7">
        <w:t xml:space="preserve">the </w:t>
      </w:r>
      <w:r w:rsidR="000663F1" w:rsidRPr="001753D7">
        <w:t xml:space="preserve">ratio of incidence being </w:t>
      </w:r>
      <w:r w:rsidR="00414350" w:rsidRPr="001753D7">
        <w:t>2</w:t>
      </w:r>
      <w:r w:rsidR="00313DAC" w:rsidRPr="001753D7">
        <w:t>-4</w:t>
      </w:r>
      <w:r w:rsidR="000663F1" w:rsidRPr="001753D7">
        <w:t>:1 for males versus females</w:t>
      </w:r>
      <w:r w:rsidR="00036B78" w:rsidRPr="001753D7">
        <w:t xml:space="preserve"> (van </w:t>
      </w:r>
      <w:proofErr w:type="spellStart"/>
      <w:r w:rsidR="00036B78" w:rsidRPr="001753D7">
        <w:t>Leeuwen</w:t>
      </w:r>
      <w:proofErr w:type="spellEnd"/>
      <w:r w:rsidR="00036B78" w:rsidRPr="001753D7">
        <w:t xml:space="preserve"> 2014</w:t>
      </w:r>
      <w:r w:rsidR="00BD2C26" w:rsidRPr="001753D7">
        <w:fldChar w:fldCharType="begin"/>
      </w:r>
      <w:r w:rsidR="00BD2C26" w:rsidRPr="001753D7">
        <w:instrText xml:space="preserve"> NOTEREF _Ref44341445 \f \h </w:instrText>
      </w:r>
      <w:r w:rsidR="001753D7">
        <w:instrText xml:space="preserve"> \* MERGEFORMAT </w:instrText>
      </w:r>
      <w:r w:rsidR="00BD2C26" w:rsidRPr="001753D7">
        <w:fldChar w:fldCharType="separate"/>
      </w:r>
      <w:r w:rsidR="002E5497" w:rsidRPr="002E5497">
        <w:rPr>
          <w:rStyle w:val="EndnoteReference"/>
        </w:rPr>
        <w:t>20</w:t>
      </w:r>
      <w:r w:rsidR="00BD2C26" w:rsidRPr="001753D7">
        <w:fldChar w:fldCharType="end"/>
      </w:r>
      <w:r w:rsidR="00036B78" w:rsidRPr="001753D7">
        <w:t>)</w:t>
      </w:r>
      <w:r w:rsidR="000663F1" w:rsidRPr="001753D7">
        <w:t xml:space="preserve">. </w:t>
      </w:r>
      <w:r w:rsidR="001D2809" w:rsidRPr="001753D7">
        <w:t xml:space="preserve">The incidence </w:t>
      </w:r>
      <w:r w:rsidR="00817723" w:rsidRPr="001753D7">
        <w:t xml:space="preserve">of MCL </w:t>
      </w:r>
      <w:r w:rsidR="001D2809" w:rsidRPr="001753D7">
        <w:t xml:space="preserve">increases with </w:t>
      </w:r>
      <w:r w:rsidR="004337C8" w:rsidRPr="001753D7">
        <w:t xml:space="preserve">increasing </w:t>
      </w:r>
      <w:r w:rsidR="001D2809" w:rsidRPr="001753D7">
        <w:t>age</w:t>
      </w:r>
      <w:r w:rsidR="0047182A" w:rsidRPr="001753D7">
        <w:t xml:space="preserve">, with </w:t>
      </w:r>
      <w:r w:rsidR="008332B9" w:rsidRPr="001753D7">
        <w:t xml:space="preserve">the median age of diagnosis </w:t>
      </w:r>
      <w:r w:rsidR="00E63225" w:rsidRPr="001753D7">
        <w:t>estimated at 68 years</w:t>
      </w:r>
      <w:r w:rsidR="005C0772" w:rsidRPr="001753D7">
        <w:t xml:space="preserve"> </w:t>
      </w:r>
      <w:r w:rsidR="00C75A50" w:rsidRPr="001753D7">
        <w:t>(Zhou 2008</w:t>
      </w:r>
      <w:r w:rsidR="00BD2C26" w:rsidRPr="001753D7">
        <w:rPr>
          <w:rStyle w:val="EndnoteReference"/>
        </w:rPr>
        <w:endnoteReference w:id="22"/>
      </w:r>
      <w:r w:rsidR="00C75A50" w:rsidRPr="001753D7">
        <w:t>)</w:t>
      </w:r>
      <w:r w:rsidR="001401A1" w:rsidRPr="001753D7">
        <w:t>.</w:t>
      </w:r>
    </w:p>
    <w:p w14:paraId="5602470F" w14:textId="77777777" w:rsidR="002A6753" w:rsidRPr="00154B00" w:rsidRDefault="002A6753" w:rsidP="00E357B9">
      <w:pPr>
        <w:ind w:left="426"/>
        <w:rPr>
          <w:szCs w:val="20"/>
        </w:rPr>
      </w:pPr>
    </w:p>
    <w:p w14:paraId="306CFEAA" w14:textId="77777777" w:rsidR="00AA5FDA" w:rsidRPr="00154B00" w:rsidRDefault="00AA5FDA" w:rsidP="00561A90">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in the lead</w:t>
      </w:r>
      <w:r w:rsidR="00E7373B">
        <w:t xml:space="preserve"> </w:t>
      </w:r>
      <w:r w:rsidR="0018630F" w:rsidRPr="00154B00">
        <w:t xml:space="preserve">up to being considered </w:t>
      </w:r>
      <w:r w:rsidR="00DF6D37" w:rsidRPr="00154B00">
        <w:t xml:space="preserve">eligible </w:t>
      </w:r>
      <w:r w:rsidR="0018630F" w:rsidRPr="00154B00">
        <w:t>for the service</w:t>
      </w:r>
      <w:r w:rsidR="00197D29">
        <w:t>:</w:t>
      </w:r>
    </w:p>
    <w:p w14:paraId="60728F08" w14:textId="6A15024F" w:rsidR="00AA5FDA" w:rsidRPr="00CD24FF" w:rsidRDefault="00C47F30" w:rsidP="00CD24FF">
      <w:pPr>
        <w:ind w:left="426"/>
      </w:pPr>
      <w:r w:rsidRPr="00E651F5">
        <w:t>REDACTED</w:t>
      </w:r>
      <w:r>
        <w:t xml:space="preserve"> </w:t>
      </w:r>
      <w:r w:rsidR="00F24F07">
        <w:t xml:space="preserve"> </w:t>
      </w:r>
    </w:p>
    <w:p w14:paraId="0493C86C" w14:textId="77777777" w:rsidR="00B65D86" w:rsidRDefault="001D161D" w:rsidP="00CD24FF">
      <w:pPr>
        <w:ind w:left="426"/>
      </w:pPr>
      <w:r>
        <w:t xml:space="preserve">The diagnosis of </w:t>
      </w:r>
      <w:r w:rsidR="00F02C59">
        <w:t xml:space="preserve">MCL </w:t>
      </w:r>
      <w:r w:rsidR="00F33DAE">
        <w:t>is made based on</w:t>
      </w:r>
      <w:r w:rsidR="003C1FB7">
        <w:t xml:space="preserve"> assessment of</w:t>
      </w:r>
      <w:r w:rsidR="007B3C89">
        <w:t xml:space="preserve"> tissue </w:t>
      </w:r>
      <w:r w:rsidR="003C1FB7">
        <w:t xml:space="preserve">collected by </w:t>
      </w:r>
      <w:r w:rsidR="007B3C89">
        <w:t xml:space="preserve">biopsy. </w:t>
      </w:r>
      <w:r w:rsidR="00E85D5D">
        <w:t>MCL</w:t>
      </w:r>
      <w:r w:rsidR="007B3C89">
        <w:t xml:space="preserve"> </w:t>
      </w:r>
      <w:r w:rsidR="00132C65">
        <w:t xml:space="preserve">is characterised by overproduction </w:t>
      </w:r>
      <w:r w:rsidR="007B3C89">
        <w:t xml:space="preserve">of </w:t>
      </w:r>
      <w:r w:rsidR="00132C65">
        <w:t xml:space="preserve">the </w:t>
      </w:r>
      <w:r w:rsidR="007B3C89">
        <w:t xml:space="preserve">cyclin D1 </w:t>
      </w:r>
      <w:r w:rsidR="00132C65">
        <w:t xml:space="preserve">protein, which is </w:t>
      </w:r>
      <w:r w:rsidR="00625A16">
        <w:t>identified via</w:t>
      </w:r>
      <w:r w:rsidR="007B3C89">
        <w:t xml:space="preserve"> immunohistochemistry. Cytogenetic detection of the </w:t>
      </w:r>
      <w:proofErr w:type="gramStart"/>
      <w:r w:rsidR="007B3C89">
        <w:t>t(</w:t>
      </w:r>
      <w:proofErr w:type="gramEnd"/>
      <w:r w:rsidR="007B3C89">
        <w:t xml:space="preserve">11;14) </w:t>
      </w:r>
      <w:r w:rsidR="00705352">
        <w:t xml:space="preserve">translocation </w:t>
      </w:r>
      <w:r w:rsidR="00CB173A">
        <w:t xml:space="preserve">that gives rise to the overproduction of cyclin D1 </w:t>
      </w:r>
      <w:r w:rsidR="001518E5">
        <w:t xml:space="preserve">may be identified </w:t>
      </w:r>
      <w:r w:rsidR="00A742E4">
        <w:t>via</w:t>
      </w:r>
      <w:r w:rsidR="007B3C89">
        <w:t xml:space="preserve"> either karyotyping or fluorescence in situ hybridi</w:t>
      </w:r>
      <w:r w:rsidR="002B7C08">
        <w:t>s</w:t>
      </w:r>
      <w:r w:rsidR="007B3C89">
        <w:t>ation (FISH).</w:t>
      </w:r>
    </w:p>
    <w:p w14:paraId="347C9700" w14:textId="77777777" w:rsidR="0018630F" w:rsidRDefault="0018630F" w:rsidP="00DE1E1E">
      <w:pPr>
        <w:pStyle w:val="Heading2"/>
        <w:keepNext/>
        <w:keepLines/>
        <w:ind w:left="357" w:hanging="357"/>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AB9A495" w14:textId="69D79855" w:rsidR="007E49FC" w:rsidRPr="007E49FC" w:rsidRDefault="00722941" w:rsidP="00D73646">
      <w:pPr>
        <w:ind w:left="426"/>
      </w:pPr>
      <w:r w:rsidRPr="00722941">
        <w:rPr>
          <w:b/>
          <w:bCs/>
        </w:rPr>
        <w:fldChar w:fldCharType="begin"/>
      </w:r>
      <w:r w:rsidRPr="00722941">
        <w:rPr>
          <w:b/>
          <w:bCs/>
        </w:rPr>
        <w:instrText xml:space="preserve"> REF _Ref44278077 \h </w:instrText>
      </w:r>
      <w:r>
        <w:rPr>
          <w:b/>
          <w:bCs/>
        </w:rPr>
        <w:instrText xml:space="preserve"> \* MERGEFORMAT </w:instrText>
      </w:r>
      <w:r w:rsidRPr="00722941">
        <w:rPr>
          <w:b/>
          <w:bCs/>
        </w:rPr>
      </w:r>
      <w:r w:rsidRPr="00722941">
        <w:rPr>
          <w:b/>
          <w:bCs/>
        </w:rPr>
        <w:fldChar w:fldCharType="separate"/>
      </w:r>
      <w:r w:rsidR="002E5497" w:rsidRPr="002E5497">
        <w:rPr>
          <w:b/>
          <w:bCs/>
        </w:rPr>
        <w:t xml:space="preserve">Figure </w:t>
      </w:r>
      <w:r w:rsidR="002E5497" w:rsidRPr="002E5497">
        <w:rPr>
          <w:b/>
          <w:bCs/>
          <w:noProof/>
        </w:rPr>
        <w:t>2</w:t>
      </w:r>
      <w:r w:rsidRPr="00722941">
        <w:rPr>
          <w:b/>
          <w:bCs/>
        </w:rPr>
        <w:fldChar w:fldCharType="end"/>
      </w:r>
      <w:r>
        <w:t xml:space="preserve"> </w:t>
      </w:r>
      <w:r w:rsidR="000F2111">
        <w:t xml:space="preserve">provides a flow chart </w:t>
      </w:r>
      <w:r w:rsidR="00D71CA2">
        <w:t xml:space="preserve">depicting the clinical management pathway leading up to the point where </w:t>
      </w:r>
      <w:proofErr w:type="spellStart"/>
      <w:r w:rsidR="00637C62">
        <w:t>brexucabtagene</w:t>
      </w:r>
      <w:proofErr w:type="spellEnd"/>
      <w:r w:rsidR="00637C62">
        <w:t xml:space="preserve"> </w:t>
      </w:r>
      <w:proofErr w:type="spellStart"/>
      <w:r w:rsidR="00637C62">
        <w:t>autoleucel</w:t>
      </w:r>
      <w:proofErr w:type="spellEnd"/>
      <w:r w:rsidR="00D71CA2">
        <w:t xml:space="preserve"> </w:t>
      </w:r>
      <w:r w:rsidR="000E1B3F">
        <w:t>would become a treatment option.</w:t>
      </w:r>
    </w:p>
    <w:p w14:paraId="2EEBA9D8" w14:textId="77777777" w:rsidR="008C5A24" w:rsidRDefault="008C5A24" w:rsidP="00D73646">
      <w:pPr>
        <w:ind w:left="426"/>
        <w:rPr>
          <w:u w:val="single"/>
        </w:rPr>
      </w:pPr>
      <w:r>
        <w:rPr>
          <w:u w:val="single"/>
        </w:rPr>
        <w:t>Front</w:t>
      </w:r>
      <w:r w:rsidR="00A54922">
        <w:rPr>
          <w:u w:val="single"/>
        </w:rPr>
        <w:t>line</w:t>
      </w:r>
      <w:r>
        <w:rPr>
          <w:u w:val="single"/>
        </w:rPr>
        <w:t xml:space="preserve"> treatment</w:t>
      </w:r>
    </w:p>
    <w:p w14:paraId="21DF8269" w14:textId="77777777" w:rsidR="00C138B0" w:rsidRDefault="00D57BE3" w:rsidP="00D73646">
      <w:pPr>
        <w:ind w:left="426"/>
      </w:pPr>
      <w:r>
        <w:t xml:space="preserve">As discussed at 24. </w:t>
      </w:r>
      <w:proofErr w:type="gramStart"/>
      <w:r w:rsidR="007F03E3">
        <w:t>a</w:t>
      </w:r>
      <w:r>
        <w:t>bove</w:t>
      </w:r>
      <w:proofErr w:type="gramEnd"/>
      <w:r>
        <w:t xml:space="preserve">, </w:t>
      </w:r>
      <w:r w:rsidR="00336AB2">
        <w:t xml:space="preserve">MCL </w:t>
      </w:r>
      <w:r w:rsidR="000C61ED">
        <w:t xml:space="preserve">has a variable course </w:t>
      </w:r>
      <w:r w:rsidR="00D64201">
        <w:t>however,</w:t>
      </w:r>
      <w:r w:rsidR="00C90ED7">
        <w:t xml:space="preserve"> in the majority of patients</w:t>
      </w:r>
      <w:r w:rsidR="00C653ED">
        <w:t xml:space="preserve">, MCL </w:t>
      </w:r>
      <w:r w:rsidR="001354ED">
        <w:t>is</w:t>
      </w:r>
      <w:r w:rsidR="00EC2056">
        <w:t xml:space="preserve"> associated with an aggressive clinical course.</w:t>
      </w:r>
    </w:p>
    <w:p w14:paraId="169ABFCD" w14:textId="722FA139" w:rsidR="008C5A24" w:rsidRDefault="0013481C" w:rsidP="00D73646">
      <w:pPr>
        <w:ind w:left="426"/>
      </w:pPr>
      <w:r>
        <w:t>In patients who are eligible</w:t>
      </w:r>
      <w:r w:rsidR="00D45B07">
        <w:t xml:space="preserve"> (typically younger, fitter patients)</w:t>
      </w:r>
      <w:r w:rsidR="006E5759">
        <w:t xml:space="preserve">, </w:t>
      </w:r>
      <w:r w:rsidR="00550519">
        <w:t>administration of intensive chemother</w:t>
      </w:r>
      <w:r w:rsidR="007340BC">
        <w:t>apy followed by</w:t>
      </w:r>
      <w:r>
        <w:t xml:space="preserve"> </w:t>
      </w:r>
      <w:r w:rsidR="002E5EEB">
        <w:t xml:space="preserve">consolidation with </w:t>
      </w:r>
      <w:r w:rsidR="00594EB4">
        <w:t>autologous stem cell transplant</w:t>
      </w:r>
      <w:r w:rsidR="007340BC">
        <w:t xml:space="preserve"> (ASCT) is the trea</w:t>
      </w:r>
      <w:r w:rsidR="002B2E44">
        <w:t>t</w:t>
      </w:r>
      <w:r w:rsidR="002B2E44" w:rsidRPr="001E588E">
        <w:t>ment of choice</w:t>
      </w:r>
      <w:r w:rsidR="003356F8" w:rsidRPr="001E588E">
        <w:t xml:space="preserve"> (Tang </w:t>
      </w:r>
      <w:r w:rsidR="00777913" w:rsidRPr="001E588E">
        <w:t>&amp;</w:t>
      </w:r>
      <w:r w:rsidR="003356F8" w:rsidRPr="001E588E">
        <w:t xml:space="preserve"> </w:t>
      </w:r>
      <w:proofErr w:type="spellStart"/>
      <w:r w:rsidR="003356F8" w:rsidRPr="001E588E">
        <w:t>Kuruvilla</w:t>
      </w:r>
      <w:proofErr w:type="spellEnd"/>
      <w:r w:rsidR="00CB11E8" w:rsidRPr="001E588E">
        <w:rPr>
          <w:rStyle w:val="EndnoteReference"/>
        </w:rPr>
        <w:endnoteReference w:id="23"/>
      </w:r>
      <w:r w:rsidR="003356F8" w:rsidRPr="001E588E">
        <w:t>, 2018</w:t>
      </w:r>
      <w:r w:rsidR="002B3614" w:rsidRPr="001E588E">
        <w:t xml:space="preserve">, </w:t>
      </w:r>
      <w:proofErr w:type="spellStart"/>
      <w:r w:rsidR="002B3614" w:rsidRPr="001E588E">
        <w:t>Fakri</w:t>
      </w:r>
      <w:proofErr w:type="spellEnd"/>
      <w:r w:rsidR="002B3614" w:rsidRPr="001E588E">
        <w:t xml:space="preserve"> 201</w:t>
      </w:r>
      <w:r w:rsidR="00777913" w:rsidRPr="001E588E">
        <w:t>7</w:t>
      </w:r>
      <w:r w:rsidR="00D41EA1" w:rsidRPr="001E588E">
        <w:fldChar w:fldCharType="begin"/>
      </w:r>
      <w:r w:rsidR="00D41EA1" w:rsidRPr="001E588E">
        <w:instrText xml:space="preserve"> NOTEREF _Ref44340997 \f \h </w:instrText>
      </w:r>
      <w:r w:rsidR="001E588E">
        <w:instrText xml:space="preserve"> \* MERGEFORMAT </w:instrText>
      </w:r>
      <w:r w:rsidR="00D41EA1" w:rsidRPr="001E588E">
        <w:fldChar w:fldCharType="separate"/>
      </w:r>
      <w:r w:rsidR="002E5497" w:rsidRPr="002E5497">
        <w:rPr>
          <w:rStyle w:val="EndnoteReference"/>
        </w:rPr>
        <w:t>1</w:t>
      </w:r>
      <w:r w:rsidR="00D41EA1" w:rsidRPr="001E588E">
        <w:fldChar w:fldCharType="end"/>
      </w:r>
      <w:r w:rsidR="003356F8" w:rsidRPr="001E588E">
        <w:t xml:space="preserve">. </w:t>
      </w:r>
      <w:r w:rsidR="0000323C" w:rsidRPr="001E588E">
        <w:t xml:space="preserve">Given the median age at diagnosis is 68 years, </w:t>
      </w:r>
      <w:r w:rsidR="00D7415F" w:rsidRPr="001E588E">
        <w:t>the populatio</w:t>
      </w:r>
      <w:r w:rsidR="00D7415F">
        <w:t xml:space="preserve">n eligible for </w:t>
      </w:r>
      <w:r w:rsidR="009E2F08">
        <w:t xml:space="preserve">such </w:t>
      </w:r>
      <w:r w:rsidR="00C27D07">
        <w:t>intensive therapy is</w:t>
      </w:r>
      <w:r w:rsidR="009E2F08">
        <w:t xml:space="preserve"> limited</w:t>
      </w:r>
      <w:r w:rsidR="00AE31AE">
        <w:t>. When high intensity induction and A</w:t>
      </w:r>
      <w:r w:rsidR="00836E8B">
        <w:t xml:space="preserve">SCT cannot be used, </w:t>
      </w:r>
      <w:r w:rsidR="00C747F4">
        <w:t xml:space="preserve">less toxic treatment strategies are employed. Typically, </w:t>
      </w:r>
      <w:r w:rsidR="00B37D90">
        <w:t xml:space="preserve">a </w:t>
      </w:r>
      <w:proofErr w:type="spellStart"/>
      <w:r w:rsidR="00B37D90">
        <w:t>bendamustin</w:t>
      </w:r>
      <w:r w:rsidR="0052354E">
        <w:t>e</w:t>
      </w:r>
      <w:proofErr w:type="spellEnd"/>
      <w:r w:rsidR="0052354E">
        <w:t>-based chemotherapy regimen that includes an anti-CD20 monoclonal antibody therapy</w:t>
      </w:r>
      <w:r w:rsidR="005D3721">
        <w:t xml:space="preserve"> will be administered</w:t>
      </w:r>
      <w:r w:rsidR="005D3EA4">
        <w:t>.</w:t>
      </w:r>
    </w:p>
    <w:p w14:paraId="49BCE427" w14:textId="114ECF06" w:rsidR="00792E08" w:rsidRDefault="0054430A" w:rsidP="00792E08">
      <w:pPr>
        <w:ind w:left="426"/>
      </w:pPr>
      <w:r>
        <w:t>Outcomes following front</w:t>
      </w:r>
      <w:r w:rsidR="00A54922">
        <w:t>line</w:t>
      </w:r>
      <w:r>
        <w:t xml:space="preserve"> therapy are variable.</w:t>
      </w:r>
      <w:r w:rsidR="008B19C9">
        <w:t xml:space="preserve"> H</w:t>
      </w:r>
      <w:r w:rsidR="00792E08">
        <w:t xml:space="preserve">igh response rates </w:t>
      </w:r>
      <w:r w:rsidR="00EB37F5">
        <w:t xml:space="preserve">and high rates of long term survival </w:t>
      </w:r>
      <w:r w:rsidR="000F2349">
        <w:t>have been observed in some patients</w:t>
      </w:r>
      <w:r w:rsidR="00ED6D26">
        <w:t xml:space="preserve"> </w:t>
      </w:r>
      <w:r w:rsidR="00ED6D26" w:rsidRPr="00F559B1">
        <w:t>(Geisler 20</w:t>
      </w:r>
      <w:r w:rsidR="004A6B6D" w:rsidRPr="00F559B1">
        <w:t>12</w:t>
      </w:r>
      <w:r w:rsidR="00871D6F" w:rsidRPr="00F559B1">
        <w:rPr>
          <w:rStyle w:val="EndnoteReference"/>
        </w:rPr>
        <w:endnoteReference w:id="24"/>
      </w:r>
      <w:r w:rsidR="0040245A" w:rsidRPr="00F559B1">
        <w:t xml:space="preserve">, </w:t>
      </w:r>
      <w:proofErr w:type="spellStart"/>
      <w:r w:rsidR="0040245A" w:rsidRPr="00F559B1">
        <w:t>Fakri</w:t>
      </w:r>
      <w:proofErr w:type="spellEnd"/>
      <w:r w:rsidR="0040245A" w:rsidRPr="00F559B1">
        <w:t xml:space="preserve"> 2</w:t>
      </w:r>
      <w:r w:rsidR="00C64A84" w:rsidRPr="00F559B1">
        <w:t>01</w:t>
      </w:r>
      <w:r w:rsidR="002F7AC0" w:rsidRPr="00F559B1">
        <w:t>7</w:t>
      </w:r>
      <w:r w:rsidR="00F559B1" w:rsidRPr="00F559B1">
        <w:fldChar w:fldCharType="begin"/>
      </w:r>
      <w:r w:rsidR="00F559B1" w:rsidRPr="00F559B1">
        <w:instrText xml:space="preserve"> NOTEREF _Ref44340997 \f \h </w:instrText>
      </w:r>
      <w:r w:rsidR="00F559B1">
        <w:instrText xml:space="preserve"> \* MERGEFORMAT </w:instrText>
      </w:r>
      <w:r w:rsidR="00F559B1" w:rsidRPr="00F559B1">
        <w:fldChar w:fldCharType="separate"/>
      </w:r>
      <w:r w:rsidR="002E5497" w:rsidRPr="002E5497">
        <w:rPr>
          <w:rStyle w:val="EndnoteReference"/>
        </w:rPr>
        <w:t>1</w:t>
      </w:r>
      <w:r w:rsidR="00F559B1" w:rsidRPr="00F559B1">
        <w:fldChar w:fldCharType="end"/>
      </w:r>
      <w:r w:rsidR="00F559B1" w:rsidRPr="00F559B1">
        <w:t>)</w:t>
      </w:r>
      <w:r w:rsidR="00057381" w:rsidRPr="00F559B1">
        <w:t>.</w:t>
      </w:r>
    </w:p>
    <w:p w14:paraId="6E898D59" w14:textId="77777777" w:rsidR="008C5A24" w:rsidRPr="00AB76D3" w:rsidRDefault="00E108C9" w:rsidP="00D73646">
      <w:pPr>
        <w:ind w:left="426"/>
        <w:rPr>
          <w:u w:val="single"/>
        </w:rPr>
      </w:pPr>
      <w:r w:rsidRPr="00AB76D3">
        <w:rPr>
          <w:u w:val="single"/>
        </w:rPr>
        <w:t>Treatment of relapsed</w:t>
      </w:r>
      <w:r w:rsidR="002E4D1D" w:rsidRPr="00AB76D3">
        <w:rPr>
          <w:u w:val="single"/>
        </w:rPr>
        <w:t>/</w:t>
      </w:r>
      <w:r w:rsidRPr="00AB76D3">
        <w:rPr>
          <w:u w:val="single"/>
        </w:rPr>
        <w:t xml:space="preserve">refractory </w:t>
      </w:r>
      <w:r w:rsidR="002E4D1D" w:rsidRPr="00AB76D3">
        <w:rPr>
          <w:u w:val="single"/>
        </w:rPr>
        <w:t>MCL</w:t>
      </w:r>
    </w:p>
    <w:p w14:paraId="2E007FBA" w14:textId="2A4F3CE7" w:rsidR="00792E08" w:rsidRDefault="00D5428E" w:rsidP="00792E08">
      <w:pPr>
        <w:ind w:left="426"/>
      </w:pPr>
      <w:r>
        <w:t xml:space="preserve">Refractory and relapsed MCL is typically treated with </w:t>
      </w:r>
      <w:r w:rsidR="006C384D">
        <w:t xml:space="preserve">either </w:t>
      </w:r>
      <w:r w:rsidR="00472AB9">
        <w:t>allogen</w:t>
      </w:r>
      <w:r w:rsidR="00EF72D6">
        <w:t xml:space="preserve">eic </w:t>
      </w:r>
      <w:r w:rsidR="00A759E1">
        <w:t xml:space="preserve">stem cell transplant or </w:t>
      </w:r>
      <w:r>
        <w:t>a BTK inhibitor treatment</w:t>
      </w:r>
      <w:r w:rsidR="00A759E1">
        <w:t xml:space="preserve"> (</w:t>
      </w:r>
      <w:r w:rsidR="00A759E1">
        <w:rPr>
          <w:rFonts w:cstheme="minorHAnsi"/>
        </w:rPr>
        <w:t>±</w:t>
      </w:r>
      <w:r w:rsidR="00A759E1">
        <w:t xml:space="preserve"> allogeneic stem cell transplant)</w:t>
      </w:r>
      <w:r w:rsidR="004D23EF">
        <w:t xml:space="preserve">. </w:t>
      </w:r>
      <w:r w:rsidR="00AF0E73">
        <w:t xml:space="preserve">Although efficacy of </w:t>
      </w:r>
      <w:r w:rsidR="00FB6531">
        <w:t>BTK inhibitors</w:t>
      </w:r>
      <w:r w:rsidR="00AF0E73">
        <w:t xml:space="preserve"> in </w:t>
      </w:r>
      <w:r w:rsidR="00474CFD">
        <w:t>this setting</w:t>
      </w:r>
      <w:r w:rsidR="00AF0E73">
        <w:t xml:space="preserve"> has been observed, </w:t>
      </w:r>
      <w:r w:rsidR="00792E08">
        <w:t>most patients experience progression following such treatment</w:t>
      </w:r>
      <w:r w:rsidR="00057381">
        <w:t xml:space="preserve"> </w:t>
      </w:r>
      <w:r w:rsidR="003B09DC">
        <w:t xml:space="preserve">due to </w:t>
      </w:r>
      <w:r w:rsidR="007C2813">
        <w:t xml:space="preserve">primary </w:t>
      </w:r>
      <w:r w:rsidR="006331AD">
        <w:t>or</w:t>
      </w:r>
      <w:r w:rsidR="007C2813">
        <w:t xml:space="preserve"> acquired resistance to treatm</w:t>
      </w:r>
      <w:r w:rsidR="007C2813" w:rsidRPr="00F559B1">
        <w:t>ent</w:t>
      </w:r>
      <w:r w:rsidR="00057381" w:rsidRPr="00F559B1">
        <w:t xml:space="preserve"> (Martin 2016</w:t>
      </w:r>
      <w:r w:rsidR="006D2F13" w:rsidRPr="00F559B1">
        <w:fldChar w:fldCharType="begin"/>
      </w:r>
      <w:r w:rsidR="006D2F13" w:rsidRPr="00F559B1">
        <w:instrText xml:space="preserve"> NOTEREF _Ref44340942 \f \h </w:instrText>
      </w:r>
      <w:r w:rsidR="00F559B1">
        <w:instrText xml:space="preserve"> \* MERGEFORMAT </w:instrText>
      </w:r>
      <w:r w:rsidR="006D2F13" w:rsidRPr="00F559B1">
        <w:fldChar w:fldCharType="separate"/>
      </w:r>
      <w:r w:rsidR="002E5497" w:rsidRPr="002E5497">
        <w:rPr>
          <w:rStyle w:val="EndnoteReference"/>
        </w:rPr>
        <w:t>6</w:t>
      </w:r>
      <w:r w:rsidR="006D2F13" w:rsidRPr="00F559B1">
        <w:fldChar w:fldCharType="end"/>
      </w:r>
      <w:r w:rsidR="00057381" w:rsidRPr="00F559B1">
        <w:t>).</w:t>
      </w:r>
      <w:r w:rsidR="000A170F">
        <w:t xml:space="preserve"> </w:t>
      </w:r>
    </w:p>
    <w:p w14:paraId="6430C7BA" w14:textId="77777777" w:rsidR="002E4D1D" w:rsidRPr="00AB76D3" w:rsidRDefault="002E4D1D" w:rsidP="00D73646">
      <w:pPr>
        <w:ind w:left="426"/>
        <w:rPr>
          <w:u w:val="single"/>
        </w:rPr>
      </w:pPr>
      <w:r w:rsidRPr="00AB76D3">
        <w:rPr>
          <w:u w:val="single"/>
        </w:rPr>
        <w:t xml:space="preserve">Treatment of </w:t>
      </w:r>
      <w:r w:rsidR="00AB76D3" w:rsidRPr="00AB76D3">
        <w:rPr>
          <w:u w:val="single"/>
        </w:rPr>
        <w:t xml:space="preserve">patients who are refractory to or have </w:t>
      </w:r>
      <w:r w:rsidRPr="00AB76D3">
        <w:rPr>
          <w:u w:val="single"/>
        </w:rPr>
        <w:t>relapsed</w:t>
      </w:r>
      <w:r w:rsidR="00AB76D3" w:rsidRPr="00AB76D3">
        <w:rPr>
          <w:u w:val="single"/>
        </w:rPr>
        <w:t xml:space="preserve"> following treatment with</w:t>
      </w:r>
      <w:r w:rsidR="00900D70" w:rsidRPr="00AB76D3">
        <w:rPr>
          <w:u w:val="single"/>
        </w:rPr>
        <w:t xml:space="preserve"> BTK inhibitors</w:t>
      </w:r>
      <w:r w:rsidR="00AB76D3" w:rsidRPr="00AB76D3">
        <w:rPr>
          <w:u w:val="single"/>
        </w:rPr>
        <w:t xml:space="preserve"> for relapsed/refractory MCL</w:t>
      </w:r>
    </w:p>
    <w:p w14:paraId="2E57F67E" w14:textId="5E5F8FAE" w:rsidR="00452BD8" w:rsidRDefault="00AC14E8" w:rsidP="00A168E7">
      <w:pPr>
        <w:ind w:left="426"/>
      </w:pPr>
      <w:r>
        <w:t>Limited treatment options are available for</w:t>
      </w:r>
      <w:r w:rsidR="00F7220B">
        <w:t xml:space="preserve"> p</w:t>
      </w:r>
      <w:r w:rsidR="00837DD9">
        <w:t xml:space="preserve">atients </w:t>
      </w:r>
      <w:r w:rsidR="00F7220B">
        <w:t xml:space="preserve">who </w:t>
      </w:r>
      <w:r w:rsidR="00837DD9">
        <w:t>relap</w:t>
      </w:r>
      <w:r w:rsidR="00F7220B">
        <w:t>se or are refractory to treatment with BTK inhibitors</w:t>
      </w:r>
      <w:r w:rsidR="00FB6531">
        <w:t xml:space="preserve">. Salvage chemotherapy is typically used in patients who are fit enough to tolerate such treatment. In this setting, </w:t>
      </w:r>
      <w:r w:rsidR="00E31D41">
        <w:t xml:space="preserve">MCL </w:t>
      </w:r>
      <w:r w:rsidR="00F7220B">
        <w:t xml:space="preserve">is </w:t>
      </w:r>
      <w:r w:rsidR="00E31D41">
        <w:t>rapidly fata</w:t>
      </w:r>
      <w:r w:rsidR="0003710A">
        <w:t xml:space="preserve">l. </w:t>
      </w:r>
      <w:r w:rsidR="00792E08">
        <w:t xml:space="preserve">Outcomes following salvage therapy are poor </w:t>
      </w:r>
      <w:r w:rsidR="00297888">
        <w:t xml:space="preserve">with </w:t>
      </w:r>
      <w:r w:rsidR="00792E08">
        <w:t xml:space="preserve">median </w:t>
      </w:r>
      <w:r w:rsidR="005C0F34">
        <w:t>overall survival</w:t>
      </w:r>
      <w:r w:rsidR="00792E08">
        <w:t xml:space="preserve"> ranging from </w:t>
      </w:r>
      <w:r w:rsidR="00B01ED7">
        <w:t>5.8</w:t>
      </w:r>
      <w:r w:rsidR="00792E08">
        <w:t xml:space="preserve"> to </w:t>
      </w:r>
      <w:r w:rsidR="00355A1E">
        <w:t>1</w:t>
      </w:r>
      <w:r w:rsidR="00934AF5">
        <w:t>0</w:t>
      </w:r>
      <w:r w:rsidR="00792E08">
        <w:t xml:space="preserve"> month</w:t>
      </w:r>
      <w:r w:rsidR="00792E08" w:rsidRPr="00F559B1">
        <w:t>s (</w:t>
      </w:r>
      <w:proofErr w:type="spellStart"/>
      <w:r w:rsidR="00792E08" w:rsidRPr="00F559B1">
        <w:t>Cheah</w:t>
      </w:r>
      <w:proofErr w:type="spellEnd"/>
      <w:r w:rsidR="00792E08" w:rsidRPr="00F559B1">
        <w:t xml:space="preserve"> 2015</w:t>
      </w:r>
      <w:r w:rsidR="006D2F13" w:rsidRPr="00F559B1">
        <w:fldChar w:fldCharType="begin"/>
      </w:r>
      <w:r w:rsidR="006D2F13" w:rsidRPr="00F559B1">
        <w:instrText xml:space="preserve"> NOTEREF _Ref44341578 \f \h </w:instrText>
      </w:r>
      <w:r w:rsidR="00F559B1">
        <w:instrText xml:space="preserve"> \* MERGEFORMAT </w:instrText>
      </w:r>
      <w:r w:rsidR="006D2F13" w:rsidRPr="00F559B1">
        <w:fldChar w:fldCharType="separate"/>
      </w:r>
      <w:r w:rsidR="002E5497" w:rsidRPr="002E5497">
        <w:rPr>
          <w:rStyle w:val="EndnoteReference"/>
        </w:rPr>
        <w:t>7</w:t>
      </w:r>
      <w:r w:rsidR="006D2F13" w:rsidRPr="00F559B1">
        <w:fldChar w:fldCharType="end"/>
      </w:r>
      <w:r w:rsidR="00792E08" w:rsidRPr="00F559B1">
        <w:t>, Jain 2018</w:t>
      </w:r>
      <w:r w:rsidR="00A20008" w:rsidRPr="00F559B1">
        <w:fldChar w:fldCharType="begin"/>
      </w:r>
      <w:r w:rsidR="00A20008" w:rsidRPr="00F559B1">
        <w:instrText xml:space="preserve"> NOTEREF _Ref44341657 \f \h </w:instrText>
      </w:r>
      <w:r w:rsidR="00F559B1">
        <w:instrText xml:space="preserve"> \* MERGEFORMAT </w:instrText>
      </w:r>
      <w:r w:rsidR="00A20008" w:rsidRPr="00F559B1">
        <w:fldChar w:fldCharType="separate"/>
      </w:r>
      <w:r w:rsidR="002E5497" w:rsidRPr="002E5497">
        <w:rPr>
          <w:rStyle w:val="EndnoteReference"/>
        </w:rPr>
        <w:t>9</w:t>
      </w:r>
      <w:r w:rsidR="00A20008" w:rsidRPr="00F559B1">
        <w:fldChar w:fldCharType="end"/>
      </w:r>
      <w:r w:rsidR="00792E08" w:rsidRPr="00F559B1">
        <w:t>, Martin 2016</w:t>
      </w:r>
      <w:r w:rsidR="00A20008" w:rsidRPr="00F559B1">
        <w:fldChar w:fldCharType="begin"/>
      </w:r>
      <w:r w:rsidR="00A20008" w:rsidRPr="00F559B1">
        <w:instrText xml:space="preserve"> NOTEREF _Ref44340942 \f \h </w:instrText>
      </w:r>
      <w:r w:rsidR="00F559B1">
        <w:instrText xml:space="preserve"> \* MERGEFORMAT </w:instrText>
      </w:r>
      <w:r w:rsidR="00A20008" w:rsidRPr="00F559B1">
        <w:fldChar w:fldCharType="separate"/>
      </w:r>
      <w:r w:rsidR="002E5497" w:rsidRPr="002E5497">
        <w:rPr>
          <w:rStyle w:val="EndnoteReference"/>
        </w:rPr>
        <w:t>6</w:t>
      </w:r>
      <w:r w:rsidR="00A20008" w:rsidRPr="00F559B1">
        <w:fldChar w:fldCharType="end"/>
      </w:r>
      <w:r w:rsidR="00792E08" w:rsidRPr="00F559B1">
        <w:t>).</w:t>
      </w:r>
    </w:p>
    <w:p w14:paraId="7F9819AF" w14:textId="69D90B3F" w:rsidR="0051032E" w:rsidRPr="00DE293F" w:rsidRDefault="00FA4D38" w:rsidP="00452BD8">
      <w:pPr>
        <w:pStyle w:val="Caption"/>
        <w:ind w:left="426" w:firstLine="0"/>
      </w:pPr>
      <w:bookmarkStart w:id="15" w:name="_Ref44278077"/>
      <w:r>
        <w:lastRenderedPageBreak/>
        <w:t xml:space="preserve">Figure </w:t>
      </w:r>
      <w:r>
        <w:fldChar w:fldCharType="begin"/>
      </w:r>
      <w:r>
        <w:instrText>SEQ Figure \* ARABIC</w:instrText>
      </w:r>
      <w:r>
        <w:fldChar w:fldCharType="separate"/>
      </w:r>
      <w:r w:rsidR="002E5497">
        <w:rPr>
          <w:noProof/>
        </w:rPr>
        <w:t>2</w:t>
      </w:r>
      <w:r>
        <w:fldChar w:fldCharType="end"/>
      </w:r>
      <w:bookmarkEnd w:id="15"/>
      <w:r w:rsidR="00941B58" w:rsidRPr="00DE293F">
        <w:t xml:space="preserve">: </w:t>
      </w:r>
      <w:r w:rsidR="00DE293F" w:rsidRPr="00DE293F">
        <w:t>Management algorithm for MCL in Australia</w:t>
      </w:r>
      <w:r w:rsidR="00BA6274">
        <w:t xml:space="preserve">, showing </w:t>
      </w:r>
      <w:r w:rsidR="00DE293F" w:rsidRPr="00DE293F">
        <w:t xml:space="preserve">proposed positioning of </w:t>
      </w:r>
      <w:proofErr w:type="spellStart"/>
      <w:r w:rsidR="00637C62">
        <w:t>brexucabtagene</w:t>
      </w:r>
      <w:proofErr w:type="spellEnd"/>
      <w:r w:rsidR="00637C62">
        <w:t xml:space="preserve"> </w:t>
      </w:r>
      <w:proofErr w:type="spellStart"/>
      <w:r w:rsidR="00637C62">
        <w:t>autoleucel</w:t>
      </w:r>
      <w:proofErr w:type="spellEnd"/>
    </w:p>
    <w:p w14:paraId="2CD6A422" w14:textId="00F64809" w:rsidR="00452BD8" w:rsidRPr="00AA5DA6" w:rsidRDefault="00A10C05" w:rsidP="00AA5DA6">
      <w:pPr>
        <w:ind w:left="426"/>
        <w:rPr>
          <w:b/>
          <w:sz w:val="18"/>
          <w:szCs w:val="20"/>
        </w:rPr>
      </w:pPr>
      <w:r w:rsidRPr="00A168E7">
        <w:rPr>
          <w:b/>
        </w:rPr>
        <w:t>REDACTED</w:t>
      </w:r>
      <w:r w:rsidRPr="00A168E7">
        <w:rPr>
          <w:b/>
          <w:sz w:val="18"/>
          <w:szCs w:val="20"/>
        </w:rPr>
        <w:t xml:space="preserve"> </w:t>
      </w:r>
    </w:p>
    <w:p w14:paraId="41638A76" w14:textId="77777777" w:rsidR="002A50FD" w:rsidRPr="00881F93" w:rsidRDefault="005C3AE7" w:rsidP="00A168E7">
      <w:pPr>
        <w:pStyle w:val="Subtitle"/>
        <w:ind w:hanging="357"/>
      </w:pPr>
      <w:r>
        <w:t xml:space="preserve">PART 6b – </w:t>
      </w:r>
      <w:r w:rsidR="002A50FD" w:rsidRPr="00881F93">
        <w:t>INFORMATION ABOUT THE INTERVENTION</w:t>
      </w:r>
    </w:p>
    <w:p w14:paraId="22C3B01A" w14:textId="77777777" w:rsidR="002A50FD" w:rsidRPr="00154B00" w:rsidRDefault="002A6753" w:rsidP="00561A90">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4847AA1D" w14:textId="6B93C990" w:rsidR="001542F0" w:rsidRPr="006F42E2" w:rsidRDefault="00637C62" w:rsidP="003208E3">
      <w:pPr>
        <w:pStyle w:val="Heading2"/>
        <w:numPr>
          <w:ilvl w:val="0"/>
          <w:numId w:val="0"/>
        </w:numPr>
        <w:ind w:left="360"/>
        <w:rPr>
          <w:b w:val="0"/>
          <w:szCs w:val="22"/>
        </w:rPr>
      </w:pPr>
      <w:proofErr w:type="spellStart"/>
      <w:r>
        <w:rPr>
          <w:b w:val="0"/>
          <w:szCs w:val="22"/>
        </w:rPr>
        <w:t>Brexucabtagene</w:t>
      </w:r>
      <w:proofErr w:type="spellEnd"/>
      <w:r>
        <w:rPr>
          <w:b w:val="0"/>
          <w:szCs w:val="22"/>
        </w:rPr>
        <w:t xml:space="preserve"> </w:t>
      </w:r>
      <w:proofErr w:type="spellStart"/>
      <w:r>
        <w:rPr>
          <w:b w:val="0"/>
          <w:szCs w:val="22"/>
        </w:rPr>
        <w:t>autoleucel</w:t>
      </w:r>
      <w:proofErr w:type="spellEnd"/>
      <w:r w:rsidR="00DC3479">
        <w:rPr>
          <w:b w:val="0"/>
          <w:szCs w:val="22"/>
        </w:rPr>
        <w:t xml:space="preserve"> </w:t>
      </w:r>
      <w:r w:rsidR="00441F35" w:rsidRPr="00441F35">
        <w:rPr>
          <w:b w:val="0"/>
          <w:szCs w:val="22"/>
        </w:rPr>
        <w:t xml:space="preserve">is </w:t>
      </w:r>
      <w:r w:rsidR="003208E3">
        <w:rPr>
          <w:b w:val="0"/>
          <w:szCs w:val="22"/>
        </w:rPr>
        <w:t xml:space="preserve">a </w:t>
      </w:r>
      <w:r w:rsidR="006F42E2">
        <w:rPr>
          <w:b w:val="0"/>
          <w:szCs w:val="22"/>
        </w:rPr>
        <w:t xml:space="preserve">CAR T-cell </w:t>
      </w:r>
      <w:r w:rsidR="00441F35" w:rsidRPr="00441F35">
        <w:rPr>
          <w:b w:val="0"/>
          <w:szCs w:val="22"/>
        </w:rPr>
        <w:t xml:space="preserve">product </w:t>
      </w:r>
      <w:r w:rsidR="003208E3">
        <w:rPr>
          <w:b w:val="0"/>
          <w:szCs w:val="22"/>
        </w:rPr>
        <w:t xml:space="preserve">that is </w:t>
      </w:r>
      <w:r w:rsidR="00441F35" w:rsidRPr="00441F35">
        <w:rPr>
          <w:b w:val="0"/>
          <w:szCs w:val="22"/>
        </w:rPr>
        <w:t>unique to each patient.</w:t>
      </w:r>
      <w:r w:rsidR="00441F35" w:rsidRPr="006F42E2">
        <w:rPr>
          <w:b w:val="0"/>
          <w:szCs w:val="22"/>
        </w:rPr>
        <w:t xml:space="preserve"> </w:t>
      </w:r>
      <w:r w:rsidR="00446080">
        <w:rPr>
          <w:b w:val="0"/>
        </w:rPr>
        <w:t>Each individual p</w:t>
      </w:r>
      <w:r w:rsidR="006F42E2" w:rsidRPr="006F42E2">
        <w:rPr>
          <w:b w:val="0"/>
        </w:rPr>
        <w:t>atient’s T-cells (immune cells with anti</w:t>
      </w:r>
      <w:r w:rsidR="009A71C2">
        <w:rPr>
          <w:b w:val="0"/>
        </w:rPr>
        <w:t>cancer</w:t>
      </w:r>
      <w:r w:rsidR="006F42E2" w:rsidRPr="006F42E2">
        <w:rPr>
          <w:b w:val="0"/>
        </w:rPr>
        <w:t xml:space="preserve"> activity) are collected and genetically modified in the laboratory to recognise cancer cells that express CD19 on their surface. The modified T-cells are then expanded to several million and the modified cells are then infused back into the patient</w:t>
      </w:r>
      <w:r w:rsidR="008B379B">
        <w:rPr>
          <w:b w:val="0"/>
        </w:rPr>
        <w:t>. The steps involved in de</w:t>
      </w:r>
      <w:r w:rsidR="001542F0" w:rsidRPr="006F42E2">
        <w:rPr>
          <w:b w:val="0"/>
          <w:szCs w:val="22"/>
        </w:rPr>
        <w:t xml:space="preserve">veloping </w:t>
      </w:r>
      <w:r w:rsidR="008B379B">
        <w:rPr>
          <w:b w:val="0"/>
          <w:szCs w:val="22"/>
        </w:rPr>
        <w:t xml:space="preserve">and eventually delivering the product are </w:t>
      </w:r>
      <w:r w:rsidR="00427025">
        <w:rPr>
          <w:b w:val="0"/>
          <w:szCs w:val="22"/>
        </w:rPr>
        <w:t xml:space="preserve">illustrated in </w:t>
      </w:r>
      <w:r w:rsidR="00452BD8">
        <w:rPr>
          <w:b w:val="0"/>
          <w:szCs w:val="22"/>
        </w:rPr>
        <w:fldChar w:fldCharType="begin"/>
      </w:r>
      <w:r w:rsidR="00452BD8">
        <w:rPr>
          <w:b w:val="0"/>
          <w:szCs w:val="22"/>
        </w:rPr>
        <w:instrText xml:space="preserve"> REF _Ref44278174 \h </w:instrText>
      </w:r>
      <w:r w:rsidR="00452BD8">
        <w:rPr>
          <w:b w:val="0"/>
          <w:szCs w:val="22"/>
        </w:rPr>
      </w:r>
      <w:r w:rsidR="00452BD8">
        <w:rPr>
          <w:b w:val="0"/>
          <w:szCs w:val="22"/>
        </w:rPr>
        <w:fldChar w:fldCharType="separate"/>
      </w:r>
      <w:r w:rsidR="002E5497">
        <w:t xml:space="preserve">Figure </w:t>
      </w:r>
      <w:r w:rsidR="002E5497">
        <w:rPr>
          <w:noProof/>
        </w:rPr>
        <w:t>3</w:t>
      </w:r>
      <w:r w:rsidR="00452BD8">
        <w:rPr>
          <w:b w:val="0"/>
          <w:szCs w:val="22"/>
        </w:rPr>
        <w:fldChar w:fldCharType="end"/>
      </w:r>
      <w:r w:rsidR="00427025" w:rsidRPr="00427025">
        <w:rPr>
          <w:b w:val="0"/>
          <w:szCs w:val="22"/>
        </w:rPr>
        <w:t xml:space="preserve"> an</w:t>
      </w:r>
      <w:r w:rsidR="00427025">
        <w:rPr>
          <w:b w:val="0"/>
          <w:szCs w:val="22"/>
        </w:rPr>
        <w:t xml:space="preserve">d are </w:t>
      </w:r>
      <w:r w:rsidR="008B379B">
        <w:rPr>
          <w:b w:val="0"/>
          <w:szCs w:val="22"/>
        </w:rPr>
        <w:t>described in greater detail:</w:t>
      </w:r>
    </w:p>
    <w:p w14:paraId="0055FE1E" w14:textId="6599EDE7" w:rsidR="00CB165F" w:rsidRPr="00E651F5" w:rsidRDefault="00A57061" w:rsidP="00F61C84">
      <w:pPr>
        <w:pStyle w:val="Heading2"/>
        <w:numPr>
          <w:ilvl w:val="0"/>
          <w:numId w:val="19"/>
        </w:numPr>
        <w:ind w:left="720"/>
        <w:rPr>
          <w:b w:val="0"/>
          <w:szCs w:val="22"/>
        </w:rPr>
      </w:pPr>
      <w:proofErr w:type="spellStart"/>
      <w:r w:rsidRPr="009354AB">
        <w:rPr>
          <w:b w:val="0"/>
          <w:szCs w:val="22"/>
          <w:u w:val="single"/>
        </w:rPr>
        <w:t>Leukapheresi</w:t>
      </w:r>
      <w:r w:rsidR="00C50A5F" w:rsidRPr="009354AB">
        <w:rPr>
          <w:b w:val="0"/>
          <w:szCs w:val="22"/>
          <w:u w:val="single"/>
        </w:rPr>
        <w:t>s</w:t>
      </w:r>
      <w:proofErr w:type="spellEnd"/>
      <w:r w:rsidR="00C50A5F" w:rsidRPr="009354AB">
        <w:rPr>
          <w:b w:val="0"/>
          <w:szCs w:val="22"/>
          <w:u w:val="single"/>
        </w:rPr>
        <w:t xml:space="preserve"> and harvesting of peripheral blood mononuclear cells</w:t>
      </w:r>
      <w:r w:rsidR="004C24CC">
        <w:rPr>
          <w:b w:val="0"/>
          <w:szCs w:val="22"/>
        </w:rPr>
        <w:t xml:space="preserve">: </w:t>
      </w:r>
      <w:r w:rsidR="00A40BBC">
        <w:rPr>
          <w:b w:val="0"/>
          <w:szCs w:val="22"/>
        </w:rPr>
        <w:t>a</w:t>
      </w:r>
      <w:r w:rsidR="004C24CC" w:rsidRPr="004C24CC">
        <w:rPr>
          <w:b w:val="0"/>
          <w:szCs w:val="22"/>
        </w:rPr>
        <w:t xml:space="preserve"> sufficient amount of blood is </w:t>
      </w:r>
      <w:r w:rsidR="004C24CC" w:rsidRPr="00E651F5">
        <w:rPr>
          <w:b w:val="0"/>
          <w:szCs w:val="22"/>
        </w:rPr>
        <w:t xml:space="preserve">drawn from patients to obtain enough peripheral blood </w:t>
      </w:r>
      <w:proofErr w:type="spellStart"/>
      <w:r w:rsidR="004C24CC" w:rsidRPr="00E651F5">
        <w:rPr>
          <w:b w:val="0"/>
          <w:szCs w:val="22"/>
        </w:rPr>
        <w:t>mononeuclear</w:t>
      </w:r>
      <w:proofErr w:type="spellEnd"/>
      <w:r w:rsidR="004C24CC" w:rsidRPr="00E651F5">
        <w:rPr>
          <w:b w:val="0"/>
          <w:szCs w:val="22"/>
        </w:rPr>
        <w:t xml:space="preserve"> cells </w:t>
      </w:r>
      <w:r w:rsidR="00A40BBC" w:rsidRPr="00E651F5">
        <w:rPr>
          <w:b w:val="0"/>
          <w:szCs w:val="22"/>
        </w:rPr>
        <w:t>to support the manufacture of</w:t>
      </w:r>
      <w:r w:rsidR="004C24CC" w:rsidRPr="00E651F5">
        <w:rPr>
          <w:b w:val="0"/>
          <w:szCs w:val="22"/>
        </w:rPr>
        <w:t xml:space="preserve"> engineered T</w:t>
      </w:r>
      <w:r w:rsidR="00A40BBC" w:rsidRPr="00E651F5">
        <w:rPr>
          <w:b w:val="0"/>
          <w:szCs w:val="22"/>
        </w:rPr>
        <w:t>-</w:t>
      </w:r>
      <w:r w:rsidR="004C24CC" w:rsidRPr="00E651F5">
        <w:rPr>
          <w:b w:val="0"/>
          <w:szCs w:val="22"/>
        </w:rPr>
        <w:t>cell</w:t>
      </w:r>
      <w:r w:rsidR="00A40BBC" w:rsidRPr="00E651F5">
        <w:rPr>
          <w:b w:val="0"/>
          <w:szCs w:val="22"/>
        </w:rPr>
        <w:t>s</w:t>
      </w:r>
      <w:r w:rsidR="004C24CC" w:rsidRPr="00E651F5">
        <w:rPr>
          <w:b w:val="0"/>
          <w:szCs w:val="22"/>
        </w:rPr>
        <w:t xml:space="preserve">. </w:t>
      </w:r>
      <w:r w:rsidR="003F0547" w:rsidRPr="00E651F5">
        <w:rPr>
          <w:b w:val="0"/>
          <w:szCs w:val="22"/>
        </w:rPr>
        <w:t xml:space="preserve">The remaining blood products are </w:t>
      </w:r>
      <w:r w:rsidR="00BD7589" w:rsidRPr="00E651F5">
        <w:rPr>
          <w:b w:val="0"/>
          <w:szCs w:val="22"/>
        </w:rPr>
        <w:t>transfus</w:t>
      </w:r>
      <w:r w:rsidR="003F0547" w:rsidRPr="00E651F5">
        <w:rPr>
          <w:b w:val="0"/>
          <w:szCs w:val="22"/>
        </w:rPr>
        <w:t xml:space="preserve">ed back </w:t>
      </w:r>
      <w:r w:rsidR="00E652F5" w:rsidRPr="00E651F5">
        <w:rPr>
          <w:b w:val="0"/>
          <w:szCs w:val="22"/>
        </w:rPr>
        <w:t>into the patient.</w:t>
      </w:r>
      <w:r w:rsidR="00383783" w:rsidRPr="00E651F5">
        <w:rPr>
          <w:b w:val="0"/>
        </w:rPr>
        <w:t xml:space="preserve"> </w:t>
      </w:r>
      <w:r w:rsidR="003D7E26" w:rsidRPr="00E651F5">
        <w:rPr>
          <w:b w:val="0"/>
        </w:rPr>
        <w:t>REDACTED</w:t>
      </w:r>
    </w:p>
    <w:p w14:paraId="7E0287BB" w14:textId="107E98E2" w:rsidR="00144DCF" w:rsidRPr="00E651F5" w:rsidRDefault="00144DCF" w:rsidP="00F61C84">
      <w:pPr>
        <w:pStyle w:val="Heading2"/>
        <w:numPr>
          <w:ilvl w:val="0"/>
          <w:numId w:val="19"/>
        </w:numPr>
        <w:ind w:left="720"/>
        <w:rPr>
          <w:b w:val="0"/>
          <w:szCs w:val="22"/>
        </w:rPr>
      </w:pPr>
      <w:r w:rsidRPr="00E651F5">
        <w:rPr>
          <w:b w:val="0"/>
          <w:szCs w:val="22"/>
          <w:u w:val="single"/>
        </w:rPr>
        <w:t>Isolation of T-cells</w:t>
      </w:r>
      <w:r w:rsidR="00144A55" w:rsidRPr="00E651F5">
        <w:rPr>
          <w:b w:val="0"/>
          <w:szCs w:val="22"/>
        </w:rPr>
        <w:t xml:space="preserve">: </w:t>
      </w:r>
      <w:r w:rsidRPr="00E651F5">
        <w:rPr>
          <w:b w:val="0"/>
          <w:szCs w:val="22"/>
        </w:rPr>
        <w:t xml:space="preserve">In the laboratory, </w:t>
      </w:r>
      <w:r w:rsidR="00B30382" w:rsidRPr="00E651F5">
        <w:rPr>
          <w:b w:val="0"/>
          <w:szCs w:val="22"/>
        </w:rPr>
        <w:t xml:space="preserve">T-cells are purified from the peripheral blood cells that were collected from patients. </w:t>
      </w:r>
      <w:r w:rsidR="003D7E26" w:rsidRPr="00E651F5">
        <w:rPr>
          <w:b w:val="0"/>
        </w:rPr>
        <w:t>REDACTED</w:t>
      </w:r>
    </w:p>
    <w:p w14:paraId="421E1209" w14:textId="1D52040F" w:rsidR="000842EB" w:rsidRPr="00E651F5" w:rsidRDefault="000842EB" w:rsidP="00F61C84">
      <w:pPr>
        <w:pStyle w:val="Heading2"/>
        <w:numPr>
          <w:ilvl w:val="0"/>
          <w:numId w:val="19"/>
        </w:numPr>
        <w:ind w:left="720"/>
        <w:rPr>
          <w:b w:val="0"/>
          <w:szCs w:val="22"/>
        </w:rPr>
      </w:pPr>
      <w:r w:rsidRPr="00E651F5">
        <w:rPr>
          <w:b w:val="0"/>
          <w:szCs w:val="22"/>
          <w:u w:val="single"/>
        </w:rPr>
        <w:t>Modification of T-cells</w:t>
      </w:r>
      <w:r w:rsidRPr="00E651F5">
        <w:rPr>
          <w:b w:val="0"/>
          <w:szCs w:val="22"/>
        </w:rPr>
        <w:t xml:space="preserve">: </w:t>
      </w:r>
      <w:r w:rsidR="00582231" w:rsidRPr="00E651F5">
        <w:rPr>
          <w:b w:val="0"/>
          <w:szCs w:val="22"/>
        </w:rPr>
        <w:t xml:space="preserve">The T-cells are </w:t>
      </w:r>
      <w:r w:rsidR="00E909C4" w:rsidRPr="00E651F5">
        <w:rPr>
          <w:b w:val="0"/>
          <w:szCs w:val="22"/>
        </w:rPr>
        <w:t xml:space="preserve">then </w:t>
      </w:r>
      <w:r w:rsidR="00AE5B22" w:rsidRPr="00E651F5">
        <w:rPr>
          <w:b w:val="0"/>
          <w:szCs w:val="22"/>
        </w:rPr>
        <w:t xml:space="preserve">genetically modified </w:t>
      </w:r>
      <w:r w:rsidR="005F68BE" w:rsidRPr="00E651F5">
        <w:rPr>
          <w:b w:val="0"/>
        </w:rPr>
        <w:t>REDACTED</w:t>
      </w:r>
      <w:r w:rsidR="005318E2" w:rsidRPr="00E651F5">
        <w:rPr>
          <w:b w:val="0"/>
          <w:szCs w:val="22"/>
        </w:rPr>
        <w:t>.</w:t>
      </w:r>
    </w:p>
    <w:p w14:paraId="16A6CA4C" w14:textId="618B880C" w:rsidR="00406FEE" w:rsidRPr="00E651F5" w:rsidRDefault="00F82CAE" w:rsidP="00F61C84">
      <w:pPr>
        <w:pStyle w:val="Heading2"/>
        <w:numPr>
          <w:ilvl w:val="0"/>
          <w:numId w:val="19"/>
        </w:numPr>
        <w:ind w:left="720"/>
        <w:rPr>
          <w:b w:val="0"/>
          <w:szCs w:val="22"/>
        </w:rPr>
      </w:pPr>
      <w:r w:rsidRPr="00E651F5">
        <w:rPr>
          <w:b w:val="0"/>
          <w:szCs w:val="22"/>
          <w:u w:val="single"/>
        </w:rPr>
        <w:t>Expansion of CAR T-cells</w:t>
      </w:r>
      <w:r w:rsidRPr="00E651F5">
        <w:rPr>
          <w:b w:val="0"/>
          <w:szCs w:val="22"/>
        </w:rPr>
        <w:t xml:space="preserve">: </w:t>
      </w:r>
      <w:r w:rsidR="005318E2" w:rsidRPr="00E651F5">
        <w:rPr>
          <w:b w:val="0"/>
          <w:szCs w:val="22"/>
        </w:rPr>
        <w:t>Following modification, the T-cells are then</w:t>
      </w:r>
      <w:r w:rsidR="003240A6" w:rsidRPr="00E651F5">
        <w:rPr>
          <w:b w:val="0"/>
          <w:szCs w:val="22"/>
        </w:rPr>
        <w:t xml:space="preserve"> </w:t>
      </w:r>
      <w:r w:rsidR="0061763D" w:rsidRPr="00E651F5">
        <w:rPr>
          <w:b w:val="0"/>
          <w:szCs w:val="22"/>
        </w:rPr>
        <w:t xml:space="preserve">cultured in the laboratory. </w:t>
      </w:r>
      <w:r w:rsidR="005F68BE" w:rsidRPr="00E651F5">
        <w:rPr>
          <w:b w:val="0"/>
        </w:rPr>
        <w:t>REDACTED</w:t>
      </w:r>
      <w:r w:rsidR="00E652F5" w:rsidRPr="00E651F5">
        <w:rPr>
          <w:b w:val="0"/>
          <w:szCs w:val="22"/>
        </w:rPr>
        <w:t>.</w:t>
      </w:r>
    </w:p>
    <w:p w14:paraId="2CA9809E" w14:textId="77777777" w:rsidR="009609C1" w:rsidRPr="00E651F5" w:rsidRDefault="00406FEE" w:rsidP="00F61C84">
      <w:pPr>
        <w:pStyle w:val="Heading2"/>
        <w:numPr>
          <w:ilvl w:val="0"/>
          <w:numId w:val="19"/>
        </w:numPr>
        <w:ind w:left="720"/>
        <w:rPr>
          <w:b w:val="0"/>
          <w:szCs w:val="22"/>
        </w:rPr>
      </w:pPr>
      <w:r w:rsidRPr="00E651F5">
        <w:rPr>
          <w:b w:val="0"/>
          <w:szCs w:val="22"/>
        </w:rPr>
        <w:t>T</w:t>
      </w:r>
      <w:r w:rsidRPr="00E651F5">
        <w:rPr>
          <w:b w:val="0"/>
          <w:szCs w:val="22"/>
          <w:u w:val="single"/>
        </w:rPr>
        <w:t>esting and shipping of CAR</w:t>
      </w:r>
      <w:r w:rsidR="00163819" w:rsidRPr="00E651F5">
        <w:rPr>
          <w:b w:val="0"/>
          <w:szCs w:val="22"/>
          <w:u w:val="single"/>
        </w:rPr>
        <w:t xml:space="preserve"> </w:t>
      </w:r>
      <w:r w:rsidRPr="00E651F5">
        <w:rPr>
          <w:b w:val="0"/>
          <w:szCs w:val="22"/>
          <w:u w:val="single"/>
        </w:rPr>
        <w:t>T</w:t>
      </w:r>
      <w:r w:rsidR="00163819" w:rsidRPr="00E651F5">
        <w:rPr>
          <w:b w:val="0"/>
          <w:szCs w:val="22"/>
          <w:u w:val="single"/>
        </w:rPr>
        <w:t>-</w:t>
      </w:r>
      <w:r w:rsidRPr="00E651F5">
        <w:rPr>
          <w:b w:val="0"/>
          <w:szCs w:val="22"/>
          <w:u w:val="single"/>
        </w:rPr>
        <w:t>cells</w:t>
      </w:r>
      <w:r w:rsidRPr="00E651F5">
        <w:rPr>
          <w:b w:val="0"/>
          <w:szCs w:val="22"/>
        </w:rPr>
        <w:t xml:space="preserve">: </w:t>
      </w:r>
      <w:r w:rsidR="005F68BE" w:rsidRPr="00E651F5">
        <w:rPr>
          <w:b w:val="0"/>
        </w:rPr>
        <w:t>REDACTED</w:t>
      </w:r>
      <w:r w:rsidR="00E652F5" w:rsidRPr="00E651F5">
        <w:rPr>
          <w:b w:val="0"/>
          <w:szCs w:val="22"/>
        </w:rPr>
        <w:t>.</w:t>
      </w:r>
    </w:p>
    <w:p w14:paraId="7DB7F0D5" w14:textId="77777777" w:rsidR="009609C1" w:rsidRPr="00E651F5" w:rsidRDefault="004C0E2C" w:rsidP="00F61C84">
      <w:pPr>
        <w:pStyle w:val="Heading2"/>
        <w:numPr>
          <w:ilvl w:val="0"/>
          <w:numId w:val="19"/>
        </w:numPr>
        <w:ind w:left="720"/>
        <w:rPr>
          <w:b w:val="0"/>
          <w:szCs w:val="22"/>
        </w:rPr>
      </w:pPr>
      <w:r w:rsidRPr="00E651F5">
        <w:rPr>
          <w:b w:val="0"/>
          <w:szCs w:val="22"/>
          <w:u w:val="single"/>
        </w:rPr>
        <w:t>Bridging therapy</w:t>
      </w:r>
      <w:r w:rsidR="009354AB" w:rsidRPr="00E651F5">
        <w:rPr>
          <w:b w:val="0"/>
          <w:szCs w:val="22"/>
          <w:u w:val="single"/>
        </w:rPr>
        <w:t xml:space="preserve"> (</w:t>
      </w:r>
      <w:r w:rsidRPr="00E651F5">
        <w:rPr>
          <w:b w:val="0"/>
          <w:szCs w:val="22"/>
          <w:u w:val="single"/>
        </w:rPr>
        <w:t>if necessary</w:t>
      </w:r>
      <w:r w:rsidR="009354AB" w:rsidRPr="00E651F5">
        <w:rPr>
          <w:b w:val="0"/>
          <w:szCs w:val="22"/>
          <w:u w:val="single"/>
        </w:rPr>
        <w:t>)</w:t>
      </w:r>
      <w:r w:rsidRPr="00E651F5">
        <w:rPr>
          <w:b w:val="0"/>
          <w:szCs w:val="22"/>
        </w:rPr>
        <w:t xml:space="preserve">: </w:t>
      </w:r>
      <w:r w:rsidR="004F3147" w:rsidRPr="00E651F5">
        <w:rPr>
          <w:b w:val="0"/>
          <w:szCs w:val="22"/>
        </w:rPr>
        <w:t xml:space="preserve">Patients are monitored while the </w:t>
      </w:r>
      <w:r w:rsidR="008B7EC8" w:rsidRPr="00E651F5">
        <w:rPr>
          <w:b w:val="0"/>
          <w:szCs w:val="22"/>
        </w:rPr>
        <w:t>production of CAR T-cells is in progress. If necessary, patients may receive bridging therapy (typically consisting of dexamethasone or a BTK inhibitor) to ensure the patient</w:t>
      </w:r>
      <w:r w:rsidRPr="00E651F5">
        <w:rPr>
          <w:b w:val="0"/>
          <w:szCs w:val="22"/>
        </w:rPr>
        <w:t xml:space="preserve"> remains viable for infusion of </w:t>
      </w:r>
      <w:proofErr w:type="spellStart"/>
      <w:r w:rsidR="00637C62" w:rsidRPr="00E651F5">
        <w:rPr>
          <w:b w:val="0"/>
          <w:szCs w:val="22"/>
        </w:rPr>
        <w:t>brexucabtagene</w:t>
      </w:r>
      <w:proofErr w:type="spellEnd"/>
      <w:r w:rsidR="00637C62" w:rsidRPr="00E651F5">
        <w:rPr>
          <w:b w:val="0"/>
          <w:szCs w:val="22"/>
        </w:rPr>
        <w:t xml:space="preserve"> </w:t>
      </w:r>
      <w:proofErr w:type="spellStart"/>
      <w:r w:rsidR="00637C62" w:rsidRPr="00E651F5">
        <w:rPr>
          <w:b w:val="0"/>
          <w:szCs w:val="22"/>
        </w:rPr>
        <w:t>autoleucel</w:t>
      </w:r>
      <w:proofErr w:type="spellEnd"/>
      <w:r w:rsidR="00BD274E" w:rsidRPr="00E651F5">
        <w:rPr>
          <w:b w:val="0"/>
          <w:szCs w:val="22"/>
        </w:rPr>
        <w:t>.</w:t>
      </w:r>
    </w:p>
    <w:p w14:paraId="149F0781" w14:textId="77777777" w:rsidR="006328A8" w:rsidRPr="00E651F5" w:rsidRDefault="00BD274E" w:rsidP="00F61C84">
      <w:pPr>
        <w:pStyle w:val="Heading2"/>
        <w:numPr>
          <w:ilvl w:val="0"/>
          <w:numId w:val="19"/>
        </w:numPr>
        <w:ind w:left="720"/>
        <w:rPr>
          <w:b w:val="0"/>
          <w:szCs w:val="22"/>
        </w:rPr>
      </w:pPr>
      <w:r w:rsidRPr="00E651F5">
        <w:rPr>
          <w:b w:val="0"/>
          <w:szCs w:val="22"/>
          <w:u w:val="single"/>
        </w:rPr>
        <w:t>Conditioning</w:t>
      </w:r>
      <w:r w:rsidR="00FB6531" w:rsidRPr="00E651F5">
        <w:rPr>
          <w:b w:val="0"/>
          <w:szCs w:val="22"/>
          <w:u w:val="single"/>
        </w:rPr>
        <w:t xml:space="preserve"> </w:t>
      </w:r>
      <w:r w:rsidR="00FB2D08" w:rsidRPr="00E651F5">
        <w:rPr>
          <w:b w:val="0"/>
          <w:szCs w:val="22"/>
          <w:u w:val="single"/>
        </w:rPr>
        <w:t>chemotherapy</w:t>
      </w:r>
      <w:r w:rsidR="00FB2D08" w:rsidRPr="00E651F5">
        <w:rPr>
          <w:b w:val="0"/>
          <w:szCs w:val="22"/>
        </w:rPr>
        <w:t xml:space="preserve">: </w:t>
      </w:r>
      <w:r w:rsidR="00E652F5" w:rsidRPr="00E651F5">
        <w:rPr>
          <w:b w:val="0"/>
          <w:szCs w:val="22"/>
        </w:rPr>
        <w:t>Prior to infusion</w:t>
      </w:r>
      <w:r w:rsidR="00FB2D08" w:rsidRPr="00E651F5">
        <w:rPr>
          <w:b w:val="0"/>
          <w:szCs w:val="22"/>
        </w:rPr>
        <w:t xml:space="preserve"> of </w:t>
      </w:r>
      <w:proofErr w:type="spellStart"/>
      <w:r w:rsidR="00637C62" w:rsidRPr="00E651F5">
        <w:rPr>
          <w:b w:val="0"/>
          <w:szCs w:val="22"/>
        </w:rPr>
        <w:t>brexucabtagene</w:t>
      </w:r>
      <w:proofErr w:type="spellEnd"/>
      <w:r w:rsidR="00637C62" w:rsidRPr="00E651F5">
        <w:rPr>
          <w:b w:val="0"/>
          <w:szCs w:val="22"/>
        </w:rPr>
        <w:t xml:space="preserve"> </w:t>
      </w:r>
      <w:proofErr w:type="spellStart"/>
      <w:r w:rsidR="00637C62" w:rsidRPr="00E651F5">
        <w:rPr>
          <w:b w:val="0"/>
          <w:szCs w:val="22"/>
        </w:rPr>
        <w:t>autoleucel</w:t>
      </w:r>
      <w:proofErr w:type="spellEnd"/>
      <w:r w:rsidR="00E652F5" w:rsidRPr="00E651F5">
        <w:rPr>
          <w:b w:val="0"/>
          <w:szCs w:val="22"/>
        </w:rPr>
        <w:t xml:space="preserve">, patients are treated with low-dose </w:t>
      </w:r>
      <w:proofErr w:type="spellStart"/>
      <w:r w:rsidR="00E652F5" w:rsidRPr="00E651F5">
        <w:rPr>
          <w:b w:val="0"/>
          <w:szCs w:val="22"/>
        </w:rPr>
        <w:t>lymphodepleting</w:t>
      </w:r>
      <w:proofErr w:type="spellEnd"/>
      <w:r w:rsidR="00E652F5" w:rsidRPr="00E651F5">
        <w:rPr>
          <w:b w:val="0"/>
          <w:szCs w:val="22"/>
        </w:rPr>
        <w:t xml:space="preserve"> chemotherapy to eliminate the</w:t>
      </w:r>
      <w:r w:rsidR="00FB6531" w:rsidRPr="00E651F5">
        <w:rPr>
          <w:b w:val="0"/>
          <w:szCs w:val="22"/>
        </w:rPr>
        <w:t xml:space="preserve"> </w:t>
      </w:r>
      <w:r w:rsidR="00E652F5" w:rsidRPr="00E651F5">
        <w:rPr>
          <w:b w:val="0"/>
          <w:szCs w:val="22"/>
        </w:rPr>
        <w:t xml:space="preserve">patient’s lymphocytes and allow space for the T-cells to expand. </w:t>
      </w:r>
      <w:proofErr w:type="spellStart"/>
      <w:r w:rsidR="00E652F5" w:rsidRPr="00E651F5">
        <w:rPr>
          <w:b w:val="0"/>
          <w:szCs w:val="22"/>
        </w:rPr>
        <w:t>Lymphodepleting</w:t>
      </w:r>
      <w:proofErr w:type="spellEnd"/>
      <w:r w:rsidR="00E652F5" w:rsidRPr="00E651F5">
        <w:rPr>
          <w:b w:val="0"/>
          <w:szCs w:val="22"/>
        </w:rPr>
        <w:t xml:space="preserve"> chemotherapy consists</w:t>
      </w:r>
      <w:r w:rsidR="00FB6531" w:rsidRPr="00E651F5">
        <w:rPr>
          <w:b w:val="0"/>
          <w:szCs w:val="22"/>
        </w:rPr>
        <w:t xml:space="preserve"> </w:t>
      </w:r>
      <w:r w:rsidR="00E652F5" w:rsidRPr="00E651F5">
        <w:rPr>
          <w:b w:val="0"/>
          <w:szCs w:val="22"/>
        </w:rPr>
        <w:t xml:space="preserve">of </w:t>
      </w:r>
      <w:proofErr w:type="spellStart"/>
      <w:r w:rsidR="00E652F5" w:rsidRPr="00E651F5">
        <w:rPr>
          <w:b w:val="0"/>
          <w:szCs w:val="22"/>
        </w:rPr>
        <w:t>fludarabine</w:t>
      </w:r>
      <w:proofErr w:type="spellEnd"/>
      <w:r w:rsidR="00E652F5" w:rsidRPr="00E651F5">
        <w:rPr>
          <w:b w:val="0"/>
          <w:szCs w:val="22"/>
        </w:rPr>
        <w:t xml:space="preserve"> (30 mg/m</w:t>
      </w:r>
      <w:r w:rsidR="00E652F5" w:rsidRPr="00E651F5">
        <w:rPr>
          <w:b w:val="0"/>
          <w:szCs w:val="22"/>
          <w:vertAlign w:val="superscript"/>
        </w:rPr>
        <w:t>2</w:t>
      </w:r>
      <w:r w:rsidR="00E652F5" w:rsidRPr="00E651F5">
        <w:rPr>
          <w:b w:val="0"/>
          <w:szCs w:val="22"/>
        </w:rPr>
        <w:t>/day) plus cyclophosphamide (500 mg/m</w:t>
      </w:r>
      <w:r w:rsidR="00E652F5" w:rsidRPr="00E651F5">
        <w:rPr>
          <w:b w:val="0"/>
          <w:szCs w:val="22"/>
          <w:vertAlign w:val="superscript"/>
        </w:rPr>
        <w:t>2</w:t>
      </w:r>
      <w:r w:rsidR="00E652F5" w:rsidRPr="00E651F5">
        <w:rPr>
          <w:b w:val="0"/>
          <w:szCs w:val="22"/>
        </w:rPr>
        <w:t>/day) for three days (on the fifth,</w:t>
      </w:r>
      <w:r w:rsidR="00FB6531" w:rsidRPr="00E651F5">
        <w:rPr>
          <w:b w:val="0"/>
          <w:szCs w:val="22"/>
        </w:rPr>
        <w:t xml:space="preserve"> </w:t>
      </w:r>
      <w:r w:rsidR="00E652F5" w:rsidRPr="00E651F5">
        <w:rPr>
          <w:b w:val="0"/>
          <w:szCs w:val="22"/>
        </w:rPr>
        <w:t xml:space="preserve">fourth, and third day before the infusion of </w:t>
      </w:r>
      <w:proofErr w:type="spellStart"/>
      <w:r w:rsidR="00637C62" w:rsidRPr="00E651F5">
        <w:rPr>
          <w:b w:val="0"/>
          <w:szCs w:val="22"/>
        </w:rPr>
        <w:t>brexucabtagene</w:t>
      </w:r>
      <w:proofErr w:type="spellEnd"/>
      <w:r w:rsidR="00637C62" w:rsidRPr="00E651F5">
        <w:rPr>
          <w:b w:val="0"/>
          <w:szCs w:val="22"/>
        </w:rPr>
        <w:t xml:space="preserve"> </w:t>
      </w:r>
      <w:proofErr w:type="spellStart"/>
      <w:r w:rsidR="00637C62" w:rsidRPr="00E651F5">
        <w:rPr>
          <w:b w:val="0"/>
          <w:szCs w:val="22"/>
        </w:rPr>
        <w:t>autoleucel</w:t>
      </w:r>
      <w:proofErr w:type="spellEnd"/>
      <w:r w:rsidR="00E652F5" w:rsidRPr="00E651F5">
        <w:rPr>
          <w:b w:val="0"/>
          <w:szCs w:val="22"/>
        </w:rPr>
        <w:t xml:space="preserve"> </w:t>
      </w:r>
      <w:r w:rsidR="00FB2D08" w:rsidRPr="00E651F5">
        <w:rPr>
          <w:b w:val="0"/>
          <w:szCs w:val="22"/>
        </w:rPr>
        <w:t>on</w:t>
      </w:r>
      <w:r w:rsidR="00E652F5" w:rsidRPr="00E651F5">
        <w:rPr>
          <w:b w:val="0"/>
          <w:szCs w:val="22"/>
        </w:rPr>
        <w:t xml:space="preserve"> Day 0).</w:t>
      </w:r>
      <w:r w:rsidR="00FB6531" w:rsidRPr="00E651F5">
        <w:rPr>
          <w:b w:val="0"/>
          <w:szCs w:val="22"/>
        </w:rPr>
        <w:t xml:space="preserve"> </w:t>
      </w:r>
    </w:p>
    <w:p w14:paraId="09953B0A" w14:textId="10963B8D" w:rsidR="00FB6531" w:rsidRPr="00AA5DA6" w:rsidRDefault="00D35189" w:rsidP="00AA5DA6">
      <w:pPr>
        <w:pStyle w:val="Heading2"/>
        <w:numPr>
          <w:ilvl w:val="0"/>
          <w:numId w:val="19"/>
        </w:numPr>
        <w:ind w:left="720"/>
        <w:rPr>
          <w:b w:val="0"/>
          <w:szCs w:val="22"/>
        </w:rPr>
      </w:pPr>
      <w:r w:rsidRPr="00E651F5">
        <w:rPr>
          <w:b w:val="0"/>
          <w:szCs w:val="22"/>
          <w:u w:val="single"/>
        </w:rPr>
        <w:t xml:space="preserve">Infusion of </w:t>
      </w:r>
      <w:proofErr w:type="spellStart"/>
      <w:r w:rsidR="00637C62" w:rsidRPr="00E651F5">
        <w:rPr>
          <w:b w:val="0"/>
          <w:szCs w:val="22"/>
          <w:u w:val="single"/>
        </w:rPr>
        <w:t>brexucabtagene</w:t>
      </w:r>
      <w:proofErr w:type="spellEnd"/>
      <w:r w:rsidR="00637C62" w:rsidRPr="00E651F5">
        <w:rPr>
          <w:b w:val="0"/>
          <w:szCs w:val="22"/>
          <w:u w:val="single"/>
        </w:rPr>
        <w:t xml:space="preserve"> </w:t>
      </w:r>
      <w:proofErr w:type="spellStart"/>
      <w:r w:rsidR="00637C62" w:rsidRPr="00E651F5">
        <w:rPr>
          <w:b w:val="0"/>
          <w:szCs w:val="22"/>
          <w:u w:val="single"/>
        </w:rPr>
        <w:t>autoleucel</w:t>
      </w:r>
      <w:proofErr w:type="spellEnd"/>
      <w:r w:rsidRPr="00E651F5">
        <w:rPr>
          <w:b w:val="0"/>
          <w:szCs w:val="22"/>
        </w:rPr>
        <w:t>:</w:t>
      </w:r>
      <w:r w:rsidR="00FB6531" w:rsidRPr="00E651F5">
        <w:rPr>
          <w:b w:val="0"/>
          <w:szCs w:val="22"/>
        </w:rPr>
        <w:t xml:space="preserve"> </w:t>
      </w:r>
      <w:proofErr w:type="spellStart"/>
      <w:r w:rsidR="00637C62" w:rsidRPr="00E651F5">
        <w:rPr>
          <w:b w:val="0"/>
          <w:szCs w:val="22"/>
        </w:rPr>
        <w:t>Brexucabtagene</w:t>
      </w:r>
      <w:proofErr w:type="spellEnd"/>
      <w:r w:rsidR="00637C62" w:rsidRPr="00E651F5">
        <w:rPr>
          <w:b w:val="0"/>
          <w:szCs w:val="22"/>
        </w:rPr>
        <w:t xml:space="preserve"> </w:t>
      </w:r>
      <w:proofErr w:type="spellStart"/>
      <w:r w:rsidR="00637C62" w:rsidRPr="00E651F5">
        <w:rPr>
          <w:b w:val="0"/>
          <w:szCs w:val="22"/>
        </w:rPr>
        <w:t>autoleucel</w:t>
      </w:r>
      <w:proofErr w:type="spellEnd"/>
      <w:r w:rsidR="00E652F5" w:rsidRPr="00E651F5">
        <w:rPr>
          <w:b w:val="0"/>
          <w:szCs w:val="22"/>
        </w:rPr>
        <w:t xml:space="preserve"> is a single infusion product. Each bag </w:t>
      </w:r>
      <w:r w:rsidR="007F02AC" w:rsidRPr="00E651F5">
        <w:rPr>
          <w:b w:val="0"/>
          <w:szCs w:val="22"/>
        </w:rPr>
        <w:t xml:space="preserve">for IV infusion </w:t>
      </w:r>
      <w:r w:rsidR="00E652F5" w:rsidRPr="00E651F5">
        <w:rPr>
          <w:b w:val="0"/>
          <w:szCs w:val="22"/>
        </w:rPr>
        <w:t>contains a suspension of anti-CD19 CAR T</w:t>
      </w:r>
      <w:r w:rsidR="00252618" w:rsidRPr="00E651F5">
        <w:rPr>
          <w:b w:val="0"/>
          <w:szCs w:val="22"/>
        </w:rPr>
        <w:t>-</w:t>
      </w:r>
      <w:r w:rsidR="00E652F5" w:rsidRPr="00E651F5">
        <w:rPr>
          <w:b w:val="0"/>
          <w:szCs w:val="22"/>
        </w:rPr>
        <w:t>cells.</w:t>
      </w:r>
      <w:r w:rsidR="006328A8" w:rsidRPr="00E651F5">
        <w:rPr>
          <w:b w:val="0"/>
          <w:szCs w:val="22"/>
        </w:rPr>
        <w:t xml:space="preserve"> </w:t>
      </w:r>
      <w:r w:rsidR="003D7E26" w:rsidRPr="00E651F5">
        <w:rPr>
          <w:b w:val="0"/>
        </w:rPr>
        <w:t>REDACTED</w:t>
      </w:r>
    </w:p>
    <w:p w14:paraId="3D06A10F" w14:textId="1F980532" w:rsidR="008C41BB" w:rsidRPr="008C41BB" w:rsidRDefault="00FA4D38" w:rsidP="00FA4D38">
      <w:pPr>
        <w:pStyle w:val="Caption"/>
      </w:pPr>
      <w:bookmarkStart w:id="16" w:name="_Ref44278174"/>
      <w:r>
        <w:t xml:space="preserve">Figure </w:t>
      </w:r>
      <w:r>
        <w:fldChar w:fldCharType="begin"/>
      </w:r>
      <w:r>
        <w:instrText>SEQ Figure \* ARABIC</w:instrText>
      </w:r>
      <w:r>
        <w:fldChar w:fldCharType="separate"/>
      </w:r>
      <w:r w:rsidR="002E5497">
        <w:rPr>
          <w:noProof/>
        </w:rPr>
        <w:t>3</w:t>
      </w:r>
      <w:r>
        <w:fldChar w:fldCharType="end"/>
      </w:r>
      <w:bookmarkEnd w:id="16"/>
      <w:r w:rsidR="008C41BB" w:rsidRPr="00DE293F">
        <w:t xml:space="preserve">: </w:t>
      </w:r>
      <w:r w:rsidR="0078515B">
        <w:t xml:space="preserve">Steps in the manufacture and delivery of </w:t>
      </w:r>
      <w:proofErr w:type="spellStart"/>
      <w:r w:rsidR="00637C62">
        <w:t>brexucabtagene</w:t>
      </w:r>
      <w:proofErr w:type="spellEnd"/>
      <w:r w:rsidR="00637C62">
        <w:t xml:space="preserve"> </w:t>
      </w:r>
      <w:proofErr w:type="spellStart"/>
      <w:r w:rsidR="00637C62">
        <w:t>autoleucel</w:t>
      </w:r>
      <w:proofErr w:type="spellEnd"/>
    </w:p>
    <w:p w14:paraId="74DBE34E" w14:textId="77777777" w:rsidR="00B4282B" w:rsidRPr="00A168E7" w:rsidRDefault="003D7E26" w:rsidP="003D7E26">
      <w:pPr>
        <w:ind w:firstLine="284"/>
        <w:rPr>
          <w:b/>
        </w:rPr>
      </w:pPr>
      <w:r w:rsidRPr="00A168E7">
        <w:rPr>
          <w:b/>
        </w:rPr>
        <w:t>REDACTED</w:t>
      </w:r>
    </w:p>
    <w:p w14:paraId="32AC2464" w14:textId="77777777" w:rsidR="002A6753" w:rsidRPr="00154B00" w:rsidRDefault="002A6753" w:rsidP="00E652F5">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5F21711" w14:textId="21AD22D8" w:rsidR="00DF0C51" w:rsidRDefault="003D7E26" w:rsidP="00A168E7">
      <w:pPr>
        <w:ind w:firstLine="360"/>
        <w:rPr>
          <w:b/>
          <w:szCs w:val="20"/>
        </w:rPr>
      </w:pPr>
      <w:r w:rsidRPr="00A168E7">
        <w:rPr>
          <w:b/>
        </w:rPr>
        <w:t>REDACTED</w:t>
      </w:r>
    </w:p>
    <w:p w14:paraId="0994F114" w14:textId="77777777" w:rsidR="00A168E7" w:rsidRPr="00154B00" w:rsidRDefault="00A168E7" w:rsidP="00A168E7">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A1E7CE2" w14:textId="26AA7472" w:rsidR="00A168E7" w:rsidRPr="00A168E7" w:rsidRDefault="00A168E7" w:rsidP="00A168E7">
      <w:pPr>
        <w:ind w:firstLine="360"/>
        <w:rPr>
          <w:szCs w:val="20"/>
        </w:rPr>
      </w:pPr>
      <w:r w:rsidRPr="00A168E7">
        <w:rPr>
          <w:szCs w:val="20"/>
        </w:rPr>
        <w:t>Not applicable</w:t>
      </w:r>
    </w:p>
    <w:p w14:paraId="436BC510" w14:textId="77777777" w:rsidR="006B1B49" w:rsidRPr="00E357B9" w:rsidRDefault="006B1B49" w:rsidP="00561A90">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E780BA1" w14:textId="77777777" w:rsidR="00CC09D7" w:rsidRPr="00A168E7" w:rsidRDefault="003D7E26" w:rsidP="00A61CF5">
      <w:pPr>
        <w:ind w:firstLine="360"/>
        <w:rPr>
          <w:b/>
          <w:szCs w:val="20"/>
        </w:rPr>
      </w:pPr>
      <w:r w:rsidRPr="00A168E7">
        <w:rPr>
          <w:b/>
        </w:rPr>
        <w:t>REDACTED</w:t>
      </w:r>
    </w:p>
    <w:p w14:paraId="6E62ECE3" w14:textId="77777777" w:rsidR="00791C8D" w:rsidRPr="00154B00" w:rsidRDefault="00791C8D" w:rsidP="00561A90">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426B2A7" w14:textId="77777777" w:rsidR="00631CB1" w:rsidRDefault="00631CB1" w:rsidP="00C762B5">
      <w:pPr>
        <w:ind w:left="426"/>
        <w:rPr>
          <w:szCs w:val="20"/>
        </w:rPr>
      </w:pPr>
      <w:r w:rsidRPr="006318FF">
        <w:rPr>
          <w:szCs w:val="20"/>
        </w:rPr>
        <w:t xml:space="preserve">Bridging therapy may be administered </w:t>
      </w:r>
      <w:r>
        <w:rPr>
          <w:szCs w:val="20"/>
        </w:rPr>
        <w:t>to</w:t>
      </w:r>
      <w:r w:rsidRPr="006318FF">
        <w:rPr>
          <w:szCs w:val="20"/>
        </w:rPr>
        <w:t xml:space="preserve"> some patients </w:t>
      </w:r>
      <w:r>
        <w:rPr>
          <w:szCs w:val="20"/>
        </w:rPr>
        <w:t xml:space="preserve">in the period between the collection of cells and the infusion of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Pr>
          <w:szCs w:val="20"/>
        </w:rPr>
        <w:t>. Bridging therapy may be required in patients who have</w:t>
      </w:r>
      <w:r w:rsidRPr="006318FF">
        <w:rPr>
          <w:szCs w:val="20"/>
        </w:rPr>
        <w:t xml:space="preserve"> a high disease burden to ensure that the patient remains viable to have the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sidRPr="006318FF">
        <w:rPr>
          <w:szCs w:val="20"/>
        </w:rPr>
        <w:t xml:space="preserve"> product infused.</w:t>
      </w:r>
      <w:r>
        <w:rPr>
          <w:szCs w:val="20"/>
        </w:rPr>
        <w:t xml:space="preserve"> </w:t>
      </w:r>
      <w:r w:rsidRPr="00BF2F31">
        <w:rPr>
          <w:szCs w:val="20"/>
        </w:rPr>
        <w:t>The most commonly administered</w:t>
      </w:r>
      <w:r>
        <w:rPr>
          <w:szCs w:val="20"/>
        </w:rPr>
        <w:t xml:space="preserve"> bridging </w:t>
      </w:r>
      <w:r w:rsidRPr="00BF2F31">
        <w:rPr>
          <w:szCs w:val="20"/>
        </w:rPr>
        <w:t xml:space="preserve">therapies </w:t>
      </w:r>
      <w:r>
        <w:rPr>
          <w:szCs w:val="20"/>
        </w:rPr>
        <w:t xml:space="preserve">administered in the key study </w:t>
      </w:r>
      <w:r w:rsidRPr="00BF2F31">
        <w:rPr>
          <w:szCs w:val="20"/>
        </w:rPr>
        <w:t xml:space="preserve">were dexamethasone </w:t>
      </w:r>
      <w:r>
        <w:rPr>
          <w:szCs w:val="20"/>
        </w:rPr>
        <w:t xml:space="preserve">and </w:t>
      </w:r>
      <w:proofErr w:type="spellStart"/>
      <w:r>
        <w:rPr>
          <w:szCs w:val="20"/>
        </w:rPr>
        <w:t>ibrutinib</w:t>
      </w:r>
      <w:proofErr w:type="spellEnd"/>
      <w:r>
        <w:rPr>
          <w:szCs w:val="20"/>
        </w:rPr>
        <w:t>, both of which are PBS-listed for patients with MCL</w:t>
      </w:r>
      <w:r w:rsidRPr="00BF2F31">
        <w:rPr>
          <w:szCs w:val="20"/>
        </w:rPr>
        <w:t>.</w:t>
      </w:r>
    </w:p>
    <w:p w14:paraId="3BA0A9FA" w14:textId="77777777" w:rsidR="007D6A4C" w:rsidRDefault="007D6A4C" w:rsidP="00B53BF2">
      <w:pPr>
        <w:ind w:left="426"/>
        <w:rPr>
          <w:szCs w:val="20"/>
        </w:rPr>
      </w:pPr>
      <w:r>
        <w:rPr>
          <w:szCs w:val="20"/>
        </w:rPr>
        <w:lastRenderedPageBreak/>
        <w:t xml:space="preserve">Conditioning </w:t>
      </w:r>
      <w:r w:rsidRPr="007B7CBF">
        <w:rPr>
          <w:szCs w:val="20"/>
        </w:rPr>
        <w:t xml:space="preserve">chemotherapy is required </w:t>
      </w:r>
      <w:r>
        <w:rPr>
          <w:szCs w:val="20"/>
        </w:rPr>
        <w:t>to be administered in the days</w:t>
      </w:r>
      <w:r w:rsidRPr="007B7CBF">
        <w:rPr>
          <w:szCs w:val="20"/>
        </w:rPr>
        <w:t xml:space="preserve"> prior to </w:t>
      </w:r>
      <w:r w:rsidR="00312D5E">
        <w:rPr>
          <w:szCs w:val="20"/>
        </w:rPr>
        <w:t xml:space="preserve">infusion </w:t>
      </w:r>
      <w:r>
        <w:rPr>
          <w:szCs w:val="20"/>
        </w:rPr>
        <w:t xml:space="preserve">of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Pr>
          <w:szCs w:val="20"/>
        </w:rPr>
        <w:t>.</w:t>
      </w:r>
    </w:p>
    <w:p w14:paraId="1DA5B895" w14:textId="77777777" w:rsidR="00C762B5" w:rsidRDefault="00B50CC0" w:rsidP="00B53BF2">
      <w:pPr>
        <w:ind w:left="426"/>
        <w:rPr>
          <w:szCs w:val="20"/>
        </w:rPr>
      </w:pPr>
      <w:r>
        <w:rPr>
          <w:szCs w:val="20"/>
        </w:rPr>
        <w:t xml:space="preserve">Paracetamol 500 mg to 1,000 mg and diphenhydramine 12.5 to 25 mg were administered one </w:t>
      </w:r>
      <w:r w:rsidRPr="0014240E">
        <w:rPr>
          <w:szCs w:val="20"/>
        </w:rPr>
        <w:t>hour prior to infusion</w:t>
      </w:r>
      <w:r>
        <w:rPr>
          <w:szCs w:val="20"/>
        </w:rPr>
        <w:t xml:space="preserve"> in the key ZUMA-2 trial.</w:t>
      </w:r>
    </w:p>
    <w:p w14:paraId="36EA842C" w14:textId="77777777" w:rsidR="00AA5DA6" w:rsidRDefault="003D7E26" w:rsidP="00C762B5">
      <w:pPr>
        <w:ind w:left="426"/>
        <w:rPr>
          <w:szCs w:val="20"/>
        </w:rPr>
      </w:pPr>
      <w:r w:rsidRPr="00A168E7">
        <w:rPr>
          <w:b/>
        </w:rPr>
        <w:t>REDACTED</w:t>
      </w:r>
      <w:r w:rsidRPr="00E651F5">
        <w:rPr>
          <w:szCs w:val="20"/>
        </w:rPr>
        <w:t xml:space="preserve"> </w:t>
      </w:r>
    </w:p>
    <w:p w14:paraId="79A70105" w14:textId="549017B6" w:rsidR="00C762B5" w:rsidRPr="007B7CBF" w:rsidRDefault="00C82342" w:rsidP="00C762B5">
      <w:pPr>
        <w:ind w:left="426"/>
        <w:rPr>
          <w:szCs w:val="20"/>
        </w:rPr>
      </w:pPr>
      <w:r w:rsidRPr="00E651F5">
        <w:rPr>
          <w:szCs w:val="20"/>
        </w:rPr>
        <w:t>Administration</w:t>
      </w:r>
      <w:r w:rsidR="00790EC9" w:rsidRPr="00E651F5">
        <w:rPr>
          <w:szCs w:val="20"/>
        </w:rPr>
        <w:t xml:space="preserve"> of </w:t>
      </w:r>
      <w:proofErr w:type="spellStart"/>
      <w:r w:rsidR="00637C62" w:rsidRPr="00E651F5">
        <w:rPr>
          <w:szCs w:val="20"/>
        </w:rPr>
        <w:t>brexucabtagene</w:t>
      </w:r>
      <w:proofErr w:type="spellEnd"/>
      <w:r w:rsidR="00637C62" w:rsidRPr="00E651F5">
        <w:rPr>
          <w:szCs w:val="20"/>
        </w:rPr>
        <w:t xml:space="preserve"> </w:t>
      </w:r>
      <w:proofErr w:type="spellStart"/>
      <w:r w:rsidR="00637C62" w:rsidRPr="00E651F5">
        <w:rPr>
          <w:szCs w:val="20"/>
        </w:rPr>
        <w:t>autoleucel</w:t>
      </w:r>
      <w:proofErr w:type="spellEnd"/>
      <w:r w:rsidRPr="00E651F5">
        <w:rPr>
          <w:szCs w:val="20"/>
        </w:rPr>
        <w:t xml:space="preserve"> is performed </w:t>
      </w:r>
      <w:r w:rsidR="0034264E" w:rsidRPr="00E651F5">
        <w:rPr>
          <w:szCs w:val="20"/>
        </w:rPr>
        <w:t xml:space="preserve">under the supervision of </w:t>
      </w:r>
      <w:r w:rsidRPr="00E651F5">
        <w:rPr>
          <w:szCs w:val="20"/>
        </w:rPr>
        <w:t>a</w:t>
      </w:r>
      <w:r>
        <w:rPr>
          <w:szCs w:val="20"/>
        </w:rPr>
        <w:t xml:space="preserve"> haematologist or haem</w:t>
      </w:r>
      <w:r w:rsidR="003B3BD9">
        <w:rPr>
          <w:szCs w:val="20"/>
        </w:rPr>
        <w:t>atolog</w:t>
      </w:r>
      <w:r w:rsidR="00E67C2B">
        <w:rPr>
          <w:szCs w:val="20"/>
        </w:rPr>
        <w:t>ist</w:t>
      </w:r>
      <w:r w:rsidR="00B50CC0">
        <w:rPr>
          <w:szCs w:val="20"/>
        </w:rPr>
        <w:t>-</w:t>
      </w:r>
      <w:r w:rsidR="003B3BD9">
        <w:rPr>
          <w:szCs w:val="20"/>
        </w:rPr>
        <w:t>oncologist</w:t>
      </w:r>
      <w:r w:rsidR="009C3F1B">
        <w:rPr>
          <w:szCs w:val="20"/>
        </w:rPr>
        <w:t>.</w:t>
      </w:r>
    </w:p>
    <w:p w14:paraId="16DF154E" w14:textId="77777777" w:rsidR="00791C8D" w:rsidRPr="00154B00" w:rsidRDefault="007D6A4C" w:rsidP="0014240E">
      <w:pPr>
        <w:ind w:left="426"/>
        <w:rPr>
          <w:szCs w:val="20"/>
        </w:rPr>
      </w:pPr>
      <w:r>
        <w:rPr>
          <w:szCs w:val="20"/>
        </w:rPr>
        <w:t>S</w:t>
      </w:r>
      <w:r w:rsidR="007B7CBF">
        <w:rPr>
          <w:szCs w:val="20"/>
        </w:rPr>
        <w:t>ome patients</w:t>
      </w:r>
      <w:r w:rsidR="007B7CBF" w:rsidRPr="007B7CBF">
        <w:rPr>
          <w:szCs w:val="20"/>
        </w:rPr>
        <w:t xml:space="preserve"> may</w:t>
      </w:r>
      <w:r w:rsidR="007B7CBF">
        <w:rPr>
          <w:szCs w:val="20"/>
        </w:rPr>
        <w:t xml:space="preserve"> </w:t>
      </w:r>
      <w:r w:rsidR="007B7CBF" w:rsidRPr="007B7CBF">
        <w:rPr>
          <w:szCs w:val="20"/>
        </w:rPr>
        <w:t xml:space="preserve">require </w:t>
      </w:r>
      <w:r w:rsidR="007B7CBF">
        <w:rPr>
          <w:szCs w:val="20"/>
        </w:rPr>
        <w:t xml:space="preserve">administration of </w:t>
      </w:r>
      <w:r w:rsidR="006F76FE">
        <w:rPr>
          <w:szCs w:val="20"/>
        </w:rPr>
        <w:t xml:space="preserve">treatments following infusion of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sidR="006F76FE">
        <w:rPr>
          <w:szCs w:val="20"/>
        </w:rPr>
        <w:t xml:space="preserve"> </w:t>
      </w:r>
      <w:r w:rsidR="00842BBE">
        <w:rPr>
          <w:szCs w:val="20"/>
        </w:rPr>
        <w:t xml:space="preserve">as supportive care and </w:t>
      </w:r>
      <w:r w:rsidR="007B7CBF" w:rsidRPr="007B7CBF">
        <w:rPr>
          <w:szCs w:val="20"/>
        </w:rPr>
        <w:t>for management of adverse events (e.g.</w:t>
      </w:r>
      <w:r w:rsidR="006F76FE">
        <w:rPr>
          <w:szCs w:val="20"/>
        </w:rPr>
        <w:t>,</w:t>
      </w:r>
      <w:r w:rsidR="007B7CBF" w:rsidRPr="007B7CBF">
        <w:rPr>
          <w:szCs w:val="20"/>
        </w:rPr>
        <w:t xml:space="preserve"> </w:t>
      </w:r>
      <w:r w:rsidR="0098674D">
        <w:rPr>
          <w:szCs w:val="20"/>
        </w:rPr>
        <w:t xml:space="preserve">blood products, </w:t>
      </w:r>
      <w:proofErr w:type="spellStart"/>
      <w:r w:rsidR="005F29DA">
        <w:rPr>
          <w:szCs w:val="20"/>
        </w:rPr>
        <w:t>antiemetics</w:t>
      </w:r>
      <w:proofErr w:type="spellEnd"/>
      <w:r w:rsidR="005F29DA">
        <w:rPr>
          <w:szCs w:val="20"/>
        </w:rPr>
        <w:t xml:space="preserve">, </w:t>
      </w:r>
      <w:proofErr w:type="spellStart"/>
      <w:r w:rsidR="007B7CBF" w:rsidRPr="007B7CBF">
        <w:rPr>
          <w:szCs w:val="20"/>
        </w:rPr>
        <w:t>tocilizumab</w:t>
      </w:r>
      <w:proofErr w:type="spellEnd"/>
      <w:r w:rsidR="007B7CBF" w:rsidRPr="007B7CBF">
        <w:rPr>
          <w:szCs w:val="20"/>
        </w:rPr>
        <w:t>)</w:t>
      </w:r>
    </w:p>
    <w:p w14:paraId="074107D0" w14:textId="77777777" w:rsidR="00B17E26" w:rsidRPr="00154B00" w:rsidRDefault="00B17E26" w:rsidP="00561A90">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1915BC7" w14:textId="2768A35E" w:rsidR="00B17E26" w:rsidRDefault="00282A76" w:rsidP="00A168E7">
      <w:pPr>
        <w:ind w:left="426"/>
        <w:rPr>
          <w:szCs w:val="20"/>
        </w:rPr>
      </w:pPr>
      <w:r>
        <w:rPr>
          <w:szCs w:val="20"/>
        </w:rPr>
        <w:t>Haematologists and haematologist-oncologists</w:t>
      </w:r>
    </w:p>
    <w:p w14:paraId="7450147A" w14:textId="5B794897" w:rsidR="00A168E7" w:rsidRDefault="00A168E7" w:rsidP="00A168E7">
      <w:pPr>
        <w:pStyle w:val="Heading2"/>
      </w:pPr>
      <w:r w:rsidRPr="00154B00">
        <w:t xml:space="preserve">If applicable, advise whether the proposed medical service could be delegated or referred to another professional </w:t>
      </w:r>
      <w:r w:rsidRPr="0073597B">
        <w:t>for</w:t>
      </w:r>
      <w:r w:rsidRPr="00154B00">
        <w:t xml:space="preserve"> delive</w:t>
      </w:r>
      <w:r>
        <w:t>ry:</w:t>
      </w:r>
    </w:p>
    <w:p w14:paraId="56E2A9F6" w14:textId="48B9573F" w:rsidR="00A168E7" w:rsidRPr="00A168E7" w:rsidRDefault="00A168E7" w:rsidP="00A168E7">
      <w:pPr>
        <w:ind w:left="360"/>
      </w:pPr>
      <w:r>
        <w:t>Not applicable</w:t>
      </w:r>
    </w:p>
    <w:p w14:paraId="407A9345" w14:textId="77777777" w:rsidR="00EA0E25" w:rsidRPr="00154B00" w:rsidRDefault="00EA0E25" w:rsidP="00561A90">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9709DD4" w14:textId="17DA16DF" w:rsidR="00EA0E25" w:rsidRPr="00E651F5" w:rsidRDefault="00B45988" w:rsidP="00BC424B">
      <w:pPr>
        <w:ind w:left="426"/>
      </w:pPr>
      <w:bookmarkStart w:id="17" w:name="_Hlk46217528"/>
      <w:r>
        <w:t>As with the other CAR T-cell therapies</w:t>
      </w:r>
      <w:r w:rsidR="008C4547">
        <w:t xml:space="preserve">, it is proposed that </w:t>
      </w:r>
      <w:proofErr w:type="spellStart"/>
      <w:r w:rsidR="00637C62">
        <w:t>brexucabtagene</w:t>
      </w:r>
      <w:proofErr w:type="spellEnd"/>
      <w:r w:rsidR="00637C62">
        <w:t xml:space="preserve"> </w:t>
      </w:r>
      <w:proofErr w:type="spellStart"/>
      <w:r w:rsidR="00637C62">
        <w:t>autoleucel</w:t>
      </w:r>
      <w:proofErr w:type="spellEnd"/>
      <w:r w:rsidR="008C4547">
        <w:t xml:space="preserve"> will only be able to be administered in</w:t>
      </w:r>
      <w:r w:rsidR="00BA4CED">
        <w:t xml:space="preserve"> </w:t>
      </w:r>
      <w:r w:rsidR="00F43E15" w:rsidRPr="00E651F5">
        <w:t xml:space="preserve">accredited </w:t>
      </w:r>
      <w:r w:rsidR="00750EFE" w:rsidRPr="00E651F5">
        <w:t>treatment centres.</w:t>
      </w:r>
      <w:r w:rsidR="00535D54" w:rsidRPr="00E651F5">
        <w:t xml:space="preserve"> </w:t>
      </w:r>
      <w:r w:rsidR="003D7E26" w:rsidRPr="00A168E7">
        <w:rPr>
          <w:b/>
        </w:rPr>
        <w:t>REDACTED</w:t>
      </w:r>
      <w:bookmarkEnd w:id="17"/>
    </w:p>
    <w:p w14:paraId="30639234" w14:textId="77777777" w:rsidR="00EA0E25" w:rsidRPr="00E651F5" w:rsidRDefault="00EA0E25" w:rsidP="00561A90">
      <w:pPr>
        <w:pStyle w:val="Heading2"/>
      </w:pPr>
      <w:r w:rsidRPr="00E651F5">
        <w:t xml:space="preserve">If applicable, advise what type of training </w:t>
      </w:r>
      <w:r w:rsidR="009C03FB" w:rsidRPr="00E651F5">
        <w:t xml:space="preserve">or qualifications </w:t>
      </w:r>
      <w:r w:rsidRPr="00E651F5">
        <w:t xml:space="preserve">would be required to perform the </w:t>
      </w:r>
      <w:r w:rsidR="007522E3" w:rsidRPr="00E651F5">
        <w:t xml:space="preserve">proposed </w:t>
      </w:r>
      <w:r w:rsidRPr="00E651F5">
        <w:t>service</w:t>
      </w:r>
      <w:r w:rsidR="003904AC" w:rsidRPr="00E651F5">
        <w:t>,</w:t>
      </w:r>
      <w:r w:rsidR="00257FF2" w:rsidRPr="00E651F5">
        <w:t xml:space="preserve"> as well as any accreditation requirements to suppor</w:t>
      </w:r>
      <w:r w:rsidR="009C03FB" w:rsidRPr="00E651F5">
        <w:t xml:space="preserve">t </w:t>
      </w:r>
      <w:r w:rsidR="00257FF2" w:rsidRPr="00E651F5">
        <w:t>service</w:t>
      </w:r>
      <w:r w:rsidR="009C03FB" w:rsidRPr="00E651F5">
        <w:t xml:space="preserve"> delivery</w:t>
      </w:r>
      <w:r w:rsidR="00AE1188" w:rsidRPr="00E651F5">
        <w:t>:</w:t>
      </w:r>
    </w:p>
    <w:p w14:paraId="76EC939A" w14:textId="01F34741" w:rsidR="00EA0E25" w:rsidRDefault="00637C62" w:rsidP="0073597B">
      <w:pPr>
        <w:ind w:left="426"/>
        <w:rPr>
          <w:szCs w:val="20"/>
        </w:rPr>
      </w:pPr>
      <w:proofErr w:type="spellStart"/>
      <w:r w:rsidRPr="00E651F5">
        <w:rPr>
          <w:szCs w:val="20"/>
        </w:rPr>
        <w:t>Brexucabtagene</w:t>
      </w:r>
      <w:proofErr w:type="spellEnd"/>
      <w:r w:rsidRPr="00E651F5">
        <w:rPr>
          <w:szCs w:val="20"/>
        </w:rPr>
        <w:t xml:space="preserve"> </w:t>
      </w:r>
      <w:proofErr w:type="spellStart"/>
      <w:r w:rsidRPr="00E651F5">
        <w:rPr>
          <w:szCs w:val="20"/>
        </w:rPr>
        <w:t>autoleucel</w:t>
      </w:r>
      <w:proofErr w:type="spellEnd"/>
      <w:r w:rsidR="00D85E79" w:rsidRPr="00E651F5">
        <w:rPr>
          <w:szCs w:val="20"/>
        </w:rPr>
        <w:t xml:space="preserve"> will be prescribed by ph</w:t>
      </w:r>
      <w:r w:rsidR="00A00C97" w:rsidRPr="00E651F5">
        <w:rPr>
          <w:szCs w:val="20"/>
        </w:rPr>
        <w:t>ysicians who are experienced in the treatment of patients with haematological malignancies.</w:t>
      </w:r>
      <w:r w:rsidR="00D23665" w:rsidRPr="00E651F5">
        <w:rPr>
          <w:szCs w:val="20"/>
        </w:rPr>
        <w:t xml:space="preserve">  </w:t>
      </w:r>
      <w:r w:rsidR="00DD18A9" w:rsidRPr="00A168E7">
        <w:rPr>
          <w:b/>
        </w:rPr>
        <w:t>REDACTED</w:t>
      </w:r>
      <w:r w:rsidR="00C50B47" w:rsidRPr="00E651F5">
        <w:rPr>
          <w:szCs w:val="20"/>
        </w:rPr>
        <w:t>.</w:t>
      </w:r>
    </w:p>
    <w:p w14:paraId="079D1048" w14:textId="77777777" w:rsidR="005F3F07" w:rsidRDefault="005C3AE7" w:rsidP="00561A90">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F8653E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4F4E86A9" w14:textId="77777777" w:rsidR="000A478F" w:rsidRDefault="001A741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1290D9E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rsidR="003904AC" w:rsidRPr="00E574F1">
        <w:rPr>
          <w:szCs w:val="20"/>
        </w:rPr>
        <w:t>Private o</w:t>
      </w:r>
      <w:r w:rsidRPr="00E574F1">
        <w:t>utpatient clinic</w:t>
      </w:r>
    </w:p>
    <w:p w14:paraId="5A03A0CC" w14:textId="77777777" w:rsidR="0079354C" w:rsidRDefault="00484CF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79354C">
        <w:rPr>
          <w:szCs w:val="20"/>
        </w:rPr>
        <w:t xml:space="preserve"> Public outpatient clinic</w:t>
      </w:r>
    </w:p>
    <w:p w14:paraId="583C88F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t>Emergency Department</w:t>
      </w:r>
    </w:p>
    <w:p w14:paraId="255EC02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3EFD4A0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Private consulting rooms – specialist</w:t>
      </w:r>
    </w:p>
    <w:p w14:paraId="160E473D"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Private consulting rooms – other health practitioner (nurse or allied health)</w:t>
      </w:r>
    </w:p>
    <w:p w14:paraId="3CCFAE5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rsidR="0079354C">
        <w:rPr>
          <w:szCs w:val="20"/>
        </w:rPr>
        <w:t xml:space="preserve">Private </w:t>
      </w:r>
      <w:proofErr w:type="gramStart"/>
      <w:r w:rsidR="0079354C">
        <w:rPr>
          <w:szCs w:val="20"/>
        </w:rPr>
        <w:t>d</w:t>
      </w:r>
      <w:r>
        <w:t>ay</w:t>
      </w:r>
      <w:proofErr w:type="gramEnd"/>
      <w:r>
        <w:t xml:space="preserve"> surgery c</w:t>
      </w:r>
      <w:r w:rsidR="0079354C">
        <w:t>linic (admitted patient)</w:t>
      </w:r>
    </w:p>
    <w:p w14:paraId="065F84B7"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19731CCD"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Public day surgery clinic (admitted patient)</w:t>
      </w:r>
    </w:p>
    <w:p w14:paraId="7024A06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Public day surgery clinic (non-admitted patient)</w:t>
      </w:r>
    </w:p>
    <w:p w14:paraId="482AE85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t>Residential aged care facility</w:t>
      </w:r>
    </w:p>
    <w:p w14:paraId="311FFF6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t>Patient’s home</w:t>
      </w:r>
    </w:p>
    <w:p w14:paraId="3395522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t>Laboratory</w:t>
      </w:r>
    </w:p>
    <w:p w14:paraId="027C9BAD"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A5DA6">
        <w:rPr>
          <w:szCs w:val="20"/>
        </w:rPr>
      </w:r>
      <w:r w:rsidR="00AA5DA6">
        <w:rPr>
          <w:szCs w:val="20"/>
        </w:rPr>
        <w:fldChar w:fldCharType="separate"/>
      </w:r>
      <w:r w:rsidRPr="000A5B32">
        <w:rPr>
          <w:szCs w:val="20"/>
        </w:rPr>
        <w:fldChar w:fldCharType="end"/>
      </w:r>
      <w:r>
        <w:rPr>
          <w:szCs w:val="20"/>
        </w:rPr>
        <w:t xml:space="preserve"> </w:t>
      </w:r>
      <w:r>
        <w:t>Other – please specify below</w:t>
      </w:r>
    </w:p>
    <w:p w14:paraId="4AE3F7CD" w14:textId="77777777" w:rsidR="003433D1" w:rsidRPr="00A168E7" w:rsidRDefault="00E048ED" w:rsidP="00484CFC">
      <w:pPr>
        <w:pStyle w:val="ListParagraph"/>
        <w:numPr>
          <w:ilvl w:val="0"/>
          <w:numId w:val="8"/>
        </w:numPr>
        <w:rPr>
          <w:b/>
          <w:szCs w:val="20"/>
        </w:rPr>
      </w:pPr>
      <w:r w:rsidRPr="00A168E7">
        <w:rPr>
          <w:b/>
          <w:szCs w:val="20"/>
        </w:rPr>
        <w:t>Where the proposed medical service is provided in more than one setting, please describ</w:t>
      </w:r>
      <w:r w:rsidR="00AE1188" w:rsidRPr="00A168E7">
        <w:rPr>
          <w:b/>
          <w:szCs w:val="20"/>
        </w:rPr>
        <w:t>e the rationale related to each:</w:t>
      </w:r>
    </w:p>
    <w:p w14:paraId="5546CA62" w14:textId="77777777" w:rsidR="0073597B" w:rsidRPr="00A168E7" w:rsidRDefault="003D7E26" w:rsidP="00484CFC">
      <w:pPr>
        <w:ind w:left="426"/>
        <w:rPr>
          <w:b/>
          <w:szCs w:val="20"/>
        </w:rPr>
      </w:pPr>
      <w:r w:rsidRPr="00A168E7">
        <w:rPr>
          <w:b/>
        </w:rPr>
        <w:t>REDACTED</w:t>
      </w:r>
    </w:p>
    <w:p w14:paraId="17CEFC9A" w14:textId="77777777" w:rsidR="003E30FB" w:rsidRPr="00E651F5" w:rsidRDefault="003E30FB" w:rsidP="00561A90">
      <w:pPr>
        <w:pStyle w:val="Heading2"/>
      </w:pPr>
      <w:r w:rsidRPr="00E651F5">
        <w:t>Is the proposed medical service intended to be entirely rendered in Australia?</w:t>
      </w:r>
    </w:p>
    <w:p w14:paraId="34A795FA" w14:textId="25ECCFFC" w:rsidR="000A478F" w:rsidRDefault="003D7E26" w:rsidP="00A44774">
      <w:pPr>
        <w:ind w:firstLine="357"/>
        <w:rPr>
          <w:b/>
        </w:rPr>
      </w:pPr>
      <w:r w:rsidRPr="00A168E7">
        <w:rPr>
          <w:b/>
        </w:rPr>
        <w:t>REDACTED</w:t>
      </w:r>
    </w:p>
    <w:p w14:paraId="08F3CE4B" w14:textId="77777777" w:rsidR="00A168E7" w:rsidRPr="00A168E7" w:rsidRDefault="00A168E7" w:rsidP="00A44774">
      <w:pPr>
        <w:ind w:firstLine="357"/>
        <w:rPr>
          <w:b/>
          <w:i/>
          <w:szCs w:val="20"/>
          <w:u w:val="single"/>
        </w:rPr>
      </w:pPr>
    </w:p>
    <w:p w14:paraId="18D95C07" w14:textId="77777777" w:rsidR="00AA5DA6" w:rsidRDefault="00AA5DA6">
      <w:pPr>
        <w:spacing w:before="0" w:after="200" w:line="276" w:lineRule="auto"/>
        <w:rPr>
          <w:b/>
          <w:i/>
          <w:szCs w:val="20"/>
          <w:u w:val="single"/>
        </w:rPr>
      </w:pPr>
      <w:r>
        <w:br w:type="page"/>
      </w:r>
    </w:p>
    <w:p w14:paraId="1C315A22" w14:textId="71D1CE04" w:rsidR="00E60529" w:rsidRPr="00881F93" w:rsidRDefault="005C3AE7" w:rsidP="00A168E7">
      <w:pPr>
        <w:pStyle w:val="Subtitle"/>
        <w:ind w:hanging="357"/>
      </w:pPr>
      <w:bookmarkStart w:id="18" w:name="_GoBack"/>
      <w:bookmarkEnd w:id="18"/>
      <w:r>
        <w:lastRenderedPageBreak/>
        <w:t xml:space="preserve">PART 6c – </w:t>
      </w:r>
      <w:r w:rsidR="00E60529" w:rsidRPr="00881F93">
        <w:t>INFORMATION ABOUT THE COMPARATOR</w:t>
      </w:r>
      <w:r w:rsidR="00A83EC6" w:rsidRPr="00881F93">
        <w:t>(S)</w:t>
      </w:r>
    </w:p>
    <w:p w14:paraId="2C5B9AAD" w14:textId="77777777" w:rsidR="00E60529" w:rsidRPr="00154B00" w:rsidRDefault="00A83EC6" w:rsidP="00561A90">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149ADE5" w14:textId="77777777" w:rsidR="00F917E9" w:rsidRDefault="0091462E" w:rsidP="00C451A0">
      <w:pPr>
        <w:ind w:left="426"/>
        <w:rPr>
          <w:szCs w:val="20"/>
        </w:rPr>
      </w:pPr>
      <w:r>
        <w:t xml:space="preserve">The main comparator for </w:t>
      </w:r>
      <w:proofErr w:type="spellStart"/>
      <w:r w:rsidR="00637C62">
        <w:t>brexucabtagene</w:t>
      </w:r>
      <w:proofErr w:type="spellEnd"/>
      <w:r w:rsidR="00637C62">
        <w:t xml:space="preserve"> </w:t>
      </w:r>
      <w:proofErr w:type="spellStart"/>
      <w:r w:rsidR="00637C62">
        <w:t>autoleucel</w:t>
      </w:r>
      <w:proofErr w:type="spellEnd"/>
      <w:r>
        <w:t xml:space="preserve"> </w:t>
      </w:r>
      <w:r w:rsidR="00583691">
        <w:t>is expected to</w:t>
      </w:r>
      <w:r>
        <w:t xml:space="preserve"> be s</w:t>
      </w:r>
      <w:r w:rsidR="001F7C1D">
        <w:t xml:space="preserve">alvage </w:t>
      </w:r>
      <w:proofErr w:type="spellStart"/>
      <w:r w:rsidR="001F7C1D">
        <w:t>chemo</w:t>
      </w:r>
      <w:r w:rsidR="00BA5562">
        <w:t>immuno</w:t>
      </w:r>
      <w:r w:rsidR="001F7C1D">
        <w:t>therap</w:t>
      </w:r>
      <w:r>
        <w:rPr>
          <w:szCs w:val="20"/>
        </w:rPr>
        <w:t>y</w:t>
      </w:r>
      <w:proofErr w:type="spellEnd"/>
      <w:r w:rsidR="00583691">
        <w:rPr>
          <w:szCs w:val="20"/>
        </w:rPr>
        <w:t xml:space="preserve"> given that it is the therapy most likely to be </w:t>
      </w:r>
      <w:r w:rsidR="00A62179">
        <w:rPr>
          <w:szCs w:val="20"/>
        </w:rPr>
        <w:t>displaced</w:t>
      </w:r>
      <w:r w:rsidR="00B26411">
        <w:rPr>
          <w:szCs w:val="20"/>
        </w:rPr>
        <w:t xml:space="preserve"> by </w:t>
      </w:r>
      <w:proofErr w:type="spellStart"/>
      <w:r w:rsidR="00637C62">
        <w:rPr>
          <w:szCs w:val="20"/>
        </w:rPr>
        <w:t>brexucabtagene</w:t>
      </w:r>
      <w:proofErr w:type="spellEnd"/>
      <w:r w:rsidR="00637C62">
        <w:rPr>
          <w:szCs w:val="20"/>
        </w:rPr>
        <w:t xml:space="preserve"> </w:t>
      </w:r>
      <w:proofErr w:type="spellStart"/>
      <w:r w:rsidR="00637C62">
        <w:rPr>
          <w:szCs w:val="20"/>
        </w:rPr>
        <w:t>autoleucel</w:t>
      </w:r>
      <w:proofErr w:type="spellEnd"/>
      <w:r w:rsidR="00B26411">
        <w:rPr>
          <w:szCs w:val="20"/>
        </w:rPr>
        <w:t>.</w:t>
      </w:r>
    </w:p>
    <w:p w14:paraId="3CEAD9FC" w14:textId="77777777" w:rsidR="001A4B20" w:rsidRPr="0004728E" w:rsidRDefault="003D7E26" w:rsidP="0004728E">
      <w:pPr>
        <w:ind w:left="426"/>
        <w:rPr>
          <w:szCs w:val="20"/>
        </w:rPr>
      </w:pPr>
      <w:r w:rsidRPr="00A168E7">
        <w:rPr>
          <w:b/>
        </w:rPr>
        <w:t>REDACTED</w:t>
      </w:r>
      <w:r w:rsidR="00107C40" w:rsidRPr="00E651F5">
        <w:rPr>
          <w:szCs w:val="20"/>
        </w:rPr>
        <w:t>.</w:t>
      </w:r>
    </w:p>
    <w:p w14:paraId="12EF57F4" w14:textId="77777777" w:rsidR="00A168E7" w:rsidRDefault="00A168E7" w:rsidP="00A168E7">
      <w:pPr>
        <w:pStyle w:val="Heading2"/>
      </w:pPr>
      <w:r w:rsidRPr="00154B00">
        <w:t xml:space="preserve">Does the </w:t>
      </w:r>
      <w:r w:rsidRPr="001B29A1">
        <w:t>medical</w:t>
      </w:r>
      <w:r w:rsidRPr="00154B00">
        <w:t xml:space="preserve"> service </w:t>
      </w:r>
      <w:r>
        <w:t>(</w:t>
      </w:r>
      <w:r w:rsidRPr="00154B00">
        <w:t>that has been nominated as the comparator</w:t>
      </w:r>
      <w:r>
        <w:t>)</w:t>
      </w:r>
      <w:r w:rsidRPr="00154B00">
        <w:t xml:space="preserve"> have an existing MBS item number</w:t>
      </w:r>
      <w:r>
        <w:t>(s)?</w:t>
      </w:r>
    </w:p>
    <w:p w14:paraId="030DF8BF" w14:textId="77777777" w:rsidR="00A168E7" w:rsidRDefault="00A168E7" w:rsidP="00A168E7">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A5DA6">
        <w:rPr>
          <w:szCs w:val="20"/>
        </w:rPr>
      </w:r>
      <w:r w:rsidR="00AA5DA6">
        <w:rPr>
          <w:szCs w:val="20"/>
        </w:rPr>
        <w:fldChar w:fldCharType="separate"/>
      </w:r>
      <w:r w:rsidRPr="00753C44">
        <w:rPr>
          <w:szCs w:val="20"/>
        </w:rPr>
        <w:fldChar w:fldCharType="end"/>
      </w:r>
      <w:r>
        <w:rPr>
          <w:szCs w:val="20"/>
        </w:rPr>
        <w:t xml:space="preserve"> Yes (please list all relevant MBS item numbers below)</w:t>
      </w:r>
    </w:p>
    <w:p w14:paraId="050085D3" w14:textId="440DDA94" w:rsidR="000159B9" w:rsidRPr="00154B00" w:rsidRDefault="00A168E7" w:rsidP="00A168E7">
      <w:pPr>
        <w:spacing w:before="0"/>
        <w:ind w:left="425"/>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A5DA6">
        <w:rPr>
          <w:szCs w:val="20"/>
        </w:rPr>
      </w:r>
      <w:r w:rsidR="00AA5DA6">
        <w:rPr>
          <w:szCs w:val="20"/>
        </w:rPr>
        <w:fldChar w:fldCharType="separate"/>
      </w:r>
      <w:r w:rsidRPr="00753C44">
        <w:rPr>
          <w:szCs w:val="20"/>
        </w:rPr>
        <w:fldChar w:fldCharType="end"/>
      </w:r>
      <w:r>
        <w:rPr>
          <w:szCs w:val="20"/>
        </w:rPr>
        <w:t xml:space="preserve"> No  </w:t>
      </w:r>
    </w:p>
    <w:p w14:paraId="001A9AF7" w14:textId="77777777" w:rsidR="00AF5D1E" w:rsidRPr="00154B00" w:rsidRDefault="00AF5D1E" w:rsidP="00561A90">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17B7A8C2" w14:textId="77777777" w:rsidR="003433D1" w:rsidRDefault="007467C5" w:rsidP="00A6526A">
      <w:pPr>
        <w:ind w:left="426"/>
        <w:rPr>
          <w:b/>
          <w:szCs w:val="20"/>
        </w:rPr>
      </w:pPr>
      <w:r>
        <w:t xml:space="preserve">Patients </w:t>
      </w:r>
      <w:r w:rsidR="00C80543">
        <w:t xml:space="preserve">being treated with salvage therapies have exhausted all known </w:t>
      </w:r>
      <w:r w:rsidR="005E6410">
        <w:t xml:space="preserve">effective </w:t>
      </w:r>
      <w:r>
        <w:t>treatment options</w:t>
      </w:r>
      <w:r w:rsidR="009A3E37">
        <w:t xml:space="preserve">. </w:t>
      </w:r>
      <w:r w:rsidR="00A6526A">
        <w:t xml:space="preserve">Following salvage chemotherapy, patients are likely to be managed with best supportive care (BSC), further salvage therapy or </w:t>
      </w:r>
      <w:r w:rsidR="003D4C43">
        <w:t>they may be enrolled</w:t>
      </w:r>
      <w:r w:rsidR="00A6526A">
        <w:t xml:space="preserve"> in a clinical trial</w:t>
      </w:r>
      <w:r w:rsidR="003D4C43">
        <w:t xml:space="preserve"> of a therapy under investigation</w:t>
      </w:r>
      <w:r w:rsidR="00A6526A">
        <w:t>.</w:t>
      </w:r>
      <w:r w:rsidR="003D4C43">
        <w:t xml:space="preserve"> </w:t>
      </w:r>
    </w:p>
    <w:p w14:paraId="7BD1E8B3" w14:textId="77777777" w:rsidR="00A83EC6" w:rsidRPr="00154B00" w:rsidRDefault="005C3AE7" w:rsidP="00561A90">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ED91B83"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A5DA6">
        <w:rPr>
          <w:szCs w:val="20"/>
        </w:rPr>
      </w:r>
      <w:r w:rsidR="00AA5DA6">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2A013FA4" w14:textId="77777777" w:rsidR="001B29A1" w:rsidRDefault="005E641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0CF34242" w14:textId="77777777" w:rsidR="00E70D86" w:rsidRPr="00154B00" w:rsidRDefault="00E70D86" w:rsidP="00F61C84">
      <w:pPr>
        <w:pStyle w:val="Heading2"/>
        <w:numPr>
          <w:ilvl w:val="0"/>
          <w:numId w:val="9"/>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6B41A2FC" w14:textId="77777777" w:rsidR="003433D1" w:rsidRPr="001B29A1" w:rsidRDefault="000337C1" w:rsidP="001B29A1">
      <w:pPr>
        <w:ind w:left="426"/>
        <w:rPr>
          <w:szCs w:val="20"/>
        </w:rPr>
      </w:pPr>
      <w:r>
        <w:t xml:space="preserve">It is likely that </w:t>
      </w:r>
      <w:proofErr w:type="spellStart"/>
      <w:r w:rsidR="00637C62">
        <w:t>brexucabtagene</w:t>
      </w:r>
      <w:proofErr w:type="spellEnd"/>
      <w:r w:rsidR="00637C62">
        <w:t xml:space="preserve"> </w:t>
      </w:r>
      <w:proofErr w:type="spellStart"/>
      <w:r w:rsidR="00637C62">
        <w:t>autoleucel</w:t>
      </w:r>
      <w:proofErr w:type="spellEnd"/>
      <w:r>
        <w:t xml:space="preserve"> will substitute for salvage therapies in </w:t>
      </w:r>
      <w:r w:rsidR="00310CB5">
        <w:t xml:space="preserve">the vast majority of </w:t>
      </w:r>
      <w:r>
        <w:t xml:space="preserve">patients </w:t>
      </w:r>
      <w:r w:rsidR="000350A1">
        <w:t xml:space="preserve">who have received </w:t>
      </w:r>
      <w:r w:rsidR="00310CB5">
        <w:t>treatment with a BTK inhibitor.</w:t>
      </w:r>
      <w:r w:rsidR="000350A1">
        <w:t xml:space="preserve"> </w:t>
      </w:r>
    </w:p>
    <w:p w14:paraId="5016828D" w14:textId="77777777" w:rsidR="0054594B" w:rsidRPr="00154B00" w:rsidRDefault="009C03FB" w:rsidP="00561A90">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0A9B2F5F" w14:textId="77777777" w:rsidR="0054594B" w:rsidRPr="00F06FF1" w:rsidRDefault="00F06FF1" w:rsidP="00D10B47">
      <w:pPr>
        <w:pStyle w:val="ListParagraph"/>
        <w:ind w:left="360"/>
        <w:rPr>
          <w:bCs/>
          <w:szCs w:val="20"/>
        </w:rPr>
      </w:pPr>
      <w:r>
        <w:rPr>
          <w:bCs/>
          <w:szCs w:val="20"/>
        </w:rPr>
        <w:t xml:space="preserve">Availability of </w:t>
      </w:r>
      <w:proofErr w:type="spellStart"/>
      <w:r w:rsidR="00637C62">
        <w:rPr>
          <w:bCs/>
          <w:szCs w:val="20"/>
        </w:rPr>
        <w:t>brexucabtagene</w:t>
      </w:r>
      <w:proofErr w:type="spellEnd"/>
      <w:r w:rsidR="00637C62">
        <w:rPr>
          <w:bCs/>
          <w:szCs w:val="20"/>
        </w:rPr>
        <w:t xml:space="preserve"> </w:t>
      </w:r>
      <w:proofErr w:type="spellStart"/>
      <w:r w:rsidR="00637C62">
        <w:rPr>
          <w:bCs/>
          <w:szCs w:val="20"/>
        </w:rPr>
        <w:t>autoleucel</w:t>
      </w:r>
      <w:proofErr w:type="spellEnd"/>
      <w:r>
        <w:rPr>
          <w:bCs/>
          <w:szCs w:val="20"/>
        </w:rPr>
        <w:t xml:space="preserve"> for patients with progression of disease after treatment with a BTK inhibitor would </w:t>
      </w:r>
      <w:r w:rsidR="008036AE">
        <w:rPr>
          <w:bCs/>
          <w:szCs w:val="20"/>
        </w:rPr>
        <w:t>likely become the</w:t>
      </w:r>
      <w:r w:rsidR="00EA7178">
        <w:rPr>
          <w:bCs/>
          <w:szCs w:val="20"/>
        </w:rPr>
        <w:t xml:space="preserve"> standard of care </w:t>
      </w:r>
      <w:r w:rsidR="00830D1A">
        <w:rPr>
          <w:bCs/>
          <w:szCs w:val="20"/>
        </w:rPr>
        <w:t xml:space="preserve">in </w:t>
      </w:r>
      <w:r w:rsidR="00EA7178">
        <w:rPr>
          <w:bCs/>
          <w:szCs w:val="20"/>
        </w:rPr>
        <w:t>such patients</w:t>
      </w:r>
      <w:r w:rsidR="00774FF8">
        <w:rPr>
          <w:bCs/>
          <w:szCs w:val="20"/>
        </w:rPr>
        <w:t xml:space="preserve">. </w:t>
      </w:r>
      <w:r w:rsidR="00530360">
        <w:rPr>
          <w:bCs/>
          <w:szCs w:val="20"/>
        </w:rPr>
        <w:t xml:space="preserve">The use of </w:t>
      </w:r>
      <w:r w:rsidR="00C5185E">
        <w:rPr>
          <w:bCs/>
          <w:szCs w:val="20"/>
        </w:rPr>
        <w:t>BSC</w:t>
      </w:r>
      <w:r w:rsidR="00530360">
        <w:rPr>
          <w:bCs/>
          <w:szCs w:val="20"/>
        </w:rPr>
        <w:t xml:space="preserve">, including use of </w:t>
      </w:r>
      <w:r w:rsidR="00833160">
        <w:rPr>
          <w:bCs/>
          <w:szCs w:val="20"/>
        </w:rPr>
        <w:t xml:space="preserve">largely </w:t>
      </w:r>
      <w:r w:rsidR="00437CA3">
        <w:rPr>
          <w:bCs/>
          <w:szCs w:val="20"/>
        </w:rPr>
        <w:t xml:space="preserve">ineffective </w:t>
      </w:r>
      <w:r w:rsidR="00530360">
        <w:rPr>
          <w:bCs/>
          <w:szCs w:val="20"/>
        </w:rPr>
        <w:t xml:space="preserve">salvage therapies, </w:t>
      </w:r>
      <w:r>
        <w:rPr>
          <w:bCs/>
          <w:szCs w:val="20"/>
        </w:rPr>
        <w:t>would</w:t>
      </w:r>
      <w:r w:rsidR="0013547E">
        <w:rPr>
          <w:bCs/>
          <w:szCs w:val="20"/>
        </w:rPr>
        <w:t xml:space="preserve"> be used in the last line management of patients</w:t>
      </w:r>
      <w:r w:rsidR="00BF6B2F">
        <w:rPr>
          <w:bCs/>
          <w:szCs w:val="20"/>
        </w:rPr>
        <w:t>.</w:t>
      </w:r>
    </w:p>
    <w:p w14:paraId="58DEE63F" w14:textId="77777777" w:rsidR="00A168E7" w:rsidRDefault="00A168E7" w:rsidP="00561A90">
      <w:pPr>
        <w:pStyle w:val="Subtitle"/>
      </w:pPr>
    </w:p>
    <w:p w14:paraId="4E31F594" w14:textId="2C266AE0" w:rsidR="00DF0D47" w:rsidRPr="00881F93" w:rsidRDefault="005C3AE7" w:rsidP="00A168E7">
      <w:pPr>
        <w:pStyle w:val="Subtitle"/>
        <w:ind w:hanging="357"/>
      </w:pPr>
      <w:r>
        <w:t xml:space="preserve">PART 6d – </w:t>
      </w:r>
      <w:r w:rsidR="00DF0D47" w:rsidRPr="00881F93">
        <w:t xml:space="preserve">INFORMATION ABOUT THE </w:t>
      </w:r>
      <w:r w:rsidR="00CF5AD8" w:rsidRPr="00881F93">
        <w:t xml:space="preserve">CLINICAL </w:t>
      </w:r>
      <w:r w:rsidR="00DF0D47" w:rsidRPr="00881F93">
        <w:t>OUTCOME</w:t>
      </w:r>
    </w:p>
    <w:p w14:paraId="6DA70096" w14:textId="77777777" w:rsidR="004E3CC7" w:rsidRPr="001B29A1" w:rsidRDefault="004E3CC7" w:rsidP="00561A90">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ACE61D2" w14:textId="77777777" w:rsidR="00D279B6" w:rsidRDefault="00637C62" w:rsidP="00C47E26">
      <w:pPr>
        <w:ind w:left="425"/>
      </w:pPr>
      <w:proofErr w:type="spellStart"/>
      <w:r>
        <w:t>Brexucabtagene</w:t>
      </w:r>
      <w:proofErr w:type="spellEnd"/>
      <w:r>
        <w:t xml:space="preserve"> </w:t>
      </w:r>
      <w:proofErr w:type="spellStart"/>
      <w:r>
        <w:t>autoleucel</w:t>
      </w:r>
      <w:proofErr w:type="spellEnd"/>
      <w:r w:rsidR="00EF780E">
        <w:t xml:space="preserve"> is superior</w:t>
      </w:r>
      <w:r w:rsidR="00050654">
        <w:t xml:space="preserve"> </w:t>
      </w:r>
      <w:r w:rsidR="00C07551">
        <w:t xml:space="preserve">in terms of effectiveness </w:t>
      </w:r>
      <w:r w:rsidR="00050654">
        <w:t xml:space="preserve">to use of salvage therapy in </w:t>
      </w:r>
      <w:r w:rsidR="00792675">
        <w:t>adult patients (</w:t>
      </w:r>
      <w:r w:rsidR="00792675">
        <w:rPr>
          <w:rFonts w:cstheme="minorHAnsi"/>
        </w:rPr>
        <w:t>≥</w:t>
      </w:r>
      <w:r w:rsidR="00792675">
        <w:t xml:space="preserve"> 18 years of age) with relapsed or refractory MCL </w:t>
      </w:r>
      <w:r w:rsidR="00CF46BB">
        <w:t>following treatment with</w:t>
      </w:r>
      <w:r w:rsidR="00844FF1">
        <w:t>,</w:t>
      </w:r>
      <w:r w:rsidR="004778B5">
        <w:t xml:space="preserve"> or demonstrating intolerance </w:t>
      </w:r>
      <w:r w:rsidR="00CC6C92">
        <w:t>of treatment with</w:t>
      </w:r>
      <w:r w:rsidR="00844FF1">
        <w:t>,</w:t>
      </w:r>
      <w:r w:rsidR="00CF46BB">
        <w:t xml:space="preserve"> a BTK inhibitor</w:t>
      </w:r>
      <w:r w:rsidR="00792675">
        <w:t>.</w:t>
      </w:r>
      <w:r w:rsidR="00D279B6">
        <w:t xml:space="preserve"> </w:t>
      </w:r>
      <w:proofErr w:type="spellStart"/>
      <w:r w:rsidR="00CC6C92">
        <w:t>B</w:t>
      </w:r>
      <w:r>
        <w:t>rexucabtagene</w:t>
      </w:r>
      <w:proofErr w:type="spellEnd"/>
      <w:r w:rsidR="00CC6C92">
        <w:t xml:space="preserve"> </w:t>
      </w:r>
      <w:proofErr w:type="spellStart"/>
      <w:r>
        <w:t>autoleucel</w:t>
      </w:r>
      <w:proofErr w:type="spellEnd"/>
      <w:r w:rsidR="00D279B6">
        <w:t xml:space="preserve"> induced durable remissions in a majority of patients with relapsed or refractory MCL in the post BTK inhibitor setting.</w:t>
      </w:r>
    </w:p>
    <w:p w14:paraId="1A8B7B5A" w14:textId="77777777" w:rsidR="00C07551" w:rsidRPr="00154B00" w:rsidRDefault="00D279B6" w:rsidP="00C47E26">
      <w:pPr>
        <w:ind w:left="425"/>
        <w:rPr>
          <w:szCs w:val="20"/>
        </w:rPr>
      </w:pPr>
      <w:r>
        <w:t xml:space="preserve">The therapy is associated with </w:t>
      </w:r>
      <w:r w:rsidR="00356EBB">
        <w:t xml:space="preserve">adverse </w:t>
      </w:r>
      <w:r>
        <w:t xml:space="preserve">effects that </w:t>
      </w:r>
      <w:r w:rsidR="00356EBB">
        <w:t>are</w:t>
      </w:r>
      <w:r>
        <w:t xml:space="preserve"> consistent with those reported with other CAR T-cell therapies.</w:t>
      </w:r>
    </w:p>
    <w:p w14:paraId="7407D8CD" w14:textId="77777777" w:rsidR="004E3CC7" w:rsidRPr="00154B00" w:rsidRDefault="004E3CC7" w:rsidP="00561A90">
      <w:pPr>
        <w:pStyle w:val="Heading2"/>
      </w:pPr>
      <w:r w:rsidRPr="00154B00">
        <w:t xml:space="preserve">Please advise if the </w:t>
      </w:r>
      <w:r w:rsidR="00CF5AD8" w:rsidRPr="00092580">
        <w:t>overall</w:t>
      </w:r>
      <w:r w:rsidR="00CF5AD8">
        <w:t xml:space="preserve"> </w:t>
      </w:r>
      <w:r w:rsidRPr="00154B00">
        <w:t>clinical claim is for:</w:t>
      </w:r>
    </w:p>
    <w:p w14:paraId="6C1517A6" w14:textId="77777777" w:rsidR="001B29A1" w:rsidRPr="001B29A1" w:rsidRDefault="006C4526"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5DA6">
        <w:rPr>
          <w:szCs w:val="20"/>
        </w:rPr>
      </w:r>
      <w:r w:rsidR="00AA5DA6">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003919CB"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A5DA6">
        <w:rPr>
          <w:szCs w:val="20"/>
        </w:rPr>
      </w:r>
      <w:r w:rsidR="00AA5DA6">
        <w:rPr>
          <w:szCs w:val="20"/>
        </w:rPr>
        <w:fldChar w:fldCharType="separate"/>
      </w:r>
      <w:r w:rsidRPr="001B29A1">
        <w:rPr>
          <w:szCs w:val="20"/>
        </w:rPr>
        <w:fldChar w:fldCharType="end"/>
      </w:r>
      <w:r w:rsidRPr="001B29A1">
        <w:rPr>
          <w:szCs w:val="20"/>
        </w:rPr>
        <w:t xml:space="preserve"> Non-inferiority</w:t>
      </w:r>
      <w:r w:rsidRPr="001B29A1">
        <w:rPr>
          <w:szCs w:val="20"/>
        </w:rPr>
        <w:tab/>
      </w:r>
    </w:p>
    <w:p w14:paraId="299F362C" w14:textId="77777777" w:rsidR="00B25D20" w:rsidRDefault="001B29A1" w:rsidP="00561A90">
      <w:pPr>
        <w:pStyle w:val="Heading2"/>
      </w:pPr>
      <w:r>
        <w:lastRenderedPageBreak/>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tbl>
      <w:tblPr>
        <w:tblStyle w:val="TableGrid"/>
        <w:tblW w:w="0" w:type="auto"/>
        <w:tblInd w:w="426" w:type="dxa"/>
        <w:tblLook w:val="04A0" w:firstRow="1" w:lastRow="0" w:firstColumn="1" w:lastColumn="0" w:noHBand="0" w:noVBand="1"/>
        <w:tblCaption w:val="Text box"/>
        <w:tblDescription w:val="Text box"/>
      </w:tblPr>
      <w:tblGrid>
        <w:gridCol w:w="8590"/>
      </w:tblGrid>
      <w:tr w:rsidR="00C47E26" w14:paraId="4CB13939" w14:textId="77777777" w:rsidTr="00A61CF5">
        <w:trPr>
          <w:tblHeader/>
        </w:trPr>
        <w:tc>
          <w:tcPr>
            <w:tcW w:w="9016" w:type="dxa"/>
          </w:tcPr>
          <w:p w14:paraId="5BEDFD04" w14:textId="77777777" w:rsidR="00C47E26" w:rsidRPr="00C47E26" w:rsidRDefault="00C47E26" w:rsidP="00C47E26">
            <w:pPr>
              <w:rPr>
                <w:b/>
                <w:bCs/>
              </w:rPr>
            </w:pPr>
            <w:r w:rsidRPr="00C47E26">
              <w:rPr>
                <w:b/>
                <w:bCs/>
              </w:rPr>
              <w:t>Safety Outcomes:</w:t>
            </w:r>
          </w:p>
          <w:p w14:paraId="5410722C" w14:textId="77777777" w:rsidR="00C47E26" w:rsidRDefault="00C47E26" w:rsidP="00C47E26">
            <w:pPr>
              <w:pStyle w:val="ListParagraph"/>
              <w:numPr>
                <w:ilvl w:val="1"/>
                <w:numId w:val="9"/>
              </w:numPr>
              <w:ind w:left="315" w:hanging="315"/>
            </w:pPr>
            <w:r>
              <w:t>incidence of adverse events (AEs) and serious adverse events (SAEs)</w:t>
            </w:r>
          </w:p>
          <w:p w14:paraId="15F8D528" w14:textId="77777777" w:rsidR="00C47E26" w:rsidRDefault="00C47E26" w:rsidP="00C47E26">
            <w:pPr>
              <w:pStyle w:val="ListParagraph"/>
              <w:numPr>
                <w:ilvl w:val="1"/>
                <w:numId w:val="9"/>
              </w:numPr>
              <w:ind w:left="315" w:hanging="315"/>
            </w:pPr>
            <w:r>
              <w:t>incidence of events of special interest e.g.,</w:t>
            </w:r>
          </w:p>
          <w:p w14:paraId="06162AD7" w14:textId="77777777" w:rsidR="00C47E26" w:rsidRDefault="00C47E26" w:rsidP="00C47E26">
            <w:pPr>
              <w:pStyle w:val="ListParagraph"/>
              <w:numPr>
                <w:ilvl w:val="2"/>
                <w:numId w:val="23"/>
              </w:numPr>
              <w:ind w:left="598" w:hanging="283"/>
            </w:pPr>
            <w:r>
              <w:t>incidence of cytokine release syndrome (CRS)</w:t>
            </w:r>
          </w:p>
          <w:p w14:paraId="1B761C46" w14:textId="77777777" w:rsidR="00C47E26" w:rsidRDefault="00C47E26" w:rsidP="00C47E26">
            <w:pPr>
              <w:pStyle w:val="ListParagraph"/>
              <w:numPr>
                <w:ilvl w:val="2"/>
                <w:numId w:val="23"/>
              </w:numPr>
              <w:ind w:left="598" w:hanging="283"/>
            </w:pPr>
            <w:r>
              <w:t>incidence of infection and febrile neutropenia</w:t>
            </w:r>
          </w:p>
          <w:p w14:paraId="1D277CAD" w14:textId="77777777" w:rsidR="00C47E26" w:rsidRDefault="00C47E26" w:rsidP="00C47E26">
            <w:pPr>
              <w:pStyle w:val="ListParagraph"/>
              <w:numPr>
                <w:ilvl w:val="2"/>
                <w:numId w:val="23"/>
              </w:numPr>
              <w:ind w:left="598" w:hanging="283"/>
            </w:pPr>
            <w:r>
              <w:t xml:space="preserve">incidence of </w:t>
            </w:r>
            <w:proofErr w:type="spellStart"/>
            <w:r>
              <w:t>cytopenia</w:t>
            </w:r>
            <w:proofErr w:type="spellEnd"/>
            <w:r>
              <w:t xml:space="preserve"> (neutropenia, thrombocytopenia, anaemia)</w:t>
            </w:r>
          </w:p>
          <w:p w14:paraId="0EE6CB1F" w14:textId="77777777" w:rsidR="00C47E26" w:rsidRDefault="00C47E26" w:rsidP="00C47E26">
            <w:pPr>
              <w:pStyle w:val="ListParagraph"/>
              <w:numPr>
                <w:ilvl w:val="2"/>
                <w:numId w:val="23"/>
              </w:numPr>
              <w:ind w:left="598" w:hanging="283"/>
            </w:pPr>
            <w:r>
              <w:t>incidence of neurologic events (e.g., encephalopathy)</w:t>
            </w:r>
          </w:p>
          <w:p w14:paraId="470B28AC" w14:textId="77777777" w:rsidR="00C47E26" w:rsidRPr="00C47E26" w:rsidRDefault="00C47E26" w:rsidP="00C47E26">
            <w:pPr>
              <w:rPr>
                <w:b/>
                <w:bCs/>
              </w:rPr>
            </w:pPr>
            <w:r w:rsidRPr="00C47E26">
              <w:rPr>
                <w:b/>
                <w:bCs/>
              </w:rPr>
              <w:t xml:space="preserve">Clinical Effectiveness Outcomes: </w:t>
            </w:r>
          </w:p>
          <w:p w14:paraId="1224221C" w14:textId="77777777" w:rsidR="00C47E26" w:rsidRDefault="00C47E26" w:rsidP="00C47E26">
            <w:pPr>
              <w:pStyle w:val="ListParagraph"/>
              <w:numPr>
                <w:ilvl w:val="1"/>
                <w:numId w:val="9"/>
              </w:numPr>
              <w:ind w:left="315" w:hanging="315"/>
            </w:pPr>
            <w:r>
              <w:t>Objective response rate (ORR) and complete response rate (CRR)</w:t>
            </w:r>
          </w:p>
          <w:p w14:paraId="0F3D3490" w14:textId="77777777" w:rsidR="00C47E26" w:rsidRDefault="00C47E26" w:rsidP="00C47E26">
            <w:pPr>
              <w:pStyle w:val="ListParagraph"/>
              <w:numPr>
                <w:ilvl w:val="1"/>
                <w:numId w:val="9"/>
              </w:numPr>
              <w:ind w:left="315" w:hanging="315"/>
            </w:pPr>
            <w:r>
              <w:t>Duration of response</w:t>
            </w:r>
          </w:p>
          <w:p w14:paraId="3A16281E" w14:textId="77777777" w:rsidR="00C47E26" w:rsidRDefault="00C47E26" w:rsidP="00C47E26">
            <w:pPr>
              <w:pStyle w:val="ListParagraph"/>
              <w:numPr>
                <w:ilvl w:val="1"/>
                <w:numId w:val="9"/>
              </w:numPr>
              <w:ind w:left="315" w:hanging="315"/>
            </w:pPr>
            <w:r>
              <w:t>Health-related quality of life (</w:t>
            </w:r>
            <w:proofErr w:type="spellStart"/>
            <w:r>
              <w:t>HRQoL</w:t>
            </w:r>
            <w:proofErr w:type="spellEnd"/>
            <w:r>
              <w:t>) in patients achieving and those not achieving response</w:t>
            </w:r>
          </w:p>
          <w:p w14:paraId="7F0DDC63" w14:textId="77777777" w:rsidR="00C47E26" w:rsidRDefault="00C47E26" w:rsidP="00C47E26">
            <w:pPr>
              <w:pStyle w:val="ListParagraph"/>
              <w:numPr>
                <w:ilvl w:val="1"/>
                <w:numId w:val="9"/>
              </w:numPr>
              <w:ind w:left="315" w:hanging="315"/>
            </w:pPr>
            <w:r>
              <w:t>Survival in responders and non-responders</w:t>
            </w:r>
          </w:p>
          <w:p w14:paraId="51CCCBD5" w14:textId="77777777" w:rsidR="00C47E26" w:rsidRDefault="00C47E26" w:rsidP="00C47E26">
            <w:pPr>
              <w:pStyle w:val="ListParagraph"/>
              <w:numPr>
                <w:ilvl w:val="1"/>
                <w:numId w:val="9"/>
              </w:numPr>
              <w:ind w:left="315" w:hanging="315"/>
            </w:pPr>
            <w:r>
              <w:t>Quality of life in responders and non-responders</w:t>
            </w:r>
          </w:p>
          <w:p w14:paraId="38B48C9C" w14:textId="77777777" w:rsidR="00C47E26" w:rsidRDefault="00C47E26" w:rsidP="00C47E26">
            <w:pPr>
              <w:pStyle w:val="ListParagraph"/>
              <w:numPr>
                <w:ilvl w:val="1"/>
                <w:numId w:val="9"/>
              </w:numPr>
              <w:ind w:left="315" w:hanging="315"/>
            </w:pPr>
            <w:r>
              <w:t>Progression-free survival (PFS)</w:t>
            </w:r>
          </w:p>
          <w:p w14:paraId="01831B89" w14:textId="77777777" w:rsidR="00C47E26" w:rsidRDefault="00C47E26" w:rsidP="00C47E26">
            <w:pPr>
              <w:pStyle w:val="ListParagraph"/>
              <w:numPr>
                <w:ilvl w:val="1"/>
                <w:numId w:val="9"/>
              </w:numPr>
              <w:ind w:left="315" w:hanging="315"/>
            </w:pPr>
            <w:proofErr w:type="spellStart"/>
            <w:r>
              <w:t>HRQoL</w:t>
            </w:r>
            <w:proofErr w:type="spellEnd"/>
            <w:r>
              <w:t xml:space="preserve"> in patients who are progression-free and those with progression</w:t>
            </w:r>
          </w:p>
          <w:p w14:paraId="1DC40899" w14:textId="77777777" w:rsidR="00C47E26" w:rsidRDefault="00C47E26" w:rsidP="00C47E26">
            <w:pPr>
              <w:pStyle w:val="ListParagraph"/>
              <w:numPr>
                <w:ilvl w:val="1"/>
                <w:numId w:val="9"/>
              </w:numPr>
              <w:ind w:left="315" w:hanging="315"/>
            </w:pPr>
            <w:r>
              <w:t>Overall survival</w:t>
            </w:r>
          </w:p>
          <w:p w14:paraId="048AA769" w14:textId="77777777" w:rsidR="00C47E26" w:rsidRDefault="00C47E26" w:rsidP="00C47E26">
            <w:pPr>
              <w:pStyle w:val="ListParagraph"/>
              <w:numPr>
                <w:ilvl w:val="1"/>
                <w:numId w:val="9"/>
              </w:numPr>
              <w:ind w:left="315" w:hanging="315"/>
            </w:pPr>
            <w:r>
              <w:t>Quality adjusted survival</w:t>
            </w:r>
          </w:p>
          <w:p w14:paraId="56450D3F" w14:textId="77777777" w:rsidR="00C47E26" w:rsidRPr="00C47E26" w:rsidRDefault="00C47E26" w:rsidP="00C47E26">
            <w:pPr>
              <w:rPr>
                <w:b/>
                <w:bCs/>
              </w:rPr>
            </w:pPr>
            <w:r w:rsidRPr="00C47E26">
              <w:rPr>
                <w:b/>
                <w:bCs/>
              </w:rPr>
              <w:t xml:space="preserve">Other outcomes: </w:t>
            </w:r>
          </w:p>
          <w:p w14:paraId="3219FE85" w14:textId="77777777" w:rsidR="00C47E26" w:rsidRDefault="00C47E26" w:rsidP="00C47E26">
            <w:pPr>
              <w:pStyle w:val="ListParagraph"/>
              <w:numPr>
                <w:ilvl w:val="1"/>
                <w:numId w:val="9"/>
              </w:numPr>
              <w:ind w:left="315" w:hanging="315"/>
            </w:pPr>
            <w:r>
              <w:t xml:space="preserve">Percentage of patients having </w:t>
            </w:r>
            <w:proofErr w:type="spellStart"/>
            <w:r w:rsidR="00637C62">
              <w:t>brexucabtagene</w:t>
            </w:r>
            <w:proofErr w:type="spellEnd"/>
            <w:r w:rsidR="00637C62">
              <w:t xml:space="preserve"> </w:t>
            </w:r>
            <w:proofErr w:type="spellStart"/>
            <w:r w:rsidR="00637C62">
              <w:t>autoleucel</w:t>
            </w:r>
            <w:proofErr w:type="spellEnd"/>
            <w:r>
              <w:t xml:space="preserve"> infused of those who underwent </w:t>
            </w:r>
            <w:proofErr w:type="spellStart"/>
            <w:r>
              <w:t>leukapheresis</w:t>
            </w:r>
            <w:proofErr w:type="spellEnd"/>
          </w:p>
          <w:p w14:paraId="2A460132" w14:textId="77777777" w:rsidR="00C47E26" w:rsidRDefault="00C47E26" w:rsidP="00C47E26">
            <w:pPr>
              <w:pStyle w:val="ListParagraph"/>
              <w:numPr>
                <w:ilvl w:val="1"/>
                <w:numId w:val="9"/>
              </w:numPr>
              <w:ind w:left="315" w:hanging="315"/>
            </w:pPr>
            <w:r>
              <w:t>Time from collection (</w:t>
            </w:r>
            <w:proofErr w:type="spellStart"/>
            <w:r>
              <w:t>leukapheresis</w:t>
            </w:r>
            <w:proofErr w:type="spellEnd"/>
            <w:r>
              <w:t xml:space="preserve">) to infusion of </w:t>
            </w:r>
            <w:proofErr w:type="spellStart"/>
            <w:r w:rsidR="00637C62">
              <w:t>brexucabtagene</w:t>
            </w:r>
            <w:proofErr w:type="spellEnd"/>
            <w:r w:rsidR="00637C62">
              <w:t xml:space="preserve"> </w:t>
            </w:r>
            <w:proofErr w:type="spellStart"/>
            <w:r w:rsidR="00637C62">
              <w:t>autoleucel</w:t>
            </w:r>
            <w:proofErr w:type="spellEnd"/>
          </w:p>
          <w:p w14:paraId="5AA89C93" w14:textId="77777777" w:rsidR="00C47E26" w:rsidRDefault="00C47E26" w:rsidP="00B73639">
            <w:pPr>
              <w:pStyle w:val="ListParagraph"/>
              <w:numPr>
                <w:ilvl w:val="0"/>
                <w:numId w:val="26"/>
              </w:numPr>
              <w:spacing w:before="0" w:after="0"/>
              <w:ind w:left="357" w:hanging="357"/>
            </w:pPr>
            <w:r>
              <w:t>Healthcare resource use and associated costs</w:t>
            </w:r>
            <w:r w:rsidR="00F17C7A">
              <w:t xml:space="preserve"> (including pre- and post-infusion</w:t>
            </w:r>
            <w:r w:rsidR="004800FD">
              <w:t xml:space="preserve"> and those necessary for </w:t>
            </w:r>
            <w:r w:rsidR="00B73639">
              <w:t xml:space="preserve">prevention and </w:t>
            </w:r>
            <w:r w:rsidR="004800FD">
              <w:t>management of AEs</w:t>
            </w:r>
            <w:r w:rsidR="00B73639">
              <w:t>)</w:t>
            </w:r>
            <w:r w:rsidR="00F17C7A">
              <w:t>, presented in both disaggregated and aggregated format</w:t>
            </w:r>
          </w:p>
          <w:p w14:paraId="118BA333" w14:textId="77777777" w:rsidR="00C47E26" w:rsidRDefault="00C47E26" w:rsidP="00C47E26">
            <w:pPr>
              <w:pStyle w:val="ListParagraph"/>
              <w:numPr>
                <w:ilvl w:val="1"/>
                <w:numId w:val="9"/>
              </w:numPr>
              <w:ind w:left="315" w:hanging="315"/>
            </w:pPr>
            <w:r>
              <w:t>Incremental cost per life-year gained</w:t>
            </w:r>
          </w:p>
          <w:p w14:paraId="35008F4E" w14:textId="77777777" w:rsidR="00C47E26" w:rsidRDefault="00C47E26" w:rsidP="00C47E26">
            <w:pPr>
              <w:pStyle w:val="ListParagraph"/>
              <w:numPr>
                <w:ilvl w:val="1"/>
                <w:numId w:val="9"/>
              </w:numPr>
              <w:ind w:left="315" w:hanging="315"/>
            </w:pPr>
            <w:r>
              <w:t>Incremental cost per quality-adjusted life-year (QALY) gained</w:t>
            </w:r>
          </w:p>
          <w:p w14:paraId="71866A84" w14:textId="77777777" w:rsidR="00C47E26" w:rsidRDefault="00C47E26" w:rsidP="00C47E26">
            <w:pPr>
              <w:pStyle w:val="ListParagraph"/>
              <w:numPr>
                <w:ilvl w:val="1"/>
                <w:numId w:val="9"/>
              </w:numPr>
              <w:ind w:left="315" w:hanging="315"/>
            </w:pPr>
            <w:r>
              <w:t>Estimates of use and associated financial implications</w:t>
            </w:r>
          </w:p>
        </w:tc>
      </w:tr>
    </w:tbl>
    <w:p w14:paraId="45ED0F81" w14:textId="77777777" w:rsidR="00C776B1" w:rsidRPr="00C776B1" w:rsidRDefault="003433D1" w:rsidP="008623D3">
      <w:pPr>
        <w:pStyle w:val="Heading1"/>
        <w:ind w:left="0" w:firstLine="0"/>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278B2DD" w14:textId="77777777" w:rsidR="006C74B1" w:rsidRPr="00092580" w:rsidRDefault="00BE0FDE" w:rsidP="00561A90">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B728A72" w14:textId="77777777" w:rsidR="006C74B1" w:rsidRPr="00E651F5" w:rsidRDefault="00FF38BD" w:rsidP="00AE1188">
      <w:pPr>
        <w:ind w:left="426"/>
        <w:rPr>
          <w:szCs w:val="20"/>
        </w:rPr>
      </w:pPr>
      <w:r w:rsidRPr="00FF38BD">
        <w:rPr>
          <w:szCs w:val="20"/>
        </w:rPr>
        <w:t xml:space="preserve">The age-standardised incidence of MCL in Australia was reported to be 0.5 per 100,000 person-years in the period from 1997 to 2006, increasing, on average, by 4.2% (95% CI: 0.5% - 8.1%) per annum (van </w:t>
      </w:r>
      <w:proofErr w:type="spellStart"/>
      <w:r w:rsidRPr="00E651F5">
        <w:rPr>
          <w:szCs w:val="20"/>
        </w:rPr>
        <w:t>Leeuwen</w:t>
      </w:r>
      <w:proofErr w:type="spellEnd"/>
      <w:r w:rsidRPr="00E651F5">
        <w:rPr>
          <w:szCs w:val="20"/>
        </w:rPr>
        <w:t xml:space="preserve"> 2014).</w:t>
      </w:r>
    </w:p>
    <w:p w14:paraId="3B7CC28D" w14:textId="77777777" w:rsidR="00FF38BD" w:rsidRPr="00A168E7" w:rsidRDefault="003D7E26" w:rsidP="00AE1188">
      <w:pPr>
        <w:ind w:left="426"/>
        <w:rPr>
          <w:b/>
          <w:szCs w:val="20"/>
        </w:rPr>
      </w:pPr>
      <w:r w:rsidRPr="00A168E7">
        <w:rPr>
          <w:b/>
        </w:rPr>
        <w:t>REDACTED</w:t>
      </w:r>
    </w:p>
    <w:p w14:paraId="3C406627" w14:textId="77777777" w:rsidR="00382407" w:rsidRPr="00E651F5" w:rsidRDefault="00382407" w:rsidP="00561A90">
      <w:pPr>
        <w:pStyle w:val="Heading2"/>
      </w:pPr>
      <w:r w:rsidRPr="00E651F5">
        <w:t>Estimate the number of times the proposed medical service</w:t>
      </w:r>
      <w:r w:rsidR="005A58BA" w:rsidRPr="00E651F5">
        <w:t>(s)</w:t>
      </w:r>
      <w:r w:rsidRPr="00E651F5">
        <w:t xml:space="preserve"> would be </w:t>
      </w:r>
      <w:r w:rsidR="00AE1188" w:rsidRPr="00E651F5">
        <w:t>delivered to a patient per year:</w:t>
      </w:r>
    </w:p>
    <w:p w14:paraId="0D9BB239" w14:textId="77777777" w:rsidR="00382407" w:rsidRPr="00E651F5" w:rsidRDefault="00311C74" w:rsidP="00AE1188">
      <w:pPr>
        <w:ind w:left="426"/>
        <w:rPr>
          <w:szCs w:val="20"/>
        </w:rPr>
      </w:pPr>
      <w:r w:rsidRPr="00E651F5">
        <w:t>The proposed therapy i</w:t>
      </w:r>
      <w:r w:rsidR="002378F9" w:rsidRPr="00E651F5">
        <w:t>nvolves the administration of</w:t>
      </w:r>
      <w:r w:rsidRPr="00E651F5">
        <w:t xml:space="preserve"> a single infusion. </w:t>
      </w:r>
    </w:p>
    <w:p w14:paraId="2910F632" w14:textId="77777777" w:rsidR="00382407" w:rsidRPr="00E651F5" w:rsidRDefault="00382407" w:rsidP="00561A90">
      <w:pPr>
        <w:pStyle w:val="Heading2"/>
      </w:pPr>
      <w:r w:rsidRPr="00E651F5">
        <w:t>How many years would the proposed medical service</w:t>
      </w:r>
      <w:r w:rsidR="005A58BA" w:rsidRPr="00E651F5">
        <w:t>(s)</w:t>
      </w:r>
      <w:r w:rsidRPr="00E651F5">
        <w:t xml:space="preserve"> be required for the patient?</w:t>
      </w:r>
    </w:p>
    <w:p w14:paraId="0AC1AC91" w14:textId="77777777" w:rsidR="002378F9" w:rsidRPr="00E651F5" w:rsidRDefault="002378F9" w:rsidP="002378F9">
      <w:pPr>
        <w:ind w:left="426"/>
        <w:rPr>
          <w:szCs w:val="20"/>
        </w:rPr>
      </w:pPr>
      <w:r w:rsidRPr="00E651F5">
        <w:t xml:space="preserve">The proposed therapy involves the administration of a single infusion. </w:t>
      </w:r>
    </w:p>
    <w:p w14:paraId="4305E655" w14:textId="77777777" w:rsidR="002A6753" w:rsidRPr="00E651F5" w:rsidRDefault="000E47E7" w:rsidP="00561A90">
      <w:pPr>
        <w:pStyle w:val="Heading2"/>
      </w:pPr>
      <w:r w:rsidRPr="00E651F5">
        <w:t xml:space="preserve">Estimate </w:t>
      </w:r>
      <w:r w:rsidR="002A6753" w:rsidRPr="00E651F5">
        <w:t xml:space="preserve">the projected number of patients who will utilise the proposed </w:t>
      </w:r>
      <w:r w:rsidRPr="00E651F5">
        <w:t xml:space="preserve">medical </w:t>
      </w:r>
      <w:r w:rsidR="002A6753" w:rsidRPr="00E651F5">
        <w:t>ser</w:t>
      </w:r>
      <w:r w:rsidR="00AE1188" w:rsidRPr="00E651F5">
        <w:t>vice(s) for the first full year:</w:t>
      </w:r>
    </w:p>
    <w:p w14:paraId="516A1812" w14:textId="77777777" w:rsidR="00AE1188" w:rsidRPr="00A168E7" w:rsidRDefault="003D7E26" w:rsidP="00A168E7">
      <w:pPr>
        <w:ind w:firstLine="360"/>
        <w:rPr>
          <w:b/>
          <w:szCs w:val="20"/>
        </w:rPr>
      </w:pPr>
      <w:r w:rsidRPr="00A168E7">
        <w:rPr>
          <w:b/>
        </w:rPr>
        <w:t>REDACTED</w:t>
      </w:r>
    </w:p>
    <w:p w14:paraId="6E2A4C05" w14:textId="77777777" w:rsidR="00974D50" w:rsidRPr="00E651F5" w:rsidRDefault="005A58BA" w:rsidP="00561A90">
      <w:pPr>
        <w:pStyle w:val="Heading2"/>
      </w:pPr>
      <w:r w:rsidRPr="00E651F5">
        <w:t>Estimate the anticipated upt</w:t>
      </w:r>
      <w:r w:rsidR="000E47E7" w:rsidRPr="00E651F5">
        <w:t>a</w:t>
      </w:r>
      <w:r w:rsidR="001B171D" w:rsidRPr="00E651F5">
        <w:t>k</w:t>
      </w:r>
      <w:r w:rsidR="000E47E7" w:rsidRPr="00E651F5">
        <w:t>e of the proposed medical service over the next three years</w:t>
      </w:r>
      <w:r w:rsidR="001B171D" w:rsidRPr="00E651F5">
        <w:t xml:space="preserve"> factoring in any constraints in the health system in meeting the needs of the proposed population (suc</w:t>
      </w:r>
      <w:r w:rsidRPr="00E651F5">
        <w:t>h as supply and demand factors)</w:t>
      </w:r>
      <w:r w:rsidR="001B171D" w:rsidRPr="00E651F5">
        <w:t xml:space="preserve"> as well as </w:t>
      </w:r>
      <w:r w:rsidR="009C03FB" w:rsidRPr="00E651F5">
        <w:t>provide commentary on</w:t>
      </w:r>
      <w:r w:rsidR="001B171D" w:rsidRPr="00E651F5">
        <w:t xml:space="preserve"> risk of ‘leakage’ to populations not targeted by the service</w:t>
      </w:r>
      <w:r w:rsidR="00AE1188" w:rsidRPr="00E651F5">
        <w:t>:</w:t>
      </w:r>
    </w:p>
    <w:p w14:paraId="62ED0AE1" w14:textId="77777777" w:rsidR="001B171D" w:rsidRPr="00A168E7" w:rsidRDefault="005F68BE" w:rsidP="00A168E7">
      <w:pPr>
        <w:ind w:firstLine="360"/>
        <w:rPr>
          <w:b/>
          <w:szCs w:val="20"/>
        </w:rPr>
      </w:pPr>
      <w:r w:rsidRPr="00A168E7">
        <w:rPr>
          <w:b/>
        </w:rPr>
        <w:t>REDACTED</w:t>
      </w:r>
    </w:p>
    <w:p w14:paraId="3AC74E2D" w14:textId="77777777" w:rsidR="003433D1" w:rsidRDefault="003433D1">
      <w:pPr>
        <w:rPr>
          <w:b/>
          <w:sz w:val="32"/>
          <w:szCs w:val="32"/>
        </w:rPr>
      </w:pPr>
      <w:r>
        <w:rPr>
          <w:b/>
          <w:sz w:val="32"/>
          <w:szCs w:val="32"/>
        </w:rPr>
        <w:br w:type="page"/>
      </w:r>
    </w:p>
    <w:p w14:paraId="0B0EF888"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58612743" w14:textId="77777777" w:rsidR="006A649A" w:rsidRPr="00E651F5" w:rsidRDefault="006A649A" w:rsidP="00561A90">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 xml:space="preserve">vide </w:t>
      </w:r>
      <w:r w:rsidR="00AE1188" w:rsidRPr="00E651F5">
        <w:t>overall cost and breakdown:</w:t>
      </w:r>
    </w:p>
    <w:p w14:paraId="10409E86" w14:textId="77777777" w:rsidR="00951933" w:rsidRPr="008207EC" w:rsidRDefault="005F68BE" w:rsidP="00A168E7">
      <w:pPr>
        <w:ind w:firstLine="360"/>
        <w:rPr>
          <w:b/>
        </w:rPr>
      </w:pPr>
      <w:r w:rsidRPr="008207EC">
        <w:rPr>
          <w:b/>
        </w:rPr>
        <w:t>REDACTED</w:t>
      </w:r>
    </w:p>
    <w:p w14:paraId="1A0E2CCF" w14:textId="77777777" w:rsidR="00951933" w:rsidRPr="00E651F5" w:rsidRDefault="00951933" w:rsidP="00561A90">
      <w:pPr>
        <w:pStyle w:val="Heading2"/>
      </w:pPr>
      <w:r w:rsidRPr="00E651F5">
        <w:t>Specify how long the proposed medical ser</w:t>
      </w:r>
      <w:r w:rsidR="00AE1188" w:rsidRPr="00E651F5">
        <w:t>vice typically takes to perform:</w:t>
      </w:r>
    </w:p>
    <w:p w14:paraId="39EEE040" w14:textId="77777777" w:rsidR="00951933" w:rsidRPr="008207EC" w:rsidRDefault="005F68BE" w:rsidP="00A168E7">
      <w:pPr>
        <w:ind w:firstLine="357"/>
        <w:rPr>
          <w:b/>
          <w:szCs w:val="20"/>
        </w:rPr>
      </w:pPr>
      <w:r w:rsidRPr="008207EC">
        <w:rPr>
          <w:b/>
        </w:rPr>
        <w:t>REDACTED</w:t>
      </w:r>
    </w:p>
    <w:p w14:paraId="7B0C79E2" w14:textId="77777777" w:rsidR="00A168E7" w:rsidRDefault="00A168E7" w:rsidP="00A168E7">
      <w:pPr>
        <w:pStyle w:val="Heading2"/>
        <w:ind w:left="357" w:hanging="357"/>
        <w:contextualSpacing w:val="0"/>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49330FC0" w14:textId="69EA13C9" w:rsidR="00AA5DA6" w:rsidRDefault="00A168E7" w:rsidP="00AA5DA6">
      <w:pPr>
        <w:pStyle w:val="Heading2"/>
        <w:numPr>
          <w:ilvl w:val="0"/>
          <w:numId w:val="0"/>
        </w:numPr>
        <w:ind w:left="357"/>
        <w:rPr>
          <w:b w:val="0"/>
        </w:rPr>
      </w:pPr>
      <w:r w:rsidRPr="00A168E7">
        <w:rPr>
          <w:b w:val="0"/>
        </w:rPr>
        <w:t>Not applicable</w:t>
      </w:r>
    </w:p>
    <w:p w14:paraId="46D31895" w14:textId="77777777" w:rsidR="00AA5DA6" w:rsidRDefault="00AA5DA6" w:rsidP="00AA5DA6">
      <w:pPr>
        <w:pStyle w:val="Heading2"/>
        <w:numPr>
          <w:ilvl w:val="0"/>
          <w:numId w:val="0"/>
        </w:numPr>
        <w:ind w:left="360" w:hanging="360"/>
        <w:rPr>
          <w:bCs/>
          <w:color w:val="4F81BD" w:themeColor="accent1"/>
          <w:sz w:val="40"/>
          <w:szCs w:val="32"/>
        </w:rPr>
      </w:pPr>
    </w:p>
    <w:p w14:paraId="666E0778" w14:textId="67F89759" w:rsidR="00BD1760" w:rsidRPr="00AA5DA6" w:rsidRDefault="0074327F" w:rsidP="00AA5DA6">
      <w:pPr>
        <w:pStyle w:val="Heading2"/>
        <w:numPr>
          <w:ilvl w:val="0"/>
          <w:numId w:val="0"/>
        </w:numPr>
        <w:ind w:left="360" w:hanging="360"/>
        <w:rPr>
          <w:b w:val="0"/>
          <w:bCs/>
          <w:color w:val="4F81BD" w:themeColor="accent1"/>
          <w:sz w:val="40"/>
          <w:szCs w:val="32"/>
        </w:rPr>
      </w:pPr>
      <w:r w:rsidRPr="00AA5DA6">
        <w:rPr>
          <w:b w:val="0"/>
          <w:bCs/>
          <w:color w:val="4F81BD" w:themeColor="accent1"/>
          <w:sz w:val="40"/>
          <w:szCs w:val="32"/>
        </w:rPr>
        <w:t>PROPOSED PICO CRITERIA</w:t>
      </w:r>
    </w:p>
    <w:p w14:paraId="26217557" w14:textId="3D761006" w:rsidR="00D91968" w:rsidRDefault="005951E4" w:rsidP="005951E4">
      <w:r>
        <w:fldChar w:fldCharType="begin"/>
      </w:r>
      <w:r>
        <w:instrText xml:space="preserve"> REF _Ref45295170 \h </w:instrText>
      </w:r>
      <w:r>
        <w:fldChar w:fldCharType="separate"/>
      </w:r>
      <w:r w:rsidR="002E5497" w:rsidRPr="00E651F5">
        <w:t xml:space="preserve">Table </w:t>
      </w:r>
      <w:r w:rsidR="002E5497">
        <w:rPr>
          <w:noProof/>
        </w:rPr>
        <w:t>2</w:t>
      </w:r>
      <w:r>
        <w:fldChar w:fldCharType="end"/>
      </w:r>
      <w:r>
        <w:t xml:space="preserve"> summarises the </w:t>
      </w:r>
      <w:r w:rsidR="00A14CAE">
        <w:t xml:space="preserve">proposed </w:t>
      </w:r>
      <w:r>
        <w:t>key components of the PICO</w:t>
      </w:r>
      <w:r w:rsidR="00A14CAE">
        <w:t xml:space="preserve"> criteria to be addressed in a submission that seeks to provide an answer to the fundamental research question of:</w:t>
      </w:r>
    </w:p>
    <w:p w14:paraId="6C9F4FE9" w14:textId="14FF0ABF" w:rsidR="00A14CAE" w:rsidRPr="00AA5DA6" w:rsidRDefault="00C47F30" w:rsidP="00AA5DA6">
      <w:pPr>
        <w:rPr>
          <w:b/>
          <w:i/>
          <w:iCs/>
        </w:rPr>
      </w:pPr>
      <w:r w:rsidRPr="00AA5DA6">
        <w:rPr>
          <w:b/>
          <w:iCs/>
        </w:rPr>
        <w:t>REDACTED</w:t>
      </w:r>
    </w:p>
    <w:p w14:paraId="36C99E86" w14:textId="0A10964C" w:rsidR="00D91968" w:rsidRPr="00E651F5" w:rsidRDefault="00D91968" w:rsidP="005951E4">
      <w:pPr>
        <w:pStyle w:val="Caption"/>
        <w:ind w:firstLine="0"/>
      </w:pPr>
      <w:bookmarkStart w:id="19" w:name="_Ref45295170"/>
      <w:r w:rsidRPr="00E651F5">
        <w:t xml:space="preserve">Table </w:t>
      </w:r>
      <w:r w:rsidRPr="00E651F5">
        <w:fldChar w:fldCharType="begin"/>
      </w:r>
      <w:r w:rsidRPr="00E651F5">
        <w:instrText>SEQ Table \* ARABIC</w:instrText>
      </w:r>
      <w:r w:rsidRPr="00E651F5">
        <w:fldChar w:fldCharType="separate"/>
      </w:r>
      <w:r w:rsidR="002E5497">
        <w:rPr>
          <w:noProof/>
        </w:rPr>
        <w:t>2</w:t>
      </w:r>
      <w:r w:rsidRPr="00E651F5">
        <w:fldChar w:fldCharType="end"/>
      </w:r>
      <w:bookmarkEnd w:id="19"/>
      <w:r w:rsidRPr="00E651F5">
        <w:t xml:space="preserve">: </w:t>
      </w:r>
      <w:r w:rsidR="005951E4" w:rsidRPr="00E651F5">
        <w:t>Summary of proposed PICO criteria</w:t>
      </w:r>
      <w:r w:rsidRPr="00E651F5">
        <w:t xml:space="preserve"> </w:t>
      </w:r>
    </w:p>
    <w:tbl>
      <w:tblPr>
        <w:tblStyle w:val="TableGrid"/>
        <w:tblW w:w="9493" w:type="dxa"/>
        <w:tblLook w:val="04A0" w:firstRow="1" w:lastRow="0" w:firstColumn="1" w:lastColumn="0" w:noHBand="0" w:noVBand="1"/>
        <w:tblCaption w:val="Table 2"/>
        <w:tblDescription w:val="Table"/>
      </w:tblPr>
      <w:tblGrid>
        <w:gridCol w:w="1271"/>
        <w:gridCol w:w="8222"/>
      </w:tblGrid>
      <w:tr w:rsidR="00F770AA" w:rsidRPr="00E651F5" w14:paraId="4EF8AAD0" w14:textId="77777777" w:rsidTr="00AA5DA6">
        <w:trPr>
          <w:tblHeader/>
        </w:trPr>
        <w:tc>
          <w:tcPr>
            <w:tcW w:w="1271" w:type="dxa"/>
          </w:tcPr>
          <w:p w14:paraId="6FD33E56" w14:textId="77777777" w:rsidR="00F770AA" w:rsidRPr="00E651F5" w:rsidRDefault="006F2CFD" w:rsidP="00A14CAE">
            <w:pPr>
              <w:spacing w:before="0" w:after="0" w:line="264" w:lineRule="auto"/>
              <w:rPr>
                <w:b/>
                <w:bCs/>
              </w:rPr>
            </w:pPr>
            <w:r w:rsidRPr="00E651F5">
              <w:rPr>
                <w:b/>
                <w:bCs/>
              </w:rPr>
              <w:t>Component</w:t>
            </w:r>
          </w:p>
        </w:tc>
        <w:tc>
          <w:tcPr>
            <w:tcW w:w="8222" w:type="dxa"/>
          </w:tcPr>
          <w:p w14:paraId="160B6A46" w14:textId="77777777" w:rsidR="00F770AA" w:rsidRPr="00E651F5" w:rsidRDefault="00D91968" w:rsidP="00A14CAE">
            <w:pPr>
              <w:spacing w:before="0" w:after="0" w:line="264" w:lineRule="auto"/>
              <w:rPr>
                <w:b/>
                <w:bCs/>
              </w:rPr>
            </w:pPr>
            <w:r w:rsidRPr="00E651F5">
              <w:rPr>
                <w:b/>
                <w:bCs/>
              </w:rPr>
              <w:t>Description</w:t>
            </w:r>
          </w:p>
        </w:tc>
      </w:tr>
      <w:tr w:rsidR="00F770AA" w14:paraId="1387BBE5" w14:textId="77777777" w:rsidTr="00AA5DA6">
        <w:tc>
          <w:tcPr>
            <w:tcW w:w="1271" w:type="dxa"/>
          </w:tcPr>
          <w:p w14:paraId="34BDCDEC" w14:textId="77777777" w:rsidR="00F770AA" w:rsidRPr="00E651F5" w:rsidRDefault="00A14CAE" w:rsidP="00A14CAE">
            <w:pPr>
              <w:spacing w:before="0" w:after="0" w:line="264" w:lineRule="auto"/>
            </w:pPr>
            <w:r w:rsidRPr="00E651F5">
              <w:t>Population</w:t>
            </w:r>
          </w:p>
        </w:tc>
        <w:tc>
          <w:tcPr>
            <w:tcW w:w="8222" w:type="dxa"/>
          </w:tcPr>
          <w:p w14:paraId="6E7EDA40" w14:textId="21C08AF0" w:rsidR="00F770AA" w:rsidRPr="00E651F5" w:rsidRDefault="00C47F30" w:rsidP="00E651F5">
            <w:pPr>
              <w:spacing w:before="0" w:after="0" w:line="264" w:lineRule="auto"/>
            </w:pPr>
            <w:r w:rsidRPr="00E651F5">
              <w:t>REDACTED</w:t>
            </w:r>
          </w:p>
        </w:tc>
      </w:tr>
      <w:tr w:rsidR="00F770AA" w:rsidRPr="00637C62" w14:paraId="4F6AE9F2" w14:textId="77777777" w:rsidTr="00AA5DA6">
        <w:tc>
          <w:tcPr>
            <w:tcW w:w="1271" w:type="dxa"/>
          </w:tcPr>
          <w:p w14:paraId="593FF05E" w14:textId="77777777" w:rsidR="00F770AA" w:rsidRDefault="00A14CAE" w:rsidP="00A14CAE">
            <w:pPr>
              <w:spacing w:before="0" w:after="0" w:line="264" w:lineRule="auto"/>
            </w:pPr>
            <w:r>
              <w:t>Inter</w:t>
            </w:r>
            <w:r w:rsidR="00064230">
              <w:t>vention</w:t>
            </w:r>
          </w:p>
        </w:tc>
        <w:tc>
          <w:tcPr>
            <w:tcW w:w="8222" w:type="dxa"/>
          </w:tcPr>
          <w:p w14:paraId="04F53E7D" w14:textId="77777777" w:rsidR="00F770AA" w:rsidRPr="00637C62" w:rsidRDefault="00637C62" w:rsidP="00A14CAE">
            <w:pPr>
              <w:spacing w:before="0" w:after="0" w:line="264" w:lineRule="auto"/>
            </w:pPr>
            <w:r>
              <w:t>B</w:t>
            </w:r>
            <w:r w:rsidR="00BF6B2F" w:rsidRPr="00637C62">
              <w:rPr>
                <w:lang w:val="de-DE"/>
              </w:rPr>
              <w:t>rexucabtagene autoleucel</w:t>
            </w:r>
          </w:p>
        </w:tc>
      </w:tr>
      <w:tr w:rsidR="00F770AA" w14:paraId="0C289E6F" w14:textId="77777777" w:rsidTr="00AA5DA6">
        <w:tc>
          <w:tcPr>
            <w:tcW w:w="1271" w:type="dxa"/>
          </w:tcPr>
          <w:p w14:paraId="539DCD04" w14:textId="77777777" w:rsidR="00F770AA" w:rsidRDefault="00064230" w:rsidP="00A14CAE">
            <w:pPr>
              <w:spacing w:before="0" w:after="0" w:line="264" w:lineRule="auto"/>
            </w:pPr>
            <w:r>
              <w:t>Comparator</w:t>
            </w:r>
          </w:p>
        </w:tc>
        <w:tc>
          <w:tcPr>
            <w:tcW w:w="8222" w:type="dxa"/>
          </w:tcPr>
          <w:p w14:paraId="67CF0611" w14:textId="77777777" w:rsidR="00F770AA" w:rsidRDefault="00461586" w:rsidP="00A14CAE">
            <w:pPr>
              <w:spacing w:before="0" w:after="0" w:line="264" w:lineRule="auto"/>
            </w:pPr>
            <w:r>
              <w:t>Salvage chemotherapy</w:t>
            </w:r>
          </w:p>
        </w:tc>
      </w:tr>
      <w:tr w:rsidR="00F770AA" w14:paraId="3406D0E1" w14:textId="77777777" w:rsidTr="00AA5DA6">
        <w:tc>
          <w:tcPr>
            <w:tcW w:w="1271" w:type="dxa"/>
          </w:tcPr>
          <w:p w14:paraId="0D52BD27" w14:textId="77777777" w:rsidR="00F770AA" w:rsidRDefault="00064230" w:rsidP="00A14CAE">
            <w:pPr>
              <w:spacing w:before="0" w:after="0" w:line="264" w:lineRule="auto"/>
            </w:pPr>
            <w:r>
              <w:t>Outcomes</w:t>
            </w:r>
          </w:p>
        </w:tc>
        <w:tc>
          <w:tcPr>
            <w:tcW w:w="8222" w:type="dxa"/>
          </w:tcPr>
          <w:p w14:paraId="3A2F36D1" w14:textId="77777777" w:rsidR="005744DF" w:rsidRPr="00D921E2" w:rsidRDefault="005744DF" w:rsidP="00502854">
            <w:pPr>
              <w:spacing w:before="0" w:after="0" w:line="264" w:lineRule="auto"/>
              <w:rPr>
                <w:u w:val="single"/>
              </w:rPr>
            </w:pPr>
            <w:r w:rsidRPr="00D921E2">
              <w:rPr>
                <w:u w:val="single"/>
              </w:rPr>
              <w:t xml:space="preserve">Clinical Effectiveness: </w:t>
            </w:r>
          </w:p>
          <w:p w14:paraId="4056CBDD" w14:textId="77777777" w:rsidR="005744DF" w:rsidRDefault="005744DF" w:rsidP="00AA5DA6">
            <w:pPr>
              <w:pStyle w:val="ListParagraph"/>
              <w:numPr>
                <w:ilvl w:val="0"/>
                <w:numId w:val="26"/>
              </w:numPr>
              <w:spacing w:before="0" w:after="0"/>
              <w:ind w:left="357" w:hanging="357"/>
              <w:contextualSpacing w:val="0"/>
            </w:pPr>
            <w:r>
              <w:t>Objective response rate (ORR)</w:t>
            </w:r>
            <w:r w:rsidR="009459AB">
              <w:t xml:space="preserve"> and </w:t>
            </w:r>
            <w:r>
              <w:t>Complete response rate (CRR)</w:t>
            </w:r>
          </w:p>
          <w:p w14:paraId="5CD7B241" w14:textId="77777777" w:rsidR="005744DF" w:rsidRDefault="005744DF" w:rsidP="00AA5DA6">
            <w:pPr>
              <w:pStyle w:val="ListParagraph"/>
              <w:numPr>
                <w:ilvl w:val="0"/>
                <w:numId w:val="26"/>
              </w:numPr>
              <w:spacing w:before="0" w:after="0"/>
              <w:ind w:left="357" w:hanging="357"/>
              <w:contextualSpacing w:val="0"/>
            </w:pPr>
            <w:r>
              <w:t>Duration of response</w:t>
            </w:r>
          </w:p>
          <w:p w14:paraId="59DE40B4" w14:textId="77777777" w:rsidR="005744DF" w:rsidRDefault="005744DF" w:rsidP="00AA5DA6">
            <w:pPr>
              <w:pStyle w:val="ListParagraph"/>
              <w:numPr>
                <w:ilvl w:val="0"/>
                <w:numId w:val="26"/>
              </w:numPr>
              <w:spacing w:before="0" w:after="0"/>
              <w:ind w:left="357" w:hanging="357"/>
              <w:contextualSpacing w:val="0"/>
            </w:pPr>
            <w:r>
              <w:t>Health-related quality of life (</w:t>
            </w:r>
            <w:proofErr w:type="spellStart"/>
            <w:r>
              <w:t>HRQoL</w:t>
            </w:r>
            <w:proofErr w:type="spellEnd"/>
            <w:r>
              <w:t>) in patients achieving and those not achieving response</w:t>
            </w:r>
          </w:p>
          <w:p w14:paraId="3E65121B" w14:textId="77777777" w:rsidR="005744DF" w:rsidRDefault="005744DF" w:rsidP="00AA5DA6">
            <w:pPr>
              <w:pStyle w:val="ListParagraph"/>
              <w:numPr>
                <w:ilvl w:val="0"/>
                <w:numId w:val="26"/>
              </w:numPr>
              <w:spacing w:before="0" w:after="0"/>
              <w:ind w:left="357" w:hanging="357"/>
              <w:contextualSpacing w:val="0"/>
            </w:pPr>
            <w:r>
              <w:t>Survival in responders and non-responders</w:t>
            </w:r>
          </w:p>
          <w:p w14:paraId="4674720C" w14:textId="77777777" w:rsidR="005744DF" w:rsidRDefault="005744DF" w:rsidP="00AA5DA6">
            <w:pPr>
              <w:pStyle w:val="ListParagraph"/>
              <w:numPr>
                <w:ilvl w:val="0"/>
                <w:numId w:val="26"/>
              </w:numPr>
              <w:spacing w:before="0" w:after="0"/>
              <w:ind w:left="357" w:hanging="357"/>
              <w:contextualSpacing w:val="0"/>
            </w:pPr>
            <w:r>
              <w:t>Quality of life in responders and non-responders</w:t>
            </w:r>
          </w:p>
          <w:p w14:paraId="7C4800D6" w14:textId="77777777" w:rsidR="005744DF" w:rsidRDefault="005744DF" w:rsidP="00AA5DA6">
            <w:pPr>
              <w:pStyle w:val="ListParagraph"/>
              <w:numPr>
                <w:ilvl w:val="0"/>
                <w:numId w:val="26"/>
              </w:numPr>
              <w:spacing w:before="0" w:after="0"/>
              <w:ind w:left="357" w:hanging="357"/>
              <w:contextualSpacing w:val="0"/>
            </w:pPr>
            <w:r>
              <w:t>Progression-free survival (PFS)</w:t>
            </w:r>
          </w:p>
          <w:p w14:paraId="715500B5" w14:textId="77777777" w:rsidR="005744DF" w:rsidRDefault="005744DF" w:rsidP="00AA5DA6">
            <w:pPr>
              <w:pStyle w:val="ListParagraph"/>
              <w:numPr>
                <w:ilvl w:val="0"/>
                <w:numId w:val="26"/>
              </w:numPr>
              <w:spacing w:before="0" w:after="0"/>
              <w:ind w:left="357" w:hanging="357"/>
              <w:contextualSpacing w:val="0"/>
            </w:pPr>
            <w:proofErr w:type="spellStart"/>
            <w:r>
              <w:t>HRQoL</w:t>
            </w:r>
            <w:proofErr w:type="spellEnd"/>
            <w:r>
              <w:t xml:space="preserve"> in patients who are progression-free and those with progression</w:t>
            </w:r>
          </w:p>
          <w:p w14:paraId="65092067" w14:textId="77777777" w:rsidR="005744DF" w:rsidRDefault="005744DF" w:rsidP="00AA5DA6">
            <w:pPr>
              <w:pStyle w:val="ListParagraph"/>
              <w:numPr>
                <w:ilvl w:val="0"/>
                <w:numId w:val="26"/>
              </w:numPr>
              <w:spacing w:before="0" w:after="0"/>
              <w:ind w:left="357" w:hanging="357"/>
              <w:contextualSpacing w:val="0"/>
            </w:pPr>
            <w:r>
              <w:t>Overall survival</w:t>
            </w:r>
          </w:p>
          <w:p w14:paraId="2A2D0AFA" w14:textId="77777777" w:rsidR="005744DF" w:rsidRDefault="005744DF" w:rsidP="00AA5DA6">
            <w:pPr>
              <w:pStyle w:val="ListParagraph"/>
              <w:numPr>
                <w:ilvl w:val="0"/>
                <w:numId w:val="26"/>
              </w:numPr>
              <w:spacing w:before="0" w:after="0"/>
              <w:ind w:left="357" w:hanging="357"/>
              <w:contextualSpacing w:val="0"/>
            </w:pPr>
            <w:r>
              <w:t>Quality adjusted survival</w:t>
            </w:r>
          </w:p>
          <w:p w14:paraId="1D0AE074" w14:textId="77777777" w:rsidR="005744DF" w:rsidRPr="00D921E2" w:rsidRDefault="00135F41" w:rsidP="004D7E06">
            <w:pPr>
              <w:spacing w:before="60" w:after="0" w:line="264" w:lineRule="auto"/>
              <w:rPr>
                <w:u w:val="single"/>
              </w:rPr>
            </w:pPr>
            <w:r w:rsidRPr="00D921E2">
              <w:rPr>
                <w:u w:val="single"/>
              </w:rPr>
              <w:t>Clinical efficacy</w:t>
            </w:r>
            <w:r w:rsidR="005744DF" w:rsidRPr="00D921E2">
              <w:rPr>
                <w:u w:val="single"/>
              </w:rPr>
              <w:t xml:space="preserve">: </w:t>
            </w:r>
          </w:p>
          <w:p w14:paraId="45518E7E" w14:textId="77777777" w:rsidR="005744DF" w:rsidRDefault="005744DF" w:rsidP="00AA5DA6">
            <w:pPr>
              <w:pStyle w:val="ListParagraph"/>
              <w:numPr>
                <w:ilvl w:val="0"/>
                <w:numId w:val="26"/>
              </w:numPr>
              <w:spacing w:before="0" w:after="0"/>
              <w:ind w:left="357" w:hanging="357"/>
              <w:contextualSpacing w:val="0"/>
            </w:pPr>
            <w:r>
              <w:t xml:space="preserve">Percentage of patients having </w:t>
            </w:r>
            <w:proofErr w:type="spellStart"/>
            <w:r w:rsidR="00637C62">
              <w:t>brexucabtagene</w:t>
            </w:r>
            <w:proofErr w:type="spellEnd"/>
            <w:r w:rsidR="00637C62">
              <w:t xml:space="preserve"> </w:t>
            </w:r>
            <w:proofErr w:type="spellStart"/>
            <w:r w:rsidR="00637C62">
              <w:t>autoleucel</w:t>
            </w:r>
            <w:proofErr w:type="spellEnd"/>
            <w:r>
              <w:t xml:space="preserve"> infused of those who underwent </w:t>
            </w:r>
            <w:proofErr w:type="spellStart"/>
            <w:r>
              <w:t>leukapheresis</w:t>
            </w:r>
            <w:proofErr w:type="spellEnd"/>
          </w:p>
          <w:p w14:paraId="64D45522" w14:textId="77777777" w:rsidR="005744DF" w:rsidRDefault="005744DF" w:rsidP="00AA5DA6">
            <w:pPr>
              <w:pStyle w:val="ListParagraph"/>
              <w:numPr>
                <w:ilvl w:val="0"/>
                <w:numId w:val="26"/>
              </w:numPr>
              <w:spacing w:before="0" w:after="0"/>
              <w:ind w:left="357" w:hanging="357"/>
              <w:contextualSpacing w:val="0"/>
            </w:pPr>
            <w:r>
              <w:t>Time from collection (</w:t>
            </w:r>
            <w:proofErr w:type="spellStart"/>
            <w:r>
              <w:t>leukapheresis</w:t>
            </w:r>
            <w:proofErr w:type="spellEnd"/>
            <w:r>
              <w:t xml:space="preserve">) to infusion of </w:t>
            </w:r>
            <w:proofErr w:type="spellStart"/>
            <w:r w:rsidR="00637C62">
              <w:t>brexucabtagene</w:t>
            </w:r>
            <w:proofErr w:type="spellEnd"/>
            <w:r w:rsidR="00637C62">
              <w:t xml:space="preserve"> </w:t>
            </w:r>
            <w:proofErr w:type="spellStart"/>
            <w:r w:rsidR="00637C62">
              <w:t>autoleucel</w:t>
            </w:r>
            <w:proofErr w:type="spellEnd"/>
          </w:p>
          <w:p w14:paraId="40D2DFA1" w14:textId="77777777" w:rsidR="009459AB" w:rsidRPr="00A33CCD" w:rsidRDefault="009459AB" w:rsidP="004D7E06">
            <w:pPr>
              <w:spacing w:before="60" w:after="0" w:line="264" w:lineRule="auto"/>
              <w:rPr>
                <w:u w:val="single"/>
              </w:rPr>
            </w:pPr>
            <w:r w:rsidRPr="00A33CCD">
              <w:rPr>
                <w:u w:val="single"/>
              </w:rPr>
              <w:t>Safety Outcomes:</w:t>
            </w:r>
          </w:p>
          <w:p w14:paraId="74D9FB00" w14:textId="77777777" w:rsidR="009459AB" w:rsidRDefault="00844568" w:rsidP="00AA5DA6">
            <w:pPr>
              <w:pStyle w:val="ListParagraph"/>
              <w:numPr>
                <w:ilvl w:val="0"/>
                <w:numId w:val="26"/>
              </w:numPr>
              <w:spacing w:before="0" w:after="0"/>
              <w:ind w:left="357" w:hanging="357"/>
              <w:contextualSpacing w:val="0"/>
            </w:pPr>
            <w:r>
              <w:t>I</w:t>
            </w:r>
            <w:r w:rsidR="009459AB">
              <w:t>ncidence of adverse events (AEs) and serious adverse events (SAEs)</w:t>
            </w:r>
          </w:p>
          <w:p w14:paraId="697F3532" w14:textId="77777777" w:rsidR="00F770AA" w:rsidRDefault="00844568" w:rsidP="00AA5DA6">
            <w:pPr>
              <w:pStyle w:val="ListParagraph"/>
              <w:numPr>
                <w:ilvl w:val="0"/>
                <w:numId w:val="26"/>
              </w:numPr>
              <w:spacing w:before="0" w:after="0"/>
              <w:ind w:left="357" w:hanging="357"/>
              <w:contextualSpacing w:val="0"/>
            </w:pPr>
            <w:r>
              <w:t>I</w:t>
            </w:r>
            <w:r w:rsidR="009459AB">
              <w:t xml:space="preserve">ncidence of events of special interest </w:t>
            </w:r>
            <w:r w:rsidR="004C1038">
              <w:t>(</w:t>
            </w:r>
            <w:r w:rsidR="009459AB">
              <w:t>e.g.,</w:t>
            </w:r>
            <w:r w:rsidR="004C1038">
              <w:t xml:space="preserve"> cytokine release syndrome)</w:t>
            </w:r>
          </w:p>
          <w:p w14:paraId="5028A54A" w14:textId="77777777" w:rsidR="00097E6E" w:rsidRPr="00A33CCD" w:rsidRDefault="00097E6E" w:rsidP="004D7E06">
            <w:pPr>
              <w:spacing w:before="60" w:after="0" w:line="264" w:lineRule="auto"/>
              <w:rPr>
                <w:u w:val="single"/>
              </w:rPr>
            </w:pPr>
            <w:r w:rsidRPr="00A33CCD">
              <w:rPr>
                <w:u w:val="single"/>
              </w:rPr>
              <w:t>Cost-effectiveness:</w:t>
            </w:r>
          </w:p>
          <w:p w14:paraId="4259F7D3" w14:textId="77777777" w:rsidR="00097E6E" w:rsidRDefault="00097E6E" w:rsidP="00AA5DA6">
            <w:pPr>
              <w:pStyle w:val="ListParagraph"/>
              <w:numPr>
                <w:ilvl w:val="0"/>
                <w:numId w:val="26"/>
              </w:numPr>
              <w:spacing w:before="0" w:after="0"/>
              <w:ind w:left="357" w:hanging="357"/>
              <w:contextualSpacing w:val="0"/>
            </w:pPr>
            <w:r w:rsidRPr="00097E6E">
              <w:t>Healthcare resource use and associated costs</w:t>
            </w:r>
            <w:r>
              <w:t xml:space="preserve"> </w:t>
            </w:r>
            <w:r w:rsidR="001B7DE5">
              <w:t>(including pre- and post-infusion)</w:t>
            </w:r>
            <w:r w:rsidR="00844568">
              <w:t>, presented in disaggregated and aggregated format</w:t>
            </w:r>
          </w:p>
          <w:p w14:paraId="108541BB" w14:textId="77777777" w:rsidR="00097E6E" w:rsidRDefault="00A33CCD" w:rsidP="00AA5DA6">
            <w:pPr>
              <w:pStyle w:val="ListParagraph"/>
              <w:numPr>
                <w:ilvl w:val="0"/>
                <w:numId w:val="26"/>
              </w:numPr>
              <w:spacing w:before="0" w:after="0"/>
              <w:ind w:left="357" w:hanging="357"/>
              <w:contextualSpacing w:val="0"/>
            </w:pPr>
            <w:r>
              <w:t>Incremental c</w:t>
            </w:r>
            <w:r w:rsidR="00097E6E">
              <w:t>ost per life year gained (LYG)</w:t>
            </w:r>
          </w:p>
          <w:p w14:paraId="633761DF" w14:textId="77777777" w:rsidR="00097E6E" w:rsidRDefault="00A33CCD" w:rsidP="00AA5DA6">
            <w:pPr>
              <w:pStyle w:val="ListParagraph"/>
              <w:numPr>
                <w:ilvl w:val="0"/>
                <w:numId w:val="26"/>
              </w:numPr>
              <w:spacing w:before="0" w:after="0"/>
              <w:ind w:left="357" w:hanging="357"/>
              <w:contextualSpacing w:val="0"/>
            </w:pPr>
            <w:r>
              <w:t xml:space="preserve">Incremental cost per </w:t>
            </w:r>
            <w:r w:rsidR="00097E6E">
              <w:t>quality adjusted life year (QALY)</w:t>
            </w:r>
          </w:p>
          <w:p w14:paraId="5EB29807" w14:textId="77777777" w:rsidR="00097E6E" w:rsidRPr="00A33CCD" w:rsidRDefault="00097E6E" w:rsidP="004D7E06">
            <w:pPr>
              <w:spacing w:before="60" w:after="0" w:line="264" w:lineRule="auto"/>
              <w:rPr>
                <w:u w:val="single"/>
              </w:rPr>
            </w:pPr>
            <w:r w:rsidRPr="00A33CCD">
              <w:rPr>
                <w:u w:val="single"/>
              </w:rPr>
              <w:t>Financial implications:</w:t>
            </w:r>
          </w:p>
          <w:p w14:paraId="047F3397" w14:textId="77777777" w:rsidR="00097E6E" w:rsidRDefault="00097E6E" w:rsidP="00AA5DA6">
            <w:pPr>
              <w:pStyle w:val="ListParagraph"/>
              <w:numPr>
                <w:ilvl w:val="0"/>
                <w:numId w:val="26"/>
              </w:numPr>
              <w:spacing w:before="0" w:after="0"/>
              <w:ind w:left="357" w:hanging="357"/>
              <w:contextualSpacing w:val="0"/>
            </w:pPr>
            <w:r>
              <w:t>Number of patients suitable for treatment</w:t>
            </w:r>
          </w:p>
          <w:p w14:paraId="1EEAE2AD" w14:textId="77777777" w:rsidR="00097E6E" w:rsidRDefault="00097E6E" w:rsidP="00AA5DA6">
            <w:pPr>
              <w:pStyle w:val="ListParagraph"/>
              <w:numPr>
                <w:ilvl w:val="0"/>
                <w:numId w:val="26"/>
              </w:numPr>
              <w:spacing w:before="0" w:after="0"/>
              <w:ind w:left="357" w:hanging="357"/>
              <w:contextualSpacing w:val="0"/>
            </w:pPr>
            <w:r>
              <w:t>Number of patients who receive treatment</w:t>
            </w:r>
            <w:r w:rsidR="004D7E06">
              <w:t xml:space="preserve"> and associated financial implications</w:t>
            </w:r>
          </w:p>
        </w:tc>
      </w:tr>
    </w:tbl>
    <w:p w14:paraId="04880CE7" w14:textId="77777777" w:rsidR="00674F3F" w:rsidRPr="0074327F" w:rsidRDefault="00674F3F" w:rsidP="009D7F2E"/>
    <w:p w14:paraId="7263A021" w14:textId="77777777" w:rsidR="00DC2B8F" w:rsidRPr="00D747E2" w:rsidRDefault="00DC2B8F" w:rsidP="00D747E2">
      <w:pPr>
        <w:spacing w:before="0" w:after="200" w:line="276" w:lineRule="auto"/>
        <w:rPr>
          <w:sz w:val="10"/>
          <w:szCs w:val="10"/>
        </w:rPr>
      </w:pPr>
      <w:r>
        <w:br w:type="page"/>
      </w:r>
    </w:p>
    <w:sectPr w:rsidR="00DC2B8F" w:rsidRPr="00D747E2" w:rsidSect="00AA5DA6">
      <w:endnotePr>
        <w:numFmt w:val="decimal"/>
      </w:endnotePr>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0639" w14:textId="77777777" w:rsidR="008207EC" w:rsidRDefault="008207EC" w:rsidP="00CF2DFA">
      <w:pPr>
        <w:spacing w:after="0"/>
      </w:pPr>
      <w:r>
        <w:separator/>
      </w:r>
    </w:p>
  </w:endnote>
  <w:endnote w:type="continuationSeparator" w:id="0">
    <w:p w14:paraId="19F86DED" w14:textId="77777777" w:rsidR="008207EC" w:rsidRDefault="008207EC" w:rsidP="00CF2DFA">
      <w:pPr>
        <w:spacing w:after="0"/>
      </w:pPr>
      <w:r>
        <w:continuationSeparator/>
      </w:r>
    </w:p>
  </w:endnote>
  <w:endnote w:type="continuationNotice" w:id="1">
    <w:p w14:paraId="44D2D801" w14:textId="77777777" w:rsidR="008207EC" w:rsidRDefault="008207EC">
      <w:pPr>
        <w:spacing w:before="0" w:after="0"/>
      </w:pPr>
    </w:p>
  </w:endnote>
  <w:endnote w:id="2">
    <w:p w14:paraId="0DEAE336" w14:textId="77777777" w:rsidR="008207EC" w:rsidRDefault="008207EC" w:rsidP="00D747E2">
      <w:pPr>
        <w:rPr>
          <w:bCs/>
          <w:color w:val="4F81BD" w:themeColor="accent1"/>
          <w:sz w:val="40"/>
          <w:szCs w:val="32"/>
        </w:rPr>
      </w:pPr>
      <w:r w:rsidRPr="00DC2B8F">
        <w:rPr>
          <w:bCs/>
          <w:color w:val="4F81BD" w:themeColor="accent1"/>
          <w:sz w:val="40"/>
          <w:szCs w:val="32"/>
        </w:rPr>
        <w:t>References</w:t>
      </w:r>
    </w:p>
    <w:p w14:paraId="071B44F2"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34294D">
        <w:t>Fakhri</w:t>
      </w:r>
      <w:proofErr w:type="spellEnd"/>
      <w:r w:rsidRPr="0034294D">
        <w:t> B &amp;</w:t>
      </w:r>
      <w:r w:rsidRPr="001C1A2E">
        <w:t xml:space="preserve"> </w:t>
      </w:r>
      <w:proofErr w:type="spellStart"/>
      <w:r w:rsidRPr="0034294D">
        <w:t>Kahl</w:t>
      </w:r>
      <w:proofErr w:type="spellEnd"/>
      <w:r w:rsidRPr="001C1A2E">
        <w:t> </w:t>
      </w:r>
      <w:r w:rsidRPr="0034294D">
        <w:t xml:space="preserve">B. Current and emerging treatment options for mantle cell lymphoma. </w:t>
      </w:r>
      <w:r w:rsidRPr="0034294D">
        <w:rPr>
          <w:i/>
          <w:iCs/>
        </w:rPr>
        <w:t xml:space="preserve">Therapeutic Advances in </w:t>
      </w:r>
      <w:proofErr w:type="spellStart"/>
      <w:r w:rsidRPr="0034294D">
        <w:rPr>
          <w:i/>
          <w:iCs/>
        </w:rPr>
        <w:t>Hematology</w:t>
      </w:r>
      <w:proofErr w:type="spellEnd"/>
      <w:r w:rsidRPr="0034294D">
        <w:rPr>
          <w:i/>
          <w:iCs/>
        </w:rPr>
        <w:t>.</w:t>
      </w:r>
      <w:r w:rsidRPr="0034294D">
        <w:t xml:space="preserve"> 2017</w:t>
      </w:r>
      <w:proofErr w:type="gramStart"/>
      <w:r w:rsidRPr="0034294D">
        <w:t>;8</w:t>
      </w:r>
      <w:proofErr w:type="gramEnd"/>
      <w:r w:rsidRPr="0034294D">
        <w:t>(8):223-234.</w:t>
      </w:r>
      <w:r w:rsidRPr="001C1A2E">
        <w:t xml:space="preserve"> doi:10.1177/2040620717719616</w:t>
      </w:r>
    </w:p>
  </w:endnote>
  <w:endnote w:id="3">
    <w:p w14:paraId="3C30B67B" w14:textId="77777777" w:rsidR="008207EC" w:rsidRDefault="008207EC" w:rsidP="00D747E2">
      <w:pPr>
        <w:pStyle w:val="EndnoteText"/>
        <w:spacing w:before="120"/>
        <w:ind w:left="284" w:hanging="284"/>
      </w:pPr>
      <w:r>
        <w:rPr>
          <w:rStyle w:val="EndnoteReference"/>
        </w:rPr>
        <w:endnoteRef/>
      </w:r>
      <w:r w:rsidRPr="00637C62">
        <w:t xml:space="preserve"> </w:t>
      </w:r>
      <w:r w:rsidRPr="00637C62">
        <w:tab/>
      </w:r>
      <w:proofErr w:type="spellStart"/>
      <w:r w:rsidRPr="00637C62">
        <w:t>Flinn</w:t>
      </w:r>
      <w:proofErr w:type="spellEnd"/>
      <w:r w:rsidRPr="00637C62">
        <w:t> IW, van der </w:t>
      </w:r>
      <w:proofErr w:type="spellStart"/>
      <w:r w:rsidRPr="00637C62">
        <w:t>Jagt</w:t>
      </w:r>
      <w:proofErr w:type="spellEnd"/>
      <w:r w:rsidRPr="00637C62">
        <w:t xml:space="preserve"> R, </w:t>
      </w:r>
      <w:proofErr w:type="spellStart"/>
      <w:r w:rsidRPr="00637C62">
        <w:t>Kahl</w:t>
      </w:r>
      <w:proofErr w:type="spellEnd"/>
      <w:r w:rsidRPr="00637C62">
        <w:t xml:space="preserve"> BS, et al. </w:t>
      </w:r>
      <w:r w:rsidRPr="00337D54">
        <w:t xml:space="preserve">Randomized trial of </w:t>
      </w:r>
      <w:proofErr w:type="spellStart"/>
      <w:r w:rsidRPr="00337D54">
        <w:t>bendamustine</w:t>
      </w:r>
      <w:proofErr w:type="spellEnd"/>
      <w:r w:rsidRPr="00337D54">
        <w:t>-rituximab or R</w:t>
      </w:r>
      <w:r w:rsidRPr="00337D54">
        <w:noBreakHyphen/>
        <w:t xml:space="preserve">CHOP/R-CVP in first-line treatment of indolent NHL or MCL: the BRIGHT study. </w:t>
      </w:r>
      <w:r w:rsidRPr="00337D54">
        <w:rPr>
          <w:i/>
          <w:iCs/>
        </w:rPr>
        <w:t xml:space="preserve">Blood. </w:t>
      </w:r>
      <w:r w:rsidRPr="00337D54">
        <w:t>2014</w:t>
      </w:r>
      <w:proofErr w:type="gramStart"/>
      <w:r w:rsidRPr="00337D54">
        <w:t>;123</w:t>
      </w:r>
      <w:proofErr w:type="gramEnd"/>
      <w:r w:rsidRPr="00337D54">
        <w:t>(19):2944</w:t>
      </w:r>
      <w:r w:rsidRPr="00337D54">
        <w:noBreakHyphen/>
        <w:t>2952. doi:10.1182/blood</w:t>
      </w:r>
      <w:r>
        <w:noBreakHyphen/>
      </w:r>
      <w:r w:rsidRPr="00337D54">
        <w:t>2013-11-531327</w:t>
      </w:r>
    </w:p>
  </w:endnote>
  <w:endnote w:id="4">
    <w:p w14:paraId="33D559DC" w14:textId="77777777" w:rsidR="008207EC" w:rsidRDefault="008207EC" w:rsidP="00D747E2">
      <w:pPr>
        <w:pStyle w:val="EndnoteText"/>
        <w:spacing w:before="120"/>
        <w:ind w:left="284" w:hanging="284"/>
      </w:pPr>
      <w:r>
        <w:rPr>
          <w:rStyle w:val="EndnoteReference"/>
        </w:rPr>
        <w:endnoteRef/>
      </w:r>
      <w:r w:rsidRPr="00637C62">
        <w:t xml:space="preserve"> </w:t>
      </w:r>
      <w:r w:rsidRPr="00637C62">
        <w:tab/>
      </w:r>
      <w:proofErr w:type="spellStart"/>
      <w:r w:rsidRPr="00637C62">
        <w:t>Kluin</w:t>
      </w:r>
      <w:r w:rsidRPr="00637C62">
        <w:noBreakHyphen/>
        <w:t>Nelemans</w:t>
      </w:r>
      <w:proofErr w:type="spellEnd"/>
      <w:r w:rsidRPr="00637C62">
        <w:t xml:space="preserve"> HC, </w:t>
      </w:r>
      <w:proofErr w:type="spellStart"/>
      <w:r w:rsidRPr="00637C62">
        <w:t>Hoster</w:t>
      </w:r>
      <w:proofErr w:type="spellEnd"/>
      <w:r w:rsidRPr="00637C62">
        <w:t xml:space="preserve"> E, </w:t>
      </w:r>
      <w:proofErr w:type="spellStart"/>
      <w:r w:rsidRPr="00637C62">
        <w:t>Hermine</w:t>
      </w:r>
      <w:proofErr w:type="spellEnd"/>
      <w:r w:rsidRPr="00637C62">
        <w:t xml:space="preserve"> O, et al. </w:t>
      </w:r>
      <w:r w:rsidRPr="00052792">
        <w:t xml:space="preserve">Treatment of older patients with mantle-cell lymphoma. </w:t>
      </w:r>
      <w:r w:rsidRPr="00052792">
        <w:rPr>
          <w:i/>
          <w:iCs/>
        </w:rPr>
        <w:t xml:space="preserve">The New England Journal of Medicine. </w:t>
      </w:r>
      <w:r w:rsidRPr="00052792">
        <w:t>2012</w:t>
      </w:r>
      <w:proofErr w:type="gramStart"/>
      <w:r w:rsidRPr="00052792">
        <w:t>;367</w:t>
      </w:r>
      <w:proofErr w:type="gramEnd"/>
      <w:r w:rsidRPr="00052792">
        <w:t>(6):520-531. doi:10.1056/NEJMoa1200920</w:t>
      </w:r>
    </w:p>
  </w:endnote>
  <w:endnote w:id="5">
    <w:p w14:paraId="1AE52A36" w14:textId="77777777" w:rsidR="008207EC" w:rsidRDefault="008207EC" w:rsidP="00D747E2">
      <w:pPr>
        <w:pStyle w:val="EndnoteText"/>
        <w:spacing w:before="120"/>
        <w:ind w:left="284" w:hanging="284"/>
      </w:pPr>
      <w:r>
        <w:rPr>
          <w:rStyle w:val="EndnoteReference"/>
        </w:rPr>
        <w:endnoteRef/>
      </w:r>
      <w:r>
        <w:t xml:space="preserve"> </w:t>
      </w:r>
      <w:r>
        <w:tab/>
      </w:r>
      <w:r w:rsidRPr="00764ACC">
        <w:t xml:space="preserve">Lenz G, </w:t>
      </w:r>
      <w:proofErr w:type="spellStart"/>
      <w:r w:rsidRPr="00764ACC">
        <w:t>Dreyling</w:t>
      </w:r>
      <w:proofErr w:type="spellEnd"/>
      <w:r w:rsidRPr="00764ACC">
        <w:t xml:space="preserve"> M, </w:t>
      </w:r>
      <w:proofErr w:type="spellStart"/>
      <w:r w:rsidRPr="00764ACC">
        <w:t>Hoster</w:t>
      </w:r>
      <w:proofErr w:type="spellEnd"/>
      <w:r w:rsidRPr="00764ACC">
        <w:t xml:space="preserve"> E, et al. </w:t>
      </w:r>
      <w:proofErr w:type="spellStart"/>
      <w:r w:rsidRPr="00764ACC">
        <w:t>Immunochemotherapy</w:t>
      </w:r>
      <w:proofErr w:type="spellEnd"/>
      <w:r w:rsidRPr="00764ACC">
        <w:t xml:space="preserve"> with rituximab and cyclophosphamide, doxorubicin, vincristine, and prednisone significantly improves response and time to treatment failure, but not long-term outcome in patients with previously untreated mantle cell lymphoma: results of a prospective randomized trial of the German low grade lymphoma study group (GLSG). </w:t>
      </w:r>
      <w:r w:rsidRPr="00764ACC">
        <w:rPr>
          <w:i/>
          <w:iCs/>
        </w:rPr>
        <w:t xml:space="preserve">Journal of Clinical Oncology. </w:t>
      </w:r>
      <w:r w:rsidRPr="00764ACC">
        <w:t>2005</w:t>
      </w:r>
      <w:proofErr w:type="gramStart"/>
      <w:r w:rsidRPr="00764ACC">
        <w:t>;23</w:t>
      </w:r>
      <w:proofErr w:type="gramEnd"/>
      <w:r w:rsidRPr="00764ACC">
        <w:t>(9):1984-1992. doi:10.1200/JCO.2005.08.133</w:t>
      </w:r>
    </w:p>
  </w:endnote>
  <w:endnote w:id="6">
    <w:p w14:paraId="64911290"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677892">
        <w:t>Robak</w:t>
      </w:r>
      <w:proofErr w:type="spellEnd"/>
      <w:r w:rsidRPr="00677892">
        <w:t xml:space="preserve"> T, Huang H, </w:t>
      </w:r>
      <w:proofErr w:type="spellStart"/>
      <w:r w:rsidRPr="00677892">
        <w:t>Jin</w:t>
      </w:r>
      <w:proofErr w:type="spellEnd"/>
      <w:r w:rsidRPr="00677892">
        <w:t xml:space="preserve"> J, et al. </w:t>
      </w:r>
      <w:proofErr w:type="spellStart"/>
      <w:r w:rsidRPr="00677892">
        <w:t>Bortezomib</w:t>
      </w:r>
      <w:proofErr w:type="spellEnd"/>
      <w:r w:rsidRPr="00677892">
        <w:t xml:space="preserve">-based therapy for newly diagnosed mantle-cell lymphoma. </w:t>
      </w:r>
      <w:r w:rsidRPr="00677892">
        <w:rPr>
          <w:i/>
          <w:iCs/>
        </w:rPr>
        <w:t xml:space="preserve">The New England Journal of Medicine. </w:t>
      </w:r>
      <w:r w:rsidRPr="00677892">
        <w:t>2015</w:t>
      </w:r>
      <w:proofErr w:type="gramStart"/>
      <w:r w:rsidRPr="00677892">
        <w:t>;372</w:t>
      </w:r>
      <w:proofErr w:type="gramEnd"/>
      <w:r w:rsidRPr="00677892">
        <w:t>(10):944-953. doi:10.1056/NEJMoa1412096</w:t>
      </w:r>
    </w:p>
  </w:endnote>
  <w:endnote w:id="7">
    <w:p w14:paraId="2C81F9F4" w14:textId="77777777" w:rsidR="008207EC" w:rsidRDefault="008207EC" w:rsidP="00D747E2">
      <w:pPr>
        <w:pStyle w:val="EndnoteText"/>
        <w:spacing w:before="120"/>
        <w:ind w:left="284" w:hanging="284"/>
      </w:pPr>
      <w:r>
        <w:rPr>
          <w:rStyle w:val="EndnoteReference"/>
        </w:rPr>
        <w:endnoteRef/>
      </w:r>
      <w:r>
        <w:t xml:space="preserve"> </w:t>
      </w:r>
      <w:r>
        <w:tab/>
      </w:r>
      <w:r w:rsidRPr="006534C6">
        <w:t xml:space="preserve">Martin P, </w:t>
      </w:r>
      <w:proofErr w:type="spellStart"/>
      <w:r w:rsidRPr="006534C6">
        <w:t>Maddocks</w:t>
      </w:r>
      <w:proofErr w:type="spellEnd"/>
      <w:r w:rsidRPr="006534C6">
        <w:t xml:space="preserve"> K, Leonard JP, et al. </w:t>
      </w:r>
      <w:proofErr w:type="spellStart"/>
      <w:r w:rsidRPr="006534C6">
        <w:t>Postibrutinib</w:t>
      </w:r>
      <w:proofErr w:type="spellEnd"/>
      <w:r w:rsidRPr="006534C6">
        <w:t xml:space="preserve"> outcomes in patients with mantle cell lymphoma. </w:t>
      </w:r>
      <w:r w:rsidRPr="006534C6">
        <w:rPr>
          <w:i/>
          <w:iCs/>
        </w:rPr>
        <w:t xml:space="preserve">Blood. </w:t>
      </w:r>
      <w:r w:rsidRPr="006534C6">
        <w:t>2016</w:t>
      </w:r>
      <w:proofErr w:type="gramStart"/>
      <w:r w:rsidRPr="006534C6">
        <w:t>;127</w:t>
      </w:r>
      <w:proofErr w:type="gramEnd"/>
      <w:r w:rsidRPr="006534C6">
        <w:t>(12):1559-1563. doi:10.1182/blood-2015-10-673145</w:t>
      </w:r>
    </w:p>
  </w:endnote>
  <w:endnote w:id="8">
    <w:p w14:paraId="115EBEBD"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A3331C">
        <w:t>Cheah</w:t>
      </w:r>
      <w:proofErr w:type="spellEnd"/>
      <w:r w:rsidRPr="00A3331C">
        <w:t xml:space="preserve"> CY, </w:t>
      </w:r>
      <w:proofErr w:type="spellStart"/>
      <w:r w:rsidRPr="00A3331C">
        <w:t>Chihara</w:t>
      </w:r>
      <w:proofErr w:type="spellEnd"/>
      <w:r w:rsidRPr="00A3331C">
        <w:t xml:space="preserve"> D, </w:t>
      </w:r>
      <w:proofErr w:type="spellStart"/>
      <w:r w:rsidRPr="00A3331C">
        <w:t>Romaguera</w:t>
      </w:r>
      <w:proofErr w:type="spellEnd"/>
      <w:r w:rsidRPr="00A3331C">
        <w:t xml:space="preserve"> JE, et al. Patients with mantle cell lymphoma failing </w:t>
      </w:r>
      <w:proofErr w:type="spellStart"/>
      <w:r w:rsidRPr="00A3331C">
        <w:t>ibrutinib</w:t>
      </w:r>
      <w:proofErr w:type="spellEnd"/>
      <w:r w:rsidRPr="00A3331C">
        <w:t xml:space="preserve"> are unlikely to respond to salvage chemotherapy and have poor outcomes. </w:t>
      </w:r>
      <w:r w:rsidRPr="00A3331C">
        <w:rPr>
          <w:i/>
          <w:iCs/>
        </w:rPr>
        <w:t xml:space="preserve">Annals of Oncology. </w:t>
      </w:r>
      <w:r w:rsidRPr="00A3331C">
        <w:t>2015</w:t>
      </w:r>
      <w:proofErr w:type="gramStart"/>
      <w:r w:rsidRPr="00A3331C">
        <w:t>;26</w:t>
      </w:r>
      <w:proofErr w:type="gramEnd"/>
      <w:r w:rsidRPr="00A3331C">
        <w:t>(6):1175-1179. doi:10.1093/</w:t>
      </w:r>
      <w:proofErr w:type="spellStart"/>
      <w:r w:rsidRPr="00A3331C">
        <w:t>annonc</w:t>
      </w:r>
      <w:proofErr w:type="spellEnd"/>
      <w:r w:rsidRPr="00A3331C">
        <w:t>/mdv111</w:t>
      </w:r>
    </w:p>
  </w:endnote>
  <w:endnote w:id="9">
    <w:p w14:paraId="7AC81BDE"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836CE2">
        <w:t>Epperla</w:t>
      </w:r>
      <w:proofErr w:type="spellEnd"/>
      <w:r w:rsidRPr="00836CE2">
        <w:t xml:space="preserve"> N, </w:t>
      </w:r>
      <w:proofErr w:type="spellStart"/>
      <w:r w:rsidRPr="00836CE2">
        <w:t>Hamadani</w:t>
      </w:r>
      <w:proofErr w:type="spellEnd"/>
      <w:r w:rsidRPr="00836CE2">
        <w:t xml:space="preserve"> M, </w:t>
      </w:r>
      <w:proofErr w:type="spellStart"/>
      <w:r w:rsidRPr="00836CE2">
        <w:t>Cashen</w:t>
      </w:r>
      <w:proofErr w:type="spellEnd"/>
      <w:r w:rsidRPr="00836CE2">
        <w:t xml:space="preserve"> AF, et al. Predictive factors and outcomes for </w:t>
      </w:r>
      <w:proofErr w:type="spellStart"/>
      <w:r w:rsidRPr="00836CE2">
        <w:t>ibrutinib</w:t>
      </w:r>
      <w:proofErr w:type="spellEnd"/>
      <w:r w:rsidRPr="00836CE2">
        <w:t xml:space="preserve"> therapy in relapsed/refractory mantle cell lymphoma – a “real world” study. </w:t>
      </w:r>
      <w:proofErr w:type="spellStart"/>
      <w:r w:rsidRPr="00836CE2">
        <w:rPr>
          <w:i/>
          <w:iCs/>
        </w:rPr>
        <w:t>Hematological</w:t>
      </w:r>
      <w:proofErr w:type="spellEnd"/>
      <w:r w:rsidRPr="00836CE2">
        <w:rPr>
          <w:i/>
          <w:iCs/>
        </w:rPr>
        <w:t xml:space="preserve"> Oncology. </w:t>
      </w:r>
      <w:r w:rsidRPr="00836CE2">
        <w:t>2017. doi:10.1002/hon.2380</w:t>
      </w:r>
    </w:p>
  </w:endnote>
  <w:endnote w:id="10">
    <w:p w14:paraId="69E2113A" w14:textId="77777777" w:rsidR="008207EC" w:rsidRDefault="008207EC" w:rsidP="00D747E2">
      <w:pPr>
        <w:pStyle w:val="EndnoteText"/>
        <w:spacing w:before="120"/>
        <w:ind w:left="284" w:hanging="284"/>
      </w:pPr>
      <w:r>
        <w:rPr>
          <w:rStyle w:val="EndnoteReference"/>
        </w:rPr>
        <w:endnoteRef/>
      </w:r>
      <w:r>
        <w:t xml:space="preserve"> </w:t>
      </w:r>
      <w:r>
        <w:tab/>
      </w:r>
      <w:r w:rsidRPr="00217EC8">
        <w:t xml:space="preserve">Jain P, </w:t>
      </w:r>
      <w:proofErr w:type="spellStart"/>
      <w:r w:rsidRPr="00217EC8">
        <w:t>Kanagal-Shamanna</w:t>
      </w:r>
      <w:proofErr w:type="spellEnd"/>
      <w:r w:rsidRPr="00217EC8">
        <w:t xml:space="preserve"> R, Zhang S, et al. Long-term outcomes and mutation profiling of patients with mantle cell lymphoma (MCL) who discontinued </w:t>
      </w:r>
      <w:proofErr w:type="spellStart"/>
      <w:r w:rsidRPr="00217EC8">
        <w:t>ibrutinib</w:t>
      </w:r>
      <w:proofErr w:type="spellEnd"/>
      <w:r w:rsidRPr="00217EC8">
        <w:t xml:space="preserve">. </w:t>
      </w:r>
      <w:r w:rsidRPr="00217EC8">
        <w:rPr>
          <w:i/>
          <w:iCs/>
        </w:rPr>
        <w:t xml:space="preserve">British Journal of Haematology. </w:t>
      </w:r>
      <w:r w:rsidRPr="00217EC8">
        <w:t>2018</w:t>
      </w:r>
      <w:proofErr w:type="gramStart"/>
      <w:r w:rsidRPr="00217EC8">
        <w:t>;183</w:t>
      </w:r>
      <w:proofErr w:type="gramEnd"/>
      <w:r w:rsidRPr="00217EC8">
        <w:t>(4):578-587. doi:10.1111/bjh.15567</w:t>
      </w:r>
    </w:p>
  </w:endnote>
  <w:endnote w:id="11">
    <w:p w14:paraId="20BBC865" w14:textId="77777777" w:rsidR="008207EC" w:rsidRDefault="008207EC" w:rsidP="00D747E2">
      <w:pPr>
        <w:pStyle w:val="EndnoteText"/>
        <w:spacing w:before="120"/>
        <w:ind w:left="284" w:hanging="284"/>
      </w:pPr>
      <w:r>
        <w:rPr>
          <w:rStyle w:val="EndnoteReference"/>
        </w:rPr>
        <w:endnoteRef/>
      </w:r>
      <w:r>
        <w:t xml:space="preserve"> </w:t>
      </w:r>
      <w:r>
        <w:tab/>
      </w:r>
      <w:r w:rsidRPr="000A79EC">
        <w:t xml:space="preserve">Wang M, Schuster SJ, Phillips T, et al. Observational study of </w:t>
      </w:r>
      <w:proofErr w:type="spellStart"/>
      <w:r w:rsidRPr="000A79EC">
        <w:t>lenalidomide</w:t>
      </w:r>
      <w:proofErr w:type="spellEnd"/>
      <w:r w:rsidRPr="000A79EC">
        <w:t xml:space="preserve"> in patients with mantle cell lymphoma who relapsed/progressed after or were refractory/intolerant to </w:t>
      </w:r>
      <w:proofErr w:type="spellStart"/>
      <w:r w:rsidRPr="000A79EC">
        <w:t>ibrutinib</w:t>
      </w:r>
      <w:proofErr w:type="spellEnd"/>
      <w:r w:rsidRPr="000A79EC">
        <w:t xml:space="preserve"> (MCL-004). </w:t>
      </w:r>
      <w:r w:rsidRPr="000A79EC">
        <w:rPr>
          <w:i/>
          <w:iCs/>
        </w:rPr>
        <w:t xml:space="preserve">Journal of </w:t>
      </w:r>
      <w:proofErr w:type="spellStart"/>
      <w:r w:rsidRPr="000A79EC">
        <w:rPr>
          <w:i/>
          <w:iCs/>
        </w:rPr>
        <w:t>Hematology</w:t>
      </w:r>
      <w:proofErr w:type="spellEnd"/>
      <w:r w:rsidRPr="000A79EC">
        <w:rPr>
          <w:i/>
          <w:iCs/>
        </w:rPr>
        <w:t xml:space="preserve"> and Oncology. </w:t>
      </w:r>
      <w:r w:rsidRPr="000A79EC">
        <w:t>2017</w:t>
      </w:r>
      <w:proofErr w:type="gramStart"/>
      <w:r w:rsidRPr="000A79EC">
        <w:t>;10</w:t>
      </w:r>
      <w:proofErr w:type="gramEnd"/>
      <w:r w:rsidRPr="000A79EC">
        <w:t>(171):1-8. doi:10.1186/s13045-017-0537-5</w:t>
      </w:r>
    </w:p>
  </w:endnote>
  <w:endnote w:id="12">
    <w:p w14:paraId="2858F7C3"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2A4462">
        <w:t>Schieber</w:t>
      </w:r>
      <w:proofErr w:type="spellEnd"/>
      <w:r w:rsidRPr="002A4462">
        <w:t xml:space="preserve"> M, Gordon LI &amp; </w:t>
      </w:r>
      <w:proofErr w:type="spellStart"/>
      <w:r w:rsidRPr="002A4462">
        <w:t>Karmali</w:t>
      </w:r>
      <w:proofErr w:type="spellEnd"/>
      <w:r w:rsidRPr="002A4462">
        <w:t xml:space="preserve"> R. Current overview and treatment of mantle cell lymphoma. </w:t>
      </w:r>
      <w:r w:rsidRPr="002A4462">
        <w:rPr>
          <w:i/>
          <w:iCs/>
        </w:rPr>
        <w:t xml:space="preserve">F1000Research. </w:t>
      </w:r>
      <w:r w:rsidRPr="002A4462">
        <w:t>2018</w:t>
      </w:r>
      <w:proofErr w:type="gramStart"/>
      <w:r w:rsidRPr="002A4462">
        <w:t>;7</w:t>
      </w:r>
      <w:proofErr w:type="gramEnd"/>
      <w:r w:rsidRPr="002A4462">
        <w:t xml:space="preserve">. </w:t>
      </w:r>
      <w:proofErr w:type="spellStart"/>
      <w:r w:rsidRPr="002A4462">
        <w:t>doi</w:t>
      </w:r>
      <w:proofErr w:type="spellEnd"/>
      <w:r w:rsidRPr="002A4462">
        <w:t>: 10.12688/f1000research.14122.1</w:t>
      </w:r>
    </w:p>
  </w:endnote>
  <w:endnote w:id="13">
    <w:p w14:paraId="7825C7C2"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C2604F">
        <w:t>Argatoff</w:t>
      </w:r>
      <w:proofErr w:type="spellEnd"/>
      <w:r w:rsidRPr="00C2604F">
        <w:t xml:space="preserve"> LH, Connors JM, </w:t>
      </w:r>
      <w:proofErr w:type="spellStart"/>
      <w:r w:rsidRPr="00C2604F">
        <w:t>Klasa</w:t>
      </w:r>
      <w:proofErr w:type="spellEnd"/>
      <w:r w:rsidRPr="00C2604F">
        <w:t xml:space="preserve"> RJ</w:t>
      </w:r>
      <w:r w:rsidRPr="00383292">
        <w:t>, et al</w:t>
      </w:r>
      <w:r w:rsidRPr="00C2604F">
        <w:t xml:space="preserve">. Mantle </w:t>
      </w:r>
      <w:r w:rsidRPr="00383292">
        <w:t>c</w:t>
      </w:r>
      <w:r w:rsidRPr="00C2604F">
        <w:t xml:space="preserve">ell </w:t>
      </w:r>
      <w:r w:rsidRPr="00383292">
        <w:t>l</w:t>
      </w:r>
      <w:r w:rsidRPr="00C2604F">
        <w:t xml:space="preserve">ymphoma: </w:t>
      </w:r>
      <w:r w:rsidRPr="00383292">
        <w:t xml:space="preserve">a </w:t>
      </w:r>
      <w:proofErr w:type="spellStart"/>
      <w:r w:rsidRPr="00383292">
        <w:t>clinicopathologic</w:t>
      </w:r>
      <w:proofErr w:type="spellEnd"/>
      <w:r w:rsidRPr="00383292">
        <w:t xml:space="preserve"> study of 80 cases. </w:t>
      </w:r>
      <w:r w:rsidRPr="00383292">
        <w:rPr>
          <w:i/>
          <w:iCs/>
        </w:rPr>
        <w:t>Blood.</w:t>
      </w:r>
      <w:r w:rsidRPr="00383292">
        <w:t xml:space="preserve"> 1997</w:t>
      </w:r>
      <w:proofErr w:type="gramStart"/>
      <w:r w:rsidRPr="00383292">
        <w:t>;89</w:t>
      </w:r>
      <w:proofErr w:type="gramEnd"/>
      <w:r w:rsidRPr="00383292">
        <w:t>(6):2067-2078. doi:10.1182/blood.V89.6.2067</w:t>
      </w:r>
    </w:p>
  </w:endnote>
  <w:endnote w:id="14">
    <w:p w14:paraId="5C6D4819"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2A624D">
        <w:t>Cheah</w:t>
      </w:r>
      <w:proofErr w:type="spellEnd"/>
      <w:r w:rsidRPr="002A624D">
        <w:t xml:space="preserve"> CY, Seymour JF &amp; Wang ML. Mantle cell lymphoma. </w:t>
      </w:r>
      <w:r w:rsidRPr="002A624D">
        <w:rPr>
          <w:i/>
          <w:iCs/>
        </w:rPr>
        <w:t xml:space="preserve">American Society of Clinical Oncology. </w:t>
      </w:r>
      <w:r w:rsidRPr="002A624D">
        <w:t>2016</w:t>
      </w:r>
      <w:proofErr w:type="gramStart"/>
      <w:r w:rsidRPr="002A624D">
        <w:t>;34</w:t>
      </w:r>
      <w:proofErr w:type="gramEnd"/>
      <w:r w:rsidRPr="002A624D">
        <w:t>(11):1256-1269. doi:10.1200/JCO.2015.63.5904</w:t>
      </w:r>
    </w:p>
  </w:endnote>
  <w:endnote w:id="15">
    <w:p w14:paraId="6773D334" w14:textId="77777777" w:rsidR="008207EC" w:rsidRDefault="008207EC" w:rsidP="00D747E2">
      <w:pPr>
        <w:pStyle w:val="EndnoteText"/>
        <w:spacing w:before="120"/>
        <w:ind w:left="284" w:hanging="284"/>
      </w:pPr>
      <w:r w:rsidRPr="00D26F23">
        <w:rPr>
          <w:rStyle w:val="EndnoteReference"/>
        </w:rPr>
        <w:endnoteRef/>
      </w:r>
      <w:r w:rsidRPr="00D26F23">
        <w:t xml:space="preserve"> </w:t>
      </w:r>
      <w:r w:rsidRPr="00D26F23">
        <w:tab/>
      </w:r>
      <w:proofErr w:type="spellStart"/>
      <w:r w:rsidRPr="00D26F23">
        <w:t>Leukemia</w:t>
      </w:r>
      <w:proofErr w:type="spellEnd"/>
      <w:r w:rsidRPr="00D26F23">
        <w:t xml:space="preserve"> &amp; Lymphoma Society. FS4 Mantle Cell Lymphoma Facts. </w:t>
      </w:r>
      <w:proofErr w:type="spellStart"/>
      <w:r w:rsidRPr="00D26F23">
        <w:rPr>
          <w:i/>
          <w:iCs/>
        </w:rPr>
        <w:t>Leukemia</w:t>
      </w:r>
      <w:proofErr w:type="spellEnd"/>
      <w:r w:rsidRPr="00D26F23">
        <w:rPr>
          <w:i/>
          <w:iCs/>
        </w:rPr>
        <w:t xml:space="preserve"> &amp; Lymphoma Society. </w:t>
      </w:r>
      <w:r w:rsidRPr="00D26F23">
        <w:t xml:space="preserve">2018. Available at: </w:t>
      </w:r>
      <w:hyperlink r:id="rId1" w:history="1">
        <w:r w:rsidRPr="00D26F23">
          <w:rPr>
            <w:rStyle w:val="Hyperlink"/>
          </w:rPr>
          <w:t>https://www.lls.org/sites/default/files/file_assets/FS4_MCL_Facts_Rev.pdf</w:t>
        </w:r>
      </w:hyperlink>
      <w:r w:rsidRPr="00D26F23">
        <w:t xml:space="preserve"> [Last accessed: 10</w:t>
      </w:r>
      <w:r>
        <w:t xml:space="preserve"> Jul 2020]</w:t>
      </w:r>
    </w:p>
  </w:endnote>
  <w:endnote w:id="16">
    <w:p w14:paraId="617A4FD9" w14:textId="77777777" w:rsidR="008207EC" w:rsidRDefault="008207EC" w:rsidP="00D747E2">
      <w:pPr>
        <w:pStyle w:val="EndnoteText"/>
        <w:spacing w:before="120"/>
        <w:ind w:left="284" w:hanging="284"/>
      </w:pPr>
      <w:r>
        <w:rPr>
          <w:rStyle w:val="EndnoteReference"/>
        </w:rPr>
        <w:endnoteRef/>
      </w:r>
      <w:r w:rsidRPr="00D747E2">
        <w:rPr>
          <w:lang w:val="de-DE"/>
        </w:rPr>
        <w:t xml:space="preserve"> </w:t>
      </w:r>
      <w:r>
        <w:rPr>
          <w:lang w:val="de-DE"/>
        </w:rPr>
        <w:tab/>
      </w:r>
      <w:r w:rsidRPr="00D747E2">
        <w:rPr>
          <w:lang w:val="de-DE"/>
        </w:rPr>
        <w:t xml:space="preserve">Hoster E, Dreyling M, Klapper W, et al. </w:t>
      </w:r>
      <w:r w:rsidRPr="000407E9">
        <w:t xml:space="preserve">A new prognostic index (MIPI) for patients with advanced-stage mantle cell lymphoma. </w:t>
      </w:r>
      <w:r w:rsidRPr="000407E9">
        <w:rPr>
          <w:i/>
          <w:iCs/>
        </w:rPr>
        <w:t xml:space="preserve">Blood. </w:t>
      </w:r>
      <w:r w:rsidRPr="000407E9">
        <w:t>2008</w:t>
      </w:r>
      <w:proofErr w:type="gramStart"/>
      <w:r w:rsidRPr="000407E9">
        <w:t>;111</w:t>
      </w:r>
      <w:proofErr w:type="gramEnd"/>
      <w:r w:rsidRPr="000407E9">
        <w:t>(2):558-565. doi:10.1182/blood-2007-06-095331</w:t>
      </w:r>
    </w:p>
  </w:endnote>
  <w:endnote w:id="17">
    <w:p w14:paraId="2C562F7E" w14:textId="77777777" w:rsidR="008207EC" w:rsidRDefault="008207EC" w:rsidP="00D747E2">
      <w:pPr>
        <w:pStyle w:val="EndnoteText"/>
        <w:spacing w:before="120"/>
        <w:ind w:left="284" w:hanging="284"/>
      </w:pPr>
      <w:r>
        <w:rPr>
          <w:rStyle w:val="EndnoteReference"/>
        </w:rPr>
        <w:endnoteRef/>
      </w:r>
      <w:r w:rsidRPr="00344BAB">
        <w:t xml:space="preserve"> </w:t>
      </w:r>
      <w:r w:rsidRPr="00344BAB">
        <w:tab/>
      </w:r>
      <w:proofErr w:type="spellStart"/>
      <w:r w:rsidRPr="00344BAB">
        <w:t>Hoster</w:t>
      </w:r>
      <w:proofErr w:type="spellEnd"/>
      <w:r w:rsidRPr="00344BAB">
        <w:t xml:space="preserve"> E, </w:t>
      </w:r>
      <w:proofErr w:type="spellStart"/>
      <w:r w:rsidRPr="00344BAB">
        <w:t>Rosenwald</w:t>
      </w:r>
      <w:proofErr w:type="spellEnd"/>
      <w:r w:rsidRPr="00344BAB">
        <w:t xml:space="preserve"> A, Berger F, et al. </w:t>
      </w:r>
      <w:r w:rsidRPr="009105C8">
        <w:t xml:space="preserve">Prognostic value of Ki-67 index, cytology, and growth pattern in mantle-cell lymphoma: results from randomized trials of the European Mantle Cell Lymphoma Network. </w:t>
      </w:r>
      <w:r w:rsidRPr="009105C8">
        <w:rPr>
          <w:i/>
          <w:iCs/>
        </w:rPr>
        <w:t xml:space="preserve">Journal of Clinical Oncology. </w:t>
      </w:r>
      <w:r w:rsidRPr="009105C8">
        <w:t>2016</w:t>
      </w:r>
      <w:proofErr w:type="gramStart"/>
      <w:r w:rsidRPr="009105C8">
        <w:t>;34</w:t>
      </w:r>
      <w:proofErr w:type="gramEnd"/>
      <w:r w:rsidRPr="009105C8">
        <w:t>(12):1386-1394. doi:10.1200/JCO.2015.63.8387</w:t>
      </w:r>
    </w:p>
  </w:endnote>
  <w:endnote w:id="18">
    <w:p w14:paraId="0168D1B0" w14:textId="77777777" w:rsidR="008207EC" w:rsidRDefault="008207EC" w:rsidP="00D747E2">
      <w:pPr>
        <w:pStyle w:val="EndnoteText"/>
        <w:spacing w:before="120"/>
        <w:ind w:left="284" w:hanging="284"/>
      </w:pPr>
      <w:r>
        <w:rPr>
          <w:rStyle w:val="EndnoteReference"/>
        </w:rPr>
        <w:endnoteRef/>
      </w:r>
      <w:r>
        <w:t xml:space="preserve"> </w:t>
      </w:r>
      <w:r>
        <w:tab/>
      </w:r>
      <w:proofErr w:type="spellStart"/>
      <w:r w:rsidRPr="005B653A">
        <w:t>Cheson</w:t>
      </w:r>
      <w:proofErr w:type="spellEnd"/>
      <w:r w:rsidRPr="005B653A">
        <w:t xml:space="preserve"> BD, Fisher RI, Barrington SF, et al. Recommendations for initial evaluation, staging, and response assessment of Hodgkin and non-Hodgkin lymphoma: the Lugano classification. </w:t>
      </w:r>
      <w:r w:rsidRPr="005B653A">
        <w:rPr>
          <w:i/>
          <w:iCs/>
        </w:rPr>
        <w:t xml:space="preserve">Journal of Clinical Oncology. </w:t>
      </w:r>
      <w:r w:rsidRPr="005B653A">
        <w:t>2014</w:t>
      </w:r>
      <w:proofErr w:type="gramStart"/>
      <w:r w:rsidRPr="005B653A">
        <w:t>;32</w:t>
      </w:r>
      <w:proofErr w:type="gramEnd"/>
      <w:r w:rsidRPr="005B653A">
        <w:t>(27):3059-3067. doi:10.1200/JCO.2013.54.8800</w:t>
      </w:r>
    </w:p>
  </w:endnote>
  <w:endnote w:id="19">
    <w:p w14:paraId="2D410968" w14:textId="77777777" w:rsidR="008207EC" w:rsidRDefault="008207EC" w:rsidP="005609A6">
      <w:pPr>
        <w:pStyle w:val="EndnoteText"/>
        <w:ind w:left="284" w:hanging="284"/>
      </w:pPr>
      <w:r w:rsidRPr="00B864BD">
        <w:rPr>
          <w:rStyle w:val="EndnoteReference"/>
        </w:rPr>
        <w:endnoteRef/>
      </w:r>
      <w:r w:rsidRPr="00B864BD">
        <w:t xml:space="preserve"> </w:t>
      </w:r>
      <w:r w:rsidRPr="00B864BD">
        <w:tab/>
      </w:r>
      <w:r>
        <w:t>National Comprehensive Cancer Network. NCCN Clinical Practice Guidelines in Oncology (NCCN Guidelines®) B-Cell Lymphomas. Version 2.2020 - Jul 9, 2020</w:t>
      </w:r>
    </w:p>
  </w:endnote>
  <w:endnote w:id="20">
    <w:p w14:paraId="3312A4AA" w14:textId="77777777" w:rsidR="008207EC" w:rsidRDefault="008207EC" w:rsidP="00D747E2">
      <w:pPr>
        <w:pStyle w:val="EndnoteText"/>
        <w:spacing w:before="120"/>
        <w:ind w:left="284" w:hanging="284"/>
      </w:pPr>
      <w:r>
        <w:rPr>
          <w:rStyle w:val="EndnoteReference"/>
        </w:rPr>
        <w:endnoteRef/>
      </w:r>
      <w:r>
        <w:t xml:space="preserve"> </w:t>
      </w:r>
      <w:r>
        <w:tab/>
      </w:r>
      <w:r w:rsidRPr="00291665">
        <w:t xml:space="preserve">Smith A, Crouch S, Lax S, et al. Lymphoma incidence, survival and prevalence 2004-2014: sub-type analyses from the UK’s Haematological Malignancy Research Network. </w:t>
      </w:r>
      <w:r w:rsidRPr="00291665">
        <w:rPr>
          <w:i/>
          <w:iCs/>
        </w:rPr>
        <w:t xml:space="preserve">British Journal of Cancer. </w:t>
      </w:r>
      <w:r w:rsidRPr="00291665">
        <w:t>2015</w:t>
      </w:r>
      <w:proofErr w:type="gramStart"/>
      <w:r w:rsidRPr="00291665">
        <w:t>;112</w:t>
      </w:r>
      <w:proofErr w:type="gramEnd"/>
      <w:r w:rsidRPr="00291665">
        <w:t>(9):1575</w:t>
      </w:r>
      <w:r>
        <w:noBreakHyphen/>
      </w:r>
      <w:r w:rsidRPr="00291665">
        <w:t>1584. doi:10.1038/bjc.2015.94</w:t>
      </w:r>
    </w:p>
  </w:endnote>
  <w:endnote w:id="21">
    <w:p w14:paraId="6D43D07B" w14:textId="77777777" w:rsidR="008207EC" w:rsidRDefault="008207EC" w:rsidP="00D747E2">
      <w:pPr>
        <w:pStyle w:val="EndnoteText"/>
        <w:spacing w:before="120"/>
        <w:ind w:left="284" w:hanging="284"/>
      </w:pPr>
      <w:r>
        <w:rPr>
          <w:rStyle w:val="EndnoteReference"/>
        </w:rPr>
        <w:endnoteRef/>
      </w:r>
      <w:r>
        <w:t xml:space="preserve"> </w:t>
      </w:r>
      <w:r>
        <w:tab/>
      </w:r>
      <w:proofErr w:type="gramStart"/>
      <w:r w:rsidRPr="00BD2C26">
        <w:t>van</w:t>
      </w:r>
      <w:proofErr w:type="gramEnd"/>
      <w:r w:rsidRPr="00BD2C26">
        <w:t xml:space="preserve"> </w:t>
      </w:r>
      <w:proofErr w:type="spellStart"/>
      <w:r w:rsidRPr="00BD2C26">
        <w:t>Leeuwen</w:t>
      </w:r>
      <w:proofErr w:type="spellEnd"/>
      <w:r w:rsidRPr="00BD2C26">
        <w:t xml:space="preserve"> MT, Turner JJ, </w:t>
      </w:r>
      <w:proofErr w:type="spellStart"/>
      <w:r w:rsidRPr="00BD2C26">
        <w:t>Joske</w:t>
      </w:r>
      <w:proofErr w:type="spellEnd"/>
      <w:r w:rsidRPr="00BD2C26">
        <w:t xml:space="preserve"> DJ, et al. Lymphoid neoplasm incidence by WHO subtype in Australia 1982-2006. </w:t>
      </w:r>
      <w:r w:rsidRPr="00BD2C26">
        <w:rPr>
          <w:i/>
          <w:iCs/>
        </w:rPr>
        <w:t xml:space="preserve">International Journal of Cancer. </w:t>
      </w:r>
      <w:r w:rsidRPr="00BD2C26">
        <w:t>2014</w:t>
      </w:r>
      <w:proofErr w:type="gramStart"/>
      <w:r w:rsidRPr="00BD2C26">
        <w:t>;135</w:t>
      </w:r>
      <w:proofErr w:type="gramEnd"/>
      <w:r w:rsidRPr="00BD2C26">
        <w:t>(9):2146-2156. doi:10.1002/ijc.28849</w:t>
      </w:r>
    </w:p>
  </w:endnote>
  <w:endnote w:id="22">
    <w:p w14:paraId="5DA1E226" w14:textId="77777777" w:rsidR="008207EC" w:rsidRDefault="008207EC" w:rsidP="00D747E2">
      <w:pPr>
        <w:pStyle w:val="EndnoteText"/>
        <w:spacing w:before="120"/>
        <w:ind w:left="284" w:hanging="284"/>
      </w:pPr>
      <w:r>
        <w:rPr>
          <w:rStyle w:val="EndnoteReference"/>
        </w:rPr>
        <w:endnoteRef/>
      </w:r>
      <w:r w:rsidRPr="00344BAB">
        <w:t xml:space="preserve"> </w:t>
      </w:r>
      <w:r w:rsidRPr="00344BAB">
        <w:tab/>
        <w:t xml:space="preserve">Zhou Y, Wang H, Fang W, et al. </w:t>
      </w:r>
      <w:r w:rsidRPr="00CB11E8">
        <w:t xml:space="preserve">Incidence trends of mantle cell lymphoma in the United States between 1992 and 2004. </w:t>
      </w:r>
      <w:r w:rsidRPr="00CB11E8">
        <w:rPr>
          <w:i/>
          <w:iCs/>
        </w:rPr>
        <w:t xml:space="preserve">American Cancer Society. </w:t>
      </w:r>
      <w:r w:rsidRPr="00CB11E8">
        <w:t>2008</w:t>
      </w:r>
      <w:proofErr w:type="gramStart"/>
      <w:r w:rsidRPr="00CB11E8">
        <w:t>;113</w:t>
      </w:r>
      <w:proofErr w:type="gramEnd"/>
      <w:r w:rsidRPr="00CB11E8">
        <w:t>(4):791-798. doi:10.1002/cncr.23608</w:t>
      </w:r>
    </w:p>
  </w:endnote>
  <w:endnote w:id="23">
    <w:p w14:paraId="266DBDC6" w14:textId="77777777" w:rsidR="008207EC" w:rsidRDefault="008207EC" w:rsidP="00D747E2">
      <w:pPr>
        <w:pStyle w:val="EndnoteText"/>
        <w:spacing w:before="120"/>
        <w:ind w:left="284" w:hanging="284"/>
      </w:pPr>
      <w:r>
        <w:rPr>
          <w:rStyle w:val="EndnoteReference"/>
        </w:rPr>
        <w:endnoteRef/>
      </w:r>
      <w:r>
        <w:t xml:space="preserve"> </w:t>
      </w:r>
      <w:r>
        <w:tab/>
      </w:r>
      <w:r w:rsidRPr="009F70AF">
        <w:t xml:space="preserve">Tang C &amp; </w:t>
      </w:r>
      <w:proofErr w:type="spellStart"/>
      <w:r w:rsidRPr="009F70AF">
        <w:t>Kuruvilla</w:t>
      </w:r>
      <w:proofErr w:type="spellEnd"/>
      <w:r w:rsidRPr="009F70AF">
        <w:t xml:space="preserve"> J. Optimal frontline management of mantle cell lymphoma: can we agree? </w:t>
      </w:r>
      <w:r w:rsidRPr="009F70AF">
        <w:rPr>
          <w:i/>
          <w:iCs/>
        </w:rPr>
        <w:t xml:space="preserve">Expert Review of </w:t>
      </w:r>
      <w:proofErr w:type="spellStart"/>
      <w:r w:rsidRPr="009F70AF">
        <w:rPr>
          <w:i/>
          <w:iCs/>
        </w:rPr>
        <w:t>Hematology</w:t>
      </w:r>
      <w:proofErr w:type="spellEnd"/>
      <w:r w:rsidRPr="009F70AF">
        <w:rPr>
          <w:i/>
          <w:iCs/>
        </w:rPr>
        <w:t xml:space="preserve">. </w:t>
      </w:r>
      <w:r w:rsidRPr="009F70AF">
        <w:t>2018</w:t>
      </w:r>
      <w:proofErr w:type="gramStart"/>
      <w:r w:rsidRPr="009F70AF">
        <w:t>;11</w:t>
      </w:r>
      <w:proofErr w:type="gramEnd"/>
      <w:r w:rsidRPr="009F70AF">
        <w:t>(12):911-914. doi:10.1080/17474086.2018.1537778</w:t>
      </w:r>
    </w:p>
  </w:endnote>
  <w:endnote w:id="24">
    <w:p w14:paraId="5B1612F8" w14:textId="77777777" w:rsidR="008207EC" w:rsidRDefault="008207EC" w:rsidP="00D747E2">
      <w:pPr>
        <w:pStyle w:val="EndnoteText"/>
        <w:spacing w:before="120"/>
        <w:ind w:left="284" w:hanging="284"/>
      </w:pPr>
      <w:r>
        <w:rPr>
          <w:rStyle w:val="EndnoteReference"/>
        </w:rPr>
        <w:endnoteRef/>
      </w:r>
      <w:r>
        <w:t xml:space="preserve"> </w:t>
      </w:r>
      <w:r>
        <w:tab/>
      </w:r>
      <w:r w:rsidRPr="006D2F13">
        <w:t xml:space="preserve">Geisler CH, </w:t>
      </w:r>
      <w:proofErr w:type="spellStart"/>
      <w:r w:rsidRPr="006D2F13">
        <w:t>Kolstad</w:t>
      </w:r>
      <w:proofErr w:type="spellEnd"/>
      <w:r w:rsidRPr="006D2F13">
        <w:t xml:space="preserve"> A, </w:t>
      </w:r>
      <w:proofErr w:type="spellStart"/>
      <w:r w:rsidRPr="006D2F13">
        <w:t>Laurell</w:t>
      </w:r>
      <w:proofErr w:type="spellEnd"/>
      <w:r w:rsidRPr="006D2F13">
        <w:t xml:space="preserve"> A, </w:t>
      </w:r>
      <w:proofErr w:type="gramStart"/>
      <w:r w:rsidRPr="006D2F13">
        <w:t>et</w:t>
      </w:r>
      <w:proofErr w:type="gramEnd"/>
      <w:r w:rsidRPr="006D2F13">
        <w:t xml:space="preserve"> al. Nordic MCL2 trial update: six-year follow-up after intensive </w:t>
      </w:r>
      <w:proofErr w:type="spellStart"/>
      <w:r w:rsidRPr="006D2F13">
        <w:t>immunochemotherapy</w:t>
      </w:r>
      <w:proofErr w:type="spellEnd"/>
      <w:r w:rsidRPr="006D2F13">
        <w:t xml:space="preserve"> for untreated mantle cell lymphoma followed by BEAM or BEAC + autologous stem-cell support: still very long survival but late relapses do occur. </w:t>
      </w:r>
      <w:r w:rsidRPr="006D2F13">
        <w:rPr>
          <w:i/>
          <w:iCs/>
        </w:rPr>
        <w:t xml:space="preserve">British Journal of Haematology. </w:t>
      </w:r>
      <w:r w:rsidRPr="006D2F13">
        <w:t>2012</w:t>
      </w:r>
      <w:proofErr w:type="gramStart"/>
      <w:r w:rsidRPr="006D2F13">
        <w:t>;158</w:t>
      </w:r>
      <w:proofErr w:type="gramEnd"/>
      <w:r w:rsidRPr="006D2F13">
        <w:t>(3):355</w:t>
      </w:r>
      <w:r>
        <w:noBreakHyphen/>
      </w:r>
      <w:r w:rsidRPr="006D2F13">
        <w:t>362. doi:10.1111/j.1365-2141.2012.09174.x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24680BE" w14:textId="7329DE8B" w:rsidR="008207EC" w:rsidRDefault="008207E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A5DA6" w:rsidRPr="00AA5DA6">
          <w:rPr>
            <w:b/>
            <w:bCs/>
            <w:noProof/>
            <w:sz w:val="18"/>
            <w:szCs w:val="18"/>
          </w:rPr>
          <w:t>17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45C5EAFD" w14:textId="77777777" w:rsidR="008207EC" w:rsidRPr="003F7CB9" w:rsidRDefault="008207EC"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806F" w14:textId="77777777" w:rsidR="008207EC" w:rsidRDefault="008207EC" w:rsidP="00CF2DFA">
      <w:pPr>
        <w:spacing w:after="0"/>
      </w:pPr>
      <w:r>
        <w:separator/>
      </w:r>
    </w:p>
  </w:footnote>
  <w:footnote w:type="continuationSeparator" w:id="0">
    <w:p w14:paraId="3B3E4247" w14:textId="77777777" w:rsidR="008207EC" w:rsidRDefault="008207EC" w:rsidP="00CF2DFA">
      <w:pPr>
        <w:spacing w:after="0"/>
      </w:pPr>
      <w:r>
        <w:continuationSeparator/>
      </w:r>
    </w:p>
  </w:footnote>
  <w:footnote w:type="continuationNotice" w:id="1">
    <w:p w14:paraId="281690AE" w14:textId="77777777" w:rsidR="008207EC" w:rsidRDefault="008207E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4D4951"/>
    <w:multiLevelType w:val="hybridMultilevel"/>
    <w:tmpl w:val="B42A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20C8FB7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534F00"/>
    <w:multiLevelType w:val="hybridMultilevel"/>
    <w:tmpl w:val="16C4AC6A"/>
    <w:lvl w:ilvl="0" w:tplc="F5068F90">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D552995"/>
    <w:multiLevelType w:val="hybridMultilevel"/>
    <w:tmpl w:val="F68E3B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DE407A6"/>
    <w:multiLevelType w:val="hybridMultilevel"/>
    <w:tmpl w:val="3A3EC9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77D0C"/>
    <w:multiLevelType w:val="hybridMultilevel"/>
    <w:tmpl w:val="847028F2"/>
    <w:lvl w:ilvl="0" w:tplc="EAA8B696">
      <w:start w:val="2"/>
      <w:numFmt w:val="lowerLetter"/>
      <w:lvlText w:val="(%1)"/>
      <w:lvlJc w:val="left"/>
      <w:pPr>
        <w:ind w:left="720" w:hanging="360"/>
      </w:pPr>
      <w:rPr>
        <w:rFonts w:hint="default"/>
      </w:rPr>
    </w:lvl>
    <w:lvl w:ilvl="1" w:tplc="0C9878B4">
      <w:start w:val="1"/>
      <w:numFmt w:val="bullet"/>
      <w:lvlText w:val="•"/>
      <w:lvlJc w:val="left"/>
      <w:pPr>
        <w:ind w:left="1800" w:hanging="72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4A36DC"/>
    <w:multiLevelType w:val="hybridMultilevel"/>
    <w:tmpl w:val="8F58B0D8"/>
    <w:lvl w:ilvl="0" w:tplc="0C9878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EB3E79"/>
    <w:multiLevelType w:val="hybridMultilevel"/>
    <w:tmpl w:val="F62819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8D419B5"/>
    <w:multiLevelType w:val="hybridMultilevel"/>
    <w:tmpl w:val="D33884D4"/>
    <w:lvl w:ilvl="0" w:tplc="EAA8B696">
      <w:start w:val="2"/>
      <w:numFmt w:val="lowerLetter"/>
      <w:lvlText w:val="(%1)"/>
      <w:lvlJc w:val="left"/>
      <w:pPr>
        <w:ind w:left="720" w:hanging="360"/>
      </w:pPr>
      <w:rPr>
        <w:rFonts w:hint="default"/>
      </w:rPr>
    </w:lvl>
    <w:lvl w:ilvl="1" w:tplc="0C9878B4">
      <w:start w:val="1"/>
      <w:numFmt w:val="bullet"/>
      <w:lvlText w:val="•"/>
      <w:lvlJc w:val="left"/>
      <w:pPr>
        <w:ind w:left="1800" w:hanging="720"/>
      </w:pPr>
      <w:rPr>
        <w:rFonts w:ascii="Calibri" w:eastAsiaTheme="minorHAnsi" w:hAnsi="Calibri" w:cs="Calibri"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0653F5"/>
    <w:multiLevelType w:val="hybridMultilevel"/>
    <w:tmpl w:val="25EAD3C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ABD5204"/>
    <w:multiLevelType w:val="hybridMultilevel"/>
    <w:tmpl w:val="6EAC5FE6"/>
    <w:lvl w:ilvl="0" w:tplc="10723234">
      <w:start w:val="2"/>
      <w:numFmt w:val="lowerLetter"/>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513596A"/>
    <w:multiLevelType w:val="hybridMultilevel"/>
    <w:tmpl w:val="07B89D2A"/>
    <w:lvl w:ilvl="0" w:tplc="06E6EE0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781689"/>
    <w:multiLevelType w:val="hybridMultilevel"/>
    <w:tmpl w:val="6DE4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0E7EAB"/>
    <w:multiLevelType w:val="hybridMultilevel"/>
    <w:tmpl w:val="8B14F4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510F6FAE"/>
    <w:multiLevelType w:val="multilevel"/>
    <w:tmpl w:val="FFEA72C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486AE0"/>
    <w:multiLevelType w:val="hybridMultilevel"/>
    <w:tmpl w:val="C5B8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7"/>
  </w:num>
  <w:num w:numId="3">
    <w:abstractNumId w:val="2"/>
  </w:num>
  <w:num w:numId="4">
    <w:abstractNumId w:val="24"/>
  </w:num>
  <w:num w:numId="5">
    <w:abstractNumId w:val="7"/>
  </w:num>
  <w:num w:numId="6">
    <w:abstractNumId w:val="21"/>
  </w:num>
  <w:num w:numId="7">
    <w:abstractNumId w:val="17"/>
  </w:num>
  <w:num w:numId="8">
    <w:abstractNumId w:val="26"/>
  </w:num>
  <w:num w:numId="9">
    <w:abstractNumId w:val="6"/>
  </w:num>
  <w:num w:numId="10">
    <w:abstractNumId w:val="23"/>
  </w:num>
  <w:num w:numId="11">
    <w:abstractNumId w:val="10"/>
  </w:num>
  <w:num w:numId="12">
    <w:abstractNumId w:val="22"/>
  </w:num>
  <w:num w:numId="13">
    <w:abstractNumId w:val="8"/>
  </w:num>
  <w:num w:numId="14">
    <w:abstractNumId w:val="19"/>
  </w:num>
  <w:num w:numId="15">
    <w:abstractNumId w:val="3"/>
  </w:num>
  <w:num w:numId="16">
    <w:abstractNumId w:val="25"/>
  </w:num>
  <w:num w:numId="17">
    <w:abstractNumId w:val="1"/>
  </w:num>
  <w:num w:numId="18">
    <w:abstractNumId w:val="4"/>
  </w:num>
  <w:num w:numId="19">
    <w:abstractNumId w:val="18"/>
  </w:num>
  <w:num w:numId="20">
    <w:abstractNumId w:val="11"/>
  </w:num>
  <w:num w:numId="21">
    <w:abstractNumId w:val="13"/>
  </w:num>
  <w:num w:numId="22">
    <w:abstractNumId w:val="16"/>
  </w:num>
  <w:num w:numId="23">
    <w:abstractNumId w:val="12"/>
  </w:num>
  <w:num w:numId="24">
    <w:abstractNumId w:val="5"/>
  </w:num>
  <w:num w:numId="25">
    <w:abstractNumId w:val="15"/>
  </w:num>
  <w:num w:numId="26">
    <w:abstractNumId w:val="9"/>
  </w:num>
  <w:num w:numId="27">
    <w:abstractNumId w:val="14"/>
  </w:num>
  <w:num w:numId="28">
    <w:abstractNumId w:val="20"/>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sTQ2tzQxMTM1NLFU0lEKTi0uzszPAykwqQUA396/kSwAAAA="/>
  </w:docVars>
  <w:rsids>
    <w:rsidRoot w:val="00BF6AC5"/>
    <w:rsid w:val="0000060C"/>
    <w:rsid w:val="00000610"/>
    <w:rsid w:val="0000323C"/>
    <w:rsid w:val="0000495D"/>
    <w:rsid w:val="000065FA"/>
    <w:rsid w:val="00007C0C"/>
    <w:rsid w:val="00010237"/>
    <w:rsid w:val="000110DC"/>
    <w:rsid w:val="000114F7"/>
    <w:rsid w:val="0001188B"/>
    <w:rsid w:val="00011CE7"/>
    <w:rsid w:val="0001431C"/>
    <w:rsid w:val="000151D0"/>
    <w:rsid w:val="000158AA"/>
    <w:rsid w:val="000159B9"/>
    <w:rsid w:val="00015D6D"/>
    <w:rsid w:val="000160E9"/>
    <w:rsid w:val="0001631E"/>
    <w:rsid w:val="00016B6E"/>
    <w:rsid w:val="00022F4E"/>
    <w:rsid w:val="000231E2"/>
    <w:rsid w:val="00023E21"/>
    <w:rsid w:val="00023E45"/>
    <w:rsid w:val="00024D94"/>
    <w:rsid w:val="00025575"/>
    <w:rsid w:val="00025ABC"/>
    <w:rsid w:val="00025E06"/>
    <w:rsid w:val="00026412"/>
    <w:rsid w:val="000266C2"/>
    <w:rsid w:val="000271C7"/>
    <w:rsid w:val="00027C74"/>
    <w:rsid w:val="00027EA9"/>
    <w:rsid w:val="00031F61"/>
    <w:rsid w:val="00031F6F"/>
    <w:rsid w:val="00032071"/>
    <w:rsid w:val="000337C1"/>
    <w:rsid w:val="00034D6E"/>
    <w:rsid w:val="000350A1"/>
    <w:rsid w:val="000357EB"/>
    <w:rsid w:val="00036B78"/>
    <w:rsid w:val="00036EC2"/>
    <w:rsid w:val="00036F43"/>
    <w:rsid w:val="0003710A"/>
    <w:rsid w:val="0004027D"/>
    <w:rsid w:val="000407E9"/>
    <w:rsid w:val="00040DC7"/>
    <w:rsid w:val="000432EA"/>
    <w:rsid w:val="00043620"/>
    <w:rsid w:val="00044A30"/>
    <w:rsid w:val="0004591B"/>
    <w:rsid w:val="00045EA8"/>
    <w:rsid w:val="0004678B"/>
    <w:rsid w:val="00046C04"/>
    <w:rsid w:val="0004728E"/>
    <w:rsid w:val="000472C9"/>
    <w:rsid w:val="00047356"/>
    <w:rsid w:val="000502CC"/>
    <w:rsid w:val="00050654"/>
    <w:rsid w:val="0005089D"/>
    <w:rsid w:val="000525BC"/>
    <w:rsid w:val="00052792"/>
    <w:rsid w:val="00052B8A"/>
    <w:rsid w:val="00053200"/>
    <w:rsid w:val="00054122"/>
    <w:rsid w:val="00056FF9"/>
    <w:rsid w:val="00057381"/>
    <w:rsid w:val="0005774C"/>
    <w:rsid w:val="000579DA"/>
    <w:rsid w:val="000600E4"/>
    <w:rsid w:val="00061D4B"/>
    <w:rsid w:val="00063429"/>
    <w:rsid w:val="000634DD"/>
    <w:rsid w:val="00063B61"/>
    <w:rsid w:val="00063F5D"/>
    <w:rsid w:val="00064230"/>
    <w:rsid w:val="000663F1"/>
    <w:rsid w:val="000668FF"/>
    <w:rsid w:val="00070797"/>
    <w:rsid w:val="00073222"/>
    <w:rsid w:val="00073BEA"/>
    <w:rsid w:val="00074A31"/>
    <w:rsid w:val="000770BA"/>
    <w:rsid w:val="000812D9"/>
    <w:rsid w:val="00081C42"/>
    <w:rsid w:val="00082A6E"/>
    <w:rsid w:val="00083AC1"/>
    <w:rsid w:val="000842EB"/>
    <w:rsid w:val="00084305"/>
    <w:rsid w:val="00084EF8"/>
    <w:rsid w:val="000867CD"/>
    <w:rsid w:val="00087379"/>
    <w:rsid w:val="00087742"/>
    <w:rsid w:val="00090002"/>
    <w:rsid w:val="0009049E"/>
    <w:rsid w:val="00090714"/>
    <w:rsid w:val="00091184"/>
    <w:rsid w:val="00091E15"/>
    <w:rsid w:val="0009208C"/>
    <w:rsid w:val="00092580"/>
    <w:rsid w:val="000943FC"/>
    <w:rsid w:val="000955E7"/>
    <w:rsid w:val="00095F3B"/>
    <w:rsid w:val="00096EAE"/>
    <w:rsid w:val="0009791F"/>
    <w:rsid w:val="00097E6E"/>
    <w:rsid w:val="000A110D"/>
    <w:rsid w:val="000A169B"/>
    <w:rsid w:val="000A170F"/>
    <w:rsid w:val="000A1B5C"/>
    <w:rsid w:val="000A2647"/>
    <w:rsid w:val="000A3511"/>
    <w:rsid w:val="000A38DC"/>
    <w:rsid w:val="000A3AA3"/>
    <w:rsid w:val="000A478F"/>
    <w:rsid w:val="000A5098"/>
    <w:rsid w:val="000A5B32"/>
    <w:rsid w:val="000A688C"/>
    <w:rsid w:val="000A79EC"/>
    <w:rsid w:val="000A7EAB"/>
    <w:rsid w:val="000B0300"/>
    <w:rsid w:val="000B07A2"/>
    <w:rsid w:val="000B38E6"/>
    <w:rsid w:val="000B3CD0"/>
    <w:rsid w:val="000C011A"/>
    <w:rsid w:val="000C01AA"/>
    <w:rsid w:val="000C15B2"/>
    <w:rsid w:val="000C1DED"/>
    <w:rsid w:val="000C22F2"/>
    <w:rsid w:val="000C359A"/>
    <w:rsid w:val="000C3A89"/>
    <w:rsid w:val="000C5FD3"/>
    <w:rsid w:val="000C61DA"/>
    <w:rsid w:val="000C61ED"/>
    <w:rsid w:val="000D047F"/>
    <w:rsid w:val="000D066E"/>
    <w:rsid w:val="000D0831"/>
    <w:rsid w:val="000D1404"/>
    <w:rsid w:val="000D206F"/>
    <w:rsid w:val="000D3BFB"/>
    <w:rsid w:val="000D3DBC"/>
    <w:rsid w:val="000D4776"/>
    <w:rsid w:val="000D6152"/>
    <w:rsid w:val="000D6BEE"/>
    <w:rsid w:val="000D70C3"/>
    <w:rsid w:val="000E0940"/>
    <w:rsid w:val="000E19A6"/>
    <w:rsid w:val="000E1B3F"/>
    <w:rsid w:val="000E2DCA"/>
    <w:rsid w:val="000E478F"/>
    <w:rsid w:val="000E47E7"/>
    <w:rsid w:val="000E5439"/>
    <w:rsid w:val="000E5535"/>
    <w:rsid w:val="000E5582"/>
    <w:rsid w:val="000E7FFD"/>
    <w:rsid w:val="000F03B2"/>
    <w:rsid w:val="000F0A3A"/>
    <w:rsid w:val="000F0EF3"/>
    <w:rsid w:val="000F2111"/>
    <w:rsid w:val="000F2349"/>
    <w:rsid w:val="000F3231"/>
    <w:rsid w:val="000F3E1E"/>
    <w:rsid w:val="000F724B"/>
    <w:rsid w:val="00102419"/>
    <w:rsid w:val="00102686"/>
    <w:rsid w:val="00103E6E"/>
    <w:rsid w:val="001055F1"/>
    <w:rsid w:val="00105804"/>
    <w:rsid w:val="0010595F"/>
    <w:rsid w:val="00107C40"/>
    <w:rsid w:val="0011036E"/>
    <w:rsid w:val="00111C66"/>
    <w:rsid w:val="001130B0"/>
    <w:rsid w:val="0011369B"/>
    <w:rsid w:val="001146FB"/>
    <w:rsid w:val="00114D42"/>
    <w:rsid w:val="00114D78"/>
    <w:rsid w:val="00114E48"/>
    <w:rsid w:val="001167FD"/>
    <w:rsid w:val="0011742E"/>
    <w:rsid w:val="00117CF9"/>
    <w:rsid w:val="00122C09"/>
    <w:rsid w:val="00123D10"/>
    <w:rsid w:val="0012446F"/>
    <w:rsid w:val="001262BE"/>
    <w:rsid w:val="00126B33"/>
    <w:rsid w:val="0012777C"/>
    <w:rsid w:val="001309DE"/>
    <w:rsid w:val="00130F76"/>
    <w:rsid w:val="00132C65"/>
    <w:rsid w:val="00132D42"/>
    <w:rsid w:val="00133420"/>
    <w:rsid w:val="0013352B"/>
    <w:rsid w:val="001338C5"/>
    <w:rsid w:val="0013481C"/>
    <w:rsid w:val="0013547E"/>
    <w:rsid w:val="001354ED"/>
    <w:rsid w:val="00135F41"/>
    <w:rsid w:val="00137CDD"/>
    <w:rsid w:val="001401A1"/>
    <w:rsid w:val="0014063E"/>
    <w:rsid w:val="0014240E"/>
    <w:rsid w:val="00143D63"/>
    <w:rsid w:val="00144A55"/>
    <w:rsid w:val="00144DCF"/>
    <w:rsid w:val="001473A3"/>
    <w:rsid w:val="001502CA"/>
    <w:rsid w:val="001508B4"/>
    <w:rsid w:val="001518E5"/>
    <w:rsid w:val="00151C2F"/>
    <w:rsid w:val="001542F0"/>
    <w:rsid w:val="0015479A"/>
    <w:rsid w:val="00154B00"/>
    <w:rsid w:val="00157EBD"/>
    <w:rsid w:val="00162C62"/>
    <w:rsid w:val="00163819"/>
    <w:rsid w:val="00163F5B"/>
    <w:rsid w:val="001644E9"/>
    <w:rsid w:val="00164CD1"/>
    <w:rsid w:val="00167F8F"/>
    <w:rsid w:val="001720D8"/>
    <w:rsid w:val="00172FDB"/>
    <w:rsid w:val="001735A3"/>
    <w:rsid w:val="00174109"/>
    <w:rsid w:val="001748D5"/>
    <w:rsid w:val="001753D7"/>
    <w:rsid w:val="001757DB"/>
    <w:rsid w:val="0017674F"/>
    <w:rsid w:val="00176E16"/>
    <w:rsid w:val="00176FA5"/>
    <w:rsid w:val="001810DD"/>
    <w:rsid w:val="00181B85"/>
    <w:rsid w:val="00182238"/>
    <w:rsid w:val="00182772"/>
    <w:rsid w:val="00182BEB"/>
    <w:rsid w:val="00182C62"/>
    <w:rsid w:val="001845D9"/>
    <w:rsid w:val="00184BD6"/>
    <w:rsid w:val="00185A53"/>
    <w:rsid w:val="0018630F"/>
    <w:rsid w:val="0018664C"/>
    <w:rsid w:val="001903FC"/>
    <w:rsid w:val="001906CD"/>
    <w:rsid w:val="001906D6"/>
    <w:rsid w:val="00191B99"/>
    <w:rsid w:val="00192C14"/>
    <w:rsid w:val="00192C5C"/>
    <w:rsid w:val="00193A60"/>
    <w:rsid w:val="00193FA1"/>
    <w:rsid w:val="0019440A"/>
    <w:rsid w:val="001946E0"/>
    <w:rsid w:val="00194968"/>
    <w:rsid w:val="00195EBA"/>
    <w:rsid w:val="0019694B"/>
    <w:rsid w:val="00196D12"/>
    <w:rsid w:val="00197D29"/>
    <w:rsid w:val="001A02E3"/>
    <w:rsid w:val="001A1114"/>
    <w:rsid w:val="001A1ADF"/>
    <w:rsid w:val="001A2700"/>
    <w:rsid w:val="001A2BBF"/>
    <w:rsid w:val="001A365C"/>
    <w:rsid w:val="001A3D1B"/>
    <w:rsid w:val="001A4B20"/>
    <w:rsid w:val="001A5BA3"/>
    <w:rsid w:val="001A7419"/>
    <w:rsid w:val="001B11E1"/>
    <w:rsid w:val="001B171D"/>
    <w:rsid w:val="001B29A1"/>
    <w:rsid w:val="001B5169"/>
    <w:rsid w:val="001B5367"/>
    <w:rsid w:val="001B5640"/>
    <w:rsid w:val="001B5887"/>
    <w:rsid w:val="001B6114"/>
    <w:rsid w:val="001B6164"/>
    <w:rsid w:val="001B71DC"/>
    <w:rsid w:val="001B7DE5"/>
    <w:rsid w:val="001C1A2E"/>
    <w:rsid w:val="001C55D0"/>
    <w:rsid w:val="001C67EF"/>
    <w:rsid w:val="001C7020"/>
    <w:rsid w:val="001D096C"/>
    <w:rsid w:val="001D0D54"/>
    <w:rsid w:val="001D161D"/>
    <w:rsid w:val="001D2447"/>
    <w:rsid w:val="001D2809"/>
    <w:rsid w:val="001D29E2"/>
    <w:rsid w:val="001D322E"/>
    <w:rsid w:val="001D39A2"/>
    <w:rsid w:val="001D3DFB"/>
    <w:rsid w:val="001D533D"/>
    <w:rsid w:val="001D740A"/>
    <w:rsid w:val="001D77ED"/>
    <w:rsid w:val="001E0A7D"/>
    <w:rsid w:val="001E1180"/>
    <w:rsid w:val="001E23EA"/>
    <w:rsid w:val="001E4FF8"/>
    <w:rsid w:val="001E588E"/>
    <w:rsid w:val="001E66CC"/>
    <w:rsid w:val="001E6919"/>
    <w:rsid w:val="001E6958"/>
    <w:rsid w:val="001E73F1"/>
    <w:rsid w:val="001E7D51"/>
    <w:rsid w:val="001F59CE"/>
    <w:rsid w:val="001F62ED"/>
    <w:rsid w:val="001F64BB"/>
    <w:rsid w:val="001F685C"/>
    <w:rsid w:val="001F6F7B"/>
    <w:rsid w:val="001F7C1D"/>
    <w:rsid w:val="00201924"/>
    <w:rsid w:val="00201CB1"/>
    <w:rsid w:val="00202473"/>
    <w:rsid w:val="002034D2"/>
    <w:rsid w:val="00204D71"/>
    <w:rsid w:val="002053F2"/>
    <w:rsid w:val="0020561C"/>
    <w:rsid w:val="00206D63"/>
    <w:rsid w:val="0020754E"/>
    <w:rsid w:val="00210128"/>
    <w:rsid w:val="0021185D"/>
    <w:rsid w:val="00211C8C"/>
    <w:rsid w:val="00214382"/>
    <w:rsid w:val="00214808"/>
    <w:rsid w:val="00214EEA"/>
    <w:rsid w:val="002153AE"/>
    <w:rsid w:val="0021558B"/>
    <w:rsid w:val="00217EC8"/>
    <w:rsid w:val="002200C8"/>
    <w:rsid w:val="00220F8F"/>
    <w:rsid w:val="002228C7"/>
    <w:rsid w:val="002229DE"/>
    <w:rsid w:val="00224394"/>
    <w:rsid w:val="00224A37"/>
    <w:rsid w:val="0022661B"/>
    <w:rsid w:val="00226777"/>
    <w:rsid w:val="00226950"/>
    <w:rsid w:val="00227177"/>
    <w:rsid w:val="00227701"/>
    <w:rsid w:val="002313BF"/>
    <w:rsid w:val="00232EE5"/>
    <w:rsid w:val="00235BD1"/>
    <w:rsid w:val="00235D1B"/>
    <w:rsid w:val="00235E14"/>
    <w:rsid w:val="002378C9"/>
    <w:rsid w:val="002378F9"/>
    <w:rsid w:val="00240378"/>
    <w:rsid w:val="002409AE"/>
    <w:rsid w:val="00240EC2"/>
    <w:rsid w:val="002418CF"/>
    <w:rsid w:val="00242B0E"/>
    <w:rsid w:val="00243B67"/>
    <w:rsid w:val="00243F3E"/>
    <w:rsid w:val="002469C7"/>
    <w:rsid w:val="002474E1"/>
    <w:rsid w:val="00247967"/>
    <w:rsid w:val="00247DF0"/>
    <w:rsid w:val="00250930"/>
    <w:rsid w:val="002512C9"/>
    <w:rsid w:val="00252618"/>
    <w:rsid w:val="002543CA"/>
    <w:rsid w:val="00254813"/>
    <w:rsid w:val="00255BAF"/>
    <w:rsid w:val="00257FF2"/>
    <w:rsid w:val="002604C8"/>
    <w:rsid w:val="00262274"/>
    <w:rsid w:val="0026490A"/>
    <w:rsid w:val="0026515F"/>
    <w:rsid w:val="00265705"/>
    <w:rsid w:val="002657C5"/>
    <w:rsid w:val="00265822"/>
    <w:rsid w:val="00265E95"/>
    <w:rsid w:val="0026612F"/>
    <w:rsid w:val="00270E25"/>
    <w:rsid w:val="0027105F"/>
    <w:rsid w:val="002711FB"/>
    <w:rsid w:val="0027194E"/>
    <w:rsid w:val="002719D5"/>
    <w:rsid w:val="00273AFD"/>
    <w:rsid w:val="00273B48"/>
    <w:rsid w:val="0027540A"/>
    <w:rsid w:val="002806AE"/>
    <w:rsid w:val="00280781"/>
    <w:rsid w:val="00280EA2"/>
    <w:rsid w:val="00282073"/>
    <w:rsid w:val="00282A76"/>
    <w:rsid w:val="00282BE8"/>
    <w:rsid w:val="00283318"/>
    <w:rsid w:val="00285525"/>
    <w:rsid w:val="00286887"/>
    <w:rsid w:val="00286AE5"/>
    <w:rsid w:val="002901B7"/>
    <w:rsid w:val="00291665"/>
    <w:rsid w:val="00291CBD"/>
    <w:rsid w:val="00293269"/>
    <w:rsid w:val="002943BB"/>
    <w:rsid w:val="00294957"/>
    <w:rsid w:val="00294CD8"/>
    <w:rsid w:val="002974FE"/>
    <w:rsid w:val="002976EA"/>
    <w:rsid w:val="00297888"/>
    <w:rsid w:val="002A2260"/>
    <w:rsid w:val="002A270B"/>
    <w:rsid w:val="002A2965"/>
    <w:rsid w:val="002A4462"/>
    <w:rsid w:val="002A50FD"/>
    <w:rsid w:val="002A624D"/>
    <w:rsid w:val="002A6753"/>
    <w:rsid w:val="002B28D7"/>
    <w:rsid w:val="002B2E44"/>
    <w:rsid w:val="002B3614"/>
    <w:rsid w:val="002B68CC"/>
    <w:rsid w:val="002B75B3"/>
    <w:rsid w:val="002B7C08"/>
    <w:rsid w:val="002B7C44"/>
    <w:rsid w:val="002B7EB6"/>
    <w:rsid w:val="002C08F7"/>
    <w:rsid w:val="002C0B61"/>
    <w:rsid w:val="002C0DCA"/>
    <w:rsid w:val="002C15E6"/>
    <w:rsid w:val="002C247D"/>
    <w:rsid w:val="002C3345"/>
    <w:rsid w:val="002C46BD"/>
    <w:rsid w:val="002C5FA9"/>
    <w:rsid w:val="002C703D"/>
    <w:rsid w:val="002C70E8"/>
    <w:rsid w:val="002D114B"/>
    <w:rsid w:val="002D277D"/>
    <w:rsid w:val="002D2DEE"/>
    <w:rsid w:val="002D409A"/>
    <w:rsid w:val="002D6416"/>
    <w:rsid w:val="002E33D0"/>
    <w:rsid w:val="002E3FCE"/>
    <w:rsid w:val="002E440E"/>
    <w:rsid w:val="002E4D1D"/>
    <w:rsid w:val="002E5497"/>
    <w:rsid w:val="002E5E83"/>
    <w:rsid w:val="002E5EEB"/>
    <w:rsid w:val="002E68C7"/>
    <w:rsid w:val="002F1512"/>
    <w:rsid w:val="002F2D65"/>
    <w:rsid w:val="002F30E7"/>
    <w:rsid w:val="002F420C"/>
    <w:rsid w:val="002F4C29"/>
    <w:rsid w:val="002F7AC0"/>
    <w:rsid w:val="002F7B2D"/>
    <w:rsid w:val="003007A6"/>
    <w:rsid w:val="00300B84"/>
    <w:rsid w:val="00300EEB"/>
    <w:rsid w:val="003013A9"/>
    <w:rsid w:val="0030184A"/>
    <w:rsid w:val="00301958"/>
    <w:rsid w:val="003020B5"/>
    <w:rsid w:val="003027BB"/>
    <w:rsid w:val="003047D0"/>
    <w:rsid w:val="00304829"/>
    <w:rsid w:val="00310A10"/>
    <w:rsid w:val="00310CB5"/>
    <w:rsid w:val="00310F61"/>
    <w:rsid w:val="003117FC"/>
    <w:rsid w:val="00311C74"/>
    <w:rsid w:val="00312D5E"/>
    <w:rsid w:val="00313163"/>
    <w:rsid w:val="0031382E"/>
    <w:rsid w:val="00313DAC"/>
    <w:rsid w:val="00313DAE"/>
    <w:rsid w:val="00314239"/>
    <w:rsid w:val="00314919"/>
    <w:rsid w:val="00314A06"/>
    <w:rsid w:val="0031587A"/>
    <w:rsid w:val="003208E3"/>
    <w:rsid w:val="00320DED"/>
    <w:rsid w:val="00321269"/>
    <w:rsid w:val="003216A1"/>
    <w:rsid w:val="003238A6"/>
    <w:rsid w:val="00323FC9"/>
    <w:rsid w:val="003240A6"/>
    <w:rsid w:val="00324647"/>
    <w:rsid w:val="003254FF"/>
    <w:rsid w:val="00327D25"/>
    <w:rsid w:val="003319A7"/>
    <w:rsid w:val="00334FE3"/>
    <w:rsid w:val="003356F8"/>
    <w:rsid w:val="00335747"/>
    <w:rsid w:val="00336311"/>
    <w:rsid w:val="003369EC"/>
    <w:rsid w:val="00336AB2"/>
    <w:rsid w:val="00336E57"/>
    <w:rsid w:val="00337D54"/>
    <w:rsid w:val="003402D1"/>
    <w:rsid w:val="00340CC9"/>
    <w:rsid w:val="00340ED1"/>
    <w:rsid w:val="00341DC4"/>
    <w:rsid w:val="003421AE"/>
    <w:rsid w:val="0034264E"/>
    <w:rsid w:val="003433D1"/>
    <w:rsid w:val="00343B75"/>
    <w:rsid w:val="003448D5"/>
    <w:rsid w:val="00344B24"/>
    <w:rsid w:val="00344BAB"/>
    <w:rsid w:val="0034535C"/>
    <w:rsid w:val="003456B9"/>
    <w:rsid w:val="00345CD1"/>
    <w:rsid w:val="00347BB7"/>
    <w:rsid w:val="00347D12"/>
    <w:rsid w:val="0035067D"/>
    <w:rsid w:val="00353056"/>
    <w:rsid w:val="003538E6"/>
    <w:rsid w:val="00353A16"/>
    <w:rsid w:val="00355A1E"/>
    <w:rsid w:val="00356EBB"/>
    <w:rsid w:val="0035776D"/>
    <w:rsid w:val="00357B9D"/>
    <w:rsid w:val="00357D1B"/>
    <w:rsid w:val="0036002C"/>
    <w:rsid w:val="003607E8"/>
    <w:rsid w:val="003624A0"/>
    <w:rsid w:val="00362819"/>
    <w:rsid w:val="0036457A"/>
    <w:rsid w:val="00364FD9"/>
    <w:rsid w:val="00365334"/>
    <w:rsid w:val="003676D3"/>
    <w:rsid w:val="00367C1B"/>
    <w:rsid w:val="00371C9C"/>
    <w:rsid w:val="0037340A"/>
    <w:rsid w:val="003738D5"/>
    <w:rsid w:val="00376B61"/>
    <w:rsid w:val="0038032B"/>
    <w:rsid w:val="00381B22"/>
    <w:rsid w:val="00382407"/>
    <w:rsid w:val="00382D2A"/>
    <w:rsid w:val="00383292"/>
    <w:rsid w:val="00383783"/>
    <w:rsid w:val="00383840"/>
    <w:rsid w:val="00383B51"/>
    <w:rsid w:val="0038452E"/>
    <w:rsid w:val="003853EC"/>
    <w:rsid w:val="00386A64"/>
    <w:rsid w:val="00386FA1"/>
    <w:rsid w:val="00387C6D"/>
    <w:rsid w:val="00390142"/>
    <w:rsid w:val="003904AC"/>
    <w:rsid w:val="00391221"/>
    <w:rsid w:val="003916B9"/>
    <w:rsid w:val="00391ED0"/>
    <w:rsid w:val="003929DC"/>
    <w:rsid w:val="00392F00"/>
    <w:rsid w:val="00396B20"/>
    <w:rsid w:val="00396DAA"/>
    <w:rsid w:val="00397377"/>
    <w:rsid w:val="0039791F"/>
    <w:rsid w:val="00397A4B"/>
    <w:rsid w:val="003A00DA"/>
    <w:rsid w:val="003A0EC6"/>
    <w:rsid w:val="003A0F42"/>
    <w:rsid w:val="003A1BA5"/>
    <w:rsid w:val="003A22DE"/>
    <w:rsid w:val="003A25C7"/>
    <w:rsid w:val="003A2860"/>
    <w:rsid w:val="003A358D"/>
    <w:rsid w:val="003A3C35"/>
    <w:rsid w:val="003A6952"/>
    <w:rsid w:val="003A76A9"/>
    <w:rsid w:val="003A7D30"/>
    <w:rsid w:val="003B0194"/>
    <w:rsid w:val="003B09DC"/>
    <w:rsid w:val="003B3305"/>
    <w:rsid w:val="003B35B6"/>
    <w:rsid w:val="003B3BD9"/>
    <w:rsid w:val="003B3C5C"/>
    <w:rsid w:val="003B5206"/>
    <w:rsid w:val="003B61B0"/>
    <w:rsid w:val="003B6643"/>
    <w:rsid w:val="003B7566"/>
    <w:rsid w:val="003C1D01"/>
    <w:rsid w:val="003C1FB7"/>
    <w:rsid w:val="003C2677"/>
    <w:rsid w:val="003C3B6C"/>
    <w:rsid w:val="003C47CA"/>
    <w:rsid w:val="003C5C6E"/>
    <w:rsid w:val="003C6200"/>
    <w:rsid w:val="003C7B9E"/>
    <w:rsid w:val="003C7D11"/>
    <w:rsid w:val="003D11AB"/>
    <w:rsid w:val="003D25EA"/>
    <w:rsid w:val="003D2E02"/>
    <w:rsid w:val="003D4C43"/>
    <w:rsid w:val="003D5C9B"/>
    <w:rsid w:val="003D6DE1"/>
    <w:rsid w:val="003D795C"/>
    <w:rsid w:val="003D7E26"/>
    <w:rsid w:val="003E043C"/>
    <w:rsid w:val="003E29A1"/>
    <w:rsid w:val="003E29DE"/>
    <w:rsid w:val="003E30FB"/>
    <w:rsid w:val="003E3924"/>
    <w:rsid w:val="003E4545"/>
    <w:rsid w:val="003E51E9"/>
    <w:rsid w:val="003E6969"/>
    <w:rsid w:val="003E7233"/>
    <w:rsid w:val="003F0547"/>
    <w:rsid w:val="003F1B58"/>
    <w:rsid w:val="003F2711"/>
    <w:rsid w:val="003F5D57"/>
    <w:rsid w:val="003F6C70"/>
    <w:rsid w:val="003F6F9F"/>
    <w:rsid w:val="003F7CB9"/>
    <w:rsid w:val="004017F9"/>
    <w:rsid w:val="0040245A"/>
    <w:rsid w:val="00403333"/>
    <w:rsid w:val="0040439E"/>
    <w:rsid w:val="00405467"/>
    <w:rsid w:val="00406BAC"/>
    <w:rsid w:val="00406FEE"/>
    <w:rsid w:val="004108F5"/>
    <w:rsid w:val="00411735"/>
    <w:rsid w:val="00411960"/>
    <w:rsid w:val="00412138"/>
    <w:rsid w:val="00414350"/>
    <w:rsid w:val="00415AD1"/>
    <w:rsid w:val="00415C74"/>
    <w:rsid w:val="0042073E"/>
    <w:rsid w:val="00420945"/>
    <w:rsid w:val="00422FED"/>
    <w:rsid w:val="00423975"/>
    <w:rsid w:val="00423A85"/>
    <w:rsid w:val="004241F3"/>
    <w:rsid w:val="004243A0"/>
    <w:rsid w:val="004264D8"/>
    <w:rsid w:val="00427025"/>
    <w:rsid w:val="004310EE"/>
    <w:rsid w:val="004329CE"/>
    <w:rsid w:val="00432AC8"/>
    <w:rsid w:val="00432B90"/>
    <w:rsid w:val="00433254"/>
    <w:rsid w:val="004337C8"/>
    <w:rsid w:val="00434310"/>
    <w:rsid w:val="00435C77"/>
    <w:rsid w:val="00435E7A"/>
    <w:rsid w:val="00436217"/>
    <w:rsid w:val="0043642A"/>
    <w:rsid w:val="0043654D"/>
    <w:rsid w:val="00436F0A"/>
    <w:rsid w:val="00437CA3"/>
    <w:rsid w:val="00437F60"/>
    <w:rsid w:val="00441F35"/>
    <w:rsid w:val="004457D6"/>
    <w:rsid w:val="00446080"/>
    <w:rsid w:val="004460DB"/>
    <w:rsid w:val="00447263"/>
    <w:rsid w:val="00451358"/>
    <w:rsid w:val="00451840"/>
    <w:rsid w:val="00452BD8"/>
    <w:rsid w:val="00452C55"/>
    <w:rsid w:val="0045431C"/>
    <w:rsid w:val="00454BA2"/>
    <w:rsid w:val="00454D25"/>
    <w:rsid w:val="00456D11"/>
    <w:rsid w:val="00460C9A"/>
    <w:rsid w:val="00461586"/>
    <w:rsid w:val="004615CD"/>
    <w:rsid w:val="0046292D"/>
    <w:rsid w:val="00464924"/>
    <w:rsid w:val="0046522C"/>
    <w:rsid w:val="00465782"/>
    <w:rsid w:val="00465BB9"/>
    <w:rsid w:val="00466947"/>
    <w:rsid w:val="00467CF0"/>
    <w:rsid w:val="004701BF"/>
    <w:rsid w:val="004711F6"/>
    <w:rsid w:val="0047182A"/>
    <w:rsid w:val="00472365"/>
    <w:rsid w:val="00472A29"/>
    <w:rsid w:val="00472AB9"/>
    <w:rsid w:val="004735EF"/>
    <w:rsid w:val="004740BA"/>
    <w:rsid w:val="00474CFD"/>
    <w:rsid w:val="0047581D"/>
    <w:rsid w:val="00476560"/>
    <w:rsid w:val="004778B5"/>
    <w:rsid w:val="00477991"/>
    <w:rsid w:val="00477E20"/>
    <w:rsid w:val="00477F14"/>
    <w:rsid w:val="004800FD"/>
    <w:rsid w:val="00480289"/>
    <w:rsid w:val="00481279"/>
    <w:rsid w:val="00481E3A"/>
    <w:rsid w:val="00481EB3"/>
    <w:rsid w:val="00482EC4"/>
    <w:rsid w:val="00483368"/>
    <w:rsid w:val="00484CFC"/>
    <w:rsid w:val="00485E00"/>
    <w:rsid w:val="00491680"/>
    <w:rsid w:val="0049228D"/>
    <w:rsid w:val="0049328D"/>
    <w:rsid w:val="00493D9F"/>
    <w:rsid w:val="00494011"/>
    <w:rsid w:val="004945B8"/>
    <w:rsid w:val="00494A98"/>
    <w:rsid w:val="00494D95"/>
    <w:rsid w:val="004956AF"/>
    <w:rsid w:val="004960BE"/>
    <w:rsid w:val="004A0188"/>
    <w:rsid w:val="004A0BF4"/>
    <w:rsid w:val="004A156F"/>
    <w:rsid w:val="004A2092"/>
    <w:rsid w:val="004A263B"/>
    <w:rsid w:val="004A3F41"/>
    <w:rsid w:val="004A492E"/>
    <w:rsid w:val="004A5E4B"/>
    <w:rsid w:val="004A6780"/>
    <w:rsid w:val="004A6B6D"/>
    <w:rsid w:val="004A7DDE"/>
    <w:rsid w:val="004B136C"/>
    <w:rsid w:val="004B68AE"/>
    <w:rsid w:val="004B72C8"/>
    <w:rsid w:val="004C0E2C"/>
    <w:rsid w:val="004C1038"/>
    <w:rsid w:val="004C24CC"/>
    <w:rsid w:val="004C2A45"/>
    <w:rsid w:val="004C2C51"/>
    <w:rsid w:val="004C2D2C"/>
    <w:rsid w:val="004C35B0"/>
    <w:rsid w:val="004C3DC2"/>
    <w:rsid w:val="004C45E6"/>
    <w:rsid w:val="004C49EF"/>
    <w:rsid w:val="004C4A19"/>
    <w:rsid w:val="004C51F1"/>
    <w:rsid w:val="004C5570"/>
    <w:rsid w:val="004C662F"/>
    <w:rsid w:val="004C73EF"/>
    <w:rsid w:val="004D00C9"/>
    <w:rsid w:val="004D23EF"/>
    <w:rsid w:val="004D4E74"/>
    <w:rsid w:val="004D56C4"/>
    <w:rsid w:val="004D7E06"/>
    <w:rsid w:val="004E16F5"/>
    <w:rsid w:val="004E3CC7"/>
    <w:rsid w:val="004E4A2B"/>
    <w:rsid w:val="004E4F85"/>
    <w:rsid w:val="004E5126"/>
    <w:rsid w:val="004E5303"/>
    <w:rsid w:val="004E5B69"/>
    <w:rsid w:val="004E7E29"/>
    <w:rsid w:val="004F1425"/>
    <w:rsid w:val="004F291D"/>
    <w:rsid w:val="004F2A87"/>
    <w:rsid w:val="004F3147"/>
    <w:rsid w:val="004F32FB"/>
    <w:rsid w:val="004F42A8"/>
    <w:rsid w:val="004F7603"/>
    <w:rsid w:val="00500721"/>
    <w:rsid w:val="00502854"/>
    <w:rsid w:val="00503542"/>
    <w:rsid w:val="00503B7C"/>
    <w:rsid w:val="005051D3"/>
    <w:rsid w:val="00507C56"/>
    <w:rsid w:val="0051032E"/>
    <w:rsid w:val="00510671"/>
    <w:rsid w:val="00511F44"/>
    <w:rsid w:val="005138C8"/>
    <w:rsid w:val="00514598"/>
    <w:rsid w:val="00514934"/>
    <w:rsid w:val="00517C8E"/>
    <w:rsid w:val="00521101"/>
    <w:rsid w:val="00521729"/>
    <w:rsid w:val="00521C94"/>
    <w:rsid w:val="0052344E"/>
    <w:rsid w:val="0052354E"/>
    <w:rsid w:val="00523ED9"/>
    <w:rsid w:val="0052424A"/>
    <w:rsid w:val="00526478"/>
    <w:rsid w:val="00526ECE"/>
    <w:rsid w:val="00530204"/>
    <w:rsid w:val="00530360"/>
    <w:rsid w:val="005318E2"/>
    <w:rsid w:val="00531B6F"/>
    <w:rsid w:val="00532453"/>
    <w:rsid w:val="00533B68"/>
    <w:rsid w:val="00534C5F"/>
    <w:rsid w:val="00534DE7"/>
    <w:rsid w:val="00535D54"/>
    <w:rsid w:val="00535E3A"/>
    <w:rsid w:val="00537857"/>
    <w:rsid w:val="00540257"/>
    <w:rsid w:val="00541484"/>
    <w:rsid w:val="0054192F"/>
    <w:rsid w:val="005421D1"/>
    <w:rsid w:val="0054303A"/>
    <w:rsid w:val="00543D4D"/>
    <w:rsid w:val="00543EB5"/>
    <w:rsid w:val="00543F3A"/>
    <w:rsid w:val="005441A7"/>
    <w:rsid w:val="0054430A"/>
    <w:rsid w:val="00544EB3"/>
    <w:rsid w:val="00544FBE"/>
    <w:rsid w:val="0054594B"/>
    <w:rsid w:val="00545C2A"/>
    <w:rsid w:val="0054749B"/>
    <w:rsid w:val="00547BCA"/>
    <w:rsid w:val="00550519"/>
    <w:rsid w:val="00550C22"/>
    <w:rsid w:val="0055163D"/>
    <w:rsid w:val="00551CC6"/>
    <w:rsid w:val="00552EB3"/>
    <w:rsid w:val="005532F1"/>
    <w:rsid w:val="005537EC"/>
    <w:rsid w:val="00553C1F"/>
    <w:rsid w:val="00554380"/>
    <w:rsid w:val="00554B63"/>
    <w:rsid w:val="00554E7A"/>
    <w:rsid w:val="0055678D"/>
    <w:rsid w:val="00556E46"/>
    <w:rsid w:val="0056015F"/>
    <w:rsid w:val="00560506"/>
    <w:rsid w:val="00560541"/>
    <w:rsid w:val="00560885"/>
    <w:rsid w:val="00560899"/>
    <w:rsid w:val="005609A6"/>
    <w:rsid w:val="00560CEB"/>
    <w:rsid w:val="00560FE9"/>
    <w:rsid w:val="00561853"/>
    <w:rsid w:val="00561A90"/>
    <w:rsid w:val="00561C98"/>
    <w:rsid w:val="00563386"/>
    <w:rsid w:val="0056427E"/>
    <w:rsid w:val="00564C24"/>
    <w:rsid w:val="0056705E"/>
    <w:rsid w:val="005672D0"/>
    <w:rsid w:val="00567F75"/>
    <w:rsid w:val="0057089F"/>
    <w:rsid w:val="00572076"/>
    <w:rsid w:val="005720FA"/>
    <w:rsid w:val="00572CEB"/>
    <w:rsid w:val="00572D76"/>
    <w:rsid w:val="0057367D"/>
    <w:rsid w:val="005744DF"/>
    <w:rsid w:val="005746E8"/>
    <w:rsid w:val="00575AC1"/>
    <w:rsid w:val="00576AC2"/>
    <w:rsid w:val="005808C2"/>
    <w:rsid w:val="00581AE6"/>
    <w:rsid w:val="00581E58"/>
    <w:rsid w:val="00581F73"/>
    <w:rsid w:val="00582231"/>
    <w:rsid w:val="005834C9"/>
    <w:rsid w:val="00583691"/>
    <w:rsid w:val="00586049"/>
    <w:rsid w:val="0058613F"/>
    <w:rsid w:val="00586A93"/>
    <w:rsid w:val="00586F4B"/>
    <w:rsid w:val="0059061E"/>
    <w:rsid w:val="00591711"/>
    <w:rsid w:val="00592872"/>
    <w:rsid w:val="005937C2"/>
    <w:rsid w:val="00594EB4"/>
    <w:rsid w:val="005951E4"/>
    <w:rsid w:val="005960A3"/>
    <w:rsid w:val="00597272"/>
    <w:rsid w:val="005A064E"/>
    <w:rsid w:val="005A1D78"/>
    <w:rsid w:val="005A211E"/>
    <w:rsid w:val="005A2B2D"/>
    <w:rsid w:val="005A2DBA"/>
    <w:rsid w:val="005A340F"/>
    <w:rsid w:val="005A3F9B"/>
    <w:rsid w:val="005A4640"/>
    <w:rsid w:val="005A4953"/>
    <w:rsid w:val="005A4ECF"/>
    <w:rsid w:val="005A58BA"/>
    <w:rsid w:val="005A5D30"/>
    <w:rsid w:val="005A6AB9"/>
    <w:rsid w:val="005A6C37"/>
    <w:rsid w:val="005A71C7"/>
    <w:rsid w:val="005B07AC"/>
    <w:rsid w:val="005B0E8C"/>
    <w:rsid w:val="005B3586"/>
    <w:rsid w:val="005B4173"/>
    <w:rsid w:val="005B480C"/>
    <w:rsid w:val="005B4FE7"/>
    <w:rsid w:val="005B53F9"/>
    <w:rsid w:val="005B653A"/>
    <w:rsid w:val="005B7A24"/>
    <w:rsid w:val="005C064E"/>
    <w:rsid w:val="005C0772"/>
    <w:rsid w:val="005C0F34"/>
    <w:rsid w:val="005C333E"/>
    <w:rsid w:val="005C3AE7"/>
    <w:rsid w:val="005C3C55"/>
    <w:rsid w:val="005C4402"/>
    <w:rsid w:val="005C538C"/>
    <w:rsid w:val="005C5934"/>
    <w:rsid w:val="005C7F3D"/>
    <w:rsid w:val="005D0677"/>
    <w:rsid w:val="005D124D"/>
    <w:rsid w:val="005D3721"/>
    <w:rsid w:val="005D3AB2"/>
    <w:rsid w:val="005D3EA4"/>
    <w:rsid w:val="005D5687"/>
    <w:rsid w:val="005D744D"/>
    <w:rsid w:val="005E13DF"/>
    <w:rsid w:val="005E1A3B"/>
    <w:rsid w:val="005E1C84"/>
    <w:rsid w:val="005E294C"/>
    <w:rsid w:val="005E2CE3"/>
    <w:rsid w:val="005E2F50"/>
    <w:rsid w:val="005E3988"/>
    <w:rsid w:val="005E3B88"/>
    <w:rsid w:val="005E40BC"/>
    <w:rsid w:val="005E410C"/>
    <w:rsid w:val="005E4C46"/>
    <w:rsid w:val="005E4C9F"/>
    <w:rsid w:val="005E4DE2"/>
    <w:rsid w:val="005E56CA"/>
    <w:rsid w:val="005E5F38"/>
    <w:rsid w:val="005E6410"/>
    <w:rsid w:val="005E6E43"/>
    <w:rsid w:val="005E6E56"/>
    <w:rsid w:val="005F059C"/>
    <w:rsid w:val="005F1926"/>
    <w:rsid w:val="005F1B5B"/>
    <w:rsid w:val="005F255A"/>
    <w:rsid w:val="005F29DA"/>
    <w:rsid w:val="005F30A2"/>
    <w:rsid w:val="005F3218"/>
    <w:rsid w:val="005F3F07"/>
    <w:rsid w:val="005F4CFD"/>
    <w:rsid w:val="005F68BE"/>
    <w:rsid w:val="005F7268"/>
    <w:rsid w:val="00600CE4"/>
    <w:rsid w:val="00600DC1"/>
    <w:rsid w:val="0060168E"/>
    <w:rsid w:val="00603538"/>
    <w:rsid w:val="00603D04"/>
    <w:rsid w:val="006066C5"/>
    <w:rsid w:val="00606857"/>
    <w:rsid w:val="00607052"/>
    <w:rsid w:val="00607B6D"/>
    <w:rsid w:val="00611C16"/>
    <w:rsid w:val="00612199"/>
    <w:rsid w:val="0061268A"/>
    <w:rsid w:val="00612732"/>
    <w:rsid w:val="00612B38"/>
    <w:rsid w:val="00612BA9"/>
    <w:rsid w:val="00613572"/>
    <w:rsid w:val="00615808"/>
    <w:rsid w:val="00615F42"/>
    <w:rsid w:val="00616B39"/>
    <w:rsid w:val="0061763D"/>
    <w:rsid w:val="006201EA"/>
    <w:rsid w:val="0062225E"/>
    <w:rsid w:val="0062278C"/>
    <w:rsid w:val="006237C1"/>
    <w:rsid w:val="00623FEB"/>
    <w:rsid w:val="006251C4"/>
    <w:rsid w:val="006253B3"/>
    <w:rsid w:val="006258C2"/>
    <w:rsid w:val="00625A16"/>
    <w:rsid w:val="006260DD"/>
    <w:rsid w:val="00626365"/>
    <w:rsid w:val="00630E22"/>
    <w:rsid w:val="00631214"/>
    <w:rsid w:val="006318FF"/>
    <w:rsid w:val="00631CB1"/>
    <w:rsid w:val="006328A8"/>
    <w:rsid w:val="00632EB8"/>
    <w:rsid w:val="006331AD"/>
    <w:rsid w:val="006349B9"/>
    <w:rsid w:val="00634AF5"/>
    <w:rsid w:val="00634B0D"/>
    <w:rsid w:val="00635793"/>
    <w:rsid w:val="006363B2"/>
    <w:rsid w:val="00637C62"/>
    <w:rsid w:val="00637DCF"/>
    <w:rsid w:val="006415E7"/>
    <w:rsid w:val="0064168C"/>
    <w:rsid w:val="00642756"/>
    <w:rsid w:val="00644017"/>
    <w:rsid w:val="0064761D"/>
    <w:rsid w:val="00647C44"/>
    <w:rsid w:val="00647F1B"/>
    <w:rsid w:val="0065117D"/>
    <w:rsid w:val="00651ECD"/>
    <w:rsid w:val="006534C6"/>
    <w:rsid w:val="00653735"/>
    <w:rsid w:val="00654D95"/>
    <w:rsid w:val="00657B46"/>
    <w:rsid w:val="006602B0"/>
    <w:rsid w:val="0066112B"/>
    <w:rsid w:val="00661EEE"/>
    <w:rsid w:val="00662317"/>
    <w:rsid w:val="006667FF"/>
    <w:rsid w:val="0066744B"/>
    <w:rsid w:val="006739AD"/>
    <w:rsid w:val="00674F3F"/>
    <w:rsid w:val="006764EC"/>
    <w:rsid w:val="00677726"/>
    <w:rsid w:val="00677892"/>
    <w:rsid w:val="00677AC8"/>
    <w:rsid w:val="00680049"/>
    <w:rsid w:val="0068158F"/>
    <w:rsid w:val="0068287F"/>
    <w:rsid w:val="006831BB"/>
    <w:rsid w:val="0068349B"/>
    <w:rsid w:val="006835FE"/>
    <w:rsid w:val="0068498F"/>
    <w:rsid w:val="00684AAA"/>
    <w:rsid w:val="006905DC"/>
    <w:rsid w:val="00690A92"/>
    <w:rsid w:val="006917A2"/>
    <w:rsid w:val="006924D4"/>
    <w:rsid w:val="00692A3B"/>
    <w:rsid w:val="00692B6C"/>
    <w:rsid w:val="00693BFD"/>
    <w:rsid w:val="00695065"/>
    <w:rsid w:val="0069627C"/>
    <w:rsid w:val="00696A33"/>
    <w:rsid w:val="00696F79"/>
    <w:rsid w:val="006A1038"/>
    <w:rsid w:val="006A1337"/>
    <w:rsid w:val="006A24E8"/>
    <w:rsid w:val="006A649A"/>
    <w:rsid w:val="006B08FE"/>
    <w:rsid w:val="006B0C3E"/>
    <w:rsid w:val="006B1B49"/>
    <w:rsid w:val="006B2339"/>
    <w:rsid w:val="006B3AB2"/>
    <w:rsid w:val="006B40AB"/>
    <w:rsid w:val="006B476C"/>
    <w:rsid w:val="006B60B4"/>
    <w:rsid w:val="006B6390"/>
    <w:rsid w:val="006B687C"/>
    <w:rsid w:val="006B6FE5"/>
    <w:rsid w:val="006B76A4"/>
    <w:rsid w:val="006C0356"/>
    <w:rsid w:val="006C0843"/>
    <w:rsid w:val="006C251D"/>
    <w:rsid w:val="006C268A"/>
    <w:rsid w:val="006C3623"/>
    <w:rsid w:val="006C384D"/>
    <w:rsid w:val="006C4526"/>
    <w:rsid w:val="006C666D"/>
    <w:rsid w:val="006C74B1"/>
    <w:rsid w:val="006D0904"/>
    <w:rsid w:val="006D09BB"/>
    <w:rsid w:val="006D25D9"/>
    <w:rsid w:val="006D2BFB"/>
    <w:rsid w:val="006D2F13"/>
    <w:rsid w:val="006D2FD6"/>
    <w:rsid w:val="006D5B48"/>
    <w:rsid w:val="006D6291"/>
    <w:rsid w:val="006E02E1"/>
    <w:rsid w:val="006E2A21"/>
    <w:rsid w:val="006E387C"/>
    <w:rsid w:val="006E415A"/>
    <w:rsid w:val="006E5759"/>
    <w:rsid w:val="006E57AA"/>
    <w:rsid w:val="006E663B"/>
    <w:rsid w:val="006E6D1C"/>
    <w:rsid w:val="006E772C"/>
    <w:rsid w:val="006F0639"/>
    <w:rsid w:val="006F0836"/>
    <w:rsid w:val="006F08FE"/>
    <w:rsid w:val="006F20CF"/>
    <w:rsid w:val="006F24AC"/>
    <w:rsid w:val="006F2CFD"/>
    <w:rsid w:val="006F38ED"/>
    <w:rsid w:val="006F42E2"/>
    <w:rsid w:val="006F4A6D"/>
    <w:rsid w:val="006F6006"/>
    <w:rsid w:val="006F70A3"/>
    <w:rsid w:val="006F76FE"/>
    <w:rsid w:val="007000BE"/>
    <w:rsid w:val="0070038F"/>
    <w:rsid w:val="00703D03"/>
    <w:rsid w:val="00704728"/>
    <w:rsid w:val="00705352"/>
    <w:rsid w:val="00707D4D"/>
    <w:rsid w:val="0071116B"/>
    <w:rsid w:val="00714161"/>
    <w:rsid w:val="00714F2B"/>
    <w:rsid w:val="0071626D"/>
    <w:rsid w:val="007170E6"/>
    <w:rsid w:val="007200FC"/>
    <w:rsid w:val="007218DE"/>
    <w:rsid w:val="00721C49"/>
    <w:rsid w:val="00721CDA"/>
    <w:rsid w:val="00721FEE"/>
    <w:rsid w:val="00722941"/>
    <w:rsid w:val="00723446"/>
    <w:rsid w:val="00723503"/>
    <w:rsid w:val="00723CE9"/>
    <w:rsid w:val="00724C13"/>
    <w:rsid w:val="007252A5"/>
    <w:rsid w:val="00726AD6"/>
    <w:rsid w:val="00730C04"/>
    <w:rsid w:val="00731D21"/>
    <w:rsid w:val="00732CFE"/>
    <w:rsid w:val="007340BC"/>
    <w:rsid w:val="007341E7"/>
    <w:rsid w:val="0073468A"/>
    <w:rsid w:val="0073597B"/>
    <w:rsid w:val="00735FE5"/>
    <w:rsid w:val="00736427"/>
    <w:rsid w:val="007366F4"/>
    <w:rsid w:val="007378F6"/>
    <w:rsid w:val="007409C4"/>
    <w:rsid w:val="00741BB0"/>
    <w:rsid w:val="0074327F"/>
    <w:rsid w:val="00745247"/>
    <w:rsid w:val="0074545D"/>
    <w:rsid w:val="00745B21"/>
    <w:rsid w:val="007467C5"/>
    <w:rsid w:val="00746DF0"/>
    <w:rsid w:val="007473D2"/>
    <w:rsid w:val="00750266"/>
    <w:rsid w:val="00750EFE"/>
    <w:rsid w:val="00751513"/>
    <w:rsid w:val="007522E3"/>
    <w:rsid w:val="007527FF"/>
    <w:rsid w:val="0075335B"/>
    <w:rsid w:val="00753C44"/>
    <w:rsid w:val="00754383"/>
    <w:rsid w:val="0075486C"/>
    <w:rsid w:val="0075518A"/>
    <w:rsid w:val="007564D1"/>
    <w:rsid w:val="00757232"/>
    <w:rsid w:val="00757B11"/>
    <w:rsid w:val="00760679"/>
    <w:rsid w:val="00762BF9"/>
    <w:rsid w:val="00763620"/>
    <w:rsid w:val="00763628"/>
    <w:rsid w:val="00764ACC"/>
    <w:rsid w:val="00764E16"/>
    <w:rsid w:val="0076618D"/>
    <w:rsid w:val="007665A5"/>
    <w:rsid w:val="00766CA2"/>
    <w:rsid w:val="00767E99"/>
    <w:rsid w:val="007720CF"/>
    <w:rsid w:val="00772816"/>
    <w:rsid w:val="00772CFD"/>
    <w:rsid w:val="00772E62"/>
    <w:rsid w:val="007747BE"/>
    <w:rsid w:val="00774FF8"/>
    <w:rsid w:val="0077517D"/>
    <w:rsid w:val="00775A6A"/>
    <w:rsid w:val="0077789B"/>
    <w:rsid w:val="00777913"/>
    <w:rsid w:val="00780024"/>
    <w:rsid w:val="00780D29"/>
    <w:rsid w:val="00781201"/>
    <w:rsid w:val="007816D0"/>
    <w:rsid w:val="0078334F"/>
    <w:rsid w:val="00784BBE"/>
    <w:rsid w:val="0078515B"/>
    <w:rsid w:val="00785944"/>
    <w:rsid w:val="00785C6D"/>
    <w:rsid w:val="00790EC9"/>
    <w:rsid w:val="00791C8D"/>
    <w:rsid w:val="00791F27"/>
    <w:rsid w:val="00792675"/>
    <w:rsid w:val="00792806"/>
    <w:rsid w:val="00792A9E"/>
    <w:rsid w:val="00792E08"/>
    <w:rsid w:val="0079308A"/>
    <w:rsid w:val="0079354C"/>
    <w:rsid w:val="00794181"/>
    <w:rsid w:val="00794224"/>
    <w:rsid w:val="0079675C"/>
    <w:rsid w:val="00797046"/>
    <w:rsid w:val="00797B63"/>
    <w:rsid w:val="007A048F"/>
    <w:rsid w:val="007A0C82"/>
    <w:rsid w:val="007A1558"/>
    <w:rsid w:val="007A4084"/>
    <w:rsid w:val="007A4E9B"/>
    <w:rsid w:val="007A53B1"/>
    <w:rsid w:val="007A7F6F"/>
    <w:rsid w:val="007B0E86"/>
    <w:rsid w:val="007B15E5"/>
    <w:rsid w:val="007B3C89"/>
    <w:rsid w:val="007B4690"/>
    <w:rsid w:val="007B4C76"/>
    <w:rsid w:val="007B637A"/>
    <w:rsid w:val="007B6CFE"/>
    <w:rsid w:val="007B7112"/>
    <w:rsid w:val="007B7379"/>
    <w:rsid w:val="007B7CBF"/>
    <w:rsid w:val="007B7DC6"/>
    <w:rsid w:val="007C00D7"/>
    <w:rsid w:val="007C1030"/>
    <w:rsid w:val="007C109D"/>
    <w:rsid w:val="007C2260"/>
    <w:rsid w:val="007C2813"/>
    <w:rsid w:val="007C2A7C"/>
    <w:rsid w:val="007C2BD1"/>
    <w:rsid w:val="007C2D0C"/>
    <w:rsid w:val="007C4256"/>
    <w:rsid w:val="007C563F"/>
    <w:rsid w:val="007C65D8"/>
    <w:rsid w:val="007C6666"/>
    <w:rsid w:val="007C69F8"/>
    <w:rsid w:val="007C6A2B"/>
    <w:rsid w:val="007C76EF"/>
    <w:rsid w:val="007D1E52"/>
    <w:rsid w:val="007D2358"/>
    <w:rsid w:val="007D373D"/>
    <w:rsid w:val="007D4FC6"/>
    <w:rsid w:val="007D548A"/>
    <w:rsid w:val="007D6980"/>
    <w:rsid w:val="007D6A4C"/>
    <w:rsid w:val="007D7005"/>
    <w:rsid w:val="007E0803"/>
    <w:rsid w:val="007E0D71"/>
    <w:rsid w:val="007E14C9"/>
    <w:rsid w:val="007E2658"/>
    <w:rsid w:val="007E31DD"/>
    <w:rsid w:val="007E39E4"/>
    <w:rsid w:val="007E49FC"/>
    <w:rsid w:val="007E6FB3"/>
    <w:rsid w:val="007F02AC"/>
    <w:rsid w:val="007F03E3"/>
    <w:rsid w:val="007F210A"/>
    <w:rsid w:val="007F21B4"/>
    <w:rsid w:val="007F296A"/>
    <w:rsid w:val="007F3304"/>
    <w:rsid w:val="007F3D98"/>
    <w:rsid w:val="007F4E5D"/>
    <w:rsid w:val="007F5202"/>
    <w:rsid w:val="00800451"/>
    <w:rsid w:val="00802553"/>
    <w:rsid w:val="008026F5"/>
    <w:rsid w:val="0080276A"/>
    <w:rsid w:val="00802835"/>
    <w:rsid w:val="008036AE"/>
    <w:rsid w:val="00803ABC"/>
    <w:rsid w:val="00803EAB"/>
    <w:rsid w:val="008046B5"/>
    <w:rsid w:val="0080590E"/>
    <w:rsid w:val="008066DF"/>
    <w:rsid w:val="0080713A"/>
    <w:rsid w:val="00810224"/>
    <w:rsid w:val="00810617"/>
    <w:rsid w:val="008127C0"/>
    <w:rsid w:val="00812B24"/>
    <w:rsid w:val="00812EDD"/>
    <w:rsid w:val="008139C5"/>
    <w:rsid w:val="008145F8"/>
    <w:rsid w:val="00816315"/>
    <w:rsid w:val="0081650F"/>
    <w:rsid w:val="00817723"/>
    <w:rsid w:val="008207EC"/>
    <w:rsid w:val="008217E3"/>
    <w:rsid w:val="00823AA8"/>
    <w:rsid w:val="00823C84"/>
    <w:rsid w:val="008248CD"/>
    <w:rsid w:val="00825E52"/>
    <w:rsid w:val="00826529"/>
    <w:rsid w:val="00826A46"/>
    <w:rsid w:val="00827701"/>
    <w:rsid w:val="00827AC4"/>
    <w:rsid w:val="00830C19"/>
    <w:rsid w:val="00830D1A"/>
    <w:rsid w:val="00831763"/>
    <w:rsid w:val="00832B31"/>
    <w:rsid w:val="00833160"/>
    <w:rsid w:val="008332B9"/>
    <w:rsid w:val="0083370C"/>
    <w:rsid w:val="00834EA1"/>
    <w:rsid w:val="008360B7"/>
    <w:rsid w:val="00836CE2"/>
    <w:rsid w:val="00836E8B"/>
    <w:rsid w:val="00837245"/>
    <w:rsid w:val="00837DD9"/>
    <w:rsid w:val="008403E0"/>
    <w:rsid w:val="0084067C"/>
    <w:rsid w:val="00841621"/>
    <w:rsid w:val="00842BBE"/>
    <w:rsid w:val="00844568"/>
    <w:rsid w:val="00844E91"/>
    <w:rsid w:val="00844FF1"/>
    <w:rsid w:val="0084657B"/>
    <w:rsid w:val="00847DBD"/>
    <w:rsid w:val="00851E46"/>
    <w:rsid w:val="00853A8F"/>
    <w:rsid w:val="00854511"/>
    <w:rsid w:val="00854745"/>
    <w:rsid w:val="00855944"/>
    <w:rsid w:val="00856DB7"/>
    <w:rsid w:val="008574DA"/>
    <w:rsid w:val="00860B45"/>
    <w:rsid w:val="008618BB"/>
    <w:rsid w:val="00862123"/>
    <w:rsid w:val="008623D3"/>
    <w:rsid w:val="0086276E"/>
    <w:rsid w:val="00863B3B"/>
    <w:rsid w:val="00864A18"/>
    <w:rsid w:val="00865C4E"/>
    <w:rsid w:val="00866796"/>
    <w:rsid w:val="00866CC1"/>
    <w:rsid w:val="00866E16"/>
    <w:rsid w:val="00867455"/>
    <w:rsid w:val="00867470"/>
    <w:rsid w:val="00870833"/>
    <w:rsid w:val="00871D6F"/>
    <w:rsid w:val="00874571"/>
    <w:rsid w:val="00874E80"/>
    <w:rsid w:val="008759EB"/>
    <w:rsid w:val="00880D0C"/>
    <w:rsid w:val="008817FA"/>
    <w:rsid w:val="008818E3"/>
    <w:rsid w:val="00881959"/>
    <w:rsid w:val="00881F93"/>
    <w:rsid w:val="00882925"/>
    <w:rsid w:val="00882CB5"/>
    <w:rsid w:val="00883304"/>
    <w:rsid w:val="00883641"/>
    <w:rsid w:val="00883690"/>
    <w:rsid w:val="00884243"/>
    <w:rsid w:val="00884E69"/>
    <w:rsid w:val="008856B5"/>
    <w:rsid w:val="008861D4"/>
    <w:rsid w:val="00890082"/>
    <w:rsid w:val="008905A0"/>
    <w:rsid w:val="00890B59"/>
    <w:rsid w:val="008928EE"/>
    <w:rsid w:val="0089294B"/>
    <w:rsid w:val="00894D27"/>
    <w:rsid w:val="00894D8C"/>
    <w:rsid w:val="0089785B"/>
    <w:rsid w:val="008A2909"/>
    <w:rsid w:val="008A347C"/>
    <w:rsid w:val="008A48D2"/>
    <w:rsid w:val="008A4A21"/>
    <w:rsid w:val="008A4B14"/>
    <w:rsid w:val="008A50F8"/>
    <w:rsid w:val="008A6602"/>
    <w:rsid w:val="008A6E51"/>
    <w:rsid w:val="008A6E79"/>
    <w:rsid w:val="008A7356"/>
    <w:rsid w:val="008A7423"/>
    <w:rsid w:val="008A7E26"/>
    <w:rsid w:val="008B067E"/>
    <w:rsid w:val="008B075F"/>
    <w:rsid w:val="008B19C9"/>
    <w:rsid w:val="008B2610"/>
    <w:rsid w:val="008B3065"/>
    <w:rsid w:val="008B30BF"/>
    <w:rsid w:val="008B379B"/>
    <w:rsid w:val="008B3E40"/>
    <w:rsid w:val="008B471D"/>
    <w:rsid w:val="008B49E4"/>
    <w:rsid w:val="008B4D91"/>
    <w:rsid w:val="008B588F"/>
    <w:rsid w:val="008B718C"/>
    <w:rsid w:val="008B729C"/>
    <w:rsid w:val="008B76AA"/>
    <w:rsid w:val="008B77DE"/>
    <w:rsid w:val="008B7CB4"/>
    <w:rsid w:val="008B7EC8"/>
    <w:rsid w:val="008C03B2"/>
    <w:rsid w:val="008C1011"/>
    <w:rsid w:val="008C16ED"/>
    <w:rsid w:val="008C3B9E"/>
    <w:rsid w:val="008C41BB"/>
    <w:rsid w:val="008C4547"/>
    <w:rsid w:val="008C4A93"/>
    <w:rsid w:val="008C5463"/>
    <w:rsid w:val="008C5A24"/>
    <w:rsid w:val="008C5F6C"/>
    <w:rsid w:val="008C60A1"/>
    <w:rsid w:val="008C61CC"/>
    <w:rsid w:val="008C72BF"/>
    <w:rsid w:val="008C7E66"/>
    <w:rsid w:val="008D036F"/>
    <w:rsid w:val="008D2CB3"/>
    <w:rsid w:val="008D35B9"/>
    <w:rsid w:val="008D557D"/>
    <w:rsid w:val="008D584B"/>
    <w:rsid w:val="008D6DC8"/>
    <w:rsid w:val="008D7BB4"/>
    <w:rsid w:val="008E0A7D"/>
    <w:rsid w:val="008E0E49"/>
    <w:rsid w:val="008E0FF2"/>
    <w:rsid w:val="008E1722"/>
    <w:rsid w:val="008E35FD"/>
    <w:rsid w:val="008E3BE0"/>
    <w:rsid w:val="008E3C34"/>
    <w:rsid w:val="008E6227"/>
    <w:rsid w:val="008E6396"/>
    <w:rsid w:val="008E768E"/>
    <w:rsid w:val="008E78B9"/>
    <w:rsid w:val="008E7AA2"/>
    <w:rsid w:val="008E7AC4"/>
    <w:rsid w:val="008F11B5"/>
    <w:rsid w:val="008F1998"/>
    <w:rsid w:val="008F2CB5"/>
    <w:rsid w:val="008F3E9D"/>
    <w:rsid w:val="008F40A8"/>
    <w:rsid w:val="008F41B9"/>
    <w:rsid w:val="008F426F"/>
    <w:rsid w:val="008F491C"/>
    <w:rsid w:val="008F60FE"/>
    <w:rsid w:val="008F676F"/>
    <w:rsid w:val="008F76CB"/>
    <w:rsid w:val="008F77BF"/>
    <w:rsid w:val="008F78EC"/>
    <w:rsid w:val="009006B8"/>
    <w:rsid w:val="00900D70"/>
    <w:rsid w:val="0090157F"/>
    <w:rsid w:val="00901F1C"/>
    <w:rsid w:val="009021BA"/>
    <w:rsid w:val="00903D3E"/>
    <w:rsid w:val="0090543D"/>
    <w:rsid w:val="009056C5"/>
    <w:rsid w:val="00905B50"/>
    <w:rsid w:val="009060E8"/>
    <w:rsid w:val="00907DF4"/>
    <w:rsid w:val="00907F0B"/>
    <w:rsid w:val="009105C8"/>
    <w:rsid w:val="00912B6A"/>
    <w:rsid w:val="00912C15"/>
    <w:rsid w:val="009137F9"/>
    <w:rsid w:val="0091462E"/>
    <w:rsid w:val="009174D6"/>
    <w:rsid w:val="00917D1E"/>
    <w:rsid w:val="009225C2"/>
    <w:rsid w:val="009233F5"/>
    <w:rsid w:val="0092451D"/>
    <w:rsid w:val="00924F51"/>
    <w:rsid w:val="009262F2"/>
    <w:rsid w:val="0092699F"/>
    <w:rsid w:val="0093149F"/>
    <w:rsid w:val="00931882"/>
    <w:rsid w:val="00931EB2"/>
    <w:rsid w:val="00933ABE"/>
    <w:rsid w:val="00934AF5"/>
    <w:rsid w:val="00934F8E"/>
    <w:rsid w:val="009354AB"/>
    <w:rsid w:val="009373A2"/>
    <w:rsid w:val="00937791"/>
    <w:rsid w:val="00937EC5"/>
    <w:rsid w:val="00937EFD"/>
    <w:rsid w:val="0094054E"/>
    <w:rsid w:val="009406E8"/>
    <w:rsid w:val="00941B58"/>
    <w:rsid w:val="00941BD1"/>
    <w:rsid w:val="00943DC2"/>
    <w:rsid w:val="009459AB"/>
    <w:rsid w:val="00945E5B"/>
    <w:rsid w:val="00946D0D"/>
    <w:rsid w:val="0094719F"/>
    <w:rsid w:val="0094760E"/>
    <w:rsid w:val="00947B2C"/>
    <w:rsid w:val="00950F90"/>
    <w:rsid w:val="00951933"/>
    <w:rsid w:val="00951DF3"/>
    <w:rsid w:val="009524B3"/>
    <w:rsid w:val="009539A5"/>
    <w:rsid w:val="00954343"/>
    <w:rsid w:val="00954DB2"/>
    <w:rsid w:val="00955271"/>
    <w:rsid w:val="009552E3"/>
    <w:rsid w:val="0095536E"/>
    <w:rsid w:val="00955F5C"/>
    <w:rsid w:val="0095643B"/>
    <w:rsid w:val="00956828"/>
    <w:rsid w:val="00956C6E"/>
    <w:rsid w:val="009576B6"/>
    <w:rsid w:val="00957FC7"/>
    <w:rsid w:val="0096039C"/>
    <w:rsid w:val="009609C1"/>
    <w:rsid w:val="0096307B"/>
    <w:rsid w:val="0096314A"/>
    <w:rsid w:val="00963C9C"/>
    <w:rsid w:val="00965B6B"/>
    <w:rsid w:val="00970DC8"/>
    <w:rsid w:val="00971EDB"/>
    <w:rsid w:val="00972441"/>
    <w:rsid w:val="00972773"/>
    <w:rsid w:val="0097345A"/>
    <w:rsid w:val="00973CE1"/>
    <w:rsid w:val="00974D50"/>
    <w:rsid w:val="0097586D"/>
    <w:rsid w:val="0097626C"/>
    <w:rsid w:val="00976345"/>
    <w:rsid w:val="00977873"/>
    <w:rsid w:val="00977CBD"/>
    <w:rsid w:val="00980053"/>
    <w:rsid w:val="00981FBF"/>
    <w:rsid w:val="00982996"/>
    <w:rsid w:val="0098674D"/>
    <w:rsid w:val="00986B8C"/>
    <w:rsid w:val="00986C12"/>
    <w:rsid w:val="00987387"/>
    <w:rsid w:val="0098746E"/>
    <w:rsid w:val="009874B6"/>
    <w:rsid w:val="00987ABE"/>
    <w:rsid w:val="009900D4"/>
    <w:rsid w:val="009906E7"/>
    <w:rsid w:val="00990BE3"/>
    <w:rsid w:val="00991EE4"/>
    <w:rsid w:val="009939DC"/>
    <w:rsid w:val="00993B9C"/>
    <w:rsid w:val="00993BA4"/>
    <w:rsid w:val="0099553C"/>
    <w:rsid w:val="00996DB7"/>
    <w:rsid w:val="009A0897"/>
    <w:rsid w:val="009A0A40"/>
    <w:rsid w:val="009A3B6F"/>
    <w:rsid w:val="009A3E37"/>
    <w:rsid w:val="009A5CD3"/>
    <w:rsid w:val="009A71C2"/>
    <w:rsid w:val="009A755A"/>
    <w:rsid w:val="009A7E10"/>
    <w:rsid w:val="009B1B41"/>
    <w:rsid w:val="009B3F93"/>
    <w:rsid w:val="009B40C6"/>
    <w:rsid w:val="009B4833"/>
    <w:rsid w:val="009B4A5D"/>
    <w:rsid w:val="009B4E1E"/>
    <w:rsid w:val="009B4E2D"/>
    <w:rsid w:val="009B5C43"/>
    <w:rsid w:val="009B6F80"/>
    <w:rsid w:val="009B7D6B"/>
    <w:rsid w:val="009C02FB"/>
    <w:rsid w:val="009C03FB"/>
    <w:rsid w:val="009C1E6D"/>
    <w:rsid w:val="009C2177"/>
    <w:rsid w:val="009C3F1B"/>
    <w:rsid w:val="009C4812"/>
    <w:rsid w:val="009C4B4F"/>
    <w:rsid w:val="009C4CD1"/>
    <w:rsid w:val="009C4F32"/>
    <w:rsid w:val="009C5890"/>
    <w:rsid w:val="009C5CD0"/>
    <w:rsid w:val="009C68E6"/>
    <w:rsid w:val="009C76C9"/>
    <w:rsid w:val="009C79A4"/>
    <w:rsid w:val="009D0404"/>
    <w:rsid w:val="009D1426"/>
    <w:rsid w:val="009D33AD"/>
    <w:rsid w:val="009D4E22"/>
    <w:rsid w:val="009D59F8"/>
    <w:rsid w:val="009D5F0A"/>
    <w:rsid w:val="009D7F2E"/>
    <w:rsid w:val="009E053A"/>
    <w:rsid w:val="009E054B"/>
    <w:rsid w:val="009E2F08"/>
    <w:rsid w:val="009E33A1"/>
    <w:rsid w:val="009E4B9F"/>
    <w:rsid w:val="009E5C59"/>
    <w:rsid w:val="009E7163"/>
    <w:rsid w:val="009F0C02"/>
    <w:rsid w:val="009F1DCD"/>
    <w:rsid w:val="009F2CCD"/>
    <w:rsid w:val="009F3378"/>
    <w:rsid w:val="009F37A9"/>
    <w:rsid w:val="009F3B34"/>
    <w:rsid w:val="009F4455"/>
    <w:rsid w:val="009F56BE"/>
    <w:rsid w:val="009F5758"/>
    <w:rsid w:val="009F5FCB"/>
    <w:rsid w:val="009F6CD8"/>
    <w:rsid w:val="009F70AF"/>
    <w:rsid w:val="00A00437"/>
    <w:rsid w:val="00A00C97"/>
    <w:rsid w:val="00A00CE8"/>
    <w:rsid w:val="00A0283F"/>
    <w:rsid w:val="00A029B6"/>
    <w:rsid w:val="00A038AB"/>
    <w:rsid w:val="00A04F4A"/>
    <w:rsid w:val="00A05EB1"/>
    <w:rsid w:val="00A06A29"/>
    <w:rsid w:val="00A07E98"/>
    <w:rsid w:val="00A101D9"/>
    <w:rsid w:val="00A10C05"/>
    <w:rsid w:val="00A131CB"/>
    <w:rsid w:val="00A14CAE"/>
    <w:rsid w:val="00A168E7"/>
    <w:rsid w:val="00A17983"/>
    <w:rsid w:val="00A179AD"/>
    <w:rsid w:val="00A20008"/>
    <w:rsid w:val="00A20089"/>
    <w:rsid w:val="00A20AE6"/>
    <w:rsid w:val="00A217E8"/>
    <w:rsid w:val="00A26343"/>
    <w:rsid w:val="00A2761F"/>
    <w:rsid w:val="00A300E1"/>
    <w:rsid w:val="00A30E4B"/>
    <w:rsid w:val="00A317BF"/>
    <w:rsid w:val="00A31C16"/>
    <w:rsid w:val="00A3331C"/>
    <w:rsid w:val="00A3387C"/>
    <w:rsid w:val="00A338DA"/>
    <w:rsid w:val="00A33CCD"/>
    <w:rsid w:val="00A352B0"/>
    <w:rsid w:val="00A367BC"/>
    <w:rsid w:val="00A36A1B"/>
    <w:rsid w:val="00A36C35"/>
    <w:rsid w:val="00A37A2C"/>
    <w:rsid w:val="00A37AC7"/>
    <w:rsid w:val="00A408B5"/>
    <w:rsid w:val="00A40A17"/>
    <w:rsid w:val="00A40BBC"/>
    <w:rsid w:val="00A428D9"/>
    <w:rsid w:val="00A42E9F"/>
    <w:rsid w:val="00A4407D"/>
    <w:rsid w:val="00A44774"/>
    <w:rsid w:val="00A45882"/>
    <w:rsid w:val="00A46836"/>
    <w:rsid w:val="00A50261"/>
    <w:rsid w:val="00A529E2"/>
    <w:rsid w:val="00A535CC"/>
    <w:rsid w:val="00A53674"/>
    <w:rsid w:val="00A53713"/>
    <w:rsid w:val="00A539F8"/>
    <w:rsid w:val="00A54922"/>
    <w:rsid w:val="00A54CF5"/>
    <w:rsid w:val="00A560E3"/>
    <w:rsid w:val="00A56561"/>
    <w:rsid w:val="00A56DF0"/>
    <w:rsid w:val="00A57061"/>
    <w:rsid w:val="00A575EF"/>
    <w:rsid w:val="00A576E6"/>
    <w:rsid w:val="00A57906"/>
    <w:rsid w:val="00A60034"/>
    <w:rsid w:val="00A60377"/>
    <w:rsid w:val="00A60A84"/>
    <w:rsid w:val="00A61AEC"/>
    <w:rsid w:val="00A61CAC"/>
    <w:rsid w:val="00A61CF5"/>
    <w:rsid w:val="00A62179"/>
    <w:rsid w:val="00A6285D"/>
    <w:rsid w:val="00A62A1D"/>
    <w:rsid w:val="00A6491A"/>
    <w:rsid w:val="00A6526A"/>
    <w:rsid w:val="00A6594E"/>
    <w:rsid w:val="00A65EB5"/>
    <w:rsid w:val="00A66804"/>
    <w:rsid w:val="00A66882"/>
    <w:rsid w:val="00A6710F"/>
    <w:rsid w:val="00A67114"/>
    <w:rsid w:val="00A67655"/>
    <w:rsid w:val="00A677DA"/>
    <w:rsid w:val="00A67CCF"/>
    <w:rsid w:val="00A70D26"/>
    <w:rsid w:val="00A70E07"/>
    <w:rsid w:val="00A71683"/>
    <w:rsid w:val="00A71ABC"/>
    <w:rsid w:val="00A727B6"/>
    <w:rsid w:val="00A72B77"/>
    <w:rsid w:val="00A740DB"/>
    <w:rsid w:val="00A742E4"/>
    <w:rsid w:val="00A744BF"/>
    <w:rsid w:val="00A75510"/>
    <w:rsid w:val="00A759E1"/>
    <w:rsid w:val="00A75DCF"/>
    <w:rsid w:val="00A80A65"/>
    <w:rsid w:val="00A81CC6"/>
    <w:rsid w:val="00A82FCA"/>
    <w:rsid w:val="00A83EC6"/>
    <w:rsid w:val="00A853B7"/>
    <w:rsid w:val="00A85D46"/>
    <w:rsid w:val="00A86090"/>
    <w:rsid w:val="00A87119"/>
    <w:rsid w:val="00A8732C"/>
    <w:rsid w:val="00A87C01"/>
    <w:rsid w:val="00A9028D"/>
    <w:rsid w:val="00A9062D"/>
    <w:rsid w:val="00A9064A"/>
    <w:rsid w:val="00A93B5B"/>
    <w:rsid w:val="00A93F58"/>
    <w:rsid w:val="00A96329"/>
    <w:rsid w:val="00A96B5F"/>
    <w:rsid w:val="00A97611"/>
    <w:rsid w:val="00AA09DC"/>
    <w:rsid w:val="00AA134B"/>
    <w:rsid w:val="00AA29AA"/>
    <w:rsid w:val="00AA2CFE"/>
    <w:rsid w:val="00AA59A4"/>
    <w:rsid w:val="00AA5DA6"/>
    <w:rsid w:val="00AA5FDA"/>
    <w:rsid w:val="00AA620A"/>
    <w:rsid w:val="00AA6291"/>
    <w:rsid w:val="00AB0F90"/>
    <w:rsid w:val="00AB4029"/>
    <w:rsid w:val="00AB43B4"/>
    <w:rsid w:val="00AB4C7B"/>
    <w:rsid w:val="00AB60B7"/>
    <w:rsid w:val="00AB6E4B"/>
    <w:rsid w:val="00AB762F"/>
    <w:rsid w:val="00AB76D3"/>
    <w:rsid w:val="00AC0C91"/>
    <w:rsid w:val="00AC122A"/>
    <w:rsid w:val="00AC14E8"/>
    <w:rsid w:val="00AC1B46"/>
    <w:rsid w:val="00AC2EB9"/>
    <w:rsid w:val="00AC6F0A"/>
    <w:rsid w:val="00AC7928"/>
    <w:rsid w:val="00AC7D5A"/>
    <w:rsid w:val="00AD0DA3"/>
    <w:rsid w:val="00AD1912"/>
    <w:rsid w:val="00AD278B"/>
    <w:rsid w:val="00AD37D4"/>
    <w:rsid w:val="00AD640B"/>
    <w:rsid w:val="00AD6702"/>
    <w:rsid w:val="00AD7986"/>
    <w:rsid w:val="00AD7BE4"/>
    <w:rsid w:val="00AE0054"/>
    <w:rsid w:val="00AE02FC"/>
    <w:rsid w:val="00AE0455"/>
    <w:rsid w:val="00AE1188"/>
    <w:rsid w:val="00AE2007"/>
    <w:rsid w:val="00AE31AE"/>
    <w:rsid w:val="00AE394B"/>
    <w:rsid w:val="00AE3B57"/>
    <w:rsid w:val="00AE54C3"/>
    <w:rsid w:val="00AE5B22"/>
    <w:rsid w:val="00AE6085"/>
    <w:rsid w:val="00AE60F0"/>
    <w:rsid w:val="00AE6164"/>
    <w:rsid w:val="00AE738C"/>
    <w:rsid w:val="00AE78A8"/>
    <w:rsid w:val="00AE7E7D"/>
    <w:rsid w:val="00AF02CD"/>
    <w:rsid w:val="00AF08CB"/>
    <w:rsid w:val="00AF0E73"/>
    <w:rsid w:val="00AF1046"/>
    <w:rsid w:val="00AF16A1"/>
    <w:rsid w:val="00AF1D1B"/>
    <w:rsid w:val="00AF1D26"/>
    <w:rsid w:val="00AF1DAF"/>
    <w:rsid w:val="00AF4466"/>
    <w:rsid w:val="00AF5D1E"/>
    <w:rsid w:val="00AF6419"/>
    <w:rsid w:val="00AF6D46"/>
    <w:rsid w:val="00AF7F28"/>
    <w:rsid w:val="00B00CB3"/>
    <w:rsid w:val="00B00D6A"/>
    <w:rsid w:val="00B0101E"/>
    <w:rsid w:val="00B01ED7"/>
    <w:rsid w:val="00B0356A"/>
    <w:rsid w:val="00B040A9"/>
    <w:rsid w:val="00B04250"/>
    <w:rsid w:val="00B051D1"/>
    <w:rsid w:val="00B05647"/>
    <w:rsid w:val="00B0731B"/>
    <w:rsid w:val="00B1104B"/>
    <w:rsid w:val="00B12495"/>
    <w:rsid w:val="00B159A4"/>
    <w:rsid w:val="00B16019"/>
    <w:rsid w:val="00B16A02"/>
    <w:rsid w:val="00B1711E"/>
    <w:rsid w:val="00B17944"/>
    <w:rsid w:val="00B17CBE"/>
    <w:rsid w:val="00B17E26"/>
    <w:rsid w:val="00B2165A"/>
    <w:rsid w:val="00B21662"/>
    <w:rsid w:val="00B231A4"/>
    <w:rsid w:val="00B23560"/>
    <w:rsid w:val="00B239CE"/>
    <w:rsid w:val="00B254A3"/>
    <w:rsid w:val="00B25BC5"/>
    <w:rsid w:val="00B25D20"/>
    <w:rsid w:val="00B262AE"/>
    <w:rsid w:val="00B26411"/>
    <w:rsid w:val="00B30382"/>
    <w:rsid w:val="00B31C99"/>
    <w:rsid w:val="00B33571"/>
    <w:rsid w:val="00B34F37"/>
    <w:rsid w:val="00B376E4"/>
    <w:rsid w:val="00B37D90"/>
    <w:rsid w:val="00B4282B"/>
    <w:rsid w:val="00B436BE"/>
    <w:rsid w:val="00B444FC"/>
    <w:rsid w:val="00B453F9"/>
    <w:rsid w:val="00B45988"/>
    <w:rsid w:val="00B50649"/>
    <w:rsid w:val="00B50CC0"/>
    <w:rsid w:val="00B52DE7"/>
    <w:rsid w:val="00B53023"/>
    <w:rsid w:val="00B53992"/>
    <w:rsid w:val="00B53BA6"/>
    <w:rsid w:val="00B53BF2"/>
    <w:rsid w:val="00B5680F"/>
    <w:rsid w:val="00B5731D"/>
    <w:rsid w:val="00B608E7"/>
    <w:rsid w:val="00B61EFC"/>
    <w:rsid w:val="00B6378B"/>
    <w:rsid w:val="00B63E3A"/>
    <w:rsid w:val="00B64D88"/>
    <w:rsid w:val="00B65D86"/>
    <w:rsid w:val="00B66217"/>
    <w:rsid w:val="00B6666B"/>
    <w:rsid w:val="00B6686C"/>
    <w:rsid w:val="00B67C98"/>
    <w:rsid w:val="00B70EC3"/>
    <w:rsid w:val="00B7156C"/>
    <w:rsid w:val="00B73601"/>
    <w:rsid w:val="00B73639"/>
    <w:rsid w:val="00B73C5A"/>
    <w:rsid w:val="00B75965"/>
    <w:rsid w:val="00B76D39"/>
    <w:rsid w:val="00B771AD"/>
    <w:rsid w:val="00B77588"/>
    <w:rsid w:val="00B80094"/>
    <w:rsid w:val="00B8146C"/>
    <w:rsid w:val="00B814CB"/>
    <w:rsid w:val="00B82CDC"/>
    <w:rsid w:val="00B841F5"/>
    <w:rsid w:val="00B85436"/>
    <w:rsid w:val="00B85478"/>
    <w:rsid w:val="00B85811"/>
    <w:rsid w:val="00B85F0D"/>
    <w:rsid w:val="00B8631D"/>
    <w:rsid w:val="00B864BD"/>
    <w:rsid w:val="00B865CF"/>
    <w:rsid w:val="00B86678"/>
    <w:rsid w:val="00B86E6E"/>
    <w:rsid w:val="00B90FA8"/>
    <w:rsid w:val="00B910D0"/>
    <w:rsid w:val="00B91F4A"/>
    <w:rsid w:val="00B924A7"/>
    <w:rsid w:val="00B9300E"/>
    <w:rsid w:val="00B937B3"/>
    <w:rsid w:val="00B94F0A"/>
    <w:rsid w:val="00B97601"/>
    <w:rsid w:val="00BA0834"/>
    <w:rsid w:val="00BA0CF8"/>
    <w:rsid w:val="00BA0FA6"/>
    <w:rsid w:val="00BA1ADF"/>
    <w:rsid w:val="00BA1D40"/>
    <w:rsid w:val="00BA2242"/>
    <w:rsid w:val="00BA37A1"/>
    <w:rsid w:val="00BA49DD"/>
    <w:rsid w:val="00BA4CED"/>
    <w:rsid w:val="00BA51FC"/>
    <w:rsid w:val="00BA5562"/>
    <w:rsid w:val="00BA6274"/>
    <w:rsid w:val="00BA7448"/>
    <w:rsid w:val="00BB003A"/>
    <w:rsid w:val="00BB0698"/>
    <w:rsid w:val="00BB08A5"/>
    <w:rsid w:val="00BB2553"/>
    <w:rsid w:val="00BB3358"/>
    <w:rsid w:val="00BB3382"/>
    <w:rsid w:val="00BB34B7"/>
    <w:rsid w:val="00BB3643"/>
    <w:rsid w:val="00BB7A3A"/>
    <w:rsid w:val="00BC0917"/>
    <w:rsid w:val="00BC09F7"/>
    <w:rsid w:val="00BC2788"/>
    <w:rsid w:val="00BC335C"/>
    <w:rsid w:val="00BC3DA0"/>
    <w:rsid w:val="00BC424B"/>
    <w:rsid w:val="00BC52FD"/>
    <w:rsid w:val="00BC742E"/>
    <w:rsid w:val="00BC7A17"/>
    <w:rsid w:val="00BD050F"/>
    <w:rsid w:val="00BD1760"/>
    <w:rsid w:val="00BD2599"/>
    <w:rsid w:val="00BD274E"/>
    <w:rsid w:val="00BD2795"/>
    <w:rsid w:val="00BD2930"/>
    <w:rsid w:val="00BD2A2A"/>
    <w:rsid w:val="00BD2C26"/>
    <w:rsid w:val="00BD4F72"/>
    <w:rsid w:val="00BD56A3"/>
    <w:rsid w:val="00BD5A46"/>
    <w:rsid w:val="00BD5F17"/>
    <w:rsid w:val="00BD748E"/>
    <w:rsid w:val="00BD7589"/>
    <w:rsid w:val="00BE0FDE"/>
    <w:rsid w:val="00BE17A2"/>
    <w:rsid w:val="00BE2E82"/>
    <w:rsid w:val="00BE3968"/>
    <w:rsid w:val="00BE4436"/>
    <w:rsid w:val="00BE537F"/>
    <w:rsid w:val="00BE5734"/>
    <w:rsid w:val="00BE5A0E"/>
    <w:rsid w:val="00BE634C"/>
    <w:rsid w:val="00BE7DD5"/>
    <w:rsid w:val="00BF2F31"/>
    <w:rsid w:val="00BF2FEE"/>
    <w:rsid w:val="00BF5292"/>
    <w:rsid w:val="00BF5D41"/>
    <w:rsid w:val="00BF62D7"/>
    <w:rsid w:val="00BF6AC5"/>
    <w:rsid w:val="00BF6B2F"/>
    <w:rsid w:val="00BF6DF8"/>
    <w:rsid w:val="00C00096"/>
    <w:rsid w:val="00C006F1"/>
    <w:rsid w:val="00C01121"/>
    <w:rsid w:val="00C030A5"/>
    <w:rsid w:val="00C0321F"/>
    <w:rsid w:val="00C04170"/>
    <w:rsid w:val="00C05A45"/>
    <w:rsid w:val="00C06410"/>
    <w:rsid w:val="00C06725"/>
    <w:rsid w:val="00C06CD5"/>
    <w:rsid w:val="00C0713E"/>
    <w:rsid w:val="00C07551"/>
    <w:rsid w:val="00C0796F"/>
    <w:rsid w:val="00C103EF"/>
    <w:rsid w:val="00C11B34"/>
    <w:rsid w:val="00C12344"/>
    <w:rsid w:val="00C12895"/>
    <w:rsid w:val="00C12C5C"/>
    <w:rsid w:val="00C12E1D"/>
    <w:rsid w:val="00C13500"/>
    <w:rsid w:val="00C13830"/>
    <w:rsid w:val="00C138B0"/>
    <w:rsid w:val="00C15A10"/>
    <w:rsid w:val="00C171FB"/>
    <w:rsid w:val="00C209C2"/>
    <w:rsid w:val="00C22575"/>
    <w:rsid w:val="00C2267F"/>
    <w:rsid w:val="00C22AD8"/>
    <w:rsid w:val="00C2321C"/>
    <w:rsid w:val="00C253A5"/>
    <w:rsid w:val="00C27148"/>
    <w:rsid w:val="00C27BED"/>
    <w:rsid w:val="00C27D07"/>
    <w:rsid w:val="00C320E3"/>
    <w:rsid w:val="00C3529E"/>
    <w:rsid w:val="00C353A8"/>
    <w:rsid w:val="00C3557E"/>
    <w:rsid w:val="00C3594B"/>
    <w:rsid w:val="00C3629D"/>
    <w:rsid w:val="00C36D7C"/>
    <w:rsid w:val="00C375CA"/>
    <w:rsid w:val="00C37777"/>
    <w:rsid w:val="00C40015"/>
    <w:rsid w:val="00C401E9"/>
    <w:rsid w:val="00C41347"/>
    <w:rsid w:val="00C413F3"/>
    <w:rsid w:val="00C4163C"/>
    <w:rsid w:val="00C41DFF"/>
    <w:rsid w:val="00C43102"/>
    <w:rsid w:val="00C44009"/>
    <w:rsid w:val="00C451A0"/>
    <w:rsid w:val="00C465E4"/>
    <w:rsid w:val="00C4696B"/>
    <w:rsid w:val="00C46B17"/>
    <w:rsid w:val="00C4702B"/>
    <w:rsid w:val="00C4749A"/>
    <w:rsid w:val="00C478CE"/>
    <w:rsid w:val="00C47E26"/>
    <w:rsid w:val="00C47F30"/>
    <w:rsid w:val="00C50513"/>
    <w:rsid w:val="00C50A5F"/>
    <w:rsid w:val="00C50B47"/>
    <w:rsid w:val="00C5185E"/>
    <w:rsid w:val="00C532A9"/>
    <w:rsid w:val="00C534ED"/>
    <w:rsid w:val="00C54503"/>
    <w:rsid w:val="00C56813"/>
    <w:rsid w:val="00C57557"/>
    <w:rsid w:val="00C61287"/>
    <w:rsid w:val="00C613C5"/>
    <w:rsid w:val="00C62985"/>
    <w:rsid w:val="00C63055"/>
    <w:rsid w:val="00C63FBB"/>
    <w:rsid w:val="00C64040"/>
    <w:rsid w:val="00C64A84"/>
    <w:rsid w:val="00C64E58"/>
    <w:rsid w:val="00C653ED"/>
    <w:rsid w:val="00C6759B"/>
    <w:rsid w:val="00C6776E"/>
    <w:rsid w:val="00C67D96"/>
    <w:rsid w:val="00C70E15"/>
    <w:rsid w:val="00C716CE"/>
    <w:rsid w:val="00C719B1"/>
    <w:rsid w:val="00C72B95"/>
    <w:rsid w:val="00C73900"/>
    <w:rsid w:val="00C73B62"/>
    <w:rsid w:val="00C747F4"/>
    <w:rsid w:val="00C74AB0"/>
    <w:rsid w:val="00C75327"/>
    <w:rsid w:val="00C75A50"/>
    <w:rsid w:val="00C762B5"/>
    <w:rsid w:val="00C76593"/>
    <w:rsid w:val="00C775B2"/>
    <w:rsid w:val="00C776B1"/>
    <w:rsid w:val="00C80543"/>
    <w:rsid w:val="00C815FE"/>
    <w:rsid w:val="00C81D1E"/>
    <w:rsid w:val="00C81FA0"/>
    <w:rsid w:val="00C82342"/>
    <w:rsid w:val="00C8282E"/>
    <w:rsid w:val="00C82A5F"/>
    <w:rsid w:val="00C83E13"/>
    <w:rsid w:val="00C83E95"/>
    <w:rsid w:val="00C847AE"/>
    <w:rsid w:val="00C857BC"/>
    <w:rsid w:val="00C85DE4"/>
    <w:rsid w:val="00C87F96"/>
    <w:rsid w:val="00C9032A"/>
    <w:rsid w:val="00C90ED7"/>
    <w:rsid w:val="00C91EE3"/>
    <w:rsid w:val="00C92249"/>
    <w:rsid w:val="00C9322D"/>
    <w:rsid w:val="00C95FCC"/>
    <w:rsid w:val="00C963DA"/>
    <w:rsid w:val="00C96747"/>
    <w:rsid w:val="00C971D4"/>
    <w:rsid w:val="00CA02AC"/>
    <w:rsid w:val="00CA04C6"/>
    <w:rsid w:val="00CA07D0"/>
    <w:rsid w:val="00CA1509"/>
    <w:rsid w:val="00CA19FE"/>
    <w:rsid w:val="00CA26DD"/>
    <w:rsid w:val="00CA3093"/>
    <w:rsid w:val="00CA3DAF"/>
    <w:rsid w:val="00CA415E"/>
    <w:rsid w:val="00CA416E"/>
    <w:rsid w:val="00CA4205"/>
    <w:rsid w:val="00CA54CC"/>
    <w:rsid w:val="00CA5D18"/>
    <w:rsid w:val="00CA6B5E"/>
    <w:rsid w:val="00CA7173"/>
    <w:rsid w:val="00CA72FD"/>
    <w:rsid w:val="00CB0BAD"/>
    <w:rsid w:val="00CB11E8"/>
    <w:rsid w:val="00CB12EC"/>
    <w:rsid w:val="00CB1615"/>
    <w:rsid w:val="00CB165F"/>
    <w:rsid w:val="00CB173A"/>
    <w:rsid w:val="00CB1F5B"/>
    <w:rsid w:val="00CB2550"/>
    <w:rsid w:val="00CB498E"/>
    <w:rsid w:val="00CB79C6"/>
    <w:rsid w:val="00CC015D"/>
    <w:rsid w:val="00CC02C3"/>
    <w:rsid w:val="00CC09D7"/>
    <w:rsid w:val="00CC12B8"/>
    <w:rsid w:val="00CC2025"/>
    <w:rsid w:val="00CC239C"/>
    <w:rsid w:val="00CC2727"/>
    <w:rsid w:val="00CC387B"/>
    <w:rsid w:val="00CC4D51"/>
    <w:rsid w:val="00CC5AB1"/>
    <w:rsid w:val="00CC69B8"/>
    <w:rsid w:val="00CC6C8D"/>
    <w:rsid w:val="00CC6C92"/>
    <w:rsid w:val="00CC7932"/>
    <w:rsid w:val="00CD141F"/>
    <w:rsid w:val="00CD1CF7"/>
    <w:rsid w:val="00CD22E3"/>
    <w:rsid w:val="00CD24FF"/>
    <w:rsid w:val="00CD3FD9"/>
    <w:rsid w:val="00CD4E44"/>
    <w:rsid w:val="00CD5AE4"/>
    <w:rsid w:val="00CD7A7D"/>
    <w:rsid w:val="00CE15D8"/>
    <w:rsid w:val="00CE1B51"/>
    <w:rsid w:val="00CE246B"/>
    <w:rsid w:val="00CE2CCE"/>
    <w:rsid w:val="00CE3C8C"/>
    <w:rsid w:val="00CE48F9"/>
    <w:rsid w:val="00CE7882"/>
    <w:rsid w:val="00CF2D8E"/>
    <w:rsid w:val="00CF2DFA"/>
    <w:rsid w:val="00CF46BB"/>
    <w:rsid w:val="00CF5AD8"/>
    <w:rsid w:val="00CF632A"/>
    <w:rsid w:val="00CF6ECE"/>
    <w:rsid w:val="00CF7182"/>
    <w:rsid w:val="00CF736A"/>
    <w:rsid w:val="00CF7B6B"/>
    <w:rsid w:val="00D00122"/>
    <w:rsid w:val="00D009C9"/>
    <w:rsid w:val="00D01085"/>
    <w:rsid w:val="00D01D2A"/>
    <w:rsid w:val="00D023A6"/>
    <w:rsid w:val="00D03592"/>
    <w:rsid w:val="00D04AB4"/>
    <w:rsid w:val="00D06C2D"/>
    <w:rsid w:val="00D101C6"/>
    <w:rsid w:val="00D10B47"/>
    <w:rsid w:val="00D11EB1"/>
    <w:rsid w:val="00D13D30"/>
    <w:rsid w:val="00D14261"/>
    <w:rsid w:val="00D166D4"/>
    <w:rsid w:val="00D17B90"/>
    <w:rsid w:val="00D17F17"/>
    <w:rsid w:val="00D20154"/>
    <w:rsid w:val="00D2027F"/>
    <w:rsid w:val="00D2192A"/>
    <w:rsid w:val="00D21C2E"/>
    <w:rsid w:val="00D229E1"/>
    <w:rsid w:val="00D231F9"/>
    <w:rsid w:val="00D23303"/>
    <w:rsid w:val="00D23597"/>
    <w:rsid w:val="00D23603"/>
    <w:rsid w:val="00D23665"/>
    <w:rsid w:val="00D23DE0"/>
    <w:rsid w:val="00D26BD3"/>
    <w:rsid w:val="00D26F23"/>
    <w:rsid w:val="00D275DA"/>
    <w:rsid w:val="00D27653"/>
    <w:rsid w:val="00D279B6"/>
    <w:rsid w:val="00D30BDC"/>
    <w:rsid w:val="00D30F4A"/>
    <w:rsid w:val="00D3402A"/>
    <w:rsid w:val="00D34442"/>
    <w:rsid w:val="00D3460B"/>
    <w:rsid w:val="00D3504D"/>
    <w:rsid w:val="00D35189"/>
    <w:rsid w:val="00D37F9C"/>
    <w:rsid w:val="00D403FB"/>
    <w:rsid w:val="00D41457"/>
    <w:rsid w:val="00D41EA1"/>
    <w:rsid w:val="00D4496F"/>
    <w:rsid w:val="00D453BB"/>
    <w:rsid w:val="00D454FE"/>
    <w:rsid w:val="00D45B07"/>
    <w:rsid w:val="00D45B96"/>
    <w:rsid w:val="00D46D29"/>
    <w:rsid w:val="00D47E3C"/>
    <w:rsid w:val="00D517A3"/>
    <w:rsid w:val="00D522BC"/>
    <w:rsid w:val="00D5428E"/>
    <w:rsid w:val="00D54D3D"/>
    <w:rsid w:val="00D54F13"/>
    <w:rsid w:val="00D579E2"/>
    <w:rsid w:val="00D57BE3"/>
    <w:rsid w:val="00D57F88"/>
    <w:rsid w:val="00D61157"/>
    <w:rsid w:val="00D64201"/>
    <w:rsid w:val="00D64829"/>
    <w:rsid w:val="00D6498A"/>
    <w:rsid w:val="00D649DC"/>
    <w:rsid w:val="00D64D05"/>
    <w:rsid w:val="00D660F9"/>
    <w:rsid w:val="00D665B9"/>
    <w:rsid w:val="00D667E2"/>
    <w:rsid w:val="00D66896"/>
    <w:rsid w:val="00D70E47"/>
    <w:rsid w:val="00D7105C"/>
    <w:rsid w:val="00D71C9F"/>
    <w:rsid w:val="00D71CA2"/>
    <w:rsid w:val="00D73646"/>
    <w:rsid w:val="00D73A6D"/>
    <w:rsid w:val="00D7415F"/>
    <w:rsid w:val="00D741F4"/>
    <w:rsid w:val="00D747E2"/>
    <w:rsid w:val="00D75414"/>
    <w:rsid w:val="00D76479"/>
    <w:rsid w:val="00D777B4"/>
    <w:rsid w:val="00D77A90"/>
    <w:rsid w:val="00D824B7"/>
    <w:rsid w:val="00D82CEC"/>
    <w:rsid w:val="00D83120"/>
    <w:rsid w:val="00D8360B"/>
    <w:rsid w:val="00D851D6"/>
    <w:rsid w:val="00D85676"/>
    <w:rsid w:val="00D85E79"/>
    <w:rsid w:val="00D86A2E"/>
    <w:rsid w:val="00D87DAB"/>
    <w:rsid w:val="00D918D0"/>
    <w:rsid w:val="00D91968"/>
    <w:rsid w:val="00D921E2"/>
    <w:rsid w:val="00D95AE3"/>
    <w:rsid w:val="00D96ADA"/>
    <w:rsid w:val="00D96C7B"/>
    <w:rsid w:val="00D97653"/>
    <w:rsid w:val="00D978F4"/>
    <w:rsid w:val="00DA0750"/>
    <w:rsid w:val="00DA2886"/>
    <w:rsid w:val="00DA2BE8"/>
    <w:rsid w:val="00DA35E3"/>
    <w:rsid w:val="00DA36AC"/>
    <w:rsid w:val="00DA38DC"/>
    <w:rsid w:val="00DA467F"/>
    <w:rsid w:val="00DA5E50"/>
    <w:rsid w:val="00DA67AD"/>
    <w:rsid w:val="00DA6C96"/>
    <w:rsid w:val="00DA74FF"/>
    <w:rsid w:val="00DA7D0C"/>
    <w:rsid w:val="00DB050F"/>
    <w:rsid w:val="00DB311C"/>
    <w:rsid w:val="00DB3C3B"/>
    <w:rsid w:val="00DB432D"/>
    <w:rsid w:val="00DB4581"/>
    <w:rsid w:val="00DB4E67"/>
    <w:rsid w:val="00DB519B"/>
    <w:rsid w:val="00DB5B85"/>
    <w:rsid w:val="00DB5CB9"/>
    <w:rsid w:val="00DB6321"/>
    <w:rsid w:val="00DC13AD"/>
    <w:rsid w:val="00DC25B7"/>
    <w:rsid w:val="00DC26BB"/>
    <w:rsid w:val="00DC2B8F"/>
    <w:rsid w:val="00DC3273"/>
    <w:rsid w:val="00DC3479"/>
    <w:rsid w:val="00DC481D"/>
    <w:rsid w:val="00DC4CCF"/>
    <w:rsid w:val="00DC5CD6"/>
    <w:rsid w:val="00DC5CFD"/>
    <w:rsid w:val="00DC708B"/>
    <w:rsid w:val="00DC7132"/>
    <w:rsid w:val="00DC735D"/>
    <w:rsid w:val="00DC7694"/>
    <w:rsid w:val="00DC7BB4"/>
    <w:rsid w:val="00DC7FBE"/>
    <w:rsid w:val="00DD0B5A"/>
    <w:rsid w:val="00DD130E"/>
    <w:rsid w:val="00DD18A9"/>
    <w:rsid w:val="00DD2E9E"/>
    <w:rsid w:val="00DD308E"/>
    <w:rsid w:val="00DD4791"/>
    <w:rsid w:val="00DD496B"/>
    <w:rsid w:val="00DD5730"/>
    <w:rsid w:val="00DD734C"/>
    <w:rsid w:val="00DE1E18"/>
    <w:rsid w:val="00DE1E1E"/>
    <w:rsid w:val="00DE23B0"/>
    <w:rsid w:val="00DE293F"/>
    <w:rsid w:val="00DE3CF6"/>
    <w:rsid w:val="00DE4544"/>
    <w:rsid w:val="00DE4F4F"/>
    <w:rsid w:val="00DE59B6"/>
    <w:rsid w:val="00DE59BD"/>
    <w:rsid w:val="00DE78D5"/>
    <w:rsid w:val="00DF04CD"/>
    <w:rsid w:val="00DF0C51"/>
    <w:rsid w:val="00DF0D47"/>
    <w:rsid w:val="00DF0F53"/>
    <w:rsid w:val="00DF156A"/>
    <w:rsid w:val="00DF1652"/>
    <w:rsid w:val="00DF16F8"/>
    <w:rsid w:val="00DF3D29"/>
    <w:rsid w:val="00DF5E7D"/>
    <w:rsid w:val="00DF6D37"/>
    <w:rsid w:val="00DF7352"/>
    <w:rsid w:val="00DF73A1"/>
    <w:rsid w:val="00DF75F6"/>
    <w:rsid w:val="00E024A2"/>
    <w:rsid w:val="00E0253D"/>
    <w:rsid w:val="00E048ED"/>
    <w:rsid w:val="00E04FB3"/>
    <w:rsid w:val="00E058F2"/>
    <w:rsid w:val="00E05C3A"/>
    <w:rsid w:val="00E05D9C"/>
    <w:rsid w:val="00E06102"/>
    <w:rsid w:val="00E06E81"/>
    <w:rsid w:val="00E108C9"/>
    <w:rsid w:val="00E11BAD"/>
    <w:rsid w:val="00E120B5"/>
    <w:rsid w:val="00E142F9"/>
    <w:rsid w:val="00E15606"/>
    <w:rsid w:val="00E172F9"/>
    <w:rsid w:val="00E20986"/>
    <w:rsid w:val="00E21F26"/>
    <w:rsid w:val="00E23E71"/>
    <w:rsid w:val="00E254B1"/>
    <w:rsid w:val="00E26FF8"/>
    <w:rsid w:val="00E273AD"/>
    <w:rsid w:val="00E27A19"/>
    <w:rsid w:val="00E30F19"/>
    <w:rsid w:val="00E3109F"/>
    <w:rsid w:val="00E31D41"/>
    <w:rsid w:val="00E31D54"/>
    <w:rsid w:val="00E33817"/>
    <w:rsid w:val="00E33C4A"/>
    <w:rsid w:val="00E357B9"/>
    <w:rsid w:val="00E36B38"/>
    <w:rsid w:val="00E36F9F"/>
    <w:rsid w:val="00E3799C"/>
    <w:rsid w:val="00E37C80"/>
    <w:rsid w:val="00E40528"/>
    <w:rsid w:val="00E4130C"/>
    <w:rsid w:val="00E41D77"/>
    <w:rsid w:val="00E42232"/>
    <w:rsid w:val="00E42601"/>
    <w:rsid w:val="00E42C33"/>
    <w:rsid w:val="00E4321E"/>
    <w:rsid w:val="00E43605"/>
    <w:rsid w:val="00E44335"/>
    <w:rsid w:val="00E44B80"/>
    <w:rsid w:val="00E44D1C"/>
    <w:rsid w:val="00E45AAF"/>
    <w:rsid w:val="00E45E10"/>
    <w:rsid w:val="00E46C4D"/>
    <w:rsid w:val="00E47572"/>
    <w:rsid w:val="00E47623"/>
    <w:rsid w:val="00E51297"/>
    <w:rsid w:val="00E574F1"/>
    <w:rsid w:val="00E57FBA"/>
    <w:rsid w:val="00E60368"/>
    <w:rsid w:val="00E604E8"/>
    <w:rsid w:val="00E60529"/>
    <w:rsid w:val="00E61D31"/>
    <w:rsid w:val="00E62D93"/>
    <w:rsid w:val="00E63225"/>
    <w:rsid w:val="00E641EF"/>
    <w:rsid w:val="00E64A98"/>
    <w:rsid w:val="00E651F5"/>
    <w:rsid w:val="00E652F5"/>
    <w:rsid w:val="00E65898"/>
    <w:rsid w:val="00E67C2B"/>
    <w:rsid w:val="00E704C4"/>
    <w:rsid w:val="00E70D86"/>
    <w:rsid w:val="00E72136"/>
    <w:rsid w:val="00E72915"/>
    <w:rsid w:val="00E73465"/>
    <w:rsid w:val="00E7373B"/>
    <w:rsid w:val="00E73BA9"/>
    <w:rsid w:val="00E75C93"/>
    <w:rsid w:val="00E7628E"/>
    <w:rsid w:val="00E77150"/>
    <w:rsid w:val="00E819D7"/>
    <w:rsid w:val="00E82F54"/>
    <w:rsid w:val="00E84D3C"/>
    <w:rsid w:val="00E8506B"/>
    <w:rsid w:val="00E85D5D"/>
    <w:rsid w:val="00E8649B"/>
    <w:rsid w:val="00E871CD"/>
    <w:rsid w:val="00E904B9"/>
    <w:rsid w:val="00E90990"/>
    <w:rsid w:val="00E909C4"/>
    <w:rsid w:val="00E92110"/>
    <w:rsid w:val="00E95284"/>
    <w:rsid w:val="00E956DC"/>
    <w:rsid w:val="00E95D3D"/>
    <w:rsid w:val="00E95F30"/>
    <w:rsid w:val="00E964A3"/>
    <w:rsid w:val="00E966FF"/>
    <w:rsid w:val="00E96F24"/>
    <w:rsid w:val="00EA07BD"/>
    <w:rsid w:val="00EA081A"/>
    <w:rsid w:val="00EA0E25"/>
    <w:rsid w:val="00EA173C"/>
    <w:rsid w:val="00EA2DA9"/>
    <w:rsid w:val="00EA61ED"/>
    <w:rsid w:val="00EA64EA"/>
    <w:rsid w:val="00EA66D9"/>
    <w:rsid w:val="00EA6C54"/>
    <w:rsid w:val="00EA7178"/>
    <w:rsid w:val="00EA768E"/>
    <w:rsid w:val="00EB10B8"/>
    <w:rsid w:val="00EB25C5"/>
    <w:rsid w:val="00EB37F5"/>
    <w:rsid w:val="00EB3C2C"/>
    <w:rsid w:val="00EB3FA9"/>
    <w:rsid w:val="00EB41D4"/>
    <w:rsid w:val="00EB4742"/>
    <w:rsid w:val="00EB4AFF"/>
    <w:rsid w:val="00EC0857"/>
    <w:rsid w:val="00EC127A"/>
    <w:rsid w:val="00EC157E"/>
    <w:rsid w:val="00EC1FF9"/>
    <w:rsid w:val="00EC2056"/>
    <w:rsid w:val="00EC2737"/>
    <w:rsid w:val="00EC280A"/>
    <w:rsid w:val="00EC2FC0"/>
    <w:rsid w:val="00EC39FF"/>
    <w:rsid w:val="00EC47FC"/>
    <w:rsid w:val="00EC5235"/>
    <w:rsid w:val="00EC64B0"/>
    <w:rsid w:val="00EC7044"/>
    <w:rsid w:val="00ED1B0E"/>
    <w:rsid w:val="00ED414A"/>
    <w:rsid w:val="00ED44A9"/>
    <w:rsid w:val="00ED5018"/>
    <w:rsid w:val="00ED5649"/>
    <w:rsid w:val="00ED5AFE"/>
    <w:rsid w:val="00ED6D26"/>
    <w:rsid w:val="00ED6E88"/>
    <w:rsid w:val="00ED7954"/>
    <w:rsid w:val="00EE000F"/>
    <w:rsid w:val="00EE07ED"/>
    <w:rsid w:val="00EE24BD"/>
    <w:rsid w:val="00EE2716"/>
    <w:rsid w:val="00EE2A1F"/>
    <w:rsid w:val="00EE2FEA"/>
    <w:rsid w:val="00EE389B"/>
    <w:rsid w:val="00EE6450"/>
    <w:rsid w:val="00EE7FEE"/>
    <w:rsid w:val="00EF044A"/>
    <w:rsid w:val="00EF0EAB"/>
    <w:rsid w:val="00EF15EA"/>
    <w:rsid w:val="00EF1C45"/>
    <w:rsid w:val="00EF2E48"/>
    <w:rsid w:val="00EF4B44"/>
    <w:rsid w:val="00EF4D31"/>
    <w:rsid w:val="00EF5610"/>
    <w:rsid w:val="00EF6DB2"/>
    <w:rsid w:val="00EF72D6"/>
    <w:rsid w:val="00EF76E9"/>
    <w:rsid w:val="00EF780E"/>
    <w:rsid w:val="00F01C2C"/>
    <w:rsid w:val="00F02BEB"/>
    <w:rsid w:val="00F02C59"/>
    <w:rsid w:val="00F02DB0"/>
    <w:rsid w:val="00F06FF1"/>
    <w:rsid w:val="00F070C6"/>
    <w:rsid w:val="00F0789C"/>
    <w:rsid w:val="00F10A20"/>
    <w:rsid w:val="00F10CA5"/>
    <w:rsid w:val="00F10CD3"/>
    <w:rsid w:val="00F10ED8"/>
    <w:rsid w:val="00F11211"/>
    <w:rsid w:val="00F11410"/>
    <w:rsid w:val="00F118C7"/>
    <w:rsid w:val="00F129F1"/>
    <w:rsid w:val="00F136CF"/>
    <w:rsid w:val="00F14507"/>
    <w:rsid w:val="00F16A53"/>
    <w:rsid w:val="00F16DE4"/>
    <w:rsid w:val="00F17061"/>
    <w:rsid w:val="00F17C7A"/>
    <w:rsid w:val="00F20723"/>
    <w:rsid w:val="00F221F1"/>
    <w:rsid w:val="00F222BE"/>
    <w:rsid w:val="00F230A3"/>
    <w:rsid w:val="00F24179"/>
    <w:rsid w:val="00F24F07"/>
    <w:rsid w:val="00F26681"/>
    <w:rsid w:val="00F2705A"/>
    <w:rsid w:val="00F301F1"/>
    <w:rsid w:val="00F30C22"/>
    <w:rsid w:val="00F33DAE"/>
    <w:rsid w:val="00F33F1A"/>
    <w:rsid w:val="00F340EE"/>
    <w:rsid w:val="00F348F1"/>
    <w:rsid w:val="00F361A5"/>
    <w:rsid w:val="00F40A38"/>
    <w:rsid w:val="00F418EF"/>
    <w:rsid w:val="00F4199A"/>
    <w:rsid w:val="00F42849"/>
    <w:rsid w:val="00F43C71"/>
    <w:rsid w:val="00F43E15"/>
    <w:rsid w:val="00F45113"/>
    <w:rsid w:val="00F46751"/>
    <w:rsid w:val="00F46D31"/>
    <w:rsid w:val="00F47851"/>
    <w:rsid w:val="00F521A8"/>
    <w:rsid w:val="00F52216"/>
    <w:rsid w:val="00F523ED"/>
    <w:rsid w:val="00F52F1E"/>
    <w:rsid w:val="00F53AA8"/>
    <w:rsid w:val="00F547F7"/>
    <w:rsid w:val="00F54CCF"/>
    <w:rsid w:val="00F54F52"/>
    <w:rsid w:val="00F5574A"/>
    <w:rsid w:val="00F559B1"/>
    <w:rsid w:val="00F61C84"/>
    <w:rsid w:val="00F61D7A"/>
    <w:rsid w:val="00F637B3"/>
    <w:rsid w:val="00F6431F"/>
    <w:rsid w:val="00F64426"/>
    <w:rsid w:val="00F648EE"/>
    <w:rsid w:val="00F66815"/>
    <w:rsid w:val="00F66CF7"/>
    <w:rsid w:val="00F67BCB"/>
    <w:rsid w:val="00F70247"/>
    <w:rsid w:val="00F7220B"/>
    <w:rsid w:val="00F7359C"/>
    <w:rsid w:val="00F73A16"/>
    <w:rsid w:val="00F75390"/>
    <w:rsid w:val="00F75EC5"/>
    <w:rsid w:val="00F770AA"/>
    <w:rsid w:val="00F775B1"/>
    <w:rsid w:val="00F77904"/>
    <w:rsid w:val="00F77C57"/>
    <w:rsid w:val="00F77D78"/>
    <w:rsid w:val="00F813C7"/>
    <w:rsid w:val="00F82CAE"/>
    <w:rsid w:val="00F83566"/>
    <w:rsid w:val="00F83A9D"/>
    <w:rsid w:val="00F86EF1"/>
    <w:rsid w:val="00F8786B"/>
    <w:rsid w:val="00F906B5"/>
    <w:rsid w:val="00F917E9"/>
    <w:rsid w:val="00F9215F"/>
    <w:rsid w:val="00F92A1F"/>
    <w:rsid w:val="00F93784"/>
    <w:rsid w:val="00F95FB4"/>
    <w:rsid w:val="00F971CC"/>
    <w:rsid w:val="00FA2280"/>
    <w:rsid w:val="00FA2326"/>
    <w:rsid w:val="00FA2A8F"/>
    <w:rsid w:val="00FA2CAA"/>
    <w:rsid w:val="00FA3DA1"/>
    <w:rsid w:val="00FA4CDA"/>
    <w:rsid w:val="00FA4D38"/>
    <w:rsid w:val="00FA5785"/>
    <w:rsid w:val="00FA6554"/>
    <w:rsid w:val="00FA7264"/>
    <w:rsid w:val="00FB01EC"/>
    <w:rsid w:val="00FB036F"/>
    <w:rsid w:val="00FB19A3"/>
    <w:rsid w:val="00FB2A22"/>
    <w:rsid w:val="00FB2CD1"/>
    <w:rsid w:val="00FB2D08"/>
    <w:rsid w:val="00FB2DDC"/>
    <w:rsid w:val="00FB2E0C"/>
    <w:rsid w:val="00FB3F20"/>
    <w:rsid w:val="00FB554E"/>
    <w:rsid w:val="00FB6531"/>
    <w:rsid w:val="00FB6796"/>
    <w:rsid w:val="00FC1B49"/>
    <w:rsid w:val="00FC24A8"/>
    <w:rsid w:val="00FC31B9"/>
    <w:rsid w:val="00FC3433"/>
    <w:rsid w:val="00FC3BF1"/>
    <w:rsid w:val="00FC4AE8"/>
    <w:rsid w:val="00FC54B6"/>
    <w:rsid w:val="00FC6681"/>
    <w:rsid w:val="00FD0136"/>
    <w:rsid w:val="00FD0295"/>
    <w:rsid w:val="00FD1599"/>
    <w:rsid w:val="00FD2617"/>
    <w:rsid w:val="00FD5AA5"/>
    <w:rsid w:val="00FD678C"/>
    <w:rsid w:val="00FD688B"/>
    <w:rsid w:val="00FD7912"/>
    <w:rsid w:val="00FD79A1"/>
    <w:rsid w:val="00FE01B9"/>
    <w:rsid w:val="00FE0A91"/>
    <w:rsid w:val="00FE0ADA"/>
    <w:rsid w:val="00FE0DA8"/>
    <w:rsid w:val="00FE0F03"/>
    <w:rsid w:val="00FE16C1"/>
    <w:rsid w:val="00FE19FF"/>
    <w:rsid w:val="00FE1FCF"/>
    <w:rsid w:val="00FE2332"/>
    <w:rsid w:val="00FE2FF5"/>
    <w:rsid w:val="00FE33A6"/>
    <w:rsid w:val="00FE3A9A"/>
    <w:rsid w:val="00FE3AC0"/>
    <w:rsid w:val="00FE5452"/>
    <w:rsid w:val="00FE5EB7"/>
    <w:rsid w:val="00FF0276"/>
    <w:rsid w:val="00FF3458"/>
    <w:rsid w:val="00FF38BD"/>
    <w:rsid w:val="00FF4C27"/>
    <w:rsid w:val="00FF59A8"/>
    <w:rsid w:val="00FF60DF"/>
    <w:rsid w:val="00FF6A18"/>
    <w:rsid w:val="00FF6F4E"/>
    <w:rsid w:val="00FF7FE2"/>
    <w:rsid w:val="1801D079"/>
    <w:rsid w:val="1996E1CD"/>
    <w:rsid w:val="3E83B251"/>
    <w:rsid w:val="5595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1B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51"/>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561A90"/>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1A90"/>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8D557D"/>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F17061"/>
    <w:rPr>
      <w:color w:val="605E5C"/>
      <w:shd w:val="clear" w:color="auto" w:fill="E1DFDD"/>
    </w:rPr>
  </w:style>
  <w:style w:type="character" w:styleId="HTMLDefinition">
    <w:name w:val="HTML Definition"/>
    <w:basedOn w:val="DefaultParagraphFont"/>
    <w:uiPriority w:val="99"/>
    <w:semiHidden/>
    <w:unhideWhenUsed/>
    <w:rsid w:val="00320DED"/>
    <w:rPr>
      <w:i/>
      <w:iCs/>
    </w:rPr>
  </w:style>
  <w:style w:type="paragraph" w:styleId="Caption">
    <w:name w:val="caption"/>
    <w:basedOn w:val="Normal"/>
    <w:next w:val="Normal"/>
    <w:uiPriority w:val="35"/>
    <w:unhideWhenUsed/>
    <w:qFormat/>
    <w:rsid w:val="00321269"/>
    <w:pPr>
      <w:keepNext/>
      <w:spacing w:before="0" w:after="40"/>
      <w:ind w:firstLine="284"/>
    </w:pPr>
    <w:rPr>
      <w:b/>
      <w:bCs/>
      <w:color w:val="000000" w:themeColor="text1"/>
      <w:szCs w:val="20"/>
    </w:rPr>
  </w:style>
  <w:style w:type="paragraph" w:styleId="Revision">
    <w:name w:val="Revision"/>
    <w:hidden/>
    <w:uiPriority w:val="99"/>
    <w:semiHidden/>
    <w:rsid w:val="006F76FE"/>
    <w:pPr>
      <w:spacing w:after="0" w:line="240" w:lineRule="auto"/>
    </w:pPr>
    <w:rPr>
      <w:sz w:val="20"/>
    </w:rPr>
  </w:style>
  <w:style w:type="paragraph" w:styleId="EndnoteText">
    <w:name w:val="endnote text"/>
    <w:basedOn w:val="Normal"/>
    <w:link w:val="EndnoteTextChar"/>
    <w:uiPriority w:val="99"/>
    <w:semiHidden/>
    <w:unhideWhenUsed/>
    <w:rsid w:val="00A93B5B"/>
    <w:pPr>
      <w:spacing w:before="0" w:after="0"/>
    </w:pPr>
    <w:rPr>
      <w:szCs w:val="20"/>
    </w:rPr>
  </w:style>
  <w:style w:type="character" w:customStyle="1" w:styleId="EndnoteTextChar">
    <w:name w:val="Endnote Text Char"/>
    <w:basedOn w:val="DefaultParagraphFont"/>
    <w:link w:val="EndnoteText"/>
    <w:uiPriority w:val="99"/>
    <w:semiHidden/>
    <w:rsid w:val="00A93B5B"/>
    <w:rPr>
      <w:sz w:val="20"/>
      <w:szCs w:val="20"/>
    </w:rPr>
  </w:style>
  <w:style w:type="character" w:styleId="EndnoteReference">
    <w:name w:val="endnote reference"/>
    <w:basedOn w:val="DefaultParagraphFont"/>
    <w:uiPriority w:val="99"/>
    <w:unhideWhenUsed/>
    <w:rsid w:val="00A93B5B"/>
    <w:rPr>
      <w:vertAlign w:val="superscript"/>
    </w:rPr>
  </w:style>
  <w:style w:type="paragraph" w:styleId="FootnoteText">
    <w:name w:val="footnote text"/>
    <w:basedOn w:val="Normal"/>
    <w:link w:val="FootnoteTextChar"/>
    <w:uiPriority w:val="99"/>
    <w:semiHidden/>
    <w:unhideWhenUsed/>
    <w:rsid w:val="00061D4B"/>
    <w:pPr>
      <w:spacing w:before="0" w:after="0"/>
    </w:pPr>
    <w:rPr>
      <w:szCs w:val="20"/>
    </w:rPr>
  </w:style>
  <w:style w:type="character" w:customStyle="1" w:styleId="FootnoteTextChar">
    <w:name w:val="Footnote Text Char"/>
    <w:basedOn w:val="DefaultParagraphFont"/>
    <w:link w:val="FootnoteText"/>
    <w:uiPriority w:val="99"/>
    <w:semiHidden/>
    <w:rsid w:val="00061D4B"/>
    <w:rPr>
      <w:sz w:val="20"/>
      <w:szCs w:val="20"/>
    </w:rPr>
  </w:style>
  <w:style w:type="character" w:styleId="FootnoteReference">
    <w:name w:val="footnote reference"/>
    <w:basedOn w:val="DefaultParagraphFont"/>
    <w:uiPriority w:val="99"/>
    <w:semiHidden/>
    <w:unhideWhenUsed/>
    <w:rsid w:val="00061D4B"/>
    <w:rPr>
      <w:vertAlign w:val="superscript"/>
    </w:rPr>
  </w:style>
  <w:style w:type="character" w:styleId="FollowedHyperlink">
    <w:name w:val="FollowedHyperlink"/>
    <w:basedOn w:val="DefaultParagraphFont"/>
    <w:uiPriority w:val="99"/>
    <w:semiHidden/>
    <w:unhideWhenUsed/>
    <w:rsid w:val="00BF5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221408190">
      <w:bodyDiv w:val="1"/>
      <w:marLeft w:val="0"/>
      <w:marRight w:val="0"/>
      <w:marTop w:val="0"/>
      <w:marBottom w:val="0"/>
      <w:divBdr>
        <w:top w:val="none" w:sz="0" w:space="0" w:color="auto"/>
        <w:left w:val="none" w:sz="0" w:space="0" w:color="auto"/>
        <w:bottom w:val="none" w:sz="0" w:space="0" w:color="auto"/>
        <w:right w:val="none" w:sz="0" w:space="0" w:color="auto"/>
      </w:divBdr>
      <w:divsChild>
        <w:div w:id="1171919188">
          <w:marLeft w:val="360"/>
          <w:marRight w:val="0"/>
          <w:marTop w:val="0"/>
          <w:marBottom w:val="0"/>
          <w:divBdr>
            <w:top w:val="none" w:sz="0" w:space="0" w:color="auto"/>
            <w:left w:val="none" w:sz="0" w:space="0" w:color="auto"/>
            <w:bottom w:val="none" w:sz="0" w:space="0" w:color="auto"/>
            <w:right w:val="none" w:sz="0" w:space="0" w:color="auto"/>
          </w:divBdr>
        </w:div>
      </w:divsChild>
    </w:div>
    <w:div w:id="1319656414">
      <w:bodyDiv w:val="1"/>
      <w:marLeft w:val="0"/>
      <w:marRight w:val="0"/>
      <w:marTop w:val="0"/>
      <w:marBottom w:val="0"/>
      <w:divBdr>
        <w:top w:val="none" w:sz="0" w:space="0" w:color="auto"/>
        <w:left w:val="none" w:sz="0" w:space="0" w:color="auto"/>
        <w:bottom w:val="none" w:sz="0" w:space="0" w:color="auto"/>
        <w:right w:val="none" w:sz="0" w:space="0" w:color="auto"/>
      </w:divBdr>
    </w:div>
    <w:div w:id="2020769760">
      <w:bodyDiv w:val="1"/>
      <w:marLeft w:val="0"/>
      <w:marRight w:val="0"/>
      <w:marTop w:val="0"/>
      <w:marBottom w:val="0"/>
      <w:divBdr>
        <w:top w:val="none" w:sz="0" w:space="0" w:color="auto"/>
        <w:left w:val="none" w:sz="0" w:space="0" w:color="auto"/>
        <w:bottom w:val="none" w:sz="0" w:space="0" w:color="auto"/>
        <w:right w:val="none" w:sz="0" w:space="0" w:color="auto"/>
      </w:divBdr>
    </w:div>
    <w:div w:id="2060742094">
      <w:bodyDiv w:val="1"/>
      <w:marLeft w:val="0"/>
      <w:marRight w:val="0"/>
      <w:marTop w:val="0"/>
      <w:marBottom w:val="0"/>
      <w:divBdr>
        <w:top w:val="none" w:sz="0" w:space="0" w:color="auto"/>
        <w:left w:val="none" w:sz="0" w:space="0" w:color="auto"/>
        <w:bottom w:val="none" w:sz="0" w:space="0" w:color="auto"/>
        <w:right w:val="none" w:sz="0" w:space="0" w:color="auto"/>
      </w:divBdr>
      <w:divsChild>
        <w:div w:id="1500316862">
          <w:marLeft w:val="0"/>
          <w:marRight w:val="0"/>
          <w:marTop w:val="0"/>
          <w:marBottom w:val="75"/>
          <w:divBdr>
            <w:top w:val="single" w:sz="2" w:space="0" w:color="D7D7DA"/>
            <w:left w:val="single" w:sz="2" w:space="0" w:color="D7D7DA"/>
            <w:bottom w:val="single" w:sz="2" w:space="0" w:color="D7D7DA"/>
            <w:right w:val="single" w:sz="2" w:space="0" w:color="D7D7DA"/>
          </w:divBdr>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jm.org/doi/full/10.1056/NEJMoa19143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lls.org/sites/default/files/file_assets/FS4_MCL_Facts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9118-66A2-4805-860C-840C0717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2020-11-08T22:59:00Z</dcterms:created>
  <dcterms:modified xsi:type="dcterms:W3CDTF">2020-11-15T22:12:00Z</dcterms:modified>
</cp:coreProperties>
</file>